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98E6A" w14:textId="47DDC18A" w:rsidR="00C0080E" w:rsidRDefault="004A6496" w:rsidP="00757681">
      <w:pPr>
        <w:tabs>
          <w:tab w:val="center" w:pos="4050"/>
          <w:tab w:val="right" w:pos="9360"/>
        </w:tabs>
      </w:pPr>
      <w:bookmarkStart w:id="0" w:name="_GoBack"/>
      <w:bookmarkEnd w:id="0"/>
      <w:r>
        <w:t>COM</w:t>
      </w:r>
      <w:r w:rsidRPr="0036241F">
        <w:t>/</w:t>
      </w:r>
      <w:r>
        <w:t>CR6</w:t>
      </w:r>
      <w:r w:rsidRPr="0036241F">
        <w:t>/jt</w:t>
      </w:r>
      <w:r w:rsidR="001B04C0">
        <w:t>2</w:t>
      </w:r>
      <w:r w:rsidR="00C0080E">
        <w:tab/>
      </w:r>
      <w:r w:rsidR="000F427C">
        <w:tab/>
      </w:r>
      <w:r w:rsidR="000F427C">
        <w:rPr>
          <w:rFonts w:ascii="Arial" w:hAnsi="Arial" w:cs="Arial"/>
          <w:b/>
          <w:sz w:val="32"/>
          <w:szCs w:val="32"/>
        </w:rPr>
        <w:t>Date of Issuance  9/</w:t>
      </w:r>
      <w:r w:rsidR="00926684">
        <w:rPr>
          <w:rFonts w:ascii="Arial" w:hAnsi="Arial" w:cs="Arial"/>
          <w:b/>
          <w:sz w:val="32"/>
          <w:szCs w:val="32"/>
        </w:rPr>
        <w:t>18</w:t>
      </w:r>
      <w:r w:rsidR="000F427C">
        <w:rPr>
          <w:rFonts w:ascii="Arial" w:hAnsi="Arial" w:cs="Arial"/>
          <w:b/>
          <w:sz w:val="32"/>
          <w:szCs w:val="32"/>
        </w:rPr>
        <w:t>/2019</w:t>
      </w:r>
    </w:p>
    <w:p w14:paraId="48D1AE30" w14:textId="2F144267" w:rsidR="000F427C" w:rsidRDefault="000F427C" w:rsidP="002373AB">
      <w:pPr>
        <w:tabs>
          <w:tab w:val="left" w:pos="1080"/>
        </w:tabs>
      </w:pPr>
    </w:p>
    <w:p w14:paraId="37443087" w14:textId="77777777" w:rsidR="000F427C" w:rsidRDefault="000F427C" w:rsidP="002373AB">
      <w:pPr>
        <w:tabs>
          <w:tab w:val="left" w:pos="1080"/>
        </w:tabs>
      </w:pPr>
    </w:p>
    <w:p w14:paraId="56B4312C" w14:textId="3CD03B91" w:rsidR="00C0080E" w:rsidRPr="002373AB" w:rsidRDefault="002373AB" w:rsidP="002373AB">
      <w:pPr>
        <w:tabs>
          <w:tab w:val="left" w:pos="1080"/>
        </w:tabs>
        <w:rPr>
          <w:b/>
        </w:rPr>
      </w:pPr>
      <w:r>
        <w:t>Decis</w:t>
      </w:r>
      <w:r w:rsidR="000F427C">
        <w:t>ion 19</w:t>
      </w:r>
      <w:r w:rsidR="000F427C" w:rsidRPr="00540A8D">
        <w:noBreakHyphen/>
      </w:r>
      <w:r w:rsidR="000F427C">
        <w:t>09</w:t>
      </w:r>
      <w:r w:rsidR="000F427C" w:rsidRPr="00540A8D">
        <w:noBreakHyphen/>
      </w:r>
      <w:r w:rsidR="000F427C">
        <w:t>027  September 12, 2019</w:t>
      </w:r>
    </w:p>
    <w:p w14:paraId="59CF3A1A" w14:textId="77777777" w:rsidR="00C0080E" w:rsidRDefault="00C0080E" w:rsidP="00E25554"/>
    <w:p w14:paraId="7DF4DE78" w14:textId="77777777" w:rsidR="00E25554" w:rsidRPr="00BC79F1" w:rsidRDefault="00E25554" w:rsidP="00BC79F1">
      <w:pPr>
        <w:keepNext/>
        <w:jc w:val="center"/>
        <w:rPr>
          <w:rFonts w:ascii="Arial" w:hAnsi="Arial" w:cs="Arial"/>
          <w:b/>
          <w:bCs/>
          <w:spacing w:val="-8"/>
          <w:szCs w:val="26"/>
        </w:rPr>
      </w:pPr>
      <w:r w:rsidRPr="00D860EE">
        <w:rPr>
          <w:rFonts w:ascii="Arial" w:hAnsi="Arial" w:cs="Arial"/>
          <w:b/>
          <w:bCs/>
          <w:spacing w:val="-8"/>
          <w:szCs w:val="26"/>
        </w:rPr>
        <w:t>BEFORE THE PUBLIC UTILITIES COMMISSION OF THE STATE OF CALIFORNIA</w:t>
      </w:r>
    </w:p>
    <w:p w14:paraId="3607986E" w14:textId="77777777" w:rsidR="00E25554" w:rsidRDefault="00E25554" w:rsidP="00E25554">
      <w:pPr>
        <w:suppressAutoHyphens/>
        <w:jc w:val="center"/>
        <w:rPr>
          <w:rFonts w:ascii="Arial" w:hAnsi="Arial" w:cs="Arial"/>
        </w:rPr>
      </w:pPr>
      <w:bookmarkStart w:id="1" w:name="_Hlk19684525"/>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310"/>
        <w:gridCol w:w="4050"/>
      </w:tblGrid>
      <w:tr w:rsidR="00E25554" w14:paraId="5BA13D3C" w14:textId="77777777" w:rsidTr="004A3138">
        <w:tc>
          <w:tcPr>
            <w:tcW w:w="5310" w:type="dxa"/>
            <w:tcBorders>
              <w:bottom w:val="single" w:sz="4" w:space="0" w:color="auto"/>
              <w:right w:val="single" w:sz="4" w:space="0" w:color="auto"/>
            </w:tcBorders>
          </w:tcPr>
          <w:p w14:paraId="06286F06" w14:textId="7FD2A6FF" w:rsidR="00A71A35" w:rsidRDefault="00A71A35" w:rsidP="00A71A35">
            <w:pPr>
              <w:pStyle w:val="ALJBodyText"/>
              <w:spacing w:line="240" w:lineRule="auto"/>
              <w:ind w:firstLine="0"/>
            </w:pPr>
            <w:r>
              <w:t>Order Instituting Rulemaking Regarding Policies, Procedures and Rules for the California Solar Initiative, the Self</w:t>
            </w:r>
            <w:r w:rsidR="00757681">
              <w:noBreakHyphen/>
            </w:r>
            <w:r>
              <w:t>Generation Incentive Program and Other Distributed Generation Issues.</w:t>
            </w:r>
          </w:p>
          <w:p w14:paraId="5837F186" w14:textId="77777777" w:rsidR="00C0080E" w:rsidRDefault="00C0080E" w:rsidP="00BC79F1">
            <w:pPr>
              <w:pStyle w:val="ALJBodyText"/>
              <w:spacing w:line="240" w:lineRule="auto"/>
              <w:ind w:firstLine="0"/>
            </w:pPr>
          </w:p>
        </w:tc>
        <w:tc>
          <w:tcPr>
            <w:tcW w:w="4050" w:type="dxa"/>
            <w:tcBorders>
              <w:left w:val="single" w:sz="4" w:space="0" w:color="auto"/>
              <w:bottom w:val="nil"/>
            </w:tcBorders>
          </w:tcPr>
          <w:p w14:paraId="3CAE47AC" w14:textId="77777777" w:rsidR="00A71A35" w:rsidRDefault="00A71A35" w:rsidP="00BC79F1">
            <w:pPr>
              <w:pStyle w:val="ALJBodyText"/>
              <w:spacing w:line="240" w:lineRule="auto"/>
              <w:ind w:firstLine="0"/>
              <w:jc w:val="center"/>
            </w:pPr>
          </w:p>
          <w:p w14:paraId="05007837" w14:textId="77777777" w:rsidR="00A71A35" w:rsidRDefault="00A71A35" w:rsidP="00BC79F1">
            <w:pPr>
              <w:pStyle w:val="ALJBodyText"/>
              <w:spacing w:line="240" w:lineRule="auto"/>
              <w:ind w:firstLine="0"/>
              <w:jc w:val="center"/>
            </w:pPr>
          </w:p>
          <w:p w14:paraId="5F3C2BC3" w14:textId="52508C0F" w:rsidR="00C0080E" w:rsidRDefault="00A71A35" w:rsidP="00BC79F1">
            <w:pPr>
              <w:pStyle w:val="ALJBodyText"/>
              <w:spacing w:line="240" w:lineRule="auto"/>
              <w:ind w:firstLine="0"/>
              <w:jc w:val="center"/>
            </w:pPr>
            <w:r>
              <w:t>Rulemaking 12</w:t>
            </w:r>
            <w:r w:rsidR="00757681">
              <w:noBreakHyphen/>
            </w:r>
            <w:r>
              <w:t>11</w:t>
            </w:r>
            <w:r w:rsidR="00757681">
              <w:noBreakHyphen/>
            </w:r>
            <w:r>
              <w:t>005</w:t>
            </w:r>
          </w:p>
          <w:p w14:paraId="7E108A94" w14:textId="47E905CF" w:rsidR="009D270D" w:rsidRDefault="009D270D" w:rsidP="00BC79F1">
            <w:pPr>
              <w:pStyle w:val="ALJBodyText"/>
              <w:spacing w:line="240" w:lineRule="auto"/>
              <w:ind w:firstLine="0"/>
              <w:jc w:val="center"/>
            </w:pPr>
          </w:p>
        </w:tc>
      </w:tr>
    </w:tbl>
    <w:p w14:paraId="53B70F2C" w14:textId="77777777" w:rsidR="00C0080E" w:rsidRDefault="00C0080E" w:rsidP="008F5856">
      <w:pPr>
        <w:pStyle w:val="ALJBodyText"/>
      </w:pPr>
    </w:p>
    <w:p w14:paraId="30CDE5CC" w14:textId="4C6241EB" w:rsidR="00E368A2" w:rsidRDefault="00A71A35" w:rsidP="00DB189F">
      <w:pPr>
        <w:pStyle w:val="ALJHeading1"/>
        <w:numPr>
          <w:ilvl w:val="0"/>
          <w:numId w:val="0"/>
        </w:numPr>
        <w:ind w:right="0"/>
        <w:jc w:val="center"/>
      </w:pPr>
      <w:bookmarkStart w:id="2" w:name="_Toc15908051"/>
      <w:bookmarkEnd w:id="1"/>
      <w:r>
        <w:t xml:space="preserve">DECISION </w:t>
      </w:r>
      <w:r w:rsidR="00705625">
        <w:t xml:space="preserve">ESTABLISHING A </w:t>
      </w:r>
      <w:r w:rsidR="003867FF">
        <w:t>SELF</w:t>
      </w:r>
      <w:r w:rsidR="00757681">
        <w:noBreakHyphen/>
      </w:r>
      <w:r w:rsidR="003867FF">
        <w:t xml:space="preserve">GENERATION INCENTIVE PROGRAM EQUITY </w:t>
      </w:r>
      <w:r w:rsidR="00705625">
        <w:t xml:space="preserve">RESILIENCY </w:t>
      </w:r>
      <w:r w:rsidR="006F288A">
        <w:t>BUDGET</w:t>
      </w:r>
      <w:r w:rsidR="00705625">
        <w:t xml:space="preserve">, MODIFYING </w:t>
      </w:r>
      <w:r w:rsidR="006F288A">
        <w:t xml:space="preserve">EXISTING </w:t>
      </w:r>
      <w:r w:rsidR="00705625">
        <w:t xml:space="preserve">EQUITY </w:t>
      </w:r>
      <w:r w:rsidR="003867FF">
        <w:t xml:space="preserve">BUDGET </w:t>
      </w:r>
      <w:r w:rsidR="006F288A">
        <w:t>INCENTIVES</w:t>
      </w:r>
      <w:r w:rsidR="002827A1">
        <w:t>, APPROVING CARRY</w:t>
      </w:r>
      <w:r w:rsidR="00757681">
        <w:noBreakHyphen/>
      </w:r>
      <w:r w:rsidR="002827A1">
        <w:t>OVER OF ACCUMULATE</w:t>
      </w:r>
      <w:r w:rsidR="00677E3F">
        <w:t>D UNSPENT FUNDS</w:t>
      </w:r>
      <w:r w:rsidR="002827A1">
        <w:t xml:space="preserve">, </w:t>
      </w:r>
      <w:r w:rsidR="003867FF">
        <w:t xml:space="preserve">AND </w:t>
      </w:r>
      <w:r>
        <w:t xml:space="preserve">APPROVING </w:t>
      </w:r>
      <w:r w:rsidR="003867FF">
        <w:t>$10 MILLION</w:t>
      </w:r>
      <w:r w:rsidR="006F288A">
        <w:t xml:space="preserve"> </w:t>
      </w:r>
      <w:r w:rsidR="00EF07C9">
        <w:t xml:space="preserve">TO SUPPORT THE </w:t>
      </w:r>
      <w:r>
        <w:t>SAN JOAQUIN VALLEY DISADVANTAGED COMMUNITY PILOT PROJECTS</w:t>
      </w:r>
      <w:bookmarkEnd w:id="2"/>
    </w:p>
    <w:p w14:paraId="20B67ED7" w14:textId="77777777" w:rsidR="00EF2AA5" w:rsidRPr="00EF2AA5" w:rsidRDefault="00EF2AA5" w:rsidP="00EF2AA5">
      <w:pPr>
        <w:pStyle w:val="ALJBodyText"/>
      </w:pPr>
    </w:p>
    <w:p w14:paraId="29D76922" w14:textId="77777777" w:rsidR="004A6496" w:rsidRDefault="004A6496" w:rsidP="004A6496">
      <w:pPr>
        <w:pStyle w:val="ALJBodyText"/>
        <w:sectPr w:rsidR="004A6496" w:rsidSect="00760007">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2F2966A2" w14:textId="62531EF4" w:rsidR="004A6496" w:rsidRDefault="004A6496" w:rsidP="004A6496">
      <w:pPr>
        <w:pStyle w:val="ALJBodyText"/>
      </w:pPr>
    </w:p>
    <w:p w14:paraId="6CB7E432" w14:textId="77777777" w:rsidR="00EF2AA5" w:rsidRPr="004D4F77" w:rsidRDefault="00EF2AA5" w:rsidP="00EF2AA5">
      <w:pPr>
        <w:jc w:val="center"/>
        <w:rPr>
          <w:rFonts w:ascii="Helvetica" w:hAnsi="Helvetica"/>
          <w:b/>
          <w:bCs/>
        </w:rPr>
      </w:pPr>
      <w:r w:rsidRPr="004D4F77">
        <w:rPr>
          <w:rFonts w:ascii="Helvetica" w:hAnsi="Helvetica"/>
          <w:b/>
          <w:bCs/>
        </w:rPr>
        <w:t>Table of Contents</w:t>
      </w:r>
    </w:p>
    <w:p w14:paraId="65BA4720" w14:textId="77777777" w:rsidR="00EF2AA5" w:rsidRPr="004D4F77" w:rsidRDefault="00EF2AA5" w:rsidP="00EF2AA5">
      <w:pPr>
        <w:rPr>
          <w:rFonts w:ascii="Helvetica" w:hAnsi="Helvetica"/>
          <w:b/>
          <w:bCs/>
        </w:rPr>
      </w:pPr>
    </w:p>
    <w:p w14:paraId="3647854C" w14:textId="77777777" w:rsidR="00EF2AA5" w:rsidRDefault="00EF2AA5" w:rsidP="00EF2AA5">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3411AF06" w14:textId="77777777" w:rsidR="00D07134" w:rsidRPr="004D4F77" w:rsidRDefault="00D07134" w:rsidP="00EF2AA5">
      <w:pPr>
        <w:tabs>
          <w:tab w:val="right" w:pos="9360"/>
        </w:tabs>
        <w:rPr>
          <w:rFonts w:ascii="Helvetica" w:hAnsi="Helvetica"/>
          <w:b/>
          <w:bCs/>
        </w:rPr>
      </w:pPr>
    </w:p>
    <w:bookmarkStart w:id="3" w:name="_Toc2523435"/>
    <w:p w14:paraId="0AA60A96" w14:textId="736E83A6" w:rsidR="00501843" w:rsidRDefault="000754CD">
      <w:pPr>
        <w:pStyle w:val="TOC1"/>
        <w:rPr>
          <w:rFonts w:asciiTheme="minorHAnsi" w:eastAsiaTheme="minorEastAsia" w:hAnsiTheme="minorHAnsi" w:cstheme="minorBidi"/>
          <w:noProof/>
          <w:sz w:val="22"/>
          <w:szCs w:val="22"/>
        </w:rPr>
      </w:pPr>
      <w:r>
        <w:fldChar w:fldCharType="begin"/>
      </w:r>
      <w:r>
        <w:instrText xml:space="preserve"> TOC \o "1-3" \h \z \t "ALJ Heading 1,1,ALJ Heading 2,2,ALJ Heading 3,3,ALJ Heading 4,4" </w:instrText>
      </w:r>
      <w:r>
        <w:fldChar w:fldCharType="separate"/>
      </w:r>
      <w:hyperlink w:anchor="_Toc15908051" w:history="1">
        <w:r w:rsidR="00501843" w:rsidRPr="00C458F9">
          <w:rPr>
            <w:rStyle w:val="Hyperlink"/>
            <w:noProof/>
          </w:rPr>
          <w:t>DECISION ESTABLISHING A SE</w:t>
        </w:r>
        <w:r w:rsidR="00501843">
          <w:rPr>
            <w:rStyle w:val="Hyperlink"/>
            <w:noProof/>
          </w:rPr>
          <w:t>LF</w:t>
        </w:r>
        <w:r w:rsidR="00757681">
          <w:rPr>
            <w:rStyle w:val="Hyperlink"/>
            <w:noProof/>
          </w:rPr>
          <w:noBreakHyphen/>
        </w:r>
        <w:r w:rsidR="00501843">
          <w:rPr>
            <w:rStyle w:val="Hyperlink"/>
            <w:noProof/>
          </w:rPr>
          <w:t>GENERATION INCENTIVE PROGRAM</w:t>
        </w:r>
        <w:r w:rsidR="00501843" w:rsidRPr="00C458F9">
          <w:rPr>
            <w:rStyle w:val="Hyperlink"/>
            <w:noProof/>
          </w:rPr>
          <w:t>EQUITY RESILIENCY BU</w:t>
        </w:r>
        <w:r w:rsidR="00501843">
          <w:rPr>
            <w:rStyle w:val="Hyperlink"/>
            <w:noProof/>
          </w:rPr>
          <w:t>DGET, MODIFYING EXISTING EQUITY </w:t>
        </w:r>
        <w:r w:rsidR="00501843" w:rsidRPr="00C458F9">
          <w:rPr>
            <w:rStyle w:val="Hyperlink"/>
            <w:noProof/>
          </w:rPr>
          <w:t>BUDGET INCENTIVES, APPROVING CARRY</w:t>
        </w:r>
        <w:r w:rsidR="00757681">
          <w:rPr>
            <w:rStyle w:val="Hyperlink"/>
            <w:noProof/>
          </w:rPr>
          <w:noBreakHyphen/>
        </w:r>
        <w:r w:rsidR="00501843" w:rsidRPr="00C458F9">
          <w:rPr>
            <w:rStyle w:val="Hyperlink"/>
            <w:noProof/>
          </w:rPr>
          <w:t>OVER OF ACCUMULATED UNSPENT FUND</w:t>
        </w:r>
        <w:r w:rsidR="005D7720">
          <w:rPr>
            <w:rStyle w:val="Hyperlink"/>
            <w:noProof/>
          </w:rPr>
          <w:t>S, AND APPROVING $10 MILLION TO </w:t>
        </w:r>
        <w:r w:rsidR="00501843" w:rsidRPr="00C458F9">
          <w:rPr>
            <w:rStyle w:val="Hyperlink"/>
            <w:noProof/>
          </w:rPr>
          <w:t>SUPPORT THE SAN JOAQUIN VALLEY DISADVANTAGED COMMUNITY PILOT PROJECTS</w:t>
        </w:r>
        <w:r w:rsidR="00501843">
          <w:rPr>
            <w:noProof/>
            <w:webHidden/>
          </w:rPr>
          <w:tab/>
        </w:r>
        <w:r w:rsidR="00501843">
          <w:rPr>
            <w:noProof/>
            <w:webHidden/>
          </w:rPr>
          <w:fldChar w:fldCharType="begin"/>
        </w:r>
        <w:r w:rsidR="00501843">
          <w:rPr>
            <w:noProof/>
            <w:webHidden/>
          </w:rPr>
          <w:instrText xml:space="preserve"> PAGEREF _Toc15908051 \h </w:instrText>
        </w:r>
        <w:r w:rsidR="00501843">
          <w:rPr>
            <w:noProof/>
            <w:webHidden/>
          </w:rPr>
        </w:r>
        <w:r w:rsidR="00501843">
          <w:rPr>
            <w:noProof/>
            <w:webHidden/>
          </w:rPr>
          <w:fldChar w:fldCharType="separate"/>
        </w:r>
        <w:r w:rsidR="00AB292B">
          <w:rPr>
            <w:noProof/>
            <w:webHidden/>
          </w:rPr>
          <w:t>1</w:t>
        </w:r>
        <w:r w:rsidR="00501843">
          <w:rPr>
            <w:noProof/>
            <w:webHidden/>
          </w:rPr>
          <w:fldChar w:fldCharType="end"/>
        </w:r>
      </w:hyperlink>
    </w:p>
    <w:p w14:paraId="1EF0DD88" w14:textId="6C0CFD74" w:rsidR="00501843" w:rsidRDefault="00AB292B">
      <w:pPr>
        <w:pStyle w:val="TOC1"/>
        <w:rPr>
          <w:rFonts w:asciiTheme="minorHAnsi" w:eastAsiaTheme="minorEastAsia" w:hAnsiTheme="minorHAnsi" w:cstheme="minorBidi"/>
          <w:noProof/>
          <w:sz w:val="22"/>
          <w:szCs w:val="22"/>
        </w:rPr>
      </w:pPr>
      <w:hyperlink w:anchor="_Toc15908052" w:history="1">
        <w:r w:rsidR="00501843" w:rsidRPr="00C458F9">
          <w:rPr>
            <w:rStyle w:val="Hyperlink"/>
            <w:noProof/>
          </w:rPr>
          <w:t>Summary</w:t>
        </w:r>
        <w:r w:rsidR="00501843">
          <w:rPr>
            <w:noProof/>
            <w:webHidden/>
          </w:rPr>
          <w:tab/>
        </w:r>
        <w:r w:rsidR="00501843">
          <w:rPr>
            <w:noProof/>
            <w:webHidden/>
          </w:rPr>
          <w:fldChar w:fldCharType="begin"/>
        </w:r>
        <w:r w:rsidR="00501843">
          <w:rPr>
            <w:noProof/>
            <w:webHidden/>
          </w:rPr>
          <w:instrText xml:space="preserve"> PAGEREF _Toc15908052 \h </w:instrText>
        </w:r>
        <w:r w:rsidR="00501843">
          <w:rPr>
            <w:noProof/>
            <w:webHidden/>
          </w:rPr>
        </w:r>
        <w:r w:rsidR="00501843">
          <w:rPr>
            <w:noProof/>
            <w:webHidden/>
          </w:rPr>
          <w:fldChar w:fldCharType="separate"/>
        </w:r>
        <w:r>
          <w:rPr>
            <w:noProof/>
            <w:webHidden/>
          </w:rPr>
          <w:t>2</w:t>
        </w:r>
        <w:r w:rsidR="00501843">
          <w:rPr>
            <w:noProof/>
            <w:webHidden/>
          </w:rPr>
          <w:fldChar w:fldCharType="end"/>
        </w:r>
      </w:hyperlink>
    </w:p>
    <w:p w14:paraId="196F775C" w14:textId="7D0ED3CB" w:rsidR="00501843" w:rsidRDefault="00AB292B">
      <w:pPr>
        <w:pStyle w:val="TOC1"/>
        <w:rPr>
          <w:rFonts w:asciiTheme="minorHAnsi" w:eastAsiaTheme="minorEastAsia" w:hAnsiTheme="minorHAnsi" w:cstheme="minorBidi"/>
          <w:noProof/>
          <w:sz w:val="22"/>
          <w:szCs w:val="22"/>
        </w:rPr>
      </w:pPr>
      <w:hyperlink w:anchor="_Toc15908053" w:history="1">
        <w:r w:rsidR="00501843" w:rsidRPr="00C458F9">
          <w:rPr>
            <w:rStyle w:val="Hyperlink"/>
            <w:noProof/>
          </w:rPr>
          <w:t>1.</w:t>
        </w:r>
        <w:r w:rsidR="00501843">
          <w:rPr>
            <w:rFonts w:asciiTheme="minorHAnsi" w:eastAsiaTheme="minorEastAsia" w:hAnsiTheme="minorHAnsi" w:cstheme="minorBidi"/>
            <w:noProof/>
            <w:sz w:val="22"/>
            <w:szCs w:val="22"/>
          </w:rPr>
          <w:tab/>
        </w:r>
        <w:r w:rsidR="00501843" w:rsidRPr="00C458F9">
          <w:rPr>
            <w:rStyle w:val="Hyperlink"/>
            <w:noProof/>
          </w:rPr>
          <w:t>Background</w:t>
        </w:r>
        <w:r w:rsidR="00501843">
          <w:rPr>
            <w:noProof/>
            <w:webHidden/>
          </w:rPr>
          <w:tab/>
        </w:r>
        <w:r w:rsidR="00501843">
          <w:rPr>
            <w:noProof/>
            <w:webHidden/>
          </w:rPr>
          <w:fldChar w:fldCharType="begin"/>
        </w:r>
        <w:r w:rsidR="00501843">
          <w:rPr>
            <w:noProof/>
            <w:webHidden/>
          </w:rPr>
          <w:instrText xml:space="preserve"> PAGEREF _Toc15908053 \h </w:instrText>
        </w:r>
        <w:r w:rsidR="00501843">
          <w:rPr>
            <w:noProof/>
            <w:webHidden/>
          </w:rPr>
        </w:r>
        <w:r w:rsidR="00501843">
          <w:rPr>
            <w:noProof/>
            <w:webHidden/>
          </w:rPr>
          <w:fldChar w:fldCharType="separate"/>
        </w:r>
        <w:r>
          <w:rPr>
            <w:noProof/>
            <w:webHidden/>
          </w:rPr>
          <w:t>3</w:t>
        </w:r>
        <w:r w:rsidR="00501843">
          <w:rPr>
            <w:noProof/>
            <w:webHidden/>
          </w:rPr>
          <w:fldChar w:fldCharType="end"/>
        </w:r>
      </w:hyperlink>
    </w:p>
    <w:p w14:paraId="6442CCCD" w14:textId="1B388CF3" w:rsidR="00501843" w:rsidRDefault="00AB292B">
      <w:pPr>
        <w:pStyle w:val="TOC1"/>
        <w:rPr>
          <w:rFonts w:asciiTheme="minorHAnsi" w:eastAsiaTheme="minorEastAsia" w:hAnsiTheme="minorHAnsi" w:cstheme="minorBidi"/>
          <w:noProof/>
          <w:sz w:val="22"/>
          <w:szCs w:val="22"/>
        </w:rPr>
      </w:pPr>
      <w:hyperlink w:anchor="_Toc15908054" w:history="1">
        <w:r w:rsidR="00501843" w:rsidRPr="00C458F9">
          <w:rPr>
            <w:rStyle w:val="Hyperlink"/>
            <w:noProof/>
          </w:rPr>
          <w:t>2.</w:t>
        </w:r>
        <w:r w:rsidR="00501843">
          <w:rPr>
            <w:rFonts w:asciiTheme="minorHAnsi" w:eastAsiaTheme="minorEastAsia" w:hAnsiTheme="minorHAnsi" w:cstheme="minorBidi"/>
            <w:noProof/>
            <w:sz w:val="22"/>
            <w:szCs w:val="22"/>
          </w:rPr>
          <w:tab/>
        </w:r>
        <w:r w:rsidR="00501843" w:rsidRPr="00C458F9">
          <w:rPr>
            <w:rStyle w:val="Hyperlink"/>
            <w:noProof/>
          </w:rPr>
          <w:t>Jurisdiction</w:t>
        </w:r>
        <w:r w:rsidR="00501843">
          <w:rPr>
            <w:noProof/>
            <w:webHidden/>
          </w:rPr>
          <w:tab/>
        </w:r>
        <w:r w:rsidR="00501843">
          <w:rPr>
            <w:noProof/>
            <w:webHidden/>
          </w:rPr>
          <w:fldChar w:fldCharType="begin"/>
        </w:r>
        <w:r w:rsidR="00501843">
          <w:rPr>
            <w:noProof/>
            <w:webHidden/>
          </w:rPr>
          <w:instrText xml:space="preserve"> PAGEREF _Toc15908054 \h </w:instrText>
        </w:r>
        <w:r w:rsidR="00501843">
          <w:rPr>
            <w:noProof/>
            <w:webHidden/>
          </w:rPr>
        </w:r>
        <w:r w:rsidR="00501843">
          <w:rPr>
            <w:noProof/>
            <w:webHidden/>
          </w:rPr>
          <w:fldChar w:fldCharType="separate"/>
        </w:r>
        <w:r>
          <w:rPr>
            <w:noProof/>
            <w:webHidden/>
          </w:rPr>
          <w:t>4</w:t>
        </w:r>
        <w:r w:rsidR="00501843">
          <w:rPr>
            <w:noProof/>
            <w:webHidden/>
          </w:rPr>
          <w:fldChar w:fldCharType="end"/>
        </w:r>
      </w:hyperlink>
    </w:p>
    <w:p w14:paraId="71B7C024" w14:textId="5BDA7F6B" w:rsidR="00501843" w:rsidRDefault="00AB292B">
      <w:pPr>
        <w:pStyle w:val="TOC1"/>
        <w:rPr>
          <w:rFonts w:asciiTheme="minorHAnsi" w:eastAsiaTheme="minorEastAsia" w:hAnsiTheme="minorHAnsi" w:cstheme="minorBidi"/>
          <w:noProof/>
          <w:sz w:val="22"/>
          <w:szCs w:val="22"/>
        </w:rPr>
      </w:pPr>
      <w:hyperlink w:anchor="_Toc15908055" w:history="1">
        <w:r w:rsidR="00501843" w:rsidRPr="00C458F9">
          <w:rPr>
            <w:rStyle w:val="Hyperlink"/>
            <w:noProof/>
          </w:rPr>
          <w:t>3.</w:t>
        </w:r>
        <w:r w:rsidR="00501843">
          <w:rPr>
            <w:rFonts w:asciiTheme="minorHAnsi" w:eastAsiaTheme="minorEastAsia" w:hAnsiTheme="minorHAnsi" w:cstheme="minorBidi"/>
            <w:noProof/>
            <w:sz w:val="22"/>
            <w:szCs w:val="22"/>
          </w:rPr>
          <w:tab/>
        </w:r>
        <w:r w:rsidR="00501843" w:rsidRPr="00C458F9">
          <w:rPr>
            <w:rStyle w:val="Hyperlink"/>
            <w:noProof/>
          </w:rPr>
          <w:t>Equity Budget</w:t>
        </w:r>
        <w:r w:rsidR="00501843">
          <w:rPr>
            <w:noProof/>
            <w:webHidden/>
          </w:rPr>
          <w:tab/>
        </w:r>
        <w:r w:rsidR="00501843">
          <w:rPr>
            <w:noProof/>
            <w:webHidden/>
          </w:rPr>
          <w:fldChar w:fldCharType="begin"/>
        </w:r>
        <w:r w:rsidR="00501843">
          <w:rPr>
            <w:noProof/>
            <w:webHidden/>
          </w:rPr>
          <w:instrText xml:space="preserve"> PAGEREF _Toc15908055 \h </w:instrText>
        </w:r>
        <w:r w:rsidR="00501843">
          <w:rPr>
            <w:noProof/>
            <w:webHidden/>
          </w:rPr>
        </w:r>
        <w:r w:rsidR="00501843">
          <w:rPr>
            <w:noProof/>
            <w:webHidden/>
          </w:rPr>
          <w:fldChar w:fldCharType="separate"/>
        </w:r>
        <w:r>
          <w:rPr>
            <w:noProof/>
            <w:webHidden/>
          </w:rPr>
          <w:t>5</w:t>
        </w:r>
        <w:r w:rsidR="00501843">
          <w:rPr>
            <w:noProof/>
            <w:webHidden/>
          </w:rPr>
          <w:fldChar w:fldCharType="end"/>
        </w:r>
      </w:hyperlink>
    </w:p>
    <w:p w14:paraId="315325F5" w14:textId="2BF58ABE" w:rsidR="00501843" w:rsidRDefault="00AB292B">
      <w:pPr>
        <w:pStyle w:val="TOC2"/>
        <w:rPr>
          <w:rFonts w:asciiTheme="minorHAnsi" w:eastAsiaTheme="minorEastAsia" w:hAnsiTheme="minorHAnsi" w:cstheme="minorBidi"/>
          <w:noProof/>
          <w:sz w:val="22"/>
          <w:szCs w:val="22"/>
        </w:rPr>
      </w:pPr>
      <w:hyperlink w:anchor="_Toc15908056" w:history="1">
        <w:r w:rsidR="00501843" w:rsidRPr="00C458F9">
          <w:rPr>
            <w:rStyle w:val="Hyperlink"/>
            <w:noProof/>
          </w:rPr>
          <w:t>3.1.</w:t>
        </w:r>
        <w:r w:rsidR="00501843">
          <w:rPr>
            <w:rFonts w:asciiTheme="minorHAnsi" w:eastAsiaTheme="minorEastAsia" w:hAnsiTheme="minorHAnsi" w:cstheme="minorBidi"/>
            <w:noProof/>
            <w:sz w:val="22"/>
            <w:szCs w:val="22"/>
          </w:rPr>
          <w:tab/>
        </w:r>
        <w:r w:rsidR="00501843" w:rsidRPr="00C458F9">
          <w:rPr>
            <w:rStyle w:val="Hyperlink"/>
            <w:noProof/>
          </w:rPr>
          <w:t>Issues Before the Commission</w:t>
        </w:r>
        <w:r w:rsidR="00501843">
          <w:rPr>
            <w:noProof/>
            <w:webHidden/>
          </w:rPr>
          <w:tab/>
        </w:r>
        <w:r w:rsidR="00501843">
          <w:rPr>
            <w:noProof/>
            <w:webHidden/>
          </w:rPr>
          <w:fldChar w:fldCharType="begin"/>
        </w:r>
        <w:r w:rsidR="00501843">
          <w:rPr>
            <w:noProof/>
            <w:webHidden/>
          </w:rPr>
          <w:instrText xml:space="preserve"> PAGEREF _Toc15908056 \h </w:instrText>
        </w:r>
        <w:r w:rsidR="00501843">
          <w:rPr>
            <w:noProof/>
            <w:webHidden/>
          </w:rPr>
        </w:r>
        <w:r w:rsidR="00501843">
          <w:rPr>
            <w:noProof/>
            <w:webHidden/>
          </w:rPr>
          <w:fldChar w:fldCharType="separate"/>
        </w:r>
        <w:r>
          <w:rPr>
            <w:noProof/>
            <w:webHidden/>
          </w:rPr>
          <w:t>7</w:t>
        </w:r>
        <w:r w:rsidR="00501843">
          <w:rPr>
            <w:noProof/>
            <w:webHidden/>
          </w:rPr>
          <w:fldChar w:fldCharType="end"/>
        </w:r>
      </w:hyperlink>
    </w:p>
    <w:p w14:paraId="5DE3EBAA" w14:textId="749907A0" w:rsidR="00501843" w:rsidRDefault="00AB292B">
      <w:pPr>
        <w:pStyle w:val="TOC1"/>
        <w:rPr>
          <w:rFonts w:asciiTheme="minorHAnsi" w:eastAsiaTheme="minorEastAsia" w:hAnsiTheme="minorHAnsi" w:cstheme="minorBidi"/>
          <w:noProof/>
          <w:sz w:val="22"/>
          <w:szCs w:val="22"/>
        </w:rPr>
      </w:pPr>
      <w:hyperlink w:anchor="_Toc15908057" w:history="1">
        <w:r w:rsidR="00501843" w:rsidRPr="00C458F9">
          <w:rPr>
            <w:rStyle w:val="Hyperlink"/>
            <w:noProof/>
          </w:rPr>
          <w:t>4.</w:t>
        </w:r>
        <w:r w:rsidR="00501843">
          <w:rPr>
            <w:rFonts w:asciiTheme="minorHAnsi" w:eastAsiaTheme="minorEastAsia" w:hAnsiTheme="minorHAnsi" w:cstheme="minorBidi"/>
            <w:noProof/>
            <w:sz w:val="22"/>
            <w:szCs w:val="22"/>
          </w:rPr>
          <w:tab/>
        </w:r>
        <w:r w:rsidR="00501843" w:rsidRPr="00C458F9">
          <w:rPr>
            <w:rStyle w:val="Hyperlink"/>
            <w:noProof/>
          </w:rPr>
          <w:t>Equity Budget Eligibility Criteria</w:t>
        </w:r>
        <w:r w:rsidR="00501843">
          <w:rPr>
            <w:noProof/>
            <w:webHidden/>
          </w:rPr>
          <w:tab/>
        </w:r>
        <w:r w:rsidR="00501843">
          <w:rPr>
            <w:noProof/>
            <w:webHidden/>
          </w:rPr>
          <w:fldChar w:fldCharType="begin"/>
        </w:r>
        <w:r w:rsidR="00501843">
          <w:rPr>
            <w:noProof/>
            <w:webHidden/>
          </w:rPr>
          <w:instrText xml:space="preserve"> PAGEREF _Toc15908057 \h </w:instrText>
        </w:r>
        <w:r w:rsidR="00501843">
          <w:rPr>
            <w:noProof/>
            <w:webHidden/>
          </w:rPr>
        </w:r>
        <w:r w:rsidR="00501843">
          <w:rPr>
            <w:noProof/>
            <w:webHidden/>
          </w:rPr>
          <w:fldChar w:fldCharType="separate"/>
        </w:r>
        <w:r>
          <w:rPr>
            <w:noProof/>
            <w:webHidden/>
          </w:rPr>
          <w:t>8</w:t>
        </w:r>
        <w:r w:rsidR="00501843">
          <w:rPr>
            <w:noProof/>
            <w:webHidden/>
          </w:rPr>
          <w:fldChar w:fldCharType="end"/>
        </w:r>
      </w:hyperlink>
    </w:p>
    <w:p w14:paraId="0BD4B36D" w14:textId="42DFDEB3" w:rsidR="00501843" w:rsidRDefault="00AB292B" w:rsidP="00501843">
      <w:pPr>
        <w:pStyle w:val="TOC2"/>
        <w:rPr>
          <w:rFonts w:asciiTheme="minorHAnsi" w:eastAsiaTheme="minorEastAsia" w:hAnsiTheme="minorHAnsi" w:cstheme="minorBidi"/>
          <w:noProof/>
          <w:sz w:val="22"/>
          <w:szCs w:val="22"/>
        </w:rPr>
      </w:pPr>
      <w:hyperlink w:anchor="_Toc15908058" w:history="1">
        <w:r w:rsidR="00501843" w:rsidRPr="00C458F9">
          <w:rPr>
            <w:rStyle w:val="Hyperlink"/>
            <w:noProof/>
          </w:rPr>
          <w:t>4.1.</w:t>
        </w:r>
        <w:r w:rsidR="00501843">
          <w:rPr>
            <w:rFonts w:asciiTheme="minorHAnsi" w:eastAsiaTheme="minorEastAsia" w:hAnsiTheme="minorHAnsi" w:cstheme="minorBidi"/>
            <w:noProof/>
            <w:sz w:val="22"/>
            <w:szCs w:val="22"/>
          </w:rPr>
          <w:tab/>
        </w:r>
        <w:r w:rsidR="00501843" w:rsidRPr="00C458F9">
          <w:rPr>
            <w:rStyle w:val="Hyperlink"/>
            <w:noProof/>
          </w:rPr>
          <w:t>Indian Country in California</w:t>
        </w:r>
        <w:r w:rsidR="00501843">
          <w:rPr>
            <w:noProof/>
            <w:webHidden/>
          </w:rPr>
          <w:tab/>
        </w:r>
        <w:r w:rsidR="00501843">
          <w:rPr>
            <w:noProof/>
            <w:webHidden/>
          </w:rPr>
          <w:fldChar w:fldCharType="begin"/>
        </w:r>
        <w:r w:rsidR="00501843">
          <w:rPr>
            <w:noProof/>
            <w:webHidden/>
          </w:rPr>
          <w:instrText xml:space="preserve"> PAGEREF _Toc15908058 \h </w:instrText>
        </w:r>
        <w:r w:rsidR="00501843">
          <w:rPr>
            <w:noProof/>
            <w:webHidden/>
          </w:rPr>
        </w:r>
        <w:r w:rsidR="00501843">
          <w:rPr>
            <w:noProof/>
            <w:webHidden/>
          </w:rPr>
          <w:fldChar w:fldCharType="separate"/>
        </w:r>
        <w:r>
          <w:rPr>
            <w:noProof/>
            <w:webHidden/>
          </w:rPr>
          <w:t>11</w:t>
        </w:r>
        <w:r w:rsidR="00501843">
          <w:rPr>
            <w:noProof/>
            <w:webHidden/>
          </w:rPr>
          <w:fldChar w:fldCharType="end"/>
        </w:r>
      </w:hyperlink>
    </w:p>
    <w:p w14:paraId="79F407D4" w14:textId="50890516" w:rsidR="00501843" w:rsidRDefault="00AB292B" w:rsidP="00501843">
      <w:pPr>
        <w:pStyle w:val="TOC3"/>
        <w:rPr>
          <w:rFonts w:asciiTheme="minorHAnsi" w:eastAsiaTheme="minorEastAsia" w:hAnsiTheme="minorHAnsi" w:cstheme="minorBidi"/>
          <w:noProof/>
          <w:sz w:val="22"/>
          <w:szCs w:val="22"/>
        </w:rPr>
      </w:pPr>
      <w:hyperlink w:anchor="_Toc15908059" w:history="1">
        <w:r w:rsidR="00501843" w:rsidRPr="00C458F9">
          <w:rPr>
            <w:rStyle w:val="Hyperlink"/>
            <w:noProof/>
          </w:rPr>
          <w:t>4.1.1.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_Toc15908059 \h </w:instrText>
        </w:r>
        <w:r w:rsidR="00501843">
          <w:rPr>
            <w:noProof/>
            <w:webHidden/>
          </w:rPr>
        </w:r>
        <w:r w:rsidR="00501843">
          <w:rPr>
            <w:noProof/>
            <w:webHidden/>
          </w:rPr>
          <w:fldChar w:fldCharType="separate"/>
        </w:r>
        <w:r>
          <w:rPr>
            <w:noProof/>
            <w:webHidden/>
          </w:rPr>
          <w:t>11</w:t>
        </w:r>
        <w:r w:rsidR="00501843">
          <w:rPr>
            <w:noProof/>
            <w:webHidden/>
          </w:rPr>
          <w:fldChar w:fldCharType="end"/>
        </w:r>
      </w:hyperlink>
    </w:p>
    <w:p w14:paraId="21DD48CD" w14:textId="2DC67A9D" w:rsidR="00501843" w:rsidRDefault="00AB292B" w:rsidP="00501843">
      <w:pPr>
        <w:pStyle w:val="TOC3"/>
        <w:rPr>
          <w:rFonts w:asciiTheme="minorHAnsi" w:eastAsiaTheme="minorEastAsia" w:hAnsiTheme="minorHAnsi" w:cstheme="minorBidi"/>
          <w:noProof/>
          <w:sz w:val="22"/>
          <w:szCs w:val="22"/>
        </w:rPr>
      </w:pPr>
      <w:hyperlink w:anchor="_Toc15908060" w:history="1">
        <w:r w:rsidR="00501843" w:rsidRPr="00C458F9">
          <w:rPr>
            <w:rStyle w:val="Hyperlink"/>
            <w:noProof/>
          </w:rPr>
          <w:t>4.1.2.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_Toc15908060 \h </w:instrText>
        </w:r>
        <w:r w:rsidR="00501843">
          <w:rPr>
            <w:noProof/>
            <w:webHidden/>
          </w:rPr>
        </w:r>
        <w:r w:rsidR="00501843">
          <w:rPr>
            <w:noProof/>
            <w:webHidden/>
          </w:rPr>
          <w:fldChar w:fldCharType="separate"/>
        </w:r>
        <w:r>
          <w:rPr>
            <w:noProof/>
            <w:webHidden/>
          </w:rPr>
          <w:t>11</w:t>
        </w:r>
        <w:r w:rsidR="00501843">
          <w:rPr>
            <w:noProof/>
            <w:webHidden/>
          </w:rPr>
          <w:fldChar w:fldCharType="end"/>
        </w:r>
      </w:hyperlink>
    </w:p>
    <w:p w14:paraId="413EB2D2" w14:textId="325AABAF" w:rsidR="00501843" w:rsidRDefault="00AB292B" w:rsidP="00501843">
      <w:pPr>
        <w:pStyle w:val="TOC2"/>
        <w:rPr>
          <w:rFonts w:asciiTheme="minorHAnsi" w:eastAsiaTheme="minorEastAsia" w:hAnsiTheme="minorHAnsi" w:cstheme="minorBidi"/>
          <w:noProof/>
          <w:sz w:val="22"/>
          <w:szCs w:val="22"/>
        </w:rPr>
      </w:pPr>
      <w:hyperlink w:anchor="_Toc15908061" w:history="1">
        <w:r w:rsidR="00501843" w:rsidRPr="00C458F9">
          <w:rPr>
            <w:rStyle w:val="Hyperlink"/>
            <w:noProof/>
          </w:rPr>
          <w:t>4.2.</w:t>
        </w:r>
        <w:r w:rsidR="00501843">
          <w:rPr>
            <w:rFonts w:asciiTheme="minorHAnsi" w:eastAsiaTheme="minorEastAsia" w:hAnsiTheme="minorHAnsi" w:cstheme="minorBidi"/>
            <w:noProof/>
            <w:sz w:val="22"/>
            <w:szCs w:val="22"/>
          </w:rPr>
          <w:tab/>
        </w:r>
        <w:r w:rsidR="00501843" w:rsidRPr="00C458F9">
          <w:rPr>
            <w:rStyle w:val="Hyperlink"/>
            <w:noProof/>
          </w:rPr>
          <w:t>Non</w:t>
        </w:r>
        <w:r w:rsidR="00757681">
          <w:rPr>
            <w:rStyle w:val="Hyperlink"/>
            <w:noProof/>
          </w:rPr>
          <w:noBreakHyphen/>
        </w:r>
        <w:r w:rsidR="00501843" w:rsidRPr="00C458F9">
          <w:rPr>
            <w:rStyle w:val="Hyperlink"/>
            <w:noProof/>
          </w:rPr>
          <w:t>Residential Customers</w:t>
        </w:r>
        <w:r w:rsidR="00501843">
          <w:rPr>
            <w:noProof/>
            <w:webHidden/>
          </w:rPr>
          <w:tab/>
        </w:r>
        <w:r w:rsidR="00501843">
          <w:rPr>
            <w:noProof/>
            <w:webHidden/>
          </w:rPr>
          <w:fldChar w:fldCharType="begin"/>
        </w:r>
        <w:r w:rsidR="00501843">
          <w:rPr>
            <w:noProof/>
            <w:webHidden/>
          </w:rPr>
          <w:instrText xml:space="preserve"> PAGEREF _Toc15908061 \h </w:instrText>
        </w:r>
        <w:r w:rsidR="00501843">
          <w:rPr>
            <w:noProof/>
            <w:webHidden/>
          </w:rPr>
        </w:r>
        <w:r w:rsidR="00501843">
          <w:rPr>
            <w:noProof/>
            <w:webHidden/>
          </w:rPr>
          <w:fldChar w:fldCharType="separate"/>
        </w:r>
        <w:r>
          <w:rPr>
            <w:noProof/>
            <w:webHidden/>
          </w:rPr>
          <w:t>12</w:t>
        </w:r>
        <w:r w:rsidR="00501843">
          <w:rPr>
            <w:noProof/>
            <w:webHidden/>
          </w:rPr>
          <w:fldChar w:fldCharType="end"/>
        </w:r>
      </w:hyperlink>
    </w:p>
    <w:p w14:paraId="1D5EEDAB" w14:textId="751F8980" w:rsidR="00501843" w:rsidRDefault="00AB292B" w:rsidP="00501843">
      <w:pPr>
        <w:pStyle w:val="TOC3"/>
        <w:rPr>
          <w:rFonts w:asciiTheme="minorHAnsi" w:eastAsiaTheme="minorEastAsia" w:hAnsiTheme="minorHAnsi" w:cstheme="minorBidi"/>
          <w:noProof/>
          <w:sz w:val="22"/>
          <w:szCs w:val="22"/>
        </w:rPr>
      </w:pPr>
      <w:hyperlink w:anchor="_Toc15908062" w:history="1">
        <w:r w:rsidR="00501843" w:rsidRPr="00C458F9">
          <w:rPr>
            <w:rStyle w:val="Hyperlink"/>
            <w:noProof/>
          </w:rPr>
          <w:t>4.2.1.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_Toc15908062 \h </w:instrText>
        </w:r>
        <w:r w:rsidR="00501843">
          <w:rPr>
            <w:noProof/>
            <w:webHidden/>
          </w:rPr>
        </w:r>
        <w:r w:rsidR="00501843">
          <w:rPr>
            <w:noProof/>
            <w:webHidden/>
          </w:rPr>
          <w:fldChar w:fldCharType="separate"/>
        </w:r>
        <w:r>
          <w:rPr>
            <w:noProof/>
            <w:webHidden/>
          </w:rPr>
          <w:t>13</w:t>
        </w:r>
        <w:r w:rsidR="00501843">
          <w:rPr>
            <w:noProof/>
            <w:webHidden/>
          </w:rPr>
          <w:fldChar w:fldCharType="end"/>
        </w:r>
      </w:hyperlink>
    </w:p>
    <w:p w14:paraId="5DD0889E" w14:textId="110F15CC" w:rsidR="00501843" w:rsidRDefault="00AB292B" w:rsidP="00501843">
      <w:pPr>
        <w:pStyle w:val="TOC3"/>
        <w:rPr>
          <w:rFonts w:asciiTheme="minorHAnsi" w:eastAsiaTheme="minorEastAsia" w:hAnsiTheme="minorHAnsi" w:cstheme="minorBidi"/>
          <w:noProof/>
          <w:sz w:val="22"/>
          <w:szCs w:val="22"/>
        </w:rPr>
      </w:pPr>
      <w:hyperlink w:anchor="_Toc15908063" w:history="1">
        <w:r w:rsidR="00501843" w:rsidRPr="00C458F9">
          <w:rPr>
            <w:rStyle w:val="Hyperlink"/>
            <w:noProof/>
          </w:rPr>
          <w:t>4.2.2.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_Toc15908063 \h </w:instrText>
        </w:r>
        <w:r w:rsidR="00501843">
          <w:rPr>
            <w:noProof/>
            <w:webHidden/>
          </w:rPr>
        </w:r>
        <w:r w:rsidR="00501843">
          <w:rPr>
            <w:noProof/>
            <w:webHidden/>
          </w:rPr>
          <w:fldChar w:fldCharType="separate"/>
        </w:r>
        <w:r>
          <w:rPr>
            <w:noProof/>
            <w:webHidden/>
          </w:rPr>
          <w:t>13</w:t>
        </w:r>
        <w:r w:rsidR="00501843">
          <w:rPr>
            <w:noProof/>
            <w:webHidden/>
          </w:rPr>
          <w:fldChar w:fldCharType="end"/>
        </w:r>
      </w:hyperlink>
    </w:p>
    <w:p w14:paraId="24160AE3" w14:textId="5B791976" w:rsidR="00501843" w:rsidRDefault="00AB292B" w:rsidP="00501843">
      <w:pPr>
        <w:pStyle w:val="TOC2"/>
        <w:rPr>
          <w:rFonts w:asciiTheme="minorHAnsi" w:eastAsiaTheme="minorEastAsia" w:hAnsiTheme="minorHAnsi" w:cstheme="minorBidi"/>
          <w:noProof/>
          <w:sz w:val="22"/>
          <w:szCs w:val="22"/>
        </w:rPr>
      </w:pPr>
      <w:hyperlink w:anchor="_Toc15908064" w:history="1">
        <w:r w:rsidR="00501843" w:rsidRPr="00C458F9">
          <w:rPr>
            <w:rStyle w:val="Hyperlink"/>
            <w:noProof/>
          </w:rPr>
          <w:t>4.3.</w:t>
        </w:r>
        <w:r w:rsidR="00501843">
          <w:rPr>
            <w:rFonts w:asciiTheme="minorHAnsi" w:eastAsiaTheme="minorEastAsia" w:hAnsiTheme="minorHAnsi" w:cstheme="minorBidi"/>
            <w:noProof/>
            <w:sz w:val="22"/>
            <w:szCs w:val="22"/>
          </w:rPr>
          <w:tab/>
        </w:r>
        <w:r w:rsidR="00501843" w:rsidRPr="00C458F9">
          <w:rPr>
            <w:rStyle w:val="Hyperlink"/>
            <w:noProof/>
          </w:rPr>
          <w:t>Participants in Low</w:t>
        </w:r>
        <w:r w:rsidR="00757681">
          <w:rPr>
            <w:rStyle w:val="Hyperlink"/>
            <w:noProof/>
          </w:rPr>
          <w:noBreakHyphen/>
        </w:r>
        <w:r w:rsidR="00501843" w:rsidRPr="00C458F9">
          <w:rPr>
            <w:rStyle w:val="Hyperlink"/>
            <w:noProof/>
          </w:rPr>
          <w:t>Income Solar Programs</w:t>
        </w:r>
        <w:r w:rsidR="00501843">
          <w:rPr>
            <w:noProof/>
            <w:webHidden/>
          </w:rPr>
          <w:tab/>
        </w:r>
        <w:r w:rsidR="00501843">
          <w:rPr>
            <w:noProof/>
            <w:webHidden/>
          </w:rPr>
          <w:fldChar w:fldCharType="begin"/>
        </w:r>
        <w:r w:rsidR="00501843">
          <w:rPr>
            <w:noProof/>
            <w:webHidden/>
          </w:rPr>
          <w:instrText xml:space="preserve"> PAGEREF _Toc15908064 \h </w:instrText>
        </w:r>
        <w:r w:rsidR="00501843">
          <w:rPr>
            <w:noProof/>
            <w:webHidden/>
          </w:rPr>
        </w:r>
        <w:r w:rsidR="00501843">
          <w:rPr>
            <w:noProof/>
            <w:webHidden/>
          </w:rPr>
          <w:fldChar w:fldCharType="separate"/>
        </w:r>
        <w:r>
          <w:rPr>
            <w:noProof/>
            <w:webHidden/>
          </w:rPr>
          <w:t>13</w:t>
        </w:r>
        <w:r w:rsidR="00501843">
          <w:rPr>
            <w:noProof/>
            <w:webHidden/>
          </w:rPr>
          <w:fldChar w:fldCharType="end"/>
        </w:r>
      </w:hyperlink>
    </w:p>
    <w:p w14:paraId="7CAC791B" w14:textId="43C80A8D" w:rsidR="00501843" w:rsidRDefault="00AB292B" w:rsidP="00501843">
      <w:pPr>
        <w:pStyle w:val="TOC3"/>
        <w:rPr>
          <w:rFonts w:asciiTheme="minorHAnsi" w:eastAsiaTheme="minorEastAsia" w:hAnsiTheme="minorHAnsi" w:cstheme="minorBidi"/>
          <w:noProof/>
          <w:sz w:val="22"/>
          <w:szCs w:val="22"/>
        </w:rPr>
      </w:pPr>
      <w:hyperlink w:anchor="_Toc15908065" w:history="1">
        <w:r w:rsidR="00501843" w:rsidRPr="00C458F9">
          <w:rPr>
            <w:rStyle w:val="Hyperlink"/>
            <w:noProof/>
          </w:rPr>
          <w:t>4.3.1.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_Toc15908065 \h </w:instrText>
        </w:r>
        <w:r w:rsidR="00501843">
          <w:rPr>
            <w:noProof/>
            <w:webHidden/>
          </w:rPr>
        </w:r>
        <w:r w:rsidR="00501843">
          <w:rPr>
            <w:noProof/>
            <w:webHidden/>
          </w:rPr>
          <w:fldChar w:fldCharType="separate"/>
        </w:r>
        <w:r>
          <w:rPr>
            <w:noProof/>
            <w:webHidden/>
          </w:rPr>
          <w:t>14</w:t>
        </w:r>
        <w:r w:rsidR="00501843">
          <w:rPr>
            <w:noProof/>
            <w:webHidden/>
          </w:rPr>
          <w:fldChar w:fldCharType="end"/>
        </w:r>
      </w:hyperlink>
    </w:p>
    <w:p w14:paraId="7FAF0E6B" w14:textId="45010A68" w:rsidR="00501843" w:rsidRDefault="00AB292B" w:rsidP="00501843">
      <w:pPr>
        <w:pStyle w:val="TOC3"/>
        <w:rPr>
          <w:rFonts w:asciiTheme="minorHAnsi" w:eastAsiaTheme="minorEastAsia" w:hAnsiTheme="minorHAnsi" w:cstheme="minorBidi"/>
          <w:noProof/>
          <w:sz w:val="22"/>
          <w:szCs w:val="22"/>
        </w:rPr>
      </w:pPr>
      <w:hyperlink w:anchor="_Toc15908066" w:history="1">
        <w:r w:rsidR="00501843" w:rsidRPr="00C458F9">
          <w:rPr>
            <w:rStyle w:val="Hyperlink"/>
            <w:noProof/>
          </w:rPr>
          <w:t>4.3.2.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_Toc15908066 \h </w:instrText>
        </w:r>
        <w:r w:rsidR="00501843">
          <w:rPr>
            <w:noProof/>
            <w:webHidden/>
          </w:rPr>
        </w:r>
        <w:r w:rsidR="00501843">
          <w:rPr>
            <w:noProof/>
            <w:webHidden/>
          </w:rPr>
          <w:fldChar w:fldCharType="separate"/>
        </w:r>
        <w:r>
          <w:rPr>
            <w:noProof/>
            <w:webHidden/>
          </w:rPr>
          <w:t>15</w:t>
        </w:r>
        <w:r w:rsidR="00501843">
          <w:rPr>
            <w:noProof/>
            <w:webHidden/>
          </w:rPr>
          <w:fldChar w:fldCharType="end"/>
        </w:r>
      </w:hyperlink>
    </w:p>
    <w:p w14:paraId="79C92A9C" w14:textId="7C8E23F3" w:rsidR="00501843" w:rsidRDefault="00AB292B" w:rsidP="00501843">
      <w:pPr>
        <w:pStyle w:val="TOC2"/>
        <w:rPr>
          <w:rFonts w:asciiTheme="minorHAnsi" w:eastAsiaTheme="minorEastAsia" w:hAnsiTheme="minorHAnsi" w:cstheme="minorBidi"/>
          <w:noProof/>
          <w:sz w:val="22"/>
          <w:szCs w:val="22"/>
        </w:rPr>
      </w:pPr>
      <w:hyperlink w:anchor="_Toc15908067" w:history="1">
        <w:r w:rsidR="00501843" w:rsidRPr="00C458F9">
          <w:rPr>
            <w:rStyle w:val="Hyperlink"/>
            <w:noProof/>
          </w:rPr>
          <w:t>4.4.</w:t>
        </w:r>
        <w:r w:rsidR="00501843">
          <w:rPr>
            <w:rFonts w:asciiTheme="minorHAnsi" w:eastAsiaTheme="minorEastAsia" w:hAnsiTheme="minorHAnsi" w:cstheme="minorBidi"/>
            <w:noProof/>
            <w:sz w:val="22"/>
            <w:szCs w:val="22"/>
          </w:rPr>
          <w:tab/>
        </w:r>
        <w:r w:rsidR="00501843" w:rsidRPr="00C458F9">
          <w:rPr>
            <w:rStyle w:val="Hyperlink"/>
            <w:noProof/>
          </w:rPr>
          <w:t>Critical Resiliency Needs Customers</w:t>
        </w:r>
        <w:r w:rsidR="00501843">
          <w:rPr>
            <w:noProof/>
            <w:webHidden/>
          </w:rPr>
          <w:tab/>
        </w:r>
        <w:r w:rsidR="00501843">
          <w:rPr>
            <w:noProof/>
            <w:webHidden/>
          </w:rPr>
          <w:fldChar w:fldCharType="begin"/>
        </w:r>
        <w:r w:rsidR="00501843">
          <w:rPr>
            <w:noProof/>
            <w:webHidden/>
          </w:rPr>
          <w:instrText xml:space="preserve"> PAGEREF _Toc15908067 \h </w:instrText>
        </w:r>
        <w:r w:rsidR="00501843">
          <w:rPr>
            <w:noProof/>
            <w:webHidden/>
          </w:rPr>
        </w:r>
        <w:r w:rsidR="00501843">
          <w:rPr>
            <w:noProof/>
            <w:webHidden/>
          </w:rPr>
          <w:fldChar w:fldCharType="separate"/>
        </w:r>
        <w:r>
          <w:rPr>
            <w:noProof/>
            <w:webHidden/>
          </w:rPr>
          <w:t>18</w:t>
        </w:r>
        <w:r w:rsidR="00501843">
          <w:rPr>
            <w:noProof/>
            <w:webHidden/>
          </w:rPr>
          <w:fldChar w:fldCharType="end"/>
        </w:r>
      </w:hyperlink>
    </w:p>
    <w:p w14:paraId="357499BC" w14:textId="71537781" w:rsidR="00501843" w:rsidRDefault="00AB292B" w:rsidP="00501843">
      <w:pPr>
        <w:pStyle w:val="TOC3"/>
        <w:rPr>
          <w:rFonts w:asciiTheme="minorHAnsi" w:eastAsiaTheme="minorEastAsia" w:hAnsiTheme="minorHAnsi" w:cstheme="minorBidi"/>
          <w:noProof/>
          <w:sz w:val="22"/>
          <w:szCs w:val="22"/>
        </w:rPr>
      </w:pPr>
      <w:hyperlink w:anchor="_Toc15908068" w:history="1">
        <w:r w:rsidR="00501843" w:rsidRPr="00C458F9">
          <w:rPr>
            <w:rStyle w:val="Hyperlink"/>
            <w:noProof/>
          </w:rPr>
          <w:t>4.4.1.</w:t>
        </w:r>
        <w:r w:rsidR="00501843">
          <w:rPr>
            <w:rFonts w:asciiTheme="minorHAnsi" w:eastAsiaTheme="minorEastAsia" w:hAnsiTheme="minorHAnsi" w:cstheme="minorBidi"/>
            <w:noProof/>
            <w:sz w:val="22"/>
            <w:szCs w:val="22"/>
          </w:rPr>
          <w:tab/>
        </w:r>
        <w:r w:rsidR="00501843" w:rsidRPr="00C458F9">
          <w:rPr>
            <w:rStyle w:val="Hyperlink"/>
            <w:noProof/>
          </w:rPr>
          <w:t>Party Comment</w:t>
        </w:r>
        <w:r w:rsidR="00501843">
          <w:rPr>
            <w:noProof/>
            <w:webHidden/>
          </w:rPr>
          <w:tab/>
        </w:r>
        <w:r w:rsidR="00501843">
          <w:rPr>
            <w:noProof/>
            <w:webHidden/>
          </w:rPr>
          <w:fldChar w:fldCharType="begin"/>
        </w:r>
        <w:r w:rsidR="00501843">
          <w:rPr>
            <w:noProof/>
            <w:webHidden/>
          </w:rPr>
          <w:instrText xml:space="preserve"> PAGEREF _Toc15908068 \h </w:instrText>
        </w:r>
        <w:r w:rsidR="00501843">
          <w:rPr>
            <w:noProof/>
            <w:webHidden/>
          </w:rPr>
        </w:r>
        <w:r w:rsidR="00501843">
          <w:rPr>
            <w:noProof/>
            <w:webHidden/>
          </w:rPr>
          <w:fldChar w:fldCharType="separate"/>
        </w:r>
        <w:r>
          <w:rPr>
            <w:noProof/>
            <w:webHidden/>
          </w:rPr>
          <w:t>19</w:t>
        </w:r>
        <w:r w:rsidR="00501843">
          <w:rPr>
            <w:noProof/>
            <w:webHidden/>
          </w:rPr>
          <w:fldChar w:fldCharType="end"/>
        </w:r>
      </w:hyperlink>
    </w:p>
    <w:p w14:paraId="553A8CE6" w14:textId="118AA462" w:rsidR="00501843" w:rsidRDefault="00AB292B" w:rsidP="00501843">
      <w:pPr>
        <w:pStyle w:val="TOC3"/>
        <w:rPr>
          <w:rFonts w:asciiTheme="minorHAnsi" w:eastAsiaTheme="minorEastAsia" w:hAnsiTheme="minorHAnsi" w:cstheme="minorBidi"/>
          <w:noProof/>
          <w:sz w:val="22"/>
          <w:szCs w:val="22"/>
        </w:rPr>
      </w:pPr>
      <w:hyperlink w:anchor="_Toc15908069" w:history="1">
        <w:r w:rsidR="00501843" w:rsidRPr="00C458F9">
          <w:rPr>
            <w:rStyle w:val="Hyperlink"/>
            <w:noProof/>
          </w:rPr>
          <w:t>4.4.2.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_Toc15908069 \h </w:instrText>
        </w:r>
        <w:r w:rsidR="00501843">
          <w:rPr>
            <w:noProof/>
            <w:webHidden/>
          </w:rPr>
        </w:r>
        <w:r w:rsidR="00501843">
          <w:rPr>
            <w:noProof/>
            <w:webHidden/>
          </w:rPr>
          <w:fldChar w:fldCharType="separate"/>
        </w:r>
        <w:r>
          <w:rPr>
            <w:noProof/>
            <w:webHidden/>
          </w:rPr>
          <w:t>22</w:t>
        </w:r>
        <w:r w:rsidR="00501843">
          <w:rPr>
            <w:noProof/>
            <w:webHidden/>
          </w:rPr>
          <w:fldChar w:fldCharType="end"/>
        </w:r>
      </w:hyperlink>
    </w:p>
    <w:p w14:paraId="423C37F5" w14:textId="3D16A5AC" w:rsidR="00501843" w:rsidRDefault="00AB292B" w:rsidP="00501843">
      <w:pPr>
        <w:pStyle w:val="TOC1"/>
        <w:rPr>
          <w:rFonts w:asciiTheme="minorHAnsi" w:eastAsiaTheme="minorEastAsia" w:hAnsiTheme="minorHAnsi" w:cstheme="minorBidi"/>
          <w:noProof/>
          <w:sz w:val="22"/>
          <w:szCs w:val="22"/>
        </w:rPr>
      </w:pPr>
      <w:hyperlink w:anchor="_Toc15908070" w:history="1">
        <w:r w:rsidR="00501843" w:rsidRPr="00C458F9">
          <w:rPr>
            <w:rStyle w:val="Hyperlink"/>
            <w:noProof/>
          </w:rPr>
          <w:t>5.</w:t>
        </w:r>
        <w:r w:rsidR="00501843">
          <w:rPr>
            <w:rFonts w:asciiTheme="minorHAnsi" w:eastAsiaTheme="minorEastAsia" w:hAnsiTheme="minorHAnsi" w:cstheme="minorBidi"/>
            <w:noProof/>
            <w:sz w:val="22"/>
            <w:szCs w:val="22"/>
          </w:rPr>
          <w:tab/>
        </w:r>
        <w:r w:rsidR="00501843" w:rsidRPr="00C458F9">
          <w:rPr>
            <w:rStyle w:val="Hyperlink"/>
            <w:noProof/>
          </w:rPr>
          <w:t>Equity Budget Incentive Design</w:t>
        </w:r>
        <w:r w:rsidR="00501843">
          <w:rPr>
            <w:noProof/>
            <w:webHidden/>
          </w:rPr>
          <w:tab/>
        </w:r>
        <w:r w:rsidR="00501843">
          <w:rPr>
            <w:noProof/>
            <w:webHidden/>
          </w:rPr>
          <w:fldChar w:fldCharType="begin"/>
        </w:r>
        <w:r w:rsidR="00501843">
          <w:rPr>
            <w:noProof/>
            <w:webHidden/>
          </w:rPr>
          <w:instrText xml:space="preserve"> PAGEREF _Toc15908070 \h </w:instrText>
        </w:r>
        <w:r w:rsidR="00501843">
          <w:rPr>
            <w:noProof/>
            <w:webHidden/>
          </w:rPr>
        </w:r>
        <w:r w:rsidR="00501843">
          <w:rPr>
            <w:noProof/>
            <w:webHidden/>
          </w:rPr>
          <w:fldChar w:fldCharType="separate"/>
        </w:r>
        <w:r>
          <w:rPr>
            <w:noProof/>
            <w:webHidden/>
          </w:rPr>
          <w:t>27</w:t>
        </w:r>
        <w:r w:rsidR="00501843">
          <w:rPr>
            <w:noProof/>
            <w:webHidden/>
          </w:rPr>
          <w:fldChar w:fldCharType="end"/>
        </w:r>
      </w:hyperlink>
    </w:p>
    <w:p w14:paraId="1B3B9B22" w14:textId="56DFF7C4" w:rsidR="00501843" w:rsidRDefault="00AB292B" w:rsidP="00501843">
      <w:pPr>
        <w:pStyle w:val="TOC2"/>
        <w:rPr>
          <w:rFonts w:asciiTheme="minorHAnsi" w:eastAsiaTheme="minorEastAsia" w:hAnsiTheme="minorHAnsi" w:cstheme="minorBidi"/>
          <w:noProof/>
          <w:sz w:val="22"/>
          <w:szCs w:val="22"/>
        </w:rPr>
      </w:pPr>
      <w:hyperlink w:anchor="_Toc15908071" w:history="1">
        <w:r w:rsidR="00501843" w:rsidRPr="00C458F9">
          <w:rPr>
            <w:rStyle w:val="Hyperlink"/>
            <w:noProof/>
          </w:rPr>
          <w:t>5.1.</w:t>
        </w:r>
        <w:r w:rsidR="00501843">
          <w:rPr>
            <w:rFonts w:asciiTheme="minorHAnsi" w:eastAsiaTheme="minorEastAsia" w:hAnsiTheme="minorHAnsi" w:cstheme="minorBidi"/>
            <w:noProof/>
            <w:sz w:val="22"/>
            <w:szCs w:val="22"/>
          </w:rPr>
          <w:tab/>
        </w:r>
        <w:r w:rsidR="00501843" w:rsidRPr="00C458F9">
          <w:rPr>
            <w:rStyle w:val="Hyperlink"/>
            <w:noProof/>
          </w:rPr>
          <w:t>Step</w:t>
        </w:r>
        <w:r w:rsidR="00757681">
          <w:rPr>
            <w:rStyle w:val="Hyperlink"/>
            <w:noProof/>
          </w:rPr>
          <w:noBreakHyphen/>
        </w:r>
        <w:r w:rsidR="00501843" w:rsidRPr="00C458F9">
          <w:rPr>
            <w:rStyle w:val="Hyperlink"/>
            <w:noProof/>
          </w:rPr>
          <w:t>Down of Incentives Based on Duration</w:t>
        </w:r>
        <w:r w:rsidR="00501843">
          <w:rPr>
            <w:noProof/>
            <w:webHidden/>
          </w:rPr>
          <w:tab/>
        </w:r>
        <w:r w:rsidR="00501843">
          <w:rPr>
            <w:noProof/>
            <w:webHidden/>
          </w:rPr>
          <w:fldChar w:fldCharType="begin"/>
        </w:r>
        <w:r w:rsidR="00501843">
          <w:rPr>
            <w:noProof/>
            <w:webHidden/>
          </w:rPr>
          <w:instrText xml:space="preserve"> PAGEREF _Toc15908071 \h </w:instrText>
        </w:r>
        <w:r w:rsidR="00501843">
          <w:rPr>
            <w:noProof/>
            <w:webHidden/>
          </w:rPr>
        </w:r>
        <w:r w:rsidR="00501843">
          <w:rPr>
            <w:noProof/>
            <w:webHidden/>
          </w:rPr>
          <w:fldChar w:fldCharType="separate"/>
        </w:r>
        <w:r>
          <w:rPr>
            <w:noProof/>
            <w:webHidden/>
          </w:rPr>
          <w:t>28</w:t>
        </w:r>
        <w:r w:rsidR="00501843">
          <w:rPr>
            <w:noProof/>
            <w:webHidden/>
          </w:rPr>
          <w:fldChar w:fldCharType="end"/>
        </w:r>
      </w:hyperlink>
    </w:p>
    <w:p w14:paraId="58BB14C2" w14:textId="66A43141" w:rsidR="00501843" w:rsidRDefault="00AB292B" w:rsidP="00501843">
      <w:pPr>
        <w:pStyle w:val="TOC3"/>
        <w:rPr>
          <w:rFonts w:asciiTheme="minorHAnsi" w:eastAsiaTheme="minorEastAsia" w:hAnsiTheme="minorHAnsi" w:cstheme="minorBidi"/>
          <w:noProof/>
          <w:sz w:val="22"/>
          <w:szCs w:val="22"/>
        </w:rPr>
      </w:pPr>
      <w:hyperlink w:anchor="_Toc15908072" w:history="1">
        <w:r w:rsidR="00501843" w:rsidRPr="00C458F9">
          <w:rPr>
            <w:rStyle w:val="Hyperlink"/>
            <w:noProof/>
          </w:rPr>
          <w:t>5.1.1.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_Toc15908072 \h </w:instrText>
        </w:r>
        <w:r w:rsidR="00501843">
          <w:rPr>
            <w:noProof/>
            <w:webHidden/>
          </w:rPr>
        </w:r>
        <w:r w:rsidR="00501843">
          <w:rPr>
            <w:noProof/>
            <w:webHidden/>
          </w:rPr>
          <w:fldChar w:fldCharType="separate"/>
        </w:r>
        <w:r>
          <w:rPr>
            <w:noProof/>
            <w:webHidden/>
          </w:rPr>
          <w:t>28</w:t>
        </w:r>
        <w:r w:rsidR="00501843">
          <w:rPr>
            <w:noProof/>
            <w:webHidden/>
          </w:rPr>
          <w:fldChar w:fldCharType="end"/>
        </w:r>
      </w:hyperlink>
    </w:p>
    <w:p w14:paraId="1C18332A" w14:textId="3D6B0EAC" w:rsidR="00501843" w:rsidRDefault="00AB292B" w:rsidP="00501843">
      <w:pPr>
        <w:pStyle w:val="TOC3"/>
        <w:rPr>
          <w:rFonts w:asciiTheme="minorHAnsi" w:eastAsiaTheme="minorEastAsia" w:hAnsiTheme="minorHAnsi" w:cstheme="minorBidi"/>
          <w:noProof/>
          <w:sz w:val="22"/>
          <w:szCs w:val="22"/>
        </w:rPr>
      </w:pPr>
      <w:hyperlink w:anchor="_Toc15908073" w:history="1">
        <w:r w:rsidR="00501843" w:rsidRPr="00C458F9">
          <w:rPr>
            <w:rStyle w:val="Hyperlink"/>
            <w:noProof/>
          </w:rPr>
          <w:t>5.1.2.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_Toc15908073 \h </w:instrText>
        </w:r>
        <w:r w:rsidR="00501843">
          <w:rPr>
            <w:noProof/>
            <w:webHidden/>
          </w:rPr>
        </w:r>
        <w:r w:rsidR="00501843">
          <w:rPr>
            <w:noProof/>
            <w:webHidden/>
          </w:rPr>
          <w:fldChar w:fldCharType="separate"/>
        </w:r>
        <w:r>
          <w:rPr>
            <w:noProof/>
            <w:webHidden/>
          </w:rPr>
          <w:t>30</w:t>
        </w:r>
        <w:r w:rsidR="00501843">
          <w:rPr>
            <w:noProof/>
            <w:webHidden/>
          </w:rPr>
          <w:fldChar w:fldCharType="end"/>
        </w:r>
      </w:hyperlink>
    </w:p>
    <w:p w14:paraId="676FA02E" w14:textId="7388B783" w:rsidR="00501843" w:rsidRDefault="00AB292B" w:rsidP="00501843">
      <w:pPr>
        <w:pStyle w:val="TOC2"/>
        <w:rPr>
          <w:rFonts w:asciiTheme="minorHAnsi" w:eastAsiaTheme="minorEastAsia" w:hAnsiTheme="minorHAnsi" w:cstheme="minorBidi"/>
          <w:noProof/>
          <w:sz w:val="22"/>
          <w:szCs w:val="22"/>
        </w:rPr>
      </w:pPr>
      <w:hyperlink w:anchor="_Toc15908074" w:history="1">
        <w:r w:rsidR="00501843" w:rsidRPr="00C458F9">
          <w:rPr>
            <w:rStyle w:val="Hyperlink"/>
            <w:noProof/>
          </w:rPr>
          <w:t>5.2.</w:t>
        </w:r>
        <w:r w:rsidR="00501843">
          <w:rPr>
            <w:rFonts w:asciiTheme="minorHAnsi" w:eastAsiaTheme="minorEastAsia" w:hAnsiTheme="minorHAnsi" w:cstheme="minorBidi"/>
            <w:noProof/>
            <w:sz w:val="22"/>
            <w:szCs w:val="22"/>
          </w:rPr>
          <w:tab/>
        </w:r>
        <w:r w:rsidR="00501843" w:rsidRPr="00C458F9">
          <w:rPr>
            <w:rStyle w:val="Hyperlink"/>
            <w:noProof/>
          </w:rPr>
          <w:t>Incentive Levels</w:t>
        </w:r>
        <w:r w:rsidR="00501843">
          <w:rPr>
            <w:noProof/>
            <w:webHidden/>
          </w:rPr>
          <w:tab/>
        </w:r>
        <w:r w:rsidR="00501843">
          <w:rPr>
            <w:noProof/>
            <w:webHidden/>
          </w:rPr>
          <w:fldChar w:fldCharType="begin"/>
        </w:r>
        <w:r w:rsidR="00501843">
          <w:rPr>
            <w:noProof/>
            <w:webHidden/>
          </w:rPr>
          <w:instrText xml:space="preserve"> PAGEREF _Toc15908074 \h </w:instrText>
        </w:r>
        <w:r w:rsidR="00501843">
          <w:rPr>
            <w:noProof/>
            <w:webHidden/>
          </w:rPr>
        </w:r>
        <w:r w:rsidR="00501843">
          <w:rPr>
            <w:noProof/>
            <w:webHidden/>
          </w:rPr>
          <w:fldChar w:fldCharType="separate"/>
        </w:r>
        <w:r>
          <w:rPr>
            <w:noProof/>
            <w:webHidden/>
          </w:rPr>
          <w:t>31</w:t>
        </w:r>
        <w:r w:rsidR="00501843">
          <w:rPr>
            <w:noProof/>
            <w:webHidden/>
          </w:rPr>
          <w:fldChar w:fldCharType="end"/>
        </w:r>
      </w:hyperlink>
    </w:p>
    <w:p w14:paraId="40610151" w14:textId="52D8904D" w:rsidR="00501843" w:rsidRDefault="00AB292B" w:rsidP="00501843">
      <w:pPr>
        <w:pStyle w:val="TOC3"/>
        <w:rPr>
          <w:rFonts w:asciiTheme="minorHAnsi" w:eastAsiaTheme="minorEastAsia" w:hAnsiTheme="minorHAnsi" w:cstheme="minorBidi"/>
          <w:noProof/>
          <w:sz w:val="22"/>
          <w:szCs w:val="22"/>
        </w:rPr>
      </w:pPr>
      <w:hyperlink w:anchor="_Toc15908075" w:history="1">
        <w:r w:rsidR="00501843" w:rsidRPr="00C458F9">
          <w:rPr>
            <w:rStyle w:val="Hyperlink"/>
            <w:noProof/>
          </w:rPr>
          <w:t>5.2.1.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_Toc15908075 \h </w:instrText>
        </w:r>
        <w:r w:rsidR="00501843">
          <w:rPr>
            <w:noProof/>
            <w:webHidden/>
          </w:rPr>
        </w:r>
        <w:r w:rsidR="00501843">
          <w:rPr>
            <w:noProof/>
            <w:webHidden/>
          </w:rPr>
          <w:fldChar w:fldCharType="separate"/>
        </w:r>
        <w:r>
          <w:rPr>
            <w:noProof/>
            <w:webHidden/>
          </w:rPr>
          <w:t>32</w:t>
        </w:r>
        <w:r w:rsidR="00501843">
          <w:rPr>
            <w:noProof/>
            <w:webHidden/>
          </w:rPr>
          <w:fldChar w:fldCharType="end"/>
        </w:r>
      </w:hyperlink>
    </w:p>
    <w:p w14:paraId="647C5CE3" w14:textId="7762706E" w:rsidR="00501843" w:rsidRDefault="00AB292B" w:rsidP="00501843">
      <w:pPr>
        <w:pStyle w:val="TOC3"/>
        <w:rPr>
          <w:rFonts w:asciiTheme="minorHAnsi" w:eastAsiaTheme="minorEastAsia" w:hAnsiTheme="minorHAnsi" w:cstheme="minorBidi"/>
          <w:noProof/>
          <w:sz w:val="22"/>
          <w:szCs w:val="22"/>
        </w:rPr>
      </w:pPr>
      <w:hyperlink w:anchor="_Toc15908076" w:history="1">
        <w:r w:rsidR="00501843" w:rsidRPr="00C458F9">
          <w:rPr>
            <w:rStyle w:val="Hyperlink"/>
            <w:noProof/>
          </w:rPr>
          <w:t>5.2.2.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_Toc15908076 \h </w:instrText>
        </w:r>
        <w:r w:rsidR="00501843">
          <w:rPr>
            <w:noProof/>
            <w:webHidden/>
          </w:rPr>
        </w:r>
        <w:r w:rsidR="00501843">
          <w:rPr>
            <w:noProof/>
            <w:webHidden/>
          </w:rPr>
          <w:fldChar w:fldCharType="separate"/>
        </w:r>
        <w:r>
          <w:rPr>
            <w:noProof/>
            <w:webHidden/>
          </w:rPr>
          <w:t>35</w:t>
        </w:r>
        <w:r w:rsidR="00501843">
          <w:rPr>
            <w:noProof/>
            <w:webHidden/>
          </w:rPr>
          <w:fldChar w:fldCharType="end"/>
        </w:r>
      </w:hyperlink>
    </w:p>
    <w:p w14:paraId="12044FDA" w14:textId="3ADFEAD2" w:rsidR="00501843" w:rsidRDefault="00AB292B">
      <w:pPr>
        <w:pStyle w:val="TOC1"/>
        <w:rPr>
          <w:rFonts w:asciiTheme="minorHAnsi" w:eastAsiaTheme="minorEastAsia" w:hAnsiTheme="minorHAnsi" w:cstheme="minorBidi"/>
          <w:noProof/>
          <w:sz w:val="22"/>
          <w:szCs w:val="22"/>
        </w:rPr>
      </w:pPr>
      <w:hyperlink w:anchor="_Toc15908077" w:history="1">
        <w:r w:rsidR="00501843" w:rsidRPr="00C458F9">
          <w:rPr>
            <w:rStyle w:val="Hyperlink"/>
            <w:noProof/>
          </w:rPr>
          <w:t>6.</w:t>
        </w:r>
        <w:r w:rsidR="00501843">
          <w:rPr>
            <w:rFonts w:asciiTheme="minorHAnsi" w:eastAsiaTheme="minorEastAsia" w:hAnsiTheme="minorHAnsi" w:cstheme="minorBidi"/>
            <w:noProof/>
            <w:sz w:val="22"/>
            <w:szCs w:val="22"/>
          </w:rPr>
          <w:tab/>
        </w:r>
        <w:r w:rsidR="00501843" w:rsidRPr="00C458F9">
          <w:rPr>
            <w:rStyle w:val="Hyperlink"/>
            <w:noProof/>
          </w:rPr>
          <w:t>Program Requirements to Support Resiliency Benefits</w:t>
        </w:r>
        <w:r w:rsidR="00501843">
          <w:rPr>
            <w:noProof/>
            <w:webHidden/>
          </w:rPr>
          <w:tab/>
        </w:r>
        <w:r w:rsidR="00501843">
          <w:rPr>
            <w:noProof/>
            <w:webHidden/>
          </w:rPr>
          <w:fldChar w:fldCharType="begin"/>
        </w:r>
        <w:r w:rsidR="00501843">
          <w:rPr>
            <w:noProof/>
            <w:webHidden/>
          </w:rPr>
          <w:instrText xml:space="preserve"> PAGEREF _Toc15908077 \h </w:instrText>
        </w:r>
        <w:r w:rsidR="00501843">
          <w:rPr>
            <w:noProof/>
            <w:webHidden/>
          </w:rPr>
        </w:r>
        <w:r w:rsidR="00501843">
          <w:rPr>
            <w:noProof/>
            <w:webHidden/>
          </w:rPr>
          <w:fldChar w:fldCharType="separate"/>
        </w:r>
        <w:r>
          <w:rPr>
            <w:noProof/>
            <w:webHidden/>
          </w:rPr>
          <w:t>41</w:t>
        </w:r>
        <w:r w:rsidR="00501843">
          <w:rPr>
            <w:noProof/>
            <w:webHidden/>
          </w:rPr>
          <w:fldChar w:fldCharType="end"/>
        </w:r>
      </w:hyperlink>
    </w:p>
    <w:p w14:paraId="4A781A70" w14:textId="66C35E37" w:rsidR="00501843" w:rsidRDefault="00AB292B">
      <w:pPr>
        <w:pStyle w:val="TOC2"/>
        <w:rPr>
          <w:rFonts w:asciiTheme="minorHAnsi" w:eastAsiaTheme="minorEastAsia" w:hAnsiTheme="minorHAnsi" w:cstheme="minorBidi"/>
          <w:noProof/>
          <w:sz w:val="22"/>
          <w:szCs w:val="22"/>
        </w:rPr>
      </w:pPr>
      <w:hyperlink w:anchor="_Toc15908078" w:history="1">
        <w:r w:rsidR="00501843" w:rsidRPr="00C458F9">
          <w:rPr>
            <w:rStyle w:val="Hyperlink"/>
            <w:noProof/>
          </w:rPr>
          <w:t>6.1.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_Toc15908078 \h </w:instrText>
        </w:r>
        <w:r w:rsidR="00501843">
          <w:rPr>
            <w:noProof/>
            <w:webHidden/>
          </w:rPr>
        </w:r>
        <w:r w:rsidR="00501843">
          <w:rPr>
            <w:noProof/>
            <w:webHidden/>
          </w:rPr>
          <w:fldChar w:fldCharType="separate"/>
        </w:r>
        <w:r>
          <w:rPr>
            <w:noProof/>
            <w:webHidden/>
          </w:rPr>
          <w:t>42</w:t>
        </w:r>
        <w:r w:rsidR="00501843">
          <w:rPr>
            <w:noProof/>
            <w:webHidden/>
          </w:rPr>
          <w:fldChar w:fldCharType="end"/>
        </w:r>
      </w:hyperlink>
    </w:p>
    <w:p w14:paraId="7C9B1606" w14:textId="306593FB" w:rsidR="00501843" w:rsidRDefault="00AB292B">
      <w:pPr>
        <w:pStyle w:val="TOC2"/>
        <w:rPr>
          <w:rFonts w:asciiTheme="minorHAnsi" w:eastAsiaTheme="minorEastAsia" w:hAnsiTheme="minorHAnsi" w:cstheme="minorBidi"/>
          <w:noProof/>
          <w:sz w:val="22"/>
          <w:szCs w:val="22"/>
        </w:rPr>
      </w:pPr>
      <w:hyperlink w:anchor="_Toc15908079" w:history="1">
        <w:r w:rsidR="00501843" w:rsidRPr="00C458F9">
          <w:rPr>
            <w:rStyle w:val="Hyperlink"/>
            <w:noProof/>
          </w:rPr>
          <w:t>6.2.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_Toc15908079 \h </w:instrText>
        </w:r>
        <w:r w:rsidR="00501843">
          <w:rPr>
            <w:noProof/>
            <w:webHidden/>
          </w:rPr>
        </w:r>
        <w:r w:rsidR="00501843">
          <w:rPr>
            <w:noProof/>
            <w:webHidden/>
          </w:rPr>
          <w:fldChar w:fldCharType="separate"/>
        </w:r>
        <w:r>
          <w:rPr>
            <w:noProof/>
            <w:webHidden/>
          </w:rPr>
          <w:t>42</w:t>
        </w:r>
        <w:r w:rsidR="00501843">
          <w:rPr>
            <w:noProof/>
            <w:webHidden/>
          </w:rPr>
          <w:fldChar w:fldCharType="end"/>
        </w:r>
      </w:hyperlink>
    </w:p>
    <w:p w14:paraId="64A8CE20" w14:textId="4FD2A93F" w:rsidR="00501843" w:rsidRDefault="00AB292B">
      <w:pPr>
        <w:pStyle w:val="TOC1"/>
        <w:rPr>
          <w:rFonts w:asciiTheme="minorHAnsi" w:eastAsiaTheme="minorEastAsia" w:hAnsiTheme="minorHAnsi" w:cstheme="minorBidi"/>
          <w:noProof/>
          <w:sz w:val="22"/>
          <w:szCs w:val="22"/>
        </w:rPr>
      </w:pPr>
      <w:hyperlink w:anchor="_Toc15908080" w:history="1">
        <w:r w:rsidR="00501843" w:rsidRPr="00C458F9">
          <w:rPr>
            <w:rStyle w:val="Hyperlink"/>
            <w:noProof/>
          </w:rPr>
          <w:t>7.</w:t>
        </w:r>
        <w:r w:rsidR="00501843">
          <w:rPr>
            <w:rFonts w:asciiTheme="minorHAnsi" w:eastAsiaTheme="minorEastAsia" w:hAnsiTheme="minorHAnsi" w:cstheme="minorBidi"/>
            <w:noProof/>
            <w:sz w:val="22"/>
            <w:szCs w:val="22"/>
          </w:rPr>
          <w:tab/>
        </w:r>
        <w:r w:rsidR="00501843" w:rsidRPr="00C458F9">
          <w:rPr>
            <w:rStyle w:val="Hyperlink"/>
            <w:noProof/>
          </w:rPr>
          <w:t>Safety Issues</w:t>
        </w:r>
        <w:r w:rsidR="00501843">
          <w:rPr>
            <w:noProof/>
            <w:webHidden/>
          </w:rPr>
          <w:tab/>
        </w:r>
        <w:r w:rsidR="00501843">
          <w:rPr>
            <w:noProof/>
            <w:webHidden/>
          </w:rPr>
          <w:fldChar w:fldCharType="begin"/>
        </w:r>
        <w:r w:rsidR="00501843">
          <w:rPr>
            <w:noProof/>
            <w:webHidden/>
          </w:rPr>
          <w:instrText xml:space="preserve"> PAGEREF _Toc15908080 \h </w:instrText>
        </w:r>
        <w:r w:rsidR="00501843">
          <w:rPr>
            <w:noProof/>
            <w:webHidden/>
          </w:rPr>
        </w:r>
        <w:r w:rsidR="00501843">
          <w:rPr>
            <w:noProof/>
            <w:webHidden/>
          </w:rPr>
          <w:fldChar w:fldCharType="separate"/>
        </w:r>
        <w:r>
          <w:rPr>
            <w:noProof/>
            <w:webHidden/>
          </w:rPr>
          <w:t>45</w:t>
        </w:r>
        <w:r w:rsidR="00501843">
          <w:rPr>
            <w:noProof/>
            <w:webHidden/>
          </w:rPr>
          <w:fldChar w:fldCharType="end"/>
        </w:r>
      </w:hyperlink>
    </w:p>
    <w:p w14:paraId="3AF89BAF" w14:textId="56657D77" w:rsidR="00501843" w:rsidRDefault="00AB292B">
      <w:pPr>
        <w:pStyle w:val="TOC2"/>
        <w:rPr>
          <w:rFonts w:asciiTheme="minorHAnsi" w:eastAsiaTheme="minorEastAsia" w:hAnsiTheme="minorHAnsi" w:cstheme="minorBidi"/>
          <w:noProof/>
          <w:sz w:val="22"/>
          <w:szCs w:val="22"/>
        </w:rPr>
      </w:pPr>
      <w:hyperlink w:anchor="_Toc15908081" w:history="1">
        <w:r w:rsidR="00501843" w:rsidRPr="00C458F9">
          <w:rPr>
            <w:rStyle w:val="Hyperlink"/>
            <w:bCs/>
            <w:noProof/>
          </w:rPr>
          <w:t>7.1.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_Toc15908081 \h </w:instrText>
        </w:r>
        <w:r w:rsidR="00501843">
          <w:rPr>
            <w:noProof/>
            <w:webHidden/>
          </w:rPr>
        </w:r>
        <w:r w:rsidR="00501843">
          <w:rPr>
            <w:noProof/>
            <w:webHidden/>
          </w:rPr>
          <w:fldChar w:fldCharType="separate"/>
        </w:r>
        <w:r>
          <w:rPr>
            <w:noProof/>
            <w:webHidden/>
          </w:rPr>
          <w:t>46</w:t>
        </w:r>
        <w:r w:rsidR="00501843">
          <w:rPr>
            <w:noProof/>
            <w:webHidden/>
          </w:rPr>
          <w:fldChar w:fldCharType="end"/>
        </w:r>
      </w:hyperlink>
    </w:p>
    <w:p w14:paraId="6E795E4A" w14:textId="5A358C0D" w:rsidR="00501843" w:rsidRDefault="00AB292B">
      <w:pPr>
        <w:pStyle w:val="TOC2"/>
        <w:rPr>
          <w:rFonts w:asciiTheme="minorHAnsi" w:eastAsiaTheme="minorEastAsia" w:hAnsiTheme="minorHAnsi" w:cstheme="minorBidi"/>
          <w:noProof/>
          <w:sz w:val="22"/>
          <w:szCs w:val="22"/>
        </w:rPr>
      </w:pPr>
      <w:hyperlink w:anchor="_Toc15908082" w:history="1">
        <w:r w:rsidR="00501843" w:rsidRPr="00C458F9">
          <w:rPr>
            <w:rStyle w:val="Hyperlink"/>
            <w:noProof/>
          </w:rPr>
          <w:t>7.2.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_Toc15908082 \h </w:instrText>
        </w:r>
        <w:r w:rsidR="00501843">
          <w:rPr>
            <w:noProof/>
            <w:webHidden/>
          </w:rPr>
        </w:r>
        <w:r w:rsidR="00501843">
          <w:rPr>
            <w:noProof/>
            <w:webHidden/>
          </w:rPr>
          <w:fldChar w:fldCharType="separate"/>
        </w:r>
        <w:r>
          <w:rPr>
            <w:noProof/>
            <w:webHidden/>
          </w:rPr>
          <w:t>47</w:t>
        </w:r>
        <w:r w:rsidR="00501843">
          <w:rPr>
            <w:noProof/>
            <w:webHidden/>
          </w:rPr>
          <w:fldChar w:fldCharType="end"/>
        </w:r>
      </w:hyperlink>
    </w:p>
    <w:p w14:paraId="4123354B" w14:textId="7F0ECC0B" w:rsidR="00501843" w:rsidRDefault="00AB292B">
      <w:pPr>
        <w:pStyle w:val="TOC1"/>
        <w:rPr>
          <w:rFonts w:asciiTheme="minorHAnsi" w:eastAsiaTheme="minorEastAsia" w:hAnsiTheme="minorHAnsi" w:cstheme="minorBidi"/>
          <w:noProof/>
          <w:sz w:val="22"/>
          <w:szCs w:val="22"/>
        </w:rPr>
      </w:pPr>
      <w:hyperlink w:anchor="_Toc15908083" w:history="1">
        <w:r w:rsidR="00501843" w:rsidRPr="00C458F9">
          <w:rPr>
            <w:rStyle w:val="Hyperlink"/>
            <w:noProof/>
          </w:rPr>
          <w:t>8.</w:t>
        </w:r>
        <w:r w:rsidR="00501843">
          <w:rPr>
            <w:rFonts w:asciiTheme="minorHAnsi" w:eastAsiaTheme="minorEastAsia" w:hAnsiTheme="minorHAnsi" w:cstheme="minorBidi"/>
            <w:noProof/>
            <w:sz w:val="22"/>
            <w:szCs w:val="22"/>
          </w:rPr>
          <w:tab/>
        </w:r>
        <w:r w:rsidR="00501843" w:rsidRPr="00C458F9">
          <w:rPr>
            <w:rStyle w:val="Hyperlink"/>
            <w:noProof/>
          </w:rPr>
          <w:t>Technical Barriers to Participation</w:t>
        </w:r>
        <w:r w:rsidR="00501843">
          <w:rPr>
            <w:noProof/>
            <w:webHidden/>
          </w:rPr>
          <w:tab/>
        </w:r>
        <w:r w:rsidR="00501843">
          <w:rPr>
            <w:noProof/>
            <w:webHidden/>
          </w:rPr>
          <w:fldChar w:fldCharType="begin"/>
        </w:r>
        <w:r w:rsidR="00501843">
          <w:rPr>
            <w:noProof/>
            <w:webHidden/>
          </w:rPr>
          <w:instrText xml:space="preserve"> PAGEREF _Toc15908083 \h </w:instrText>
        </w:r>
        <w:r w:rsidR="00501843">
          <w:rPr>
            <w:noProof/>
            <w:webHidden/>
          </w:rPr>
        </w:r>
        <w:r w:rsidR="00501843">
          <w:rPr>
            <w:noProof/>
            <w:webHidden/>
          </w:rPr>
          <w:fldChar w:fldCharType="separate"/>
        </w:r>
        <w:r>
          <w:rPr>
            <w:noProof/>
            <w:webHidden/>
          </w:rPr>
          <w:t>49</w:t>
        </w:r>
        <w:r w:rsidR="00501843">
          <w:rPr>
            <w:noProof/>
            <w:webHidden/>
          </w:rPr>
          <w:fldChar w:fldCharType="end"/>
        </w:r>
      </w:hyperlink>
    </w:p>
    <w:p w14:paraId="7EC0542F" w14:textId="26C05F5C" w:rsidR="00501843" w:rsidRDefault="00AB292B">
      <w:pPr>
        <w:pStyle w:val="TOC2"/>
        <w:rPr>
          <w:rFonts w:asciiTheme="minorHAnsi" w:eastAsiaTheme="minorEastAsia" w:hAnsiTheme="minorHAnsi" w:cstheme="minorBidi"/>
          <w:noProof/>
          <w:sz w:val="22"/>
          <w:szCs w:val="22"/>
        </w:rPr>
      </w:pPr>
      <w:hyperlink w:anchor="_Toc15908084" w:history="1">
        <w:r w:rsidR="00501843" w:rsidRPr="00C458F9">
          <w:rPr>
            <w:rStyle w:val="Hyperlink"/>
            <w:noProof/>
          </w:rPr>
          <w:t>8.1.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_Toc15908084 \h </w:instrText>
        </w:r>
        <w:r w:rsidR="00501843">
          <w:rPr>
            <w:noProof/>
            <w:webHidden/>
          </w:rPr>
        </w:r>
        <w:r w:rsidR="00501843">
          <w:rPr>
            <w:noProof/>
            <w:webHidden/>
          </w:rPr>
          <w:fldChar w:fldCharType="separate"/>
        </w:r>
        <w:r>
          <w:rPr>
            <w:noProof/>
            <w:webHidden/>
          </w:rPr>
          <w:t>49</w:t>
        </w:r>
        <w:r w:rsidR="00501843">
          <w:rPr>
            <w:noProof/>
            <w:webHidden/>
          </w:rPr>
          <w:fldChar w:fldCharType="end"/>
        </w:r>
      </w:hyperlink>
    </w:p>
    <w:p w14:paraId="336A9C64" w14:textId="5FB3A682" w:rsidR="00501843" w:rsidRDefault="00AB292B">
      <w:pPr>
        <w:pStyle w:val="TOC2"/>
        <w:rPr>
          <w:rFonts w:asciiTheme="minorHAnsi" w:eastAsiaTheme="minorEastAsia" w:hAnsiTheme="minorHAnsi" w:cstheme="minorBidi"/>
          <w:noProof/>
          <w:sz w:val="22"/>
          <w:szCs w:val="22"/>
        </w:rPr>
      </w:pPr>
      <w:hyperlink w:anchor="_Toc15908085" w:history="1">
        <w:r w:rsidR="00501843" w:rsidRPr="00C458F9">
          <w:rPr>
            <w:rStyle w:val="Hyperlink"/>
            <w:noProof/>
          </w:rPr>
          <w:t>8.2.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_Toc15908085 \h </w:instrText>
        </w:r>
        <w:r w:rsidR="00501843">
          <w:rPr>
            <w:noProof/>
            <w:webHidden/>
          </w:rPr>
        </w:r>
        <w:r w:rsidR="00501843">
          <w:rPr>
            <w:noProof/>
            <w:webHidden/>
          </w:rPr>
          <w:fldChar w:fldCharType="separate"/>
        </w:r>
        <w:r>
          <w:rPr>
            <w:noProof/>
            <w:webHidden/>
          </w:rPr>
          <w:t>51</w:t>
        </w:r>
        <w:r w:rsidR="00501843">
          <w:rPr>
            <w:noProof/>
            <w:webHidden/>
          </w:rPr>
          <w:fldChar w:fldCharType="end"/>
        </w:r>
      </w:hyperlink>
    </w:p>
    <w:p w14:paraId="1BFE71D6" w14:textId="0CAB9F54" w:rsidR="00501843" w:rsidRDefault="00AB292B">
      <w:pPr>
        <w:pStyle w:val="TOC1"/>
        <w:rPr>
          <w:rFonts w:asciiTheme="minorHAnsi" w:eastAsiaTheme="minorEastAsia" w:hAnsiTheme="minorHAnsi" w:cstheme="minorBidi"/>
          <w:noProof/>
          <w:sz w:val="22"/>
          <w:szCs w:val="22"/>
        </w:rPr>
      </w:pPr>
      <w:hyperlink w:anchor="_Toc15908086" w:history="1">
        <w:r w:rsidR="00501843" w:rsidRPr="00C458F9">
          <w:rPr>
            <w:rStyle w:val="Hyperlink"/>
            <w:noProof/>
          </w:rPr>
          <w:t>9.</w:t>
        </w:r>
        <w:r w:rsidR="00501843">
          <w:rPr>
            <w:rFonts w:asciiTheme="minorHAnsi" w:eastAsiaTheme="minorEastAsia" w:hAnsiTheme="minorHAnsi" w:cstheme="minorBidi"/>
            <w:noProof/>
            <w:sz w:val="22"/>
            <w:szCs w:val="22"/>
          </w:rPr>
          <w:tab/>
        </w:r>
        <w:r w:rsidR="00501843" w:rsidRPr="00C458F9">
          <w:rPr>
            <w:rStyle w:val="Hyperlink"/>
            <w:noProof/>
          </w:rPr>
          <w:t>Marketing, Education and Outreach</w:t>
        </w:r>
        <w:r w:rsidR="00501843">
          <w:rPr>
            <w:noProof/>
            <w:webHidden/>
          </w:rPr>
          <w:tab/>
        </w:r>
        <w:r w:rsidR="00501843">
          <w:rPr>
            <w:noProof/>
            <w:webHidden/>
          </w:rPr>
          <w:fldChar w:fldCharType="begin"/>
        </w:r>
        <w:r w:rsidR="00501843">
          <w:rPr>
            <w:noProof/>
            <w:webHidden/>
          </w:rPr>
          <w:instrText xml:space="preserve"> PAGEREF _Toc15908086 \h </w:instrText>
        </w:r>
        <w:r w:rsidR="00501843">
          <w:rPr>
            <w:noProof/>
            <w:webHidden/>
          </w:rPr>
        </w:r>
        <w:r w:rsidR="00501843">
          <w:rPr>
            <w:noProof/>
            <w:webHidden/>
          </w:rPr>
          <w:fldChar w:fldCharType="separate"/>
        </w:r>
        <w:r>
          <w:rPr>
            <w:noProof/>
            <w:webHidden/>
          </w:rPr>
          <w:t>54</w:t>
        </w:r>
        <w:r w:rsidR="00501843">
          <w:rPr>
            <w:noProof/>
            <w:webHidden/>
          </w:rPr>
          <w:fldChar w:fldCharType="end"/>
        </w:r>
      </w:hyperlink>
    </w:p>
    <w:p w14:paraId="0B61D97D" w14:textId="696818F7" w:rsidR="00501843" w:rsidRDefault="00AB292B">
      <w:pPr>
        <w:pStyle w:val="TOC2"/>
        <w:rPr>
          <w:rFonts w:asciiTheme="minorHAnsi" w:eastAsiaTheme="minorEastAsia" w:hAnsiTheme="minorHAnsi" w:cstheme="minorBidi"/>
          <w:noProof/>
          <w:sz w:val="22"/>
          <w:szCs w:val="22"/>
        </w:rPr>
      </w:pPr>
      <w:hyperlink w:anchor="_Toc15908087" w:history="1">
        <w:r w:rsidR="00501843" w:rsidRPr="00C458F9">
          <w:rPr>
            <w:rStyle w:val="Hyperlink"/>
            <w:noProof/>
          </w:rPr>
          <w:t>9.1.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_Toc15908087 \h </w:instrText>
        </w:r>
        <w:r w:rsidR="00501843">
          <w:rPr>
            <w:noProof/>
            <w:webHidden/>
          </w:rPr>
        </w:r>
        <w:r w:rsidR="00501843">
          <w:rPr>
            <w:noProof/>
            <w:webHidden/>
          </w:rPr>
          <w:fldChar w:fldCharType="separate"/>
        </w:r>
        <w:r>
          <w:rPr>
            <w:noProof/>
            <w:webHidden/>
          </w:rPr>
          <w:t>54</w:t>
        </w:r>
        <w:r w:rsidR="00501843">
          <w:rPr>
            <w:noProof/>
            <w:webHidden/>
          </w:rPr>
          <w:fldChar w:fldCharType="end"/>
        </w:r>
      </w:hyperlink>
    </w:p>
    <w:p w14:paraId="43E15379" w14:textId="24331ED6" w:rsidR="00501843" w:rsidRDefault="00AB292B">
      <w:pPr>
        <w:pStyle w:val="TOC2"/>
        <w:rPr>
          <w:rFonts w:asciiTheme="minorHAnsi" w:eastAsiaTheme="minorEastAsia" w:hAnsiTheme="minorHAnsi" w:cstheme="minorBidi"/>
          <w:noProof/>
          <w:sz w:val="22"/>
          <w:szCs w:val="22"/>
        </w:rPr>
      </w:pPr>
      <w:hyperlink w:anchor="_Toc15908088" w:history="1">
        <w:r w:rsidR="00501843" w:rsidRPr="00C458F9">
          <w:rPr>
            <w:rStyle w:val="Hyperlink"/>
            <w:noProof/>
          </w:rPr>
          <w:t>9.2.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_Toc15908088 \h </w:instrText>
        </w:r>
        <w:r w:rsidR="00501843">
          <w:rPr>
            <w:noProof/>
            <w:webHidden/>
          </w:rPr>
        </w:r>
        <w:r w:rsidR="00501843">
          <w:rPr>
            <w:noProof/>
            <w:webHidden/>
          </w:rPr>
          <w:fldChar w:fldCharType="separate"/>
        </w:r>
        <w:r>
          <w:rPr>
            <w:noProof/>
            <w:webHidden/>
          </w:rPr>
          <w:t>56</w:t>
        </w:r>
        <w:r w:rsidR="00501843">
          <w:rPr>
            <w:noProof/>
            <w:webHidden/>
          </w:rPr>
          <w:fldChar w:fldCharType="end"/>
        </w:r>
      </w:hyperlink>
    </w:p>
    <w:p w14:paraId="364C123D" w14:textId="67940244" w:rsidR="00501843" w:rsidRDefault="00AB292B">
      <w:pPr>
        <w:pStyle w:val="TOC1"/>
        <w:rPr>
          <w:rFonts w:asciiTheme="minorHAnsi" w:eastAsiaTheme="minorEastAsia" w:hAnsiTheme="minorHAnsi" w:cstheme="minorBidi"/>
          <w:noProof/>
          <w:sz w:val="22"/>
          <w:szCs w:val="22"/>
        </w:rPr>
      </w:pPr>
      <w:hyperlink w:anchor="_Toc15908089" w:history="1">
        <w:r w:rsidR="00501843" w:rsidRPr="00C458F9">
          <w:rPr>
            <w:rStyle w:val="Hyperlink"/>
            <w:noProof/>
          </w:rPr>
          <w:t>10.</w:t>
        </w:r>
        <w:r w:rsidR="00501843">
          <w:rPr>
            <w:rFonts w:asciiTheme="minorHAnsi" w:eastAsiaTheme="minorEastAsia" w:hAnsiTheme="minorHAnsi" w:cstheme="minorBidi"/>
            <w:noProof/>
            <w:sz w:val="22"/>
            <w:szCs w:val="22"/>
          </w:rPr>
          <w:tab/>
        </w:r>
        <w:r w:rsidR="00501843" w:rsidRPr="00C458F9">
          <w:rPr>
            <w:rStyle w:val="Hyperlink"/>
            <w:noProof/>
          </w:rPr>
          <w:t>Equity Budget Developer Cap</w:t>
        </w:r>
        <w:r w:rsidR="00501843">
          <w:rPr>
            <w:noProof/>
            <w:webHidden/>
          </w:rPr>
          <w:tab/>
        </w:r>
        <w:r w:rsidR="00501843">
          <w:rPr>
            <w:noProof/>
            <w:webHidden/>
          </w:rPr>
          <w:fldChar w:fldCharType="begin"/>
        </w:r>
        <w:r w:rsidR="00501843">
          <w:rPr>
            <w:noProof/>
            <w:webHidden/>
          </w:rPr>
          <w:instrText xml:space="preserve"> PAGEREF _Toc15908089 \h </w:instrText>
        </w:r>
        <w:r w:rsidR="00501843">
          <w:rPr>
            <w:noProof/>
            <w:webHidden/>
          </w:rPr>
        </w:r>
        <w:r w:rsidR="00501843">
          <w:rPr>
            <w:noProof/>
            <w:webHidden/>
          </w:rPr>
          <w:fldChar w:fldCharType="separate"/>
        </w:r>
        <w:r>
          <w:rPr>
            <w:noProof/>
            <w:webHidden/>
          </w:rPr>
          <w:t>59</w:t>
        </w:r>
        <w:r w:rsidR="00501843">
          <w:rPr>
            <w:noProof/>
            <w:webHidden/>
          </w:rPr>
          <w:fldChar w:fldCharType="end"/>
        </w:r>
      </w:hyperlink>
    </w:p>
    <w:p w14:paraId="1F647A5D" w14:textId="65CDA801" w:rsidR="00501843" w:rsidRDefault="00AB292B">
      <w:pPr>
        <w:pStyle w:val="TOC2"/>
        <w:rPr>
          <w:rFonts w:asciiTheme="minorHAnsi" w:eastAsiaTheme="minorEastAsia" w:hAnsiTheme="minorHAnsi" w:cstheme="minorBidi"/>
          <w:noProof/>
          <w:sz w:val="22"/>
          <w:szCs w:val="22"/>
        </w:rPr>
      </w:pPr>
      <w:hyperlink w:anchor="_Toc15908090" w:history="1">
        <w:r w:rsidR="00501843" w:rsidRPr="00C458F9">
          <w:rPr>
            <w:rStyle w:val="Hyperlink"/>
            <w:noProof/>
          </w:rPr>
          <w:t>10.1.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_Toc15908090 \h </w:instrText>
        </w:r>
        <w:r w:rsidR="00501843">
          <w:rPr>
            <w:noProof/>
            <w:webHidden/>
          </w:rPr>
        </w:r>
        <w:r w:rsidR="00501843">
          <w:rPr>
            <w:noProof/>
            <w:webHidden/>
          </w:rPr>
          <w:fldChar w:fldCharType="separate"/>
        </w:r>
        <w:r>
          <w:rPr>
            <w:noProof/>
            <w:webHidden/>
          </w:rPr>
          <w:t>59</w:t>
        </w:r>
        <w:r w:rsidR="00501843">
          <w:rPr>
            <w:noProof/>
            <w:webHidden/>
          </w:rPr>
          <w:fldChar w:fldCharType="end"/>
        </w:r>
      </w:hyperlink>
    </w:p>
    <w:p w14:paraId="6CB71135" w14:textId="16A78B95" w:rsidR="00501843" w:rsidRDefault="00AB292B">
      <w:pPr>
        <w:pStyle w:val="TOC2"/>
        <w:rPr>
          <w:rFonts w:asciiTheme="minorHAnsi" w:eastAsiaTheme="minorEastAsia" w:hAnsiTheme="minorHAnsi" w:cstheme="minorBidi"/>
          <w:noProof/>
          <w:sz w:val="22"/>
          <w:szCs w:val="22"/>
        </w:rPr>
      </w:pPr>
      <w:hyperlink w:anchor="_Toc15908091" w:history="1">
        <w:r w:rsidR="00501843" w:rsidRPr="00C458F9">
          <w:rPr>
            <w:rStyle w:val="Hyperlink"/>
            <w:noProof/>
          </w:rPr>
          <w:t>10.2.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_Toc15908091 \h </w:instrText>
        </w:r>
        <w:r w:rsidR="00501843">
          <w:rPr>
            <w:noProof/>
            <w:webHidden/>
          </w:rPr>
        </w:r>
        <w:r w:rsidR="00501843">
          <w:rPr>
            <w:noProof/>
            <w:webHidden/>
          </w:rPr>
          <w:fldChar w:fldCharType="separate"/>
        </w:r>
        <w:r>
          <w:rPr>
            <w:noProof/>
            <w:webHidden/>
          </w:rPr>
          <w:t>60</w:t>
        </w:r>
        <w:r w:rsidR="00501843">
          <w:rPr>
            <w:noProof/>
            <w:webHidden/>
          </w:rPr>
          <w:fldChar w:fldCharType="end"/>
        </w:r>
      </w:hyperlink>
    </w:p>
    <w:p w14:paraId="461C0CC6" w14:textId="621DC9CB" w:rsidR="00501843" w:rsidRDefault="00AB292B">
      <w:pPr>
        <w:pStyle w:val="TOC1"/>
        <w:rPr>
          <w:rFonts w:asciiTheme="minorHAnsi" w:eastAsiaTheme="minorEastAsia" w:hAnsiTheme="minorHAnsi" w:cstheme="minorBidi"/>
          <w:noProof/>
          <w:sz w:val="22"/>
          <w:szCs w:val="22"/>
        </w:rPr>
      </w:pPr>
      <w:hyperlink w:anchor="_Toc15908092" w:history="1">
        <w:r w:rsidR="00501843" w:rsidRPr="00C458F9">
          <w:rPr>
            <w:rStyle w:val="Hyperlink"/>
            <w:noProof/>
          </w:rPr>
          <w:t>11.</w:t>
        </w:r>
        <w:r w:rsidR="00501843">
          <w:rPr>
            <w:rFonts w:asciiTheme="minorHAnsi" w:eastAsiaTheme="minorEastAsia" w:hAnsiTheme="minorHAnsi" w:cstheme="minorBidi"/>
            <w:noProof/>
            <w:sz w:val="22"/>
            <w:szCs w:val="22"/>
          </w:rPr>
          <w:tab/>
        </w:r>
        <w:r w:rsidR="00501843" w:rsidRPr="00C458F9">
          <w:rPr>
            <w:rStyle w:val="Hyperlink"/>
            <w:noProof/>
          </w:rPr>
          <w:t>Equity Resiliency Budget</w:t>
        </w:r>
        <w:r w:rsidR="00501843">
          <w:rPr>
            <w:noProof/>
            <w:webHidden/>
          </w:rPr>
          <w:tab/>
        </w:r>
        <w:r w:rsidR="00501843">
          <w:rPr>
            <w:noProof/>
            <w:webHidden/>
          </w:rPr>
          <w:fldChar w:fldCharType="begin"/>
        </w:r>
        <w:r w:rsidR="00501843">
          <w:rPr>
            <w:noProof/>
            <w:webHidden/>
          </w:rPr>
          <w:instrText xml:space="preserve"> PAGEREF _Toc15908092 \h </w:instrText>
        </w:r>
        <w:r w:rsidR="00501843">
          <w:rPr>
            <w:noProof/>
            <w:webHidden/>
          </w:rPr>
        </w:r>
        <w:r w:rsidR="00501843">
          <w:rPr>
            <w:noProof/>
            <w:webHidden/>
          </w:rPr>
          <w:fldChar w:fldCharType="separate"/>
        </w:r>
        <w:r>
          <w:rPr>
            <w:noProof/>
            <w:webHidden/>
          </w:rPr>
          <w:t>60</w:t>
        </w:r>
        <w:r w:rsidR="00501843">
          <w:rPr>
            <w:noProof/>
            <w:webHidden/>
          </w:rPr>
          <w:fldChar w:fldCharType="end"/>
        </w:r>
      </w:hyperlink>
    </w:p>
    <w:p w14:paraId="3D22DEC6" w14:textId="6D5B54B6" w:rsidR="00501843" w:rsidRDefault="00AB292B">
      <w:pPr>
        <w:pStyle w:val="TOC2"/>
        <w:rPr>
          <w:rFonts w:asciiTheme="minorHAnsi" w:eastAsiaTheme="minorEastAsia" w:hAnsiTheme="minorHAnsi" w:cstheme="minorBidi"/>
          <w:noProof/>
          <w:sz w:val="22"/>
          <w:szCs w:val="22"/>
        </w:rPr>
      </w:pPr>
      <w:hyperlink w:anchor="_Toc15908093" w:history="1">
        <w:r w:rsidR="00501843" w:rsidRPr="00C458F9">
          <w:rPr>
            <w:rStyle w:val="Hyperlink"/>
            <w:noProof/>
          </w:rPr>
          <w:t>11.1.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_Toc15908093 \h </w:instrText>
        </w:r>
        <w:r w:rsidR="00501843">
          <w:rPr>
            <w:noProof/>
            <w:webHidden/>
          </w:rPr>
        </w:r>
        <w:r w:rsidR="00501843">
          <w:rPr>
            <w:noProof/>
            <w:webHidden/>
          </w:rPr>
          <w:fldChar w:fldCharType="separate"/>
        </w:r>
        <w:r>
          <w:rPr>
            <w:noProof/>
            <w:webHidden/>
          </w:rPr>
          <w:t>64</w:t>
        </w:r>
        <w:r w:rsidR="00501843">
          <w:rPr>
            <w:noProof/>
            <w:webHidden/>
          </w:rPr>
          <w:fldChar w:fldCharType="end"/>
        </w:r>
      </w:hyperlink>
    </w:p>
    <w:p w14:paraId="7DC91968" w14:textId="38732E4D" w:rsidR="00501843" w:rsidRDefault="00AB292B">
      <w:pPr>
        <w:pStyle w:val="TOC2"/>
        <w:rPr>
          <w:rFonts w:asciiTheme="minorHAnsi" w:eastAsiaTheme="minorEastAsia" w:hAnsiTheme="minorHAnsi" w:cstheme="minorBidi"/>
          <w:noProof/>
          <w:sz w:val="22"/>
          <w:szCs w:val="22"/>
        </w:rPr>
      </w:pPr>
      <w:hyperlink w:anchor="_Toc15908094" w:history="1">
        <w:r w:rsidR="00501843" w:rsidRPr="00C458F9">
          <w:rPr>
            <w:rStyle w:val="Hyperlink"/>
            <w:noProof/>
          </w:rPr>
          <w:t>11.2.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_Toc15908094 \h </w:instrText>
        </w:r>
        <w:r w:rsidR="00501843">
          <w:rPr>
            <w:noProof/>
            <w:webHidden/>
          </w:rPr>
        </w:r>
        <w:r w:rsidR="00501843">
          <w:rPr>
            <w:noProof/>
            <w:webHidden/>
          </w:rPr>
          <w:fldChar w:fldCharType="separate"/>
        </w:r>
        <w:r>
          <w:rPr>
            <w:noProof/>
            <w:webHidden/>
          </w:rPr>
          <w:t>65</w:t>
        </w:r>
        <w:r w:rsidR="00501843">
          <w:rPr>
            <w:noProof/>
            <w:webHidden/>
          </w:rPr>
          <w:fldChar w:fldCharType="end"/>
        </w:r>
      </w:hyperlink>
    </w:p>
    <w:p w14:paraId="26E0B5ED" w14:textId="1800761A" w:rsidR="00501843" w:rsidRDefault="00AB292B">
      <w:pPr>
        <w:pStyle w:val="TOC1"/>
        <w:rPr>
          <w:rFonts w:asciiTheme="minorHAnsi" w:eastAsiaTheme="minorEastAsia" w:hAnsiTheme="minorHAnsi" w:cstheme="minorBidi"/>
          <w:noProof/>
          <w:sz w:val="22"/>
          <w:szCs w:val="22"/>
        </w:rPr>
      </w:pPr>
      <w:hyperlink w:anchor="_Toc15908095" w:history="1">
        <w:r w:rsidR="00501843" w:rsidRPr="00C458F9">
          <w:rPr>
            <w:rStyle w:val="Hyperlink"/>
            <w:noProof/>
          </w:rPr>
          <w:t>12.</w:t>
        </w:r>
        <w:r w:rsidR="00501843">
          <w:rPr>
            <w:rFonts w:asciiTheme="minorHAnsi" w:eastAsiaTheme="minorEastAsia" w:hAnsiTheme="minorHAnsi" w:cstheme="minorBidi"/>
            <w:noProof/>
            <w:sz w:val="22"/>
            <w:szCs w:val="22"/>
          </w:rPr>
          <w:tab/>
        </w:r>
        <w:r w:rsidR="00501843" w:rsidRPr="00C458F9">
          <w:rPr>
            <w:rStyle w:val="Hyperlink"/>
            <w:noProof/>
          </w:rPr>
          <w:t>Equity Budget Heat Pump Water Heaters</w:t>
        </w:r>
        <w:r w:rsidR="00501843">
          <w:rPr>
            <w:noProof/>
            <w:webHidden/>
          </w:rPr>
          <w:tab/>
        </w:r>
        <w:r w:rsidR="00501843">
          <w:rPr>
            <w:noProof/>
            <w:webHidden/>
          </w:rPr>
          <w:fldChar w:fldCharType="begin"/>
        </w:r>
        <w:r w:rsidR="00501843">
          <w:rPr>
            <w:noProof/>
            <w:webHidden/>
          </w:rPr>
          <w:instrText xml:space="preserve"> PAGEREF _Toc15908095 \h </w:instrText>
        </w:r>
        <w:r w:rsidR="00501843">
          <w:rPr>
            <w:noProof/>
            <w:webHidden/>
          </w:rPr>
        </w:r>
        <w:r w:rsidR="00501843">
          <w:rPr>
            <w:noProof/>
            <w:webHidden/>
          </w:rPr>
          <w:fldChar w:fldCharType="separate"/>
        </w:r>
        <w:r>
          <w:rPr>
            <w:noProof/>
            <w:webHidden/>
          </w:rPr>
          <w:t>68</w:t>
        </w:r>
        <w:r w:rsidR="00501843">
          <w:rPr>
            <w:noProof/>
            <w:webHidden/>
          </w:rPr>
          <w:fldChar w:fldCharType="end"/>
        </w:r>
      </w:hyperlink>
    </w:p>
    <w:p w14:paraId="15B0046A" w14:textId="095CABA9" w:rsidR="00501843" w:rsidRDefault="00AB292B">
      <w:pPr>
        <w:pStyle w:val="TOC2"/>
        <w:rPr>
          <w:rFonts w:asciiTheme="minorHAnsi" w:eastAsiaTheme="minorEastAsia" w:hAnsiTheme="minorHAnsi" w:cstheme="minorBidi"/>
          <w:noProof/>
          <w:sz w:val="22"/>
          <w:szCs w:val="22"/>
        </w:rPr>
      </w:pPr>
      <w:hyperlink w:anchor="_Toc15908096" w:history="1">
        <w:r w:rsidR="00501843" w:rsidRPr="00C458F9">
          <w:rPr>
            <w:rStyle w:val="Hyperlink"/>
            <w:noProof/>
          </w:rPr>
          <w:t>12.1.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_Toc15908096 \h </w:instrText>
        </w:r>
        <w:r w:rsidR="00501843">
          <w:rPr>
            <w:noProof/>
            <w:webHidden/>
          </w:rPr>
        </w:r>
        <w:r w:rsidR="00501843">
          <w:rPr>
            <w:noProof/>
            <w:webHidden/>
          </w:rPr>
          <w:fldChar w:fldCharType="separate"/>
        </w:r>
        <w:r>
          <w:rPr>
            <w:noProof/>
            <w:webHidden/>
          </w:rPr>
          <w:t>68</w:t>
        </w:r>
        <w:r w:rsidR="00501843">
          <w:rPr>
            <w:noProof/>
            <w:webHidden/>
          </w:rPr>
          <w:fldChar w:fldCharType="end"/>
        </w:r>
      </w:hyperlink>
    </w:p>
    <w:p w14:paraId="1CA61CA5" w14:textId="7F8A6055" w:rsidR="00501843" w:rsidRDefault="00AB292B">
      <w:pPr>
        <w:pStyle w:val="TOC2"/>
        <w:rPr>
          <w:rFonts w:asciiTheme="minorHAnsi" w:eastAsiaTheme="minorEastAsia" w:hAnsiTheme="minorHAnsi" w:cstheme="minorBidi"/>
          <w:noProof/>
          <w:sz w:val="22"/>
          <w:szCs w:val="22"/>
        </w:rPr>
      </w:pPr>
      <w:hyperlink w:anchor="_Toc15908097" w:history="1">
        <w:r w:rsidR="00501843" w:rsidRPr="00C458F9">
          <w:rPr>
            <w:rStyle w:val="Hyperlink"/>
            <w:noProof/>
          </w:rPr>
          <w:t>12.2.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_Toc15908097 \h </w:instrText>
        </w:r>
        <w:r w:rsidR="00501843">
          <w:rPr>
            <w:noProof/>
            <w:webHidden/>
          </w:rPr>
        </w:r>
        <w:r w:rsidR="00501843">
          <w:rPr>
            <w:noProof/>
            <w:webHidden/>
          </w:rPr>
          <w:fldChar w:fldCharType="separate"/>
        </w:r>
        <w:r>
          <w:rPr>
            <w:noProof/>
            <w:webHidden/>
          </w:rPr>
          <w:t>70</w:t>
        </w:r>
        <w:r w:rsidR="00501843">
          <w:rPr>
            <w:noProof/>
            <w:webHidden/>
          </w:rPr>
          <w:fldChar w:fldCharType="end"/>
        </w:r>
      </w:hyperlink>
    </w:p>
    <w:p w14:paraId="2BA59A05" w14:textId="61799E08" w:rsidR="00501843" w:rsidRDefault="00AB292B">
      <w:pPr>
        <w:pStyle w:val="TOC1"/>
        <w:rPr>
          <w:rFonts w:asciiTheme="minorHAnsi" w:eastAsiaTheme="minorEastAsia" w:hAnsiTheme="minorHAnsi" w:cstheme="minorBidi"/>
          <w:noProof/>
          <w:sz w:val="22"/>
          <w:szCs w:val="22"/>
        </w:rPr>
      </w:pPr>
      <w:hyperlink w:anchor="_Toc15908098" w:history="1">
        <w:r w:rsidR="00501843" w:rsidRPr="00C458F9">
          <w:rPr>
            <w:rStyle w:val="Hyperlink"/>
            <w:noProof/>
          </w:rPr>
          <w:t>13.</w:t>
        </w:r>
        <w:r w:rsidR="00501843">
          <w:rPr>
            <w:rFonts w:asciiTheme="minorHAnsi" w:eastAsiaTheme="minorEastAsia" w:hAnsiTheme="minorHAnsi" w:cstheme="minorBidi"/>
            <w:noProof/>
            <w:sz w:val="22"/>
            <w:szCs w:val="22"/>
          </w:rPr>
          <w:tab/>
        </w:r>
        <w:r w:rsidR="00501843" w:rsidRPr="00C458F9">
          <w:rPr>
            <w:rStyle w:val="Hyperlink"/>
            <w:noProof/>
          </w:rPr>
          <w:t>San Joaquin Valley Affordable Energy Pilot Projects</w:t>
        </w:r>
        <w:r w:rsidR="00501843">
          <w:rPr>
            <w:noProof/>
            <w:webHidden/>
          </w:rPr>
          <w:tab/>
        </w:r>
        <w:r w:rsidR="00501843">
          <w:rPr>
            <w:noProof/>
            <w:webHidden/>
          </w:rPr>
          <w:fldChar w:fldCharType="begin"/>
        </w:r>
        <w:r w:rsidR="00501843">
          <w:rPr>
            <w:noProof/>
            <w:webHidden/>
          </w:rPr>
          <w:instrText xml:space="preserve"> PAGEREF _Toc15908098 \h </w:instrText>
        </w:r>
        <w:r w:rsidR="00501843">
          <w:rPr>
            <w:noProof/>
            <w:webHidden/>
          </w:rPr>
        </w:r>
        <w:r w:rsidR="00501843">
          <w:rPr>
            <w:noProof/>
            <w:webHidden/>
          </w:rPr>
          <w:fldChar w:fldCharType="separate"/>
        </w:r>
        <w:r>
          <w:rPr>
            <w:noProof/>
            <w:webHidden/>
          </w:rPr>
          <w:t>72</w:t>
        </w:r>
        <w:r w:rsidR="00501843">
          <w:rPr>
            <w:noProof/>
            <w:webHidden/>
          </w:rPr>
          <w:fldChar w:fldCharType="end"/>
        </w:r>
      </w:hyperlink>
    </w:p>
    <w:p w14:paraId="0B126E83" w14:textId="2FDF403D" w:rsidR="00501843" w:rsidRDefault="00AB292B">
      <w:pPr>
        <w:pStyle w:val="TOC2"/>
        <w:rPr>
          <w:rFonts w:asciiTheme="minorHAnsi" w:eastAsiaTheme="minorEastAsia" w:hAnsiTheme="minorHAnsi" w:cstheme="minorBidi"/>
          <w:noProof/>
          <w:sz w:val="22"/>
          <w:szCs w:val="22"/>
        </w:rPr>
      </w:pPr>
      <w:hyperlink w:anchor="_Toc15908099" w:history="1">
        <w:r w:rsidR="00501843" w:rsidRPr="00C458F9">
          <w:rPr>
            <w:rStyle w:val="Hyperlink"/>
            <w:noProof/>
          </w:rPr>
          <w:t>13.1.</w:t>
        </w:r>
        <w:r w:rsidR="00501843">
          <w:rPr>
            <w:rFonts w:asciiTheme="minorHAnsi" w:eastAsiaTheme="minorEastAsia" w:hAnsiTheme="minorHAnsi" w:cstheme="minorBidi"/>
            <w:noProof/>
            <w:sz w:val="22"/>
            <w:szCs w:val="22"/>
          </w:rPr>
          <w:tab/>
        </w:r>
        <w:r w:rsidR="00501843" w:rsidRPr="00C458F9">
          <w:rPr>
            <w:rStyle w:val="Hyperlink"/>
            <w:noProof/>
          </w:rPr>
          <w:t>Background</w:t>
        </w:r>
        <w:r w:rsidR="00501843">
          <w:rPr>
            <w:noProof/>
            <w:webHidden/>
          </w:rPr>
          <w:tab/>
        </w:r>
        <w:r w:rsidR="00501843">
          <w:rPr>
            <w:noProof/>
            <w:webHidden/>
          </w:rPr>
          <w:fldChar w:fldCharType="begin"/>
        </w:r>
        <w:r w:rsidR="00501843">
          <w:rPr>
            <w:noProof/>
            <w:webHidden/>
          </w:rPr>
          <w:instrText xml:space="preserve"> PAGEREF _Toc15908099 \h </w:instrText>
        </w:r>
        <w:r w:rsidR="00501843">
          <w:rPr>
            <w:noProof/>
            <w:webHidden/>
          </w:rPr>
        </w:r>
        <w:r w:rsidR="00501843">
          <w:rPr>
            <w:noProof/>
            <w:webHidden/>
          </w:rPr>
          <w:fldChar w:fldCharType="separate"/>
        </w:r>
        <w:r>
          <w:rPr>
            <w:noProof/>
            <w:webHidden/>
          </w:rPr>
          <w:t>72</w:t>
        </w:r>
        <w:r w:rsidR="00501843">
          <w:rPr>
            <w:noProof/>
            <w:webHidden/>
          </w:rPr>
          <w:fldChar w:fldCharType="end"/>
        </w:r>
      </w:hyperlink>
    </w:p>
    <w:p w14:paraId="5D265002" w14:textId="571C87C4" w:rsidR="00501843" w:rsidRDefault="00AB292B">
      <w:pPr>
        <w:pStyle w:val="TOC2"/>
        <w:rPr>
          <w:rFonts w:asciiTheme="minorHAnsi" w:eastAsiaTheme="minorEastAsia" w:hAnsiTheme="minorHAnsi" w:cstheme="minorBidi"/>
          <w:noProof/>
          <w:sz w:val="22"/>
          <w:szCs w:val="22"/>
        </w:rPr>
      </w:pPr>
      <w:hyperlink w:anchor="_Toc15908100" w:history="1">
        <w:r w:rsidR="00501843" w:rsidRPr="00C458F9">
          <w:rPr>
            <w:rStyle w:val="Hyperlink"/>
            <w:noProof/>
          </w:rPr>
          <w:t>13.2.</w:t>
        </w:r>
        <w:r w:rsidR="00501843">
          <w:rPr>
            <w:rFonts w:asciiTheme="minorHAnsi" w:eastAsiaTheme="minorEastAsia" w:hAnsiTheme="minorHAnsi" w:cstheme="minorBidi"/>
            <w:noProof/>
            <w:sz w:val="22"/>
            <w:szCs w:val="22"/>
          </w:rPr>
          <w:tab/>
        </w:r>
        <w:r w:rsidR="00501843" w:rsidRPr="00C458F9">
          <w:rPr>
            <w:rStyle w:val="Hyperlink"/>
            <w:noProof/>
          </w:rPr>
          <w:t>Issues Before the Commission</w:t>
        </w:r>
        <w:r w:rsidR="00501843">
          <w:rPr>
            <w:noProof/>
            <w:webHidden/>
          </w:rPr>
          <w:tab/>
        </w:r>
        <w:r w:rsidR="00501843">
          <w:rPr>
            <w:noProof/>
            <w:webHidden/>
          </w:rPr>
          <w:fldChar w:fldCharType="begin"/>
        </w:r>
        <w:r w:rsidR="00501843">
          <w:rPr>
            <w:noProof/>
            <w:webHidden/>
          </w:rPr>
          <w:instrText xml:space="preserve"> PAGEREF _Toc15908100 \h </w:instrText>
        </w:r>
        <w:r w:rsidR="00501843">
          <w:rPr>
            <w:noProof/>
            <w:webHidden/>
          </w:rPr>
        </w:r>
        <w:r w:rsidR="00501843">
          <w:rPr>
            <w:noProof/>
            <w:webHidden/>
          </w:rPr>
          <w:fldChar w:fldCharType="separate"/>
        </w:r>
        <w:r>
          <w:rPr>
            <w:noProof/>
            <w:webHidden/>
          </w:rPr>
          <w:t>74</w:t>
        </w:r>
        <w:r w:rsidR="00501843">
          <w:rPr>
            <w:noProof/>
            <w:webHidden/>
          </w:rPr>
          <w:fldChar w:fldCharType="end"/>
        </w:r>
      </w:hyperlink>
    </w:p>
    <w:p w14:paraId="21D85450" w14:textId="46A79C12" w:rsidR="00501843" w:rsidRDefault="00AB292B">
      <w:pPr>
        <w:pStyle w:val="TOC1"/>
        <w:rPr>
          <w:rFonts w:asciiTheme="minorHAnsi" w:eastAsiaTheme="minorEastAsia" w:hAnsiTheme="minorHAnsi" w:cstheme="minorBidi"/>
          <w:noProof/>
          <w:sz w:val="22"/>
          <w:szCs w:val="22"/>
        </w:rPr>
      </w:pPr>
      <w:hyperlink w:anchor="_Toc15908101" w:history="1">
        <w:r w:rsidR="00501843" w:rsidRPr="00C458F9">
          <w:rPr>
            <w:rStyle w:val="Hyperlink"/>
            <w:noProof/>
          </w:rPr>
          <w:t>14.</w:t>
        </w:r>
        <w:r w:rsidR="00501843">
          <w:rPr>
            <w:rFonts w:asciiTheme="minorHAnsi" w:eastAsiaTheme="minorEastAsia" w:hAnsiTheme="minorHAnsi" w:cstheme="minorBidi"/>
            <w:noProof/>
            <w:sz w:val="22"/>
            <w:szCs w:val="22"/>
          </w:rPr>
          <w:tab/>
        </w:r>
        <w:r w:rsidR="00501843" w:rsidRPr="00C458F9">
          <w:rPr>
            <w:rStyle w:val="Hyperlink"/>
            <w:noProof/>
          </w:rPr>
          <w:t>SJV Affordable Energy Pilot Project SGIP Budget</w:t>
        </w:r>
        <w:r w:rsidR="00501843">
          <w:rPr>
            <w:noProof/>
            <w:webHidden/>
          </w:rPr>
          <w:tab/>
        </w:r>
        <w:r w:rsidR="00501843">
          <w:rPr>
            <w:noProof/>
            <w:webHidden/>
          </w:rPr>
          <w:fldChar w:fldCharType="begin"/>
        </w:r>
        <w:r w:rsidR="00501843">
          <w:rPr>
            <w:noProof/>
            <w:webHidden/>
          </w:rPr>
          <w:instrText xml:space="preserve"> PAGEREF _Toc15908101 \h </w:instrText>
        </w:r>
        <w:r w:rsidR="00501843">
          <w:rPr>
            <w:noProof/>
            <w:webHidden/>
          </w:rPr>
        </w:r>
        <w:r w:rsidR="00501843">
          <w:rPr>
            <w:noProof/>
            <w:webHidden/>
          </w:rPr>
          <w:fldChar w:fldCharType="separate"/>
        </w:r>
        <w:r>
          <w:rPr>
            <w:noProof/>
            <w:webHidden/>
          </w:rPr>
          <w:t>75</w:t>
        </w:r>
        <w:r w:rsidR="00501843">
          <w:rPr>
            <w:noProof/>
            <w:webHidden/>
          </w:rPr>
          <w:fldChar w:fldCharType="end"/>
        </w:r>
      </w:hyperlink>
    </w:p>
    <w:p w14:paraId="03275702" w14:textId="5B0CC421" w:rsidR="00501843" w:rsidRDefault="00AB292B">
      <w:pPr>
        <w:pStyle w:val="TOC2"/>
        <w:rPr>
          <w:rFonts w:asciiTheme="minorHAnsi" w:eastAsiaTheme="minorEastAsia" w:hAnsiTheme="minorHAnsi" w:cstheme="minorBidi"/>
          <w:noProof/>
          <w:sz w:val="22"/>
          <w:szCs w:val="22"/>
        </w:rPr>
      </w:pPr>
      <w:hyperlink w:anchor="_Toc15908102" w:history="1">
        <w:r w:rsidR="00501843" w:rsidRPr="00C458F9">
          <w:rPr>
            <w:rStyle w:val="Hyperlink"/>
            <w:noProof/>
          </w:rPr>
          <w:t>14.1.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_Toc15908102 \h </w:instrText>
        </w:r>
        <w:r w:rsidR="00501843">
          <w:rPr>
            <w:noProof/>
            <w:webHidden/>
          </w:rPr>
        </w:r>
        <w:r w:rsidR="00501843">
          <w:rPr>
            <w:noProof/>
            <w:webHidden/>
          </w:rPr>
          <w:fldChar w:fldCharType="separate"/>
        </w:r>
        <w:r>
          <w:rPr>
            <w:noProof/>
            <w:webHidden/>
          </w:rPr>
          <w:t>75</w:t>
        </w:r>
        <w:r w:rsidR="00501843">
          <w:rPr>
            <w:noProof/>
            <w:webHidden/>
          </w:rPr>
          <w:fldChar w:fldCharType="end"/>
        </w:r>
      </w:hyperlink>
    </w:p>
    <w:p w14:paraId="1741A851" w14:textId="47767FC1" w:rsidR="00501843" w:rsidRDefault="00AB292B">
      <w:pPr>
        <w:pStyle w:val="TOC2"/>
        <w:rPr>
          <w:rFonts w:asciiTheme="minorHAnsi" w:eastAsiaTheme="minorEastAsia" w:hAnsiTheme="minorHAnsi" w:cstheme="minorBidi"/>
          <w:noProof/>
          <w:sz w:val="22"/>
          <w:szCs w:val="22"/>
        </w:rPr>
      </w:pPr>
      <w:hyperlink w:anchor="_Toc15908103" w:history="1">
        <w:r w:rsidR="00501843" w:rsidRPr="00C458F9">
          <w:rPr>
            <w:rStyle w:val="Hyperlink"/>
            <w:noProof/>
          </w:rPr>
          <w:t>14.2.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_Toc15908103 \h </w:instrText>
        </w:r>
        <w:r w:rsidR="00501843">
          <w:rPr>
            <w:noProof/>
            <w:webHidden/>
          </w:rPr>
        </w:r>
        <w:r w:rsidR="00501843">
          <w:rPr>
            <w:noProof/>
            <w:webHidden/>
          </w:rPr>
          <w:fldChar w:fldCharType="separate"/>
        </w:r>
        <w:r>
          <w:rPr>
            <w:noProof/>
            <w:webHidden/>
          </w:rPr>
          <w:t>78</w:t>
        </w:r>
        <w:r w:rsidR="00501843">
          <w:rPr>
            <w:noProof/>
            <w:webHidden/>
          </w:rPr>
          <w:fldChar w:fldCharType="end"/>
        </w:r>
      </w:hyperlink>
    </w:p>
    <w:p w14:paraId="4CE2F4EF" w14:textId="7A0C8A82" w:rsidR="00501843" w:rsidRDefault="00AB292B">
      <w:pPr>
        <w:pStyle w:val="TOC1"/>
        <w:rPr>
          <w:rFonts w:asciiTheme="minorHAnsi" w:eastAsiaTheme="minorEastAsia" w:hAnsiTheme="minorHAnsi" w:cstheme="minorBidi"/>
          <w:noProof/>
          <w:sz w:val="22"/>
          <w:szCs w:val="22"/>
        </w:rPr>
      </w:pPr>
      <w:hyperlink w:anchor="_Toc15908104" w:history="1">
        <w:r w:rsidR="00501843" w:rsidRPr="00C458F9">
          <w:rPr>
            <w:rStyle w:val="Hyperlink"/>
            <w:noProof/>
          </w:rPr>
          <w:t>15.</w:t>
        </w:r>
        <w:r w:rsidR="00501843">
          <w:rPr>
            <w:rFonts w:asciiTheme="minorHAnsi" w:eastAsiaTheme="minorEastAsia" w:hAnsiTheme="minorHAnsi" w:cstheme="minorBidi"/>
            <w:noProof/>
            <w:sz w:val="22"/>
            <w:szCs w:val="22"/>
          </w:rPr>
          <w:tab/>
        </w:r>
        <w:r w:rsidR="00501843" w:rsidRPr="00C458F9">
          <w:rPr>
            <w:rStyle w:val="Hyperlink"/>
            <w:noProof/>
          </w:rPr>
          <w:t>S</w:t>
        </w:r>
        <w:r w:rsidR="00754CCC">
          <w:rPr>
            <w:rStyle w:val="Hyperlink"/>
            <w:noProof/>
          </w:rPr>
          <w:t>J</w:t>
        </w:r>
        <w:r w:rsidR="00501843" w:rsidRPr="00C458F9">
          <w:rPr>
            <w:rStyle w:val="Hyperlink"/>
            <w:noProof/>
          </w:rPr>
          <w:t>V Pilot Incentive Design and Eligibility Criteria</w:t>
        </w:r>
        <w:r w:rsidR="00501843">
          <w:rPr>
            <w:noProof/>
            <w:webHidden/>
          </w:rPr>
          <w:tab/>
        </w:r>
        <w:r w:rsidR="00501843">
          <w:rPr>
            <w:noProof/>
            <w:webHidden/>
          </w:rPr>
          <w:fldChar w:fldCharType="begin"/>
        </w:r>
        <w:r w:rsidR="00501843">
          <w:rPr>
            <w:noProof/>
            <w:webHidden/>
          </w:rPr>
          <w:instrText xml:space="preserve"> PAGEREF _Toc15908104 \h </w:instrText>
        </w:r>
        <w:r w:rsidR="00501843">
          <w:rPr>
            <w:noProof/>
            <w:webHidden/>
          </w:rPr>
        </w:r>
        <w:r w:rsidR="00501843">
          <w:rPr>
            <w:noProof/>
            <w:webHidden/>
          </w:rPr>
          <w:fldChar w:fldCharType="separate"/>
        </w:r>
        <w:r>
          <w:rPr>
            <w:noProof/>
            <w:webHidden/>
          </w:rPr>
          <w:t>81</w:t>
        </w:r>
        <w:r w:rsidR="00501843">
          <w:rPr>
            <w:noProof/>
            <w:webHidden/>
          </w:rPr>
          <w:fldChar w:fldCharType="end"/>
        </w:r>
      </w:hyperlink>
    </w:p>
    <w:p w14:paraId="39DB4692" w14:textId="6841C380" w:rsidR="00501843" w:rsidRDefault="00AB292B">
      <w:pPr>
        <w:pStyle w:val="TOC2"/>
        <w:rPr>
          <w:rFonts w:asciiTheme="minorHAnsi" w:eastAsiaTheme="minorEastAsia" w:hAnsiTheme="minorHAnsi" w:cstheme="minorBidi"/>
          <w:noProof/>
          <w:sz w:val="22"/>
          <w:szCs w:val="22"/>
        </w:rPr>
      </w:pPr>
      <w:hyperlink w:anchor="_Toc15908105" w:history="1">
        <w:r w:rsidR="00501843" w:rsidRPr="00C458F9">
          <w:rPr>
            <w:rStyle w:val="Hyperlink"/>
            <w:noProof/>
          </w:rPr>
          <w:t>15.1.</w:t>
        </w:r>
        <w:r w:rsidR="00501843">
          <w:rPr>
            <w:rFonts w:asciiTheme="minorHAnsi" w:eastAsiaTheme="minorEastAsia" w:hAnsiTheme="minorHAnsi" w:cstheme="minorBidi"/>
            <w:noProof/>
            <w:sz w:val="22"/>
            <w:szCs w:val="22"/>
          </w:rPr>
          <w:tab/>
        </w:r>
        <w:r w:rsidR="00501843" w:rsidRPr="00C458F9">
          <w:rPr>
            <w:rStyle w:val="Hyperlink"/>
            <w:noProof/>
          </w:rPr>
          <w:t>Party Comments</w:t>
        </w:r>
        <w:r w:rsidR="00501843">
          <w:rPr>
            <w:noProof/>
            <w:webHidden/>
          </w:rPr>
          <w:tab/>
        </w:r>
        <w:r w:rsidR="00501843">
          <w:rPr>
            <w:noProof/>
            <w:webHidden/>
          </w:rPr>
          <w:fldChar w:fldCharType="begin"/>
        </w:r>
        <w:r w:rsidR="00501843">
          <w:rPr>
            <w:noProof/>
            <w:webHidden/>
          </w:rPr>
          <w:instrText xml:space="preserve"> PAGEREF _Toc15908105 \h </w:instrText>
        </w:r>
        <w:r w:rsidR="00501843">
          <w:rPr>
            <w:noProof/>
            <w:webHidden/>
          </w:rPr>
        </w:r>
        <w:r w:rsidR="00501843">
          <w:rPr>
            <w:noProof/>
            <w:webHidden/>
          </w:rPr>
          <w:fldChar w:fldCharType="separate"/>
        </w:r>
        <w:r>
          <w:rPr>
            <w:noProof/>
            <w:webHidden/>
          </w:rPr>
          <w:t>81</w:t>
        </w:r>
        <w:r w:rsidR="00501843">
          <w:rPr>
            <w:noProof/>
            <w:webHidden/>
          </w:rPr>
          <w:fldChar w:fldCharType="end"/>
        </w:r>
      </w:hyperlink>
    </w:p>
    <w:p w14:paraId="2C2F2F66" w14:textId="540B907A" w:rsidR="00501843" w:rsidRDefault="00AB292B">
      <w:pPr>
        <w:pStyle w:val="TOC2"/>
        <w:rPr>
          <w:rFonts w:asciiTheme="minorHAnsi" w:eastAsiaTheme="minorEastAsia" w:hAnsiTheme="minorHAnsi" w:cstheme="minorBidi"/>
          <w:noProof/>
          <w:sz w:val="22"/>
          <w:szCs w:val="22"/>
        </w:rPr>
      </w:pPr>
      <w:hyperlink w:anchor="_Toc15908106" w:history="1">
        <w:r w:rsidR="00501843" w:rsidRPr="00C458F9">
          <w:rPr>
            <w:rStyle w:val="Hyperlink"/>
            <w:noProof/>
          </w:rPr>
          <w:t>15.2.</w:t>
        </w:r>
        <w:r w:rsidR="00501843">
          <w:rPr>
            <w:rFonts w:asciiTheme="minorHAnsi" w:eastAsiaTheme="minorEastAsia" w:hAnsiTheme="minorHAnsi" w:cstheme="minorBidi"/>
            <w:noProof/>
            <w:sz w:val="22"/>
            <w:szCs w:val="22"/>
          </w:rPr>
          <w:tab/>
        </w:r>
        <w:r w:rsidR="00501843" w:rsidRPr="00C458F9">
          <w:rPr>
            <w:rStyle w:val="Hyperlink"/>
            <w:noProof/>
          </w:rPr>
          <w:t>Discussion</w:t>
        </w:r>
        <w:r w:rsidR="00501843">
          <w:rPr>
            <w:noProof/>
            <w:webHidden/>
          </w:rPr>
          <w:tab/>
        </w:r>
        <w:r w:rsidR="00501843">
          <w:rPr>
            <w:noProof/>
            <w:webHidden/>
          </w:rPr>
          <w:fldChar w:fldCharType="begin"/>
        </w:r>
        <w:r w:rsidR="00501843">
          <w:rPr>
            <w:noProof/>
            <w:webHidden/>
          </w:rPr>
          <w:instrText xml:space="preserve"> PAGEREF _Toc15908106 \h </w:instrText>
        </w:r>
        <w:r w:rsidR="00501843">
          <w:rPr>
            <w:noProof/>
            <w:webHidden/>
          </w:rPr>
        </w:r>
        <w:r w:rsidR="00501843">
          <w:rPr>
            <w:noProof/>
            <w:webHidden/>
          </w:rPr>
          <w:fldChar w:fldCharType="separate"/>
        </w:r>
        <w:r>
          <w:rPr>
            <w:noProof/>
            <w:webHidden/>
          </w:rPr>
          <w:t>83</w:t>
        </w:r>
        <w:r w:rsidR="00501843">
          <w:rPr>
            <w:noProof/>
            <w:webHidden/>
          </w:rPr>
          <w:fldChar w:fldCharType="end"/>
        </w:r>
      </w:hyperlink>
    </w:p>
    <w:p w14:paraId="293A2629" w14:textId="4B8A216D" w:rsidR="00501843" w:rsidRDefault="00AB292B">
      <w:pPr>
        <w:pStyle w:val="TOC1"/>
        <w:rPr>
          <w:rFonts w:asciiTheme="minorHAnsi" w:eastAsiaTheme="minorEastAsia" w:hAnsiTheme="minorHAnsi" w:cstheme="minorBidi"/>
          <w:noProof/>
          <w:sz w:val="22"/>
          <w:szCs w:val="22"/>
        </w:rPr>
      </w:pPr>
      <w:hyperlink w:anchor="_Toc15908107" w:history="1">
        <w:r w:rsidR="00501843" w:rsidRPr="00C458F9">
          <w:rPr>
            <w:rStyle w:val="Hyperlink"/>
            <w:noProof/>
          </w:rPr>
          <w:t>16.</w:t>
        </w:r>
        <w:r w:rsidR="00501843">
          <w:rPr>
            <w:rFonts w:asciiTheme="minorHAnsi" w:eastAsiaTheme="minorEastAsia" w:hAnsiTheme="minorHAnsi" w:cstheme="minorBidi"/>
            <w:noProof/>
            <w:sz w:val="22"/>
            <w:szCs w:val="22"/>
          </w:rPr>
          <w:tab/>
        </w:r>
        <w:r w:rsidR="00501843" w:rsidRPr="00C458F9">
          <w:rPr>
            <w:rStyle w:val="Hyperlink"/>
            <w:noProof/>
          </w:rPr>
          <w:t>Updated Budgets Using Accumulated Unused Funds</w:t>
        </w:r>
        <w:r w:rsidR="00501843">
          <w:rPr>
            <w:noProof/>
            <w:webHidden/>
          </w:rPr>
          <w:tab/>
        </w:r>
        <w:r w:rsidR="00501843">
          <w:rPr>
            <w:noProof/>
            <w:webHidden/>
          </w:rPr>
          <w:fldChar w:fldCharType="begin"/>
        </w:r>
        <w:r w:rsidR="00501843">
          <w:rPr>
            <w:noProof/>
            <w:webHidden/>
          </w:rPr>
          <w:instrText xml:space="preserve"> PAGEREF _Toc15908107 \h </w:instrText>
        </w:r>
        <w:r w:rsidR="00501843">
          <w:rPr>
            <w:noProof/>
            <w:webHidden/>
          </w:rPr>
        </w:r>
        <w:r w:rsidR="00501843">
          <w:rPr>
            <w:noProof/>
            <w:webHidden/>
          </w:rPr>
          <w:fldChar w:fldCharType="separate"/>
        </w:r>
        <w:r>
          <w:rPr>
            <w:noProof/>
            <w:webHidden/>
          </w:rPr>
          <w:t>85</w:t>
        </w:r>
        <w:r w:rsidR="00501843">
          <w:rPr>
            <w:noProof/>
            <w:webHidden/>
          </w:rPr>
          <w:fldChar w:fldCharType="end"/>
        </w:r>
      </w:hyperlink>
    </w:p>
    <w:p w14:paraId="36D6BF06" w14:textId="38D26692" w:rsidR="00501843" w:rsidRDefault="00AB292B">
      <w:pPr>
        <w:pStyle w:val="TOC1"/>
        <w:rPr>
          <w:rFonts w:asciiTheme="minorHAnsi" w:eastAsiaTheme="minorEastAsia" w:hAnsiTheme="minorHAnsi" w:cstheme="minorBidi"/>
          <w:noProof/>
          <w:sz w:val="22"/>
          <w:szCs w:val="22"/>
        </w:rPr>
      </w:pPr>
      <w:hyperlink w:anchor="_Toc15908108" w:history="1">
        <w:r w:rsidR="00501843" w:rsidRPr="00C458F9">
          <w:rPr>
            <w:rStyle w:val="Hyperlink"/>
            <w:noProof/>
          </w:rPr>
          <w:t>17.</w:t>
        </w:r>
        <w:r w:rsidR="00501843">
          <w:rPr>
            <w:rFonts w:asciiTheme="minorHAnsi" w:eastAsiaTheme="minorEastAsia" w:hAnsiTheme="minorHAnsi" w:cstheme="minorBidi"/>
            <w:noProof/>
            <w:sz w:val="22"/>
            <w:szCs w:val="22"/>
          </w:rPr>
          <w:tab/>
        </w:r>
        <w:r w:rsidR="00501843" w:rsidRPr="00C458F9">
          <w:rPr>
            <w:rStyle w:val="Hyperlink"/>
            <w:noProof/>
          </w:rPr>
          <w:t>Categorization</w:t>
        </w:r>
        <w:r w:rsidR="00501843">
          <w:rPr>
            <w:noProof/>
            <w:webHidden/>
          </w:rPr>
          <w:tab/>
        </w:r>
        <w:r w:rsidR="00501843">
          <w:rPr>
            <w:noProof/>
            <w:webHidden/>
          </w:rPr>
          <w:fldChar w:fldCharType="begin"/>
        </w:r>
        <w:r w:rsidR="00501843">
          <w:rPr>
            <w:noProof/>
            <w:webHidden/>
          </w:rPr>
          <w:instrText xml:space="preserve"> PAGEREF _Toc15908108 \h </w:instrText>
        </w:r>
        <w:r w:rsidR="00501843">
          <w:rPr>
            <w:noProof/>
            <w:webHidden/>
          </w:rPr>
        </w:r>
        <w:r w:rsidR="00501843">
          <w:rPr>
            <w:noProof/>
            <w:webHidden/>
          </w:rPr>
          <w:fldChar w:fldCharType="separate"/>
        </w:r>
        <w:r>
          <w:rPr>
            <w:noProof/>
            <w:webHidden/>
          </w:rPr>
          <w:t>86</w:t>
        </w:r>
        <w:r w:rsidR="00501843">
          <w:rPr>
            <w:noProof/>
            <w:webHidden/>
          </w:rPr>
          <w:fldChar w:fldCharType="end"/>
        </w:r>
      </w:hyperlink>
    </w:p>
    <w:p w14:paraId="676B11A2" w14:textId="34831250" w:rsidR="00501843" w:rsidRDefault="00AB292B">
      <w:pPr>
        <w:pStyle w:val="TOC1"/>
        <w:rPr>
          <w:rFonts w:asciiTheme="minorHAnsi" w:eastAsiaTheme="minorEastAsia" w:hAnsiTheme="minorHAnsi" w:cstheme="minorBidi"/>
          <w:noProof/>
          <w:sz w:val="22"/>
          <w:szCs w:val="22"/>
        </w:rPr>
      </w:pPr>
      <w:hyperlink w:anchor="_Toc15908109" w:history="1">
        <w:r w:rsidR="00501843" w:rsidRPr="00C458F9">
          <w:rPr>
            <w:rStyle w:val="Hyperlink"/>
            <w:noProof/>
          </w:rPr>
          <w:t>18.</w:t>
        </w:r>
        <w:r w:rsidR="00501843">
          <w:rPr>
            <w:rFonts w:asciiTheme="minorHAnsi" w:eastAsiaTheme="minorEastAsia" w:hAnsiTheme="minorHAnsi" w:cstheme="minorBidi"/>
            <w:noProof/>
            <w:sz w:val="22"/>
            <w:szCs w:val="22"/>
          </w:rPr>
          <w:tab/>
        </w:r>
        <w:r w:rsidR="00501843" w:rsidRPr="00C458F9">
          <w:rPr>
            <w:rStyle w:val="Hyperlink"/>
            <w:noProof/>
          </w:rPr>
          <w:t>Comments on Proposed Decision</w:t>
        </w:r>
        <w:r w:rsidR="00501843">
          <w:rPr>
            <w:noProof/>
            <w:webHidden/>
          </w:rPr>
          <w:tab/>
        </w:r>
        <w:r w:rsidR="00501843">
          <w:rPr>
            <w:noProof/>
            <w:webHidden/>
          </w:rPr>
          <w:fldChar w:fldCharType="begin"/>
        </w:r>
        <w:r w:rsidR="00501843">
          <w:rPr>
            <w:noProof/>
            <w:webHidden/>
          </w:rPr>
          <w:instrText xml:space="preserve"> PAGEREF _Toc15908109 \h </w:instrText>
        </w:r>
        <w:r w:rsidR="00501843">
          <w:rPr>
            <w:noProof/>
            <w:webHidden/>
          </w:rPr>
        </w:r>
        <w:r w:rsidR="00501843">
          <w:rPr>
            <w:noProof/>
            <w:webHidden/>
          </w:rPr>
          <w:fldChar w:fldCharType="separate"/>
        </w:r>
        <w:r>
          <w:rPr>
            <w:noProof/>
            <w:webHidden/>
          </w:rPr>
          <w:t>87</w:t>
        </w:r>
        <w:r w:rsidR="00501843">
          <w:rPr>
            <w:noProof/>
            <w:webHidden/>
          </w:rPr>
          <w:fldChar w:fldCharType="end"/>
        </w:r>
      </w:hyperlink>
    </w:p>
    <w:p w14:paraId="1190667F" w14:textId="14C9F68C" w:rsidR="00501843" w:rsidRDefault="00AB292B">
      <w:pPr>
        <w:pStyle w:val="TOC1"/>
        <w:rPr>
          <w:rFonts w:asciiTheme="minorHAnsi" w:eastAsiaTheme="minorEastAsia" w:hAnsiTheme="minorHAnsi" w:cstheme="minorBidi"/>
          <w:noProof/>
          <w:sz w:val="22"/>
          <w:szCs w:val="22"/>
        </w:rPr>
      </w:pPr>
      <w:hyperlink w:anchor="_Toc15908110" w:history="1">
        <w:r w:rsidR="00501843" w:rsidRPr="00C458F9">
          <w:rPr>
            <w:rStyle w:val="Hyperlink"/>
            <w:noProof/>
          </w:rPr>
          <w:t>19.</w:t>
        </w:r>
        <w:r w:rsidR="00501843">
          <w:rPr>
            <w:rFonts w:asciiTheme="minorHAnsi" w:eastAsiaTheme="minorEastAsia" w:hAnsiTheme="minorHAnsi" w:cstheme="minorBidi"/>
            <w:noProof/>
            <w:sz w:val="22"/>
            <w:szCs w:val="22"/>
          </w:rPr>
          <w:tab/>
        </w:r>
        <w:r w:rsidR="00501843" w:rsidRPr="00C458F9">
          <w:rPr>
            <w:rStyle w:val="Hyperlink"/>
            <w:noProof/>
          </w:rPr>
          <w:t>Assignment of Proceeding</w:t>
        </w:r>
        <w:r w:rsidR="00501843">
          <w:rPr>
            <w:noProof/>
            <w:webHidden/>
          </w:rPr>
          <w:tab/>
        </w:r>
        <w:r w:rsidR="00501843">
          <w:rPr>
            <w:noProof/>
            <w:webHidden/>
          </w:rPr>
          <w:fldChar w:fldCharType="begin"/>
        </w:r>
        <w:r w:rsidR="00501843">
          <w:rPr>
            <w:noProof/>
            <w:webHidden/>
          </w:rPr>
          <w:instrText xml:space="preserve"> PAGEREF _Toc15908110 \h </w:instrText>
        </w:r>
        <w:r w:rsidR="00501843">
          <w:rPr>
            <w:noProof/>
            <w:webHidden/>
          </w:rPr>
        </w:r>
        <w:r w:rsidR="00501843">
          <w:rPr>
            <w:noProof/>
            <w:webHidden/>
          </w:rPr>
          <w:fldChar w:fldCharType="separate"/>
        </w:r>
        <w:r>
          <w:rPr>
            <w:noProof/>
            <w:webHidden/>
          </w:rPr>
          <w:t>105</w:t>
        </w:r>
        <w:r w:rsidR="00501843">
          <w:rPr>
            <w:noProof/>
            <w:webHidden/>
          </w:rPr>
          <w:fldChar w:fldCharType="end"/>
        </w:r>
      </w:hyperlink>
    </w:p>
    <w:p w14:paraId="6BB8C62A" w14:textId="0BC88BD7" w:rsidR="00501843" w:rsidRDefault="00AB292B">
      <w:pPr>
        <w:pStyle w:val="TOC1"/>
        <w:rPr>
          <w:rFonts w:asciiTheme="minorHAnsi" w:eastAsiaTheme="minorEastAsia" w:hAnsiTheme="minorHAnsi" w:cstheme="minorBidi"/>
          <w:noProof/>
          <w:sz w:val="22"/>
          <w:szCs w:val="22"/>
        </w:rPr>
      </w:pPr>
      <w:hyperlink w:anchor="_Toc15908111" w:history="1">
        <w:r w:rsidR="00501843" w:rsidRPr="00C458F9">
          <w:rPr>
            <w:rStyle w:val="Hyperlink"/>
            <w:noProof/>
          </w:rPr>
          <w:t>Findings of Fact</w:t>
        </w:r>
        <w:r w:rsidR="00501843">
          <w:rPr>
            <w:noProof/>
            <w:webHidden/>
          </w:rPr>
          <w:tab/>
        </w:r>
        <w:r w:rsidR="00501843">
          <w:rPr>
            <w:noProof/>
            <w:webHidden/>
          </w:rPr>
          <w:fldChar w:fldCharType="begin"/>
        </w:r>
        <w:r w:rsidR="00501843">
          <w:rPr>
            <w:noProof/>
            <w:webHidden/>
          </w:rPr>
          <w:instrText xml:space="preserve"> PAGEREF _Toc15908111 \h </w:instrText>
        </w:r>
        <w:r w:rsidR="00501843">
          <w:rPr>
            <w:noProof/>
            <w:webHidden/>
          </w:rPr>
        </w:r>
        <w:r w:rsidR="00501843">
          <w:rPr>
            <w:noProof/>
            <w:webHidden/>
          </w:rPr>
          <w:fldChar w:fldCharType="separate"/>
        </w:r>
        <w:r>
          <w:rPr>
            <w:noProof/>
            <w:webHidden/>
          </w:rPr>
          <w:t>105</w:t>
        </w:r>
        <w:r w:rsidR="00501843">
          <w:rPr>
            <w:noProof/>
            <w:webHidden/>
          </w:rPr>
          <w:fldChar w:fldCharType="end"/>
        </w:r>
      </w:hyperlink>
    </w:p>
    <w:p w14:paraId="2A9723A8" w14:textId="5FDCA0E6" w:rsidR="00501843" w:rsidRDefault="00AB292B">
      <w:pPr>
        <w:pStyle w:val="TOC1"/>
        <w:rPr>
          <w:rFonts w:asciiTheme="minorHAnsi" w:eastAsiaTheme="minorEastAsia" w:hAnsiTheme="minorHAnsi" w:cstheme="minorBidi"/>
          <w:noProof/>
          <w:sz w:val="22"/>
          <w:szCs w:val="22"/>
        </w:rPr>
      </w:pPr>
      <w:hyperlink w:anchor="_Toc15908112" w:history="1">
        <w:r w:rsidR="00501843" w:rsidRPr="00C458F9">
          <w:rPr>
            <w:rStyle w:val="Hyperlink"/>
            <w:noProof/>
          </w:rPr>
          <w:t>Conclusions of Law</w:t>
        </w:r>
        <w:r w:rsidR="00501843">
          <w:rPr>
            <w:noProof/>
            <w:webHidden/>
          </w:rPr>
          <w:tab/>
        </w:r>
        <w:r w:rsidR="00501843">
          <w:rPr>
            <w:noProof/>
            <w:webHidden/>
          </w:rPr>
          <w:fldChar w:fldCharType="begin"/>
        </w:r>
        <w:r w:rsidR="00501843">
          <w:rPr>
            <w:noProof/>
            <w:webHidden/>
          </w:rPr>
          <w:instrText xml:space="preserve"> PAGEREF _Toc15908112 \h </w:instrText>
        </w:r>
        <w:r w:rsidR="00501843">
          <w:rPr>
            <w:noProof/>
            <w:webHidden/>
          </w:rPr>
        </w:r>
        <w:r w:rsidR="00501843">
          <w:rPr>
            <w:noProof/>
            <w:webHidden/>
          </w:rPr>
          <w:fldChar w:fldCharType="separate"/>
        </w:r>
        <w:r>
          <w:rPr>
            <w:noProof/>
            <w:webHidden/>
          </w:rPr>
          <w:t>116</w:t>
        </w:r>
        <w:r w:rsidR="00501843">
          <w:rPr>
            <w:noProof/>
            <w:webHidden/>
          </w:rPr>
          <w:fldChar w:fldCharType="end"/>
        </w:r>
      </w:hyperlink>
    </w:p>
    <w:p w14:paraId="033FBB2D" w14:textId="1011354A" w:rsidR="00501843" w:rsidRDefault="00AB292B">
      <w:pPr>
        <w:pStyle w:val="TOC1"/>
        <w:rPr>
          <w:rFonts w:asciiTheme="minorHAnsi" w:eastAsiaTheme="minorEastAsia" w:hAnsiTheme="minorHAnsi" w:cstheme="minorBidi"/>
          <w:noProof/>
          <w:sz w:val="22"/>
          <w:szCs w:val="22"/>
        </w:rPr>
      </w:pPr>
      <w:hyperlink w:anchor="_Toc15908113" w:history="1">
        <w:r w:rsidR="00501843" w:rsidRPr="00501843">
          <w:rPr>
            <w:rStyle w:val="Hyperlink"/>
            <w:noProof/>
          </w:rPr>
          <w:t>ORDER</w:t>
        </w:r>
        <w:r w:rsidR="00501843">
          <w:rPr>
            <w:noProof/>
            <w:webHidden/>
          </w:rPr>
          <w:tab/>
        </w:r>
        <w:r w:rsidR="00501843">
          <w:rPr>
            <w:noProof/>
            <w:webHidden/>
          </w:rPr>
          <w:fldChar w:fldCharType="begin"/>
        </w:r>
        <w:r w:rsidR="00501843">
          <w:rPr>
            <w:noProof/>
            <w:webHidden/>
          </w:rPr>
          <w:instrText xml:space="preserve"> PAGEREF _Toc15908113 \h </w:instrText>
        </w:r>
        <w:r w:rsidR="00501843">
          <w:rPr>
            <w:noProof/>
            <w:webHidden/>
          </w:rPr>
        </w:r>
        <w:r w:rsidR="00501843">
          <w:rPr>
            <w:noProof/>
            <w:webHidden/>
          </w:rPr>
          <w:fldChar w:fldCharType="separate"/>
        </w:r>
        <w:r>
          <w:rPr>
            <w:noProof/>
            <w:webHidden/>
          </w:rPr>
          <w:t>126</w:t>
        </w:r>
        <w:r w:rsidR="00501843">
          <w:rPr>
            <w:noProof/>
            <w:webHidden/>
          </w:rPr>
          <w:fldChar w:fldCharType="end"/>
        </w:r>
      </w:hyperlink>
    </w:p>
    <w:p w14:paraId="3523B739" w14:textId="77777777" w:rsidR="00B2444D" w:rsidRDefault="000754CD">
      <w:pPr>
        <w:sectPr w:rsidR="00B2444D" w:rsidSect="00EF2AA5">
          <w:headerReference w:type="default" r:id="rId16"/>
          <w:headerReference w:type="first" r:id="rId17"/>
          <w:footerReference w:type="first" r:id="rId18"/>
          <w:pgSz w:w="12240" w:h="15840" w:code="1"/>
          <w:pgMar w:top="1440" w:right="1440" w:bottom="1440" w:left="1440" w:header="720" w:footer="720" w:gutter="0"/>
          <w:pgNumType w:fmt="lowerRoman" w:start="1"/>
          <w:cols w:space="720"/>
          <w:titlePg/>
          <w:docGrid w:linePitch="360"/>
        </w:sectPr>
      </w:pPr>
      <w:r>
        <w:fldChar w:fldCharType="end"/>
      </w:r>
    </w:p>
    <w:p w14:paraId="3BDF9252" w14:textId="77777777" w:rsidR="00B2444D" w:rsidRDefault="00B2444D">
      <w:pPr>
        <w:sectPr w:rsidR="00B2444D" w:rsidSect="00B2444D">
          <w:type w:val="continuous"/>
          <w:pgSz w:w="12240" w:h="15840" w:code="1"/>
          <w:pgMar w:top="1440" w:right="1440" w:bottom="1440" w:left="1440" w:header="720" w:footer="720" w:gutter="0"/>
          <w:pgNumType w:fmt="lowerRoman" w:start="1"/>
          <w:cols w:space="720"/>
          <w:titlePg/>
          <w:docGrid w:linePitch="360"/>
        </w:sectPr>
      </w:pPr>
    </w:p>
    <w:p w14:paraId="0AFD2936" w14:textId="7FBC5F9F" w:rsidR="00B2444D" w:rsidRDefault="00B2444D" w:rsidP="00B2444D">
      <w:pPr>
        <w:tabs>
          <w:tab w:val="left" w:pos="1800"/>
        </w:tabs>
        <w:ind w:left="1800" w:hanging="1800"/>
      </w:pPr>
      <w:r>
        <w:lastRenderedPageBreak/>
        <w:t>Attachment A</w:t>
      </w:r>
      <w:r w:rsidR="00766EFC">
        <w:t xml:space="preserve"> </w:t>
      </w:r>
      <w:r w:rsidR="00757681">
        <w:noBreakHyphen/>
      </w:r>
      <w:r w:rsidR="00766EFC">
        <w:t xml:space="preserve"> </w:t>
      </w:r>
      <w:r>
        <w:t>Self</w:t>
      </w:r>
      <w:r w:rsidR="00757681">
        <w:noBreakHyphen/>
      </w:r>
      <w:r>
        <w:t>Generation Incentive Program Modifications</w:t>
      </w:r>
    </w:p>
    <w:p w14:paraId="2D22B2CB" w14:textId="2EF09C67" w:rsidR="00B2444D" w:rsidRDefault="00B2444D" w:rsidP="00B2444D">
      <w:pPr>
        <w:tabs>
          <w:tab w:val="left" w:pos="1800"/>
        </w:tabs>
        <w:ind w:left="1800" w:hanging="1800"/>
      </w:pPr>
      <w:r>
        <w:t xml:space="preserve">Attachment B </w:t>
      </w:r>
      <w:r w:rsidR="00757681">
        <w:noBreakHyphen/>
      </w:r>
      <w:r>
        <w:tab/>
        <w:t>Authorized and Remaining SGIP Incentive and Administrative Funds as of July 31, 2019</w:t>
      </w:r>
    </w:p>
    <w:p w14:paraId="055FF3C2" w14:textId="0A01AE60" w:rsidR="00EF2AA5" w:rsidRDefault="00B2444D" w:rsidP="00766EFC">
      <w:pPr>
        <w:pStyle w:val="ALJBodyText"/>
        <w:tabs>
          <w:tab w:val="left" w:pos="1800"/>
        </w:tabs>
        <w:spacing w:line="240" w:lineRule="auto"/>
        <w:ind w:left="1800" w:hanging="1800"/>
      </w:pPr>
      <w:r>
        <w:t xml:space="preserve">Attachment C </w:t>
      </w:r>
      <w:r w:rsidR="00757681">
        <w:noBreakHyphen/>
      </w:r>
      <w:r>
        <w:tab/>
      </w:r>
      <w:r w:rsidRPr="00B2444D">
        <w:t>List of Applicable Nationally Recognized Testing Laboratory Standards for Storage</w:t>
      </w:r>
    </w:p>
    <w:p w14:paraId="4D171D49" w14:textId="77777777" w:rsidR="00EF2AA5" w:rsidRDefault="00EF2AA5">
      <w:pPr>
        <w:sectPr w:rsidR="00EF2AA5" w:rsidSect="00B2444D">
          <w:headerReference w:type="first" r:id="rId19"/>
          <w:footerReference w:type="first" r:id="rId20"/>
          <w:type w:val="continuous"/>
          <w:pgSz w:w="12240" w:h="15840" w:code="1"/>
          <w:pgMar w:top="1440" w:right="1440" w:bottom="1440" w:left="1440" w:header="720" w:footer="720" w:gutter="0"/>
          <w:pgNumType w:fmt="lowerRoman" w:start="1"/>
          <w:cols w:space="720"/>
          <w:titlePg/>
          <w:docGrid w:linePitch="360"/>
        </w:sectPr>
      </w:pPr>
    </w:p>
    <w:p w14:paraId="32310488" w14:textId="0304351F" w:rsidR="000754CD" w:rsidRDefault="00EF2AA5" w:rsidP="00EF2AA5">
      <w:pPr>
        <w:jc w:val="center"/>
        <w:rPr>
          <w:rFonts w:ascii="Arial" w:hAnsi="Arial" w:cs="Arial"/>
          <w:b/>
        </w:rPr>
      </w:pPr>
      <w:r>
        <w:rPr>
          <w:rFonts w:ascii="Arial" w:hAnsi="Arial" w:cs="Arial"/>
          <w:b/>
        </w:rPr>
        <w:lastRenderedPageBreak/>
        <w:t>DECISION ESTABLISHING A SELF</w:t>
      </w:r>
      <w:r w:rsidR="00757681">
        <w:rPr>
          <w:rFonts w:ascii="Arial" w:hAnsi="Arial" w:cs="Arial"/>
          <w:b/>
        </w:rPr>
        <w:noBreakHyphen/>
      </w:r>
      <w:r>
        <w:rPr>
          <w:rFonts w:ascii="Arial" w:hAnsi="Arial" w:cs="Arial"/>
          <w:b/>
        </w:rPr>
        <w:t>GENERATION INCENTIVE PROGRAM EQUITY RESILIENCY BUDGET, MODIFYING EXISTING EQUITY BUDGET INCENTIVES, APPROVING CARRY</w:t>
      </w:r>
      <w:r w:rsidR="00757681">
        <w:rPr>
          <w:rFonts w:ascii="Arial" w:hAnsi="Arial" w:cs="Arial"/>
          <w:b/>
        </w:rPr>
        <w:noBreakHyphen/>
      </w:r>
      <w:r>
        <w:rPr>
          <w:rFonts w:ascii="Arial" w:hAnsi="Arial" w:cs="Arial"/>
          <w:b/>
        </w:rPr>
        <w:t>OVER OF ACCUMULATED UNSPENT FUNDS, AND APPROVING $10 MILLION TO SUPPORT THE SAN JOAQUIN VALLEY DISADVANTAGED COMMUNITY PILOT PROJECTS</w:t>
      </w:r>
    </w:p>
    <w:p w14:paraId="3F1C677A" w14:textId="77777777" w:rsidR="00EF2AA5" w:rsidRDefault="00EF2AA5" w:rsidP="00EF2AA5">
      <w:pPr>
        <w:jc w:val="center"/>
        <w:rPr>
          <w:rFonts w:ascii="Arial" w:hAnsi="Arial" w:cs="Arial"/>
          <w:b/>
        </w:rPr>
      </w:pPr>
    </w:p>
    <w:p w14:paraId="65F5A2A4" w14:textId="364FE5D6" w:rsidR="00E25554" w:rsidRPr="003871CE" w:rsidRDefault="00E83810" w:rsidP="00CE14ED">
      <w:pPr>
        <w:pStyle w:val="ALJHeading1"/>
        <w:numPr>
          <w:ilvl w:val="0"/>
          <w:numId w:val="0"/>
        </w:numPr>
        <w:ind w:left="360"/>
      </w:pPr>
      <w:bookmarkStart w:id="4" w:name="_Toc15908052"/>
      <w:r>
        <w:t>Summary</w:t>
      </w:r>
      <w:bookmarkEnd w:id="3"/>
      <w:bookmarkEnd w:id="4"/>
    </w:p>
    <w:p w14:paraId="1CF45F1E" w14:textId="21C66E91" w:rsidR="00244F4C" w:rsidRPr="00244F4C" w:rsidRDefault="00470357" w:rsidP="00244F4C">
      <w:pPr>
        <w:pStyle w:val="ALJBodyText"/>
      </w:pPr>
      <w:r>
        <w:t>Because t</w:t>
      </w:r>
      <w:r w:rsidR="00244F4C" w:rsidRPr="00244F4C">
        <w:t>here have been no subscriptions in the Self Generation Incentive Program (SGIP) equity budget since the Commission established this set</w:t>
      </w:r>
      <w:r w:rsidR="00757681">
        <w:noBreakHyphen/>
      </w:r>
      <w:r w:rsidR="00244F4C" w:rsidRPr="00244F4C">
        <w:t>aside in 2017</w:t>
      </w:r>
      <w:r>
        <w:t>, t</w:t>
      </w:r>
      <w:bookmarkStart w:id="5" w:name="_Hlk14343378"/>
      <w:r w:rsidR="00244F4C" w:rsidRPr="00244F4C">
        <w:t xml:space="preserve">his decision modifies </w:t>
      </w:r>
      <w:r w:rsidR="00121046">
        <w:t xml:space="preserve">equity budget </w:t>
      </w:r>
      <w:r w:rsidR="00244F4C" w:rsidRPr="00244F4C">
        <w:t>program requirements and incentive</w:t>
      </w:r>
      <w:r w:rsidR="00121046">
        <w:t xml:space="preserve"> levels</w:t>
      </w:r>
      <w:r w:rsidR="00244F4C" w:rsidRPr="00244F4C">
        <w:t xml:space="preserve"> to increase participation.  </w:t>
      </w:r>
      <w:r w:rsidRPr="00470357">
        <w:t xml:space="preserve">To help deal with critical needs resulting from wildfire risks in the state, it </w:t>
      </w:r>
      <w:r w:rsidR="00244F4C" w:rsidRPr="00244F4C">
        <w:t xml:space="preserve">establishes a new </w:t>
      </w:r>
      <w:r w:rsidR="005F3AF5">
        <w:t>equity resiliency budget</w:t>
      </w:r>
      <w:r w:rsidR="003E23C5">
        <w:t xml:space="preserve"> </w:t>
      </w:r>
      <w:r w:rsidR="00DB1264">
        <w:t>set</w:t>
      </w:r>
      <w:r w:rsidR="00757681">
        <w:noBreakHyphen/>
      </w:r>
      <w:r w:rsidR="00DB1264">
        <w:t>aside</w:t>
      </w:r>
      <w:r w:rsidR="00244F4C" w:rsidRPr="00244F4C">
        <w:t xml:space="preserve"> for vulnerable households</w:t>
      </w:r>
      <w:r w:rsidR="00AA1A66">
        <w:t xml:space="preserve"> located in Tier 3 </w:t>
      </w:r>
      <w:r w:rsidR="00D30BD4">
        <w:t xml:space="preserve">and Tier 2 </w:t>
      </w:r>
      <w:r w:rsidR="00AA1A66">
        <w:t>high fire threat district</w:t>
      </w:r>
      <w:r w:rsidR="00EC03EC">
        <w:t>s</w:t>
      </w:r>
      <w:r w:rsidR="00244F4C" w:rsidRPr="00244F4C">
        <w:t>, critical services facilities</w:t>
      </w:r>
      <w:r w:rsidR="00AA1A66">
        <w:t xml:space="preserve"> serving those districts</w:t>
      </w:r>
      <w:r w:rsidR="00244F4C" w:rsidRPr="00244F4C">
        <w:t xml:space="preserve">, and customers </w:t>
      </w:r>
      <w:r w:rsidR="00D63E0D">
        <w:t xml:space="preserve">located in those districts that </w:t>
      </w:r>
      <w:r w:rsidR="00244F4C" w:rsidRPr="00244F4C">
        <w:t>particip</w:t>
      </w:r>
      <w:r w:rsidR="00D63E0D">
        <w:t>ate</w:t>
      </w:r>
      <w:r w:rsidR="00244F4C" w:rsidRPr="00244F4C">
        <w:t xml:space="preserve"> in </w:t>
      </w:r>
      <w:r w:rsidR="003E23C5">
        <w:t xml:space="preserve">two </w:t>
      </w:r>
      <w:r w:rsidR="00244F4C" w:rsidRPr="00244F4C">
        <w:t>low</w:t>
      </w:r>
      <w:r w:rsidR="00757681">
        <w:noBreakHyphen/>
      </w:r>
      <w:r w:rsidR="00244F4C" w:rsidRPr="00244F4C">
        <w:t>income solar generation programs</w:t>
      </w:r>
      <w:r w:rsidR="00D63E0D">
        <w:t xml:space="preserve">.  </w:t>
      </w:r>
      <w:r w:rsidR="00244F4C" w:rsidRPr="00244F4C">
        <w:t xml:space="preserve">It </w:t>
      </w:r>
      <w:r w:rsidR="003E23C5">
        <w:t xml:space="preserve">also </w:t>
      </w:r>
      <w:r w:rsidR="00244F4C" w:rsidRPr="00244F4C">
        <w:t>establishes a $10 million budget for SGIP storage incentives to support pilot projects</w:t>
      </w:r>
      <w:r w:rsidR="00D63E0D">
        <w:t xml:space="preserve"> </w:t>
      </w:r>
      <w:r w:rsidR="00244F4C" w:rsidRPr="00244F4C">
        <w:t>in eleven San Joaquin Valley disadvantaged communities</w:t>
      </w:r>
      <w:r w:rsidR="00121046">
        <w:t>,</w:t>
      </w:r>
      <w:r w:rsidR="00244F4C" w:rsidRPr="00244F4C">
        <w:t xml:space="preserve"> addressed in Decision 18</w:t>
      </w:r>
      <w:r w:rsidR="00757681">
        <w:noBreakHyphen/>
      </w:r>
      <w:r w:rsidR="00244F4C" w:rsidRPr="00244F4C">
        <w:t>12</w:t>
      </w:r>
      <w:r w:rsidR="00757681">
        <w:noBreakHyphen/>
      </w:r>
      <w:r w:rsidR="00244F4C" w:rsidRPr="00244F4C">
        <w:t>015 in Rulemaking 15</w:t>
      </w:r>
      <w:r w:rsidR="00757681">
        <w:noBreakHyphen/>
      </w:r>
      <w:r w:rsidR="00244F4C" w:rsidRPr="00244F4C">
        <w:t>03</w:t>
      </w:r>
      <w:r w:rsidR="00757681">
        <w:noBreakHyphen/>
      </w:r>
      <w:r w:rsidR="00244F4C" w:rsidRPr="00244F4C">
        <w:t>010</w:t>
      </w:r>
      <w:r w:rsidR="00AA1A66">
        <w:t xml:space="preserve">, and a $4 million equity budget </w:t>
      </w:r>
      <w:r w:rsidR="00D63E0D">
        <w:t>set</w:t>
      </w:r>
      <w:r w:rsidR="00757681">
        <w:noBreakHyphen/>
      </w:r>
      <w:r w:rsidR="00D63E0D">
        <w:t xml:space="preserve">aside </w:t>
      </w:r>
      <w:r w:rsidR="00AA1A66">
        <w:t xml:space="preserve">for </w:t>
      </w:r>
      <w:r w:rsidR="00D63E0D">
        <w:t>h</w:t>
      </w:r>
      <w:r w:rsidR="00AA1A66">
        <w:t xml:space="preserve">eat </w:t>
      </w:r>
      <w:r w:rsidR="00D63E0D">
        <w:t>p</w:t>
      </w:r>
      <w:r w:rsidR="00AA1A66">
        <w:t xml:space="preserve">ump </w:t>
      </w:r>
      <w:r w:rsidR="00D63E0D">
        <w:t>wa</w:t>
      </w:r>
      <w:r w:rsidR="00AA1A66">
        <w:t xml:space="preserve">ter </w:t>
      </w:r>
      <w:r w:rsidR="00D63E0D">
        <w:t>h</w:t>
      </w:r>
      <w:r w:rsidR="00AA1A66">
        <w:t xml:space="preserve">eater </w:t>
      </w:r>
      <w:r w:rsidR="00AF6BF5">
        <w:t xml:space="preserve">(HPWH) </w:t>
      </w:r>
      <w:r w:rsidR="00AA1A66">
        <w:t>incentives</w:t>
      </w:r>
      <w:r w:rsidR="00244F4C" w:rsidRPr="00244F4C">
        <w:t>.</w:t>
      </w:r>
    </w:p>
    <w:p w14:paraId="65F1BD9D" w14:textId="795B1B30" w:rsidR="00244F4C" w:rsidRPr="00244F4C" w:rsidRDefault="00244F4C" w:rsidP="00244F4C">
      <w:pPr>
        <w:pStyle w:val="ALJBodyText"/>
      </w:pPr>
      <w:r w:rsidRPr="00244F4C">
        <w:t>This decision</w:t>
      </w:r>
      <w:r w:rsidR="00121046">
        <w:t xml:space="preserve"> </w:t>
      </w:r>
      <w:r w:rsidR="002827A1">
        <w:t>directs Pacific Gas and Electric Company (PG&amp;E), Southern California Edison Company (SCE), Southern C</w:t>
      </w:r>
      <w:r w:rsidR="00766EFC">
        <w:t>alifornia Gas Company</w:t>
      </w:r>
      <w:r w:rsidR="002827A1">
        <w:t xml:space="preserve"> and the Cent</w:t>
      </w:r>
      <w:r w:rsidR="00766EFC">
        <w:t xml:space="preserve">er for Sustainable Energy </w:t>
      </w:r>
      <w:r w:rsidR="002827A1">
        <w:t xml:space="preserve">(collectively program administrators or PAs) to </w:t>
      </w:r>
      <w:r w:rsidRPr="00244F4C">
        <w:t>carry</w:t>
      </w:r>
      <w:r w:rsidR="00D56A6C">
        <w:t xml:space="preserve"> </w:t>
      </w:r>
      <w:r w:rsidRPr="00244F4C">
        <w:t xml:space="preserve">over SGIP funds </w:t>
      </w:r>
      <w:r w:rsidR="002827A1">
        <w:t xml:space="preserve">accumulated </w:t>
      </w:r>
      <w:r w:rsidR="00677E3F">
        <w:t xml:space="preserve">prior to or </w:t>
      </w:r>
      <w:r w:rsidR="002827A1">
        <w:t xml:space="preserve">during 2017 – 2019 </w:t>
      </w:r>
      <w:r w:rsidRPr="00244F4C">
        <w:t>for use through 2025</w:t>
      </w:r>
      <w:r w:rsidR="002827A1">
        <w:t xml:space="preserve">.  </w:t>
      </w:r>
      <w:r w:rsidRPr="00244F4C">
        <w:t>It</w:t>
      </w:r>
      <w:r w:rsidR="002827A1">
        <w:t xml:space="preserve"> directs the SGIP PAs</w:t>
      </w:r>
      <w:r w:rsidRPr="00244F4C">
        <w:t xml:space="preserve"> </w:t>
      </w:r>
      <w:r w:rsidR="002827A1">
        <w:t xml:space="preserve">to </w:t>
      </w:r>
      <w:r w:rsidRPr="00244F4C">
        <w:t xml:space="preserve">transfer $100 million </w:t>
      </w:r>
      <w:r w:rsidR="002827A1">
        <w:t xml:space="preserve">of </w:t>
      </w:r>
      <w:r w:rsidRPr="00244F4C">
        <w:t>accumulated</w:t>
      </w:r>
      <w:r w:rsidR="00D63E0D">
        <w:t xml:space="preserve"> </w:t>
      </w:r>
      <w:r w:rsidRPr="00244F4C">
        <w:t xml:space="preserve">generation technology funds to the </w:t>
      </w:r>
      <w:r w:rsidR="00F9401D">
        <w:t xml:space="preserve">new </w:t>
      </w:r>
      <w:r w:rsidRPr="00244F4C">
        <w:t xml:space="preserve">equity </w:t>
      </w:r>
      <w:r w:rsidR="00F9401D">
        <w:t>resiliency</w:t>
      </w:r>
      <w:r w:rsidR="003E23C5">
        <w:t xml:space="preserve"> </w:t>
      </w:r>
      <w:r w:rsidRPr="00244F4C">
        <w:t>budget</w:t>
      </w:r>
      <w:r w:rsidR="002827A1">
        <w:t xml:space="preserve"> and </w:t>
      </w:r>
      <w:r w:rsidR="00D63B59">
        <w:t xml:space="preserve">$4 million in accumulated </w:t>
      </w:r>
      <w:r w:rsidR="00AF4F30">
        <w:t>large</w:t>
      </w:r>
      <w:r w:rsidR="00757681">
        <w:noBreakHyphen/>
      </w:r>
      <w:r w:rsidR="00AF4F30">
        <w:t xml:space="preserve">scale </w:t>
      </w:r>
      <w:r w:rsidR="00D63B59">
        <w:t>storage funds to the equity HPWH budget</w:t>
      </w:r>
      <w:r w:rsidR="002827A1">
        <w:t>.  It directs PG&amp;</w:t>
      </w:r>
      <w:r w:rsidR="00766EFC">
        <w:t>E</w:t>
      </w:r>
      <w:r w:rsidR="002827A1">
        <w:t xml:space="preserve"> and SCE to transfer </w:t>
      </w:r>
      <w:r w:rsidRPr="00244F4C">
        <w:t>$1</w:t>
      </w:r>
      <w:r w:rsidR="00D63B59">
        <w:t>0</w:t>
      </w:r>
      <w:r w:rsidRPr="00244F4C">
        <w:t xml:space="preserve"> million in accumulated non</w:t>
      </w:r>
      <w:r w:rsidR="00757681">
        <w:noBreakHyphen/>
      </w:r>
      <w:r w:rsidRPr="00244F4C">
        <w:t xml:space="preserve">residential </w:t>
      </w:r>
      <w:r w:rsidR="00D63B59">
        <w:t xml:space="preserve">equity </w:t>
      </w:r>
      <w:r w:rsidR="00121D09">
        <w:t xml:space="preserve">storage </w:t>
      </w:r>
      <w:r w:rsidR="00D63B59">
        <w:t xml:space="preserve">budget </w:t>
      </w:r>
      <w:r w:rsidRPr="00244F4C">
        <w:t xml:space="preserve">funds </w:t>
      </w:r>
      <w:r w:rsidR="00121046">
        <w:t>to the</w:t>
      </w:r>
      <w:r w:rsidRPr="00244F4C">
        <w:t xml:space="preserve"> San Joaquin Valley pilot </w:t>
      </w:r>
      <w:r w:rsidR="00121046">
        <w:t>budget</w:t>
      </w:r>
      <w:r w:rsidR="00D63B59">
        <w:t>.</w:t>
      </w:r>
    </w:p>
    <w:bookmarkEnd w:id="5"/>
    <w:p w14:paraId="06042753" w14:textId="0759DA82" w:rsidR="00244F4C" w:rsidRPr="00244F4C" w:rsidRDefault="00847188" w:rsidP="00244F4C">
      <w:pPr>
        <w:pStyle w:val="ALJBodyText"/>
      </w:pPr>
      <w:r>
        <w:lastRenderedPageBreak/>
        <w:t>In a</w:t>
      </w:r>
      <w:r w:rsidR="00244F4C" w:rsidRPr="00244F4C">
        <w:t xml:space="preserve"> subsequent decision in this proceeding</w:t>
      </w:r>
      <w:r>
        <w:t>, we</w:t>
      </w:r>
      <w:r w:rsidR="00244F4C" w:rsidRPr="00244F4C">
        <w:t xml:space="preserve"> will </w:t>
      </w:r>
      <w:r>
        <w:t>implement</w:t>
      </w:r>
      <w:r w:rsidR="00244F4C" w:rsidRPr="00244F4C">
        <w:t xml:space="preserve"> annual ratepayer collections for the SGIP for </w:t>
      </w:r>
      <w:r w:rsidR="00121046">
        <w:t>five years (</w:t>
      </w:r>
      <w:r w:rsidR="00244F4C" w:rsidRPr="00244F4C">
        <w:t>2020</w:t>
      </w:r>
      <w:r w:rsidR="00121046">
        <w:t xml:space="preserve"> – </w:t>
      </w:r>
      <w:r w:rsidR="00244F4C" w:rsidRPr="00244F4C">
        <w:t>2024</w:t>
      </w:r>
      <w:r w:rsidR="00121046">
        <w:t>)</w:t>
      </w:r>
      <w:r w:rsidR="00244F4C" w:rsidRPr="00244F4C">
        <w:t>, as p</w:t>
      </w:r>
      <w:r w:rsidR="00766EFC">
        <w:t xml:space="preserve">rovided for in Senate Bill </w:t>
      </w:r>
      <w:r w:rsidR="00244F4C" w:rsidRPr="00244F4C">
        <w:t>700</w:t>
      </w:r>
      <w:r w:rsidR="00D30BD4">
        <w:t>.</w:t>
      </w:r>
    </w:p>
    <w:p w14:paraId="7F8692EE" w14:textId="552A6CE6" w:rsidR="008B2F22" w:rsidRPr="00C151FC" w:rsidRDefault="00542B86" w:rsidP="00CE14ED">
      <w:pPr>
        <w:pStyle w:val="ALJHeading1"/>
      </w:pPr>
      <w:bookmarkStart w:id="6" w:name="_Toc14349280"/>
      <w:bookmarkStart w:id="7" w:name="_Toc14349281"/>
      <w:bookmarkStart w:id="8" w:name="_Toc2517038"/>
      <w:bookmarkStart w:id="9" w:name="_Toc2523436"/>
      <w:bookmarkStart w:id="10" w:name="_Toc15908053"/>
      <w:bookmarkEnd w:id="6"/>
      <w:bookmarkEnd w:id="7"/>
      <w:r w:rsidRPr="00C151FC">
        <w:t>Background</w:t>
      </w:r>
      <w:bookmarkEnd w:id="8"/>
      <w:bookmarkEnd w:id="9"/>
      <w:bookmarkEnd w:id="10"/>
    </w:p>
    <w:p w14:paraId="56AE1160" w14:textId="0795007B" w:rsidR="00F46E34" w:rsidRDefault="00F46E34" w:rsidP="00F46E34">
      <w:pPr>
        <w:pStyle w:val="ALJBodyText"/>
      </w:pPr>
      <w:r w:rsidRPr="00F46E34">
        <w:t>Senate Bill (SB) 700 (Wiener, 2018)</w:t>
      </w:r>
      <w:r w:rsidRPr="00F46E34">
        <w:rPr>
          <w:vertAlign w:val="superscript"/>
        </w:rPr>
        <w:footnoteReference w:id="2"/>
      </w:r>
      <w:r w:rsidRPr="00F46E34">
        <w:t xml:space="preserve"> authorizes the California Public Utilities Commission (Commission) to extend annual collections for the </w:t>
      </w:r>
      <w:r>
        <w:t>Self</w:t>
      </w:r>
      <w:r w:rsidR="00757681">
        <w:noBreakHyphen/>
      </w:r>
      <w:r>
        <w:t>Generation Incentive Program</w:t>
      </w:r>
      <w:r w:rsidRPr="00F46E34">
        <w:t xml:space="preserve"> </w:t>
      </w:r>
      <w:r>
        <w:t>(</w:t>
      </w:r>
      <w:r w:rsidRPr="00F46E34">
        <w:t>SGIP</w:t>
      </w:r>
      <w:r>
        <w:t>)</w:t>
      </w:r>
      <w:r w:rsidRPr="00F46E34">
        <w:t xml:space="preserve"> for five additional years, from December 31, 2019 to December 31, 2024,</w:t>
      </w:r>
      <w:r w:rsidR="002827A1">
        <w:t xml:space="preserve"> </w:t>
      </w:r>
      <w:r w:rsidRPr="00F46E34">
        <w:t>extends administration of the program for five additional years, from January 1, 2021 to January 1, 2026</w:t>
      </w:r>
      <w:r w:rsidR="002827A1">
        <w:t>, and directs the Commission to provide repayment to ratepayers of any unallocated funds remaining as of January 1, 2026</w:t>
      </w:r>
      <w:r w:rsidRPr="00F46E34">
        <w:t xml:space="preserve">.  </w:t>
      </w:r>
      <w:r w:rsidR="00AF6ED3">
        <w:t>The SGIP program</w:t>
      </w:r>
      <w:r w:rsidR="00244F4C">
        <w:t xml:space="preserve"> provides incentives for on</w:t>
      </w:r>
      <w:r w:rsidR="00757681">
        <w:noBreakHyphen/>
      </w:r>
      <w:r w:rsidR="00244F4C">
        <w:t>site distributed energy resources including renewable generation and storage technologies</w:t>
      </w:r>
      <w:r w:rsidR="00AF6ED3">
        <w:t>.  Decision</w:t>
      </w:r>
      <w:r w:rsidR="003E23C5">
        <w:t xml:space="preserve"> (D.)</w:t>
      </w:r>
      <w:r w:rsidR="006F288A">
        <w:t xml:space="preserve"> 19</w:t>
      </w:r>
      <w:r w:rsidR="00757681">
        <w:noBreakHyphen/>
      </w:r>
      <w:r w:rsidR="006F288A">
        <w:t>08</w:t>
      </w:r>
      <w:r w:rsidR="00757681">
        <w:noBreakHyphen/>
      </w:r>
      <w:r w:rsidR="006F288A">
        <w:t>001</w:t>
      </w:r>
      <w:r w:rsidR="00AF6ED3">
        <w:t xml:space="preserve"> addressed another provision of SB 700 requiring </w:t>
      </w:r>
      <w:r w:rsidR="00C160B2">
        <w:t xml:space="preserve">that </w:t>
      </w:r>
      <w:r w:rsidR="00AF6ED3">
        <w:t xml:space="preserve">SGIP projects </w:t>
      </w:r>
      <w:r w:rsidR="00C160B2">
        <w:t>reduce</w:t>
      </w:r>
      <w:r w:rsidR="00AF6ED3">
        <w:t xml:space="preserve"> greenhouse gas </w:t>
      </w:r>
      <w:r w:rsidR="0050002D">
        <w:t xml:space="preserve">(GHG) </w:t>
      </w:r>
      <w:r w:rsidR="00AF6ED3">
        <w:t>emissions.</w:t>
      </w:r>
    </w:p>
    <w:p w14:paraId="0D9BC41A" w14:textId="4F2840CC" w:rsidR="00D63E0D" w:rsidRDefault="00F46E34" w:rsidP="00F46E34">
      <w:pPr>
        <w:pStyle w:val="ALJBodyText"/>
      </w:pPr>
      <w:r>
        <w:t xml:space="preserve">An April 15, 2019 Assigned Commissioner’s Ruling </w:t>
      </w:r>
      <w:r w:rsidR="00766EFC">
        <w:t>in Rulemaking (R). </w:t>
      </w:r>
      <w:r w:rsidR="004F3A6C">
        <w:t>12</w:t>
      </w:r>
      <w:r w:rsidR="00757681">
        <w:noBreakHyphen/>
      </w:r>
      <w:r w:rsidR="004F3A6C">
        <w:t>11</w:t>
      </w:r>
      <w:r w:rsidR="00757681">
        <w:noBreakHyphen/>
      </w:r>
      <w:r w:rsidR="004F3A6C">
        <w:t xml:space="preserve">005 </w:t>
      </w:r>
      <w:r>
        <w:t>(SGIP ACR) requested party feedback on questions to guide implementation of SB 700 and to consider other program modifications.</w:t>
      </w:r>
      <w:r w:rsidR="008F1A86">
        <w:rPr>
          <w:rStyle w:val="FootnoteReference"/>
        </w:rPr>
        <w:footnoteReference w:id="3"/>
      </w:r>
      <w:r w:rsidR="008F1A86">
        <w:t xml:space="preserve"> </w:t>
      </w:r>
      <w:r>
        <w:t xml:space="preserve"> The </w:t>
      </w:r>
      <w:r w:rsidR="00B46B18">
        <w:t xml:space="preserve">SGIP ACR </w:t>
      </w:r>
      <w:r>
        <w:t>solicited party input on the future direction of the SGIP program in a</w:t>
      </w:r>
      <w:r w:rsidR="00B46B18">
        <w:t xml:space="preserve"> wide range</w:t>
      </w:r>
      <w:r>
        <w:t xml:space="preserve"> of areas.</w:t>
      </w:r>
      <w:r w:rsidR="008F1A86">
        <w:rPr>
          <w:rStyle w:val="FootnoteReference"/>
        </w:rPr>
        <w:footnoteReference w:id="4"/>
      </w:r>
      <w:r w:rsidR="00084D55">
        <w:t xml:space="preserve">  </w:t>
      </w:r>
      <w:r w:rsidR="00244F4C" w:rsidRPr="00244F4C">
        <w:t>In this decision we:</w:t>
      </w:r>
      <w:r w:rsidR="00300E6A">
        <w:t xml:space="preserve"> </w:t>
      </w:r>
      <w:r w:rsidR="00244F4C" w:rsidRPr="00244F4C">
        <w:t xml:space="preserve"> </w:t>
      </w:r>
      <w:r w:rsidR="00121046">
        <w:t xml:space="preserve">(1) </w:t>
      </w:r>
      <w:r w:rsidR="00121046" w:rsidRPr="00121046">
        <w:t>modif</w:t>
      </w:r>
      <w:r w:rsidR="00121046">
        <w:t>y</w:t>
      </w:r>
      <w:r w:rsidR="00121046" w:rsidRPr="00121046">
        <w:t xml:space="preserve"> equity budget program requirements and incentive levels to increase participation</w:t>
      </w:r>
      <w:r w:rsidR="00121046">
        <w:t xml:space="preserve">; (2) </w:t>
      </w:r>
      <w:r w:rsidR="00121046" w:rsidRPr="00121046">
        <w:t xml:space="preserve">establish a new </w:t>
      </w:r>
      <w:r w:rsidR="00121046">
        <w:lastRenderedPageBreak/>
        <w:t xml:space="preserve">$100 million </w:t>
      </w:r>
      <w:r w:rsidR="00121046" w:rsidRPr="00121046">
        <w:t xml:space="preserve">equity </w:t>
      </w:r>
      <w:r w:rsidR="003E23C5">
        <w:t xml:space="preserve">resiliency </w:t>
      </w:r>
      <w:r w:rsidR="00121046" w:rsidRPr="00121046">
        <w:t xml:space="preserve">budget </w:t>
      </w:r>
      <w:r w:rsidR="00DB1264">
        <w:t>set</w:t>
      </w:r>
      <w:r w:rsidR="00757681">
        <w:noBreakHyphen/>
      </w:r>
      <w:r w:rsidR="00DB1264">
        <w:t>aside</w:t>
      </w:r>
      <w:r w:rsidR="00121046" w:rsidRPr="00121046">
        <w:t xml:space="preserve"> for vulnerable households</w:t>
      </w:r>
      <w:r w:rsidR="00AA1A66">
        <w:t xml:space="preserve"> in Tier</w:t>
      </w:r>
      <w:r w:rsidR="00754CCC">
        <w:t> </w:t>
      </w:r>
      <w:r w:rsidR="00AA1A66">
        <w:t xml:space="preserve">3 </w:t>
      </w:r>
      <w:r w:rsidR="00D30BD4">
        <w:t xml:space="preserve">and Tier 2 </w:t>
      </w:r>
      <w:r w:rsidR="00AA1A66">
        <w:t>high fire threat districts</w:t>
      </w:r>
      <w:r w:rsidR="00D63E0D">
        <w:t xml:space="preserve"> (HFTDs)</w:t>
      </w:r>
      <w:r w:rsidR="00121046" w:rsidRPr="00121046">
        <w:t>, critical services facilities</w:t>
      </w:r>
      <w:r w:rsidR="00AA1A66">
        <w:t xml:space="preserve"> serving those districts</w:t>
      </w:r>
      <w:r w:rsidR="00121046" w:rsidRPr="00121046">
        <w:t xml:space="preserve">, and customers </w:t>
      </w:r>
      <w:r w:rsidR="00D63E0D">
        <w:t xml:space="preserve">located in those districts that </w:t>
      </w:r>
      <w:r w:rsidR="00121046" w:rsidRPr="00121046">
        <w:t>participat</w:t>
      </w:r>
      <w:r w:rsidR="00D63E0D">
        <w:t>e</w:t>
      </w:r>
      <w:r w:rsidR="00121046" w:rsidRPr="00121046">
        <w:t xml:space="preserve"> in </w:t>
      </w:r>
      <w:r w:rsidR="00D63E0D">
        <w:t xml:space="preserve">two </w:t>
      </w:r>
      <w:r w:rsidR="00121046" w:rsidRPr="00121046">
        <w:t>low</w:t>
      </w:r>
      <w:r w:rsidR="00757681">
        <w:noBreakHyphen/>
      </w:r>
      <w:r w:rsidR="00121046" w:rsidRPr="00121046">
        <w:t>income solar generation programs</w:t>
      </w:r>
      <w:r w:rsidR="00121046">
        <w:t xml:space="preserve">; </w:t>
      </w:r>
      <w:r w:rsidR="00481CF4">
        <w:t xml:space="preserve">and, </w:t>
      </w:r>
      <w:r w:rsidR="00121046">
        <w:t xml:space="preserve">(3) </w:t>
      </w:r>
      <w:r w:rsidR="00121046" w:rsidRPr="00121046">
        <w:t xml:space="preserve">establish a $10 million budget for SGIP storage incentives to support pilot projects in eleven San Joaquin Valley </w:t>
      </w:r>
      <w:r w:rsidR="003E23C5">
        <w:t xml:space="preserve">(SJV) </w:t>
      </w:r>
      <w:r w:rsidR="00121046" w:rsidRPr="00121046">
        <w:t xml:space="preserve">disadvantaged communities </w:t>
      </w:r>
      <w:r w:rsidR="003E23C5">
        <w:t xml:space="preserve">(DACs) </w:t>
      </w:r>
      <w:r w:rsidR="00D63E0D">
        <w:t xml:space="preserve">authorized </w:t>
      </w:r>
      <w:r w:rsidR="00121046" w:rsidRPr="00121046">
        <w:t>in D</w:t>
      </w:r>
      <w:r w:rsidR="003E23C5">
        <w:t>.</w:t>
      </w:r>
      <w:r w:rsidR="00121046" w:rsidRPr="00121046">
        <w:t>18</w:t>
      </w:r>
      <w:r w:rsidR="00757681">
        <w:noBreakHyphen/>
      </w:r>
      <w:r w:rsidR="00121046" w:rsidRPr="00121046">
        <w:t>12</w:t>
      </w:r>
      <w:r w:rsidR="00757681">
        <w:noBreakHyphen/>
      </w:r>
      <w:r w:rsidR="00121046" w:rsidRPr="00121046">
        <w:t>01</w:t>
      </w:r>
      <w:r w:rsidR="00D63E0D">
        <w:t>5</w:t>
      </w:r>
      <w:r w:rsidR="00244F4C" w:rsidRPr="00244F4C">
        <w:t>.</w:t>
      </w:r>
      <w:r w:rsidR="00244F4C" w:rsidRPr="00244F4C">
        <w:rPr>
          <w:vertAlign w:val="superscript"/>
        </w:rPr>
        <w:footnoteReference w:id="5"/>
      </w:r>
      <w:r w:rsidR="00244F4C" w:rsidRPr="00244F4C">
        <w:t xml:space="preserve">  </w:t>
      </w:r>
      <w:r w:rsidR="00121046">
        <w:t xml:space="preserve">These communities are </w:t>
      </w:r>
      <w:r w:rsidR="00121046" w:rsidRPr="00121046">
        <w:t>Allensworth, Alpaugh, Cantua Creek, Ducor, Fairmead, Lanare, Le Grand, La Vina, Seville, West Goshen, and California City</w:t>
      </w:r>
      <w:r w:rsidR="00121046">
        <w:t xml:space="preserve">.  </w:t>
      </w:r>
      <w:r w:rsidR="00AA1A66">
        <w:t>We also</w:t>
      </w:r>
      <w:r w:rsidR="00D63E0D">
        <w:t xml:space="preserve"> (4),</w:t>
      </w:r>
      <w:r w:rsidR="00AA1A66">
        <w:t xml:space="preserve"> establish a new equity </w:t>
      </w:r>
      <w:r w:rsidR="00D63E0D">
        <w:t>h</w:t>
      </w:r>
      <w:r w:rsidR="00AA1A66">
        <w:t xml:space="preserve">eat </w:t>
      </w:r>
      <w:r w:rsidR="00D63E0D">
        <w:t>p</w:t>
      </w:r>
      <w:r w:rsidR="00AA1A66">
        <w:t xml:space="preserve">ump </w:t>
      </w:r>
      <w:r w:rsidR="00D63E0D">
        <w:t>w</w:t>
      </w:r>
      <w:r w:rsidR="00AA1A66">
        <w:t xml:space="preserve">ater </w:t>
      </w:r>
      <w:r w:rsidR="00D63E0D">
        <w:t>h</w:t>
      </w:r>
      <w:r w:rsidR="00AA1A66">
        <w:t xml:space="preserve">eater </w:t>
      </w:r>
      <w:r w:rsidR="00D63E0D">
        <w:t>(HPWH) set</w:t>
      </w:r>
      <w:r w:rsidR="00757681">
        <w:noBreakHyphen/>
      </w:r>
      <w:r w:rsidR="00D63E0D">
        <w:t xml:space="preserve">aside </w:t>
      </w:r>
      <w:r w:rsidR="00300E6A">
        <w:t>of $4 </w:t>
      </w:r>
      <w:r w:rsidR="00AA1A66">
        <w:t xml:space="preserve">million. </w:t>
      </w:r>
    </w:p>
    <w:p w14:paraId="773B1A11" w14:textId="06007D82" w:rsidR="00F46E34" w:rsidRDefault="00084D55" w:rsidP="00F46E34">
      <w:pPr>
        <w:pStyle w:val="ALJBodyText"/>
      </w:pPr>
      <w:r>
        <w:t xml:space="preserve">We discuss and approve modifications to </w:t>
      </w:r>
      <w:r w:rsidR="00D63E0D">
        <w:t xml:space="preserve">the </w:t>
      </w:r>
      <w:r>
        <w:t xml:space="preserve">equity budget </w:t>
      </w:r>
      <w:r w:rsidR="00B22515">
        <w:t xml:space="preserve">program </w:t>
      </w:r>
      <w:r w:rsidR="00121046">
        <w:t xml:space="preserve">and incentive </w:t>
      </w:r>
      <w:r>
        <w:t>first</w:t>
      </w:r>
      <w:r w:rsidR="00121046">
        <w:t xml:space="preserve">, then approve </w:t>
      </w:r>
      <w:r w:rsidR="00DB1264">
        <w:t xml:space="preserve">the equity </w:t>
      </w:r>
      <w:r w:rsidR="00E461F9">
        <w:t xml:space="preserve">and </w:t>
      </w:r>
      <w:r w:rsidR="005F3AF5">
        <w:t>equity resiliency budget</w:t>
      </w:r>
      <w:r w:rsidR="0080702C">
        <w:t>s</w:t>
      </w:r>
      <w:r w:rsidR="00121046">
        <w:t xml:space="preserve">, and finally </w:t>
      </w:r>
      <w:r>
        <w:t>turn to issues related to the SJV DAC pilot projects</w:t>
      </w:r>
      <w:r w:rsidR="00AA1A66">
        <w:t xml:space="preserve"> and </w:t>
      </w:r>
      <w:r w:rsidR="007958C4">
        <w:t>HPWH</w:t>
      </w:r>
      <w:r w:rsidR="00AA1A66">
        <w:t>s</w:t>
      </w:r>
      <w:r>
        <w:t>.</w:t>
      </w:r>
    </w:p>
    <w:p w14:paraId="0FD11A89" w14:textId="77777777" w:rsidR="00643C3B" w:rsidRDefault="00643C3B" w:rsidP="00CE14ED">
      <w:pPr>
        <w:pStyle w:val="ALJHeading1"/>
      </w:pPr>
      <w:bookmarkStart w:id="11" w:name="_Toc15908054"/>
      <w:r>
        <w:t>Jurisdiction</w:t>
      </w:r>
      <w:bookmarkEnd w:id="11"/>
    </w:p>
    <w:p w14:paraId="405DFDBB" w14:textId="6AC53893" w:rsidR="00643C3B" w:rsidRPr="00F46E34" w:rsidRDefault="00643C3B" w:rsidP="00300E6A">
      <w:pPr>
        <w:pStyle w:val="ALJBodyText"/>
      </w:pPr>
      <w:r>
        <w:t xml:space="preserve">Public Utilities Code </w:t>
      </w:r>
      <w:r w:rsidRPr="00732295">
        <w:t>Section 379.6 established the SGIP program in 2001</w:t>
      </w:r>
      <w:r w:rsidR="00613276">
        <w:t xml:space="preserve"> to </w:t>
      </w:r>
      <w:r w:rsidRPr="00732295">
        <w:t>increase deployment of distributed generation and energy storage systems to facilitate the integration of those resources into the electrical grid, improve efficiency and reliability of the distribution and transmission system, and reduce emissions of greenhouse gases, p</w:t>
      </w:r>
      <w:r>
        <w:t>eak demand, and ratepayer costs.</w:t>
      </w:r>
      <w:r w:rsidR="003E23C5">
        <w:rPr>
          <w:rStyle w:val="FootnoteReference"/>
        </w:rPr>
        <w:footnoteReference w:id="6"/>
      </w:r>
      <w:r>
        <w:t xml:space="preserve">  </w:t>
      </w:r>
      <w:bookmarkStart w:id="12" w:name="_Hlk12267093"/>
      <w:r>
        <w:t>Section</w:t>
      </w:r>
      <w:r w:rsidR="00300E6A">
        <w:t> </w:t>
      </w:r>
      <w:r>
        <w:t xml:space="preserve">379.6(a)(1) </w:t>
      </w:r>
      <w:r w:rsidR="00D37CC8">
        <w:t xml:space="preserve">requires the </w:t>
      </w:r>
      <w:r w:rsidRPr="00732295">
        <w:t xml:space="preserve">Commission </w:t>
      </w:r>
      <w:r w:rsidR="00D37CC8">
        <w:t xml:space="preserve">to </w:t>
      </w:r>
      <w:r>
        <w:t xml:space="preserve">ensure an </w:t>
      </w:r>
      <w:r w:rsidRPr="00732295">
        <w:t>equitable distribution of the costs and benefits of the program.</w:t>
      </w:r>
      <w:r>
        <w:t xml:space="preserve"> </w:t>
      </w:r>
      <w:bookmarkStart w:id="13" w:name="_Hlk7087078"/>
      <w:r>
        <w:t xml:space="preserve"> </w:t>
      </w:r>
      <w:bookmarkEnd w:id="12"/>
      <w:bookmarkEnd w:id="13"/>
      <w:r w:rsidR="002827A1">
        <w:t xml:space="preserve">Section 379.6(b)(3) requires the Commission to adopt requirements for energy storage systems to ensure that eligible systems reduce GHG emissions. </w:t>
      </w:r>
    </w:p>
    <w:p w14:paraId="5A47F79F" w14:textId="13AA3FD0" w:rsidR="00240EAA" w:rsidRDefault="00240EAA" w:rsidP="00CE14ED">
      <w:pPr>
        <w:pStyle w:val="ALJHeading1"/>
      </w:pPr>
      <w:bookmarkStart w:id="14" w:name="_Toc15908055"/>
      <w:r>
        <w:lastRenderedPageBreak/>
        <w:t>Equity Budget</w:t>
      </w:r>
      <w:bookmarkEnd w:id="14"/>
    </w:p>
    <w:p w14:paraId="09C95E4E" w14:textId="241480CD" w:rsidR="00E0409D" w:rsidRPr="00A90421" w:rsidRDefault="00E0409D" w:rsidP="00E0409D">
      <w:pPr>
        <w:pStyle w:val="ALJBodyText"/>
      </w:pPr>
      <w:r w:rsidRPr="00A90421">
        <w:t xml:space="preserve">The Commission’s goals for the </w:t>
      </w:r>
      <w:r w:rsidR="00CB1D5B">
        <w:t xml:space="preserve">SGIP </w:t>
      </w:r>
      <w:r w:rsidRPr="00A90421">
        <w:t>equity budget are to ensure that a significant portion of the SGIP budget is reserved for customer projects in disadvantaged and low</w:t>
      </w:r>
      <w:r w:rsidR="00757681">
        <w:noBreakHyphen/>
      </w:r>
      <w:r w:rsidRPr="00A90421">
        <w:t>income communities and tha</w:t>
      </w:r>
      <w:r>
        <w:t>t equity budget investments</w:t>
      </w:r>
      <w:r w:rsidRPr="00A90421">
        <w:t>:</w:t>
      </w:r>
    </w:p>
    <w:p w14:paraId="0D339488" w14:textId="77777777" w:rsidR="00E0409D" w:rsidRPr="00A90421" w:rsidRDefault="00E0409D" w:rsidP="007416CD">
      <w:pPr>
        <w:pStyle w:val="ALJBodyText"/>
        <w:numPr>
          <w:ilvl w:val="0"/>
          <w:numId w:val="9"/>
        </w:numPr>
        <w:spacing w:after="160" w:line="240" w:lineRule="auto"/>
        <w:ind w:right="720"/>
      </w:pPr>
      <w:r w:rsidRPr="00A90421">
        <w:t>Bring positive economic and workforce development opportunities to the state’s most disadvantaged communities;</w:t>
      </w:r>
    </w:p>
    <w:p w14:paraId="0ED5CFBE" w14:textId="77777777" w:rsidR="00E0409D" w:rsidRPr="00A90421" w:rsidRDefault="00E0409D" w:rsidP="007416CD">
      <w:pPr>
        <w:pStyle w:val="ALJBodyText"/>
        <w:numPr>
          <w:ilvl w:val="0"/>
          <w:numId w:val="9"/>
        </w:numPr>
        <w:spacing w:after="160" w:line="240" w:lineRule="auto"/>
        <w:ind w:right="720"/>
      </w:pPr>
      <w:r w:rsidRPr="00A90421">
        <w:t xml:space="preserve">Help reduce or avoid the need to operate conventional gas facilities in these communities, which are exposed to some of the poorest air quality in the state; and, </w:t>
      </w:r>
    </w:p>
    <w:p w14:paraId="3B8F778D" w14:textId="1FCB296B" w:rsidR="00E0409D" w:rsidRPr="00A90421" w:rsidRDefault="00E0409D" w:rsidP="007416CD">
      <w:pPr>
        <w:pStyle w:val="ALJBodyText"/>
        <w:numPr>
          <w:ilvl w:val="0"/>
          <w:numId w:val="9"/>
        </w:numPr>
        <w:spacing w:after="160" w:line="240" w:lineRule="auto"/>
        <w:ind w:right="720"/>
      </w:pPr>
      <w:r w:rsidRPr="00A90421">
        <w:t>Ensure that low</w:t>
      </w:r>
      <w:r w:rsidR="00757681">
        <w:noBreakHyphen/>
      </w:r>
      <w:r w:rsidRPr="00A90421">
        <w:t>income customers and non</w:t>
      </w:r>
      <w:r w:rsidR="00757681">
        <w:noBreakHyphen/>
      </w:r>
      <w:r w:rsidRPr="00A90421">
        <w:t>profit or public sector organizations in disadvantaged or low</w:t>
      </w:r>
      <w:r w:rsidR="00757681">
        <w:noBreakHyphen/>
      </w:r>
      <w:r w:rsidRPr="00A90421">
        <w:t>income communities have access to energy storage resources incentivized through SGIP.</w:t>
      </w:r>
      <w:r w:rsidRPr="00A90421">
        <w:rPr>
          <w:vertAlign w:val="superscript"/>
        </w:rPr>
        <w:footnoteReference w:id="7"/>
      </w:r>
      <w:r w:rsidRPr="00A90421">
        <w:t xml:space="preserve">  </w:t>
      </w:r>
    </w:p>
    <w:p w14:paraId="2593753C" w14:textId="35E62117" w:rsidR="00D6158B" w:rsidRDefault="001A4516" w:rsidP="003E23C5">
      <w:pPr>
        <w:pStyle w:val="ALJBodyText"/>
      </w:pPr>
      <w:r>
        <w:t>The Commission in D.17</w:t>
      </w:r>
      <w:r w:rsidR="00757681">
        <w:noBreakHyphen/>
      </w:r>
      <w:r>
        <w:t>10</w:t>
      </w:r>
      <w:r w:rsidR="00757681">
        <w:noBreakHyphen/>
      </w:r>
      <w:r>
        <w:t xml:space="preserve">004 </w:t>
      </w:r>
      <w:r w:rsidR="00DB1264">
        <w:t>set</w:t>
      </w:r>
      <w:r w:rsidR="00757681">
        <w:noBreakHyphen/>
      </w:r>
      <w:r w:rsidR="00DB1264">
        <w:t>aside</w:t>
      </w:r>
      <w:r w:rsidR="00240EAA">
        <w:t xml:space="preserve"> 25 percent of non</w:t>
      </w:r>
      <w:r w:rsidR="00757681">
        <w:noBreakHyphen/>
      </w:r>
      <w:r w:rsidR="00240EAA">
        <w:t xml:space="preserve">residential and residential </w:t>
      </w:r>
      <w:r w:rsidR="00CB3913">
        <w:t xml:space="preserve">SGIP </w:t>
      </w:r>
      <w:r w:rsidR="00240EAA">
        <w:t>funds</w:t>
      </w:r>
      <w:r w:rsidR="002D1CD0">
        <w:t xml:space="preserve"> </w:t>
      </w:r>
      <w:r w:rsidR="00AF6ED3">
        <w:t xml:space="preserve">to subsidize customer owned energy storage </w:t>
      </w:r>
      <w:r w:rsidR="002D1CD0">
        <w:t xml:space="preserve">for </w:t>
      </w:r>
      <w:r w:rsidR="00E0409D">
        <w:t xml:space="preserve">such projects.  </w:t>
      </w:r>
      <w:r w:rsidR="00D6158B">
        <w:t>D.17</w:t>
      </w:r>
      <w:r w:rsidR="00757681">
        <w:noBreakHyphen/>
      </w:r>
      <w:r w:rsidR="00D6158B">
        <w:t>10</w:t>
      </w:r>
      <w:r w:rsidR="00757681">
        <w:noBreakHyphen/>
      </w:r>
      <w:r w:rsidR="00D6158B">
        <w:t>004 approved</w:t>
      </w:r>
      <w:r w:rsidR="00AF6ED3">
        <w:t xml:space="preserve"> </w:t>
      </w:r>
      <w:r w:rsidR="00AE7D68">
        <w:t xml:space="preserve">initial </w:t>
      </w:r>
      <w:r w:rsidR="00201BED">
        <w:t>incentives</w:t>
      </w:r>
      <w:r w:rsidR="00AF6ED3">
        <w:t xml:space="preserve"> of </w:t>
      </w:r>
      <w:r w:rsidR="00AE7D68">
        <w:t>thirty</w:t>
      </w:r>
      <w:r w:rsidR="00757681">
        <w:noBreakHyphen/>
      </w:r>
      <w:r w:rsidR="00AE7D68">
        <w:t xml:space="preserve">five cents per watt hour ($0.35/Wh) </w:t>
      </w:r>
      <w:r w:rsidR="00AF6ED3">
        <w:t xml:space="preserve">and provided a mechanism to increase the equity budget incentive level if it proved too low to attract demand.  </w:t>
      </w:r>
      <w:r w:rsidR="00E0409D">
        <w:t>The increase</w:t>
      </w:r>
      <w:r w:rsidR="003E23C5">
        <w:t>—$</w:t>
      </w:r>
      <w:r w:rsidR="00240EAA">
        <w:t>0.05/Wh</w:t>
      </w:r>
      <w:r w:rsidR="003E23C5">
        <w:t>—</w:t>
      </w:r>
      <w:r w:rsidR="00E0409D">
        <w:t>would</w:t>
      </w:r>
      <w:r w:rsidR="00AF6ED3">
        <w:t xml:space="preserve"> go into effect </w:t>
      </w:r>
      <w:r w:rsidR="00240EAA">
        <w:t>after any rolling three</w:t>
      </w:r>
      <w:r w:rsidR="00757681">
        <w:noBreakHyphen/>
      </w:r>
      <w:r w:rsidR="00240EAA">
        <w:t xml:space="preserve">month period in which the equity budget confirmed zero </w:t>
      </w:r>
      <w:r w:rsidR="00AE7D68">
        <w:t xml:space="preserve">incentive reservations </w:t>
      </w:r>
      <w:r w:rsidR="00240EAA">
        <w:t>and the general budget confirmed at l</w:t>
      </w:r>
      <w:r w:rsidR="00C50C85">
        <w:t>east five</w:t>
      </w:r>
      <w:r w:rsidR="00AE7D68">
        <w:t xml:space="preserve"> reservations</w:t>
      </w:r>
      <w:r w:rsidR="00C1673B">
        <w:t>.  D.17</w:t>
      </w:r>
      <w:r w:rsidR="00757681">
        <w:noBreakHyphen/>
      </w:r>
      <w:r w:rsidR="00C1673B">
        <w:t>10</w:t>
      </w:r>
      <w:r w:rsidR="00757681">
        <w:noBreakHyphen/>
      </w:r>
      <w:r w:rsidR="00C1673B">
        <w:t xml:space="preserve">004 </w:t>
      </w:r>
      <w:r w:rsidR="00C50C85">
        <w:t xml:space="preserve">capped </w:t>
      </w:r>
      <w:r w:rsidR="00D6158B">
        <w:t xml:space="preserve">equity budget </w:t>
      </w:r>
      <w:r w:rsidR="00240EAA">
        <w:t>incentive</w:t>
      </w:r>
      <w:r w:rsidR="00C50C85">
        <w:t xml:space="preserve">s </w:t>
      </w:r>
      <w:r w:rsidR="00D6158B">
        <w:t>at $0.50/Wh</w:t>
      </w:r>
      <w:r w:rsidR="00AE7D68">
        <w:t>.</w:t>
      </w:r>
    </w:p>
    <w:p w14:paraId="75F49960" w14:textId="7B46EAEB" w:rsidR="00C707D3" w:rsidRDefault="00C4647E" w:rsidP="00C707D3">
      <w:pPr>
        <w:pStyle w:val="ALJBodyText"/>
      </w:pPr>
      <w:r>
        <w:t xml:space="preserve">Three of the four SGIP program administrators (PAs), </w:t>
      </w:r>
      <w:r w:rsidR="00D6158B">
        <w:t>Southern California Edison Company (</w:t>
      </w:r>
      <w:r w:rsidR="00B46B18" w:rsidRPr="00B46B18">
        <w:t>SCE</w:t>
      </w:r>
      <w:r w:rsidR="00D6158B">
        <w:t>)</w:t>
      </w:r>
      <w:r>
        <w:t xml:space="preserve">, </w:t>
      </w:r>
      <w:r w:rsidR="00D6158B">
        <w:t>Southern California Gas Company (</w:t>
      </w:r>
      <w:r w:rsidR="00B46B18" w:rsidRPr="00B46B18">
        <w:t>SoCalGas</w:t>
      </w:r>
      <w:r w:rsidR="00D6158B">
        <w:t>)</w:t>
      </w:r>
      <w:r>
        <w:t xml:space="preserve"> </w:t>
      </w:r>
      <w:r w:rsidR="00B46B18" w:rsidRPr="00B46B18">
        <w:t xml:space="preserve">and </w:t>
      </w:r>
      <w:r w:rsidR="00D6158B">
        <w:t>the Center for Sustain</w:t>
      </w:r>
      <w:r w:rsidR="00C50C85">
        <w:t>a</w:t>
      </w:r>
      <w:r w:rsidR="00D6158B">
        <w:t>ble Energy (</w:t>
      </w:r>
      <w:r w:rsidR="00B46B18" w:rsidRPr="00B46B18">
        <w:t>CSE</w:t>
      </w:r>
      <w:r w:rsidR="00D6158B">
        <w:t>)</w:t>
      </w:r>
      <w:r>
        <w:t xml:space="preserve">, opened their equity budgets in January, </w:t>
      </w:r>
      <w:r>
        <w:lastRenderedPageBreak/>
        <w:t xml:space="preserve">March and </w:t>
      </w:r>
      <w:r w:rsidR="00B46B18" w:rsidRPr="00B46B18">
        <w:t>June 2018</w:t>
      </w:r>
      <w:r>
        <w:t xml:space="preserve"> respectively</w:t>
      </w:r>
      <w:r w:rsidR="00B46B18" w:rsidRPr="00B46B18">
        <w:t xml:space="preserve">.  </w:t>
      </w:r>
      <w:r>
        <w:t xml:space="preserve">The fourth PA, </w:t>
      </w:r>
      <w:r w:rsidR="00D6158B">
        <w:t xml:space="preserve">Pacific Gas and Electric Company </w:t>
      </w:r>
      <w:r w:rsidR="00C50C85">
        <w:t>(PG&amp;E)</w:t>
      </w:r>
      <w:r>
        <w:t>,</w:t>
      </w:r>
      <w:r w:rsidR="00C50C85">
        <w:t xml:space="preserve"> </w:t>
      </w:r>
      <w:r w:rsidR="00D6158B">
        <w:t>has not yet opened its equity budget because</w:t>
      </w:r>
      <w:r w:rsidR="00AE7D68">
        <w:t xml:space="preserve"> D.17</w:t>
      </w:r>
      <w:r w:rsidR="00757681">
        <w:noBreakHyphen/>
      </w:r>
      <w:r w:rsidR="00AE7D68">
        <w:t>10</w:t>
      </w:r>
      <w:r w:rsidR="00757681">
        <w:noBreakHyphen/>
      </w:r>
      <w:r w:rsidR="00AE7D68">
        <w:t xml:space="preserve">004 linked opening of each PA’s equity budget to opening of the third </w:t>
      </w:r>
      <w:r w:rsidR="003E23C5">
        <w:t xml:space="preserve">incentive </w:t>
      </w:r>
      <w:r w:rsidR="00AE7D68">
        <w:t xml:space="preserve">step of the same PA’s </w:t>
      </w:r>
      <w:r w:rsidR="00D6158B">
        <w:t>general storage budget</w:t>
      </w:r>
      <w:r w:rsidR="00AE7D68">
        <w:t>.</w:t>
      </w:r>
      <w:r w:rsidR="00AE7D68">
        <w:rPr>
          <w:rStyle w:val="FootnoteReference"/>
        </w:rPr>
        <w:footnoteReference w:id="8"/>
      </w:r>
      <w:r w:rsidR="00E0409D">
        <w:t xml:space="preserve"> </w:t>
      </w:r>
      <w:r w:rsidR="00AE7D68">
        <w:t xml:space="preserve"> </w:t>
      </w:r>
      <w:r w:rsidR="00C50C85">
        <w:t xml:space="preserve">As of April 15, 2019, </w:t>
      </w:r>
      <w:r w:rsidR="00AE7D68">
        <w:t>no developer had sought and the PAs had not approved any equity budget project incentives</w:t>
      </w:r>
      <w:r w:rsidR="00E0409D">
        <w:t xml:space="preserve">, despite the fact that </w:t>
      </w:r>
      <w:r w:rsidR="00B5650E">
        <w:t xml:space="preserve">SoCalGas </w:t>
      </w:r>
      <w:r w:rsidR="003E23C5">
        <w:t xml:space="preserve">had </w:t>
      </w:r>
      <w:r w:rsidR="00240EAA" w:rsidRPr="0006126D">
        <w:t xml:space="preserve">reached the maximum </w:t>
      </w:r>
      <w:r w:rsidR="00AE7D68">
        <w:t xml:space="preserve">equity budget </w:t>
      </w:r>
      <w:r w:rsidR="00240EAA" w:rsidRPr="0006126D">
        <w:t>i</w:t>
      </w:r>
      <w:r w:rsidR="00240EAA">
        <w:t xml:space="preserve">ncentive </w:t>
      </w:r>
      <w:r w:rsidR="00D6158B">
        <w:t>level</w:t>
      </w:r>
      <w:r w:rsidR="00240EAA">
        <w:t xml:space="preserve"> (</w:t>
      </w:r>
      <w:r w:rsidR="00240EAA" w:rsidRPr="0006126D">
        <w:t>$0</w:t>
      </w:r>
      <w:r w:rsidR="00240EAA">
        <w:t>.50/W</w:t>
      </w:r>
      <w:r w:rsidR="002D1CD0">
        <w:t xml:space="preserve">h), </w:t>
      </w:r>
      <w:r w:rsidR="00240EAA">
        <w:t xml:space="preserve">and SCE and CSE equity budget incentives were </w:t>
      </w:r>
      <w:r w:rsidR="00D6158B">
        <w:t xml:space="preserve">at </w:t>
      </w:r>
      <w:r w:rsidR="00240EAA" w:rsidRPr="0006126D">
        <w:t>$0.</w:t>
      </w:r>
      <w:r w:rsidR="00B5650E">
        <w:t xml:space="preserve">45/Wh. </w:t>
      </w:r>
    </w:p>
    <w:p w14:paraId="08828B4D" w14:textId="2F388A36" w:rsidR="003E23C5" w:rsidRDefault="008F1A86" w:rsidP="00C707D3">
      <w:pPr>
        <w:pStyle w:val="ALJBodyText"/>
      </w:pPr>
      <w:r>
        <w:t>The SGIP ACR</w:t>
      </w:r>
      <w:r w:rsidR="002D1CD0">
        <w:t xml:space="preserve"> </w:t>
      </w:r>
      <w:r w:rsidR="00C868A4">
        <w:t xml:space="preserve">sought party comments on </w:t>
      </w:r>
      <w:r w:rsidR="00B5650E">
        <w:t xml:space="preserve">the </w:t>
      </w:r>
      <w:r w:rsidR="00E0409D">
        <w:t xml:space="preserve">reasons for </w:t>
      </w:r>
      <w:r w:rsidR="00C868A4">
        <w:t xml:space="preserve">the lack of participation in the equity storage budget and requested input on </w:t>
      </w:r>
      <w:r w:rsidR="00E0409D">
        <w:t xml:space="preserve">how </w:t>
      </w:r>
      <w:r w:rsidR="00C868A4">
        <w:t>to increase participation</w:t>
      </w:r>
      <w:r w:rsidR="00620575">
        <w:t xml:space="preserve">.  </w:t>
      </w:r>
      <w:r w:rsidR="001A4516" w:rsidRPr="005356CD">
        <w:t>On May 30, 2019, 18 parties filed comments including</w:t>
      </w:r>
      <w:r w:rsidR="0077083F">
        <w:t xml:space="preserve"> San </w:t>
      </w:r>
      <w:r w:rsidR="005356CD" w:rsidRPr="005356CD">
        <w:t>Jose Clean Energy Authority, Sonoma Clean Power Authority, Peninsula Clean Energy Authority and Silicon Valley Clean Energy Authority, (collectively, Joint CCAs), California Solar and Storage Association (CALSSA), the</w:t>
      </w:r>
      <w:r w:rsidR="0077083F">
        <w:t xml:space="preserve"> </w:t>
      </w:r>
      <w:r w:rsidR="005356CD" w:rsidRPr="005356CD">
        <w:t>CSE, the California Clean Distributed Generation Coalit</w:t>
      </w:r>
      <w:r w:rsidR="00620575">
        <w:t xml:space="preserve">ion (CCDC), GRID Alternatives </w:t>
      </w:r>
      <w:r w:rsidR="005356CD" w:rsidRPr="005356CD">
        <w:t>and California Housing Partnership</w:t>
      </w:r>
      <w:r w:rsidR="00C54DFC">
        <w:t xml:space="preserve"> Corporation</w:t>
      </w:r>
      <w:r w:rsidR="005356CD" w:rsidRPr="005356CD">
        <w:t xml:space="preserve"> (GRID/</w:t>
      </w:r>
      <w:r w:rsidR="00C54DFC">
        <w:t>CHPC</w:t>
      </w:r>
      <w:r w:rsidR="0077083F">
        <w:t xml:space="preserve">), </w:t>
      </w:r>
      <w:r w:rsidR="005356CD" w:rsidRPr="005356CD">
        <w:t>SCE, California Energy Storage Alliance (CESA), Sunrun Inc. (Sunrun), Sierra Club and Natural Resources Defense Council (SC/NRDC), Pacific Gas and Electric Company (</w:t>
      </w:r>
      <w:r w:rsidR="0077083F">
        <w:t xml:space="preserve">PG&amp;E), </w:t>
      </w:r>
      <w:r w:rsidR="005356CD" w:rsidRPr="005356CD">
        <w:t>SoCalGas, the California Public Advocates</w:t>
      </w:r>
      <w:r w:rsidR="0077083F" w:rsidRPr="005356CD">
        <w:t>’</w:t>
      </w:r>
      <w:r w:rsidR="005356CD" w:rsidRPr="005356CD">
        <w:t xml:space="preserve"> Office (Cal Advocates)</w:t>
      </w:r>
      <w:r w:rsidR="0083056A">
        <w:t xml:space="preserve">, and </w:t>
      </w:r>
      <w:r w:rsidR="00326A65">
        <w:t xml:space="preserve">the </w:t>
      </w:r>
      <w:r w:rsidR="0083056A">
        <w:t>National Fuel Cell Research Center</w:t>
      </w:r>
      <w:r w:rsidR="00326A65">
        <w:t xml:space="preserve"> (NFCRC)</w:t>
      </w:r>
      <w:r w:rsidR="0083056A">
        <w:t>, Bloom Energy, Doosan Fuel Cell America</w:t>
      </w:r>
      <w:r w:rsidR="0090683C">
        <w:t xml:space="preserve"> </w:t>
      </w:r>
      <w:r w:rsidR="00326A65">
        <w:t xml:space="preserve">(Doosan) </w:t>
      </w:r>
      <w:r w:rsidR="0090683C">
        <w:t>and FuelCell Energy</w:t>
      </w:r>
      <w:r w:rsidR="00326A65">
        <w:t xml:space="preserve"> </w:t>
      </w:r>
      <w:r w:rsidR="0090683C">
        <w:t>(collectively Joint Fuel Cell Parties)</w:t>
      </w:r>
      <w:r w:rsidR="005356CD" w:rsidRPr="005356CD">
        <w:t>.</w:t>
      </w:r>
      <w:r w:rsidR="00CB3913">
        <w:t xml:space="preserve"> </w:t>
      </w:r>
      <w:r w:rsidR="00326A65">
        <w:t xml:space="preserve"> </w:t>
      </w:r>
      <w:r w:rsidR="00CB3913" w:rsidRPr="00115E74">
        <w:t xml:space="preserve">On July </w:t>
      </w:r>
      <w:r w:rsidR="00793474" w:rsidRPr="00115E74">
        <w:t>1</w:t>
      </w:r>
      <w:r w:rsidR="00793474">
        <w:t>2</w:t>
      </w:r>
      <w:r w:rsidR="00CB3913" w:rsidRPr="00115E74">
        <w:t xml:space="preserve">, 2019, </w:t>
      </w:r>
      <w:r w:rsidR="002500F5" w:rsidRPr="00115E74">
        <w:t xml:space="preserve">SC/NRDC, </w:t>
      </w:r>
      <w:r w:rsidR="004B7274" w:rsidRPr="00115E74">
        <w:t xml:space="preserve">the CCDC, PG&amp;E, </w:t>
      </w:r>
      <w:r w:rsidR="00793474">
        <w:t>CSE</w:t>
      </w:r>
      <w:r w:rsidR="004B7274" w:rsidRPr="00115E74">
        <w:t xml:space="preserve">, </w:t>
      </w:r>
      <w:r w:rsidR="00AE025B">
        <w:t>San Diego Gas &amp; Electric Company (</w:t>
      </w:r>
      <w:r w:rsidR="004B7274" w:rsidRPr="00115E74">
        <w:t>SDG&amp;E</w:t>
      </w:r>
      <w:r w:rsidR="00AE025B">
        <w:t>)</w:t>
      </w:r>
      <w:r w:rsidR="004B7274" w:rsidRPr="00115E74">
        <w:t xml:space="preserve">, Tesla, </w:t>
      </w:r>
      <w:r w:rsidR="00C773C7" w:rsidRPr="00115E74">
        <w:t xml:space="preserve">GRID, SCE, CESA, </w:t>
      </w:r>
      <w:r w:rsidR="00793474">
        <w:t xml:space="preserve">CALSSA, </w:t>
      </w:r>
      <w:r w:rsidR="00C773C7" w:rsidRPr="00115E74">
        <w:t xml:space="preserve">A.O. Smith, </w:t>
      </w:r>
      <w:r w:rsidR="00D250F0" w:rsidRPr="00115E74">
        <w:t xml:space="preserve">SoCalGas, </w:t>
      </w:r>
      <w:r w:rsidR="00D250F0" w:rsidRPr="00115E74">
        <w:lastRenderedPageBreak/>
        <w:t>Sunrun and the</w:t>
      </w:r>
      <w:r w:rsidR="00326A65">
        <w:t xml:space="preserve"> Joint Fuel Cell Parties</w:t>
      </w:r>
      <w:r w:rsidR="00D250F0" w:rsidRPr="00115E74">
        <w:t xml:space="preserve"> </w:t>
      </w:r>
      <w:r w:rsidR="00CB3913" w:rsidRPr="00115E74">
        <w:t xml:space="preserve">filed reply comments.  </w:t>
      </w:r>
      <w:r w:rsidR="00644AE4">
        <w:t xml:space="preserve">Marin Clean Energy </w:t>
      </w:r>
      <w:r w:rsidR="00CB3913" w:rsidRPr="00115E74">
        <w:t xml:space="preserve">filed reply comments on </w:t>
      </w:r>
      <w:r w:rsidR="00644AE4" w:rsidRPr="00856B3F">
        <w:t>June 14, 2019</w:t>
      </w:r>
      <w:r w:rsidR="003E23C5">
        <w:t>.</w:t>
      </w:r>
    </w:p>
    <w:p w14:paraId="20C2C31B" w14:textId="5F3DAE5A" w:rsidR="00A90421" w:rsidRPr="00240EAA" w:rsidRDefault="00A90421" w:rsidP="003E23C5">
      <w:pPr>
        <w:pStyle w:val="ALJBodyText"/>
      </w:pPr>
      <w:r w:rsidRPr="00A90421">
        <w:t>As of April 15, 2019, the equ</w:t>
      </w:r>
      <w:r w:rsidR="00CB3913">
        <w:t xml:space="preserve">ity budget had a total of </w:t>
      </w:r>
      <w:r w:rsidRPr="00A90421">
        <w:t>$72 million in funding approved for the 2017</w:t>
      </w:r>
      <w:r w:rsidR="003E23C5">
        <w:t xml:space="preserve"> through </w:t>
      </w:r>
      <w:r w:rsidRPr="00A90421">
        <w:t>2020</w:t>
      </w:r>
      <w:r w:rsidR="003E23C5">
        <w:t xml:space="preserve"> period—</w:t>
      </w:r>
      <w:r w:rsidRPr="00A90421">
        <w:t>$65.4 million in non</w:t>
      </w:r>
      <w:r w:rsidR="00757681">
        <w:noBreakHyphen/>
      </w:r>
      <w:r w:rsidRPr="00A90421">
        <w:t xml:space="preserve">residential equity budget funds and $7.3 million in residential equity budget funds. </w:t>
      </w:r>
    </w:p>
    <w:p w14:paraId="406B2F4D" w14:textId="7B3CE8D9" w:rsidR="00AD1183" w:rsidRDefault="00AD1183" w:rsidP="00C151FC">
      <w:pPr>
        <w:pStyle w:val="ALJHeading2"/>
      </w:pPr>
      <w:bookmarkStart w:id="15" w:name="_Toc15908056"/>
      <w:r w:rsidRPr="00C151FC">
        <w:t>Issues</w:t>
      </w:r>
      <w:r>
        <w:t xml:space="preserve"> Before the Commission</w:t>
      </w:r>
      <w:bookmarkEnd w:id="15"/>
    </w:p>
    <w:p w14:paraId="43E8313B" w14:textId="09A1A1EF" w:rsidR="008540B9" w:rsidRDefault="008540B9" w:rsidP="0016308D">
      <w:pPr>
        <w:pStyle w:val="ALJBodyText"/>
      </w:pPr>
      <w:r>
        <w:t>A</w:t>
      </w:r>
      <w:r w:rsidR="0016308D">
        <w:t xml:space="preserve"> June 9, 2017 </w:t>
      </w:r>
      <w:r>
        <w:t>Scoping Memo</w:t>
      </w:r>
      <w:r w:rsidR="0016308D">
        <w:t xml:space="preserve"> in R.12</w:t>
      </w:r>
      <w:r w:rsidR="00757681">
        <w:noBreakHyphen/>
      </w:r>
      <w:r w:rsidR="0016308D">
        <w:t>11</w:t>
      </w:r>
      <w:r w:rsidR="00757681">
        <w:noBreakHyphen/>
      </w:r>
      <w:r w:rsidR="0016308D">
        <w:t>005 included all issues related to the o</w:t>
      </w:r>
      <w:r w:rsidRPr="008540B9">
        <w:t>ngoing review, evaluation, and consideration of</w:t>
      </w:r>
      <w:r w:rsidR="0016308D">
        <w:t xml:space="preserve"> </w:t>
      </w:r>
      <w:r w:rsidRPr="008540B9">
        <w:t>modifications to SGIP</w:t>
      </w:r>
      <w:r w:rsidR="0016308D">
        <w:t xml:space="preserve"> </w:t>
      </w:r>
      <w:r w:rsidR="003E23C5">
        <w:t xml:space="preserve">in scope, </w:t>
      </w:r>
      <w:r w:rsidR="0016308D">
        <w:t>including “</w:t>
      </w:r>
      <w:r>
        <w:t>any program revisions that</w:t>
      </w:r>
      <w:r w:rsidR="0016308D">
        <w:t xml:space="preserve"> </w:t>
      </w:r>
      <w:r>
        <w:t>may improve the SGIP that are not required by statute</w:t>
      </w:r>
      <w:r w:rsidR="00C4647E">
        <w:t>,</w:t>
      </w:r>
      <w:r w:rsidR="003E23C5">
        <w:t>”</w:t>
      </w:r>
      <w:r w:rsidR="00C4647E">
        <w:t xml:space="preserve"> which was restated in the SGIP ACR.</w:t>
      </w:r>
      <w:r w:rsidR="0016308D">
        <w:rPr>
          <w:rStyle w:val="FootnoteReference"/>
        </w:rPr>
        <w:footnoteReference w:id="9"/>
      </w:r>
    </w:p>
    <w:p w14:paraId="1CDB384C" w14:textId="25D033F6" w:rsidR="00C22710" w:rsidRDefault="00E0409D" w:rsidP="001A4516">
      <w:pPr>
        <w:pStyle w:val="ALJBodyText"/>
      </w:pPr>
      <w:r>
        <w:t xml:space="preserve">This decision restructures the equity budget to improve the </w:t>
      </w:r>
      <w:r w:rsidR="00155ED4">
        <w:t xml:space="preserve">likelihood </w:t>
      </w:r>
      <w:r>
        <w:t>of program participation</w:t>
      </w:r>
      <w:r w:rsidR="003E23C5">
        <w:t xml:space="preserve"> </w:t>
      </w:r>
      <w:r>
        <w:t xml:space="preserve">and </w:t>
      </w:r>
      <w:r w:rsidR="00B5650E">
        <w:t xml:space="preserve">considers the role of SGIP equity budget incentives in improving customer resiliency in the face of </w:t>
      </w:r>
      <w:r w:rsidR="006D50CB">
        <w:t xml:space="preserve">outages caused by </w:t>
      </w:r>
      <w:r w:rsidR="00B5650E">
        <w:t xml:space="preserve">wildfires or </w:t>
      </w:r>
      <w:r w:rsidR="00CB3913">
        <w:t xml:space="preserve">Public Safety Power Shutoff (PSPS) </w:t>
      </w:r>
      <w:r w:rsidR="00B5650E">
        <w:t>events.</w:t>
      </w:r>
      <w:r w:rsidR="00CB3913">
        <w:t xml:space="preserve">  Specifically, this decision considers the following issues regarding the SGIP equity budget</w:t>
      </w:r>
      <w:r w:rsidR="003E23C5">
        <w:t xml:space="preserve"> as outlined in the SGIP ACR:</w:t>
      </w:r>
    </w:p>
    <w:p w14:paraId="6E7B0EA3" w14:textId="210B7B4D" w:rsidR="001A4516" w:rsidRPr="00C22710" w:rsidRDefault="001A4516" w:rsidP="007416CD">
      <w:pPr>
        <w:pStyle w:val="ALJBodyText"/>
        <w:keepNext/>
        <w:keepLines/>
        <w:ind w:firstLine="0"/>
        <w:rPr>
          <w:u w:val="single"/>
        </w:rPr>
      </w:pPr>
      <w:r w:rsidRPr="00C22710">
        <w:rPr>
          <w:u w:val="single"/>
        </w:rPr>
        <w:t>Equity Budget</w:t>
      </w:r>
    </w:p>
    <w:p w14:paraId="51BD5B67" w14:textId="77777777" w:rsidR="00C868A4" w:rsidRPr="008F1A86" w:rsidRDefault="00C868A4" w:rsidP="00475C04">
      <w:pPr>
        <w:pStyle w:val="standard"/>
        <w:numPr>
          <w:ilvl w:val="0"/>
          <w:numId w:val="10"/>
        </w:numPr>
        <w:spacing w:after="120" w:line="240" w:lineRule="auto"/>
        <w:ind w:right="1440"/>
        <w:rPr>
          <w:rFonts w:ascii="Book Antiqua" w:hAnsi="Book Antiqua"/>
        </w:rPr>
      </w:pPr>
      <w:r w:rsidRPr="008F1A86">
        <w:rPr>
          <w:rFonts w:ascii="Book Antiqua" w:hAnsi="Book Antiqua"/>
        </w:rPr>
        <w:t>What were the main drivers for the lack of participation in the storage equity budget in 2018?</w:t>
      </w:r>
    </w:p>
    <w:p w14:paraId="686865D1" w14:textId="3934AA6E" w:rsidR="00C868A4" w:rsidRPr="008F1A86" w:rsidRDefault="00C868A4" w:rsidP="00475C04">
      <w:pPr>
        <w:pStyle w:val="standard"/>
        <w:numPr>
          <w:ilvl w:val="0"/>
          <w:numId w:val="10"/>
        </w:numPr>
        <w:spacing w:after="120" w:line="240" w:lineRule="auto"/>
        <w:ind w:right="1440"/>
        <w:rPr>
          <w:rFonts w:ascii="Book Antiqua" w:hAnsi="Book Antiqua"/>
        </w:rPr>
      </w:pPr>
      <w:bookmarkStart w:id="16" w:name="_Hlk15377610"/>
      <w:r w:rsidRPr="008F1A86">
        <w:rPr>
          <w:rFonts w:ascii="Book Antiqua" w:hAnsi="Book Antiqua"/>
        </w:rPr>
        <w:t>What program changes should the Commission consider</w:t>
      </w:r>
      <w:r w:rsidR="00D955AF">
        <w:rPr>
          <w:rFonts w:ascii="Book Antiqua" w:hAnsi="Book Antiqua"/>
        </w:rPr>
        <w:t xml:space="preserve"> in order </w:t>
      </w:r>
      <w:r w:rsidRPr="008F1A86">
        <w:rPr>
          <w:rFonts w:ascii="Book Antiqua" w:hAnsi="Book Antiqua"/>
        </w:rPr>
        <w:t>to</w:t>
      </w:r>
      <w:r w:rsidR="00D955AF">
        <w:rPr>
          <w:rFonts w:ascii="Book Antiqua" w:hAnsi="Book Antiqua"/>
        </w:rPr>
        <w:t xml:space="preserve"> </w:t>
      </w:r>
      <w:r w:rsidRPr="008F1A86">
        <w:rPr>
          <w:rFonts w:ascii="Book Antiqua" w:hAnsi="Book Antiqua"/>
        </w:rPr>
        <w:t>increase subscription</w:t>
      </w:r>
      <w:r w:rsidR="00D955AF">
        <w:rPr>
          <w:rFonts w:ascii="Book Antiqua" w:hAnsi="Book Antiqua"/>
        </w:rPr>
        <w:t>s</w:t>
      </w:r>
      <w:r w:rsidRPr="008F1A86">
        <w:rPr>
          <w:rFonts w:ascii="Book Antiqua" w:hAnsi="Book Antiqua"/>
        </w:rPr>
        <w:t xml:space="preserve"> in the storage equity budget? </w:t>
      </w:r>
    </w:p>
    <w:p w14:paraId="0816F63F" w14:textId="2B21C827" w:rsidR="00C868A4" w:rsidRPr="008F1A86" w:rsidRDefault="00C868A4" w:rsidP="00475C04">
      <w:pPr>
        <w:pStyle w:val="standard"/>
        <w:numPr>
          <w:ilvl w:val="0"/>
          <w:numId w:val="10"/>
        </w:numPr>
        <w:spacing w:after="120" w:line="240" w:lineRule="auto"/>
        <w:ind w:right="1440"/>
        <w:rPr>
          <w:rFonts w:ascii="Book Antiqua" w:hAnsi="Book Antiqua"/>
        </w:rPr>
      </w:pPr>
      <w:r w:rsidRPr="008F1A86">
        <w:rPr>
          <w:rFonts w:ascii="Book Antiqua" w:hAnsi="Book Antiqua"/>
        </w:rPr>
        <w:lastRenderedPageBreak/>
        <w:t xml:space="preserve">Should the Commission direct PG&amp;E to open </w:t>
      </w:r>
      <w:r w:rsidR="003E23C5">
        <w:rPr>
          <w:rFonts w:ascii="Book Antiqua" w:hAnsi="Book Antiqua"/>
        </w:rPr>
        <w:t>s</w:t>
      </w:r>
      <w:r w:rsidRPr="008F1A86">
        <w:rPr>
          <w:rFonts w:ascii="Book Antiqua" w:hAnsi="Book Antiqua"/>
        </w:rPr>
        <w:t xml:space="preserve">tep </w:t>
      </w:r>
      <w:r w:rsidR="003E23C5">
        <w:rPr>
          <w:rFonts w:ascii="Book Antiqua" w:hAnsi="Book Antiqua"/>
        </w:rPr>
        <w:t>t</w:t>
      </w:r>
      <w:r w:rsidRPr="008F1A86">
        <w:rPr>
          <w:rFonts w:ascii="Book Antiqua" w:hAnsi="Book Antiqua"/>
        </w:rPr>
        <w:t xml:space="preserve">hree of its storage equity budget prior to opening </w:t>
      </w:r>
      <w:r w:rsidR="003E23C5">
        <w:rPr>
          <w:rFonts w:ascii="Book Antiqua" w:hAnsi="Book Antiqua"/>
        </w:rPr>
        <w:t>s</w:t>
      </w:r>
      <w:r w:rsidRPr="008F1A86">
        <w:rPr>
          <w:rFonts w:ascii="Book Antiqua" w:hAnsi="Book Antiqua"/>
        </w:rPr>
        <w:t xml:space="preserve">tep </w:t>
      </w:r>
      <w:r w:rsidR="003E23C5">
        <w:rPr>
          <w:rFonts w:ascii="Book Antiqua" w:hAnsi="Book Antiqua"/>
        </w:rPr>
        <w:t>t</w:t>
      </w:r>
      <w:r w:rsidRPr="008F1A86">
        <w:rPr>
          <w:rFonts w:ascii="Book Antiqua" w:hAnsi="Book Antiqua"/>
        </w:rPr>
        <w:t xml:space="preserve">hree of its general storage budget? </w:t>
      </w:r>
    </w:p>
    <w:p w14:paraId="73F170E7" w14:textId="470CED39" w:rsidR="00C868A4" w:rsidRPr="008F1A86" w:rsidRDefault="007768E9" w:rsidP="00475C04">
      <w:pPr>
        <w:pStyle w:val="standard"/>
        <w:numPr>
          <w:ilvl w:val="0"/>
          <w:numId w:val="10"/>
        </w:numPr>
        <w:spacing w:after="120" w:line="240" w:lineRule="auto"/>
        <w:ind w:right="1440"/>
        <w:rPr>
          <w:rFonts w:ascii="Book Antiqua" w:hAnsi="Book Antiqua"/>
        </w:rPr>
      </w:pPr>
      <w:bookmarkStart w:id="17" w:name="_Hlk14349634"/>
      <w:r>
        <w:rPr>
          <w:rFonts w:ascii="Book Antiqua" w:hAnsi="Book Antiqua"/>
        </w:rPr>
        <w:t>S</w:t>
      </w:r>
      <w:r w:rsidR="00C868A4" w:rsidRPr="008F1A86">
        <w:rPr>
          <w:rFonts w:ascii="Book Antiqua" w:hAnsi="Book Antiqua"/>
        </w:rPr>
        <w:t xml:space="preserve">hould the Commission expand eligibility for the storage equity budget to all projects located on tribal </w:t>
      </w:r>
      <w:r w:rsidR="00EE0A5D">
        <w:rPr>
          <w:rFonts w:ascii="Book Antiqua" w:hAnsi="Book Antiqua"/>
        </w:rPr>
        <w:t>lands</w:t>
      </w:r>
      <w:r w:rsidR="00C868A4" w:rsidRPr="008F1A86">
        <w:rPr>
          <w:rFonts w:ascii="Book Antiqua" w:hAnsi="Book Antiqua"/>
        </w:rPr>
        <w:t xml:space="preserve">?  </w:t>
      </w:r>
    </w:p>
    <w:bookmarkEnd w:id="17"/>
    <w:p w14:paraId="10853998" w14:textId="33CFE6D3" w:rsidR="00C868A4" w:rsidRPr="008F1A86" w:rsidRDefault="00C868A4" w:rsidP="00475C04">
      <w:pPr>
        <w:pStyle w:val="standard"/>
        <w:numPr>
          <w:ilvl w:val="0"/>
          <w:numId w:val="10"/>
        </w:numPr>
        <w:spacing w:after="120" w:line="240" w:lineRule="auto"/>
        <w:ind w:right="1440"/>
        <w:rPr>
          <w:rFonts w:ascii="Book Antiqua" w:hAnsi="Book Antiqua"/>
        </w:rPr>
      </w:pPr>
      <w:r w:rsidRPr="008F1A86">
        <w:rPr>
          <w:rFonts w:ascii="Book Antiqua" w:hAnsi="Book Antiqua"/>
        </w:rPr>
        <w:t xml:space="preserve">Should the Commission modify the storage equity budget </w:t>
      </w:r>
      <w:r w:rsidR="00DB1264">
        <w:rPr>
          <w:rFonts w:ascii="Book Antiqua" w:hAnsi="Book Antiqua"/>
        </w:rPr>
        <w:t>set</w:t>
      </w:r>
      <w:r w:rsidR="00757681">
        <w:rPr>
          <w:rFonts w:ascii="Book Antiqua" w:hAnsi="Book Antiqua"/>
        </w:rPr>
        <w:noBreakHyphen/>
      </w:r>
      <w:r w:rsidR="00DB1264">
        <w:rPr>
          <w:rFonts w:ascii="Book Antiqua" w:hAnsi="Book Antiqua"/>
        </w:rPr>
        <w:t>aside</w:t>
      </w:r>
      <w:r w:rsidRPr="008F1A86">
        <w:rPr>
          <w:rFonts w:ascii="Book Antiqua" w:hAnsi="Book Antiqua"/>
        </w:rPr>
        <w:t xml:space="preserve"> for funds collected in 2020</w:t>
      </w:r>
      <w:r w:rsidR="00757681">
        <w:rPr>
          <w:rFonts w:ascii="Book Antiqua" w:hAnsi="Book Antiqua"/>
        </w:rPr>
        <w:noBreakHyphen/>
      </w:r>
      <w:r w:rsidRPr="008F1A86">
        <w:rPr>
          <w:rFonts w:ascii="Book Antiqua" w:hAnsi="Book Antiqua"/>
        </w:rPr>
        <w:t xml:space="preserve">2024? </w:t>
      </w:r>
    </w:p>
    <w:p w14:paraId="61FF3071" w14:textId="3036E840" w:rsidR="00C868A4" w:rsidRPr="008F1A86" w:rsidRDefault="007768E9" w:rsidP="00475C04">
      <w:pPr>
        <w:pStyle w:val="standard"/>
        <w:numPr>
          <w:ilvl w:val="0"/>
          <w:numId w:val="10"/>
        </w:numPr>
        <w:spacing w:after="120" w:line="240" w:lineRule="auto"/>
        <w:ind w:right="1440"/>
        <w:rPr>
          <w:rFonts w:ascii="Book Antiqua" w:hAnsi="Book Antiqua"/>
        </w:rPr>
      </w:pPr>
      <w:r>
        <w:rPr>
          <w:rFonts w:ascii="Book Antiqua" w:hAnsi="Book Antiqua"/>
        </w:rPr>
        <w:t xml:space="preserve">Should the </w:t>
      </w:r>
      <w:r w:rsidR="00C868A4" w:rsidRPr="008F1A86">
        <w:rPr>
          <w:rFonts w:ascii="Book Antiqua" w:hAnsi="Book Antiqua"/>
        </w:rPr>
        <w:t xml:space="preserve">equity budget incentive structure </w:t>
      </w:r>
      <w:r>
        <w:rPr>
          <w:rFonts w:ascii="Book Antiqua" w:hAnsi="Book Antiqua"/>
        </w:rPr>
        <w:t xml:space="preserve">be modified? </w:t>
      </w:r>
    </w:p>
    <w:bookmarkEnd w:id="16"/>
    <w:p w14:paraId="1B209554" w14:textId="552E092D" w:rsidR="00C22710" w:rsidRPr="00C22710" w:rsidRDefault="007768E9" w:rsidP="00475C04">
      <w:pPr>
        <w:pStyle w:val="standard"/>
        <w:numPr>
          <w:ilvl w:val="0"/>
          <w:numId w:val="10"/>
        </w:numPr>
        <w:spacing w:after="120" w:line="240" w:lineRule="auto"/>
        <w:ind w:right="1440"/>
        <w:rPr>
          <w:rFonts w:ascii="Book Antiqua" w:hAnsi="Book Antiqua"/>
        </w:rPr>
      </w:pPr>
      <w:r>
        <w:rPr>
          <w:rFonts w:ascii="Book Antiqua" w:hAnsi="Book Antiqua"/>
        </w:rPr>
        <w:t xml:space="preserve">Should equity budget </w:t>
      </w:r>
      <w:r w:rsidR="00C868A4" w:rsidRPr="008F1A86">
        <w:rPr>
          <w:rFonts w:ascii="Book Antiqua" w:hAnsi="Book Antiqua"/>
        </w:rPr>
        <w:t xml:space="preserve">developer cap </w:t>
      </w:r>
      <w:r>
        <w:rPr>
          <w:rFonts w:ascii="Book Antiqua" w:hAnsi="Book Antiqua"/>
        </w:rPr>
        <w:t xml:space="preserve">requirements be modified? </w:t>
      </w:r>
    </w:p>
    <w:p w14:paraId="55592324" w14:textId="27C2824F" w:rsidR="00C22710" w:rsidRPr="00C22710" w:rsidRDefault="00C22710" w:rsidP="007416CD">
      <w:pPr>
        <w:pStyle w:val="standard"/>
        <w:keepNext/>
        <w:keepLines/>
        <w:ind w:firstLine="0"/>
        <w:rPr>
          <w:rFonts w:ascii="Book Antiqua" w:hAnsi="Book Antiqua"/>
          <w:u w:val="single"/>
        </w:rPr>
      </w:pPr>
      <w:r w:rsidRPr="00C22710">
        <w:rPr>
          <w:rFonts w:ascii="Book Antiqua" w:hAnsi="Book Antiqua"/>
          <w:u w:val="single"/>
        </w:rPr>
        <w:t>Equity Budget and Resiliency Benefits</w:t>
      </w:r>
    </w:p>
    <w:p w14:paraId="03E4EE6F" w14:textId="0B97F3B2" w:rsidR="00B5650E" w:rsidRDefault="00B5650E" w:rsidP="00475C04">
      <w:pPr>
        <w:pStyle w:val="standard"/>
        <w:numPr>
          <w:ilvl w:val="0"/>
          <w:numId w:val="10"/>
        </w:numPr>
        <w:spacing w:after="120" w:line="240" w:lineRule="auto"/>
        <w:ind w:right="1440"/>
        <w:rPr>
          <w:rFonts w:ascii="Book Antiqua" w:hAnsi="Book Antiqua"/>
        </w:rPr>
      </w:pPr>
      <w:bookmarkStart w:id="18" w:name="_Hlk13642301"/>
      <w:r>
        <w:rPr>
          <w:rFonts w:ascii="Book Antiqua" w:hAnsi="Book Antiqua"/>
        </w:rPr>
        <w:t>Should the Commission seek to promote SGIP projects that provide resiliency benefits to customers and/or communities facing risks of a wildf</w:t>
      </w:r>
      <w:r w:rsidR="00CB3913">
        <w:rPr>
          <w:rFonts w:ascii="Book Antiqua" w:hAnsi="Book Antiqua"/>
        </w:rPr>
        <w:t>ire, wildfire</w:t>
      </w:r>
      <w:r w:rsidR="00155ED4">
        <w:rPr>
          <w:rFonts w:ascii="Book Antiqua" w:hAnsi="Book Antiqua"/>
        </w:rPr>
        <w:t xml:space="preserve"> </w:t>
      </w:r>
      <w:r w:rsidR="00CB3913">
        <w:rPr>
          <w:rFonts w:ascii="Book Antiqua" w:hAnsi="Book Antiqua"/>
        </w:rPr>
        <w:t>related PSPS</w:t>
      </w:r>
      <w:r>
        <w:rPr>
          <w:rFonts w:ascii="Book Antiqua" w:hAnsi="Book Antiqua"/>
        </w:rPr>
        <w:t xml:space="preserve"> events, or other adverse event? </w:t>
      </w:r>
    </w:p>
    <w:p w14:paraId="2614D8A5" w14:textId="531F9BAA" w:rsidR="001A4516" w:rsidRDefault="00B5650E" w:rsidP="00475C04">
      <w:pPr>
        <w:pStyle w:val="standard"/>
        <w:numPr>
          <w:ilvl w:val="0"/>
          <w:numId w:val="10"/>
        </w:numPr>
        <w:spacing w:after="120" w:line="240" w:lineRule="auto"/>
        <w:ind w:right="1440"/>
        <w:rPr>
          <w:rFonts w:ascii="Book Antiqua" w:hAnsi="Book Antiqua"/>
        </w:rPr>
      </w:pPr>
      <w:r>
        <w:rPr>
          <w:rFonts w:ascii="Book Antiqua" w:hAnsi="Book Antiqua"/>
        </w:rPr>
        <w:t xml:space="preserve">Should the Commission adopt a dedicated incentive aimed at promoting SGIP technologies with resiliency benefits?  Should the Commission adopt a resiliency </w:t>
      </w:r>
      <w:r w:rsidR="003E23C5">
        <w:rPr>
          <w:rFonts w:ascii="Book Antiqua" w:hAnsi="Book Antiqua"/>
        </w:rPr>
        <w:t xml:space="preserve">incentive </w:t>
      </w:r>
      <w:r>
        <w:rPr>
          <w:rFonts w:ascii="Book Antiqua" w:hAnsi="Book Antiqua"/>
        </w:rPr>
        <w:t>adder to existing incentives for storage projects</w:t>
      </w:r>
      <w:r w:rsidR="00C22710">
        <w:rPr>
          <w:rFonts w:ascii="Book Antiqua" w:hAnsi="Book Antiqua"/>
        </w:rPr>
        <w:t>?</w:t>
      </w:r>
    </w:p>
    <w:p w14:paraId="0E769F2F" w14:textId="487782BE" w:rsidR="005F0F4E" w:rsidRDefault="005F0F4E" w:rsidP="00475C04">
      <w:pPr>
        <w:pStyle w:val="standard"/>
        <w:numPr>
          <w:ilvl w:val="0"/>
          <w:numId w:val="10"/>
        </w:numPr>
        <w:spacing w:after="120" w:line="240" w:lineRule="auto"/>
        <w:ind w:right="1440"/>
        <w:rPr>
          <w:rFonts w:ascii="Book Antiqua" w:hAnsi="Book Antiqua"/>
        </w:rPr>
      </w:pPr>
      <w:r>
        <w:rPr>
          <w:rFonts w:ascii="Book Antiqua" w:hAnsi="Book Antiqua"/>
        </w:rPr>
        <w:t xml:space="preserve">Should the Commission modify the existing SGIP incentive structure to facilitate </w:t>
      </w:r>
      <w:r w:rsidR="00D04818">
        <w:rPr>
          <w:rFonts w:ascii="Book Antiqua" w:hAnsi="Book Antiqua"/>
        </w:rPr>
        <w:t xml:space="preserve">storage projects with a discharge duration exceeding two hours? </w:t>
      </w:r>
    </w:p>
    <w:p w14:paraId="3BE9E44F" w14:textId="69E48267" w:rsidR="00FF4975" w:rsidRPr="00B44361" w:rsidRDefault="00192510">
      <w:pPr>
        <w:pStyle w:val="standard"/>
        <w:numPr>
          <w:ilvl w:val="0"/>
          <w:numId w:val="10"/>
        </w:numPr>
        <w:spacing w:after="120" w:line="240" w:lineRule="auto"/>
        <w:ind w:right="1440"/>
        <w:rPr>
          <w:rFonts w:ascii="Book Antiqua" w:hAnsi="Book Antiqua"/>
        </w:rPr>
      </w:pPr>
      <w:r>
        <w:rPr>
          <w:rFonts w:ascii="Book Antiqua" w:hAnsi="Book Antiqua"/>
        </w:rPr>
        <w:t xml:space="preserve">Does the use of </w:t>
      </w:r>
      <w:r w:rsidRPr="00192510">
        <w:rPr>
          <w:rFonts w:ascii="Book Antiqua" w:hAnsi="Book Antiqua"/>
        </w:rPr>
        <w:t xml:space="preserve">storage during </w:t>
      </w:r>
      <w:r w:rsidR="00CB3913">
        <w:rPr>
          <w:rFonts w:ascii="Book Antiqua" w:hAnsi="Book Antiqua"/>
        </w:rPr>
        <w:t xml:space="preserve">PSPS </w:t>
      </w:r>
      <w:r w:rsidRPr="00192510">
        <w:rPr>
          <w:rFonts w:ascii="Book Antiqua" w:hAnsi="Book Antiqua"/>
        </w:rPr>
        <w:t>events introduce public safety risks, such as creating an alternative source of ignition for a wildfire</w:t>
      </w:r>
      <w:r w:rsidR="00247482">
        <w:rPr>
          <w:rFonts w:ascii="Book Antiqua" w:hAnsi="Book Antiqua"/>
        </w:rPr>
        <w:t xml:space="preserve">? </w:t>
      </w:r>
    </w:p>
    <w:p w14:paraId="054BC17E" w14:textId="56E1FB4F" w:rsidR="00FF4975" w:rsidRDefault="00FF4975" w:rsidP="007416CD">
      <w:pPr>
        <w:pStyle w:val="standard"/>
        <w:keepNext/>
        <w:keepLines/>
        <w:ind w:firstLine="0"/>
        <w:rPr>
          <w:rFonts w:ascii="Book Antiqua" w:hAnsi="Book Antiqua"/>
          <w:u w:val="single"/>
        </w:rPr>
      </w:pPr>
      <w:r w:rsidRPr="00A675B5">
        <w:rPr>
          <w:rFonts w:ascii="Book Antiqua" w:hAnsi="Book Antiqua"/>
          <w:u w:val="single"/>
        </w:rPr>
        <w:t>Disposition of Accumulated Unspent Funds from 2017</w:t>
      </w:r>
      <w:r w:rsidR="00757681">
        <w:rPr>
          <w:rFonts w:ascii="Book Antiqua" w:hAnsi="Book Antiqua"/>
          <w:u w:val="single"/>
        </w:rPr>
        <w:noBreakHyphen/>
      </w:r>
      <w:r w:rsidRPr="00A675B5">
        <w:rPr>
          <w:rFonts w:ascii="Book Antiqua" w:hAnsi="Book Antiqua"/>
          <w:u w:val="single"/>
        </w:rPr>
        <w:t>2019</w:t>
      </w:r>
    </w:p>
    <w:p w14:paraId="1EC28418" w14:textId="409B9631" w:rsidR="00FF4975" w:rsidRPr="00FF4975" w:rsidRDefault="00FF4975">
      <w:pPr>
        <w:pStyle w:val="standard"/>
        <w:numPr>
          <w:ilvl w:val="0"/>
          <w:numId w:val="10"/>
        </w:numPr>
        <w:spacing w:after="120" w:line="240" w:lineRule="auto"/>
        <w:ind w:right="1440"/>
        <w:rPr>
          <w:rFonts w:ascii="Book Antiqua" w:hAnsi="Book Antiqua"/>
        </w:rPr>
      </w:pPr>
      <w:r w:rsidRPr="00B44361">
        <w:rPr>
          <w:rFonts w:ascii="Book Antiqua" w:hAnsi="Book Antiqua"/>
        </w:rPr>
        <w:t xml:space="preserve">Should the Commission authorize </w:t>
      </w:r>
      <w:r w:rsidR="00D56A6C">
        <w:rPr>
          <w:rFonts w:ascii="Book Antiqua" w:hAnsi="Book Antiqua"/>
        </w:rPr>
        <w:t xml:space="preserve">SGIP PAs to </w:t>
      </w:r>
      <w:r w:rsidRPr="00B44361">
        <w:rPr>
          <w:rFonts w:ascii="Book Antiqua" w:hAnsi="Book Antiqua"/>
        </w:rPr>
        <w:t>carry</w:t>
      </w:r>
      <w:r w:rsidR="00D56A6C">
        <w:rPr>
          <w:rFonts w:ascii="Book Antiqua" w:hAnsi="Book Antiqua"/>
        </w:rPr>
        <w:t xml:space="preserve"> </w:t>
      </w:r>
      <w:r w:rsidRPr="00B44361">
        <w:rPr>
          <w:rFonts w:ascii="Book Antiqua" w:hAnsi="Book Antiqua"/>
        </w:rPr>
        <w:t xml:space="preserve">over accumulated SGIP funds at the end of 2019 for use in subsequent years? </w:t>
      </w:r>
    </w:p>
    <w:p w14:paraId="1AB1B9E4" w14:textId="22373540" w:rsidR="00E7634C" w:rsidRDefault="00CB1D5B" w:rsidP="00CE14ED">
      <w:pPr>
        <w:pStyle w:val="ALJHeading1"/>
      </w:pPr>
      <w:bookmarkStart w:id="19" w:name="_Toc15908057"/>
      <w:bookmarkStart w:id="20" w:name="_Toc2517039"/>
      <w:bookmarkStart w:id="21" w:name="_Toc2523438"/>
      <w:bookmarkEnd w:id="18"/>
      <w:r>
        <w:t xml:space="preserve">Equity Budget </w:t>
      </w:r>
      <w:r w:rsidR="00E7634C">
        <w:t>Eligibility Criteria</w:t>
      </w:r>
      <w:bookmarkEnd w:id="19"/>
    </w:p>
    <w:p w14:paraId="07CB2648" w14:textId="7B573C6A" w:rsidR="00155ED4" w:rsidRDefault="00155ED4" w:rsidP="005049F5">
      <w:pPr>
        <w:pStyle w:val="ALJBodyText"/>
      </w:pPr>
      <w:r>
        <w:t xml:space="preserve">This section reviews existing equity budget </w:t>
      </w:r>
      <w:r w:rsidR="00A12B2F">
        <w:t xml:space="preserve">eligibility </w:t>
      </w:r>
      <w:r>
        <w:t>criteria and modifies th</w:t>
      </w:r>
      <w:r w:rsidR="00FB5147">
        <w:t>em</w:t>
      </w:r>
      <w:r>
        <w:t xml:space="preserve"> </w:t>
      </w:r>
      <w:r w:rsidR="00FB5147">
        <w:t xml:space="preserve">with the aim of accelerating </w:t>
      </w:r>
      <w:r>
        <w:t xml:space="preserve">program participation.  It modifies eligibility verification requirements to streamline SGIP participation among equity budget </w:t>
      </w:r>
      <w:r>
        <w:lastRenderedPageBreak/>
        <w:t>customers that are also participating in one of t</w:t>
      </w:r>
      <w:r w:rsidR="003E23C5">
        <w:t>wo</w:t>
      </w:r>
      <w:r>
        <w:t xml:space="preserve"> low</w:t>
      </w:r>
      <w:r w:rsidR="00757681">
        <w:noBreakHyphen/>
      </w:r>
      <w:r>
        <w:t>income solar programs, expands the definition of disadvantaged communities</w:t>
      </w:r>
      <w:r w:rsidR="003E23C5">
        <w:t xml:space="preserve"> for SGIP purposes</w:t>
      </w:r>
      <w:r>
        <w:t xml:space="preserve"> adopted in D.17</w:t>
      </w:r>
      <w:r w:rsidR="00757681">
        <w:noBreakHyphen/>
      </w:r>
      <w:r>
        <w:t>10</w:t>
      </w:r>
      <w:r w:rsidR="00757681">
        <w:noBreakHyphen/>
      </w:r>
      <w:r>
        <w:t>00</w:t>
      </w:r>
      <w:r w:rsidR="00BC638C">
        <w:t>4</w:t>
      </w:r>
      <w:r>
        <w:t xml:space="preserve"> to include California Indian Lands,</w:t>
      </w:r>
      <w:r w:rsidR="00A12B2F">
        <w:t xml:space="preserve"> </w:t>
      </w:r>
      <w:r>
        <w:t xml:space="preserve">defines customers </w:t>
      </w:r>
      <w:r w:rsidR="003E23C5">
        <w:t xml:space="preserve">with critical resiliency needs for </w:t>
      </w:r>
      <w:r>
        <w:t>SGIP purposes, and makes additional minor modifications to eligibility criteria for non</w:t>
      </w:r>
      <w:r w:rsidR="00757681">
        <w:noBreakHyphen/>
      </w:r>
      <w:r>
        <w:t xml:space="preserve">residential buildings.  </w:t>
      </w:r>
    </w:p>
    <w:p w14:paraId="0AFE1CBF" w14:textId="627007B3" w:rsidR="005049F5" w:rsidRPr="005049F5" w:rsidRDefault="00CB3913" w:rsidP="005049F5">
      <w:pPr>
        <w:pStyle w:val="ALJBodyText"/>
      </w:pPr>
      <w:r>
        <w:t xml:space="preserve">The Commission adopted the following </w:t>
      </w:r>
      <w:bookmarkStart w:id="22" w:name="_Hlk14350674"/>
      <w:r w:rsidR="005049F5" w:rsidRPr="005049F5">
        <w:t xml:space="preserve">equity budget </w:t>
      </w:r>
      <w:r>
        <w:t xml:space="preserve">eligibility criteria in </w:t>
      </w:r>
      <w:r w:rsidR="005049F5" w:rsidRPr="005049F5">
        <w:t>D.17</w:t>
      </w:r>
      <w:r w:rsidR="00757681">
        <w:noBreakHyphen/>
      </w:r>
      <w:r w:rsidR="005049F5" w:rsidRPr="005049F5">
        <w:t>10</w:t>
      </w:r>
      <w:r w:rsidR="00757681">
        <w:noBreakHyphen/>
      </w:r>
      <w:r w:rsidR="005049F5" w:rsidRPr="005049F5">
        <w:t>004</w:t>
      </w:r>
      <w:bookmarkEnd w:id="22"/>
      <w:r w:rsidR="005049F5" w:rsidRPr="005049F5">
        <w:t>:</w:t>
      </w:r>
      <w:r w:rsidR="00191673">
        <w:rPr>
          <w:rStyle w:val="FootnoteReference"/>
        </w:rPr>
        <w:footnoteReference w:id="10"/>
      </w:r>
    </w:p>
    <w:p w14:paraId="51A17160" w14:textId="440691E0" w:rsidR="005049F5" w:rsidRPr="005049F5" w:rsidRDefault="00D97E05" w:rsidP="007416CD">
      <w:pPr>
        <w:pStyle w:val="ALJBodyText"/>
        <w:ind w:firstLine="0"/>
        <w:jc w:val="center"/>
      </w:pPr>
      <w:r>
        <w:t>Table 1</w:t>
      </w:r>
      <w:r w:rsidR="005049F5" w:rsidRPr="005049F5">
        <w:t>: Equity Budget Eligibility Criteria</w:t>
      </w:r>
    </w:p>
    <w:tbl>
      <w:tblPr>
        <w:tblStyle w:val="TableGrid"/>
        <w:tblW w:w="0" w:type="auto"/>
        <w:tblInd w:w="108" w:type="dxa"/>
        <w:tblLook w:val="04A0" w:firstRow="1" w:lastRow="0" w:firstColumn="1" w:lastColumn="0" w:noHBand="0" w:noVBand="1"/>
      </w:tblPr>
      <w:tblGrid>
        <w:gridCol w:w="427"/>
        <w:gridCol w:w="1800"/>
        <w:gridCol w:w="2700"/>
        <w:gridCol w:w="4315"/>
      </w:tblGrid>
      <w:tr w:rsidR="005049F5" w:rsidRPr="005049F5" w14:paraId="7857A871" w14:textId="77777777" w:rsidTr="008540B9">
        <w:tc>
          <w:tcPr>
            <w:tcW w:w="427" w:type="dxa"/>
            <w:vMerge w:val="restart"/>
          </w:tcPr>
          <w:p w14:paraId="39874D3D" w14:textId="0A60E806" w:rsidR="005049F5" w:rsidRPr="005049F5" w:rsidRDefault="00647244" w:rsidP="008540B9">
            <w:pPr>
              <w:pStyle w:val="ALJBodyText"/>
              <w:spacing w:line="240" w:lineRule="auto"/>
              <w:ind w:firstLine="0"/>
            </w:pPr>
            <w:r>
              <w:t>1.</w:t>
            </w:r>
          </w:p>
        </w:tc>
        <w:tc>
          <w:tcPr>
            <w:tcW w:w="1800" w:type="dxa"/>
          </w:tcPr>
          <w:p w14:paraId="16AADD14" w14:textId="16DDD331" w:rsidR="005049F5" w:rsidRPr="005049F5" w:rsidRDefault="005049F5" w:rsidP="00647244">
            <w:pPr>
              <w:pStyle w:val="ALJBodyText"/>
              <w:spacing w:line="240" w:lineRule="auto"/>
              <w:ind w:firstLine="0"/>
            </w:pPr>
            <w:r w:rsidRPr="005049F5">
              <w:t>Located in DAC or low</w:t>
            </w:r>
            <w:r w:rsidR="00757681">
              <w:noBreakHyphen/>
            </w:r>
            <w:r w:rsidRPr="005049F5">
              <w:t>income community;</w:t>
            </w:r>
          </w:p>
        </w:tc>
        <w:tc>
          <w:tcPr>
            <w:tcW w:w="2700" w:type="dxa"/>
          </w:tcPr>
          <w:p w14:paraId="33EFF96B" w14:textId="73940B3D" w:rsidR="005049F5" w:rsidRPr="005049F5" w:rsidRDefault="005049F5" w:rsidP="00647244">
            <w:pPr>
              <w:pStyle w:val="ALJBodyText"/>
              <w:spacing w:line="240" w:lineRule="auto"/>
              <w:ind w:firstLine="0"/>
            </w:pPr>
            <w:r w:rsidRPr="005049F5">
              <w:t>DAC defined as any census tract that ranks in the top 25 percent most affected census tracts in the most recently release version of CalEnviroScreen.</w:t>
            </w:r>
            <w:r w:rsidR="00CB3913">
              <w:rPr>
                <w:rStyle w:val="FootnoteReference"/>
              </w:rPr>
              <w:footnoteReference w:id="11"/>
            </w:r>
          </w:p>
        </w:tc>
        <w:tc>
          <w:tcPr>
            <w:tcW w:w="4315" w:type="dxa"/>
          </w:tcPr>
          <w:p w14:paraId="18405DB5" w14:textId="2EEDEAEF" w:rsidR="005049F5" w:rsidRPr="005049F5" w:rsidRDefault="005049F5" w:rsidP="00647244">
            <w:pPr>
              <w:pStyle w:val="ALJBodyText"/>
              <w:spacing w:line="240" w:lineRule="auto"/>
              <w:ind w:firstLine="0"/>
            </w:pPr>
            <w:r w:rsidRPr="005049F5">
              <w:t>Low</w:t>
            </w:r>
            <w:r w:rsidR="00757681">
              <w:noBreakHyphen/>
            </w:r>
            <w:r w:rsidRPr="005049F5">
              <w:t xml:space="preserve">income community defined as: </w:t>
            </w:r>
            <w:r w:rsidR="007416CD">
              <w:t xml:space="preserve"> </w:t>
            </w:r>
            <w:r w:rsidRPr="005049F5">
              <w:t>(1) census tracts with media</w:t>
            </w:r>
            <w:r w:rsidR="00201BED">
              <w:t>n</w:t>
            </w:r>
            <w:r w:rsidRPr="005049F5">
              <w:t xml:space="preserve"> household incomes at or below 80 percent of the statewide median income; or (2) with median household incomes at or below the threshold designated as low</w:t>
            </w:r>
            <w:r w:rsidR="00757681">
              <w:noBreakHyphen/>
            </w:r>
            <w:r w:rsidRPr="005049F5">
              <w:t xml:space="preserve">income pursuant to Section 50093.  </w:t>
            </w:r>
          </w:p>
        </w:tc>
      </w:tr>
      <w:tr w:rsidR="005049F5" w:rsidRPr="005049F5" w14:paraId="64B5D594" w14:textId="77777777" w:rsidTr="008540B9">
        <w:tc>
          <w:tcPr>
            <w:tcW w:w="427" w:type="dxa"/>
            <w:vMerge/>
          </w:tcPr>
          <w:p w14:paraId="55E5E006" w14:textId="77777777" w:rsidR="005049F5" w:rsidRPr="005049F5" w:rsidRDefault="005049F5" w:rsidP="00647244">
            <w:pPr>
              <w:pStyle w:val="ALJBodyText"/>
              <w:spacing w:line="240" w:lineRule="auto"/>
            </w:pPr>
          </w:p>
        </w:tc>
        <w:tc>
          <w:tcPr>
            <w:tcW w:w="1800" w:type="dxa"/>
            <w:vMerge w:val="restart"/>
          </w:tcPr>
          <w:p w14:paraId="6ED03273" w14:textId="77777777" w:rsidR="005049F5" w:rsidRPr="005049F5" w:rsidRDefault="005049F5" w:rsidP="00AE025B">
            <w:pPr>
              <w:pStyle w:val="ALJBodyText"/>
              <w:keepNext/>
              <w:spacing w:line="240" w:lineRule="auto"/>
              <w:ind w:firstLine="0"/>
            </w:pPr>
            <w:r w:rsidRPr="005049F5">
              <w:rPr>
                <w:u w:val="single"/>
              </w:rPr>
              <w:t>And</w:t>
            </w:r>
            <w:r w:rsidRPr="005049F5">
              <w:t>, meets one of the following customer criteria:</w:t>
            </w:r>
          </w:p>
        </w:tc>
        <w:tc>
          <w:tcPr>
            <w:tcW w:w="2700" w:type="dxa"/>
          </w:tcPr>
          <w:p w14:paraId="442C51AD" w14:textId="77777777" w:rsidR="005049F5" w:rsidRPr="005049F5" w:rsidRDefault="005049F5" w:rsidP="00647244">
            <w:pPr>
              <w:pStyle w:val="ALJBodyText"/>
              <w:spacing w:line="240" w:lineRule="auto"/>
              <w:ind w:firstLine="0"/>
            </w:pPr>
            <w:r w:rsidRPr="005049F5">
              <w:t>Local government agency</w:t>
            </w:r>
          </w:p>
        </w:tc>
        <w:tc>
          <w:tcPr>
            <w:tcW w:w="4315" w:type="dxa"/>
          </w:tcPr>
          <w:p w14:paraId="734622E6" w14:textId="77777777" w:rsidR="005049F5" w:rsidRPr="005049F5" w:rsidRDefault="005049F5" w:rsidP="00647244">
            <w:pPr>
              <w:pStyle w:val="ALJBodyText"/>
              <w:spacing w:line="240" w:lineRule="auto"/>
              <w:ind w:firstLine="0"/>
            </w:pPr>
            <w:r w:rsidRPr="005049F5">
              <w:t>Any entity described by Public Contracts Code Section 22161(f).</w:t>
            </w:r>
          </w:p>
        </w:tc>
      </w:tr>
      <w:tr w:rsidR="005049F5" w:rsidRPr="005049F5" w14:paraId="6D36A092" w14:textId="77777777" w:rsidTr="008540B9">
        <w:tc>
          <w:tcPr>
            <w:tcW w:w="427" w:type="dxa"/>
            <w:vMerge/>
          </w:tcPr>
          <w:p w14:paraId="2ECF6AB4" w14:textId="77777777" w:rsidR="005049F5" w:rsidRPr="005049F5" w:rsidRDefault="005049F5" w:rsidP="00647244">
            <w:pPr>
              <w:pStyle w:val="ALJBodyText"/>
              <w:spacing w:line="240" w:lineRule="auto"/>
            </w:pPr>
          </w:p>
        </w:tc>
        <w:tc>
          <w:tcPr>
            <w:tcW w:w="1800" w:type="dxa"/>
            <w:vMerge/>
          </w:tcPr>
          <w:p w14:paraId="663D505B" w14:textId="77777777" w:rsidR="005049F5" w:rsidRPr="005049F5" w:rsidRDefault="005049F5" w:rsidP="00647244">
            <w:pPr>
              <w:pStyle w:val="ALJBodyText"/>
              <w:spacing w:line="240" w:lineRule="auto"/>
            </w:pPr>
          </w:p>
        </w:tc>
        <w:tc>
          <w:tcPr>
            <w:tcW w:w="2700" w:type="dxa"/>
          </w:tcPr>
          <w:p w14:paraId="5940B283" w14:textId="77777777" w:rsidR="005049F5" w:rsidRPr="005049F5" w:rsidRDefault="005049F5" w:rsidP="00647244">
            <w:pPr>
              <w:pStyle w:val="ALJBodyText"/>
              <w:spacing w:line="240" w:lineRule="auto"/>
              <w:ind w:firstLine="0"/>
            </w:pPr>
            <w:r w:rsidRPr="005049F5">
              <w:t>State government agency</w:t>
            </w:r>
          </w:p>
        </w:tc>
        <w:tc>
          <w:tcPr>
            <w:tcW w:w="4315" w:type="dxa"/>
          </w:tcPr>
          <w:p w14:paraId="220D244F" w14:textId="77777777" w:rsidR="005049F5" w:rsidRPr="005049F5" w:rsidRDefault="005049F5" w:rsidP="00647244">
            <w:pPr>
              <w:pStyle w:val="ALJBodyText"/>
              <w:spacing w:line="240" w:lineRule="auto"/>
              <w:ind w:firstLine="0"/>
            </w:pPr>
            <w:r w:rsidRPr="005049F5">
              <w:t>Any entity described by Government Code Section 11000.</w:t>
            </w:r>
          </w:p>
        </w:tc>
      </w:tr>
      <w:tr w:rsidR="005049F5" w:rsidRPr="005049F5" w14:paraId="180C6E14" w14:textId="77777777" w:rsidTr="008540B9">
        <w:tc>
          <w:tcPr>
            <w:tcW w:w="427" w:type="dxa"/>
            <w:vMerge/>
          </w:tcPr>
          <w:p w14:paraId="63BAF1E1" w14:textId="77777777" w:rsidR="005049F5" w:rsidRPr="005049F5" w:rsidRDefault="005049F5" w:rsidP="00647244">
            <w:pPr>
              <w:pStyle w:val="ALJBodyText"/>
              <w:spacing w:line="240" w:lineRule="auto"/>
            </w:pPr>
          </w:p>
        </w:tc>
        <w:tc>
          <w:tcPr>
            <w:tcW w:w="1800" w:type="dxa"/>
            <w:vMerge/>
          </w:tcPr>
          <w:p w14:paraId="15DE33DC" w14:textId="77777777" w:rsidR="005049F5" w:rsidRPr="005049F5" w:rsidRDefault="005049F5" w:rsidP="00647244">
            <w:pPr>
              <w:pStyle w:val="ALJBodyText"/>
              <w:spacing w:line="240" w:lineRule="auto"/>
            </w:pPr>
          </w:p>
        </w:tc>
        <w:tc>
          <w:tcPr>
            <w:tcW w:w="2700" w:type="dxa"/>
          </w:tcPr>
          <w:p w14:paraId="087840B6" w14:textId="77777777" w:rsidR="005049F5" w:rsidRPr="005049F5" w:rsidRDefault="005049F5" w:rsidP="00647244">
            <w:pPr>
              <w:pStyle w:val="ALJBodyText"/>
              <w:spacing w:line="240" w:lineRule="auto"/>
              <w:ind w:firstLine="0"/>
            </w:pPr>
            <w:r w:rsidRPr="005049F5">
              <w:t>Educational institution</w:t>
            </w:r>
          </w:p>
        </w:tc>
        <w:tc>
          <w:tcPr>
            <w:tcW w:w="4315" w:type="dxa"/>
          </w:tcPr>
          <w:p w14:paraId="08574C07" w14:textId="77777777" w:rsidR="005049F5" w:rsidRPr="005049F5" w:rsidRDefault="005049F5" w:rsidP="00647244">
            <w:pPr>
              <w:pStyle w:val="ALJBodyText"/>
              <w:spacing w:line="240" w:lineRule="auto"/>
              <w:ind w:firstLine="0"/>
            </w:pPr>
            <w:r w:rsidRPr="005049F5">
              <w:t xml:space="preserve">Any institution that would otherwise be eligible for funding through the California Clean Energy Jobs Act (Proposition 39), </w:t>
            </w:r>
            <w:r w:rsidRPr="005049F5">
              <w:lastRenderedPageBreak/>
              <w:t>or a college or university accredited to operate in California.</w:t>
            </w:r>
          </w:p>
        </w:tc>
      </w:tr>
      <w:tr w:rsidR="005049F5" w:rsidRPr="005049F5" w14:paraId="2D0BCE16" w14:textId="77777777" w:rsidTr="008540B9">
        <w:tc>
          <w:tcPr>
            <w:tcW w:w="427" w:type="dxa"/>
            <w:vMerge/>
          </w:tcPr>
          <w:p w14:paraId="2FE7BE52" w14:textId="77777777" w:rsidR="005049F5" w:rsidRPr="005049F5" w:rsidRDefault="005049F5" w:rsidP="00647244">
            <w:pPr>
              <w:pStyle w:val="ALJBodyText"/>
              <w:spacing w:line="240" w:lineRule="auto"/>
            </w:pPr>
          </w:p>
        </w:tc>
        <w:tc>
          <w:tcPr>
            <w:tcW w:w="1800" w:type="dxa"/>
            <w:vMerge/>
          </w:tcPr>
          <w:p w14:paraId="687D2D73" w14:textId="77777777" w:rsidR="005049F5" w:rsidRPr="005049F5" w:rsidRDefault="005049F5" w:rsidP="00647244">
            <w:pPr>
              <w:pStyle w:val="ALJBodyText"/>
              <w:spacing w:line="240" w:lineRule="auto"/>
            </w:pPr>
          </w:p>
        </w:tc>
        <w:tc>
          <w:tcPr>
            <w:tcW w:w="2700" w:type="dxa"/>
          </w:tcPr>
          <w:p w14:paraId="25457091" w14:textId="4690EA9B" w:rsidR="005049F5" w:rsidRPr="005049F5" w:rsidRDefault="005049F5" w:rsidP="00647244">
            <w:pPr>
              <w:pStyle w:val="ALJBodyText"/>
              <w:spacing w:line="240" w:lineRule="auto"/>
              <w:ind w:firstLine="0"/>
            </w:pPr>
            <w:r w:rsidRPr="005049F5">
              <w:t>Non</w:t>
            </w:r>
            <w:r w:rsidR="00757681">
              <w:noBreakHyphen/>
            </w:r>
            <w:r w:rsidRPr="005049F5">
              <w:t>profit organization</w:t>
            </w:r>
          </w:p>
        </w:tc>
        <w:tc>
          <w:tcPr>
            <w:tcW w:w="4315" w:type="dxa"/>
          </w:tcPr>
          <w:p w14:paraId="73FC31B4" w14:textId="4DE5F382" w:rsidR="005049F5" w:rsidRPr="005049F5" w:rsidRDefault="005049F5" w:rsidP="00647244">
            <w:pPr>
              <w:pStyle w:val="ALJBodyText"/>
              <w:spacing w:line="240" w:lineRule="auto"/>
              <w:ind w:firstLine="0"/>
            </w:pPr>
            <w:r w:rsidRPr="005049F5">
              <w:t>An organization registered and in good standing with the California Secretary of State as a domestic non</w:t>
            </w:r>
            <w:r w:rsidR="00757681">
              <w:noBreakHyphen/>
            </w:r>
            <w:r w:rsidRPr="005049F5">
              <w:t>profit.</w:t>
            </w:r>
          </w:p>
        </w:tc>
      </w:tr>
      <w:tr w:rsidR="005049F5" w:rsidRPr="005049F5" w14:paraId="18FD69BD" w14:textId="77777777" w:rsidTr="008540B9">
        <w:tc>
          <w:tcPr>
            <w:tcW w:w="427" w:type="dxa"/>
            <w:vMerge/>
          </w:tcPr>
          <w:p w14:paraId="38EDFA09" w14:textId="77777777" w:rsidR="005049F5" w:rsidRPr="005049F5" w:rsidRDefault="005049F5" w:rsidP="00647244">
            <w:pPr>
              <w:pStyle w:val="ALJBodyText"/>
              <w:spacing w:line="240" w:lineRule="auto"/>
            </w:pPr>
          </w:p>
        </w:tc>
        <w:tc>
          <w:tcPr>
            <w:tcW w:w="1800" w:type="dxa"/>
            <w:vMerge/>
          </w:tcPr>
          <w:p w14:paraId="1C9DEF28" w14:textId="77777777" w:rsidR="005049F5" w:rsidRPr="005049F5" w:rsidRDefault="005049F5" w:rsidP="00647244">
            <w:pPr>
              <w:pStyle w:val="ALJBodyText"/>
              <w:spacing w:line="240" w:lineRule="auto"/>
            </w:pPr>
          </w:p>
        </w:tc>
        <w:tc>
          <w:tcPr>
            <w:tcW w:w="2700" w:type="dxa"/>
          </w:tcPr>
          <w:p w14:paraId="71EC9ABC" w14:textId="77777777" w:rsidR="005049F5" w:rsidRPr="005049F5" w:rsidRDefault="005049F5" w:rsidP="00647244">
            <w:pPr>
              <w:pStyle w:val="ALJBodyText"/>
              <w:spacing w:line="240" w:lineRule="auto"/>
              <w:ind w:firstLine="0"/>
            </w:pPr>
            <w:r w:rsidRPr="005049F5">
              <w:t>Small business</w:t>
            </w:r>
          </w:p>
        </w:tc>
        <w:tc>
          <w:tcPr>
            <w:tcW w:w="4315" w:type="dxa"/>
          </w:tcPr>
          <w:p w14:paraId="1CF909E5" w14:textId="77777777" w:rsidR="005049F5" w:rsidRPr="005049F5" w:rsidRDefault="005049F5" w:rsidP="00647244">
            <w:pPr>
              <w:pStyle w:val="ALJBodyText"/>
              <w:spacing w:line="240" w:lineRule="auto"/>
              <w:ind w:firstLine="0"/>
            </w:pPr>
            <w:r w:rsidRPr="005049F5">
              <w:t>A business or manufacturer, including affiliates, with an average annual gross receipts of $15 million or less, over the last three tax years.</w:t>
            </w:r>
          </w:p>
        </w:tc>
      </w:tr>
      <w:tr w:rsidR="005049F5" w:rsidRPr="005049F5" w14:paraId="0A249859" w14:textId="77777777" w:rsidTr="008540B9">
        <w:tc>
          <w:tcPr>
            <w:tcW w:w="427" w:type="dxa"/>
            <w:vMerge w:val="restart"/>
          </w:tcPr>
          <w:p w14:paraId="4CCE3F71" w14:textId="42B1DA2A" w:rsidR="005049F5" w:rsidRPr="005049F5" w:rsidRDefault="005049F5" w:rsidP="008540B9">
            <w:pPr>
              <w:pStyle w:val="ALJBodyText"/>
              <w:spacing w:line="240" w:lineRule="auto"/>
              <w:ind w:firstLine="0"/>
            </w:pPr>
            <w:r w:rsidRPr="005049F5">
              <w:t>2</w:t>
            </w:r>
            <w:r w:rsidR="00122401">
              <w:t>.</w:t>
            </w:r>
          </w:p>
        </w:tc>
        <w:tc>
          <w:tcPr>
            <w:tcW w:w="1800" w:type="dxa"/>
            <w:vMerge w:val="restart"/>
          </w:tcPr>
          <w:p w14:paraId="1F64AC57" w14:textId="7F98303D" w:rsidR="005049F5" w:rsidRPr="005049F5" w:rsidRDefault="005049F5" w:rsidP="00647244">
            <w:pPr>
              <w:pStyle w:val="ALJBodyText"/>
              <w:spacing w:line="240" w:lineRule="auto"/>
              <w:ind w:firstLine="0"/>
            </w:pPr>
            <w:r w:rsidRPr="005049F5">
              <w:rPr>
                <w:u w:val="single"/>
              </w:rPr>
              <w:t>Or</w:t>
            </w:r>
            <w:r w:rsidRPr="005049F5">
              <w:t>, low</w:t>
            </w:r>
            <w:r w:rsidR="00757681">
              <w:noBreakHyphen/>
            </w:r>
            <w:r w:rsidRPr="005049F5">
              <w:t>income residential customers living in IOU service territory, regardless of where located.</w:t>
            </w:r>
          </w:p>
        </w:tc>
        <w:tc>
          <w:tcPr>
            <w:tcW w:w="2700" w:type="dxa"/>
          </w:tcPr>
          <w:p w14:paraId="74345AB9" w14:textId="13CD9828" w:rsidR="005049F5" w:rsidRPr="005049F5" w:rsidRDefault="005049F5" w:rsidP="00647244">
            <w:pPr>
              <w:pStyle w:val="ALJBodyText"/>
              <w:spacing w:line="240" w:lineRule="auto"/>
              <w:ind w:firstLine="0"/>
            </w:pPr>
            <w:r w:rsidRPr="005049F5">
              <w:t>Multifamily residential, deed</w:t>
            </w:r>
            <w:r w:rsidR="00757681">
              <w:noBreakHyphen/>
            </w:r>
            <w:r w:rsidRPr="005049F5">
              <w:t xml:space="preserve">restricted building; </w:t>
            </w:r>
          </w:p>
        </w:tc>
        <w:tc>
          <w:tcPr>
            <w:tcW w:w="4315" w:type="dxa"/>
          </w:tcPr>
          <w:p w14:paraId="1789523C" w14:textId="7894161B" w:rsidR="005049F5" w:rsidRPr="005049F5" w:rsidRDefault="005049F5" w:rsidP="00647244">
            <w:pPr>
              <w:pStyle w:val="ALJBodyText"/>
              <w:spacing w:line="240" w:lineRule="auto"/>
              <w:ind w:firstLine="0"/>
            </w:pPr>
            <w:r w:rsidRPr="005049F5">
              <w:t>Defined as a multifamily residential building with at least five rental housing units that provides deed</w:t>
            </w:r>
            <w:r w:rsidR="00757681">
              <w:noBreakHyphen/>
            </w:r>
            <w:r w:rsidRPr="005049F5">
              <w:t>restricted that is either: (1) in a DAC; or, (2) is a building where at least 80 percent of the households have incomes at or below 60 percent of the area median income, or housing.</w:t>
            </w:r>
          </w:p>
        </w:tc>
      </w:tr>
      <w:tr w:rsidR="005049F5" w:rsidRPr="005049F5" w14:paraId="563AE495" w14:textId="77777777" w:rsidTr="008540B9">
        <w:tc>
          <w:tcPr>
            <w:tcW w:w="427" w:type="dxa"/>
            <w:vMerge/>
          </w:tcPr>
          <w:p w14:paraId="38F54BED" w14:textId="77777777" w:rsidR="005049F5" w:rsidRPr="005049F5" w:rsidRDefault="005049F5" w:rsidP="00647244">
            <w:pPr>
              <w:pStyle w:val="ALJBodyText"/>
              <w:spacing w:line="240" w:lineRule="auto"/>
            </w:pPr>
          </w:p>
        </w:tc>
        <w:tc>
          <w:tcPr>
            <w:tcW w:w="1800" w:type="dxa"/>
            <w:vMerge/>
          </w:tcPr>
          <w:p w14:paraId="356E826A" w14:textId="77777777" w:rsidR="005049F5" w:rsidRPr="005049F5" w:rsidRDefault="005049F5" w:rsidP="00647244">
            <w:pPr>
              <w:pStyle w:val="ALJBodyText"/>
              <w:spacing w:line="240" w:lineRule="auto"/>
            </w:pPr>
          </w:p>
        </w:tc>
        <w:tc>
          <w:tcPr>
            <w:tcW w:w="2700" w:type="dxa"/>
          </w:tcPr>
          <w:p w14:paraId="6B8DE2A3" w14:textId="61BDCFF1" w:rsidR="005049F5" w:rsidRPr="005049F5" w:rsidRDefault="005049F5" w:rsidP="00647244">
            <w:pPr>
              <w:pStyle w:val="ALJBodyText"/>
              <w:spacing w:line="240" w:lineRule="auto"/>
              <w:ind w:firstLine="0"/>
            </w:pPr>
            <w:r w:rsidRPr="005049F5">
              <w:rPr>
                <w:u w:val="single"/>
              </w:rPr>
              <w:t>Or,</w:t>
            </w:r>
            <w:r w:rsidRPr="005049F5">
              <w:t xml:space="preserve"> a single</w:t>
            </w:r>
            <w:r w:rsidR="00757681">
              <w:noBreakHyphen/>
            </w:r>
            <w:r w:rsidRPr="005049F5">
              <w:t>family home subject to resale restrictions.</w:t>
            </w:r>
          </w:p>
        </w:tc>
        <w:tc>
          <w:tcPr>
            <w:tcW w:w="4315" w:type="dxa"/>
          </w:tcPr>
          <w:p w14:paraId="3D3C8804" w14:textId="1EFA6DF0" w:rsidR="005049F5" w:rsidRPr="005049F5" w:rsidRDefault="005049F5" w:rsidP="00647244">
            <w:pPr>
              <w:pStyle w:val="ALJBodyText"/>
              <w:spacing w:line="240" w:lineRule="auto"/>
              <w:ind w:firstLine="0"/>
            </w:pPr>
            <w:r w:rsidRPr="005049F5">
              <w:t>Resale restrictions define</w:t>
            </w:r>
            <w:r w:rsidR="00C4647E">
              <w:t xml:space="preserve">d as those set forth in </w:t>
            </w:r>
            <w:r w:rsidRPr="005049F5">
              <w:t>Section 2852(a)(3)(C).</w:t>
            </w:r>
          </w:p>
        </w:tc>
      </w:tr>
    </w:tbl>
    <w:p w14:paraId="2C600DE2" w14:textId="719721C4" w:rsidR="005049F5" w:rsidRDefault="005049F5" w:rsidP="005049F5">
      <w:pPr>
        <w:pStyle w:val="ALJBodyText"/>
      </w:pPr>
    </w:p>
    <w:p w14:paraId="4DF7531D" w14:textId="6AE01D38" w:rsidR="008F4E03" w:rsidRPr="005049F5" w:rsidRDefault="008F4E03" w:rsidP="005049F5">
      <w:pPr>
        <w:pStyle w:val="ALJBodyText"/>
      </w:pPr>
      <w:r>
        <w:t>The SGIP ACR requested parties</w:t>
      </w:r>
      <w:r w:rsidR="00FB5147">
        <w:t>’</w:t>
      </w:r>
      <w:r>
        <w:t xml:space="preserve"> comments on topics relating to eligibility criteria in a number of areas, including whether the </w:t>
      </w:r>
      <w:r w:rsidRPr="008F4E03">
        <w:t xml:space="preserve">Commission </w:t>
      </w:r>
      <w:r>
        <w:t xml:space="preserve">should </w:t>
      </w:r>
      <w:r w:rsidRPr="008F4E03">
        <w:t xml:space="preserve">expand eligibility for the storage equity budget to all projects located </w:t>
      </w:r>
      <w:r w:rsidR="00C6687D">
        <w:t>on tribal reservations</w:t>
      </w:r>
      <w:r w:rsidR="008540B9">
        <w:t xml:space="preserve">.  This section </w:t>
      </w:r>
      <w:r w:rsidR="00C6687D">
        <w:t xml:space="preserve">discuss this topic </w:t>
      </w:r>
      <w:r w:rsidR="008540B9">
        <w:t xml:space="preserve">first, </w:t>
      </w:r>
      <w:r w:rsidR="00C6687D">
        <w:t>using the term “Indian Country,” as defined in federal statute.</w:t>
      </w:r>
      <w:r w:rsidR="003E23C5">
        <w:rPr>
          <w:rStyle w:val="FootnoteReference"/>
        </w:rPr>
        <w:footnoteReference w:id="12"/>
      </w:r>
      <w:r w:rsidR="00C6687D">
        <w:t xml:space="preserve">  </w:t>
      </w:r>
    </w:p>
    <w:p w14:paraId="25A20170" w14:textId="2DB6878D" w:rsidR="00E7634C" w:rsidRDefault="00C6687D" w:rsidP="00C151FC">
      <w:pPr>
        <w:pStyle w:val="ALJHeading2"/>
      </w:pPr>
      <w:bookmarkStart w:id="23" w:name="_Toc15908058"/>
      <w:r>
        <w:lastRenderedPageBreak/>
        <w:t>Indian Country in California</w:t>
      </w:r>
      <w:bookmarkEnd w:id="23"/>
      <w:r w:rsidR="00AB3D1A">
        <w:t xml:space="preserve"> </w:t>
      </w:r>
    </w:p>
    <w:p w14:paraId="7B27C4A3" w14:textId="4FF9DF6D" w:rsidR="008F4E03" w:rsidRPr="008F4E03" w:rsidRDefault="008F4E03" w:rsidP="008F4E03">
      <w:pPr>
        <w:pStyle w:val="ALJBodyText"/>
      </w:pPr>
      <w:r w:rsidRPr="008F4E03">
        <w:t xml:space="preserve">As observed in the SGIP ACR, </w:t>
      </w:r>
      <w:r w:rsidR="00206D6A">
        <w:t>most</w:t>
      </w:r>
      <w:r w:rsidRPr="008F4E03">
        <w:t xml:space="preserve"> if not all of Indian Country in California is not currently eligible for equity budget incentives because such communities do not qualify as “disadvantaged communities” </w:t>
      </w:r>
      <w:r w:rsidR="005D2D63">
        <w:t xml:space="preserve">identified by CalEnviroScreen, </w:t>
      </w:r>
      <w:r w:rsidRPr="008F4E03">
        <w:t xml:space="preserve">pursuant to </w:t>
      </w:r>
      <w:r w:rsidR="00852C19">
        <w:t xml:space="preserve">Health and Safety Code section 39711 and </w:t>
      </w:r>
      <w:r w:rsidRPr="008F4E03">
        <w:t>D.17</w:t>
      </w:r>
      <w:r w:rsidR="00757681">
        <w:noBreakHyphen/>
      </w:r>
      <w:r w:rsidRPr="008F4E03">
        <w:t>10</w:t>
      </w:r>
      <w:r w:rsidR="00757681">
        <w:noBreakHyphen/>
      </w:r>
      <w:r w:rsidRPr="008F4E03">
        <w:t xml:space="preserve">004.  The primary reason for this is that most of the lands defined as Indian Country are located in remote areas with low levels of industrial pollution and vehicle emissions.  However, because of </w:t>
      </w:r>
      <w:r w:rsidR="00FB5147">
        <w:t>their remoteness</w:t>
      </w:r>
      <w:r w:rsidRPr="008F4E03">
        <w:t>, these lands frequently experience poor electric service reliability.  They have also suffered from historic neglect.  To address th</w:t>
      </w:r>
      <w:r w:rsidR="00FB5147">
        <w:t>ese problems</w:t>
      </w:r>
      <w:r w:rsidRPr="008F4E03">
        <w:t xml:space="preserve">, the SGIP ACR asked if the Commission should expand eligibility for the storage equity budget to include all projects located in California Indian Country.  There are currently no specific eligibility requirements tailored to support tribal participation in the SGIP.  </w:t>
      </w:r>
    </w:p>
    <w:p w14:paraId="353FFFEB" w14:textId="526500CC" w:rsidR="00357185" w:rsidRDefault="00BB225A" w:rsidP="00C151FC">
      <w:pPr>
        <w:pStyle w:val="ALJHeading3"/>
      </w:pPr>
      <w:bookmarkStart w:id="24" w:name="_Toc14349288"/>
      <w:bookmarkStart w:id="25" w:name="_Toc15908059"/>
      <w:bookmarkEnd w:id="24"/>
      <w:r>
        <w:t>Party Comments</w:t>
      </w:r>
      <w:bookmarkEnd w:id="25"/>
      <w:r>
        <w:t xml:space="preserve"> </w:t>
      </w:r>
    </w:p>
    <w:p w14:paraId="220673B5" w14:textId="3B75F385" w:rsidR="009E7813" w:rsidRDefault="00B42057" w:rsidP="009E7813">
      <w:pPr>
        <w:pStyle w:val="ALJBodyText"/>
      </w:pPr>
      <w:r>
        <w:t>SCE recommen</w:t>
      </w:r>
      <w:r w:rsidR="00180C3A">
        <w:t xml:space="preserve">ds </w:t>
      </w:r>
      <w:r>
        <w:t xml:space="preserve">that Commission consult internally with the Commission’s Tribal Liaison </w:t>
      </w:r>
      <w:r w:rsidR="00650B66">
        <w:t xml:space="preserve">to identify the best way to support eligibility of </w:t>
      </w:r>
      <w:r w:rsidR="00C6687D">
        <w:t>Indian Country for</w:t>
      </w:r>
      <w:r w:rsidR="00650B66">
        <w:t xml:space="preserve"> equity budget funds.  </w:t>
      </w:r>
      <w:r>
        <w:t xml:space="preserve">SDG&amp;E </w:t>
      </w:r>
      <w:r w:rsidR="008C7F3B">
        <w:t xml:space="preserve">suggests </w:t>
      </w:r>
      <w:r w:rsidR="00CA595A">
        <w:t xml:space="preserve">revising </w:t>
      </w:r>
      <w:r>
        <w:t>eligibility criteria to include tribal communities.</w:t>
      </w:r>
      <w:r w:rsidR="009E7813">
        <w:t xml:space="preserve">  </w:t>
      </w:r>
      <w:r w:rsidR="00650B66">
        <w:t>CALSSA and several other parties support allowing California trib</w:t>
      </w:r>
      <w:r w:rsidR="00C6687D">
        <w:t>al</w:t>
      </w:r>
      <w:r w:rsidR="000A7E99">
        <w:t xml:space="preserve"> </w:t>
      </w:r>
      <w:r w:rsidR="00650B66">
        <w:t xml:space="preserve">access </w:t>
      </w:r>
      <w:r w:rsidR="003E23C5">
        <w:t xml:space="preserve">to </w:t>
      </w:r>
      <w:r w:rsidR="00650B66">
        <w:t xml:space="preserve">equity budget funds. </w:t>
      </w:r>
    </w:p>
    <w:p w14:paraId="2A468A8E" w14:textId="4A71BE36" w:rsidR="009E7813" w:rsidRDefault="00491D21" w:rsidP="00C151FC">
      <w:pPr>
        <w:pStyle w:val="ALJHeading3"/>
      </w:pPr>
      <w:bookmarkStart w:id="26" w:name="_Toc15908060"/>
      <w:r>
        <w:t>Discussion</w:t>
      </w:r>
      <w:bookmarkEnd w:id="26"/>
    </w:p>
    <w:p w14:paraId="5C2442EA" w14:textId="41ED64D1" w:rsidR="003E23C5" w:rsidRDefault="00BA3689" w:rsidP="00E6379D">
      <w:pPr>
        <w:pStyle w:val="ALJBodyText"/>
      </w:pPr>
      <w:r>
        <w:t>We supplement the eligibility criteria adopted in D.17</w:t>
      </w:r>
      <w:r w:rsidR="00757681">
        <w:noBreakHyphen/>
      </w:r>
      <w:r>
        <w:t>10</w:t>
      </w:r>
      <w:r w:rsidR="00757681">
        <w:noBreakHyphen/>
      </w:r>
      <w:r>
        <w:t xml:space="preserve">004 to define </w:t>
      </w:r>
      <w:r w:rsidR="00C6687D">
        <w:t xml:space="preserve">all </w:t>
      </w:r>
      <w:r w:rsidR="00C90C4F">
        <w:t xml:space="preserve">California </w:t>
      </w:r>
      <w:r w:rsidR="00C6687D" w:rsidRPr="00C6687D">
        <w:t xml:space="preserve">Indian Country as </w:t>
      </w:r>
      <w:r w:rsidR="00D56CA5">
        <w:t xml:space="preserve">DACs </w:t>
      </w:r>
      <w:r w:rsidR="00C6687D" w:rsidRPr="00C6687D">
        <w:t>for purposes of the SGIP equity budget.  Privately owned non</w:t>
      </w:r>
      <w:r w:rsidR="00757681">
        <w:noBreakHyphen/>
      </w:r>
      <w:r w:rsidR="00C6687D" w:rsidRPr="00C6687D">
        <w:t>Indian in</w:t>
      </w:r>
      <w:r w:rsidR="00757681">
        <w:noBreakHyphen/>
      </w:r>
      <w:r w:rsidR="00C6687D" w:rsidRPr="00C6687D">
        <w:t xml:space="preserve">holdings located within the exterior </w:t>
      </w:r>
      <w:r w:rsidR="00C6687D" w:rsidRPr="00C6687D">
        <w:lastRenderedPageBreak/>
        <w:t>boundaries of a tribe’s Indian Country shall not be eligible for equity budget incentives, however</w:t>
      </w:r>
      <w:r w:rsidR="0043296E">
        <w:t>, except as provided below</w:t>
      </w:r>
      <w:r w:rsidR="00C6687D" w:rsidRPr="00C6687D">
        <w:t>.  Equity budget eligibility for homes and certain non</w:t>
      </w:r>
      <w:r w:rsidR="00757681">
        <w:noBreakHyphen/>
      </w:r>
      <w:r w:rsidR="00C6687D" w:rsidRPr="00C6687D">
        <w:t>residential customers located within California Indian Country supports statutory and Commission goals of ensuring broad access to SGIP funds for low</w:t>
      </w:r>
      <w:r w:rsidR="00757681">
        <w:noBreakHyphen/>
      </w:r>
      <w:r w:rsidR="00C6687D" w:rsidRPr="00C6687D">
        <w:t xml:space="preserve">income and </w:t>
      </w:r>
      <w:r w:rsidR="00D56CA5">
        <w:t xml:space="preserve">DACs </w:t>
      </w:r>
      <w:r w:rsidR="00470357">
        <w:t>as well as the Commission’s Tribal Consultation Policy</w:t>
      </w:r>
      <w:r w:rsidR="00C6687D" w:rsidRPr="00C6687D">
        <w:t xml:space="preserve">.  </w:t>
      </w:r>
    </w:p>
    <w:p w14:paraId="009B0CA0" w14:textId="3546F942" w:rsidR="003A7970" w:rsidRDefault="003E23C5" w:rsidP="003A7970">
      <w:pPr>
        <w:pStyle w:val="ALJBodyText"/>
      </w:pPr>
      <w:r>
        <w:t>However, i</w:t>
      </w:r>
      <w:r w:rsidR="00C6687D" w:rsidRPr="00C6687D">
        <w:t xml:space="preserve">t is inappropriate for </w:t>
      </w:r>
      <w:r w:rsidR="00ED67FB">
        <w:t xml:space="preserve">the definition to include </w:t>
      </w:r>
      <w:r w:rsidR="00C6687D" w:rsidRPr="00C6687D">
        <w:t>non</w:t>
      </w:r>
      <w:r w:rsidR="00757681">
        <w:noBreakHyphen/>
      </w:r>
      <w:r w:rsidR="00C6687D" w:rsidRPr="00C6687D">
        <w:t xml:space="preserve">Indian residences or businesses located on privately owned fee lands within the bounds of California </w:t>
      </w:r>
      <w:r w:rsidR="00CE6BD3">
        <w:t>Indian County</w:t>
      </w:r>
      <w:r w:rsidR="00C6687D">
        <w:t>,</w:t>
      </w:r>
      <w:r w:rsidR="00C6687D" w:rsidRPr="00C6687D">
        <w:t xml:space="preserve"> as the occupants or owners of such lands typically are not members of the tribe with jurisdiction over the </w:t>
      </w:r>
      <w:r w:rsidR="00CE6BD3">
        <w:t>Indian County</w:t>
      </w:r>
      <w:r w:rsidR="00C6687D" w:rsidRPr="00C6687D">
        <w:t xml:space="preserve"> and may not be disadvantaged per se.  </w:t>
      </w:r>
      <w:bookmarkStart w:id="27" w:name="_Hlk14783950"/>
      <w:r w:rsidR="00C6687D" w:rsidRPr="00C6687D">
        <w:t>For purposes of the SGIP equity budget, a privately held in</w:t>
      </w:r>
      <w:r w:rsidR="00757681">
        <w:noBreakHyphen/>
      </w:r>
      <w:r w:rsidR="00C6687D" w:rsidRPr="00C6687D">
        <w:t xml:space="preserve">holding is defined as </w:t>
      </w:r>
      <w:r w:rsidR="002641FE">
        <w:t>non</w:t>
      </w:r>
      <w:r w:rsidR="00757681">
        <w:noBreakHyphen/>
      </w:r>
      <w:r w:rsidR="002641FE">
        <w:t>Indian owned</w:t>
      </w:r>
      <w:r w:rsidR="00C6687D" w:rsidRPr="00C6687D">
        <w:t xml:space="preserve"> fee land located within the exterior boundaries of California </w:t>
      </w:r>
      <w:r w:rsidR="00CE6BD3">
        <w:t>Indian County</w:t>
      </w:r>
      <w:r w:rsidR="00C6687D" w:rsidRPr="00C6687D">
        <w:t>, regardless of the use of the land. </w:t>
      </w:r>
      <w:r w:rsidR="0084594E">
        <w:t xml:space="preserve"> </w:t>
      </w:r>
      <w:r w:rsidR="008921DA">
        <w:t>In the event of multiple owners, the land shall be considered Indian owned if at least one owner is a tribe or tribal member.</w:t>
      </w:r>
    </w:p>
    <w:p w14:paraId="4A3411E2" w14:textId="54F14340" w:rsidR="003A7970" w:rsidRDefault="003A7970" w:rsidP="00D54660">
      <w:pPr>
        <w:pStyle w:val="ALJBodyText"/>
      </w:pPr>
      <w:r>
        <w:t>We direct the SGIP PAs to f</w:t>
      </w:r>
      <w:r w:rsidRPr="003A7970">
        <w:t>ile a Tier 2 advice letter within 90 days of issuance of this decision proposing modifications to the Self</w:t>
      </w:r>
      <w:r w:rsidR="00757681">
        <w:noBreakHyphen/>
      </w:r>
      <w:r w:rsidRPr="003A7970">
        <w:t>Generation Incentive Program handbook to implement th</w:t>
      </w:r>
      <w:r>
        <w:t xml:space="preserve">is and all </w:t>
      </w:r>
      <w:r w:rsidR="00D54660">
        <w:t xml:space="preserve">other </w:t>
      </w:r>
      <w:r>
        <w:t xml:space="preserve">modifications to the SGIP </w:t>
      </w:r>
      <w:r w:rsidRPr="003A7970">
        <w:t>adopted in this decision</w:t>
      </w:r>
      <w:r>
        <w:t>.</w:t>
      </w:r>
    </w:p>
    <w:p w14:paraId="2ECC7AEE" w14:textId="162C51A6" w:rsidR="00386D88" w:rsidRDefault="00386D88" w:rsidP="00C151FC">
      <w:pPr>
        <w:pStyle w:val="ALJHeading2"/>
      </w:pPr>
      <w:bookmarkStart w:id="28" w:name="_Toc15908061"/>
      <w:bookmarkEnd w:id="27"/>
      <w:r>
        <w:t>Non</w:t>
      </w:r>
      <w:r w:rsidR="00757681">
        <w:noBreakHyphen/>
      </w:r>
      <w:r>
        <w:t xml:space="preserve">Residential </w:t>
      </w:r>
      <w:r w:rsidR="00BA3689">
        <w:t>Customers</w:t>
      </w:r>
      <w:bookmarkEnd w:id="28"/>
    </w:p>
    <w:p w14:paraId="64F6A8F3" w14:textId="2A710AC8" w:rsidR="00E6379D" w:rsidRDefault="008540B9" w:rsidP="009E7813">
      <w:pPr>
        <w:pStyle w:val="ALJBodyText"/>
      </w:pPr>
      <w:r>
        <w:t>D.17</w:t>
      </w:r>
      <w:r w:rsidR="00757681">
        <w:noBreakHyphen/>
      </w:r>
      <w:r>
        <w:t>10</w:t>
      </w:r>
      <w:r w:rsidR="00757681">
        <w:noBreakHyphen/>
      </w:r>
      <w:r>
        <w:t xml:space="preserve">004 adopted </w:t>
      </w:r>
      <w:r w:rsidRPr="008540B9">
        <w:t xml:space="preserve">equity budget eligibility criteria </w:t>
      </w:r>
      <w:r w:rsidR="00650B66">
        <w:t>for n</w:t>
      </w:r>
      <w:r w:rsidR="00E6379D">
        <w:t>on</w:t>
      </w:r>
      <w:r w:rsidR="00757681">
        <w:noBreakHyphen/>
      </w:r>
      <w:r w:rsidR="00E6379D">
        <w:t>residential customer</w:t>
      </w:r>
      <w:r w:rsidR="00650B66">
        <w:t>s</w:t>
      </w:r>
      <w:r>
        <w:t xml:space="preserve">, </w:t>
      </w:r>
      <w:r w:rsidR="00650B66">
        <w:t>summarized in Table 1</w:t>
      </w:r>
      <w:r w:rsidR="006844E2">
        <w:t xml:space="preserve">. </w:t>
      </w:r>
      <w:r w:rsidR="0053094C">
        <w:t xml:space="preserve"> The SGIP ACR as</w:t>
      </w:r>
      <w:r w:rsidR="00650B66">
        <w:t xml:space="preserve">ked if </w:t>
      </w:r>
      <w:r>
        <w:t xml:space="preserve">parties whether </w:t>
      </w:r>
      <w:r w:rsidR="0053094C">
        <w:t xml:space="preserve">equity budget </w:t>
      </w:r>
      <w:r w:rsidR="00650B66">
        <w:t xml:space="preserve">program </w:t>
      </w:r>
      <w:r w:rsidR="0053094C">
        <w:t xml:space="preserve">requirements </w:t>
      </w:r>
      <w:r>
        <w:t>for non</w:t>
      </w:r>
      <w:r w:rsidR="00757681">
        <w:noBreakHyphen/>
      </w:r>
      <w:r>
        <w:t xml:space="preserve">residential customers </w:t>
      </w:r>
      <w:r w:rsidR="0053094C">
        <w:t>should be modified to increase</w:t>
      </w:r>
      <w:r w:rsidR="00191673">
        <w:t xml:space="preserve"> participation</w:t>
      </w:r>
      <w:r w:rsidR="0053094C">
        <w:t>.</w:t>
      </w:r>
    </w:p>
    <w:p w14:paraId="7D38BA54" w14:textId="4E9FF086" w:rsidR="00034E78" w:rsidRDefault="00034E78" w:rsidP="00C151FC">
      <w:pPr>
        <w:pStyle w:val="ALJHeading3"/>
      </w:pPr>
      <w:bookmarkStart w:id="29" w:name="_Toc15908062"/>
      <w:r>
        <w:lastRenderedPageBreak/>
        <w:t>Party Comments</w:t>
      </w:r>
      <w:bookmarkEnd w:id="29"/>
    </w:p>
    <w:p w14:paraId="350D065F" w14:textId="111FA7C5" w:rsidR="00B42057" w:rsidRDefault="00841EF4" w:rsidP="0053094C">
      <w:pPr>
        <w:pStyle w:val="ALJBodyText"/>
      </w:pPr>
      <w:r>
        <w:t xml:space="preserve">CALSSA proposes </w:t>
      </w:r>
      <w:r w:rsidR="003E23C5">
        <w:t>two</w:t>
      </w:r>
      <w:r>
        <w:t xml:space="preserve"> program modifications to increase participation in the equity budget </w:t>
      </w:r>
      <w:r w:rsidR="008540B9">
        <w:t xml:space="preserve">by </w:t>
      </w:r>
      <w:r>
        <w:t>non</w:t>
      </w:r>
      <w:r w:rsidR="00757681">
        <w:noBreakHyphen/>
      </w:r>
      <w:r>
        <w:t xml:space="preserve">residential </w:t>
      </w:r>
      <w:r w:rsidR="008540B9">
        <w:t>customers</w:t>
      </w:r>
      <w:r>
        <w:t xml:space="preserve">.  First, </w:t>
      </w:r>
      <w:r w:rsidR="0053094C">
        <w:t xml:space="preserve">CALSSA </w:t>
      </w:r>
      <w:r>
        <w:t xml:space="preserve">recommends that the Commission allow public agencies to access the equity budget for a </w:t>
      </w:r>
      <w:r w:rsidRPr="003E23C5">
        <w:t>portfolio of projects if</w:t>
      </w:r>
      <w:r w:rsidR="003E23C5" w:rsidRPr="003E23C5">
        <w:t xml:space="preserve">: (a) </w:t>
      </w:r>
      <w:r w:rsidRPr="003E23C5">
        <w:t>most of the facilities in the portfolio are located in a DAC</w:t>
      </w:r>
      <w:r w:rsidR="003E23C5" w:rsidRPr="003E23C5">
        <w:t xml:space="preserve"> </w:t>
      </w:r>
      <w:r w:rsidRPr="003E23C5">
        <w:t>census tract</w:t>
      </w:r>
      <w:r w:rsidR="003E23C5" w:rsidRPr="003E23C5">
        <w:t>; or, (b) the public agency serves DAC census tracts and at least 20 percent of census tracts it serves are DACs as defined for the SGIP</w:t>
      </w:r>
      <w:r w:rsidRPr="003E23C5">
        <w:t xml:space="preserve">.  </w:t>
      </w:r>
      <w:r w:rsidR="00BC7490" w:rsidRPr="003E23C5">
        <w:t xml:space="preserve">CALSSA states </w:t>
      </w:r>
      <w:r w:rsidR="008540B9" w:rsidRPr="003E23C5">
        <w:t xml:space="preserve">that </w:t>
      </w:r>
      <w:r w:rsidR="00BC7490" w:rsidRPr="003E23C5">
        <w:t>t</w:t>
      </w:r>
      <w:r w:rsidRPr="003E23C5">
        <w:t>h</w:t>
      </w:r>
      <w:r w:rsidR="003E23C5" w:rsidRPr="003E23C5">
        <w:t>ese</w:t>
      </w:r>
      <w:r w:rsidRPr="003E23C5">
        <w:t xml:space="preserve"> modification</w:t>
      </w:r>
      <w:r w:rsidR="003E23C5" w:rsidRPr="003E23C5">
        <w:t>s</w:t>
      </w:r>
      <w:r w:rsidRPr="003E23C5">
        <w:t xml:space="preserve"> would increase school district and local government access to equity</w:t>
      </w:r>
      <w:r>
        <w:t xml:space="preserve"> budget funds </w:t>
      </w:r>
      <w:r w:rsidR="003E23C5">
        <w:t xml:space="preserve">and </w:t>
      </w:r>
      <w:r>
        <w:t>would make equity budget incentives more accessible to agencies that work in or provide support to multiple census tracts.</w:t>
      </w:r>
      <w:r w:rsidR="003E23C5">
        <w:t xml:space="preserve">  CALSSA contends that DAC residents would benefit from these changes even if not all of the projects are located in a DAC.</w:t>
      </w:r>
    </w:p>
    <w:p w14:paraId="37F12176" w14:textId="4F0E48FA" w:rsidR="00B42057" w:rsidRDefault="00B42057" w:rsidP="00C151FC">
      <w:pPr>
        <w:pStyle w:val="ALJHeading3"/>
      </w:pPr>
      <w:bookmarkStart w:id="30" w:name="_Toc15908063"/>
      <w:r>
        <w:t>Discussion</w:t>
      </w:r>
      <w:bookmarkEnd w:id="30"/>
    </w:p>
    <w:p w14:paraId="7F8C35C1" w14:textId="287E9A78" w:rsidR="00B42057" w:rsidRDefault="00F103FE" w:rsidP="00F103FE">
      <w:pPr>
        <w:pStyle w:val="ALJBodyText"/>
      </w:pPr>
      <w:r>
        <w:t xml:space="preserve">We </w:t>
      </w:r>
      <w:r w:rsidR="00B42057">
        <w:t>expand the definition of eligible non</w:t>
      </w:r>
      <w:r w:rsidR="00757681">
        <w:noBreakHyphen/>
      </w:r>
      <w:r w:rsidR="00B42057">
        <w:t>residential customer</w:t>
      </w:r>
      <w:r w:rsidR="00B647BF">
        <w:t>s</w:t>
      </w:r>
      <w:r w:rsidR="00B42057">
        <w:t xml:space="preserve"> to include</w:t>
      </w:r>
      <w:r w:rsidR="0015766B">
        <w:t xml:space="preserve"> </w:t>
      </w:r>
      <w:r w:rsidR="00B42057">
        <w:t xml:space="preserve">any </w:t>
      </w:r>
      <w:r w:rsidR="0070715A">
        <w:t xml:space="preserve">facility owned or operated by a public </w:t>
      </w:r>
      <w:r w:rsidR="00B42057">
        <w:t xml:space="preserve">agency </w:t>
      </w:r>
      <w:r w:rsidR="0070715A">
        <w:t xml:space="preserve">that provides services to DAC community members </w:t>
      </w:r>
      <w:r w:rsidR="00B42057">
        <w:t xml:space="preserve">for which at </w:t>
      </w:r>
      <w:r w:rsidR="00B42057" w:rsidRPr="00191673">
        <w:t xml:space="preserve">least </w:t>
      </w:r>
      <w:r w:rsidR="00191673" w:rsidRPr="00191673">
        <w:t>50</w:t>
      </w:r>
      <w:r w:rsidR="00B42057">
        <w:t xml:space="preserve"> percent of census tracts served are DACs.</w:t>
      </w:r>
      <w:r w:rsidR="003E23C5">
        <w:t xml:space="preserve">  </w:t>
      </w:r>
      <w:r w:rsidR="0070715A">
        <w:t>The applicant has the burden of providing the information to demonstrate the facility’s eligibility.</w:t>
      </w:r>
      <w:r w:rsidR="003E23C5">
        <w:t xml:space="preserve">  We do not adopt CALSSA’s first recommendation as this would be too administratively burdensome for PAs to verify. </w:t>
      </w:r>
    </w:p>
    <w:p w14:paraId="40F728AC" w14:textId="167D982A" w:rsidR="00B42057" w:rsidRDefault="00B42057" w:rsidP="00B42057">
      <w:pPr>
        <w:pStyle w:val="ALJBodyText"/>
      </w:pPr>
      <w:r>
        <w:t>These changes will increase participation in the SGIP equity budget but ensure that most of the benefits from these incentives continue to flow to</w:t>
      </w:r>
      <w:r w:rsidR="003E23C5">
        <w:t xml:space="preserve"> DACs</w:t>
      </w:r>
      <w:r>
        <w:t>, defined in t</w:t>
      </w:r>
      <w:r w:rsidR="00AC0ED5">
        <w:t>his decision as including Indian Country</w:t>
      </w:r>
      <w:r>
        <w:t xml:space="preserve"> customers.  </w:t>
      </w:r>
    </w:p>
    <w:p w14:paraId="577FD6ED" w14:textId="304FF2C9" w:rsidR="00841EF4" w:rsidRDefault="00AF5C34" w:rsidP="00C151FC">
      <w:pPr>
        <w:pStyle w:val="ALJHeading2"/>
      </w:pPr>
      <w:bookmarkStart w:id="31" w:name="_Toc15908064"/>
      <w:r>
        <w:t>Participants in Low</w:t>
      </w:r>
      <w:r w:rsidR="00757681">
        <w:noBreakHyphen/>
      </w:r>
      <w:r>
        <w:t xml:space="preserve">Income </w:t>
      </w:r>
      <w:r w:rsidR="00841EF4">
        <w:t>Solar Program</w:t>
      </w:r>
      <w:r w:rsidR="008D5F28">
        <w:t>s</w:t>
      </w:r>
      <w:bookmarkEnd w:id="31"/>
    </w:p>
    <w:p w14:paraId="47C7ADF4" w14:textId="34FA29A9" w:rsidR="00D97E05" w:rsidRDefault="00AC77C0" w:rsidP="00856B3F">
      <w:pPr>
        <w:pStyle w:val="ALJBodyText"/>
      </w:pPr>
      <w:r>
        <w:t xml:space="preserve">Current </w:t>
      </w:r>
      <w:r w:rsidR="00841EF4">
        <w:t>eligibility requirements to access equity budget incentives and incentives fo</w:t>
      </w:r>
      <w:r w:rsidR="00F76CDB">
        <w:t>r low</w:t>
      </w:r>
      <w:r w:rsidR="00757681">
        <w:noBreakHyphen/>
      </w:r>
      <w:r w:rsidR="00F76CDB">
        <w:t xml:space="preserve">income solar programs such as the Single Family Affordable </w:t>
      </w:r>
      <w:r w:rsidR="00F76CDB">
        <w:lastRenderedPageBreak/>
        <w:t xml:space="preserve">Solar Homes program (SASH), the SASH for Disadvantaged Communities </w:t>
      </w:r>
      <w:r w:rsidR="00831702">
        <w:t>p</w:t>
      </w:r>
      <w:r w:rsidR="00F76CDB">
        <w:t>rogram (DAC</w:t>
      </w:r>
      <w:r w:rsidR="00757681">
        <w:noBreakHyphen/>
      </w:r>
      <w:r w:rsidR="00F76CDB">
        <w:t>SASH), the Solar on Multifamily Affordable Housing program (</w:t>
      </w:r>
      <w:r w:rsidR="00841EF4">
        <w:t>SOMAH)</w:t>
      </w:r>
      <w:r w:rsidR="00D30BD4">
        <w:t>, and the Multifamily Affordable Solar Housing (MASH) program</w:t>
      </w:r>
      <w:r w:rsidR="00841EF4">
        <w:t xml:space="preserve"> are similar, bu</w:t>
      </w:r>
      <w:r w:rsidR="00D97E05">
        <w:t>t not fully align</w:t>
      </w:r>
      <w:r w:rsidR="00F76CDB">
        <w:t>ed.</w:t>
      </w:r>
      <w:r w:rsidR="00EE0A5D">
        <w:t xml:space="preserve">  This decision</w:t>
      </w:r>
      <w:r w:rsidR="00302015">
        <w:t xml:space="preserve"> waives verification of eligibility for the equity budget for any customer approved for participation in the SOMAH, </w:t>
      </w:r>
      <w:r w:rsidR="00D30BD4">
        <w:t xml:space="preserve">MASH, </w:t>
      </w:r>
      <w:r w:rsidR="00302015">
        <w:t>SASH and DAC</w:t>
      </w:r>
      <w:r w:rsidR="00757681">
        <w:noBreakHyphen/>
      </w:r>
      <w:r w:rsidR="00302015">
        <w:t>SASH program</w:t>
      </w:r>
      <w:r w:rsidR="00302015" w:rsidRPr="00302015">
        <w:t>s</w:t>
      </w:r>
      <w:r w:rsidR="00EE0A5D" w:rsidRPr="00302015">
        <w:t>.</w:t>
      </w:r>
    </w:p>
    <w:p w14:paraId="5E651C76" w14:textId="6B9831CD" w:rsidR="00841EF4" w:rsidRDefault="00841EF4" w:rsidP="00C151FC">
      <w:pPr>
        <w:pStyle w:val="ALJHeading3"/>
      </w:pPr>
      <w:bookmarkStart w:id="32" w:name="_Toc15908065"/>
      <w:r>
        <w:t>Party Comments</w:t>
      </w:r>
      <w:bookmarkEnd w:id="32"/>
      <w:r>
        <w:t xml:space="preserve"> </w:t>
      </w:r>
    </w:p>
    <w:p w14:paraId="6801B6F4" w14:textId="58BF969E" w:rsidR="00841EF4" w:rsidRPr="00176A79" w:rsidRDefault="00841EF4" w:rsidP="00841EF4">
      <w:pPr>
        <w:pStyle w:val="ALJBodyText"/>
      </w:pPr>
      <w:r w:rsidRPr="00176A79">
        <w:t xml:space="preserve">Several parties including </w:t>
      </w:r>
      <w:r w:rsidR="00D30BD4">
        <w:t xml:space="preserve">CSE, </w:t>
      </w:r>
      <w:r w:rsidRPr="00176A79">
        <w:t>GRID/</w:t>
      </w:r>
      <w:r w:rsidR="00C54DFC">
        <w:t>CHPC</w:t>
      </w:r>
      <w:r w:rsidRPr="00176A79">
        <w:t xml:space="preserve"> and Sunrun recommend</w:t>
      </w:r>
      <w:r w:rsidR="00302015">
        <w:t xml:space="preserve"> </w:t>
      </w:r>
      <w:r w:rsidRPr="00176A79">
        <w:t xml:space="preserve">broadening equity budget eligibility criteria to allow </w:t>
      </w:r>
      <w:r w:rsidR="00F13E02">
        <w:t>customers</w:t>
      </w:r>
      <w:r w:rsidRPr="00176A79">
        <w:t xml:space="preserve"> qualifying for </w:t>
      </w:r>
      <w:r>
        <w:t xml:space="preserve">the </w:t>
      </w:r>
      <w:r w:rsidR="00D30BD4">
        <w:t xml:space="preserve">MASH, </w:t>
      </w:r>
      <w:r>
        <w:t xml:space="preserve">SOMAH, </w:t>
      </w:r>
      <w:r w:rsidRPr="00176A79">
        <w:t>SASH and DAC</w:t>
      </w:r>
      <w:r w:rsidR="00757681">
        <w:noBreakHyphen/>
      </w:r>
      <w:r w:rsidRPr="00176A79">
        <w:t xml:space="preserve">SASH </w:t>
      </w:r>
      <w:r>
        <w:t xml:space="preserve">programs to </w:t>
      </w:r>
      <w:r w:rsidR="00EE0A5D">
        <w:t xml:space="preserve">automatically </w:t>
      </w:r>
      <w:r>
        <w:t>part</w:t>
      </w:r>
      <w:r w:rsidR="00D97E05">
        <w:t xml:space="preserve">icipate in the equity budget.  </w:t>
      </w:r>
      <w:r>
        <w:t xml:space="preserve">These parties </w:t>
      </w:r>
      <w:r w:rsidR="00EE0A5D">
        <w:t xml:space="preserve">believe </w:t>
      </w:r>
      <w:r w:rsidRPr="00176A79">
        <w:t xml:space="preserve">this </w:t>
      </w:r>
      <w:r w:rsidR="00EE0A5D">
        <w:t xml:space="preserve">change </w:t>
      </w:r>
      <w:r w:rsidRPr="00176A79">
        <w:t xml:space="preserve">would streamline the </w:t>
      </w:r>
      <w:r>
        <w:t xml:space="preserve">equity budget </w:t>
      </w:r>
      <w:r w:rsidRPr="00176A79">
        <w:t>application process and make it easier for developers to identify interested customers.  GRID/</w:t>
      </w:r>
      <w:r w:rsidR="00C54DFC">
        <w:t>CHPC</w:t>
      </w:r>
      <w:r w:rsidRPr="00176A79">
        <w:t xml:space="preserve"> obse</w:t>
      </w:r>
      <w:r>
        <w:t>rve</w:t>
      </w:r>
      <w:r w:rsidRPr="00176A79">
        <w:t xml:space="preserve"> that the SGIP equity budget, SOMAH and SASH all </w:t>
      </w:r>
      <w:r w:rsidR="00D97E05">
        <w:t xml:space="preserve">define </w:t>
      </w:r>
      <w:r>
        <w:t>low</w:t>
      </w:r>
      <w:r w:rsidR="00757681">
        <w:noBreakHyphen/>
      </w:r>
      <w:r>
        <w:t xml:space="preserve">income residents </w:t>
      </w:r>
      <w:r w:rsidR="00D97E05">
        <w:t xml:space="preserve">according to </w:t>
      </w:r>
      <w:r w:rsidR="00D97E05" w:rsidRPr="00176A79">
        <w:t>Section 2852</w:t>
      </w:r>
      <w:r w:rsidR="000D2087">
        <w:t>,</w:t>
      </w:r>
      <w:r w:rsidR="00EE0A5D">
        <w:t xml:space="preserve"> </w:t>
      </w:r>
      <w:r w:rsidR="00302015">
        <w:t>and</w:t>
      </w:r>
      <w:r>
        <w:t xml:space="preserve"> </w:t>
      </w:r>
      <w:r w:rsidR="00D97E05">
        <w:t xml:space="preserve">that </w:t>
      </w:r>
      <w:r w:rsidRPr="00176A79">
        <w:t>the DAC</w:t>
      </w:r>
      <w:r w:rsidR="00757681">
        <w:noBreakHyphen/>
      </w:r>
      <w:r w:rsidRPr="00176A79">
        <w:t xml:space="preserve">SASH income requirement of eligibility for </w:t>
      </w:r>
      <w:r w:rsidR="00302015">
        <w:t>the California Alternate Rates for Energy (</w:t>
      </w:r>
      <w:r w:rsidRPr="00176A79">
        <w:t>CARE</w:t>
      </w:r>
      <w:r w:rsidR="00302015">
        <w:t>)</w:t>
      </w:r>
      <w:r w:rsidRPr="00176A79">
        <w:t xml:space="preserve"> or </w:t>
      </w:r>
      <w:r w:rsidR="00302015">
        <w:t>Family Electric Rate Assistance (</w:t>
      </w:r>
      <w:r w:rsidRPr="00176A79">
        <w:t>FERA</w:t>
      </w:r>
      <w:r w:rsidR="00302015">
        <w:t xml:space="preserve">) </w:t>
      </w:r>
      <w:r w:rsidRPr="00176A79">
        <w:t xml:space="preserve">is </w:t>
      </w:r>
      <w:r>
        <w:t>more stringent</w:t>
      </w:r>
      <w:r w:rsidRPr="00176A79">
        <w:t>.</w:t>
      </w:r>
      <w:r>
        <w:t xml:space="preserve">  </w:t>
      </w:r>
      <w:r w:rsidR="00302015">
        <w:t xml:space="preserve">CESA and several other parties </w:t>
      </w:r>
      <w:r>
        <w:t>suggest</w:t>
      </w:r>
      <w:r w:rsidR="00302015">
        <w:t xml:space="preserve"> that developers have been waiting for the SOMAH program to begin accepting incentive applications for solar generation on multifamily affordable housing before applying for SGIP incentives, </w:t>
      </w:r>
      <w:r>
        <w:t xml:space="preserve">so that they can offer an </w:t>
      </w:r>
      <w:r w:rsidR="0084594E">
        <w:t>“</w:t>
      </w:r>
      <w:r>
        <w:t>enhanced</w:t>
      </w:r>
      <w:r w:rsidR="0084594E">
        <w:t>”</w:t>
      </w:r>
      <w:r>
        <w:t xml:space="preserve"> solar</w:t>
      </w:r>
      <w:r w:rsidR="00757681">
        <w:noBreakHyphen/>
      </w:r>
      <w:r>
        <w:t>plus</w:t>
      </w:r>
      <w:r w:rsidR="00757681">
        <w:noBreakHyphen/>
      </w:r>
      <w:r>
        <w:t>storage value proposition.</w:t>
      </w:r>
      <w:r>
        <w:rPr>
          <w:rStyle w:val="FootnoteReference"/>
        </w:rPr>
        <w:footnoteReference w:id="13"/>
      </w:r>
      <w:r w:rsidR="00302015">
        <w:t xml:space="preserve">  Streamlining review of eligibility requirements across these programs could </w:t>
      </w:r>
      <w:r w:rsidR="00383991">
        <w:t xml:space="preserve">stimulate an increase in equity budget applications for </w:t>
      </w:r>
      <w:r w:rsidR="00383991">
        <w:lastRenderedPageBreak/>
        <w:t xml:space="preserve">multifamily buildings. </w:t>
      </w:r>
      <w:r w:rsidR="0032323C">
        <w:t xml:space="preserve"> </w:t>
      </w:r>
      <w:r w:rsidR="00D30BD4">
        <w:t>CSE observes that the MASH program criteria are also aligned, although incentives for thi</w:t>
      </w:r>
      <w:r w:rsidR="005614B8">
        <w:t xml:space="preserve">s program are currently not </w:t>
      </w:r>
      <w:r w:rsidR="00D30BD4">
        <w:t xml:space="preserve">available. </w:t>
      </w:r>
    </w:p>
    <w:p w14:paraId="24D4918C" w14:textId="3BB57C26" w:rsidR="00841EF4" w:rsidRPr="00590D1E" w:rsidRDefault="00841EF4" w:rsidP="00C151FC">
      <w:pPr>
        <w:pStyle w:val="ALJHeading3"/>
      </w:pPr>
      <w:bookmarkStart w:id="33" w:name="_Toc15908066"/>
      <w:r>
        <w:t>Discussion</w:t>
      </w:r>
      <w:bookmarkEnd w:id="33"/>
    </w:p>
    <w:p w14:paraId="09E078B6" w14:textId="66B0D9DA" w:rsidR="00841EF4" w:rsidRDefault="00841EF4" w:rsidP="00856B3F">
      <w:pPr>
        <w:pStyle w:val="ALJBodyText"/>
      </w:pPr>
      <w:r>
        <w:t xml:space="preserve">Allowing customers that meet the criteria for </w:t>
      </w:r>
      <w:r w:rsidR="00D30BD4">
        <w:t xml:space="preserve">MASH, </w:t>
      </w:r>
      <w:r>
        <w:t>SASH, DAC</w:t>
      </w:r>
      <w:r w:rsidR="00757681">
        <w:noBreakHyphen/>
      </w:r>
      <w:r>
        <w:t xml:space="preserve">SASH or SOMAH </w:t>
      </w:r>
      <w:r w:rsidR="00156C9F">
        <w:t>p</w:t>
      </w:r>
      <w:r w:rsidR="00BB67D7">
        <w:t xml:space="preserve">rograms </w:t>
      </w:r>
      <w:r>
        <w:t xml:space="preserve">to </w:t>
      </w:r>
      <w:r w:rsidR="00737D3E">
        <w:t>be deemed</w:t>
      </w:r>
      <w:r>
        <w:t xml:space="preserve"> eligible for </w:t>
      </w:r>
      <w:r w:rsidR="00737D3E">
        <w:t xml:space="preserve">the </w:t>
      </w:r>
      <w:r>
        <w:t xml:space="preserve">SGIP equity budget </w:t>
      </w:r>
      <w:r w:rsidR="005215F5">
        <w:t xml:space="preserve">should </w:t>
      </w:r>
      <w:r>
        <w:t xml:space="preserve">accelerate subscriptions by allowing for streamlined </w:t>
      </w:r>
      <w:r w:rsidR="00737D3E">
        <w:t>eligibility verification</w:t>
      </w:r>
      <w:r>
        <w:t xml:space="preserve"> and easier developer identification of </w:t>
      </w:r>
      <w:r w:rsidR="00737D3E">
        <w:t>eligible</w:t>
      </w:r>
      <w:r>
        <w:t xml:space="preserve"> customers.  </w:t>
      </w:r>
      <w:r w:rsidR="00EE0A5D">
        <w:t>R</w:t>
      </w:r>
      <w:r w:rsidR="00D97E05">
        <w:t>ather than revising equity budget</w:t>
      </w:r>
      <w:r>
        <w:t xml:space="preserve"> eligibility criteria to align with that of the low</w:t>
      </w:r>
      <w:r w:rsidR="00757681">
        <w:noBreakHyphen/>
      </w:r>
      <w:r>
        <w:t xml:space="preserve">income solar programs, </w:t>
      </w:r>
      <w:r w:rsidR="00EE0A5D">
        <w:t>our approach</w:t>
      </w:r>
      <w:r w:rsidR="00737D3E">
        <w:t xml:space="preserve"> to </w:t>
      </w:r>
      <w:r w:rsidR="005A7DAB">
        <w:t xml:space="preserve">allow SGIP applicants who can demonstrate they have received an incentive reserved status in any of these programs </w:t>
      </w:r>
      <w:r w:rsidR="00D56CA5">
        <w:t xml:space="preserve">to </w:t>
      </w:r>
      <w:r w:rsidR="005A7DAB">
        <w:t>be deemed eligible for SGIP</w:t>
      </w:r>
      <w:r w:rsidR="00EE0A5D">
        <w:t xml:space="preserve"> </w:t>
      </w:r>
      <w:r>
        <w:t>is simpler and can be accomplished more quickly</w:t>
      </w:r>
      <w:r w:rsidR="005215F5">
        <w:t xml:space="preserve">, helping </w:t>
      </w:r>
      <w:r>
        <w:t>avoid unnecessar</w:t>
      </w:r>
      <w:r w:rsidR="00D97E05">
        <w:t>y delays to low</w:t>
      </w:r>
      <w:r w:rsidR="00757681">
        <w:noBreakHyphen/>
      </w:r>
      <w:r w:rsidR="00D97E05">
        <w:t xml:space="preserve">income customers.  </w:t>
      </w:r>
      <w:r>
        <w:t>The eligibility requirements</w:t>
      </w:r>
      <w:r w:rsidR="00D56CA5">
        <w:t xml:space="preserve"> for these programs</w:t>
      </w:r>
      <w:r>
        <w:t xml:space="preserve">, summarized in Table 2, are </w:t>
      </w:r>
      <w:r w:rsidR="005215F5">
        <w:t xml:space="preserve">so </w:t>
      </w:r>
      <w:r>
        <w:t xml:space="preserve">similar that allowing customers approved as eligible for the </w:t>
      </w:r>
      <w:r w:rsidR="00D30BD4">
        <w:t xml:space="preserve">MASH, </w:t>
      </w:r>
      <w:r>
        <w:t>SASH, DAC</w:t>
      </w:r>
      <w:r w:rsidR="00757681">
        <w:noBreakHyphen/>
      </w:r>
      <w:r>
        <w:t xml:space="preserve">SASH or SOMAH programs </w:t>
      </w:r>
      <w:r w:rsidR="00D56CA5">
        <w:t xml:space="preserve">to automatically qualify for the equity budget </w:t>
      </w:r>
      <w:r>
        <w:t>will not undermine the equity budget’s adopted goals and objectives.</w:t>
      </w:r>
      <w:r w:rsidR="005215F5">
        <w:t xml:space="preserve">  </w:t>
      </w:r>
    </w:p>
    <w:p w14:paraId="217A1C1B" w14:textId="77777777" w:rsidR="00383991" w:rsidRDefault="00383991" w:rsidP="00841EF4">
      <w:pPr>
        <w:pStyle w:val="ALJBodyText"/>
        <w:spacing w:line="240" w:lineRule="auto"/>
        <w:ind w:firstLine="0"/>
      </w:pPr>
    </w:p>
    <w:p w14:paraId="03839139" w14:textId="5495BABE" w:rsidR="00841EF4" w:rsidRPr="00EA0E78" w:rsidRDefault="00841EF4" w:rsidP="007416CD">
      <w:pPr>
        <w:pStyle w:val="ALJBodyText"/>
        <w:keepNext/>
        <w:keepLines/>
        <w:spacing w:line="240" w:lineRule="auto"/>
        <w:ind w:firstLine="0"/>
        <w:jc w:val="center"/>
      </w:pPr>
      <w:r>
        <w:lastRenderedPageBreak/>
        <w:t>Table 2</w:t>
      </w:r>
      <w:r w:rsidRPr="00EA0E78">
        <w:t>: SGIP Equity Budget and SASH, DAC</w:t>
      </w:r>
      <w:r w:rsidR="00757681">
        <w:noBreakHyphen/>
      </w:r>
      <w:r w:rsidRPr="00EA0E78">
        <w:t>SASH and SOMAH Eligibility Requirements</w:t>
      </w:r>
    </w:p>
    <w:tbl>
      <w:tblPr>
        <w:tblStyle w:val="TableGrid"/>
        <w:tblW w:w="0" w:type="auto"/>
        <w:tblLook w:val="04A0" w:firstRow="1" w:lastRow="0" w:firstColumn="1" w:lastColumn="0" w:noHBand="0" w:noVBand="1"/>
      </w:tblPr>
      <w:tblGrid>
        <w:gridCol w:w="1548"/>
        <w:gridCol w:w="8028"/>
      </w:tblGrid>
      <w:tr w:rsidR="00841EF4" w:rsidRPr="00EA0E78" w14:paraId="4148428E" w14:textId="77777777" w:rsidTr="00084D55">
        <w:tc>
          <w:tcPr>
            <w:tcW w:w="1548" w:type="dxa"/>
          </w:tcPr>
          <w:p w14:paraId="6966E689" w14:textId="77777777" w:rsidR="00841EF4" w:rsidRPr="00EA0E78" w:rsidRDefault="00841EF4" w:rsidP="007416CD">
            <w:pPr>
              <w:keepNext/>
              <w:keepLines/>
              <w:tabs>
                <w:tab w:val="left" w:pos="1477"/>
              </w:tabs>
              <w:rPr>
                <w:sz w:val="24"/>
              </w:rPr>
            </w:pPr>
            <w:r>
              <w:rPr>
                <w:sz w:val="24"/>
              </w:rPr>
              <w:t xml:space="preserve">SGIP Equity Budget </w:t>
            </w:r>
          </w:p>
        </w:tc>
        <w:tc>
          <w:tcPr>
            <w:tcW w:w="8028" w:type="dxa"/>
          </w:tcPr>
          <w:p w14:paraId="2BA703C4" w14:textId="78C0B5DC" w:rsidR="00841EF4" w:rsidRPr="00EA0E78" w:rsidRDefault="00383991" w:rsidP="007416CD">
            <w:pPr>
              <w:keepNext/>
              <w:keepLines/>
              <w:tabs>
                <w:tab w:val="left" w:pos="1477"/>
              </w:tabs>
              <w:rPr>
                <w:sz w:val="24"/>
              </w:rPr>
            </w:pPr>
            <w:r w:rsidRPr="00856B3F">
              <w:rPr>
                <w:sz w:val="24"/>
              </w:rPr>
              <w:t>See Table 1</w:t>
            </w:r>
            <w:r>
              <w:rPr>
                <w:sz w:val="24"/>
              </w:rPr>
              <w:t xml:space="preserve"> above.</w:t>
            </w:r>
          </w:p>
        </w:tc>
      </w:tr>
      <w:tr w:rsidR="00841EF4" w:rsidRPr="00EA0E78" w14:paraId="6A5AA642" w14:textId="77777777" w:rsidTr="00084D55">
        <w:tc>
          <w:tcPr>
            <w:tcW w:w="1548" w:type="dxa"/>
          </w:tcPr>
          <w:p w14:paraId="0C2E1EF3" w14:textId="6635E624" w:rsidR="00841EF4" w:rsidRPr="00EA0E78" w:rsidRDefault="00841EF4" w:rsidP="007416CD">
            <w:pPr>
              <w:keepNext/>
              <w:keepLines/>
              <w:tabs>
                <w:tab w:val="left" w:pos="1477"/>
              </w:tabs>
              <w:rPr>
                <w:sz w:val="24"/>
              </w:rPr>
            </w:pPr>
            <w:r w:rsidRPr="00EA0E78">
              <w:rPr>
                <w:sz w:val="24"/>
              </w:rPr>
              <w:t>SOMAH</w:t>
            </w:r>
            <w:r w:rsidR="00D56CA5">
              <w:rPr>
                <w:rStyle w:val="FootnoteReference"/>
                <w:sz w:val="24"/>
              </w:rPr>
              <w:footnoteReference w:id="14"/>
            </w:r>
          </w:p>
          <w:p w14:paraId="60661031" w14:textId="77777777" w:rsidR="00841EF4" w:rsidRPr="00EA0E78" w:rsidRDefault="00841EF4" w:rsidP="007416CD">
            <w:pPr>
              <w:keepNext/>
              <w:keepLines/>
              <w:tabs>
                <w:tab w:val="left" w:pos="1477"/>
              </w:tabs>
              <w:rPr>
                <w:sz w:val="24"/>
              </w:rPr>
            </w:pPr>
            <w:r w:rsidRPr="00EA0E78">
              <w:rPr>
                <w:sz w:val="24"/>
              </w:rPr>
              <w:br/>
            </w:r>
          </w:p>
        </w:tc>
        <w:tc>
          <w:tcPr>
            <w:tcW w:w="8028" w:type="dxa"/>
          </w:tcPr>
          <w:p w14:paraId="76D6D0FF" w14:textId="72EBA868" w:rsidR="00AB5937" w:rsidRDefault="00AB5937" w:rsidP="007416CD">
            <w:pPr>
              <w:keepNext/>
              <w:keepLines/>
              <w:tabs>
                <w:tab w:val="left" w:pos="1477"/>
              </w:tabs>
              <w:rPr>
                <w:sz w:val="24"/>
              </w:rPr>
            </w:pPr>
            <w:r>
              <w:rPr>
                <w:sz w:val="24"/>
              </w:rPr>
              <w:t>Property and project eligibility</w:t>
            </w:r>
            <w:r w:rsidR="00FB63A4">
              <w:rPr>
                <w:sz w:val="24"/>
              </w:rPr>
              <w:t xml:space="preserve"> criteria</w:t>
            </w:r>
            <w:r w:rsidR="00383991">
              <w:rPr>
                <w:sz w:val="24"/>
              </w:rPr>
              <w:t>:</w:t>
            </w:r>
            <w:r w:rsidR="00383991">
              <w:rPr>
                <w:rStyle w:val="FootnoteReference"/>
                <w:sz w:val="24"/>
              </w:rPr>
              <w:t xml:space="preserve"> </w:t>
            </w:r>
          </w:p>
          <w:p w14:paraId="55A8840F" w14:textId="77777777" w:rsidR="007416CD" w:rsidRPr="007416CD" w:rsidRDefault="007416CD" w:rsidP="007416CD">
            <w:pPr>
              <w:keepNext/>
              <w:keepLines/>
              <w:tabs>
                <w:tab w:val="left" w:pos="1477"/>
              </w:tabs>
              <w:rPr>
                <w:sz w:val="12"/>
              </w:rPr>
            </w:pPr>
          </w:p>
          <w:p w14:paraId="2D107756" w14:textId="562C5939" w:rsidR="00AB5937" w:rsidRPr="00FC5969" w:rsidRDefault="00CC44C1" w:rsidP="007416CD">
            <w:pPr>
              <w:pStyle w:val="ListParagraph"/>
              <w:keepNext/>
              <w:keepLines/>
              <w:numPr>
                <w:ilvl w:val="0"/>
                <w:numId w:val="26"/>
              </w:numPr>
              <w:tabs>
                <w:tab w:val="left" w:pos="1477"/>
              </w:tabs>
              <w:spacing w:after="160"/>
              <w:rPr>
                <w:sz w:val="24"/>
              </w:rPr>
            </w:pPr>
            <w:r w:rsidRPr="00FC5969">
              <w:rPr>
                <w:sz w:val="24"/>
              </w:rPr>
              <w:t>Property must be a deed</w:t>
            </w:r>
            <w:r w:rsidR="00757681">
              <w:rPr>
                <w:sz w:val="24"/>
              </w:rPr>
              <w:noBreakHyphen/>
            </w:r>
            <w:r w:rsidRPr="00FC5969">
              <w:rPr>
                <w:sz w:val="24"/>
              </w:rPr>
              <w:t>restricted</w:t>
            </w:r>
            <w:r>
              <w:rPr>
                <w:rStyle w:val="FootnoteReference"/>
                <w:sz w:val="24"/>
              </w:rPr>
              <w:footnoteReference w:id="15"/>
            </w:r>
            <w:r w:rsidRPr="00FC5969">
              <w:rPr>
                <w:sz w:val="24"/>
              </w:rPr>
              <w:t xml:space="preserve">  multifamily property of at least </w:t>
            </w:r>
            <w:r w:rsidR="00D56CA5">
              <w:rPr>
                <w:sz w:val="24"/>
              </w:rPr>
              <w:t>five</w:t>
            </w:r>
            <w:r w:rsidRPr="00FC5969">
              <w:rPr>
                <w:sz w:val="24"/>
              </w:rPr>
              <w:t xml:space="preserve"> units</w:t>
            </w:r>
            <w:r w:rsidR="00A376B5" w:rsidRPr="00FC5969">
              <w:rPr>
                <w:sz w:val="24"/>
              </w:rPr>
              <w:t xml:space="preserve"> w</w:t>
            </w:r>
            <w:r w:rsidR="00A376B5" w:rsidRPr="009266E0">
              <w:rPr>
                <w:sz w:val="24"/>
              </w:rPr>
              <w:t xml:space="preserve">ith at </w:t>
            </w:r>
            <w:r w:rsidR="00FC5969" w:rsidRPr="009266E0">
              <w:rPr>
                <w:sz w:val="24"/>
              </w:rPr>
              <w:t>least 10 years remaining on the term of the property’s</w:t>
            </w:r>
            <w:r w:rsidR="00FC5969">
              <w:rPr>
                <w:sz w:val="24"/>
              </w:rPr>
              <w:t xml:space="preserve"> </w:t>
            </w:r>
            <w:r w:rsidR="00FC5969" w:rsidRPr="00FC5969">
              <w:rPr>
                <w:sz w:val="24"/>
              </w:rPr>
              <w:t>affordability restrictions</w:t>
            </w:r>
            <w:r w:rsidR="009F2F2E" w:rsidRPr="00FC5969">
              <w:rPr>
                <w:sz w:val="24"/>
              </w:rPr>
              <w:t>.</w:t>
            </w:r>
            <w:r w:rsidR="00AE025B">
              <w:rPr>
                <w:sz w:val="24"/>
              </w:rPr>
              <w:t xml:space="preserve"> </w:t>
            </w:r>
            <w:r w:rsidR="009F2F2E" w:rsidRPr="00FC5969">
              <w:rPr>
                <w:sz w:val="24"/>
              </w:rPr>
              <w:t xml:space="preserve"> The property must be </w:t>
            </w:r>
            <w:r w:rsidRPr="00FC5969">
              <w:rPr>
                <w:sz w:val="24"/>
              </w:rPr>
              <w:t>individual</w:t>
            </w:r>
            <w:r w:rsidR="009F2F2E" w:rsidRPr="009266E0">
              <w:rPr>
                <w:sz w:val="24"/>
              </w:rPr>
              <w:t>ly</w:t>
            </w:r>
            <w:r w:rsidRPr="009266E0">
              <w:rPr>
                <w:sz w:val="24"/>
              </w:rPr>
              <w:t xml:space="preserve"> metered and </w:t>
            </w:r>
            <w:r w:rsidRPr="00350CD7">
              <w:rPr>
                <w:sz w:val="24"/>
              </w:rPr>
              <w:t>el</w:t>
            </w:r>
            <w:r w:rsidRPr="00FC5969">
              <w:rPr>
                <w:sz w:val="24"/>
              </w:rPr>
              <w:t xml:space="preserve">igible for virtual net </w:t>
            </w:r>
            <w:r w:rsidR="00D56CA5">
              <w:rPr>
                <w:sz w:val="24"/>
              </w:rPr>
              <w:t xml:space="preserve">energy </w:t>
            </w:r>
            <w:r w:rsidRPr="00FC5969">
              <w:rPr>
                <w:sz w:val="24"/>
              </w:rPr>
              <w:t>metering</w:t>
            </w:r>
            <w:r w:rsidR="00D56CA5">
              <w:rPr>
                <w:sz w:val="24"/>
              </w:rPr>
              <w:t xml:space="preserve"> (VNEM)</w:t>
            </w:r>
            <w:r w:rsidRPr="00FC5969">
              <w:rPr>
                <w:sz w:val="24"/>
              </w:rPr>
              <w:t>.</w:t>
            </w:r>
          </w:p>
          <w:p w14:paraId="254B3046" w14:textId="1ADA96CA" w:rsidR="00952D18" w:rsidRDefault="00CC44C1" w:rsidP="007416CD">
            <w:pPr>
              <w:pStyle w:val="ListParagraph"/>
              <w:keepNext/>
              <w:keepLines/>
              <w:numPr>
                <w:ilvl w:val="0"/>
                <w:numId w:val="26"/>
              </w:numPr>
              <w:tabs>
                <w:tab w:val="left" w:pos="1477"/>
              </w:tabs>
              <w:spacing w:after="160"/>
              <w:rPr>
                <w:sz w:val="24"/>
              </w:rPr>
            </w:pPr>
            <w:r>
              <w:rPr>
                <w:sz w:val="24"/>
              </w:rPr>
              <w:t>Property must be an existing building</w:t>
            </w:r>
            <w:r w:rsidR="001B66C4">
              <w:rPr>
                <w:sz w:val="24"/>
              </w:rPr>
              <w:t xml:space="preserve"> and located in either </w:t>
            </w:r>
            <w:r w:rsidR="001B66C4" w:rsidRPr="001B66C4">
              <w:rPr>
                <w:sz w:val="24"/>
              </w:rPr>
              <w:t>PG&amp;E, SCE, SDG&amp;E, PacifiCorp, or Liberty</w:t>
            </w:r>
            <w:r w:rsidR="001B66C4">
              <w:rPr>
                <w:sz w:val="24"/>
              </w:rPr>
              <w:t xml:space="preserve"> </w:t>
            </w:r>
            <w:r w:rsidR="00D56CA5">
              <w:rPr>
                <w:sz w:val="24"/>
              </w:rPr>
              <w:t xml:space="preserve">Utilities (CalPeco Electric) </w:t>
            </w:r>
            <w:r w:rsidR="001B66C4">
              <w:rPr>
                <w:sz w:val="24"/>
              </w:rPr>
              <w:t>service territories</w:t>
            </w:r>
            <w:r w:rsidR="00952D18">
              <w:rPr>
                <w:sz w:val="24"/>
              </w:rPr>
              <w:t xml:space="preserve">. </w:t>
            </w:r>
            <w:r w:rsidR="00AE025B">
              <w:rPr>
                <w:sz w:val="24"/>
              </w:rPr>
              <w:t xml:space="preserve"> </w:t>
            </w:r>
            <w:r w:rsidR="00952D18">
              <w:rPr>
                <w:sz w:val="24"/>
              </w:rPr>
              <w:t>New construction projects are ineligible.</w:t>
            </w:r>
          </w:p>
          <w:p w14:paraId="3BE17274" w14:textId="51FDE143" w:rsidR="001B66C4" w:rsidRDefault="009F2F2E" w:rsidP="007416CD">
            <w:pPr>
              <w:pStyle w:val="ListParagraph"/>
              <w:keepNext/>
              <w:keepLines/>
              <w:numPr>
                <w:ilvl w:val="0"/>
                <w:numId w:val="26"/>
              </w:numPr>
              <w:tabs>
                <w:tab w:val="left" w:pos="1477"/>
              </w:tabs>
              <w:spacing w:after="160"/>
              <w:rPr>
                <w:sz w:val="24"/>
              </w:rPr>
            </w:pPr>
            <w:r w:rsidRPr="009F2F2E">
              <w:rPr>
                <w:sz w:val="24"/>
              </w:rPr>
              <w:t>The project must satisfy one of the following:</w:t>
            </w:r>
          </w:p>
          <w:p w14:paraId="16C1C081" w14:textId="5A4DF51D" w:rsidR="00AB5937" w:rsidRDefault="00B92237" w:rsidP="007416CD">
            <w:pPr>
              <w:pStyle w:val="ListParagraph"/>
              <w:keepNext/>
              <w:keepLines/>
              <w:numPr>
                <w:ilvl w:val="0"/>
                <w:numId w:val="28"/>
              </w:numPr>
              <w:tabs>
                <w:tab w:val="left" w:pos="1477"/>
              </w:tabs>
              <w:spacing w:after="160"/>
              <w:ind w:left="720"/>
              <w:rPr>
                <w:sz w:val="24"/>
              </w:rPr>
            </w:pPr>
            <w:r w:rsidRPr="00FC5969">
              <w:rPr>
                <w:sz w:val="24"/>
              </w:rPr>
              <w:t>Eighty percent of property residents must have incomes at or below 60</w:t>
            </w:r>
            <w:r w:rsidR="00746876" w:rsidRPr="00746876">
              <w:rPr>
                <w:sz w:val="24"/>
              </w:rPr>
              <w:t xml:space="preserve"> </w:t>
            </w:r>
            <w:r w:rsidRPr="00746876">
              <w:rPr>
                <w:sz w:val="24"/>
              </w:rPr>
              <w:t xml:space="preserve">percent of the Area Median Income (AMI) as determined by the </w:t>
            </w:r>
            <w:r w:rsidR="00D56CA5">
              <w:rPr>
                <w:sz w:val="24"/>
              </w:rPr>
              <w:t xml:space="preserve">California </w:t>
            </w:r>
            <w:r w:rsidRPr="00746876">
              <w:rPr>
                <w:sz w:val="24"/>
              </w:rPr>
              <w:t xml:space="preserve">Department </w:t>
            </w:r>
            <w:r w:rsidRPr="00A376B5">
              <w:rPr>
                <w:sz w:val="24"/>
              </w:rPr>
              <w:t xml:space="preserve">of Housing and Community Development </w:t>
            </w:r>
            <w:r w:rsidR="00D90C3E">
              <w:rPr>
                <w:sz w:val="24"/>
              </w:rPr>
              <w:t>; or,</w:t>
            </w:r>
          </w:p>
          <w:p w14:paraId="4687FF51" w14:textId="6E6A3D00" w:rsidR="00841EF4" w:rsidRPr="00EA0E78" w:rsidRDefault="00A376B5" w:rsidP="007416CD">
            <w:pPr>
              <w:pStyle w:val="ListParagraph"/>
              <w:keepNext/>
              <w:keepLines/>
              <w:numPr>
                <w:ilvl w:val="0"/>
                <w:numId w:val="28"/>
              </w:numPr>
              <w:tabs>
                <w:tab w:val="left" w:pos="1477"/>
              </w:tabs>
              <w:rPr>
                <w:sz w:val="24"/>
              </w:rPr>
            </w:pPr>
            <w:r w:rsidRPr="00A376B5">
              <w:rPr>
                <w:sz w:val="24"/>
              </w:rPr>
              <w:t xml:space="preserve">The property must be located in a DAC as defined by </w:t>
            </w:r>
            <w:r w:rsidRPr="00D90C3E">
              <w:rPr>
                <w:sz w:val="24"/>
              </w:rPr>
              <w:t>CalEPA pursuant</w:t>
            </w:r>
            <w:r w:rsidRPr="00A376B5">
              <w:rPr>
                <w:sz w:val="24"/>
              </w:rPr>
              <w:t xml:space="preserve"> to Health and Safety Code Section 39711. </w:t>
            </w:r>
            <w:r w:rsidR="0032323C">
              <w:rPr>
                <w:sz w:val="24"/>
              </w:rPr>
              <w:t xml:space="preserve"> </w:t>
            </w:r>
            <w:r w:rsidRPr="00A376B5">
              <w:rPr>
                <w:sz w:val="24"/>
              </w:rPr>
              <w:t>For</w:t>
            </w:r>
            <w:r w:rsidRPr="00FC5969">
              <w:rPr>
                <w:sz w:val="24"/>
              </w:rPr>
              <w:t xml:space="preserve"> the SOMAH program, this is defined as DACs that score in the top 25 percent</w:t>
            </w:r>
            <w:r w:rsidRPr="009266E0">
              <w:rPr>
                <w:sz w:val="24"/>
              </w:rPr>
              <w:t xml:space="preserve"> of census tracts statewide in the CalEnviroScreen. </w:t>
            </w:r>
            <w:r w:rsidR="0032323C">
              <w:rPr>
                <w:sz w:val="24"/>
              </w:rPr>
              <w:t xml:space="preserve"> </w:t>
            </w:r>
            <w:r w:rsidRPr="009266E0">
              <w:rPr>
                <w:sz w:val="24"/>
              </w:rPr>
              <w:t xml:space="preserve">It also includes the 22 </w:t>
            </w:r>
            <w:r w:rsidRPr="00350CD7">
              <w:rPr>
                <w:sz w:val="24"/>
              </w:rPr>
              <w:t>census tracts that are in the highest five percent of the CalEnviroScreen’s</w:t>
            </w:r>
            <w:r>
              <w:rPr>
                <w:sz w:val="24"/>
              </w:rPr>
              <w:t xml:space="preserve"> </w:t>
            </w:r>
            <w:r w:rsidRPr="00A376B5">
              <w:rPr>
                <w:sz w:val="24"/>
              </w:rPr>
              <w:t>Pollution Burden.</w:t>
            </w:r>
          </w:p>
        </w:tc>
      </w:tr>
      <w:tr w:rsidR="00841EF4" w:rsidRPr="00EA0E78" w14:paraId="05BA58D6" w14:textId="77777777" w:rsidTr="00084D55">
        <w:tc>
          <w:tcPr>
            <w:tcW w:w="1548" w:type="dxa"/>
          </w:tcPr>
          <w:p w14:paraId="32A91808" w14:textId="71A823E1" w:rsidR="00841EF4" w:rsidRPr="00EA0E78" w:rsidRDefault="00841EF4" w:rsidP="00084D55">
            <w:pPr>
              <w:tabs>
                <w:tab w:val="left" w:pos="1477"/>
              </w:tabs>
              <w:rPr>
                <w:sz w:val="24"/>
              </w:rPr>
            </w:pPr>
            <w:r w:rsidRPr="00EA0E78">
              <w:rPr>
                <w:sz w:val="24"/>
              </w:rPr>
              <w:lastRenderedPageBreak/>
              <w:t>SASH</w:t>
            </w:r>
            <w:r w:rsidR="00D56CA5">
              <w:rPr>
                <w:rStyle w:val="FootnoteReference"/>
                <w:sz w:val="24"/>
              </w:rPr>
              <w:footnoteReference w:id="16"/>
            </w:r>
          </w:p>
        </w:tc>
        <w:tc>
          <w:tcPr>
            <w:tcW w:w="8028" w:type="dxa"/>
          </w:tcPr>
          <w:p w14:paraId="5D5BA045" w14:textId="4F97B2C8" w:rsidR="00F13E02" w:rsidRDefault="00F13E02" w:rsidP="00F13E02">
            <w:pPr>
              <w:tabs>
                <w:tab w:val="left" w:pos="1477"/>
              </w:tabs>
              <w:rPr>
                <w:sz w:val="24"/>
              </w:rPr>
            </w:pPr>
            <w:r>
              <w:rPr>
                <w:sz w:val="24"/>
              </w:rPr>
              <w:t>Participant eligibility per D.15</w:t>
            </w:r>
            <w:r w:rsidR="00757681">
              <w:rPr>
                <w:sz w:val="24"/>
              </w:rPr>
              <w:noBreakHyphen/>
            </w:r>
            <w:r>
              <w:rPr>
                <w:sz w:val="24"/>
              </w:rPr>
              <w:t>01</w:t>
            </w:r>
            <w:r w:rsidR="00757681">
              <w:rPr>
                <w:sz w:val="24"/>
              </w:rPr>
              <w:noBreakHyphen/>
            </w:r>
            <w:r>
              <w:rPr>
                <w:sz w:val="24"/>
              </w:rPr>
              <w:t xml:space="preserve">027 and the SASH Program </w:t>
            </w:r>
            <w:r w:rsidR="005C51F5">
              <w:rPr>
                <w:sz w:val="24"/>
              </w:rPr>
              <w:t>handbook</w:t>
            </w:r>
            <w:r w:rsidR="00D56CA5">
              <w:rPr>
                <w:sz w:val="24"/>
              </w:rPr>
              <w:t>:</w:t>
            </w:r>
          </w:p>
          <w:p w14:paraId="1F2069A2" w14:textId="71CC6EAA" w:rsidR="00F13E02" w:rsidRDefault="00F13E02" w:rsidP="00F13E02">
            <w:pPr>
              <w:pStyle w:val="ListParagraph"/>
              <w:numPr>
                <w:ilvl w:val="0"/>
                <w:numId w:val="30"/>
              </w:numPr>
              <w:tabs>
                <w:tab w:val="left" w:pos="1477"/>
              </w:tabs>
              <w:rPr>
                <w:sz w:val="24"/>
              </w:rPr>
            </w:pPr>
            <w:r w:rsidRPr="004E7766">
              <w:rPr>
                <w:sz w:val="24"/>
              </w:rPr>
              <w:t>PG&amp;E, SCE, or SDG&amp;E</w:t>
            </w:r>
            <w:r w:rsidR="00D56CA5">
              <w:rPr>
                <w:sz w:val="24"/>
              </w:rPr>
              <w:t xml:space="preserve"> customer</w:t>
            </w:r>
            <w:r>
              <w:rPr>
                <w:sz w:val="24"/>
              </w:rPr>
              <w:t>;</w:t>
            </w:r>
          </w:p>
          <w:p w14:paraId="39813B47" w14:textId="2127F13F" w:rsidR="00F13E02" w:rsidRDefault="00F13E02" w:rsidP="00F13E02">
            <w:pPr>
              <w:pStyle w:val="ListParagraph"/>
              <w:numPr>
                <w:ilvl w:val="0"/>
                <w:numId w:val="30"/>
              </w:numPr>
              <w:tabs>
                <w:tab w:val="left" w:pos="1477"/>
              </w:tabs>
              <w:rPr>
                <w:sz w:val="24"/>
              </w:rPr>
            </w:pPr>
            <w:r>
              <w:rPr>
                <w:sz w:val="24"/>
              </w:rPr>
              <w:t xml:space="preserve">Own and </w:t>
            </w:r>
            <w:r w:rsidRPr="00675A33">
              <w:rPr>
                <w:sz w:val="24"/>
              </w:rPr>
              <w:t>occup</w:t>
            </w:r>
            <w:r>
              <w:rPr>
                <w:sz w:val="24"/>
              </w:rPr>
              <w:t>y the single</w:t>
            </w:r>
            <w:r w:rsidR="00757681">
              <w:rPr>
                <w:sz w:val="24"/>
              </w:rPr>
              <w:noBreakHyphen/>
            </w:r>
            <w:r>
              <w:rPr>
                <w:sz w:val="24"/>
              </w:rPr>
              <w:t>family home where solar is being installed;</w:t>
            </w:r>
          </w:p>
          <w:p w14:paraId="2DCBDAF3" w14:textId="6A07D622" w:rsidR="00F13E02" w:rsidRDefault="00F13E02" w:rsidP="00F13E02">
            <w:pPr>
              <w:pStyle w:val="ListParagraph"/>
              <w:numPr>
                <w:ilvl w:val="0"/>
                <w:numId w:val="30"/>
              </w:numPr>
              <w:tabs>
                <w:tab w:val="left" w:pos="1477"/>
              </w:tabs>
              <w:rPr>
                <w:sz w:val="24"/>
              </w:rPr>
            </w:pPr>
            <w:r>
              <w:rPr>
                <w:sz w:val="24"/>
              </w:rPr>
              <w:t>Have a</w:t>
            </w:r>
            <w:r w:rsidRPr="00675A33">
              <w:rPr>
                <w:sz w:val="24"/>
              </w:rPr>
              <w:t xml:space="preserve"> </w:t>
            </w:r>
            <w:r>
              <w:rPr>
                <w:sz w:val="24"/>
              </w:rPr>
              <w:t xml:space="preserve">total </w:t>
            </w:r>
            <w:r w:rsidRPr="00675A33">
              <w:rPr>
                <w:sz w:val="24"/>
              </w:rPr>
              <w:t>household</w:t>
            </w:r>
            <w:r>
              <w:rPr>
                <w:sz w:val="24"/>
              </w:rPr>
              <w:t xml:space="preserve"> of</w:t>
            </w:r>
            <w:r w:rsidRPr="00675A33">
              <w:rPr>
                <w:sz w:val="24"/>
              </w:rPr>
              <w:t xml:space="preserve"> 80</w:t>
            </w:r>
            <w:r w:rsidR="00D56CA5">
              <w:rPr>
                <w:sz w:val="24"/>
              </w:rPr>
              <w:t xml:space="preserve"> percent</w:t>
            </w:r>
            <w:r w:rsidRPr="00675A33">
              <w:rPr>
                <w:sz w:val="24"/>
              </w:rPr>
              <w:t xml:space="preserve"> of</w:t>
            </w:r>
            <w:r w:rsidR="00D56CA5">
              <w:rPr>
                <w:sz w:val="24"/>
              </w:rPr>
              <w:t xml:space="preserve"> </w:t>
            </w:r>
            <w:r w:rsidRPr="00675A33">
              <w:rPr>
                <w:sz w:val="24"/>
              </w:rPr>
              <w:t>AMI or less based on the most recent available income tax return</w:t>
            </w:r>
            <w:r>
              <w:rPr>
                <w:sz w:val="24"/>
              </w:rPr>
              <w:t>; and</w:t>
            </w:r>
          </w:p>
          <w:p w14:paraId="009B730C" w14:textId="4A544DE3" w:rsidR="00F13E02" w:rsidRDefault="00F13E02" w:rsidP="00F13E02">
            <w:pPr>
              <w:pStyle w:val="ListParagraph"/>
              <w:numPr>
                <w:ilvl w:val="1"/>
                <w:numId w:val="30"/>
              </w:numPr>
              <w:tabs>
                <w:tab w:val="left" w:pos="1477"/>
              </w:tabs>
              <w:rPr>
                <w:sz w:val="24"/>
              </w:rPr>
            </w:pPr>
            <w:r w:rsidRPr="001E561F">
              <w:rPr>
                <w:sz w:val="24"/>
              </w:rPr>
              <w:t>A</w:t>
            </w:r>
            <w:r>
              <w:rPr>
                <w:sz w:val="24"/>
              </w:rPr>
              <w:t>MI</w:t>
            </w:r>
            <w:r w:rsidRPr="001E561F">
              <w:rPr>
                <w:sz w:val="24"/>
              </w:rPr>
              <w:t xml:space="preserve"> is subject to annual changes based upon</w:t>
            </w:r>
            <w:r w:rsidR="00D56CA5">
              <w:rPr>
                <w:sz w:val="24"/>
              </w:rPr>
              <w:t xml:space="preserve"> the</w:t>
            </w:r>
            <w:r w:rsidRPr="001E561F">
              <w:rPr>
                <w:sz w:val="24"/>
              </w:rPr>
              <w:t xml:space="preserve"> </w:t>
            </w:r>
            <w:r w:rsidR="00D56CA5">
              <w:rPr>
                <w:sz w:val="24"/>
              </w:rPr>
              <w:t xml:space="preserve">federal </w:t>
            </w:r>
            <w:r w:rsidRPr="001E561F">
              <w:rPr>
                <w:sz w:val="24"/>
              </w:rPr>
              <w:t>Housing and Urban Development income guidelines.</w:t>
            </w:r>
          </w:p>
          <w:p w14:paraId="1AB3FB3F" w14:textId="75DBB1CF" w:rsidR="00841EF4" w:rsidRPr="00D56CA5" w:rsidRDefault="00F13E02" w:rsidP="00D56CA5">
            <w:pPr>
              <w:pStyle w:val="ListParagraph"/>
              <w:numPr>
                <w:ilvl w:val="1"/>
                <w:numId w:val="30"/>
              </w:numPr>
              <w:tabs>
                <w:tab w:val="left" w:pos="1477"/>
              </w:tabs>
              <w:rPr>
                <w:sz w:val="24"/>
              </w:rPr>
            </w:pPr>
            <w:r>
              <w:rPr>
                <w:sz w:val="24"/>
              </w:rPr>
              <w:t xml:space="preserve">Live in a home that </w:t>
            </w:r>
            <w:r w:rsidR="00D56CA5">
              <w:rPr>
                <w:sz w:val="24"/>
              </w:rPr>
              <w:t xml:space="preserve">complies with Section </w:t>
            </w:r>
            <w:r w:rsidRPr="00241E0C">
              <w:rPr>
                <w:sz w:val="24"/>
              </w:rPr>
              <w:t>2852</w:t>
            </w:r>
            <w:r>
              <w:rPr>
                <w:sz w:val="24"/>
              </w:rPr>
              <w:t xml:space="preserve"> (three definitions detailed in the SASH </w:t>
            </w:r>
            <w:r w:rsidR="005C51F5">
              <w:rPr>
                <w:sz w:val="24"/>
              </w:rPr>
              <w:t>handbook</w:t>
            </w:r>
            <w:r>
              <w:rPr>
                <w:sz w:val="24"/>
              </w:rPr>
              <w:t>).</w:t>
            </w:r>
          </w:p>
        </w:tc>
      </w:tr>
      <w:tr w:rsidR="00841EF4" w:rsidRPr="00EA0E78" w14:paraId="065B6339" w14:textId="77777777" w:rsidTr="00856B3F">
        <w:trPr>
          <w:trHeight w:val="188"/>
        </w:trPr>
        <w:tc>
          <w:tcPr>
            <w:tcW w:w="1548" w:type="dxa"/>
          </w:tcPr>
          <w:p w14:paraId="58EEBF04" w14:textId="14FFB253" w:rsidR="00841EF4" w:rsidRPr="00EA0E78" w:rsidRDefault="00841EF4" w:rsidP="00084D55">
            <w:pPr>
              <w:tabs>
                <w:tab w:val="left" w:pos="1477"/>
              </w:tabs>
              <w:rPr>
                <w:sz w:val="24"/>
              </w:rPr>
            </w:pPr>
            <w:r w:rsidRPr="00EA0E78">
              <w:rPr>
                <w:sz w:val="24"/>
              </w:rPr>
              <w:t>DAC</w:t>
            </w:r>
            <w:r w:rsidR="00757681">
              <w:rPr>
                <w:sz w:val="24"/>
              </w:rPr>
              <w:noBreakHyphen/>
            </w:r>
            <w:r w:rsidRPr="00EA0E78">
              <w:rPr>
                <w:sz w:val="24"/>
              </w:rPr>
              <w:t xml:space="preserve">SASH </w:t>
            </w:r>
          </w:p>
        </w:tc>
        <w:tc>
          <w:tcPr>
            <w:tcW w:w="8028" w:type="dxa"/>
          </w:tcPr>
          <w:p w14:paraId="4A8C8DA8" w14:textId="6F3BFB98" w:rsidR="00F13E02" w:rsidRDefault="00F13E02" w:rsidP="00F13E02">
            <w:pPr>
              <w:tabs>
                <w:tab w:val="left" w:pos="1477"/>
              </w:tabs>
              <w:rPr>
                <w:sz w:val="24"/>
              </w:rPr>
            </w:pPr>
            <w:r>
              <w:rPr>
                <w:sz w:val="24"/>
              </w:rPr>
              <w:t>Participant eligibility per D.18</w:t>
            </w:r>
            <w:r w:rsidR="00757681">
              <w:rPr>
                <w:sz w:val="24"/>
              </w:rPr>
              <w:noBreakHyphen/>
            </w:r>
            <w:r>
              <w:rPr>
                <w:sz w:val="24"/>
              </w:rPr>
              <w:t>06</w:t>
            </w:r>
            <w:r w:rsidR="00757681">
              <w:rPr>
                <w:sz w:val="24"/>
              </w:rPr>
              <w:noBreakHyphen/>
            </w:r>
            <w:r>
              <w:rPr>
                <w:sz w:val="24"/>
              </w:rPr>
              <w:t>027:</w:t>
            </w:r>
          </w:p>
          <w:p w14:paraId="0D2354EE" w14:textId="36B7B49E" w:rsidR="00F13E02" w:rsidRDefault="00F13E02" w:rsidP="00F13E02">
            <w:pPr>
              <w:pStyle w:val="ListParagraph"/>
              <w:numPr>
                <w:ilvl w:val="0"/>
                <w:numId w:val="30"/>
              </w:numPr>
              <w:tabs>
                <w:tab w:val="left" w:pos="1477"/>
              </w:tabs>
              <w:rPr>
                <w:sz w:val="24"/>
              </w:rPr>
            </w:pPr>
            <w:r w:rsidRPr="004E7766">
              <w:rPr>
                <w:sz w:val="24"/>
              </w:rPr>
              <w:t>PG&amp;E, SCE, or SDG&amp;E</w:t>
            </w:r>
            <w:r w:rsidR="00D56CA5">
              <w:rPr>
                <w:sz w:val="24"/>
              </w:rPr>
              <w:t xml:space="preserve"> customer</w:t>
            </w:r>
            <w:r>
              <w:rPr>
                <w:sz w:val="24"/>
              </w:rPr>
              <w:t>;</w:t>
            </w:r>
          </w:p>
          <w:p w14:paraId="1F7DDB58" w14:textId="296C663A" w:rsidR="00F13E02" w:rsidRDefault="00F13E02" w:rsidP="00F13E02">
            <w:pPr>
              <w:pStyle w:val="ListParagraph"/>
              <w:numPr>
                <w:ilvl w:val="0"/>
                <w:numId w:val="30"/>
              </w:numPr>
              <w:tabs>
                <w:tab w:val="left" w:pos="1477"/>
              </w:tabs>
              <w:rPr>
                <w:sz w:val="24"/>
              </w:rPr>
            </w:pPr>
            <w:r>
              <w:rPr>
                <w:sz w:val="24"/>
              </w:rPr>
              <w:t>Live in a single</w:t>
            </w:r>
            <w:r w:rsidR="00757681">
              <w:rPr>
                <w:sz w:val="24"/>
              </w:rPr>
              <w:noBreakHyphen/>
            </w:r>
            <w:r>
              <w:rPr>
                <w:sz w:val="24"/>
              </w:rPr>
              <w:t xml:space="preserve">family home that is located in a qualified </w:t>
            </w:r>
            <w:r w:rsidRPr="00C15E75">
              <w:rPr>
                <w:sz w:val="24"/>
              </w:rPr>
              <w:t>DAC</w:t>
            </w:r>
            <w:r>
              <w:rPr>
                <w:sz w:val="24"/>
              </w:rPr>
              <w:t>;</w:t>
            </w:r>
          </w:p>
          <w:p w14:paraId="3A54913E" w14:textId="7CB32275" w:rsidR="00F13E02" w:rsidRDefault="00F13E02" w:rsidP="00F13E02">
            <w:pPr>
              <w:pStyle w:val="ListParagraph"/>
              <w:numPr>
                <w:ilvl w:val="1"/>
                <w:numId w:val="30"/>
              </w:numPr>
              <w:tabs>
                <w:tab w:val="left" w:pos="1477"/>
              </w:tabs>
              <w:rPr>
                <w:sz w:val="24"/>
              </w:rPr>
            </w:pPr>
            <w:r>
              <w:rPr>
                <w:sz w:val="24"/>
              </w:rPr>
              <w:t>F</w:t>
            </w:r>
            <w:r w:rsidRPr="00C15E75">
              <w:rPr>
                <w:sz w:val="24"/>
              </w:rPr>
              <w:t>or the purpose of the DAC</w:t>
            </w:r>
            <w:r w:rsidR="00757681">
              <w:rPr>
                <w:sz w:val="24"/>
              </w:rPr>
              <w:noBreakHyphen/>
            </w:r>
            <w:r w:rsidRPr="00C15E75">
              <w:rPr>
                <w:sz w:val="24"/>
              </w:rPr>
              <w:t>SASH Program,</w:t>
            </w:r>
            <w:r>
              <w:rPr>
                <w:sz w:val="24"/>
              </w:rPr>
              <w:t xml:space="preserve"> a qualified DAC</w:t>
            </w:r>
            <w:r w:rsidRPr="00C15E75">
              <w:rPr>
                <w:sz w:val="24"/>
              </w:rPr>
              <w:t xml:space="preserve"> is a community that appears in the top 25</w:t>
            </w:r>
            <w:r w:rsidR="00D56CA5">
              <w:rPr>
                <w:sz w:val="24"/>
              </w:rPr>
              <w:t xml:space="preserve"> percent</w:t>
            </w:r>
            <w:r w:rsidRPr="00C15E75">
              <w:rPr>
                <w:sz w:val="24"/>
              </w:rPr>
              <w:t xml:space="preserve"> of census tracts statewide when using the </w:t>
            </w:r>
            <w:r w:rsidRPr="00D32CB0">
              <w:rPr>
                <w:sz w:val="24"/>
              </w:rPr>
              <w:t>CalEnvironScreen</w:t>
            </w:r>
            <w:r w:rsidRPr="00C15E75">
              <w:rPr>
                <w:sz w:val="24"/>
              </w:rPr>
              <w:t xml:space="preserve"> 3.0 tool.</w:t>
            </w:r>
            <w:r w:rsidR="0032323C">
              <w:rPr>
                <w:sz w:val="24"/>
              </w:rPr>
              <w:t xml:space="preserve"> </w:t>
            </w:r>
            <w:r w:rsidRPr="00C15E75">
              <w:rPr>
                <w:sz w:val="24"/>
              </w:rPr>
              <w:t xml:space="preserve"> In addition, 22 census tracts in the highest </w:t>
            </w:r>
            <w:r w:rsidR="00D56CA5">
              <w:rPr>
                <w:sz w:val="24"/>
              </w:rPr>
              <w:t>five</w:t>
            </w:r>
            <w:r w:rsidRPr="00C15E75">
              <w:rPr>
                <w:sz w:val="24"/>
              </w:rPr>
              <w:t xml:space="preserve"> percent of CalEnviroScreen’s Pollution Burden, but that do not have an overall CalEnviroScreen score because of unreliable socioeconomic or health data, are also designated as</w:t>
            </w:r>
            <w:r>
              <w:rPr>
                <w:sz w:val="24"/>
              </w:rPr>
              <w:t xml:space="preserve"> qualified</w:t>
            </w:r>
            <w:r w:rsidRPr="00C15E75">
              <w:rPr>
                <w:sz w:val="24"/>
              </w:rPr>
              <w:t xml:space="preserve"> DAC</w:t>
            </w:r>
            <w:r>
              <w:rPr>
                <w:sz w:val="24"/>
              </w:rPr>
              <w:t>s.</w:t>
            </w:r>
          </w:p>
          <w:p w14:paraId="5954BBEF" w14:textId="6EB0EBCC" w:rsidR="00F13E02" w:rsidRDefault="00F13E02" w:rsidP="00F13E02">
            <w:pPr>
              <w:pStyle w:val="ListParagraph"/>
              <w:numPr>
                <w:ilvl w:val="0"/>
                <w:numId w:val="30"/>
              </w:numPr>
              <w:tabs>
                <w:tab w:val="left" w:pos="1477"/>
              </w:tabs>
              <w:rPr>
                <w:sz w:val="24"/>
              </w:rPr>
            </w:pPr>
            <w:r>
              <w:rPr>
                <w:sz w:val="24"/>
              </w:rPr>
              <w:t xml:space="preserve">Own and </w:t>
            </w:r>
            <w:r w:rsidRPr="00675A33">
              <w:rPr>
                <w:sz w:val="24"/>
              </w:rPr>
              <w:t>occup</w:t>
            </w:r>
            <w:r>
              <w:rPr>
                <w:sz w:val="24"/>
              </w:rPr>
              <w:t>y the single</w:t>
            </w:r>
            <w:r w:rsidR="00757681">
              <w:rPr>
                <w:sz w:val="24"/>
              </w:rPr>
              <w:noBreakHyphen/>
            </w:r>
            <w:r>
              <w:rPr>
                <w:sz w:val="24"/>
              </w:rPr>
              <w:t>family home where solar is being installed; and</w:t>
            </w:r>
          </w:p>
          <w:p w14:paraId="5A22DBE9" w14:textId="70819D2A" w:rsidR="00841EF4" w:rsidRPr="00EA0E78" w:rsidRDefault="00F13E02" w:rsidP="00F13E02">
            <w:pPr>
              <w:tabs>
                <w:tab w:val="left" w:pos="1477"/>
              </w:tabs>
              <w:rPr>
                <w:sz w:val="24"/>
              </w:rPr>
            </w:pPr>
            <w:r w:rsidRPr="00BF3A97">
              <w:rPr>
                <w:sz w:val="24"/>
              </w:rPr>
              <w:t>Meet the income eligibility requirements for the CARE or FERA</w:t>
            </w:r>
            <w:r>
              <w:rPr>
                <w:sz w:val="24"/>
              </w:rPr>
              <w:t xml:space="preserve"> programs.</w:t>
            </w:r>
          </w:p>
        </w:tc>
      </w:tr>
      <w:tr w:rsidR="00D30BD4" w:rsidRPr="00EA0E78" w14:paraId="32E74857" w14:textId="77777777" w:rsidTr="00856B3F">
        <w:trPr>
          <w:trHeight w:val="188"/>
        </w:trPr>
        <w:tc>
          <w:tcPr>
            <w:tcW w:w="1548" w:type="dxa"/>
          </w:tcPr>
          <w:p w14:paraId="77185CFE" w14:textId="5D28CB56" w:rsidR="00D30BD4" w:rsidRPr="00EA0E78" w:rsidRDefault="00D30BD4" w:rsidP="00084D55">
            <w:pPr>
              <w:tabs>
                <w:tab w:val="left" w:pos="1477"/>
              </w:tabs>
              <w:rPr>
                <w:sz w:val="24"/>
              </w:rPr>
            </w:pPr>
            <w:r>
              <w:rPr>
                <w:sz w:val="24"/>
              </w:rPr>
              <w:t>MASH</w:t>
            </w:r>
            <w:r w:rsidR="009C3B92">
              <w:rPr>
                <w:rStyle w:val="FootnoteReference"/>
                <w:sz w:val="24"/>
              </w:rPr>
              <w:footnoteReference w:id="17"/>
            </w:r>
          </w:p>
        </w:tc>
        <w:tc>
          <w:tcPr>
            <w:tcW w:w="8028" w:type="dxa"/>
          </w:tcPr>
          <w:p w14:paraId="4E33C179" w14:textId="6D03F75B" w:rsidR="00D30BD4" w:rsidRDefault="00D30BD4" w:rsidP="00F13E02">
            <w:pPr>
              <w:tabs>
                <w:tab w:val="left" w:pos="1477"/>
              </w:tabs>
              <w:rPr>
                <w:sz w:val="24"/>
              </w:rPr>
            </w:pPr>
            <w:r>
              <w:rPr>
                <w:sz w:val="24"/>
              </w:rPr>
              <w:t>Participant eligibility per D.08</w:t>
            </w:r>
            <w:r w:rsidR="00757681">
              <w:rPr>
                <w:sz w:val="24"/>
              </w:rPr>
              <w:noBreakHyphen/>
            </w:r>
            <w:r>
              <w:rPr>
                <w:sz w:val="24"/>
              </w:rPr>
              <w:t>10</w:t>
            </w:r>
            <w:r w:rsidR="00757681">
              <w:rPr>
                <w:sz w:val="24"/>
              </w:rPr>
              <w:noBreakHyphen/>
            </w:r>
            <w:r>
              <w:rPr>
                <w:sz w:val="24"/>
              </w:rPr>
              <w:t>036 and D.15</w:t>
            </w:r>
            <w:r w:rsidR="00757681">
              <w:rPr>
                <w:sz w:val="24"/>
              </w:rPr>
              <w:noBreakHyphen/>
            </w:r>
            <w:r>
              <w:rPr>
                <w:sz w:val="24"/>
              </w:rPr>
              <w:t>01</w:t>
            </w:r>
            <w:r w:rsidR="00757681">
              <w:rPr>
                <w:sz w:val="24"/>
              </w:rPr>
              <w:noBreakHyphen/>
            </w:r>
            <w:r>
              <w:rPr>
                <w:sz w:val="24"/>
              </w:rPr>
              <w:t>027</w:t>
            </w:r>
          </w:p>
          <w:p w14:paraId="42E9CA74" w14:textId="77777777" w:rsidR="00D30BD4" w:rsidRDefault="00D30BD4" w:rsidP="00BA004B">
            <w:pPr>
              <w:pStyle w:val="ListParagraph"/>
              <w:numPr>
                <w:ilvl w:val="0"/>
                <w:numId w:val="50"/>
              </w:numPr>
              <w:tabs>
                <w:tab w:val="left" w:pos="1477"/>
              </w:tabs>
              <w:rPr>
                <w:rFonts w:eastAsiaTheme="majorEastAsia" w:cstheme="majorBidi"/>
                <w:b/>
                <w:color w:val="404040" w:themeColor="text1" w:themeTint="BF"/>
                <w:sz w:val="24"/>
              </w:rPr>
            </w:pPr>
            <w:r>
              <w:rPr>
                <w:sz w:val="24"/>
              </w:rPr>
              <w:lastRenderedPageBreak/>
              <w:t>PG&amp;E, SCE, or SDG&amp;E customer;</w:t>
            </w:r>
          </w:p>
          <w:p w14:paraId="48C1F2C9" w14:textId="7C1D124E" w:rsidR="00D30BD4" w:rsidRDefault="009C3B92" w:rsidP="00BA004B">
            <w:pPr>
              <w:pStyle w:val="ListParagraph"/>
              <w:numPr>
                <w:ilvl w:val="0"/>
                <w:numId w:val="50"/>
              </w:numPr>
              <w:tabs>
                <w:tab w:val="left" w:pos="1477"/>
              </w:tabs>
              <w:rPr>
                <w:rFonts w:eastAsiaTheme="majorEastAsia" w:cstheme="majorBidi"/>
                <w:b/>
                <w:color w:val="404040" w:themeColor="text1" w:themeTint="BF"/>
                <w:sz w:val="24"/>
              </w:rPr>
            </w:pPr>
            <w:r>
              <w:rPr>
                <w:sz w:val="24"/>
              </w:rPr>
              <w:t>Property must be multi</w:t>
            </w:r>
            <w:r w:rsidR="00757681">
              <w:rPr>
                <w:sz w:val="24"/>
              </w:rPr>
              <w:noBreakHyphen/>
            </w:r>
            <w:r>
              <w:rPr>
                <w:sz w:val="24"/>
              </w:rPr>
              <w:t>family low</w:t>
            </w:r>
            <w:r w:rsidR="00757681">
              <w:rPr>
                <w:sz w:val="24"/>
              </w:rPr>
              <w:noBreakHyphen/>
            </w:r>
            <w:r>
              <w:rPr>
                <w:sz w:val="24"/>
              </w:rPr>
              <w:t>income, deed</w:t>
            </w:r>
            <w:r w:rsidR="00757681">
              <w:rPr>
                <w:sz w:val="24"/>
              </w:rPr>
              <w:noBreakHyphen/>
            </w:r>
            <w:r>
              <w:rPr>
                <w:sz w:val="24"/>
              </w:rPr>
              <w:t>restricted property as defined in Section 2852(a)(3)</w:t>
            </w:r>
            <w:r w:rsidR="00121D09">
              <w:rPr>
                <w:sz w:val="24"/>
              </w:rPr>
              <w:t xml:space="preserve"> and </w:t>
            </w:r>
            <w:r>
              <w:rPr>
                <w:sz w:val="24"/>
              </w:rPr>
              <w:t xml:space="preserve">a property in which at least 20 percent of the total housing units are deed or resale restricted and are sold or rented to lower income households. </w:t>
            </w:r>
          </w:p>
          <w:p w14:paraId="7CB47B33" w14:textId="538BD5D2" w:rsidR="00AC5BBC" w:rsidRPr="00BA004B" w:rsidRDefault="00AC5BBC" w:rsidP="00BA004B">
            <w:pPr>
              <w:pStyle w:val="ListParagraph"/>
              <w:numPr>
                <w:ilvl w:val="0"/>
                <w:numId w:val="50"/>
              </w:numPr>
              <w:tabs>
                <w:tab w:val="left" w:pos="1477"/>
              </w:tabs>
              <w:rPr>
                <w:sz w:val="24"/>
              </w:rPr>
            </w:pPr>
            <w:r>
              <w:rPr>
                <w:sz w:val="24"/>
              </w:rPr>
              <w:t>New construction is ineligible.</w:t>
            </w:r>
          </w:p>
        </w:tc>
      </w:tr>
    </w:tbl>
    <w:p w14:paraId="7AFA328F" w14:textId="1E088D20" w:rsidR="00841EF4" w:rsidRDefault="00841EF4" w:rsidP="00841EF4">
      <w:pPr>
        <w:pStyle w:val="ALJBodyText"/>
      </w:pPr>
    </w:p>
    <w:p w14:paraId="48551BCB" w14:textId="7B0F87FC" w:rsidR="00841EF4" w:rsidRDefault="00841EF4" w:rsidP="00D97E05">
      <w:pPr>
        <w:tabs>
          <w:tab w:val="left" w:pos="1477"/>
        </w:tabs>
        <w:spacing w:line="360" w:lineRule="auto"/>
      </w:pPr>
      <w:r>
        <w:t xml:space="preserve">Allowing customers that meet the </w:t>
      </w:r>
      <w:r w:rsidR="00166215">
        <w:t xml:space="preserve">eligibility </w:t>
      </w:r>
      <w:r>
        <w:t xml:space="preserve">criteria for </w:t>
      </w:r>
      <w:r w:rsidR="00AC5BBC">
        <w:t xml:space="preserve">MASH, </w:t>
      </w:r>
      <w:r>
        <w:t>SASH, DAC</w:t>
      </w:r>
      <w:r w:rsidR="00757681">
        <w:noBreakHyphen/>
      </w:r>
      <w:r>
        <w:t xml:space="preserve">SASH or SOMAH to </w:t>
      </w:r>
      <w:r w:rsidR="00166215">
        <w:t>be deemed</w:t>
      </w:r>
      <w:r>
        <w:t xml:space="preserve"> eligible for</w:t>
      </w:r>
      <w:r w:rsidR="00166215">
        <w:t xml:space="preserve"> the</w:t>
      </w:r>
      <w:r>
        <w:t xml:space="preserve"> SGIP equity budget is reasonable</w:t>
      </w:r>
      <w:r w:rsidR="005215F5">
        <w:t xml:space="preserve"> in light of the lack of current equity budget participation</w:t>
      </w:r>
      <w:r w:rsidR="00D56CA5">
        <w:t xml:space="preserve"> </w:t>
      </w:r>
      <w:r>
        <w:t xml:space="preserve">and is approved. </w:t>
      </w:r>
    </w:p>
    <w:p w14:paraId="17414EC3" w14:textId="46FC1968" w:rsidR="00AF5C34" w:rsidRDefault="007E690E" w:rsidP="00C151FC">
      <w:pPr>
        <w:pStyle w:val="ALJHeading2"/>
      </w:pPr>
      <w:bookmarkStart w:id="34" w:name="_Toc15908067"/>
      <w:r>
        <w:t>Critical Resiliency Need</w:t>
      </w:r>
      <w:r w:rsidR="00D56CA5">
        <w:t>s</w:t>
      </w:r>
      <w:r>
        <w:t xml:space="preserve"> </w:t>
      </w:r>
      <w:r w:rsidR="00323523">
        <w:t>Customers</w:t>
      </w:r>
      <w:bookmarkEnd w:id="34"/>
      <w:r w:rsidR="00323523">
        <w:t xml:space="preserve"> </w:t>
      </w:r>
    </w:p>
    <w:p w14:paraId="25AF474C" w14:textId="1471BFA8" w:rsidR="00323523" w:rsidRDefault="00C3185B" w:rsidP="00323523">
      <w:pPr>
        <w:pStyle w:val="ALJBodyText"/>
      </w:pPr>
      <w:r>
        <w:t xml:space="preserve">Current equity budget eligibility requirements </w:t>
      </w:r>
      <w:r w:rsidR="000C4E0A">
        <w:t xml:space="preserve">do not contain any specific provisions for </w:t>
      </w:r>
      <w:r w:rsidR="00A31593">
        <w:t>customers that live</w:t>
      </w:r>
      <w:r w:rsidR="00916897">
        <w:t xml:space="preserve"> in </w:t>
      </w:r>
      <w:r w:rsidR="004F28C6">
        <w:t>HFT</w:t>
      </w:r>
      <w:r w:rsidR="005215F5">
        <w:t>D</w:t>
      </w:r>
      <w:r w:rsidR="005614B8">
        <w:t>s</w:t>
      </w:r>
      <w:r w:rsidR="005215F5">
        <w:t xml:space="preserve"> as defined in </w:t>
      </w:r>
      <w:r w:rsidR="00383991">
        <w:t>D.17</w:t>
      </w:r>
      <w:r w:rsidR="00757681">
        <w:noBreakHyphen/>
      </w:r>
      <w:r w:rsidR="00383991">
        <w:t>12</w:t>
      </w:r>
      <w:r w:rsidR="00757681">
        <w:noBreakHyphen/>
      </w:r>
      <w:r w:rsidR="00383991">
        <w:t>024</w:t>
      </w:r>
      <w:r w:rsidR="00383991" w:rsidRPr="00A841AE">
        <w:t xml:space="preserve">, </w:t>
      </w:r>
      <w:r w:rsidR="005215F5" w:rsidRPr="00A841AE">
        <w:t xml:space="preserve">customers </w:t>
      </w:r>
      <w:r w:rsidR="00A31593" w:rsidRPr="00A841AE">
        <w:t xml:space="preserve">on a </w:t>
      </w:r>
      <w:r w:rsidR="0095008A">
        <w:t>m</w:t>
      </w:r>
      <w:r w:rsidR="00A31593" w:rsidRPr="00A841AE">
        <w:t xml:space="preserve">edical </w:t>
      </w:r>
      <w:r w:rsidR="0095008A">
        <w:t>b</w:t>
      </w:r>
      <w:r w:rsidR="00A31593" w:rsidRPr="00A841AE">
        <w:t xml:space="preserve">aseline </w:t>
      </w:r>
      <w:r w:rsidR="0095008A">
        <w:t>r</w:t>
      </w:r>
      <w:r w:rsidR="00A31593" w:rsidRPr="00E763B4">
        <w:t>ate</w:t>
      </w:r>
      <w:r w:rsidR="00C4647E" w:rsidRPr="00A841AE">
        <w:rPr>
          <w:rStyle w:val="FootnoteReference"/>
        </w:rPr>
        <w:footnoteReference w:id="18"/>
      </w:r>
      <w:r w:rsidR="00C4647E" w:rsidRPr="00A841AE">
        <w:t xml:space="preserve"> </w:t>
      </w:r>
      <w:r w:rsidR="00A31593" w:rsidRPr="00E763B4">
        <w:t xml:space="preserve">or </w:t>
      </w:r>
      <w:r w:rsidR="0030720E" w:rsidRPr="00E763B4">
        <w:t xml:space="preserve">other </w:t>
      </w:r>
      <w:r w:rsidR="00A841AE" w:rsidRPr="00A841AE">
        <w:t>customers with a serious illness or condition that could become life threatening if service is disconnected</w:t>
      </w:r>
      <w:r w:rsidR="00383991" w:rsidRPr="00A841AE">
        <w:t>.</w:t>
      </w:r>
      <w:r w:rsidR="00C4647E">
        <w:rPr>
          <w:rStyle w:val="FootnoteReference"/>
        </w:rPr>
        <w:footnoteReference w:id="19"/>
      </w:r>
      <w:r w:rsidR="0030720E" w:rsidRPr="00E763B4">
        <w:t xml:space="preserve"> </w:t>
      </w:r>
      <w:r w:rsidR="00AE025B">
        <w:t xml:space="preserve"> </w:t>
      </w:r>
      <w:r w:rsidR="005215F5" w:rsidRPr="00A841AE">
        <w:t>T</w:t>
      </w:r>
      <w:r w:rsidR="00AC77C0" w:rsidRPr="00A841AE">
        <w:t>he</w:t>
      </w:r>
      <w:r w:rsidR="00AC77C0">
        <w:t xml:space="preserve"> availability of </w:t>
      </w:r>
      <w:r w:rsidR="00AC77C0">
        <w:lastRenderedPageBreak/>
        <w:t xml:space="preserve">backup power during </w:t>
      </w:r>
      <w:r w:rsidR="005215F5">
        <w:t xml:space="preserve">electrical </w:t>
      </w:r>
      <w:r w:rsidR="00AC77C0">
        <w:t>outage</w:t>
      </w:r>
      <w:r w:rsidR="00206D6A">
        <w:t>s</w:t>
      </w:r>
      <w:r w:rsidR="005215F5">
        <w:t xml:space="preserve"> caused by </w:t>
      </w:r>
      <w:r w:rsidR="00565E86">
        <w:t>wildfires</w:t>
      </w:r>
      <w:r w:rsidR="008B084F">
        <w:t xml:space="preserve"> </w:t>
      </w:r>
      <w:r w:rsidR="005215F5">
        <w:t>or</w:t>
      </w:r>
      <w:r w:rsidR="00565E86">
        <w:t xml:space="preserve"> PSPS events</w:t>
      </w:r>
      <w:r w:rsidR="00AC77C0">
        <w:t xml:space="preserve"> </w:t>
      </w:r>
      <w:r w:rsidR="00AC77C0" w:rsidRPr="00AC77C0">
        <w:t>is increasingly a priority for the state of California and this Commission</w:t>
      </w:r>
      <w:r w:rsidR="005215F5">
        <w:t xml:space="preserve">.  </w:t>
      </w:r>
      <w:r w:rsidR="00C1599E">
        <w:t xml:space="preserve">Accordingly, the </w:t>
      </w:r>
      <w:r w:rsidR="0030720E">
        <w:t xml:space="preserve">SGIP ACR </w:t>
      </w:r>
      <w:r w:rsidR="00C1599E">
        <w:t xml:space="preserve">asked whether </w:t>
      </w:r>
      <w:r w:rsidR="0095008A">
        <w:t xml:space="preserve">the Commission should </w:t>
      </w:r>
      <w:r w:rsidR="00C1599E">
        <w:t xml:space="preserve">add a focus on increasing customer resiliency </w:t>
      </w:r>
      <w:r w:rsidR="009825C1">
        <w:t xml:space="preserve">to </w:t>
      </w:r>
      <w:r w:rsidR="00166215">
        <w:t xml:space="preserve">existing </w:t>
      </w:r>
      <w:r w:rsidR="009825C1">
        <w:t xml:space="preserve">SGIP goals.  In particular, </w:t>
      </w:r>
      <w:r w:rsidR="0095008A">
        <w:t xml:space="preserve">the SGIP ACR </w:t>
      </w:r>
      <w:r w:rsidR="009825C1">
        <w:t xml:space="preserve">asked parties to comment on resiliency </w:t>
      </w:r>
      <w:r w:rsidR="008C1275">
        <w:t xml:space="preserve">needs and the resiliency </w:t>
      </w:r>
      <w:r w:rsidR="009825C1">
        <w:t xml:space="preserve">benefits that </w:t>
      </w:r>
      <w:r w:rsidR="005215F5">
        <w:t xml:space="preserve">energy </w:t>
      </w:r>
      <w:r w:rsidR="009825C1">
        <w:t>storage can provide to customers and communities</w:t>
      </w:r>
      <w:r w:rsidR="005215F5">
        <w:t xml:space="preserve"> affected by wildfire or </w:t>
      </w:r>
      <w:r w:rsidR="00166215">
        <w:t>PSPS events</w:t>
      </w:r>
      <w:r w:rsidR="008C1275">
        <w:t xml:space="preserve">.  The SGIP ACR also requested party input on </w:t>
      </w:r>
      <w:r w:rsidR="00A26F2C">
        <w:t>what types of customers would benefit from such services.</w:t>
      </w:r>
      <w:r w:rsidR="008C1275">
        <w:rPr>
          <w:rStyle w:val="FootnoteReference"/>
        </w:rPr>
        <w:footnoteReference w:id="20"/>
      </w:r>
      <w:r w:rsidR="00AC77C0">
        <w:t xml:space="preserve">  </w:t>
      </w:r>
    </w:p>
    <w:p w14:paraId="39B0B2D1" w14:textId="40380949" w:rsidR="008C1275" w:rsidRDefault="008C1275" w:rsidP="00C151FC">
      <w:pPr>
        <w:pStyle w:val="ALJHeading3"/>
      </w:pPr>
      <w:bookmarkStart w:id="35" w:name="_Toc15908068"/>
      <w:r>
        <w:t>Party Comment</w:t>
      </w:r>
      <w:bookmarkEnd w:id="35"/>
      <w:r>
        <w:t xml:space="preserve"> </w:t>
      </w:r>
    </w:p>
    <w:p w14:paraId="2065FEF7" w14:textId="785321D5" w:rsidR="008A13F4" w:rsidRDefault="00443059" w:rsidP="00565E86">
      <w:pPr>
        <w:pStyle w:val="ALJBodyText"/>
      </w:pPr>
      <w:r>
        <w:t xml:space="preserve">Parties are </w:t>
      </w:r>
      <w:r w:rsidR="00954164">
        <w:t xml:space="preserve">in </w:t>
      </w:r>
      <w:r w:rsidR="00AC77C0">
        <w:t xml:space="preserve">general agreement </w:t>
      </w:r>
      <w:r w:rsidR="005215F5">
        <w:t xml:space="preserve">that </w:t>
      </w:r>
      <w:r w:rsidR="008921DA">
        <w:t xml:space="preserve">many </w:t>
      </w:r>
      <w:r w:rsidR="00AC77C0">
        <w:t>customer</w:t>
      </w:r>
      <w:r w:rsidR="00166215">
        <w:t>s</w:t>
      </w:r>
      <w:r w:rsidR="005215F5">
        <w:t xml:space="preserve"> </w:t>
      </w:r>
      <w:r w:rsidR="008921DA">
        <w:t xml:space="preserve">have a </w:t>
      </w:r>
      <w:r w:rsidR="005215F5">
        <w:t xml:space="preserve">need </w:t>
      </w:r>
      <w:r w:rsidR="008921DA">
        <w:t xml:space="preserve">for </w:t>
      </w:r>
      <w:r w:rsidR="005215F5">
        <w:t>backup</w:t>
      </w:r>
      <w:r w:rsidR="0095008A">
        <w:t xml:space="preserve"> </w:t>
      </w:r>
      <w:r w:rsidR="005215F5">
        <w:t xml:space="preserve">power </w:t>
      </w:r>
      <w:r w:rsidR="00954164">
        <w:t xml:space="preserve">during </w:t>
      </w:r>
      <w:r w:rsidR="00954164" w:rsidRPr="00954164">
        <w:t>PSPS events</w:t>
      </w:r>
      <w:r w:rsidR="00AC77C0">
        <w:t xml:space="preserve">, </w:t>
      </w:r>
      <w:r w:rsidR="00954164">
        <w:t>o</w:t>
      </w:r>
      <w:r w:rsidR="00954164" w:rsidRPr="00954164">
        <w:t>utages resulting from a wildfire, flooding, or other extreme weather events</w:t>
      </w:r>
      <w:r w:rsidR="00AC77C0">
        <w:t>, and g</w:t>
      </w:r>
      <w:r w:rsidR="00AC77C0" w:rsidRPr="00954164">
        <w:t>eneral unplanned outage</w:t>
      </w:r>
      <w:r w:rsidR="00AC77C0">
        <w:t>s</w:t>
      </w:r>
      <w:r w:rsidR="00954164">
        <w:t xml:space="preserve">. </w:t>
      </w:r>
      <w:r>
        <w:t xml:space="preserve"> Parties mention a range of </w:t>
      </w:r>
      <w:r w:rsidR="00954164">
        <w:t>possible duration</w:t>
      </w:r>
      <w:r>
        <w:t>s</w:t>
      </w:r>
      <w:r w:rsidR="00954164">
        <w:t xml:space="preserve"> of </w:t>
      </w:r>
      <w:r>
        <w:t xml:space="preserve">such outages.  </w:t>
      </w:r>
      <w:r w:rsidR="008E62C7">
        <w:t>CESA states that t</w:t>
      </w:r>
      <w:r w:rsidR="008E62C7" w:rsidRPr="00954164">
        <w:t xml:space="preserve">ypical </w:t>
      </w:r>
      <w:r w:rsidR="008E62C7">
        <w:t xml:space="preserve">distribution </w:t>
      </w:r>
      <w:r w:rsidR="008E62C7" w:rsidRPr="00954164">
        <w:t>outages</w:t>
      </w:r>
      <w:r w:rsidR="008E62C7">
        <w:t xml:space="preserve"> last from</w:t>
      </w:r>
      <w:r w:rsidR="008E62C7" w:rsidRPr="00954164">
        <w:t xml:space="preserve"> 0.5</w:t>
      </w:r>
      <w:r w:rsidR="008E62C7">
        <w:t xml:space="preserve"> </w:t>
      </w:r>
      <w:r w:rsidR="00757681">
        <w:noBreakHyphen/>
      </w:r>
      <w:r w:rsidR="008E62C7">
        <w:t xml:space="preserve"> </w:t>
      </w:r>
      <w:r w:rsidR="008E62C7" w:rsidRPr="00954164">
        <w:t>4 hours</w:t>
      </w:r>
      <w:r w:rsidR="008E62C7">
        <w:t>, while PSPS events typically de</w:t>
      </w:r>
      <w:r w:rsidR="00757681">
        <w:noBreakHyphen/>
      </w:r>
      <w:r w:rsidR="008E62C7">
        <w:t xml:space="preserve">energize lines between 24 to 48 hours. </w:t>
      </w:r>
      <w:r w:rsidR="008A13F4">
        <w:t xml:space="preserve"> </w:t>
      </w:r>
      <w:r w:rsidR="008E62C7">
        <w:t>Similarly, Sunrun and GRID/CHPC state that outages from PSPS events can last up</w:t>
      </w:r>
      <w:r w:rsidR="008E62C7" w:rsidRPr="00954164">
        <w:t xml:space="preserve"> to 48 </w:t>
      </w:r>
      <w:r w:rsidR="008E62C7">
        <w:t>hours, and PG&amp;E states that outages can sometimes be m</w:t>
      </w:r>
      <w:r w:rsidR="008E62C7" w:rsidRPr="00954164">
        <w:t>ulti</w:t>
      </w:r>
      <w:r w:rsidR="00757681">
        <w:noBreakHyphen/>
      </w:r>
      <w:r w:rsidR="008E62C7" w:rsidRPr="00954164">
        <w:t>day events</w:t>
      </w:r>
      <w:r w:rsidR="008E62C7">
        <w:t xml:space="preserve">. </w:t>
      </w:r>
      <w:r w:rsidR="008A13F4">
        <w:t xml:space="preserve"> </w:t>
      </w:r>
      <w:r w:rsidR="008E62C7">
        <w:t xml:space="preserve">CALSSA refers to the U.S. Department of Homeland Security’s Emergency preparedness information which advises people to be prepared for an outage lasting </w:t>
      </w:r>
      <w:r w:rsidR="008E62C7" w:rsidRPr="00954164">
        <w:t>72 hours</w:t>
      </w:r>
      <w:r w:rsidR="008E62C7">
        <w:t xml:space="preserve">. </w:t>
      </w:r>
      <w:r w:rsidR="008A13F4">
        <w:t xml:space="preserve"> </w:t>
      </w:r>
      <w:r w:rsidR="008E62C7">
        <w:t>SoCalGas states that electric outages can last s</w:t>
      </w:r>
      <w:r w:rsidR="008E62C7" w:rsidRPr="00954164">
        <w:t>everal days or even weeks</w:t>
      </w:r>
      <w:r w:rsidR="008E62C7">
        <w:t xml:space="preserve">. </w:t>
      </w:r>
    </w:p>
    <w:p w14:paraId="2030E553" w14:textId="77777777" w:rsidR="008A13F4" w:rsidRDefault="00207C1E" w:rsidP="00565E86">
      <w:pPr>
        <w:pStyle w:val="ALJBodyText"/>
      </w:pPr>
      <w:r>
        <w:t>P</w:t>
      </w:r>
      <w:r w:rsidR="00916897">
        <w:t xml:space="preserve">arties </w:t>
      </w:r>
      <w:r w:rsidR="008A13F4">
        <w:t xml:space="preserve">also </w:t>
      </w:r>
      <w:r w:rsidR="00916897">
        <w:t>identify</w:t>
      </w:r>
      <w:r w:rsidR="00E76C0E">
        <w:t xml:space="preserve"> </w:t>
      </w:r>
      <w:r w:rsidR="00443059">
        <w:t xml:space="preserve">common customer </w:t>
      </w:r>
      <w:r w:rsidR="00954164" w:rsidRPr="00954164">
        <w:t xml:space="preserve">needs </w:t>
      </w:r>
      <w:r>
        <w:t xml:space="preserve">during </w:t>
      </w:r>
      <w:r w:rsidR="0001119D">
        <w:t>outages</w:t>
      </w:r>
      <w:r w:rsidR="00CC6707">
        <w:t xml:space="preserve">.  These include </w:t>
      </w:r>
      <w:r w:rsidR="00443059">
        <w:t xml:space="preserve">maintaining </w:t>
      </w:r>
      <w:r w:rsidR="00CC6707">
        <w:t>c</w:t>
      </w:r>
      <w:r w:rsidR="00443059">
        <w:t xml:space="preserve">ritical loads at </w:t>
      </w:r>
      <w:r w:rsidR="00954164" w:rsidRPr="00954164">
        <w:t>an individual r</w:t>
      </w:r>
      <w:r w:rsidR="00443059">
        <w:t>esidence, business or community</w:t>
      </w:r>
      <w:r w:rsidR="008A13F4">
        <w:t xml:space="preserve"> </w:t>
      </w:r>
      <w:r w:rsidR="00954164" w:rsidRPr="00954164">
        <w:t>emergency infrastructure</w:t>
      </w:r>
      <w:r w:rsidR="00CC6707">
        <w:t>, and in particular,</w:t>
      </w:r>
      <w:r w:rsidR="00443059">
        <w:t xml:space="preserve"> maintaining sufficient power to provide for the </w:t>
      </w:r>
      <w:r w:rsidR="00555840">
        <w:t>electricity requirements of c</w:t>
      </w:r>
      <w:r w:rsidR="00954164" w:rsidRPr="00954164">
        <w:t xml:space="preserve">ritical </w:t>
      </w:r>
      <w:r w:rsidR="00555840">
        <w:t>c</w:t>
      </w:r>
      <w:r w:rsidR="00443059">
        <w:t xml:space="preserve">are customers.  </w:t>
      </w:r>
      <w:r w:rsidR="00443059">
        <w:lastRenderedPageBreak/>
        <w:t xml:space="preserve">Parties recommend that the Commission define critical care customers </w:t>
      </w:r>
      <w:r w:rsidR="00B74F1E">
        <w:t xml:space="preserve">for SGIP purposes to include customers </w:t>
      </w:r>
      <w:r w:rsidR="00954164" w:rsidRPr="00954164">
        <w:t xml:space="preserve">on </w:t>
      </w:r>
      <w:r w:rsidR="00555840">
        <w:t xml:space="preserve">a </w:t>
      </w:r>
      <w:r w:rsidR="008A13F4">
        <w:t>m</w:t>
      </w:r>
      <w:r w:rsidR="00954164" w:rsidRPr="00954164">
        <w:t xml:space="preserve">edical </w:t>
      </w:r>
      <w:r w:rsidR="008A13F4">
        <w:t>b</w:t>
      </w:r>
      <w:r w:rsidR="00954164" w:rsidRPr="00954164">
        <w:t>aseline</w:t>
      </w:r>
      <w:r w:rsidR="00B74F1E">
        <w:t xml:space="preserve"> rate and </w:t>
      </w:r>
      <w:r w:rsidR="00166215">
        <w:t>customers</w:t>
      </w:r>
      <w:r w:rsidR="00B74F1E">
        <w:t xml:space="preserve"> </w:t>
      </w:r>
      <w:r w:rsidR="00166215">
        <w:t>who</w:t>
      </w:r>
      <w:r w:rsidR="00B74F1E">
        <w:t xml:space="preserve"> </w:t>
      </w:r>
      <w:r w:rsidR="00E76C0E">
        <w:t xml:space="preserve">are </w:t>
      </w:r>
      <w:r w:rsidR="00B74F1E">
        <w:t>medically at risk</w:t>
      </w:r>
      <w:r w:rsidR="00954164" w:rsidRPr="00954164">
        <w:t xml:space="preserve"> in the event of an outage lasting longer than two hours</w:t>
      </w:r>
      <w:r w:rsidR="00916897">
        <w:t xml:space="preserve">. </w:t>
      </w:r>
    </w:p>
    <w:p w14:paraId="6FCDCB3B" w14:textId="02543958" w:rsidR="00565E86" w:rsidRPr="00565E86" w:rsidRDefault="00916897" w:rsidP="00565E86">
      <w:pPr>
        <w:pStyle w:val="ALJBodyText"/>
      </w:pPr>
      <w:r>
        <w:t>Several parties (Cal Advocates, CSE, CALSSA, GRID/</w:t>
      </w:r>
      <w:r w:rsidR="00C54DFC">
        <w:t>CHPC</w:t>
      </w:r>
      <w:r>
        <w:t xml:space="preserve"> and Sunrun) recommend that the Commission prioritize customers living in </w:t>
      </w:r>
      <w:r w:rsidR="004F28C6">
        <w:t>HFT</w:t>
      </w:r>
      <w:r w:rsidR="005B2CBE">
        <w:t>D</w:t>
      </w:r>
      <w:r>
        <w:t xml:space="preserve"> areas identified as at extreme </w:t>
      </w:r>
      <w:r w:rsidR="008A13F4">
        <w:t xml:space="preserve">risk </w:t>
      </w:r>
      <w:r>
        <w:t xml:space="preserve">(Tier </w:t>
      </w:r>
      <w:r w:rsidR="00ED5A94">
        <w:t xml:space="preserve">3) </w:t>
      </w:r>
      <w:r w:rsidR="00AC5BBC">
        <w:t xml:space="preserve">and elevated risk (Tier 2) </w:t>
      </w:r>
      <w:r w:rsidR="00ED5A94">
        <w:t>for wildfires</w:t>
      </w:r>
      <w:r>
        <w:t xml:space="preserve"> for </w:t>
      </w:r>
      <w:r w:rsidR="00ED5A94">
        <w:t>SGIP resiliency incentives.</w:t>
      </w:r>
      <w:r w:rsidR="00ED5A94">
        <w:rPr>
          <w:rStyle w:val="FootnoteReference"/>
        </w:rPr>
        <w:footnoteReference w:id="21"/>
      </w:r>
      <w:r w:rsidR="00ED5A94">
        <w:t xml:space="preserve">  T</w:t>
      </w:r>
      <w:r>
        <w:t xml:space="preserve">he </w:t>
      </w:r>
      <w:r w:rsidR="005A1DDF" w:rsidRPr="00916897">
        <w:t>Joint CCAs</w:t>
      </w:r>
      <w:r>
        <w:t xml:space="preserve"> state</w:t>
      </w:r>
      <w:r w:rsidR="005A1DDF">
        <w:t xml:space="preserve"> </w:t>
      </w:r>
      <w:r w:rsidR="00C92803">
        <w:t xml:space="preserve">that </w:t>
      </w:r>
      <w:r w:rsidR="00555840">
        <w:t xml:space="preserve">the </w:t>
      </w:r>
      <w:r w:rsidR="00954164" w:rsidRPr="00954164">
        <w:t xml:space="preserve">more isolated </w:t>
      </w:r>
      <w:r w:rsidR="004F28C6">
        <w:t>HFT</w:t>
      </w:r>
      <w:r w:rsidR="005B2CBE">
        <w:t>D</w:t>
      </w:r>
      <w:r w:rsidR="00ED5A94">
        <w:t xml:space="preserve"> Tier 3 or Tier 2 </w:t>
      </w:r>
      <w:r w:rsidR="00954164" w:rsidRPr="00954164">
        <w:t>communities served by higher</w:t>
      </w:r>
      <w:r w:rsidR="00757681">
        <w:noBreakHyphen/>
      </w:r>
      <w:r w:rsidR="00954164" w:rsidRPr="00954164">
        <w:t xml:space="preserve">risk, more difficult to reach </w:t>
      </w:r>
      <w:r>
        <w:t xml:space="preserve">transmission </w:t>
      </w:r>
      <w:r w:rsidR="00954164" w:rsidRPr="00954164">
        <w:t>lines</w:t>
      </w:r>
      <w:r w:rsidR="00C92803">
        <w:t xml:space="preserve"> have parti</w:t>
      </w:r>
      <w:r>
        <w:t xml:space="preserve">cularly high resiliency needs.  </w:t>
      </w:r>
      <w:r w:rsidR="00AC5BBC">
        <w:t xml:space="preserve">Several parties mention the needs of customers in “PSPS zones,” but these are not yet clearly defined.  </w:t>
      </w:r>
      <w:r>
        <w:t xml:space="preserve">CSE also mentions </w:t>
      </w:r>
      <w:r w:rsidR="00166215">
        <w:t>the California Department of Forestry and Fire Protection’s</w:t>
      </w:r>
      <w:r w:rsidR="00565E86">
        <w:t xml:space="preserve"> </w:t>
      </w:r>
      <w:r w:rsidR="008A13F4">
        <w:t xml:space="preserve">(CAL FIRE’s) </w:t>
      </w:r>
      <w:r>
        <w:t xml:space="preserve">list of </w:t>
      </w:r>
      <w:r w:rsidR="00ED5A94">
        <w:t xml:space="preserve">Priority Landscapes </w:t>
      </w:r>
      <w:r w:rsidRPr="00916897">
        <w:t>for Reduci</w:t>
      </w:r>
      <w:r w:rsidR="00ED5A94">
        <w:t xml:space="preserve">ng Wildfire Threat </w:t>
      </w:r>
      <w:r>
        <w:t>to Communities</w:t>
      </w:r>
      <w:r w:rsidR="00ED5A94">
        <w:t xml:space="preserve"> as a tool to prioritize communities most in need.</w:t>
      </w:r>
      <w:r w:rsidR="00ED5A94">
        <w:rPr>
          <w:rStyle w:val="FootnoteReference"/>
        </w:rPr>
        <w:footnoteReference w:id="22"/>
      </w:r>
      <w:r>
        <w:t xml:space="preserve">  </w:t>
      </w:r>
      <w:r w:rsidR="00565E86" w:rsidRPr="00565E86">
        <w:t>CSE recommends that the Commission adopt clearly defined, objective, and easily verifiable eligibility criteria for resiliency purposes, for instance by ensuring that eligibility can be easily ascertained by reference to pre</w:t>
      </w:r>
      <w:r w:rsidR="00565E86" w:rsidRPr="00565E86">
        <w:rPr>
          <w:rFonts w:ascii="Cambria Math" w:hAnsi="Cambria Math" w:cs="Cambria Math"/>
        </w:rPr>
        <w:t>‐</w:t>
      </w:r>
      <w:r w:rsidR="00565E86" w:rsidRPr="00565E86">
        <w:t>established census tract maps and/or a finite list of customer categories</w:t>
      </w:r>
      <w:r w:rsidR="008A13F4">
        <w:t>.</w:t>
      </w:r>
    </w:p>
    <w:p w14:paraId="53980D53" w14:textId="4F6E34BE" w:rsidR="00954164" w:rsidRDefault="000369B2" w:rsidP="0026721B">
      <w:pPr>
        <w:pStyle w:val="ALJBodyText"/>
      </w:pPr>
      <w:r>
        <w:t xml:space="preserve">Several </w:t>
      </w:r>
      <w:r w:rsidR="00B74F1E">
        <w:t xml:space="preserve">parties </w:t>
      </w:r>
      <w:r w:rsidR="005B2CBE">
        <w:t xml:space="preserve">detail </w:t>
      </w:r>
      <w:r w:rsidR="00954164" w:rsidRPr="00954164">
        <w:t>essential services</w:t>
      </w:r>
      <w:r w:rsidR="005B2CBE">
        <w:t xml:space="preserve"> that must be</w:t>
      </w:r>
      <w:r w:rsidR="00954164" w:rsidRPr="00954164">
        <w:t xml:space="preserve"> available</w:t>
      </w:r>
      <w:r w:rsidR="00C92803">
        <w:t xml:space="preserve"> during PSPS or other events</w:t>
      </w:r>
      <w:r w:rsidR="005B2CBE">
        <w:t>,</w:t>
      </w:r>
      <w:r>
        <w:t xml:space="preserve"> </w:t>
      </w:r>
      <w:r w:rsidR="00207C1E">
        <w:t>including</w:t>
      </w:r>
      <w:r w:rsidR="00C92803">
        <w:t xml:space="preserve"> </w:t>
      </w:r>
      <w:r w:rsidR="0026721B">
        <w:t xml:space="preserve">electric service to </w:t>
      </w:r>
      <w:r w:rsidR="00C92803">
        <w:t>e</w:t>
      </w:r>
      <w:r w:rsidR="00954164" w:rsidRPr="00954164">
        <w:t>mergency she</w:t>
      </w:r>
      <w:r w:rsidR="002445C2">
        <w:t xml:space="preserve">lters, </w:t>
      </w:r>
      <w:r w:rsidR="002445C2" w:rsidRPr="002445C2">
        <w:t>c</w:t>
      </w:r>
      <w:r w:rsidR="002445C2">
        <w:t xml:space="preserve">ommunity centers, community </w:t>
      </w:r>
      <w:r w:rsidR="002445C2" w:rsidRPr="002445C2">
        <w:t xml:space="preserve">shelters, fire stations, police stations, emergency operation </w:t>
      </w:r>
      <w:r w:rsidR="002445C2" w:rsidRPr="002445C2">
        <w:lastRenderedPageBreak/>
        <w:t>centers, emergency health care facilities</w:t>
      </w:r>
      <w:r w:rsidR="002445C2">
        <w:t xml:space="preserve">, </w:t>
      </w:r>
      <w:r>
        <w:t>l</w:t>
      </w:r>
      <w:r w:rsidR="00954164" w:rsidRPr="00954164">
        <w:t xml:space="preserve">ocal </w:t>
      </w:r>
      <w:r>
        <w:t>a</w:t>
      </w:r>
      <w:r w:rsidR="00954164" w:rsidRPr="00954164">
        <w:t xml:space="preserve">ssistance </w:t>
      </w:r>
      <w:r>
        <w:t>c</w:t>
      </w:r>
      <w:r w:rsidR="00954164" w:rsidRPr="00954164">
        <w:t>enters</w:t>
      </w:r>
      <w:r>
        <w:t xml:space="preserve"> and for p</w:t>
      </w:r>
      <w:r w:rsidR="00954164" w:rsidRPr="00954164">
        <w:t>riority loads that include heating, cooling, refrigeration, lighting, phone chargin</w:t>
      </w:r>
      <w:r w:rsidR="00207C1E">
        <w:t>g</w:t>
      </w:r>
      <w:r w:rsidR="0026721B">
        <w:t xml:space="preserve">. </w:t>
      </w:r>
      <w:r w:rsidR="002445C2">
        <w:t xml:space="preserve"> PG&amp;E states that priority customers include </w:t>
      </w:r>
      <w:r w:rsidR="002445C2" w:rsidRPr="002445C2">
        <w:t xml:space="preserve">county, </w:t>
      </w:r>
      <w:r w:rsidR="002445C2">
        <w:t xml:space="preserve">state and federal agencies such as </w:t>
      </w:r>
      <w:r w:rsidR="002445C2" w:rsidRPr="002445C2">
        <w:t>C</w:t>
      </w:r>
      <w:r w:rsidR="00166215">
        <w:t>AL FIRE</w:t>
      </w:r>
      <w:r w:rsidR="002445C2">
        <w:t xml:space="preserve">, the </w:t>
      </w:r>
      <w:r w:rsidR="002445C2" w:rsidRPr="002445C2">
        <w:t>United States Forest Service (USFS)</w:t>
      </w:r>
      <w:r w:rsidR="002445C2">
        <w:t xml:space="preserve">, and the </w:t>
      </w:r>
      <w:r w:rsidR="002445C2" w:rsidRPr="002445C2">
        <w:t>Bureau of Land Management (BLM).</w:t>
      </w:r>
      <w:r w:rsidR="002445C2">
        <w:t xml:space="preserve">  </w:t>
      </w:r>
      <w:r w:rsidR="0026721B">
        <w:t xml:space="preserve">CSE </w:t>
      </w:r>
      <w:r w:rsidR="00B74F1E">
        <w:t>states</w:t>
      </w:r>
      <w:r w:rsidR="0026721B">
        <w:t xml:space="preserve"> that certain r</w:t>
      </w:r>
      <w:r w:rsidR="00954164" w:rsidRPr="00954164">
        <w:t>esearch institutions need continuous power</w:t>
      </w:r>
      <w:r w:rsidR="0026721B">
        <w:t xml:space="preserve"> to maintain refrigeration and other equipment. </w:t>
      </w:r>
    </w:p>
    <w:p w14:paraId="46A83E14" w14:textId="1DB21A38" w:rsidR="00FA1499" w:rsidRDefault="00B74F1E" w:rsidP="00FA1499">
      <w:pPr>
        <w:pStyle w:val="ALJBodyText"/>
      </w:pPr>
      <w:r>
        <w:t>Parties also generally agree</w:t>
      </w:r>
      <w:r w:rsidR="00FA1499">
        <w:t xml:space="preserve"> that the </w:t>
      </w:r>
      <w:r w:rsidR="00FA1499" w:rsidRPr="0004464D">
        <w:t xml:space="preserve">resiliency benefit that storage can </w:t>
      </w:r>
      <w:r w:rsidR="00046509">
        <w:t>provide</w:t>
      </w:r>
      <w:r w:rsidR="00FA1499">
        <w:t xml:space="preserve"> </w:t>
      </w:r>
      <w:r w:rsidR="00FA1499" w:rsidRPr="0004464D">
        <w:t>greatly varies depend</w:t>
      </w:r>
      <w:r w:rsidR="00FA1499">
        <w:t>ing on: (1) t</w:t>
      </w:r>
      <w:r w:rsidR="00FA1499" w:rsidRPr="0004464D">
        <w:t>he size of the battery relative to the needed load</w:t>
      </w:r>
      <w:r w:rsidR="00FA1499">
        <w:t>; (2) w</w:t>
      </w:r>
      <w:r w:rsidR="00FA1499" w:rsidRPr="0004464D">
        <w:t>hether it is paired with on</w:t>
      </w:r>
      <w:r w:rsidR="00757681">
        <w:noBreakHyphen/>
      </w:r>
      <w:r w:rsidR="00FA1499" w:rsidRPr="0004464D">
        <w:t>site generation</w:t>
      </w:r>
      <w:r w:rsidR="00FA1499">
        <w:t>; (3) t</w:t>
      </w:r>
      <w:r w:rsidR="00FA1499" w:rsidRPr="0004464D">
        <w:t>he state of charge of the storage device at the time power is lost</w:t>
      </w:r>
      <w:r w:rsidR="00FA1499">
        <w:t>; and, (4) w</w:t>
      </w:r>
      <w:r w:rsidR="00FA1499" w:rsidRPr="0004464D">
        <w:t xml:space="preserve">hether </w:t>
      </w:r>
      <w:r w:rsidR="00A076A0">
        <w:t xml:space="preserve">the storage device is wired to provide energy to all </w:t>
      </w:r>
      <w:r w:rsidR="00046509">
        <w:t>load</w:t>
      </w:r>
      <w:r w:rsidR="008A13F4">
        <w:t>s</w:t>
      </w:r>
      <w:r w:rsidR="00046509">
        <w:t xml:space="preserve"> </w:t>
      </w:r>
      <w:r w:rsidR="00A076A0">
        <w:t>or only</w:t>
      </w:r>
      <w:r w:rsidR="00FA1499">
        <w:t xml:space="preserve"> </w:t>
      </w:r>
      <w:r w:rsidR="00FA1499" w:rsidRPr="0004464D">
        <w:t>critical loads</w:t>
      </w:r>
      <w:r w:rsidR="00A076A0">
        <w:t xml:space="preserve"> during an outage. </w:t>
      </w:r>
    </w:p>
    <w:p w14:paraId="02C48BB5" w14:textId="53C0A6D9" w:rsidR="008A13F4" w:rsidRDefault="00FA1499" w:rsidP="008A13F4">
      <w:pPr>
        <w:pStyle w:val="ALJBodyText"/>
      </w:pPr>
      <w:r>
        <w:t>Parties suggest that, depending on these factors, the resiliency benefits that storage systems can provide range from limited time</w:t>
      </w:r>
      <w:r w:rsidR="00757681">
        <w:noBreakHyphen/>
      </w:r>
      <w:r>
        <w:t>span backup power to a fully inde</w:t>
      </w:r>
      <w:r w:rsidR="00B74F1E">
        <w:t>pendent microgrid.  SCE observes</w:t>
      </w:r>
      <w:r>
        <w:t xml:space="preserve"> that storage devices are less likely to be able to meet an extended outage </w:t>
      </w:r>
      <w:r w:rsidR="00ED026E">
        <w:t xml:space="preserve">lasting 12 hours or longer </w:t>
      </w:r>
      <w:r>
        <w:t>without on</w:t>
      </w:r>
      <w:r w:rsidR="00757681">
        <w:noBreakHyphen/>
      </w:r>
      <w:r>
        <w:t xml:space="preserve">site generation and possibly without </w:t>
      </w:r>
      <w:r w:rsidR="00823310">
        <w:t>longer duration</w:t>
      </w:r>
      <w:r w:rsidR="00B74F1E">
        <w:t xml:space="preserve"> storage solutions.  CESA states</w:t>
      </w:r>
      <w:r>
        <w:t xml:space="preserve"> that, by targeting critical loads and pairing </w:t>
      </w:r>
      <w:r w:rsidR="00565E86">
        <w:t>on</w:t>
      </w:r>
      <w:r w:rsidR="00757681">
        <w:noBreakHyphen/>
      </w:r>
      <w:r w:rsidR="00565E86">
        <w:t>site</w:t>
      </w:r>
      <w:r>
        <w:t xml:space="preserve"> generation with commercially available batteries, a typical residential storage device has the ability to ride</w:t>
      </w:r>
      <w:r w:rsidR="00757681">
        <w:noBreakHyphen/>
      </w:r>
      <w:r>
        <w:t>through a multi</w:t>
      </w:r>
      <w:r w:rsidR="00757681">
        <w:noBreakHyphen/>
      </w:r>
      <w:r>
        <w:t>hour or multi</w:t>
      </w:r>
      <w:r w:rsidR="00757681">
        <w:noBreakHyphen/>
      </w:r>
      <w:r>
        <w:t xml:space="preserve">day </w:t>
      </w:r>
      <w:r w:rsidR="00761C28">
        <w:t xml:space="preserve">outage or </w:t>
      </w:r>
      <w:r>
        <w:t>de</w:t>
      </w:r>
      <w:r w:rsidR="00757681">
        <w:noBreakHyphen/>
      </w:r>
      <w:r>
        <w:t>energi</w:t>
      </w:r>
      <w:r w:rsidR="00B74F1E">
        <w:t>zation event.  Tesla states</w:t>
      </w:r>
      <w:r>
        <w:t xml:space="preserve"> that its resident</w:t>
      </w:r>
      <w:r w:rsidR="00B74F1E">
        <w:t xml:space="preserve">ial Powerwall is designed to </w:t>
      </w:r>
      <w:r>
        <w:t>provide whole</w:t>
      </w:r>
      <w:r w:rsidR="00757681">
        <w:noBreakHyphen/>
      </w:r>
      <w:r>
        <w:t xml:space="preserve">home or </w:t>
      </w:r>
      <w:r w:rsidR="00B74F1E">
        <w:t xml:space="preserve">partial home backup, with the latter meaning </w:t>
      </w:r>
      <w:r>
        <w:t>that a customer designates a subset of loads to power during an outage</w:t>
      </w:r>
      <w:r w:rsidRPr="000C4B37">
        <w:t>.</w:t>
      </w:r>
      <w:r w:rsidR="005B2CBE" w:rsidRPr="000C4B37">
        <w:t xml:space="preserve">  </w:t>
      </w:r>
      <w:r w:rsidR="00761C28" w:rsidRPr="00856B3F">
        <w:t>The average residential customer load in California is 18</w:t>
      </w:r>
      <w:r w:rsidR="00AE025B">
        <w:t xml:space="preserve"> kilowatt</w:t>
      </w:r>
      <w:r w:rsidR="00BB6CB6">
        <w:t xml:space="preserve"> hours </w:t>
      </w:r>
      <w:r w:rsidR="00AE025B">
        <w:t xml:space="preserve">per </w:t>
      </w:r>
      <w:r w:rsidR="00BB6CB6">
        <w:t>day</w:t>
      </w:r>
      <w:r w:rsidR="00B34E61">
        <w:t xml:space="preserve"> </w:t>
      </w:r>
      <w:r w:rsidR="00AE025B">
        <w:t>(</w:t>
      </w:r>
      <w:r w:rsidR="00761C28" w:rsidRPr="00856B3F">
        <w:t>kWh</w:t>
      </w:r>
      <w:r w:rsidR="00BB6CB6">
        <w:t>/day</w:t>
      </w:r>
      <w:r w:rsidR="00AE025B">
        <w:t>)</w:t>
      </w:r>
      <w:r w:rsidR="008A13F4">
        <w:t>,</w:t>
      </w:r>
      <w:r w:rsidR="00BD5ED4">
        <w:rPr>
          <w:rStyle w:val="FootnoteReference"/>
        </w:rPr>
        <w:footnoteReference w:id="23"/>
      </w:r>
      <w:r w:rsidR="008A13F4">
        <w:t xml:space="preserve"> </w:t>
      </w:r>
      <w:r w:rsidR="00761C28" w:rsidRPr="00856B3F">
        <w:t xml:space="preserve">which, when considered </w:t>
      </w:r>
      <w:r w:rsidR="00761C28" w:rsidRPr="00856B3F">
        <w:lastRenderedPageBreak/>
        <w:t>with the information provided by Tesla</w:t>
      </w:r>
      <w:r w:rsidR="008A13F4">
        <w:t>,</w:t>
      </w:r>
      <w:r w:rsidR="00786232" w:rsidRPr="00205B50">
        <w:rPr>
          <w:rStyle w:val="FootnoteReference"/>
        </w:rPr>
        <w:footnoteReference w:id="24"/>
      </w:r>
      <w:r w:rsidR="008A13F4">
        <w:t xml:space="preserve"> </w:t>
      </w:r>
      <w:r w:rsidR="00761C28" w:rsidRPr="00856B3F">
        <w:t xml:space="preserve">implies that one Powerwall can provide about 18 hours of backup power and two standalone Powerwalls could provide </w:t>
      </w:r>
      <w:r w:rsidR="00FF0921">
        <w:t xml:space="preserve">at least </w:t>
      </w:r>
      <w:r w:rsidR="00761C28" w:rsidRPr="00856B3F">
        <w:t>a full day of backup power.</w:t>
      </w:r>
      <w:r w:rsidR="00786232">
        <w:rPr>
          <w:rStyle w:val="FootnoteReference"/>
        </w:rPr>
        <w:footnoteReference w:id="25"/>
      </w:r>
      <w:r w:rsidR="00761C28" w:rsidRPr="00856B3F">
        <w:t xml:space="preserve">  </w:t>
      </w:r>
    </w:p>
    <w:p w14:paraId="1116E0F9" w14:textId="1EC83C78" w:rsidR="00A26F2C" w:rsidRDefault="00475C04" w:rsidP="00C151FC">
      <w:pPr>
        <w:pStyle w:val="ALJHeading3"/>
      </w:pPr>
      <w:bookmarkStart w:id="36" w:name="_Toc15908069"/>
      <w:r>
        <w:t>Discussion</w:t>
      </w:r>
      <w:bookmarkEnd w:id="36"/>
    </w:p>
    <w:p w14:paraId="12CBB863" w14:textId="510936A8" w:rsidR="00117CC7" w:rsidRDefault="00117CC7" w:rsidP="00475C04">
      <w:pPr>
        <w:pStyle w:val="ALJBodyText"/>
      </w:pPr>
      <w:r>
        <w:t xml:space="preserve">This decision establishes a new SGIP </w:t>
      </w:r>
      <w:r w:rsidR="00FA21D9">
        <w:t xml:space="preserve">equity </w:t>
      </w:r>
      <w:r>
        <w:t>resiliency budget</w:t>
      </w:r>
      <w:r w:rsidR="00FA21D9">
        <w:t xml:space="preserve">.  </w:t>
      </w:r>
      <w:r w:rsidR="00FB43D9">
        <w:t>Storage systems that are currently eligible for SGIP</w:t>
      </w:r>
      <w:r w:rsidR="005B2CBE">
        <w:t xml:space="preserve"> </w:t>
      </w:r>
      <w:r w:rsidR="00AC0ED5">
        <w:t xml:space="preserve">appear to be </w:t>
      </w:r>
      <w:r w:rsidR="005B2CBE">
        <w:t xml:space="preserve">appropriate </w:t>
      </w:r>
      <w:r w:rsidR="00AC0ED5">
        <w:t xml:space="preserve">for customers to use to maintain critical electric supply during </w:t>
      </w:r>
      <w:r w:rsidR="005B2CBE">
        <w:t xml:space="preserve">PSPS </w:t>
      </w:r>
      <w:r w:rsidR="00AC0ED5">
        <w:t xml:space="preserve">or other </w:t>
      </w:r>
      <w:r w:rsidR="005B2CBE">
        <w:t>outages</w:t>
      </w:r>
      <w:r w:rsidR="008545B2">
        <w:t>.</w:t>
      </w:r>
      <w:r w:rsidR="00AC0ED5">
        <w:t xml:space="preserve">  If coupled with on</w:t>
      </w:r>
      <w:r w:rsidR="00757681">
        <w:noBreakHyphen/>
      </w:r>
      <w:r w:rsidR="00AC0ED5">
        <w:t>site solar generation, SGIP storage systems with long duration discharge appear to have the technical capacity to provide electricity supply to critical customer loads for multiple hours during multi</w:t>
      </w:r>
      <w:r w:rsidR="00757681">
        <w:noBreakHyphen/>
      </w:r>
      <w:r w:rsidR="00AC0ED5">
        <w:t>day outages.</w:t>
      </w:r>
      <w:r w:rsidR="00714531">
        <w:rPr>
          <w:rStyle w:val="FootnoteReference"/>
        </w:rPr>
        <w:footnoteReference w:id="26"/>
      </w:r>
      <w:r w:rsidR="00AC0ED5">
        <w:t xml:space="preserve"> </w:t>
      </w:r>
      <w:r w:rsidR="00AE025B">
        <w:t xml:space="preserve"> </w:t>
      </w:r>
      <w:r>
        <w:t>The Commission prohibited approval of SGIP incentives for projects intended to only or primarily provide backup power in D.01</w:t>
      </w:r>
      <w:r w:rsidR="00757681">
        <w:noBreakHyphen/>
      </w:r>
      <w:r>
        <w:t>03</w:t>
      </w:r>
      <w:r w:rsidR="00757681">
        <w:noBreakHyphen/>
      </w:r>
      <w:r>
        <w:t>073.  The Commission’s reasoning at the time was that SGIP incentives are intended for distributed energy resources that provide grid benefits and projects used only or primarily for backup purposes do not provide grid benefits.</w:t>
      </w:r>
      <w:r>
        <w:rPr>
          <w:rStyle w:val="FootnoteReference"/>
        </w:rPr>
        <w:footnoteReference w:id="27"/>
      </w:r>
      <w:r>
        <w:t xml:space="preserve">  It is important to note, however, </w:t>
      </w:r>
      <w:r w:rsidR="00FA21D9">
        <w:t xml:space="preserve">that </w:t>
      </w:r>
      <w:r>
        <w:t xml:space="preserve">SGIP projects are allowed to provide backup power if they also meet the SGIP’s other system and operational requirements as these ensure </w:t>
      </w:r>
      <w:r>
        <w:lastRenderedPageBreak/>
        <w:t>that SGIP projects provide grid benefits and reduce GHGs.</w:t>
      </w:r>
      <w:r w:rsidR="00FA21D9">
        <w:t xml:space="preserve">  </w:t>
      </w:r>
      <w:r>
        <w:t xml:space="preserve">The </w:t>
      </w:r>
      <w:r w:rsidR="005F3AF5">
        <w:t>equity resiliency budget</w:t>
      </w:r>
      <w:r>
        <w:t xml:space="preserve"> meets this requirement because</w:t>
      </w:r>
      <w:r w:rsidR="00FA21D9">
        <w:t xml:space="preserve"> all other SGIP r</w:t>
      </w:r>
      <w:r w:rsidR="00AE025B">
        <w:t>equirements continue to apply.</w:t>
      </w:r>
    </w:p>
    <w:p w14:paraId="537FD56D" w14:textId="20CDAE06" w:rsidR="00AC5BBC" w:rsidRDefault="00117CC7" w:rsidP="00475C04">
      <w:pPr>
        <w:pStyle w:val="ALJBodyText"/>
      </w:pPr>
      <w:r>
        <w:t xml:space="preserve">The </w:t>
      </w:r>
      <w:r w:rsidR="00C94423">
        <w:t xml:space="preserve">new </w:t>
      </w:r>
      <w:r w:rsidR="00EA4AE2">
        <w:t xml:space="preserve">SGIP </w:t>
      </w:r>
      <w:r w:rsidR="005F3AF5">
        <w:t>equity resiliency budget</w:t>
      </w:r>
      <w:r w:rsidR="00C94423">
        <w:t xml:space="preserve"> </w:t>
      </w:r>
      <w:r>
        <w:t xml:space="preserve">is </w:t>
      </w:r>
      <w:r w:rsidR="00C94423">
        <w:t>for residential</w:t>
      </w:r>
      <w:r w:rsidR="002445C2">
        <w:t xml:space="preserve"> </w:t>
      </w:r>
      <w:r w:rsidR="00652229">
        <w:t xml:space="preserve">equity budget </w:t>
      </w:r>
      <w:r w:rsidR="00AF515C">
        <w:t>c</w:t>
      </w:r>
      <w:r w:rsidR="00046509">
        <w:t>ustomer</w:t>
      </w:r>
      <w:r w:rsidR="00AF515C">
        <w:t>s</w:t>
      </w:r>
      <w:r w:rsidR="00046509">
        <w:t xml:space="preserve"> </w:t>
      </w:r>
      <w:r w:rsidR="00AF515C">
        <w:t xml:space="preserve">with </w:t>
      </w:r>
      <w:r w:rsidR="00DA6ADE">
        <w:t xml:space="preserve">specified </w:t>
      </w:r>
      <w:r w:rsidR="00AF515C">
        <w:t>critical resiliency needs</w:t>
      </w:r>
      <w:r w:rsidR="00C94423">
        <w:t xml:space="preserve"> </w:t>
      </w:r>
      <w:r w:rsidR="000C4B37">
        <w:t xml:space="preserve">located </w:t>
      </w:r>
      <w:r w:rsidR="00C94423">
        <w:t>in Tier 3</w:t>
      </w:r>
      <w:r w:rsidR="008A13F4">
        <w:t xml:space="preserve"> </w:t>
      </w:r>
      <w:r w:rsidR="00AC5BBC">
        <w:t xml:space="preserve">and Tier 2 </w:t>
      </w:r>
      <w:r w:rsidR="00C94423">
        <w:t>HFTD</w:t>
      </w:r>
      <w:r w:rsidR="008A13F4">
        <w:t>s</w:t>
      </w:r>
      <w:r w:rsidR="001D4B45">
        <w:t xml:space="preserve">, with the exception that such customers are not required to </w:t>
      </w:r>
      <w:r w:rsidR="001D4B45" w:rsidRPr="001D4B45">
        <w:t>live in a single family home subject to resale restrictions or in multifamily deed restricted housin</w:t>
      </w:r>
      <w:r w:rsidR="001D4B45">
        <w:t xml:space="preserve">g, </w:t>
      </w:r>
      <w:r w:rsidR="00C94423">
        <w:t xml:space="preserve">and </w:t>
      </w:r>
      <w:r w:rsidR="008A13F4">
        <w:t xml:space="preserve">for </w:t>
      </w:r>
      <w:r w:rsidR="00C94423">
        <w:t>non</w:t>
      </w:r>
      <w:r w:rsidR="00757681">
        <w:noBreakHyphen/>
      </w:r>
      <w:r w:rsidR="00C94423">
        <w:t xml:space="preserve">residential customers providing critical </w:t>
      </w:r>
      <w:r w:rsidR="00E36D99">
        <w:t xml:space="preserve">facilities </w:t>
      </w:r>
      <w:r w:rsidR="00C94423">
        <w:t>t</w:t>
      </w:r>
      <w:r w:rsidR="001D4B45">
        <w:t xml:space="preserve">o </w:t>
      </w:r>
      <w:r w:rsidR="00C94423">
        <w:t xml:space="preserve">communities in Tier 3 </w:t>
      </w:r>
      <w:r w:rsidR="00AC5BBC">
        <w:t xml:space="preserve">and Tier 2 </w:t>
      </w:r>
      <w:r w:rsidR="00C94423">
        <w:t xml:space="preserve">HFTDs that are </w:t>
      </w:r>
      <w:r w:rsidR="00E36D99">
        <w:t xml:space="preserve">otherwise </w:t>
      </w:r>
      <w:r w:rsidR="00C94423">
        <w:t>eligible for the equity budget</w:t>
      </w:r>
      <w:r w:rsidR="00652229">
        <w:t>.</w:t>
      </w:r>
      <w:r w:rsidR="00C94423">
        <w:t xml:space="preserve">  We </w:t>
      </w:r>
      <w:r w:rsidR="001D4B45">
        <w:t xml:space="preserve">target </w:t>
      </w:r>
      <w:r w:rsidR="00C94423">
        <w:t>the prog</w:t>
      </w:r>
      <w:r w:rsidR="001D4B45">
        <w:t xml:space="preserve">ram to residential customers in </w:t>
      </w:r>
      <w:r w:rsidR="00C94423">
        <w:t xml:space="preserve">Tier 3 </w:t>
      </w:r>
      <w:r w:rsidR="00AC5BBC">
        <w:t xml:space="preserve">and Tier 2 </w:t>
      </w:r>
      <w:r w:rsidR="00C94423">
        <w:t xml:space="preserve">HFTDs </w:t>
      </w:r>
      <w:r w:rsidR="001D4B45">
        <w:t xml:space="preserve">and the critical facilities that support them </w:t>
      </w:r>
      <w:r w:rsidR="00C94423">
        <w:t xml:space="preserve">because </w:t>
      </w:r>
      <w:r w:rsidR="001D4B45">
        <w:t xml:space="preserve">Tier 3 </w:t>
      </w:r>
      <w:r w:rsidR="00AC5BBC">
        <w:t xml:space="preserve">and Tier 2 </w:t>
      </w:r>
      <w:r w:rsidR="001D4B45">
        <w:t>HFTDs</w:t>
      </w:r>
      <w:r w:rsidR="00F270A2">
        <w:t xml:space="preserve"> have previously been identified by C</w:t>
      </w:r>
      <w:r w:rsidR="008A13F4">
        <w:t xml:space="preserve">AL </w:t>
      </w:r>
      <w:r w:rsidR="00F270A2">
        <w:t>FIRE and the Commission as</w:t>
      </w:r>
      <w:r w:rsidR="00C94423">
        <w:t xml:space="preserve"> areas of the state that are most likely to be impacted by </w:t>
      </w:r>
      <w:r w:rsidR="00F270A2">
        <w:t xml:space="preserve">wildfires.  In the absence of further detailed information, we conclude that the Tier 3 </w:t>
      </w:r>
      <w:r w:rsidR="00AC5BBC">
        <w:t xml:space="preserve">and Tier 2 </w:t>
      </w:r>
      <w:r w:rsidR="00F270A2">
        <w:t>HFTDs are also areas likely to be impacted by PSPS events that are intended to avoid wildfires.</w:t>
      </w:r>
      <w:r w:rsidR="00AA1A66">
        <w:t xml:space="preserve">  </w:t>
      </w:r>
      <w:r w:rsidR="00AC5BBC">
        <w:t xml:space="preserve">We do </w:t>
      </w:r>
      <w:r w:rsidR="005E31BB">
        <w:t xml:space="preserve">not </w:t>
      </w:r>
      <w:r w:rsidR="00AC5BBC">
        <w:t xml:space="preserve">approve eligibility for the incentives for customers located in “PSPS zones,” as recommended by some parties, as these have not yet been clearly defined nor reviewed by the Commission. </w:t>
      </w:r>
    </w:p>
    <w:p w14:paraId="45678341" w14:textId="2B869FC3" w:rsidR="00C94423" w:rsidRDefault="00E36D99" w:rsidP="00475C04">
      <w:pPr>
        <w:pStyle w:val="ALJBodyText"/>
      </w:pPr>
      <w:r>
        <w:t>M</w:t>
      </w:r>
      <w:r w:rsidR="00AA1A66">
        <w:t xml:space="preserve">any </w:t>
      </w:r>
      <w:r w:rsidR="00A315DC">
        <w:t xml:space="preserve">eligible </w:t>
      </w:r>
      <w:r w:rsidR="00AA1A66">
        <w:t>non</w:t>
      </w:r>
      <w:r w:rsidR="00757681">
        <w:noBreakHyphen/>
      </w:r>
      <w:r w:rsidR="00AA1A66">
        <w:t xml:space="preserve">residential facilities </w:t>
      </w:r>
      <w:r>
        <w:t xml:space="preserve">would </w:t>
      </w:r>
      <w:r w:rsidR="00A315DC">
        <w:t>a</w:t>
      </w:r>
      <w:r w:rsidR="00AA1A66">
        <w:t xml:space="preserve">lso </w:t>
      </w:r>
      <w:r>
        <w:t xml:space="preserve">likely </w:t>
      </w:r>
      <w:r w:rsidR="00AA1A66">
        <w:t>provide services or infrastructure to customers in</w:t>
      </w:r>
      <w:r w:rsidR="00A315DC">
        <w:t xml:space="preserve"> </w:t>
      </w:r>
      <w:r w:rsidR="00AA1A66">
        <w:t xml:space="preserve">Tier </w:t>
      </w:r>
      <w:r w:rsidR="00AC5BBC">
        <w:t>1</w:t>
      </w:r>
      <w:r w:rsidR="00AA1A66">
        <w:t xml:space="preserve"> HFTDs</w:t>
      </w:r>
      <w:r w:rsidR="00A315DC">
        <w:t xml:space="preserve"> that are adjacent to the Tier </w:t>
      </w:r>
      <w:r w:rsidR="00AC5BBC">
        <w:t>2</w:t>
      </w:r>
      <w:r w:rsidR="00A315DC">
        <w:t xml:space="preserve"> districts</w:t>
      </w:r>
      <w:r>
        <w:t xml:space="preserve">, and this would not exclude the facilities from the </w:t>
      </w:r>
      <w:r w:rsidR="005F3AF5">
        <w:t>equity resiliency budget</w:t>
      </w:r>
      <w:r>
        <w:t xml:space="preserve">. </w:t>
      </w:r>
      <w:r w:rsidR="00AA1A66">
        <w:t xml:space="preserve"> </w:t>
      </w:r>
      <w:r w:rsidR="00875934">
        <w:t>F</w:t>
      </w:r>
      <w:r>
        <w:t xml:space="preserve">or the </w:t>
      </w:r>
      <w:r w:rsidR="005F3AF5">
        <w:t>equity resiliency budget</w:t>
      </w:r>
      <w:r w:rsidR="00754DCF">
        <w:t>,</w:t>
      </w:r>
      <w:r w:rsidR="00290B04">
        <w:t xml:space="preserve"> </w:t>
      </w:r>
      <w:r>
        <w:t xml:space="preserve">we </w:t>
      </w:r>
      <w:r w:rsidR="00875934">
        <w:t xml:space="preserve">also </w:t>
      </w:r>
      <w:r>
        <w:t xml:space="preserve">waive the requirement that </w:t>
      </w:r>
      <w:r w:rsidR="00AC4E63">
        <w:t xml:space="preserve">medical baseline </w:t>
      </w:r>
      <w:r>
        <w:t xml:space="preserve">customers </w:t>
      </w:r>
      <w:r w:rsidR="007A25E4">
        <w:t>or customers that have notified their utility of a life</w:t>
      </w:r>
      <w:r w:rsidR="00757681">
        <w:noBreakHyphen/>
      </w:r>
      <w:r w:rsidR="007A25E4">
        <w:t xml:space="preserve">threatening illness </w:t>
      </w:r>
      <w:r w:rsidR="00875934">
        <w:t xml:space="preserve">must </w:t>
      </w:r>
      <w:r>
        <w:t xml:space="preserve">live </w:t>
      </w:r>
      <w:r w:rsidRPr="00E36D99">
        <w:t>in a single family home subject to resale restrictions or in multifamily deed restricted housing</w:t>
      </w:r>
      <w:r>
        <w:t>.  Applying th</w:t>
      </w:r>
      <w:r w:rsidR="00875934">
        <w:t xml:space="preserve">is limitation </w:t>
      </w:r>
      <w:r>
        <w:lastRenderedPageBreak/>
        <w:t xml:space="preserve">would too restrictive and would excessively limit participation in the new program. </w:t>
      </w:r>
    </w:p>
    <w:p w14:paraId="0546A801" w14:textId="28660FF8" w:rsidR="00F270A2" w:rsidRDefault="00F270A2" w:rsidP="00475C04">
      <w:pPr>
        <w:pStyle w:val="ALJBodyText"/>
      </w:pPr>
      <w:r>
        <w:t>R</w:t>
      </w:r>
      <w:r w:rsidR="00C94423">
        <w:t xml:space="preserve">esidential </w:t>
      </w:r>
      <w:r w:rsidR="00AF515C">
        <w:t xml:space="preserve">customers </w:t>
      </w:r>
      <w:r>
        <w:t xml:space="preserve">are eligible for the </w:t>
      </w:r>
      <w:r w:rsidR="005F3AF5">
        <w:t>equity resiliency budget</w:t>
      </w:r>
      <w:r>
        <w:t xml:space="preserve"> if they </w:t>
      </w:r>
      <w:r w:rsidR="00A25ADE">
        <w:t>meet each of the following criteria</w:t>
      </w:r>
      <w:r>
        <w:t>:</w:t>
      </w:r>
    </w:p>
    <w:p w14:paraId="4BA66E07" w14:textId="16B60140" w:rsidR="00F270A2" w:rsidRDefault="00F270A2" w:rsidP="00D03B1D">
      <w:pPr>
        <w:pStyle w:val="ALJBodyText"/>
        <w:spacing w:after="160" w:line="240" w:lineRule="auto"/>
        <w:ind w:left="1080" w:right="720" w:hanging="360"/>
      </w:pPr>
      <w:r>
        <w:t>1.</w:t>
      </w:r>
      <w:r w:rsidR="00DE53B6">
        <w:tab/>
      </w:r>
      <w:r w:rsidR="00761C28">
        <w:t xml:space="preserve">Are </w:t>
      </w:r>
      <w:r w:rsidR="002445C2">
        <w:t xml:space="preserve">located in </w:t>
      </w:r>
      <w:r w:rsidR="00046509">
        <w:t xml:space="preserve">a </w:t>
      </w:r>
      <w:r w:rsidR="00ED5A94">
        <w:t xml:space="preserve">Tier 3 </w:t>
      </w:r>
      <w:r w:rsidR="00AC5BBC">
        <w:t xml:space="preserve">or Tier 2 </w:t>
      </w:r>
      <w:r w:rsidR="004F28C6">
        <w:t>HFT</w:t>
      </w:r>
      <w:r w:rsidR="00A841AE">
        <w:t>D</w:t>
      </w:r>
      <w:r>
        <w:t>;</w:t>
      </w:r>
      <w:r w:rsidR="00A841AE">
        <w:t xml:space="preserve"> </w:t>
      </w:r>
      <w:r w:rsidR="00046509">
        <w:t>and</w:t>
      </w:r>
      <w:r w:rsidR="001D4B45">
        <w:t xml:space="preserve">, </w:t>
      </w:r>
    </w:p>
    <w:p w14:paraId="2199337F" w14:textId="26D7CB8C" w:rsidR="00475C04" w:rsidRDefault="00DE53B6" w:rsidP="00DE53B6">
      <w:pPr>
        <w:pStyle w:val="ALJBodyText"/>
        <w:spacing w:after="160" w:line="240" w:lineRule="auto"/>
        <w:ind w:left="1080" w:right="720" w:hanging="360"/>
      </w:pPr>
      <w:r>
        <w:t>3.</w:t>
      </w:r>
      <w:r>
        <w:tab/>
      </w:r>
      <w:r w:rsidR="00761C28">
        <w:t>A</w:t>
      </w:r>
      <w:r w:rsidR="00A25ADE">
        <w:t>re</w:t>
      </w:r>
      <w:r w:rsidR="00046509">
        <w:t xml:space="preserve"> one of the following</w:t>
      </w:r>
      <w:r w:rsidR="00AF2573">
        <w:t xml:space="preserve">: </w:t>
      </w:r>
    </w:p>
    <w:p w14:paraId="15B39397" w14:textId="77777777" w:rsidR="00D03B1D" w:rsidRDefault="00D03B1D" w:rsidP="00DE53B6">
      <w:pPr>
        <w:pStyle w:val="ALJBodyText"/>
        <w:numPr>
          <w:ilvl w:val="2"/>
          <w:numId w:val="35"/>
        </w:numPr>
        <w:spacing w:after="160" w:line="240" w:lineRule="auto"/>
        <w:ind w:left="1440" w:right="720"/>
      </w:pPr>
      <w:r>
        <w:t xml:space="preserve">Eligible for the equity budget; or, </w:t>
      </w:r>
    </w:p>
    <w:p w14:paraId="75C9C423" w14:textId="19CE2D7B" w:rsidR="00297FCF" w:rsidRDefault="00297FCF" w:rsidP="00DE53B6">
      <w:pPr>
        <w:pStyle w:val="ALJBodyText"/>
        <w:numPr>
          <w:ilvl w:val="2"/>
          <w:numId w:val="35"/>
        </w:numPr>
        <w:spacing w:after="160" w:line="240" w:lineRule="auto"/>
        <w:ind w:left="1440" w:right="720"/>
      </w:pPr>
      <w:r>
        <w:t>M</w:t>
      </w:r>
      <w:r w:rsidRPr="00297FCF">
        <w:t>edical baseline customer</w:t>
      </w:r>
      <w:r>
        <w:t xml:space="preserve">; </w:t>
      </w:r>
      <w:r w:rsidR="00AC0ED5">
        <w:t>or</w:t>
      </w:r>
    </w:p>
    <w:p w14:paraId="4677F9EA" w14:textId="53A0BBB8" w:rsidR="00234D18" w:rsidRDefault="00297FCF" w:rsidP="00DE53B6">
      <w:pPr>
        <w:pStyle w:val="ALJBodyText"/>
        <w:numPr>
          <w:ilvl w:val="2"/>
          <w:numId w:val="35"/>
        </w:numPr>
        <w:spacing w:after="160" w:line="240" w:lineRule="auto"/>
        <w:ind w:left="1440" w:right="720"/>
      </w:pPr>
      <w:r>
        <w:t>C</w:t>
      </w:r>
      <w:r w:rsidRPr="00297FCF">
        <w:t xml:space="preserve">ustomer that </w:t>
      </w:r>
      <w:r>
        <w:t>ha</w:t>
      </w:r>
      <w:r w:rsidR="00046509">
        <w:t>s</w:t>
      </w:r>
      <w:r>
        <w:t xml:space="preserve"> </w:t>
      </w:r>
      <w:r w:rsidRPr="00297FCF">
        <w:t>notified</w:t>
      </w:r>
      <w:r>
        <w:t xml:space="preserve"> their utility</w:t>
      </w:r>
      <w:r w:rsidRPr="00297FCF">
        <w:t xml:space="preserve"> of serious illness or condition that could become life</w:t>
      </w:r>
      <w:r w:rsidR="00757681">
        <w:noBreakHyphen/>
      </w:r>
      <w:r w:rsidRPr="00297FCF">
        <w:t>threatening if electricity is disconnected</w:t>
      </w:r>
      <w:r w:rsidR="008A13F4">
        <w:t>.</w:t>
      </w:r>
      <w:r w:rsidR="0086371C">
        <w:rPr>
          <w:rStyle w:val="FootnoteReference"/>
        </w:rPr>
        <w:footnoteReference w:id="28"/>
      </w:r>
    </w:p>
    <w:p w14:paraId="6B74C7E7" w14:textId="77777777" w:rsidR="00875934" w:rsidRDefault="008A13F4" w:rsidP="00856B3F">
      <w:pPr>
        <w:pStyle w:val="ALJBodyText"/>
      </w:pPr>
      <w:r>
        <w:t>We call these customers “</w:t>
      </w:r>
      <w:r w:rsidR="0058005C">
        <w:t xml:space="preserve">SGIP </w:t>
      </w:r>
      <w:r>
        <w:t xml:space="preserve">critical resiliency needs” residential customers.  </w:t>
      </w:r>
    </w:p>
    <w:p w14:paraId="7DD78642" w14:textId="690627D2" w:rsidR="008A13F4" w:rsidRDefault="008A13F4" w:rsidP="00856B3F">
      <w:pPr>
        <w:pStyle w:val="ALJBodyText"/>
      </w:pPr>
      <w:r>
        <w:t xml:space="preserve">We also </w:t>
      </w:r>
      <w:r w:rsidR="000C4B37">
        <w:t xml:space="preserve">approve </w:t>
      </w:r>
      <w:r>
        <w:t xml:space="preserve">certain </w:t>
      </w:r>
      <w:r w:rsidR="000C4B37">
        <w:t>n</w:t>
      </w:r>
      <w:r w:rsidR="00F270A2">
        <w:t>on</w:t>
      </w:r>
      <w:r w:rsidR="00757681">
        <w:noBreakHyphen/>
      </w:r>
      <w:r w:rsidR="00F270A2">
        <w:t>residential customers a</w:t>
      </w:r>
      <w:r w:rsidR="000C4B37">
        <w:t>s</w:t>
      </w:r>
      <w:r w:rsidR="00F270A2">
        <w:t xml:space="preserve"> eligible for the </w:t>
      </w:r>
      <w:r w:rsidR="005F3AF5">
        <w:t>equity resiliency budget</w:t>
      </w:r>
      <w:r>
        <w:t>.  Non</w:t>
      </w:r>
      <w:r w:rsidR="00757681">
        <w:noBreakHyphen/>
      </w:r>
      <w:r>
        <w:t xml:space="preserve">residential customers eligible for the </w:t>
      </w:r>
      <w:r w:rsidR="005F3AF5">
        <w:t>equity resiliency budget</w:t>
      </w:r>
      <w:r>
        <w:t xml:space="preserve"> </w:t>
      </w:r>
      <w:r w:rsidR="00DC1D32">
        <w:t xml:space="preserve">must be located in a Tier </w:t>
      </w:r>
      <w:r w:rsidR="00AC5BBC">
        <w:t>3</w:t>
      </w:r>
      <w:r w:rsidR="00FA21D9">
        <w:t xml:space="preserve"> or Tier </w:t>
      </w:r>
      <w:r w:rsidR="00AC5BBC">
        <w:t>2</w:t>
      </w:r>
      <w:r w:rsidR="00DC1D32">
        <w:t xml:space="preserve"> HFTD </w:t>
      </w:r>
      <w:r w:rsidR="00E36D99">
        <w:t xml:space="preserve">and </w:t>
      </w:r>
      <w:r w:rsidR="00234D18" w:rsidRPr="00234D18">
        <w:t>provide</w:t>
      </w:r>
      <w:r w:rsidR="00CD6AA6">
        <w:t xml:space="preserve"> </w:t>
      </w:r>
      <w:r w:rsidR="00770173">
        <w:t xml:space="preserve">critical </w:t>
      </w:r>
      <w:r w:rsidR="00D5219A">
        <w:t>services</w:t>
      </w:r>
      <w:r w:rsidR="00234D18" w:rsidRPr="00234D18">
        <w:t xml:space="preserve"> or critical infrastructure</w:t>
      </w:r>
      <w:r w:rsidR="00B03FAE">
        <w:t xml:space="preserve"> </w:t>
      </w:r>
      <w:r>
        <w:t xml:space="preserve">during a PSPS event to </w:t>
      </w:r>
      <w:r w:rsidR="00234D18" w:rsidRPr="00234D18">
        <w:t>customers</w:t>
      </w:r>
      <w:r>
        <w:t xml:space="preserve"> located</w:t>
      </w:r>
      <w:r w:rsidR="00234D18" w:rsidRPr="00234D18">
        <w:t xml:space="preserve"> in</w:t>
      </w:r>
      <w:r w:rsidR="00652229">
        <w:t xml:space="preserve"> </w:t>
      </w:r>
      <w:r w:rsidR="00F270A2">
        <w:t xml:space="preserve">a </w:t>
      </w:r>
      <w:r w:rsidR="00652229">
        <w:t xml:space="preserve">community </w:t>
      </w:r>
      <w:r w:rsidR="00DC1D32">
        <w:t xml:space="preserve">located in a Tier 3 </w:t>
      </w:r>
      <w:r w:rsidR="00AC5BBC">
        <w:t xml:space="preserve">or Tier 2 </w:t>
      </w:r>
      <w:r w:rsidR="00DC1D32">
        <w:t xml:space="preserve">HFTD and </w:t>
      </w:r>
      <w:r w:rsidR="00652229">
        <w:t>eligible for the equity budget</w:t>
      </w:r>
      <w:r>
        <w:t xml:space="preserve">.  </w:t>
      </w:r>
    </w:p>
    <w:p w14:paraId="1DF57688" w14:textId="703B408D" w:rsidR="00AC0ED5" w:rsidRDefault="008A13F4" w:rsidP="00856B3F">
      <w:pPr>
        <w:pStyle w:val="ALJBodyText"/>
      </w:pPr>
      <w:r>
        <w:t>D.19</w:t>
      </w:r>
      <w:r w:rsidR="00757681">
        <w:noBreakHyphen/>
      </w:r>
      <w:r>
        <w:t>05</w:t>
      </w:r>
      <w:r w:rsidR="00757681">
        <w:noBreakHyphen/>
      </w:r>
      <w:r>
        <w:t xml:space="preserve">042 defines </w:t>
      </w:r>
      <w:r w:rsidR="00B03FAE">
        <w:t xml:space="preserve">these terms as follows: </w:t>
      </w:r>
    </w:p>
    <w:p w14:paraId="2CF92BF0" w14:textId="11C538F4" w:rsidR="00234D18" w:rsidRPr="00B03FAE" w:rsidRDefault="00B03FAE" w:rsidP="00DE53B6">
      <w:pPr>
        <w:pStyle w:val="ALJBodyText"/>
        <w:keepNext/>
        <w:keepLines/>
        <w:ind w:firstLine="0"/>
        <w:rPr>
          <w:u w:val="single"/>
        </w:rPr>
      </w:pPr>
      <w:r w:rsidRPr="00B03FAE">
        <w:rPr>
          <w:u w:val="single"/>
        </w:rPr>
        <w:t>Fi</w:t>
      </w:r>
      <w:r w:rsidR="002E1F3B" w:rsidRPr="00B03FAE">
        <w:rPr>
          <w:u w:val="single"/>
        </w:rPr>
        <w:t>rst responder/emergency responder</w:t>
      </w:r>
      <w:r w:rsidR="00F270A2" w:rsidRPr="00B03FAE">
        <w:rPr>
          <w:u w:val="single"/>
        </w:rPr>
        <w:t>/emergency response</w:t>
      </w:r>
      <w:r>
        <w:rPr>
          <w:u w:val="single"/>
        </w:rPr>
        <w:t xml:space="preserve"> provider</w:t>
      </w:r>
      <w:r w:rsidR="002E1F3B" w:rsidRPr="00B03FAE">
        <w:rPr>
          <w:u w:val="single"/>
        </w:rPr>
        <w:t xml:space="preserve">: </w:t>
      </w:r>
    </w:p>
    <w:p w14:paraId="643289CF" w14:textId="4596DC0B" w:rsidR="00916CB3" w:rsidRDefault="002E1F3B" w:rsidP="00DE53B6">
      <w:pPr>
        <w:pStyle w:val="ALJBlockQuote"/>
        <w:spacing w:before="0" w:after="160"/>
        <w:ind w:left="720" w:right="720"/>
      </w:pPr>
      <w:r>
        <w:t>I</w:t>
      </w:r>
      <w:r w:rsidR="00916CB3" w:rsidRPr="00916CB3">
        <w:t xml:space="preserve">ndividuals who, in the early stages of an incident, are responsible for the protection and </w:t>
      </w:r>
      <w:r w:rsidR="00565E86">
        <w:t>preservation o</w:t>
      </w:r>
      <w:r w:rsidR="00916CB3" w:rsidRPr="00916CB3">
        <w:t xml:space="preserve">f life, property, evidence, and the environment, including emergency response providers.  The term ‘emergency response providers’ includes </w:t>
      </w:r>
      <w:bookmarkStart w:id="37" w:name="_Hlk14785884"/>
      <w:r w:rsidR="00916CB3" w:rsidRPr="00916CB3">
        <w:t xml:space="preserve">federal, state, and local governmental and nongovernmental public safety, fire, law enforcement, emergency response, emergency medical services </w:t>
      </w:r>
      <w:r w:rsidR="00916CB3" w:rsidRPr="00916CB3">
        <w:lastRenderedPageBreak/>
        <w:t>providers (including hospital emergency facilities), and related personnel, agencies and authorities.</w:t>
      </w:r>
      <w:r>
        <w:rPr>
          <w:rStyle w:val="FootnoteReference"/>
        </w:rPr>
        <w:footnoteReference w:id="29"/>
      </w:r>
      <w:r w:rsidR="00916CB3" w:rsidRPr="00916CB3">
        <w:t xml:space="preserve">  </w:t>
      </w:r>
    </w:p>
    <w:bookmarkEnd w:id="37"/>
    <w:p w14:paraId="2F5D83DF" w14:textId="0E4018E4" w:rsidR="00916CB3" w:rsidRPr="00B03FAE" w:rsidRDefault="00B03FAE" w:rsidP="00DE53B6">
      <w:pPr>
        <w:pStyle w:val="ALJBodyText"/>
        <w:keepNext/>
        <w:keepLines/>
        <w:ind w:firstLine="0"/>
        <w:rPr>
          <w:u w:val="single"/>
        </w:rPr>
      </w:pPr>
      <w:r w:rsidRPr="00B03FAE">
        <w:rPr>
          <w:u w:val="single"/>
        </w:rPr>
        <w:t>C</w:t>
      </w:r>
      <w:r w:rsidR="002E1F3B" w:rsidRPr="00B03FAE">
        <w:rPr>
          <w:u w:val="single"/>
        </w:rPr>
        <w:t>ritical facilities and critical infrastructure:</w:t>
      </w:r>
    </w:p>
    <w:p w14:paraId="5EAAA9A1" w14:textId="7F3DCD46" w:rsidR="002E1F3B" w:rsidRPr="00916CB3" w:rsidRDefault="002E1F3B" w:rsidP="00DE53B6">
      <w:pPr>
        <w:pStyle w:val="ALJBlockQuote"/>
        <w:spacing w:before="0" w:after="160"/>
        <w:ind w:left="720" w:right="720"/>
      </w:pPr>
      <w:bookmarkStart w:id="38" w:name="_Hlk14785967"/>
      <w:r w:rsidRPr="002E1F3B">
        <w:t>Facilities that are essential to the public safety and that require additional assistance and advance planning to ensure resiliency during de</w:t>
      </w:r>
      <w:r w:rsidR="00757681">
        <w:noBreakHyphen/>
      </w:r>
      <w:r w:rsidRPr="002E1F3B">
        <w:t>energization events</w:t>
      </w:r>
      <w:r w:rsidR="00B03FAE">
        <w:t xml:space="preserve">. </w:t>
      </w:r>
      <w:r w:rsidR="0032323C">
        <w:t xml:space="preserve"> </w:t>
      </w:r>
      <w:r w:rsidR="00B03FAE">
        <w:t>P</w:t>
      </w:r>
      <w:r w:rsidRPr="002E1F3B">
        <w:t xml:space="preserve">olice </w:t>
      </w:r>
      <w:r w:rsidR="00B03FAE">
        <w:t>s</w:t>
      </w:r>
      <w:r w:rsidRPr="002E1F3B">
        <w:t xml:space="preserve">tations; </w:t>
      </w:r>
      <w:r w:rsidR="00B03FAE">
        <w:t>f</w:t>
      </w:r>
      <w:r w:rsidRPr="002E1F3B">
        <w:t xml:space="preserve">ire </w:t>
      </w:r>
      <w:r w:rsidR="00B03FAE">
        <w:t>s</w:t>
      </w:r>
      <w:r w:rsidRPr="002E1F3B">
        <w:t xml:space="preserve">tations; </w:t>
      </w:r>
      <w:r w:rsidR="00B03FAE">
        <w:t>e</w:t>
      </w:r>
      <w:r w:rsidRPr="002E1F3B">
        <w:t xml:space="preserve">mergency </w:t>
      </w:r>
      <w:r w:rsidR="00B03FAE">
        <w:t>o</w:t>
      </w:r>
      <w:r w:rsidRPr="002E1F3B">
        <w:t xml:space="preserve">perations </w:t>
      </w:r>
      <w:r w:rsidR="00B03FAE">
        <w:t>c</w:t>
      </w:r>
      <w:r w:rsidRPr="002E1F3B">
        <w:t xml:space="preserve">enters; </w:t>
      </w:r>
      <w:r w:rsidR="00B03FAE">
        <w:t>m</w:t>
      </w:r>
      <w:r w:rsidRPr="002E1F3B">
        <w:t xml:space="preserve">edical facilities including hospitals, skilled nursing facilities, nursing homes, blood banks, health care facilities, dialysis centers and hospice facilities; </w:t>
      </w:r>
      <w:r w:rsidR="00B03FAE">
        <w:t>s</w:t>
      </w:r>
      <w:r w:rsidRPr="002E1F3B">
        <w:t xml:space="preserve">chools and licensed daycare centers; </w:t>
      </w:r>
      <w:r w:rsidR="00B03FAE">
        <w:t>p</w:t>
      </w:r>
      <w:r w:rsidRPr="002E1F3B">
        <w:t>ublic and private utility facilities vital to maintaining or restoring normal service, including, but not limited to, interconnected publicly</w:t>
      </w:r>
      <w:r w:rsidR="00757681">
        <w:noBreakHyphen/>
      </w:r>
      <w:r w:rsidRPr="002E1F3B">
        <w:t xml:space="preserve">owned utilities and electric cooperatives; </w:t>
      </w:r>
      <w:r w:rsidR="00B03FAE">
        <w:t>f</w:t>
      </w:r>
      <w:r w:rsidRPr="002E1F3B">
        <w:t xml:space="preserve">acilities associated with the provision of drinking water including facilities used to pump, divert, transport, store, treat and deliver water; </w:t>
      </w:r>
      <w:r w:rsidR="00B03FAE">
        <w:t>c</w:t>
      </w:r>
      <w:r w:rsidRPr="002E1F3B">
        <w:t xml:space="preserve">ommunication carrier infrastructure including selective routers, central offices, head ends, cellular switches, remote terminals and cellular sites (or their functional equivalents); </w:t>
      </w:r>
      <w:r w:rsidR="00B03FAE">
        <w:t>j</w:t>
      </w:r>
      <w:r w:rsidRPr="002E1F3B">
        <w:t>ails and prisons</w:t>
      </w:r>
      <w:r>
        <w:t>.</w:t>
      </w:r>
      <w:r>
        <w:rPr>
          <w:rStyle w:val="FootnoteReference"/>
        </w:rPr>
        <w:footnoteReference w:id="30"/>
      </w:r>
    </w:p>
    <w:bookmarkEnd w:id="38"/>
    <w:p w14:paraId="31AC9E05" w14:textId="7ABC8074" w:rsidR="00A25ADE" w:rsidRDefault="002E7BFC" w:rsidP="00051996">
      <w:pPr>
        <w:pStyle w:val="ALJBodyText"/>
      </w:pPr>
      <w:r>
        <w:t xml:space="preserve">These definitions were adopted </w:t>
      </w:r>
      <w:r w:rsidR="003D34A0">
        <w:t xml:space="preserve">for notification purposes.  </w:t>
      </w:r>
      <w:r w:rsidR="002477E5">
        <w:t xml:space="preserve">For SGIP, </w:t>
      </w:r>
      <w:r w:rsidR="00A25ADE">
        <w:t xml:space="preserve">we adopt a </w:t>
      </w:r>
      <w:r w:rsidR="00D44100">
        <w:t xml:space="preserve">somewhat </w:t>
      </w:r>
      <w:r w:rsidR="00A25ADE">
        <w:t xml:space="preserve">narrower </w:t>
      </w:r>
      <w:r w:rsidR="00B03FAE">
        <w:t xml:space="preserve">definition that includes only </w:t>
      </w:r>
      <w:r w:rsidR="00A25ADE">
        <w:t>the most critical facilities</w:t>
      </w:r>
      <w:r w:rsidR="00CD6AA6">
        <w:t xml:space="preserve"> and infrastructure</w:t>
      </w:r>
      <w:r w:rsidR="00A25ADE">
        <w:t xml:space="preserve"> and those with </w:t>
      </w:r>
      <w:r w:rsidR="00B03FAE">
        <w:t xml:space="preserve">the least </w:t>
      </w:r>
      <w:r w:rsidR="00A25ADE">
        <w:t xml:space="preserve">ability to fund a storage system.  </w:t>
      </w:r>
      <w:r w:rsidR="00FA21D9">
        <w:t xml:space="preserve">Our intent with the new budget is to target customers that qualify for the equity budget that are located in Tier 3 </w:t>
      </w:r>
      <w:r w:rsidR="00AC5BBC">
        <w:t xml:space="preserve">or Tier 2 </w:t>
      </w:r>
      <w:r w:rsidR="00FA21D9">
        <w:t xml:space="preserve">HFTDs. </w:t>
      </w:r>
      <w:r w:rsidR="002C1FE0">
        <w:t xml:space="preserve"> </w:t>
      </w:r>
      <w:r w:rsidR="00A25ADE">
        <w:t xml:space="preserve">We </w:t>
      </w:r>
      <w:r w:rsidR="00B03FAE">
        <w:t>also add to our adopted definition</w:t>
      </w:r>
      <w:r w:rsidR="00A25ADE">
        <w:t xml:space="preserve"> </w:t>
      </w:r>
      <w:r w:rsidR="002F300E">
        <w:t>any</w:t>
      </w:r>
      <w:r w:rsidR="00A25ADE">
        <w:t xml:space="preserve"> locations design</w:t>
      </w:r>
      <w:r w:rsidR="00306447">
        <w:t>at</w:t>
      </w:r>
      <w:r w:rsidR="00A25ADE">
        <w:t xml:space="preserve">ed by </w:t>
      </w:r>
      <w:r w:rsidR="00B03FAE">
        <w:t>investor</w:t>
      </w:r>
      <w:r w:rsidR="00757681">
        <w:noBreakHyphen/>
      </w:r>
      <w:r w:rsidR="00B03FAE">
        <w:t>owned utilities (</w:t>
      </w:r>
      <w:r w:rsidR="00A25ADE">
        <w:t>IOUs</w:t>
      </w:r>
      <w:r w:rsidR="00B03FAE">
        <w:t>)</w:t>
      </w:r>
      <w:r w:rsidR="00A25ADE">
        <w:t xml:space="preserve"> to provide </w:t>
      </w:r>
      <w:r w:rsidR="00B03FAE">
        <w:t xml:space="preserve">customers with </w:t>
      </w:r>
      <w:r w:rsidR="00A25ADE">
        <w:t>assistance during a PSPS event</w:t>
      </w:r>
      <w:r w:rsidR="00B9581C">
        <w:t>,</w:t>
      </w:r>
      <w:r w:rsidR="00C22C91">
        <w:t xml:space="preserve"> government</w:t>
      </w:r>
      <w:r w:rsidR="00757681">
        <w:noBreakHyphen/>
      </w:r>
      <w:r w:rsidR="00C22C91">
        <w:t>designated cooling centers</w:t>
      </w:r>
      <w:r w:rsidR="00796AA0">
        <w:t xml:space="preserve"> and “911 call centers</w:t>
      </w:r>
      <w:r w:rsidR="00121D09">
        <w:t xml:space="preserve">,” </w:t>
      </w:r>
      <w:r w:rsidR="00796AA0">
        <w:t xml:space="preserve">also referred to as “Public Safety </w:t>
      </w:r>
      <w:r w:rsidR="00796AA0">
        <w:lastRenderedPageBreak/>
        <w:t xml:space="preserve">Answering </w:t>
      </w:r>
      <w:r w:rsidR="00B9581C">
        <w:t>Points.”</w:t>
      </w:r>
      <w:r w:rsidR="00121D09" w:rsidRPr="006B54E2">
        <w:rPr>
          <w:vertAlign w:val="superscript"/>
        </w:rPr>
        <w:footnoteReference w:id="31"/>
      </w:r>
      <w:r w:rsidR="00A25ADE">
        <w:t xml:space="preserve">  In addition, in light of the focus of this program on equity, we include homeless shelters </w:t>
      </w:r>
      <w:r w:rsidR="00B03FAE">
        <w:t xml:space="preserve">supported by federal, state, or local governments </w:t>
      </w:r>
      <w:r w:rsidR="00A25ADE">
        <w:t xml:space="preserve">that provide services for members of a community in a Tier 3 </w:t>
      </w:r>
      <w:r w:rsidR="002C1FE0">
        <w:t xml:space="preserve">or Tier 2 </w:t>
      </w:r>
      <w:r w:rsidR="00A25ADE">
        <w:t>HFTD, without a further requirement of eligibility for the equity budget</w:t>
      </w:r>
      <w:r w:rsidR="00B03FAE">
        <w:t>.</w:t>
      </w:r>
      <w:r w:rsidR="00A25ADE">
        <w:t xml:space="preserve"> </w:t>
      </w:r>
    </w:p>
    <w:p w14:paraId="4A2AC5DC" w14:textId="5E2791BB" w:rsidR="00CD539F" w:rsidRDefault="00B03FAE" w:rsidP="00051996">
      <w:pPr>
        <w:pStyle w:val="ALJBodyText"/>
      </w:pPr>
      <w:r>
        <w:t>We approve the</w:t>
      </w:r>
      <w:r w:rsidR="00A25ADE">
        <w:t xml:space="preserve"> </w:t>
      </w:r>
      <w:r w:rsidR="00D44100">
        <w:t xml:space="preserve">following </w:t>
      </w:r>
      <w:r w:rsidR="00A25ADE">
        <w:t xml:space="preserve">facilities </w:t>
      </w:r>
      <w:r w:rsidR="00D44100">
        <w:t>a</w:t>
      </w:r>
      <w:r>
        <w:t>s</w:t>
      </w:r>
      <w:r w:rsidR="00D44100">
        <w:t xml:space="preserve"> eligible for the </w:t>
      </w:r>
      <w:r w:rsidR="005F3AF5">
        <w:t>equity resiliency budget</w:t>
      </w:r>
      <w:r w:rsidR="00D44100">
        <w:t xml:space="preserve"> if they</w:t>
      </w:r>
      <w:r w:rsidR="00A25ADE">
        <w:t xml:space="preserve"> </w:t>
      </w:r>
      <w:r w:rsidR="00DC1D32">
        <w:t xml:space="preserve">are located in a Tier </w:t>
      </w:r>
      <w:r w:rsidR="00FA21D9">
        <w:t xml:space="preserve">2 or Tier </w:t>
      </w:r>
      <w:r w:rsidR="00DC1D32">
        <w:t xml:space="preserve">3 HFTD and </w:t>
      </w:r>
      <w:r w:rsidR="00A25ADE">
        <w:t xml:space="preserve">provide </w:t>
      </w:r>
      <w:r w:rsidR="00CD6AA6">
        <w:t xml:space="preserve">critical </w:t>
      </w:r>
      <w:r>
        <w:t xml:space="preserve">services or infrastructure </w:t>
      </w:r>
      <w:r w:rsidR="00A25ADE">
        <w:t xml:space="preserve">for a community </w:t>
      </w:r>
      <w:r w:rsidR="00CD539F">
        <w:t xml:space="preserve">that is </w:t>
      </w:r>
      <w:r>
        <w:t xml:space="preserve">located </w:t>
      </w:r>
      <w:r w:rsidR="00A25ADE">
        <w:t xml:space="preserve">in a Tier 3 </w:t>
      </w:r>
      <w:r w:rsidR="002C1FE0">
        <w:t xml:space="preserve">or Tier 2 </w:t>
      </w:r>
      <w:r w:rsidR="00A25ADE">
        <w:t xml:space="preserve">HFTD </w:t>
      </w:r>
      <w:r w:rsidR="00CD539F">
        <w:t xml:space="preserve">and </w:t>
      </w:r>
      <w:r w:rsidR="00A25ADE">
        <w:t>eligible for the equity</w:t>
      </w:r>
      <w:r w:rsidR="00CD539F">
        <w:t xml:space="preserve"> budget</w:t>
      </w:r>
      <w:r w:rsidR="00D44100">
        <w:t>:</w:t>
      </w:r>
    </w:p>
    <w:p w14:paraId="178AD3E9" w14:textId="50B8E9F9" w:rsidR="00D44100" w:rsidRDefault="00CD539F" w:rsidP="00DE53B6">
      <w:pPr>
        <w:pStyle w:val="ALJBlockQuote"/>
        <w:spacing w:before="0" w:after="160"/>
        <w:ind w:left="720" w:right="720"/>
      </w:pPr>
      <w:r w:rsidRPr="002E1F3B">
        <w:t xml:space="preserve">Police </w:t>
      </w:r>
      <w:r w:rsidR="00B03FAE">
        <w:t>s</w:t>
      </w:r>
      <w:r w:rsidRPr="002E1F3B">
        <w:t xml:space="preserve">tations; </w:t>
      </w:r>
      <w:r w:rsidR="00B03FAE">
        <w:t>f</w:t>
      </w:r>
      <w:r w:rsidRPr="002E1F3B">
        <w:t xml:space="preserve">ire </w:t>
      </w:r>
      <w:r w:rsidR="00B03FAE">
        <w:t>s</w:t>
      </w:r>
      <w:r w:rsidRPr="002E1F3B">
        <w:t xml:space="preserve">tations; </w:t>
      </w:r>
      <w:r w:rsidR="00B03FAE">
        <w:t>e</w:t>
      </w:r>
      <w:r w:rsidR="00C22C91">
        <w:t xml:space="preserve">mergency </w:t>
      </w:r>
      <w:r w:rsidR="00B03FAE">
        <w:t>r</w:t>
      </w:r>
      <w:r w:rsidR="00C22C91">
        <w:t xml:space="preserve">esponse </w:t>
      </w:r>
      <w:r w:rsidR="00B03FAE">
        <w:t>p</w:t>
      </w:r>
      <w:r w:rsidR="00C22C91">
        <w:t>roviders</w:t>
      </w:r>
      <w:r w:rsidR="00E36D99" w:rsidRPr="00E36D99">
        <w:t xml:space="preserve"> </w:t>
      </w:r>
      <w:r w:rsidR="00E36D99">
        <w:t xml:space="preserve">as defined in </w:t>
      </w:r>
      <w:r w:rsidR="00E36D99" w:rsidRPr="00E36D99">
        <w:t>D.19</w:t>
      </w:r>
      <w:r w:rsidR="00757681">
        <w:noBreakHyphen/>
      </w:r>
      <w:r w:rsidR="00E36D99" w:rsidRPr="00E36D99">
        <w:t>05</w:t>
      </w:r>
      <w:r w:rsidR="00757681">
        <w:noBreakHyphen/>
      </w:r>
      <w:r w:rsidR="00E36D99" w:rsidRPr="00E36D99">
        <w:t>042</w:t>
      </w:r>
      <w:r w:rsidR="00C22C91">
        <w:t xml:space="preserve">; </w:t>
      </w:r>
      <w:r w:rsidR="00B03FAE">
        <w:t>e</w:t>
      </w:r>
      <w:r w:rsidRPr="002E1F3B">
        <w:t xml:space="preserve">mergency </w:t>
      </w:r>
      <w:r w:rsidR="00B03FAE">
        <w:t>o</w:t>
      </w:r>
      <w:r w:rsidRPr="002E1F3B">
        <w:t xml:space="preserve">perations </w:t>
      </w:r>
      <w:r w:rsidR="00B03FAE">
        <w:t>c</w:t>
      </w:r>
      <w:r w:rsidRPr="002E1F3B">
        <w:t xml:space="preserve">enters; </w:t>
      </w:r>
      <w:r w:rsidR="008339F6">
        <w:t>911 call centers (also referred to as Public Safety Answering Points</w:t>
      </w:r>
      <w:r w:rsidR="00121D09">
        <w:t>)</w:t>
      </w:r>
      <w:r w:rsidR="008339F6">
        <w:t xml:space="preserve">; </w:t>
      </w:r>
      <w:r w:rsidR="00B03FAE">
        <w:t>m</w:t>
      </w:r>
      <w:r w:rsidRPr="002E1F3B">
        <w:t xml:space="preserve">edical facilities including hospitals, skilled nursing facilities, nursing homes, blood banks, health care facilities, dialysis centers and hospice facilities; </w:t>
      </w:r>
      <w:r w:rsidR="00823310">
        <w:t>p</w:t>
      </w:r>
      <w:r w:rsidRPr="002E1F3B">
        <w:t xml:space="preserve">ublic and private </w:t>
      </w:r>
      <w:r>
        <w:t xml:space="preserve">gas, </w:t>
      </w:r>
      <w:r w:rsidRPr="002E1F3B">
        <w:t>electric</w:t>
      </w:r>
      <w:r>
        <w:t>, water, wastewater or flood control facilities</w:t>
      </w:r>
      <w:r w:rsidRPr="002E1F3B">
        <w:t xml:space="preserve">; </w:t>
      </w:r>
      <w:r w:rsidR="00823310">
        <w:t>j</w:t>
      </w:r>
      <w:r w:rsidRPr="002E1F3B">
        <w:t>ails and prisons</w:t>
      </w:r>
      <w:r>
        <w:t>;</w:t>
      </w:r>
      <w:r w:rsidR="00823310">
        <w:t xml:space="preserve"> l</w:t>
      </w:r>
      <w:r w:rsidR="00306447">
        <w:t xml:space="preserve">ocations designated by the IOUs to provide assistance during PSPS events; </w:t>
      </w:r>
      <w:r w:rsidR="00823310">
        <w:t>c</w:t>
      </w:r>
      <w:r w:rsidR="000920C9">
        <w:t xml:space="preserve">ooling centers designated by </w:t>
      </w:r>
      <w:r w:rsidR="00C22C91">
        <w:t xml:space="preserve">state or </w:t>
      </w:r>
      <w:r w:rsidR="000920C9">
        <w:t>local governments</w:t>
      </w:r>
      <w:r w:rsidR="003D1F9D">
        <w:t>;</w:t>
      </w:r>
      <w:r w:rsidR="000920C9">
        <w:t xml:space="preserve"> </w:t>
      </w:r>
      <w:r>
        <w:t>and</w:t>
      </w:r>
      <w:r w:rsidR="00823310">
        <w:t>, h</w:t>
      </w:r>
      <w:r>
        <w:t xml:space="preserve">omeless shelters </w:t>
      </w:r>
      <w:r w:rsidR="00C83527">
        <w:t>supported by federal, state, or local government</w:t>
      </w:r>
      <w:r w:rsidR="0002772E">
        <w:t>s</w:t>
      </w:r>
      <w:r w:rsidR="00823310">
        <w:t>.</w:t>
      </w:r>
    </w:p>
    <w:p w14:paraId="392F2E66" w14:textId="2CF1EF10" w:rsidR="00234D18" w:rsidRDefault="00823310" w:rsidP="00051996">
      <w:pPr>
        <w:pStyle w:val="ALJBodyText"/>
      </w:pPr>
      <w:r>
        <w:t xml:space="preserve">We call these </w:t>
      </w:r>
      <w:r w:rsidR="002403D6">
        <w:t>SGIP</w:t>
      </w:r>
      <w:r>
        <w:t xml:space="preserve"> critical resiliency needs non</w:t>
      </w:r>
      <w:r w:rsidR="00757681">
        <w:noBreakHyphen/>
      </w:r>
      <w:r>
        <w:t xml:space="preserve">residential customers.  </w:t>
      </w:r>
      <w:r w:rsidR="00875934">
        <w:t>Our adopted approach</w:t>
      </w:r>
      <w:r w:rsidR="002E1F3B">
        <w:t xml:space="preserve"> </w:t>
      </w:r>
      <w:r w:rsidR="00051996">
        <w:t>enables the Co</w:t>
      </w:r>
      <w:r w:rsidR="002E1F3B">
        <w:t xml:space="preserve">mmission to target limited equity budget </w:t>
      </w:r>
      <w:r w:rsidR="00051996">
        <w:t>incentive funds to the most vulnerable customers</w:t>
      </w:r>
      <w:r w:rsidR="002E1F3B">
        <w:t xml:space="preserve"> and </w:t>
      </w:r>
      <w:r>
        <w:t xml:space="preserve">to </w:t>
      </w:r>
      <w:r w:rsidR="002E1F3B">
        <w:t xml:space="preserve">those that </w:t>
      </w:r>
      <w:r w:rsidR="002E1F3B" w:rsidRPr="00F67613">
        <w:t>provide critical services</w:t>
      </w:r>
      <w:r w:rsidRPr="00F67613">
        <w:t xml:space="preserve"> or infrastructure</w:t>
      </w:r>
      <w:r w:rsidR="00AE025B">
        <w:t xml:space="preserve">. </w:t>
      </w:r>
      <w:r w:rsidR="00AF2573" w:rsidRPr="00F67613">
        <w:t xml:space="preserve"> We discuss this </w:t>
      </w:r>
      <w:r w:rsidR="002E1F3B" w:rsidRPr="00F67613">
        <w:t xml:space="preserve">issue </w:t>
      </w:r>
      <w:r w:rsidR="00AF2573" w:rsidRPr="00F67613">
        <w:t xml:space="preserve">further in Section </w:t>
      </w:r>
      <w:r w:rsidRPr="00D32CB0">
        <w:t>5</w:t>
      </w:r>
      <w:r w:rsidR="00AF2573" w:rsidRPr="00D32CB0">
        <w:t>, which adopts</w:t>
      </w:r>
      <w:r w:rsidR="007E690E" w:rsidRPr="00F67613">
        <w:t xml:space="preserve"> a</w:t>
      </w:r>
      <w:r w:rsidRPr="00F67613">
        <w:t xml:space="preserve">n </w:t>
      </w:r>
      <w:r w:rsidR="00AF2573" w:rsidRPr="00F67613">
        <w:t>eq</w:t>
      </w:r>
      <w:r w:rsidR="002E1F3B" w:rsidRPr="00F67613">
        <w:t xml:space="preserve">uity </w:t>
      </w:r>
      <w:r w:rsidRPr="00F67613">
        <w:t xml:space="preserve">resiliency </w:t>
      </w:r>
      <w:r w:rsidR="002E1F3B" w:rsidRPr="00F67613">
        <w:t xml:space="preserve">incentive for </w:t>
      </w:r>
      <w:r w:rsidR="00AF2573" w:rsidRPr="00F67613">
        <w:t>customers</w:t>
      </w:r>
      <w:r w:rsidR="002E1F3B" w:rsidRPr="00F67613">
        <w:t xml:space="preserve"> with critical resiliency needs</w:t>
      </w:r>
      <w:r w:rsidRPr="00F67613">
        <w:t xml:space="preserve"> and Section 11, which adopts </w:t>
      </w:r>
      <w:r w:rsidR="00496E76">
        <w:t>the</w:t>
      </w:r>
      <w:r w:rsidRPr="00F67613">
        <w:t xml:space="preserve"> equity resiliency budget.</w:t>
      </w:r>
      <w:r>
        <w:t xml:space="preserve"> </w:t>
      </w:r>
    </w:p>
    <w:p w14:paraId="195980D5" w14:textId="3FCD3BC0" w:rsidR="00586370" w:rsidRDefault="00CB1D5B" w:rsidP="00CE14ED">
      <w:pPr>
        <w:pStyle w:val="ALJHeading1"/>
      </w:pPr>
      <w:bookmarkStart w:id="39" w:name="_Toc15908070"/>
      <w:r>
        <w:lastRenderedPageBreak/>
        <w:t xml:space="preserve">Equity Budget </w:t>
      </w:r>
      <w:r w:rsidR="00586370">
        <w:t>Incentive Design</w:t>
      </w:r>
      <w:bookmarkEnd w:id="39"/>
      <w:r w:rsidR="00C533A1">
        <w:t xml:space="preserve"> </w:t>
      </w:r>
    </w:p>
    <w:p w14:paraId="0429A11F" w14:textId="5F7B31BE" w:rsidR="001D5B7A" w:rsidRDefault="00823310" w:rsidP="00F21030">
      <w:pPr>
        <w:pStyle w:val="ALJBodyText"/>
      </w:pPr>
      <w:r>
        <w:t xml:space="preserve">The Commission </w:t>
      </w:r>
      <w:r w:rsidR="00F21030">
        <w:t>adopted a</w:t>
      </w:r>
      <w:r>
        <w:t xml:space="preserve">n incentive structure that reduces or </w:t>
      </w:r>
      <w:r w:rsidR="00F21030">
        <w:t>step</w:t>
      </w:r>
      <w:r>
        <w:t>s</w:t>
      </w:r>
      <w:r w:rsidR="00757681">
        <w:noBreakHyphen/>
      </w:r>
      <w:r w:rsidR="00F21030">
        <w:t>down incentives for energy storage projects with discharge</w:t>
      </w:r>
      <w:r>
        <w:t xml:space="preserve"> </w:t>
      </w:r>
      <w:r w:rsidR="00F21030">
        <w:t>durations longer than two hours</w:t>
      </w:r>
      <w:r>
        <w:t xml:space="preserve"> in D.16</w:t>
      </w:r>
      <w:r w:rsidR="00757681">
        <w:noBreakHyphen/>
      </w:r>
      <w:r>
        <w:t>06</w:t>
      </w:r>
      <w:r w:rsidR="00757681">
        <w:noBreakHyphen/>
      </w:r>
      <w:r>
        <w:t>055</w:t>
      </w:r>
      <w:r w:rsidR="00F21030">
        <w:t xml:space="preserve">.  This </w:t>
      </w:r>
      <w:r>
        <w:t xml:space="preserve">duration </w:t>
      </w:r>
      <w:r w:rsidR="00F21030">
        <w:t>step</w:t>
      </w:r>
      <w:r w:rsidR="00757681">
        <w:noBreakHyphen/>
      </w:r>
      <w:r w:rsidR="00F21030">
        <w:t xml:space="preserve">down incentive structure applies to all storage </w:t>
      </w:r>
      <w:r w:rsidR="00F21030" w:rsidRPr="00BF3A97">
        <w:t>projects</w:t>
      </w:r>
      <w:r w:rsidRPr="00BF3A97">
        <w:t>, including</w:t>
      </w:r>
      <w:r w:rsidR="00F21030" w:rsidRPr="00BF3A97">
        <w:t xml:space="preserve"> equity budget projects.</w:t>
      </w:r>
      <w:r w:rsidR="00D90C3E" w:rsidRPr="00BF3A97">
        <w:rPr>
          <w:rStyle w:val="FootnoteReference"/>
        </w:rPr>
        <w:footnoteReference w:id="32"/>
      </w:r>
      <w:r w:rsidR="00F21030" w:rsidRPr="00BF3A97">
        <w:t xml:space="preserve">  The</w:t>
      </w:r>
      <w:r w:rsidR="00F21030">
        <w:t xml:space="preserve"> Commission adopted this approach to prioritize SGIP incentives for storage with </w:t>
      </w:r>
      <w:r>
        <w:t xml:space="preserve">a </w:t>
      </w:r>
      <w:r w:rsidR="00F21030">
        <w:t>discharge duration of two hours or less</w:t>
      </w:r>
      <w:r>
        <w:t xml:space="preserve"> because it believed </w:t>
      </w:r>
      <w:r w:rsidR="00F21030">
        <w:t>that economies of scale for longer</w:t>
      </w:r>
      <w:r>
        <w:t xml:space="preserve"> </w:t>
      </w:r>
      <w:r w:rsidR="00F21030">
        <w:t>duration projects reduce</w:t>
      </w:r>
      <w:r>
        <w:t>s</w:t>
      </w:r>
      <w:r w:rsidR="00F21030">
        <w:t xml:space="preserve"> </w:t>
      </w:r>
      <w:r>
        <w:t xml:space="preserve">battery </w:t>
      </w:r>
      <w:r w:rsidR="00F21030">
        <w:t>costs even if associated system costs stay</w:t>
      </w:r>
      <w:r>
        <w:t xml:space="preserve"> </w:t>
      </w:r>
      <w:r w:rsidR="00F21030">
        <w:t xml:space="preserve">roughly the same.  </w:t>
      </w:r>
      <w:r>
        <w:t>D.16</w:t>
      </w:r>
      <w:r w:rsidR="00757681">
        <w:noBreakHyphen/>
      </w:r>
      <w:r>
        <w:t>05</w:t>
      </w:r>
      <w:r w:rsidR="00757681">
        <w:noBreakHyphen/>
      </w:r>
      <w:r>
        <w:t>055 reduced</w:t>
      </w:r>
      <w:r w:rsidR="00F21030">
        <w:t xml:space="preserve"> SGIP incentives for energy storage projects to 50 percent for capacity </w:t>
      </w:r>
      <w:r w:rsidR="00AE025B">
        <w:t>discharged beyond two hours, 25 </w:t>
      </w:r>
      <w:r w:rsidR="00F21030">
        <w:t>percent for capacity discharged beyond four hours, and eliminated for capacity discharged beyond six hours.</w:t>
      </w:r>
      <w:r w:rsidR="00E428F1">
        <w:rPr>
          <w:rStyle w:val="FootnoteReference"/>
        </w:rPr>
        <w:footnoteReference w:id="33"/>
      </w:r>
      <w:r w:rsidR="00F21030">
        <w:t xml:space="preserve">  </w:t>
      </w:r>
      <w:r w:rsidR="001D5B7A">
        <w:t xml:space="preserve"> </w:t>
      </w:r>
    </w:p>
    <w:p w14:paraId="59A5DD01" w14:textId="358CDA17" w:rsidR="00625D5F" w:rsidRDefault="00823310" w:rsidP="00823310">
      <w:pPr>
        <w:pStyle w:val="ALJBodyText"/>
      </w:pPr>
      <w:r>
        <w:t>The Commission adopted the SGIP equity budget incentive structure in D.17</w:t>
      </w:r>
      <w:r w:rsidR="00757681">
        <w:noBreakHyphen/>
      </w:r>
      <w:r>
        <w:t>10</w:t>
      </w:r>
      <w:r w:rsidR="00757681">
        <w:noBreakHyphen/>
      </w:r>
      <w:r>
        <w:t>004.  D.17</w:t>
      </w:r>
      <w:r w:rsidR="00757681">
        <w:noBreakHyphen/>
      </w:r>
      <w:r>
        <w:t>10</w:t>
      </w:r>
      <w:r w:rsidR="00757681">
        <w:noBreakHyphen/>
      </w:r>
      <w:r>
        <w:t>004 “links” the equity and general storage incentives by requiring each PA’s general storage incentives to reach step three before that PA’s equity budget could open with an equivalent incentive level.  D.17</w:t>
      </w:r>
      <w:r w:rsidR="00757681">
        <w:noBreakHyphen/>
      </w:r>
      <w:r>
        <w:t>10</w:t>
      </w:r>
      <w:r w:rsidR="00757681">
        <w:noBreakHyphen/>
      </w:r>
      <w:r>
        <w:t xml:space="preserve">004 also directs each PA to individually increase </w:t>
      </w:r>
      <w:r w:rsidR="00625D5F">
        <w:t>or “step</w:t>
      </w:r>
      <w:r w:rsidR="00757681">
        <w:noBreakHyphen/>
      </w:r>
      <w:r w:rsidR="00625D5F">
        <w:t xml:space="preserve">up” </w:t>
      </w:r>
      <w:r>
        <w:t>its equity budget incentive rate by $0.05/Wh after any rolling three</w:t>
      </w:r>
      <w:r w:rsidR="00757681">
        <w:noBreakHyphen/>
      </w:r>
      <w:r>
        <w:t>month period in which the equity budget confirms zero incentive reservations for storage projects and the PA’s general budget confirms at least five reservations</w:t>
      </w:r>
      <w:r w:rsidR="00625D5F">
        <w:t xml:space="preserve">.  </w:t>
      </w:r>
      <w:r w:rsidRPr="00823310">
        <w:t>D.17</w:t>
      </w:r>
      <w:r w:rsidR="00757681">
        <w:noBreakHyphen/>
      </w:r>
      <w:r w:rsidRPr="00823310">
        <w:t>10</w:t>
      </w:r>
      <w:r w:rsidR="00757681">
        <w:noBreakHyphen/>
      </w:r>
      <w:r w:rsidRPr="00823310">
        <w:t xml:space="preserve">004 caps equity budget incentives at $0.50/Wh.  </w:t>
      </w:r>
    </w:p>
    <w:p w14:paraId="55E59A77" w14:textId="2B4F67A0" w:rsidR="0037295E" w:rsidRPr="009C4E5A" w:rsidRDefault="001D5B7A" w:rsidP="00AE025B">
      <w:pPr>
        <w:pStyle w:val="ALJBodyText"/>
      </w:pPr>
      <w:r>
        <w:lastRenderedPageBreak/>
        <w:t>This section modifies the incentive step</w:t>
      </w:r>
      <w:r w:rsidR="00757681">
        <w:noBreakHyphen/>
      </w:r>
      <w:r>
        <w:t xml:space="preserve">down </w:t>
      </w:r>
      <w:r w:rsidR="00823310">
        <w:t>structure</w:t>
      </w:r>
      <w:r>
        <w:t xml:space="preserve"> for longer duration projects adopted in D.16</w:t>
      </w:r>
      <w:r w:rsidR="00757681">
        <w:noBreakHyphen/>
      </w:r>
      <w:r>
        <w:t>0</w:t>
      </w:r>
      <w:r w:rsidR="00122971">
        <w:t>6</w:t>
      </w:r>
      <w:r w:rsidR="00757681">
        <w:noBreakHyphen/>
      </w:r>
      <w:r>
        <w:t>055</w:t>
      </w:r>
      <w:r w:rsidR="00770173">
        <w:t xml:space="preserve"> and applies this modification to </w:t>
      </w:r>
      <w:r w:rsidR="00E428F1">
        <w:t>equity budget projects only</w:t>
      </w:r>
      <w:r>
        <w:t>.</w:t>
      </w:r>
      <w:r w:rsidR="00E428F1">
        <w:t xml:space="preserve">  </w:t>
      </w:r>
      <w:r>
        <w:t xml:space="preserve">It </w:t>
      </w:r>
      <w:r w:rsidR="00823310">
        <w:t xml:space="preserve">also </w:t>
      </w:r>
      <w:r w:rsidR="00103782">
        <w:t xml:space="preserve">modifies the </w:t>
      </w:r>
      <w:r w:rsidR="00823310">
        <w:t xml:space="preserve">current general </w:t>
      </w:r>
      <w:r w:rsidR="00103782">
        <w:t xml:space="preserve">equity budget </w:t>
      </w:r>
      <w:r w:rsidR="00D97E05">
        <w:t xml:space="preserve">incentive </w:t>
      </w:r>
      <w:r w:rsidR="00823310">
        <w:t>structure by raising incentive levels, eliminating the step</w:t>
      </w:r>
      <w:r w:rsidR="00757681">
        <w:noBreakHyphen/>
      </w:r>
      <w:r w:rsidR="00823310">
        <w:t xml:space="preserve">up structure and </w:t>
      </w:r>
      <w:r w:rsidR="00350C65">
        <w:t>delinking</w:t>
      </w:r>
      <w:r w:rsidR="00823310">
        <w:t xml:space="preserve"> the equity budget from PAs’ general storage incentives.  Finally, it approves a higher equity resiliency incentive for equity budget customers with critical </w:t>
      </w:r>
      <w:r w:rsidR="0037295E">
        <w:t>resiliency needs</w:t>
      </w:r>
      <w:r w:rsidR="002D2F16">
        <w:t>.</w:t>
      </w:r>
      <w:r>
        <w:t xml:space="preserve">  </w:t>
      </w:r>
    </w:p>
    <w:p w14:paraId="2E367CBD" w14:textId="666FF09C" w:rsidR="001D5B7A" w:rsidRDefault="001D5B7A" w:rsidP="00C151FC">
      <w:pPr>
        <w:pStyle w:val="ALJHeading2"/>
      </w:pPr>
      <w:bookmarkStart w:id="40" w:name="_Toc15908071"/>
      <w:r>
        <w:t>Step</w:t>
      </w:r>
      <w:r w:rsidR="00757681">
        <w:noBreakHyphen/>
      </w:r>
      <w:r>
        <w:t>Down of Incentives Based on Duration</w:t>
      </w:r>
      <w:bookmarkEnd w:id="40"/>
      <w:r>
        <w:t xml:space="preserve"> </w:t>
      </w:r>
    </w:p>
    <w:p w14:paraId="0825E737" w14:textId="73A6C151" w:rsidR="001D5B7A" w:rsidRDefault="001D5B7A" w:rsidP="001D5B7A">
      <w:pPr>
        <w:pStyle w:val="ALJBodyText"/>
      </w:pPr>
      <w:r>
        <w:t>The SGIP ACR requested part</w:t>
      </w:r>
      <w:r w:rsidR="00625D5F">
        <w:t>ies to</w:t>
      </w:r>
      <w:r>
        <w:t xml:space="preserve"> comment on whether and how the Commission should promote SGIP projects that provide resiliency benefits through the provision of long</w:t>
      </w:r>
      <w:r w:rsidR="00625D5F">
        <w:t xml:space="preserve">er </w:t>
      </w:r>
      <w:r>
        <w:t xml:space="preserve">duration </w:t>
      </w:r>
      <w:r w:rsidR="0095008A">
        <w:t>backup</w:t>
      </w:r>
      <w:r>
        <w:t xml:space="preserve"> power.  </w:t>
      </w:r>
      <w:r w:rsidR="00625D5F">
        <w:t xml:space="preserve">Specifically, it </w:t>
      </w:r>
      <w:r>
        <w:t xml:space="preserve">asked whether the Commission should modify the existing SGIP incentive structure to facilitate storage projects with a </w:t>
      </w:r>
      <w:r w:rsidR="00625D5F">
        <w:t xml:space="preserve">discharge </w:t>
      </w:r>
      <w:r>
        <w:t xml:space="preserve">duration exceeding two hours.   </w:t>
      </w:r>
    </w:p>
    <w:p w14:paraId="3123CB4D" w14:textId="33F267E0" w:rsidR="001D5B7A" w:rsidRDefault="001D5B7A" w:rsidP="001D5B7A">
      <w:pPr>
        <w:pStyle w:val="ALJBodyText"/>
      </w:pPr>
      <w:r w:rsidRPr="00C5718B">
        <w:t>This section a</w:t>
      </w:r>
      <w:r>
        <w:t>ddresses these questions as they pertain</w:t>
      </w:r>
      <w:r w:rsidRPr="00C5718B">
        <w:t xml:space="preserve"> to </w:t>
      </w:r>
      <w:r w:rsidR="005F493B">
        <w:t xml:space="preserve">the equity budget only.  </w:t>
      </w:r>
      <w:r w:rsidRPr="00C5718B">
        <w:t xml:space="preserve">A subsequent decision in this rulemaking </w:t>
      </w:r>
      <w:r>
        <w:t xml:space="preserve">may </w:t>
      </w:r>
      <w:r w:rsidRPr="00C5718B">
        <w:t xml:space="preserve">address broader resiliency </w:t>
      </w:r>
      <w:r>
        <w:t xml:space="preserve">policy </w:t>
      </w:r>
      <w:r w:rsidRPr="00C5718B">
        <w:t xml:space="preserve">questions </w:t>
      </w:r>
      <w:r>
        <w:t xml:space="preserve">for the SGIP </w:t>
      </w:r>
      <w:r w:rsidRPr="00C5718B">
        <w:t xml:space="preserve">general storage </w:t>
      </w:r>
      <w:r>
        <w:t>budgets.</w:t>
      </w:r>
    </w:p>
    <w:p w14:paraId="453B03CB" w14:textId="77777777" w:rsidR="001D5B7A" w:rsidRDefault="001D5B7A" w:rsidP="00C151FC">
      <w:pPr>
        <w:pStyle w:val="ALJHeading3"/>
      </w:pPr>
      <w:bookmarkStart w:id="41" w:name="_Toc13658146"/>
      <w:bookmarkStart w:id="42" w:name="_Toc15908072"/>
      <w:r>
        <w:t>Party Comments</w:t>
      </w:r>
      <w:bookmarkEnd w:id="41"/>
      <w:bookmarkEnd w:id="42"/>
    </w:p>
    <w:p w14:paraId="040D4CC7" w14:textId="20892411" w:rsidR="001D5B7A" w:rsidRDefault="001D5B7A" w:rsidP="001D5B7A">
      <w:pPr>
        <w:pStyle w:val="ALJBodyText"/>
      </w:pPr>
      <w:r>
        <w:t>Commenting parties strongly support removing the current SGIP step</w:t>
      </w:r>
      <w:r w:rsidR="00757681">
        <w:noBreakHyphen/>
      </w:r>
      <w:r>
        <w:t xml:space="preserve">down structure for </w:t>
      </w:r>
      <w:r w:rsidR="00625D5F">
        <w:t>long duration</w:t>
      </w:r>
      <w:r>
        <w:t xml:space="preserve"> storage, stating that </w:t>
      </w:r>
      <w:r w:rsidR="00625D5F">
        <w:t xml:space="preserve">longer duration </w:t>
      </w:r>
      <w:r>
        <w:t>projects are increasingly useful for providing grid services and resiliency benefits.  CSE states that removing or modifying the discharge duration step</w:t>
      </w:r>
      <w:r w:rsidR="00757681">
        <w:noBreakHyphen/>
      </w:r>
      <w:r>
        <w:t>down requirement may simplify technical review processes and ease administrative burden.  CESA observes that peak periods currently span four to five hours and that modifying the duration step</w:t>
      </w:r>
      <w:r w:rsidR="00757681">
        <w:noBreakHyphen/>
      </w:r>
      <w:r>
        <w:t xml:space="preserve">down structure would send an “effective market signal highlighting the importance of and the need to </w:t>
      </w:r>
      <w:r>
        <w:lastRenderedPageBreak/>
        <w:t xml:space="preserve">transform the market for </w:t>
      </w:r>
      <w:r w:rsidR="00823310">
        <w:t>longer duration</w:t>
      </w:r>
      <w:r>
        <w:t xml:space="preserve"> storage.”</w:t>
      </w:r>
      <w:r>
        <w:rPr>
          <w:rStyle w:val="FootnoteReference"/>
        </w:rPr>
        <w:footnoteReference w:id="34"/>
      </w:r>
      <w:r>
        <w:t xml:space="preserve"> </w:t>
      </w:r>
      <w:r w:rsidR="00086552">
        <w:t xml:space="preserve">  CALSSA states that systems designed to discharge at the maximum rate for four to five hours are greatly beneficial, </w:t>
      </w:r>
      <w:r w:rsidR="006F2561">
        <w:t>e</w:t>
      </w:r>
      <w:r w:rsidR="00086552">
        <w:t>specially to address system ramping needs.</w:t>
      </w:r>
    </w:p>
    <w:p w14:paraId="7F8DB5B7" w14:textId="01820318" w:rsidR="001D5B7A" w:rsidRDefault="001D5B7A" w:rsidP="001D5B7A">
      <w:pPr>
        <w:pStyle w:val="ALJBodyText"/>
      </w:pPr>
      <w:r>
        <w:t>CSE observes that long</w:t>
      </w:r>
      <w:r w:rsidR="00625D5F">
        <w:t>er</w:t>
      </w:r>
      <w:r>
        <w:t xml:space="preserve"> duration storage is well suited to provide GHG benefits because “it allows a system to discharge over a substantial portion of non</w:t>
      </w:r>
      <w:r w:rsidR="00757681">
        <w:noBreakHyphen/>
      </w:r>
      <w:r>
        <w:t>coincident peak periods, and it allows systems to strategically time system charge during lower marginal GHG emissions periods, without prematurely depleting the battery.”</w:t>
      </w:r>
      <w:r>
        <w:rPr>
          <w:rStyle w:val="FootnoteReference"/>
        </w:rPr>
        <w:footnoteReference w:id="35"/>
      </w:r>
      <w:r>
        <w:t xml:space="preserve">  CSE recommends that SGIP retain an overall incentive cap such that any capacity above six hours of duration does not receive an incremental incentive.  CSE states that this will help ensure that storage projects benefit from economies of scale when adding kWh capacity to an installation, a concern discussed when the duration step</w:t>
      </w:r>
      <w:r w:rsidR="00757681">
        <w:noBreakHyphen/>
      </w:r>
      <w:r>
        <w:t>down design was adopted in D.16</w:t>
      </w:r>
      <w:r w:rsidR="00757681">
        <w:noBreakHyphen/>
      </w:r>
      <w:r>
        <w:t>06</w:t>
      </w:r>
      <w:r w:rsidR="00757681">
        <w:noBreakHyphen/>
      </w:r>
      <w:r>
        <w:t xml:space="preserve">055.  CESA, Tesla and CSE propose slightly different incentive structures, as summarized in Table 3.  </w:t>
      </w:r>
    </w:p>
    <w:p w14:paraId="7A811FBE" w14:textId="43C43BA2" w:rsidR="001D5B7A" w:rsidRDefault="001D5B7A" w:rsidP="00DE53B6">
      <w:pPr>
        <w:pStyle w:val="ALJBodyText"/>
        <w:keepNext/>
        <w:keepLines/>
        <w:ind w:firstLine="0"/>
        <w:jc w:val="center"/>
      </w:pPr>
      <w:r>
        <w:t xml:space="preserve">Table 3: Current and Proposed </w:t>
      </w:r>
      <w:r w:rsidR="00625D5F">
        <w:t xml:space="preserve">Designs for </w:t>
      </w:r>
      <w:r>
        <w:t>Incentive</w:t>
      </w:r>
      <w:r w:rsidR="00625D5F">
        <w:t>s Step</w:t>
      </w:r>
      <w:r w:rsidR="00757681">
        <w:noBreakHyphen/>
      </w:r>
      <w:r w:rsidR="00625D5F">
        <w:t xml:space="preserve">Down for </w:t>
      </w:r>
      <w:r>
        <w:t>Duration</w:t>
      </w:r>
    </w:p>
    <w:tbl>
      <w:tblPr>
        <w:tblStyle w:val="TableGrid"/>
        <w:tblW w:w="0" w:type="auto"/>
        <w:jc w:val="center"/>
        <w:tblLook w:val="04A0" w:firstRow="1" w:lastRow="0" w:firstColumn="1" w:lastColumn="0" w:noHBand="0" w:noVBand="1"/>
      </w:tblPr>
      <w:tblGrid>
        <w:gridCol w:w="2165"/>
        <w:gridCol w:w="1693"/>
        <w:gridCol w:w="2103"/>
        <w:gridCol w:w="1807"/>
        <w:gridCol w:w="1808"/>
      </w:tblGrid>
      <w:tr w:rsidR="001D5B7A" w14:paraId="296D2BE2" w14:textId="77777777" w:rsidTr="00DE53B6">
        <w:trPr>
          <w:trHeight w:val="176"/>
          <w:jc w:val="center"/>
        </w:trPr>
        <w:tc>
          <w:tcPr>
            <w:tcW w:w="2165" w:type="dxa"/>
          </w:tcPr>
          <w:p w14:paraId="46ABBC60" w14:textId="77777777" w:rsidR="001D5B7A" w:rsidRDefault="001D5B7A" w:rsidP="001D5B7A">
            <w:pPr>
              <w:pStyle w:val="ALJBodyText"/>
              <w:spacing w:line="240" w:lineRule="auto"/>
              <w:ind w:firstLine="0"/>
            </w:pPr>
            <w:r>
              <w:t>Discharge Duration (hours)</w:t>
            </w:r>
          </w:p>
        </w:tc>
        <w:tc>
          <w:tcPr>
            <w:tcW w:w="1693" w:type="dxa"/>
          </w:tcPr>
          <w:p w14:paraId="496A9EB2" w14:textId="77777777" w:rsidR="00DE53B6" w:rsidRDefault="001D5B7A" w:rsidP="001D5B7A">
            <w:pPr>
              <w:pStyle w:val="ALJBodyText"/>
              <w:spacing w:line="240" w:lineRule="auto"/>
              <w:ind w:firstLine="0"/>
            </w:pPr>
            <w:r>
              <w:t xml:space="preserve">Percent of Base Incentive </w:t>
            </w:r>
          </w:p>
          <w:p w14:paraId="45668E8F" w14:textId="1A56ECBB" w:rsidR="001D5B7A" w:rsidRDefault="001D5B7A" w:rsidP="001D5B7A">
            <w:pPr>
              <w:pStyle w:val="ALJBodyText"/>
              <w:spacing w:line="240" w:lineRule="auto"/>
              <w:ind w:firstLine="0"/>
            </w:pPr>
            <w:r>
              <w:t>(current)</w:t>
            </w:r>
          </w:p>
        </w:tc>
        <w:tc>
          <w:tcPr>
            <w:tcW w:w="2103" w:type="dxa"/>
          </w:tcPr>
          <w:p w14:paraId="0A77DC12" w14:textId="77777777" w:rsidR="001D5B7A" w:rsidRDefault="001D5B7A" w:rsidP="001D5B7A">
            <w:pPr>
              <w:pStyle w:val="ALJBodyText"/>
              <w:spacing w:line="240" w:lineRule="auto"/>
              <w:ind w:firstLine="0"/>
            </w:pPr>
            <w:r>
              <w:t>Percent of Base Incentive (CESA)</w:t>
            </w:r>
          </w:p>
        </w:tc>
        <w:tc>
          <w:tcPr>
            <w:tcW w:w="1807" w:type="dxa"/>
          </w:tcPr>
          <w:p w14:paraId="33424308" w14:textId="77777777" w:rsidR="001D5B7A" w:rsidRDefault="001D5B7A" w:rsidP="001D5B7A">
            <w:pPr>
              <w:pStyle w:val="ALJBodyText"/>
              <w:spacing w:line="240" w:lineRule="auto"/>
              <w:ind w:firstLine="0"/>
            </w:pPr>
            <w:r>
              <w:t>Percent of Base Incentive (Tesla)</w:t>
            </w:r>
          </w:p>
        </w:tc>
        <w:tc>
          <w:tcPr>
            <w:tcW w:w="1808" w:type="dxa"/>
          </w:tcPr>
          <w:p w14:paraId="10124EFE" w14:textId="77777777" w:rsidR="001D5B7A" w:rsidRDefault="001D5B7A" w:rsidP="001D5B7A">
            <w:pPr>
              <w:pStyle w:val="ALJBodyText"/>
              <w:spacing w:line="240" w:lineRule="auto"/>
              <w:ind w:firstLine="0"/>
            </w:pPr>
            <w:r>
              <w:t>Percent of Base Incentive (CSE)</w:t>
            </w:r>
          </w:p>
        </w:tc>
      </w:tr>
      <w:tr w:rsidR="001D5B7A" w14:paraId="16C43161" w14:textId="77777777" w:rsidTr="00DE53B6">
        <w:trPr>
          <w:trHeight w:val="176"/>
          <w:jc w:val="center"/>
        </w:trPr>
        <w:tc>
          <w:tcPr>
            <w:tcW w:w="2165" w:type="dxa"/>
          </w:tcPr>
          <w:p w14:paraId="5C394D20" w14:textId="167DAE86" w:rsidR="001D5B7A" w:rsidRDefault="001D5B7A" w:rsidP="001D5B7A">
            <w:pPr>
              <w:pStyle w:val="ALJBodyText"/>
              <w:spacing w:line="240" w:lineRule="auto"/>
              <w:ind w:firstLine="0"/>
            </w:pPr>
            <w:r>
              <w:t>0</w:t>
            </w:r>
            <w:r w:rsidR="00757681">
              <w:noBreakHyphen/>
            </w:r>
            <w:r>
              <w:t xml:space="preserve">2 </w:t>
            </w:r>
          </w:p>
        </w:tc>
        <w:tc>
          <w:tcPr>
            <w:tcW w:w="1693" w:type="dxa"/>
          </w:tcPr>
          <w:p w14:paraId="1D509E2B" w14:textId="77777777" w:rsidR="001D5B7A" w:rsidRDefault="001D5B7A" w:rsidP="001D5B7A">
            <w:pPr>
              <w:pStyle w:val="ALJBodyText"/>
              <w:spacing w:line="240" w:lineRule="auto"/>
              <w:ind w:firstLine="0"/>
            </w:pPr>
            <w:r>
              <w:t>100</w:t>
            </w:r>
          </w:p>
        </w:tc>
        <w:tc>
          <w:tcPr>
            <w:tcW w:w="2103" w:type="dxa"/>
          </w:tcPr>
          <w:p w14:paraId="38D08D6C" w14:textId="77777777" w:rsidR="001D5B7A" w:rsidRDefault="001D5B7A" w:rsidP="001D5B7A">
            <w:pPr>
              <w:pStyle w:val="ALJBodyText"/>
              <w:spacing w:line="240" w:lineRule="auto"/>
              <w:ind w:firstLine="0"/>
            </w:pPr>
            <w:r>
              <w:t xml:space="preserve">100 </w:t>
            </w:r>
          </w:p>
        </w:tc>
        <w:tc>
          <w:tcPr>
            <w:tcW w:w="1807" w:type="dxa"/>
          </w:tcPr>
          <w:p w14:paraId="33CE2BBF" w14:textId="77777777" w:rsidR="001D5B7A" w:rsidRDefault="001D5B7A" w:rsidP="001D5B7A">
            <w:pPr>
              <w:pStyle w:val="ALJBodyText"/>
              <w:spacing w:line="240" w:lineRule="auto"/>
              <w:ind w:firstLine="0"/>
            </w:pPr>
            <w:r>
              <w:t>100</w:t>
            </w:r>
          </w:p>
        </w:tc>
        <w:tc>
          <w:tcPr>
            <w:tcW w:w="1808" w:type="dxa"/>
          </w:tcPr>
          <w:p w14:paraId="07710B1E" w14:textId="77777777" w:rsidR="001D5B7A" w:rsidRDefault="001D5B7A" w:rsidP="001D5B7A">
            <w:pPr>
              <w:pStyle w:val="ALJBodyText"/>
              <w:spacing w:line="240" w:lineRule="auto"/>
              <w:ind w:firstLine="0"/>
            </w:pPr>
            <w:r>
              <w:t>100</w:t>
            </w:r>
          </w:p>
        </w:tc>
      </w:tr>
      <w:tr w:rsidR="001D5B7A" w14:paraId="77462AD3" w14:textId="77777777" w:rsidTr="00DE53B6">
        <w:trPr>
          <w:trHeight w:val="176"/>
          <w:jc w:val="center"/>
        </w:trPr>
        <w:tc>
          <w:tcPr>
            <w:tcW w:w="2165" w:type="dxa"/>
          </w:tcPr>
          <w:p w14:paraId="7FA7018B" w14:textId="19DA3EAB" w:rsidR="001D5B7A" w:rsidRDefault="001D5B7A" w:rsidP="001D5B7A">
            <w:pPr>
              <w:pStyle w:val="ALJBodyText"/>
              <w:spacing w:line="240" w:lineRule="auto"/>
              <w:ind w:firstLine="0"/>
            </w:pPr>
            <w:r>
              <w:t>2</w:t>
            </w:r>
            <w:r w:rsidR="00757681">
              <w:noBreakHyphen/>
            </w:r>
            <w:r>
              <w:t>4</w:t>
            </w:r>
          </w:p>
        </w:tc>
        <w:tc>
          <w:tcPr>
            <w:tcW w:w="1693" w:type="dxa"/>
          </w:tcPr>
          <w:p w14:paraId="44F33140" w14:textId="77777777" w:rsidR="001D5B7A" w:rsidRDefault="001D5B7A" w:rsidP="001D5B7A">
            <w:pPr>
              <w:pStyle w:val="ALJBodyText"/>
              <w:spacing w:line="240" w:lineRule="auto"/>
              <w:ind w:firstLine="0"/>
            </w:pPr>
            <w:r>
              <w:t>50</w:t>
            </w:r>
          </w:p>
        </w:tc>
        <w:tc>
          <w:tcPr>
            <w:tcW w:w="2103" w:type="dxa"/>
          </w:tcPr>
          <w:p w14:paraId="40B5328D" w14:textId="77777777" w:rsidR="001D5B7A" w:rsidRDefault="001D5B7A" w:rsidP="001D5B7A">
            <w:pPr>
              <w:pStyle w:val="ALJBodyText"/>
              <w:spacing w:line="240" w:lineRule="auto"/>
              <w:ind w:firstLine="0"/>
            </w:pPr>
            <w:r>
              <w:t xml:space="preserve">100 </w:t>
            </w:r>
          </w:p>
        </w:tc>
        <w:tc>
          <w:tcPr>
            <w:tcW w:w="1807" w:type="dxa"/>
          </w:tcPr>
          <w:p w14:paraId="02611DF3" w14:textId="77777777" w:rsidR="001D5B7A" w:rsidRDefault="001D5B7A" w:rsidP="001D5B7A">
            <w:pPr>
              <w:pStyle w:val="ALJBodyText"/>
              <w:spacing w:line="240" w:lineRule="auto"/>
              <w:ind w:firstLine="0"/>
            </w:pPr>
            <w:r>
              <w:t>100</w:t>
            </w:r>
          </w:p>
        </w:tc>
        <w:tc>
          <w:tcPr>
            <w:tcW w:w="1808" w:type="dxa"/>
          </w:tcPr>
          <w:p w14:paraId="62C694C5" w14:textId="77777777" w:rsidR="001D5B7A" w:rsidRDefault="001D5B7A" w:rsidP="001D5B7A">
            <w:pPr>
              <w:pStyle w:val="ALJBodyText"/>
              <w:spacing w:line="240" w:lineRule="auto"/>
              <w:ind w:firstLine="0"/>
            </w:pPr>
            <w:r>
              <w:t>100</w:t>
            </w:r>
          </w:p>
        </w:tc>
      </w:tr>
      <w:tr w:rsidR="001D5B7A" w14:paraId="7F2188F8" w14:textId="77777777" w:rsidTr="00DE53B6">
        <w:trPr>
          <w:trHeight w:val="176"/>
          <w:jc w:val="center"/>
        </w:trPr>
        <w:tc>
          <w:tcPr>
            <w:tcW w:w="2165" w:type="dxa"/>
          </w:tcPr>
          <w:p w14:paraId="59E5C8A7" w14:textId="59067749" w:rsidR="001D5B7A" w:rsidRDefault="001D5B7A" w:rsidP="001D5B7A">
            <w:pPr>
              <w:pStyle w:val="ALJBodyText"/>
              <w:spacing w:line="240" w:lineRule="auto"/>
              <w:ind w:firstLine="0"/>
            </w:pPr>
            <w:r>
              <w:t>4</w:t>
            </w:r>
            <w:r w:rsidR="00757681">
              <w:noBreakHyphen/>
            </w:r>
            <w:r>
              <w:t>6</w:t>
            </w:r>
          </w:p>
        </w:tc>
        <w:tc>
          <w:tcPr>
            <w:tcW w:w="1693" w:type="dxa"/>
          </w:tcPr>
          <w:p w14:paraId="5F4F8D00" w14:textId="77777777" w:rsidR="001D5B7A" w:rsidRDefault="001D5B7A" w:rsidP="001D5B7A">
            <w:pPr>
              <w:pStyle w:val="ALJBodyText"/>
              <w:spacing w:line="240" w:lineRule="auto"/>
              <w:ind w:firstLine="0"/>
            </w:pPr>
            <w:r>
              <w:t>25</w:t>
            </w:r>
          </w:p>
        </w:tc>
        <w:tc>
          <w:tcPr>
            <w:tcW w:w="2103" w:type="dxa"/>
          </w:tcPr>
          <w:p w14:paraId="09E12D24" w14:textId="77777777" w:rsidR="001D5B7A" w:rsidRDefault="001D5B7A" w:rsidP="001D5B7A">
            <w:pPr>
              <w:pStyle w:val="ALJBodyText"/>
              <w:spacing w:line="240" w:lineRule="auto"/>
              <w:ind w:firstLine="0"/>
            </w:pPr>
            <w:r>
              <w:t>75</w:t>
            </w:r>
          </w:p>
        </w:tc>
        <w:tc>
          <w:tcPr>
            <w:tcW w:w="1807" w:type="dxa"/>
          </w:tcPr>
          <w:p w14:paraId="1E8D8663" w14:textId="77777777" w:rsidR="001D5B7A" w:rsidRDefault="001D5B7A" w:rsidP="001D5B7A">
            <w:pPr>
              <w:pStyle w:val="ALJBodyText"/>
              <w:spacing w:line="240" w:lineRule="auto"/>
              <w:ind w:firstLine="0"/>
            </w:pPr>
            <w:r>
              <w:t>50</w:t>
            </w:r>
          </w:p>
        </w:tc>
        <w:tc>
          <w:tcPr>
            <w:tcW w:w="1808" w:type="dxa"/>
          </w:tcPr>
          <w:p w14:paraId="3669424E" w14:textId="77777777" w:rsidR="001D5B7A" w:rsidRDefault="001D5B7A" w:rsidP="001D5B7A">
            <w:pPr>
              <w:pStyle w:val="ALJBodyText"/>
              <w:spacing w:line="240" w:lineRule="auto"/>
              <w:ind w:firstLine="0"/>
            </w:pPr>
            <w:r>
              <w:t>Not provided</w:t>
            </w:r>
          </w:p>
        </w:tc>
      </w:tr>
      <w:tr w:rsidR="001D5B7A" w14:paraId="07DD0D0C" w14:textId="77777777" w:rsidTr="00DE53B6">
        <w:trPr>
          <w:trHeight w:val="176"/>
          <w:jc w:val="center"/>
        </w:trPr>
        <w:tc>
          <w:tcPr>
            <w:tcW w:w="2165" w:type="dxa"/>
          </w:tcPr>
          <w:p w14:paraId="44907BBE" w14:textId="6F3C3101" w:rsidR="001D5B7A" w:rsidRDefault="001D5B7A" w:rsidP="001D5B7A">
            <w:pPr>
              <w:pStyle w:val="ALJBodyText"/>
              <w:spacing w:line="240" w:lineRule="auto"/>
              <w:ind w:firstLine="0"/>
            </w:pPr>
            <w:r>
              <w:t>6</w:t>
            </w:r>
            <w:r w:rsidR="00757681">
              <w:noBreakHyphen/>
            </w:r>
            <w:r>
              <w:t>8</w:t>
            </w:r>
          </w:p>
        </w:tc>
        <w:tc>
          <w:tcPr>
            <w:tcW w:w="1693" w:type="dxa"/>
          </w:tcPr>
          <w:p w14:paraId="75E8065B" w14:textId="77777777" w:rsidR="001D5B7A" w:rsidRDefault="001D5B7A" w:rsidP="001D5B7A">
            <w:pPr>
              <w:pStyle w:val="ALJBodyText"/>
              <w:spacing w:line="240" w:lineRule="auto"/>
              <w:ind w:firstLine="0"/>
            </w:pPr>
            <w:r>
              <w:t>0</w:t>
            </w:r>
          </w:p>
        </w:tc>
        <w:tc>
          <w:tcPr>
            <w:tcW w:w="2103" w:type="dxa"/>
          </w:tcPr>
          <w:p w14:paraId="6148C532" w14:textId="77777777" w:rsidR="001D5B7A" w:rsidRDefault="001D5B7A" w:rsidP="001D5B7A">
            <w:pPr>
              <w:pStyle w:val="ALJBodyText"/>
              <w:spacing w:line="240" w:lineRule="auto"/>
              <w:ind w:firstLine="0"/>
            </w:pPr>
            <w:r>
              <w:t>50</w:t>
            </w:r>
          </w:p>
        </w:tc>
        <w:tc>
          <w:tcPr>
            <w:tcW w:w="1807" w:type="dxa"/>
          </w:tcPr>
          <w:p w14:paraId="3FC1FDFC" w14:textId="77777777" w:rsidR="001D5B7A" w:rsidRDefault="001D5B7A" w:rsidP="001D5B7A">
            <w:pPr>
              <w:pStyle w:val="ALJBodyText"/>
              <w:spacing w:line="240" w:lineRule="auto"/>
              <w:ind w:firstLine="0"/>
            </w:pPr>
            <w:r>
              <w:t>25</w:t>
            </w:r>
          </w:p>
        </w:tc>
        <w:tc>
          <w:tcPr>
            <w:tcW w:w="1808" w:type="dxa"/>
          </w:tcPr>
          <w:p w14:paraId="103978D4" w14:textId="77777777" w:rsidR="001D5B7A" w:rsidRDefault="001D5B7A" w:rsidP="001D5B7A">
            <w:pPr>
              <w:pStyle w:val="ALJBodyText"/>
              <w:spacing w:line="240" w:lineRule="auto"/>
              <w:ind w:firstLine="0"/>
            </w:pPr>
            <w:r>
              <w:t>0</w:t>
            </w:r>
          </w:p>
        </w:tc>
      </w:tr>
      <w:tr w:rsidR="001D5B7A" w14:paraId="698B7D71" w14:textId="77777777" w:rsidTr="00DE53B6">
        <w:trPr>
          <w:trHeight w:val="176"/>
          <w:jc w:val="center"/>
        </w:trPr>
        <w:tc>
          <w:tcPr>
            <w:tcW w:w="2165" w:type="dxa"/>
          </w:tcPr>
          <w:p w14:paraId="464A4965" w14:textId="77777777" w:rsidR="001D5B7A" w:rsidRDefault="001D5B7A" w:rsidP="001D5B7A">
            <w:pPr>
              <w:pStyle w:val="ALJBodyText"/>
              <w:spacing w:line="240" w:lineRule="auto"/>
              <w:ind w:firstLine="0"/>
            </w:pPr>
            <w:r>
              <w:t>8+</w:t>
            </w:r>
          </w:p>
        </w:tc>
        <w:tc>
          <w:tcPr>
            <w:tcW w:w="1693" w:type="dxa"/>
          </w:tcPr>
          <w:p w14:paraId="2AEE7ED6" w14:textId="77777777" w:rsidR="001D5B7A" w:rsidRDefault="001D5B7A" w:rsidP="001D5B7A">
            <w:pPr>
              <w:pStyle w:val="ALJBodyText"/>
              <w:spacing w:line="240" w:lineRule="auto"/>
              <w:ind w:firstLine="0"/>
            </w:pPr>
            <w:r>
              <w:t>0</w:t>
            </w:r>
          </w:p>
        </w:tc>
        <w:tc>
          <w:tcPr>
            <w:tcW w:w="2103" w:type="dxa"/>
          </w:tcPr>
          <w:p w14:paraId="1A8494BD" w14:textId="77777777" w:rsidR="001D5B7A" w:rsidRDefault="001D5B7A" w:rsidP="001D5B7A">
            <w:pPr>
              <w:pStyle w:val="ALJBodyText"/>
              <w:spacing w:line="240" w:lineRule="auto"/>
              <w:ind w:firstLine="0"/>
            </w:pPr>
            <w:r>
              <w:t>25</w:t>
            </w:r>
          </w:p>
        </w:tc>
        <w:tc>
          <w:tcPr>
            <w:tcW w:w="1807" w:type="dxa"/>
          </w:tcPr>
          <w:p w14:paraId="6B4AC497" w14:textId="77777777" w:rsidR="001D5B7A" w:rsidRDefault="001D5B7A" w:rsidP="001D5B7A">
            <w:pPr>
              <w:pStyle w:val="ALJBodyText"/>
              <w:spacing w:line="240" w:lineRule="auto"/>
              <w:ind w:firstLine="0"/>
            </w:pPr>
            <w:r>
              <w:t>0</w:t>
            </w:r>
          </w:p>
        </w:tc>
        <w:tc>
          <w:tcPr>
            <w:tcW w:w="1808" w:type="dxa"/>
          </w:tcPr>
          <w:p w14:paraId="2E64BBF5" w14:textId="77777777" w:rsidR="001D5B7A" w:rsidRDefault="001D5B7A" w:rsidP="001D5B7A">
            <w:pPr>
              <w:pStyle w:val="ALJBodyText"/>
              <w:spacing w:line="240" w:lineRule="auto"/>
              <w:ind w:firstLine="0"/>
            </w:pPr>
            <w:r>
              <w:t>0</w:t>
            </w:r>
          </w:p>
        </w:tc>
      </w:tr>
    </w:tbl>
    <w:p w14:paraId="1A7F0E95" w14:textId="77777777" w:rsidR="00E428F1" w:rsidRPr="00AE025B" w:rsidRDefault="00E428F1" w:rsidP="00856B3F">
      <w:pPr>
        <w:pStyle w:val="ALJBodyText"/>
        <w:rPr>
          <w:sz w:val="10"/>
        </w:rPr>
      </w:pPr>
    </w:p>
    <w:p w14:paraId="628642BA" w14:textId="77777777" w:rsidR="001D5B7A" w:rsidRPr="00B23688" w:rsidRDefault="001D5B7A" w:rsidP="00C151FC">
      <w:pPr>
        <w:pStyle w:val="ALJHeading3"/>
      </w:pPr>
      <w:bookmarkStart w:id="43" w:name="_Toc13658147"/>
      <w:bookmarkStart w:id="44" w:name="_Toc15908073"/>
      <w:r w:rsidRPr="00B23688">
        <w:lastRenderedPageBreak/>
        <w:t>Discussion</w:t>
      </w:r>
      <w:bookmarkEnd w:id="43"/>
      <w:bookmarkEnd w:id="44"/>
      <w:r w:rsidRPr="00B23688">
        <w:t xml:space="preserve"> </w:t>
      </w:r>
    </w:p>
    <w:p w14:paraId="2F2AB404" w14:textId="359725D4" w:rsidR="007718F8" w:rsidRDefault="001D5B7A" w:rsidP="001D5B7A">
      <w:pPr>
        <w:pStyle w:val="ALJBodyText"/>
      </w:pPr>
      <w:r>
        <w:t xml:space="preserve">We approve CSE’s proposed modifications to the incentive rate </w:t>
      </w:r>
      <w:r w:rsidR="00625D5F">
        <w:t>step</w:t>
      </w:r>
      <w:r w:rsidR="00757681">
        <w:noBreakHyphen/>
      </w:r>
      <w:r w:rsidR="00625D5F">
        <w:t>down</w:t>
      </w:r>
      <w:r>
        <w:t xml:space="preserve"> structure based on duration, with the modification that storage systems with a discharge dur</w:t>
      </w:r>
      <w:r w:rsidR="0039135B">
        <w:t xml:space="preserve">ation of four to </w:t>
      </w:r>
      <w:r w:rsidR="007718F8">
        <w:t>six</w:t>
      </w:r>
      <w:r w:rsidR="0039135B">
        <w:t xml:space="preserve"> hours </w:t>
      </w:r>
      <w:r>
        <w:t>receive 5</w:t>
      </w:r>
      <w:r w:rsidR="00086552">
        <w:t>0</w:t>
      </w:r>
      <w:r>
        <w:t xml:space="preserve"> percent of the base </w:t>
      </w:r>
      <w:r w:rsidR="0039135B">
        <w:t xml:space="preserve">incentive </w:t>
      </w:r>
      <w:r>
        <w:t>rate</w:t>
      </w:r>
      <w:r w:rsidR="007718F8">
        <w:t xml:space="preserve"> for capacity beyond four hours</w:t>
      </w:r>
      <w:r>
        <w:t xml:space="preserve">, rather than no incentive.  </w:t>
      </w:r>
      <w:r w:rsidR="005F493B">
        <w:t>We apply this modification</w:t>
      </w:r>
      <w:r w:rsidR="0068513C">
        <w:t xml:space="preserve"> only </w:t>
      </w:r>
      <w:r w:rsidR="005F493B">
        <w:t xml:space="preserve">to the equity budget at this time and stress </w:t>
      </w:r>
      <w:r w:rsidR="0039135B">
        <w:t xml:space="preserve">that </w:t>
      </w:r>
      <w:r w:rsidR="005F493B">
        <w:t xml:space="preserve">all </w:t>
      </w:r>
      <w:r w:rsidR="0039135B">
        <w:t>longer duration SGIP projects must meet all GHG emission reduction, cycling and other system and operational requirements adopted by this Commission</w:t>
      </w:r>
      <w:r w:rsidR="00625D5F">
        <w:t xml:space="preserve"> for SGIP storage systems as these </w:t>
      </w:r>
      <w:r w:rsidR="00117CC7">
        <w:t xml:space="preserve">requirements </w:t>
      </w:r>
      <w:r w:rsidR="00625D5F">
        <w:t>e</w:t>
      </w:r>
      <w:r w:rsidR="0039135B">
        <w:t xml:space="preserve">nsure that longer duration SGIP storage projects </w:t>
      </w:r>
      <w:r w:rsidR="00625D5F">
        <w:t xml:space="preserve">will </w:t>
      </w:r>
      <w:r w:rsidR="0039135B">
        <w:t xml:space="preserve">not </w:t>
      </w:r>
      <w:r w:rsidR="00625D5F">
        <w:t xml:space="preserve">be </w:t>
      </w:r>
      <w:r w:rsidR="0039135B">
        <w:t>used only or prima</w:t>
      </w:r>
      <w:r w:rsidR="004A5BDD">
        <w:t xml:space="preserve">rily to provide backup power.  </w:t>
      </w:r>
      <w:r w:rsidR="0039135B">
        <w:t>Longer duration SGIP storage projects are well suited to provide resiliency services during PSPS or other outage events but must also provide the grid and GHG emission reduction services required by Section 379.6 and this Commission.</w:t>
      </w:r>
      <w:r w:rsidR="00770173">
        <w:t xml:space="preserve"> </w:t>
      </w:r>
    </w:p>
    <w:p w14:paraId="2DBF7FB4" w14:textId="02930F2F" w:rsidR="004F39B6" w:rsidRDefault="00770173" w:rsidP="001D5B7A">
      <w:pPr>
        <w:pStyle w:val="ALJBodyText"/>
      </w:pPr>
      <w:r>
        <w:t>Adopting, with modifications, CSE’s proposal to step</w:t>
      </w:r>
      <w:r w:rsidR="00757681">
        <w:noBreakHyphen/>
      </w:r>
      <w:r>
        <w:t xml:space="preserve">down incentives for longer duration </w:t>
      </w:r>
      <w:r w:rsidR="005F493B">
        <w:t xml:space="preserve">equity budget </w:t>
      </w:r>
      <w:r>
        <w:t>projects supports use of SGIP incentives for resiliency purposes but ensures that projects with discharge durations longer than four hours that should be able to benefit from economies of scale will not be over</w:t>
      </w:r>
      <w:r w:rsidR="00757681">
        <w:noBreakHyphen/>
      </w:r>
      <w:r>
        <w:t>incentivized.</w:t>
      </w:r>
      <w:r w:rsidR="00086552">
        <w:t xml:space="preserve">  We also concur that longer duration discharge systems may be useful to address system ramping needs, and request that the SGIP evaluator study this issue as feasible in the annual SGIP impact evaluations. </w:t>
      </w:r>
    </w:p>
    <w:p w14:paraId="765104DA" w14:textId="41E5DC00" w:rsidR="005F493B" w:rsidRDefault="004F39B6" w:rsidP="001D5B7A">
      <w:pPr>
        <w:pStyle w:val="ALJBodyText"/>
      </w:pPr>
      <w:r>
        <w:t>A two</w:t>
      </w:r>
      <w:r w:rsidR="00757681">
        <w:noBreakHyphen/>
      </w:r>
      <w:r>
        <w:t xml:space="preserve">hour battery that is operated to provide </w:t>
      </w:r>
      <w:r w:rsidR="00E428F1">
        <w:t xml:space="preserve">customer, </w:t>
      </w:r>
      <w:r>
        <w:t xml:space="preserve">grid and GHG </w:t>
      </w:r>
      <w:r w:rsidR="00E428F1">
        <w:t xml:space="preserve">emission </w:t>
      </w:r>
      <w:r>
        <w:t xml:space="preserve">reduction benefits can fully charge in a relatively short period of time after a customer receives notice of a potential PSPS and be ready to operate in backup mode.  Even with longer duration storage, since potential PSPS events are generally announced a day in advance, there will be ample time for the battery to charge. </w:t>
      </w:r>
      <w:r w:rsidR="00E428F1">
        <w:t xml:space="preserve"> </w:t>
      </w:r>
      <w:r>
        <w:t xml:space="preserve">However, as storage duration increases, operating the battery </w:t>
      </w:r>
      <w:r>
        <w:lastRenderedPageBreak/>
        <w:t xml:space="preserve">to provide </w:t>
      </w:r>
      <w:r w:rsidR="00E428F1">
        <w:t xml:space="preserve">customer, </w:t>
      </w:r>
      <w:r>
        <w:t xml:space="preserve">grid and GHG benefits </w:t>
      </w:r>
      <w:r w:rsidR="00E01BA8">
        <w:t xml:space="preserve">may not be </w:t>
      </w:r>
      <w:r>
        <w:t>consistent with providing the time needed to fully charge the battery after a potential PSPS is announced.</w:t>
      </w:r>
      <w:r w:rsidR="0039135B">
        <w:t xml:space="preserve"> </w:t>
      </w:r>
      <w:r>
        <w:t xml:space="preserve"> </w:t>
      </w:r>
    </w:p>
    <w:p w14:paraId="53BABF19" w14:textId="7359660E" w:rsidR="001D5B7A" w:rsidRDefault="004F39B6" w:rsidP="001D5B7A">
      <w:pPr>
        <w:pStyle w:val="ALJBodyText"/>
      </w:pPr>
      <w:r>
        <w:t xml:space="preserve">In addition, charging a longer duration battery in advance of a potential PSPS may increase the customer’s use of peak period grid electricity.  Because the record does not include any modeling by the </w:t>
      </w:r>
      <w:r w:rsidR="000E7481">
        <w:t xml:space="preserve">SGIP technical working group </w:t>
      </w:r>
      <w:r w:rsidR="000E7481" w:rsidRPr="000E7481">
        <w:t>(</w:t>
      </w:r>
      <w:r w:rsidRPr="00CE14ED">
        <w:t>TWG</w:t>
      </w:r>
      <w:r w:rsidR="000E7481" w:rsidRPr="00CE14ED">
        <w:t>)</w:t>
      </w:r>
      <w:r w:rsidRPr="000E7481">
        <w:t xml:space="preserve"> or parties</w:t>
      </w:r>
      <w:r>
        <w:t xml:space="preserve"> that would shed more light on this issue, </w:t>
      </w:r>
      <w:r w:rsidR="00E01BA8">
        <w:t xml:space="preserve">or on the impact on a customer’s GHG emissions </w:t>
      </w:r>
      <w:r w:rsidR="00625D5F">
        <w:t>of</w:t>
      </w:r>
      <w:r w:rsidR="00E01BA8">
        <w:t xml:space="preserve"> longer duration batteries, </w:t>
      </w:r>
      <w:r>
        <w:t xml:space="preserve">it is incumbent on battery system developers to </w:t>
      </w:r>
      <w:r w:rsidR="00002FC9">
        <w:t>e</w:t>
      </w:r>
      <w:r>
        <w:t>nsure that longer duration battery systems that are intended to provide backup power are operated in a manner that complies with a</w:t>
      </w:r>
      <w:r w:rsidR="00625D5F">
        <w:t xml:space="preserve">ll SGIP </w:t>
      </w:r>
      <w:r>
        <w:t>program rules and requirements.</w:t>
      </w:r>
      <w:r w:rsidR="0039135B">
        <w:t xml:space="preserve">  </w:t>
      </w:r>
    </w:p>
    <w:p w14:paraId="25959599" w14:textId="6CB8E3B5" w:rsidR="00586370" w:rsidRDefault="003E7DD4" w:rsidP="00C151FC">
      <w:pPr>
        <w:pStyle w:val="ALJHeading2"/>
      </w:pPr>
      <w:bookmarkStart w:id="45" w:name="_Toc15908074"/>
      <w:r>
        <w:t>Incentive Level</w:t>
      </w:r>
      <w:r w:rsidR="000C5E02">
        <w:t>s</w:t>
      </w:r>
      <w:bookmarkEnd w:id="45"/>
    </w:p>
    <w:p w14:paraId="43F4419B" w14:textId="27EE078E" w:rsidR="0037295E" w:rsidRDefault="0037295E" w:rsidP="0037295E">
      <w:pPr>
        <w:pStyle w:val="ALJBodyText"/>
      </w:pPr>
      <w:r>
        <w:t>E</w:t>
      </w:r>
      <w:r w:rsidRPr="0037295E">
        <w:t xml:space="preserve">quity budget </w:t>
      </w:r>
      <w:r w:rsidR="00103782">
        <w:t xml:space="preserve">starting </w:t>
      </w:r>
      <w:r w:rsidRPr="0037295E">
        <w:t>incentive levels</w:t>
      </w:r>
      <w:r w:rsidR="00103782">
        <w:t xml:space="preserve"> and those</w:t>
      </w:r>
      <w:r w:rsidRPr="0037295E">
        <w:t xml:space="preserve"> as of July 2019</w:t>
      </w:r>
      <w:r w:rsidR="00103782">
        <w:t xml:space="preserve"> are </w:t>
      </w:r>
      <w:r w:rsidRPr="0037295E">
        <w:t>indi</w:t>
      </w:r>
      <w:r w:rsidR="00A96891">
        <w:t>cate</w:t>
      </w:r>
      <w:r w:rsidR="00103782">
        <w:t xml:space="preserve">d in Table </w:t>
      </w:r>
      <w:r w:rsidR="00AF6BF5">
        <w:t>4</w:t>
      </w:r>
      <w:r w:rsidR="00103782">
        <w:t xml:space="preserve"> and </w:t>
      </w:r>
      <w:r w:rsidR="00A96891">
        <w:t xml:space="preserve">are presented with and without the </w:t>
      </w:r>
      <w:r w:rsidRPr="0037295E">
        <w:t>SGIP adjustment for the federal investment tax credit (ITC).</w:t>
      </w:r>
      <w:r w:rsidRPr="0037295E">
        <w:rPr>
          <w:vertAlign w:val="superscript"/>
        </w:rPr>
        <w:footnoteReference w:id="36"/>
      </w:r>
    </w:p>
    <w:p w14:paraId="72F3DD92" w14:textId="13C48226" w:rsidR="0037295E" w:rsidRPr="00D41652" w:rsidRDefault="0037295E" w:rsidP="00DE53B6">
      <w:pPr>
        <w:pStyle w:val="ALJBodyText"/>
        <w:keepNext/>
        <w:keepLines/>
        <w:spacing w:line="276" w:lineRule="auto"/>
        <w:ind w:firstLine="0"/>
        <w:jc w:val="center"/>
      </w:pPr>
      <w:r w:rsidRPr="00D41652">
        <w:t xml:space="preserve">Table </w:t>
      </w:r>
      <w:r w:rsidR="00AF6BF5">
        <w:t>4</w:t>
      </w:r>
      <w:r w:rsidRPr="00D41652">
        <w:t>: SGIP Equity Budget Incentive Structure</w:t>
      </w:r>
      <w:r w:rsidRPr="00D41652">
        <w:rPr>
          <w:rStyle w:val="FootnoteReference"/>
        </w:rPr>
        <w:footnoteReference w:id="37"/>
      </w:r>
    </w:p>
    <w:tbl>
      <w:tblPr>
        <w:tblStyle w:val="TableGrid"/>
        <w:tblW w:w="5225" w:type="pct"/>
        <w:tblLook w:val="04A0" w:firstRow="1" w:lastRow="0" w:firstColumn="1" w:lastColumn="0" w:noHBand="0" w:noVBand="1"/>
      </w:tblPr>
      <w:tblGrid>
        <w:gridCol w:w="3774"/>
        <w:gridCol w:w="3807"/>
        <w:gridCol w:w="2426"/>
      </w:tblGrid>
      <w:tr w:rsidR="0037295E" w:rsidRPr="002A7BDE" w14:paraId="1DC378D0" w14:textId="77777777" w:rsidTr="0037295E">
        <w:trPr>
          <w:trHeight w:val="353"/>
        </w:trPr>
        <w:tc>
          <w:tcPr>
            <w:tcW w:w="1886" w:type="pct"/>
            <w:shd w:val="clear" w:color="auto" w:fill="D9D9D9" w:themeFill="background1" w:themeFillShade="D9"/>
          </w:tcPr>
          <w:p w14:paraId="10880CB9" w14:textId="77777777" w:rsidR="0037295E" w:rsidRPr="002A7BDE" w:rsidRDefault="0037295E" w:rsidP="0037295E">
            <w:pPr>
              <w:keepNext/>
              <w:keepLines/>
              <w:jc w:val="center"/>
            </w:pPr>
            <w:r w:rsidRPr="002A7BDE">
              <w:t>Technology</w:t>
            </w:r>
          </w:p>
        </w:tc>
        <w:tc>
          <w:tcPr>
            <w:tcW w:w="1902" w:type="pct"/>
            <w:shd w:val="clear" w:color="auto" w:fill="D9D9D9" w:themeFill="background1" w:themeFillShade="D9"/>
          </w:tcPr>
          <w:p w14:paraId="4E5CD139" w14:textId="493990F6" w:rsidR="0037295E" w:rsidRPr="002A7BDE" w:rsidRDefault="00A96891" w:rsidP="0037295E">
            <w:pPr>
              <w:keepNext/>
              <w:keepLines/>
              <w:jc w:val="center"/>
            </w:pPr>
            <w:r>
              <w:t>Initial Incentive</w:t>
            </w:r>
          </w:p>
        </w:tc>
        <w:tc>
          <w:tcPr>
            <w:tcW w:w="1213" w:type="pct"/>
            <w:shd w:val="clear" w:color="auto" w:fill="D9D9D9" w:themeFill="background1" w:themeFillShade="D9"/>
          </w:tcPr>
          <w:p w14:paraId="59D36480" w14:textId="77777777" w:rsidR="0037295E" w:rsidRPr="002A7BDE" w:rsidRDefault="0037295E" w:rsidP="0037295E">
            <w:pPr>
              <w:keepNext/>
              <w:keepLines/>
              <w:jc w:val="center"/>
            </w:pPr>
            <w:r w:rsidRPr="002A7BDE">
              <w:t>Current Incentive</w:t>
            </w:r>
            <w:r w:rsidRPr="002A7BDE">
              <w:rPr>
                <w:sz w:val="24"/>
                <w:vertAlign w:val="superscript"/>
              </w:rPr>
              <w:footnoteReference w:id="38"/>
            </w:r>
          </w:p>
        </w:tc>
      </w:tr>
      <w:tr w:rsidR="0037295E" w:rsidRPr="002A7BDE" w14:paraId="37D276A3" w14:textId="77777777" w:rsidTr="0037295E">
        <w:trPr>
          <w:trHeight w:val="247"/>
        </w:trPr>
        <w:tc>
          <w:tcPr>
            <w:tcW w:w="5000" w:type="pct"/>
            <w:gridSpan w:val="3"/>
            <w:shd w:val="clear" w:color="auto" w:fill="D9E2F3" w:themeFill="accent1" w:themeFillTint="33"/>
          </w:tcPr>
          <w:p w14:paraId="6EFE9622" w14:textId="77777777" w:rsidR="0037295E" w:rsidRPr="002A7BDE" w:rsidRDefault="0037295E" w:rsidP="0037295E">
            <w:pPr>
              <w:keepNext/>
              <w:keepLines/>
              <w:jc w:val="center"/>
              <w:rPr>
                <w:b/>
                <w:i/>
              </w:rPr>
            </w:pPr>
            <w:r w:rsidRPr="002A7BDE">
              <w:t>Energy Storage ($/Wh)</w:t>
            </w:r>
          </w:p>
        </w:tc>
      </w:tr>
      <w:tr w:rsidR="0037295E" w:rsidRPr="002A7BDE" w14:paraId="523A47A3" w14:textId="77777777" w:rsidTr="0037295E">
        <w:trPr>
          <w:trHeight w:val="247"/>
        </w:trPr>
        <w:tc>
          <w:tcPr>
            <w:tcW w:w="1886" w:type="pct"/>
          </w:tcPr>
          <w:p w14:paraId="201E0E6E" w14:textId="69C0341F" w:rsidR="0037295E" w:rsidRPr="002A7BDE" w:rsidRDefault="0037295E" w:rsidP="0037295E">
            <w:pPr>
              <w:keepNext/>
              <w:keepLines/>
            </w:pPr>
            <w:r w:rsidRPr="002A7BDE">
              <w:t>Non</w:t>
            </w:r>
            <w:r w:rsidR="00757681">
              <w:noBreakHyphen/>
            </w:r>
            <w:r w:rsidRPr="002A7BDE">
              <w:t>residential equity</w:t>
            </w:r>
          </w:p>
        </w:tc>
        <w:tc>
          <w:tcPr>
            <w:tcW w:w="1902" w:type="pct"/>
          </w:tcPr>
          <w:p w14:paraId="3C1C42D1" w14:textId="77777777" w:rsidR="0037295E" w:rsidRPr="002A7BDE" w:rsidRDefault="0037295E" w:rsidP="0037295E">
            <w:pPr>
              <w:keepNext/>
              <w:keepLines/>
              <w:jc w:val="center"/>
            </w:pPr>
            <w:r w:rsidRPr="002A7BDE">
              <w:t>0.35</w:t>
            </w:r>
          </w:p>
        </w:tc>
        <w:tc>
          <w:tcPr>
            <w:tcW w:w="1213" w:type="pct"/>
          </w:tcPr>
          <w:p w14:paraId="233C0FE3" w14:textId="4991A90F" w:rsidR="0037295E" w:rsidRPr="002A7BDE" w:rsidRDefault="0037295E" w:rsidP="0037295E">
            <w:pPr>
              <w:keepNext/>
              <w:keepLines/>
              <w:jc w:val="center"/>
            </w:pPr>
            <w:r w:rsidRPr="002A7BDE">
              <w:t>0.35</w:t>
            </w:r>
            <w:r w:rsidR="00757681">
              <w:noBreakHyphen/>
            </w:r>
            <w:r w:rsidRPr="002A7BDE">
              <w:t>0.50</w:t>
            </w:r>
          </w:p>
        </w:tc>
      </w:tr>
      <w:tr w:rsidR="0037295E" w:rsidRPr="002A7BDE" w14:paraId="025A8AC8" w14:textId="77777777" w:rsidTr="0037295E">
        <w:trPr>
          <w:trHeight w:val="247"/>
        </w:trPr>
        <w:tc>
          <w:tcPr>
            <w:tcW w:w="1886" w:type="pct"/>
          </w:tcPr>
          <w:p w14:paraId="20DB1FB1" w14:textId="0F44C763" w:rsidR="0037295E" w:rsidRPr="002A7BDE" w:rsidRDefault="0037295E" w:rsidP="0037295E">
            <w:pPr>
              <w:keepNext/>
              <w:keepLines/>
            </w:pPr>
            <w:r>
              <w:t>Non</w:t>
            </w:r>
            <w:r w:rsidR="00757681">
              <w:noBreakHyphen/>
            </w:r>
            <w:r>
              <w:t>residential equity + ITC</w:t>
            </w:r>
          </w:p>
        </w:tc>
        <w:tc>
          <w:tcPr>
            <w:tcW w:w="1902" w:type="pct"/>
          </w:tcPr>
          <w:p w14:paraId="115B9D39" w14:textId="77777777" w:rsidR="0037295E" w:rsidRPr="002A7BDE" w:rsidRDefault="0037295E" w:rsidP="0037295E">
            <w:pPr>
              <w:keepNext/>
              <w:keepLines/>
              <w:jc w:val="center"/>
            </w:pPr>
            <w:r w:rsidRPr="002A7BDE">
              <w:t>0.25</w:t>
            </w:r>
          </w:p>
        </w:tc>
        <w:tc>
          <w:tcPr>
            <w:tcW w:w="1213" w:type="pct"/>
          </w:tcPr>
          <w:p w14:paraId="02AB57F9" w14:textId="4AEC1BDB" w:rsidR="0037295E" w:rsidRPr="002A7BDE" w:rsidRDefault="0037295E" w:rsidP="0037295E">
            <w:pPr>
              <w:keepNext/>
              <w:keepLines/>
              <w:jc w:val="center"/>
            </w:pPr>
            <w:r w:rsidRPr="002A7BDE">
              <w:t>0.25</w:t>
            </w:r>
            <w:r w:rsidR="00757681">
              <w:noBreakHyphen/>
            </w:r>
            <w:r w:rsidRPr="002A7BDE">
              <w:t>0.40</w:t>
            </w:r>
          </w:p>
        </w:tc>
      </w:tr>
      <w:tr w:rsidR="0037295E" w:rsidRPr="002A7BDE" w14:paraId="002BF667" w14:textId="77777777" w:rsidTr="0037295E">
        <w:trPr>
          <w:trHeight w:val="247"/>
        </w:trPr>
        <w:tc>
          <w:tcPr>
            <w:tcW w:w="1886" w:type="pct"/>
          </w:tcPr>
          <w:p w14:paraId="668ACB49" w14:textId="77777777" w:rsidR="0037295E" w:rsidRPr="002A7BDE" w:rsidRDefault="0037295E" w:rsidP="0037295E">
            <w:r w:rsidRPr="002A7BDE">
              <w:t>Residential equity</w:t>
            </w:r>
          </w:p>
        </w:tc>
        <w:tc>
          <w:tcPr>
            <w:tcW w:w="1902" w:type="pct"/>
          </w:tcPr>
          <w:p w14:paraId="75A59BEF" w14:textId="77777777" w:rsidR="0037295E" w:rsidRPr="002A7BDE" w:rsidRDefault="0037295E" w:rsidP="0037295E">
            <w:pPr>
              <w:jc w:val="center"/>
            </w:pPr>
            <w:r w:rsidRPr="002A7BDE">
              <w:t>0.35</w:t>
            </w:r>
          </w:p>
        </w:tc>
        <w:tc>
          <w:tcPr>
            <w:tcW w:w="1213" w:type="pct"/>
          </w:tcPr>
          <w:p w14:paraId="6D5C1203" w14:textId="0AA4A9E3" w:rsidR="0037295E" w:rsidRPr="002A7BDE" w:rsidRDefault="0037295E" w:rsidP="0037295E">
            <w:pPr>
              <w:jc w:val="center"/>
            </w:pPr>
            <w:r w:rsidRPr="002A7BDE">
              <w:t>0.35</w:t>
            </w:r>
            <w:r w:rsidR="00757681">
              <w:noBreakHyphen/>
            </w:r>
            <w:r w:rsidRPr="002A7BDE">
              <w:t>0.50</w:t>
            </w:r>
          </w:p>
        </w:tc>
      </w:tr>
      <w:tr w:rsidR="0037295E" w:rsidRPr="002A7BDE" w14:paraId="71AE175A" w14:textId="77777777" w:rsidTr="0037295E">
        <w:trPr>
          <w:trHeight w:val="247"/>
        </w:trPr>
        <w:tc>
          <w:tcPr>
            <w:tcW w:w="1886" w:type="pct"/>
          </w:tcPr>
          <w:p w14:paraId="319883E4" w14:textId="77777777" w:rsidR="0037295E" w:rsidRPr="002A7BDE" w:rsidRDefault="0037295E" w:rsidP="0037295E">
            <w:r w:rsidRPr="002A7BDE">
              <w:t>Residential equity + ITC</w:t>
            </w:r>
          </w:p>
        </w:tc>
        <w:tc>
          <w:tcPr>
            <w:tcW w:w="1902" w:type="pct"/>
          </w:tcPr>
          <w:p w14:paraId="43089DB1" w14:textId="77777777" w:rsidR="0037295E" w:rsidRPr="002A7BDE" w:rsidRDefault="0037295E" w:rsidP="0037295E">
            <w:pPr>
              <w:jc w:val="center"/>
            </w:pPr>
            <w:r w:rsidRPr="002A7BDE">
              <w:t>0.25</w:t>
            </w:r>
          </w:p>
        </w:tc>
        <w:tc>
          <w:tcPr>
            <w:tcW w:w="1213" w:type="pct"/>
          </w:tcPr>
          <w:p w14:paraId="3C966BB0" w14:textId="6B39340D" w:rsidR="0037295E" w:rsidRPr="002A7BDE" w:rsidRDefault="0037295E" w:rsidP="0037295E">
            <w:pPr>
              <w:jc w:val="center"/>
            </w:pPr>
            <w:r w:rsidRPr="002A7BDE">
              <w:t>0.25</w:t>
            </w:r>
            <w:r w:rsidR="00757681">
              <w:noBreakHyphen/>
            </w:r>
            <w:r w:rsidRPr="002A7BDE">
              <w:t>0.40</w:t>
            </w:r>
          </w:p>
        </w:tc>
      </w:tr>
    </w:tbl>
    <w:p w14:paraId="24DAA4E0" w14:textId="3926C314" w:rsidR="0037295E" w:rsidRDefault="0037295E" w:rsidP="00F57425">
      <w:pPr>
        <w:pStyle w:val="ALJBodyText"/>
        <w:ind w:firstLine="0"/>
      </w:pPr>
      <w:r>
        <w:tab/>
      </w:r>
    </w:p>
    <w:p w14:paraId="1F169AAD" w14:textId="06B644C8" w:rsidR="00625D5F" w:rsidRPr="0037295E" w:rsidRDefault="00625D5F" w:rsidP="00F55EEA">
      <w:pPr>
        <w:pStyle w:val="ALJBodyText"/>
      </w:pPr>
      <w:r>
        <w:lastRenderedPageBreak/>
        <w:t xml:space="preserve">The SGIP ACR asked parties to comment on the </w:t>
      </w:r>
      <w:r w:rsidR="00F55EEA">
        <w:t>program changes the Commission should consider in order to increase subscriptions in the equity budget, including whether the equity budget incentive structure should be modified.  The SGIP ACR also asked parties if the Commission should direct PG&amp;E to open step three of its storage equity budget prior to opening step three of its general storage budget.</w:t>
      </w:r>
    </w:p>
    <w:p w14:paraId="21853C90" w14:textId="34E7C35C" w:rsidR="001036F5" w:rsidRPr="001036F5" w:rsidRDefault="003E7DD4" w:rsidP="00C151FC">
      <w:pPr>
        <w:pStyle w:val="ALJHeading3"/>
      </w:pPr>
      <w:bookmarkStart w:id="46" w:name="_Toc15908075"/>
      <w:r>
        <w:t>Party Comments</w:t>
      </w:r>
      <w:bookmarkEnd w:id="46"/>
      <w:r>
        <w:t xml:space="preserve"> </w:t>
      </w:r>
      <w:r w:rsidR="001036F5">
        <w:t xml:space="preserve"> </w:t>
      </w:r>
    </w:p>
    <w:p w14:paraId="563CC407" w14:textId="4F77F7F9" w:rsidR="00002FC9" w:rsidRDefault="00586370" w:rsidP="0090049E">
      <w:pPr>
        <w:pStyle w:val="ALJBodyText"/>
      </w:pPr>
      <w:r>
        <w:t xml:space="preserve">Parties including CALSSA, Tesla, SCE, GRID and CESA broadly </w:t>
      </w:r>
      <w:r w:rsidR="00350C65">
        <w:t xml:space="preserve">agree that the main barrier to equity budget participation is a lack of financing or access to capital.  These parties </w:t>
      </w:r>
      <w:r>
        <w:t xml:space="preserve">recommend </w:t>
      </w:r>
      <w:r w:rsidR="00A96891">
        <w:t>that the Commission increase</w:t>
      </w:r>
      <w:r>
        <w:t xml:space="preserve"> equity budget incentives to cover all, or nearly, all resid</w:t>
      </w:r>
      <w:r w:rsidR="00F76CDB">
        <w:t xml:space="preserve">ential storage project costs.  </w:t>
      </w:r>
      <w:bookmarkStart w:id="47" w:name="_Hlk15472250"/>
      <w:r w:rsidR="00A96891">
        <w:t>Parties argue</w:t>
      </w:r>
      <w:r w:rsidR="0090049E">
        <w:t xml:space="preserve"> that this would bring the equity budget design into alignment with the</w:t>
      </w:r>
      <w:r w:rsidR="005356CD">
        <w:t xml:space="preserve"> </w:t>
      </w:r>
      <w:r w:rsidR="00103782">
        <w:t>SASH</w:t>
      </w:r>
      <w:r w:rsidR="00002FC9">
        <w:t xml:space="preserve"> and </w:t>
      </w:r>
      <w:r w:rsidR="00F76CDB">
        <w:t>DAC</w:t>
      </w:r>
      <w:r w:rsidR="00757681">
        <w:noBreakHyphen/>
      </w:r>
      <w:r w:rsidR="00F76CDB">
        <w:t>SASH</w:t>
      </w:r>
      <w:r w:rsidR="00002FC9">
        <w:t xml:space="preserve"> </w:t>
      </w:r>
      <w:r w:rsidR="0090049E" w:rsidRPr="00856B3F">
        <w:t>programs</w:t>
      </w:r>
      <w:r w:rsidR="0090049E" w:rsidRPr="00897BDF">
        <w:t>, which</w:t>
      </w:r>
      <w:r w:rsidR="0090049E">
        <w:t xml:space="preserve"> </w:t>
      </w:r>
      <w:r w:rsidR="00F76CDB">
        <w:t xml:space="preserve">fully </w:t>
      </w:r>
      <w:r w:rsidR="00667C82">
        <w:t xml:space="preserve">cover costs for </w:t>
      </w:r>
      <w:r w:rsidR="0090049E">
        <w:t>participating low</w:t>
      </w:r>
      <w:r w:rsidR="00757681">
        <w:noBreakHyphen/>
      </w:r>
      <w:r w:rsidR="0090049E">
        <w:t>income customers.</w:t>
      </w:r>
      <w:r w:rsidR="00F55EEA">
        <w:rPr>
          <w:rStyle w:val="FootnoteReference"/>
        </w:rPr>
        <w:footnoteReference w:id="39"/>
      </w:r>
      <w:r w:rsidR="0090049E">
        <w:t xml:space="preserve">   </w:t>
      </w:r>
      <w:bookmarkEnd w:id="47"/>
    </w:p>
    <w:p w14:paraId="660B3B56" w14:textId="28EBF5D0" w:rsidR="00002FC9" w:rsidRDefault="0090049E" w:rsidP="0090049E">
      <w:pPr>
        <w:pStyle w:val="ALJBodyText"/>
      </w:pPr>
      <w:r>
        <w:t>Parties propose a range of incentive increases</w:t>
      </w:r>
      <w:r w:rsidR="00A96891">
        <w:t xml:space="preserve"> to accomplish this</w:t>
      </w:r>
      <w:r w:rsidR="00AF515C">
        <w:t xml:space="preserve"> goal</w:t>
      </w:r>
      <w:r w:rsidR="00C529F4">
        <w:t xml:space="preserve">.  </w:t>
      </w:r>
      <w:r w:rsidR="002C1FE0">
        <w:t xml:space="preserve">SCE </w:t>
      </w:r>
      <w:r>
        <w:t>recommend</w:t>
      </w:r>
      <w:r w:rsidR="00C529F4">
        <w:t>s</w:t>
      </w:r>
      <w:r>
        <w:t xml:space="preserve"> </w:t>
      </w:r>
      <w:r w:rsidR="000F206F">
        <w:t>increasing the equity budget incentive to</w:t>
      </w:r>
      <w:r>
        <w:t xml:space="preserve"> </w:t>
      </w:r>
      <w:r w:rsidR="00A96891">
        <w:t xml:space="preserve">between </w:t>
      </w:r>
      <w:r>
        <w:t>$0.65</w:t>
      </w:r>
      <w:r w:rsidR="00A96891">
        <w:t xml:space="preserve">/Wh and </w:t>
      </w:r>
      <w:r>
        <w:t>$0.85/Wh</w:t>
      </w:r>
      <w:r w:rsidR="00A96891">
        <w:t xml:space="preserve">.  </w:t>
      </w:r>
      <w:r>
        <w:t>CALSSA recommend</w:t>
      </w:r>
      <w:r w:rsidR="00C529F4">
        <w:t>s</w:t>
      </w:r>
      <w:r>
        <w:t xml:space="preserve"> </w:t>
      </w:r>
      <w:r w:rsidR="00C529F4">
        <w:t xml:space="preserve">that equity budget </w:t>
      </w:r>
      <w:r w:rsidR="004A5BDD">
        <w:t>incentives be set</w:t>
      </w:r>
      <w:r w:rsidR="00E1789A">
        <w:t xml:space="preserve">, </w:t>
      </w:r>
      <w:r w:rsidR="004A5BDD">
        <w:t>at</w:t>
      </w:r>
      <w:r w:rsidR="00E1789A">
        <w:t xml:space="preserve"> least, at</w:t>
      </w:r>
      <w:r w:rsidR="004A5BDD">
        <w:t xml:space="preserve"> </w:t>
      </w:r>
      <w:r w:rsidR="002C1FE0">
        <w:t xml:space="preserve"> </w:t>
      </w:r>
      <w:r w:rsidR="004A5BDD">
        <w:t>85 </w:t>
      </w:r>
      <w:r>
        <w:t xml:space="preserve">percent of </w:t>
      </w:r>
      <w:r w:rsidR="00A96891">
        <w:t xml:space="preserve">the </w:t>
      </w:r>
      <w:r>
        <w:t xml:space="preserve">total installed </w:t>
      </w:r>
      <w:r w:rsidR="00F76CDB">
        <w:t>median cost of</w:t>
      </w:r>
      <w:r>
        <w:t xml:space="preserve"> residential storage systems </w:t>
      </w:r>
      <w:r w:rsidR="00F76CDB">
        <w:t xml:space="preserve">added </w:t>
      </w:r>
      <w:r w:rsidR="00F76CDB">
        <w:lastRenderedPageBreak/>
        <w:t>to</w:t>
      </w:r>
      <w:r>
        <w:t xml:space="preserve"> the SGIP database over the last six months, or $0.80/Wh</w:t>
      </w:r>
      <w:r w:rsidR="002C1FE0">
        <w:t xml:space="preserve"> </w:t>
      </w:r>
      <w:r w:rsidR="00757681">
        <w:noBreakHyphen/>
      </w:r>
      <w:r w:rsidR="002C1FE0">
        <w:t xml:space="preserve"> $0.83/Wh</w:t>
      </w:r>
      <w:r>
        <w:t>.</w:t>
      </w:r>
      <w:r>
        <w:rPr>
          <w:rStyle w:val="FootnoteReference"/>
        </w:rPr>
        <w:footnoteReference w:id="40"/>
      </w:r>
      <w:r w:rsidR="00F76CDB">
        <w:t xml:space="preserve">  </w:t>
      </w:r>
      <w:r w:rsidR="00E72042">
        <w:t>Tesla report</w:t>
      </w:r>
      <w:r w:rsidR="00C529F4">
        <w:t>s</w:t>
      </w:r>
      <w:r w:rsidR="00E72042">
        <w:t xml:space="preserve"> installed costs for its residential Powerwall systems </w:t>
      </w:r>
      <w:r w:rsidR="00C529F4">
        <w:t>of</w:t>
      </w:r>
      <w:r w:rsidR="00E72042">
        <w:t xml:space="preserve"> $0.73/Wh.</w:t>
      </w:r>
      <w:r w:rsidR="00E72042">
        <w:rPr>
          <w:rStyle w:val="FootnoteReference"/>
        </w:rPr>
        <w:footnoteReference w:id="41"/>
      </w:r>
      <w:r w:rsidR="00AF515C">
        <w:t xml:space="preserve"> </w:t>
      </w:r>
    </w:p>
    <w:p w14:paraId="6EC20627" w14:textId="4E6FF33A" w:rsidR="0079726C" w:rsidRDefault="0079726C" w:rsidP="0090049E">
      <w:pPr>
        <w:pStyle w:val="ALJBodyText"/>
      </w:pPr>
      <w:r>
        <w:t>In comments on the proposed decision, CALSSA recommends that the Commission adopt a higher incentive level for non</w:t>
      </w:r>
      <w:r w:rsidR="00757681">
        <w:noBreakHyphen/>
      </w:r>
      <w:r>
        <w:t>residential equity budget and equity resiliency budget customers and include adjustments to account for anticipated decreases in the ITC between 2020 and 2022.</w:t>
      </w:r>
    </w:p>
    <w:p w14:paraId="1456F949" w14:textId="4DD10271" w:rsidR="00C529F4" w:rsidRDefault="00E72042" w:rsidP="00C529F4">
      <w:pPr>
        <w:pStyle w:val="ALJBodyText"/>
      </w:pPr>
      <w:r>
        <w:t>GRID/</w:t>
      </w:r>
      <w:r w:rsidR="00C54DFC">
        <w:t>CHPC</w:t>
      </w:r>
      <w:r w:rsidR="00AB7BFD">
        <w:t xml:space="preserve"> </w:t>
      </w:r>
      <w:r w:rsidR="001374A2">
        <w:t>and CESA recommend</w:t>
      </w:r>
      <w:r w:rsidR="00C529F4">
        <w:t xml:space="preserve"> a tiered structure beginning at $0.75/Wh (CESA)</w:t>
      </w:r>
      <w:r w:rsidR="00F55EEA">
        <w:t xml:space="preserve"> or </w:t>
      </w:r>
      <w:r>
        <w:t xml:space="preserve">$0.85/Wh </w:t>
      </w:r>
      <w:r w:rsidR="00C529F4">
        <w:t>(GRID/</w:t>
      </w:r>
      <w:r w:rsidR="00C54DFC">
        <w:t>CHPC</w:t>
      </w:r>
      <w:r w:rsidR="00C529F4">
        <w:t>)</w:t>
      </w:r>
      <w:r w:rsidR="000F206F">
        <w:t xml:space="preserve">, coupled with several additional incentive </w:t>
      </w:r>
      <w:r>
        <w:t>adders</w:t>
      </w:r>
      <w:r w:rsidR="00C529F4">
        <w:t>.  GRID/</w:t>
      </w:r>
      <w:r w:rsidR="00C54DFC">
        <w:t>CHPC</w:t>
      </w:r>
      <w:r>
        <w:t xml:space="preserve"> stat</w:t>
      </w:r>
      <w:r w:rsidR="00C529F4">
        <w:t xml:space="preserve">e </w:t>
      </w:r>
      <w:r>
        <w:t>that the</w:t>
      </w:r>
      <w:r w:rsidR="00C529F4">
        <w:t>ir proposed</w:t>
      </w:r>
      <w:r>
        <w:t xml:space="preserve"> base rate </w:t>
      </w:r>
      <w:r w:rsidR="00C529F4">
        <w:t xml:space="preserve">incentive </w:t>
      </w:r>
      <w:r>
        <w:t>would narrow the cost gap for low</w:t>
      </w:r>
      <w:r w:rsidR="00757681">
        <w:noBreakHyphen/>
      </w:r>
      <w:r>
        <w:t>income projects</w:t>
      </w:r>
      <w:r w:rsidR="00C529F4">
        <w:t xml:space="preserve"> while</w:t>
      </w:r>
      <w:r w:rsidR="00A96891">
        <w:t xml:space="preserve"> the adders would</w:t>
      </w:r>
      <w:r>
        <w:t xml:space="preserve"> “close the gap without over</w:t>
      </w:r>
      <w:r w:rsidR="00757681">
        <w:noBreakHyphen/>
      </w:r>
      <w:r>
        <w:t>incenting.”</w:t>
      </w:r>
      <w:r w:rsidR="00C529F4">
        <w:rPr>
          <w:rStyle w:val="FootnoteReference"/>
        </w:rPr>
        <w:footnoteReference w:id="42"/>
      </w:r>
      <w:r w:rsidR="001374A2">
        <w:t xml:space="preserve">  </w:t>
      </w:r>
      <w:r w:rsidR="00C529F4">
        <w:t>These parties argue that</w:t>
      </w:r>
      <w:r w:rsidR="00F76CDB">
        <w:t xml:space="preserve"> </w:t>
      </w:r>
      <w:r>
        <w:t>“average or median residential costs reported in the SGIP program are likely to be conservative for low</w:t>
      </w:r>
      <w:r w:rsidR="00757681">
        <w:noBreakHyphen/>
      </w:r>
      <w:r>
        <w:t>income projects, which will carry extra installation costs.”</w:t>
      </w:r>
      <w:r w:rsidR="00C529F4">
        <w:rPr>
          <w:rStyle w:val="FootnoteReference"/>
        </w:rPr>
        <w:footnoteReference w:id="43"/>
      </w:r>
      <w:r w:rsidR="00C529F4">
        <w:t xml:space="preserve">  </w:t>
      </w:r>
    </w:p>
    <w:p w14:paraId="2BD71D14" w14:textId="25836462" w:rsidR="00A45D75" w:rsidRDefault="0090049E" w:rsidP="00C529F4">
      <w:pPr>
        <w:pStyle w:val="ALJBodyText"/>
      </w:pPr>
      <w:r>
        <w:t>GRID/</w:t>
      </w:r>
      <w:r w:rsidR="00C54DFC">
        <w:t>CHPC</w:t>
      </w:r>
      <w:r>
        <w:t xml:space="preserve"> </w:t>
      </w:r>
      <w:r w:rsidR="00A96891">
        <w:t xml:space="preserve">also </w:t>
      </w:r>
      <w:r>
        <w:t>recom</w:t>
      </w:r>
      <w:r w:rsidR="002E7370">
        <w:t>mend</w:t>
      </w:r>
      <w:r w:rsidR="00C529F4">
        <w:t xml:space="preserve"> that the Commission approve </w:t>
      </w:r>
      <w:r w:rsidR="00B40925">
        <w:t>two</w:t>
      </w:r>
      <w:r w:rsidR="00F55EEA">
        <w:t xml:space="preserve"> sets</w:t>
      </w:r>
      <w:r w:rsidR="00B40925">
        <w:t xml:space="preserve"> of incentive </w:t>
      </w:r>
      <w:r w:rsidR="00F76CDB">
        <w:t xml:space="preserve">adders in addition to an </w:t>
      </w:r>
      <w:r w:rsidR="00B40925">
        <w:t xml:space="preserve">equity budget </w:t>
      </w:r>
      <w:r w:rsidR="002E7370">
        <w:t xml:space="preserve">incentive </w:t>
      </w:r>
      <w:r w:rsidR="00C529F4">
        <w:t xml:space="preserve">base </w:t>
      </w:r>
      <w:r w:rsidR="002E7370">
        <w:t>rate</w:t>
      </w:r>
      <w:r w:rsidR="00B40925">
        <w:t>.</w:t>
      </w:r>
      <w:r w:rsidR="00A45D75">
        <w:t xml:space="preserve">  GRID/</w:t>
      </w:r>
      <w:r w:rsidR="00C54DFC">
        <w:t>CHPC</w:t>
      </w:r>
      <w:r w:rsidR="00A45D75">
        <w:t xml:space="preserve"> state that t</w:t>
      </w:r>
      <w:r w:rsidR="00B40925">
        <w:t>he first of these, a Resiliency Track</w:t>
      </w:r>
      <w:r w:rsidR="00A45D75">
        <w:t>,</w:t>
      </w:r>
      <w:r w:rsidR="003F6FDC">
        <w:t xml:space="preserve"> should start with a $0.85/Wh</w:t>
      </w:r>
      <w:r w:rsidR="00F76CDB">
        <w:t xml:space="preserve"> base rate and allow households l</w:t>
      </w:r>
      <w:r w:rsidR="00C529F4">
        <w:t>ocated</w:t>
      </w:r>
      <w:r>
        <w:t xml:space="preserve"> in </w:t>
      </w:r>
      <w:r w:rsidR="00AF515C">
        <w:t>H</w:t>
      </w:r>
      <w:r w:rsidR="00F76CDB">
        <w:t>FT</w:t>
      </w:r>
      <w:r w:rsidR="00AF515C">
        <w:t>D</w:t>
      </w:r>
      <w:r w:rsidR="00F76CDB">
        <w:t xml:space="preserve"> </w:t>
      </w:r>
      <w:r w:rsidR="00C83FCB">
        <w:t>Tiers 2 and 3</w:t>
      </w:r>
      <w:r w:rsidR="003F6FDC">
        <w:t xml:space="preserve"> to access an additional $0.15/Wh </w:t>
      </w:r>
      <w:r w:rsidR="006F158D">
        <w:t xml:space="preserve">adder, and </w:t>
      </w:r>
      <w:r w:rsidR="00F55EEA">
        <w:t>m</w:t>
      </w:r>
      <w:r w:rsidR="00C500A2">
        <w:t xml:space="preserve">edical </w:t>
      </w:r>
      <w:r w:rsidR="00F55EEA">
        <w:t>b</w:t>
      </w:r>
      <w:r w:rsidR="00C500A2">
        <w:t>aseline rate customers</w:t>
      </w:r>
      <w:r w:rsidR="00A96891">
        <w:t xml:space="preserve"> </w:t>
      </w:r>
      <w:r w:rsidR="006F158D">
        <w:t>to access an additional $0.10/Wh adder, for a total incentive of $1.10/Wh for customers that meet each of the</w:t>
      </w:r>
      <w:r w:rsidR="00F76CDB">
        <w:t xml:space="preserve"> two requirements.</w:t>
      </w:r>
      <w:r w:rsidR="00A45D75">
        <w:t xml:space="preserve"> </w:t>
      </w:r>
    </w:p>
    <w:p w14:paraId="15E47331" w14:textId="62AC6758" w:rsidR="000A3115" w:rsidRDefault="00A45D75" w:rsidP="00C529F4">
      <w:pPr>
        <w:pStyle w:val="ALJBodyText"/>
      </w:pPr>
      <w:r>
        <w:lastRenderedPageBreak/>
        <w:t>GRID/</w:t>
      </w:r>
      <w:r w:rsidR="00C54DFC">
        <w:t>CHPC</w:t>
      </w:r>
      <w:r>
        <w:t xml:space="preserve"> </w:t>
      </w:r>
      <w:r w:rsidR="00A96891">
        <w:t xml:space="preserve">also </w:t>
      </w:r>
      <w:r w:rsidR="000A3115">
        <w:t xml:space="preserve">propose </w:t>
      </w:r>
      <w:r>
        <w:t>a second Low</w:t>
      </w:r>
      <w:r w:rsidR="00757681">
        <w:noBreakHyphen/>
      </w:r>
      <w:r>
        <w:t xml:space="preserve">Income Solar Track that would </w:t>
      </w:r>
      <w:r w:rsidR="00B95626">
        <w:t xml:space="preserve">offer two incentive adders to </w:t>
      </w:r>
      <w:r w:rsidR="002E7370">
        <w:t xml:space="preserve">customers enrolled </w:t>
      </w:r>
      <w:r w:rsidR="0090049E">
        <w:t xml:space="preserve">in </w:t>
      </w:r>
      <w:r w:rsidR="00F76CDB">
        <w:t xml:space="preserve">the </w:t>
      </w:r>
      <w:r w:rsidR="00C500A2" w:rsidRPr="004F3A6C">
        <w:t>SASH</w:t>
      </w:r>
      <w:r w:rsidR="00F76CDB">
        <w:t xml:space="preserve">, </w:t>
      </w:r>
      <w:r w:rsidR="00C500A2" w:rsidRPr="004F3A6C">
        <w:t>DAC</w:t>
      </w:r>
      <w:r w:rsidR="00757681">
        <w:noBreakHyphen/>
      </w:r>
      <w:r w:rsidR="00C500A2" w:rsidRPr="004F3A6C">
        <w:t>SASH</w:t>
      </w:r>
      <w:r w:rsidR="00F76CDB">
        <w:t xml:space="preserve"> or the </w:t>
      </w:r>
      <w:r w:rsidR="002E7370">
        <w:t>SOMAH program</w:t>
      </w:r>
      <w:r w:rsidR="00F76CDB">
        <w:t>s</w:t>
      </w:r>
      <w:r w:rsidR="002E7370">
        <w:t>.</w:t>
      </w:r>
      <w:r w:rsidR="00C529F4">
        <w:rPr>
          <w:rStyle w:val="FootnoteReference"/>
        </w:rPr>
        <w:footnoteReference w:id="44"/>
      </w:r>
      <w:r w:rsidR="00C500A2">
        <w:t xml:space="preserve">  </w:t>
      </w:r>
      <w:r w:rsidR="000749EA">
        <w:t xml:space="preserve"> </w:t>
      </w:r>
      <w:r w:rsidR="00F76CDB">
        <w:t xml:space="preserve"> GRID/</w:t>
      </w:r>
      <w:r w:rsidR="00C54DFC">
        <w:t>CHPC</w:t>
      </w:r>
      <w:r w:rsidR="00F76CDB">
        <w:t xml:space="preserve"> propose that the Commission allow equity budget </w:t>
      </w:r>
      <w:r w:rsidR="000749EA">
        <w:t xml:space="preserve">customers </w:t>
      </w:r>
      <w:r w:rsidR="00F76CDB">
        <w:t>to use only one of the Low</w:t>
      </w:r>
      <w:r w:rsidR="00757681">
        <w:noBreakHyphen/>
      </w:r>
      <w:r w:rsidR="00F76CDB">
        <w:t xml:space="preserve">Income Solar Track incentive adders and </w:t>
      </w:r>
      <w:r w:rsidR="000A3115">
        <w:t>only of the two</w:t>
      </w:r>
      <w:r w:rsidR="00F76CDB">
        <w:t xml:space="preserve"> proposed </w:t>
      </w:r>
      <w:r w:rsidR="000A3115">
        <w:t>tracks, such that the max</w:t>
      </w:r>
      <w:r w:rsidR="00F76CDB">
        <w:t xml:space="preserve">imum incentive available to any given household </w:t>
      </w:r>
      <w:r w:rsidR="000A3115">
        <w:t>would be $1.10/Wh.</w:t>
      </w:r>
      <w:r w:rsidR="00F76CDB">
        <w:t xml:space="preserve">  </w:t>
      </w:r>
      <w:r w:rsidR="00270EA1">
        <w:t>Low</w:t>
      </w:r>
      <w:r w:rsidR="00757681">
        <w:noBreakHyphen/>
      </w:r>
      <w:r w:rsidR="00270EA1">
        <w:t xml:space="preserve">Income Solar Track incentive adders should be </w:t>
      </w:r>
      <w:r w:rsidR="00A96891">
        <w:t xml:space="preserve">made </w:t>
      </w:r>
      <w:r w:rsidR="00270EA1">
        <w:t xml:space="preserve">available </w:t>
      </w:r>
      <w:r w:rsidR="00A96891">
        <w:t xml:space="preserve">only </w:t>
      </w:r>
      <w:r w:rsidR="00270EA1">
        <w:t>for storage systems</w:t>
      </w:r>
      <w:r w:rsidR="00A96891">
        <w:t>, GRID/</w:t>
      </w:r>
      <w:r w:rsidR="00C54DFC">
        <w:t>CHPC</w:t>
      </w:r>
      <w:r w:rsidR="00A96891">
        <w:t xml:space="preserve"> state, </w:t>
      </w:r>
      <w:r w:rsidR="00270EA1">
        <w:t xml:space="preserve">not for any </w:t>
      </w:r>
      <w:r w:rsidR="00F76CDB">
        <w:t>paired technol</w:t>
      </w:r>
      <w:r w:rsidR="00A96891">
        <w:t>ogy such as solar generation.</w:t>
      </w:r>
    </w:p>
    <w:p w14:paraId="3D1157E6" w14:textId="68D7BD87" w:rsidR="00ED61C8" w:rsidRDefault="00ED61C8" w:rsidP="00ED61C8">
      <w:pPr>
        <w:pStyle w:val="ALJBodyText"/>
        <w:ind w:firstLine="0"/>
      </w:pPr>
      <w:r>
        <w:t xml:space="preserve">Table </w:t>
      </w:r>
      <w:r w:rsidR="00AF6BF5">
        <w:t>5</w:t>
      </w:r>
      <w:r>
        <w:t xml:space="preserve">.  </w:t>
      </w:r>
      <w:r w:rsidR="007269CD">
        <w:t>GRID/</w:t>
      </w:r>
      <w:r w:rsidR="00C54DFC">
        <w:t>CHPC</w:t>
      </w:r>
      <w:r w:rsidR="007269CD">
        <w:t xml:space="preserve">’s Proposed </w:t>
      </w:r>
      <w:r>
        <w:t>Equity Budget</w:t>
      </w:r>
      <w:r w:rsidR="00822321">
        <w:t xml:space="preserve"> Incentive Structure</w:t>
      </w:r>
    </w:p>
    <w:tbl>
      <w:tblPr>
        <w:tblStyle w:val="TableGrid"/>
        <w:tblW w:w="0" w:type="auto"/>
        <w:tblLook w:val="04A0" w:firstRow="1" w:lastRow="0" w:firstColumn="1" w:lastColumn="0" w:noHBand="0" w:noVBand="1"/>
      </w:tblPr>
      <w:tblGrid>
        <w:gridCol w:w="3438"/>
        <w:gridCol w:w="1350"/>
        <w:gridCol w:w="3420"/>
        <w:gridCol w:w="1368"/>
      </w:tblGrid>
      <w:tr w:rsidR="00ED61C8" w:rsidRPr="00ED61C8" w14:paraId="39F6B7C8" w14:textId="54CAF3FA" w:rsidTr="00ED61C8">
        <w:tc>
          <w:tcPr>
            <w:tcW w:w="4788" w:type="dxa"/>
            <w:gridSpan w:val="2"/>
          </w:tcPr>
          <w:p w14:paraId="5DF5CE43" w14:textId="0F9D39B6" w:rsidR="00ED61C8" w:rsidRPr="00ED61C8" w:rsidRDefault="00ED61C8" w:rsidP="004A5BDD">
            <w:pPr>
              <w:pStyle w:val="ALJBodyText"/>
              <w:spacing w:before="60" w:after="60" w:line="240" w:lineRule="auto"/>
              <w:ind w:firstLine="0"/>
              <w:rPr>
                <w:i/>
                <w:sz w:val="24"/>
              </w:rPr>
            </w:pPr>
            <w:bookmarkStart w:id="48" w:name="_Hlk12275731"/>
            <w:r w:rsidRPr="00ED61C8">
              <w:rPr>
                <w:i/>
                <w:sz w:val="24"/>
              </w:rPr>
              <w:t>Resiliency Track</w:t>
            </w:r>
          </w:p>
        </w:tc>
        <w:tc>
          <w:tcPr>
            <w:tcW w:w="4788" w:type="dxa"/>
            <w:gridSpan w:val="2"/>
          </w:tcPr>
          <w:p w14:paraId="08FEABBE" w14:textId="6BE334EB" w:rsidR="00ED61C8" w:rsidRPr="00ED61C8" w:rsidRDefault="00ED61C8" w:rsidP="004A5BDD">
            <w:pPr>
              <w:pStyle w:val="ALJBodyText"/>
              <w:spacing w:before="60" w:after="60" w:line="240" w:lineRule="auto"/>
              <w:ind w:firstLine="0"/>
              <w:rPr>
                <w:i/>
                <w:sz w:val="24"/>
              </w:rPr>
            </w:pPr>
            <w:r w:rsidRPr="00ED61C8">
              <w:rPr>
                <w:i/>
                <w:sz w:val="24"/>
              </w:rPr>
              <w:t>Low</w:t>
            </w:r>
            <w:r w:rsidR="00757681">
              <w:rPr>
                <w:i/>
                <w:sz w:val="24"/>
              </w:rPr>
              <w:noBreakHyphen/>
            </w:r>
            <w:r w:rsidRPr="00ED61C8">
              <w:rPr>
                <w:i/>
                <w:sz w:val="24"/>
              </w:rPr>
              <w:t xml:space="preserve">Income Solar Track </w:t>
            </w:r>
          </w:p>
        </w:tc>
      </w:tr>
      <w:tr w:rsidR="00ED61C8" w:rsidRPr="00ED61C8" w14:paraId="6BD2C802" w14:textId="2D0F5D69" w:rsidTr="00ED61C8">
        <w:tc>
          <w:tcPr>
            <w:tcW w:w="3438" w:type="dxa"/>
          </w:tcPr>
          <w:p w14:paraId="48F54C85" w14:textId="3F537EEB" w:rsidR="00ED61C8" w:rsidRPr="00ED61C8" w:rsidRDefault="00ED61C8" w:rsidP="004A5BDD">
            <w:pPr>
              <w:pStyle w:val="ALJBodyText"/>
              <w:spacing w:before="60" w:after="60" w:line="240" w:lineRule="auto"/>
              <w:ind w:firstLine="0"/>
              <w:rPr>
                <w:sz w:val="24"/>
              </w:rPr>
            </w:pPr>
            <w:r w:rsidRPr="00ED61C8">
              <w:rPr>
                <w:sz w:val="24"/>
              </w:rPr>
              <w:t>Base Incentive Rate</w:t>
            </w:r>
          </w:p>
        </w:tc>
        <w:tc>
          <w:tcPr>
            <w:tcW w:w="1350" w:type="dxa"/>
          </w:tcPr>
          <w:p w14:paraId="0585747E" w14:textId="0138DFAE" w:rsidR="00ED61C8" w:rsidRPr="00ED61C8" w:rsidRDefault="00ED61C8" w:rsidP="004A5BDD">
            <w:pPr>
              <w:pStyle w:val="ALJBodyText"/>
              <w:spacing w:before="60" w:after="60" w:line="240" w:lineRule="auto"/>
              <w:ind w:firstLine="0"/>
              <w:rPr>
                <w:sz w:val="24"/>
              </w:rPr>
            </w:pPr>
            <w:r w:rsidRPr="00ED61C8">
              <w:rPr>
                <w:sz w:val="24"/>
              </w:rPr>
              <w:t>$0.85/Wh</w:t>
            </w:r>
          </w:p>
        </w:tc>
        <w:tc>
          <w:tcPr>
            <w:tcW w:w="3420" w:type="dxa"/>
          </w:tcPr>
          <w:p w14:paraId="5C181F48" w14:textId="2F04F935" w:rsidR="00ED61C8" w:rsidRPr="00ED61C8" w:rsidRDefault="00ED61C8" w:rsidP="004A5BDD">
            <w:pPr>
              <w:pStyle w:val="ALJBodyText"/>
              <w:spacing w:before="60" w:after="60" w:line="240" w:lineRule="auto"/>
              <w:ind w:firstLine="0"/>
              <w:rPr>
                <w:sz w:val="24"/>
              </w:rPr>
            </w:pPr>
            <w:r w:rsidRPr="00ED61C8">
              <w:rPr>
                <w:sz w:val="24"/>
              </w:rPr>
              <w:t>Base Incentive Rate</w:t>
            </w:r>
          </w:p>
        </w:tc>
        <w:tc>
          <w:tcPr>
            <w:tcW w:w="1368" w:type="dxa"/>
          </w:tcPr>
          <w:p w14:paraId="417F4043" w14:textId="6CD934C7" w:rsidR="00ED61C8" w:rsidRPr="00ED61C8" w:rsidRDefault="00ED61C8" w:rsidP="004A5BDD">
            <w:pPr>
              <w:pStyle w:val="ALJBodyText"/>
              <w:spacing w:before="60" w:after="60" w:line="240" w:lineRule="auto"/>
              <w:ind w:firstLine="0"/>
              <w:rPr>
                <w:sz w:val="24"/>
              </w:rPr>
            </w:pPr>
            <w:r w:rsidRPr="00ED61C8">
              <w:rPr>
                <w:sz w:val="24"/>
              </w:rPr>
              <w:t>$0.85/Wh</w:t>
            </w:r>
          </w:p>
        </w:tc>
      </w:tr>
      <w:tr w:rsidR="00ED61C8" w:rsidRPr="00ED61C8" w14:paraId="4B8171AA" w14:textId="49D1303E" w:rsidTr="00ED61C8">
        <w:tc>
          <w:tcPr>
            <w:tcW w:w="3438" w:type="dxa"/>
          </w:tcPr>
          <w:p w14:paraId="104FE473" w14:textId="63CA9DEB" w:rsidR="00ED61C8" w:rsidRPr="00ED61C8" w:rsidRDefault="00ED61C8" w:rsidP="004A5BDD">
            <w:pPr>
              <w:pStyle w:val="ALJBodyText"/>
              <w:spacing w:before="60" w:after="60" w:line="240" w:lineRule="auto"/>
              <w:ind w:firstLine="0"/>
              <w:rPr>
                <w:sz w:val="24"/>
              </w:rPr>
            </w:pPr>
            <w:r w:rsidRPr="00ED61C8">
              <w:rPr>
                <w:sz w:val="24"/>
              </w:rPr>
              <w:t>High Fire District Adder</w:t>
            </w:r>
          </w:p>
        </w:tc>
        <w:tc>
          <w:tcPr>
            <w:tcW w:w="1350" w:type="dxa"/>
          </w:tcPr>
          <w:p w14:paraId="63FBBCA8" w14:textId="0F6E1C6E" w:rsidR="00ED61C8" w:rsidRPr="00ED61C8" w:rsidRDefault="00DB268D" w:rsidP="004A5BDD">
            <w:pPr>
              <w:pStyle w:val="ALJBodyText"/>
              <w:spacing w:before="60" w:after="60" w:line="240" w:lineRule="auto"/>
              <w:ind w:firstLine="0"/>
              <w:rPr>
                <w:sz w:val="24"/>
              </w:rPr>
            </w:pPr>
            <w:r>
              <w:rPr>
                <w:sz w:val="24"/>
              </w:rPr>
              <w:t>$0.1</w:t>
            </w:r>
            <w:r w:rsidR="00ED61C8" w:rsidRPr="00ED61C8">
              <w:rPr>
                <w:sz w:val="24"/>
              </w:rPr>
              <w:t>5/Wh</w:t>
            </w:r>
          </w:p>
        </w:tc>
        <w:tc>
          <w:tcPr>
            <w:tcW w:w="3420" w:type="dxa"/>
          </w:tcPr>
          <w:p w14:paraId="35022879" w14:textId="62DDA50B" w:rsidR="00ED61C8" w:rsidRPr="00ED61C8" w:rsidRDefault="00ED61C8" w:rsidP="004A5BDD">
            <w:pPr>
              <w:pStyle w:val="ALJBodyText"/>
              <w:spacing w:before="60" w:after="60" w:line="240" w:lineRule="auto"/>
              <w:ind w:firstLine="0"/>
              <w:rPr>
                <w:sz w:val="24"/>
              </w:rPr>
            </w:pPr>
            <w:r w:rsidRPr="00ED61C8">
              <w:rPr>
                <w:sz w:val="24"/>
              </w:rPr>
              <w:t>SASH/DAC</w:t>
            </w:r>
            <w:r w:rsidR="00757681">
              <w:rPr>
                <w:sz w:val="24"/>
              </w:rPr>
              <w:noBreakHyphen/>
            </w:r>
            <w:r w:rsidRPr="00ED61C8">
              <w:rPr>
                <w:sz w:val="24"/>
              </w:rPr>
              <w:t>SASH Adder</w:t>
            </w:r>
          </w:p>
        </w:tc>
        <w:tc>
          <w:tcPr>
            <w:tcW w:w="1368" w:type="dxa"/>
          </w:tcPr>
          <w:p w14:paraId="7934958F" w14:textId="24DE844C" w:rsidR="00ED61C8" w:rsidRPr="00ED61C8" w:rsidRDefault="00ED61C8" w:rsidP="004A5BDD">
            <w:pPr>
              <w:pStyle w:val="ALJBodyText"/>
              <w:spacing w:before="60" w:after="60" w:line="240" w:lineRule="auto"/>
              <w:ind w:firstLine="0"/>
              <w:rPr>
                <w:sz w:val="24"/>
              </w:rPr>
            </w:pPr>
            <w:r w:rsidRPr="00ED61C8">
              <w:rPr>
                <w:sz w:val="24"/>
              </w:rPr>
              <w:t>$0.25/Wh</w:t>
            </w:r>
          </w:p>
        </w:tc>
      </w:tr>
      <w:tr w:rsidR="00ED61C8" w:rsidRPr="00ED61C8" w14:paraId="65C3D54A" w14:textId="715A8363" w:rsidTr="00ED61C8">
        <w:tc>
          <w:tcPr>
            <w:tcW w:w="3438" w:type="dxa"/>
          </w:tcPr>
          <w:p w14:paraId="3FF27188" w14:textId="07861E6C" w:rsidR="00ED61C8" w:rsidRPr="00ED61C8" w:rsidRDefault="00ED61C8" w:rsidP="004A5BDD">
            <w:pPr>
              <w:pStyle w:val="ALJBodyText"/>
              <w:spacing w:before="60" w:after="60" w:line="240" w:lineRule="auto"/>
              <w:ind w:firstLine="0"/>
              <w:rPr>
                <w:sz w:val="24"/>
              </w:rPr>
            </w:pPr>
            <w:r w:rsidRPr="00ED61C8">
              <w:rPr>
                <w:sz w:val="24"/>
              </w:rPr>
              <w:t>Vulnerable Customer Adder</w:t>
            </w:r>
          </w:p>
        </w:tc>
        <w:tc>
          <w:tcPr>
            <w:tcW w:w="1350" w:type="dxa"/>
          </w:tcPr>
          <w:p w14:paraId="52FA4207" w14:textId="0AA336F1" w:rsidR="00ED61C8" w:rsidRPr="00ED61C8" w:rsidRDefault="00ED61C8" w:rsidP="004A5BDD">
            <w:pPr>
              <w:pStyle w:val="ALJBodyText"/>
              <w:spacing w:before="60" w:after="60" w:line="240" w:lineRule="auto"/>
              <w:ind w:firstLine="0"/>
              <w:rPr>
                <w:sz w:val="24"/>
              </w:rPr>
            </w:pPr>
            <w:r w:rsidRPr="00ED61C8">
              <w:rPr>
                <w:sz w:val="24"/>
              </w:rPr>
              <w:t>$0.10/Wh</w:t>
            </w:r>
          </w:p>
        </w:tc>
        <w:tc>
          <w:tcPr>
            <w:tcW w:w="3420" w:type="dxa"/>
          </w:tcPr>
          <w:p w14:paraId="19FF7C47" w14:textId="327F7758" w:rsidR="00ED61C8" w:rsidRPr="00ED61C8" w:rsidRDefault="00ED61C8" w:rsidP="004A5BDD">
            <w:pPr>
              <w:pStyle w:val="ALJBodyText"/>
              <w:spacing w:before="60" w:after="60" w:line="240" w:lineRule="auto"/>
              <w:ind w:firstLine="0"/>
              <w:rPr>
                <w:sz w:val="24"/>
              </w:rPr>
            </w:pPr>
            <w:r w:rsidRPr="00ED61C8">
              <w:rPr>
                <w:sz w:val="24"/>
              </w:rPr>
              <w:t>SOMAH Adder</w:t>
            </w:r>
          </w:p>
        </w:tc>
        <w:tc>
          <w:tcPr>
            <w:tcW w:w="1368" w:type="dxa"/>
          </w:tcPr>
          <w:p w14:paraId="386F514B" w14:textId="6F976C62" w:rsidR="00ED61C8" w:rsidRPr="00ED61C8" w:rsidRDefault="00ED61C8" w:rsidP="004A5BDD">
            <w:pPr>
              <w:pStyle w:val="ALJBodyText"/>
              <w:spacing w:before="60" w:after="60" w:line="240" w:lineRule="auto"/>
              <w:ind w:firstLine="0"/>
              <w:rPr>
                <w:sz w:val="24"/>
              </w:rPr>
            </w:pPr>
            <w:r w:rsidRPr="00ED61C8">
              <w:rPr>
                <w:sz w:val="24"/>
              </w:rPr>
              <w:t>$0.15/Wh</w:t>
            </w:r>
          </w:p>
        </w:tc>
      </w:tr>
      <w:tr w:rsidR="00ED61C8" w:rsidRPr="00ED61C8" w14:paraId="7AF4CF80" w14:textId="218E8C7B" w:rsidTr="00ED61C8">
        <w:tc>
          <w:tcPr>
            <w:tcW w:w="3438" w:type="dxa"/>
          </w:tcPr>
          <w:p w14:paraId="24DA746A" w14:textId="5A9BCE3B" w:rsidR="00ED61C8" w:rsidRPr="00F76CDB" w:rsidRDefault="00ED61C8" w:rsidP="004A5BDD">
            <w:pPr>
              <w:pStyle w:val="ALJBodyText"/>
              <w:spacing w:before="60" w:after="60" w:line="240" w:lineRule="auto"/>
              <w:ind w:firstLine="0"/>
              <w:rPr>
                <w:sz w:val="24"/>
              </w:rPr>
            </w:pPr>
            <w:r w:rsidRPr="00F76CDB">
              <w:rPr>
                <w:sz w:val="24"/>
              </w:rPr>
              <w:t>Total Possible Incentive Rate</w:t>
            </w:r>
          </w:p>
        </w:tc>
        <w:tc>
          <w:tcPr>
            <w:tcW w:w="1350" w:type="dxa"/>
          </w:tcPr>
          <w:p w14:paraId="6BB0DC00" w14:textId="0C272660" w:rsidR="00ED61C8" w:rsidRPr="00F76CDB" w:rsidRDefault="00ED61C8" w:rsidP="004A5BDD">
            <w:pPr>
              <w:pStyle w:val="ALJBodyText"/>
              <w:spacing w:before="60" w:after="60" w:line="240" w:lineRule="auto"/>
              <w:ind w:firstLine="0"/>
              <w:rPr>
                <w:sz w:val="24"/>
              </w:rPr>
            </w:pPr>
            <w:r w:rsidRPr="00F76CDB">
              <w:rPr>
                <w:sz w:val="24"/>
              </w:rPr>
              <w:t>$1.10/Wh</w:t>
            </w:r>
          </w:p>
        </w:tc>
        <w:tc>
          <w:tcPr>
            <w:tcW w:w="3420" w:type="dxa"/>
          </w:tcPr>
          <w:p w14:paraId="7A490A11" w14:textId="4344523B" w:rsidR="00ED61C8" w:rsidRPr="00F76CDB" w:rsidRDefault="00ED61C8" w:rsidP="004A5BDD">
            <w:pPr>
              <w:pStyle w:val="ALJBodyText"/>
              <w:spacing w:before="60" w:after="60" w:line="240" w:lineRule="auto"/>
              <w:ind w:firstLine="0"/>
              <w:rPr>
                <w:sz w:val="24"/>
              </w:rPr>
            </w:pPr>
            <w:r w:rsidRPr="00F76CDB">
              <w:rPr>
                <w:sz w:val="24"/>
              </w:rPr>
              <w:t>Total Possible Incentive Rate</w:t>
            </w:r>
          </w:p>
        </w:tc>
        <w:tc>
          <w:tcPr>
            <w:tcW w:w="1368" w:type="dxa"/>
          </w:tcPr>
          <w:p w14:paraId="74B0032D" w14:textId="1A169679" w:rsidR="00ED61C8" w:rsidRPr="00F76CDB" w:rsidRDefault="00ED61C8" w:rsidP="004A5BDD">
            <w:pPr>
              <w:pStyle w:val="ALJBodyText"/>
              <w:spacing w:before="60" w:after="60" w:line="240" w:lineRule="auto"/>
              <w:ind w:firstLine="0"/>
              <w:rPr>
                <w:sz w:val="24"/>
              </w:rPr>
            </w:pPr>
            <w:r w:rsidRPr="00F76CDB">
              <w:rPr>
                <w:sz w:val="24"/>
              </w:rPr>
              <w:t>$1.10/Wh</w:t>
            </w:r>
          </w:p>
        </w:tc>
      </w:tr>
      <w:bookmarkEnd w:id="48"/>
    </w:tbl>
    <w:p w14:paraId="77EAAE53" w14:textId="77777777" w:rsidR="00E72042" w:rsidRPr="004A5BDD" w:rsidRDefault="00E72042" w:rsidP="00586370">
      <w:pPr>
        <w:pStyle w:val="ALJBodyText"/>
        <w:rPr>
          <w:sz w:val="20"/>
          <w:szCs w:val="22"/>
        </w:rPr>
      </w:pPr>
    </w:p>
    <w:p w14:paraId="5E831C45" w14:textId="02636D2B" w:rsidR="000A3115" w:rsidRDefault="000A3115" w:rsidP="000722B9">
      <w:pPr>
        <w:pStyle w:val="ALJBodyText"/>
      </w:pPr>
      <w:r>
        <w:t>In support of their proposal</w:t>
      </w:r>
      <w:r w:rsidR="00350C65">
        <w:t>s</w:t>
      </w:r>
      <w:r>
        <w:t xml:space="preserve">, </w:t>
      </w:r>
      <w:r w:rsidR="00E57B70">
        <w:t>GRID/</w:t>
      </w:r>
      <w:r w:rsidR="00C54DFC">
        <w:t>CHPC</w:t>
      </w:r>
      <w:r w:rsidR="00E57B70">
        <w:t xml:space="preserve"> and CESA observe that co</w:t>
      </w:r>
      <w:r w:rsidR="00757681">
        <w:noBreakHyphen/>
      </w:r>
      <w:r w:rsidR="00E57B70">
        <w:t>installing residential storage with solar generation in low</w:t>
      </w:r>
      <w:r w:rsidR="00757681">
        <w:noBreakHyphen/>
      </w:r>
      <w:r w:rsidR="00E57B70">
        <w:t xml:space="preserve">income housing will </w:t>
      </w:r>
      <w:r w:rsidR="006E40F9">
        <w:t xml:space="preserve">encourage solar pairing, result in greater GHG reductions, enhance resiliency from solar charging during outages, and </w:t>
      </w:r>
      <w:r w:rsidR="00350C65">
        <w:t xml:space="preserve">assist </w:t>
      </w:r>
      <w:r w:rsidR="006E40F9">
        <w:t xml:space="preserve">the most vulnerable customers.  </w:t>
      </w:r>
    </w:p>
    <w:p w14:paraId="135FB86F" w14:textId="53D9191A" w:rsidR="00270EA1" w:rsidRDefault="002D2F16" w:rsidP="00586370">
      <w:pPr>
        <w:pStyle w:val="ALJBodyText"/>
      </w:pPr>
      <w:r>
        <w:t>GRID/</w:t>
      </w:r>
      <w:r w:rsidR="00C54DFC">
        <w:t>CHPC</w:t>
      </w:r>
      <w:r w:rsidR="00350C65">
        <w:t xml:space="preserve"> also</w:t>
      </w:r>
      <w:r>
        <w:t xml:space="preserve"> </w:t>
      </w:r>
      <w:r w:rsidR="00586370">
        <w:t>recommend</w:t>
      </w:r>
      <w:r w:rsidR="000722B9">
        <w:t xml:space="preserve"> </w:t>
      </w:r>
      <w:r w:rsidR="00586370">
        <w:t xml:space="preserve">eliminating the </w:t>
      </w:r>
      <w:r w:rsidR="000722B9">
        <w:t xml:space="preserve">equity budget’s </w:t>
      </w:r>
      <w:r w:rsidR="00586370">
        <w:t>step</w:t>
      </w:r>
      <w:r w:rsidR="00757681">
        <w:noBreakHyphen/>
      </w:r>
      <w:r w:rsidR="00586370">
        <w:t>up</w:t>
      </w:r>
      <w:r w:rsidR="00350C65">
        <w:t xml:space="preserve"> incentive</w:t>
      </w:r>
      <w:r w:rsidR="00586370">
        <w:t xml:space="preserve"> structure</w:t>
      </w:r>
      <w:r w:rsidR="000722B9">
        <w:t xml:space="preserve">, </w:t>
      </w:r>
      <w:r w:rsidR="00586370">
        <w:t xml:space="preserve">stating that this may </w:t>
      </w:r>
      <w:r w:rsidR="000722B9">
        <w:t xml:space="preserve">be </w:t>
      </w:r>
      <w:r w:rsidR="00586370">
        <w:t>caus</w:t>
      </w:r>
      <w:r w:rsidR="000722B9">
        <w:t>ing</w:t>
      </w:r>
      <w:r w:rsidR="00586370">
        <w:t xml:space="preserve"> developers to delay </w:t>
      </w:r>
      <w:r w:rsidR="00527D6E">
        <w:t xml:space="preserve">submitting </w:t>
      </w:r>
      <w:r w:rsidR="00A96891">
        <w:t xml:space="preserve">incentive applications while </w:t>
      </w:r>
      <w:r w:rsidR="00350C65">
        <w:t xml:space="preserve">they </w:t>
      </w:r>
      <w:r w:rsidR="00527D6E">
        <w:t>wait for incentive levels to increase.</w:t>
      </w:r>
      <w:r w:rsidR="000722B9">
        <w:t xml:space="preserve">  </w:t>
      </w:r>
      <w:r w:rsidR="00270EA1">
        <w:t>GRID/</w:t>
      </w:r>
      <w:r w:rsidR="00C54DFC">
        <w:t>CHPC</w:t>
      </w:r>
      <w:r w:rsidR="00270EA1">
        <w:t xml:space="preserve"> </w:t>
      </w:r>
      <w:r w:rsidR="00586370">
        <w:t xml:space="preserve">recommend </w:t>
      </w:r>
      <w:r w:rsidR="00527D6E">
        <w:t xml:space="preserve">that the </w:t>
      </w:r>
      <w:bookmarkStart w:id="49" w:name="_Hlk15547907"/>
      <w:r w:rsidR="00527D6E">
        <w:t xml:space="preserve">Commission </w:t>
      </w:r>
      <w:bookmarkStart w:id="50" w:name="_Hlk15472348"/>
      <w:r w:rsidR="00527D6E">
        <w:t>adopt a longer</w:t>
      </w:r>
      <w:r w:rsidR="00757681">
        <w:noBreakHyphen/>
      </w:r>
      <w:r w:rsidR="00527D6E">
        <w:t xml:space="preserve">term and </w:t>
      </w:r>
      <w:r w:rsidR="00C83FCB">
        <w:t xml:space="preserve">fixed </w:t>
      </w:r>
      <w:r w:rsidR="000722B9">
        <w:lastRenderedPageBreak/>
        <w:t xml:space="preserve">equity budget </w:t>
      </w:r>
      <w:r w:rsidR="00822321">
        <w:t xml:space="preserve">incentive level </w:t>
      </w:r>
      <w:r w:rsidR="000722B9">
        <w:t xml:space="preserve">and budget </w:t>
      </w:r>
      <w:r w:rsidR="00527D6E">
        <w:t xml:space="preserve">as was done with </w:t>
      </w:r>
      <w:r w:rsidR="00B11CE7">
        <w:t xml:space="preserve">the </w:t>
      </w:r>
      <w:r w:rsidR="00667C82">
        <w:t xml:space="preserve">reauthorized </w:t>
      </w:r>
      <w:r w:rsidR="00B11CE7">
        <w:t>SASH and</w:t>
      </w:r>
      <w:r w:rsidR="002C1FE0">
        <w:t xml:space="preserve"> </w:t>
      </w:r>
      <w:r w:rsidR="00B11CE7">
        <w:t>MASH programs.</w:t>
      </w:r>
      <w:r w:rsidR="00350C65">
        <w:rPr>
          <w:rStyle w:val="FootnoteReference"/>
        </w:rPr>
        <w:footnoteReference w:id="45"/>
      </w:r>
      <w:bookmarkEnd w:id="49"/>
      <w:bookmarkEnd w:id="50"/>
    </w:p>
    <w:p w14:paraId="5135FD2A" w14:textId="00F8F07E" w:rsidR="00693423" w:rsidRDefault="00350C65" w:rsidP="00586370">
      <w:pPr>
        <w:pStyle w:val="ALJBodyText"/>
      </w:pPr>
      <w:r>
        <w:t>P</w:t>
      </w:r>
      <w:r w:rsidR="00D23F99">
        <w:t xml:space="preserve">arties </w:t>
      </w:r>
      <w:r>
        <w:t xml:space="preserve">broadly </w:t>
      </w:r>
      <w:r w:rsidR="00D23F99">
        <w:t xml:space="preserve">support delinking </w:t>
      </w:r>
      <w:r w:rsidR="00693423">
        <w:t>the equity budget fro</w:t>
      </w:r>
      <w:r w:rsidR="002D2F16">
        <w:t xml:space="preserve">m the </w:t>
      </w:r>
      <w:r>
        <w:t>general storage s</w:t>
      </w:r>
      <w:r w:rsidR="002D2F16">
        <w:t xml:space="preserve">tep </w:t>
      </w:r>
      <w:r>
        <w:t>t</w:t>
      </w:r>
      <w:r w:rsidR="002D2F16">
        <w:t>hree</w:t>
      </w:r>
      <w:r>
        <w:t xml:space="preserve"> incentive requirement </w:t>
      </w:r>
      <w:r w:rsidR="000722B9">
        <w:t xml:space="preserve">as is currently required </w:t>
      </w:r>
      <w:r w:rsidR="00103782">
        <w:t xml:space="preserve">for two reasons. </w:t>
      </w:r>
      <w:r w:rsidR="0032323C">
        <w:t xml:space="preserve"> </w:t>
      </w:r>
      <w:r>
        <w:t>First, t</w:t>
      </w:r>
      <w:r w:rsidR="00103782">
        <w:t xml:space="preserve">hey state </w:t>
      </w:r>
      <w:r w:rsidR="00B11CE7">
        <w:t xml:space="preserve">that </w:t>
      </w:r>
      <w:r w:rsidR="00103782">
        <w:t xml:space="preserve">the </w:t>
      </w:r>
      <w:r w:rsidR="000722B9">
        <w:t>linkage is</w:t>
      </w:r>
      <w:r w:rsidR="00103782">
        <w:t xml:space="preserve"> arbitrary, as there is no real rationale to withhold equity budget incentives in a given PA area just because the PA has not yet opened its commercial storage </w:t>
      </w:r>
      <w:r>
        <w:t>s</w:t>
      </w:r>
      <w:r w:rsidR="00103782">
        <w:t xml:space="preserve">tep </w:t>
      </w:r>
      <w:r>
        <w:t>t</w:t>
      </w:r>
      <w:r w:rsidR="00103782">
        <w:t xml:space="preserve">hree incentive level.  </w:t>
      </w:r>
      <w:r>
        <w:t xml:space="preserve">Second, they state that </w:t>
      </w:r>
      <w:r w:rsidR="00103782">
        <w:t xml:space="preserve">the design creates uncertainty about when a given PA’s equity budget will open, which dampens market interest. </w:t>
      </w:r>
      <w:r>
        <w:t xml:space="preserve"> </w:t>
      </w:r>
      <w:r w:rsidR="000722B9">
        <w:t xml:space="preserve">Parties </w:t>
      </w:r>
      <w:r w:rsidR="00EC4059">
        <w:t xml:space="preserve">also </w:t>
      </w:r>
      <w:r>
        <w:t>broadly s</w:t>
      </w:r>
      <w:r w:rsidR="00B11CE7">
        <w:t>upport</w:t>
      </w:r>
      <w:r w:rsidR="000722B9">
        <w:t xml:space="preserve"> </w:t>
      </w:r>
      <w:r w:rsidR="00B11CE7">
        <w:t>immediate</w:t>
      </w:r>
      <w:r w:rsidR="002D2F16">
        <w:t>ly</w:t>
      </w:r>
      <w:r w:rsidR="00B11CE7">
        <w:t xml:space="preserve"> opening PG&amp;E’s equity budget</w:t>
      </w:r>
      <w:r w:rsidR="00C83FCB">
        <w:t xml:space="preserve"> </w:t>
      </w:r>
      <w:r w:rsidR="00103782">
        <w:t xml:space="preserve">to eliminate these barriers. </w:t>
      </w:r>
    </w:p>
    <w:p w14:paraId="348118AE" w14:textId="3FA506F2" w:rsidR="00DB268D" w:rsidRDefault="00DB268D" w:rsidP="00C151FC">
      <w:pPr>
        <w:pStyle w:val="ALJHeading3"/>
      </w:pPr>
      <w:bookmarkStart w:id="51" w:name="_Toc15908076"/>
      <w:r>
        <w:t>Discussion</w:t>
      </w:r>
      <w:bookmarkEnd w:id="51"/>
    </w:p>
    <w:p w14:paraId="044CD548" w14:textId="4AA4D15D" w:rsidR="00B77BBE" w:rsidRDefault="002D2F16" w:rsidP="00B77BBE">
      <w:pPr>
        <w:pStyle w:val="ALJBodyText"/>
      </w:pPr>
      <w:r>
        <w:t xml:space="preserve">We </w:t>
      </w:r>
      <w:r w:rsidR="00A96891">
        <w:t>adopt a two</w:t>
      </w:r>
      <w:r w:rsidR="00757681">
        <w:noBreakHyphen/>
      </w:r>
      <w:r w:rsidR="00A96891">
        <w:t xml:space="preserve">tiered equity budget incentive rate.  We </w:t>
      </w:r>
      <w:r>
        <w:t>increase equity budget incentives to $</w:t>
      </w:r>
      <w:r w:rsidR="00E1789A">
        <w:t>1.00</w:t>
      </w:r>
      <w:r>
        <w:t xml:space="preserve">/Wh </w:t>
      </w:r>
      <w:r w:rsidR="00A96891">
        <w:t xml:space="preserve">for equity budget </w:t>
      </w:r>
      <w:r>
        <w:t xml:space="preserve">customers that </w:t>
      </w:r>
      <w:r w:rsidR="00B77BBE">
        <w:t>mee</w:t>
      </w:r>
      <w:r w:rsidR="00392C8E">
        <w:t>t one of the following criteria:</w:t>
      </w:r>
      <w:r w:rsidR="00E1789A">
        <w:t xml:space="preserve"> </w:t>
      </w:r>
    </w:p>
    <w:p w14:paraId="5C497E12" w14:textId="20DC9FBB" w:rsidR="00392C8E" w:rsidRDefault="00B77BBE" w:rsidP="00CE14ED">
      <w:pPr>
        <w:pStyle w:val="ALJBodyText"/>
        <w:numPr>
          <w:ilvl w:val="0"/>
          <w:numId w:val="23"/>
        </w:numPr>
        <w:spacing w:after="160" w:line="240" w:lineRule="auto"/>
        <w:ind w:right="720"/>
      </w:pPr>
      <w:r>
        <w:t>The customer r</w:t>
      </w:r>
      <w:r w:rsidR="002D2F16">
        <w:t>eside</w:t>
      </w:r>
      <w:r w:rsidR="00AF5C34">
        <w:t xml:space="preserve">s </w:t>
      </w:r>
      <w:r>
        <w:t xml:space="preserve">in </w:t>
      </w:r>
      <w:r w:rsidR="00126FD8">
        <w:t>or provides services</w:t>
      </w:r>
      <w:r w:rsidR="00AF52F4">
        <w:t xml:space="preserve"> to </w:t>
      </w:r>
      <w:r>
        <w:t xml:space="preserve">a </w:t>
      </w:r>
      <w:r w:rsidR="00A96891">
        <w:t xml:space="preserve">Tier 3 </w:t>
      </w:r>
      <w:r w:rsidR="00E1789A">
        <w:t xml:space="preserve">or Tier 2 </w:t>
      </w:r>
      <w:r w:rsidR="004F28C6">
        <w:t>HFT</w:t>
      </w:r>
      <w:r w:rsidR="00C83FCB">
        <w:t>D</w:t>
      </w:r>
      <w:r w:rsidR="00A96891">
        <w:t xml:space="preserve"> </w:t>
      </w:r>
      <w:r>
        <w:t xml:space="preserve">and </w:t>
      </w:r>
      <w:r w:rsidR="00B96043">
        <w:t>i</w:t>
      </w:r>
      <w:r w:rsidR="00392C8E">
        <w:t xml:space="preserve">s </w:t>
      </w:r>
      <w:r w:rsidR="00392C8E" w:rsidRPr="00350C65">
        <w:t>a critical resiliency needs customer, as defined in Section</w:t>
      </w:r>
      <w:r w:rsidR="00CE14ED">
        <w:t> </w:t>
      </w:r>
      <w:r w:rsidR="00044370" w:rsidRPr="00D32CB0">
        <w:t>4.4.2</w:t>
      </w:r>
      <w:r w:rsidR="00392C8E" w:rsidRPr="001B10C1">
        <w:t>; or,</w:t>
      </w:r>
      <w:r w:rsidR="00392C8E">
        <w:t xml:space="preserve"> </w:t>
      </w:r>
    </w:p>
    <w:p w14:paraId="74DB297D" w14:textId="47021C79" w:rsidR="00B77BBE" w:rsidRPr="00897BDF" w:rsidRDefault="00350C65" w:rsidP="00CE14ED">
      <w:pPr>
        <w:pStyle w:val="ALJBodyText"/>
        <w:numPr>
          <w:ilvl w:val="0"/>
          <w:numId w:val="23"/>
        </w:numPr>
        <w:spacing w:after="160" w:line="240" w:lineRule="auto"/>
        <w:ind w:right="720"/>
      </w:pPr>
      <w:r>
        <w:t xml:space="preserve">The customer </w:t>
      </w:r>
      <w:r w:rsidR="00B96043">
        <w:t xml:space="preserve">resides in a Tier 3 </w:t>
      </w:r>
      <w:r w:rsidR="00E1789A">
        <w:t xml:space="preserve">or Tier 2 </w:t>
      </w:r>
      <w:r w:rsidR="00B96043">
        <w:t xml:space="preserve">HFTD and </w:t>
      </w:r>
      <w:r>
        <w:t>h</w:t>
      </w:r>
      <w:r w:rsidR="00392C8E" w:rsidRPr="00856B3F">
        <w:t xml:space="preserve">as </w:t>
      </w:r>
      <w:r w:rsidR="001457C2" w:rsidRPr="00897BDF">
        <w:t>re</w:t>
      </w:r>
      <w:r>
        <w:t xml:space="preserve">ached an </w:t>
      </w:r>
      <w:r w:rsidR="001457C2" w:rsidRPr="00897BDF">
        <w:t>“incentive reserved” status in</w:t>
      </w:r>
      <w:r w:rsidR="00B77BBE" w:rsidRPr="00897BDF">
        <w:t xml:space="preserve"> the SASH or DAC</w:t>
      </w:r>
      <w:r w:rsidR="00757681">
        <w:noBreakHyphen/>
      </w:r>
      <w:r w:rsidR="00B77BBE" w:rsidRPr="00897BDF">
        <w:t>SASH programs</w:t>
      </w:r>
      <w:r w:rsidR="00BF3A97">
        <w:t xml:space="preserve"> (we call these the </w:t>
      </w:r>
      <w:r w:rsidR="006B54E2">
        <w:t>“HFTD SASH/DAC</w:t>
      </w:r>
      <w:r w:rsidR="00757681">
        <w:noBreakHyphen/>
      </w:r>
      <w:r w:rsidR="006B54E2">
        <w:t>SASH customers</w:t>
      </w:r>
      <w:r w:rsidR="00BF3A97">
        <w:t xml:space="preserve">”). </w:t>
      </w:r>
    </w:p>
    <w:p w14:paraId="50D36086" w14:textId="3000AB3D" w:rsidR="0098166B" w:rsidRDefault="00F9401D" w:rsidP="0098166B">
      <w:pPr>
        <w:pStyle w:val="ALJBodyText"/>
      </w:pPr>
      <w:r>
        <w:t>We call this</w:t>
      </w:r>
      <w:r w:rsidR="00350C65">
        <w:t xml:space="preserve"> new incentive</w:t>
      </w:r>
      <w:r>
        <w:t xml:space="preserve"> the “equity resiliency incentive.”  </w:t>
      </w:r>
      <w:r w:rsidR="00A96891">
        <w:t xml:space="preserve">For all other equity budget customers, we increase the incentive level </w:t>
      </w:r>
      <w:r w:rsidR="00392C8E">
        <w:t>to $0.</w:t>
      </w:r>
      <w:r w:rsidR="00E1789A">
        <w:t>8</w:t>
      </w:r>
      <w:r w:rsidR="00392C8E">
        <w:t>5</w:t>
      </w:r>
      <w:r w:rsidR="00A96891">
        <w:t xml:space="preserve">/Wh. </w:t>
      </w:r>
      <w:r w:rsidR="00576303">
        <w:t xml:space="preserve"> </w:t>
      </w:r>
      <w:r w:rsidR="00B77BBE">
        <w:t xml:space="preserve">We eliminate </w:t>
      </w:r>
      <w:r w:rsidR="00A841AE">
        <w:t xml:space="preserve">the </w:t>
      </w:r>
      <w:r w:rsidR="00B77BBE">
        <w:t>equity budget step</w:t>
      </w:r>
      <w:r w:rsidR="00757681">
        <w:noBreakHyphen/>
      </w:r>
      <w:r w:rsidR="00B77BBE">
        <w:t xml:space="preserve">up incentive structure </w:t>
      </w:r>
      <w:r w:rsidR="00350C65">
        <w:t xml:space="preserve">and the linkage between the equity budget and step three of the general storage incentives </w:t>
      </w:r>
      <w:r w:rsidR="00B77BBE">
        <w:t xml:space="preserve">adopted </w:t>
      </w:r>
      <w:r w:rsidR="00B77BBE" w:rsidRPr="00392C8E">
        <w:t xml:space="preserve">in </w:t>
      </w:r>
      <w:r w:rsidR="00392C8E" w:rsidRPr="00392C8E">
        <w:lastRenderedPageBreak/>
        <w:t>D.17</w:t>
      </w:r>
      <w:r w:rsidR="00757681">
        <w:noBreakHyphen/>
      </w:r>
      <w:r w:rsidR="00392C8E" w:rsidRPr="00392C8E">
        <w:t>10</w:t>
      </w:r>
      <w:r w:rsidR="00757681">
        <w:noBreakHyphen/>
      </w:r>
      <w:r w:rsidR="00392C8E" w:rsidRPr="00392C8E">
        <w:t>004.</w:t>
      </w:r>
      <w:r w:rsidR="0098166B">
        <w:t xml:space="preserve">  We direct </w:t>
      </w:r>
      <w:r w:rsidR="005C51F5">
        <w:t xml:space="preserve">PG&amp;E open its equity budget as soon as possible following adoption of this decision.  </w:t>
      </w:r>
      <w:r w:rsidR="00350C65">
        <w:t xml:space="preserve"> </w:t>
      </w:r>
    </w:p>
    <w:p w14:paraId="673B9BAF" w14:textId="4107B9C7" w:rsidR="00B77BBE" w:rsidRDefault="00B77BBE" w:rsidP="00B77BBE">
      <w:pPr>
        <w:pStyle w:val="ALJBodyText"/>
      </w:pPr>
      <w:r>
        <w:t xml:space="preserve">Providing equity budget incentives that fully subsidize storage systems for </w:t>
      </w:r>
      <w:r w:rsidR="00392C8E">
        <w:t xml:space="preserve">equity budget </w:t>
      </w:r>
      <w:r w:rsidRPr="00A30D6D">
        <w:t xml:space="preserve">customers </w:t>
      </w:r>
      <w:r w:rsidR="00F9401D">
        <w:t xml:space="preserve">in Tier 3 </w:t>
      </w:r>
      <w:r w:rsidR="00E1789A">
        <w:t xml:space="preserve">or Tier 2 </w:t>
      </w:r>
      <w:r w:rsidR="00F9401D">
        <w:t xml:space="preserve">HFTDs with </w:t>
      </w:r>
      <w:r w:rsidR="00392C8E">
        <w:t xml:space="preserve">critical resiliency needs </w:t>
      </w:r>
      <w:r>
        <w:t xml:space="preserve">will increase </w:t>
      </w:r>
      <w:r w:rsidR="00392C8E">
        <w:t xml:space="preserve">the accessibility </w:t>
      </w:r>
      <w:r w:rsidR="00154B83">
        <w:t>o</w:t>
      </w:r>
      <w:r w:rsidR="00392C8E">
        <w:t xml:space="preserve">f </w:t>
      </w:r>
      <w:r>
        <w:t xml:space="preserve">SGIP </w:t>
      </w:r>
      <w:r w:rsidR="00392C8E">
        <w:t xml:space="preserve">incentives for </w:t>
      </w:r>
      <w:r w:rsidRPr="00A30D6D">
        <w:t>the most vulnerable customers</w:t>
      </w:r>
      <w:r w:rsidR="00392C8E">
        <w:t xml:space="preserve"> and </w:t>
      </w:r>
      <w:r w:rsidR="00350C65">
        <w:t xml:space="preserve">for </w:t>
      </w:r>
      <w:r w:rsidR="00392C8E">
        <w:t xml:space="preserve">those providing critical </w:t>
      </w:r>
      <w:r w:rsidR="00350C65">
        <w:t>facilities or infrastructure</w:t>
      </w:r>
      <w:r w:rsidR="00392C8E">
        <w:t xml:space="preserve">. </w:t>
      </w:r>
      <w:r w:rsidR="00103782">
        <w:t xml:space="preserve"> </w:t>
      </w:r>
      <w:r>
        <w:t xml:space="preserve">Providing </w:t>
      </w:r>
      <w:r w:rsidR="00330FFD">
        <w:t xml:space="preserve">the same incentive levels to </w:t>
      </w:r>
      <w:r w:rsidR="00F9401D">
        <w:t xml:space="preserve">equity budget </w:t>
      </w:r>
      <w:r w:rsidRPr="00A30D6D">
        <w:t>customers in</w:t>
      </w:r>
      <w:r w:rsidR="00F9401D">
        <w:t xml:space="preserve"> </w:t>
      </w:r>
      <w:r w:rsidR="00E763B4">
        <w:t xml:space="preserve">Tier 3 </w:t>
      </w:r>
      <w:r w:rsidR="00E1789A">
        <w:t xml:space="preserve">or Tier 2 </w:t>
      </w:r>
      <w:r w:rsidR="004F28C6">
        <w:t>HFT</w:t>
      </w:r>
      <w:r w:rsidR="00E763B4">
        <w:t>D</w:t>
      </w:r>
      <w:r w:rsidR="00F9401D">
        <w:t>s</w:t>
      </w:r>
      <w:r w:rsidR="00E763B4">
        <w:t xml:space="preserve"> </w:t>
      </w:r>
      <w:r w:rsidR="00330FFD">
        <w:t>that also participate</w:t>
      </w:r>
      <w:r>
        <w:t xml:space="preserve"> in the</w:t>
      </w:r>
      <w:r w:rsidR="00330FFD">
        <w:t xml:space="preserve"> SASH</w:t>
      </w:r>
      <w:r w:rsidR="003F3305">
        <w:t xml:space="preserve"> or DAC</w:t>
      </w:r>
      <w:r w:rsidR="00757681">
        <w:noBreakHyphen/>
      </w:r>
      <w:r w:rsidR="003F3305">
        <w:t>SASH program</w:t>
      </w:r>
      <w:r w:rsidR="00F9401D">
        <w:t>s</w:t>
      </w:r>
      <w:r w:rsidR="003F3305">
        <w:t xml:space="preserve"> </w:t>
      </w:r>
      <w:r>
        <w:t>increase</w:t>
      </w:r>
      <w:r w:rsidR="00350C65">
        <w:t>s</w:t>
      </w:r>
      <w:r>
        <w:t xml:space="preserve"> the </w:t>
      </w:r>
      <w:r w:rsidR="00330FFD">
        <w:t xml:space="preserve">length of the resiliency benefits available to </w:t>
      </w:r>
      <w:r w:rsidR="003F3305">
        <w:t xml:space="preserve">these customers </w:t>
      </w:r>
      <w:r w:rsidR="00F21030">
        <w:t>during PSPS outages because correctly configured on</w:t>
      </w:r>
      <w:r w:rsidR="00757681">
        <w:noBreakHyphen/>
      </w:r>
      <w:r w:rsidR="00F21030">
        <w:t xml:space="preserve">site </w:t>
      </w:r>
      <w:r w:rsidR="003F3305">
        <w:t xml:space="preserve">solar generation </w:t>
      </w:r>
      <w:r w:rsidR="00F21030">
        <w:t xml:space="preserve">can recharge </w:t>
      </w:r>
      <w:r w:rsidR="003F3305">
        <w:t>on</w:t>
      </w:r>
      <w:r w:rsidR="00757681">
        <w:noBreakHyphen/>
      </w:r>
      <w:r w:rsidR="003F3305">
        <w:t xml:space="preserve">site </w:t>
      </w:r>
      <w:r w:rsidR="00F21030">
        <w:t>storage</w:t>
      </w:r>
      <w:r w:rsidR="00350C65">
        <w:t xml:space="preserve"> systems</w:t>
      </w:r>
      <w:r w:rsidR="00F21030">
        <w:t>, potentially enabling the storage</w:t>
      </w:r>
      <w:r w:rsidR="00757681">
        <w:noBreakHyphen/>
      </w:r>
      <w:r w:rsidR="00F21030">
        <w:t>plus</w:t>
      </w:r>
      <w:r w:rsidR="00757681">
        <w:noBreakHyphen/>
      </w:r>
      <w:r w:rsidR="00F21030">
        <w:t>solar system</w:t>
      </w:r>
      <w:r w:rsidR="003F3305">
        <w:t xml:space="preserve"> to provide multi</w:t>
      </w:r>
      <w:r w:rsidR="00757681">
        <w:noBreakHyphen/>
      </w:r>
      <w:r w:rsidR="003F3305">
        <w:t>day</w:t>
      </w:r>
      <w:r w:rsidR="00F9401D">
        <w:t>, multi</w:t>
      </w:r>
      <w:r w:rsidR="00757681">
        <w:noBreakHyphen/>
      </w:r>
      <w:r w:rsidR="00F9401D">
        <w:t>hour</w:t>
      </w:r>
      <w:r w:rsidR="003F3305">
        <w:t xml:space="preserve"> backup</w:t>
      </w:r>
      <w:r w:rsidR="00F9401D">
        <w:t xml:space="preserve"> electricity for critical loads</w:t>
      </w:r>
      <w:r w:rsidR="004358E3">
        <w:t xml:space="preserve">.  </w:t>
      </w:r>
      <w:r w:rsidR="0079726C">
        <w:t>We expect that they incentive levels adopted in this decision will fully or nearly fully subsidize installation of SGIP storage systems by eligible equity resiliency budget and equity budget customers.  This will address the primary barrier to participation in SGIP by equity budget</w:t>
      </w:r>
      <w:r w:rsidR="00757681">
        <w:noBreakHyphen/>
      </w:r>
      <w:r w:rsidR="0079726C">
        <w:t xml:space="preserve">eligible customers, particularly residential customers, which is lack of access to financing or capital. </w:t>
      </w:r>
    </w:p>
    <w:p w14:paraId="06F4BEF4" w14:textId="656E2DE7" w:rsidR="00350C65" w:rsidRDefault="00330FFD" w:rsidP="00590D1E">
      <w:pPr>
        <w:pStyle w:val="ALJBodyText"/>
      </w:pPr>
      <w:r>
        <w:t xml:space="preserve">We have limited information on the appropriate incentive levels needed to fully </w:t>
      </w:r>
      <w:r w:rsidR="004358E3">
        <w:t xml:space="preserve">subsidize </w:t>
      </w:r>
      <w:r>
        <w:t>but not over</w:t>
      </w:r>
      <w:r w:rsidR="00757681">
        <w:noBreakHyphen/>
      </w:r>
      <w:r>
        <w:t>subsidize equity budget storage systems</w:t>
      </w:r>
      <w:r w:rsidR="00350C65">
        <w:t xml:space="preserve">.  </w:t>
      </w:r>
      <w:r>
        <w:t xml:space="preserve">Given the information we have, </w:t>
      </w:r>
      <w:r w:rsidR="00350C65">
        <w:t xml:space="preserve">however, </w:t>
      </w:r>
      <w:r>
        <w:t>we believe that an incentive of $</w:t>
      </w:r>
      <w:r w:rsidR="00E1789A">
        <w:t>1.00</w:t>
      </w:r>
      <w:r>
        <w:t xml:space="preserve">/Wh </w:t>
      </w:r>
      <w:r w:rsidR="004358E3">
        <w:t xml:space="preserve">for </w:t>
      </w:r>
      <w:r w:rsidR="005F59EC">
        <w:t xml:space="preserve">customers with </w:t>
      </w:r>
      <w:r w:rsidR="004358E3">
        <w:t xml:space="preserve">critical resiliency needs </w:t>
      </w:r>
      <w:r w:rsidR="00F370E1">
        <w:t>and</w:t>
      </w:r>
      <w:r w:rsidR="004358E3">
        <w:t xml:space="preserve"> </w:t>
      </w:r>
      <w:r w:rsidR="00CA6574">
        <w:t xml:space="preserve">customers </w:t>
      </w:r>
      <w:r w:rsidR="0089427E">
        <w:t xml:space="preserve">located </w:t>
      </w:r>
      <w:r w:rsidR="00F370E1">
        <w:t>in Tier 3</w:t>
      </w:r>
      <w:r w:rsidR="0089427E">
        <w:t xml:space="preserve"> </w:t>
      </w:r>
      <w:r w:rsidR="00E1789A">
        <w:t xml:space="preserve">or Tier 2 </w:t>
      </w:r>
      <w:r w:rsidR="0089427E">
        <w:t xml:space="preserve">HFTDs </w:t>
      </w:r>
      <w:r w:rsidR="004358E3">
        <w:t xml:space="preserve">participating in </w:t>
      </w:r>
      <w:r w:rsidR="00002FC9">
        <w:t>the SASH or DAC</w:t>
      </w:r>
      <w:r w:rsidR="00757681">
        <w:noBreakHyphen/>
      </w:r>
      <w:r w:rsidR="00002FC9">
        <w:t xml:space="preserve">SASH </w:t>
      </w:r>
      <w:r w:rsidR="004358E3">
        <w:t>program</w:t>
      </w:r>
      <w:r w:rsidR="00002FC9">
        <w:t>s</w:t>
      </w:r>
      <w:r w:rsidR="004358E3">
        <w:t xml:space="preserve"> </w:t>
      </w:r>
      <w:r>
        <w:t xml:space="preserve">will fully subsidize such systems </w:t>
      </w:r>
      <w:r w:rsidR="00E1789A">
        <w:t xml:space="preserve">and ensure a dramatic increase in participation in the equity resiliency budget. </w:t>
      </w:r>
    </w:p>
    <w:p w14:paraId="3EADBC3F" w14:textId="182ACD5A" w:rsidR="00F54AF8" w:rsidRDefault="00350C65" w:rsidP="00E66C2F">
      <w:pPr>
        <w:pStyle w:val="ALJBodyText"/>
      </w:pPr>
      <w:r w:rsidRPr="00350C65">
        <w:t xml:space="preserve">We provide some context for </w:t>
      </w:r>
      <w:r>
        <w:t xml:space="preserve">our adopted equity resiliency incentive levels.  </w:t>
      </w:r>
      <w:r w:rsidRPr="00350C65">
        <w:t>D.17</w:t>
      </w:r>
      <w:r w:rsidR="00757681">
        <w:noBreakHyphen/>
      </w:r>
      <w:r w:rsidRPr="00350C65">
        <w:t>10</w:t>
      </w:r>
      <w:r w:rsidR="00757681">
        <w:noBreakHyphen/>
      </w:r>
      <w:r w:rsidRPr="00350C65">
        <w:t xml:space="preserve">004 caps the equity budget incentive rate in any given PA </w:t>
      </w:r>
      <w:r w:rsidRPr="00350C65">
        <w:lastRenderedPageBreak/>
        <w:t xml:space="preserve">territory at $0.50/Wh.  At this incentive rate, a median 13.2 kWh, </w:t>
      </w:r>
      <w:r>
        <w:t>two</w:t>
      </w:r>
      <w:r w:rsidR="00757681">
        <w:noBreakHyphen/>
      </w:r>
      <w:r w:rsidRPr="00350C65">
        <w:t xml:space="preserve">hour residential storage system would receive a $6,600 </w:t>
      </w:r>
      <w:r w:rsidRPr="001B10C1">
        <w:t>incentive or about 50 percent of the median $13,500 cost of a residential system.</w:t>
      </w:r>
      <w:r w:rsidRPr="001B10C1">
        <w:rPr>
          <w:rStyle w:val="FootnoteReference"/>
        </w:rPr>
        <w:footnoteReference w:id="46"/>
      </w:r>
      <w:r w:rsidRPr="001B10C1">
        <w:t xml:space="preserve">  At $0.8</w:t>
      </w:r>
      <w:r w:rsidR="003530A4" w:rsidRPr="001B10C1">
        <w:t>5</w:t>
      </w:r>
      <w:r w:rsidRPr="001B10C1">
        <w:t>/Wh, the same system would receive $</w:t>
      </w:r>
      <w:r w:rsidR="00B46A69" w:rsidRPr="001B10C1">
        <w:t>11,200</w:t>
      </w:r>
      <w:r w:rsidRPr="001B10C1">
        <w:t xml:space="preserve">, or </w:t>
      </w:r>
      <w:r w:rsidR="003530A4" w:rsidRPr="001B10C1">
        <w:t>83</w:t>
      </w:r>
      <w:r w:rsidRPr="001B10C1">
        <w:t xml:space="preserve"> percent of its total eligible cost</w:t>
      </w:r>
      <w:r w:rsidR="00F304DC">
        <w:t>, and at $1.00/Wh, the total incentive would equal $13,200 or 98% of the system’s total eligible cost.</w:t>
      </w:r>
    </w:p>
    <w:p w14:paraId="1D632A84" w14:textId="42CB3987" w:rsidR="00350C65" w:rsidRDefault="00DA6C6A" w:rsidP="00E66C2F">
      <w:pPr>
        <w:pStyle w:val="ALJBodyText"/>
      </w:pPr>
      <w:r w:rsidRPr="001B10C1">
        <w:t xml:space="preserve">Tesla </w:t>
      </w:r>
      <w:r w:rsidR="00EB400C" w:rsidRPr="001B10C1">
        <w:t xml:space="preserve">states that </w:t>
      </w:r>
      <w:r w:rsidR="00E66C2F" w:rsidRPr="001B10C1">
        <w:t>a</w:t>
      </w:r>
      <w:r w:rsidR="00EB400C" w:rsidRPr="001B10C1">
        <w:t xml:space="preserve"> single </w:t>
      </w:r>
      <w:r w:rsidR="006F288A">
        <w:t>Powerw</w:t>
      </w:r>
      <w:r w:rsidR="00EB400C" w:rsidRPr="001B10C1">
        <w:t xml:space="preserve">all </w:t>
      </w:r>
      <w:r w:rsidR="001973D0" w:rsidRPr="001B10C1">
        <w:t xml:space="preserve">system </w:t>
      </w:r>
      <w:r w:rsidR="00EB400C" w:rsidRPr="001B10C1">
        <w:t>is a</w:t>
      </w:r>
      <w:r w:rsidR="00350C65" w:rsidRPr="001B10C1">
        <w:t xml:space="preserve"> 13.5 kWh five kW battery system</w:t>
      </w:r>
      <w:r w:rsidR="00350C65" w:rsidRPr="00350C65">
        <w:t xml:space="preserve"> </w:t>
      </w:r>
      <w:r w:rsidR="00EB400C">
        <w:t>that costs $9,800</w:t>
      </w:r>
      <w:r w:rsidR="004D0A87">
        <w:t>.</w:t>
      </w:r>
      <w:r w:rsidR="004D0A87">
        <w:rPr>
          <w:rStyle w:val="FootnoteReference"/>
        </w:rPr>
        <w:footnoteReference w:id="47"/>
      </w:r>
      <w:r w:rsidR="004D0A87">
        <w:t xml:space="preserve"> </w:t>
      </w:r>
      <w:r w:rsidR="008429CB">
        <w:t xml:space="preserve"> GRID notes </w:t>
      </w:r>
      <w:r w:rsidR="004D0A87">
        <w:t xml:space="preserve">in comments on the proposed decision </w:t>
      </w:r>
      <w:r w:rsidR="008429CB">
        <w:t>that this is true primarily for “early adopter” customers and does not reflect the costs contained in the SGIP database</w:t>
      </w:r>
      <w:r w:rsidR="0057021E">
        <w:t xml:space="preserve">. </w:t>
      </w:r>
      <w:r w:rsidR="006F288A">
        <w:t xml:space="preserve"> </w:t>
      </w:r>
      <w:r w:rsidR="00B43DB2">
        <w:t xml:space="preserve">Under the existing program, </w:t>
      </w:r>
      <w:r w:rsidR="006F288A">
        <w:t xml:space="preserve">a </w:t>
      </w:r>
      <w:r w:rsidR="00350C65" w:rsidRPr="00350C65">
        <w:t>$0.35/Wh incentive</w:t>
      </w:r>
      <w:r w:rsidR="006F288A">
        <w:t>, for instance in PG&amp;E’s territory,</w:t>
      </w:r>
      <w:r w:rsidR="00350C65" w:rsidRPr="00350C65">
        <w:t xml:space="preserve"> </w:t>
      </w:r>
      <w:r w:rsidR="00B43DB2">
        <w:t>would cover 48% of t</w:t>
      </w:r>
      <w:r w:rsidR="008429CB">
        <w:t xml:space="preserve">he </w:t>
      </w:r>
      <w:r w:rsidR="00B43DB2">
        <w:t xml:space="preserve">total </w:t>
      </w:r>
      <w:r w:rsidR="008429CB">
        <w:t xml:space="preserve">estimated </w:t>
      </w:r>
      <w:r w:rsidR="00B43DB2">
        <w:t>cost</w:t>
      </w:r>
      <w:r w:rsidR="008429CB">
        <w:t xml:space="preserve"> in this example</w:t>
      </w:r>
      <w:r w:rsidR="00752DAF">
        <w:t xml:space="preserve"> </w:t>
      </w:r>
      <w:r w:rsidR="004C2A42">
        <w:t>($</w:t>
      </w:r>
      <w:r w:rsidR="00FE56F9">
        <w:t xml:space="preserve">4,725), </w:t>
      </w:r>
      <w:r w:rsidR="00752DAF">
        <w:t>while with the $0.85/Wh subsidy, the incentive would cover 100% of the cost</w:t>
      </w:r>
      <w:r w:rsidR="008429CB">
        <w:t xml:space="preserve">, which, again, GRID observes primarily reflects costs for early adopters for a specific technology. </w:t>
      </w:r>
    </w:p>
    <w:p w14:paraId="102DF518" w14:textId="096AD041" w:rsidR="00FC1169" w:rsidRDefault="00FC1169" w:rsidP="00E66C2F">
      <w:pPr>
        <w:pStyle w:val="ALJBodyText"/>
      </w:pPr>
      <w:r>
        <w:t>In some cases, however, a smaller</w:t>
      </w:r>
      <w:r w:rsidR="001C7F09">
        <w:t xml:space="preserve"> </w:t>
      </w:r>
      <w:r>
        <w:t xml:space="preserve">battery system may be sufficient to </w:t>
      </w:r>
      <w:r w:rsidR="00660326">
        <w:t>provide for a customer’s critical electricity needs during a PSPS event</w:t>
      </w:r>
      <w:r w:rsidR="001C7F09">
        <w:t xml:space="preserve"> and the cost will be less than the above estimates.</w:t>
      </w:r>
      <w:r w:rsidR="00F06E3D">
        <w:t xml:space="preserve"> </w:t>
      </w:r>
      <w:r w:rsidR="00B94185">
        <w:t xml:space="preserve"> As </w:t>
      </w:r>
      <w:r w:rsidR="00E92F08">
        <w:t>discussed later</w:t>
      </w:r>
      <w:r w:rsidR="00B94185">
        <w:t xml:space="preserve">, </w:t>
      </w:r>
      <w:r w:rsidR="004C63C2">
        <w:t xml:space="preserve">however, </w:t>
      </w:r>
      <w:r w:rsidR="00B94185">
        <w:t xml:space="preserve">the incentives awarded </w:t>
      </w:r>
      <w:r w:rsidR="00912F23">
        <w:t xml:space="preserve">must </w:t>
      </w:r>
      <w:r w:rsidR="00B94185">
        <w:t xml:space="preserve">not exceed the cost of the system.  </w:t>
      </w:r>
      <w:r w:rsidR="00447E9B">
        <w:t xml:space="preserve">We encourage developers to </w:t>
      </w:r>
      <w:r w:rsidR="00CB4680">
        <w:t>realistically assess the customer’s needs and propose an appropriate scale</w:t>
      </w:r>
      <w:r w:rsidR="00C05553">
        <w:t xml:space="preserve"> solution.</w:t>
      </w:r>
      <w:r w:rsidR="00E1789A">
        <w:t xml:space="preserve"> </w:t>
      </w:r>
    </w:p>
    <w:p w14:paraId="789F4E48" w14:textId="61C409C7" w:rsidR="00E1789A" w:rsidRDefault="00E1789A" w:rsidP="00E66C2F">
      <w:pPr>
        <w:pStyle w:val="ALJBodyText"/>
      </w:pPr>
      <w:r>
        <w:t xml:space="preserve">Party comments on the proposed decision persuaded us that the risk of setting the incentive levels too low for the new equity resiliency budget and the equity budget, leading again to no or very low participation in these budgets, outweighs the risk that developers will inflate costs.  Parties cited additional </w:t>
      </w:r>
      <w:r>
        <w:lastRenderedPageBreak/>
        <w:t>costs of traveling to remote HFTD areas, electrical panel and wiring upgrades in some cases, and replacement parts and maintenance costs that could lead some projects to exceed an average cost of $0.85/Wh</w:t>
      </w:r>
      <w:r w:rsidR="00121D09">
        <w:t xml:space="preserve">, </w:t>
      </w:r>
      <w:r w:rsidR="00062412">
        <w:t xml:space="preserve">a cost that </w:t>
      </w:r>
      <w:r w:rsidR="00121D09">
        <w:t xml:space="preserve">is based on current SGIP residential </w:t>
      </w:r>
      <w:r w:rsidR="00062412">
        <w:t xml:space="preserve">participants who </w:t>
      </w:r>
      <w:r w:rsidR="00121D09">
        <w:t>are unlikely to face the same barriers as equity budget customers</w:t>
      </w:r>
      <w:r>
        <w:t xml:space="preserve">.  Our top </w:t>
      </w:r>
      <w:r w:rsidR="00062412">
        <w:t xml:space="preserve">priority </w:t>
      </w:r>
      <w:r>
        <w:t xml:space="preserve">is to ensure </w:t>
      </w:r>
      <w:r w:rsidR="006509EA">
        <w:t xml:space="preserve">access to the </w:t>
      </w:r>
      <w:r>
        <w:t xml:space="preserve">benefits </w:t>
      </w:r>
      <w:r w:rsidR="006509EA">
        <w:t xml:space="preserve">provided by the SGIP </w:t>
      </w:r>
      <w:r>
        <w:t>to qualifying equity budget and vulnerable customers in Tier 3 and Tier 2 HFTDs as soon as possible</w:t>
      </w:r>
      <w:r w:rsidR="006509EA">
        <w:t xml:space="preserve">. </w:t>
      </w:r>
      <w:r w:rsidR="0032323C">
        <w:t xml:space="preserve"> </w:t>
      </w:r>
      <w:r w:rsidR="006509EA">
        <w:t xml:space="preserve">Therefore, we will take some risk in this regard.  </w:t>
      </w:r>
    </w:p>
    <w:p w14:paraId="58864E89" w14:textId="08985E41" w:rsidR="0098166B" w:rsidRPr="0098166B" w:rsidRDefault="006509EA" w:rsidP="0098166B">
      <w:pPr>
        <w:pStyle w:val="ALJBodyText"/>
      </w:pPr>
      <w:r>
        <w:t xml:space="preserve">However, as much as possible, </w:t>
      </w:r>
      <w:r w:rsidR="00C3468E">
        <w:t xml:space="preserve">we </w:t>
      </w:r>
      <w:r w:rsidR="0098166B" w:rsidRPr="0098166B">
        <w:t xml:space="preserve">would like to guard against the possibility that, with the more generous incentives approved here, </w:t>
      </w:r>
      <w:r w:rsidR="00C3468E">
        <w:t xml:space="preserve">developers or </w:t>
      </w:r>
      <w:r w:rsidR="0098166B" w:rsidRPr="0098166B">
        <w:t xml:space="preserve">vendors may absorb an additional profit margin and not pass on all </w:t>
      </w:r>
      <w:r w:rsidR="00C3468E">
        <w:t xml:space="preserve">of </w:t>
      </w:r>
      <w:r w:rsidR="0098166B" w:rsidRPr="0098166B">
        <w:t xml:space="preserve">the </w:t>
      </w:r>
      <w:r w:rsidR="00C3468E">
        <w:t xml:space="preserve">cost </w:t>
      </w:r>
      <w:r w:rsidR="0098166B" w:rsidRPr="0098166B">
        <w:t xml:space="preserve">savings </w:t>
      </w:r>
      <w:r w:rsidR="00C3468E">
        <w:t xml:space="preserve">enabled by </w:t>
      </w:r>
      <w:r w:rsidR="00072163">
        <w:t>SGIP equity budget</w:t>
      </w:r>
      <w:r w:rsidR="0098166B" w:rsidRPr="0098166B">
        <w:t xml:space="preserve"> incentives to </w:t>
      </w:r>
      <w:r w:rsidR="00D36199">
        <w:t xml:space="preserve">residential </w:t>
      </w:r>
      <w:r w:rsidR="0098166B" w:rsidRPr="0098166B">
        <w:t xml:space="preserve">customers.  </w:t>
      </w:r>
      <w:r w:rsidR="00C3468E">
        <w:t xml:space="preserve">If this </w:t>
      </w:r>
      <w:r w:rsidR="00072163">
        <w:t>were to occur, it</w:t>
      </w:r>
      <w:r w:rsidR="0098166B" w:rsidRPr="0098166B">
        <w:t xml:space="preserve"> would under</w:t>
      </w:r>
      <w:r w:rsidR="00C3468E">
        <w:t>mine</w:t>
      </w:r>
      <w:r w:rsidR="0098166B" w:rsidRPr="0098166B">
        <w:t xml:space="preserve"> </w:t>
      </w:r>
      <w:r w:rsidR="00072163">
        <w:t xml:space="preserve">our intent, </w:t>
      </w:r>
      <w:r w:rsidR="0098166B" w:rsidRPr="0098166B">
        <w:t>which is not to increase revenue for developers, but rather to reduce cost</w:t>
      </w:r>
      <w:r w:rsidR="00072163">
        <w:t>s</w:t>
      </w:r>
      <w:r w:rsidR="0098166B" w:rsidRPr="0098166B">
        <w:t xml:space="preserve"> to customers of installing storage systems that </w:t>
      </w:r>
      <w:r w:rsidR="00072163">
        <w:t xml:space="preserve">provide </w:t>
      </w:r>
      <w:r w:rsidR="0098166B" w:rsidRPr="0098166B">
        <w:t xml:space="preserve">customer and </w:t>
      </w:r>
      <w:r w:rsidR="00072163">
        <w:t xml:space="preserve">grid benefits, lead to </w:t>
      </w:r>
      <w:r w:rsidR="0098166B" w:rsidRPr="0098166B">
        <w:t xml:space="preserve">increased </w:t>
      </w:r>
      <w:r w:rsidR="00C3468E">
        <w:t>customer demand</w:t>
      </w:r>
      <w:r w:rsidR="00072163">
        <w:t>, and, in turn, l</w:t>
      </w:r>
      <w:r w:rsidR="0098166B" w:rsidRPr="0098166B">
        <w:t>ower energy storage manufacturing, installation, and operation</w:t>
      </w:r>
      <w:r w:rsidR="00C3468E">
        <w:t xml:space="preserve"> costs. </w:t>
      </w:r>
      <w:r w:rsidR="00072163">
        <w:t xml:space="preserve"> </w:t>
      </w:r>
      <w:r w:rsidR="0098166B" w:rsidRPr="00072163">
        <w:t xml:space="preserve">Accordingly, </w:t>
      </w:r>
      <w:r w:rsidR="00072163">
        <w:t xml:space="preserve">SGIP </w:t>
      </w:r>
      <w:r w:rsidR="0098166B" w:rsidRPr="00072163">
        <w:t>developers sh</w:t>
      </w:r>
      <w:r w:rsidR="00072163">
        <w:t>ould</w:t>
      </w:r>
      <w:r w:rsidR="0098166B" w:rsidRPr="00072163">
        <w:t xml:space="preserve"> not increase the price of a system because incentives are available.  T</w:t>
      </w:r>
      <w:r w:rsidR="00C3468E" w:rsidRPr="00072163">
        <w:t>o accomplish this, we direct t</w:t>
      </w:r>
      <w:r w:rsidR="0098166B" w:rsidRPr="00072163">
        <w:t xml:space="preserve">he PAs </w:t>
      </w:r>
      <w:r w:rsidR="00C3468E" w:rsidRPr="00072163">
        <w:t xml:space="preserve">to </w:t>
      </w:r>
      <w:r w:rsidR="0098166B" w:rsidRPr="00072163">
        <w:t xml:space="preserve">add the following statement to the SGIP </w:t>
      </w:r>
      <w:r w:rsidR="00C3468E" w:rsidRPr="00072163">
        <w:t>h</w:t>
      </w:r>
      <w:r w:rsidR="0098166B" w:rsidRPr="00072163">
        <w:t>andbook:</w:t>
      </w:r>
      <w:r w:rsidR="00C3468E" w:rsidRPr="00072163">
        <w:t xml:space="preserve"> </w:t>
      </w:r>
      <w:r w:rsidR="004A5BDD">
        <w:t xml:space="preserve"> </w:t>
      </w:r>
      <w:r w:rsidR="0098166B" w:rsidRPr="00072163">
        <w:t>“Vendors</w:t>
      </w:r>
      <w:r w:rsidR="00C3468E" w:rsidRPr="00072163">
        <w:t>/d</w:t>
      </w:r>
      <w:r w:rsidR="0098166B" w:rsidRPr="00072163">
        <w:t xml:space="preserve">evelopers shall not sell a </w:t>
      </w:r>
      <w:r w:rsidR="00D36199">
        <w:t xml:space="preserve">residential </w:t>
      </w:r>
      <w:r w:rsidR="0098166B" w:rsidRPr="00072163">
        <w:t>storage system that receives incentives for a total price (before incentives) that is greater than the price they sell a comparable system that does not receive incentives.”</w:t>
      </w:r>
      <w:r w:rsidR="00D36199">
        <w:t xml:space="preserve">  We limit this direction to residential systems based on party comments on the proposed decision stating that non</w:t>
      </w:r>
      <w:r w:rsidR="00757681">
        <w:noBreakHyphen/>
      </w:r>
      <w:r w:rsidR="00D36199">
        <w:t>residential systems are typically offered as a service</w:t>
      </w:r>
      <w:r w:rsidR="004D0A87">
        <w:t xml:space="preserve"> and that determining a standard “price” for this service would be extremely difficult.  </w:t>
      </w:r>
      <w:r w:rsidR="004D0A87">
        <w:lastRenderedPageBreak/>
        <w:t>In addition, we expect that non</w:t>
      </w:r>
      <w:r w:rsidR="00757681">
        <w:noBreakHyphen/>
      </w:r>
      <w:r w:rsidR="004D0A87">
        <w:t>residential customers have greater resources and market savvy to solicit several competitive bids for systems they install</w:t>
      </w:r>
      <w:r w:rsidR="00D36199">
        <w:t>.</w:t>
      </w:r>
    </w:p>
    <w:p w14:paraId="3124FE61" w14:textId="00315AF0" w:rsidR="00C3468E" w:rsidRDefault="0098166B" w:rsidP="00C3468E">
      <w:pPr>
        <w:pStyle w:val="ALJBodyText"/>
      </w:pPr>
      <w:r w:rsidRPr="0098166B">
        <w:t xml:space="preserve">In the California Solar Initiative (CSI) solar </w:t>
      </w:r>
      <w:r w:rsidR="00C3468E">
        <w:t xml:space="preserve">photovoltaic (PV) </w:t>
      </w:r>
      <w:r w:rsidRPr="0098166B">
        <w:t xml:space="preserve">program, </w:t>
      </w:r>
      <w:r w:rsidR="00C3468E">
        <w:t xml:space="preserve">the Commission adopted a </w:t>
      </w:r>
      <w:r w:rsidRPr="0098166B">
        <w:t>“soft cap” on the price of a solar PV system that received CSI incentives</w:t>
      </w:r>
      <w:r w:rsidR="00C3468E">
        <w:t xml:space="preserve"> </w:t>
      </w:r>
      <w:r w:rsidR="00C3468E" w:rsidRPr="0098166B">
        <w:t>to protect the interests of consumers</w:t>
      </w:r>
      <w:r w:rsidRPr="0098166B">
        <w:t>, bas</w:t>
      </w:r>
      <w:r w:rsidR="00072163">
        <w:t>ed</w:t>
      </w:r>
      <w:r w:rsidR="00C3468E">
        <w:t xml:space="preserve"> the soft cap </w:t>
      </w:r>
      <w:r w:rsidRPr="0098166B">
        <w:t>on publicly available CSI cost data</w:t>
      </w:r>
      <w:r w:rsidR="00072163">
        <w:t>,</w:t>
      </w:r>
      <w:r w:rsidR="00C3468E">
        <w:t xml:space="preserve"> and allow</w:t>
      </w:r>
      <w:r w:rsidR="00072163">
        <w:t>ed</w:t>
      </w:r>
      <w:r w:rsidR="00C3468E">
        <w:t xml:space="preserve"> developers to </w:t>
      </w:r>
      <w:r w:rsidRPr="0098166B">
        <w:t>submit a “</w:t>
      </w:r>
      <w:r w:rsidR="00C3468E">
        <w:t>h</w:t>
      </w:r>
      <w:r w:rsidRPr="0098166B">
        <w:t xml:space="preserve">igh </w:t>
      </w:r>
      <w:r w:rsidR="00C3468E">
        <w:t>c</w:t>
      </w:r>
      <w:r w:rsidRPr="0098166B">
        <w:t xml:space="preserve">ost </w:t>
      </w:r>
      <w:r w:rsidR="00C3468E">
        <w:t>j</w:t>
      </w:r>
      <w:r w:rsidRPr="0098166B">
        <w:t>ustification” to exceed the cap</w:t>
      </w:r>
      <w:r w:rsidR="00C3468E">
        <w:t xml:space="preserve"> if necessary.</w:t>
      </w:r>
      <w:r w:rsidR="00C3468E">
        <w:rPr>
          <w:rStyle w:val="FootnoteReference"/>
        </w:rPr>
        <w:footnoteReference w:id="48"/>
      </w:r>
      <w:r w:rsidR="00C3468E">
        <w:t xml:space="preserve">  The Commission </w:t>
      </w:r>
      <w:r w:rsidRPr="0098166B">
        <w:t>ha</w:t>
      </w:r>
      <w:r w:rsidR="00C3468E">
        <w:t>s</w:t>
      </w:r>
      <w:r w:rsidRPr="0098166B">
        <w:t xml:space="preserve"> considerable public data on SGIP system costs and </w:t>
      </w:r>
      <w:r w:rsidR="00C3468E">
        <w:t xml:space="preserve">we are </w:t>
      </w:r>
      <w:r w:rsidRPr="0098166B">
        <w:t xml:space="preserve">interested in exploring this option for the SGIP equity budget.  </w:t>
      </w:r>
    </w:p>
    <w:p w14:paraId="3FFF75C7" w14:textId="76623424" w:rsidR="0098166B" w:rsidRDefault="00C3468E" w:rsidP="00C3468E">
      <w:pPr>
        <w:pStyle w:val="ALJBodyText"/>
      </w:pPr>
      <w:r>
        <w:t xml:space="preserve">To </w:t>
      </w:r>
      <w:r w:rsidRPr="00072163">
        <w:t>accomplish this, w</w:t>
      </w:r>
      <w:r w:rsidR="0098166B" w:rsidRPr="00072163">
        <w:t xml:space="preserve">e direct the PAs to work with </w:t>
      </w:r>
      <w:r w:rsidRPr="00072163">
        <w:t xml:space="preserve">Commission staff to </w:t>
      </w:r>
      <w:r w:rsidR="0098166B" w:rsidRPr="00072163">
        <w:t xml:space="preserve">determine if it is feasible to implement a price cap on </w:t>
      </w:r>
      <w:r w:rsidR="00D36199">
        <w:t xml:space="preserve">residential </w:t>
      </w:r>
      <w:r w:rsidR="0098166B" w:rsidRPr="00072163">
        <w:t xml:space="preserve">systems receiving </w:t>
      </w:r>
      <w:r w:rsidR="00072163">
        <w:t xml:space="preserve">SGIP </w:t>
      </w:r>
      <w:r w:rsidR="006509EA">
        <w:t xml:space="preserve">equity resiliency budget and </w:t>
      </w:r>
      <w:r w:rsidR="00072163">
        <w:t xml:space="preserve">equity budget </w:t>
      </w:r>
      <w:r w:rsidR="0098166B" w:rsidRPr="00072163">
        <w:t>incentives, if there should be any exceptions</w:t>
      </w:r>
      <w:r w:rsidR="00072163">
        <w:t xml:space="preserve"> to such an approach</w:t>
      </w:r>
      <w:r w:rsidR="0098166B" w:rsidRPr="00072163">
        <w:t xml:space="preserve">, how to address longer duration batteries, and other issues about how to implement such a cap.  If appropriate, </w:t>
      </w:r>
      <w:r w:rsidR="00072163">
        <w:t xml:space="preserve">we authorize the </w:t>
      </w:r>
      <w:r w:rsidR="0098166B" w:rsidRPr="00072163">
        <w:t xml:space="preserve">PAs </w:t>
      </w:r>
      <w:r w:rsidR="00072163">
        <w:t xml:space="preserve">to </w:t>
      </w:r>
      <w:r w:rsidR="0098166B" w:rsidRPr="00072163">
        <w:t xml:space="preserve">file a proposal </w:t>
      </w:r>
      <w:r w:rsidR="00072163">
        <w:t xml:space="preserve">on this topic </w:t>
      </w:r>
      <w:r w:rsidR="0098166B" w:rsidRPr="00072163">
        <w:t xml:space="preserve">as a </w:t>
      </w:r>
      <w:r w:rsidRPr="00072163">
        <w:t>T</w:t>
      </w:r>
      <w:r w:rsidR="0098166B" w:rsidRPr="00072163">
        <w:t>ier 2 advice letter.</w:t>
      </w:r>
    </w:p>
    <w:p w14:paraId="50524EB7" w14:textId="49CC6E09" w:rsidR="004358E3" w:rsidRDefault="004358E3" w:rsidP="00590D1E">
      <w:pPr>
        <w:pStyle w:val="ALJBodyText"/>
      </w:pPr>
      <w:r>
        <w:t xml:space="preserve">An incentive </w:t>
      </w:r>
      <w:r w:rsidR="00350C65">
        <w:t>of</w:t>
      </w:r>
      <w:r>
        <w:t xml:space="preserve"> $0.</w:t>
      </w:r>
      <w:r w:rsidR="006509EA">
        <w:t>8</w:t>
      </w:r>
      <w:r>
        <w:t>5/Wh for all other equity budget customers increases the accessibility of</w:t>
      </w:r>
      <w:r w:rsidR="00072163">
        <w:t xml:space="preserve"> SGIP</w:t>
      </w:r>
      <w:r>
        <w:t xml:space="preserve"> incentives for equity budget customers while targeting those most in need. </w:t>
      </w:r>
      <w:r w:rsidR="00350C65">
        <w:t xml:space="preserve"> </w:t>
      </w:r>
      <w:r w:rsidR="006509EA">
        <w:t>Again, we were persuaded by parties in comments on the proposed decision that an $0.85/Wh incentive is necessary to drive rapid growth in participation in the equity budget</w:t>
      </w:r>
      <w:r w:rsidR="0079726C">
        <w:t xml:space="preserve"> by addressing the primary barrier of lack of access to financing or capital</w:t>
      </w:r>
      <w:r w:rsidR="00062412">
        <w:t>.  T</w:t>
      </w:r>
      <w:r w:rsidR="006509EA">
        <w:t>h</w:t>
      </w:r>
      <w:r w:rsidR="00062412">
        <w:t xml:space="preserve">e </w:t>
      </w:r>
      <w:r w:rsidR="006509EA">
        <w:t xml:space="preserve">risk </w:t>
      </w:r>
      <w:r w:rsidR="00062412">
        <w:t xml:space="preserve">of setting </w:t>
      </w:r>
      <w:r w:rsidR="006509EA">
        <w:t xml:space="preserve">equity budget incentives too low for eligible customers to </w:t>
      </w:r>
      <w:r w:rsidR="00062412">
        <w:t>afford</w:t>
      </w:r>
      <w:r w:rsidR="006509EA">
        <w:t xml:space="preserve"> </w:t>
      </w:r>
      <w:r w:rsidR="00062412">
        <w:t>outweighs the risk that developers will inflate costs, a risk that we nonetheless take steps to control</w:t>
      </w:r>
      <w:r w:rsidR="006509EA">
        <w:t xml:space="preserve">.  </w:t>
      </w:r>
      <w:r w:rsidR="00330FFD">
        <w:t xml:space="preserve">Eliminating the </w:t>
      </w:r>
      <w:r w:rsidR="00F9401D">
        <w:t xml:space="preserve">existing equity budget </w:t>
      </w:r>
      <w:r w:rsidR="00330FFD">
        <w:t>incentive step</w:t>
      </w:r>
      <w:r w:rsidR="00757681">
        <w:noBreakHyphen/>
      </w:r>
      <w:r w:rsidR="00330FFD">
        <w:t xml:space="preserve">up structure adds predictability and </w:t>
      </w:r>
      <w:r w:rsidR="00B77BBE">
        <w:t>will</w:t>
      </w:r>
      <w:r>
        <w:t xml:space="preserve"> </w:t>
      </w:r>
      <w:r>
        <w:lastRenderedPageBreak/>
        <w:t>help spur developer investment</w:t>
      </w:r>
      <w:r w:rsidR="00F9401D">
        <w:t xml:space="preserve"> by removing any rationale for developers to wait for incentives to increase. </w:t>
      </w:r>
      <w:r>
        <w:t xml:space="preserve"> </w:t>
      </w:r>
    </w:p>
    <w:p w14:paraId="68D6DE91" w14:textId="42A62D88" w:rsidR="0079726C" w:rsidRDefault="004358E3" w:rsidP="00590D1E">
      <w:pPr>
        <w:pStyle w:val="ALJBodyText"/>
      </w:pPr>
      <w:r>
        <w:t>Adopting a two</w:t>
      </w:r>
      <w:r w:rsidR="00757681">
        <w:noBreakHyphen/>
      </w:r>
      <w:r>
        <w:t xml:space="preserve">tier equity budget incentive structure that fully, or nearly fully, subsidizes storage systems for qualifying customers should </w:t>
      </w:r>
      <w:r w:rsidR="005F1C96">
        <w:t xml:space="preserve">stimulate rapid growth </w:t>
      </w:r>
      <w:r w:rsidR="0045798F">
        <w:t xml:space="preserve">in subscriptions by </w:t>
      </w:r>
      <w:r>
        <w:t xml:space="preserve">the </w:t>
      </w:r>
      <w:r w:rsidR="0045798F">
        <w:t xml:space="preserve">customers that are most in need </w:t>
      </w:r>
      <w:r w:rsidR="003F3305">
        <w:t>or that would most benefit from storage during a PSPS event because they have on</w:t>
      </w:r>
      <w:r w:rsidR="00757681">
        <w:noBreakHyphen/>
      </w:r>
      <w:r w:rsidR="003F3305">
        <w:t>site solar</w:t>
      </w:r>
      <w:r w:rsidR="00757681">
        <w:noBreakHyphen/>
      </w:r>
      <w:r w:rsidR="00350C65">
        <w:t>plus</w:t>
      </w:r>
      <w:r w:rsidR="00757681">
        <w:noBreakHyphen/>
      </w:r>
      <w:r w:rsidR="00350C65">
        <w:t xml:space="preserve">storage systems that can </w:t>
      </w:r>
      <w:r w:rsidR="00F9401D">
        <w:t>provide multi</w:t>
      </w:r>
      <w:r w:rsidR="00757681">
        <w:noBreakHyphen/>
      </w:r>
      <w:r w:rsidR="00F9401D">
        <w:t>day, multi</w:t>
      </w:r>
      <w:r w:rsidR="00757681">
        <w:noBreakHyphen/>
      </w:r>
      <w:r w:rsidR="00F9401D">
        <w:t>hour backup electricity for critical loads</w:t>
      </w:r>
      <w:r w:rsidR="0045798F">
        <w:t xml:space="preserve">.  </w:t>
      </w:r>
      <w:r w:rsidR="0079726C">
        <w:t>We do not adopt a higher incentive level for non</w:t>
      </w:r>
      <w:r w:rsidR="00757681">
        <w:noBreakHyphen/>
      </w:r>
      <w:r w:rsidR="0079726C">
        <w:t>residential equity budget or equity resiliency budget customers, or adjust our adopted incentives to account for anticipated declines in the ITC, because we believe that ou</w:t>
      </w:r>
      <w:r w:rsidR="00E3322C">
        <w:t xml:space="preserve">r approved incentives are ample </w:t>
      </w:r>
      <w:r w:rsidR="0079726C">
        <w:t>and, as a result, will trigger rapid uptake by eligible customers</w:t>
      </w:r>
      <w:r w:rsidR="00E3322C">
        <w:t xml:space="preserve">. </w:t>
      </w:r>
    </w:p>
    <w:p w14:paraId="26E65EAF" w14:textId="7E914B57" w:rsidR="00ED77BD" w:rsidRDefault="005C51F5" w:rsidP="00590D1E">
      <w:pPr>
        <w:pStyle w:val="ALJBodyText"/>
      </w:pPr>
      <w:r>
        <w:t>Eliminating the step</w:t>
      </w:r>
      <w:r w:rsidR="00757681">
        <w:noBreakHyphen/>
      </w:r>
      <w:r>
        <w:t>up incentive structure will ensure that developers do not delay initiating equity budget projects while they wait for incentive levels to rise.  O</w:t>
      </w:r>
      <w:r w:rsidR="0045798F">
        <w:t xml:space="preserve">ur approved approach </w:t>
      </w:r>
      <w:r w:rsidR="009D3324">
        <w:t xml:space="preserve">addresses the key barrier of lack of </w:t>
      </w:r>
      <w:r w:rsidR="004358E3">
        <w:t xml:space="preserve">access to </w:t>
      </w:r>
      <w:r w:rsidR="009D3324">
        <w:t xml:space="preserve">capital or </w:t>
      </w:r>
      <w:r w:rsidR="004358E3">
        <w:t>financing by low</w:t>
      </w:r>
      <w:r w:rsidR="00757681">
        <w:noBreakHyphen/>
      </w:r>
      <w:r w:rsidR="004358E3">
        <w:t>income customers</w:t>
      </w:r>
      <w:r>
        <w:t xml:space="preserve"> and removes unnecessary barriers to participation in PG&amp;E service territory by directing PG&amp;E to immediately open its equity budget.  </w:t>
      </w:r>
    </w:p>
    <w:p w14:paraId="03805160" w14:textId="49BE90B9" w:rsidR="00A24492" w:rsidRPr="00A24492" w:rsidRDefault="004358E3" w:rsidP="00590D1E">
      <w:pPr>
        <w:pStyle w:val="ALJBodyText"/>
      </w:pPr>
      <w:r w:rsidRPr="00A24492">
        <w:t>We d</w:t>
      </w:r>
      <w:r w:rsidR="00392C8E" w:rsidRPr="00A24492">
        <w:t xml:space="preserve">irect </w:t>
      </w:r>
      <w:r w:rsidR="00E763B4">
        <w:t xml:space="preserve">the PAs to jointly </w:t>
      </w:r>
      <w:r w:rsidR="00392C8E" w:rsidRPr="00A24492">
        <w:t xml:space="preserve">submit a Tier 2 advice letter within </w:t>
      </w:r>
      <w:r w:rsidR="00E763B4" w:rsidRPr="00E763B4">
        <w:t>9</w:t>
      </w:r>
      <w:r w:rsidR="00392C8E" w:rsidRPr="00E763B4">
        <w:t>0</w:t>
      </w:r>
      <w:r w:rsidR="00392C8E" w:rsidRPr="00A24492">
        <w:t xml:space="preserve"> days of issuance of this decision proposing changes to the SGIP </w:t>
      </w:r>
      <w:r w:rsidR="005C51F5">
        <w:t>handbook</w:t>
      </w:r>
      <w:r w:rsidR="00392C8E" w:rsidRPr="00A24492">
        <w:t xml:space="preserve"> to implement </w:t>
      </w:r>
      <w:r w:rsidR="005C51F5">
        <w:t xml:space="preserve">this and the other </w:t>
      </w:r>
      <w:r w:rsidR="00392C8E" w:rsidRPr="00A24492">
        <w:t xml:space="preserve">modifications </w:t>
      </w:r>
      <w:r w:rsidR="005C51F5">
        <w:t xml:space="preserve">to the SGIP </w:t>
      </w:r>
      <w:r w:rsidR="00392C8E" w:rsidRPr="00A24492">
        <w:t>adopted in this decision</w:t>
      </w:r>
      <w:r w:rsidR="00E763B4">
        <w:t xml:space="preserve">.  </w:t>
      </w:r>
      <w:r w:rsidR="00F9401D">
        <w:t>The effective date for t</w:t>
      </w:r>
      <w:r w:rsidR="00E763B4">
        <w:t>he modifications adopted in this decisio</w:t>
      </w:r>
      <w:r w:rsidR="00F9401D">
        <w:t>n is</w:t>
      </w:r>
      <w:r w:rsidR="00E763B4">
        <w:t xml:space="preserve"> April 1, 2020. </w:t>
      </w:r>
      <w:r w:rsidR="00E763B4" w:rsidRPr="00A24492">
        <w:t xml:space="preserve"> </w:t>
      </w:r>
    </w:p>
    <w:p w14:paraId="7CB3A415" w14:textId="5E000C79" w:rsidR="00236921" w:rsidRDefault="00176A79" w:rsidP="00236921">
      <w:pPr>
        <w:pStyle w:val="ALJBodyText"/>
      </w:pPr>
      <w:r w:rsidRPr="00A24492">
        <w:t xml:space="preserve">The equity budget incentive structure shall remain as adopted in this decision unless modified by a future Commission </w:t>
      </w:r>
      <w:r w:rsidR="009E6D76">
        <w:t xml:space="preserve">resolution or </w:t>
      </w:r>
      <w:r w:rsidRPr="00A24492">
        <w:t>decision.</w:t>
      </w:r>
      <w:r w:rsidR="001769AC" w:rsidRPr="00A24492">
        <w:t xml:space="preserve"> </w:t>
      </w:r>
      <w:r w:rsidR="002873ED">
        <w:t xml:space="preserve"> However</w:t>
      </w:r>
      <w:r w:rsidR="009E6D76">
        <w:t xml:space="preserve">, </w:t>
      </w:r>
      <w:r w:rsidR="00062412">
        <w:t xml:space="preserve">a </w:t>
      </w:r>
      <w:r w:rsidR="00062412" w:rsidRPr="009E6D76">
        <w:t xml:space="preserve">streamlined process to make changes to the SGIP Equity Budget </w:t>
      </w:r>
      <w:r w:rsidR="00062412" w:rsidRPr="009E6D76">
        <w:lastRenderedPageBreak/>
        <w:t>incentive levels is reasonable and consistent with past Commission actions.</w:t>
      </w:r>
      <w:r w:rsidR="00062412" w:rsidRPr="009E6D76">
        <w:rPr>
          <w:vertAlign w:val="superscript"/>
        </w:rPr>
        <w:footnoteReference w:id="49"/>
      </w:r>
      <w:r w:rsidR="00062412">
        <w:t xml:space="preserve">  Therefore, </w:t>
      </w:r>
      <w:r w:rsidR="009E6D76" w:rsidRPr="009E6D76">
        <w:t>as provided for in D.17</w:t>
      </w:r>
      <w:r w:rsidR="00757681">
        <w:noBreakHyphen/>
      </w:r>
      <w:r w:rsidR="009E6D76">
        <w:t>10</w:t>
      </w:r>
      <w:r w:rsidR="00757681">
        <w:noBreakHyphen/>
      </w:r>
      <w:r w:rsidR="009E6D76">
        <w:t xml:space="preserve">004, this decision </w:t>
      </w:r>
      <w:r w:rsidR="002873ED">
        <w:t xml:space="preserve">affirms that </w:t>
      </w:r>
      <w:r w:rsidR="009E6D76">
        <w:t xml:space="preserve">the </w:t>
      </w:r>
      <w:r w:rsidR="002873ED">
        <w:t xml:space="preserve">SGIP PAs have authority </w:t>
      </w:r>
      <w:r w:rsidR="009E6D76">
        <w:t xml:space="preserve">to </w:t>
      </w:r>
      <w:r w:rsidR="009E6D76" w:rsidRPr="009E6D76">
        <w:t xml:space="preserve">file a Tier 3 advice letter to modify </w:t>
      </w:r>
      <w:r w:rsidR="009E6D76">
        <w:t xml:space="preserve">the </w:t>
      </w:r>
      <w:r w:rsidR="009E6D76" w:rsidRPr="009E6D76">
        <w:t>equity budget, equity resiliency budget and the SJV pilot set</w:t>
      </w:r>
      <w:r w:rsidR="00757681">
        <w:noBreakHyphen/>
      </w:r>
      <w:r w:rsidR="009E6D76" w:rsidRPr="009E6D76">
        <w:t xml:space="preserve">aside as warranted to increase customer participation. </w:t>
      </w:r>
      <w:r w:rsidR="002873ED">
        <w:t xml:space="preserve"> As also </w:t>
      </w:r>
      <w:r w:rsidR="009E6D76" w:rsidRPr="009E6D76">
        <w:t>p</w:t>
      </w:r>
      <w:r w:rsidR="002873ED">
        <w:t>rovided for in D.17</w:t>
      </w:r>
      <w:r w:rsidR="00757681">
        <w:noBreakHyphen/>
      </w:r>
      <w:r w:rsidR="002873ED">
        <w:t>10</w:t>
      </w:r>
      <w:r w:rsidR="00757681">
        <w:noBreakHyphen/>
      </w:r>
      <w:r w:rsidR="002873ED">
        <w:t xml:space="preserve">004, this decision affirms that the Commission’s </w:t>
      </w:r>
      <w:r w:rsidR="009E6D76" w:rsidRPr="009E6D76">
        <w:t xml:space="preserve">Energy Division retains authority to change the equity </w:t>
      </w:r>
      <w:r w:rsidR="004D0A87">
        <w:t xml:space="preserve">and equity resiliency </w:t>
      </w:r>
      <w:r w:rsidR="009E6D76" w:rsidRPr="009E6D76">
        <w:t>budget</w:t>
      </w:r>
      <w:r w:rsidR="004D0A87">
        <w:t>s and the SJV pilot set</w:t>
      </w:r>
      <w:r w:rsidR="00757681">
        <w:noBreakHyphen/>
      </w:r>
      <w:r w:rsidR="004D0A87">
        <w:t>aside</w:t>
      </w:r>
      <w:r w:rsidR="009E6D76" w:rsidRPr="009E6D76">
        <w:t xml:space="preserve"> on its own motion via resolution. </w:t>
      </w:r>
      <w:r w:rsidR="0032323C">
        <w:t xml:space="preserve"> </w:t>
      </w:r>
      <w:r w:rsidR="00062412">
        <w:t xml:space="preserve">The </w:t>
      </w:r>
      <w:r w:rsidR="009E6D76">
        <w:t xml:space="preserve">Commission will </w:t>
      </w:r>
      <w:r w:rsidR="009E6D76" w:rsidRPr="00A24492">
        <w:t xml:space="preserve">monitor equity budget subscription rates and </w:t>
      </w:r>
      <w:r w:rsidR="009E6D76">
        <w:t>may</w:t>
      </w:r>
      <w:r w:rsidR="009E6D76" w:rsidRPr="00A24492">
        <w:t xml:space="preserve"> consider modifications if warranted.  </w:t>
      </w:r>
    </w:p>
    <w:p w14:paraId="77EE083B" w14:textId="4F767CBE" w:rsidR="00DB403E" w:rsidRDefault="000C3E82" w:rsidP="00CE14ED">
      <w:pPr>
        <w:pStyle w:val="ALJHeading1"/>
      </w:pPr>
      <w:bookmarkStart w:id="52" w:name="_Toc15908077"/>
      <w:bookmarkStart w:id="53" w:name="_Hlk15025963"/>
      <w:r>
        <w:t xml:space="preserve">Program </w:t>
      </w:r>
      <w:r w:rsidR="00E41184">
        <w:t>Requirements to</w:t>
      </w:r>
      <w:r w:rsidR="008C1A6A">
        <w:t xml:space="preserve"> Support </w:t>
      </w:r>
      <w:r w:rsidR="00DB403E">
        <w:t>Resiliency Benefits</w:t>
      </w:r>
      <w:bookmarkEnd w:id="52"/>
      <w:r w:rsidR="00DB403E">
        <w:t xml:space="preserve"> </w:t>
      </w:r>
    </w:p>
    <w:p w14:paraId="5B8B6742" w14:textId="7F575810" w:rsidR="005C51F5" w:rsidRDefault="00736737" w:rsidP="00E002EE">
      <w:pPr>
        <w:pStyle w:val="ALJBodyText"/>
      </w:pPr>
      <w:r>
        <w:t xml:space="preserve">The SGIP </w:t>
      </w:r>
      <w:r w:rsidR="005C51F5">
        <w:t xml:space="preserve">handbook </w:t>
      </w:r>
      <w:r>
        <w:t xml:space="preserve">includes a number of </w:t>
      </w:r>
      <w:r w:rsidR="00886354">
        <w:t>technical</w:t>
      </w:r>
      <w:r w:rsidR="005C51F5">
        <w:t xml:space="preserve"> and</w:t>
      </w:r>
      <w:r w:rsidR="00886354">
        <w:t xml:space="preserve"> operational</w:t>
      </w:r>
      <w:r>
        <w:t xml:space="preserve"> requirements </w:t>
      </w:r>
      <w:r w:rsidR="005C51F5">
        <w:t xml:space="preserve">for </w:t>
      </w:r>
      <w:r w:rsidR="00886354">
        <w:t>SGIP projects</w:t>
      </w:r>
      <w:r w:rsidR="005C51F5">
        <w:t xml:space="preserve"> </w:t>
      </w:r>
      <w:r w:rsidR="00BF2707">
        <w:t>includ</w:t>
      </w:r>
      <w:r w:rsidR="005C51F5">
        <w:t xml:space="preserve">ing </w:t>
      </w:r>
      <w:r w:rsidR="008676E4">
        <w:t>annual charge and discharge</w:t>
      </w:r>
      <w:r w:rsidR="005C51F5">
        <w:t xml:space="preserve"> (cycling)</w:t>
      </w:r>
      <w:r w:rsidR="008676E4">
        <w:t>, round</w:t>
      </w:r>
      <w:r w:rsidR="00757681">
        <w:noBreakHyphen/>
      </w:r>
      <w:r w:rsidR="008676E4">
        <w:t>trip efficiency</w:t>
      </w:r>
      <w:r w:rsidR="005C51F5">
        <w:t xml:space="preserve"> </w:t>
      </w:r>
      <w:r w:rsidR="00BF2707">
        <w:t>and GHG emission reduction requirements</w:t>
      </w:r>
      <w:r w:rsidR="005C51F5">
        <w:t xml:space="preserve">, which </w:t>
      </w:r>
      <w:r w:rsidR="00BF2707">
        <w:t xml:space="preserve">ensure that SGIP projects provide grid benefits. </w:t>
      </w:r>
      <w:r w:rsidR="008676E4">
        <w:t xml:space="preserve"> </w:t>
      </w:r>
      <w:r w:rsidR="005C51F5">
        <w:t xml:space="preserve">In addition, </w:t>
      </w:r>
      <w:r w:rsidR="0045381A">
        <w:t xml:space="preserve">SGIP </w:t>
      </w:r>
      <w:r w:rsidR="006A72BD">
        <w:t xml:space="preserve">projects </w:t>
      </w:r>
      <w:r w:rsidR="0045381A">
        <w:t xml:space="preserve">that </w:t>
      </w:r>
      <w:r w:rsidR="000907C4">
        <w:t>operate in parallel with the grid</w:t>
      </w:r>
      <w:r w:rsidR="006A72BD">
        <w:t xml:space="preserve"> </w:t>
      </w:r>
      <w:r w:rsidR="00A47573" w:rsidRPr="00E84B0A">
        <w:t>must</w:t>
      </w:r>
      <w:r w:rsidR="00DE54DC">
        <w:t xml:space="preserve"> </w:t>
      </w:r>
      <w:r w:rsidR="008676E4">
        <w:t xml:space="preserve">comply </w:t>
      </w:r>
      <w:r w:rsidR="00A47573" w:rsidRPr="00E84B0A">
        <w:t xml:space="preserve">with </w:t>
      </w:r>
      <w:r w:rsidR="006972B5">
        <w:t>Rule</w:t>
      </w:r>
      <w:r w:rsidR="00A47573" w:rsidRPr="00E84B0A">
        <w:t xml:space="preserve"> 21 interconnection and operating requirements</w:t>
      </w:r>
      <w:r w:rsidR="00A47573">
        <w:t xml:space="preserve">, </w:t>
      </w:r>
      <w:r w:rsidR="008676E4">
        <w:t xml:space="preserve">which require </w:t>
      </w:r>
      <w:r w:rsidR="005C51F5">
        <w:t xml:space="preserve">IOUs to </w:t>
      </w:r>
      <w:r w:rsidR="008676E4">
        <w:t>verif</w:t>
      </w:r>
      <w:r w:rsidR="005C51F5">
        <w:t xml:space="preserve">y certain </w:t>
      </w:r>
      <w:r w:rsidR="0010114D">
        <w:t>technical and safety requirements</w:t>
      </w:r>
      <w:r w:rsidR="00A47573">
        <w:t xml:space="preserve">. </w:t>
      </w:r>
      <w:r w:rsidR="00945AFD">
        <w:t xml:space="preserve"> </w:t>
      </w:r>
    </w:p>
    <w:p w14:paraId="499C2E2E" w14:textId="023E82C8" w:rsidR="006A72BD" w:rsidRPr="00945AFD" w:rsidRDefault="00746DAF" w:rsidP="005C51F5">
      <w:pPr>
        <w:pStyle w:val="ALJBodyText"/>
      </w:pPr>
      <w:r w:rsidRPr="00746DAF">
        <w:t>The S</w:t>
      </w:r>
      <w:r w:rsidR="006A72BD">
        <w:t xml:space="preserve">GIP ACR </w:t>
      </w:r>
      <w:r w:rsidR="005C51F5">
        <w:t xml:space="preserve">asked for </w:t>
      </w:r>
      <w:r w:rsidR="006A72BD">
        <w:t>parties</w:t>
      </w:r>
      <w:r w:rsidR="005C51F5">
        <w:t>’ input o</w:t>
      </w:r>
      <w:r w:rsidRPr="00746DAF">
        <w:t xml:space="preserve">n whether </w:t>
      </w:r>
      <w:r w:rsidR="006A72BD">
        <w:t xml:space="preserve">and how the Commission should </w:t>
      </w:r>
      <w:r w:rsidR="00886354">
        <w:t xml:space="preserve">seek to stimulate applications for </w:t>
      </w:r>
      <w:r w:rsidRPr="00746DAF">
        <w:t xml:space="preserve">SGIP projects that provide </w:t>
      </w:r>
      <w:r w:rsidR="006A72BD" w:rsidRPr="00897BDF">
        <w:t xml:space="preserve">resiliency benefits to customers </w:t>
      </w:r>
      <w:r w:rsidRPr="00897BDF">
        <w:t xml:space="preserve">or communities facing risks of wildfire, </w:t>
      </w:r>
      <w:r w:rsidR="005C51F5" w:rsidRPr="00897BDF">
        <w:t>wildfire related</w:t>
      </w:r>
      <w:r w:rsidRPr="00897BDF">
        <w:t xml:space="preserve"> </w:t>
      </w:r>
      <w:r w:rsidR="006A72BD" w:rsidRPr="00945AFD">
        <w:t xml:space="preserve">PSPS </w:t>
      </w:r>
      <w:r w:rsidRPr="00945AFD">
        <w:t xml:space="preserve">events, or other </w:t>
      </w:r>
      <w:r w:rsidR="006A72BD" w:rsidRPr="00945AFD">
        <w:t xml:space="preserve">types of </w:t>
      </w:r>
      <w:r w:rsidRPr="00945AFD">
        <w:t>adverse event</w:t>
      </w:r>
      <w:r w:rsidR="006A72BD" w:rsidRPr="00945AFD">
        <w:t>s</w:t>
      </w:r>
      <w:r w:rsidR="00464FF6" w:rsidRPr="00945AFD">
        <w:t xml:space="preserve">.  </w:t>
      </w:r>
      <w:r w:rsidR="006A72BD" w:rsidRPr="00945AFD">
        <w:t xml:space="preserve">This section addresses these questions as they pertain to the ability of projects applying for equity budget incentives to provide resiliency benefits. </w:t>
      </w:r>
    </w:p>
    <w:p w14:paraId="4677F1DF" w14:textId="1D682989" w:rsidR="00464FF6" w:rsidRPr="00945AFD" w:rsidRDefault="00464FF6" w:rsidP="00C151FC">
      <w:pPr>
        <w:pStyle w:val="ALJHeading2"/>
      </w:pPr>
      <w:bookmarkStart w:id="54" w:name="_Toc15908078"/>
      <w:r w:rsidRPr="00945AFD">
        <w:lastRenderedPageBreak/>
        <w:t>Party Comments</w:t>
      </w:r>
      <w:bookmarkEnd w:id="54"/>
      <w:r w:rsidRPr="00945AFD">
        <w:t xml:space="preserve"> </w:t>
      </w:r>
    </w:p>
    <w:p w14:paraId="448E009C" w14:textId="05DF1188" w:rsidR="005F1FE8" w:rsidRDefault="00945AFD" w:rsidP="005F1FE8">
      <w:pPr>
        <w:pStyle w:val="ALJBodyText"/>
      </w:pPr>
      <w:r w:rsidRPr="00945AFD">
        <w:t>Most p</w:t>
      </w:r>
      <w:r w:rsidR="00F17A13" w:rsidRPr="00945AFD">
        <w:t xml:space="preserve">arties </w:t>
      </w:r>
      <w:r w:rsidR="006A72BD" w:rsidRPr="00945AFD">
        <w:t>agree</w:t>
      </w:r>
      <w:r w:rsidR="008C1A6A" w:rsidRPr="00945AFD">
        <w:t xml:space="preserve"> that storage systems designed to provide resiliency </w:t>
      </w:r>
      <w:r w:rsidRPr="00945AFD">
        <w:t xml:space="preserve">and </w:t>
      </w:r>
      <w:r w:rsidR="008C1A6A" w:rsidRPr="00945AFD">
        <w:t xml:space="preserve">grid services must </w:t>
      </w:r>
      <w:r w:rsidRPr="00945AFD">
        <w:t xml:space="preserve">have the ability </w:t>
      </w:r>
      <w:r w:rsidR="00A47573" w:rsidRPr="00945AFD">
        <w:t xml:space="preserve">to “island” </w:t>
      </w:r>
      <w:r w:rsidRPr="00945AFD">
        <w:t>or</w:t>
      </w:r>
      <w:r w:rsidR="00A47573" w:rsidRPr="00945AFD">
        <w:t xml:space="preserve"> to safely operate in isolation from a de</w:t>
      </w:r>
      <w:r w:rsidR="00757681">
        <w:noBreakHyphen/>
      </w:r>
      <w:r w:rsidR="00A47573" w:rsidRPr="00945AFD">
        <w:t xml:space="preserve">energized grid. </w:t>
      </w:r>
      <w:r w:rsidR="00A47573" w:rsidRPr="00856B3F">
        <w:t xml:space="preserve"> </w:t>
      </w:r>
      <w:r w:rsidR="00C73E8F" w:rsidRPr="00897BDF">
        <w:t>CSE</w:t>
      </w:r>
      <w:r w:rsidR="005F1FE8" w:rsidRPr="00897BDF">
        <w:t xml:space="preserve"> recommends</w:t>
      </w:r>
      <w:r w:rsidR="005F1FE8">
        <w:t xml:space="preserve"> that “projects should both attest and demonstrate that they are technically capable of islanding during a grid outage</w:t>
      </w:r>
      <w:r w:rsidR="00580193">
        <w:t>, as well as be able to provide a resiliency service of value to the customer</w:t>
      </w:r>
      <w:r w:rsidR="00CC2A64">
        <w:t>.</w:t>
      </w:r>
      <w:r w:rsidR="005F1FE8">
        <w:t>”</w:t>
      </w:r>
      <w:r w:rsidR="00580193">
        <w:rPr>
          <w:rStyle w:val="FootnoteReference"/>
        </w:rPr>
        <w:footnoteReference w:id="50"/>
      </w:r>
      <w:r w:rsidR="005F1FE8">
        <w:t xml:space="preserve"> </w:t>
      </w:r>
      <w:r w:rsidR="00CC2A64">
        <w:t xml:space="preserve"> </w:t>
      </w:r>
      <w:r w:rsidR="005F1FE8">
        <w:t>The NFCR</w:t>
      </w:r>
      <w:r w:rsidR="003752AF">
        <w:t>C observe</w:t>
      </w:r>
      <w:r w:rsidR="00580193">
        <w:t>s</w:t>
      </w:r>
      <w:r w:rsidR="003752AF">
        <w:t xml:space="preserve"> that the New York </w:t>
      </w:r>
      <w:r w:rsidR="00FC642D">
        <w:t xml:space="preserve">State Energy Research </w:t>
      </w:r>
      <w:r w:rsidR="000F718D">
        <w:t>and Development Authority</w:t>
      </w:r>
      <w:r w:rsidR="005F1FE8">
        <w:t xml:space="preserve"> requires recipients </w:t>
      </w:r>
      <w:r w:rsidR="00915274">
        <w:t xml:space="preserve">of </w:t>
      </w:r>
      <w:r w:rsidR="00501788">
        <w:t xml:space="preserve">incentives from its stationary fuel cell program that claim </w:t>
      </w:r>
      <w:r w:rsidR="00CA3722">
        <w:t xml:space="preserve">“grid independence” </w:t>
      </w:r>
      <w:r w:rsidR="005F1FE8">
        <w:t xml:space="preserve">to </w:t>
      </w:r>
      <w:r w:rsidR="00501788">
        <w:t>“</w:t>
      </w:r>
      <w:r w:rsidR="005F1FE8">
        <w:t xml:space="preserve">demonstrate </w:t>
      </w:r>
      <w:r w:rsidR="00CA3722">
        <w:t xml:space="preserve">the actual </w:t>
      </w:r>
      <w:r w:rsidR="005F1FE8">
        <w:t xml:space="preserve">operation in </w:t>
      </w:r>
      <w:r w:rsidR="00CA3722">
        <w:t>‘</w:t>
      </w:r>
      <w:r w:rsidR="005F1FE8">
        <w:t>grid</w:t>
      </w:r>
      <w:r w:rsidR="00757681">
        <w:noBreakHyphen/>
      </w:r>
      <w:r w:rsidR="005F1FE8">
        <w:t>parallel</w:t>
      </w:r>
      <w:r w:rsidR="00CA3722">
        <w:t>’</w:t>
      </w:r>
      <w:r w:rsidR="005F1FE8">
        <w:t xml:space="preserve"> mode, its transition to and operation in standalone mode</w:t>
      </w:r>
      <w:r w:rsidR="00CA3722">
        <w:t xml:space="preserve"> where it actually</w:t>
      </w:r>
      <w:r w:rsidR="00F51221">
        <w:t xml:space="preserve"> services the </w:t>
      </w:r>
      <w:r w:rsidR="00501788">
        <w:t>facility</w:t>
      </w:r>
      <w:r w:rsidR="00F51221">
        <w:t xml:space="preserve"> to the fullest extent intended</w:t>
      </w:r>
      <w:r w:rsidR="005F1FE8">
        <w:t>, and its transition back to and operation in grid</w:t>
      </w:r>
      <w:r w:rsidR="00757681">
        <w:noBreakHyphen/>
      </w:r>
      <w:r w:rsidR="005F1FE8">
        <w:t>parallel mode</w:t>
      </w:r>
      <w:r w:rsidR="00501788">
        <w:t>.”</w:t>
      </w:r>
      <w:r w:rsidR="00501788">
        <w:rPr>
          <w:rStyle w:val="FootnoteReference"/>
        </w:rPr>
        <w:footnoteReference w:id="51"/>
      </w:r>
      <w:r w:rsidR="00CC2A64">
        <w:t xml:space="preserve">  CSE </w:t>
      </w:r>
      <w:r w:rsidR="00580193">
        <w:t>suggests</w:t>
      </w:r>
      <w:r w:rsidR="00CC2A64">
        <w:t xml:space="preserve"> that developers</w:t>
      </w:r>
      <w:r w:rsidR="00580193">
        <w:t xml:space="preserve"> providing resiliency</w:t>
      </w:r>
      <w:r w:rsidR="008D7249">
        <w:t xml:space="preserve"> services </w:t>
      </w:r>
      <w:r w:rsidR="00CC2A64">
        <w:t>be required to provide “attestations, specifications, monitoring plans, and/or single line diagrams.”</w:t>
      </w:r>
      <w:r w:rsidR="00CC2A64">
        <w:rPr>
          <w:rStyle w:val="FootnoteReference"/>
        </w:rPr>
        <w:footnoteReference w:id="52"/>
      </w:r>
      <w:r w:rsidR="00CC2A64">
        <w:t xml:space="preserve">  </w:t>
      </w:r>
      <w:r w:rsidR="002056C0">
        <w:t xml:space="preserve"> </w:t>
      </w:r>
    </w:p>
    <w:p w14:paraId="400E24BE" w14:textId="3EC17CB4" w:rsidR="00464FF6" w:rsidRDefault="00F2257B" w:rsidP="00C151FC">
      <w:pPr>
        <w:pStyle w:val="ALJHeading2"/>
      </w:pPr>
      <w:bookmarkStart w:id="55" w:name="_Toc15908079"/>
      <w:r>
        <w:t>Discussion</w:t>
      </w:r>
      <w:bookmarkEnd w:id="55"/>
    </w:p>
    <w:p w14:paraId="5F69BECB" w14:textId="206F04DF" w:rsidR="00AF6BF5" w:rsidRDefault="008953C2" w:rsidP="00547E33">
      <w:pPr>
        <w:pStyle w:val="ALJBodyText"/>
      </w:pPr>
      <w:r>
        <w:t>The IOUs’</w:t>
      </w:r>
      <w:r w:rsidR="00E95A17">
        <w:t xml:space="preserve"> Rule 21 Tariff</w:t>
      </w:r>
      <w:r>
        <w:t>s</w:t>
      </w:r>
      <w:r w:rsidR="00E95A17">
        <w:t xml:space="preserve"> define</w:t>
      </w:r>
      <w:r w:rsidR="00770173">
        <w:t xml:space="preserve"> islanding as “a condition on distribution provider’s distribution s</w:t>
      </w:r>
      <w:r w:rsidR="00547E33">
        <w:t>ystem in which one or more Generati</w:t>
      </w:r>
      <w:r w:rsidR="00770173">
        <w:t>ng Facilities deliver power to c</w:t>
      </w:r>
      <w:r w:rsidR="00547E33">
        <w:t>ustomers using a portion</w:t>
      </w:r>
      <w:r w:rsidR="00770173">
        <w:t xml:space="preserve"> of distribution provider’s distribution s</w:t>
      </w:r>
      <w:r w:rsidR="00547E33">
        <w:t xml:space="preserve">ystem that is electrically isolated from the remainder of </w:t>
      </w:r>
      <w:r w:rsidR="00770173">
        <w:t>distribution provider’s distribution s</w:t>
      </w:r>
      <w:r w:rsidR="00547E33">
        <w:t>ystem.</w:t>
      </w:r>
      <w:r w:rsidR="00483555">
        <w:t>”</w:t>
      </w:r>
      <w:r w:rsidR="001E2F30">
        <w:rPr>
          <w:rStyle w:val="FootnoteReference"/>
        </w:rPr>
        <w:footnoteReference w:id="53"/>
      </w:r>
      <w:r w:rsidR="00E734E5">
        <w:t xml:space="preserve"> </w:t>
      </w:r>
      <w:r w:rsidR="00770173">
        <w:t xml:space="preserve"> </w:t>
      </w:r>
      <w:r w:rsidR="008B572C">
        <w:t>However, in this decision we use the term</w:t>
      </w:r>
      <w:r w:rsidR="005F0A36">
        <w:t>s</w:t>
      </w:r>
      <w:r w:rsidR="008B572C">
        <w:t xml:space="preserve"> “islan</w:t>
      </w:r>
      <w:r w:rsidR="00547E3B">
        <w:t>d</w:t>
      </w:r>
      <w:r w:rsidR="008B572C">
        <w:t xml:space="preserve">” </w:t>
      </w:r>
      <w:r w:rsidR="005F0A36">
        <w:t>and</w:t>
      </w:r>
      <w:r w:rsidR="008B572C">
        <w:t xml:space="preserve"> “island</w:t>
      </w:r>
      <w:r w:rsidR="00547E3B">
        <w:t>ing</w:t>
      </w:r>
      <w:r w:rsidR="008B572C">
        <w:t>” to describe the situation where a behind</w:t>
      </w:r>
      <w:r w:rsidR="00757681">
        <w:noBreakHyphen/>
      </w:r>
      <w:r w:rsidR="008B572C">
        <w:t>the</w:t>
      </w:r>
      <w:r w:rsidR="00757681">
        <w:noBreakHyphen/>
      </w:r>
      <w:r w:rsidR="008B572C">
        <w:t xml:space="preserve">meter battery system </w:t>
      </w:r>
      <w:r w:rsidR="008B572C">
        <w:lastRenderedPageBreak/>
        <w:t>provide</w:t>
      </w:r>
      <w:r w:rsidR="00062412">
        <w:t>s</w:t>
      </w:r>
      <w:r w:rsidR="008B572C">
        <w:t xml:space="preserve"> electricity to some or all of </w:t>
      </w:r>
      <w:r w:rsidR="00062412">
        <w:t xml:space="preserve">a </w:t>
      </w:r>
      <w:r w:rsidR="008B572C">
        <w:t>customer’s loads a</w:t>
      </w:r>
      <w:r w:rsidR="00547E3B">
        <w:t xml:space="preserve">t that site during a grid outage.  </w:t>
      </w:r>
      <w:r w:rsidR="005C51F5">
        <w:t xml:space="preserve">Storage systems receiving SGIP equity resiliency </w:t>
      </w:r>
      <w:r w:rsidR="005C51F5" w:rsidRPr="00705625">
        <w:t xml:space="preserve">incentives </w:t>
      </w:r>
      <w:r w:rsidR="005C51F5" w:rsidRPr="00D32CB0">
        <w:t xml:space="preserve">or equity budget projects </w:t>
      </w:r>
      <w:r w:rsidR="00705625">
        <w:t xml:space="preserve">with discharge durations longer than two hours </w:t>
      </w:r>
      <w:r w:rsidR="005C51F5">
        <w:t xml:space="preserve">must be able to island and to operate when the distribution system is experiencing an outage in order to </w:t>
      </w:r>
      <w:r w:rsidR="00853143">
        <w:t>maximize the</w:t>
      </w:r>
      <w:r w:rsidR="005C51F5">
        <w:t xml:space="preserve"> </w:t>
      </w:r>
      <w:r w:rsidR="00853143">
        <w:t>provi</w:t>
      </w:r>
      <w:r w:rsidR="005C51F5">
        <w:t>sion of</w:t>
      </w:r>
      <w:r w:rsidR="00853143">
        <w:t xml:space="preserve"> resiliency services</w:t>
      </w:r>
      <w:r w:rsidR="005C51F5">
        <w:t xml:space="preserve">.  </w:t>
      </w:r>
    </w:p>
    <w:p w14:paraId="07B175B3" w14:textId="225F2B09" w:rsidR="00AF6BF5" w:rsidRDefault="005C51F5" w:rsidP="00B17A92">
      <w:pPr>
        <w:pStyle w:val="ALJBodyText"/>
      </w:pPr>
      <w:r>
        <w:t xml:space="preserve">We adopt a new requirement that </w:t>
      </w:r>
      <w:r w:rsidR="0098166B">
        <w:t xml:space="preserve">PAs must confirm that </w:t>
      </w:r>
      <w:r>
        <w:t xml:space="preserve">SGIP equity budget </w:t>
      </w:r>
      <w:r w:rsidRPr="00705625">
        <w:t xml:space="preserve">projects serving resiliency purposes </w:t>
      </w:r>
      <w:r w:rsidR="0098166B">
        <w:t xml:space="preserve">have </w:t>
      </w:r>
      <w:r w:rsidR="00B17A92">
        <w:t xml:space="preserve">been inspected and approved as able to island by local authorities having jurisdiction (AHJs).  </w:t>
      </w:r>
      <w:r w:rsidR="0098166B">
        <w:t xml:space="preserve">This decision </w:t>
      </w:r>
      <w:r w:rsidR="00B17A92">
        <w:t xml:space="preserve">specifies an additional requirement that for </w:t>
      </w:r>
      <w:r w:rsidR="0098166B">
        <w:t>equity resiliency projects and equity budget projects with longer than</w:t>
      </w:r>
      <w:r w:rsidR="00677E3F">
        <w:t xml:space="preserve"> </w:t>
      </w:r>
      <w:r w:rsidR="00B3550C">
        <w:t>t</w:t>
      </w:r>
      <w:r w:rsidR="00677E3F">
        <w:t>wo</w:t>
      </w:r>
      <w:r w:rsidR="00757681">
        <w:noBreakHyphen/>
      </w:r>
      <w:r w:rsidR="00677E3F">
        <w:t>hour discharge duration</w:t>
      </w:r>
      <w:r w:rsidR="00B17A92">
        <w:t xml:space="preserve">, applicants must </w:t>
      </w:r>
      <w:r w:rsidR="0098166B">
        <w:t xml:space="preserve">demonstrate to the PAs </w:t>
      </w:r>
      <w:r w:rsidR="00B17A92">
        <w:t xml:space="preserve">when submitting the incentive claim form that: (1) </w:t>
      </w:r>
      <w:r w:rsidR="004D0A87">
        <w:t xml:space="preserve">an AHJ </w:t>
      </w:r>
      <w:r w:rsidR="005875EA">
        <w:t xml:space="preserve">has </w:t>
      </w:r>
      <w:r w:rsidR="00B17A92">
        <w:t>approved plans showing that the system can operate in island mode;  and, (2) an AHJ</w:t>
      </w:r>
      <w:r w:rsidR="004D0A87">
        <w:t xml:space="preserve"> has</w:t>
      </w:r>
      <w:r w:rsidR="00B17A92">
        <w:t xml:space="preserve"> inspected the system after installation and </w:t>
      </w:r>
      <w:r w:rsidR="004D0A87">
        <w:t xml:space="preserve">has </w:t>
      </w:r>
      <w:r w:rsidR="00B17A92">
        <w:t>authorized operation.</w:t>
      </w:r>
    </w:p>
    <w:p w14:paraId="293ACDDE" w14:textId="0C2966FF" w:rsidR="00B17A92" w:rsidRDefault="00B17A92">
      <w:pPr>
        <w:pStyle w:val="ALJBodyText"/>
      </w:pPr>
      <w:r w:rsidRPr="00AF6BF5">
        <w:t xml:space="preserve">This requirement is necessary to ensure that SGIP equity budget projects intended for resiliency purposes are capable of safely islanding and providing backup power during an outage.  </w:t>
      </w:r>
      <w:r>
        <w:t xml:space="preserve">The </w:t>
      </w:r>
      <w:r w:rsidRPr="00AF6BF5">
        <w:t xml:space="preserve">additional </w:t>
      </w:r>
      <w:r>
        <w:t xml:space="preserve">requirement </w:t>
      </w:r>
      <w:r w:rsidRPr="00AF6BF5">
        <w:t>is necessary because</w:t>
      </w:r>
      <w:r w:rsidRPr="00165FF2">
        <w:t xml:space="preserve"> </w:t>
      </w:r>
      <w:r>
        <w:t xml:space="preserve">the </w:t>
      </w:r>
      <w:r w:rsidRPr="00165FF2">
        <w:t xml:space="preserve">safety of operation at the building during island mode is beyond the scope of issues the </w:t>
      </w:r>
      <w:r>
        <w:t xml:space="preserve">Commission </w:t>
      </w:r>
      <w:r w:rsidRPr="00165FF2">
        <w:t xml:space="preserve">has addressed in </w:t>
      </w:r>
      <w:r>
        <w:t>Rule</w:t>
      </w:r>
      <w:r w:rsidRPr="00165FF2">
        <w:t xml:space="preserve"> 21.  Since islanding is a relatively new practice, we want to ensure that local building authorities receive the relevant information and </w:t>
      </w:r>
      <w:r>
        <w:t xml:space="preserve">determine </w:t>
      </w:r>
      <w:r w:rsidRPr="00165FF2">
        <w:t xml:space="preserve">that the </w:t>
      </w:r>
      <w:r>
        <w:t xml:space="preserve">storage </w:t>
      </w:r>
      <w:r w:rsidRPr="00165FF2">
        <w:t xml:space="preserve">system (and solar </w:t>
      </w:r>
      <w:r>
        <w:t xml:space="preserve">generation, </w:t>
      </w:r>
      <w:r w:rsidRPr="00165FF2">
        <w:t>if present) will operate safely in island mode</w:t>
      </w:r>
      <w:r>
        <w:t xml:space="preserve">.  </w:t>
      </w:r>
    </w:p>
    <w:p w14:paraId="1834D1D4" w14:textId="4EF1D4EC" w:rsidR="00C17A29" w:rsidRDefault="00B17A92">
      <w:pPr>
        <w:pStyle w:val="ALJBodyText"/>
      </w:pPr>
      <w:r>
        <w:t>In addition, w</w:t>
      </w:r>
      <w:r w:rsidR="005C51F5" w:rsidRPr="00D32CB0">
        <w:t xml:space="preserve">e </w:t>
      </w:r>
      <w:r w:rsidR="0008321A" w:rsidRPr="00D32CB0">
        <w:t xml:space="preserve">adopt </w:t>
      </w:r>
      <w:r w:rsidR="005C51F5" w:rsidRPr="00D32CB0">
        <w:t xml:space="preserve">new </w:t>
      </w:r>
      <w:r w:rsidR="00AF6BF5" w:rsidRPr="00D32CB0">
        <w:t xml:space="preserve">information submittal </w:t>
      </w:r>
      <w:r w:rsidR="0008321A" w:rsidRPr="00D32CB0">
        <w:t xml:space="preserve">requirements for </w:t>
      </w:r>
      <w:r w:rsidR="00AF6BF5" w:rsidRPr="00D32CB0">
        <w:t xml:space="preserve">developers </w:t>
      </w:r>
      <w:r w:rsidR="005C51F5" w:rsidRPr="00D32CB0">
        <w:t xml:space="preserve">applying for the </w:t>
      </w:r>
      <w:r w:rsidR="005F3AF5">
        <w:t>equity resiliency budget</w:t>
      </w:r>
      <w:r w:rsidR="005C51F5" w:rsidRPr="00D32CB0">
        <w:t xml:space="preserve"> and for any equity budget project </w:t>
      </w:r>
      <w:r w:rsidR="00705625" w:rsidRPr="00D32CB0">
        <w:t>with a longer than two</w:t>
      </w:r>
      <w:r w:rsidR="00212EE0">
        <w:t xml:space="preserve"> </w:t>
      </w:r>
      <w:r w:rsidR="00705625" w:rsidRPr="00D32CB0">
        <w:t xml:space="preserve">hour discharge duration.  </w:t>
      </w:r>
      <w:r w:rsidR="0008321A" w:rsidRPr="00D32CB0">
        <w:t>In addition to the existing requirements, we direct the PAs to modify the SGIP application form to</w:t>
      </w:r>
      <w:r w:rsidR="00FE3953" w:rsidRPr="00D32CB0">
        <w:t xml:space="preserve"> </w:t>
      </w:r>
      <w:r w:rsidR="001E07D4" w:rsidRPr="00D32CB0">
        <w:lastRenderedPageBreak/>
        <w:t>require</w:t>
      </w:r>
      <w:r w:rsidR="005C51F5" w:rsidRPr="00D32CB0">
        <w:t xml:space="preserve"> these applicants </w:t>
      </w:r>
      <w:r w:rsidR="001E07D4" w:rsidRPr="00D32CB0">
        <w:t>to</w:t>
      </w:r>
      <w:r w:rsidR="00F418E8" w:rsidRPr="00D32CB0">
        <w:t xml:space="preserve">: </w:t>
      </w:r>
      <w:r w:rsidR="004A5BDD">
        <w:t xml:space="preserve"> </w:t>
      </w:r>
      <w:r w:rsidR="00F418E8" w:rsidRPr="00D32CB0">
        <w:t>(</w:t>
      </w:r>
      <w:r w:rsidR="0008321A" w:rsidRPr="00D32CB0">
        <w:t>1</w:t>
      </w:r>
      <w:r w:rsidR="00F418E8" w:rsidRPr="00D32CB0">
        <w:t xml:space="preserve">) </w:t>
      </w:r>
      <w:r w:rsidR="001E07D4" w:rsidRPr="00D32CB0">
        <w:t xml:space="preserve">provide an </w:t>
      </w:r>
      <w:r w:rsidR="00FE3953" w:rsidRPr="00D32CB0">
        <w:t xml:space="preserve">estimate of how long </w:t>
      </w:r>
      <w:r w:rsidR="005C51F5" w:rsidRPr="00D32CB0">
        <w:t xml:space="preserve">a project’s </w:t>
      </w:r>
      <w:r w:rsidR="00FE3953" w:rsidRPr="00D32CB0">
        <w:t>fully charged battery will provide electricity for the</w:t>
      </w:r>
      <w:r w:rsidR="005C51F5" w:rsidRPr="00D32CB0">
        <w:t xml:space="preserve"> relevant</w:t>
      </w:r>
      <w:r w:rsidR="00FE3953" w:rsidRPr="00D32CB0">
        <w:t xml:space="preserve"> facility average </w:t>
      </w:r>
      <w:r w:rsidR="006A72BD" w:rsidRPr="00D32CB0">
        <w:t xml:space="preserve">load </w:t>
      </w:r>
      <w:r w:rsidR="005C51F5" w:rsidRPr="00D32CB0">
        <w:t xml:space="preserve">during </w:t>
      </w:r>
      <w:r w:rsidR="006A72BD" w:rsidRPr="00D32CB0">
        <w:t>an outage</w:t>
      </w:r>
      <w:r w:rsidR="0008321A" w:rsidRPr="00D32CB0">
        <w:t>;</w:t>
      </w:r>
      <w:r w:rsidR="006A72BD" w:rsidRPr="00D32CB0">
        <w:t xml:space="preserve"> </w:t>
      </w:r>
      <w:r w:rsidR="006F11E6" w:rsidRPr="00D32CB0">
        <w:t>(</w:t>
      </w:r>
      <w:r w:rsidR="0008321A" w:rsidRPr="00D32CB0">
        <w:t>2</w:t>
      </w:r>
      <w:r w:rsidR="00F30BB5" w:rsidRPr="00D32CB0">
        <w:t xml:space="preserve">) </w:t>
      </w:r>
      <w:r w:rsidR="00DC3EB7" w:rsidRPr="00D32CB0">
        <w:t xml:space="preserve">indicate whether </w:t>
      </w:r>
      <w:r w:rsidR="005C51F5" w:rsidRPr="00D32CB0">
        <w:t xml:space="preserve">a </w:t>
      </w:r>
      <w:r w:rsidR="00DC3EB7" w:rsidRPr="00D32CB0">
        <w:t>project</w:t>
      </w:r>
      <w:r w:rsidR="0008321A" w:rsidRPr="00D32CB0">
        <w:t>’s</w:t>
      </w:r>
      <w:r w:rsidR="00DC3EB7" w:rsidRPr="00D32CB0">
        <w:t xml:space="preserve"> </w:t>
      </w:r>
      <w:r w:rsidR="00FE3953" w:rsidRPr="00D32CB0">
        <w:t>critical loads can and will be isolated</w:t>
      </w:r>
      <w:r w:rsidR="006C34FA">
        <w:t xml:space="preserve">; (3) </w:t>
      </w:r>
      <w:r w:rsidR="0E66A317" w:rsidRPr="00D32CB0">
        <w:t xml:space="preserve">provide an estimate of how long the </w:t>
      </w:r>
      <w:r w:rsidR="005C51F5" w:rsidRPr="00D32CB0">
        <w:t xml:space="preserve">project’s </w:t>
      </w:r>
      <w:r w:rsidR="0E66A317" w:rsidRPr="00D32CB0">
        <w:t xml:space="preserve">fully charged battery will provide electricity </w:t>
      </w:r>
      <w:r w:rsidR="006A65BE">
        <w:t xml:space="preserve">to </w:t>
      </w:r>
      <w:r w:rsidR="005C51F5" w:rsidRPr="00D32CB0">
        <w:t xml:space="preserve">critical uses during </w:t>
      </w:r>
      <w:r w:rsidR="0E66A317" w:rsidRPr="00D32CB0">
        <w:t>an outage</w:t>
      </w:r>
      <w:r w:rsidR="00885E7D">
        <w:t xml:space="preserve">; (4) provide an estimate of how long the project </w:t>
      </w:r>
      <w:r w:rsidR="006A65BE">
        <w:t>can operate in less</w:t>
      </w:r>
      <w:r w:rsidR="00757681">
        <w:noBreakHyphen/>
      </w:r>
      <w:r w:rsidR="006A65BE">
        <w:t xml:space="preserve">than favorable circumstances, such as if an outage occurs when the battery has been discharged or during the winter (if paired with solar); (5) summarize information given to the customer about how the customer may best prepare the storage system to provide backup power, in the case of </w:t>
      </w:r>
      <w:r w:rsidR="00062412">
        <w:t xml:space="preserve">a </w:t>
      </w:r>
      <w:r w:rsidR="006A65BE">
        <w:t xml:space="preserve">PSPS event announced in advance; </w:t>
      </w:r>
      <w:r w:rsidR="0008321A" w:rsidRPr="00D32CB0">
        <w:t>(</w:t>
      </w:r>
      <w:r w:rsidR="00C17A29">
        <w:t>6</w:t>
      </w:r>
      <w:r w:rsidR="0008321A" w:rsidRPr="00D32CB0">
        <w:t xml:space="preserve">) </w:t>
      </w:r>
      <w:r w:rsidR="00FE3953" w:rsidRPr="00D32CB0">
        <w:t>attest</w:t>
      </w:r>
      <w:r w:rsidR="002056C0" w:rsidRPr="00D32CB0">
        <w:t xml:space="preserve"> to the truth of the information provide</w:t>
      </w:r>
      <w:r w:rsidR="00615AE7" w:rsidRPr="00D32CB0">
        <w:t>d</w:t>
      </w:r>
      <w:r w:rsidR="00C17A29">
        <w:t>; and, (7</w:t>
      </w:r>
      <w:r w:rsidR="006A65BE">
        <w:t xml:space="preserve">) provide an attestation from the customer indicating that he or she received this information prior to </w:t>
      </w:r>
      <w:r w:rsidR="005548DE" w:rsidRPr="00D32CB0">
        <w:t>sign</w:t>
      </w:r>
      <w:r w:rsidR="006A65BE">
        <w:t>ing</w:t>
      </w:r>
      <w:r w:rsidR="005548DE" w:rsidRPr="00D32CB0">
        <w:t xml:space="preserve"> a contract.</w:t>
      </w:r>
      <w:r w:rsidR="004418FD" w:rsidRPr="00D32CB0">
        <w:t xml:space="preserve"> </w:t>
      </w:r>
      <w:r w:rsidR="0008321A" w:rsidRPr="00D32CB0">
        <w:t xml:space="preserve"> </w:t>
      </w:r>
    </w:p>
    <w:p w14:paraId="20DE43A7" w14:textId="2E8252CD" w:rsidR="00B17A92" w:rsidRDefault="0008321A">
      <w:pPr>
        <w:pStyle w:val="ALJBodyText"/>
      </w:pPr>
      <w:r w:rsidRPr="00D32CB0">
        <w:t>T</w:t>
      </w:r>
      <w:r w:rsidR="004418FD" w:rsidRPr="00D32CB0">
        <w:t xml:space="preserve">hese requirements will ensure </w:t>
      </w:r>
      <w:r w:rsidR="00E84B0A" w:rsidRPr="00D32CB0">
        <w:t>that customers that install SGIP projects with the expectation that they will provide resiliency services are basing this on accurate information</w:t>
      </w:r>
      <w:r w:rsidR="00A47573" w:rsidRPr="00D32CB0">
        <w:t>, especially given that customers may rely on the backup power for critical health and safety needs and may forego making other emergency plans for electricity outages.</w:t>
      </w:r>
      <w:r w:rsidR="00AC2B33" w:rsidRPr="00D32CB0">
        <w:t xml:space="preserve">  PAs shall </w:t>
      </w:r>
      <w:r w:rsidR="006A65BE">
        <w:t xml:space="preserve">develop standard </w:t>
      </w:r>
      <w:r w:rsidR="00C17A29">
        <w:t xml:space="preserve">forms </w:t>
      </w:r>
      <w:r w:rsidR="006A65BE">
        <w:t>for the customer and developer attestations in consultation with the SGIP TWG group, and should notify disability a</w:t>
      </w:r>
      <w:r w:rsidR="00754CCC">
        <w:t>dvocates</w:t>
      </w:r>
      <w:r w:rsidR="006A65BE">
        <w:t xml:space="preserve"> of the opportunity to participate in </w:t>
      </w:r>
      <w:r w:rsidR="00C17A29">
        <w:t xml:space="preserve">these discussions.  </w:t>
      </w:r>
    </w:p>
    <w:p w14:paraId="044E1AD9" w14:textId="02C33D85" w:rsidR="00FE3953" w:rsidRDefault="006A65BE">
      <w:pPr>
        <w:pStyle w:val="ALJBodyText"/>
      </w:pPr>
      <w:r>
        <w:t xml:space="preserve">PAs shall </w:t>
      </w:r>
      <w:r w:rsidR="00AC2B33" w:rsidRPr="00D32CB0">
        <w:t xml:space="preserve">include these modifications </w:t>
      </w:r>
      <w:r w:rsidR="005C51F5" w:rsidRPr="00D32CB0">
        <w:t xml:space="preserve">and </w:t>
      </w:r>
      <w:r w:rsidR="005875EA">
        <w:t xml:space="preserve">shall </w:t>
      </w:r>
      <w:r w:rsidR="005C51F5" w:rsidRPr="00D32CB0">
        <w:t xml:space="preserve">outline </w:t>
      </w:r>
      <w:r>
        <w:t>t</w:t>
      </w:r>
      <w:r w:rsidRPr="00D32CB0">
        <w:t xml:space="preserve">he </w:t>
      </w:r>
      <w:r w:rsidR="005C51F5" w:rsidRPr="00D32CB0">
        <w:t>procedures required for a project to</w:t>
      </w:r>
      <w:r w:rsidR="0098166B" w:rsidRPr="00D32CB0">
        <w:t xml:space="preserve"> </w:t>
      </w:r>
      <w:r>
        <w:t xml:space="preserve">demonstrate that </w:t>
      </w:r>
      <w:r w:rsidR="00B17A92">
        <w:t xml:space="preserve">approved plans showing that </w:t>
      </w:r>
      <w:r w:rsidR="00B17A92" w:rsidRPr="00D32CB0">
        <w:t>the system can operate in island mode</w:t>
      </w:r>
      <w:r w:rsidR="005875EA">
        <w:t xml:space="preserve">, </w:t>
      </w:r>
      <w:r w:rsidR="00062412">
        <w:t xml:space="preserve">has </w:t>
      </w:r>
      <w:r w:rsidR="00B17A92">
        <w:t>inspected the system after installation</w:t>
      </w:r>
      <w:r w:rsidR="005875EA">
        <w:t xml:space="preserve">, </w:t>
      </w:r>
      <w:r w:rsidR="00B17A92">
        <w:t xml:space="preserve">and </w:t>
      </w:r>
      <w:r w:rsidR="005875EA">
        <w:t xml:space="preserve">has </w:t>
      </w:r>
      <w:r w:rsidR="00B17A92">
        <w:t xml:space="preserve">authorized operation </w:t>
      </w:r>
      <w:r w:rsidR="00AC2B33" w:rsidRPr="00D32CB0">
        <w:t>in the Tier 2 advice letter directed elsewhere in this decision.</w:t>
      </w:r>
      <w:r w:rsidR="00AC2B33">
        <w:t xml:space="preserve"> </w:t>
      </w:r>
    </w:p>
    <w:p w14:paraId="572601F1" w14:textId="171BD968" w:rsidR="00A47573" w:rsidRDefault="00A47573" w:rsidP="005C51F5">
      <w:pPr>
        <w:pStyle w:val="ALJBodyText"/>
      </w:pPr>
      <w:r>
        <w:lastRenderedPageBreak/>
        <w:t>Resiliency benefits will vary depending on the design of the system and the duration of the PSPS event.</w:t>
      </w:r>
      <w:r w:rsidR="006B54E2">
        <w:rPr>
          <w:rStyle w:val="FootnoteReference"/>
        </w:rPr>
        <w:footnoteReference w:id="54"/>
      </w:r>
      <w:r>
        <w:t xml:space="preserve"> </w:t>
      </w:r>
      <w:r w:rsidR="005C51F5">
        <w:t xml:space="preserve"> </w:t>
      </w:r>
      <w:r>
        <w:t>A</w:t>
      </w:r>
      <w:r w:rsidRPr="003859E5">
        <w:t xml:space="preserve"> customer with storage paired with solar</w:t>
      </w:r>
      <w:r w:rsidR="005C51F5">
        <w:t>—</w:t>
      </w:r>
      <w:r w:rsidRPr="003859E5">
        <w:t>the majority of new residential SGIP participants in recent years</w:t>
      </w:r>
      <w:r w:rsidR="005C51F5">
        <w:t>—</w:t>
      </w:r>
      <w:r w:rsidR="00945AFD">
        <w:t xml:space="preserve">will experience the most </w:t>
      </w:r>
      <w:r w:rsidRPr="003859E5">
        <w:t>resiliency benefit</w:t>
      </w:r>
      <w:r w:rsidR="00945AFD">
        <w:t>s</w:t>
      </w:r>
      <w:r w:rsidRPr="003859E5">
        <w:t xml:space="preserve"> because the battery can recharge when the sun is shining.</w:t>
      </w:r>
      <w:r w:rsidR="005C51F5">
        <w:rPr>
          <w:rStyle w:val="FootnoteReference"/>
        </w:rPr>
        <w:footnoteReference w:id="55"/>
      </w:r>
      <w:r w:rsidRPr="003859E5">
        <w:t xml:space="preserve">  </w:t>
      </w:r>
      <w:r w:rsidR="00945AFD">
        <w:t xml:space="preserve">In addition, </w:t>
      </w:r>
      <w:r w:rsidR="00062412">
        <w:t xml:space="preserve">customers can extend </w:t>
      </w:r>
      <w:r w:rsidR="00945AFD">
        <w:t>t</w:t>
      </w:r>
      <w:r w:rsidRPr="003859E5">
        <w:t xml:space="preserve">he availability of backup power by limiting it to the most critical loads.  </w:t>
      </w:r>
      <w:r w:rsidRPr="00F105BF">
        <w:t xml:space="preserve">Even if backup power from </w:t>
      </w:r>
      <w:r w:rsidR="00897BDF">
        <w:t xml:space="preserve">a </w:t>
      </w:r>
      <w:r w:rsidRPr="00F105BF">
        <w:t>battery does not last for the full duration of a PSPS</w:t>
      </w:r>
      <w:r w:rsidR="00897BDF">
        <w:t xml:space="preserve"> event</w:t>
      </w:r>
      <w:r w:rsidRPr="00F105BF">
        <w:t>, it will provide benefit</w:t>
      </w:r>
      <w:r w:rsidR="00897BDF">
        <w:t>s</w:t>
      </w:r>
      <w:r w:rsidRPr="00F105BF">
        <w:t xml:space="preserve"> to </w:t>
      </w:r>
      <w:r w:rsidR="00897BDF">
        <w:t xml:space="preserve">a </w:t>
      </w:r>
      <w:r w:rsidRPr="00F105BF">
        <w:t xml:space="preserve">customer for some period of time and will provide time to make other arrangements in the event of an extended outage that creates a health risk.  </w:t>
      </w:r>
    </w:p>
    <w:p w14:paraId="3054F60A" w14:textId="7E71736C" w:rsidR="00897BDF" w:rsidRPr="00F2257B" w:rsidRDefault="00EC5176" w:rsidP="00B9634D">
      <w:pPr>
        <w:pStyle w:val="ALJBodyText"/>
      </w:pPr>
      <w:r>
        <w:t xml:space="preserve">Adopting </w:t>
      </w:r>
      <w:r w:rsidR="006F11E6">
        <w:t xml:space="preserve">a minimum of practical </w:t>
      </w:r>
      <w:r w:rsidR="008B23FD">
        <w:t xml:space="preserve">system and program requirements for </w:t>
      </w:r>
      <w:r w:rsidR="005C51F5">
        <w:t xml:space="preserve">the equity resiliency </w:t>
      </w:r>
      <w:r w:rsidR="005F3AF5">
        <w:t xml:space="preserve">budget </w:t>
      </w:r>
      <w:r w:rsidR="005C51F5">
        <w:t xml:space="preserve">and </w:t>
      </w:r>
      <w:r w:rsidR="006F11E6">
        <w:t xml:space="preserve">equity budget </w:t>
      </w:r>
      <w:r w:rsidR="008B23FD">
        <w:t xml:space="preserve">projects </w:t>
      </w:r>
      <w:r w:rsidR="00705625">
        <w:t>with a longer than two</w:t>
      </w:r>
      <w:r w:rsidR="00212EE0">
        <w:t xml:space="preserve"> </w:t>
      </w:r>
      <w:r w:rsidR="00705625">
        <w:t xml:space="preserve">hour discharge duration </w:t>
      </w:r>
      <w:r w:rsidR="008B23FD">
        <w:t>ensure</w:t>
      </w:r>
      <w:r w:rsidR="005C51F5">
        <w:t>s</w:t>
      </w:r>
      <w:r w:rsidR="008B23FD">
        <w:t xml:space="preserve"> </w:t>
      </w:r>
      <w:r w:rsidR="0010114D">
        <w:t xml:space="preserve">that systems </w:t>
      </w:r>
      <w:r w:rsidR="005C51F5">
        <w:t xml:space="preserve">have the technical capacity </w:t>
      </w:r>
      <w:r w:rsidR="0010114D">
        <w:t>and</w:t>
      </w:r>
      <w:r w:rsidR="005C51F5">
        <w:t xml:space="preserve"> are</w:t>
      </w:r>
      <w:r w:rsidR="0010114D">
        <w:t xml:space="preserve"> interconnected to operate for the purposes for which the SGIP incentive was designed</w:t>
      </w:r>
      <w:r w:rsidR="005C51F5">
        <w:t xml:space="preserve">, </w:t>
      </w:r>
      <w:r w:rsidR="008B23FD">
        <w:t xml:space="preserve">that </w:t>
      </w:r>
      <w:r w:rsidR="006F11E6">
        <w:t>customer</w:t>
      </w:r>
      <w:r w:rsidR="008B23FD">
        <w:t>s</w:t>
      </w:r>
      <w:r w:rsidR="006F11E6">
        <w:t>’</w:t>
      </w:r>
      <w:r w:rsidR="008B23FD">
        <w:t xml:space="preserve"> </w:t>
      </w:r>
      <w:r w:rsidR="0029554E">
        <w:t xml:space="preserve">receive </w:t>
      </w:r>
      <w:r w:rsidR="005C51F5">
        <w:t xml:space="preserve">the </w:t>
      </w:r>
      <w:r w:rsidR="006F11E6">
        <w:t>expected</w:t>
      </w:r>
      <w:r w:rsidR="000C3E82">
        <w:t xml:space="preserve"> resiliency benefits</w:t>
      </w:r>
      <w:r w:rsidR="005C51F5">
        <w:t xml:space="preserve">, </w:t>
      </w:r>
      <w:r w:rsidR="006F11E6">
        <w:t xml:space="preserve">and that </w:t>
      </w:r>
      <w:r w:rsidR="005C51F5">
        <w:t xml:space="preserve">customers can </w:t>
      </w:r>
      <w:r w:rsidR="006F11E6">
        <w:t>better withstand longer outages, whatever the cause.</w:t>
      </w:r>
      <w:r w:rsidR="00E84B0A">
        <w:t xml:space="preserve"> </w:t>
      </w:r>
      <w:r w:rsidR="00C17A29">
        <w:t xml:space="preserve"> It is important that SGIP procedures ensure that customers have been appropriately informed of the capabilities and limitations of storage systems intended for use during PSPS or other outages prior to signing a contract. </w:t>
      </w:r>
    </w:p>
    <w:p w14:paraId="39606935" w14:textId="3A8ABD29" w:rsidR="00391CFB" w:rsidRDefault="00391CFB" w:rsidP="00CE14ED">
      <w:pPr>
        <w:pStyle w:val="ALJHeading1"/>
      </w:pPr>
      <w:bookmarkStart w:id="56" w:name="_Toc15908080"/>
      <w:r>
        <w:t>Safety Issues</w:t>
      </w:r>
      <w:bookmarkEnd w:id="56"/>
    </w:p>
    <w:p w14:paraId="502FDD82" w14:textId="32707A64" w:rsidR="00770173" w:rsidRDefault="00BB0CC7" w:rsidP="005C51F5">
      <w:pPr>
        <w:pStyle w:val="ALJBodyText"/>
      </w:pPr>
      <w:r>
        <w:t xml:space="preserve">The SGIP </w:t>
      </w:r>
      <w:r w:rsidR="005C51F5">
        <w:t>handbook</w:t>
      </w:r>
      <w:r>
        <w:t xml:space="preserve"> requires </w:t>
      </w:r>
      <w:r w:rsidR="00D261DA">
        <w:t xml:space="preserve">all </w:t>
      </w:r>
      <w:r w:rsidR="005C51F5">
        <w:t>SGIP</w:t>
      </w:r>
      <w:r w:rsidR="00757681">
        <w:noBreakHyphen/>
      </w:r>
      <w:r w:rsidR="006A0E46">
        <w:t>eligible technologies</w:t>
      </w:r>
      <w:r w:rsidR="005C51F5">
        <w:t xml:space="preserve"> to</w:t>
      </w:r>
      <w:r w:rsidR="006A0E46">
        <w:t xml:space="preserve"> be certified for safety by a </w:t>
      </w:r>
      <w:r w:rsidR="00A638FE">
        <w:t>Nationally R</w:t>
      </w:r>
      <w:r w:rsidR="001B79FA">
        <w:t>ecognized Testing Laboratory (</w:t>
      </w:r>
      <w:r w:rsidR="00D261DA">
        <w:t>NRTL</w:t>
      </w:r>
      <w:r w:rsidR="001B79FA">
        <w:t>)</w:t>
      </w:r>
      <w:r w:rsidR="00770173">
        <w:t xml:space="preserve">, including </w:t>
      </w:r>
      <w:r w:rsidR="00770173">
        <w:lastRenderedPageBreak/>
        <w:t>equipment used for islanding purposes</w:t>
      </w:r>
      <w:r w:rsidR="007E42D6">
        <w:t>.</w:t>
      </w:r>
      <w:r w:rsidR="00992BEE">
        <w:rPr>
          <w:rStyle w:val="FootnoteReference"/>
        </w:rPr>
        <w:footnoteReference w:id="56"/>
      </w:r>
      <w:r w:rsidR="007E42D6">
        <w:t xml:space="preserve"> </w:t>
      </w:r>
      <w:r w:rsidR="005C51F5">
        <w:t xml:space="preserve"> Applicants must submit p</w:t>
      </w:r>
      <w:r w:rsidR="007E42D6">
        <w:t>roof of certification</w:t>
      </w:r>
      <w:r w:rsidR="005C51F5">
        <w:t xml:space="preserve"> </w:t>
      </w:r>
      <w:r w:rsidR="007E42D6">
        <w:t>with</w:t>
      </w:r>
      <w:r w:rsidR="00A33AD1">
        <w:t xml:space="preserve"> i</w:t>
      </w:r>
      <w:r w:rsidR="007E42D6">
        <w:t xml:space="preserve">ncentive </w:t>
      </w:r>
      <w:r w:rsidR="00A33AD1">
        <w:t>c</w:t>
      </w:r>
      <w:r w:rsidR="007E42D6">
        <w:t>laim documents</w:t>
      </w:r>
      <w:r w:rsidR="005C51F5">
        <w:t xml:space="preserve"> at the latest </w:t>
      </w:r>
      <w:r w:rsidR="00B95AAC">
        <w:t>and failure to do this results in the cancelation of the project.</w:t>
      </w:r>
      <w:r w:rsidR="00B95AAC">
        <w:rPr>
          <w:rStyle w:val="FootnoteReference"/>
        </w:rPr>
        <w:footnoteReference w:id="57"/>
      </w:r>
      <w:r w:rsidR="005C51F5">
        <w:t xml:space="preserve">  </w:t>
      </w:r>
      <w:r w:rsidR="00770173">
        <w:t xml:space="preserve">SGIP projects must also comply with </w:t>
      </w:r>
      <w:r w:rsidR="006972B5">
        <w:t>Rule</w:t>
      </w:r>
      <w:r w:rsidR="00770173">
        <w:t xml:space="preserve"> 21 interconnection standards that </w:t>
      </w:r>
      <w:r w:rsidR="00770173" w:rsidRPr="00155432">
        <w:t>require “anti</w:t>
      </w:r>
      <w:r w:rsidR="00757681">
        <w:noBreakHyphen/>
      </w:r>
      <w:r w:rsidR="00155432" w:rsidRPr="00155432">
        <w:t xml:space="preserve">islanding” capabilities that serve to </w:t>
      </w:r>
      <w:r w:rsidR="00770173" w:rsidRPr="00155432">
        <w:t>detect and de</w:t>
      </w:r>
      <w:r w:rsidR="00757681">
        <w:noBreakHyphen/>
      </w:r>
      <w:r w:rsidR="00770173" w:rsidRPr="00155432">
        <w:t>energize the interconnected system in case of an outage.</w:t>
      </w:r>
      <w:r w:rsidR="00770173" w:rsidRPr="00155432">
        <w:rPr>
          <w:rStyle w:val="FootnoteReference"/>
        </w:rPr>
        <w:footnoteReference w:id="58"/>
      </w:r>
      <w:r w:rsidR="00770173" w:rsidRPr="00155432">
        <w:t xml:space="preserve">  </w:t>
      </w:r>
      <w:r w:rsidR="006972B5">
        <w:t>Rule</w:t>
      </w:r>
      <w:r w:rsidR="00770173">
        <w:t xml:space="preserve"> 21 </w:t>
      </w:r>
      <w:r w:rsidR="00770173" w:rsidRPr="00841238">
        <w:t>requires that storage systems can safely re</w:t>
      </w:r>
      <w:r w:rsidR="00757681">
        <w:noBreakHyphen/>
      </w:r>
      <w:r w:rsidR="00770173" w:rsidRPr="00841238">
        <w:t>connect to the grid following an outage without interfering with the grid’s operation.</w:t>
      </w:r>
      <w:r w:rsidR="00770173" w:rsidRPr="00841238">
        <w:rPr>
          <w:rStyle w:val="FootnoteReference"/>
        </w:rPr>
        <w:footnoteReference w:id="59"/>
      </w:r>
    </w:p>
    <w:p w14:paraId="5893BB94" w14:textId="0F012A38" w:rsidR="00C87E5D" w:rsidRDefault="00C87E5D" w:rsidP="005C51F5">
      <w:pPr>
        <w:pStyle w:val="ALJBodyText"/>
      </w:pPr>
      <w:r>
        <w:t>The SGIP ACR requested parties to comment on the question</w:t>
      </w:r>
      <w:r w:rsidR="00287120">
        <w:t xml:space="preserve"> of whether </w:t>
      </w:r>
      <w:r w:rsidR="00192510">
        <w:t xml:space="preserve">or </w:t>
      </w:r>
      <w:r w:rsidR="00192510" w:rsidRPr="00192510">
        <w:t xml:space="preserve">not the use of storage during </w:t>
      </w:r>
      <w:r w:rsidR="006F11E6">
        <w:t xml:space="preserve">PSPS </w:t>
      </w:r>
      <w:r w:rsidRPr="00192510">
        <w:t>events introduces public safety risks</w:t>
      </w:r>
      <w:r w:rsidR="005C51F5">
        <w:t xml:space="preserve"> </w:t>
      </w:r>
      <w:r w:rsidR="00192510" w:rsidRPr="00192510">
        <w:t>and to i</w:t>
      </w:r>
      <w:r w:rsidRPr="00192510">
        <w:t>nclude recommendations for mitigating any identified risks.</w:t>
      </w:r>
      <w:r w:rsidR="00247482">
        <w:rPr>
          <w:rStyle w:val="FootnoteReference"/>
        </w:rPr>
        <w:footnoteReference w:id="60"/>
      </w:r>
    </w:p>
    <w:p w14:paraId="659766BF" w14:textId="748507A8" w:rsidR="009C6E90" w:rsidRPr="009C6E90" w:rsidRDefault="009C6E90" w:rsidP="00C151FC">
      <w:pPr>
        <w:pStyle w:val="ALJHeading2"/>
        <w:rPr>
          <w:bCs/>
        </w:rPr>
      </w:pPr>
      <w:bookmarkStart w:id="57" w:name="_Toc15908081"/>
      <w:r w:rsidRPr="009C6E90">
        <w:t>Party Comments</w:t>
      </w:r>
      <w:bookmarkEnd w:id="57"/>
      <w:r w:rsidRPr="009C6E90">
        <w:t xml:space="preserve"> </w:t>
      </w:r>
    </w:p>
    <w:p w14:paraId="0F06C773" w14:textId="236F5659" w:rsidR="00C87E5D" w:rsidRPr="00C87E5D" w:rsidRDefault="005C51F5" w:rsidP="00D261DA">
      <w:pPr>
        <w:pStyle w:val="ALJBodyText"/>
      </w:pPr>
      <w:r>
        <w:t>P</w:t>
      </w:r>
      <w:r w:rsidR="00764279">
        <w:t xml:space="preserve">arties </w:t>
      </w:r>
      <w:r>
        <w:t xml:space="preserve">generally </w:t>
      </w:r>
      <w:r w:rsidR="00845958">
        <w:t xml:space="preserve">agree </w:t>
      </w:r>
      <w:r w:rsidR="009C6E90">
        <w:t xml:space="preserve">that </w:t>
      </w:r>
      <w:r w:rsidR="00C87E5D" w:rsidRPr="00C87E5D">
        <w:t>energy storage systems</w:t>
      </w:r>
      <w:r w:rsidR="00845958">
        <w:t xml:space="preserve"> </w:t>
      </w:r>
      <w:r w:rsidR="00C87E5D" w:rsidRPr="00C87E5D">
        <w:t>do not create a significant source of ignition or other safety risk</w:t>
      </w:r>
      <w:r w:rsidR="00845958">
        <w:t xml:space="preserve"> even when used for backup </w:t>
      </w:r>
      <w:r w:rsidR="00770173">
        <w:t xml:space="preserve">purposes.  Several parties </w:t>
      </w:r>
      <w:r w:rsidR="00845958">
        <w:t xml:space="preserve">identify </w:t>
      </w:r>
      <w:r w:rsidR="009C6E90">
        <w:t>s</w:t>
      </w:r>
      <w:r w:rsidR="00C87E5D" w:rsidRPr="00C87E5D">
        <w:t xml:space="preserve">everal safety standards and requirements </w:t>
      </w:r>
      <w:r w:rsidR="009C6E90">
        <w:t xml:space="preserve">already </w:t>
      </w:r>
      <w:r w:rsidR="00C87E5D" w:rsidRPr="00C87E5D">
        <w:t>in place for storage devices</w:t>
      </w:r>
      <w:r w:rsidR="009C6E90">
        <w:t>, in addition to those requi</w:t>
      </w:r>
      <w:r w:rsidR="009C6E90" w:rsidRPr="00E84B0A">
        <w:t xml:space="preserve">red by SGIP.  </w:t>
      </w:r>
      <w:r w:rsidR="00770173">
        <w:t xml:space="preserve">For instance, </w:t>
      </w:r>
      <w:r w:rsidR="00764279" w:rsidRPr="00E84B0A">
        <w:t>CESA states</w:t>
      </w:r>
      <w:r w:rsidR="00ED5382" w:rsidRPr="00E84B0A">
        <w:t xml:space="preserve"> that</w:t>
      </w:r>
      <w:r w:rsidR="00845958">
        <w:t xml:space="preserve"> United Labs</w:t>
      </w:r>
      <w:r w:rsidR="00C87E5D" w:rsidRPr="00E84B0A">
        <w:t xml:space="preserve">, </w:t>
      </w:r>
      <w:r w:rsidR="00845958">
        <w:t>the Institute of Electrical and Electronics Engineers</w:t>
      </w:r>
      <w:r w:rsidR="00E84B0A" w:rsidRPr="00E84B0A">
        <w:t xml:space="preserve">, and </w:t>
      </w:r>
      <w:r w:rsidR="00AC2B33">
        <w:t xml:space="preserve">the </w:t>
      </w:r>
      <w:r w:rsidR="00E84B0A" w:rsidRPr="00E84B0A">
        <w:t xml:space="preserve">National Fire Protection Association </w:t>
      </w:r>
      <w:r w:rsidR="00C87E5D" w:rsidRPr="00E84B0A">
        <w:t>have national</w:t>
      </w:r>
      <w:r w:rsidR="00C87E5D" w:rsidRPr="00C87E5D">
        <w:t xml:space="preserve"> standards</w:t>
      </w:r>
      <w:r w:rsidR="007A5260">
        <w:t xml:space="preserve"> pertinent to storage systems</w:t>
      </w:r>
      <w:r w:rsidR="00845958">
        <w:t xml:space="preserve"> </w:t>
      </w:r>
      <w:r w:rsidR="00A47573">
        <w:t>and provides a list of applicable standards addressing fire risks</w:t>
      </w:r>
      <w:r w:rsidR="00D261DA">
        <w:t xml:space="preserve"> (Attachment </w:t>
      </w:r>
      <w:r w:rsidR="000F0A8A">
        <w:t>C</w:t>
      </w:r>
      <w:r w:rsidR="00D261DA">
        <w:t xml:space="preserve">). </w:t>
      </w:r>
      <w:r w:rsidR="00845958">
        <w:t xml:space="preserve"> </w:t>
      </w:r>
      <w:r w:rsidR="00770173">
        <w:t xml:space="preserve">CESA </w:t>
      </w:r>
      <w:r w:rsidR="00845958">
        <w:t>states</w:t>
      </w:r>
      <w:r w:rsidR="00D261DA">
        <w:t xml:space="preserve"> that</w:t>
      </w:r>
      <w:r w:rsidR="007A5260">
        <w:t xml:space="preserve"> </w:t>
      </w:r>
      <w:r w:rsidR="00C87E5D" w:rsidRPr="00C87E5D">
        <w:t xml:space="preserve">the California Building Standards Commission </w:t>
      </w:r>
      <w:r w:rsidR="00D261DA">
        <w:t xml:space="preserve">(CBSC) </w:t>
      </w:r>
      <w:r w:rsidR="00C87E5D" w:rsidRPr="00C87E5D">
        <w:t xml:space="preserve">and </w:t>
      </w:r>
      <w:r w:rsidR="00764279">
        <w:t>AHJs have location</w:t>
      </w:r>
      <w:r w:rsidR="00757681">
        <w:noBreakHyphen/>
      </w:r>
      <w:r w:rsidR="00764279">
        <w:t xml:space="preserve"> </w:t>
      </w:r>
      <w:r w:rsidR="00C87E5D" w:rsidRPr="00C87E5D">
        <w:t>and stat</w:t>
      </w:r>
      <w:r w:rsidR="00764279">
        <w:t>e</w:t>
      </w:r>
      <w:r w:rsidR="00757681">
        <w:noBreakHyphen/>
      </w:r>
      <w:r w:rsidR="00764279">
        <w:t xml:space="preserve">specific codes </w:t>
      </w:r>
      <w:r w:rsidR="00764279">
        <w:lastRenderedPageBreak/>
        <w:t xml:space="preserve">and permit </w:t>
      </w:r>
      <w:r w:rsidR="00C87E5D" w:rsidRPr="00C87E5D">
        <w:t xml:space="preserve">requirements to enhance safety of energy storage systems. </w:t>
      </w:r>
      <w:r w:rsidR="00845958">
        <w:t xml:space="preserve"> </w:t>
      </w:r>
      <w:r w:rsidR="00764279">
        <w:t xml:space="preserve">CESA </w:t>
      </w:r>
      <w:r w:rsidR="00770173">
        <w:t xml:space="preserve">also </w:t>
      </w:r>
      <w:r w:rsidR="00764279">
        <w:t xml:space="preserve">states that these bodies have </w:t>
      </w:r>
      <w:r w:rsidR="00C87E5D" w:rsidRPr="00C87E5D">
        <w:t xml:space="preserve">preventative </w:t>
      </w:r>
      <w:r w:rsidR="00764279">
        <w:t xml:space="preserve">standards </w:t>
      </w:r>
      <w:r w:rsidR="00C87E5D" w:rsidRPr="00C87E5D">
        <w:t>(</w:t>
      </w:r>
      <w:r w:rsidR="00845958">
        <w:t xml:space="preserve">for example, </w:t>
      </w:r>
      <w:r w:rsidR="00C87E5D" w:rsidRPr="00C87E5D">
        <w:t>to control thermal runaway risks) and response</w:t>
      </w:r>
      <w:r w:rsidR="00757681">
        <w:noBreakHyphen/>
      </w:r>
      <w:r w:rsidR="00C87E5D" w:rsidRPr="00C87E5D">
        <w:t>related</w:t>
      </w:r>
      <w:r w:rsidR="00764279">
        <w:t xml:space="preserve"> standards</w:t>
      </w:r>
      <w:r w:rsidR="00C87E5D" w:rsidRPr="00C87E5D">
        <w:t xml:space="preserve"> (</w:t>
      </w:r>
      <w:r w:rsidR="00845958">
        <w:t xml:space="preserve">for example, related to </w:t>
      </w:r>
      <w:r w:rsidR="00C87E5D" w:rsidRPr="00C87E5D">
        <w:t>fire suppression, notifica</w:t>
      </w:r>
      <w:r w:rsidR="00764279">
        <w:t xml:space="preserve">tion, </w:t>
      </w:r>
      <w:r w:rsidR="00845958">
        <w:t xml:space="preserve">and </w:t>
      </w:r>
      <w:r w:rsidR="00764279">
        <w:t>fire responder processes).</w:t>
      </w:r>
      <w:r w:rsidR="00845958">
        <w:t xml:space="preserve">  </w:t>
      </w:r>
    </w:p>
    <w:p w14:paraId="0A561E5E" w14:textId="534E78C9" w:rsidR="00C87E5D" w:rsidRDefault="00764279" w:rsidP="00845958">
      <w:pPr>
        <w:pStyle w:val="ALJBodyText"/>
      </w:pPr>
      <w:r>
        <w:t xml:space="preserve">PG&amp;E and Cal Advocates </w:t>
      </w:r>
      <w:r w:rsidR="00845958">
        <w:t xml:space="preserve">identify two </w:t>
      </w:r>
      <w:r w:rsidR="00C87E5D" w:rsidRPr="00C87E5D">
        <w:t xml:space="preserve">risks </w:t>
      </w:r>
      <w:r w:rsidR="00C60BAF">
        <w:t>posed by</w:t>
      </w:r>
      <w:r w:rsidR="00845958">
        <w:t xml:space="preserve"> </w:t>
      </w:r>
      <w:r w:rsidR="00C87E5D" w:rsidRPr="00C87E5D">
        <w:t xml:space="preserve">any </w:t>
      </w:r>
      <w:r w:rsidR="0095008A">
        <w:t>backup</w:t>
      </w:r>
      <w:r w:rsidR="00C87E5D" w:rsidRPr="00C87E5D">
        <w:t xml:space="preserve"> generation resource</w:t>
      </w:r>
      <w:r w:rsidR="00845958">
        <w:t xml:space="preserve">: (1) </w:t>
      </w:r>
      <w:r>
        <w:t xml:space="preserve">electricity </w:t>
      </w:r>
      <w:r w:rsidR="00C87E5D" w:rsidRPr="00C87E5D">
        <w:t>backfeed</w:t>
      </w:r>
      <w:r>
        <w:t>ing</w:t>
      </w:r>
      <w:r w:rsidR="00C87E5D" w:rsidRPr="00C87E5D">
        <w:t xml:space="preserve"> into lines that were meant to be de</w:t>
      </w:r>
      <w:r w:rsidR="00757681">
        <w:noBreakHyphen/>
      </w:r>
      <w:r w:rsidR="004F28C6" w:rsidRPr="00C87E5D">
        <w:t>energized</w:t>
      </w:r>
      <w:r w:rsidR="00845958">
        <w:t xml:space="preserve">; and (2), if </w:t>
      </w:r>
      <w:r w:rsidR="00777AD9">
        <w:t>p</w:t>
      </w:r>
      <w:r w:rsidR="00C87E5D" w:rsidRPr="00C87E5D">
        <w:t>rivate overhead l</w:t>
      </w:r>
      <w:r>
        <w:t xml:space="preserve">ines </w:t>
      </w:r>
      <w:r w:rsidR="00770173">
        <w:t xml:space="preserve">were to </w:t>
      </w:r>
      <w:r w:rsidR="00845958">
        <w:t>remain energized while the surrounding distribution system is de</w:t>
      </w:r>
      <w:r w:rsidR="00757681">
        <w:noBreakHyphen/>
      </w:r>
      <w:r w:rsidR="00845958">
        <w:t xml:space="preserve">energized.  </w:t>
      </w:r>
      <w:r w:rsidR="00777AD9">
        <w:t xml:space="preserve">Cal Advocates and SDG&amp;E </w:t>
      </w:r>
      <w:r w:rsidR="00770173">
        <w:t>contend</w:t>
      </w:r>
      <w:r w:rsidR="00845958">
        <w:t xml:space="preserve"> that it is important for </w:t>
      </w:r>
      <w:r w:rsidR="00C87E5D" w:rsidRPr="00C87E5D">
        <w:t>utilities,</w:t>
      </w:r>
      <w:r>
        <w:t xml:space="preserve"> contractors, customers, and </w:t>
      </w:r>
      <w:r w:rsidR="00777AD9">
        <w:t>Commission</w:t>
      </w:r>
      <w:r w:rsidR="00C87E5D" w:rsidRPr="00C87E5D">
        <w:t xml:space="preserve"> </w:t>
      </w:r>
      <w:r>
        <w:t xml:space="preserve">staff </w:t>
      </w:r>
      <w:r w:rsidR="00C87E5D" w:rsidRPr="00C87E5D">
        <w:t xml:space="preserve">to </w:t>
      </w:r>
      <w:r w:rsidR="00845958">
        <w:t xml:space="preserve">collaborate to </w:t>
      </w:r>
      <w:r w:rsidR="00C87E5D" w:rsidRPr="00C87E5D">
        <w:t xml:space="preserve">ensure that installed </w:t>
      </w:r>
      <w:r w:rsidR="0095008A">
        <w:t>backup</w:t>
      </w:r>
      <w:r w:rsidR="00C87E5D" w:rsidRPr="00C87E5D">
        <w:t xml:space="preserve"> generation resources maintain the safety and reliability of the distribution system</w:t>
      </w:r>
      <w:r>
        <w:t>.  Sunrun states that it</w:t>
      </w:r>
      <w:r w:rsidR="00845958">
        <w:t xml:space="preserve">s </w:t>
      </w:r>
      <w:r>
        <w:t>safety prec</w:t>
      </w:r>
      <w:r w:rsidR="7F2CAD79">
        <w:t>au</w:t>
      </w:r>
      <w:r>
        <w:t>tions</w:t>
      </w:r>
      <w:r w:rsidR="00845958">
        <w:t xml:space="preserve"> include e</w:t>
      </w:r>
      <w:r>
        <w:t xml:space="preserve">nsuring its </w:t>
      </w:r>
      <w:r w:rsidR="00954992">
        <w:t xml:space="preserve">installation </w:t>
      </w:r>
      <w:r w:rsidR="00C87E5D" w:rsidRPr="00C87E5D">
        <w:t xml:space="preserve">workforce </w:t>
      </w:r>
      <w:r>
        <w:t xml:space="preserve">is </w:t>
      </w:r>
      <w:r w:rsidR="00954992">
        <w:t>highly trained</w:t>
      </w:r>
      <w:r w:rsidR="00C87E5D" w:rsidRPr="00C87E5D">
        <w:t xml:space="preserve"> and </w:t>
      </w:r>
      <w:r>
        <w:t>requiring</w:t>
      </w:r>
      <w:r w:rsidR="00954992">
        <w:t xml:space="preserve"> </w:t>
      </w:r>
      <w:r w:rsidR="00C87E5D" w:rsidRPr="00C87E5D">
        <w:t>on</w:t>
      </w:r>
      <w:r w:rsidR="00757681">
        <w:noBreakHyphen/>
      </w:r>
      <w:r w:rsidR="00C87E5D" w:rsidRPr="00C87E5D">
        <w:t>site testing to</w:t>
      </w:r>
      <w:r w:rsidR="00B50987">
        <w:t xml:space="preserve"> verify</w:t>
      </w:r>
      <w:r w:rsidR="00C87E5D" w:rsidRPr="00C87E5D">
        <w:t xml:space="preserve"> </w:t>
      </w:r>
      <w:r w:rsidR="00845958">
        <w:t xml:space="preserve">that storage systems are </w:t>
      </w:r>
      <w:r w:rsidRPr="00C87E5D">
        <w:t>proper</w:t>
      </w:r>
      <w:r w:rsidR="00845958">
        <w:t>ly</w:t>
      </w:r>
      <w:r w:rsidRPr="00C87E5D">
        <w:t xml:space="preserve"> install</w:t>
      </w:r>
      <w:r w:rsidR="00845958">
        <w:t>ed</w:t>
      </w:r>
      <w:r w:rsidRPr="00C87E5D">
        <w:t xml:space="preserve"> </w:t>
      </w:r>
      <w:r>
        <w:t xml:space="preserve">and </w:t>
      </w:r>
      <w:r w:rsidR="00845958">
        <w:t xml:space="preserve">function </w:t>
      </w:r>
      <w:r w:rsidR="00C87E5D" w:rsidRPr="00C87E5D">
        <w:t>safe</w:t>
      </w:r>
      <w:r w:rsidR="00845958">
        <w:t xml:space="preserve">ly.  </w:t>
      </w:r>
      <w:r>
        <w:t xml:space="preserve">Several parties mention </w:t>
      </w:r>
      <w:r w:rsidR="000A5089">
        <w:t xml:space="preserve">that they believed the </w:t>
      </w:r>
      <w:r w:rsidR="00C87E5D" w:rsidRPr="00C87E5D">
        <w:t xml:space="preserve">safety risks associated with mobile </w:t>
      </w:r>
      <w:r>
        <w:t xml:space="preserve">diesel backup </w:t>
      </w:r>
      <w:r w:rsidR="00C87E5D" w:rsidRPr="00C87E5D">
        <w:t xml:space="preserve">generation resources </w:t>
      </w:r>
      <w:r w:rsidR="00B50987">
        <w:t>are</w:t>
      </w:r>
      <w:r w:rsidR="000A5089">
        <w:t xml:space="preserve"> much greater than those associated with electrochemical or thermal energy storage systems</w:t>
      </w:r>
      <w:r w:rsidR="00BF3F3E">
        <w:t>, including the risks of carbon monoxide exposure and as an alternative source of ignition for wildfires.</w:t>
      </w:r>
    </w:p>
    <w:p w14:paraId="11E16271" w14:textId="10C0F7FE" w:rsidR="00BF3F3E" w:rsidRPr="00C87E5D" w:rsidRDefault="00BF3F3E" w:rsidP="00C151FC">
      <w:pPr>
        <w:pStyle w:val="ALJHeading2"/>
      </w:pPr>
      <w:bookmarkStart w:id="58" w:name="_Toc15908082"/>
      <w:r>
        <w:t>Discussion</w:t>
      </w:r>
      <w:bookmarkEnd w:id="58"/>
      <w:r>
        <w:t xml:space="preserve"> </w:t>
      </w:r>
    </w:p>
    <w:p w14:paraId="2C3A2872" w14:textId="3E7194D1" w:rsidR="00E84B0A" w:rsidRPr="00E84B0A" w:rsidRDefault="00E84B0A" w:rsidP="002E0DE7">
      <w:pPr>
        <w:pStyle w:val="ALJBodyText"/>
      </w:pPr>
      <w:r w:rsidRPr="00E84B0A">
        <w:t xml:space="preserve">Based on parties’ comments, we </w:t>
      </w:r>
      <w:r w:rsidR="001D4066">
        <w:t>conclude</w:t>
      </w:r>
      <w:r w:rsidRPr="00E84B0A">
        <w:t xml:space="preserve"> that </w:t>
      </w:r>
      <w:r w:rsidR="00DC62DD">
        <w:t xml:space="preserve">Rule 21 interconnection tariffs and the SGIP rules are adequate to address the safety risks posed by installing </w:t>
      </w:r>
      <w:r w:rsidRPr="00E84B0A">
        <w:t>energy storage systems</w:t>
      </w:r>
      <w:r w:rsidR="009927C7">
        <w:t>, including systems installed</w:t>
      </w:r>
      <w:r w:rsidR="00DC62DD">
        <w:t xml:space="preserve"> </w:t>
      </w:r>
      <w:r w:rsidR="001C564B">
        <w:t xml:space="preserve">for resiliency </w:t>
      </w:r>
      <w:r w:rsidR="00901E20">
        <w:t>purposes</w:t>
      </w:r>
      <w:r w:rsidRPr="00E84B0A">
        <w:t xml:space="preserve">. </w:t>
      </w:r>
      <w:r w:rsidR="00901E20">
        <w:t xml:space="preserve"> </w:t>
      </w:r>
      <w:r w:rsidR="00D261DA">
        <w:t>No parties suggest additional safety requirement</w:t>
      </w:r>
      <w:r w:rsidR="00E45C59">
        <w:t>s</w:t>
      </w:r>
      <w:r w:rsidR="00D261DA">
        <w:t xml:space="preserve"> for SGIP </w:t>
      </w:r>
      <w:r w:rsidR="00AC2B33">
        <w:t xml:space="preserve">storage </w:t>
      </w:r>
      <w:r w:rsidR="00D261DA">
        <w:t xml:space="preserve">systems beyond </w:t>
      </w:r>
      <w:r w:rsidR="00AC2B33">
        <w:t xml:space="preserve">the </w:t>
      </w:r>
      <w:r w:rsidR="00D261DA">
        <w:t xml:space="preserve">measures </w:t>
      </w:r>
      <w:r w:rsidR="00AC2B33">
        <w:t xml:space="preserve">already </w:t>
      </w:r>
      <w:r w:rsidR="00D261DA">
        <w:t>in place</w:t>
      </w:r>
      <w:r w:rsidR="00AC2B33">
        <w:t xml:space="preserve">.  As </w:t>
      </w:r>
      <w:r w:rsidR="00901E20">
        <w:t xml:space="preserve">several parties observe, </w:t>
      </w:r>
      <w:r w:rsidR="00AC2B33">
        <w:t xml:space="preserve">SGIP </w:t>
      </w:r>
      <w:r w:rsidR="00D261DA" w:rsidRPr="00057433">
        <w:t>eligible technologies</w:t>
      </w:r>
      <w:r w:rsidR="00D261DA">
        <w:t xml:space="preserve">, including storage, </w:t>
      </w:r>
      <w:r w:rsidR="00D261DA" w:rsidRPr="00057433">
        <w:t xml:space="preserve">must be certified for safety by a </w:t>
      </w:r>
      <w:r w:rsidR="00D261DA">
        <w:t>NRTL.</w:t>
      </w:r>
      <w:r w:rsidR="00D261DA" w:rsidRPr="0018536F">
        <w:t xml:space="preserve"> </w:t>
      </w:r>
      <w:r w:rsidR="00841A93">
        <w:t xml:space="preserve"> </w:t>
      </w:r>
      <w:r w:rsidRPr="00E84B0A">
        <w:t xml:space="preserve">SGIP systems must </w:t>
      </w:r>
      <w:r w:rsidR="00056F16">
        <w:t xml:space="preserve">also </w:t>
      </w:r>
      <w:r w:rsidR="00172383">
        <w:t xml:space="preserve">comply </w:t>
      </w:r>
      <w:r w:rsidRPr="00E84B0A">
        <w:t xml:space="preserve">with </w:t>
      </w:r>
      <w:r w:rsidR="006972B5">
        <w:t>Rule</w:t>
      </w:r>
      <w:r w:rsidRPr="00E84B0A">
        <w:t xml:space="preserve"> 21 interconnection and operating </w:t>
      </w:r>
      <w:r w:rsidRPr="00E84B0A">
        <w:lastRenderedPageBreak/>
        <w:t>requirements</w:t>
      </w:r>
      <w:r w:rsidR="00172383">
        <w:t xml:space="preserve">, </w:t>
      </w:r>
      <w:r w:rsidR="00AC2B33">
        <w:t xml:space="preserve">as discussed above, which </w:t>
      </w:r>
      <w:r w:rsidRPr="00E84B0A">
        <w:t xml:space="preserve">ensure that the SGIP system is able to connect safely with the distribution system. </w:t>
      </w:r>
      <w:r w:rsidR="00172383">
        <w:t xml:space="preserve"> </w:t>
      </w:r>
      <w:r w:rsidRPr="00E84B0A">
        <w:t xml:space="preserve">Compliance with Rule 21 </w:t>
      </w:r>
      <w:r w:rsidR="002D4FBA">
        <w:t xml:space="preserve">ensures </w:t>
      </w:r>
      <w:r w:rsidR="00580B1C">
        <w:t>that</w:t>
      </w:r>
      <w:r w:rsidRPr="00E84B0A">
        <w:t xml:space="preserve"> backfeed into distribution lines that </w:t>
      </w:r>
      <w:r w:rsidR="00D14CB5">
        <w:t>are</w:t>
      </w:r>
      <w:r w:rsidR="00D14CB5" w:rsidRPr="00E84B0A">
        <w:t xml:space="preserve"> </w:t>
      </w:r>
      <w:r w:rsidRPr="00E84B0A">
        <w:t>meant to be de</w:t>
      </w:r>
      <w:r w:rsidR="00757681">
        <w:noBreakHyphen/>
      </w:r>
      <w:r w:rsidRPr="00E84B0A">
        <w:t>energized</w:t>
      </w:r>
      <w:r w:rsidR="00580B1C">
        <w:t xml:space="preserve"> is prevented</w:t>
      </w:r>
      <w:r w:rsidRPr="00E84B0A">
        <w:t xml:space="preserve">. </w:t>
      </w:r>
    </w:p>
    <w:p w14:paraId="4E2E5CCE" w14:textId="527B3238" w:rsidR="00E84B0A" w:rsidRPr="00E84B0A" w:rsidRDefault="00172383" w:rsidP="00725AB6">
      <w:pPr>
        <w:pStyle w:val="ALJBodyText"/>
      </w:pPr>
      <w:r>
        <w:t>L</w:t>
      </w:r>
      <w:r w:rsidR="00AC2B33">
        <w:t xml:space="preserve">ocal, state and federal codes </w:t>
      </w:r>
      <w:r>
        <w:t xml:space="preserve">require additional </w:t>
      </w:r>
      <w:r w:rsidR="00901E20">
        <w:t xml:space="preserve">measures </w:t>
      </w:r>
      <w:r>
        <w:t xml:space="preserve">to </w:t>
      </w:r>
      <w:r w:rsidR="00901E20">
        <w:t xml:space="preserve">ensure that </w:t>
      </w:r>
      <w:r w:rsidR="00E84B0A" w:rsidRPr="00E84B0A">
        <w:t>energy storage systems</w:t>
      </w:r>
      <w:r w:rsidR="00901E20">
        <w:t xml:space="preserve"> are safely installed and operated.  </w:t>
      </w:r>
      <w:r w:rsidR="00E84B0A" w:rsidRPr="00E84B0A">
        <w:t xml:space="preserve">As </w:t>
      </w:r>
      <w:r w:rsidR="00901E20">
        <w:t xml:space="preserve">noted by </w:t>
      </w:r>
      <w:r w:rsidR="00E84B0A" w:rsidRPr="00E84B0A">
        <w:t>CESA,</w:t>
      </w:r>
      <w:r>
        <w:t xml:space="preserve"> </w:t>
      </w:r>
      <w:r w:rsidR="00E84B0A" w:rsidRPr="00E84B0A">
        <w:t xml:space="preserve">energy storage system </w:t>
      </w:r>
      <w:r w:rsidR="00901E20" w:rsidRPr="00E84B0A">
        <w:t xml:space="preserve">installation practices </w:t>
      </w:r>
      <w:r w:rsidR="00901E20">
        <w:t xml:space="preserve">must </w:t>
      </w:r>
      <w:r w:rsidR="00E84B0A" w:rsidRPr="00E84B0A">
        <w:t xml:space="preserve">comply with applicable AHJ code or permitting requirements </w:t>
      </w:r>
      <w:r w:rsidR="00901E20">
        <w:t xml:space="preserve">and </w:t>
      </w:r>
      <w:r w:rsidR="004C5ADD">
        <w:t xml:space="preserve">the </w:t>
      </w:r>
      <w:r w:rsidR="00E84B0A" w:rsidRPr="00E84B0A">
        <w:t>National Electrical Code</w:t>
      </w:r>
      <w:r w:rsidR="004C5ADD">
        <w:t>, which is implemented through the California Electrical Code</w:t>
      </w:r>
      <w:r w:rsidR="00E84B0A" w:rsidRPr="00E84B0A">
        <w:t>.</w:t>
      </w:r>
      <w:r w:rsidR="00903EC2">
        <w:rPr>
          <w:rStyle w:val="FootnoteReference"/>
        </w:rPr>
        <w:footnoteReference w:id="61"/>
      </w:r>
      <w:r w:rsidR="00E84B0A" w:rsidRPr="00E84B0A">
        <w:t xml:space="preserve"> </w:t>
      </w:r>
      <w:r w:rsidR="00901E20">
        <w:t xml:space="preserve"> Installation practices f</w:t>
      </w:r>
      <w:r w:rsidR="00E84B0A" w:rsidRPr="00E84B0A">
        <w:t>or storage systems larger than 20 kWh</w:t>
      </w:r>
      <w:r w:rsidR="00901E20">
        <w:t xml:space="preserve"> </w:t>
      </w:r>
      <w:r w:rsidR="00602CC8">
        <w:t xml:space="preserve">must </w:t>
      </w:r>
      <w:r w:rsidR="00E84B0A" w:rsidRPr="00E84B0A">
        <w:t xml:space="preserve">comply with California Fire Code </w:t>
      </w:r>
      <w:r w:rsidR="00901E20">
        <w:t>S</w:t>
      </w:r>
      <w:r w:rsidR="00E84B0A" w:rsidRPr="00E84B0A">
        <w:t>ection 608 on installation of Stationary Storage Battery Systems.</w:t>
      </w:r>
      <w:r w:rsidR="00901E20">
        <w:rPr>
          <w:rStyle w:val="FootnoteReference"/>
        </w:rPr>
        <w:footnoteReference w:id="62"/>
      </w:r>
      <w:r w:rsidR="00E84B0A" w:rsidRPr="00E84B0A">
        <w:t xml:space="preserve"> </w:t>
      </w:r>
      <w:r w:rsidR="00901E20">
        <w:t xml:space="preserve"> </w:t>
      </w:r>
      <w:r w:rsidR="007C4C26" w:rsidRPr="007C4C26">
        <w:t>There are requirements for marking and labeling storage systems that are intended to alert first</w:t>
      </w:r>
      <w:r w:rsidR="00757681">
        <w:noBreakHyphen/>
      </w:r>
      <w:r w:rsidR="007C4C26" w:rsidRPr="007C4C26">
        <w:t>responders to the presence of a storage system in the event of an emergency.</w:t>
      </w:r>
      <w:r w:rsidR="007C4C26">
        <w:rPr>
          <w:rStyle w:val="FootnoteReference"/>
        </w:rPr>
        <w:footnoteReference w:id="63"/>
      </w:r>
      <w:r w:rsidR="007C4C26">
        <w:t xml:space="preserve">  </w:t>
      </w:r>
      <w:r w:rsidR="00056F16">
        <w:t>The Commission also provides a list of codes, standards, and safety best practices for installation of energy storage.</w:t>
      </w:r>
      <w:r w:rsidR="00901E20">
        <w:rPr>
          <w:rStyle w:val="FootnoteReference"/>
        </w:rPr>
        <w:footnoteReference w:id="64"/>
      </w:r>
      <w:r w:rsidR="00602CC8">
        <w:t xml:space="preserve">  </w:t>
      </w:r>
      <w:r>
        <w:t>These i</w:t>
      </w:r>
      <w:r w:rsidR="00E84B0A" w:rsidRPr="00E84B0A">
        <w:t xml:space="preserve">nstallation </w:t>
      </w:r>
      <w:r>
        <w:t xml:space="preserve">and safety requirements are designed </w:t>
      </w:r>
      <w:r w:rsidR="00E84B0A" w:rsidRPr="00E84B0A">
        <w:t xml:space="preserve">ensure the safety of </w:t>
      </w:r>
      <w:r>
        <w:t>a</w:t>
      </w:r>
      <w:r w:rsidR="00E84B0A" w:rsidRPr="00E84B0A">
        <w:t xml:space="preserve"> storage system in relation to its environment </w:t>
      </w:r>
      <w:r>
        <w:t xml:space="preserve">and to </w:t>
      </w:r>
      <w:r w:rsidR="00901E20">
        <w:t xml:space="preserve">minimize the risk of </w:t>
      </w:r>
      <w:r w:rsidR="005A4690">
        <w:t>backfeed onto de</w:t>
      </w:r>
      <w:r w:rsidR="00757681">
        <w:noBreakHyphen/>
      </w:r>
      <w:r w:rsidR="00E84B0A" w:rsidRPr="00E84B0A">
        <w:t xml:space="preserve">energized lines. </w:t>
      </w:r>
    </w:p>
    <w:p w14:paraId="10C35ED2" w14:textId="70200A27" w:rsidR="00BD21A9" w:rsidRDefault="00036316" w:rsidP="00856B3F">
      <w:pPr>
        <w:pStyle w:val="ALJBodyText"/>
      </w:pPr>
      <w:r>
        <w:lastRenderedPageBreak/>
        <w:t>Given the safety compliance measures for SGIP and storage systems in place, there is no evidence at this time that additional safety protocols</w:t>
      </w:r>
      <w:r w:rsidRPr="00BD21A9">
        <w:t xml:space="preserve"> </w:t>
      </w:r>
      <w:r>
        <w:t xml:space="preserve">are needed for SGIP systems using storage for resiliency purposes. </w:t>
      </w:r>
    </w:p>
    <w:p w14:paraId="1DC1C09A" w14:textId="6BFB5962" w:rsidR="00176A79" w:rsidRDefault="00176A79" w:rsidP="00CE14ED">
      <w:pPr>
        <w:pStyle w:val="ALJHeading1"/>
      </w:pPr>
      <w:bookmarkStart w:id="59" w:name="_Toc15908083"/>
      <w:bookmarkEnd w:id="53"/>
      <w:r>
        <w:t>Technical Barriers</w:t>
      </w:r>
      <w:r w:rsidR="005C12AC">
        <w:t xml:space="preserve"> to Participation</w:t>
      </w:r>
      <w:bookmarkEnd w:id="59"/>
    </w:p>
    <w:p w14:paraId="60ECDAF3" w14:textId="55766A78" w:rsidR="0020404C" w:rsidRPr="0020404C" w:rsidRDefault="00764279" w:rsidP="00705625">
      <w:pPr>
        <w:pStyle w:val="ALJBodyText"/>
      </w:pPr>
      <w:r>
        <w:t>Parties identify</w:t>
      </w:r>
      <w:r w:rsidR="0020404C">
        <w:t xml:space="preserve"> several types</w:t>
      </w:r>
      <w:r>
        <w:t xml:space="preserve"> of technical barriers that inhibit equity budget subscriptions</w:t>
      </w:r>
      <w:r w:rsidR="00770173">
        <w:t>.  This section discusses these issues and adopts several new requirem</w:t>
      </w:r>
      <w:r w:rsidR="0024359D">
        <w:t xml:space="preserve">ents.  It </w:t>
      </w:r>
      <w:r w:rsidR="002B6270" w:rsidRPr="002B6270">
        <w:t>direct</w:t>
      </w:r>
      <w:r w:rsidR="0024359D">
        <w:t>s</w:t>
      </w:r>
      <w:r w:rsidR="002B6270" w:rsidRPr="002B6270">
        <w:t xml:space="preserve"> the SGIP PAs to modify SGIP eligibility requirements section to include systems that interconnect to the local electric utility’s distribution system </w:t>
      </w:r>
      <w:r w:rsidR="00BE57FD">
        <w:t xml:space="preserve">as part of participating in </w:t>
      </w:r>
      <w:r w:rsidR="002B6270" w:rsidRPr="002B6270">
        <w:t>th</w:t>
      </w:r>
      <w:r w:rsidR="00DE4C36">
        <w:t xml:space="preserve">e </w:t>
      </w:r>
      <w:r w:rsidR="00BE57FD">
        <w:t xml:space="preserve">VNEM </w:t>
      </w:r>
      <w:r w:rsidR="002B6270" w:rsidRPr="002B6270">
        <w:t>tariff</w:t>
      </w:r>
      <w:r w:rsidR="00BE57FD">
        <w:t xml:space="preserve"> and to include properties enrolled in a VNEM tariff in the definition of “host customer</w:t>
      </w:r>
      <w:r w:rsidR="002B6270">
        <w:t>.</w:t>
      </w:r>
      <w:r w:rsidR="00BE57FD">
        <w:t>”</w:t>
      </w:r>
      <w:r w:rsidR="002B6270">
        <w:t xml:space="preserve">  </w:t>
      </w:r>
      <w:r w:rsidR="0024359D">
        <w:t xml:space="preserve">It </w:t>
      </w:r>
      <w:r w:rsidR="00770173">
        <w:t>require</w:t>
      </w:r>
      <w:r w:rsidR="00754CCC">
        <w:t>s</w:t>
      </w:r>
      <w:r w:rsidR="00D32F0A">
        <w:t xml:space="preserve"> </w:t>
      </w:r>
      <w:r w:rsidR="00017A5F">
        <w:t xml:space="preserve">SGIP </w:t>
      </w:r>
      <w:r w:rsidR="00D32F0A">
        <w:t xml:space="preserve">PAs to update </w:t>
      </w:r>
      <w:r w:rsidR="00017A5F">
        <w:t>system</w:t>
      </w:r>
      <w:r w:rsidR="00757681">
        <w:noBreakHyphen/>
      </w:r>
      <w:r w:rsidR="00017A5F">
        <w:t xml:space="preserve">sizing requirements for multifamily housing to </w:t>
      </w:r>
      <w:r w:rsidR="00D32F0A">
        <w:t>improve</w:t>
      </w:r>
      <w:r w:rsidR="002B6270">
        <w:t xml:space="preserve"> procedures for accessing and using a multifamily </w:t>
      </w:r>
      <w:r w:rsidR="00017A5F">
        <w:t>property’s historical electrical usage</w:t>
      </w:r>
      <w:r w:rsidR="002B6270">
        <w:t xml:space="preserve"> to size SGIP systems</w:t>
      </w:r>
      <w:r w:rsidR="00017A5F">
        <w:t>.</w:t>
      </w:r>
      <w:r w:rsidR="0024359D">
        <w:t xml:space="preserve">  This section </w:t>
      </w:r>
      <w:r w:rsidR="00D32F0A">
        <w:t>also modifies current SGIP handbook requirements that reduce SGIP incentives for equity budget projects that receive other IOU or non</w:t>
      </w:r>
      <w:r w:rsidR="00757681">
        <w:noBreakHyphen/>
      </w:r>
      <w:r w:rsidR="00D32F0A">
        <w:t xml:space="preserve">IOU incentives or financing. </w:t>
      </w:r>
    </w:p>
    <w:p w14:paraId="697614A1" w14:textId="78129F07" w:rsidR="00B7524A" w:rsidRPr="00B7524A" w:rsidRDefault="00B7524A" w:rsidP="00C151FC">
      <w:pPr>
        <w:pStyle w:val="ALJHeading2"/>
      </w:pPr>
      <w:bookmarkStart w:id="60" w:name="_Toc15908084"/>
      <w:r>
        <w:t>Party Comments</w:t>
      </w:r>
      <w:bookmarkEnd w:id="60"/>
      <w:r>
        <w:t xml:space="preserve"> </w:t>
      </w:r>
    </w:p>
    <w:p w14:paraId="393ED719" w14:textId="3ADF6957" w:rsidR="00E15B26" w:rsidRDefault="00457BF1" w:rsidP="00DE53B6">
      <w:pPr>
        <w:tabs>
          <w:tab w:val="left" w:pos="1477"/>
        </w:tabs>
        <w:spacing w:line="360" w:lineRule="auto"/>
        <w:ind w:firstLine="720"/>
      </w:pPr>
      <w:r>
        <w:t xml:space="preserve">Several parties including </w:t>
      </w:r>
      <w:r w:rsidR="00764279">
        <w:t>CALSSA, CESA, GRID/</w:t>
      </w:r>
      <w:r w:rsidR="00C54DFC">
        <w:t>CHPC</w:t>
      </w:r>
      <w:r w:rsidR="00764279">
        <w:t xml:space="preserve"> and SCE </w:t>
      </w:r>
      <w:r>
        <w:t xml:space="preserve">suggest </w:t>
      </w:r>
      <w:r w:rsidR="00764279">
        <w:t xml:space="preserve">that the Commission modify </w:t>
      </w:r>
      <w:r w:rsidR="00672BF9">
        <w:t>SGIP requiremen</w:t>
      </w:r>
      <w:r w:rsidR="00764279">
        <w:t>ts to allow customers enrolled i</w:t>
      </w:r>
      <w:r w:rsidR="00672BF9">
        <w:t xml:space="preserve">n a </w:t>
      </w:r>
      <w:r w:rsidR="00764279">
        <w:t>VNEM</w:t>
      </w:r>
      <w:r w:rsidR="00672BF9">
        <w:t xml:space="preserve"> tariff to participate in </w:t>
      </w:r>
      <w:r w:rsidR="0071302D">
        <w:t xml:space="preserve">the </w:t>
      </w:r>
      <w:r w:rsidR="00672BF9">
        <w:t>SGIP</w:t>
      </w:r>
      <w:r w:rsidR="0071302D">
        <w:t xml:space="preserve"> equity budget</w:t>
      </w:r>
      <w:r w:rsidR="00672BF9">
        <w:t>.</w:t>
      </w:r>
      <w:r w:rsidR="00705625">
        <w:rPr>
          <w:rStyle w:val="FootnoteReference"/>
        </w:rPr>
        <w:footnoteReference w:id="65"/>
      </w:r>
      <w:r w:rsidR="00672BF9">
        <w:t xml:space="preserve">  </w:t>
      </w:r>
      <w:r w:rsidR="00E920C6">
        <w:t xml:space="preserve"> </w:t>
      </w:r>
      <w:r w:rsidR="00E15B26">
        <w:t xml:space="preserve">These parties </w:t>
      </w:r>
      <w:r w:rsidR="00E920C6">
        <w:t>state that SGIP rules</w:t>
      </w:r>
      <w:r w:rsidR="008E3AC4">
        <w:t xml:space="preserve"> currently</w:t>
      </w:r>
      <w:r w:rsidR="008E3AC4" w:rsidRPr="008E3AC4">
        <w:t xml:space="preserve"> pre</w:t>
      </w:r>
      <w:r w:rsidR="008E3AC4">
        <w:t xml:space="preserve">clude </w:t>
      </w:r>
      <w:r w:rsidR="0071302D">
        <w:t xml:space="preserve">the participation of </w:t>
      </w:r>
      <w:r w:rsidR="008E3AC4" w:rsidRPr="008E3AC4">
        <w:t>VNEM</w:t>
      </w:r>
      <w:r w:rsidR="008E3AC4">
        <w:t xml:space="preserve"> </w:t>
      </w:r>
      <w:r w:rsidR="0071302D">
        <w:t xml:space="preserve">customers </w:t>
      </w:r>
      <w:r w:rsidR="008E3AC4">
        <w:t xml:space="preserve">because they </w:t>
      </w:r>
      <w:r w:rsidR="008E3AC4" w:rsidRPr="008E3AC4">
        <w:t>requir</w:t>
      </w:r>
      <w:r w:rsidR="008E3AC4">
        <w:t xml:space="preserve">e </w:t>
      </w:r>
      <w:r w:rsidR="0053386D">
        <w:t>subsidized</w:t>
      </w:r>
      <w:r w:rsidR="008E3AC4" w:rsidRPr="008E3AC4">
        <w:t xml:space="preserve"> systems to be installed </w:t>
      </w:r>
      <w:r w:rsidR="00705625">
        <w:t>“</w:t>
      </w:r>
      <w:r w:rsidR="008E3AC4" w:rsidRPr="008E3AC4">
        <w:t xml:space="preserve">on the </w:t>
      </w:r>
      <w:r w:rsidR="00705625">
        <w:t>h</w:t>
      </w:r>
      <w:r w:rsidR="00242E0A">
        <w:t xml:space="preserve">ost </w:t>
      </w:r>
      <w:r w:rsidR="00705625">
        <w:t>c</w:t>
      </w:r>
      <w:r w:rsidR="00242E0A">
        <w:t>ustomer’s</w:t>
      </w:r>
      <w:r w:rsidR="008E3AC4" w:rsidRPr="008E3AC4">
        <w:t xml:space="preserve"> side of the </w:t>
      </w:r>
      <w:r w:rsidR="008E3AC4" w:rsidRPr="008E3AC4">
        <w:lastRenderedPageBreak/>
        <w:t>electric utility meter</w:t>
      </w:r>
      <w:r w:rsidR="0053386D">
        <w:t>.</w:t>
      </w:r>
      <w:r w:rsidR="00242E0A">
        <w:t>”</w:t>
      </w:r>
      <w:r w:rsidR="0071302D">
        <w:rPr>
          <w:rStyle w:val="FootnoteReference"/>
        </w:rPr>
        <w:footnoteReference w:id="66"/>
      </w:r>
      <w:r w:rsidR="00E013E9">
        <w:t xml:space="preserve">  </w:t>
      </w:r>
      <w:r w:rsidR="0095184F">
        <w:t>According to</w:t>
      </w:r>
      <w:r w:rsidR="00E15B26">
        <w:t xml:space="preserve"> these parties</w:t>
      </w:r>
      <w:r w:rsidR="0095184F">
        <w:t>, t</w:t>
      </w:r>
      <w:r w:rsidR="00E013E9">
        <w:t xml:space="preserve">his </w:t>
      </w:r>
      <w:r w:rsidR="00A9630F">
        <w:t xml:space="preserve">requirement </w:t>
      </w:r>
      <w:r w:rsidR="00E013E9">
        <w:t xml:space="preserve">has the </w:t>
      </w:r>
      <w:r w:rsidR="008E3AC4" w:rsidRPr="008E3AC4">
        <w:t>unintended result</w:t>
      </w:r>
      <w:r w:rsidR="00E013E9">
        <w:t xml:space="preserve"> of disallowing VNEM customers</w:t>
      </w:r>
      <w:r w:rsidR="00C94B6F">
        <w:t xml:space="preserve"> from participating in SGIP</w:t>
      </w:r>
      <w:r w:rsidR="008E3AC4" w:rsidRPr="008E3AC4">
        <w:t xml:space="preserve"> because </w:t>
      </w:r>
      <w:r w:rsidR="005C28C8">
        <w:t xml:space="preserve">utility practice implementing </w:t>
      </w:r>
      <w:r w:rsidR="008E3AC4" w:rsidRPr="008E3AC4">
        <w:t>VNEM</w:t>
      </w:r>
      <w:r w:rsidR="005C28C8">
        <w:t xml:space="preserve"> requirements is to generally</w:t>
      </w:r>
      <w:r w:rsidR="008E3AC4" w:rsidRPr="008E3AC4">
        <w:t xml:space="preserve"> require </w:t>
      </w:r>
      <w:r w:rsidR="00E013E9">
        <w:t xml:space="preserve">participating solar generation </w:t>
      </w:r>
      <w:r w:rsidR="008E3AC4" w:rsidRPr="008E3AC4">
        <w:t xml:space="preserve">systems to be installed at </w:t>
      </w:r>
      <w:r w:rsidR="00E013E9">
        <w:t xml:space="preserve">a </w:t>
      </w:r>
      <w:r w:rsidR="0071302D">
        <w:t>“</w:t>
      </w:r>
      <w:r w:rsidR="008E3AC4" w:rsidRPr="008E3AC4">
        <w:t>dedicated point of interconnection on the utility side of the meter.</w:t>
      </w:r>
      <w:r w:rsidR="0071302D">
        <w:t>”</w:t>
      </w:r>
      <w:r w:rsidR="0071302D">
        <w:rPr>
          <w:rStyle w:val="FootnoteReference"/>
        </w:rPr>
        <w:footnoteReference w:id="67"/>
      </w:r>
      <w:r w:rsidR="00E013E9">
        <w:t xml:space="preserve"> </w:t>
      </w:r>
      <w:r w:rsidR="0071302D">
        <w:t xml:space="preserve"> </w:t>
      </w:r>
      <w:r w:rsidR="00E013E9">
        <w:t xml:space="preserve">These parties recommend that the Commission modify the SGIP definition of </w:t>
      </w:r>
      <w:r w:rsidR="008E3AC4" w:rsidRPr="008E3AC4">
        <w:t>“</w:t>
      </w:r>
      <w:r w:rsidR="002B6270">
        <w:t>h</w:t>
      </w:r>
      <w:r w:rsidR="008E3AC4" w:rsidRPr="008E3AC4">
        <w:t xml:space="preserve">ost </w:t>
      </w:r>
      <w:r w:rsidR="002B6270">
        <w:t>c</w:t>
      </w:r>
      <w:r w:rsidR="008E3AC4" w:rsidRPr="008E3AC4">
        <w:t>ustomer” to include VNEM properties</w:t>
      </w:r>
      <w:r w:rsidR="00242E0A">
        <w:t xml:space="preserve">.  </w:t>
      </w:r>
    </w:p>
    <w:p w14:paraId="11AEC1EC" w14:textId="2D6AC4C0" w:rsidR="00E15B26" w:rsidRDefault="00242E0A" w:rsidP="00E15B26">
      <w:pPr>
        <w:pStyle w:val="ALJBodyText"/>
      </w:pPr>
      <w:r>
        <w:t>CALSSA</w:t>
      </w:r>
      <w:r w:rsidR="00705625">
        <w:t xml:space="preserve"> further</w:t>
      </w:r>
      <w:r w:rsidR="00764279">
        <w:t xml:space="preserve"> recommends that the Commission modify current SGIP requirements</w:t>
      </w:r>
      <w:r w:rsidR="00520261">
        <w:t xml:space="preserve"> for estimating a storage system’s size </w:t>
      </w:r>
      <w:r w:rsidR="00705625">
        <w:t xml:space="preserve">when a project is applying for SGIP incentives </w:t>
      </w:r>
      <w:r w:rsidR="00C94B6F">
        <w:t>for multifamily housing</w:t>
      </w:r>
      <w:r w:rsidR="00764279">
        <w:t xml:space="preserve">.  CALSSA </w:t>
      </w:r>
      <w:r>
        <w:t xml:space="preserve">states that </w:t>
      </w:r>
      <w:r w:rsidR="00705625">
        <w:t xml:space="preserve">the </w:t>
      </w:r>
      <w:r w:rsidR="0020404C">
        <w:t>SGIP</w:t>
      </w:r>
      <w:r w:rsidR="00520261">
        <w:t>’s current storage</w:t>
      </w:r>
      <w:r w:rsidR="0020404C">
        <w:t xml:space="preserve"> </w:t>
      </w:r>
      <w:r w:rsidR="00520261">
        <w:t xml:space="preserve">sizing requirements inhibit the participation of </w:t>
      </w:r>
      <w:r>
        <w:t>customer location</w:t>
      </w:r>
      <w:r w:rsidR="00520261">
        <w:t xml:space="preserve">s with </w:t>
      </w:r>
      <w:r>
        <w:t>man</w:t>
      </w:r>
      <w:r w:rsidR="0020404C">
        <w:t>y</w:t>
      </w:r>
      <w:r>
        <w:t xml:space="preserve"> participating accounts</w:t>
      </w:r>
      <w:r w:rsidR="00520261">
        <w:t xml:space="preserve">, such as multifamily </w:t>
      </w:r>
      <w:r w:rsidR="00C94B6F">
        <w:t>housing</w:t>
      </w:r>
      <w:r w:rsidR="00520261">
        <w:t>,</w:t>
      </w:r>
      <w:r>
        <w:t xml:space="preserve"> because </w:t>
      </w:r>
      <w:r w:rsidR="00520261">
        <w:t xml:space="preserve">it is impractical for developers to obtain </w:t>
      </w:r>
      <w:r>
        <w:t xml:space="preserve">historical usage data for </w:t>
      </w:r>
      <w:r w:rsidRPr="00D47B32">
        <w:t xml:space="preserve">each </w:t>
      </w:r>
      <w:r w:rsidR="00A9630F" w:rsidRPr="00D47B32">
        <w:t>customer in a multifamily housing unit</w:t>
      </w:r>
      <w:r w:rsidR="00D47B32" w:rsidRPr="00856B3F">
        <w:t>.</w:t>
      </w:r>
      <w:r w:rsidRPr="00D47B32">
        <w:t xml:space="preserve">  CALSSA</w:t>
      </w:r>
      <w:r w:rsidR="00E373DA" w:rsidRPr="00D47B32">
        <w:t xml:space="preserve"> recommend</w:t>
      </w:r>
      <w:r w:rsidRPr="00D47B32">
        <w:t>s</w:t>
      </w:r>
      <w:r w:rsidR="00520261" w:rsidRPr="00D47B32">
        <w:t xml:space="preserve"> that the Commission</w:t>
      </w:r>
      <w:r w:rsidR="00520261">
        <w:t xml:space="preserve"> modify SGIP system sizing requirements </w:t>
      </w:r>
      <w:r w:rsidR="00A9630F">
        <w:t xml:space="preserve">and base them </w:t>
      </w:r>
      <w:r w:rsidR="00520261">
        <w:t xml:space="preserve">on </w:t>
      </w:r>
      <w:r w:rsidR="007B19AF">
        <w:t xml:space="preserve">the </w:t>
      </w:r>
      <w:r w:rsidR="008E3AC4" w:rsidRPr="008E3AC4">
        <w:t xml:space="preserve">number and size of </w:t>
      </w:r>
      <w:r w:rsidR="00520261">
        <w:t xml:space="preserve">the dwellings that </w:t>
      </w:r>
      <w:r w:rsidR="00D82958">
        <w:t>the system will serve</w:t>
      </w:r>
      <w:r w:rsidR="00E373DA">
        <w:t xml:space="preserve"> </w:t>
      </w:r>
      <w:r w:rsidR="00520261">
        <w:t>as long as these are</w:t>
      </w:r>
      <w:r w:rsidR="00D82958">
        <w:t xml:space="preserve"> </w:t>
      </w:r>
      <w:r w:rsidR="00520261">
        <w:t xml:space="preserve">all </w:t>
      </w:r>
      <w:r w:rsidR="00D82958">
        <w:t>on the same VNEM</w:t>
      </w:r>
      <w:r w:rsidR="00520261">
        <w:t xml:space="preserve"> tariff</w:t>
      </w:r>
      <w:r w:rsidR="00A9630F">
        <w:t xml:space="preserve">.  CALSSA notes that </w:t>
      </w:r>
      <w:r w:rsidR="00520261">
        <w:t xml:space="preserve">the Commission </w:t>
      </w:r>
      <w:r w:rsidR="00A9630F">
        <w:t xml:space="preserve">made this change </w:t>
      </w:r>
      <w:r w:rsidR="008E3AC4" w:rsidRPr="008E3AC4">
        <w:t>for the</w:t>
      </w:r>
      <w:r w:rsidR="002B6270">
        <w:t xml:space="preserve"> </w:t>
      </w:r>
      <w:r w:rsidR="008E3AC4" w:rsidRPr="008E3AC4">
        <w:t>MASH program</w:t>
      </w:r>
      <w:r w:rsidR="00A9630F">
        <w:t xml:space="preserve"> and that it is equally appropriate here</w:t>
      </w:r>
      <w:r w:rsidR="00D82958">
        <w:t>.</w:t>
      </w:r>
      <w:r w:rsidR="00D32F0A">
        <w:rPr>
          <w:rStyle w:val="FootnoteReference"/>
        </w:rPr>
        <w:footnoteReference w:id="68"/>
      </w:r>
      <w:r w:rsidR="0009682B">
        <w:t xml:space="preserve"> </w:t>
      </w:r>
      <w:r w:rsidR="002B6270">
        <w:t xml:space="preserve"> </w:t>
      </w:r>
    </w:p>
    <w:p w14:paraId="50D5031B" w14:textId="52847FD0" w:rsidR="00E15B26" w:rsidRDefault="00A9630F" w:rsidP="00E15B26">
      <w:pPr>
        <w:pStyle w:val="ALJBodyText"/>
      </w:pPr>
      <w:r>
        <w:t>GRID/CHPC suggest that the Commission eliminate program restrictions that disallow a customer from combining SGIP incentives with incentives from other programs</w:t>
      </w:r>
      <w:r w:rsidR="00D32F0A">
        <w:t xml:space="preserve"> for equity budget projects</w:t>
      </w:r>
      <w:r>
        <w:t xml:space="preserve">.  </w:t>
      </w:r>
      <w:r w:rsidR="00520261">
        <w:t>GRID/</w:t>
      </w:r>
      <w:r w:rsidR="00C54DFC">
        <w:t>CHPC</w:t>
      </w:r>
      <w:r w:rsidR="00520261">
        <w:t xml:space="preserve"> </w:t>
      </w:r>
      <w:r w:rsidR="004F7819">
        <w:t xml:space="preserve">observe that </w:t>
      </w:r>
      <w:r w:rsidR="00C94B6F">
        <w:t xml:space="preserve">under </w:t>
      </w:r>
      <w:r w:rsidR="00C94B6F">
        <w:lastRenderedPageBreak/>
        <w:t xml:space="preserve">existing </w:t>
      </w:r>
      <w:r w:rsidR="004F7819">
        <w:t>SGIP requirements</w:t>
      </w:r>
      <w:r w:rsidR="00C94B6F">
        <w:t>, customers who receive a</w:t>
      </w:r>
      <w:r w:rsidR="00D32F0A">
        <w:t xml:space="preserve"> non</w:t>
      </w:r>
      <w:r w:rsidR="00757681">
        <w:noBreakHyphen/>
      </w:r>
      <w:r w:rsidR="00D32F0A">
        <w:t>SGIP</w:t>
      </w:r>
      <w:r w:rsidR="00C94B6F">
        <w:t xml:space="preserve"> incentive funded </w:t>
      </w:r>
      <w:r w:rsidR="000C546E">
        <w:t xml:space="preserve">100 percent </w:t>
      </w:r>
      <w:r w:rsidR="00C94B6F">
        <w:t xml:space="preserve">by </w:t>
      </w:r>
      <w:r w:rsidR="00F70DFB">
        <w:t>IOU</w:t>
      </w:r>
      <w:r w:rsidR="00C94B6F">
        <w:t xml:space="preserve"> ratepayers</w:t>
      </w:r>
      <w:r w:rsidR="00F70DFB">
        <w:t xml:space="preserve"> </w:t>
      </w:r>
      <w:r w:rsidR="00D32F0A">
        <w:t xml:space="preserve">must </w:t>
      </w:r>
      <w:r>
        <w:t>have</w:t>
      </w:r>
      <w:r w:rsidR="00C94B6F">
        <w:t xml:space="preserve"> their SGIP incentive reduced by the </w:t>
      </w:r>
      <w:r w:rsidR="000C546E">
        <w:t xml:space="preserve">full </w:t>
      </w:r>
      <w:r w:rsidR="00C94B6F">
        <w:t>amount of the other incentive</w:t>
      </w:r>
      <w:r w:rsidR="00D32F0A">
        <w:t xml:space="preserve"> and c</w:t>
      </w:r>
      <w:r>
        <w:t>ustomers</w:t>
      </w:r>
      <w:r w:rsidR="00C94B6F">
        <w:t xml:space="preserve"> who receive </w:t>
      </w:r>
      <w:r w:rsidR="00D32F0A">
        <w:t>a non</w:t>
      </w:r>
      <w:r w:rsidR="00757681">
        <w:noBreakHyphen/>
      </w:r>
      <w:r w:rsidR="00D32F0A">
        <w:t xml:space="preserve">SGIP incentive </w:t>
      </w:r>
      <w:r w:rsidR="00C94B6F">
        <w:t xml:space="preserve">funded by </w:t>
      </w:r>
      <w:r w:rsidR="000C546E">
        <w:t>a non</w:t>
      </w:r>
      <w:r w:rsidR="00757681">
        <w:noBreakHyphen/>
      </w:r>
      <w:r w:rsidR="000C546E">
        <w:t xml:space="preserve">IOU source </w:t>
      </w:r>
      <w:r w:rsidR="00D32F0A">
        <w:t xml:space="preserve">must </w:t>
      </w:r>
      <w:r w:rsidR="000C546E">
        <w:t xml:space="preserve">have their SGIP incentive reduced </w:t>
      </w:r>
      <w:r w:rsidR="00F70DFB">
        <w:t xml:space="preserve">by 50 percent </w:t>
      </w:r>
      <w:r w:rsidR="000C546E">
        <w:t>of the amount of the non</w:t>
      </w:r>
      <w:r w:rsidR="00757681">
        <w:noBreakHyphen/>
      </w:r>
      <w:r w:rsidR="000C546E">
        <w:t>SGIP funding source</w:t>
      </w:r>
      <w:r w:rsidR="00F70DFB">
        <w:t>.</w:t>
      </w:r>
      <w:r w:rsidR="00784F9C">
        <w:rPr>
          <w:rStyle w:val="FootnoteReference"/>
        </w:rPr>
        <w:footnoteReference w:id="69"/>
      </w:r>
      <w:r w:rsidR="00F70DFB">
        <w:t xml:space="preserve">  </w:t>
      </w:r>
      <w:r w:rsidR="00520261">
        <w:t>GRID/</w:t>
      </w:r>
      <w:r w:rsidR="00C54DFC">
        <w:t>CHPC</w:t>
      </w:r>
      <w:r w:rsidR="00520261">
        <w:t xml:space="preserve"> contend </w:t>
      </w:r>
      <w:r w:rsidR="00D32F0A">
        <w:t xml:space="preserve">that </w:t>
      </w:r>
      <w:r>
        <w:t xml:space="preserve">it is essential </w:t>
      </w:r>
      <w:r w:rsidR="00520261">
        <w:t xml:space="preserve">that equity budget </w:t>
      </w:r>
      <w:r w:rsidR="001C23EB">
        <w:t xml:space="preserve">storage projects </w:t>
      </w:r>
      <w:r w:rsidR="00D32F0A">
        <w:t xml:space="preserve">are </w:t>
      </w:r>
      <w:r w:rsidR="00520261">
        <w:t xml:space="preserve">permitted to leverage other </w:t>
      </w:r>
      <w:r w:rsidR="00A5146B">
        <w:t>funding sources</w:t>
      </w:r>
      <w:r>
        <w:t xml:space="preserve"> in order to spur participation in the program</w:t>
      </w:r>
      <w:r w:rsidR="001C23EB">
        <w:t xml:space="preserve">.  These parties recommend </w:t>
      </w:r>
      <w:r w:rsidR="00520261">
        <w:t xml:space="preserve">waiving </w:t>
      </w:r>
      <w:r w:rsidR="001C23EB">
        <w:t>th</w:t>
      </w:r>
      <w:r>
        <w:t xml:space="preserve">e </w:t>
      </w:r>
      <w:r w:rsidR="00F72D8A">
        <w:t xml:space="preserve">combined incentives restriction in </w:t>
      </w:r>
      <w:r w:rsidR="001C23EB">
        <w:t xml:space="preserve">SGIP for equity budget </w:t>
      </w:r>
      <w:r w:rsidR="00D32F0A">
        <w:t>projects</w:t>
      </w:r>
      <w:r w:rsidR="001C23EB">
        <w:t xml:space="preserve">. </w:t>
      </w:r>
    </w:p>
    <w:p w14:paraId="4D42DBCD" w14:textId="35899C08" w:rsidR="00D94F19" w:rsidRDefault="00D94F19" w:rsidP="00E15B26">
      <w:pPr>
        <w:pStyle w:val="ALJBodyText"/>
      </w:pPr>
      <w:r>
        <w:t>GRID/</w:t>
      </w:r>
      <w:r w:rsidR="00C54DFC">
        <w:t>CHPC</w:t>
      </w:r>
      <w:r>
        <w:t xml:space="preserve"> and CESA </w:t>
      </w:r>
      <w:r w:rsidR="00520261">
        <w:t xml:space="preserve">also </w:t>
      </w:r>
      <w:r>
        <w:t xml:space="preserve">request that the Commission modify the cycling requirement for equity budget systems </w:t>
      </w:r>
      <w:r w:rsidR="00520261">
        <w:t>intended to provide resiliency</w:t>
      </w:r>
      <w:r w:rsidR="00D32F0A">
        <w:t xml:space="preserve"> benefits</w:t>
      </w:r>
      <w:r w:rsidR="00520261">
        <w:t xml:space="preserve"> in addition to grid services.</w:t>
      </w:r>
      <w:r w:rsidR="00D47B32">
        <w:t xml:space="preserve">  SGIP storage systems are required to charge and discharge (</w:t>
      </w:r>
      <w:r w:rsidR="00F72D8A">
        <w:t>cycl</w:t>
      </w:r>
      <w:r w:rsidR="00D47B32">
        <w:t xml:space="preserve">e) between 52 and 130 times per year in order to ensure that the system provides grid and GHG emission reduction benefits and is not being used only for backup.  </w:t>
      </w:r>
      <w:r w:rsidR="00520261">
        <w:t xml:space="preserve">These parties recommend </w:t>
      </w:r>
      <w:r>
        <w:t xml:space="preserve">that </w:t>
      </w:r>
      <w:r w:rsidR="00520261">
        <w:t xml:space="preserve">the Commission reduce annual cycling requirements </w:t>
      </w:r>
      <w:r>
        <w:t xml:space="preserve">for </w:t>
      </w:r>
      <w:r w:rsidR="00D47B32">
        <w:t xml:space="preserve">equity budget systems intended to provide resiliency </w:t>
      </w:r>
      <w:r w:rsidR="00D32F0A">
        <w:t xml:space="preserve">benefits </w:t>
      </w:r>
      <w:r>
        <w:t xml:space="preserve">to </w:t>
      </w:r>
      <w:r w:rsidR="00520261">
        <w:t xml:space="preserve">just 15 cycles per year in order to help </w:t>
      </w:r>
      <w:r>
        <w:t xml:space="preserve">ensure that the systems are charged and ready to provide </w:t>
      </w:r>
      <w:r w:rsidR="0095008A">
        <w:t>backup</w:t>
      </w:r>
      <w:r>
        <w:t xml:space="preserve"> power in the event of a PSPS.  </w:t>
      </w:r>
      <w:r w:rsidR="0024359D">
        <w:t xml:space="preserve">GRID/CHPC and CESA </w:t>
      </w:r>
      <w:r w:rsidR="00F72D8A">
        <w:t>assert that this change is justified because</w:t>
      </w:r>
      <w:r w:rsidR="00D47B32">
        <w:t xml:space="preserve"> systems complying with existing SGIP cycling requirements may not have sufficient power stored to provide backup power during an outage. </w:t>
      </w:r>
    </w:p>
    <w:p w14:paraId="10B44049" w14:textId="18F7A337" w:rsidR="00B7524A" w:rsidRDefault="00B7524A" w:rsidP="00C151FC">
      <w:pPr>
        <w:pStyle w:val="ALJHeading2"/>
      </w:pPr>
      <w:bookmarkStart w:id="61" w:name="_Toc15908085"/>
      <w:r>
        <w:t>Discussion</w:t>
      </w:r>
      <w:bookmarkEnd w:id="61"/>
    </w:p>
    <w:p w14:paraId="4F35A320" w14:textId="61A551F0" w:rsidR="00426F50" w:rsidRDefault="00CA38F8" w:rsidP="00426F50">
      <w:pPr>
        <w:pStyle w:val="ALJBodyText"/>
      </w:pPr>
      <w:r>
        <w:t>Approximately 43 percent</w:t>
      </w:r>
      <w:r w:rsidR="00D32F0A">
        <w:t xml:space="preserve"> </w:t>
      </w:r>
      <w:r w:rsidR="00BC1E5A">
        <w:t>of California’s low</w:t>
      </w:r>
      <w:r w:rsidR="00757681">
        <w:noBreakHyphen/>
      </w:r>
      <w:r w:rsidR="00BC1E5A">
        <w:t>income population resides in multifamily housin</w:t>
      </w:r>
      <w:r w:rsidR="00D32F0A">
        <w:t>g</w:t>
      </w:r>
      <w:r w:rsidR="00881630">
        <w:t xml:space="preserve"> and SGIP rules </w:t>
      </w:r>
      <w:r w:rsidR="00D14492">
        <w:t xml:space="preserve">should not </w:t>
      </w:r>
      <w:r w:rsidR="00946E31">
        <w:t>preclude</w:t>
      </w:r>
      <w:r w:rsidR="00D14492">
        <w:t xml:space="preserve"> </w:t>
      </w:r>
      <w:r w:rsidR="00881630">
        <w:t>multifamily</w:t>
      </w:r>
      <w:r w:rsidR="00D14492">
        <w:t xml:space="preserve"> buildings</w:t>
      </w:r>
      <w:r w:rsidR="008733CD">
        <w:t xml:space="preserve"> </w:t>
      </w:r>
      <w:r w:rsidR="008733CD">
        <w:lastRenderedPageBreak/>
        <w:t>including those</w:t>
      </w:r>
      <w:r w:rsidR="00D14492">
        <w:t xml:space="preserve"> </w:t>
      </w:r>
      <w:r>
        <w:t>taking service under</w:t>
      </w:r>
      <w:r w:rsidR="00520261">
        <w:t xml:space="preserve"> </w:t>
      </w:r>
      <w:r w:rsidR="00156C9F">
        <w:t xml:space="preserve">a </w:t>
      </w:r>
      <w:r w:rsidR="00242E0A">
        <w:t>VNEM tariff</w:t>
      </w:r>
      <w:r w:rsidR="00520261">
        <w:t xml:space="preserve"> from</w:t>
      </w:r>
      <w:r>
        <w:t xml:space="preserve"> </w:t>
      </w:r>
      <w:r w:rsidR="00D14492">
        <w:t xml:space="preserve">also </w:t>
      </w:r>
      <w:r w:rsidR="00520261">
        <w:t xml:space="preserve">benefiting from </w:t>
      </w:r>
      <w:r w:rsidR="00242E0A">
        <w:t>SGIP storage incentives.</w:t>
      </w:r>
      <w:r w:rsidR="00D32F0A" w:rsidRPr="00D32F0A">
        <w:rPr>
          <w:vertAlign w:val="superscript"/>
        </w:rPr>
        <w:footnoteReference w:id="70"/>
      </w:r>
      <w:r w:rsidR="00D32F0A" w:rsidRPr="00D32F0A">
        <w:t xml:space="preserve"> </w:t>
      </w:r>
      <w:r w:rsidR="00D32F0A">
        <w:t xml:space="preserve"> </w:t>
      </w:r>
      <w:r w:rsidR="00520261">
        <w:t xml:space="preserve">It is also appropriate </w:t>
      </w:r>
      <w:r w:rsidR="00D32F0A">
        <w:t xml:space="preserve">to update </w:t>
      </w:r>
      <w:r w:rsidR="00520261">
        <w:t>SGIP multifamily storage project</w:t>
      </w:r>
      <w:r w:rsidR="00D32F0A">
        <w:t xml:space="preserve"> system sizing requirements </w:t>
      </w:r>
      <w:r w:rsidR="002B6270">
        <w:t xml:space="preserve">to remove any barriers to participation.  </w:t>
      </w:r>
      <w:r w:rsidR="00520261">
        <w:t xml:space="preserve"> </w:t>
      </w:r>
    </w:p>
    <w:p w14:paraId="060066E1" w14:textId="20F8A952" w:rsidR="00017A5F" w:rsidRDefault="002B6270" w:rsidP="000142E1">
      <w:pPr>
        <w:pStyle w:val="ALJBodyText"/>
      </w:pPr>
      <w:r>
        <w:t>W</w:t>
      </w:r>
      <w:r w:rsidR="00E373DA">
        <w:t xml:space="preserve">e </w:t>
      </w:r>
      <w:r w:rsidR="005E60E1">
        <w:t xml:space="preserve">direct the SGIP PAs to modify </w:t>
      </w:r>
      <w:r>
        <w:t xml:space="preserve">SGIP </w:t>
      </w:r>
      <w:r w:rsidR="005E60E1">
        <w:t xml:space="preserve">eligibility requirements to include systems that interconnect to the local electric utility’s distribution system under the requirements of the VNEM tariff. </w:t>
      </w:r>
      <w:r>
        <w:t xml:space="preserve"> </w:t>
      </w:r>
      <w:r w:rsidR="00DE4C36">
        <w:t xml:space="preserve">We also direct SGIP PAs to </w:t>
      </w:r>
      <w:r w:rsidR="0061574B">
        <w:t xml:space="preserve">modify the </w:t>
      </w:r>
      <w:r w:rsidR="00DE4C36">
        <w:t xml:space="preserve">definition of </w:t>
      </w:r>
      <w:r>
        <w:t>h</w:t>
      </w:r>
      <w:r w:rsidR="0061574B">
        <w:t xml:space="preserve">ost </w:t>
      </w:r>
      <w:r>
        <w:t>c</w:t>
      </w:r>
      <w:r w:rsidR="0061574B">
        <w:t xml:space="preserve">ustomer in the </w:t>
      </w:r>
      <w:r>
        <w:t xml:space="preserve">SGIP </w:t>
      </w:r>
      <w:r w:rsidR="005C51F5">
        <w:t>handbook</w:t>
      </w:r>
      <w:r w:rsidR="00DE4C36">
        <w:t xml:space="preserve"> to include properties enrolled in a VNEM tariff.  Together these two changes should help</w:t>
      </w:r>
      <w:r w:rsidR="00DE4C36" w:rsidRPr="00DE4C36">
        <w:t xml:space="preserve"> </w:t>
      </w:r>
      <w:r w:rsidR="00DE4C36">
        <w:t>remove b</w:t>
      </w:r>
      <w:r w:rsidR="00BE57FD">
        <w:t xml:space="preserve">arriers to multifamily properties’ </w:t>
      </w:r>
      <w:r w:rsidR="00DE4C36">
        <w:t>participation in the SGIP.</w:t>
      </w:r>
    </w:p>
    <w:p w14:paraId="10A17D26" w14:textId="65C791E8" w:rsidR="00726CA3" w:rsidRDefault="002B6270" w:rsidP="000142E1">
      <w:pPr>
        <w:pStyle w:val="ALJBodyText"/>
      </w:pPr>
      <w:r>
        <w:t>W</w:t>
      </w:r>
      <w:r w:rsidR="00426F50">
        <w:t>e</w:t>
      </w:r>
      <w:r w:rsidR="00017A5F">
        <w:t xml:space="preserve"> direct</w:t>
      </w:r>
      <w:r w:rsidR="00242E0A">
        <w:t xml:space="preserve"> </w:t>
      </w:r>
      <w:r w:rsidR="00017A5F">
        <w:t xml:space="preserve">the PAs to review and update the SGIP’s </w:t>
      </w:r>
      <w:r w:rsidR="00D47B32">
        <w:t>system</w:t>
      </w:r>
      <w:r w:rsidR="00757681">
        <w:noBreakHyphen/>
      </w:r>
      <w:r w:rsidR="00D47B32">
        <w:t>sizing</w:t>
      </w:r>
      <w:r w:rsidR="00242E0A">
        <w:t xml:space="preserve"> requirements for multifamily </w:t>
      </w:r>
      <w:r w:rsidR="004D1F8E">
        <w:t>housing</w:t>
      </w:r>
      <w:r w:rsidR="00242E0A">
        <w:t xml:space="preserve"> </w:t>
      </w:r>
      <w:r w:rsidR="00242E0A" w:rsidRPr="008E3AC4">
        <w:t>based on</w:t>
      </w:r>
      <w:r w:rsidR="00AF7A1D">
        <w:t xml:space="preserve"> </w:t>
      </w:r>
      <w:r w:rsidR="00017A5F">
        <w:t xml:space="preserve">a </w:t>
      </w:r>
      <w:r w:rsidR="00AF7A1D">
        <w:t xml:space="preserve">property’s historical electrical usage. </w:t>
      </w:r>
      <w:r w:rsidR="00726CA3">
        <w:t xml:space="preserve"> </w:t>
      </w:r>
      <w:r>
        <w:t xml:space="preserve">Historical electrical </w:t>
      </w:r>
      <w:r w:rsidR="00726CA3">
        <w:t xml:space="preserve">usage information is </w:t>
      </w:r>
      <w:r w:rsidR="00D47B32">
        <w:t xml:space="preserve">now </w:t>
      </w:r>
      <w:r w:rsidR="00726CA3">
        <w:t xml:space="preserve">available </w:t>
      </w:r>
      <w:r>
        <w:t xml:space="preserve">for all IOU multifamily buildings because PG&amp;E, SCE and SDG&amp;E </w:t>
      </w:r>
      <w:r w:rsidR="000142E1">
        <w:t xml:space="preserve">have implemented processes </w:t>
      </w:r>
      <w:r w:rsidR="0024359D">
        <w:t xml:space="preserve">to </w:t>
      </w:r>
      <w:r w:rsidR="000142E1" w:rsidRPr="002B6270">
        <w:t>enable property owne</w:t>
      </w:r>
      <w:r w:rsidR="00156C9F" w:rsidRPr="002B6270">
        <w:t>rs</w:t>
      </w:r>
      <w:r w:rsidR="000142E1" w:rsidRPr="002B6270">
        <w:t xml:space="preserve"> to determine their building’s aggregated historical energy usage</w:t>
      </w:r>
      <w:r>
        <w:t xml:space="preserve"> </w:t>
      </w:r>
      <w:r w:rsidRPr="002B6270">
        <w:t>in response to AB 802</w:t>
      </w:r>
      <w:r>
        <w:t xml:space="preserve"> (Williams, 2015)</w:t>
      </w:r>
      <w:r w:rsidR="000142E1" w:rsidRPr="002B6270">
        <w:t>.</w:t>
      </w:r>
      <w:r w:rsidR="00D47B32" w:rsidRPr="002B6270">
        <w:rPr>
          <w:rStyle w:val="FootnoteReference"/>
        </w:rPr>
        <w:footnoteReference w:id="71"/>
      </w:r>
      <w:r w:rsidR="00D47B32">
        <w:t xml:space="preserve"> </w:t>
      </w:r>
      <w:r w:rsidR="000142E1">
        <w:t xml:space="preserve"> </w:t>
      </w:r>
      <w:r w:rsidR="00AF7A1D">
        <w:t xml:space="preserve"> </w:t>
      </w:r>
    </w:p>
    <w:p w14:paraId="11FCC316" w14:textId="7CB7C89C" w:rsidR="00702122" w:rsidRDefault="004B7B7A" w:rsidP="000142E1">
      <w:pPr>
        <w:pStyle w:val="ALJBodyText"/>
      </w:pPr>
      <w:r>
        <w:t xml:space="preserve">PG&amp;E, SCE, SDG&amp;E </w:t>
      </w:r>
      <w:r w:rsidR="000142E1">
        <w:t xml:space="preserve">and the SOMAH PA </w:t>
      </w:r>
      <w:r w:rsidR="00726CA3">
        <w:t xml:space="preserve">are </w:t>
      </w:r>
      <w:r w:rsidR="00D47B32">
        <w:t xml:space="preserve">currently </w:t>
      </w:r>
      <w:r w:rsidR="000142E1">
        <w:t>develop</w:t>
      </w:r>
      <w:r w:rsidR="00726CA3">
        <w:t>ing</w:t>
      </w:r>
      <w:r w:rsidR="006D7DF9">
        <w:t xml:space="preserve"> automated</w:t>
      </w:r>
      <w:r w:rsidR="000142E1">
        <w:t xml:space="preserve"> processes by which the SOMAH PA </w:t>
      </w:r>
      <w:r w:rsidR="006D7DF9">
        <w:t xml:space="preserve">and </w:t>
      </w:r>
      <w:r>
        <w:t xml:space="preserve">SOMAH </w:t>
      </w:r>
      <w:r w:rsidR="006D7DF9">
        <w:t xml:space="preserve">applicants can determine the energy usage of </w:t>
      </w:r>
      <w:r>
        <w:t>multifamily</w:t>
      </w:r>
      <w:r w:rsidR="006D7DF9">
        <w:t xml:space="preserve"> tenant and common area loads </w:t>
      </w:r>
      <w:r>
        <w:t>for</w:t>
      </w:r>
      <w:r w:rsidR="006D7DF9">
        <w:t xml:space="preserve"> participating properties.</w:t>
      </w:r>
      <w:r w:rsidR="00D47B32">
        <w:rPr>
          <w:rStyle w:val="FootnoteReference"/>
        </w:rPr>
        <w:footnoteReference w:id="72"/>
      </w:r>
      <w:r w:rsidR="006D7DF9">
        <w:t xml:space="preserve"> </w:t>
      </w:r>
      <w:r w:rsidR="00D47B32">
        <w:t xml:space="preserve"> </w:t>
      </w:r>
      <w:r w:rsidR="006D7DF9">
        <w:t>We expect that the</w:t>
      </w:r>
      <w:r w:rsidR="00017A5F">
        <w:t xml:space="preserve"> SGIP PAs can leverage the</w:t>
      </w:r>
      <w:r w:rsidR="006D7DF9">
        <w:t xml:space="preserve">se </w:t>
      </w:r>
      <w:r w:rsidR="006D7DF9">
        <w:lastRenderedPageBreak/>
        <w:t xml:space="preserve">processes to ensure that </w:t>
      </w:r>
      <w:r w:rsidR="00A80158">
        <w:t xml:space="preserve">SGIP </w:t>
      </w:r>
      <w:r w:rsidR="006D7DF9">
        <w:t xml:space="preserve">storage </w:t>
      </w:r>
      <w:r w:rsidR="006D7DF9" w:rsidRPr="00D47B32">
        <w:t>projects benefitting tenants, common</w:t>
      </w:r>
      <w:r w:rsidR="00757681">
        <w:noBreakHyphen/>
      </w:r>
      <w:r w:rsidR="006D7DF9" w:rsidRPr="00D47B32">
        <w:t xml:space="preserve">areas, or </w:t>
      </w:r>
      <w:r w:rsidR="00017A5F">
        <w:t xml:space="preserve">a </w:t>
      </w:r>
      <w:r w:rsidR="006D7DF9" w:rsidRPr="00D47B32">
        <w:t>whole</w:t>
      </w:r>
      <w:r w:rsidR="00D47B32">
        <w:t xml:space="preserve"> </w:t>
      </w:r>
      <w:r w:rsidR="00017A5F">
        <w:t xml:space="preserve">multifamily </w:t>
      </w:r>
      <w:r w:rsidR="006D7DF9" w:rsidRPr="00D47B32">
        <w:t>building are sized correctly.</w:t>
      </w:r>
      <w:r w:rsidR="00242E0A" w:rsidRPr="00D47B32">
        <w:t xml:space="preserve"> </w:t>
      </w:r>
      <w:r w:rsidR="00D47B32" w:rsidRPr="00D47B32">
        <w:t xml:space="preserve"> </w:t>
      </w:r>
      <w:r w:rsidR="00017A5F">
        <w:t xml:space="preserve">We direct </w:t>
      </w:r>
      <w:r w:rsidR="00D47B32" w:rsidRPr="00D47B32">
        <w:t xml:space="preserve">SDG&amp;E and the </w:t>
      </w:r>
      <w:r w:rsidR="00726CA3" w:rsidRPr="00D47B32">
        <w:t>SGIP</w:t>
      </w:r>
      <w:r w:rsidR="00D47B32" w:rsidRPr="00D47B32">
        <w:t xml:space="preserve"> </w:t>
      </w:r>
      <w:r w:rsidR="00242E0A" w:rsidRPr="00D47B32">
        <w:t xml:space="preserve">PAs </w:t>
      </w:r>
      <w:r w:rsidR="00017A5F">
        <w:t xml:space="preserve">to </w:t>
      </w:r>
      <w:r w:rsidR="00D47B32" w:rsidRPr="00D47B32">
        <w:t xml:space="preserve">discuss </w:t>
      </w:r>
      <w:r w:rsidR="00242E0A" w:rsidRPr="00D47B32">
        <w:t>the</w:t>
      </w:r>
      <w:r w:rsidR="006D7DF9" w:rsidRPr="00D47B32">
        <w:t xml:space="preserve">ir AB 802 and SOMAH </w:t>
      </w:r>
      <w:r w:rsidR="00A80158">
        <w:t>p</w:t>
      </w:r>
      <w:r w:rsidR="006D7DF9" w:rsidRPr="00D47B32">
        <w:t>rogram building benchmarking processes</w:t>
      </w:r>
      <w:r w:rsidR="00242E0A" w:rsidRPr="00D47B32">
        <w:t xml:space="preserve"> </w:t>
      </w:r>
      <w:r w:rsidR="000F7F6D" w:rsidRPr="00D47B32">
        <w:t xml:space="preserve">with the SGIP </w:t>
      </w:r>
      <w:r w:rsidR="00242E0A" w:rsidRPr="00D47B32">
        <w:t>TWG</w:t>
      </w:r>
      <w:r w:rsidR="000F7F6D" w:rsidRPr="00D47B32">
        <w:t xml:space="preserve"> to </w:t>
      </w:r>
      <w:r w:rsidR="00D47B32" w:rsidRPr="00D47B32">
        <w:t xml:space="preserve">identify </w:t>
      </w:r>
      <w:r w:rsidR="000F7F6D" w:rsidRPr="00D47B32">
        <w:t>the best method</w:t>
      </w:r>
      <w:r w:rsidR="00A80158">
        <w:t>s</w:t>
      </w:r>
      <w:r w:rsidR="000F7F6D" w:rsidRPr="00D47B32">
        <w:t xml:space="preserve"> </w:t>
      </w:r>
      <w:r w:rsidR="00D47B32" w:rsidRPr="00D47B32">
        <w:t>to</w:t>
      </w:r>
      <w:r w:rsidR="00726CA3" w:rsidRPr="00D47B32">
        <w:t xml:space="preserve"> apply </w:t>
      </w:r>
      <w:r w:rsidR="006D7DF9" w:rsidRPr="00D47B32">
        <w:t xml:space="preserve">these </w:t>
      </w:r>
      <w:r>
        <w:t xml:space="preserve">or similar </w:t>
      </w:r>
      <w:r w:rsidR="00156C9F" w:rsidRPr="00D47B32">
        <w:t xml:space="preserve">tools </w:t>
      </w:r>
      <w:r w:rsidR="00841A93">
        <w:t xml:space="preserve">to the SGIP. </w:t>
      </w:r>
      <w:r w:rsidR="00D47B32" w:rsidRPr="00D47B32">
        <w:t xml:space="preserve"> </w:t>
      </w:r>
      <w:r w:rsidR="000F7F6D" w:rsidRPr="00D47B32">
        <w:t xml:space="preserve">Based on these discussions, the </w:t>
      </w:r>
      <w:r w:rsidR="00726CA3" w:rsidRPr="00D47B32">
        <w:t xml:space="preserve">SGIP </w:t>
      </w:r>
      <w:r w:rsidR="00242E0A" w:rsidRPr="00D47B32">
        <w:t xml:space="preserve">PAs shall </w:t>
      </w:r>
      <w:r w:rsidR="000F7F6D" w:rsidRPr="00D47B32">
        <w:t xml:space="preserve">propose </w:t>
      </w:r>
      <w:r w:rsidR="0024359D">
        <w:t xml:space="preserve">any needed </w:t>
      </w:r>
      <w:r w:rsidR="00A80158">
        <w:t xml:space="preserve">updates </w:t>
      </w:r>
      <w:r w:rsidR="000F7F6D" w:rsidRPr="00D47B32">
        <w:t xml:space="preserve">to </w:t>
      </w:r>
      <w:r w:rsidR="008757FE" w:rsidRPr="00D47B32">
        <w:t>SGIP</w:t>
      </w:r>
      <w:r w:rsidR="00017A5F">
        <w:t>’s</w:t>
      </w:r>
      <w:r w:rsidR="008757FE" w:rsidRPr="00D47B32">
        <w:t xml:space="preserve"> sizing requirements </w:t>
      </w:r>
      <w:r w:rsidR="00017A5F">
        <w:t xml:space="preserve">for multifamily housing to facilitate </w:t>
      </w:r>
      <w:r>
        <w:t xml:space="preserve">the participation of </w:t>
      </w:r>
      <w:r w:rsidR="00017A5F">
        <w:t>multifamily building</w:t>
      </w:r>
      <w:r>
        <w:t>s</w:t>
      </w:r>
      <w:r w:rsidR="00017A5F">
        <w:t xml:space="preserve"> in the SGIP. </w:t>
      </w:r>
    </w:p>
    <w:p w14:paraId="02E1DE37" w14:textId="4E4C7B07" w:rsidR="00E1461E" w:rsidRPr="00E1461E" w:rsidRDefault="004B7B7A" w:rsidP="00E1461E">
      <w:pPr>
        <w:pStyle w:val="ALJBodyText"/>
      </w:pPr>
      <w:r>
        <w:t xml:space="preserve">Allowing storage developers to use a number of sources of </w:t>
      </w:r>
      <w:r w:rsidR="00726CA3">
        <w:t>incentives</w:t>
      </w:r>
      <w:r>
        <w:t xml:space="preserve"> or financing </w:t>
      </w:r>
      <w:r w:rsidR="0020404C">
        <w:t>for</w:t>
      </w:r>
      <w:r w:rsidR="00F901CB">
        <w:t xml:space="preserve"> equity budget</w:t>
      </w:r>
      <w:r w:rsidR="0020404C">
        <w:t xml:space="preserve"> </w:t>
      </w:r>
      <w:r>
        <w:t xml:space="preserve">projects </w:t>
      </w:r>
      <w:r w:rsidR="00A80158">
        <w:t xml:space="preserve">could </w:t>
      </w:r>
      <w:r w:rsidR="00685D19">
        <w:t xml:space="preserve">help </w:t>
      </w:r>
      <w:r w:rsidR="00C23A9C">
        <w:t xml:space="preserve">accelerate </w:t>
      </w:r>
      <w:r w:rsidR="00EF19B3">
        <w:t>low</w:t>
      </w:r>
      <w:r w:rsidR="00757681">
        <w:noBreakHyphen/>
      </w:r>
      <w:r w:rsidR="00EF19B3">
        <w:t xml:space="preserve">income customer </w:t>
      </w:r>
      <w:r w:rsidR="00C23A9C">
        <w:t xml:space="preserve">participation </w:t>
      </w:r>
      <w:r w:rsidR="00EF19B3">
        <w:t xml:space="preserve">in the SGIP </w:t>
      </w:r>
      <w:r w:rsidR="0020404C">
        <w:t>equity budget b</w:t>
      </w:r>
      <w:r w:rsidR="00C23A9C">
        <w:t xml:space="preserve">ut is appropriate </w:t>
      </w:r>
      <w:r w:rsidR="00EF19B3">
        <w:t xml:space="preserve">only </w:t>
      </w:r>
      <w:r w:rsidR="00C23A9C">
        <w:t>if the total</w:t>
      </w:r>
      <w:r>
        <w:t xml:space="preserve"> </w:t>
      </w:r>
      <w:r w:rsidR="00726CA3">
        <w:t xml:space="preserve">subsidy </w:t>
      </w:r>
      <w:r>
        <w:t xml:space="preserve">does not exceed a project’s </w:t>
      </w:r>
      <w:r w:rsidR="00F901CB">
        <w:t xml:space="preserve">total </w:t>
      </w:r>
      <w:r w:rsidR="00C23A9C">
        <w:t>install</w:t>
      </w:r>
      <w:r w:rsidR="0020404C">
        <w:t>ed cost.</w:t>
      </w:r>
      <w:r w:rsidR="00E1461E">
        <w:t xml:space="preserve">  </w:t>
      </w:r>
      <w:r w:rsidR="00A80158">
        <w:t>W</w:t>
      </w:r>
      <w:r w:rsidR="00AF5396">
        <w:t xml:space="preserve">hen </w:t>
      </w:r>
      <w:r w:rsidR="00B43AF2">
        <w:t xml:space="preserve">SGIP </w:t>
      </w:r>
      <w:r w:rsidR="000F7F6D">
        <w:t xml:space="preserve">equity budget </w:t>
      </w:r>
      <w:r w:rsidR="00B43AF2">
        <w:t xml:space="preserve">projects receive </w:t>
      </w:r>
      <w:r w:rsidR="00AF5396">
        <w:t xml:space="preserve">other </w:t>
      </w:r>
      <w:r w:rsidR="00726CA3">
        <w:t>incentives</w:t>
      </w:r>
      <w:r w:rsidR="00B43AF2">
        <w:t xml:space="preserve">, </w:t>
      </w:r>
      <w:r w:rsidR="00AF5396">
        <w:t xml:space="preserve">SGIP incentives </w:t>
      </w:r>
      <w:r w:rsidR="00726CA3">
        <w:t xml:space="preserve">must </w:t>
      </w:r>
      <w:r w:rsidR="00AF5396">
        <w:t xml:space="preserve">be limited to </w:t>
      </w:r>
      <w:r w:rsidR="00B43AF2">
        <w:t>the difference between the</w:t>
      </w:r>
      <w:r w:rsidR="003C5D6E">
        <w:t xml:space="preserve"> amount provided by the other funding source(s) and the</w:t>
      </w:r>
      <w:r w:rsidR="00B43AF2">
        <w:t xml:space="preserve"> </w:t>
      </w:r>
      <w:r w:rsidR="00726CA3">
        <w:t xml:space="preserve">system’s </w:t>
      </w:r>
      <w:r w:rsidR="00B43AF2">
        <w:t>in</w:t>
      </w:r>
      <w:r w:rsidR="003C5D6E">
        <w:t xml:space="preserve">stalled cost. </w:t>
      </w:r>
      <w:r w:rsidR="00726CA3">
        <w:t xml:space="preserve"> </w:t>
      </w:r>
      <w:r w:rsidR="00E1461E" w:rsidRPr="00E1461E">
        <w:t>All SGIP applicants are currently required to disclose all incentives and funding sources l</w:t>
      </w:r>
      <w:r w:rsidR="00E1461E">
        <w:t>everaged for an SGIP project, including equity budget projects, and we do not modify this requirement.</w:t>
      </w:r>
      <w:r w:rsidR="00685D19">
        <w:rPr>
          <w:rStyle w:val="FootnoteReference"/>
        </w:rPr>
        <w:footnoteReference w:id="73"/>
      </w:r>
      <w:r w:rsidR="00E1461E">
        <w:t xml:space="preserve">  </w:t>
      </w:r>
      <w:r w:rsidR="00E1461E" w:rsidRPr="00856B3F">
        <w:t xml:space="preserve">However, </w:t>
      </w:r>
      <w:r w:rsidR="00685D19">
        <w:t xml:space="preserve">for equity budget projects, </w:t>
      </w:r>
      <w:r w:rsidR="00E1461E">
        <w:t xml:space="preserve">we waive </w:t>
      </w:r>
      <w:r>
        <w:t xml:space="preserve">the SGIP handbook </w:t>
      </w:r>
      <w:r w:rsidR="00E1461E">
        <w:t xml:space="preserve">requirement that PAs must reduce SGIP incentives </w:t>
      </w:r>
      <w:r w:rsidR="00685D19">
        <w:t xml:space="preserve">for </w:t>
      </w:r>
      <w:r w:rsidR="00E1461E" w:rsidRPr="00856B3F">
        <w:t xml:space="preserve">projects </w:t>
      </w:r>
      <w:r w:rsidR="00E1461E">
        <w:t>that receive non</w:t>
      </w:r>
      <w:r w:rsidR="00757681">
        <w:noBreakHyphen/>
      </w:r>
      <w:r w:rsidR="00E1461E">
        <w:t xml:space="preserve">SGIP </w:t>
      </w:r>
      <w:r w:rsidR="00E1461E" w:rsidRPr="00856B3F">
        <w:t>incentives funde</w:t>
      </w:r>
      <w:r w:rsidR="00E1461E">
        <w:t xml:space="preserve">d </w:t>
      </w:r>
      <w:r w:rsidR="00E1461E" w:rsidRPr="00856B3F">
        <w:t xml:space="preserve">by IOU </w:t>
      </w:r>
      <w:r>
        <w:t>and non</w:t>
      </w:r>
      <w:r w:rsidR="00757681">
        <w:noBreakHyphen/>
      </w:r>
      <w:r>
        <w:t xml:space="preserve">IOU ratepayer sources by the full amount and </w:t>
      </w:r>
      <w:r w:rsidR="00E1461E">
        <w:t>50 percent</w:t>
      </w:r>
      <w:r w:rsidR="00E1461E" w:rsidRPr="00856B3F">
        <w:t xml:space="preserve"> of the amount of the other incentive</w:t>
      </w:r>
      <w:r w:rsidR="00685D19">
        <w:t>(s)</w:t>
      </w:r>
      <w:r>
        <w:t xml:space="preserve"> respectively</w:t>
      </w:r>
      <w:r w:rsidR="00E1461E" w:rsidRPr="00856B3F">
        <w:t>.</w:t>
      </w:r>
      <w:r w:rsidR="00685D19">
        <w:rPr>
          <w:rStyle w:val="FootnoteReference"/>
        </w:rPr>
        <w:footnoteReference w:id="74"/>
      </w:r>
      <w:r w:rsidR="00E1461E" w:rsidRPr="00E1461E">
        <w:t xml:space="preserve">  Instead, for the equity </w:t>
      </w:r>
      <w:r w:rsidR="00E1461E" w:rsidRPr="00E1461E">
        <w:lastRenderedPageBreak/>
        <w:t>budget, we direct SGIP PAs to reduce the SGIP incentive as needed so that the SGIP incentive and external funding combined do not exceed the total installed costs of the system. </w:t>
      </w:r>
    </w:p>
    <w:p w14:paraId="54264BD1" w14:textId="35D22452" w:rsidR="00523AF7" w:rsidRDefault="00685D19" w:rsidP="00841EF4">
      <w:pPr>
        <w:pStyle w:val="ALJBodyText"/>
      </w:pPr>
      <w:r>
        <w:t>T</w:t>
      </w:r>
      <w:r w:rsidR="000F7F6D">
        <w:t xml:space="preserve">his decision </w:t>
      </w:r>
      <w:r w:rsidR="00D94F19">
        <w:t>do</w:t>
      </w:r>
      <w:r w:rsidR="000F7F6D">
        <w:t>es</w:t>
      </w:r>
      <w:r w:rsidR="00D94F19">
        <w:t xml:space="preserve"> not alter the cycling or GHG require</w:t>
      </w:r>
      <w:r w:rsidR="000F7F6D">
        <w:t>ments for projects applying for either residential or non</w:t>
      </w:r>
      <w:r w:rsidR="00757681">
        <w:noBreakHyphen/>
      </w:r>
      <w:r w:rsidR="000F7F6D">
        <w:t>residential equity budget incentives</w:t>
      </w:r>
      <w:r w:rsidR="009B7A77">
        <w:t>, including critical resiliency needs customers</w:t>
      </w:r>
      <w:r w:rsidR="000F7F6D">
        <w:t xml:space="preserve">.  </w:t>
      </w:r>
      <w:r w:rsidR="004A2816">
        <w:t>Residential systems accessing equity budget incentives must continue to cycle a minimum of 52 times per year</w:t>
      </w:r>
      <w:r w:rsidR="0030665F">
        <w:t xml:space="preserve"> and must meet the GHG emission reduction requirements recently approved in D.</w:t>
      </w:r>
      <w:r w:rsidR="003F39D8">
        <w:t>19</w:t>
      </w:r>
      <w:r w:rsidR="00757681">
        <w:noBreakHyphen/>
      </w:r>
      <w:r w:rsidR="003F39D8" w:rsidRPr="003A7970">
        <w:t>08</w:t>
      </w:r>
      <w:r w:rsidR="00757681">
        <w:noBreakHyphen/>
      </w:r>
      <w:r w:rsidR="003F39D8" w:rsidRPr="003A7970">
        <w:t>001</w:t>
      </w:r>
      <w:r w:rsidR="0030665F" w:rsidRPr="00D32CB0">
        <w:t>.</w:t>
      </w:r>
      <w:r w:rsidR="00667C82">
        <w:rPr>
          <w:rStyle w:val="FootnoteReference"/>
        </w:rPr>
        <w:footnoteReference w:id="75"/>
      </w:r>
      <w:r w:rsidR="0030665F" w:rsidRPr="003A7970">
        <w:t xml:space="preserve"> </w:t>
      </w:r>
      <w:r w:rsidR="000F7F6D" w:rsidRPr="003A7970">
        <w:t xml:space="preserve"> Non</w:t>
      </w:r>
      <w:r w:rsidR="00757681">
        <w:noBreakHyphen/>
      </w:r>
      <w:r w:rsidR="000F7F6D" w:rsidRPr="003A7970">
        <w:t>residential</w:t>
      </w:r>
      <w:r w:rsidR="000F7F6D">
        <w:t xml:space="preserve"> systems accessing equity budget incentives must meet the GHG requirements adopted in the same decision.  Section </w:t>
      </w:r>
      <w:r w:rsidR="00935359">
        <w:t>379.6</w:t>
      </w:r>
      <w:r w:rsidR="00055CF4">
        <w:t>(b)(3)</w:t>
      </w:r>
      <w:r w:rsidR="000F7F6D">
        <w:t xml:space="preserve"> </w:t>
      </w:r>
      <w:r w:rsidR="00932F32">
        <w:t xml:space="preserve">requires the Commission to ensure that energy </w:t>
      </w:r>
      <w:r w:rsidR="000F7F6D">
        <w:t xml:space="preserve">storage systems that </w:t>
      </w:r>
      <w:r w:rsidR="00932F32">
        <w:t xml:space="preserve">receive SGIP incentives </w:t>
      </w:r>
      <w:r w:rsidR="000F7F6D">
        <w:t xml:space="preserve">reduce GHG emissions.  We do not have </w:t>
      </w:r>
      <w:r w:rsidR="00080F5C">
        <w:t xml:space="preserve">information </w:t>
      </w:r>
      <w:r w:rsidR="009A6609">
        <w:t xml:space="preserve">at this time </w:t>
      </w:r>
      <w:r w:rsidR="009926BA">
        <w:t>that indicates</w:t>
      </w:r>
      <w:r w:rsidR="00080F5C">
        <w:t xml:space="preserve"> </w:t>
      </w:r>
      <w:r w:rsidR="00266D81">
        <w:t xml:space="preserve">that </w:t>
      </w:r>
      <w:r w:rsidR="000F7F6D">
        <w:t xml:space="preserve">modifications </w:t>
      </w:r>
      <w:r w:rsidR="009A6609">
        <w:t xml:space="preserve">to </w:t>
      </w:r>
      <w:r w:rsidR="00266D81">
        <w:t xml:space="preserve">existing </w:t>
      </w:r>
      <w:r w:rsidR="0060531A">
        <w:t xml:space="preserve">cycling </w:t>
      </w:r>
      <w:r w:rsidR="00266D81">
        <w:t xml:space="preserve">or GHG emission reduction </w:t>
      </w:r>
      <w:r w:rsidR="00355A3F">
        <w:t xml:space="preserve">requirements </w:t>
      </w:r>
      <w:r w:rsidR="00080F5C">
        <w:t xml:space="preserve">are needed </w:t>
      </w:r>
      <w:r w:rsidR="009A6609">
        <w:t>for equity budget systems intended to provide resiliency benefits</w:t>
      </w:r>
      <w:r w:rsidR="00656F57">
        <w:t>,</w:t>
      </w:r>
      <w:r w:rsidR="009A6609">
        <w:t xml:space="preserve"> </w:t>
      </w:r>
      <w:r w:rsidR="000F7F6D">
        <w:t xml:space="preserve">but may consider this issue </w:t>
      </w:r>
      <w:r w:rsidR="009A6609">
        <w:t>later</w:t>
      </w:r>
      <w:r w:rsidR="000F7F6D">
        <w:t xml:space="preserve"> in this rulemaking. </w:t>
      </w:r>
    </w:p>
    <w:p w14:paraId="4F4D8A02" w14:textId="6690980E" w:rsidR="000D4C7A" w:rsidRDefault="00176A79" w:rsidP="00CE14ED">
      <w:pPr>
        <w:pStyle w:val="ALJHeading1"/>
      </w:pPr>
      <w:bookmarkStart w:id="62" w:name="_Toc15908086"/>
      <w:r>
        <w:t>Marketing, Education and Outreach</w:t>
      </w:r>
      <w:bookmarkEnd w:id="62"/>
      <w:r w:rsidR="00EA0E78">
        <w:t xml:space="preserve"> </w:t>
      </w:r>
    </w:p>
    <w:p w14:paraId="2FF37361" w14:textId="18977685" w:rsidR="003328F0" w:rsidRDefault="003328F0" w:rsidP="00C151FC">
      <w:pPr>
        <w:pStyle w:val="ALJHeading2"/>
      </w:pPr>
      <w:bookmarkStart w:id="63" w:name="_Toc15908087"/>
      <w:r>
        <w:t>Party Comments</w:t>
      </w:r>
      <w:bookmarkEnd w:id="63"/>
    </w:p>
    <w:p w14:paraId="7E55414B" w14:textId="519B6F6D" w:rsidR="00F36B8B" w:rsidRDefault="003328F0" w:rsidP="00B35509">
      <w:pPr>
        <w:pStyle w:val="ALJBodyText"/>
      </w:pPr>
      <w:r>
        <w:t xml:space="preserve">Several parties state </w:t>
      </w:r>
      <w:r w:rsidR="006B52A9">
        <w:t xml:space="preserve">that </w:t>
      </w:r>
      <w:r w:rsidR="00DB1D78">
        <w:t>eligible</w:t>
      </w:r>
      <w:r w:rsidR="006B52A9">
        <w:t xml:space="preserve"> </w:t>
      </w:r>
      <w:r w:rsidR="000F7F6D">
        <w:t xml:space="preserve">equity budget </w:t>
      </w:r>
      <w:r w:rsidR="006879B4">
        <w:t xml:space="preserve">customers </w:t>
      </w:r>
      <w:r w:rsidR="006B52A9">
        <w:t>lack</w:t>
      </w:r>
      <w:r w:rsidR="00DB1D78">
        <w:t xml:space="preserve"> </w:t>
      </w:r>
      <w:r w:rsidR="006B52A9">
        <w:t xml:space="preserve">awareness of </w:t>
      </w:r>
      <w:r w:rsidR="000F7F6D">
        <w:t xml:space="preserve">available </w:t>
      </w:r>
      <w:r w:rsidR="009A6609">
        <w:t xml:space="preserve">SGIP </w:t>
      </w:r>
      <w:r w:rsidR="000F7F6D">
        <w:t>incentives</w:t>
      </w:r>
      <w:r w:rsidR="00080F5C">
        <w:t xml:space="preserve">, making </w:t>
      </w:r>
      <w:r w:rsidR="00DB1D78">
        <w:t>customer recr</w:t>
      </w:r>
      <w:r w:rsidR="006879B4">
        <w:t>uitment difficult</w:t>
      </w:r>
      <w:r w:rsidR="00841A93">
        <w:t xml:space="preserve">.  </w:t>
      </w:r>
      <w:r w:rsidR="00333497">
        <w:t xml:space="preserve">CESA states that its members </w:t>
      </w:r>
      <w:r w:rsidR="00513A5C">
        <w:t xml:space="preserve">also </w:t>
      </w:r>
      <w:r w:rsidR="00333497">
        <w:t>lack info</w:t>
      </w:r>
      <w:r w:rsidR="006879B4">
        <w:t xml:space="preserve">rmation on potential customers.  </w:t>
      </w:r>
      <w:r w:rsidR="000D4C7A">
        <w:t>To address this</w:t>
      </w:r>
      <w:r w:rsidR="00080F5C">
        <w:t xml:space="preserve"> information gap</w:t>
      </w:r>
      <w:r w:rsidR="000D4C7A">
        <w:t xml:space="preserve">, </w:t>
      </w:r>
      <w:r w:rsidR="00333497">
        <w:t xml:space="preserve">CESA, </w:t>
      </w:r>
      <w:r w:rsidR="000D4C7A">
        <w:t>Tesla</w:t>
      </w:r>
      <w:r w:rsidR="004B7B7A">
        <w:t xml:space="preserve">, </w:t>
      </w:r>
      <w:r w:rsidR="000D4C7A">
        <w:t>Sunrun</w:t>
      </w:r>
      <w:r w:rsidR="004B7B7A">
        <w:t xml:space="preserve"> </w:t>
      </w:r>
      <w:r w:rsidR="000D4C7A">
        <w:t>and other parties recommend</w:t>
      </w:r>
      <w:r w:rsidR="00B35509">
        <w:t xml:space="preserve"> that the Commission </w:t>
      </w:r>
      <w:r w:rsidR="009A6609">
        <w:t xml:space="preserve">establish and </w:t>
      </w:r>
      <w:r w:rsidR="00513A5C">
        <w:t>fund</w:t>
      </w:r>
      <w:r w:rsidR="009A6609">
        <w:t xml:space="preserve"> a </w:t>
      </w:r>
      <w:r w:rsidR="000D4C7A">
        <w:t xml:space="preserve">customized </w:t>
      </w:r>
      <w:r w:rsidR="00333497">
        <w:t xml:space="preserve">equity budget </w:t>
      </w:r>
      <w:r w:rsidR="000D4C7A">
        <w:t>marketing, education and outreach (ME&amp;O) effort</w:t>
      </w:r>
      <w:r w:rsidR="00333497">
        <w:t xml:space="preserve">.  </w:t>
      </w:r>
      <w:r w:rsidR="00F36B8B">
        <w:t xml:space="preserve">Tesla </w:t>
      </w:r>
      <w:r w:rsidR="00417387">
        <w:t xml:space="preserve">goes further to </w:t>
      </w:r>
      <w:r w:rsidR="00F36B8B">
        <w:t xml:space="preserve">suggest </w:t>
      </w:r>
      <w:r w:rsidR="006879B4">
        <w:t xml:space="preserve">that </w:t>
      </w:r>
      <w:r w:rsidR="00F36B8B">
        <w:t xml:space="preserve">the </w:t>
      </w:r>
      <w:r w:rsidR="00F36B8B">
        <w:lastRenderedPageBreak/>
        <w:t xml:space="preserve">Commission consider establishing </w:t>
      </w:r>
      <w:r w:rsidR="000D4C7A">
        <w:t xml:space="preserve">a </w:t>
      </w:r>
      <w:r w:rsidR="009A6609">
        <w:t xml:space="preserve">single </w:t>
      </w:r>
      <w:r w:rsidR="00B35509">
        <w:t xml:space="preserve">statewide </w:t>
      </w:r>
      <w:r w:rsidR="000D4C7A">
        <w:t>equity</w:t>
      </w:r>
      <w:r w:rsidR="00B35509">
        <w:t xml:space="preserve"> </w:t>
      </w:r>
      <w:r w:rsidR="000D4C7A">
        <w:t>budget PA</w:t>
      </w:r>
      <w:r w:rsidR="00F36B8B">
        <w:t xml:space="preserve"> that reports </w:t>
      </w:r>
      <w:r w:rsidR="006879B4">
        <w:t xml:space="preserve">directly </w:t>
      </w:r>
      <w:r w:rsidR="00F36B8B">
        <w:t xml:space="preserve">to the Commission.  </w:t>
      </w:r>
    </w:p>
    <w:p w14:paraId="43B7C01E" w14:textId="5BA77743" w:rsidR="005D3F7B" w:rsidRDefault="00F36B8B" w:rsidP="00B35509">
      <w:pPr>
        <w:pStyle w:val="ALJBodyText"/>
      </w:pPr>
      <w:r>
        <w:t>Several p</w:t>
      </w:r>
      <w:r w:rsidR="000D4C7A">
        <w:t>a</w:t>
      </w:r>
      <w:r w:rsidR="006879B4">
        <w:t>rties recommend co</w:t>
      </w:r>
      <w:r w:rsidR="00757681">
        <w:noBreakHyphen/>
      </w:r>
      <w:r w:rsidR="006879B4">
        <w:t xml:space="preserve">promotion of the SGIP equity budget and </w:t>
      </w:r>
      <w:r w:rsidR="00513A5C">
        <w:t xml:space="preserve">the </w:t>
      </w:r>
      <w:r w:rsidR="000D4C7A">
        <w:t>SASH, DAC</w:t>
      </w:r>
      <w:r w:rsidR="00757681">
        <w:noBreakHyphen/>
      </w:r>
      <w:r w:rsidR="000D4C7A">
        <w:t>SASH and SOMAH programs</w:t>
      </w:r>
      <w:r w:rsidR="00B35509">
        <w:t xml:space="preserve">.  </w:t>
      </w:r>
      <w:r w:rsidR="000D4C7A">
        <w:t>T</w:t>
      </w:r>
      <w:r w:rsidR="00183EC9">
        <w:t>esla and Sunrun</w:t>
      </w:r>
      <w:r w:rsidR="000D4C7A">
        <w:t xml:space="preserve"> recommend</w:t>
      </w:r>
      <w:r w:rsidR="00183EC9">
        <w:t xml:space="preserve"> </w:t>
      </w:r>
      <w:r w:rsidR="00B35509">
        <w:t xml:space="preserve">that the Commission convene a </w:t>
      </w:r>
      <w:r w:rsidR="000D4C7A">
        <w:t xml:space="preserve">workshop to discuss </w:t>
      </w:r>
      <w:r w:rsidR="00B35509">
        <w:t>co</w:t>
      </w:r>
      <w:r w:rsidR="00757681">
        <w:noBreakHyphen/>
      </w:r>
      <w:r w:rsidR="00B35509">
        <w:t>promotion of these programs</w:t>
      </w:r>
      <w:r w:rsidR="00EB538B">
        <w:t>.  T</w:t>
      </w:r>
      <w:r w:rsidR="00183EC9">
        <w:t xml:space="preserve">hese parties </w:t>
      </w:r>
      <w:r w:rsidR="00EB538B">
        <w:t>also recommend</w:t>
      </w:r>
      <w:r w:rsidR="00513A5C">
        <w:t xml:space="preserve"> that a </w:t>
      </w:r>
      <w:r w:rsidR="00EB538B">
        <w:t xml:space="preserve">customized ME&amp;O </w:t>
      </w:r>
      <w:r w:rsidR="00183EC9">
        <w:t xml:space="preserve">effort </w:t>
      </w:r>
      <w:r w:rsidR="00513A5C">
        <w:t>identify and train “trusted ambassadors” to educat</w:t>
      </w:r>
      <w:r w:rsidR="009A6609">
        <w:t>e</w:t>
      </w:r>
      <w:r w:rsidR="00513A5C">
        <w:t xml:space="preserve"> </w:t>
      </w:r>
      <w:r w:rsidR="00EB538B">
        <w:t xml:space="preserve">equity budget </w:t>
      </w:r>
      <w:r w:rsidR="00183EC9">
        <w:t xml:space="preserve">communities </w:t>
      </w:r>
      <w:r w:rsidR="00513A5C">
        <w:t xml:space="preserve">about the SGIP </w:t>
      </w:r>
      <w:r w:rsidR="00EB538B">
        <w:t xml:space="preserve">as was </w:t>
      </w:r>
      <w:r w:rsidR="007664A8">
        <w:t>approved</w:t>
      </w:r>
      <w:r w:rsidR="00513A5C">
        <w:t xml:space="preserve"> in D.18</w:t>
      </w:r>
      <w:r w:rsidR="00757681">
        <w:noBreakHyphen/>
      </w:r>
      <w:r w:rsidR="00513A5C">
        <w:t>12</w:t>
      </w:r>
      <w:r w:rsidR="00757681">
        <w:noBreakHyphen/>
      </w:r>
      <w:r w:rsidR="00513A5C">
        <w:t>015 for the SJV pilot</w:t>
      </w:r>
      <w:r w:rsidR="007664A8">
        <w:t>s</w:t>
      </w:r>
      <w:r w:rsidR="00417387">
        <w:t xml:space="preserve">.  </w:t>
      </w:r>
      <w:r w:rsidR="009A6609">
        <w:t>D.18</w:t>
      </w:r>
      <w:r w:rsidR="00757681">
        <w:noBreakHyphen/>
      </w:r>
      <w:r w:rsidR="009A6609">
        <w:t>12</w:t>
      </w:r>
      <w:r w:rsidR="00757681">
        <w:noBreakHyphen/>
      </w:r>
      <w:r w:rsidR="009A6609">
        <w:t>015 a</w:t>
      </w:r>
      <w:r w:rsidR="00513A5C">
        <w:t>pproved a Community Energy Navigator</w:t>
      </w:r>
      <w:r w:rsidR="009A6609">
        <w:t xml:space="preserve"> </w:t>
      </w:r>
      <w:r w:rsidR="007664A8">
        <w:t xml:space="preserve">program that </w:t>
      </w:r>
      <w:r w:rsidR="00417387">
        <w:t xml:space="preserve">will </w:t>
      </w:r>
      <w:r w:rsidR="007664A8">
        <w:t>train community leaders</w:t>
      </w:r>
      <w:r w:rsidR="00417387">
        <w:t xml:space="preserve"> </w:t>
      </w:r>
      <w:r w:rsidR="006879B4">
        <w:t xml:space="preserve">living in </w:t>
      </w:r>
      <w:r w:rsidR="00417387">
        <w:t xml:space="preserve">pilot communities to </w:t>
      </w:r>
      <w:r w:rsidR="006879B4">
        <w:t xml:space="preserve">educate their fellow community members on </w:t>
      </w:r>
      <w:r w:rsidR="00513A5C">
        <w:t xml:space="preserve">pilot </w:t>
      </w:r>
      <w:r w:rsidR="006879B4">
        <w:t>objectives</w:t>
      </w:r>
      <w:r w:rsidR="00513A5C">
        <w:t>,</w:t>
      </w:r>
      <w:r w:rsidR="006879B4">
        <w:t xml:space="preserve"> offerings </w:t>
      </w:r>
      <w:r w:rsidR="00417387">
        <w:t xml:space="preserve">and </w:t>
      </w:r>
      <w:r w:rsidR="00513A5C">
        <w:t xml:space="preserve">existing </w:t>
      </w:r>
      <w:r w:rsidR="00EE0355">
        <w:t>low</w:t>
      </w:r>
      <w:r w:rsidR="00757681">
        <w:noBreakHyphen/>
      </w:r>
      <w:r w:rsidR="00EE0355">
        <w:t>income</w:t>
      </w:r>
      <w:r w:rsidR="00513A5C">
        <w:t xml:space="preserve"> customer programs</w:t>
      </w:r>
      <w:r w:rsidR="00417387">
        <w:t>.</w:t>
      </w:r>
      <w:r w:rsidR="00417387">
        <w:rPr>
          <w:rStyle w:val="FootnoteReference"/>
        </w:rPr>
        <w:footnoteReference w:id="76"/>
      </w:r>
    </w:p>
    <w:p w14:paraId="5B9443D0" w14:textId="518FF71D" w:rsidR="00A9242D" w:rsidRDefault="00A9242D" w:rsidP="00B35509">
      <w:pPr>
        <w:pStyle w:val="ALJBodyText"/>
      </w:pPr>
      <w:r>
        <w:t xml:space="preserve">In addition, </w:t>
      </w:r>
      <w:r w:rsidR="009E11B6" w:rsidRPr="009E11B6">
        <w:t>D.19</w:t>
      </w:r>
      <w:r w:rsidR="00757681">
        <w:noBreakHyphen/>
      </w:r>
      <w:r w:rsidR="009E11B6" w:rsidRPr="009E11B6">
        <w:t>05</w:t>
      </w:r>
      <w:r w:rsidR="00757681">
        <w:noBreakHyphen/>
      </w:r>
      <w:r w:rsidR="009E11B6" w:rsidRPr="009E11B6">
        <w:t>042 outlines “advanced education and ou</w:t>
      </w:r>
      <w:r w:rsidR="009E11B6">
        <w:t>treach guidelines” for the IOUs that</w:t>
      </w:r>
      <w:r w:rsidR="00AB49E6">
        <w:t xml:space="preserve"> state that</w:t>
      </w:r>
      <w:r w:rsidR="009E11B6">
        <w:t xml:space="preserve"> “i</w:t>
      </w:r>
      <w:r w:rsidR="009E11B6" w:rsidRPr="009E11B6">
        <w:t>n advance of the 2019 wildfire season, the electric investor</w:t>
      </w:r>
      <w:r w:rsidR="00757681">
        <w:noBreakHyphen/>
      </w:r>
      <w:r w:rsidR="009E11B6" w:rsidRPr="009E11B6">
        <w:t>owned utilities, jointly, must immediately oversee development and execution of </w:t>
      </w:r>
      <w:r w:rsidR="009E11B6" w:rsidRPr="009E11B6">
        <w:rPr>
          <w:i/>
          <w:iCs/>
        </w:rPr>
        <w:t>a </w:t>
      </w:r>
      <w:r w:rsidR="009E11B6" w:rsidRPr="009E11B6">
        <w:rPr>
          <w:b/>
          <w:bCs/>
          <w:i/>
          <w:iCs/>
        </w:rPr>
        <w:t>statewide Public Safety Power Shut</w:t>
      </w:r>
      <w:r w:rsidR="00757681">
        <w:rPr>
          <w:b/>
          <w:bCs/>
          <w:i/>
          <w:iCs/>
        </w:rPr>
        <w:noBreakHyphen/>
      </w:r>
      <w:r w:rsidR="009E11B6" w:rsidRPr="009E11B6">
        <w:rPr>
          <w:b/>
          <w:bCs/>
          <w:i/>
          <w:iCs/>
        </w:rPr>
        <w:t>off education campaign</w:t>
      </w:r>
      <w:r w:rsidR="009E11B6" w:rsidRPr="009E11B6">
        <w:t xml:space="preserve">, developed in partnership with </w:t>
      </w:r>
      <w:r w:rsidR="00AB49E6">
        <w:t>[the Governor’s Office of Emergency Services] (</w:t>
      </w:r>
      <w:r w:rsidR="009E11B6" w:rsidRPr="009E11B6">
        <w:t>CalOES</w:t>
      </w:r>
      <w:r w:rsidR="00AB49E6">
        <w:t>)</w:t>
      </w:r>
      <w:r w:rsidR="009E11B6" w:rsidRPr="009E11B6">
        <w:t xml:space="preserve"> and CAL FIRE, that provides education tailored to the needs of stakeholders, including </w:t>
      </w:r>
      <w:r w:rsidR="009E11B6">
        <w:t xml:space="preserve">[access and functional needs] </w:t>
      </w:r>
      <w:r w:rsidR="009E11B6" w:rsidRPr="009E11B6">
        <w:t>populations, in order to make citizens aware of how to prepare for and obtain information during a prolonged loss of power, including as a result of de</w:t>
      </w:r>
      <w:r w:rsidR="00757681">
        <w:noBreakHyphen/>
      </w:r>
      <w:r w:rsidR="009E11B6" w:rsidRPr="009E11B6">
        <w:t xml:space="preserve">energization. </w:t>
      </w:r>
      <w:r w:rsidR="0032323C">
        <w:t xml:space="preserve"> </w:t>
      </w:r>
      <w:r w:rsidR="009E11B6" w:rsidRPr="009E11B6">
        <w:t>Education and outreach must use best practices outlined in the California Alert and Warning Guidelines to maximize understanding.</w:t>
      </w:r>
      <w:r w:rsidR="0032323C">
        <w:t xml:space="preserve"> </w:t>
      </w:r>
      <w:r w:rsidR="009E11B6" w:rsidRPr="009E11B6">
        <w:t xml:space="preserve"> The electric investor</w:t>
      </w:r>
      <w:r w:rsidR="00757681">
        <w:noBreakHyphen/>
      </w:r>
      <w:r w:rsidR="009E11B6" w:rsidRPr="009E11B6">
        <w:t>owned utilities, in coordination with the above</w:t>
      </w:r>
      <w:r w:rsidR="00757681">
        <w:noBreakHyphen/>
      </w:r>
      <w:r w:rsidR="009E11B6" w:rsidRPr="009E11B6">
        <w:t xml:space="preserve">named agencies, </w:t>
      </w:r>
      <w:r w:rsidR="009E11B6" w:rsidRPr="009E11B6">
        <w:lastRenderedPageBreak/>
        <w:t>must measure effectiveness of education and outreach efforts and adjust efforts accordingly.”</w:t>
      </w:r>
      <w:r w:rsidR="009E11B6">
        <w:rPr>
          <w:rStyle w:val="FootnoteReference"/>
        </w:rPr>
        <w:footnoteReference w:id="77"/>
      </w:r>
      <w:r w:rsidR="009E11B6">
        <w:t xml:space="preserve">  </w:t>
      </w:r>
    </w:p>
    <w:p w14:paraId="21143023" w14:textId="55A3BD16" w:rsidR="00515E14" w:rsidRDefault="00515E14" w:rsidP="00C151FC">
      <w:pPr>
        <w:pStyle w:val="ALJHeading2"/>
      </w:pPr>
      <w:bookmarkStart w:id="64" w:name="_Toc15908088"/>
      <w:r>
        <w:t>Discussion</w:t>
      </w:r>
      <w:bookmarkEnd w:id="64"/>
      <w:r>
        <w:t xml:space="preserve"> </w:t>
      </w:r>
    </w:p>
    <w:p w14:paraId="5C6B86D8" w14:textId="2EACBEC3" w:rsidR="00231C92" w:rsidRDefault="005500EA" w:rsidP="00231C92">
      <w:pPr>
        <w:pStyle w:val="ALJBodyText"/>
      </w:pPr>
      <w:r>
        <w:t>We direct the PAs to develop a customized equity budget ME&amp;O Plan</w:t>
      </w:r>
      <w:r w:rsidR="009A6609">
        <w:t xml:space="preserve"> </w:t>
      </w:r>
      <w:r w:rsidR="003A7970">
        <w:t>(</w:t>
      </w:r>
      <w:r w:rsidR="009A6609">
        <w:t>Plan)</w:t>
      </w:r>
      <w:r>
        <w:t xml:space="preserve"> </w:t>
      </w:r>
      <w:r w:rsidR="009A6609">
        <w:t>to co</w:t>
      </w:r>
      <w:r w:rsidR="00757681">
        <w:noBreakHyphen/>
      </w:r>
      <w:r w:rsidR="009A6609">
        <w:t>promote SGIP equity budget incentives alongside those for the SASH, DAC</w:t>
      </w:r>
      <w:r w:rsidR="00757681">
        <w:noBreakHyphen/>
      </w:r>
      <w:r w:rsidR="009A6609">
        <w:t>SASH an</w:t>
      </w:r>
      <w:r w:rsidR="009F56F0">
        <w:t>d SOMAH incentives.</w:t>
      </w:r>
      <w:r w:rsidR="00AC0EF3">
        <w:rPr>
          <w:rStyle w:val="FootnoteReference"/>
        </w:rPr>
        <w:footnoteReference w:id="78"/>
      </w:r>
      <w:r w:rsidR="009F56F0">
        <w:t xml:space="preserve">  The PAs shall consult </w:t>
      </w:r>
      <w:r w:rsidR="009A6609">
        <w:t>with Commission staff</w:t>
      </w:r>
      <w:r w:rsidR="00147BBF">
        <w:t xml:space="preserve"> </w:t>
      </w:r>
      <w:r w:rsidR="004251AE">
        <w:t xml:space="preserve">and disability rights advocates </w:t>
      </w:r>
      <w:r w:rsidR="00147BBF">
        <w:t xml:space="preserve">on the development of the </w:t>
      </w:r>
      <w:r w:rsidR="003A7970">
        <w:t>P</w:t>
      </w:r>
      <w:r w:rsidR="00147BBF">
        <w:t xml:space="preserve">lan, which may include </w:t>
      </w:r>
      <w:r w:rsidR="00AB49E6">
        <w:t xml:space="preserve">the PAs </w:t>
      </w:r>
      <w:r w:rsidR="00147BBF">
        <w:t>convening a workshop</w:t>
      </w:r>
      <w:r w:rsidR="009A6609">
        <w:t xml:space="preserve"> to discuss </w:t>
      </w:r>
      <w:r w:rsidR="003A7970">
        <w:t>it</w:t>
      </w:r>
      <w:r w:rsidR="00147BBF">
        <w:t>,</w:t>
      </w:r>
      <w:r w:rsidR="009F56F0">
        <w:t xml:space="preserve"> and should </w:t>
      </w:r>
      <w:r w:rsidR="009A6609">
        <w:t>include a proposal for co</w:t>
      </w:r>
      <w:r w:rsidR="00757681">
        <w:noBreakHyphen/>
      </w:r>
      <w:r w:rsidR="009A6609">
        <w:t xml:space="preserve">promoting these programs </w:t>
      </w:r>
      <w:r>
        <w:t xml:space="preserve">in the Tier 2 Advice Letter directed in this decision.  </w:t>
      </w:r>
      <w:r w:rsidR="00231C92">
        <w:t xml:space="preserve">The PAs shall allocate </w:t>
      </w:r>
      <w:r w:rsidR="003A7970">
        <w:t xml:space="preserve">no more than 10 percent of their </w:t>
      </w:r>
      <w:r w:rsidR="00FF4975">
        <w:t>accumulated unused</w:t>
      </w:r>
      <w:r w:rsidR="003A7970">
        <w:t xml:space="preserve"> administrative budgets to </w:t>
      </w:r>
      <w:r w:rsidR="00231C92">
        <w:t>fund</w:t>
      </w:r>
      <w:r w:rsidR="003A7970">
        <w:t xml:space="preserve"> </w:t>
      </w:r>
      <w:r w:rsidR="00231C92">
        <w:t>the Plan</w:t>
      </w:r>
      <w:r w:rsidR="003A7970">
        <w:t>.</w:t>
      </w:r>
      <w:r w:rsidR="00D54660">
        <w:rPr>
          <w:rStyle w:val="FootnoteReference"/>
        </w:rPr>
        <w:footnoteReference w:id="79"/>
      </w:r>
    </w:p>
    <w:p w14:paraId="6EE76112" w14:textId="359A2F37" w:rsidR="0027736B" w:rsidRDefault="00DB47D7" w:rsidP="009A6609">
      <w:pPr>
        <w:pStyle w:val="ALJBodyText"/>
      </w:pPr>
      <w:r>
        <w:t xml:space="preserve">The Plan should </w:t>
      </w:r>
      <w:r w:rsidR="009A6609">
        <w:t xml:space="preserve">focus on rapidly informing </w:t>
      </w:r>
      <w:r>
        <w:t xml:space="preserve">equity budget customers with </w:t>
      </w:r>
      <w:r w:rsidR="00080F5C">
        <w:t xml:space="preserve">the greatest </w:t>
      </w:r>
      <w:r>
        <w:t xml:space="preserve">resiliency needs as defined in </w:t>
      </w:r>
      <w:r w:rsidRPr="00C21C70">
        <w:t xml:space="preserve">Section </w:t>
      </w:r>
      <w:r w:rsidR="00D87304" w:rsidRPr="00D32CB0">
        <w:t>4.4.2</w:t>
      </w:r>
      <w:r>
        <w:t xml:space="preserve"> about </w:t>
      </w:r>
      <w:r w:rsidR="009A6609">
        <w:t xml:space="preserve">the </w:t>
      </w:r>
      <w:r>
        <w:t>availab</w:t>
      </w:r>
      <w:r w:rsidR="009A6609">
        <w:t>ility of</w:t>
      </w:r>
      <w:r>
        <w:t xml:space="preserve"> SGIP incentives.  Th</w:t>
      </w:r>
      <w:r w:rsidR="009A6609">
        <w:t xml:space="preserve">e Plan </w:t>
      </w:r>
      <w:r w:rsidR="00A110AC">
        <w:t xml:space="preserve">should </w:t>
      </w:r>
      <w:r w:rsidR="009F56F0">
        <w:t xml:space="preserve">also </w:t>
      </w:r>
      <w:r>
        <w:t xml:space="preserve">inform such customers </w:t>
      </w:r>
      <w:r w:rsidR="009A6609">
        <w:t xml:space="preserve">about </w:t>
      </w:r>
      <w:r>
        <w:t xml:space="preserve">how they can </w:t>
      </w:r>
      <w:r w:rsidR="009A6609">
        <w:t xml:space="preserve">identify and </w:t>
      </w:r>
      <w:r w:rsidR="00A110AC">
        <w:t xml:space="preserve">apply for </w:t>
      </w:r>
      <w:r>
        <w:t>battery storage</w:t>
      </w:r>
      <w:r w:rsidR="00A110AC">
        <w:t xml:space="preserve"> </w:t>
      </w:r>
      <w:r w:rsidR="009A6609">
        <w:t xml:space="preserve">systems </w:t>
      </w:r>
      <w:r w:rsidR="00A110AC">
        <w:t>that are appropriate for resiliency</w:t>
      </w:r>
      <w:r>
        <w:t xml:space="preserve">. </w:t>
      </w:r>
      <w:r w:rsidR="009F56F0">
        <w:t xml:space="preserve"> </w:t>
      </w:r>
      <w:r w:rsidR="00374456">
        <w:t xml:space="preserve">We direct the PAs to notify the Commission’s </w:t>
      </w:r>
      <w:r w:rsidR="009A6609">
        <w:t xml:space="preserve">DAC Advisory Group, </w:t>
      </w:r>
      <w:r w:rsidR="00A110AC">
        <w:t>and</w:t>
      </w:r>
      <w:r>
        <w:t xml:space="preserve"> the service list</w:t>
      </w:r>
      <w:r w:rsidR="009A6609">
        <w:t>s</w:t>
      </w:r>
      <w:r>
        <w:t xml:space="preserve"> of</w:t>
      </w:r>
      <w:r w:rsidR="009A6609">
        <w:t xml:space="preserve"> R.12</w:t>
      </w:r>
      <w:r w:rsidR="00757681">
        <w:noBreakHyphen/>
      </w:r>
      <w:r w:rsidR="009A6609">
        <w:t>11</w:t>
      </w:r>
      <w:r w:rsidR="00757681">
        <w:noBreakHyphen/>
      </w:r>
      <w:r w:rsidR="009A6609">
        <w:t>005</w:t>
      </w:r>
      <w:r w:rsidR="00AB49E6">
        <w:t xml:space="preserve">, </w:t>
      </w:r>
      <w:r>
        <w:t>R.15</w:t>
      </w:r>
      <w:r w:rsidR="00757681">
        <w:noBreakHyphen/>
      </w:r>
      <w:r>
        <w:t>03</w:t>
      </w:r>
      <w:r w:rsidR="00757681">
        <w:noBreakHyphen/>
      </w:r>
      <w:r>
        <w:t xml:space="preserve">010 </w:t>
      </w:r>
      <w:r w:rsidR="00AB49E6">
        <w:t>and R.18</w:t>
      </w:r>
      <w:r w:rsidR="00757681">
        <w:noBreakHyphen/>
      </w:r>
      <w:r w:rsidR="00AB49E6">
        <w:t>12</w:t>
      </w:r>
      <w:r w:rsidR="00757681">
        <w:noBreakHyphen/>
      </w:r>
      <w:r w:rsidR="00AB49E6">
        <w:t xml:space="preserve">005 </w:t>
      </w:r>
      <w:r w:rsidR="00D26BE9">
        <w:t xml:space="preserve">at least 10 days in advance </w:t>
      </w:r>
      <w:r w:rsidR="00A110AC">
        <w:t xml:space="preserve">of </w:t>
      </w:r>
      <w:r w:rsidR="00374456">
        <w:t>th</w:t>
      </w:r>
      <w:r w:rsidR="00D26BE9">
        <w:t>e</w:t>
      </w:r>
      <w:r w:rsidR="009A6609">
        <w:t xml:space="preserve"> </w:t>
      </w:r>
      <w:r w:rsidR="00465D83">
        <w:t>work</w:t>
      </w:r>
      <w:r w:rsidR="009A6609">
        <w:t>shop</w:t>
      </w:r>
      <w:r w:rsidR="00F400D0">
        <w:t>, if a workshop is held</w:t>
      </w:r>
      <w:r w:rsidR="00D26BE9">
        <w:t>.</w:t>
      </w:r>
      <w:r w:rsidR="00374456">
        <w:t xml:space="preserve"> </w:t>
      </w:r>
      <w:r w:rsidR="00AC0EF3">
        <w:t xml:space="preserve"> In addition, if a workshop is held, the PAs should notify and include in the discussions, as feasible, representatives of disadvantaged communities in Tier 3 and Tier 2 locations, California Indian Country, the low</w:t>
      </w:r>
      <w:r w:rsidR="00757681">
        <w:noBreakHyphen/>
      </w:r>
      <w:r w:rsidR="00AC0EF3">
        <w:t xml:space="preserve">income solar program PAs, local </w:t>
      </w:r>
      <w:r w:rsidR="00AC0EF3">
        <w:lastRenderedPageBreak/>
        <w:t xml:space="preserve">governments, </w:t>
      </w:r>
      <w:r w:rsidR="001F30AE">
        <w:t xml:space="preserve">disability rights advocates, </w:t>
      </w:r>
      <w:r w:rsidR="00AC0EF3">
        <w:t xml:space="preserve">and community choice aggregators (CCAs). </w:t>
      </w:r>
      <w:r w:rsidR="00AB49E6">
        <w:t xml:space="preserve"> If it occurs, t</w:t>
      </w:r>
      <w:r w:rsidR="00AC0EF3">
        <w:t>he workshop</w:t>
      </w:r>
      <w:r w:rsidR="00AB49E6">
        <w:t xml:space="preserve"> </w:t>
      </w:r>
      <w:r w:rsidR="00CC0C12">
        <w:t>c</w:t>
      </w:r>
      <w:r w:rsidR="00AC0EF3">
        <w:t xml:space="preserve">ould include discussion of the need for the Plan to: </w:t>
      </w:r>
    </w:p>
    <w:p w14:paraId="2C3300BD" w14:textId="2EB883EA" w:rsidR="00AC0EF3" w:rsidRPr="00AC0EF3" w:rsidRDefault="00AC0EF3" w:rsidP="00AC0EF3">
      <w:pPr>
        <w:pStyle w:val="ALJBodyText"/>
        <w:numPr>
          <w:ilvl w:val="0"/>
          <w:numId w:val="44"/>
        </w:numPr>
      </w:pPr>
      <w:r>
        <w:t>Prioritize</w:t>
      </w:r>
      <w:r w:rsidRPr="00AC0EF3">
        <w:t xml:space="preserve"> providing resiliency resources to customers with life</w:t>
      </w:r>
      <w:r w:rsidR="00757681">
        <w:noBreakHyphen/>
      </w:r>
      <w:r w:rsidRPr="00AC0EF3">
        <w:t>support designations and first</w:t>
      </w:r>
      <w:r w:rsidR="00757681">
        <w:noBreakHyphen/>
      </w:r>
      <w:r w:rsidRPr="00AC0EF3">
        <w:t>responder, medical, water, and sanitation facilities first;</w:t>
      </w:r>
    </w:p>
    <w:p w14:paraId="3BB0156C" w14:textId="27DB2BCF" w:rsidR="00AC0EF3" w:rsidRPr="00AC0EF3" w:rsidRDefault="00AC0EF3" w:rsidP="00AC0EF3">
      <w:pPr>
        <w:pStyle w:val="ALJBodyText"/>
        <w:numPr>
          <w:ilvl w:val="0"/>
          <w:numId w:val="44"/>
        </w:numPr>
      </w:pPr>
      <w:r>
        <w:t xml:space="preserve">Support work by </w:t>
      </w:r>
      <w:r w:rsidRPr="00AC0EF3">
        <w:t>distribution utilities to identify all life</w:t>
      </w:r>
      <w:r w:rsidR="00757681">
        <w:noBreakHyphen/>
      </w:r>
      <w:r w:rsidRPr="00AC0EF3">
        <w:t>support customers located within their service territories</w:t>
      </w:r>
      <w:r>
        <w:t xml:space="preserve"> and </w:t>
      </w:r>
      <w:r w:rsidRPr="00AC0EF3">
        <w:t xml:space="preserve">share this list with the appropriate PAs, who </w:t>
      </w:r>
      <w:r>
        <w:t xml:space="preserve">could then </w:t>
      </w:r>
      <w:r w:rsidRPr="00AC0EF3">
        <w:t>reach out to life</w:t>
      </w:r>
      <w:r w:rsidR="00757681">
        <w:noBreakHyphen/>
      </w:r>
      <w:r w:rsidRPr="00AC0EF3">
        <w:t xml:space="preserve">support customers in high PSPS risk </w:t>
      </w:r>
      <w:r>
        <w:t xml:space="preserve">areas and </w:t>
      </w:r>
      <w:r w:rsidRPr="00AC0EF3">
        <w:t xml:space="preserve">take steps to inform customers in such areas about the availability of equity resiliency incentives; and, </w:t>
      </w:r>
    </w:p>
    <w:p w14:paraId="7F4F9C7A" w14:textId="270C8F6F" w:rsidR="00AC0EF3" w:rsidRDefault="00AC0EF3" w:rsidP="00BA004B">
      <w:pPr>
        <w:pStyle w:val="ALJBodyText"/>
        <w:numPr>
          <w:ilvl w:val="0"/>
          <w:numId w:val="44"/>
        </w:numPr>
      </w:pPr>
      <w:r>
        <w:t xml:space="preserve">Support work to </w:t>
      </w:r>
      <w:r w:rsidRPr="00AC0EF3">
        <w:t>proactively contact local agencies that provide life</w:t>
      </w:r>
      <w:r w:rsidR="00757681">
        <w:noBreakHyphen/>
      </w:r>
      <w:r w:rsidRPr="00AC0EF3">
        <w:t xml:space="preserve">sustaining public services to high PSPS risk residents and work with them to identify resiliency resource needs and provide subsidized resiliency resources to meet those needs.  </w:t>
      </w:r>
    </w:p>
    <w:p w14:paraId="7DC2EBA0" w14:textId="1B07F34C" w:rsidR="009E11B6" w:rsidRDefault="005500EA" w:rsidP="00515E14">
      <w:pPr>
        <w:pStyle w:val="ALJBodyText"/>
      </w:pPr>
      <w:r>
        <w:t>Requiring the PAs to dev</w:t>
      </w:r>
      <w:r w:rsidR="007A6C18">
        <w:t xml:space="preserve">elop and implement a </w:t>
      </w:r>
      <w:r>
        <w:t>customized Plan</w:t>
      </w:r>
      <w:r w:rsidR="00D26BE9">
        <w:t xml:space="preserve"> will </w:t>
      </w:r>
      <w:r w:rsidR="007A6C18">
        <w:t>increase</w:t>
      </w:r>
      <w:r>
        <w:t xml:space="preserve"> awareness of the equity budget </w:t>
      </w:r>
      <w:r w:rsidR="00A110AC">
        <w:t xml:space="preserve">in </w:t>
      </w:r>
      <w:r>
        <w:t xml:space="preserve">eligible communities and </w:t>
      </w:r>
      <w:r w:rsidR="00D26BE9">
        <w:t xml:space="preserve">help increase </w:t>
      </w:r>
      <w:r>
        <w:t xml:space="preserve">participation. </w:t>
      </w:r>
      <w:r w:rsidR="009F56F0">
        <w:t xml:space="preserve"> In addition, co</w:t>
      </w:r>
      <w:r w:rsidR="00757681">
        <w:noBreakHyphen/>
      </w:r>
      <w:r w:rsidR="009F56F0">
        <w:t>promoting</w:t>
      </w:r>
      <w:r w:rsidR="00D26BE9">
        <w:t xml:space="preserve"> the equity budget and the SOMAH, SASH and DAC</w:t>
      </w:r>
      <w:r w:rsidR="00757681">
        <w:noBreakHyphen/>
      </w:r>
      <w:r w:rsidR="00D26BE9">
        <w:t xml:space="preserve">SASH programs leverages limited resources and helps </w:t>
      </w:r>
      <w:r>
        <w:t>ensure that the</w:t>
      </w:r>
      <w:r w:rsidR="00D26BE9">
        <w:t xml:space="preserve"> </w:t>
      </w:r>
      <w:r>
        <w:t>Plan appropriately shapes messages for potential customers</w:t>
      </w:r>
      <w:r w:rsidR="00D26BE9">
        <w:t>.</w:t>
      </w:r>
      <w:r w:rsidR="0032323C">
        <w:t xml:space="preserve"> </w:t>
      </w:r>
      <w:r w:rsidR="00D26BE9">
        <w:t xml:space="preserve"> </w:t>
      </w:r>
      <w:r w:rsidR="009F56F0">
        <w:t xml:space="preserve">It is also important that the SGIP </w:t>
      </w:r>
      <w:r w:rsidR="00D26BE9">
        <w:t xml:space="preserve">PAs to </w:t>
      </w:r>
      <w:r w:rsidR="007A6C18">
        <w:t xml:space="preserve">take specific steps to </w:t>
      </w:r>
      <w:r w:rsidR="009F56F0">
        <w:t xml:space="preserve">rapidly </w:t>
      </w:r>
      <w:r w:rsidR="007A6C18">
        <w:t xml:space="preserve">reach equity budget customers with critical resiliency needs </w:t>
      </w:r>
      <w:r w:rsidR="009F56F0">
        <w:t>to ensure that such customers receive the information they need to utilize SGIP incentives</w:t>
      </w:r>
      <w:r w:rsidR="00CC0C12">
        <w:t xml:space="preserve"> and to appropriately and strategically collaborate with local governments and others to prioritize outreach efforts. </w:t>
      </w:r>
    </w:p>
    <w:p w14:paraId="0B39CC01" w14:textId="77122E30" w:rsidR="009F56F0" w:rsidRDefault="009E11B6" w:rsidP="00515E14">
      <w:pPr>
        <w:pStyle w:val="ALJBodyText"/>
      </w:pPr>
      <w:r>
        <w:lastRenderedPageBreak/>
        <w:t>Along these lines, the PAs should review and, to</w:t>
      </w:r>
      <w:r w:rsidR="00AB49E6">
        <w:t xml:space="preserve"> the extent possible, include in the Plan activities to educate customers about </w:t>
      </w:r>
      <w:r>
        <w:t>the availability of equit</w:t>
      </w:r>
      <w:r w:rsidR="00AB49E6">
        <w:t xml:space="preserve">y resiliency incentives using </w:t>
      </w:r>
      <w:r>
        <w:t xml:space="preserve">key </w:t>
      </w:r>
      <w:r w:rsidR="00AB49E6">
        <w:t xml:space="preserve">emerging PSPS </w:t>
      </w:r>
      <w:r>
        <w:t xml:space="preserve">resources such as the </w:t>
      </w:r>
      <w:r w:rsidR="00AB49E6">
        <w:t xml:space="preserve">“Prepare for Power Down” </w:t>
      </w:r>
      <w:r w:rsidRPr="009E11B6">
        <w:t>statewi</w:t>
      </w:r>
      <w:r w:rsidR="00AB49E6">
        <w:t xml:space="preserve">de campaign, </w:t>
      </w:r>
      <w:r w:rsidRPr="009E11B6">
        <w:t>funded b</w:t>
      </w:r>
      <w:r w:rsidR="00AB49E6">
        <w:t xml:space="preserve">y the electric IOUs, that </w:t>
      </w:r>
      <w:r w:rsidRPr="009E11B6">
        <w:t>directs customers to a single place from which they can find links to the offerings of their particular service p</w:t>
      </w:r>
      <w:r w:rsidR="00AB49E6">
        <w:t>rovider regarding PSPS events.</w:t>
      </w:r>
      <w:r w:rsidR="00AB49E6">
        <w:rPr>
          <w:rStyle w:val="FootnoteReference"/>
        </w:rPr>
        <w:footnoteReference w:id="80"/>
      </w:r>
      <w:r w:rsidR="00AB49E6">
        <w:t xml:space="preserve">  There may be similar PSPS education campaigns funded through the CalOES that would be appropriate for equity resiliency budget promotional activities to coordinate with.</w:t>
      </w:r>
    </w:p>
    <w:p w14:paraId="727D8CA3" w14:textId="04AF65F1" w:rsidR="007A6C18" w:rsidRDefault="009F56F0" w:rsidP="00515E14">
      <w:pPr>
        <w:pStyle w:val="ALJBodyText"/>
      </w:pPr>
      <w:r w:rsidRPr="00F42D19">
        <w:t>In addition, it is reasonable for the ME&amp;O Plan to include training of local residents in communities qualifying for equity budget incentives, as this will increase trust and therefore awareness about and use of the equity resiliency incentives.  The SGIP PAs should assess this option and include it in the ME&amp;O Plan as desired.</w:t>
      </w:r>
      <w:r>
        <w:t xml:space="preserve"> </w:t>
      </w:r>
    </w:p>
    <w:p w14:paraId="7606CE93" w14:textId="4C2B7AF0" w:rsidR="007A6C18" w:rsidRPr="00515E14" w:rsidRDefault="009F56F0" w:rsidP="00515E14">
      <w:pPr>
        <w:pStyle w:val="ALJBodyText"/>
      </w:pPr>
      <w:r>
        <w:t>W</w:t>
      </w:r>
      <w:r w:rsidR="007A6C18">
        <w:t xml:space="preserve">e do not </w:t>
      </w:r>
      <w:r>
        <w:t xml:space="preserve">at this time </w:t>
      </w:r>
      <w:r w:rsidR="007A6C18">
        <w:t xml:space="preserve">adopt Tesla’s suggestion that the Commission establish a single, statewide PA for the equity budget and related </w:t>
      </w:r>
      <w:r w:rsidR="00F51958">
        <w:t xml:space="preserve">Plan. </w:t>
      </w:r>
      <w:r w:rsidR="00841A93">
        <w:t xml:space="preserve"> </w:t>
      </w:r>
      <w:r w:rsidR="007A6C18">
        <w:t xml:space="preserve">Although there </w:t>
      </w:r>
      <w:r w:rsidR="00F51958">
        <w:t xml:space="preserve">may </w:t>
      </w:r>
      <w:r w:rsidR="007A6C18">
        <w:t xml:space="preserve">be benefits to such an approach, </w:t>
      </w:r>
      <w:r w:rsidR="00F51958">
        <w:t>establishing a new PA will</w:t>
      </w:r>
      <w:r w:rsidR="007A6C18">
        <w:t xml:space="preserve"> take </w:t>
      </w:r>
      <w:r w:rsidR="00F51958">
        <w:t xml:space="preserve">time </w:t>
      </w:r>
      <w:r w:rsidR="007A6C18">
        <w:t xml:space="preserve">and could disrupt awarding incentives in the next several years.  </w:t>
      </w:r>
      <w:r w:rsidR="00CC0C12">
        <w:t xml:space="preserve">However, PAs may propose competitively contracting equity resiliency budget ME&amp;O </w:t>
      </w:r>
      <w:r w:rsidR="00344BE0">
        <w:t xml:space="preserve">Plan </w:t>
      </w:r>
      <w:r w:rsidR="00CC0C12">
        <w:t xml:space="preserve">activities to a single statewide third party if they wish.  In addition, local governments and CCAs may be appropriate to implement components of the Plan, depending on the activities that emerge via planning discussions. </w:t>
      </w:r>
    </w:p>
    <w:p w14:paraId="0C4F3D5E" w14:textId="6BDD9E12" w:rsidR="00586370" w:rsidRDefault="00CB1D5B" w:rsidP="00CE14ED">
      <w:pPr>
        <w:pStyle w:val="ALJHeading1"/>
      </w:pPr>
      <w:bookmarkStart w:id="65" w:name="_Toc15908089"/>
      <w:r>
        <w:lastRenderedPageBreak/>
        <w:t xml:space="preserve">Equity Budget </w:t>
      </w:r>
      <w:r w:rsidR="00586370">
        <w:t>Developer Cap</w:t>
      </w:r>
      <w:bookmarkEnd w:id="65"/>
      <w:r w:rsidR="00586370">
        <w:t xml:space="preserve"> </w:t>
      </w:r>
    </w:p>
    <w:p w14:paraId="55F65B24" w14:textId="5B2EDB7D" w:rsidR="00E17279" w:rsidRDefault="00E17279" w:rsidP="00EB2CED">
      <w:pPr>
        <w:pStyle w:val="ALJBodyText"/>
      </w:pPr>
      <w:r>
        <w:t xml:space="preserve">Currently, SGIP rules limit </w:t>
      </w:r>
      <w:r w:rsidR="005E1470">
        <w:t>a</w:t>
      </w:r>
      <w:r w:rsidR="005E1470" w:rsidRPr="00B72C9E">
        <w:t xml:space="preserve">ny single </w:t>
      </w:r>
      <w:r w:rsidR="005E1470">
        <w:t>d</w:t>
      </w:r>
      <w:r w:rsidR="005E1470" w:rsidRPr="00B72C9E">
        <w:t>eveloper to 20</w:t>
      </w:r>
      <w:r w:rsidR="005E1470">
        <w:t xml:space="preserve"> percent</w:t>
      </w:r>
      <w:r w:rsidR="009F56F0">
        <w:t xml:space="preserve"> of </w:t>
      </w:r>
      <w:r w:rsidR="005E1470" w:rsidRPr="00B72C9E">
        <w:t>SGIP incentive funding for a given budget category in each statewide incentive step.</w:t>
      </w:r>
      <w:r w:rsidR="009F56F0">
        <w:rPr>
          <w:rStyle w:val="FootnoteReference"/>
        </w:rPr>
        <w:footnoteReference w:id="81"/>
      </w:r>
      <w:r w:rsidR="00F51958">
        <w:t xml:space="preserve">  The cap was designed to ensure the incentives are spread among various developers, rather than giving a majority of the funding to one or a few well</w:t>
      </w:r>
      <w:r w:rsidR="00757681">
        <w:noBreakHyphen/>
      </w:r>
      <w:r w:rsidR="00F51958">
        <w:t xml:space="preserve">known providers such as Tesla. </w:t>
      </w:r>
      <w:r w:rsidR="005E1470" w:rsidRPr="00B72C9E">
        <w:t xml:space="preserve"> </w:t>
      </w:r>
      <w:r w:rsidR="00EB2CED">
        <w:t xml:space="preserve">The SGIP ACR </w:t>
      </w:r>
      <w:r w:rsidR="004D21A8">
        <w:t>asked p</w:t>
      </w:r>
      <w:r w:rsidR="007A6C18">
        <w:t xml:space="preserve">arties to comment on whether the Commission </w:t>
      </w:r>
      <w:r w:rsidR="004F28C6">
        <w:t>should</w:t>
      </w:r>
      <w:r w:rsidR="007A6C18">
        <w:t xml:space="preserve"> modify the </w:t>
      </w:r>
      <w:r w:rsidR="004D21A8" w:rsidRPr="004D21A8">
        <w:t xml:space="preserve">developer cap </w:t>
      </w:r>
      <w:r w:rsidR="007A6C18">
        <w:t>as it applies to the equity budget</w:t>
      </w:r>
      <w:r w:rsidR="004D21A8">
        <w:t xml:space="preserve">.  </w:t>
      </w:r>
    </w:p>
    <w:p w14:paraId="155C7FEA" w14:textId="66984F09" w:rsidR="004D21A8" w:rsidRDefault="004D21A8" w:rsidP="00C151FC">
      <w:pPr>
        <w:pStyle w:val="ALJHeading2"/>
      </w:pPr>
      <w:bookmarkStart w:id="66" w:name="_Toc15908090"/>
      <w:r>
        <w:t>Party Comments</w:t>
      </w:r>
      <w:bookmarkEnd w:id="66"/>
    </w:p>
    <w:p w14:paraId="7C1D09C5" w14:textId="1B0D6355" w:rsidR="004D21A8" w:rsidRDefault="007A6C18" w:rsidP="004D21A8">
      <w:pPr>
        <w:pStyle w:val="ALJBodyText"/>
      </w:pPr>
      <w:r>
        <w:t xml:space="preserve">A number of </w:t>
      </w:r>
      <w:r w:rsidR="00605537">
        <w:t xml:space="preserve">parties </w:t>
      </w:r>
      <w:r>
        <w:t>recommend</w:t>
      </w:r>
      <w:r w:rsidR="00DD2821">
        <w:t xml:space="preserve"> eliminating the </w:t>
      </w:r>
      <w:r w:rsidR="007B293F">
        <w:t>developer cap for the equity budget (Tesla, Sunrun, CALSSA, CESA, GRID/</w:t>
      </w:r>
      <w:r w:rsidR="00C54DFC">
        <w:t>CHPC</w:t>
      </w:r>
      <w:r w:rsidR="007B293F">
        <w:t>).</w:t>
      </w:r>
      <w:r>
        <w:t xml:space="preserve">  These parties argue</w:t>
      </w:r>
      <w:r w:rsidR="00F176F9">
        <w:t xml:space="preserve"> that the developer cap detracts fro</w:t>
      </w:r>
      <w:r>
        <w:t>m</w:t>
      </w:r>
      <w:r w:rsidR="00A22BB9">
        <w:t xml:space="preserve"> the equity budget’s main goal of installing storage systems </w:t>
      </w:r>
      <w:r>
        <w:t>in qualifying communities and homes</w:t>
      </w:r>
      <w:r w:rsidR="003E00FB">
        <w:t xml:space="preserve"> and that developers that </w:t>
      </w:r>
      <w:r w:rsidR="00A22BB9">
        <w:t xml:space="preserve">seek to </w:t>
      </w:r>
      <w:r w:rsidR="003E00FB">
        <w:t xml:space="preserve">master </w:t>
      </w:r>
      <w:r w:rsidR="00A22BB9">
        <w:t xml:space="preserve">the unique requirements of serving </w:t>
      </w:r>
      <w:r w:rsidR="003E00FB">
        <w:t>this mar</w:t>
      </w:r>
      <w:r w:rsidR="00A22BB9">
        <w:t>ket should be allowed to grow.  GRID/</w:t>
      </w:r>
      <w:r w:rsidR="00C54DFC">
        <w:t>CHPC</w:t>
      </w:r>
      <w:r w:rsidR="00A22BB9">
        <w:t xml:space="preserve"> state that installing </w:t>
      </w:r>
      <w:r w:rsidR="008611EF">
        <w:t xml:space="preserve">storage in </w:t>
      </w:r>
      <w:r w:rsidR="00A22BB9">
        <w:t>qualifying homes and communities</w:t>
      </w:r>
      <w:r w:rsidR="008A2AF2">
        <w:t xml:space="preserve"> is a niche market that </w:t>
      </w:r>
      <w:r w:rsidR="008611EF">
        <w:t xml:space="preserve">only </w:t>
      </w:r>
      <w:r w:rsidR="00353AED">
        <w:t xml:space="preserve">a </w:t>
      </w:r>
      <w:r w:rsidR="008A2AF2">
        <w:t>small</w:t>
      </w:r>
      <w:r w:rsidR="00353AED">
        <w:t xml:space="preserve"> number of</w:t>
      </w:r>
      <w:r w:rsidR="008A2AF2">
        <w:t xml:space="preserve"> developers are </w:t>
      </w:r>
      <w:r w:rsidR="00A22BB9">
        <w:t>currently pursuing.</w:t>
      </w:r>
      <w:r w:rsidR="0032323C">
        <w:t xml:space="preserve"> </w:t>
      </w:r>
      <w:r w:rsidR="00A22BB9">
        <w:t xml:space="preserve"> These parties argue that maintaining the </w:t>
      </w:r>
      <w:r w:rsidR="008A2AF2">
        <w:t xml:space="preserve">developer cap </w:t>
      </w:r>
      <w:r w:rsidR="00A22BB9">
        <w:t xml:space="preserve">for the equity budget </w:t>
      </w:r>
      <w:r w:rsidR="008A2AF2">
        <w:t xml:space="preserve">could stall </w:t>
      </w:r>
      <w:r w:rsidR="00F51958">
        <w:t xml:space="preserve">the equity budget program as well as </w:t>
      </w:r>
      <w:r w:rsidR="008A2AF2">
        <w:t>market growth</w:t>
      </w:r>
      <w:r w:rsidR="00A22BB9">
        <w:t xml:space="preserve">.  </w:t>
      </w:r>
      <w:r w:rsidR="008A2AF2">
        <w:t xml:space="preserve">Sunrun states that a </w:t>
      </w:r>
      <w:r w:rsidR="008611EF">
        <w:t xml:space="preserve">developer </w:t>
      </w:r>
      <w:r w:rsidR="008A2AF2">
        <w:t xml:space="preserve">cap </w:t>
      </w:r>
      <w:r w:rsidR="00A22BB9">
        <w:t>inhibits a single developer from implementing community</w:t>
      </w:r>
      <w:r w:rsidR="00757681">
        <w:noBreakHyphen/>
      </w:r>
      <w:r w:rsidR="00A22BB9">
        <w:t xml:space="preserve">level solutions in areas with </w:t>
      </w:r>
      <w:r w:rsidR="004C12D5">
        <w:t>constrained distribution systems</w:t>
      </w:r>
      <w:r w:rsidR="00A22BB9">
        <w:t xml:space="preserve">, such as installing storage in clusters of housing.  </w:t>
      </w:r>
      <w:r w:rsidR="004C12D5">
        <w:t>Tesla argue</w:t>
      </w:r>
      <w:r w:rsidR="00F51958">
        <w:t>s</w:t>
      </w:r>
      <w:r w:rsidR="004C12D5">
        <w:t xml:space="preserve"> that a cap </w:t>
      </w:r>
      <w:r w:rsidR="00876143">
        <w:t xml:space="preserve">seems “strange” to customers and </w:t>
      </w:r>
      <w:r w:rsidR="008611EF">
        <w:t xml:space="preserve">will </w:t>
      </w:r>
      <w:r w:rsidR="00DF1F22">
        <w:t xml:space="preserve">inhibit those that </w:t>
      </w:r>
      <w:r w:rsidR="009F56F0">
        <w:lastRenderedPageBreak/>
        <w:t>decide to participate</w:t>
      </w:r>
      <w:r w:rsidR="00DF1F22">
        <w:t xml:space="preserve"> but then discover that a developer cannot install a system</w:t>
      </w:r>
      <w:r w:rsidR="009F56F0">
        <w:t xml:space="preserve"> because of the cap</w:t>
      </w:r>
      <w:r w:rsidR="008611EF">
        <w:t>.</w:t>
      </w:r>
      <w:r w:rsidR="008611EF">
        <w:rPr>
          <w:rStyle w:val="FootnoteReference"/>
        </w:rPr>
        <w:footnoteReference w:id="82"/>
      </w:r>
      <w:r w:rsidR="008611EF">
        <w:t xml:space="preserve"> </w:t>
      </w:r>
    </w:p>
    <w:p w14:paraId="072F0530" w14:textId="5E491111" w:rsidR="00AA4FE9" w:rsidRPr="004D21A8" w:rsidRDefault="00AA4FE9" w:rsidP="004D21A8">
      <w:pPr>
        <w:pStyle w:val="ALJBodyText"/>
      </w:pPr>
      <w:r>
        <w:t>SCE argue</w:t>
      </w:r>
      <w:r w:rsidR="00F51958">
        <w:t>s</w:t>
      </w:r>
      <w:r>
        <w:t xml:space="preserve"> tha</w:t>
      </w:r>
      <w:r w:rsidR="00A22BB9">
        <w:t>t the Commission should retain the</w:t>
      </w:r>
      <w:r>
        <w:t xml:space="preserve"> developer cap for the equity budget, stating that the lack of participation </w:t>
      </w:r>
      <w:r w:rsidR="000813DF">
        <w:t xml:space="preserve">to date suggests that there are few </w:t>
      </w:r>
      <w:r w:rsidR="00A22BB9">
        <w:t>developers that are interested in this customer segment.</w:t>
      </w:r>
    </w:p>
    <w:p w14:paraId="712714D8" w14:textId="0C319CCF" w:rsidR="004D21A8" w:rsidRDefault="004D21A8" w:rsidP="00C151FC">
      <w:pPr>
        <w:pStyle w:val="ALJHeading2"/>
      </w:pPr>
      <w:bookmarkStart w:id="67" w:name="_Toc15908091"/>
      <w:r>
        <w:t>Discussion</w:t>
      </w:r>
      <w:bookmarkEnd w:id="67"/>
    </w:p>
    <w:p w14:paraId="64B7BB32" w14:textId="0F82E625" w:rsidR="00F51958" w:rsidRDefault="004A2529" w:rsidP="000813DF">
      <w:pPr>
        <w:pStyle w:val="ALJBodyText"/>
      </w:pPr>
      <w:r>
        <w:t xml:space="preserve">Eliminating the developer cap for the equity budget </w:t>
      </w:r>
      <w:r w:rsidR="008611EF">
        <w:t xml:space="preserve">prioritizes the Commission’s goal for this </w:t>
      </w:r>
      <w:r w:rsidR="00D26BE9">
        <w:t xml:space="preserve">budget </w:t>
      </w:r>
      <w:r w:rsidR="00DB1264">
        <w:t>set</w:t>
      </w:r>
      <w:r w:rsidR="00757681">
        <w:noBreakHyphen/>
      </w:r>
      <w:r w:rsidR="00DB1264">
        <w:t>aside</w:t>
      </w:r>
      <w:r w:rsidR="004A4AC3">
        <w:t xml:space="preserve">, which is </w:t>
      </w:r>
      <w:r w:rsidR="0054705E">
        <w:t xml:space="preserve">to facilitate access to SGIP incentives for </w:t>
      </w:r>
      <w:r w:rsidR="004A4AC3">
        <w:t>qualifying low</w:t>
      </w:r>
      <w:r w:rsidR="00757681">
        <w:noBreakHyphen/>
      </w:r>
      <w:r w:rsidR="004A4AC3">
        <w:t>income customers</w:t>
      </w:r>
      <w:r w:rsidR="004A126E">
        <w:t xml:space="preserve"> </w:t>
      </w:r>
      <w:r w:rsidR="0054705E">
        <w:t>so they receive the benefits of</w:t>
      </w:r>
      <w:r w:rsidR="004A126E">
        <w:t xml:space="preserve"> install</w:t>
      </w:r>
      <w:r w:rsidR="0054705E">
        <w:t>ing</w:t>
      </w:r>
      <w:r w:rsidR="004A126E">
        <w:t xml:space="preserve"> </w:t>
      </w:r>
      <w:r w:rsidR="004A4AC3">
        <w:t>residential storage</w:t>
      </w:r>
      <w:r w:rsidR="00D26BE9">
        <w:t xml:space="preserve"> systems</w:t>
      </w:r>
      <w:r w:rsidR="004A126E">
        <w:t xml:space="preserve">.  </w:t>
      </w:r>
      <w:r w:rsidR="00CC0C12">
        <w:t xml:space="preserve">In addition, the newly established equity resiliency budget shall also not be subject to a developer cap.  </w:t>
      </w:r>
      <w:r w:rsidR="004A126E">
        <w:t>M</w:t>
      </w:r>
      <w:r w:rsidR="008611EF">
        <w:t xml:space="preserve">aintaining the current equity budget </w:t>
      </w:r>
      <w:r w:rsidR="00B74E4B">
        <w:t xml:space="preserve">developer cap </w:t>
      </w:r>
      <w:r w:rsidR="00CC0C12">
        <w:t xml:space="preserve">or requiring it for the new equity resiliency budget </w:t>
      </w:r>
      <w:r w:rsidR="008611EF">
        <w:t xml:space="preserve">could inhibit the </w:t>
      </w:r>
      <w:r w:rsidR="00D26BE9">
        <w:t xml:space="preserve">key </w:t>
      </w:r>
      <w:r w:rsidR="006E14EC">
        <w:t xml:space="preserve">objective of this decision, which is </w:t>
      </w:r>
      <w:r w:rsidR="008611EF">
        <w:t xml:space="preserve">to </w:t>
      </w:r>
      <w:r w:rsidR="00D26BE9">
        <w:t xml:space="preserve">eliminate barriers and </w:t>
      </w:r>
      <w:r w:rsidR="008611EF">
        <w:t xml:space="preserve">rapidly increase participation.  </w:t>
      </w:r>
      <w:r w:rsidR="00F17551">
        <w:t>We eliminate the developer cap for the equity budget</w:t>
      </w:r>
      <w:r w:rsidR="00CC0C12">
        <w:t xml:space="preserve"> and do not require a developer cap for the equity resiliency budget</w:t>
      </w:r>
      <w:r w:rsidR="00F17551">
        <w:t xml:space="preserve">.  </w:t>
      </w:r>
    </w:p>
    <w:p w14:paraId="0A85762C" w14:textId="5E5A5AC2" w:rsidR="00952734" w:rsidRDefault="00AA2307" w:rsidP="00CE14ED">
      <w:pPr>
        <w:pStyle w:val="ALJHeading1"/>
      </w:pPr>
      <w:bookmarkStart w:id="68" w:name="_Toc15908092"/>
      <w:r>
        <w:t xml:space="preserve">Equity Resiliency </w:t>
      </w:r>
      <w:r w:rsidR="00872955">
        <w:t>Budget</w:t>
      </w:r>
      <w:bookmarkEnd w:id="68"/>
      <w:r w:rsidR="00253171">
        <w:t xml:space="preserve"> </w:t>
      </w:r>
    </w:p>
    <w:p w14:paraId="4D71F088" w14:textId="6D3ED4D0" w:rsidR="00B22515" w:rsidRPr="00A754FF" w:rsidRDefault="00DF1F22" w:rsidP="00D41652">
      <w:pPr>
        <w:pStyle w:val="standard"/>
        <w:rPr>
          <w:rFonts w:ascii="Book Antiqua" w:hAnsi="Book Antiqua"/>
        </w:rPr>
      </w:pPr>
      <w:r>
        <w:rPr>
          <w:rFonts w:ascii="Book Antiqua" w:hAnsi="Book Antiqua"/>
        </w:rPr>
        <w:t xml:space="preserve">Section 379.6(a)(2) </w:t>
      </w:r>
      <w:r w:rsidR="004A126E" w:rsidRPr="00A754FF">
        <w:rPr>
          <w:rFonts w:ascii="Book Antiqua" w:hAnsi="Book Antiqua"/>
        </w:rPr>
        <w:t>extended</w:t>
      </w:r>
      <w:r w:rsidR="00B22515" w:rsidRPr="00A754FF">
        <w:rPr>
          <w:rFonts w:ascii="Book Antiqua" w:hAnsi="Book Antiqua"/>
        </w:rPr>
        <w:t xml:space="preserve"> the authority of the Commission to authorize annual collections from </w:t>
      </w:r>
      <w:r w:rsidR="00D26BE9">
        <w:rPr>
          <w:rFonts w:ascii="Book Antiqua" w:hAnsi="Book Antiqua"/>
        </w:rPr>
        <w:t xml:space="preserve">IOU </w:t>
      </w:r>
      <w:r w:rsidR="00B22515" w:rsidRPr="00A754FF">
        <w:rPr>
          <w:rFonts w:ascii="Book Antiqua" w:hAnsi="Book Antiqua"/>
        </w:rPr>
        <w:t xml:space="preserve">ratepayers for SGIP for </w:t>
      </w:r>
      <w:r w:rsidR="004A126E" w:rsidRPr="00A754FF">
        <w:rPr>
          <w:rFonts w:ascii="Book Antiqua" w:hAnsi="Book Antiqua"/>
        </w:rPr>
        <w:t>the years 2020</w:t>
      </w:r>
      <w:r w:rsidR="00757681">
        <w:rPr>
          <w:rFonts w:ascii="Book Antiqua" w:hAnsi="Book Antiqua"/>
        </w:rPr>
        <w:noBreakHyphen/>
      </w:r>
      <w:r w:rsidR="004A126E" w:rsidRPr="00A754FF">
        <w:rPr>
          <w:rFonts w:ascii="Book Antiqua" w:hAnsi="Book Antiqua"/>
        </w:rPr>
        <w:t xml:space="preserve">2024 </w:t>
      </w:r>
      <w:r w:rsidR="00B22515" w:rsidRPr="00A754FF">
        <w:rPr>
          <w:rFonts w:ascii="Book Antiqua" w:hAnsi="Book Antiqua"/>
        </w:rPr>
        <w:t>at a rate not more than double the amount authorized for the 2008 calendar year, or $166 million per year.</w:t>
      </w:r>
      <w:r w:rsidR="00B22515" w:rsidRPr="00A754FF">
        <w:rPr>
          <w:rFonts w:ascii="Book Antiqua" w:hAnsi="Book Antiqua"/>
          <w:vertAlign w:val="superscript"/>
        </w:rPr>
        <w:footnoteReference w:id="83"/>
      </w:r>
      <w:r w:rsidR="00B22515" w:rsidRPr="00A754FF">
        <w:rPr>
          <w:rFonts w:ascii="Book Antiqua" w:hAnsi="Book Antiqua"/>
        </w:rPr>
        <w:t xml:space="preserve">  If approved at the maximum level, </w:t>
      </w:r>
      <w:r w:rsidR="004A126E" w:rsidRPr="00A754FF">
        <w:rPr>
          <w:rFonts w:ascii="Book Antiqua" w:hAnsi="Book Antiqua"/>
        </w:rPr>
        <w:t xml:space="preserve">SGIP </w:t>
      </w:r>
      <w:r w:rsidR="00B22515" w:rsidRPr="00A754FF">
        <w:rPr>
          <w:rFonts w:ascii="Book Antiqua" w:hAnsi="Book Antiqua"/>
        </w:rPr>
        <w:t xml:space="preserve">collections would total $830 million over five years. </w:t>
      </w:r>
      <w:r w:rsidR="00FF4975">
        <w:rPr>
          <w:rFonts w:ascii="Book Antiqua" w:hAnsi="Book Antiqua"/>
        </w:rPr>
        <w:t xml:space="preserve"> SB 700 also directs the </w:t>
      </w:r>
      <w:r w:rsidR="00FF4975" w:rsidRPr="00FF4975">
        <w:rPr>
          <w:rFonts w:ascii="Book Antiqua" w:hAnsi="Book Antiqua"/>
        </w:rPr>
        <w:t xml:space="preserve">Commission to provide </w:t>
      </w:r>
      <w:r w:rsidR="00FF4975" w:rsidRPr="00FF4975">
        <w:rPr>
          <w:rFonts w:ascii="Book Antiqua" w:hAnsi="Book Antiqua"/>
        </w:rPr>
        <w:lastRenderedPageBreak/>
        <w:t xml:space="preserve">repayment to ratepayers of any unallocated </w:t>
      </w:r>
      <w:r w:rsidR="00FF4975">
        <w:rPr>
          <w:rFonts w:ascii="Book Antiqua" w:hAnsi="Book Antiqua"/>
        </w:rPr>
        <w:t xml:space="preserve">SGIP </w:t>
      </w:r>
      <w:r w:rsidR="00DE53B6">
        <w:rPr>
          <w:rFonts w:ascii="Book Antiqua" w:hAnsi="Book Antiqua"/>
        </w:rPr>
        <w:t>funds remaining as of January </w:t>
      </w:r>
      <w:r w:rsidR="00FF4975" w:rsidRPr="00FF4975">
        <w:rPr>
          <w:rFonts w:ascii="Book Antiqua" w:hAnsi="Book Antiqua"/>
        </w:rPr>
        <w:t xml:space="preserve">1, 2026.  </w:t>
      </w:r>
    </w:p>
    <w:p w14:paraId="6A1BB037" w14:textId="78CFBC0A" w:rsidR="00277380" w:rsidRPr="00D41652" w:rsidRDefault="007E114B" w:rsidP="00D41652">
      <w:pPr>
        <w:pStyle w:val="standard"/>
        <w:rPr>
          <w:rFonts w:ascii="Book Antiqua" w:hAnsi="Book Antiqua"/>
        </w:rPr>
      </w:pPr>
      <w:r w:rsidRPr="00A754FF">
        <w:rPr>
          <w:rFonts w:ascii="Book Antiqua" w:hAnsi="Book Antiqua"/>
        </w:rPr>
        <w:t>D.16</w:t>
      </w:r>
      <w:r w:rsidR="00757681">
        <w:rPr>
          <w:rFonts w:ascii="Book Antiqua" w:hAnsi="Book Antiqua"/>
        </w:rPr>
        <w:noBreakHyphen/>
      </w:r>
      <w:r w:rsidRPr="00A754FF">
        <w:rPr>
          <w:rFonts w:ascii="Book Antiqua" w:hAnsi="Book Antiqua"/>
        </w:rPr>
        <w:t>06</w:t>
      </w:r>
      <w:r w:rsidR="00757681">
        <w:rPr>
          <w:rFonts w:ascii="Book Antiqua" w:hAnsi="Book Antiqua"/>
        </w:rPr>
        <w:noBreakHyphen/>
      </w:r>
      <w:r w:rsidRPr="00A754FF">
        <w:rPr>
          <w:rFonts w:ascii="Book Antiqua" w:hAnsi="Book Antiqua"/>
        </w:rPr>
        <w:t xml:space="preserve">055 and </w:t>
      </w:r>
      <w:bookmarkStart w:id="69" w:name="_Hlk15559233"/>
      <w:r w:rsidRPr="00A754FF">
        <w:rPr>
          <w:rFonts w:ascii="Book Antiqua" w:hAnsi="Book Antiqua"/>
        </w:rPr>
        <w:t>D.17</w:t>
      </w:r>
      <w:r w:rsidR="00757681">
        <w:rPr>
          <w:rFonts w:ascii="Book Antiqua" w:hAnsi="Book Antiqua"/>
        </w:rPr>
        <w:noBreakHyphen/>
      </w:r>
      <w:r w:rsidRPr="00A754FF">
        <w:rPr>
          <w:rFonts w:ascii="Book Antiqua" w:hAnsi="Book Antiqua"/>
        </w:rPr>
        <w:t>04</w:t>
      </w:r>
      <w:r w:rsidR="00757681">
        <w:rPr>
          <w:rFonts w:ascii="Book Antiqua" w:hAnsi="Book Antiqua"/>
        </w:rPr>
        <w:noBreakHyphen/>
      </w:r>
      <w:r w:rsidRPr="00A754FF">
        <w:rPr>
          <w:rFonts w:ascii="Book Antiqua" w:hAnsi="Book Antiqua"/>
        </w:rPr>
        <w:t xml:space="preserve">017 </w:t>
      </w:r>
      <w:bookmarkEnd w:id="69"/>
      <w:r w:rsidRPr="00A754FF">
        <w:rPr>
          <w:rFonts w:ascii="Book Antiqua" w:hAnsi="Book Antiqua"/>
        </w:rPr>
        <w:t>esta</w:t>
      </w:r>
      <w:r w:rsidR="00255008" w:rsidRPr="00A754FF">
        <w:rPr>
          <w:rFonts w:ascii="Book Antiqua" w:hAnsi="Book Antiqua"/>
        </w:rPr>
        <w:t>bl</w:t>
      </w:r>
      <w:r w:rsidRPr="00A754FF">
        <w:rPr>
          <w:rFonts w:ascii="Book Antiqua" w:hAnsi="Book Antiqua"/>
        </w:rPr>
        <w:t xml:space="preserve">ished </w:t>
      </w:r>
      <w:r w:rsidR="002D2C94" w:rsidRPr="00A754FF">
        <w:rPr>
          <w:rFonts w:ascii="Book Antiqua" w:hAnsi="Book Antiqua"/>
        </w:rPr>
        <w:t xml:space="preserve">SGIP </w:t>
      </w:r>
      <w:r w:rsidRPr="00A754FF">
        <w:rPr>
          <w:rFonts w:ascii="Book Antiqua" w:hAnsi="Book Antiqua"/>
        </w:rPr>
        <w:t>funding allocation</w:t>
      </w:r>
      <w:r w:rsidR="004A126E" w:rsidRPr="00A754FF">
        <w:rPr>
          <w:rFonts w:ascii="Book Antiqua" w:hAnsi="Book Antiqua"/>
        </w:rPr>
        <w:t>s</w:t>
      </w:r>
      <w:r w:rsidRPr="00A754FF">
        <w:rPr>
          <w:rFonts w:ascii="Book Antiqua" w:hAnsi="Book Antiqua"/>
        </w:rPr>
        <w:t xml:space="preserve"> across technologies and customer sectors</w:t>
      </w:r>
      <w:r w:rsidR="004A126E" w:rsidRPr="00A754FF">
        <w:rPr>
          <w:rFonts w:ascii="Book Antiqua" w:hAnsi="Book Antiqua"/>
        </w:rPr>
        <w:t xml:space="preserve"> and D.17</w:t>
      </w:r>
      <w:r w:rsidR="00757681">
        <w:rPr>
          <w:rFonts w:ascii="Book Antiqua" w:hAnsi="Book Antiqua"/>
        </w:rPr>
        <w:noBreakHyphen/>
      </w:r>
      <w:r w:rsidR="004A126E" w:rsidRPr="00A754FF">
        <w:rPr>
          <w:rFonts w:ascii="Book Antiqua" w:hAnsi="Book Antiqua"/>
        </w:rPr>
        <w:t>10</w:t>
      </w:r>
      <w:r w:rsidR="00757681">
        <w:rPr>
          <w:rFonts w:ascii="Book Antiqua" w:hAnsi="Book Antiqua"/>
        </w:rPr>
        <w:noBreakHyphen/>
      </w:r>
      <w:r w:rsidR="004A126E" w:rsidRPr="00A754FF">
        <w:rPr>
          <w:rFonts w:ascii="Book Antiqua" w:hAnsi="Book Antiqua"/>
        </w:rPr>
        <w:t xml:space="preserve">004 </w:t>
      </w:r>
      <w:r w:rsidR="00DB1264">
        <w:rPr>
          <w:rFonts w:ascii="Book Antiqua" w:hAnsi="Book Antiqua"/>
        </w:rPr>
        <w:t>set</w:t>
      </w:r>
      <w:r w:rsidR="00757681">
        <w:rPr>
          <w:rFonts w:ascii="Book Antiqua" w:hAnsi="Book Antiqua"/>
        </w:rPr>
        <w:noBreakHyphen/>
      </w:r>
      <w:r w:rsidR="00DB1264">
        <w:rPr>
          <w:rFonts w:ascii="Book Antiqua" w:hAnsi="Book Antiqua"/>
        </w:rPr>
        <w:t>aside</w:t>
      </w:r>
      <w:r w:rsidR="004A126E" w:rsidRPr="00A754FF">
        <w:rPr>
          <w:rFonts w:ascii="Book Antiqua" w:hAnsi="Book Antiqua"/>
        </w:rPr>
        <w:t xml:space="preserve"> 25 percent of </w:t>
      </w:r>
      <w:r w:rsidR="006C28C7">
        <w:rPr>
          <w:rFonts w:ascii="Book Antiqua" w:hAnsi="Book Antiqua"/>
        </w:rPr>
        <w:t>large</w:t>
      </w:r>
      <w:r w:rsidR="00757681">
        <w:rPr>
          <w:rFonts w:ascii="Book Antiqua" w:hAnsi="Book Antiqua"/>
        </w:rPr>
        <w:noBreakHyphen/>
      </w:r>
      <w:r w:rsidR="006C28C7">
        <w:rPr>
          <w:rFonts w:ascii="Book Antiqua" w:hAnsi="Book Antiqua"/>
        </w:rPr>
        <w:t xml:space="preserve">scale </w:t>
      </w:r>
      <w:r w:rsidR="004A126E" w:rsidRPr="00A754FF">
        <w:rPr>
          <w:rFonts w:ascii="Book Antiqua" w:hAnsi="Book Antiqua"/>
        </w:rPr>
        <w:t>and residential storage funds for equity budget purposes.</w:t>
      </w:r>
      <w:r w:rsidRPr="00A754FF">
        <w:rPr>
          <w:rStyle w:val="FootnoteReference"/>
          <w:rFonts w:ascii="Book Antiqua" w:hAnsi="Book Antiqua"/>
        </w:rPr>
        <w:footnoteReference w:id="84"/>
      </w:r>
      <w:r w:rsidR="002D2C94" w:rsidRPr="00A754FF">
        <w:rPr>
          <w:rFonts w:ascii="Book Antiqua" w:hAnsi="Book Antiqua"/>
        </w:rPr>
        <w:t xml:space="preserve">  </w:t>
      </w:r>
      <w:r w:rsidR="00255008" w:rsidRPr="00A754FF">
        <w:rPr>
          <w:rFonts w:ascii="Book Antiqua" w:hAnsi="Book Antiqua"/>
        </w:rPr>
        <w:t xml:space="preserve">Eighty </w:t>
      </w:r>
      <w:r w:rsidR="002D2C94" w:rsidRPr="00A754FF">
        <w:rPr>
          <w:rFonts w:ascii="Book Antiqua" w:hAnsi="Book Antiqua"/>
        </w:rPr>
        <w:t>percent</w:t>
      </w:r>
      <w:r w:rsidRPr="00A754FF">
        <w:rPr>
          <w:rFonts w:ascii="Book Antiqua" w:hAnsi="Book Antiqua"/>
        </w:rPr>
        <w:t xml:space="preserve"> </w:t>
      </w:r>
      <w:r w:rsidR="00FD2C97" w:rsidRPr="00A754FF">
        <w:rPr>
          <w:rFonts w:ascii="Book Antiqua" w:hAnsi="Book Antiqua"/>
        </w:rPr>
        <w:t xml:space="preserve">of the total SGIP budget </w:t>
      </w:r>
      <w:r w:rsidR="00946E31">
        <w:rPr>
          <w:rFonts w:ascii="Book Antiqua" w:hAnsi="Book Antiqua"/>
        </w:rPr>
        <w:t>for 2017</w:t>
      </w:r>
      <w:r w:rsidR="00757681">
        <w:rPr>
          <w:rFonts w:ascii="Book Antiqua" w:hAnsi="Book Antiqua"/>
        </w:rPr>
        <w:noBreakHyphen/>
      </w:r>
      <w:r w:rsidR="00946E31">
        <w:rPr>
          <w:rFonts w:ascii="Book Antiqua" w:hAnsi="Book Antiqua"/>
        </w:rPr>
        <w:t>2019 was</w:t>
      </w:r>
      <w:r w:rsidR="002D2C94" w:rsidRPr="00A754FF">
        <w:rPr>
          <w:rFonts w:ascii="Book Antiqua" w:hAnsi="Book Antiqua"/>
        </w:rPr>
        <w:t xml:space="preserve"> allocated for </w:t>
      </w:r>
      <w:r w:rsidRPr="00A754FF">
        <w:rPr>
          <w:rFonts w:ascii="Book Antiqua" w:hAnsi="Book Antiqua"/>
        </w:rPr>
        <w:t>storage</w:t>
      </w:r>
      <w:r w:rsidR="002D2C94" w:rsidRPr="00A754FF">
        <w:rPr>
          <w:rFonts w:ascii="Book Antiqua" w:hAnsi="Book Antiqua"/>
        </w:rPr>
        <w:t xml:space="preserve"> technologies and </w:t>
      </w:r>
      <w:r w:rsidRPr="00A754FF">
        <w:rPr>
          <w:rFonts w:ascii="Book Antiqua" w:hAnsi="Book Antiqua"/>
        </w:rPr>
        <w:t>20</w:t>
      </w:r>
      <w:r w:rsidR="002D2C94" w:rsidRPr="00A754FF">
        <w:rPr>
          <w:rFonts w:ascii="Book Antiqua" w:hAnsi="Book Antiqua"/>
        </w:rPr>
        <w:t xml:space="preserve"> percent</w:t>
      </w:r>
      <w:r w:rsidRPr="00A754FF">
        <w:rPr>
          <w:rFonts w:ascii="Book Antiqua" w:hAnsi="Book Antiqua"/>
        </w:rPr>
        <w:t xml:space="preserve"> </w:t>
      </w:r>
      <w:r w:rsidR="002D2C94" w:rsidRPr="00A754FF">
        <w:rPr>
          <w:rFonts w:ascii="Book Antiqua" w:hAnsi="Book Antiqua"/>
        </w:rPr>
        <w:t xml:space="preserve">for </w:t>
      </w:r>
      <w:r w:rsidRPr="00A754FF">
        <w:rPr>
          <w:rFonts w:ascii="Book Antiqua" w:hAnsi="Book Antiqua"/>
        </w:rPr>
        <w:t>generation</w:t>
      </w:r>
      <w:r w:rsidR="00FD2C97" w:rsidRPr="00A754FF">
        <w:rPr>
          <w:rFonts w:ascii="Book Antiqua" w:hAnsi="Book Antiqua"/>
        </w:rPr>
        <w:t xml:space="preserve"> technologies</w:t>
      </w:r>
      <w:r w:rsidR="00FD2C97">
        <w:rPr>
          <w:rFonts w:ascii="Book Antiqua" w:hAnsi="Book Antiqua"/>
        </w:rPr>
        <w:t>.  W</w:t>
      </w:r>
      <w:r w:rsidR="004A126E">
        <w:rPr>
          <w:rFonts w:ascii="Book Antiqua" w:hAnsi="Book Antiqua"/>
        </w:rPr>
        <w:t xml:space="preserve">ithin the </w:t>
      </w:r>
      <w:r w:rsidRPr="00FD2C97">
        <w:rPr>
          <w:rFonts w:ascii="Book Antiqua" w:hAnsi="Book Antiqua"/>
        </w:rPr>
        <w:t>storage budget</w:t>
      </w:r>
      <w:r w:rsidR="002D2C94" w:rsidRPr="00FD2C97">
        <w:rPr>
          <w:rFonts w:ascii="Book Antiqua" w:hAnsi="Book Antiqua"/>
        </w:rPr>
        <w:t xml:space="preserve">, </w:t>
      </w:r>
      <w:r w:rsidRPr="00FD2C97">
        <w:rPr>
          <w:rFonts w:ascii="Book Antiqua" w:hAnsi="Book Antiqua"/>
        </w:rPr>
        <w:t>13</w:t>
      </w:r>
      <w:r w:rsidR="002D2C94" w:rsidRPr="00FD2C97">
        <w:rPr>
          <w:rFonts w:ascii="Book Antiqua" w:hAnsi="Book Antiqua"/>
        </w:rPr>
        <w:t xml:space="preserve"> percent </w:t>
      </w:r>
      <w:r w:rsidR="00946E31">
        <w:rPr>
          <w:rFonts w:ascii="Book Antiqua" w:hAnsi="Book Antiqua"/>
        </w:rPr>
        <w:t>was</w:t>
      </w:r>
      <w:r w:rsidR="002D2C94" w:rsidRPr="00FD2C97">
        <w:rPr>
          <w:rFonts w:ascii="Book Antiqua" w:hAnsi="Book Antiqua"/>
        </w:rPr>
        <w:t xml:space="preserve"> allocated for</w:t>
      </w:r>
      <w:r w:rsidR="00FD2C97">
        <w:rPr>
          <w:rFonts w:ascii="Book Antiqua" w:hAnsi="Book Antiqua"/>
        </w:rPr>
        <w:t xml:space="preserve"> residential systems smaller than </w:t>
      </w:r>
      <w:r w:rsidRPr="00FD2C97">
        <w:rPr>
          <w:rFonts w:ascii="Book Antiqua" w:hAnsi="Book Antiqua"/>
        </w:rPr>
        <w:t>10 kilowatts (kW)</w:t>
      </w:r>
      <w:r w:rsidR="002D2C94" w:rsidRPr="00FD2C97">
        <w:rPr>
          <w:rFonts w:ascii="Book Antiqua" w:hAnsi="Book Antiqua"/>
        </w:rPr>
        <w:t>,</w:t>
      </w:r>
      <w:r w:rsidRPr="00FD2C97">
        <w:rPr>
          <w:rStyle w:val="FootnoteReference"/>
          <w:rFonts w:ascii="Book Antiqua" w:hAnsi="Book Antiqua"/>
        </w:rPr>
        <w:footnoteReference w:id="85"/>
      </w:r>
      <w:r w:rsidR="00FD2C97">
        <w:rPr>
          <w:rFonts w:ascii="Book Antiqua" w:hAnsi="Book Antiqua"/>
        </w:rPr>
        <w:t xml:space="preserve"> </w:t>
      </w:r>
      <w:r w:rsidR="002D2C94" w:rsidRPr="00FD2C97">
        <w:rPr>
          <w:rFonts w:ascii="Book Antiqua" w:hAnsi="Book Antiqua"/>
        </w:rPr>
        <w:t xml:space="preserve">and of this, </w:t>
      </w:r>
      <w:r w:rsidRPr="00FD2C97">
        <w:rPr>
          <w:rFonts w:ascii="Book Antiqua" w:hAnsi="Book Antiqua"/>
        </w:rPr>
        <w:t>25</w:t>
      </w:r>
      <w:r w:rsidR="002D2C94" w:rsidRPr="00FD2C97">
        <w:rPr>
          <w:rFonts w:ascii="Book Antiqua" w:hAnsi="Book Antiqua"/>
        </w:rPr>
        <w:t xml:space="preserve"> percent </w:t>
      </w:r>
      <w:r w:rsidR="00946E31">
        <w:rPr>
          <w:rFonts w:ascii="Book Antiqua" w:hAnsi="Book Antiqua"/>
        </w:rPr>
        <w:t>was</w:t>
      </w:r>
      <w:r w:rsidRPr="00FD2C97">
        <w:rPr>
          <w:rFonts w:ascii="Book Antiqua" w:hAnsi="Book Antiqua"/>
        </w:rPr>
        <w:t xml:space="preserve"> reserved for </w:t>
      </w:r>
      <w:r w:rsidR="002D2C94" w:rsidRPr="00FD2C97">
        <w:rPr>
          <w:rFonts w:ascii="Book Antiqua" w:hAnsi="Book Antiqua"/>
        </w:rPr>
        <w:t xml:space="preserve">the </w:t>
      </w:r>
      <w:r w:rsidR="00706793" w:rsidRPr="00FD2C97">
        <w:rPr>
          <w:rFonts w:ascii="Book Antiqua" w:hAnsi="Book Antiqua"/>
        </w:rPr>
        <w:t xml:space="preserve">residential </w:t>
      </w:r>
      <w:r w:rsidRPr="00FD2C97">
        <w:rPr>
          <w:rFonts w:ascii="Book Antiqua" w:hAnsi="Book Antiqua"/>
        </w:rPr>
        <w:t>equity budget</w:t>
      </w:r>
      <w:r w:rsidR="00D41652">
        <w:rPr>
          <w:rFonts w:ascii="Book Antiqua" w:hAnsi="Book Antiqua"/>
        </w:rPr>
        <w:t xml:space="preserve">.  </w:t>
      </w:r>
      <w:r w:rsidR="00AF5FFB">
        <w:rPr>
          <w:rFonts w:ascii="Book Antiqua" w:hAnsi="Book Antiqua"/>
        </w:rPr>
        <w:t>87</w:t>
      </w:r>
      <w:r w:rsidR="00DE53B6">
        <w:rPr>
          <w:rFonts w:ascii="Book Antiqua" w:hAnsi="Book Antiqua"/>
        </w:rPr>
        <w:t> </w:t>
      </w:r>
      <w:r w:rsidR="002D2C94" w:rsidRPr="00FD2C97">
        <w:rPr>
          <w:rFonts w:ascii="Book Antiqua" w:hAnsi="Book Antiqua"/>
        </w:rPr>
        <w:t xml:space="preserve">percent </w:t>
      </w:r>
      <w:r w:rsidR="004A126E">
        <w:rPr>
          <w:rFonts w:ascii="Book Antiqua" w:hAnsi="Book Antiqua"/>
        </w:rPr>
        <w:t xml:space="preserve">of the </w:t>
      </w:r>
      <w:r w:rsidR="00D41652">
        <w:rPr>
          <w:rFonts w:ascii="Book Antiqua" w:hAnsi="Book Antiqua"/>
        </w:rPr>
        <w:t xml:space="preserve">storage budget </w:t>
      </w:r>
      <w:r w:rsidR="00946E31">
        <w:rPr>
          <w:rFonts w:ascii="Book Antiqua" w:hAnsi="Book Antiqua"/>
        </w:rPr>
        <w:t>was</w:t>
      </w:r>
      <w:r w:rsidR="002D2C94" w:rsidRPr="00FD2C97">
        <w:rPr>
          <w:rFonts w:ascii="Book Antiqua" w:hAnsi="Book Antiqua"/>
        </w:rPr>
        <w:t xml:space="preserve"> allocated for</w:t>
      </w:r>
      <w:r w:rsidRPr="00FD2C97">
        <w:rPr>
          <w:rFonts w:ascii="Book Antiqua" w:hAnsi="Book Antiqua"/>
        </w:rPr>
        <w:t xml:space="preserve"> </w:t>
      </w:r>
      <w:r w:rsidR="00AF4F30">
        <w:rPr>
          <w:rFonts w:ascii="Book Antiqua" w:hAnsi="Book Antiqua"/>
        </w:rPr>
        <w:t>large</w:t>
      </w:r>
      <w:r w:rsidR="00757681">
        <w:rPr>
          <w:rFonts w:ascii="Book Antiqua" w:hAnsi="Book Antiqua"/>
        </w:rPr>
        <w:noBreakHyphen/>
      </w:r>
      <w:r w:rsidR="00AF4F30">
        <w:rPr>
          <w:rFonts w:ascii="Book Antiqua" w:hAnsi="Book Antiqua"/>
        </w:rPr>
        <w:t xml:space="preserve">scale storage systems including </w:t>
      </w:r>
      <w:r w:rsidRPr="00FD2C97">
        <w:rPr>
          <w:rFonts w:ascii="Book Antiqua" w:hAnsi="Book Antiqua"/>
        </w:rPr>
        <w:t>non</w:t>
      </w:r>
      <w:r w:rsidR="00757681">
        <w:rPr>
          <w:rFonts w:ascii="Book Antiqua" w:hAnsi="Book Antiqua"/>
        </w:rPr>
        <w:noBreakHyphen/>
      </w:r>
      <w:r w:rsidRPr="00FD2C97">
        <w:rPr>
          <w:rFonts w:ascii="Book Antiqua" w:hAnsi="Book Antiqua"/>
        </w:rPr>
        <w:t xml:space="preserve">residential </w:t>
      </w:r>
      <w:r w:rsidR="00AF4F30">
        <w:rPr>
          <w:rFonts w:ascii="Book Antiqua" w:hAnsi="Book Antiqua"/>
        </w:rPr>
        <w:t xml:space="preserve">and </w:t>
      </w:r>
      <w:r w:rsidRPr="00FD2C97">
        <w:rPr>
          <w:rFonts w:ascii="Book Antiqua" w:hAnsi="Book Antiqua"/>
        </w:rPr>
        <w:t>residential systems over 10 kW</w:t>
      </w:r>
      <w:r w:rsidR="002D2C94" w:rsidRPr="00FD2C97">
        <w:rPr>
          <w:rFonts w:ascii="Book Antiqua" w:hAnsi="Book Antiqua"/>
        </w:rPr>
        <w:t xml:space="preserve">, and of this, </w:t>
      </w:r>
      <w:r w:rsidRPr="00FD2C97">
        <w:rPr>
          <w:rFonts w:ascii="Book Antiqua" w:hAnsi="Book Antiqua"/>
        </w:rPr>
        <w:t>25</w:t>
      </w:r>
      <w:r w:rsidR="002D2C94" w:rsidRPr="00FD2C97">
        <w:rPr>
          <w:rFonts w:ascii="Book Antiqua" w:hAnsi="Book Antiqua"/>
        </w:rPr>
        <w:t xml:space="preserve"> percent </w:t>
      </w:r>
      <w:r w:rsidR="00946E31">
        <w:rPr>
          <w:rFonts w:ascii="Book Antiqua" w:hAnsi="Book Antiqua"/>
        </w:rPr>
        <w:t>was</w:t>
      </w:r>
      <w:r w:rsidRPr="00FD2C97">
        <w:rPr>
          <w:rFonts w:ascii="Book Antiqua" w:hAnsi="Book Antiqua"/>
        </w:rPr>
        <w:t xml:space="preserve"> reserved for </w:t>
      </w:r>
      <w:r w:rsidR="00706793" w:rsidRPr="00FD2C97">
        <w:rPr>
          <w:rFonts w:ascii="Book Antiqua" w:hAnsi="Book Antiqua"/>
        </w:rPr>
        <w:t>the non</w:t>
      </w:r>
      <w:r w:rsidR="00757681">
        <w:rPr>
          <w:rFonts w:ascii="Book Antiqua" w:hAnsi="Book Antiqua"/>
        </w:rPr>
        <w:noBreakHyphen/>
      </w:r>
      <w:r w:rsidR="00706793" w:rsidRPr="00FD2C97">
        <w:rPr>
          <w:rFonts w:ascii="Book Antiqua" w:hAnsi="Book Antiqua"/>
        </w:rPr>
        <w:t xml:space="preserve">residential </w:t>
      </w:r>
      <w:r w:rsidR="00DA651F">
        <w:rPr>
          <w:rFonts w:ascii="Book Antiqua" w:hAnsi="Book Antiqua"/>
        </w:rPr>
        <w:t xml:space="preserve">storage </w:t>
      </w:r>
      <w:r w:rsidRPr="00FD2C97">
        <w:rPr>
          <w:rFonts w:ascii="Book Antiqua" w:hAnsi="Book Antiqua"/>
        </w:rPr>
        <w:t>equity budget</w:t>
      </w:r>
      <w:r w:rsidR="00706793" w:rsidRPr="00FD2C97">
        <w:rPr>
          <w:rFonts w:ascii="Book Antiqua" w:hAnsi="Book Antiqua"/>
        </w:rPr>
        <w:t xml:space="preserve">.  As a result, </w:t>
      </w:r>
      <w:r w:rsidR="004A126E">
        <w:rPr>
          <w:rFonts w:ascii="Book Antiqua" w:hAnsi="Book Antiqua"/>
        </w:rPr>
        <w:t xml:space="preserve">the </w:t>
      </w:r>
      <w:r w:rsidR="00706793" w:rsidRPr="00FD2C97">
        <w:rPr>
          <w:rFonts w:ascii="Book Antiqua" w:hAnsi="Book Antiqua"/>
        </w:rPr>
        <w:t xml:space="preserve">equity residential and </w:t>
      </w:r>
      <w:r w:rsidR="004A126E">
        <w:rPr>
          <w:rFonts w:ascii="Book Antiqua" w:hAnsi="Book Antiqua"/>
        </w:rPr>
        <w:t xml:space="preserve">equity </w:t>
      </w:r>
      <w:r w:rsidR="00706793" w:rsidRPr="00FD2C97">
        <w:rPr>
          <w:rFonts w:ascii="Book Antiqua" w:hAnsi="Book Antiqua"/>
        </w:rPr>
        <w:t>non</w:t>
      </w:r>
      <w:r w:rsidR="00757681">
        <w:rPr>
          <w:rFonts w:ascii="Book Antiqua" w:hAnsi="Book Antiqua"/>
        </w:rPr>
        <w:noBreakHyphen/>
      </w:r>
      <w:r w:rsidR="00706793" w:rsidRPr="00FD2C97">
        <w:rPr>
          <w:rFonts w:ascii="Book Antiqua" w:hAnsi="Book Antiqua"/>
        </w:rPr>
        <w:t xml:space="preserve">residential </w:t>
      </w:r>
      <w:r w:rsidR="00DA651F">
        <w:rPr>
          <w:rFonts w:ascii="Book Antiqua" w:hAnsi="Book Antiqua"/>
        </w:rPr>
        <w:t xml:space="preserve">storage </w:t>
      </w:r>
      <w:r w:rsidR="00706793" w:rsidRPr="00FD2C97">
        <w:rPr>
          <w:rFonts w:ascii="Book Antiqua" w:hAnsi="Book Antiqua"/>
        </w:rPr>
        <w:t>budgets c</w:t>
      </w:r>
      <w:r w:rsidR="004A126E">
        <w:rPr>
          <w:rFonts w:ascii="Book Antiqua" w:hAnsi="Book Antiqua"/>
        </w:rPr>
        <w:t xml:space="preserve">urrently comprise three </w:t>
      </w:r>
      <w:r w:rsidR="00706793" w:rsidRPr="00FD2C97">
        <w:rPr>
          <w:rFonts w:ascii="Book Antiqua" w:hAnsi="Book Antiqua"/>
        </w:rPr>
        <w:t>and</w:t>
      </w:r>
      <w:r w:rsidR="00251194" w:rsidRPr="00FD2C97">
        <w:rPr>
          <w:rFonts w:ascii="Book Antiqua" w:hAnsi="Book Antiqua"/>
        </w:rPr>
        <w:t xml:space="preserve"> 17 percent of the total SGIP budget, respectively (see </w:t>
      </w:r>
      <w:r w:rsidR="00D41652">
        <w:rPr>
          <w:rFonts w:ascii="Book Antiqua" w:hAnsi="Book Antiqua"/>
        </w:rPr>
        <w:t>Figure 1</w:t>
      </w:r>
      <w:r w:rsidR="00251194" w:rsidRPr="00FD2C97">
        <w:rPr>
          <w:rFonts w:ascii="Book Antiqua" w:hAnsi="Book Antiqua"/>
        </w:rPr>
        <w:t>).</w:t>
      </w:r>
      <w:r w:rsidR="00E646F5" w:rsidRPr="00FD2C97">
        <w:rPr>
          <w:rStyle w:val="FootnoteReference"/>
          <w:rFonts w:ascii="Book Antiqua" w:hAnsi="Book Antiqua"/>
        </w:rPr>
        <w:footnoteReference w:id="86"/>
      </w:r>
      <w:r w:rsidR="00251194" w:rsidRPr="00FD2C97">
        <w:rPr>
          <w:rFonts w:ascii="Book Antiqua" w:hAnsi="Book Antiqua"/>
        </w:rPr>
        <w:t xml:space="preserve">  </w:t>
      </w:r>
    </w:p>
    <w:p w14:paraId="4C9ADF1F" w14:textId="6E94BA00" w:rsidR="00277380" w:rsidRPr="00A754FF" w:rsidRDefault="00D41652" w:rsidP="00DE53B6">
      <w:pPr>
        <w:pStyle w:val="standard"/>
        <w:keepNext/>
        <w:keepLines/>
        <w:ind w:firstLine="0"/>
        <w:jc w:val="center"/>
        <w:rPr>
          <w:rFonts w:ascii="Book Antiqua" w:hAnsi="Book Antiqua"/>
        </w:rPr>
      </w:pPr>
      <w:r w:rsidRPr="00A754FF">
        <w:rPr>
          <w:rFonts w:ascii="Book Antiqua" w:hAnsi="Book Antiqua"/>
        </w:rPr>
        <w:lastRenderedPageBreak/>
        <w:t>Figure 1</w:t>
      </w:r>
      <w:r w:rsidR="00277380" w:rsidRPr="00A754FF">
        <w:rPr>
          <w:rFonts w:ascii="Book Antiqua" w:hAnsi="Book Antiqua"/>
        </w:rPr>
        <w:t>:  SGIP Budget Allocation</w:t>
      </w:r>
      <w:r w:rsidR="00946E31">
        <w:rPr>
          <w:rFonts w:ascii="Book Antiqua" w:hAnsi="Book Antiqua"/>
        </w:rPr>
        <w:t>s 2017</w:t>
      </w:r>
      <w:r w:rsidR="00757681">
        <w:rPr>
          <w:rFonts w:ascii="Book Antiqua" w:hAnsi="Book Antiqua"/>
        </w:rPr>
        <w:noBreakHyphen/>
      </w:r>
      <w:r w:rsidR="00946E31">
        <w:rPr>
          <w:rFonts w:ascii="Book Antiqua" w:hAnsi="Book Antiqua"/>
        </w:rPr>
        <w:t>2019</w:t>
      </w:r>
    </w:p>
    <w:p w14:paraId="0F8E6B15" w14:textId="68466C9B" w:rsidR="00C170EE" w:rsidRDefault="00277380" w:rsidP="00C170EE">
      <w:pPr>
        <w:pStyle w:val="standard"/>
      </w:pPr>
      <w:r>
        <w:rPr>
          <w:noProof/>
        </w:rPr>
        <w:drawing>
          <wp:inline distT="0" distB="0" distL="0" distR="0" wp14:anchorId="2698966B" wp14:editId="269B5AE6">
            <wp:extent cx="5943600" cy="320854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c="http://schemas.openxmlformats.org/drawingml/2006/chart" xmlns="" id="{F33A71B7-A984-E648-B973-040F92EBB3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25D34E" w14:textId="0507FB2A" w:rsidR="00C700F8" w:rsidRPr="00A754FF" w:rsidRDefault="004A126E" w:rsidP="00C700F8">
      <w:pPr>
        <w:pStyle w:val="standard"/>
        <w:rPr>
          <w:rFonts w:ascii="Book Antiqua" w:hAnsi="Book Antiqua"/>
        </w:rPr>
      </w:pPr>
      <w:r w:rsidRPr="00A754FF">
        <w:rPr>
          <w:rFonts w:ascii="Book Antiqua" w:hAnsi="Book Antiqua"/>
        </w:rPr>
        <w:t xml:space="preserve">Table </w:t>
      </w:r>
      <w:r w:rsidR="00AF6BF5">
        <w:rPr>
          <w:rFonts w:ascii="Book Antiqua" w:hAnsi="Book Antiqua"/>
        </w:rPr>
        <w:t>6</w:t>
      </w:r>
      <w:r w:rsidRPr="00A754FF">
        <w:rPr>
          <w:rFonts w:ascii="Book Antiqua" w:hAnsi="Book Antiqua"/>
        </w:rPr>
        <w:t xml:space="preserve"> summarizes </w:t>
      </w:r>
      <w:r w:rsidR="00B22515" w:rsidRPr="00A754FF">
        <w:rPr>
          <w:rFonts w:ascii="Book Antiqua" w:hAnsi="Book Antiqua"/>
        </w:rPr>
        <w:t>authorized and remaining SGIP funds as of J</w:t>
      </w:r>
      <w:r w:rsidR="00353AED">
        <w:rPr>
          <w:rFonts w:ascii="Book Antiqua" w:hAnsi="Book Antiqua"/>
        </w:rPr>
        <w:t>uly</w:t>
      </w:r>
      <w:r w:rsidR="00B22515" w:rsidRPr="00A754FF">
        <w:rPr>
          <w:rFonts w:ascii="Book Antiqua" w:hAnsi="Book Antiqua"/>
        </w:rPr>
        <w:t xml:space="preserve"> 2019.</w:t>
      </w:r>
      <w:r w:rsidR="00FF4975">
        <w:rPr>
          <w:rStyle w:val="FootnoteReference"/>
          <w:rFonts w:ascii="Book Antiqua" w:hAnsi="Book Antiqua"/>
        </w:rPr>
        <w:footnoteReference w:id="87"/>
      </w:r>
      <w:r w:rsidR="00B22515" w:rsidRPr="00A754FF">
        <w:rPr>
          <w:rFonts w:ascii="Book Antiqua" w:hAnsi="Book Antiqua"/>
        </w:rPr>
        <w:t xml:space="preserve">  Per D.09</w:t>
      </w:r>
      <w:r w:rsidR="00757681">
        <w:rPr>
          <w:rFonts w:ascii="Book Antiqua" w:hAnsi="Book Antiqua"/>
        </w:rPr>
        <w:noBreakHyphen/>
      </w:r>
      <w:r w:rsidR="00B22515" w:rsidRPr="00A754FF">
        <w:rPr>
          <w:rFonts w:ascii="Book Antiqua" w:hAnsi="Book Antiqua"/>
        </w:rPr>
        <w:t>12</w:t>
      </w:r>
      <w:r w:rsidR="00757681">
        <w:rPr>
          <w:rFonts w:ascii="Book Antiqua" w:hAnsi="Book Antiqua"/>
        </w:rPr>
        <w:noBreakHyphen/>
      </w:r>
      <w:r w:rsidR="00B22515" w:rsidRPr="00A754FF">
        <w:rPr>
          <w:rFonts w:ascii="Book Antiqua" w:hAnsi="Book Antiqua"/>
        </w:rPr>
        <w:t xml:space="preserve">047, </w:t>
      </w:r>
      <w:r w:rsidR="00FF4975">
        <w:rPr>
          <w:rFonts w:ascii="Book Antiqua" w:hAnsi="Book Antiqua"/>
        </w:rPr>
        <w:t>accumulated unused</w:t>
      </w:r>
      <w:r w:rsidR="00B22515" w:rsidRPr="00A754FF">
        <w:rPr>
          <w:rFonts w:ascii="Book Antiqua" w:hAnsi="Book Antiqua"/>
        </w:rPr>
        <w:t xml:space="preserve"> funds are carried over from year to year.  As of </w:t>
      </w:r>
      <w:r w:rsidR="00F662FF">
        <w:rPr>
          <w:rFonts w:ascii="Book Antiqua" w:hAnsi="Book Antiqua"/>
        </w:rPr>
        <w:t>July</w:t>
      </w:r>
      <w:r w:rsidRPr="00A754FF">
        <w:rPr>
          <w:rFonts w:ascii="Book Antiqua" w:hAnsi="Book Antiqua"/>
        </w:rPr>
        <w:t xml:space="preserve"> 2019, the program had </w:t>
      </w:r>
      <w:r w:rsidR="00FF4975">
        <w:rPr>
          <w:rFonts w:ascii="Book Antiqua" w:hAnsi="Book Antiqua"/>
        </w:rPr>
        <w:t xml:space="preserve">approximately </w:t>
      </w:r>
      <w:r w:rsidRPr="00A754FF">
        <w:rPr>
          <w:rFonts w:ascii="Book Antiqua" w:hAnsi="Book Antiqua"/>
        </w:rPr>
        <w:t>$</w:t>
      </w:r>
      <w:r w:rsidR="00F662FF">
        <w:rPr>
          <w:rFonts w:ascii="Book Antiqua" w:hAnsi="Book Antiqua"/>
        </w:rPr>
        <w:t>400.7</w:t>
      </w:r>
      <w:r w:rsidR="00F662FF" w:rsidRPr="00A754FF">
        <w:rPr>
          <w:rFonts w:ascii="Book Antiqua" w:hAnsi="Book Antiqua"/>
        </w:rPr>
        <w:t xml:space="preserve"> </w:t>
      </w:r>
      <w:r w:rsidRPr="00A754FF">
        <w:rPr>
          <w:rFonts w:ascii="Book Antiqua" w:hAnsi="Book Antiqua"/>
        </w:rPr>
        <w:t>million</w:t>
      </w:r>
      <w:r w:rsidR="00B22515" w:rsidRPr="00A754FF">
        <w:rPr>
          <w:rFonts w:ascii="Book Antiqua" w:hAnsi="Book Antiqua"/>
        </w:rPr>
        <w:t xml:space="preserve"> in </w:t>
      </w:r>
      <w:r w:rsidR="00FF4975">
        <w:rPr>
          <w:rFonts w:ascii="Book Antiqua" w:hAnsi="Book Antiqua"/>
        </w:rPr>
        <w:t xml:space="preserve">accumulated unused </w:t>
      </w:r>
      <w:r w:rsidR="0026157D">
        <w:rPr>
          <w:rFonts w:ascii="Book Antiqua" w:hAnsi="Book Antiqua"/>
        </w:rPr>
        <w:t xml:space="preserve">incentive </w:t>
      </w:r>
      <w:r w:rsidR="00B22515" w:rsidRPr="00A754FF">
        <w:rPr>
          <w:rFonts w:ascii="Book Antiqua" w:hAnsi="Book Antiqua"/>
        </w:rPr>
        <w:t>funds, including 2019 collections</w:t>
      </w:r>
      <w:r w:rsidR="00FF4975">
        <w:rPr>
          <w:rFonts w:ascii="Book Antiqua" w:hAnsi="Book Antiqua"/>
        </w:rPr>
        <w:t xml:space="preserve">, </w:t>
      </w:r>
      <w:r w:rsidR="00206D6A">
        <w:rPr>
          <w:rFonts w:ascii="Book Antiqua" w:hAnsi="Book Antiqua"/>
        </w:rPr>
        <w:t xml:space="preserve">and </w:t>
      </w:r>
      <w:r w:rsidR="00206D6A" w:rsidRPr="00206D6A">
        <w:rPr>
          <w:rFonts w:ascii="Book Antiqua" w:hAnsi="Book Antiqua"/>
        </w:rPr>
        <w:t>$</w:t>
      </w:r>
      <w:r w:rsidR="00D63B59">
        <w:rPr>
          <w:rFonts w:ascii="Book Antiqua" w:hAnsi="Book Antiqua"/>
        </w:rPr>
        <w:t>70.3</w:t>
      </w:r>
      <w:r w:rsidR="00841A93">
        <w:rPr>
          <w:rFonts w:ascii="Book Antiqua" w:hAnsi="Book Antiqua"/>
        </w:rPr>
        <w:t> </w:t>
      </w:r>
      <w:r w:rsidR="00206D6A" w:rsidRPr="00206D6A">
        <w:rPr>
          <w:rFonts w:ascii="Book Antiqua" w:hAnsi="Book Antiqua"/>
        </w:rPr>
        <w:t xml:space="preserve">million in </w:t>
      </w:r>
      <w:r w:rsidR="00FF4975">
        <w:rPr>
          <w:rFonts w:ascii="Book Antiqua" w:hAnsi="Book Antiqua"/>
        </w:rPr>
        <w:t xml:space="preserve">accumulated unused </w:t>
      </w:r>
      <w:r w:rsidR="00206D6A" w:rsidRPr="00206D6A">
        <w:rPr>
          <w:rFonts w:ascii="Book Antiqua" w:hAnsi="Book Antiqua"/>
        </w:rPr>
        <w:t>administrative funds</w:t>
      </w:r>
      <w:r w:rsidR="00B22515" w:rsidRPr="00A754FF">
        <w:rPr>
          <w:rFonts w:ascii="Book Antiqua" w:hAnsi="Book Antiqua"/>
        </w:rPr>
        <w:t>.</w:t>
      </w:r>
      <w:r w:rsidR="00841A93">
        <w:rPr>
          <w:rFonts w:ascii="Book Antiqua" w:hAnsi="Book Antiqua"/>
        </w:rPr>
        <w:t xml:space="preserve"> </w:t>
      </w:r>
      <w:r w:rsidR="00E96391">
        <w:rPr>
          <w:rFonts w:ascii="Book Antiqua" w:hAnsi="Book Antiqua"/>
        </w:rPr>
        <w:t xml:space="preserve"> Attachment B provides a summary of </w:t>
      </w:r>
      <w:r w:rsidR="00FF4975">
        <w:rPr>
          <w:rFonts w:ascii="Book Antiqua" w:hAnsi="Book Antiqua"/>
        </w:rPr>
        <w:t>accumulated unused</w:t>
      </w:r>
      <w:r w:rsidR="00E96391">
        <w:rPr>
          <w:rFonts w:ascii="Book Antiqua" w:hAnsi="Book Antiqua"/>
        </w:rPr>
        <w:t xml:space="preserve"> funds by PA</w:t>
      </w:r>
      <w:r w:rsidR="008A7D34">
        <w:rPr>
          <w:rFonts w:ascii="Book Antiqua" w:hAnsi="Book Antiqua"/>
        </w:rPr>
        <w:t xml:space="preserve"> as of the same date</w:t>
      </w:r>
      <w:r w:rsidR="00E96391">
        <w:rPr>
          <w:rFonts w:ascii="Book Antiqua" w:hAnsi="Book Antiqua"/>
        </w:rPr>
        <w:t>.</w:t>
      </w:r>
    </w:p>
    <w:p w14:paraId="27469224" w14:textId="25005879" w:rsidR="00B22515" w:rsidRDefault="004A126E" w:rsidP="00DE53B6">
      <w:pPr>
        <w:pStyle w:val="standard"/>
        <w:keepNext/>
        <w:keepLines/>
        <w:ind w:firstLine="0"/>
        <w:jc w:val="center"/>
        <w:rPr>
          <w:rFonts w:ascii="Book Antiqua" w:hAnsi="Book Antiqua"/>
        </w:rPr>
      </w:pPr>
      <w:r w:rsidRPr="00A754FF">
        <w:rPr>
          <w:rFonts w:ascii="Book Antiqua" w:hAnsi="Book Antiqua"/>
        </w:rPr>
        <w:t xml:space="preserve">Table </w:t>
      </w:r>
      <w:r w:rsidR="00AF6BF5">
        <w:rPr>
          <w:rFonts w:ascii="Book Antiqua" w:hAnsi="Book Antiqua"/>
        </w:rPr>
        <w:t>6</w:t>
      </w:r>
      <w:r w:rsidR="00B22515" w:rsidRPr="00A754FF">
        <w:rPr>
          <w:rFonts w:ascii="Book Antiqua" w:hAnsi="Book Antiqua"/>
        </w:rPr>
        <w:t xml:space="preserve">:  </w:t>
      </w:r>
      <w:r w:rsidR="00FF4975">
        <w:rPr>
          <w:rFonts w:ascii="Book Antiqua" w:hAnsi="Book Antiqua"/>
        </w:rPr>
        <w:t>Accumulated Unused</w:t>
      </w:r>
      <w:r w:rsidR="00B22515" w:rsidRPr="00A754FF">
        <w:rPr>
          <w:rFonts w:ascii="Book Antiqua" w:hAnsi="Book Antiqua"/>
        </w:rPr>
        <w:t xml:space="preserve"> </w:t>
      </w:r>
      <w:r w:rsidR="00F662FF">
        <w:rPr>
          <w:rFonts w:ascii="Book Antiqua" w:hAnsi="Book Antiqua"/>
        </w:rPr>
        <w:t xml:space="preserve">Incentive </w:t>
      </w:r>
      <w:r w:rsidR="00B22515" w:rsidRPr="00A754FF">
        <w:rPr>
          <w:rFonts w:ascii="Book Antiqua" w:hAnsi="Book Antiqua"/>
        </w:rPr>
        <w:t>Funds</w:t>
      </w:r>
      <w:r w:rsidR="00FF4975" w:rsidRPr="00A754FF">
        <w:rPr>
          <w:rFonts w:ascii="Book Antiqua" w:hAnsi="Book Antiqua"/>
          <w:vertAlign w:val="superscript"/>
        </w:rPr>
        <w:footnoteReference w:id="88"/>
      </w:r>
    </w:p>
    <w:tbl>
      <w:tblPr>
        <w:tblStyle w:val="TableGrid"/>
        <w:tblW w:w="0" w:type="auto"/>
        <w:tblLook w:val="04A0" w:firstRow="1" w:lastRow="0" w:firstColumn="1" w:lastColumn="0" w:noHBand="0" w:noVBand="1"/>
      </w:tblPr>
      <w:tblGrid>
        <w:gridCol w:w="3348"/>
        <w:gridCol w:w="3245"/>
        <w:gridCol w:w="2983"/>
      </w:tblGrid>
      <w:tr w:rsidR="00F662FF" w:rsidRPr="00A754FF" w14:paraId="584411AA" w14:textId="77777777" w:rsidTr="006D02CF">
        <w:trPr>
          <w:tblHeader/>
        </w:trPr>
        <w:tc>
          <w:tcPr>
            <w:tcW w:w="3348" w:type="dxa"/>
          </w:tcPr>
          <w:p w14:paraId="6956D8F1" w14:textId="77777777" w:rsidR="00F662FF" w:rsidRPr="00A754FF" w:rsidRDefault="00F662FF" w:rsidP="00841A93">
            <w:pPr>
              <w:pStyle w:val="standard"/>
              <w:keepNext/>
              <w:keepLines/>
              <w:spacing w:before="40" w:after="40" w:line="240" w:lineRule="auto"/>
              <w:ind w:firstLine="0"/>
              <w:rPr>
                <w:rFonts w:ascii="Book Antiqua" w:hAnsi="Book Antiqua"/>
                <w:b/>
              </w:rPr>
            </w:pPr>
            <w:bookmarkStart w:id="70" w:name="_Hlk14707918"/>
            <w:r w:rsidRPr="00A754FF">
              <w:rPr>
                <w:rFonts w:ascii="Book Antiqua" w:hAnsi="Book Antiqua"/>
                <w:b/>
              </w:rPr>
              <w:t>Category</w:t>
            </w:r>
          </w:p>
        </w:tc>
        <w:tc>
          <w:tcPr>
            <w:tcW w:w="3245" w:type="dxa"/>
          </w:tcPr>
          <w:p w14:paraId="43CD8472" w14:textId="77777777" w:rsidR="00F662FF" w:rsidRPr="00A754FF" w:rsidRDefault="00F662FF" w:rsidP="00841A93">
            <w:pPr>
              <w:pStyle w:val="standard"/>
              <w:keepNext/>
              <w:keepLines/>
              <w:spacing w:before="40" w:after="40" w:line="240" w:lineRule="auto"/>
              <w:rPr>
                <w:rFonts w:ascii="Book Antiqua" w:hAnsi="Book Antiqua"/>
                <w:b/>
              </w:rPr>
            </w:pPr>
            <w:r w:rsidRPr="00A754FF">
              <w:rPr>
                <w:rFonts w:ascii="Book Antiqua" w:hAnsi="Book Antiqua"/>
                <w:b/>
              </w:rPr>
              <w:t>Authorized</w:t>
            </w:r>
          </w:p>
        </w:tc>
        <w:tc>
          <w:tcPr>
            <w:tcW w:w="2983" w:type="dxa"/>
          </w:tcPr>
          <w:p w14:paraId="3E5EDCA9" w14:textId="77777777" w:rsidR="00F662FF" w:rsidRPr="00A754FF" w:rsidRDefault="00F662FF" w:rsidP="00841A93">
            <w:pPr>
              <w:pStyle w:val="standard"/>
              <w:keepNext/>
              <w:keepLines/>
              <w:spacing w:before="40" w:after="40" w:line="240" w:lineRule="auto"/>
              <w:rPr>
                <w:rFonts w:ascii="Book Antiqua" w:hAnsi="Book Antiqua"/>
                <w:b/>
              </w:rPr>
            </w:pPr>
            <w:r w:rsidRPr="00A754FF">
              <w:rPr>
                <w:rFonts w:ascii="Book Antiqua" w:hAnsi="Book Antiqua"/>
                <w:b/>
              </w:rPr>
              <w:t>Remaining</w:t>
            </w:r>
          </w:p>
        </w:tc>
      </w:tr>
      <w:tr w:rsidR="00F662FF" w:rsidRPr="00A754FF" w14:paraId="5E1F146A" w14:textId="77777777" w:rsidTr="006D02CF">
        <w:tc>
          <w:tcPr>
            <w:tcW w:w="3348" w:type="dxa"/>
          </w:tcPr>
          <w:p w14:paraId="46669188" w14:textId="77777777" w:rsidR="00F662FF" w:rsidRPr="00A754FF" w:rsidRDefault="00F662FF" w:rsidP="00841A93">
            <w:pPr>
              <w:pStyle w:val="standard"/>
              <w:keepNext/>
              <w:keepLines/>
              <w:spacing w:before="40" w:after="40" w:line="240" w:lineRule="auto"/>
              <w:ind w:firstLine="0"/>
              <w:rPr>
                <w:rFonts w:ascii="Book Antiqua" w:hAnsi="Book Antiqua"/>
              </w:rPr>
            </w:pPr>
            <w:r w:rsidRPr="00A754FF">
              <w:rPr>
                <w:rFonts w:ascii="Book Antiqua" w:hAnsi="Book Antiqua"/>
              </w:rPr>
              <w:t>Generation</w:t>
            </w:r>
          </w:p>
        </w:tc>
        <w:tc>
          <w:tcPr>
            <w:tcW w:w="3245" w:type="dxa"/>
          </w:tcPr>
          <w:p w14:paraId="67E9E206" w14:textId="77777777" w:rsidR="00F662FF" w:rsidRPr="00A754FF" w:rsidRDefault="00F662FF" w:rsidP="00841A93">
            <w:pPr>
              <w:pStyle w:val="standard"/>
              <w:keepNext/>
              <w:keepLines/>
              <w:spacing w:before="40" w:after="40" w:line="240" w:lineRule="auto"/>
              <w:rPr>
                <w:rFonts w:ascii="Book Antiqua" w:hAnsi="Book Antiqua"/>
              </w:rPr>
            </w:pPr>
            <w:r w:rsidRPr="00A754FF">
              <w:rPr>
                <w:rFonts w:ascii="Book Antiqua" w:hAnsi="Book Antiqua"/>
              </w:rPr>
              <w:t>$</w:t>
            </w:r>
            <w:r w:rsidRPr="00AA5FC8">
              <w:rPr>
                <w:rFonts w:ascii="Book Antiqua" w:hAnsi="Book Antiqua"/>
              </w:rPr>
              <w:t>124,323,340</w:t>
            </w:r>
          </w:p>
        </w:tc>
        <w:tc>
          <w:tcPr>
            <w:tcW w:w="2983" w:type="dxa"/>
          </w:tcPr>
          <w:p w14:paraId="1290F54C" w14:textId="77777777" w:rsidR="00F662FF" w:rsidRPr="00A754FF" w:rsidRDefault="00F662FF" w:rsidP="00841A93">
            <w:pPr>
              <w:pStyle w:val="standard"/>
              <w:keepNext/>
              <w:keepLines/>
              <w:spacing w:before="40" w:after="40" w:line="240" w:lineRule="auto"/>
              <w:rPr>
                <w:rFonts w:ascii="Book Antiqua" w:hAnsi="Book Antiqua"/>
              </w:rPr>
            </w:pPr>
            <w:r w:rsidRPr="00AA5FC8">
              <w:rPr>
                <w:rFonts w:ascii="Book Antiqua" w:hAnsi="Book Antiqua"/>
              </w:rPr>
              <w:t>$106,760,301</w:t>
            </w:r>
          </w:p>
        </w:tc>
      </w:tr>
      <w:tr w:rsidR="00F662FF" w:rsidRPr="00A754FF" w14:paraId="535E99A7" w14:textId="77777777" w:rsidTr="006D02CF">
        <w:tc>
          <w:tcPr>
            <w:tcW w:w="3348" w:type="dxa"/>
          </w:tcPr>
          <w:p w14:paraId="695EFC00" w14:textId="40D75B70" w:rsidR="00F662FF" w:rsidRPr="00A754FF" w:rsidRDefault="006C28C7" w:rsidP="00841A93">
            <w:pPr>
              <w:pStyle w:val="standard"/>
              <w:spacing w:before="40" w:after="40" w:line="240" w:lineRule="auto"/>
              <w:ind w:firstLine="0"/>
              <w:rPr>
                <w:rFonts w:ascii="Book Antiqua" w:hAnsi="Book Antiqua"/>
              </w:rPr>
            </w:pPr>
            <w:r>
              <w:rPr>
                <w:rFonts w:ascii="Book Antiqua" w:hAnsi="Book Antiqua"/>
              </w:rPr>
              <w:t>Large</w:t>
            </w:r>
            <w:r w:rsidR="00757681">
              <w:rPr>
                <w:rFonts w:ascii="Book Antiqua" w:hAnsi="Book Antiqua"/>
              </w:rPr>
              <w:noBreakHyphen/>
            </w:r>
            <w:r>
              <w:rPr>
                <w:rFonts w:ascii="Book Antiqua" w:hAnsi="Book Antiqua"/>
              </w:rPr>
              <w:t>Scale</w:t>
            </w:r>
            <w:r w:rsidR="00F662FF" w:rsidRPr="00A754FF">
              <w:rPr>
                <w:rFonts w:ascii="Book Antiqua" w:hAnsi="Book Antiqua"/>
              </w:rPr>
              <w:t xml:space="preserve"> Storage</w:t>
            </w:r>
          </w:p>
        </w:tc>
        <w:tc>
          <w:tcPr>
            <w:tcW w:w="3245" w:type="dxa"/>
          </w:tcPr>
          <w:p w14:paraId="7BF66F80" w14:textId="77777777" w:rsidR="00F662FF" w:rsidRPr="00A754FF" w:rsidRDefault="00F662FF" w:rsidP="00841A93">
            <w:pPr>
              <w:pStyle w:val="standard"/>
              <w:spacing w:before="40" w:after="40" w:line="240" w:lineRule="auto"/>
              <w:rPr>
                <w:rFonts w:ascii="Book Antiqua" w:hAnsi="Book Antiqua"/>
              </w:rPr>
            </w:pPr>
            <w:r w:rsidRPr="00A754FF">
              <w:rPr>
                <w:rFonts w:ascii="Book Antiqua" w:hAnsi="Book Antiqua"/>
              </w:rPr>
              <w:t>$</w:t>
            </w:r>
            <w:r w:rsidRPr="00AA5FC8">
              <w:rPr>
                <w:rFonts w:ascii="Book Antiqua" w:hAnsi="Book Antiqua"/>
              </w:rPr>
              <w:t>351,668,504</w:t>
            </w:r>
          </w:p>
        </w:tc>
        <w:tc>
          <w:tcPr>
            <w:tcW w:w="2983" w:type="dxa"/>
          </w:tcPr>
          <w:p w14:paraId="38208A18" w14:textId="77777777" w:rsidR="00F662FF" w:rsidRPr="00A754FF" w:rsidRDefault="00F662FF" w:rsidP="00841A93">
            <w:pPr>
              <w:pStyle w:val="standard"/>
              <w:spacing w:before="40" w:after="40" w:line="240" w:lineRule="auto"/>
              <w:rPr>
                <w:rFonts w:ascii="Book Antiqua" w:hAnsi="Book Antiqua"/>
              </w:rPr>
            </w:pPr>
            <w:r w:rsidRPr="00AA5FC8">
              <w:rPr>
                <w:rFonts w:ascii="Book Antiqua" w:hAnsi="Book Antiqua"/>
              </w:rPr>
              <w:t>$220,818,321</w:t>
            </w:r>
          </w:p>
        </w:tc>
      </w:tr>
      <w:tr w:rsidR="00F662FF" w:rsidRPr="00A754FF" w14:paraId="426D3568" w14:textId="77777777" w:rsidTr="006D02CF">
        <w:tc>
          <w:tcPr>
            <w:tcW w:w="3348" w:type="dxa"/>
          </w:tcPr>
          <w:p w14:paraId="6F397AD3" w14:textId="77777777" w:rsidR="00F662FF" w:rsidRPr="00A754FF" w:rsidRDefault="00F662FF" w:rsidP="00841A93">
            <w:pPr>
              <w:pStyle w:val="standard"/>
              <w:spacing w:before="40" w:after="40" w:line="240" w:lineRule="auto"/>
              <w:ind w:firstLine="0"/>
              <w:rPr>
                <w:rFonts w:ascii="Book Antiqua" w:hAnsi="Book Antiqua"/>
              </w:rPr>
            </w:pPr>
            <w:r w:rsidRPr="00A754FF">
              <w:rPr>
                <w:rFonts w:ascii="Book Antiqua" w:hAnsi="Book Antiqua"/>
              </w:rPr>
              <w:lastRenderedPageBreak/>
              <w:t>Residential Storage</w:t>
            </w:r>
          </w:p>
        </w:tc>
        <w:tc>
          <w:tcPr>
            <w:tcW w:w="3245" w:type="dxa"/>
          </w:tcPr>
          <w:p w14:paraId="0B29E4B8" w14:textId="77777777" w:rsidR="00F662FF" w:rsidRPr="00A754FF" w:rsidRDefault="00F662FF" w:rsidP="00841A93">
            <w:pPr>
              <w:pStyle w:val="standard"/>
              <w:spacing w:before="40" w:after="40" w:line="240" w:lineRule="auto"/>
              <w:rPr>
                <w:rFonts w:ascii="Book Antiqua" w:hAnsi="Book Antiqua"/>
              </w:rPr>
            </w:pPr>
            <w:r w:rsidRPr="00A754FF">
              <w:rPr>
                <w:rFonts w:ascii="Book Antiqua" w:hAnsi="Book Antiqua"/>
              </w:rPr>
              <w:t>$</w:t>
            </w:r>
            <w:r w:rsidRPr="0045591B">
              <w:rPr>
                <w:rFonts w:ascii="Book Antiqua" w:hAnsi="Book Antiqua"/>
              </w:rPr>
              <w:t>48,874,356</w:t>
            </w:r>
          </w:p>
        </w:tc>
        <w:tc>
          <w:tcPr>
            <w:tcW w:w="2983" w:type="dxa"/>
          </w:tcPr>
          <w:p w14:paraId="61382841" w14:textId="77777777" w:rsidR="00F662FF" w:rsidRPr="00A754FF" w:rsidRDefault="00F662FF" w:rsidP="00841A93">
            <w:pPr>
              <w:pStyle w:val="standard"/>
              <w:spacing w:before="40" w:after="40" w:line="240" w:lineRule="auto"/>
              <w:rPr>
                <w:rFonts w:ascii="Book Antiqua" w:hAnsi="Book Antiqua"/>
              </w:rPr>
            </w:pPr>
            <w:r w:rsidRPr="00A754FF">
              <w:rPr>
                <w:rFonts w:ascii="Book Antiqua" w:hAnsi="Book Antiqua"/>
              </w:rPr>
              <w:t>$</w:t>
            </w:r>
            <w:r w:rsidRPr="0045591B">
              <w:rPr>
                <w:rFonts w:ascii="Book Antiqua" w:hAnsi="Book Antiqua"/>
              </w:rPr>
              <w:t>3,086,504</w:t>
            </w:r>
          </w:p>
        </w:tc>
      </w:tr>
      <w:tr w:rsidR="00F662FF" w:rsidRPr="00A754FF" w14:paraId="61AEE755" w14:textId="77777777" w:rsidTr="006D02CF">
        <w:tc>
          <w:tcPr>
            <w:tcW w:w="3348" w:type="dxa"/>
          </w:tcPr>
          <w:p w14:paraId="72A6B0EB" w14:textId="69ADF41F" w:rsidR="00F662FF" w:rsidRPr="00A754FF" w:rsidRDefault="00F662FF" w:rsidP="00841A93">
            <w:pPr>
              <w:pStyle w:val="standard"/>
              <w:spacing w:before="40" w:after="40" w:line="240" w:lineRule="auto"/>
              <w:ind w:firstLine="0"/>
              <w:rPr>
                <w:rFonts w:ascii="Book Antiqua" w:hAnsi="Book Antiqua"/>
              </w:rPr>
            </w:pPr>
            <w:r w:rsidRPr="00A754FF">
              <w:rPr>
                <w:rFonts w:ascii="Book Antiqua" w:hAnsi="Book Antiqua"/>
              </w:rPr>
              <w:t>Non</w:t>
            </w:r>
            <w:r w:rsidR="00757681">
              <w:rPr>
                <w:rFonts w:ascii="Book Antiqua" w:hAnsi="Book Antiqua"/>
              </w:rPr>
              <w:noBreakHyphen/>
            </w:r>
            <w:r w:rsidRPr="00A754FF">
              <w:rPr>
                <w:rFonts w:ascii="Book Antiqua" w:hAnsi="Book Antiqua"/>
              </w:rPr>
              <w:t>Res Storage Equity</w:t>
            </w:r>
          </w:p>
        </w:tc>
        <w:tc>
          <w:tcPr>
            <w:tcW w:w="3245" w:type="dxa"/>
          </w:tcPr>
          <w:p w14:paraId="7FDE14EA" w14:textId="77777777" w:rsidR="00F662FF" w:rsidRPr="00A754FF" w:rsidRDefault="00F662FF" w:rsidP="00841A93">
            <w:pPr>
              <w:pStyle w:val="standard"/>
              <w:spacing w:before="40" w:after="40" w:line="240" w:lineRule="auto"/>
              <w:rPr>
                <w:rFonts w:ascii="Book Antiqua" w:hAnsi="Book Antiqua"/>
              </w:rPr>
            </w:pPr>
            <w:r w:rsidRPr="00A754FF">
              <w:rPr>
                <w:rFonts w:ascii="Book Antiqua" w:hAnsi="Book Antiqua"/>
              </w:rPr>
              <w:t>$65,373,787</w:t>
            </w:r>
          </w:p>
        </w:tc>
        <w:tc>
          <w:tcPr>
            <w:tcW w:w="2983" w:type="dxa"/>
          </w:tcPr>
          <w:p w14:paraId="05D5446E" w14:textId="77777777" w:rsidR="00F662FF" w:rsidRPr="00A754FF" w:rsidRDefault="00F662FF" w:rsidP="00841A93">
            <w:pPr>
              <w:pStyle w:val="standard"/>
              <w:spacing w:before="40" w:after="40" w:line="240" w:lineRule="auto"/>
              <w:rPr>
                <w:rFonts w:ascii="Book Antiqua" w:hAnsi="Book Antiqua"/>
              </w:rPr>
            </w:pPr>
            <w:r w:rsidRPr="00A754FF">
              <w:rPr>
                <w:rFonts w:ascii="Book Antiqua" w:hAnsi="Book Antiqua"/>
              </w:rPr>
              <w:t>$</w:t>
            </w:r>
            <w:r w:rsidRPr="00F6569D">
              <w:rPr>
                <w:rFonts w:ascii="Book Antiqua" w:hAnsi="Book Antiqua"/>
              </w:rPr>
              <w:t xml:space="preserve"> 62,852,387</w:t>
            </w:r>
          </w:p>
        </w:tc>
      </w:tr>
      <w:tr w:rsidR="00F662FF" w:rsidRPr="00A754FF" w14:paraId="3C49CC53" w14:textId="77777777" w:rsidTr="006D02CF">
        <w:tc>
          <w:tcPr>
            <w:tcW w:w="3348" w:type="dxa"/>
          </w:tcPr>
          <w:p w14:paraId="0DED8AA3" w14:textId="77777777" w:rsidR="00F662FF" w:rsidRPr="00A754FF" w:rsidRDefault="00F662FF" w:rsidP="00841A93">
            <w:pPr>
              <w:pStyle w:val="standard"/>
              <w:spacing w:before="40" w:after="40" w:line="240" w:lineRule="auto"/>
              <w:ind w:firstLine="0"/>
              <w:rPr>
                <w:rFonts w:ascii="Book Antiqua" w:hAnsi="Book Antiqua"/>
              </w:rPr>
            </w:pPr>
            <w:r w:rsidRPr="00A754FF">
              <w:rPr>
                <w:rFonts w:ascii="Book Antiqua" w:hAnsi="Book Antiqua"/>
              </w:rPr>
              <w:t>Residential Storage Equity</w:t>
            </w:r>
          </w:p>
        </w:tc>
        <w:tc>
          <w:tcPr>
            <w:tcW w:w="3245" w:type="dxa"/>
          </w:tcPr>
          <w:p w14:paraId="6CEC5220" w14:textId="77777777" w:rsidR="00F662FF" w:rsidRPr="00A754FF" w:rsidRDefault="00F662FF" w:rsidP="00841A93">
            <w:pPr>
              <w:pStyle w:val="standard"/>
              <w:spacing w:before="40" w:after="40" w:line="240" w:lineRule="auto"/>
              <w:rPr>
                <w:rFonts w:ascii="Book Antiqua" w:hAnsi="Book Antiqua"/>
              </w:rPr>
            </w:pPr>
            <w:r w:rsidRPr="00A754FF">
              <w:rPr>
                <w:rFonts w:ascii="Book Antiqua" w:hAnsi="Book Antiqua"/>
              </w:rPr>
              <w:t>$7,263,754</w:t>
            </w:r>
          </w:p>
        </w:tc>
        <w:tc>
          <w:tcPr>
            <w:tcW w:w="2983" w:type="dxa"/>
          </w:tcPr>
          <w:p w14:paraId="41177755" w14:textId="77777777" w:rsidR="00F662FF" w:rsidRPr="00A754FF" w:rsidRDefault="00F662FF" w:rsidP="00841A93">
            <w:pPr>
              <w:pStyle w:val="standard"/>
              <w:spacing w:before="40" w:after="40" w:line="240" w:lineRule="auto"/>
              <w:rPr>
                <w:rFonts w:ascii="Book Antiqua" w:hAnsi="Book Antiqua"/>
              </w:rPr>
            </w:pPr>
            <w:r w:rsidRPr="00A754FF">
              <w:rPr>
                <w:rFonts w:ascii="Book Antiqua" w:hAnsi="Book Antiqua"/>
              </w:rPr>
              <w:t>$</w:t>
            </w:r>
            <w:r w:rsidRPr="00F6569D">
              <w:rPr>
                <w:rFonts w:ascii="Book Antiqua" w:hAnsi="Book Antiqua"/>
              </w:rPr>
              <w:t>7,231,691</w:t>
            </w:r>
          </w:p>
        </w:tc>
      </w:tr>
      <w:tr w:rsidR="00F662FF" w:rsidRPr="00A754FF" w14:paraId="01BFDB39" w14:textId="77777777" w:rsidTr="006D02CF">
        <w:tc>
          <w:tcPr>
            <w:tcW w:w="3348" w:type="dxa"/>
          </w:tcPr>
          <w:p w14:paraId="76305AD3" w14:textId="77777777" w:rsidR="00F662FF" w:rsidRPr="00A754FF" w:rsidRDefault="00F662FF" w:rsidP="00841A93">
            <w:pPr>
              <w:pStyle w:val="standard"/>
              <w:spacing w:before="40" w:after="40" w:line="240" w:lineRule="auto"/>
              <w:ind w:firstLine="0"/>
              <w:rPr>
                <w:rFonts w:ascii="Book Antiqua" w:hAnsi="Book Antiqua"/>
              </w:rPr>
            </w:pPr>
            <w:r w:rsidRPr="00A754FF">
              <w:rPr>
                <w:rFonts w:ascii="Book Antiqua" w:hAnsi="Book Antiqua"/>
              </w:rPr>
              <w:t>Total</w:t>
            </w:r>
          </w:p>
        </w:tc>
        <w:tc>
          <w:tcPr>
            <w:tcW w:w="3245" w:type="dxa"/>
          </w:tcPr>
          <w:p w14:paraId="38194637" w14:textId="77777777" w:rsidR="00F662FF" w:rsidRPr="00A754FF" w:rsidRDefault="00F662FF" w:rsidP="00841A93">
            <w:pPr>
              <w:pStyle w:val="standard"/>
              <w:spacing w:before="40" w:after="40" w:line="240" w:lineRule="auto"/>
              <w:rPr>
                <w:rFonts w:ascii="Book Antiqua" w:hAnsi="Book Antiqua"/>
              </w:rPr>
            </w:pPr>
            <w:r w:rsidRPr="00A754FF">
              <w:rPr>
                <w:rFonts w:ascii="Book Antiqua" w:hAnsi="Book Antiqua"/>
              </w:rPr>
              <w:t>$597,113,860</w:t>
            </w:r>
          </w:p>
        </w:tc>
        <w:tc>
          <w:tcPr>
            <w:tcW w:w="2983" w:type="dxa"/>
          </w:tcPr>
          <w:p w14:paraId="3CA785AC" w14:textId="77777777" w:rsidR="00F662FF" w:rsidRPr="00A754FF" w:rsidRDefault="00F662FF" w:rsidP="00841A93">
            <w:pPr>
              <w:pStyle w:val="standard"/>
              <w:spacing w:before="40" w:after="40" w:line="240" w:lineRule="auto"/>
              <w:rPr>
                <w:rFonts w:ascii="Book Antiqua" w:hAnsi="Book Antiqua"/>
              </w:rPr>
            </w:pPr>
            <w:r w:rsidRPr="00856B3F">
              <w:rPr>
                <w:rFonts w:ascii="Book Antiqua" w:hAnsi="Book Antiqua"/>
              </w:rPr>
              <w:t>$</w:t>
            </w:r>
            <w:r>
              <w:rPr>
                <w:rFonts w:ascii="Book Antiqua" w:hAnsi="Book Antiqua"/>
              </w:rPr>
              <w:t>400,749,204</w:t>
            </w:r>
          </w:p>
        </w:tc>
      </w:tr>
      <w:bookmarkEnd w:id="70"/>
    </w:tbl>
    <w:p w14:paraId="1A77D6CC" w14:textId="77777777" w:rsidR="00E96391" w:rsidRDefault="00E96391" w:rsidP="00977C90">
      <w:pPr>
        <w:pStyle w:val="standard"/>
        <w:ind w:firstLine="0"/>
        <w:rPr>
          <w:rFonts w:ascii="Book Antiqua" w:hAnsi="Book Antiqua"/>
        </w:rPr>
      </w:pPr>
    </w:p>
    <w:p w14:paraId="2122D971" w14:textId="194EDBD2" w:rsidR="00F662FF" w:rsidRDefault="00D63B59" w:rsidP="00841A93">
      <w:pPr>
        <w:pStyle w:val="standard"/>
        <w:keepNext/>
        <w:keepLines/>
        <w:ind w:firstLine="0"/>
        <w:jc w:val="center"/>
        <w:rPr>
          <w:rFonts w:ascii="Book Antiqua" w:hAnsi="Book Antiqua"/>
        </w:rPr>
      </w:pPr>
      <w:r>
        <w:rPr>
          <w:rFonts w:ascii="Book Antiqua" w:hAnsi="Book Antiqua"/>
        </w:rPr>
        <w:t xml:space="preserve">Table </w:t>
      </w:r>
      <w:r w:rsidR="00E96391">
        <w:rPr>
          <w:rFonts w:ascii="Book Antiqua" w:hAnsi="Book Antiqua"/>
        </w:rPr>
        <w:t>7</w:t>
      </w:r>
      <w:r>
        <w:rPr>
          <w:rFonts w:ascii="Book Antiqua" w:hAnsi="Book Antiqua"/>
        </w:rPr>
        <w:t xml:space="preserve">: </w:t>
      </w:r>
      <w:r w:rsidR="00FF4975">
        <w:rPr>
          <w:rFonts w:ascii="Book Antiqua" w:hAnsi="Book Antiqua"/>
        </w:rPr>
        <w:t>Accumulated Unused</w:t>
      </w:r>
      <w:r>
        <w:rPr>
          <w:rFonts w:ascii="Book Antiqua" w:hAnsi="Book Antiqua"/>
        </w:rPr>
        <w:t xml:space="preserve"> Administrative Funds</w:t>
      </w:r>
      <w:r w:rsidR="00FF4975" w:rsidRPr="00A754FF">
        <w:rPr>
          <w:rFonts w:ascii="Book Antiqua" w:hAnsi="Book Antiqua"/>
          <w:vertAlign w:val="superscript"/>
        </w:rPr>
        <w:footnoteReference w:id="89"/>
      </w:r>
    </w:p>
    <w:tbl>
      <w:tblPr>
        <w:tblW w:w="9303" w:type="dxa"/>
        <w:jc w:val="center"/>
        <w:tblLook w:val="04A0" w:firstRow="1" w:lastRow="0" w:firstColumn="1" w:lastColumn="0" w:noHBand="0" w:noVBand="1"/>
      </w:tblPr>
      <w:tblGrid>
        <w:gridCol w:w="3527"/>
        <w:gridCol w:w="2888"/>
        <w:gridCol w:w="2888"/>
      </w:tblGrid>
      <w:tr w:rsidR="00D63B59" w:rsidRPr="00793923" w14:paraId="0EB22917" w14:textId="77777777" w:rsidTr="00D32CB0">
        <w:trPr>
          <w:trHeight w:val="756"/>
          <w:jc w:val="center"/>
        </w:trPr>
        <w:tc>
          <w:tcPr>
            <w:tcW w:w="35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F6B29C" w14:textId="002593EE" w:rsidR="00D63B59" w:rsidRPr="00793923" w:rsidRDefault="00D63B59" w:rsidP="00841A93">
            <w:pPr>
              <w:keepNext/>
              <w:keepLines/>
              <w:jc w:val="center"/>
              <w:rPr>
                <w:rFonts w:eastAsia="Times New Roman" w:cs="Calibri"/>
                <w:b/>
                <w:bCs/>
                <w:color w:val="000000"/>
                <w:szCs w:val="26"/>
              </w:rPr>
            </w:pPr>
            <w:r w:rsidRPr="00793923">
              <w:rPr>
                <w:rFonts w:eastAsia="Times New Roman" w:cs="Calibri"/>
                <w:b/>
                <w:bCs/>
                <w:color w:val="000000"/>
                <w:szCs w:val="26"/>
              </w:rPr>
              <w:t>Admin</w:t>
            </w:r>
            <w:r>
              <w:rPr>
                <w:rFonts w:eastAsia="Times New Roman" w:cs="Calibri"/>
                <w:b/>
                <w:bCs/>
                <w:color w:val="000000"/>
                <w:szCs w:val="26"/>
              </w:rPr>
              <w:t xml:space="preserve">istrative and </w:t>
            </w:r>
            <w:r w:rsidRPr="00793923">
              <w:rPr>
                <w:rFonts w:eastAsia="Times New Roman" w:cs="Calibri"/>
                <w:b/>
                <w:bCs/>
                <w:color w:val="000000"/>
                <w:szCs w:val="26"/>
              </w:rPr>
              <w:t>M&amp;E</w:t>
            </w:r>
            <w:r>
              <w:rPr>
                <w:rFonts w:eastAsia="Times New Roman" w:cs="Calibri"/>
                <w:b/>
                <w:bCs/>
                <w:color w:val="000000"/>
                <w:szCs w:val="26"/>
              </w:rPr>
              <w:t>O</w:t>
            </w:r>
            <w:r w:rsidRPr="00793923">
              <w:rPr>
                <w:rFonts w:eastAsia="Times New Roman" w:cs="Calibri"/>
                <w:b/>
                <w:bCs/>
                <w:color w:val="000000"/>
                <w:szCs w:val="26"/>
              </w:rPr>
              <w:t xml:space="preserve"> Budget </w:t>
            </w:r>
          </w:p>
        </w:tc>
        <w:tc>
          <w:tcPr>
            <w:tcW w:w="2888" w:type="dxa"/>
            <w:tcBorders>
              <w:top w:val="single" w:sz="8" w:space="0" w:color="auto"/>
              <w:left w:val="nil"/>
              <w:bottom w:val="single" w:sz="8" w:space="0" w:color="auto"/>
              <w:right w:val="single" w:sz="8" w:space="0" w:color="auto"/>
            </w:tcBorders>
            <w:shd w:val="clear" w:color="auto" w:fill="auto"/>
            <w:vAlign w:val="center"/>
            <w:hideMark/>
          </w:tcPr>
          <w:p w14:paraId="6E2EC62A" w14:textId="307B56FB" w:rsidR="00D63B59" w:rsidRPr="00793923" w:rsidRDefault="00D63B59" w:rsidP="00841A93">
            <w:pPr>
              <w:keepNext/>
              <w:keepLines/>
              <w:jc w:val="center"/>
              <w:rPr>
                <w:rFonts w:eastAsia="Times New Roman" w:cs="Calibri"/>
                <w:b/>
                <w:bCs/>
                <w:color w:val="000000"/>
                <w:szCs w:val="26"/>
              </w:rPr>
            </w:pPr>
            <w:r w:rsidRPr="00793923">
              <w:rPr>
                <w:rFonts w:eastAsia="Times New Roman" w:cs="Calibri"/>
                <w:b/>
                <w:bCs/>
                <w:color w:val="000000"/>
                <w:szCs w:val="26"/>
              </w:rPr>
              <w:t>Authorized</w:t>
            </w:r>
          </w:p>
        </w:tc>
        <w:tc>
          <w:tcPr>
            <w:tcW w:w="2888" w:type="dxa"/>
            <w:tcBorders>
              <w:top w:val="single" w:sz="8" w:space="0" w:color="auto"/>
              <w:left w:val="nil"/>
              <w:bottom w:val="single" w:sz="8" w:space="0" w:color="auto"/>
              <w:right w:val="single" w:sz="8" w:space="0" w:color="auto"/>
            </w:tcBorders>
            <w:shd w:val="clear" w:color="auto" w:fill="auto"/>
            <w:vAlign w:val="center"/>
            <w:hideMark/>
          </w:tcPr>
          <w:p w14:paraId="13751BA4" w14:textId="77777777" w:rsidR="00D63B59" w:rsidRPr="00793923" w:rsidRDefault="00D63B59" w:rsidP="00841A93">
            <w:pPr>
              <w:keepNext/>
              <w:keepLines/>
              <w:jc w:val="center"/>
              <w:rPr>
                <w:rFonts w:eastAsia="Times New Roman" w:cs="Calibri"/>
                <w:b/>
                <w:bCs/>
                <w:color w:val="000000"/>
                <w:szCs w:val="26"/>
              </w:rPr>
            </w:pPr>
            <w:r w:rsidRPr="00793923">
              <w:rPr>
                <w:rFonts w:eastAsia="Times New Roman" w:cs="Calibri"/>
                <w:b/>
                <w:bCs/>
                <w:color w:val="000000"/>
                <w:szCs w:val="26"/>
              </w:rPr>
              <w:t>Remaining</w:t>
            </w:r>
          </w:p>
        </w:tc>
      </w:tr>
      <w:tr w:rsidR="00D63B59" w:rsidRPr="00793923" w14:paraId="72EDA200" w14:textId="77777777" w:rsidTr="00D32CB0">
        <w:trPr>
          <w:trHeight w:val="386"/>
          <w:jc w:val="center"/>
        </w:trPr>
        <w:tc>
          <w:tcPr>
            <w:tcW w:w="3527" w:type="dxa"/>
            <w:tcBorders>
              <w:top w:val="nil"/>
              <w:left w:val="single" w:sz="8" w:space="0" w:color="auto"/>
              <w:bottom w:val="single" w:sz="8" w:space="0" w:color="auto"/>
              <w:right w:val="single" w:sz="8" w:space="0" w:color="auto"/>
            </w:tcBorders>
            <w:shd w:val="clear" w:color="auto" w:fill="auto"/>
            <w:vAlign w:val="center"/>
            <w:hideMark/>
          </w:tcPr>
          <w:p w14:paraId="63DF07E8" w14:textId="77777777" w:rsidR="00D63B59" w:rsidRPr="00793923" w:rsidRDefault="00D63B59" w:rsidP="00841A93">
            <w:pPr>
              <w:keepNext/>
              <w:keepLines/>
              <w:ind w:firstLineChars="100" w:firstLine="260"/>
              <w:rPr>
                <w:rFonts w:eastAsia="Times New Roman" w:cs="Calibri"/>
                <w:color w:val="000000"/>
                <w:szCs w:val="26"/>
              </w:rPr>
            </w:pPr>
            <w:r w:rsidRPr="00793923">
              <w:rPr>
                <w:rFonts w:eastAsia="Times New Roman" w:cs="Calibri"/>
                <w:color w:val="000000"/>
                <w:szCs w:val="26"/>
              </w:rPr>
              <w:t>PG&amp;E</w:t>
            </w:r>
          </w:p>
        </w:tc>
        <w:tc>
          <w:tcPr>
            <w:tcW w:w="2888" w:type="dxa"/>
            <w:tcBorders>
              <w:top w:val="nil"/>
              <w:left w:val="nil"/>
              <w:bottom w:val="single" w:sz="8" w:space="0" w:color="auto"/>
              <w:right w:val="single" w:sz="8" w:space="0" w:color="auto"/>
            </w:tcBorders>
            <w:shd w:val="clear" w:color="auto" w:fill="auto"/>
            <w:vAlign w:val="center"/>
            <w:hideMark/>
          </w:tcPr>
          <w:p w14:paraId="7E3F4417" w14:textId="77777777" w:rsidR="00D63B59" w:rsidRPr="00793923" w:rsidRDefault="00D63B59" w:rsidP="00841A93">
            <w:pPr>
              <w:keepNext/>
              <w:keepLines/>
              <w:jc w:val="center"/>
              <w:rPr>
                <w:rFonts w:eastAsia="Times New Roman" w:cs="Calibri"/>
                <w:color w:val="000000"/>
                <w:szCs w:val="26"/>
              </w:rPr>
            </w:pPr>
            <w:r w:rsidRPr="00793923">
              <w:rPr>
                <w:rFonts w:eastAsia="Times New Roman" w:cs="Calibri"/>
                <w:color w:val="000000"/>
                <w:szCs w:val="26"/>
              </w:rPr>
              <w:t xml:space="preserve">$33,907,102 </w:t>
            </w:r>
          </w:p>
        </w:tc>
        <w:tc>
          <w:tcPr>
            <w:tcW w:w="2888" w:type="dxa"/>
            <w:tcBorders>
              <w:top w:val="nil"/>
              <w:left w:val="nil"/>
              <w:bottom w:val="single" w:sz="8" w:space="0" w:color="auto"/>
              <w:right w:val="single" w:sz="8" w:space="0" w:color="auto"/>
            </w:tcBorders>
            <w:shd w:val="clear" w:color="auto" w:fill="auto"/>
            <w:vAlign w:val="center"/>
            <w:hideMark/>
          </w:tcPr>
          <w:p w14:paraId="5C242D60" w14:textId="77777777" w:rsidR="00D63B59" w:rsidRPr="00793923" w:rsidRDefault="00D63B59" w:rsidP="00841A93">
            <w:pPr>
              <w:keepNext/>
              <w:keepLines/>
              <w:jc w:val="center"/>
              <w:rPr>
                <w:rFonts w:eastAsia="Times New Roman" w:cs="Calibri"/>
                <w:color w:val="000000"/>
                <w:szCs w:val="26"/>
              </w:rPr>
            </w:pPr>
            <w:r w:rsidRPr="00793923">
              <w:rPr>
                <w:rFonts w:eastAsia="Times New Roman" w:cs="Calibri"/>
                <w:color w:val="000000"/>
                <w:szCs w:val="26"/>
              </w:rPr>
              <w:t xml:space="preserve">$28,397,784 </w:t>
            </w:r>
          </w:p>
        </w:tc>
      </w:tr>
      <w:tr w:rsidR="00D63B59" w:rsidRPr="00793923" w14:paraId="617EF665" w14:textId="77777777" w:rsidTr="00D32CB0">
        <w:trPr>
          <w:trHeight w:val="386"/>
          <w:jc w:val="center"/>
        </w:trPr>
        <w:tc>
          <w:tcPr>
            <w:tcW w:w="3527" w:type="dxa"/>
            <w:tcBorders>
              <w:top w:val="nil"/>
              <w:left w:val="single" w:sz="8" w:space="0" w:color="auto"/>
              <w:bottom w:val="single" w:sz="8" w:space="0" w:color="auto"/>
              <w:right w:val="single" w:sz="8" w:space="0" w:color="auto"/>
            </w:tcBorders>
            <w:shd w:val="clear" w:color="auto" w:fill="auto"/>
            <w:vAlign w:val="center"/>
            <w:hideMark/>
          </w:tcPr>
          <w:p w14:paraId="216CC9F2" w14:textId="77777777" w:rsidR="00D63B59" w:rsidRPr="00793923" w:rsidRDefault="00D63B59" w:rsidP="00841A93">
            <w:pPr>
              <w:keepNext/>
              <w:keepLines/>
              <w:ind w:firstLineChars="100" w:firstLine="260"/>
              <w:rPr>
                <w:rFonts w:eastAsia="Times New Roman" w:cs="Calibri"/>
                <w:color w:val="000000"/>
                <w:szCs w:val="26"/>
              </w:rPr>
            </w:pPr>
            <w:r w:rsidRPr="00793923">
              <w:rPr>
                <w:rFonts w:eastAsia="Times New Roman" w:cs="Calibri"/>
                <w:color w:val="000000"/>
                <w:szCs w:val="26"/>
              </w:rPr>
              <w:t>SCE</w:t>
            </w:r>
          </w:p>
        </w:tc>
        <w:tc>
          <w:tcPr>
            <w:tcW w:w="2888" w:type="dxa"/>
            <w:tcBorders>
              <w:top w:val="nil"/>
              <w:left w:val="nil"/>
              <w:bottom w:val="single" w:sz="8" w:space="0" w:color="auto"/>
              <w:right w:val="single" w:sz="8" w:space="0" w:color="auto"/>
            </w:tcBorders>
            <w:shd w:val="clear" w:color="auto" w:fill="auto"/>
            <w:vAlign w:val="center"/>
            <w:hideMark/>
          </w:tcPr>
          <w:p w14:paraId="658C0AC6" w14:textId="77777777" w:rsidR="00D63B59" w:rsidRPr="00793923" w:rsidRDefault="00D63B59" w:rsidP="00841A93">
            <w:pPr>
              <w:keepNext/>
              <w:keepLines/>
              <w:jc w:val="center"/>
              <w:rPr>
                <w:rFonts w:eastAsia="Times New Roman" w:cs="Calibri"/>
                <w:color w:val="000000"/>
                <w:szCs w:val="26"/>
              </w:rPr>
            </w:pPr>
            <w:r w:rsidRPr="00793923">
              <w:rPr>
                <w:rFonts w:eastAsia="Times New Roman" w:cs="Calibri"/>
                <w:color w:val="000000"/>
                <w:szCs w:val="26"/>
              </w:rPr>
              <w:t xml:space="preserve">$36,932,832 </w:t>
            </w:r>
          </w:p>
        </w:tc>
        <w:tc>
          <w:tcPr>
            <w:tcW w:w="2888" w:type="dxa"/>
            <w:tcBorders>
              <w:top w:val="nil"/>
              <w:left w:val="nil"/>
              <w:bottom w:val="single" w:sz="8" w:space="0" w:color="auto"/>
              <w:right w:val="single" w:sz="8" w:space="0" w:color="auto"/>
            </w:tcBorders>
            <w:shd w:val="clear" w:color="auto" w:fill="auto"/>
            <w:vAlign w:val="center"/>
            <w:hideMark/>
          </w:tcPr>
          <w:p w14:paraId="4886412B" w14:textId="77777777" w:rsidR="00D63B59" w:rsidRPr="00793923" w:rsidRDefault="00D63B59" w:rsidP="00841A93">
            <w:pPr>
              <w:keepNext/>
              <w:keepLines/>
              <w:jc w:val="center"/>
              <w:rPr>
                <w:rFonts w:eastAsia="Times New Roman" w:cs="Calibri"/>
                <w:color w:val="000000"/>
                <w:szCs w:val="26"/>
              </w:rPr>
            </w:pPr>
            <w:r w:rsidRPr="00793923">
              <w:rPr>
                <w:rFonts w:eastAsia="Times New Roman" w:cs="Calibri"/>
                <w:color w:val="000000"/>
                <w:szCs w:val="26"/>
              </w:rPr>
              <w:t xml:space="preserve">$31,589,564 </w:t>
            </w:r>
          </w:p>
        </w:tc>
      </w:tr>
      <w:tr w:rsidR="00D63B59" w:rsidRPr="00793923" w14:paraId="73140BD0" w14:textId="77777777" w:rsidTr="00D32CB0">
        <w:trPr>
          <w:trHeight w:val="386"/>
          <w:jc w:val="center"/>
        </w:trPr>
        <w:tc>
          <w:tcPr>
            <w:tcW w:w="3527" w:type="dxa"/>
            <w:tcBorders>
              <w:top w:val="nil"/>
              <w:left w:val="single" w:sz="8" w:space="0" w:color="auto"/>
              <w:bottom w:val="single" w:sz="8" w:space="0" w:color="auto"/>
              <w:right w:val="single" w:sz="8" w:space="0" w:color="auto"/>
            </w:tcBorders>
            <w:shd w:val="clear" w:color="auto" w:fill="auto"/>
            <w:vAlign w:val="center"/>
            <w:hideMark/>
          </w:tcPr>
          <w:p w14:paraId="5EBF707C" w14:textId="77777777" w:rsidR="00D63B59" w:rsidRPr="00793923" w:rsidRDefault="00D63B59" w:rsidP="00841A93">
            <w:pPr>
              <w:keepNext/>
              <w:keepLines/>
              <w:ind w:firstLineChars="100" w:firstLine="260"/>
              <w:rPr>
                <w:rFonts w:eastAsia="Times New Roman" w:cs="Calibri"/>
                <w:color w:val="000000"/>
                <w:szCs w:val="26"/>
              </w:rPr>
            </w:pPr>
            <w:r w:rsidRPr="00793923">
              <w:rPr>
                <w:rFonts w:eastAsia="Times New Roman" w:cs="Calibri"/>
                <w:color w:val="000000"/>
                <w:szCs w:val="26"/>
              </w:rPr>
              <w:t>CSE</w:t>
            </w:r>
          </w:p>
        </w:tc>
        <w:tc>
          <w:tcPr>
            <w:tcW w:w="2888" w:type="dxa"/>
            <w:tcBorders>
              <w:top w:val="nil"/>
              <w:left w:val="nil"/>
              <w:bottom w:val="single" w:sz="8" w:space="0" w:color="auto"/>
              <w:right w:val="single" w:sz="8" w:space="0" w:color="auto"/>
            </w:tcBorders>
            <w:shd w:val="clear" w:color="auto" w:fill="auto"/>
            <w:vAlign w:val="center"/>
            <w:hideMark/>
          </w:tcPr>
          <w:p w14:paraId="714B1F2F" w14:textId="77777777" w:rsidR="00D63B59" w:rsidRPr="00793923" w:rsidRDefault="00D63B59" w:rsidP="00841A93">
            <w:pPr>
              <w:keepNext/>
              <w:keepLines/>
              <w:jc w:val="center"/>
              <w:rPr>
                <w:rFonts w:eastAsia="Times New Roman" w:cs="Calibri"/>
                <w:color w:val="000000"/>
                <w:szCs w:val="26"/>
              </w:rPr>
            </w:pPr>
            <w:r w:rsidRPr="00793923">
              <w:rPr>
                <w:rFonts w:eastAsia="Times New Roman" w:cs="Calibri"/>
                <w:color w:val="000000"/>
                <w:szCs w:val="26"/>
              </w:rPr>
              <w:t xml:space="preserve">$6,870,346 </w:t>
            </w:r>
          </w:p>
        </w:tc>
        <w:tc>
          <w:tcPr>
            <w:tcW w:w="2888" w:type="dxa"/>
            <w:tcBorders>
              <w:top w:val="nil"/>
              <w:left w:val="nil"/>
              <w:bottom w:val="single" w:sz="8" w:space="0" w:color="auto"/>
              <w:right w:val="single" w:sz="8" w:space="0" w:color="auto"/>
            </w:tcBorders>
            <w:shd w:val="clear" w:color="auto" w:fill="auto"/>
            <w:vAlign w:val="center"/>
            <w:hideMark/>
          </w:tcPr>
          <w:p w14:paraId="69F83B9E" w14:textId="77777777" w:rsidR="00D63B59" w:rsidRPr="00793923" w:rsidRDefault="00D63B59" w:rsidP="00841A93">
            <w:pPr>
              <w:keepNext/>
              <w:keepLines/>
              <w:jc w:val="center"/>
              <w:rPr>
                <w:rFonts w:eastAsia="Times New Roman" w:cs="Calibri"/>
                <w:color w:val="000000"/>
                <w:szCs w:val="26"/>
              </w:rPr>
            </w:pPr>
            <w:r w:rsidRPr="00793923">
              <w:rPr>
                <w:rFonts w:eastAsia="Times New Roman" w:cs="Calibri"/>
                <w:color w:val="000000"/>
                <w:szCs w:val="26"/>
              </w:rPr>
              <w:t xml:space="preserve">$2,844,824 </w:t>
            </w:r>
          </w:p>
        </w:tc>
      </w:tr>
      <w:tr w:rsidR="00D63B59" w:rsidRPr="00793923" w14:paraId="0B51FF8E" w14:textId="77777777" w:rsidTr="00D32CB0">
        <w:trPr>
          <w:trHeight w:val="386"/>
          <w:jc w:val="center"/>
        </w:trPr>
        <w:tc>
          <w:tcPr>
            <w:tcW w:w="3527" w:type="dxa"/>
            <w:tcBorders>
              <w:top w:val="nil"/>
              <w:left w:val="single" w:sz="8" w:space="0" w:color="auto"/>
              <w:bottom w:val="single" w:sz="8" w:space="0" w:color="auto"/>
              <w:right w:val="single" w:sz="8" w:space="0" w:color="auto"/>
            </w:tcBorders>
            <w:shd w:val="clear" w:color="auto" w:fill="auto"/>
            <w:vAlign w:val="center"/>
            <w:hideMark/>
          </w:tcPr>
          <w:p w14:paraId="63162E96" w14:textId="77777777" w:rsidR="00D63B59" w:rsidRPr="00793923" w:rsidRDefault="00D63B59" w:rsidP="00D32CB0">
            <w:pPr>
              <w:ind w:firstLineChars="100" w:firstLine="260"/>
              <w:rPr>
                <w:rFonts w:eastAsia="Times New Roman" w:cs="Calibri"/>
                <w:color w:val="000000"/>
                <w:szCs w:val="26"/>
              </w:rPr>
            </w:pPr>
            <w:r w:rsidRPr="00793923">
              <w:rPr>
                <w:rFonts w:eastAsia="Times New Roman" w:cs="Calibri"/>
                <w:color w:val="000000"/>
                <w:szCs w:val="26"/>
              </w:rPr>
              <w:t>SoCalGas</w:t>
            </w:r>
          </w:p>
        </w:tc>
        <w:tc>
          <w:tcPr>
            <w:tcW w:w="2888" w:type="dxa"/>
            <w:tcBorders>
              <w:top w:val="nil"/>
              <w:left w:val="nil"/>
              <w:bottom w:val="single" w:sz="8" w:space="0" w:color="auto"/>
              <w:right w:val="single" w:sz="8" w:space="0" w:color="auto"/>
            </w:tcBorders>
            <w:shd w:val="clear" w:color="auto" w:fill="auto"/>
            <w:vAlign w:val="center"/>
            <w:hideMark/>
          </w:tcPr>
          <w:p w14:paraId="65060C6D" w14:textId="77777777" w:rsidR="00D63B59" w:rsidRPr="00793923" w:rsidRDefault="00D63B59" w:rsidP="006828C7">
            <w:pPr>
              <w:jc w:val="center"/>
              <w:rPr>
                <w:rFonts w:eastAsia="Times New Roman" w:cs="Calibri"/>
                <w:color w:val="000000"/>
                <w:szCs w:val="26"/>
              </w:rPr>
            </w:pPr>
            <w:r w:rsidRPr="00793923">
              <w:rPr>
                <w:rFonts w:eastAsia="Times New Roman" w:cs="Calibri"/>
                <w:color w:val="000000"/>
                <w:szCs w:val="26"/>
              </w:rPr>
              <w:t xml:space="preserve">$8,871,329 </w:t>
            </w:r>
          </w:p>
        </w:tc>
        <w:tc>
          <w:tcPr>
            <w:tcW w:w="2888" w:type="dxa"/>
            <w:tcBorders>
              <w:top w:val="nil"/>
              <w:left w:val="nil"/>
              <w:bottom w:val="single" w:sz="8" w:space="0" w:color="auto"/>
              <w:right w:val="single" w:sz="8" w:space="0" w:color="auto"/>
            </w:tcBorders>
            <w:shd w:val="clear" w:color="auto" w:fill="auto"/>
            <w:vAlign w:val="center"/>
            <w:hideMark/>
          </w:tcPr>
          <w:p w14:paraId="3417ACEE" w14:textId="77777777" w:rsidR="00D63B59" w:rsidRPr="00793923" w:rsidRDefault="00D63B59" w:rsidP="006828C7">
            <w:pPr>
              <w:jc w:val="center"/>
              <w:rPr>
                <w:rFonts w:eastAsia="Times New Roman" w:cs="Calibri"/>
                <w:color w:val="000000"/>
                <w:szCs w:val="26"/>
              </w:rPr>
            </w:pPr>
            <w:r w:rsidRPr="00793923">
              <w:rPr>
                <w:rFonts w:eastAsia="Times New Roman" w:cs="Calibri"/>
                <w:color w:val="000000"/>
                <w:szCs w:val="26"/>
              </w:rPr>
              <w:t xml:space="preserve">$7,466,010 </w:t>
            </w:r>
          </w:p>
        </w:tc>
      </w:tr>
      <w:tr w:rsidR="00D63B59" w:rsidRPr="00793923" w14:paraId="023D1EE0" w14:textId="77777777" w:rsidTr="00D32CB0">
        <w:trPr>
          <w:trHeight w:val="386"/>
          <w:jc w:val="center"/>
        </w:trPr>
        <w:tc>
          <w:tcPr>
            <w:tcW w:w="3527" w:type="dxa"/>
            <w:tcBorders>
              <w:top w:val="nil"/>
              <w:left w:val="single" w:sz="8" w:space="0" w:color="auto"/>
              <w:bottom w:val="single" w:sz="8" w:space="0" w:color="auto"/>
              <w:right w:val="single" w:sz="8" w:space="0" w:color="auto"/>
            </w:tcBorders>
            <w:shd w:val="clear" w:color="auto" w:fill="auto"/>
            <w:vAlign w:val="center"/>
            <w:hideMark/>
          </w:tcPr>
          <w:p w14:paraId="63C59CF0" w14:textId="77777777" w:rsidR="00D63B59" w:rsidRPr="00793923" w:rsidRDefault="00D63B59" w:rsidP="00AB292B">
            <w:pPr>
              <w:ind w:firstLineChars="100" w:firstLine="261"/>
              <w:rPr>
                <w:rFonts w:eastAsia="Times New Roman" w:cs="Calibri"/>
                <w:b/>
                <w:bCs/>
                <w:color w:val="000000"/>
                <w:szCs w:val="26"/>
              </w:rPr>
            </w:pPr>
            <w:r w:rsidRPr="00793923">
              <w:rPr>
                <w:rFonts w:eastAsia="Times New Roman" w:cs="Calibri"/>
                <w:b/>
                <w:bCs/>
                <w:color w:val="000000"/>
                <w:szCs w:val="26"/>
              </w:rPr>
              <w:t xml:space="preserve">Total </w:t>
            </w:r>
          </w:p>
        </w:tc>
        <w:tc>
          <w:tcPr>
            <w:tcW w:w="2888" w:type="dxa"/>
            <w:tcBorders>
              <w:top w:val="nil"/>
              <w:left w:val="nil"/>
              <w:bottom w:val="single" w:sz="8" w:space="0" w:color="auto"/>
              <w:right w:val="single" w:sz="8" w:space="0" w:color="auto"/>
            </w:tcBorders>
            <w:shd w:val="clear" w:color="auto" w:fill="auto"/>
            <w:vAlign w:val="center"/>
            <w:hideMark/>
          </w:tcPr>
          <w:p w14:paraId="2F227F6D" w14:textId="77777777" w:rsidR="00D63B59" w:rsidRPr="00793923" w:rsidRDefault="00D63B59" w:rsidP="006828C7">
            <w:pPr>
              <w:jc w:val="center"/>
              <w:rPr>
                <w:rFonts w:eastAsia="Times New Roman" w:cs="Calibri"/>
                <w:b/>
                <w:bCs/>
                <w:color w:val="000000"/>
                <w:szCs w:val="26"/>
              </w:rPr>
            </w:pPr>
            <w:r w:rsidRPr="00793923">
              <w:rPr>
                <w:rFonts w:eastAsia="Times New Roman" w:cs="Calibri"/>
                <w:b/>
                <w:bCs/>
                <w:color w:val="000000"/>
                <w:szCs w:val="26"/>
              </w:rPr>
              <w:t xml:space="preserve">$86,581,609 </w:t>
            </w:r>
          </w:p>
        </w:tc>
        <w:tc>
          <w:tcPr>
            <w:tcW w:w="2888" w:type="dxa"/>
            <w:tcBorders>
              <w:top w:val="nil"/>
              <w:left w:val="nil"/>
              <w:bottom w:val="single" w:sz="8" w:space="0" w:color="auto"/>
              <w:right w:val="single" w:sz="8" w:space="0" w:color="auto"/>
            </w:tcBorders>
            <w:shd w:val="clear" w:color="auto" w:fill="auto"/>
            <w:vAlign w:val="center"/>
            <w:hideMark/>
          </w:tcPr>
          <w:p w14:paraId="597F4313" w14:textId="77777777" w:rsidR="00D63B59" w:rsidRPr="00793923" w:rsidRDefault="00D63B59" w:rsidP="006828C7">
            <w:pPr>
              <w:jc w:val="center"/>
              <w:rPr>
                <w:rFonts w:eastAsia="Times New Roman" w:cs="Calibri"/>
                <w:b/>
                <w:bCs/>
                <w:color w:val="000000"/>
                <w:szCs w:val="26"/>
              </w:rPr>
            </w:pPr>
            <w:r w:rsidRPr="00793923">
              <w:rPr>
                <w:rFonts w:eastAsia="Times New Roman" w:cs="Calibri"/>
                <w:b/>
                <w:bCs/>
                <w:color w:val="000000"/>
                <w:szCs w:val="26"/>
              </w:rPr>
              <w:t xml:space="preserve">$70,298,181 </w:t>
            </w:r>
          </w:p>
        </w:tc>
      </w:tr>
    </w:tbl>
    <w:p w14:paraId="1D084677" w14:textId="77777777" w:rsidR="00D63B59" w:rsidRDefault="00D63B59" w:rsidP="00977C90">
      <w:pPr>
        <w:pStyle w:val="standard"/>
        <w:ind w:firstLine="0"/>
        <w:rPr>
          <w:rFonts w:ascii="Book Antiqua" w:hAnsi="Book Antiqua"/>
        </w:rPr>
      </w:pPr>
    </w:p>
    <w:p w14:paraId="262062FB" w14:textId="5BDB0563" w:rsidR="00C700F8" w:rsidRDefault="00C700F8" w:rsidP="00C170EE">
      <w:pPr>
        <w:pStyle w:val="ALJBodyText"/>
      </w:pPr>
      <w:r>
        <w:t xml:space="preserve">The SGIP ACR requested party input on equity budget funding levels.  It also requested party comment on </w:t>
      </w:r>
      <w:r w:rsidR="00FF4975">
        <w:t>accumulated unused</w:t>
      </w:r>
      <w:r w:rsidR="00353AED">
        <w:t xml:space="preserve"> </w:t>
      </w:r>
      <w:r>
        <w:t xml:space="preserve">SGIP </w:t>
      </w:r>
      <w:r w:rsidR="00E96391">
        <w:t xml:space="preserve">incentive </w:t>
      </w:r>
      <w:r w:rsidR="00FF4975">
        <w:t xml:space="preserve">and administrative </w:t>
      </w:r>
      <w:r>
        <w:t xml:space="preserve">funds </w:t>
      </w:r>
      <w:r w:rsidR="008A7D34">
        <w:t xml:space="preserve">and </w:t>
      </w:r>
      <w:r w:rsidR="00353AED">
        <w:t xml:space="preserve">for </w:t>
      </w:r>
      <w:r>
        <w:t xml:space="preserve">input on new SGIP funds that the Commission will authorize to be collected during the 2020 to 2024 period pursuant to Section </w:t>
      </w:r>
      <w:r w:rsidR="007C3AB5">
        <w:t>379.6</w:t>
      </w:r>
      <w:r w:rsidR="0052352B">
        <w:t>(a)(2)</w:t>
      </w:r>
      <w:r>
        <w:t xml:space="preserve">.  </w:t>
      </w:r>
    </w:p>
    <w:p w14:paraId="00ECEF51" w14:textId="011A5347" w:rsidR="00C700F8" w:rsidRDefault="00C700F8" w:rsidP="00C170EE">
      <w:pPr>
        <w:pStyle w:val="ALJBodyText"/>
      </w:pPr>
      <w:r w:rsidRPr="004305D8">
        <w:t xml:space="preserve">This section modifies allocation of </w:t>
      </w:r>
      <w:r w:rsidR="00353AED" w:rsidRPr="004305D8">
        <w:t xml:space="preserve">the </w:t>
      </w:r>
      <w:r w:rsidR="00FF4975">
        <w:t xml:space="preserve">approximately </w:t>
      </w:r>
      <w:r w:rsidR="00353AED" w:rsidRPr="004305D8">
        <w:t xml:space="preserve">$400.7 million in </w:t>
      </w:r>
      <w:r w:rsidR="00FF4975">
        <w:t>accumulated unused</w:t>
      </w:r>
      <w:r w:rsidR="00353AED" w:rsidRPr="004305D8">
        <w:t xml:space="preserve"> SGIP</w:t>
      </w:r>
      <w:r w:rsidR="00FF4975">
        <w:t xml:space="preserve"> incentive</w:t>
      </w:r>
      <w:r w:rsidR="00353AED" w:rsidRPr="004305D8">
        <w:t xml:space="preserve"> funds remaining as of July 2019 </w:t>
      </w:r>
      <w:r w:rsidRPr="004305D8">
        <w:t xml:space="preserve">by approving a new $100 million </w:t>
      </w:r>
      <w:r w:rsidR="004305D8" w:rsidRPr="004305D8">
        <w:t xml:space="preserve">equity resiliency </w:t>
      </w:r>
      <w:r w:rsidRPr="004305D8">
        <w:t>budget</w:t>
      </w:r>
      <w:r w:rsidR="004305D8" w:rsidRPr="004305D8">
        <w:t xml:space="preserve"> for</w:t>
      </w:r>
      <w:r w:rsidRPr="004305D8">
        <w:t xml:space="preserve"> projects limited to customers with critical resiliency needs</w:t>
      </w:r>
      <w:r w:rsidR="0052352B" w:rsidRPr="004305D8">
        <w:t xml:space="preserve"> and</w:t>
      </w:r>
      <w:r w:rsidR="00BF2B7B" w:rsidRPr="004305D8">
        <w:t xml:space="preserve"> </w:t>
      </w:r>
      <w:r w:rsidR="008A7D34">
        <w:t xml:space="preserve">HFTD </w:t>
      </w:r>
      <w:r w:rsidR="00EB5329" w:rsidRPr="004305D8">
        <w:t>SASH</w:t>
      </w:r>
      <w:r w:rsidR="008A7D34">
        <w:t>/DAC</w:t>
      </w:r>
      <w:r w:rsidR="00757681">
        <w:noBreakHyphen/>
      </w:r>
      <w:r w:rsidR="008A7D34">
        <w:t xml:space="preserve">SASH </w:t>
      </w:r>
      <w:r w:rsidR="008A7D34">
        <w:lastRenderedPageBreak/>
        <w:t>customers</w:t>
      </w:r>
      <w:r>
        <w:t>.</w:t>
      </w:r>
      <w:r w:rsidR="00353AED">
        <w:t xml:space="preserve">  T</w:t>
      </w:r>
      <w:r>
        <w:t>his decision only addresses the disposition of SGIP funds</w:t>
      </w:r>
      <w:r w:rsidR="00FF4975">
        <w:t xml:space="preserve"> accumulated as of 2017 – 2019 that remain unused</w:t>
      </w:r>
      <w:r>
        <w:t xml:space="preserve">.  A subsequent decision in this rulemaking will authorize </w:t>
      </w:r>
      <w:r w:rsidR="00EB5329">
        <w:t xml:space="preserve">new </w:t>
      </w:r>
      <w:r>
        <w:t xml:space="preserve">SGIP collection levels and budget allocations for the 2020 to 2024 period. </w:t>
      </w:r>
    </w:p>
    <w:p w14:paraId="62C7CF35" w14:textId="50232A4E" w:rsidR="00251194" w:rsidRDefault="00255008" w:rsidP="00C151FC">
      <w:pPr>
        <w:pStyle w:val="ALJHeading2"/>
      </w:pPr>
      <w:bookmarkStart w:id="71" w:name="_Toc15908093"/>
      <w:r>
        <w:t>Party Comments</w:t>
      </w:r>
      <w:bookmarkEnd w:id="71"/>
    </w:p>
    <w:p w14:paraId="50A8FD06" w14:textId="20DBB9C5" w:rsidR="007C3A08" w:rsidRDefault="00CB747D" w:rsidP="00AD4486">
      <w:pPr>
        <w:pStyle w:val="ALJBodyText"/>
      </w:pPr>
      <w:r>
        <w:t xml:space="preserve">Most parties </w:t>
      </w:r>
      <w:r w:rsidR="00861563">
        <w:t>recommend that the C</w:t>
      </w:r>
      <w:r w:rsidR="00154EDA">
        <w:t>ommission carry</w:t>
      </w:r>
      <w:r w:rsidR="00FC2680">
        <w:t xml:space="preserve"> </w:t>
      </w:r>
      <w:r w:rsidR="00154EDA">
        <w:t>over all of the remaining authorized SGIP funds</w:t>
      </w:r>
      <w:r>
        <w:t xml:space="preserve">, stating that </w:t>
      </w:r>
      <w:r w:rsidR="003035FD">
        <w:t xml:space="preserve">storage continues to be </w:t>
      </w:r>
      <w:r w:rsidR="00FF4975">
        <w:t xml:space="preserve">valuable to the Commission, is </w:t>
      </w:r>
      <w:r w:rsidR="003035FD">
        <w:t xml:space="preserve">needed to integrate large amounts of renewable energy onto the grid and </w:t>
      </w:r>
      <w:r w:rsidR="00FF4975">
        <w:t xml:space="preserve">that </w:t>
      </w:r>
      <w:r w:rsidR="003035FD">
        <w:t xml:space="preserve">the </w:t>
      </w:r>
      <w:r w:rsidR="00FF4975">
        <w:t xml:space="preserve">California storage </w:t>
      </w:r>
      <w:r w:rsidR="003035FD">
        <w:t xml:space="preserve">market is far from transformed.  </w:t>
      </w:r>
      <w:r w:rsidR="007C3A08">
        <w:t>PG&amp;E recommend</w:t>
      </w:r>
      <w:r w:rsidR="005E31BB">
        <w:t>s</w:t>
      </w:r>
      <w:r w:rsidR="007C3A08">
        <w:t xml:space="preserve"> that the Commission return all remaining </w:t>
      </w:r>
      <w:r w:rsidR="004E3F2E">
        <w:t xml:space="preserve">previously authorized </w:t>
      </w:r>
      <w:r w:rsidR="007C3A08">
        <w:t>funds to ratepayer</w:t>
      </w:r>
      <w:r w:rsidR="004E3F2E">
        <w:t xml:space="preserve">s, stating that </w:t>
      </w:r>
      <w:r w:rsidR="00C21369">
        <w:t>reducing overall program costs will help keep customer electricity rates affordable.</w:t>
      </w:r>
      <w:r w:rsidR="00B07EC8">
        <w:t xml:space="preserve">  </w:t>
      </w:r>
      <w:r w:rsidR="00B07EC8" w:rsidRPr="00B07EC8">
        <w:t>Cal Advocates states that due to the large remaining pool of incentives, there</w:t>
      </w:r>
      <w:r w:rsidR="00B07EC8">
        <w:t xml:space="preserve"> </w:t>
      </w:r>
      <w:r w:rsidR="00B07EC8" w:rsidRPr="00B07EC8">
        <w:t>is no present need to authorize additional collections for SGIP.</w:t>
      </w:r>
    </w:p>
    <w:p w14:paraId="701ACC06" w14:textId="5F4742B8" w:rsidR="00255008" w:rsidRDefault="00255008" w:rsidP="00AD4486">
      <w:pPr>
        <w:pStyle w:val="ALJBodyText"/>
      </w:pPr>
      <w:r>
        <w:t>Parties generally recommend</w:t>
      </w:r>
      <w:r w:rsidR="00DF07B9">
        <w:t xml:space="preserve"> maintaining the equity budg</w:t>
      </w:r>
      <w:r w:rsidR="00861563">
        <w:t>et at approximately its</w:t>
      </w:r>
      <w:r w:rsidR="007C3A08">
        <w:t xml:space="preserve"> current level</w:t>
      </w:r>
      <w:r w:rsidR="00DF07B9">
        <w:t xml:space="preserve">. </w:t>
      </w:r>
      <w:r w:rsidR="00861563">
        <w:t xml:space="preserve"> </w:t>
      </w:r>
      <w:r w:rsidR="007C3A08">
        <w:t>GRID/</w:t>
      </w:r>
      <w:r w:rsidR="00C54DFC">
        <w:t>CHPC</w:t>
      </w:r>
      <w:r w:rsidR="007C3A08">
        <w:t xml:space="preserve"> </w:t>
      </w:r>
      <w:r w:rsidR="006F4457">
        <w:t>recommend</w:t>
      </w:r>
      <w:r w:rsidR="00CB3C01">
        <w:t xml:space="preserve"> that the Commission increase the residential portion of the equity budget </w:t>
      </w:r>
      <w:r w:rsidR="002D36D3">
        <w:t xml:space="preserve">and </w:t>
      </w:r>
      <w:r w:rsidR="007C3A08">
        <w:t>permit developers to access non</w:t>
      </w:r>
      <w:r w:rsidR="00757681">
        <w:noBreakHyphen/>
      </w:r>
      <w:r w:rsidR="007C3A08">
        <w:t xml:space="preserve">residential storage equity budget funds </w:t>
      </w:r>
      <w:r w:rsidR="002D36D3">
        <w:t>if residential eq</w:t>
      </w:r>
      <w:r w:rsidR="007C3A08">
        <w:t xml:space="preserve">uity budget funds are depleted, </w:t>
      </w:r>
      <w:r w:rsidR="002D36D3">
        <w:t>but not the reverse.</w:t>
      </w:r>
      <w:r w:rsidR="00861563">
        <w:t xml:space="preserve"> </w:t>
      </w:r>
      <w:r w:rsidR="007C3A08">
        <w:t xml:space="preserve"> </w:t>
      </w:r>
      <w:r w:rsidR="00DA651F">
        <w:t>GRID/</w:t>
      </w:r>
      <w:r w:rsidR="00C54DFC">
        <w:t>CHPC</w:t>
      </w:r>
      <w:r w:rsidR="00DA651F">
        <w:t xml:space="preserve"> state</w:t>
      </w:r>
      <w:r w:rsidR="00902E65">
        <w:t xml:space="preserve"> that </w:t>
      </w:r>
      <w:r w:rsidR="00861563">
        <w:t xml:space="preserve">the </w:t>
      </w:r>
      <w:r w:rsidR="00DA651F">
        <w:t xml:space="preserve">newly available $90 million </w:t>
      </w:r>
      <w:r w:rsidR="00861563">
        <w:t xml:space="preserve">in annual SOMAH funding </w:t>
      </w:r>
      <w:r w:rsidR="00902E65">
        <w:t xml:space="preserve">and </w:t>
      </w:r>
      <w:r w:rsidR="00861563">
        <w:t xml:space="preserve">the </w:t>
      </w:r>
      <w:r w:rsidR="00902E65">
        <w:t>DAC</w:t>
      </w:r>
      <w:r w:rsidR="00757681">
        <w:noBreakHyphen/>
      </w:r>
      <w:r w:rsidR="00902E65">
        <w:t xml:space="preserve">SASH </w:t>
      </w:r>
      <w:r w:rsidR="00861563">
        <w:t xml:space="preserve">annual budget of $10 million could </w:t>
      </w:r>
      <w:r w:rsidR="00453ED4">
        <w:t>dramatically increase demand for t</w:t>
      </w:r>
      <w:r w:rsidR="00DA651F">
        <w:t xml:space="preserve">he SGIP equity budget. </w:t>
      </w:r>
    </w:p>
    <w:p w14:paraId="6239C984" w14:textId="4D5E1AD8" w:rsidR="007C3A08" w:rsidRDefault="0019194C" w:rsidP="00AD4486">
      <w:pPr>
        <w:pStyle w:val="ALJBodyText"/>
      </w:pPr>
      <w:r>
        <w:t xml:space="preserve">Regarding the current SGIP </w:t>
      </w:r>
      <w:r w:rsidR="007C3A08">
        <w:t xml:space="preserve">generation </w:t>
      </w:r>
      <w:r w:rsidR="00FF4975">
        <w:t xml:space="preserve">technology </w:t>
      </w:r>
      <w:r w:rsidR="007C3A08">
        <w:t xml:space="preserve">budget, </w:t>
      </w:r>
      <w:r>
        <w:t>s</w:t>
      </w:r>
      <w:r w:rsidR="001B2ADF">
        <w:t xml:space="preserve">everal </w:t>
      </w:r>
      <w:r w:rsidR="007C3A08">
        <w:t>parties propose r</w:t>
      </w:r>
      <w:r>
        <w:t xml:space="preserve">educing this budget because </w:t>
      </w:r>
      <w:r w:rsidR="007C3A08">
        <w:t>non</w:t>
      </w:r>
      <w:r w:rsidR="00757681">
        <w:noBreakHyphen/>
      </w:r>
      <w:r w:rsidR="007C3A08">
        <w:t xml:space="preserve">renewable generation technologies become ineligible for SGIP incentives on January 1, 2020. </w:t>
      </w:r>
      <w:r>
        <w:t xml:space="preserve"> Other parties such as </w:t>
      </w:r>
      <w:r w:rsidR="007362DE">
        <w:t>J</w:t>
      </w:r>
      <w:r w:rsidR="006A3985">
        <w:t>FCP</w:t>
      </w:r>
      <w:r w:rsidR="00870BF9">
        <w:t xml:space="preserve"> and C</w:t>
      </w:r>
      <w:r w:rsidR="00952F7A">
        <w:t>CD</w:t>
      </w:r>
      <w:r w:rsidR="00870BF9">
        <w:t>C</w:t>
      </w:r>
      <w:r>
        <w:t xml:space="preserve"> propose that the Commission increase the budget for renewable </w:t>
      </w:r>
      <w:r>
        <w:lastRenderedPageBreak/>
        <w:t>generation technologies.  These parties a</w:t>
      </w:r>
      <w:r w:rsidR="00DB66EA">
        <w:t xml:space="preserve">nd CSE </w:t>
      </w:r>
      <w:r>
        <w:t>recommend that the Commission modify SGIP program requirements for renewable technologies and increase the incentive levels in order to drive an increase in incentive applications in this area.</w:t>
      </w:r>
      <w:r w:rsidR="00CC0C12">
        <w:t xml:space="preserve"> </w:t>
      </w:r>
      <w:r w:rsidR="0032323C">
        <w:t xml:space="preserve"> </w:t>
      </w:r>
      <w:r w:rsidR="004A3749">
        <w:t xml:space="preserve">In comments on the proposed decision, </w:t>
      </w:r>
      <w:r w:rsidR="00BE57FD">
        <w:t>JFCP, CCDC</w:t>
      </w:r>
      <w:r w:rsidR="00CC0C12">
        <w:t xml:space="preserve"> and SoCalGa</w:t>
      </w:r>
      <w:r w:rsidR="004A3749">
        <w:t xml:space="preserve">s propose that the Commission establish an equity resiliency generation budget with increased incentives.  </w:t>
      </w:r>
    </w:p>
    <w:p w14:paraId="5AD703BC" w14:textId="6EC67FD6" w:rsidR="00255008" w:rsidRDefault="00255008" w:rsidP="00C151FC">
      <w:pPr>
        <w:pStyle w:val="ALJHeading2"/>
      </w:pPr>
      <w:bookmarkStart w:id="72" w:name="_Toc15908094"/>
      <w:r>
        <w:t>Discussion</w:t>
      </w:r>
      <w:bookmarkEnd w:id="72"/>
    </w:p>
    <w:p w14:paraId="0B434A33" w14:textId="7AFAB405" w:rsidR="00CF095C" w:rsidRDefault="008A7D34" w:rsidP="00F51D08">
      <w:pPr>
        <w:pStyle w:val="ALJBodyText"/>
        <w:rPr>
          <w:rFonts w:ascii="BookAntiqua" w:hAnsi="BookAntiqua" w:cs="BookAntiqua"/>
          <w:szCs w:val="26"/>
        </w:rPr>
      </w:pPr>
      <w:bookmarkStart w:id="73" w:name="_Hlk15561826"/>
      <w:r>
        <w:t>We approve carry</w:t>
      </w:r>
      <w:r w:rsidR="00D56A6C">
        <w:t xml:space="preserve"> </w:t>
      </w:r>
      <w:r>
        <w:t xml:space="preserve">over </w:t>
      </w:r>
      <w:r w:rsidR="00523754">
        <w:t xml:space="preserve">of </w:t>
      </w:r>
      <w:r>
        <w:t xml:space="preserve">the funds that remain as of January 1, 2020 of </w:t>
      </w:r>
      <w:r w:rsidR="00523754">
        <w:t xml:space="preserve">the </w:t>
      </w:r>
      <w:r w:rsidR="00FF4975">
        <w:t xml:space="preserve">approximately </w:t>
      </w:r>
      <w:r w:rsidR="00353AED">
        <w:t xml:space="preserve">$400.7 million in </w:t>
      </w:r>
      <w:r w:rsidR="00FF4975">
        <w:t>accumulated unused</w:t>
      </w:r>
      <w:r w:rsidR="00353AED">
        <w:t xml:space="preserve"> SGIP </w:t>
      </w:r>
      <w:r w:rsidR="008E3FCD">
        <w:t xml:space="preserve">incentive </w:t>
      </w:r>
      <w:r w:rsidR="00353AED">
        <w:t xml:space="preserve">funds </w:t>
      </w:r>
      <w:r w:rsidR="008E3FCD">
        <w:t>and $70.</w:t>
      </w:r>
      <w:r w:rsidR="00D63B59">
        <w:t>3</w:t>
      </w:r>
      <w:r w:rsidR="008E3FCD">
        <w:t xml:space="preserve"> million in </w:t>
      </w:r>
      <w:r w:rsidR="00FF4975">
        <w:t>accumulated unused</w:t>
      </w:r>
      <w:r w:rsidR="008E3FCD">
        <w:t xml:space="preserve"> SGIP admin</w:t>
      </w:r>
      <w:r>
        <w:t xml:space="preserve">istrative funds </w:t>
      </w:r>
      <w:r w:rsidR="008E3FCD">
        <w:t>for use during the 2020 to 202</w:t>
      </w:r>
      <w:r w:rsidR="00D63B59">
        <w:t xml:space="preserve">5 </w:t>
      </w:r>
      <w:r w:rsidR="008E3FCD">
        <w:t xml:space="preserve">period.  </w:t>
      </w:r>
      <w:bookmarkEnd w:id="73"/>
      <w:r w:rsidR="00156536">
        <w:t>W</w:t>
      </w:r>
      <w:r w:rsidR="0019194C">
        <w:t xml:space="preserve">e </w:t>
      </w:r>
      <w:r>
        <w:t xml:space="preserve">also </w:t>
      </w:r>
      <w:r w:rsidR="0019194C">
        <w:t>establish a new $10</w:t>
      </w:r>
      <w:r w:rsidR="00977C90">
        <w:t>0</w:t>
      </w:r>
      <w:r w:rsidR="0019194C">
        <w:t xml:space="preserve"> million </w:t>
      </w:r>
      <w:r w:rsidR="00156536">
        <w:t xml:space="preserve">incentive </w:t>
      </w:r>
      <w:r w:rsidR="0019194C">
        <w:t>budget set</w:t>
      </w:r>
      <w:r w:rsidR="00757681">
        <w:noBreakHyphen/>
      </w:r>
      <w:r w:rsidR="0019194C">
        <w:t>aside for equity budget customers with cr</w:t>
      </w:r>
      <w:r w:rsidR="005F2881">
        <w:t>itical resiliency needs and</w:t>
      </w:r>
      <w:r w:rsidR="00977C90">
        <w:t xml:space="preserve"> those participating in </w:t>
      </w:r>
      <w:r w:rsidR="0019194C">
        <w:t>the SASH or DAC</w:t>
      </w:r>
      <w:r w:rsidR="00757681">
        <w:noBreakHyphen/>
      </w:r>
      <w:r w:rsidR="0019194C">
        <w:t>SASH programs</w:t>
      </w:r>
      <w:r w:rsidR="00156536">
        <w:t xml:space="preserve"> w</w:t>
      </w:r>
      <w:r w:rsidR="003471B0">
        <w:t xml:space="preserve">ith a portion of the </w:t>
      </w:r>
      <w:r w:rsidR="00FF4975">
        <w:t>accumulated unused</w:t>
      </w:r>
      <w:r w:rsidR="00156536">
        <w:t xml:space="preserve"> funds</w:t>
      </w:r>
      <w:r w:rsidR="0019194C">
        <w:t xml:space="preserve">.  PAs shall </w:t>
      </w:r>
      <w:r w:rsidR="00977C90">
        <w:t>transfer $100 million from the</w:t>
      </w:r>
      <w:r w:rsidR="008E3FCD">
        <w:t xml:space="preserve"> </w:t>
      </w:r>
      <w:r w:rsidR="00FF4975">
        <w:t>accumulated unused</w:t>
      </w:r>
      <w:r w:rsidR="00977C90">
        <w:t xml:space="preserve"> generation budget to </w:t>
      </w:r>
      <w:r w:rsidR="0019194C">
        <w:t>th</w:t>
      </w:r>
      <w:r w:rsidR="00212312">
        <w:t xml:space="preserve">e new </w:t>
      </w:r>
      <w:r w:rsidR="0019194C">
        <w:t>equity resiliency budget</w:t>
      </w:r>
      <w:r w:rsidR="008E3FCD">
        <w:t xml:space="preserve">, using the </w:t>
      </w:r>
      <w:r w:rsidR="00CF095C">
        <w:rPr>
          <w:rFonts w:ascii="BookAntiqua" w:hAnsi="BookAntiqua" w:cs="BookAntiqua"/>
          <w:szCs w:val="26"/>
        </w:rPr>
        <w:t>allocat</w:t>
      </w:r>
      <w:r w:rsidR="008E3FCD">
        <w:rPr>
          <w:rFonts w:ascii="BookAntiqua" w:hAnsi="BookAntiqua" w:cs="BookAntiqua"/>
          <w:szCs w:val="26"/>
        </w:rPr>
        <w:t>ion</w:t>
      </w:r>
      <w:r w:rsidR="00CF095C">
        <w:rPr>
          <w:rFonts w:ascii="BookAntiqua" w:hAnsi="BookAntiqua" w:cs="BookAntiqua"/>
          <w:szCs w:val="26"/>
        </w:rPr>
        <w:t xml:space="preserve"> </w:t>
      </w:r>
      <w:r w:rsidR="004A3749">
        <w:rPr>
          <w:rFonts w:ascii="BookAntiqua" w:hAnsi="BookAntiqua" w:cs="BookAntiqua"/>
          <w:szCs w:val="26"/>
        </w:rPr>
        <w:t>indicated in Table 8.  T</w:t>
      </w:r>
      <w:r w:rsidR="004A3749" w:rsidRPr="004A3749">
        <w:rPr>
          <w:rFonts w:ascii="BookAntiqua" w:hAnsi="BookAntiqua" w:cs="BookAntiqua"/>
          <w:szCs w:val="26"/>
        </w:rPr>
        <w:t xml:space="preserve">he PAs shall transfer funds first from the highest budgeted incentive step and move backwards until the directed level of funds are transferred. </w:t>
      </w:r>
      <w:r w:rsidR="0032323C">
        <w:rPr>
          <w:rFonts w:ascii="BookAntiqua" w:hAnsi="BookAntiqua" w:cs="BookAntiqua"/>
          <w:szCs w:val="26"/>
        </w:rPr>
        <w:t xml:space="preserve"> </w:t>
      </w:r>
      <w:r w:rsidR="00BE57FD">
        <w:rPr>
          <w:rFonts w:ascii="BookAntiqua" w:hAnsi="BookAntiqua" w:cs="BookAntiqua"/>
          <w:szCs w:val="26"/>
        </w:rPr>
        <w:t>For example</w:t>
      </w:r>
      <w:r w:rsidR="004A3749" w:rsidRPr="004A3749">
        <w:rPr>
          <w:rFonts w:ascii="BookAntiqua" w:hAnsi="BookAntiqua" w:cs="BookAntiqua"/>
          <w:szCs w:val="26"/>
        </w:rPr>
        <w:t>, if a PA has budget in incentive step</w:t>
      </w:r>
      <w:r w:rsidR="004A3749">
        <w:rPr>
          <w:rFonts w:ascii="BookAntiqua" w:hAnsi="BookAntiqua" w:cs="BookAntiqua"/>
          <w:szCs w:val="26"/>
        </w:rPr>
        <w:t>s</w:t>
      </w:r>
      <w:r w:rsidR="004A3749" w:rsidRPr="004A3749">
        <w:rPr>
          <w:rFonts w:ascii="BookAntiqua" w:hAnsi="BookAntiqua" w:cs="BookAntiqua"/>
          <w:szCs w:val="26"/>
        </w:rPr>
        <w:t xml:space="preserve"> 1,</w:t>
      </w:r>
      <w:r w:rsidR="004A3749">
        <w:rPr>
          <w:rFonts w:ascii="BookAntiqua" w:hAnsi="BookAntiqua" w:cs="BookAntiqua"/>
          <w:szCs w:val="26"/>
        </w:rPr>
        <w:t xml:space="preserve"> </w:t>
      </w:r>
      <w:r w:rsidR="004A3749" w:rsidRPr="004A3749">
        <w:rPr>
          <w:rFonts w:ascii="BookAntiqua" w:hAnsi="BookAntiqua" w:cs="BookAntiqua"/>
          <w:szCs w:val="26"/>
        </w:rPr>
        <w:t>2, a</w:t>
      </w:r>
      <w:r w:rsidR="004A3749">
        <w:rPr>
          <w:rFonts w:ascii="BookAntiqua" w:hAnsi="BookAntiqua" w:cs="BookAntiqua"/>
          <w:szCs w:val="26"/>
        </w:rPr>
        <w:t>nd 3, it should first transfer and close, as applicable</w:t>
      </w:r>
      <w:r w:rsidR="004A3749" w:rsidRPr="004A3749">
        <w:rPr>
          <w:rFonts w:ascii="BookAntiqua" w:hAnsi="BookAntiqua" w:cs="BookAntiqua"/>
          <w:szCs w:val="26"/>
        </w:rPr>
        <w:t xml:space="preserve">, all funds in incentive step 3, and then repeat this for incentive step 2, </w:t>
      </w:r>
      <w:r w:rsidR="004A3749">
        <w:rPr>
          <w:rFonts w:ascii="BookAntiqua" w:hAnsi="BookAntiqua" w:cs="BookAntiqua"/>
          <w:szCs w:val="26"/>
        </w:rPr>
        <w:t xml:space="preserve">closing or </w:t>
      </w:r>
      <w:r w:rsidR="004A3749" w:rsidRPr="004A3749">
        <w:rPr>
          <w:rFonts w:ascii="BookAntiqua" w:hAnsi="BookAntiqua" w:cs="BookAntiqua"/>
          <w:szCs w:val="26"/>
        </w:rPr>
        <w:t>leaving th</w:t>
      </w:r>
      <w:r w:rsidR="004A3749">
        <w:rPr>
          <w:rFonts w:ascii="BookAntiqua" w:hAnsi="BookAntiqua" w:cs="BookAntiqua"/>
          <w:szCs w:val="26"/>
        </w:rPr>
        <w:t>at step open as warranted, if budget remains in the step following the transfer.</w:t>
      </w:r>
      <w:r w:rsidR="00B16027">
        <w:rPr>
          <w:rFonts w:ascii="BookAntiqua" w:hAnsi="BookAntiqua" w:cs="BookAntiqua"/>
          <w:szCs w:val="26"/>
        </w:rPr>
        <w:t xml:space="preserve">  To the extent that a PA has insuff</w:t>
      </w:r>
      <w:r w:rsidR="006C28C7">
        <w:rPr>
          <w:rFonts w:ascii="BookAntiqua" w:hAnsi="BookAntiqua" w:cs="BookAntiqua"/>
          <w:szCs w:val="26"/>
        </w:rPr>
        <w:t xml:space="preserve">icient funds remaining in its </w:t>
      </w:r>
      <w:r w:rsidR="00B16027">
        <w:rPr>
          <w:rFonts w:ascii="BookAntiqua" w:hAnsi="BookAntiqua" w:cs="BookAntiqua"/>
          <w:szCs w:val="26"/>
        </w:rPr>
        <w:t>accumulated unus</w:t>
      </w:r>
      <w:r w:rsidR="006C28C7">
        <w:rPr>
          <w:rFonts w:ascii="BookAntiqua" w:hAnsi="BookAntiqua" w:cs="BookAntiqua"/>
          <w:szCs w:val="26"/>
        </w:rPr>
        <w:t>ed generation technology budget</w:t>
      </w:r>
      <w:r w:rsidR="00B16027">
        <w:rPr>
          <w:rFonts w:ascii="BookAntiqua" w:hAnsi="BookAntiqua" w:cs="BookAntiqua"/>
          <w:szCs w:val="26"/>
        </w:rPr>
        <w:t xml:space="preserve"> to complete the budget transfers summarized in Table 8, the PA should transfer the additional funds necessary from its </w:t>
      </w:r>
      <w:r w:rsidR="006C28C7">
        <w:rPr>
          <w:rFonts w:ascii="BookAntiqua" w:hAnsi="BookAntiqua" w:cs="BookAntiqua"/>
          <w:szCs w:val="26"/>
        </w:rPr>
        <w:t>large</w:t>
      </w:r>
      <w:r w:rsidR="00757681">
        <w:rPr>
          <w:rFonts w:ascii="BookAntiqua" w:hAnsi="BookAntiqua" w:cs="BookAntiqua"/>
          <w:szCs w:val="26"/>
        </w:rPr>
        <w:noBreakHyphen/>
      </w:r>
      <w:r w:rsidR="006C28C7">
        <w:rPr>
          <w:rFonts w:ascii="BookAntiqua" w:hAnsi="BookAntiqua" w:cs="BookAntiqua"/>
          <w:szCs w:val="26"/>
        </w:rPr>
        <w:t xml:space="preserve">scale </w:t>
      </w:r>
      <w:r w:rsidR="00B16027">
        <w:rPr>
          <w:rFonts w:ascii="BookAntiqua" w:hAnsi="BookAntiqua" w:cs="BookAntiqua"/>
          <w:szCs w:val="26"/>
        </w:rPr>
        <w:t xml:space="preserve">storage budget. </w:t>
      </w:r>
    </w:p>
    <w:p w14:paraId="52E34692" w14:textId="64690944" w:rsidR="00CF095C" w:rsidRDefault="008E3FCD" w:rsidP="0032323C">
      <w:pPr>
        <w:pStyle w:val="ALJBodyText"/>
        <w:keepNext/>
        <w:keepLines/>
        <w:ind w:firstLine="0"/>
        <w:jc w:val="center"/>
        <w:rPr>
          <w:rFonts w:ascii="BookAntiqua" w:hAnsi="BookAntiqua" w:cs="BookAntiqua"/>
          <w:szCs w:val="26"/>
        </w:rPr>
      </w:pPr>
      <w:r>
        <w:rPr>
          <w:rFonts w:ascii="BookAntiqua" w:hAnsi="BookAntiqua" w:cs="BookAntiqua"/>
          <w:szCs w:val="26"/>
        </w:rPr>
        <w:lastRenderedPageBreak/>
        <w:t xml:space="preserve">Table </w:t>
      </w:r>
      <w:r w:rsidR="00E96391">
        <w:rPr>
          <w:rFonts w:ascii="BookAntiqua" w:hAnsi="BookAntiqua" w:cs="BookAntiqua"/>
          <w:szCs w:val="26"/>
        </w:rPr>
        <w:t>8</w:t>
      </w:r>
      <w:r>
        <w:rPr>
          <w:rFonts w:ascii="BookAntiqua" w:hAnsi="BookAntiqua" w:cs="BookAntiqua"/>
          <w:szCs w:val="26"/>
        </w:rPr>
        <w:t>:  Funding Sources for E</w:t>
      </w:r>
      <w:r w:rsidR="00033CB9">
        <w:rPr>
          <w:rFonts w:ascii="BookAntiqua" w:hAnsi="BookAntiqua" w:cs="BookAntiqua"/>
          <w:szCs w:val="26"/>
        </w:rPr>
        <w:t>quity/Resiliency Program Budget</w:t>
      </w:r>
    </w:p>
    <w:tbl>
      <w:tblPr>
        <w:tblStyle w:val="TableGrid"/>
        <w:tblW w:w="8228" w:type="dxa"/>
        <w:jc w:val="center"/>
        <w:tblLook w:val="04A0" w:firstRow="1" w:lastRow="0" w:firstColumn="1" w:lastColumn="0" w:noHBand="0" w:noVBand="1"/>
      </w:tblPr>
      <w:tblGrid>
        <w:gridCol w:w="2742"/>
        <w:gridCol w:w="2743"/>
        <w:gridCol w:w="2743"/>
      </w:tblGrid>
      <w:tr w:rsidR="008E3FCD" w14:paraId="5630D91F" w14:textId="77777777" w:rsidTr="00841A93">
        <w:trPr>
          <w:trHeight w:val="220"/>
          <w:jc w:val="center"/>
        </w:trPr>
        <w:tc>
          <w:tcPr>
            <w:tcW w:w="2742" w:type="dxa"/>
          </w:tcPr>
          <w:p w14:paraId="1C32FE43" w14:textId="3CECE390" w:rsidR="00CF095C" w:rsidRPr="00856B3F" w:rsidRDefault="00CF095C" w:rsidP="00856B3F">
            <w:pPr>
              <w:pStyle w:val="ALJBodyText"/>
              <w:spacing w:line="240" w:lineRule="auto"/>
              <w:ind w:firstLine="0"/>
              <w:jc w:val="center"/>
              <w:rPr>
                <w:b/>
                <w:bCs/>
              </w:rPr>
            </w:pPr>
            <w:bookmarkStart w:id="74" w:name="_Hlk15487160"/>
            <w:r w:rsidRPr="00856B3F">
              <w:rPr>
                <w:b/>
                <w:bCs/>
              </w:rPr>
              <w:t>P</w:t>
            </w:r>
            <w:r w:rsidR="008E3FCD">
              <w:rPr>
                <w:b/>
                <w:bCs/>
              </w:rPr>
              <w:t>rogram Administrator</w:t>
            </w:r>
          </w:p>
        </w:tc>
        <w:tc>
          <w:tcPr>
            <w:tcW w:w="2743" w:type="dxa"/>
          </w:tcPr>
          <w:p w14:paraId="6B5103D0" w14:textId="2DA8A9A5" w:rsidR="00CF095C" w:rsidRPr="00856B3F" w:rsidRDefault="00CF095C" w:rsidP="00856B3F">
            <w:pPr>
              <w:pStyle w:val="ALJBodyText"/>
              <w:spacing w:line="240" w:lineRule="auto"/>
              <w:ind w:firstLine="0"/>
              <w:jc w:val="center"/>
              <w:rPr>
                <w:b/>
                <w:bCs/>
              </w:rPr>
            </w:pPr>
            <w:r w:rsidRPr="00856B3F">
              <w:rPr>
                <w:b/>
                <w:bCs/>
              </w:rPr>
              <w:t>Percent</w:t>
            </w:r>
            <w:r w:rsidR="00D90C3E">
              <w:rPr>
                <w:rStyle w:val="FootnoteReference"/>
                <w:b/>
                <w:bCs/>
              </w:rPr>
              <w:footnoteReference w:id="90"/>
            </w:r>
          </w:p>
        </w:tc>
        <w:tc>
          <w:tcPr>
            <w:tcW w:w="2743" w:type="dxa"/>
          </w:tcPr>
          <w:p w14:paraId="67340B5B" w14:textId="77777777" w:rsidR="003471B0" w:rsidRDefault="00CF095C" w:rsidP="00856B3F">
            <w:pPr>
              <w:pStyle w:val="ALJBodyText"/>
              <w:spacing w:line="240" w:lineRule="auto"/>
              <w:ind w:firstLine="0"/>
              <w:jc w:val="center"/>
              <w:rPr>
                <w:b/>
                <w:bCs/>
              </w:rPr>
            </w:pPr>
            <w:r w:rsidRPr="00856B3F">
              <w:rPr>
                <w:b/>
                <w:bCs/>
              </w:rPr>
              <w:t>Budget</w:t>
            </w:r>
            <w:r w:rsidR="009B2932">
              <w:rPr>
                <w:b/>
                <w:bCs/>
              </w:rPr>
              <w:t xml:space="preserve"> </w:t>
            </w:r>
          </w:p>
          <w:p w14:paraId="1E0C3A9A" w14:textId="4067BFC0" w:rsidR="00CF095C" w:rsidRPr="00856B3F" w:rsidRDefault="009B2932" w:rsidP="00856B3F">
            <w:pPr>
              <w:pStyle w:val="ALJBodyText"/>
              <w:spacing w:line="240" w:lineRule="auto"/>
              <w:ind w:firstLine="0"/>
              <w:jc w:val="center"/>
              <w:rPr>
                <w:b/>
                <w:bCs/>
              </w:rPr>
            </w:pPr>
            <w:r>
              <w:rPr>
                <w:b/>
                <w:bCs/>
              </w:rPr>
              <w:t>(in millions)</w:t>
            </w:r>
          </w:p>
        </w:tc>
      </w:tr>
      <w:tr w:rsidR="008E3FCD" w14:paraId="0EACE666" w14:textId="77777777" w:rsidTr="00841A93">
        <w:trPr>
          <w:trHeight w:val="220"/>
          <w:jc w:val="center"/>
        </w:trPr>
        <w:tc>
          <w:tcPr>
            <w:tcW w:w="2742" w:type="dxa"/>
          </w:tcPr>
          <w:p w14:paraId="2B06566D" w14:textId="43CCADD3" w:rsidR="00CF095C" w:rsidRDefault="00CF095C" w:rsidP="00856B3F">
            <w:pPr>
              <w:pStyle w:val="ALJBodyText"/>
              <w:spacing w:line="240" w:lineRule="auto"/>
              <w:ind w:firstLine="0"/>
              <w:jc w:val="center"/>
            </w:pPr>
            <w:r>
              <w:t>PG&amp;E</w:t>
            </w:r>
          </w:p>
        </w:tc>
        <w:tc>
          <w:tcPr>
            <w:tcW w:w="2743" w:type="dxa"/>
          </w:tcPr>
          <w:p w14:paraId="2D2E571C" w14:textId="447B4052" w:rsidR="00CF095C" w:rsidRDefault="00CF095C" w:rsidP="00856B3F">
            <w:pPr>
              <w:pStyle w:val="ALJBodyText"/>
              <w:spacing w:line="240" w:lineRule="auto"/>
              <w:ind w:firstLine="0"/>
              <w:jc w:val="center"/>
            </w:pPr>
            <w:r>
              <w:t>44</w:t>
            </w:r>
          </w:p>
        </w:tc>
        <w:tc>
          <w:tcPr>
            <w:tcW w:w="2743" w:type="dxa"/>
          </w:tcPr>
          <w:p w14:paraId="65D099E5" w14:textId="6B0997FD" w:rsidR="00CF095C" w:rsidRDefault="008E3FCD" w:rsidP="00856B3F">
            <w:pPr>
              <w:pStyle w:val="ALJBodyText"/>
              <w:spacing w:line="240" w:lineRule="auto"/>
              <w:ind w:firstLine="0"/>
              <w:jc w:val="center"/>
            </w:pPr>
            <w:r>
              <w:t>$</w:t>
            </w:r>
            <w:r w:rsidR="009B2932">
              <w:t>44</w:t>
            </w:r>
          </w:p>
        </w:tc>
      </w:tr>
      <w:tr w:rsidR="008E3FCD" w14:paraId="234F0A28" w14:textId="77777777" w:rsidTr="00841A93">
        <w:trPr>
          <w:trHeight w:val="227"/>
          <w:jc w:val="center"/>
        </w:trPr>
        <w:tc>
          <w:tcPr>
            <w:tcW w:w="2742" w:type="dxa"/>
          </w:tcPr>
          <w:p w14:paraId="1A0F825E" w14:textId="3300ADD4" w:rsidR="00CF095C" w:rsidRDefault="00CF095C" w:rsidP="00856B3F">
            <w:pPr>
              <w:pStyle w:val="ALJBodyText"/>
              <w:spacing w:line="240" w:lineRule="auto"/>
              <w:ind w:firstLine="0"/>
              <w:jc w:val="center"/>
            </w:pPr>
            <w:r>
              <w:t>SCE</w:t>
            </w:r>
          </w:p>
        </w:tc>
        <w:tc>
          <w:tcPr>
            <w:tcW w:w="2743" w:type="dxa"/>
          </w:tcPr>
          <w:p w14:paraId="6009032C" w14:textId="475F7430" w:rsidR="00CF095C" w:rsidRDefault="00CF095C" w:rsidP="00856B3F">
            <w:pPr>
              <w:pStyle w:val="ALJBodyText"/>
              <w:spacing w:line="240" w:lineRule="auto"/>
              <w:ind w:firstLine="0"/>
              <w:jc w:val="center"/>
            </w:pPr>
            <w:r>
              <w:t>34</w:t>
            </w:r>
          </w:p>
        </w:tc>
        <w:tc>
          <w:tcPr>
            <w:tcW w:w="2743" w:type="dxa"/>
          </w:tcPr>
          <w:p w14:paraId="54CBA392" w14:textId="7ED91016" w:rsidR="00CF095C" w:rsidRDefault="008E3FCD" w:rsidP="00856B3F">
            <w:pPr>
              <w:pStyle w:val="ALJBodyText"/>
              <w:spacing w:line="240" w:lineRule="auto"/>
              <w:ind w:firstLine="0"/>
              <w:jc w:val="center"/>
            </w:pPr>
            <w:r>
              <w:t>$</w:t>
            </w:r>
            <w:r w:rsidR="009B2932">
              <w:t>3</w:t>
            </w:r>
            <w:r w:rsidR="00B16027">
              <w:t>4</w:t>
            </w:r>
          </w:p>
        </w:tc>
      </w:tr>
      <w:tr w:rsidR="008E3FCD" w14:paraId="5F49E1F1" w14:textId="77777777" w:rsidTr="00841A93">
        <w:trPr>
          <w:trHeight w:val="220"/>
          <w:jc w:val="center"/>
        </w:trPr>
        <w:tc>
          <w:tcPr>
            <w:tcW w:w="2742" w:type="dxa"/>
          </w:tcPr>
          <w:p w14:paraId="2A456C83" w14:textId="41D4FF8F" w:rsidR="00CF095C" w:rsidRDefault="00CF095C" w:rsidP="00856B3F">
            <w:pPr>
              <w:pStyle w:val="ALJBodyText"/>
              <w:spacing w:line="240" w:lineRule="auto"/>
              <w:ind w:firstLine="0"/>
              <w:jc w:val="center"/>
            </w:pPr>
            <w:r>
              <w:t>CSE</w:t>
            </w:r>
          </w:p>
        </w:tc>
        <w:tc>
          <w:tcPr>
            <w:tcW w:w="2743" w:type="dxa"/>
          </w:tcPr>
          <w:p w14:paraId="4460981C" w14:textId="33F92C95" w:rsidR="00CF095C" w:rsidRDefault="00CF095C" w:rsidP="00856B3F">
            <w:pPr>
              <w:pStyle w:val="ALJBodyText"/>
              <w:spacing w:line="240" w:lineRule="auto"/>
              <w:ind w:firstLine="0"/>
              <w:jc w:val="center"/>
            </w:pPr>
            <w:r>
              <w:t>13</w:t>
            </w:r>
          </w:p>
        </w:tc>
        <w:tc>
          <w:tcPr>
            <w:tcW w:w="2743" w:type="dxa"/>
          </w:tcPr>
          <w:p w14:paraId="48B83EB1" w14:textId="4F272B22" w:rsidR="00CF095C" w:rsidRDefault="008E3FCD" w:rsidP="00856B3F">
            <w:pPr>
              <w:pStyle w:val="ALJBodyText"/>
              <w:spacing w:line="240" w:lineRule="auto"/>
              <w:ind w:firstLine="0"/>
              <w:jc w:val="center"/>
            </w:pPr>
            <w:r>
              <w:t>$</w:t>
            </w:r>
            <w:r w:rsidR="009B2932">
              <w:t>13</w:t>
            </w:r>
          </w:p>
        </w:tc>
      </w:tr>
      <w:tr w:rsidR="008E3FCD" w14:paraId="6A92916C" w14:textId="77777777" w:rsidTr="00841A93">
        <w:trPr>
          <w:trHeight w:val="220"/>
          <w:jc w:val="center"/>
        </w:trPr>
        <w:tc>
          <w:tcPr>
            <w:tcW w:w="2742" w:type="dxa"/>
          </w:tcPr>
          <w:p w14:paraId="306DCBFE" w14:textId="144EFB70" w:rsidR="00CF095C" w:rsidRDefault="00CF095C" w:rsidP="00856B3F">
            <w:pPr>
              <w:pStyle w:val="ALJBodyText"/>
              <w:spacing w:line="240" w:lineRule="auto"/>
              <w:ind w:firstLine="0"/>
              <w:jc w:val="center"/>
            </w:pPr>
            <w:r>
              <w:t>SoCalGas</w:t>
            </w:r>
          </w:p>
        </w:tc>
        <w:tc>
          <w:tcPr>
            <w:tcW w:w="2743" w:type="dxa"/>
          </w:tcPr>
          <w:p w14:paraId="7F37A942" w14:textId="79300D1E" w:rsidR="00CF095C" w:rsidRDefault="00CF095C" w:rsidP="00856B3F">
            <w:pPr>
              <w:pStyle w:val="ALJBodyText"/>
              <w:spacing w:line="240" w:lineRule="auto"/>
              <w:ind w:firstLine="0"/>
              <w:jc w:val="center"/>
            </w:pPr>
            <w:r>
              <w:t>9</w:t>
            </w:r>
          </w:p>
        </w:tc>
        <w:tc>
          <w:tcPr>
            <w:tcW w:w="2743" w:type="dxa"/>
          </w:tcPr>
          <w:p w14:paraId="15654EF4" w14:textId="2CAE8DF8" w:rsidR="00CF095C" w:rsidRDefault="008E3FCD" w:rsidP="00856B3F">
            <w:pPr>
              <w:pStyle w:val="ALJBodyText"/>
              <w:spacing w:line="240" w:lineRule="auto"/>
              <w:ind w:firstLine="0"/>
              <w:jc w:val="center"/>
            </w:pPr>
            <w:r>
              <w:t>$</w:t>
            </w:r>
            <w:r w:rsidR="009B2932">
              <w:t>9</w:t>
            </w:r>
          </w:p>
        </w:tc>
      </w:tr>
      <w:tr w:rsidR="008E3FCD" w14:paraId="3FE49C63" w14:textId="77777777" w:rsidTr="00841A93">
        <w:trPr>
          <w:trHeight w:val="227"/>
          <w:jc w:val="center"/>
        </w:trPr>
        <w:tc>
          <w:tcPr>
            <w:tcW w:w="2742" w:type="dxa"/>
          </w:tcPr>
          <w:p w14:paraId="13E1D193" w14:textId="0AC07B59" w:rsidR="00CF095C" w:rsidRPr="00856B3F" w:rsidRDefault="00CF095C" w:rsidP="00856B3F">
            <w:pPr>
              <w:pStyle w:val="ALJBodyText"/>
              <w:spacing w:line="240" w:lineRule="auto"/>
              <w:ind w:firstLine="0"/>
              <w:jc w:val="center"/>
              <w:rPr>
                <w:b/>
                <w:bCs/>
              </w:rPr>
            </w:pPr>
            <w:r w:rsidRPr="00856B3F">
              <w:rPr>
                <w:b/>
                <w:bCs/>
              </w:rPr>
              <w:t>Total</w:t>
            </w:r>
          </w:p>
        </w:tc>
        <w:tc>
          <w:tcPr>
            <w:tcW w:w="2743" w:type="dxa"/>
          </w:tcPr>
          <w:p w14:paraId="5931B91C" w14:textId="4374328E" w:rsidR="00CF095C" w:rsidRDefault="009B2932" w:rsidP="00856B3F">
            <w:pPr>
              <w:pStyle w:val="ALJBodyText"/>
              <w:spacing w:line="240" w:lineRule="auto"/>
              <w:ind w:firstLine="0"/>
              <w:jc w:val="center"/>
            </w:pPr>
            <w:r>
              <w:t>100</w:t>
            </w:r>
          </w:p>
        </w:tc>
        <w:tc>
          <w:tcPr>
            <w:tcW w:w="2743" w:type="dxa"/>
          </w:tcPr>
          <w:p w14:paraId="639756AA" w14:textId="3F893C09" w:rsidR="00CF095C" w:rsidRDefault="008E3FCD" w:rsidP="00856B3F">
            <w:pPr>
              <w:pStyle w:val="ALJBodyText"/>
              <w:spacing w:line="240" w:lineRule="auto"/>
              <w:ind w:firstLine="0"/>
              <w:jc w:val="center"/>
            </w:pPr>
            <w:r>
              <w:t>$</w:t>
            </w:r>
            <w:r w:rsidR="009B2932">
              <w:t>100</w:t>
            </w:r>
          </w:p>
        </w:tc>
      </w:tr>
      <w:bookmarkEnd w:id="74"/>
    </w:tbl>
    <w:p w14:paraId="1AC3EFE1" w14:textId="77777777" w:rsidR="006D02CF" w:rsidRDefault="006D02CF" w:rsidP="00856B3F">
      <w:pPr>
        <w:pStyle w:val="ALJBodyText"/>
        <w:ind w:firstLine="0"/>
      </w:pPr>
    </w:p>
    <w:p w14:paraId="5DF80FCA" w14:textId="2C9568A5" w:rsidR="00FF4975" w:rsidRDefault="005F2881" w:rsidP="00255008">
      <w:pPr>
        <w:pStyle w:val="ALJBodyText"/>
      </w:pPr>
      <w:r>
        <w:t>The 2017 and 2018 wildfires and resulting increases in the expected frequency of PSPS events has</w:t>
      </w:r>
      <w:r w:rsidR="005B700A">
        <w:t>, at least in the short term,</w:t>
      </w:r>
      <w:r>
        <w:t xml:space="preserve"> altered the landscape of customers’ storage needs.  We believe that SGIP incentives can be utilized to provide the additional resiliency benefit of</w:t>
      </w:r>
      <w:r w:rsidR="00AF5FFB">
        <w:t xml:space="preserve"> </w:t>
      </w:r>
      <w:r>
        <w:t>backup power</w:t>
      </w:r>
      <w:r w:rsidR="000C5E02">
        <w:t xml:space="preserve"> to eligible customers as approved in </w:t>
      </w:r>
      <w:r w:rsidR="000C5E02" w:rsidRPr="00D87304">
        <w:t xml:space="preserve">Section </w:t>
      </w:r>
      <w:r w:rsidR="00D87304" w:rsidRPr="00D32CB0">
        <w:t>4.4.2</w:t>
      </w:r>
      <w:r w:rsidRPr="00D32CB0">
        <w:t>.</w:t>
      </w:r>
      <w:r>
        <w:t xml:space="preserve"> </w:t>
      </w:r>
      <w:r w:rsidR="00294B5C">
        <w:t xml:space="preserve"> </w:t>
      </w:r>
    </w:p>
    <w:p w14:paraId="50AF136E" w14:textId="2611FB83" w:rsidR="005F2881" w:rsidRDefault="00FF4975" w:rsidP="00255008">
      <w:pPr>
        <w:pStyle w:val="ALJBodyText"/>
      </w:pPr>
      <w:r>
        <w:t>Pursuant to D.09</w:t>
      </w:r>
      <w:r w:rsidR="00757681">
        <w:noBreakHyphen/>
      </w:r>
      <w:r>
        <w:t>12</w:t>
      </w:r>
      <w:r w:rsidR="00757681">
        <w:noBreakHyphen/>
      </w:r>
      <w:r>
        <w:t>047, accumulated unused SGIP funds are carried over from year to year.</w:t>
      </w:r>
      <w:r>
        <w:rPr>
          <w:rStyle w:val="FootnoteReference"/>
        </w:rPr>
        <w:footnoteReference w:id="91"/>
      </w:r>
      <w:r>
        <w:t xml:space="preserve">  </w:t>
      </w:r>
      <w:r w:rsidR="00294B5C">
        <w:t>Approval of a $100 million equity resiliency budget in this decision</w:t>
      </w:r>
      <w:r>
        <w:t xml:space="preserve"> </w:t>
      </w:r>
      <w:r w:rsidR="00AB2896">
        <w:t xml:space="preserve">is an appropriate use of </w:t>
      </w:r>
      <w:r>
        <w:t>accumulated unused funds</w:t>
      </w:r>
      <w:r w:rsidR="00294B5C">
        <w:t xml:space="preserve">.  Our adopted </w:t>
      </w:r>
      <w:r w:rsidR="005F2881">
        <w:t xml:space="preserve">approach </w:t>
      </w:r>
      <w:r w:rsidR="008424F1">
        <w:t xml:space="preserve">reflects </w:t>
      </w:r>
      <w:r w:rsidR="00294B5C">
        <w:t xml:space="preserve">the </w:t>
      </w:r>
      <w:r w:rsidR="009E262F">
        <w:t xml:space="preserve">value we place </w:t>
      </w:r>
      <w:r w:rsidR="00E339D7">
        <w:t>o</w:t>
      </w:r>
      <w:r w:rsidR="009E262F">
        <w:t>n</w:t>
      </w:r>
      <w:r w:rsidR="00294B5C">
        <w:t xml:space="preserve"> </w:t>
      </w:r>
      <w:r w:rsidR="00E339D7">
        <w:t>directing benefits of</w:t>
      </w:r>
      <w:r w:rsidR="008424F1">
        <w:t xml:space="preserve"> the</w:t>
      </w:r>
      <w:r w:rsidR="00294B5C">
        <w:t xml:space="preserve"> equity resiliency budget </w:t>
      </w:r>
      <w:r w:rsidR="00E339D7">
        <w:t>to</w:t>
      </w:r>
      <w:r w:rsidR="00294B5C">
        <w:t xml:space="preserve"> vulnerable customers and customers pairing with on</w:t>
      </w:r>
      <w:r w:rsidR="00757681">
        <w:noBreakHyphen/>
      </w:r>
      <w:r w:rsidR="00033CB9">
        <w:t>site solar generation.</w:t>
      </w:r>
    </w:p>
    <w:p w14:paraId="4377742E" w14:textId="1A5C0DED" w:rsidR="005F2881" w:rsidRDefault="00294B5C" w:rsidP="00663215">
      <w:pPr>
        <w:pStyle w:val="ALJBodyText"/>
      </w:pPr>
      <w:r>
        <w:t xml:space="preserve">It is </w:t>
      </w:r>
      <w:r w:rsidR="008424F1">
        <w:t xml:space="preserve">appropriate </w:t>
      </w:r>
      <w:r>
        <w:t xml:space="preserve">that this decision </w:t>
      </w:r>
      <w:r w:rsidR="008424F1">
        <w:t>reduce</w:t>
      </w:r>
      <w:r>
        <w:t>s</w:t>
      </w:r>
      <w:r w:rsidR="008424F1">
        <w:t xml:space="preserve"> the existing generation </w:t>
      </w:r>
      <w:r w:rsidR="00FF4975">
        <w:t xml:space="preserve">technology </w:t>
      </w:r>
      <w:r w:rsidR="008424F1">
        <w:t xml:space="preserve">budget to provide funds for the new equity resiliency budget.  As noted by parties, applications for SGIP generation incentives have declined </w:t>
      </w:r>
      <w:r w:rsidR="008424F1">
        <w:lastRenderedPageBreak/>
        <w:t xml:space="preserve">dramatically since the Commission </w:t>
      </w:r>
      <w:r w:rsidR="00E8592F">
        <w:t>in D.16</w:t>
      </w:r>
      <w:r w:rsidR="00757681">
        <w:noBreakHyphen/>
      </w:r>
      <w:r w:rsidR="00E8592F">
        <w:t>06</w:t>
      </w:r>
      <w:r w:rsidR="00757681">
        <w:noBreakHyphen/>
      </w:r>
      <w:r w:rsidR="00E8592F">
        <w:t xml:space="preserve">055 required increasing levels of renewable natural gas to fuel SGIP </w:t>
      </w:r>
      <w:r w:rsidR="008424F1">
        <w:t xml:space="preserve">generation </w:t>
      </w:r>
      <w:r w:rsidR="00E8592F">
        <w:t>projects.</w:t>
      </w:r>
      <w:r w:rsidR="00E8592F">
        <w:rPr>
          <w:rStyle w:val="FootnoteReference"/>
        </w:rPr>
        <w:footnoteReference w:id="92"/>
      </w:r>
      <w:r w:rsidR="00E8592F">
        <w:t xml:space="preserve">  In addition, S</w:t>
      </w:r>
      <w:r w:rsidR="00033CB9">
        <w:t>ection </w:t>
      </w:r>
      <w:r w:rsidR="00270A00">
        <w:t>379.6</w:t>
      </w:r>
      <w:r w:rsidR="00C85545">
        <w:t xml:space="preserve">(m) </w:t>
      </w:r>
      <w:r w:rsidR="008424F1">
        <w:t>prohibits use of SGIP incentives for non</w:t>
      </w:r>
      <w:r w:rsidR="00757681">
        <w:noBreakHyphen/>
      </w:r>
      <w:r w:rsidR="008424F1">
        <w:t>renewable generation tech</w:t>
      </w:r>
      <w:r>
        <w:t xml:space="preserve">nologies as of January 1, 2020.  </w:t>
      </w:r>
      <w:r w:rsidR="004A3749">
        <w:t xml:space="preserve">While we appreciate and are intrigued by the suggestions of SoCalGas, JFCP and CDCC regarding establishing an equity resiliency generation budget that includes increased incentive levels, </w:t>
      </w:r>
      <w:r>
        <w:t>w</w:t>
      </w:r>
      <w:r w:rsidR="008424F1">
        <w:t xml:space="preserve">e do not modify program requirements or incentive levels for the remaining </w:t>
      </w:r>
      <w:r>
        <w:t xml:space="preserve">generation </w:t>
      </w:r>
      <w:r w:rsidR="00FF4975">
        <w:t xml:space="preserve">technology </w:t>
      </w:r>
      <w:r>
        <w:t xml:space="preserve">budget at this time.  The Commission </w:t>
      </w:r>
      <w:r w:rsidR="008424F1">
        <w:t xml:space="preserve">will consider </w:t>
      </w:r>
      <w:r w:rsidR="00FF4975">
        <w:t xml:space="preserve">these issues </w:t>
      </w:r>
      <w:r w:rsidR="00EE293E">
        <w:t xml:space="preserve">and </w:t>
      </w:r>
      <w:r w:rsidR="00BA384B">
        <w:t xml:space="preserve">any </w:t>
      </w:r>
      <w:r w:rsidR="00EE293E">
        <w:t xml:space="preserve">modifications to the PAs’ </w:t>
      </w:r>
      <w:r w:rsidR="00FF4975">
        <w:t>accumulated unused</w:t>
      </w:r>
      <w:r w:rsidR="00EE293E">
        <w:t xml:space="preserve"> administrative budgets</w:t>
      </w:r>
      <w:r w:rsidR="008424F1">
        <w:t xml:space="preserve"> in a subsequent</w:t>
      </w:r>
      <w:r w:rsidR="008A7D34">
        <w:t xml:space="preserve"> decision in this rulemaking.   In addition, a </w:t>
      </w:r>
      <w:r w:rsidR="005F2881">
        <w:t xml:space="preserve">subsequent decision in this rulemaking will </w:t>
      </w:r>
      <w:r w:rsidR="00FF3EB8">
        <w:t>implement</w:t>
      </w:r>
      <w:r w:rsidR="008A7D34">
        <w:t xml:space="preserve"> </w:t>
      </w:r>
      <w:r w:rsidR="00BA384B">
        <w:t xml:space="preserve">ratepayer collections and budget </w:t>
      </w:r>
      <w:r w:rsidR="005F2881">
        <w:t xml:space="preserve">allocations for funds authorized in Section </w:t>
      </w:r>
      <w:r w:rsidR="00D418FA">
        <w:t>379.6(a)(2)</w:t>
      </w:r>
      <w:r w:rsidR="004A3749">
        <w:t xml:space="preserve">, including those for the SGIP generation technology budget. </w:t>
      </w:r>
    </w:p>
    <w:p w14:paraId="34AFEEAF" w14:textId="125F7D75" w:rsidR="008A7D34" w:rsidRDefault="00C5405E" w:rsidP="00255008">
      <w:pPr>
        <w:pStyle w:val="ALJBodyText"/>
      </w:pPr>
      <w:bookmarkStart w:id="75" w:name="_Hlk15558249"/>
      <w:r>
        <w:t xml:space="preserve">We direct PAs to </w:t>
      </w:r>
      <w:r w:rsidR="00294B5C">
        <w:t xml:space="preserve">include updated budget allocations </w:t>
      </w:r>
      <w:r w:rsidR="00FF4975">
        <w:t xml:space="preserve">for accumulated unused SGIP funds </w:t>
      </w:r>
      <w:r w:rsidR="00294B5C">
        <w:t>reflecting</w:t>
      </w:r>
      <w:r w:rsidR="001B31D1">
        <w:t xml:space="preserve"> the modifications approved herein</w:t>
      </w:r>
      <w:r w:rsidR="008E3FCD">
        <w:t xml:space="preserve"> </w:t>
      </w:r>
      <w:r w:rsidR="00BA384B">
        <w:t>i</w:t>
      </w:r>
      <w:r>
        <w:t xml:space="preserve">n the Tier 2 advice letter directed in this decision. </w:t>
      </w:r>
      <w:r w:rsidR="00294B5C">
        <w:t xml:space="preserve"> </w:t>
      </w:r>
      <w:r w:rsidR="00FF4975">
        <w:t xml:space="preserve">In addition, we direct the PAs to </w:t>
      </w:r>
      <w:r w:rsidR="005E4EAA">
        <w:t xml:space="preserve">each </w:t>
      </w:r>
      <w:r w:rsidR="00FF4975">
        <w:t>submit a Tier 1 advice letter on January 31, 2020 that contains the</w:t>
      </w:r>
      <w:r w:rsidR="005E4EAA">
        <w:t xml:space="preserve">ir </w:t>
      </w:r>
      <w:r w:rsidR="00FF4975">
        <w:t xml:space="preserve">final </w:t>
      </w:r>
      <w:r w:rsidR="005E4EAA">
        <w:t xml:space="preserve">SGIP </w:t>
      </w:r>
      <w:r w:rsidR="00FF4975">
        <w:t>accounting data as of December 31, 2019 using the format directed in D.09</w:t>
      </w:r>
      <w:r w:rsidR="00757681">
        <w:noBreakHyphen/>
      </w:r>
      <w:r w:rsidR="00FF4975">
        <w:t>12</w:t>
      </w:r>
      <w:r w:rsidR="00757681">
        <w:noBreakHyphen/>
      </w:r>
      <w:r w:rsidR="00FF4975">
        <w:t xml:space="preserve">047, Appendix A.  </w:t>
      </w:r>
      <w:bookmarkEnd w:id="75"/>
    </w:p>
    <w:p w14:paraId="7DB96F63" w14:textId="1FF8B0F4" w:rsidR="007C3A08" w:rsidRDefault="007C3A08" w:rsidP="00255008">
      <w:pPr>
        <w:pStyle w:val="ALJBodyText"/>
      </w:pPr>
      <w:r>
        <w:t>The next section addresses the question of allocating some portion of current authorized SGIP funds towards a HPWH set</w:t>
      </w:r>
      <w:r w:rsidR="00757681">
        <w:noBreakHyphen/>
      </w:r>
      <w:r>
        <w:t xml:space="preserve">aside. </w:t>
      </w:r>
    </w:p>
    <w:p w14:paraId="241E24AC" w14:textId="564910A6" w:rsidR="00B22515" w:rsidRDefault="00CB1D5B" w:rsidP="00CE14ED">
      <w:pPr>
        <w:pStyle w:val="ALJHeading1"/>
      </w:pPr>
      <w:bookmarkStart w:id="76" w:name="_Toc15908095"/>
      <w:r>
        <w:lastRenderedPageBreak/>
        <w:t xml:space="preserve">Equity Budget </w:t>
      </w:r>
      <w:r w:rsidR="006F4457">
        <w:t>Heat Pump Water Heaters</w:t>
      </w:r>
      <w:bookmarkEnd w:id="76"/>
      <w:r w:rsidR="006F4457">
        <w:t xml:space="preserve"> </w:t>
      </w:r>
    </w:p>
    <w:p w14:paraId="3371A8DC" w14:textId="2DA4D8C7" w:rsidR="00B22515" w:rsidRDefault="00B22515" w:rsidP="00B22515">
      <w:pPr>
        <w:pStyle w:val="ALJBodyText"/>
      </w:pPr>
      <w:r w:rsidRPr="00C170EE">
        <w:t>HPWH</w:t>
      </w:r>
      <w:r>
        <w:t>s</w:t>
      </w:r>
      <w:r w:rsidRPr="00C170EE">
        <w:t xml:space="preserve"> currently qualify as eligible SGIP technologies</w:t>
      </w:r>
      <w:r>
        <w:t xml:space="preserve"> because these systems </w:t>
      </w:r>
      <w:r w:rsidRPr="00C170EE">
        <w:t xml:space="preserve">have the capacity to shift load from peak to </w:t>
      </w:r>
      <w:r>
        <w:t>off</w:t>
      </w:r>
      <w:r w:rsidR="00757681">
        <w:noBreakHyphen/>
      </w:r>
      <w:r>
        <w:t>peak periods and can provide California Independent Service Operator (CAISO)</w:t>
      </w:r>
      <w:r w:rsidR="00757681">
        <w:noBreakHyphen/>
      </w:r>
      <w:r>
        <w:t xml:space="preserve"> integrated </w:t>
      </w:r>
      <w:r w:rsidRPr="00C170EE">
        <w:t xml:space="preserve">load drop </w:t>
      </w:r>
      <w:r w:rsidR="00F22A77">
        <w:t>and</w:t>
      </w:r>
      <w:r>
        <w:t xml:space="preserve"> ramping </w:t>
      </w:r>
      <w:r w:rsidRPr="00C170EE">
        <w:t xml:space="preserve">services.  </w:t>
      </w:r>
      <w:r>
        <w:t xml:space="preserve">The </w:t>
      </w:r>
      <w:r w:rsidRPr="00C170EE">
        <w:t>SGIP has not promoted HPWH</w:t>
      </w:r>
      <w:r>
        <w:t>s</w:t>
      </w:r>
      <w:r w:rsidRPr="00C170EE">
        <w:t xml:space="preserve"> as an eligible technology</w:t>
      </w:r>
      <w:r>
        <w:t>, however,</w:t>
      </w:r>
      <w:r w:rsidRPr="00C170EE">
        <w:t xml:space="preserve"> </w:t>
      </w:r>
      <w:r w:rsidR="00294B5C">
        <w:t xml:space="preserve">and </w:t>
      </w:r>
      <w:r w:rsidRPr="00C170EE">
        <w:t xml:space="preserve">has processed no applications for </w:t>
      </w:r>
      <w:r>
        <w:t xml:space="preserve">residential </w:t>
      </w:r>
      <w:r w:rsidRPr="00C170EE">
        <w:t>HPWH</w:t>
      </w:r>
      <w:r>
        <w:t>s</w:t>
      </w:r>
      <w:r w:rsidRPr="00C170EE">
        <w:t xml:space="preserve"> to date.</w:t>
      </w:r>
      <w:r>
        <w:t xml:space="preserve"> </w:t>
      </w:r>
    </w:p>
    <w:p w14:paraId="2A67D99D" w14:textId="3DD2886A" w:rsidR="00B22515" w:rsidRDefault="003C25A9" w:rsidP="00B22515">
      <w:pPr>
        <w:pStyle w:val="ALJBodyText"/>
      </w:pPr>
      <w:r>
        <w:t xml:space="preserve">The </w:t>
      </w:r>
      <w:r w:rsidR="00B22515">
        <w:t xml:space="preserve">SGIP ACR asked parties whether the </w:t>
      </w:r>
      <w:r w:rsidR="00B22515" w:rsidRPr="00C170EE">
        <w:t xml:space="preserve">Commission </w:t>
      </w:r>
      <w:r w:rsidR="00B22515">
        <w:t xml:space="preserve">should </w:t>
      </w:r>
      <w:r w:rsidR="00B22515" w:rsidRPr="00C170EE">
        <w:t xml:space="preserve">modify SGIP rules to increase </w:t>
      </w:r>
      <w:r>
        <w:t xml:space="preserve">applications for incentives for </w:t>
      </w:r>
      <w:r w:rsidR="00B22515">
        <w:t xml:space="preserve">HPWH </w:t>
      </w:r>
      <w:r>
        <w:t xml:space="preserve">technologies.  In </w:t>
      </w:r>
      <w:r w:rsidRPr="003A7970">
        <w:t xml:space="preserve">addition, </w:t>
      </w:r>
      <w:r w:rsidRPr="00D32CB0">
        <w:t>D.</w:t>
      </w:r>
      <w:r w:rsidR="003F39D8" w:rsidRPr="00D32CB0">
        <w:t>19</w:t>
      </w:r>
      <w:r w:rsidR="00757681">
        <w:noBreakHyphen/>
      </w:r>
      <w:r w:rsidR="003F39D8" w:rsidRPr="00D32CB0">
        <w:t>08</w:t>
      </w:r>
      <w:r w:rsidR="00757681">
        <w:noBreakHyphen/>
      </w:r>
      <w:r w:rsidR="003F39D8" w:rsidRPr="00D32CB0">
        <w:t>001</w:t>
      </w:r>
      <w:r w:rsidRPr="003A7970">
        <w:t>, recently</w:t>
      </w:r>
      <w:r>
        <w:t xml:space="preserve"> adopted by the Commission, </w:t>
      </w:r>
      <w:r w:rsidR="00B22515" w:rsidRPr="00C170EE">
        <w:t xml:space="preserve">directed </w:t>
      </w:r>
      <w:r>
        <w:t xml:space="preserve">the PAs to establish a </w:t>
      </w:r>
      <w:r w:rsidR="00F25E3E">
        <w:t>thermal energy storage (</w:t>
      </w:r>
      <w:r>
        <w:t>TES</w:t>
      </w:r>
      <w:r w:rsidR="00F25E3E">
        <w:t>)</w:t>
      </w:r>
      <w:r>
        <w:t xml:space="preserve"> working group to develop proposals to modify </w:t>
      </w:r>
      <w:r w:rsidR="00B22515">
        <w:t xml:space="preserve">program </w:t>
      </w:r>
      <w:r>
        <w:t xml:space="preserve">definitions and </w:t>
      </w:r>
      <w:r w:rsidR="00B22515">
        <w:t>rules t</w:t>
      </w:r>
      <w:r w:rsidR="00B22515" w:rsidRPr="00C170EE">
        <w:t xml:space="preserve">o </w:t>
      </w:r>
      <w:r>
        <w:t xml:space="preserve">facilitate the compliance of </w:t>
      </w:r>
      <w:r w:rsidR="00B22515">
        <w:t xml:space="preserve">TES systems with the GHG </w:t>
      </w:r>
      <w:r>
        <w:t xml:space="preserve">requirements adopted in the same </w:t>
      </w:r>
      <w:r w:rsidR="00B22515">
        <w:t>decision</w:t>
      </w:r>
      <w:r w:rsidR="00B22515" w:rsidRPr="00C170EE">
        <w:t>.</w:t>
      </w:r>
      <w:r w:rsidR="00B22515">
        <w:rPr>
          <w:rStyle w:val="FootnoteReference"/>
        </w:rPr>
        <w:footnoteReference w:id="93"/>
      </w:r>
      <w:r w:rsidR="00B22515">
        <w:t xml:space="preserve"> </w:t>
      </w:r>
    </w:p>
    <w:p w14:paraId="54448897" w14:textId="6438FA12" w:rsidR="006F4457" w:rsidRPr="00C170EE" w:rsidRDefault="006F4457" w:rsidP="00C151FC">
      <w:pPr>
        <w:pStyle w:val="ALJHeading2"/>
      </w:pPr>
      <w:bookmarkStart w:id="77" w:name="_Toc15908096"/>
      <w:r>
        <w:t>Party Comments</w:t>
      </w:r>
      <w:bookmarkEnd w:id="77"/>
    </w:p>
    <w:p w14:paraId="25B6F88E" w14:textId="12E1C4A4" w:rsidR="008A7D34" w:rsidRDefault="006F4457" w:rsidP="00A36574">
      <w:pPr>
        <w:pStyle w:val="ALJBodyText"/>
      </w:pPr>
      <w:r>
        <w:t>SC/NRDC focus the majority of their comments in</w:t>
      </w:r>
      <w:r w:rsidR="003C25A9">
        <w:t xml:space="preserve"> response to the SGIP ACR on </w:t>
      </w:r>
      <w:r>
        <w:t xml:space="preserve">the importance of growing the California market for HPWHs.  SC/NRDC state that this technology </w:t>
      </w:r>
      <w:r w:rsidR="00A36574">
        <w:t xml:space="preserve">is more affordable than electrochemical systems, </w:t>
      </w:r>
      <w:r>
        <w:t>has the potential to become widely available at affordable cost to low</w:t>
      </w:r>
      <w:r w:rsidR="00757681">
        <w:noBreakHyphen/>
      </w:r>
      <w:r>
        <w:t>income customers</w:t>
      </w:r>
      <w:r w:rsidR="00A36574">
        <w:t>,</w:t>
      </w:r>
      <w:r>
        <w:t xml:space="preserve"> and </w:t>
      </w:r>
      <w:r w:rsidR="00A36574">
        <w:t xml:space="preserve">can </w:t>
      </w:r>
      <w:r>
        <w:t xml:space="preserve">provide </w:t>
      </w:r>
      <w:r w:rsidR="000312AB">
        <w:t xml:space="preserve">GHG emission reductions and </w:t>
      </w:r>
      <w:r>
        <w:t>critical grid load</w:t>
      </w:r>
      <w:r w:rsidR="00757681">
        <w:noBreakHyphen/>
      </w:r>
      <w:r>
        <w:t xml:space="preserve">shift services.  If </w:t>
      </w:r>
      <w:r w:rsidR="00A36574">
        <w:t xml:space="preserve">deployed at scale and </w:t>
      </w:r>
      <w:r>
        <w:t>aggregated into Proxy Demand Resources, these parties state, HPWHs can be bid into the CAISO market and dispatched</w:t>
      </w:r>
      <w:r w:rsidR="0051716B">
        <w:t xml:space="preserve"> as needed</w:t>
      </w:r>
      <w:r>
        <w:t xml:space="preserve">.  </w:t>
      </w:r>
      <w:r w:rsidR="008A7D34" w:rsidRPr="005D0D8C">
        <w:t xml:space="preserve">SC/NRDC state that although HPWH are an eligible SGIP technology, they not been a focus of developer applications due to the incompatibility of some existing SGIP requirements to TES systems such as </w:t>
      </w:r>
      <w:r w:rsidR="008A7D34" w:rsidRPr="005D0D8C">
        <w:lastRenderedPageBreak/>
        <w:t xml:space="preserve">HPWHs.  </w:t>
      </w:r>
      <w:r w:rsidR="008A7D34">
        <w:t>They observe that the 2019 California Energy Commission Integrated Energy Policy Report stated that deploying HPWHs configured and operated to shift loads is “key” to meeting state building decarbonization goals.</w:t>
      </w:r>
      <w:r w:rsidR="008A7D34">
        <w:rPr>
          <w:rStyle w:val="FootnoteReference"/>
        </w:rPr>
        <w:footnoteReference w:id="94"/>
      </w:r>
      <w:r w:rsidR="008A7D34">
        <w:t xml:space="preserve">  </w:t>
      </w:r>
    </w:p>
    <w:p w14:paraId="3804C4C1" w14:textId="5988FF61" w:rsidR="00EF4455" w:rsidRDefault="006F4457" w:rsidP="00EF4455">
      <w:pPr>
        <w:pStyle w:val="ALJBodyText"/>
      </w:pPr>
      <w:r>
        <w:t>SC/NRDC recommend several steps to stimulate growth in the California HPWH market, starting with an in</w:t>
      </w:r>
      <w:r w:rsidR="00757681">
        <w:noBreakHyphen/>
      </w:r>
      <w:r>
        <w:t>depth workshop on how the SGIP could support HPWHs, followed by a Commissio</w:t>
      </w:r>
      <w:r w:rsidR="008A7D34">
        <w:t xml:space="preserve">n staff proposal on the topic. </w:t>
      </w:r>
      <w:r w:rsidR="0032323C">
        <w:t xml:space="preserve"> </w:t>
      </w:r>
      <w:r w:rsidR="00A36574">
        <w:t>SC/NRDC</w:t>
      </w:r>
      <w:r w:rsidR="005D0D8C" w:rsidRPr="005D0D8C">
        <w:t xml:space="preserve"> </w:t>
      </w:r>
      <w:r w:rsidR="00213095">
        <w:t xml:space="preserve">also </w:t>
      </w:r>
      <w:r w:rsidR="005D0D8C" w:rsidRPr="005D0D8C">
        <w:t xml:space="preserve">recommend that the Commission transfer </w:t>
      </w:r>
      <w:r w:rsidR="00FF4975">
        <w:t>accumulated unused</w:t>
      </w:r>
      <w:r w:rsidR="005D0D8C" w:rsidRPr="005D0D8C">
        <w:t xml:space="preserve"> administrative and </w:t>
      </w:r>
      <w:r w:rsidR="00AF4F30">
        <w:t>large</w:t>
      </w:r>
      <w:r w:rsidR="00757681">
        <w:noBreakHyphen/>
      </w:r>
      <w:r w:rsidR="00AF4F30">
        <w:t xml:space="preserve">scale </w:t>
      </w:r>
      <w:r w:rsidR="005D0D8C" w:rsidRPr="005D0D8C">
        <w:t>storage budgets</w:t>
      </w:r>
      <w:r w:rsidR="00A36574">
        <w:t xml:space="preserve"> in</w:t>
      </w:r>
      <w:r w:rsidR="005D0D8C" w:rsidRPr="005D0D8C">
        <w:t>to a set</w:t>
      </w:r>
      <w:r w:rsidR="00757681">
        <w:noBreakHyphen/>
      </w:r>
      <w:r w:rsidR="005D0D8C" w:rsidRPr="005D0D8C">
        <w:t>asid</w:t>
      </w:r>
      <w:r w:rsidR="005D0D8C">
        <w:t xml:space="preserve">e for </w:t>
      </w:r>
      <w:r w:rsidR="005D0D8C" w:rsidRPr="005D0D8C">
        <w:t>HPWHs</w:t>
      </w:r>
      <w:r w:rsidR="00A36574">
        <w:t xml:space="preserve"> </w:t>
      </w:r>
      <w:r w:rsidR="00031AB0">
        <w:t xml:space="preserve">and </w:t>
      </w:r>
      <w:r w:rsidR="00A36574">
        <w:t>that the Commission approve a set</w:t>
      </w:r>
      <w:r w:rsidR="00757681">
        <w:noBreakHyphen/>
      </w:r>
      <w:r w:rsidR="00A36574">
        <w:t>aside for HPWHs within the</w:t>
      </w:r>
      <w:r w:rsidR="00031AB0">
        <w:t xml:space="preserve"> </w:t>
      </w:r>
      <w:r w:rsidR="00A36574">
        <w:t xml:space="preserve">equity budget. </w:t>
      </w:r>
      <w:r w:rsidR="008A7D34">
        <w:t xml:space="preserve"> </w:t>
      </w:r>
      <w:r w:rsidR="005D0D8C" w:rsidRPr="005D0D8C">
        <w:t>The Joint CCAs support establishing a HPWH set</w:t>
      </w:r>
      <w:r w:rsidR="00757681">
        <w:noBreakHyphen/>
      </w:r>
      <w:r w:rsidR="005D0D8C" w:rsidRPr="005D0D8C">
        <w:t xml:space="preserve">aside because of the contribution this technology can make to California’s building decarbonization goals.  </w:t>
      </w:r>
    </w:p>
    <w:p w14:paraId="3CEF94C9" w14:textId="237D7AE1" w:rsidR="006F4457" w:rsidRDefault="005D0D8C" w:rsidP="00EF4455">
      <w:pPr>
        <w:pStyle w:val="ALJBodyText"/>
      </w:pPr>
      <w:r w:rsidRPr="005D0D8C">
        <w:t xml:space="preserve">GRID/CHPC oppose a HPWH </w:t>
      </w:r>
      <w:r w:rsidR="00DB1264">
        <w:t>set</w:t>
      </w:r>
      <w:r w:rsidR="00757681">
        <w:noBreakHyphen/>
      </w:r>
      <w:r w:rsidR="00DB1264">
        <w:t>aside</w:t>
      </w:r>
      <w:r w:rsidRPr="005D0D8C">
        <w:t xml:space="preserve"> within the SGIP, stating that R.19</w:t>
      </w:r>
      <w:r w:rsidR="00757681">
        <w:noBreakHyphen/>
      </w:r>
      <w:r w:rsidRPr="005D0D8C">
        <w:t>01</w:t>
      </w:r>
      <w:r w:rsidR="00757681">
        <w:noBreakHyphen/>
      </w:r>
      <w:r w:rsidRPr="005D0D8C">
        <w:t>011</w:t>
      </w:r>
      <w:r w:rsidR="00031AB0">
        <w:t>, which addresses Section 921.1(b) requirements for building decarbonization pilot projects,</w:t>
      </w:r>
      <w:r w:rsidRPr="005D0D8C">
        <w:t xml:space="preserve"> will provide the necessary incentives. </w:t>
      </w:r>
      <w:r w:rsidR="00EF4455">
        <w:t xml:space="preserve"> </w:t>
      </w:r>
      <w:r w:rsidR="00213095">
        <w:t>However</w:t>
      </w:r>
      <w:r w:rsidR="003C25A9">
        <w:t xml:space="preserve">, </w:t>
      </w:r>
      <w:r w:rsidR="006F4457">
        <w:t>SC/NRDC observe that Sec</w:t>
      </w:r>
      <w:r w:rsidR="003C25A9">
        <w:t>tions 921.1(b) and Section 748.6 adopt</w:t>
      </w:r>
      <w:r w:rsidR="006F4457">
        <w:t xml:space="preserve"> a rela</w:t>
      </w:r>
      <w:r w:rsidR="003C25A9">
        <w:t xml:space="preserve">tively small $50 million annual budget for the period </w:t>
      </w:r>
      <w:r w:rsidR="006F4457">
        <w:t xml:space="preserve">2019 through 2023 for a building decarbonization program and allocate </w:t>
      </w:r>
      <w:r w:rsidR="003C25A9">
        <w:t xml:space="preserve">just </w:t>
      </w:r>
      <w:r w:rsidR="006F4457">
        <w:t>30 percent of these funds to new low</w:t>
      </w:r>
      <w:r w:rsidR="00757681">
        <w:noBreakHyphen/>
      </w:r>
      <w:r w:rsidR="006F4457">
        <w:t>income housing</w:t>
      </w:r>
      <w:r w:rsidR="003C25A9">
        <w:t xml:space="preserve"> decarbonization work.  </w:t>
      </w:r>
      <w:r w:rsidR="00213095">
        <w:t xml:space="preserve">SC/NRDC state </w:t>
      </w:r>
      <w:r w:rsidR="00AD36AC">
        <w:t xml:space="preserve">that </w:t>
      </w:r>
      <w:r w:rsidR="003C25A9">
        <w:t>Section 92.1</w:t>
      </w:r>
      <w:r w:rsidR="00AD36AC">
        <w:t xml:space="preserve">(b) </w:t>
      </w:r>
      <w:r w:rsidR="006F4457">
        <w:t>requires incentive levels adopted for building decarbonization efforts to “take into account the availability of existing incentives.”</w:t>
      </w:r>
      <w:r w:rsidR="006F4457">
        <w:rPr>
          <w:rStyle w:val="FootnoteReference"/>
        </w:rPr>
        <w:footnoteReference w:id="95"/>
      </w:r>
      <w:r w:rsidR="006F4457">
        <w:t xml:space="preserve"> </w:t>
      </w:r>
      <w:r w:rsidR="00AD36AC">
        <w:t xml:space="preserve"> Consequently, </w:t>
      </w:r>
      <w:r w:rsidR="00EF4455">
        <w:t>SC/NRDC</w:t>
      </w:r>
      <w:r w:rsidR="00AD36AC">
        <w:t xml:space="preserve"> recommend that the Commission maximize </w:t>
      </w:r>
      <w:r w:rsidR="006F4457">
        <w:t xml:space="preserve">ratepayer benefits </w:t>
      </w:r>
      <w:r w:rsidR="00AD36AC">
        <w:t>by a</w:t>
      </w:r>
      <w:r w:rsidR="00A96EBF">
        <w:t>pproving budgets for</w:t>
      </w:r>
      <w:r w:rsidR="00BD6BCA">
        <w:t xml:space="preserve"> </w:t>
      </w:r>
      <w:r w:rsidR="006F4457">
        <w:t xml:space="preserve">workforce training </w:t>
      </w:r>
      <w:r w:rsidR="00EF4455">
        <w:t xml:space="preserve">on HPWHs </w:t>
      </w:r>
      <w:r w:rsidR="006F4457">
        <w:t xml:space="preserve">and heat pump space heaters </w:t>
      </w:r>
      <w:r w:rsidR="006F4457">
        <w:lastRenderedPageBreak/>
        <w:t>(HPSH</w:t>
      </w:r>
      <w:r w:rsidR="00AD36AC">
        <w:t>s</w:t>
      </w:r>
      <w:r w:rsidR="006F4457">
        <w:t xml:space="preserve">) </w:t>
      </w:r>
      <w:r w:rsidR="00A96EBF">
        <w:t xml:space="preserve">in </w:t>
      </w:r>
      <w:r w:rsidR="00AD36AC">
        <w:t>R.19</w:t>
      </w:r>
      <w:r w:rsidR="00757681">
        <w:noBreakHyphen/>
      </w:r>
      <w:r w:rsidR="00AD36AC">
        <w:t>01</w:t>
      </w:r>
      <w:r w:rsidR="00757681">
        <w:noBreakHyphen/>
      </w:r>
      <w:r w:rsidR="00AD36AC">
        <w:t xml:space="preserve">011 and adopting </w:t>
      </w:r>
      <w:r w:rsidR="00A96EBF">
        <w:t xml:space="preserve">budgets for </w:t>
      </w:r>
      <w:r w:rsidR="00AD36AC">
        <w:t>HPWH</w:t>
      </w:r>
      <w:r w:rsidR="00A96EBF">
        <w:t xml:space="preserve"> incentives </w:t>
      </w:r>
      <w:r w:rsidR="00AD36AC">
        <w:t>in R.12</w:t>
      </w:r>
      <w:r w:rsidR="00757681">
        <w:noBreakHyphen/>
      </w:r>
      <w:r w:rsidR="00AD36AC">
        <w:t>11</w:t>
      </w:r>
      <w:r w:rsidR="00757681">
        <w:noBreakHyphen/>
      </w:r>
      <w:r w:rsidR="00AD36AC">
        <w:t>005</w:t>
      </w:r>
      <w:r w:rsidR="00A96EBF">
        <w:t>.</w:t>
      </w:r>
    </w:p>
    <w:p w14:paraId="642615C5" w14:textId="78DE6FFC" w:rsidR="00B22515" w:rsidRDefault="006F4457" w:rsidP="00C151FC">
      <w:pPr>
        <w:pStyle w:val="ALJHeading2"/>
      </w:pPr>
      <w:bookmarkStart w:id="78" w:name="_Toc15908097"/>
      <w:r>
        <w:t>Discussion</w:t>
      </w:r>
      <w:bookmarkEnd w:id="78"/>
    </w:p>
    <w:p w14:paraId="5FC1F7F5" w14:textId="348A0FE3" w:rsidR="00EE293E" w:rsidRDefault="000267D5" w:rsidP="00255008">
      <w:pPr>
        <w:pStyle w:val="ALJBodyText"/>
      </w:pPr>
      <w:r>
        <w:t xml:space="preserve">We direct the PAs to transfer $4 million from the </w:t>
      </w:r>
      <w:r w:rsidR="00AF4F30">
        <w:t>large</w:t>
      </w:r>
      <w:r w:rsidR="00757681">
        <w:noBreakHyphen/>
      </w:r>
      <w:r w:rsidR="00AF4F30">
        <w:t>scale</w:t>
      </w:r>
      <w:r>
        <w:t xml:space="preserve"> storage budget </w:t>
      </w:r>
      <w:r w:rsidR="00EE293E">
        <w:t xml:space="preserve">into </w:t>
      </w:r>
      <w:r>
        <w:t>a</w:t>
      </w:r>
      <w:r w:rsidR="00041706">
        <w:t xml:space="preserve"> set</w:t>
      </w:r>
      <w:r w:rsidR="00757681">
        <w:noBreakHyphen/>
      </w:r>
      <w:r w:rsidR="00041706">
        <w:t>aside for HPWHs</w:t>
      </w:r>
      <w:r w:rsidR="00AF4F30">
        <w:t xml:space="preserve"> drawing, at their discretion, from either step four or five</w:t>
      </w:r>
      <w:r w:rsidR="00841238">
        <w:t xml:space="preserve">.  </w:t>
      </w:r>
      <w:r w:rsidR="00EE293E">
        <w:t>To accomplish this, each PA shall transfer the following amounts to the new equity residential HPWH set</w:t>
      </w:r>
      <w:r w:rsidR="00757681">
        <w:noBreakHyphen/>
      </w:r>
      <w:r w:rsidR="00EE293E">
        <w:t>aside:</w:t>
      </w:r>
    </w:p>
    <w:p w14:paraId="7CAF04E5" w14:textId="0E2A448C" w:rsidR="00AF6BF5" w:rsidRDefault="00AF6BF5" w:rsidP="00DE53B6">
      <w:pPr>
        <w:pStyle w:val="ALJBodyText"/>
        <w:ind w:firstLine="0"/>
        <w:jc w:val="center"/>
      </w:pPr>
      <w:r>
        <w:t xml:space="preserve">Table </w:t>
      </w:r>
      <w:r w:rsidR="00E96391">
        <w:t>9</w:t>
      </w:r>
      <w:r>
        <w:t xml:space="preserve">: Approved PA Contributions to Equity </w:t>
      </w:r>
      <w:r w:rsidR="00172E15">
        <w:t xml:space="preserve">Residential </w:t>
      </w:r>
      <w:r>
        <w:t>HPWH Set</w:t>
      </w:r>
      <w:r w:rsidR="00757681">
        <w:noBreakHyphen/>
      </w:r>
      <w:r>
        <w:t>Aside</w:t>
      </w:r>
    </w:p>
    <w:tbl>
      <w:tblPr>
        <w:tblStyle w:val="TableGrid"/>
        <w:tblW w:w="8228" w:type="dxa"/>
        <w:jc w:val="center"/>
        <w:tblLook w:val="04A0" w:firstRow="1" w:lastRow="0" w:firstColumn="1" w:lastColumn="0" w:noHBand="0" w:noVBand="1"/>
      </w:tblPr>
      <w:tblGrid>
        <w:gridCol w:w="2742"/>
        <w:gridCol w:w="2743"/>
        <w:gridCol w:w="2743"/>
      </w:tblGrid>
      <w:tr w:rsidR="00AF6BF5" w:rsidRPr="00AF6BF5" w14:paraId="3A1A6CBF" w14:textId="77777777" w:rsidTr="00DE53B6">
        <w:trPr>
          <w:trHeight w:val="220"/>
          <w:jc w:val="center"/>
        </w:trPr>
        <w:tc>
          <w:tcPr>
            <w:tcW w:w="2742" w:type="dxa"/>
          </w:tcPr>
          <w:p w14:paraId="7E23C74F" w14:textId="77777777" w:rsidR="00AF6BF5" w:rsidRPr="00AF6BF5" w:rsidRDefault="00AF6BF5" w:rsidP="00AF6BF5">
            <w:pPr>
              <w:pStyle w:val="ALJBodyText"/>
              <w:spacing w:line="240" w:lineRule="auto"/>
              <w:rPr>
                <w:b/>
                <w:bCs/>
              </w:rPr>
            </w:pPr>
            <w:r w:rsidRPr="00AF6BF5">
              <w:rPr>
                <w:b/>
                <w:bCs/>
              </w:rPr>
              <w:t>Program Administrator</w:t>
            </w:r>
          </w:p>
        </w:tc>
        <w:tc>
          <w:tcPr>
            <w:tcW w:w="2743" w:type="dxa"/>
          </w:tcPr>
          <w:p w14:paraId="3DA21F6F" w14:textId="77777777" w:rsidR="00AF6BF5" w:rsidRPr="00AF6BF5" w:rsidRDefault="00AF6BF5" w:rsidP="00AF6BF5">
            <w:pPr>
              <w:pStyle w:val="ALJBodyText"/>
              <w:spacing w:line="240" w:lineRule="auto"/>
              <w:rPr>
                <w:b/>
                <w:bCs/>
              </w:rPr>
            </w:pPr>
            <w:r w:rsidRPr="00AF6BF5">
              <w:rPr>
                <w:b/>
                <w:bCs/>
              </w:rPr>
              <w:t>Percent</w:t>
            </w:r>
          </w:p>
        </w:tc>
        <w:tc>
          <w:tcPr>
            <w:tcW w:w="2743" w:type="dxa"/>
          </w:tcPr>
          <w:p w14:paraId="0F9CA7F0" w14:textId="77777777" w:rsidR="00AF6BF5" w:rsidRPr="00AF6BF5" w:rsidRDefault="00AF6BF5" w:rsidP="00AF6BF5">
            <w:pPr>
              <w:pStyle w:val="ALJBodyText"/>
              <w:spacing w:line="240" w:lineRule="auto"/>
              <w:rPr>
                <w:b/>
                <w:bCs/>
              </w:rPr>
            </w:pPr>
            <w:r w:rsidRPr="00AF6BF5">
              <w:rPr>
                <w:b/>
                <w:bCs/>
              </w:rPr>
              <w:t xml:space="preserve">Budget </w:t>
            </w:r>
          </w:p>
          <w:p w14:paraId="07E36806" w14:textId="77777777" w:rsidR="00AF6BF5" w:rsidRPr="00AF6BF5" w:rsidRDefault="00AF6BF5" w:rsidP="00AF6BF5">
            <w:pPr>
              <w:pStyle w:val="ALJBodyText"/>
              <w:spacing w:line="240" w:lineRule="auto"/>
              <w:rPr>
                <w:b/>
                <w:bCs/>
              </w:rPr>
            </w:pPr>
            <w:r w:rsidRPr="00AF6BF5">
              <w:rPr>
                <w:b/>
                <w:bCs/>
              </w:rPr>
              <w:t>(in millions)</w:t>
            </w:r>
          </w:p>
        </w:tc>
      </w:tr>
      <w:tr w:rsidR="00AF6BF5" w:rsidRPr="00AF6BF5" w14:paraId="4B252377" w14:textId="77777777" w:rsidTr="00DE53B6">
        <w:trPr>
          <w:trHeight w:val="220"/>
          <w:jc w:val="center"/>
        </w:trPr>
        <w:tc>
          <w:tcPr>
            <w:tcW w:w="2742" w:type="dxa"/>
          </w:tcPr>
          <w:p w14:paraId="22CAA891" w14:textId="77777777" w:rsidR="00AF6BF5" w:rsidRPr="00AF6BF5" w:rsidRDefault="00AF6BF5" w:rsidP="00AF6BF5">
            <w:pPr>
              <w:pStyle w:val="ALJBodyText"/>
              <w:spacing w:line="240" w:lineRule="auto"/>
            </w:pPr>
            <w:r w:rsidRPr="00AF6BF5">
              <w:t>PG&amp;E</w:t>
            </w:r>
          </w:p>
        </w:tc>
        <w:tc>
          <w:tcPr>
            <w:tcW w:w="2743" w:type="dxa"/>
          </w:tcPr>
          <w:p w14:paraId="53B17999" w14:textId="77777777" w:rsidR="00AF6BF5" w:rsidRPr="00AF6BF5" w:rsidRDefault="00AF6BF5" w:rsidP="00AF6BF5">
            <w:pPr>
              <w:pStyle w:val="ALJBodyText"/>
              <w:spacing w:line="240" w:lineRule="auto"/>
            </w:pPr>
            <w:r w:rsidRPr="00AF6BF5">
              <w:t>44</w:t>
            </w:r>
          </w:p>
        </w:tc>
        <w:tc>
          <w:tcPr>
            <w:tcW w:w="2743" w:type="dxa"/>
          </w:tcPr>
          <w:p w14:paraId="5A92C1E4" w14:textId="4E0B61C1" w:rsidR="00AF6BF5" w:rsidRPr="00AF6BF5" w:rsidRDefault="00AF6BF5" w:rsidP="00AF6BF5">
            <w:pPr>
              <w:pStyle w:val="ALJBodyText"/>
              <w:spacing w:line="240" w:lineRule="auto"/>
            </w:pPr>
            <w:r w:rsidRPr="00AF6BF5">
              <w:t>$</w:t>
            </w:r>
            <w:r>
              <w:t>1.76</w:t>
            </w:r>
          </w:p>
        </w:tc>
      </w:tr>
      <w:tr w:rsidR="00AF6BF5" w:rsidRPr="00AF6BF5" w14:paraId="1C27A908" w14:textId="77777777" w:rsidTr="00DE53B6">
        <w:trPr>
          <w:trHeight w:val="227"/>
          <w:jc w:val="center"/>
        </w:trPr>
        <w:tc>
          <w:tcPr>
            <w:tcW w:w="2742" w:type="dxa"/>
          </w:tcPr>
          <w:p w14:paraId="6ACE6BB0" w14:textId="77777777" w:rsidR="00AF6BF5" w:rsidRPr="00AF6BF5" w:rsidRDefault="00AF6BF5" w:rsidP="00AF6BF5">
            <w:pPr>
              <w:pStyle w:val="ALJBodyText"/>
              <w:spacing w:line="240" w:lineRule="auto"/>
            </w:pPr>
            <w:r w:rsidRPr="00AF6BF5">
              <w:t>SCE</w:t>
            </w:r>
          </w:p>
        </w:tc>
        <w:tc>
          <w:tcPr>
            <w:tcW w:w="2743" w:type="dxa"/>
          </w:tcPr>
          <w:p w14:paraId="0C062884" w14:textId="77777777" w:rsidR="00AF6BF5" w:rsidRPr="00AF6BF5" w:rsidRDefault="00AF6BF5" w:rsidP="00AF6BF5">
            <w:pPr>
              <w:pStyle w:val="ALJBodyText"/>
              <w:spacing w:line="240" w:lineRule="auto"/>
            </w:pPr>
            <w:r w:rsidRPr="00AF6BF5">
              <w:t>34</w:t>
            </w:r>
          </w:p>
        </w:tc>
        <w:tc>
          <w:tcPr>
            <w:tcW w:w="2743" w:type="dxa"/>
          </w:tcPr>
          <w:p w14:paraId="634D00E1" w14:textId="25B1F8B1" w:rsidR="00AF6BF5" w:rsidRPr="00AF6BF5" w:rsidRDefault="00AF6BF5" w:rsidP="00AF6BF5">
            <w:pPr>
              <w:pStyle w:val="ALJBodyText"/>
              <w:spacing w:line="240" w:lineRule="auto"/>
            </w:pPr>
            <w:r w:rsidRPr="00AF6BF5">
              <w:t>$</w:t>
            </w:r>
            <w:r>
              <w:t>1.36</w:t>
            </w:r>
          </w:p>
        </w:tc>
      </w:tr>
      <w:tr w:rsidR="00AF6BF5" w:rsidRPr="00AF6BF5" w14:paraId="7F5C0718" w14:textId="77777777" w:rsidTr="00DE53B6">
        <w:trPr>
          <w:trHeight w:val="220"/>
          <w:jc w:val="center"/>
        </w:trPr>
        <w:tc>
          <w:tcPr>
            <w:tcW w:w="2742" w:type="dxa"/>
          </w:tcPr>
          <w:p w14:paraId="388C63F6" w14:textId="77777777" w:rsidR="00AF6BF5" w:rsidRPr="00AF6BF5" w:rsidRDefault="00AF6BF5" w:rsidP="00AF6BF5">
            <w:pPr>
              <w:pStyle w:val="ALJBodyText"/>
              <w:spacing w:line="240" w:lineRule="auto"/>
            </w:pPr>
            <w:r w:rsidRPr="00AF6BF5">
              <w:t>CSE</w:t>
            </w:r>
          </w:p>
        </w:tc>
        <w:tc>
          <w:tcPr>
            <w:tcW w:w="2743" w:type="dxa"/>
          </w:tcPr>
          <w:p w14:paraId="7CE395DA" w14:textId="77777777" w:rsidR="00AF6BF5" w:rsidRPr="00AF6BF5" w:rsidRDefault="00AF6BF5" w:rsidP="00AF6BF5">
            <w:pPr>
              <w:pStyle w:val="ALJBodyText"/>
              <w:spacing w:line="240" w:lineRule="auto"/>
            </w:pPr>
            <w:r w:rsidRPr="00AF6BF5">
              <w:t>13</w:t>
            </w:r>
          </w:p>
        </w:tc>
        <w:tc>
          <w:tcPr>
            <w:tcW w:w="2743" w:type="dxa"/>
          </w:tcPr>
          <w:p w14:paraId="41F8C2F5" w14:textId="69E9D90F" w:rsidR="00AF6BF5" w:rsidRPr="00AF6BF5" w:rsidRDefault="00AF6BF5" w:rsidP="00AF6BF5">
            <w:pPr>
              <w:pStyle w:val="ALJBodyText"/>
              <w:spacing w:line="240" w:lineRule="auto"/>
            </w:pPr>
            <w:r w:rsidRPr="00AF6BF5">
              <w:t>$</w:t>
            </w:r>
            <w:r>
              <w:t>0.52</w:t>
            </w:r>
          </w:p>
        </w:tc>
      </w:tr>
      <w:tr w:rsidR="00AF6BF5" w:rsidRPr="00AF6BF5" w14:paraId="5E6C0097" w14:textId="77777777" w:rsidTr="00DE53B6">
        <w:trPr>
          <w:trHeight w:val="220"/>
          <w:jc w:val="center"/>
        </w:trPr>
        <w:tc>
          <w:tcPr>
            <w:tcW w:w="2742" w:type="dxa"/>
          </w:tcPr>
          <w:p w14:paraId="0889189C" w14:textId="77777777" w:rsidR="00AF6BF5" w:rsidRPr="00AF6BF5" w:rsidRDefault="00AF6BF5" w:rsidP="00AF6BF5">
            <w:pPr>
              <w:pStyle w:val="ALJBodyText"/>
              <w:spacing w:line="240" w:lineRule="auto"/>
            </w:pPr>
            <w:r w:rsidRPr="00AF6BF5">
              <w:t>SoCalGas</w:t>
            </w:r>
          </w:p>
        </w:tc>
        <w:tc>
          <w:tcPr>
            <w:tcW w:w="2743" w:type="dxa"/>
          </w:tcPr>
          <w:p w14:paraId="0E81D9F0" w14:textId="77777777" w:rsidR="00AF6BF5" w:rsidRPr="00AF6BF5" w:rsidRDefault="00AF6BF5" w:rsidP="00AF6BF5">
            <w:pPr>
              <w:pStyle w:val="ALJBodyText"/>
              <w:spacing w:line="240" w:lineRule="auto"/>
            </w:pPr>
            <w:r w:rsidRPr="00AF6BF5">
              <w:t>9</w:t>
            </w:r>
          </w:p>
        </w:tc>
        <w:tc>
          <w:tcPr>
            <w:tcW w:w="2743" w:type="dxa"/>
          </w:tcPr>
          <w:p w14:paraId="269287AF" w14:textId="18FBD532" w:rsidR="00AF6BF5" w:rsidRPr="00AF6BF5" w:rsidRDefault="00AF6BF5" w:rsidP="00AF6BF5">
            <w:pPr>
              <w:pStyle w:val="ALJBodyText"/>
              <w:spacing w:line="240" w:lineRule="auto"/>
            </w:pPr>
            <w:r w:rsidRPr="00AF6BF5">
              <w:t>$</w:t>
            </w:r>
            <w:r>
              <w:t>0.36</w:t>
            </w:r>
          </w:p>
        </w:tc>
      </w:tr>
      <w:tr w:rsidR="00AF6BF5" w:rsidRPr="00AF6BF5" w14:paraId="5B09D43F" w14:textId="77777777" w:rsidTr="00DE53B6">
        <w:trPr>
          <w:trHeight w:val="227"/>
          <w:jc w:val="center"/>
        </w:trPr>
        <w:tc>
          <w:tcPr>
            <w:tcW w:w="2742" w:type="dxa"/>
          </w:tcPr>
          <w:p w14:paraId="705F8DA6" w14:textId="77777777" w:rsidR="00AF6BF5" w:rsidRPr="00AF6BF5" w:rsidRDefault="00AF6BF5" w:rsidP="00AF6BF5">
            <w:pPr>
              <w:pStyle w:val="ALJBodyText"/>
              <w:spacing w:line="240" w:lineRule="auto"/>
              <w:rPr>
                <w:b/>
                <w:bCs/>
              </w:rPr>
            </w:pPr>
            <w:r w:rsidRPr="00AF6BF5">
              <w:rPr>
                <w:b/>
                <w:bCs/>
              </w:rPr>
              <w:t>Total</w:t>
            </w:r>
          </w:p>
        </w:tc>
        <w:tc>
          <w:tcPr>
            <w:tcW w:w="2743" w:type="dxa"/>
          </w:tcPr>
          <w:p w14:paraId="1CCA0F9E" w14:textId="77777777" w:rsidR="00AF6BF5" w:rsidRPr="00AF6BF5" w:rsidRDefault="00AF6BF5" w:rsidP="00AF6BF5">
            <w:pPr>
              <w:pStyle w:val="ALJBodyText"/>
              <w:spacing w:line="240" w:lineRule="auto"/>
            </w:pPr>
            <w:r w:rsidRPr="00AF6BF5">
              <w:t>100</w:t>
            </w:r>
          </w:p>
        </w:tc>
        <w:tc>
          <w:tcPr>
            <w:tcW w:w="2743" w:type="dxa"/>
          </w:tcPr>
          <w:p w14:paraId="0EC5F30C" w14:textId="005C3F4C" w:rsidR="00AF6BF5" w:rsidRPr="00AF6BF5" w:rsidRDefault="00AF6BF5" w:rsidP="00AF6BF5">
            <w:pPr>
              <w:pStyle w:val="ALJBodyText"/>
              <w:spacing w:line="240" w:lineRule="auto"/>
            </w:pPr>
            <w:r w:rsidRPr="00AF6BF5">
              <w:t>$</w:t>
            </w:r>
            <w:r>
              <w:t>4</w:t>
            </w:r>
          </w:p>
        </w:tc>
      </w:tr>
    </w:tbl>
    <w:p w14:paraId="02BF40C0" w14:textId="77777777" w:rsidR="00AF6BF5" w:rsidRDefault="00AF6BF5" w:rsidP="00255008">
      <w:pPr>
        <w:pStyle w:val="ALJBodyText"/>
      </w:pPr>
    </w:p>
    <w:p w14:paraId="4D94A76F" w14:textId="4FCB00A7" w:rsidR="00041706" w:rsidRDefault="000267D5" w:rsidP="00AF6BF5">
      <w:pPr>
        <w:pStyle w:val="ALJBodyText"/>
      </w:pPr>
      <w:r>
        <w:t>We also</w:t>
      </w:r>
      <w:r w:rsidR="00041706">
        <w:t xml:space="preserve"> direct Commission staff</w:t>
      </w:r>
      <w:r w:rsidR="004E71C9">
        <w:t>, in coordination with the SGIP PAs,</w:t>
      </w:r>
      <w:r w:rsidR="00041706">
        <w:t xml:space="preserve"> to convene a workshop </w:t>
      </w:r>
      <w:r w:rsidR="004175E7">
        <w:t>to discuss</w:t>
      </w:r>
      <w:r w:rsidR="00041706">
        <w:t xml:space="preserve"> identifying and removing barriers to HPWH </w:t>
      </w:r>
      <w:r w:rsidR="004E71C9">
        <w:t xml:space="preserve">participating in SGIP </w:t>
      </w:r>
      <w:r w:rsidR="00041706">
        <w:t xml:space="preserve">within </w:t>
      </w:r>
      <w:r w:rsidR="00903B47">
        <w:t xml:space="preserve">90 days, if feasible, but no later than </w:t>
      </w:r>
      <w:r w:rsidR="004E71C9">
        <w:t>1</w:t>
      </w:r>
      <w:r w:rsidR="00F17551">
        <w:t>2</w:t>
      </w:r>
      <w:r w:rsidR="004E71C9">
        <w:t>0</w:t>
      </w:r>
      <w:r w:rsidR="00041706">
        <w:t xml:space="preserve"> days of issuance of this decision</w:t>
      </w:r>
      <w:r w:rsidR="00903B47">
        <w:t xml:space="preserve">, involving SC/NRDC in the planning of this workshop.  </w:t>
      </w:r>
      <w:r w:rsidR="004E71C9">
        <w:t xml:space="preserve">Following the workshop Commission </w:t>
      </w:r>
      <w:r w:rsidR="004175E7">
        <w:t>s</w:t>
      </w:r>
      <w:r w:rsidR="004E71C9">
        <w:t xml:space="preserve">taff may issue a staff proposal on the topic or the </w:t>
      </w:r>
      <w:r w:rsidR="00033CB9">
        <w:t>Administrative Law Judge (ALJ)</w:t>
      </w:r>
      <w:r w:rsidR="004E71C9">
        <w:t xml:space="preserve"> may issue a ruling with additional questions for comment on the topic</w:t>
      </w:r>
      <w:r w:rsidR="004175E7">
        <w:t>.</w:t>
      </w:r>
      <w:r w:rsidR="004508EC">
        <w:t xml:space="preserve"> </w:t>
      </w:r>
    </w:p>
    <w:p w14:paraId="7D7D207B" w14:textId="570784D4" w:rsidR="00217C6C" w:rsidRDefault="00903B47" w:rsidP="008E53F7">
      <w:pPr>
        <w:pStyle w:val="ALJBodyText"/>
      </w:pPr>
      <w:r>
        <w:t>T</w:t>
      </w:r>
      <w:r w:rsidR="00AD36AC">
        <w:t xml:space="preserve">he </w:t>
      </w:r>
      <w:r w:rsidR="00041706">
        <w:t xml:space="preserve">HPWH </w:t>
      </w:r>
      <w:r w:rsidR="0063050C">
        <w:t>workshop</w:t>
      </w:r>
      <w:r>
        <w:t xml:space="preserve"> </w:t>
      </w:r>
      <w:r w:rsidR="0063050C">
        <w:t>sh</w:t>
      </w:r>
      <w:r w:rsidR="004E71C9">
        <w:t>ould</w:t>
      </w:r>
      <w:r w:rsidR="0063050C">
        <w:t xml:space="preserve"> seek to address the</w:t>
      </w:r>
      <w:r w:rsidR="00A728F0">
        <w:t>se</w:t>
      </w:r>
      <w:r w:rsidR="0063050C">
        <w:t xml:space="preserve"> priority question</w:t>
      </w:r>
      <w:r w:rsidR="00AD36AC">
        <w:t xml:space="preserve">s raised by parties </w:t>
      </w:r>
      <w:r w:rsidR="00041706">
        <w:t>in their</w:t>
      </w:r>
      <w:r w:rsidR="0063050C">
        <w:t xml:space="preserve"> comments</w:t>
      </w:r>
      <w:r w:rsidR="00AD36AC">
        <w:t xml:space="preserve"> </w:t>
      </w:r>
      <w:r w:rsidR="0063050C">
        <w:t xml:space="preserve">including: </w:t>
      </w:r>
    </w:p>
    <w:p w14:paraId="0BE12B46" w14:textId="4BE16B53" w:rsidR="00041706" w:rsidRDefault="004508EC" w:rsidP="00475C04">
      <w:pPr>
        <w:pStyle w:val="ALJBodyText"/>
        <w:numPr>
          <w:ilvl w:val="0"/>
          <w:numId w:val="12"/>
        </w:numPr>
      </w:pPr>
      <w:r>
        <w:t>Achieving market transformation of HPWH</w:t>
      </w:r>
      <w:r w:rsidR="00AD36AC">
        <w:t>s</w:t>
      </w:r>
      <w:r>
        <w:t>;</w:t>
      </w:r>
    </w:p>
    <w:p w14:paraId="1CEDBC54" w14:textId="0C421862" w:rsidR="004508EC" w:rsidRDefault="004508EC" w:rsidP="00475C04">
      <w:pPr>
        <w:pStyle w:val="ALJBodyText"/>
        <w:numPr>
          <w:ilvl w:val="0"/>
          <w:numId w:val="12"/>
        </w:numPr>
      </w:pPr>
      <w:r>
        <w:t>HPWH incentive design;</w:t>
      </w:r>
    </w:p>
    <w:p w14:paraId="36AC54E8" w14:textId="5951746D" w:rsidR="004508EC" w:rsidRDefault="004508EC" w:rsidP="00475C04">
      <w:pPr>
        <w:pStyle w:val="ALJBodyText"/>
        <w:numPr>
          <w:ilvl w:val="0"/>
          <w:numId w:val="12"/>
        </w:numPr>
      </w:pPr>
      <w:r>
        <w:t>Administration of SGIP incentives;</w:t>
      </w:r>
    </w:p>
    <w:p w14:paraId="5EAE21BF" w14:textId="2EA29003" w:rsidR="004508EC" w:rsidRDefault="004508EC" w:rsidP="00475C04">
      <w:pPr>
        <w:pStyle w:val="ALJBodyText"/>
        <w:numPr>
          <w:ilvl w:val="0"/>
          <w:numId w:val="12"/>
        </w:numPr>
      </w:pPr>
      <w:r>
        <w:lastRenderedPageBreak/>
        <w:t>Achieving equity in HPWH deployment;</w:t>
      </w:r>
    </w:p>
    <w:p w14:paraId="2F06B034" w14:textId="767A5395" w:rsidR="004508EC" w:rsidRDefault="004508EC" w:rsidP="00475C04">
      <w:pPr>
        <w:pStyle w:val="ALJBodyText"/>
        <w:numPr>
          <w:ilvl w:val="0"/>
          <w:numId w:val="12"/>
        </w:numPr>
      </w:pPr>
      <w:r>
        <w:t>Ensuring load shifting;</w:t>
      </w:r>
    </w:p>
    <w:p w14:paraId="2D7B83C1" w14:textId="35A95F5A" w:rsidR="004508EC" w:rsidRDefault="00AD36AC" w:rsidP="00475C04">
      <w:pPr>
        <w:pStyle w:val="ALJBodyText"/>
        <w:numPr>
          <w:ilvl w:val="0"/>
          <w:numId w:val="12"/>
        </w:numPr>
      </w:pPr>
      <w:r>
        <w:t>Future a</w:t>
      </w:r>
      <w:r w:rsidR="004508EC">
        <w:t>llocation of SGIP incentives;</w:t>
      </w:r>
      <w:r w:rsidR="004175E7">
        <w:t xml:space="preserve"> and,</w:t>
      </w:r>
    </w:p>
    <w:p w14:paraId="4DE57E7A" w14:textId="300B62E4" w:rsidR="004508EC" w:rsidRDefault="004508EC" w:rsidP="00475C04">
      <w:pPr>
        <w:pStyle w:val="ALJBodyText"/>
        <w:numPr>
          <w:ilvl w:val="0"/>
          <w:numId w:val="12"/>
        </w:numPr>
      </w:pPr>
      <w:r>
        <w:t>Coordination with other Commission programs.</w:t>
      </w:r>
    </w:p>
    <w:p w14:paraId="7F22FD6B" w14:textId="7B0400AE" w:rsidR="0063050C" w:rsidRDefault="0063050C" w:rsidP="008E53F7">
      <w:pPr>
        <w:pStyle w:val="ALJBodyText"/>
      </w:pPr>
      <w:r>
        <w:t>The workshop shall be notic</w:t>
      </w:r>
      <w:r w:rsidR="004508EC">
        <w:t>ed to the serv</w:t>
      </w:r>
      <w:r w:rsidR="00AD36AC">
        <w:t>ice lists of R.19</w:t>
      </w:r>
      <w:r w:rsidR="00757681">
        <w:noBreakHyphen/>
      </w:r>
      <w:r w:rsidR="00AD36AC">
        <w:t>01</w:t>
      </w:r>
      <w:r w:rsidR="00757681">
        <w:noBreakHyphen/>
      </w:r>
      <w:r w:rsidR="00AD36AC">
        <w:t xml:space="preserve">011 </w:t>
      </w:r>
      <w:r w:rsidR="004508EC">
        <w:t>and R.15</w:t>
      </w:r>
      <w:r w:rsidR="00757681">
        <w:noBreakHyphen/>
      </w:r>
      <w:r w:rsidR="004508EC">
        <w:t>03</w:t>
      </w:r>
      <w:r w:rsidR="00757681">
        <w:noBreakHyphen/>
      </w:r>
      <w:r w:rsidR="004508EC">
        <w:t xml:space="preserve">010, which </w:t>
      </w:r>
      <w:r w:rsidR="00AD36AC">
        <w:t xml:space="preserve">address increasing </w:t>
      </w:r>
      <w:r w:rsidR="004508EC">
        <w:t xml:space="preserve">affordable energy options </w:t>
      </w:r>
      <w:r w:rsidR="00AD36AC">
        <w:t xml:space="preserve">for </w:t>
      </w:r>
      <w:r w:rsidR="000B3F16">
        <w:t>S</w:t>
      </w:r>
      <w:r w:rsidR="00754CCC">
        <w:t>J</w:t>
      </w:r>
      <w:r w:rsidR="000B3F16">
        <w:t>V DACs</w:t>
      </w:r>
      <w:r w:rsidR="004508EC">
        <w:t xml:space="preserve">, including through </w:t>
      </w:r>
      <w:r w:rsidR="000B3F16">
        <w:t>pilots promoting the full electrification of homes</w:t>
      </w:r>
      <w:r w:rsidR="00667C82">
        <w:t>, and R.13</w:t>
      </w:r>
      <w:r w:rsidR="00757681">
        <w:noBreakHyphen/>
      </w:r>
      <w:r w:rsidR="00667C82">
        <w:t>11</w:t>
      </w:r>
      <w:r w:rsidR="00757681">
        <w:noBreakHyphen/>
      </w:r>
      <w:r w:rsidR="00667C82">
        <w:t>005, which, in D.19</w:t>
      </w:r>
      <w:r w:rsidR="00757681">
        <w:noBreakHyphen/>
      </w:r>
      <w:r w:rsidR="00667C82">
        <w:t>08</w:t>
      </w:r>
      <w:r w:rsidR="00757681">
        <w:noBreakHyphen/>
      </w:r>
      <w:r w:rsidR="00667C82">
        <w:t>009 modified the energy efficiency three</w:t>
      </w:r>
      <w:r w:rsidR="00757681">
        <w:noBreakHyphen/>
      </w:r>
      <w:r w:rsidR="00667C82">
        <w:t>prong test related to fuel substitution, which may impact the availability of energy efficiency incentives for HPWHs.</w:t>
      </w:r>
      <w:r w:rsidR="00667C82">
        <w:rPr>
          <w:rStyle w:val="FootnoteReference"/>
        </w:rPr>
        <w:footnoteReference w:id="96"/>
      </w:r>
      <w:r w:rsidR="00667C82">
        <w:t xml:space="preserve">  </w:t>
      </w:r>
      <w:r w:rsidR="00903B47">
        <w:t>We clarify that the scope of the SGIP TES working group established in D.19</w:t>
      </w:r>
      <w:r w:rsidR="00757681">
        <w:noBreakHyphen/>
      </w:r>
      <w:r w:rsidR="00903B47">
        <w:t>04</w:t>
      </w:r>
      <w:r w:rsidR="00757681">
        <w:noBreakHyphen/>
      </w:r>
      <w:r w:rsidR="00903B47">
        <w:t xml:space="preserve">020 is the need for modifications to the GHG emission reduction requirements adopted in that decision, as appropriate, to ensure their applicability </w:t>
      </w:r>
      <w:r w:rsidR="002F3FEF">
        <w:t xml:space="preserve">to </w:t>
      </w:r>
      <w:r w:rsidR="00903B47">
        <w:t>the different technologies and operations of TES systems</w:t>
      </w:r>
      <w:r w:rsidR="002F3FEF">
        <w:t>, which include HPWHs</w:t>
      </w:r>
      <w:r w:rsidR="00903B47">
        <w:t xml:space="preserve">.  All other </w:t>
      </w:r>
      <w:r w:rsidR="00291EDC">
        <w:t xml:space="preserve">HPWH </w:t>
      </w:r>
      <w:r w:rsidR="00903B47">
        <w:t>questions relevant</w:t>
      </w:r>
      <w:r w:rsidR="00291EDC">
        <w:t xml:space="preserve"> to the SGIP</w:t>
      </w:r>
      <w:r w:rsidR="00903B47">
        <w:t xml:space="preserve">—such </w:t>
      </w:r>
      <w:r w:rsidR="00291EDC">
        <w:t xml:space="preserve">barriers to HPWH </w:t>
      </w:r>
      <w:r w:rsidR="00903B47">
        <w:t xml:space="preserve">adoption, eligibility issues, incentive levels, how to ensure </w:t>
      </w:r>
      <w:r w:rsidR="00291EDC">
        <w:t xml:space="preserve">load shifting </w:t>
      </w:r>
      <w:r w:rsidR="00903B47">
        <w:t xml:space="preserve">to reduce peak load, and other program rules—are to be included in the workshop directed in this decision and the subject of further comment by parties.  </w:t>
      </w:r>
    </w:p>
    <w:p w14:paraId="71F11AE8" w14:textId="4D2553C6" w:rsidR="00041706" w:rsidRPr="008E53F7" w:rsidRDefault="00EE293E" w:rsidP="008E53F7">
      <w:pPr>
        <w:pStyle w:val="ALJBodyText"/>
      </w:pPr>
      <w:r>
        <w:t>We are interested in the opportunities that HPWH</w:t>
      </w:r>
      <w:r w:rsidR="00213095">
        <w:t>s</w:t>
      </w:r>
      <w:r>
        <w:t xml:space="preserve"> may provide for increased participation of equity budget customers in the SGIP and the related</w:t>
      </w:r>
      <w:r w:rsidR="00291EDC">
        <w:t xml:space="preserve"> </w:t>
      </w:r>
      <w:r>
        <w:t xml:space="preserve">provision of grid services and bill </w:t>
      </w:r>
      <w:r w:rsidR="000B3F16">
        <w:t xml:space="preserve">reduction </w:t>
      </w:r>
      <w:r>
        <w:t>benefits b</w:t>
      </w:r>
      <w:r w:rsidR="00041706">
        <w:t xml:space="preserve">ecause </w:t>
      </w:r>
      <w:r w:rsidR="000B3F16">
        <w:t>HPWHs</w:t>
      </w:r>
      <w:r w:rsidR="00041706">
        <w:t xml:space="preserve"> are lower cost than most residential battery technologies</w:t>
      </w:r>
      <w:r>
        <w:t xml:space="preserve">.  </w:t>
      </w:r>
      <w:r w:rsidR="00213095">
        <w:t xml:space="preserve">It appears possible that </w:t>
      </w:r>
      <w:r w:rsidR="004508EC">
        <w:t xml:space="preserve">HPWHs </w:t>
      </w:r>
      <w:r w:rsidR="00213095">
        <w:lastRenderedPageBreak/>
        <w:t xml:space="preserve">may </w:t>
      </w:r>
      <w:r w:rsidR="00E0608A">
        <w:t xml:space="preserve">have </w:t>
      </w:r>
      <w:r w:rsidR="00041706" w:rsidRPr="003043FD">
        <w:t xml:space="preserve">the </w:t>
      </w:r>
      <w:r w:rsidR="00041706">
        <w:t>“</w:t>
      </w:r>
      <w:r w:rsidR="00041706" w:rsidRPr="003043FD">
        <w:t>potential to thrive</w:t>
      </w:r>
      <w:r w:rsidR="00041706">
        <w:t>”</w:t>
      </w:r>
      <w:r w:rsidR="00041706" w:rsidRPr="003043FD">
        <w:t xml:space="preserve"> in future years without rebates</w:t>
      </w:r>
      <w:r w:rsidR="00041706">
        <w:t>.</w:t>
      </w:r>
      <w:r w:rsidR="004508EC">
        <w:rPr>
          <w:rStyle w:val="FootnoteReference"/>
        </w:rPr>
        <w:footnoteReference w:id="97"/>
      </w:r>
      <w:r w:rsidR="00041706">
        <w:t xml:space="preserve">  </w:t>
      </w:r>
      <w:r w:rsidR="00E0608A">
        <w:t>In addition, a</w:t>
      </w:r>
      <w:r w:rsidR="00041706">
        <w:t xml:space="preserve">s a replacement for natural gas </w:t>
      </w:r>
      <w:r w:rsidR="009C62B2">
        <w:t xml:space="preserve">and </w:t>
      </w:r>
      <w:r w:rsidR="00041706">
        <w:t>electric</w:t>
      </w:r>
      <w:r w:rsidR="009C62B2">
        <w:t xml:space="preserve"> resistance</w:t>
      </w:r>
      <w:r w:rsidR="00041706">
        <w:t xml:space="preserve"> water heaters, HPWHs </w:t>
      </w:r>
      <w:r w:rsidR="00E0608A">
        <w:t xml:space="preserve">appear central to achieving </w:t>
      </w:r>
      <w:r w:rsidR="00041706">
        <w:t xml:space="preserve">California’s </w:t>
      </w:r>
      <w:r w:rsidR="00E0608A">
        <w:t xml:space="preserve">2045 </w:t>
      </w:r>
      <w:r w:rsidR="00041706">
        <w:t>building decarbonization goals.</w:t>
      </w:r>
      <w:r w:rsidR="00041706">
        <w:rPr>
          <w:rStyle w:val="FootnoteReference"/>
        </w:rPr>
        <w:footnoteReference w:id="98"/>
      </w:r>
      <w:r w:rsidR="00F91094">
        <w:t xml:space="preserve">  E</w:t>
      </w:r>
      <w:r w:rsidR="004508EC">
        <w:t>stablish</w:t>
      </w:r>
      <w:r w:rsidR="00F91094">
        <w:t>ing</w:t>
      </w:r>
      <w:r w:rsidR="004508EC">
        <w:t xml:space="preserve"> a</w:t>
      </w:r>
      <w:r w:rsidR="002F3FEF">
        <w:t>n</w:t>
      </w:r>
      <w:r w:rsidR="004508EC">
        <w:t xml:space="preserve"> HPWH set</w:t>
      </w:r>
      <w:r w:rsidR="00757681">
        <w:noBreakHyphen/>
      </w:r>
      <w:r w:rsidR="004508EC">
        <w:t>aside withi</w:t>
      </w:r>
      <w:r w:rsidR="00F91094">
        <w:t>n the SGIP equity budget and exploring</w:t>
      </w:r>
      <w:r w:rsidR="004508EC">
        <w:t xml:space="preserve"> additional SGIP program modifications to increase mar</w:t>
      </w:r>
      <w:r w:rsidR="00F91094">
        <w:t xml:space="preserve">ket growth of this technology signals Commission interest in this technology for the multiple services and benefits it may provide.  </w:t>
      </w:r>
    </w:p>
    <w:p w14:paraId="22CBC26E" w14:textId="332DA3A7" w:rsidR="00732295" w:rsidRDefault="00A420A5" w:rsidP="00CE14ED">
      <w:pPr>
        <w:pStyle w:val="ALJHeading1"/>
      </w:pPr>
      <w:bookmarkStart w:id="79" w:name="_Toc15908098"/>
      <w:r>
        <w:t xml:space="preserve">San Joaquin Valley </w:t>
      </w:r>
      <w:r w:rsidR="00CB1D5B">
        <w:t xml:space="preserve">Affordable Energy </w:t>
      </w:r>
      <w:r>
        <w:t>Pilot Project</w:t>
      </w:r>
      <w:r w:rsidR="004E71C9">
        <w:t>s</w:t>
      </w:r>
      <w:bookmarkEnd w:id="79"/>
    </w:p>
    <w:p w14:paraId="549FAAB5" w14:textId="74E3FA32" w:rsidR="00A420A5" w:rsidRPr="00A420A5" w:rsidRDefault="00A420A5" w:rsidP="00C151FC">
      <w:pPr>
        <w:pStyle w:val="ALJHeading2"/>
      </w:pPr>
      <w:bookmarkStart w:id="80" w:name="_Toc15908099"/>
      <w:r>
        <w:t>Background</w:t>
      </w:r>
      <w:bookmarkEnd w:id="80"/>
      <w:r>
        <w:t xml:space="preserve"> </w:t>
      </w:r>
    </w:p>
    <w:p w14:paraId="0F7B0AAB" w14:textId="5C894C98" w:rsidR="00A420A5" w:rsidRDefault="00A420A5" w:rsidP="00A420A5">
      <w:pPr>
        <w:pStyle w:val="ALJBodyText"/>
      </w:pPr>
      <w:r>
        <w:t>D.18</w:t>
      </w:r>
      <w:r w:rsidR="00757681">
        <w:noBreakHyphen/>
      </w:r>
      <w:r>
        <w:t>12</w:t>
      </w:r>
      <w:r w:rsidR="00757681">
        <w:noBreakHyphen/>
      </w:r>
      <w:r>
        <w:t xml:space="preserve">015 </w:t>
      </w:r>
      <w:r w:rsidRPr="00DE60B5">
        <w:t>approv</w:t>
      </w:r>
      <w:r>
        <w:t>ed</w:t>
      </w:r>
      <w:r w:rsidRPr="00DE60B5">
        <w:t xml:space="preserve"> </w:t>
      </w:r>
      <w:r w:rsidR="004E71C9">
        <w:t xml:space="preserve">building electrification </w:t>
      </w:r>
      <w:r w:rsidRPr="00DE60B5">
        <w:t xml:space="preserve">pilot projects in </w:t>
      </w:r>
      <w:r w:rsidR="004E71C9">
        <w:t>11</w:t>
      </w:r>
      <w:r w:rsidRPr="00DE60B5">
        <w:t xml:space="preserve"> </w:t>
      </w:r>
      <w:r w:rsidR="00DB1264">
        <w:t>SJV DACs</w:t>
      </w:r>
      <w:r w:rsidR="00025909">
        <w:t xml:space="preserve"> and </w:t>
      </w:r>
      <w:r>
        <w:t>stated that proceeding R.12</w:t>
      </w:r>
      <w:r w:rsidR="00757681">
        <w:noBreakHyphen/>
      </w:r>
      <w:r>
        <w:t>11</w:t>
      </w:r>
      <w:r w:rsidR="00757681">
        <w:noBreakHyphen/>
      </w:r>
      <w:r>
        <w:t xml:space="preserve">005 </w:t>
      </w:r>
      <w:r w:rsidR="00CA6CF6">
        <w:t xml:space="preserve">should consider modifying </w:t>
      </w:r>
      <w:r w:rsidRPr="00DE60B5">
        <w:t>SGIP rule</w:t>
      </w:r>
      <w:r>
        <w:t xml:space="preserve">s to support the pilot projects as </w:t>
      </w:r>
      <w:r w:rsidRPr="00DE60B5">
        <w:t>recommended in an October 3, 2018 Assigned Co</w:t>
      </w:r>
      <w:r>
        <w:t>mmissioner’s</w:t>
      </w:r>
      <w:r w:rsidR="00CA6CF6">
        <w:t xml:space="preserve"> </w:t>
      </w:r>
      <w:r w:rsidR="00CA6CF6" w:rsidRPr="009C38DF">
        <w:t>Ruling (SJV ACR)</w:t>
      </w:r>
      <w:r w:rsidRPr="009C38DF">
        <w:t>.</w:t>
      </w:r>
      <w:r w:rsidRPr="009C38DF">
        <w:rPr>
          <w:vertAlign w:val="superscript"/>
        </w:rPr>
        <w:footnoteReference w:id="99"/>
      </w:r>
      <w:r w:rsidR="00571151" w:rsidRPr="009C38DF">
        <w:t xml:space="preserve">  The Commission initiated R.15</w:t>
      </w:r>
      <w:r w:rsidR="00757681">
        <w:noBreakHyphen/>
      </w:r>
      <w:r w:rsidR="00571151" w:rsidRPr="009C38DF">
        <w:t>03</w:t>
      </w:r>
      <w:r w:rsidR="00757681">
        <w:noBreakHyphen/>
      </w:r>
      <w:r w:rsidR="00571151" w:rsidRPr="009C38DF">
        <w:t>010 in response to</w:t>
      </w:r>
      <w:r w:rsidR="00030732" w:rsidRPr="009C38DF">
        <w:t xml:space="preserve"> </w:t>
      </w:r>
      <w:r w:rsidR="004E71C9">
        <w:t>P</w:t>
      </w:r>
      <w:r w:rsidR="00033CB9">
        <w:t xml:space="preserve">ublic </w:t>
      </w:r>
      <w:r w:rsidR="004E71C9">
        <w:t>U</w:t>
      </w:r>
      <w:r w:rsidR="00033CB9">
        <w:t>tilities</w:t>
      </w:r>
      <w:r w:rsidR="004E71C9">
        <w:t xml:space="preserve"> Code </w:t>
      </w:r>
      <w:r w:rsidR="00571151" w:rsidRPr="009C38DF">
        <w:t xml:space="preserve">Section </w:t>
      </w:r>
      <w:r w:rsidR="009C38DF" w:rsidRPr="009C38DF">
        <w:t>788.5</w:t>
      </w:r>
      <w:r w:rsidR="00571151" w:rsidRPr="009C38DF">
        <w:t>, which directed</w:t>
      </w:r>
      <w:r w:rsidR="00571151">
        <w:t xml:space="preserve"> the Commission </w:t>
      </w:r>
      <w:r w:rsidR="00571151">
        <w:lastRenderedPageBreak/>
        <w:t>to identify affordable energy options for</w:t>
      </w:r>
      <w:r w:rsidR="00CA6CF6">
        <w:t xml:space="preserve"> </w:t>
      </w:r>
      <w:r w:rsidR="00DB1264">
        <w:t xml:space="preserve">SJV </w:t>
      </w:r>
      <w:r w:rsidR="00CA6CF6">
        <w:t xml:space="preserve">DACs, </w:t>
      </w:r>
      <w:r w:rsidR="00571151">
        <w:t>where many community residents lack access to natural gas and</w:t>
      </w:r>
      <w:r w:rsidR="00030732">
        <w:t xml:space="preserve"> </w:t>
      </w:r>
      <w:r w:rsidR="00571151">
        <w:t>use propane and/or wood to meet their space</w:t>
      </w:r>
      <w:r w:rsidR="00207A8C">
        <w:t xml:space="preserve">, </w:t>
      </w:r>
      <w:r w:rsidR="00571151">
        <w:t>water heating and cooking needs.</w:t>
      </w:r>
    </w:p>
    <w:p w14:paraId="231CDB08" w14:textId="72EA32FC" w:rsidR="00A420A5" w:rsidRDefault="00571151" w:rsidP="00571151">
      <w:pPr>
        <w:pStyle w:val="ALJBodyText"/>
      </w:pPr>
      <w:r>
        <w:t xml:space="preserve">The </w:t>
      </w:r>
      <w:r w:rsidR="00A420A5" w:rsidRPr="00A0384D">
        <w:t>goals of</w:t>
      </w:r>
      <w:r>
        <w:t xml:space="preserve"> the SJV DAC pilot projects are, first, </w:t>
      </w:r>
      <w:r w:rsidR="00A420A5" w:rsidRPr="00A0384D">
        <w:t xml:space="preserve">to provide </w:t>
      </w:r>
      <w:r>
        <w:t xml:space="preserve">residents in the pilot host communities with </w:t>
      </w:r>
      <w:r w:rsidR="00A420A5" w:rsidRPr="00A0384D">
        <w:t xml:space="preserve">cleaner, more affordable energy options </w:t>
      </w:r>
      <w:r>
        <w:t xml:space="preserve">and, second, to gather data </w:t>
      </w:r>
      <w:r w:rsidR="00A420A5" w:rsidRPr="00A0384D">
        <w:t xml:space="preserve">to assess the economic feasibility of extending </w:t>
      </w:r>
      <w:r>
        <w:t>these options more broadly to the</w:t>
      </w:r>
      <w:r w:rsidR="003935FB">
        <w:t xml:space="preserve"> 180</w:t>
      </w:r>
      <w:r>
        <w:t xml:space="preserve"> SJV DACs identified as </w:t>
      </w:r>
      <w:r w:rsidR="00CA6CF6">
        <w:t xml:space="preserve">partially or fully lacking </w:t>
      </w:r>
      <w:r>
        <w:t>access to natural gas.</w:t>
      </w:r>
      <w:r w:rsidR="00CA6CF6">
        <w:rPr>
          <w:rStyle w:val="FootnoteReference"/>
        </w:rPr>
        <w:footnoteReference w:id="100"/>
      </w:r>
      <w:r>
        <w:t xml:space="preserve">  The SJV DAC pilots also aim to reduce household energy costs, i</w:t>
      </w:r>
      <w:r w:rsidR="00A420A5" w:rsidRPr="00A0384D">
        <w:t>ncrease health, safety a</w:t>
      </w:r>
      <w:r>
        <w:t>nd air quality, t</w:t>
      </w:r>
      <w:r w:rsidR="00A420A5" w:rsidRPr="00A0384D">
        <w:t>est approaches to effi</w:t>
      </w:r>
      <w:r>
        <w:t>ciently implement interventions,</w:t>
      </w:r>
      <w:r w:rsidR="00CA6CF6">
        <w:t xml:space="preserve"> and </w:t>
      </w:r>
      <w:r>
        <w:t>a</w:t>
      </w:r>
      <w:r w:rsidR="00A420A5" w:rsidRPr="00A0384D">
        <w:t>ssess potential scalability.</w:t>
      </w:r>
      <w:r w:rsidR="00A420A5" w:rsidRPr="00A0384D">
        <w:rPr>
          <w:rStyle w:val="FootnoteReference"/>
        </w:rPr>
        <w:footnoteReference w:id="101"/>
      </w:r>
      <w:r w:rsidR="00A420A5">
        <w:t xml:space="preserve">  </w:t>
      </w:r>
      <w:r w:rsidR="00213095">
        <w:t>All of the 11 pilot project communities are located in PG&amp;E or SCE service territory.</w:t>
      </w:r>
    </w:p>
    <w:p w14:paraId="4624056F" w14:textId="419638AB" w:rsidR="00A420A5" w:rsidRPr="00DE60B5" w:rsidRDefault="00571151" w:rsidP="00CA6CF6">
      <w:pPr>
        <w:pStyle w:val="ALJBodyText"/>
      </w:pPr>
      <w:r>
        <w:t>D.18</w:t>
      </w:r>
      <w:r w:rsidR="00757681">
        <w:noBreakHyphen/>
      </w:r>
      <w:r>
        <w:t>12</w:t>
      </w:r>
      <w:r w:rsidR="00757681">
        <w:noBreakHyphen/>
      </w:r>
      <w:r>
        <w:t xml:space="preserve">015 </w:t>
      </w:r>
      <w:r w:rsidRPr="008B3F40">
        <w:t>approved up to $</w:t>
      </w:r>
      <w:r w:rsidR="008B3F40" w:rsidRPr="008B3F40">
        <w:t>56</w:t>
      </w:r>
      <w:r w:rsidRPr="008B3F40">
        <w:t xml:space="preserve"> million in funding for the pilot projects, primarily to electrify households currently </w:t>
      </w:r>
      <w:r w:rsidR="00CA6CF6" w:rsidRPr="008B3F40">
        <w:t>lacking</w:t>
      </w:r>
      <w:r w:rsidR="00CA6CF6">
        <w:t xml:space="preserve"> access to natural gas.  In addition to this budget, the SJV ACR proposed that the SGIP program set</w:t>
      </w:r>
      <w:r w:rsidR="00757681">
        <w:noBreakHyphen/>
      </w:r>
      <w:r w:rsidR="00CA6CF6">
        <w:t xml:space="preserve">aside an additional $10 million in SGIP equity budget funding for </w:t>
      </w:r>
      <w:r w:rsidR="00A85A11">
        <w:t xml:space="preserve">storage systems located in the </w:t>
      </w:r>
      <w:r w:rsidR="00CA6CF6">
        <w:t>S</w:t>
      </w:r>
      <w:r w:rsidR="00754CCC">
        <w:t>J</w:t>
      </w:r>
      <w:r w:rsidR="00CA6CF6">
        <w:t>V pilot</w:t>
      </w:r>
      <w:r w:rsidR="00A85A11">
        <w:t xml:space="preserve"> </w:t>
      </w:r>
      <w:r w:rsidR="00CA6CF6">
        <w:t>communities.</w:t>
      </w:r>
      <w:r w:rsidR="00A420A5" w:rsidRPr="00DE60B5">
        <w:rPr>
          <w:vertAlign w:val="superscript"/>
        </w:rPr>
        <w:footnoteReference w:id="102"/>
      </w:r>
      <w:r w:rsidR="00CA6CF6">
        <w:t xml:space="preserve">  The </w:t>
      </w:r>
      <w:r w:rsidR="00E94C71">
        <w:t xml:space="preserve">SJV ACR reasoned that a dedicated SGIP budget for the pilot communities </w:t>
      </w:r>
      <w:r w:rsidR="00207A8C">
        <w:t>w</w:t>
      </w:r>
      <w:r w:rsidR="00E94C71">
        <w:t>ould improve the reliability of electric service</w:t>
      </w:r>
      <w:r w:rsidR="00207A8C">
        <w:t xml:space="preserve"> </w:t>
      </w:r>
      <w:r w:rsidR="00E94C71">
        <w:t xml:space="preserve">and </w:t>
      </w:r>
      <w:r w:rsidR="00A85A11">
        <w:t xml:space="preserve">would </w:t>
      </w:r>
      <w:r w:rsidR="00E94C71">
        <w:t xml:space="preserve">strengthen community resiliency in the face of extended </w:t>
      </w:r>
      <w:r w:rsidR="00E94C71">
        <w:lastRenderedPageBreak/>
        <w:t>electric outages.  To accomplish this, the SJV ACR proposed</w:t>
      </w:r>
      <w:r w:rsidR="00A85A11">
        <w:t xml:space="preserve"> that the SGIP program</w:t>
      </w:r>
      <w:r w:rsidR="00E94C71">
        <w:t>:</w:t>
      </w:r>
    </w:p>
    <w:p w14:paraId="6EF14E6F" w14:textId="5504823E" w:rsidR="00A420A5" w:rsidRPr="00DE60B5" w:rsidRDefault="00E94C71" w:rsidP="00DE53B6">
      <w:pPr>
        <w:pStyle w:val="ALJBodyText"/>
        <w:numPr>
          <w:ilvl w:val="0"/>
          <w:numId w:val="13"/>
        </w:numPr>
        <w:spacing w:after="160" w:line="240" w:lineRule="auto"/>
        <w:ind w:left="1080" w:right="720"/>
      </w:pPr>
      <w:r>
        <w:t>Fully subsidiz</w:t>
      </w:r>
      <w:r w:rsidR="00A85A11">
        <w:t xml:space="preserve">e </w:t>
      </w:r>
      <w:r w:rsidR="00A420A5" w:rsidRPr="00DE60B5">
        <w:t xml:space="preserve">residential storage </w:t>
      </w:r>
      <w:r w:rsidR="00207A8C">
        <w:t xml:space="preserve">systems </w:t>
      </w:r>
      <w:r>
        <w:t xml:space="preserve">in the SJV pilot communities </w:t>
      </w:r>
      <w:r w:rsidR="00A420A5" w:rsidRPr="00DE60B5">
        <w:t>up to a cost cap of $11,979 per household</w:t>
      </w:r>
      <w:r w:rsidR="00695146">
        <w:t xml:space="preserve">, a level equal to </w:t>
      </w:r>
      <w:r w:rsidR="00A420A5" w:rsidRPr="00DE60B5">
        <w:t>average total SGIP residential system costs, estimat</w:t>
      </w:r>
      <w:r w:rsidR="00695146">
        <w:t>ed to provide for 829 systems;</w:t>
      </w:r>
      <w:r w:rsidR="00207A8C" w:rsidRPr="00207A8C">
        <w:rPr>
          <w:vertAlign w:val="superscript"/>
        </w:rPr>
        <w:footnoteReference w:id="103"/>
      </w:r>
      <w:r w:rsidR="00695146">
        <w:t xml:space="preserve"> </w:t>
      </w:r>
      <w:r w:rsidR="00A420A5">
        <w:t>and,</w:t>
      </w:r>
    </w:p>
    <w:p w14:paraId="5F145C84" w14:textId="68D3C029" w:rsidR="00A420A5" w:rsidRDefault="00695146" w:rsidP="00DE53B6">
      <w:pPr>
        <w:pStyle w:val="ALJBodyText"/>
        <w:numPr>
          <w:ilvl w:val="0"/>
          <w:numId w:val="13"/>
        </w:numPr>
        <w:spacing w:after="160" w:line="240" w:lineRule="auto"/>
        <w:ind w:left="1080" w:right="720"/>
      </w:pPr>
      <w:r>
        <w:t>Fully subsidiz</w:t>
      </w:r>
      <w:r w:rsidR="009F52F1">
        <w:t xml:space="preserve">e </w:t>
      </w:r>
      <w:r>
        <w:t>small, commercial</w:t>
      </w:r>
      <w:r w:rsidR="00757681">
        <w:noBreakHyphen/>
      </w:r>
      <w:r>
        <w:t xml:space="preserve">sized </w:t>
      </w:r>
      <w:r w:rsidR="00207A8C">
        <w:t>“</w:t>
      </w:r>
      <w:r w:rsidR="00A420A5" w:rsidRPr="00DE60B5">
        <w:t>Community Service Storage</w:t>
      </w:r>
      <w:r w:rsidR="00207A8C">
        <w:t>”</w:t>
      </w:r>
      <w:r>
        <w:t xml:space="preserve"> at </w:t>
      </w:r>
      <w:r w:rsidR="00A420A5" w:rsidRPr="00DE60B5">
        <w:t>community location</w:t>
      </w:r>
      <w:r>
        <w:t>s</w:t>
      </w:r>
      <w:r w:rsidR="00A420A5" w:rsidRPr="00DE60B5">
        <w:t xml:space="preserve"> </w:t>
      </w:r>
      <w:r>
        <w:t xml:space="preserve">such as </w:t>
      </w:r>
      <w:r w:rsidR="00A420A5" w:rsidRPr="00DE60B5">
        <w:t>school</w:t>
      </w:r>
      <w:r>
        <w:t>s</w:t>
      </w:r>
      <w:r w:rsidR="00A420A5" w:rsidRPr="00DE60B5">
        <w:t>, community center</w:t>
      </w:r>
      <w:r>
        <w:t>s</w:t>
      </w:r>
      <w:r w:rsidR="00A420A5" w:rsidRPr="00DE60B5">
        <w:t>, or public building</w:t>
      </w:r>
      <w:r>
        <w:t>s</w:t>
      </w:r>
      <w:r w:rsidR="00A420A5" w:rsidRPr="00DE60B5">
        <w:t xml:space="preserve">, up to </w:t>
      </w:r>
      <w:r>
        <w:t xml:space="preserve">a cost cap of $26,379 per system, </w:t>
      </w:r>
      <w:r w:rsidR="00A420A5" w:rsidRPr="00DE60B5">
        <w:t>the average total eligible</w:t>
      </w:r>
      <w:r w:rsidR="00A420A5">
        <w:t xml:space="preserve"> </w:t>
      </w:r>
      <w:r w:rsidR="00A420A5" w:rsidRPr="00DE60B5">
        <w:t xml:space="preserve">system cost for </w:t>
      </w:r>
      <w:r w:rsidR="00207A8C">
        <w:t xml:space="preserve">commercial </w:t>
      </w:r>
      <w:r>
        <w:t>systems up to 10 kW</w:t>
      </w:r>
      <w:r w:rsidR="00207A8C">
        <w:t xml:space="preserve">, </w:t>
      </w:r>
      <w:r w:rsidR="00A420A5" w:rsidRPr="00DE60B5">
        <w:t xml:space="preserve">estimated to provide for nine </w:t>
      </w:r>
      <w:r w:rsidR="00757681">
        <w:noBreakHyphen/>
      </w:r>
      <w:r w:rsidR="00A420A5" w:rsidRPr="00DE60B5">
        <w:t xml:space="preserve"> 18 systems.</w:t>
      </w:r>
      <w:r w:rsidR="00A420A5">
        <w:rPr>
          <w:rStyle w:val="FootnoteReference"/>
        </w:rPr>
        <w:footnoteReference w:id="104"/>
      </w:r>
    </w:p>
    <w:p w14:paraId="690242CD" w14:textId="5259EE36" w:rsidR="00A420A5" w:rsidRDefault="00A420A5" w:rsidP="00C151FC">
      <w:pPr>
        <w:pStyle w:val="ALJHeading2"/>
      </w:pPr>
      <w:bookmarkStart w:id="82" w:name="_Toc15908100"/>
      <w:r>
        <w:t>Issues Before the Commission</w:t>
      </w:r>
      <w:bookmarkEnd w:id="82"/>
    </w:p>
    <w:p w14:paraId="710A5759" w14:textId="3DC12A0B" w:rsidR="009F52F1" w:rsidRDefault="009F52F1" w:rsidP="009F52F1">
      <w:pPr>
        <w:pStyle w:val="ALJBodyText"/>
      </w:pPr>
      <w:bookmarkStart w:id="83" w:name="_Hlk5699875"/>
      <w:r>
        <w:t xml:space="preserve">This decision considers the following issues regarding modifications to the SGIP program to support the SJV pilot projects: </w:t>
      </w:r>
    </w:p>
    <w:p w14:paraId="6281A340" w14:textId="3999402F" w:rsidR="00A420A5" w:rsidRDefault="00A420A5" w:rsidP="00DE53B6">
      <w:pPr>
        <w:pStyle w:val="ALJBodyText"/>
        <w:numPr>
          <w:ilvl w:val="0"/>
          <w:numId w:val="8"/>
        </w:numPr>
        <w:spacing w:after="160" w:line="240" w:lineRule="auto"/>
        <w:ind w:right="720"/>
      </w:pPr>
      <w:r w:rsidRPr="00A420A5">
        <w:t xml:space="preserve">Should the Commission adopt </w:t>
      </w:r>
      <w:r w:rsidR="00695146">
        <w:t xml:space="preserve">the </w:t>
      </w:r>
      <w:r w:rsidRPr="00A420A5">
        <w:t xml:space="preserve">changes to the SGIP program for the SJV pilot communities </w:t>
      </w:r>
      <w:r w:rsidR="00695146">
        <w:t xml:space="preserve">as proposed </w:t>
      </w:r>
      <w:r w:rsidRPr="00A420A5">
        <w:t>in the SJV ACR</w:t>
      </w:r>
      <w:r w:rsidR="00A00F1E">
        <w:t xml:space="preserve"> by: </w:t>
      </w:r>
      <w:r w:rsidRPr="00A420A5">
        <w:t xml:space="preserve"> </w:t>
      </w:r>
    </w:p>
    <w:p w14:paraId="2260C144" w14:textId="2B486479" w:rsidR="00A420A5" w:rsidRPr="00A420A5" w:rsidRDefault="00A00F1E" w:rsidP="00DE53B6">
      <w:pPr>
        <w:pStyle w:val="ALJBodyText"/>
        <w:numPr>
          <w:ilvl w:val="1"/>
          <w:numId w:val="8"/>
        </w:numPr>
        <w:spacing w:after="160" w:line="240" w:lineRule="auto"/>
        <w:ind w:left="1440" w:right="720"/>
      </w:pPr>
      <w:bookmarkStart w:id="84" w:name="_Hlk11931895"/>
      <w:bookmarkEnd w:id="83"/>
      <w:r>
        <w:t>A</w:t>
      </w:r>
      <w:r w:rsidR="00A420A5" w:rsidRPr="00A420A5">
        <w:t>dopt</w:t>
      </w:r>
      <w:r>
        <w:t>ing</w:t>
      </w:r>
      <w:r w:rsidR="00A420A5" w:rsidRPr="00A420A5">
        <w:t xml:space="preserve"> a $10 million SJV </w:t>
      </w:r>
      <w:r w:rsidR="00695146">
        <w:t xml:space="preserve">pilot </w:t>
      </w:r>
      <w:r w:rsidR="00A420A5" w:rsidRPr="00A420A5">
        <w:t>set</w:t>
      </w:r>
      <w:r w:rsidR="00757681">
        <w:noBreakHyphen/>
      </w:r>
      <w:r w:rsidR="00A420A5" w:rsidRPr="00A420A5">
        <w:t>aside within the SGIP equity budget?</w:t>
      </w:r>
    </w:p>
    <w:bookmarkEnd w:id="84"/>
    <w:p w14:paraId="74E32092" w14:textId="6136475C" w:rsidR="00A420A5" w:rsidRPr="00A420A5" w:rsidRDefault="00A00F1E" w:rsidP="00DE53B6">
      <w:pPr>
        <w:pStyle w:val="ALJBodyText"/>
        <w:numPr>
          <w:ilvl w:val="1"/>
          <w:numId w:val="8"/>
        </w:numPr>
        <w:spacing w:after="160" w:line="240" w:lineRule="auto"/>
        <w:ind w:left="1440" w:right="720"/>
      </w:pPr>
      <w:r>
        <w:t>F</w:t>
      </w:r>
      <w:r w:rsidR="00A420A5" w:rsidRPr="00A420A5">
        <w:t>ully subsidiz</w:t>
      </w:r>
      <w:r>
        <w:t>ing</w:t>
      </w:r>
      <w:r w:rsidR="00A420A5" w:rsidRPr="00A420A5">
        <w:t xml:space="preserve"> SJV pilot residential systems with a cost cap of $11,979? </w:t>
      </w:r>
    </w:p>
    <w:p w14:paraId="48657D32" w14:textId="1400A8D5" w:rsidR="00A420A5" w:rsidRPr="00A420A5" w:rsidRDefault="00A00F1E" w:rsidP="00DE53B6">
      <w:pPr>
        <w:pStyle w:val="ALJBodyText"/>
        <w:numPr>
          <w:ilvl w:val="1"/>
          <w:numId w:val="8"/>
        </w:numPr>
        <w:spacing w:after="160" w:line="240" w:lineRule="auto"/>
        <w:ind w:left="1440" w:right="720"/>
      </w:pPr>
      <w:r>
        <w:t>F</w:t>
      </w:r>
      <w:r w:rsidR="00A420A5" w:rsidRPr="00A420A5">
        <w:t>ully subsidiz</w:t>
      </w:r>
      <w:r w:rsidR="00067F79">
        <w:t xml:space="preserve">ing </w:t>
      </w:r>
      <w:r w:rsidR="00A420A5" w:rsidRPr="00A420A5">
        <w:t>SJV pilot non</w:t>
      </w:r>
      <w:r w:rsidR="00757681">
        <w:noBreakHyphen/>
      </w:r>
      <w:r w:rsidR="00A420A5" w:rsidRPr="00A420A5">
        <w:t>residential systems with a cost cap of $26,379?</w:t>
      </w:r>
    </w:p>
    <w:p w14:paraId="7880C040" w14:textId="0D7D7F90" w:rsidR="00A420A5" w:rsidRPr="00A420A5" w:rsidRDefault="00A420A5" w:rsidP="00DE53B6">
      <w:pPr>
        <w:pStyle w:val="ALJBodyText"/>
        <w:numPr>
          <w:ilvl w:val="0"/>
          <w:numId w:val="8"/>
        </w:numPr>
        <w:spacing w:after="160" w:line="240" w:lineRule="auto"/>
        <w:ind w:right="720"/>
      </w:pPr>
      <w:r w:rsidRPr="00A420A5">
        <w:t>Should California City be eligible for a</w:t>
      </w:r>
      <w:r w:rsidR="0033495B">
        <w:t xml:space="preserve">ny adopted </w:t>
      </w:r>
      <w:r w:rsidRPr="00A420A5">
        <w:t xml:space="preserve">SGIP SJV </w:t>
      </w:r>
      <w:r w:rsidR="0033495B">
        <w:t>pilot budget</w:t>
      </w:r>
      <w:r w:rsidRPr="00A420A5">
        <w:t xml:space="preserve">, in addition to </w:t>
      </w:r>
      <w:r w:rsidR="00695146">
        <w:t>the ten communities identified in the SJV ACR?</w:t>
      </w:r>
    </w:p>
    <w:p w14:paraId="575958C9" w14:textId="541680D0" w:rsidR="00115859" w:rsidRDefault="00115859" w:rsidP="00CE14ED">
      <w:pPr>
        <w:pStyle w:val="ALJHeading1"/>
      </w:pPr>
      <w:bookmarkStart w:id="85" w:name="_Toc15908101"/>
      <w:r w:rsidRPr="00CE1996">
        <w:lastRenderedPageBreak/>
        <w:t xml:space="preserve">SJV </w:t>
      </w:r>
      <w:r w:rsidR="00CB1D5B">
        <w:t xml:space="preserve">Affordable Energy </w:t>
      </w:r>
      <w:r>
        <w:t xml:space="preserve">Pilot Project </w:t>
      </w:r>
      <w:r w:rsidR="00CB1D5B">
        <w:t xml:space="preserve">SGIP </w:t>
      </w:r>
      <w:r>
        <w:t>Budget</w:t>
      </w:r>
      <w:bookmarkEnd w:id="85"/>
    </w:p>
    <w:p w14:paraId="01721B4C" w14:textId="259BEC1E" w:rsidR="00213095" w:rsidRDefault="0073574A" w:rsidP="00D47237">
      <w:pPr>
        <w:pStyle w:val="ALJBodyText"/>
      </w:pPr>
      <w:r>
        <w:t>The SGIP ACR asked parties if the Commission should a</w:t>
      </w:r>
      <w:r w:rsidRPr="0073574A">
        <w:t>dopt a $10 million SJV pilot set</w:t>
      </w:r>
      <w:r w:rsidR="00757681">
        <w:noBreakHyphen/>
      </w:r>
      <w:r w:rsidRPr="0073574A">
        <w:t>aside within the SGIP equity budget</w:t>
      </w:r>
      <w:r>
        <w:t xml:space="preserve"> and whether doing so</w:t>
      </w:r>
      <w:r w:rsidR="00D47237">
        <w:t xml:space="preserve"> would </w:t>
      </w:r>
      <w:r w:rsidR="00D47237" w:rsidRPr="00604AE7">
        <w:t>advance SGIP’s goals</w:t>
      </w:r>
      <w:r w:rsidR="00604AE7">
        <w:t xml:space="preserve">, including </w:t>
      </w:r>
      <w:r w:rsidR="00D47237" w:rsidRPr="00604AE7">
        <w:t>reduc</w:t>
      </w:r>
      <w:r w:rsidR="00604AE7">
        <w:t>ing</w:t>
      </w:r>
      <w:r w:rsidR="00D47237" w:rsidRPr="00604AE7">
        <w:t xml:space="preserve"> GHGs and criteria pollutants, provid</w:t>
      </w:r>
      <w:r w:rsidR="00604AE7">
        <w:t>ing</w:t>
      </w:r>
      <w:r w:rsidR="00D47237" w:rsidRPr="00604AE7">
        <w:t xml:space="preserve"> grid support, achiev</w:t>
      </w:r>
      <w:r w:rsidR="00604AE7">
        <w:t xml:space="preserve">ing </w:t>
      </w:r>
      <w:r w:rsidR="00D47237" w:rsidRPr="00604AE7">
        <w:t>market transformation, maximiz</w:t>
      </w:r>
      <w:r w:rsidR="00604AE7">
        <w:t>ing</w:t>
      </w:r>
      <w:r w:rsidR="00D47237" w:rsidRPr="00604AE7">
        <w:t xml:space="preserve"> ratepayer value, and provid</w:t>
      </w:r>
      <w:r w:rsidR="00604AE7">
        <w:t>ing</w:t>
      </w:r>
      <w:r w:rsidR="00D47237" w:rsidRPr="00604AE7">
        <w:t xml:space="preserve"> for an equitable distribution of costs and benefits across among customer classes.</w:t>
      </w:r>
      <w:r w:rsidR="00D47237" w:rsidRPr="00604AE7">
        <w:rPr>
          <w:vertAlign w:val="superscript"/>
        </w:rPr>
        <w:footnoteReference w:id="105"/>
      </w:r>
      <w:r w:rsidR="00D47237">
        <w:t xml:space="preserve">  </w:t>
      </w:r>
    </w:p>
    <w:p w14:paraId="6FE5A0DE" w14:textId="3E19BEFA" w:rsidR="00115859" w:rsidRDefault="00115859" w:rsidP="00D47237">
      <w:pPr>
        <w:pStyle w:val="ALJBodyText"/>
      </w:pPr>
      <w:r w:rsidRPr="00083B06">
        <w:t>This section</w:t>
      </w:r>
      <w:r>
        <w:t xml:space="preserve"> </w:t>
      </w:r>
      <w:r w:rsidR="00AF44F1">
        <w:t>approves a $10 million SGIP set</w:t>
      </w:r>
      <w:r w:rsidR="00757681">
        <w:noBreakHyphen/>
      </w:r>
      <w:r w:rsidR="00AF44F1">
        <w:t xml:space="preserve">aside to support the SJV pilots and </w:t>
      </w:r>
      <w:r w:rsidR="00477B91">
        <w:t>an allocation of these funds between r</w:t>
      </w:r>
      <w:r>
        <w:t>esidential and non</w:t>
      </w:r>
      <w:r w:rsidR="00757681">
        <w:noBreakHyphen/>
      </w:r>
      <w:r>
        <w:t xml:space="preserve">residential systems. </w:t>
      </w:r>
      <w:r w:rsidR="00033CB9">
        <w:t xml:space="preserve"> </w:t>
      </w:r>
      <w:r w:rsidR="00213095">
        <w:t>It directs PG&amp;E and SCE to allocate up to $5 million each from their existing non</w:t>
      </w:r>
      <w:r w:rsidR="00757681">
        <w:noBreakHyphen/>
      </w:r>
      <w:r w:rsidR="00213095">
        <w:t>residential equity budgets for this purpose and to make any budget remaining in the set</w:t>
      </w:r>
      <w:r w:rsidR="00757681">
        <w:noBreakHyphen/>
      </w:r>
      <w:r w:rsidR="00213095">
        <w:t xml:space="preserve">aside with four years of issuance of this decision available to any equity budget residential customer. </w:t>
      </w:r>
    </w:p>
    <w:p w14:paraId="65E29B19" w14:textId="38CB721D" w:rsidR="009D7A46" w:rsidRPr="009D7A46" w:rsidRDefault="009D7A46" w:rsidP="00C151FC">
      <w:pPr>
        <w:pStyle w:val="ALJHeading2"/>
      </w:pPr>
      <w:bookmarkStart w:id="86" w:name="_Toc15908102"/>
      <w:r>
        <w:t>Party Comments</w:t>
      </w:r>
      <w:bookmarkEnd w:id="86"/>
      <w:r>
        <w:t xml:space="preserve"> </w:t>
      </w:r>
    </w:p>
    <w:p w14:paraId="2C507371" w14:textId="66E552E2" w:rsidR="00E83A48" w:rsidRDefault="0033495B" w:rsidP="00DE53B6">
      <w:pPr>
        <w:pStyle w:val="ALJBodyText"/>
      </w:pPr>
      <w:r>
        <w:t>Most p</w:t>
      </w:r>
      <w:r w:rsidR="00DA1510">
        <w:t>arties generally support the proposed SGIP modifications</w:t>
      </w:r>
      <w:r w:rsidR="004E71C9">
        <w:t>,</w:t>
      </w:r>
      <w:r>
        <w:t xml:space="preserve"> but </w:t>
      </w:r>
      <w:r w:rsidR="00033CB9">
        <w:t>Cal </w:t>
      </w:r>
      <w:r w:rsidR="001E5A5D">
        <w:t xml:space="preserve">Advocates and SoCalGas </w:t>
      </w:r>
      <w:r w:rsidR="001E5A5D" w:rsidRPr="00B94F3B">
        <w:t>strongly oppose</w:t>
      </w:r>
      <w:r>
        <w:t xml:space="preserve"> </w:t>
      </w:r>
      <w:r w:rsidR="001E5A5D">
        <w:t xml:space="preserve">them.  </w:t>
      </w:r>
      <w:r w:rsidR="00DA1510">
        <w:t xml:space="preserve">In support of the proposal, CESA </w:t>
      </w:r>
      <w:r w:rsidR="00DF231E">
        <w:t xml:space="preserve">and </w:t>
      </w:r>
      <w:r w:rsidR="00E273E7">
        <w:t xml:space="preserve">Sunrun </w:t>
      </w:r>
      <w:r w:rsidR="00DA1510">
        <w:t xml:space="preserve">argue that </w:t>
      </w:r>
      <w:r w:rsidR="00E83A48">
        <w:t xml:space="preserve">installing storage in </w:t>
      </w:r>
      <w:r w:rsidR="00DA1510">
        <w:t xml:space="preserve">the SJV DAC pilot communities </w:t>
      </w:r>
      <w:r w:rsidR="00207A8C">
        <w:t xml:space="preserve">will </w:t>
      </w:r>
      <w:r w:rsidR="00E83A48">
        <w:t xml:space="preserve">help </w:t>
      </w:r>
      <w:r w:rsidR="00DA1510">
        <w:t xml:space="preserve">displace wood and </w:t>
      </w:r>
      <w:r w:rsidR="00DA1510" w:rsidRPr="00DA1510">
        <w:t xml:space="preserve">propane </w:t>
      </w:r>
      <w:r w:rsidR="00E83A48">
        <w:t>rather than grid</w:t>
      </w:r>
      <w:r w:rsidR="00757681">
        <w:noBreakHyphen/>
      </w:r>
      <w:r w:rsidR="00E83A48">
        <w:t xml:space="preserve">supplied electricity </w:t>
      </w:r>
      <w:r w:rsidR="00DA1510">
        <w:t>and</w:t>
      </w:r>
      <w:r w:rsidR="00DB1798">
        <w:t xml:space="preserve"> </w:t>
      </w:r>
      <w:r w:rsidR="00E83A48">
        <w:t xml:space="preserve">thus would provide additional </w:t>
      </w:r>
      <w:r w:rsidR="00DA1510">
        <w:t>health benefits</w:t>
      </w:r>
      <w:r w:rsidR="00E83A48">
        <w:t xml:space="preserve">.  </w:t>
      </w:r>
      <w:r w:rsidR="00213095">
        <w:t>Sunrun</w:t>
      </w:r>
      <w:r w:rsidR="00E83A48">
        <w:t xml:space="preserve"> assert</w:t>
      </w:r>
      <w:r>
        <w:t>s</w:t>
      </w:r>
      <w:r w:rsidR="00E83A48">
        <w:t xml:space="preserve"> that </w:t>
      </w:r>
      <w:r w:rsidR="00297C95">
        <w:t>displac</w:t>
      </w:r>
      <w:r w:rsidR="00E83A48">
        <w:t>ing on</w:t>
      </w:r>
      <w:r w:rsidR="00757681">
        <w:noBreakHyphen/>
      </w:r>
      <w:r w:rsidR="00E83A48">
        <w:t xml:space="preserve">site use of fossil fuels </w:t>
      </w:r>
      <w:r w:rsidR="00754D67">
        <w:t xml:space="preserve">is </w:t>
      </w:r>
      <w:r w:rsidR="008821E9">
        <w:t xml:space="preserve">particularly important in </w:t>
      </w:r>
      <w:r w:rsidR="00E83A48">
        <w:t xml:space="preserve">communities like the SJV pilot communities that will </w:t>
      </w:r>
      <w:r w:rsidR="008821E9">
        <w:t xml:space="preserve">experience the worst effects of climate change even though they do not cause significant </w:t>
      </w:r>
      <w:r w:rsidR="00E83A48">
        <w:t xml:space="preserve">GHG </w:t>
      </w:r>
      <w:r w:rsidR="008821E9">
        <w:t xml:space="preserve">emissions. </w:t>
      </w:r>
      <w:r w:rsidR="00E83A48">
        <w:t xml:space="preserve"> SC/NRDC agree that the SJV DAC pilot projects offer an important opportunity to provide </w:t>
      </w:r>
      <w:r w:rsidR="00E83A48">
        <w:lastRenderedPageBreak/>
        <w:t>storage capability to low</w:t>
      </w:r>
      <w:r w:rsidR="00757681">
        <w:noBreakHyphen/>
      </w:r>
      <w:r w:rsidR="00E83A48">
        <w:t>income residents in an underserved region of California.</w:t>
      </w:r>
    </w:p>
    <w:p w14:paraId="037BA985" w14:textId="5F0E266E" w:rsidR="00DF000D" w:rsidRDefault="00213095" w:rsidP="00DE53B6">
      <w:pPr>
        <w:pStyle w:val="ALJBodyText"/>
      </w:pPr>
      <w:r>
        <w:t xml:space="preserve">SC/NRDC </w:t>
      </w:r>
      <w:r w:rsidR="00E83A48">
        <w:t>argue</w:t>
      </w:r>
      <w:r w:rsidR="00462FA0">
        <w:t xml:space="preserve"> that pairing </w:t>
      </w:r>
      <w:r w:rsidR="002000A4">
        <w:t>storage with electrification, energy effi</w:t>
      </w:r>
      <w:r w:rsidR="00E83A48">
        <w:t xml:space="preserve">ciency and community solar will </w:t>
      </w:r>
      <w:r w:rsidR="002000A4">
        <w:t xml:space="preserve">provide useful learnings about both </w:t>
      </w:r>
      <w:r w:rsidR="00E83A48">
        <w:t xml:space="preserve">the </w:t>
      </w:r>
      <w:r w:rsidR="002000A4">
        <w:t xml:space="preserve">customer experience and grid impact of deploying a suite of </w:t>
      </w:r>
      <w:r w:rsidR="001607C6">
        <w:t xml:space="preserve">technologies in a single community.  </w:t>
      </w:r>
      <w:r w:rsidR="00E83A48">
        <w:t xml:space="preserve">SC/NRDC propose full SGIP subsidies for </w:t>
      </w:r>
      <w:r w:rsidR="0033495B">
        <w:t xml:space="preserve">storage for </w:t>
      </w:r>
      <w:r w:rsidR="00462FA0">
        <w:t xml:space="preserve">pilot </w:t>
      </w:r>
      <w:r w:rsidR="00FD0DD1">
        <w:t xml:space="preserve">communities </w:t>
      </w:r>
      <w:r w:rsidR="00462FA0">
        <w:t>receiving new electric equipment to replace propane or wood</w:t>
      </w:r>
      <w:r w:rsidR="00757681">
        <w:noBreakHyphen/>
      </w:r>
      <w:r w:rsidR="00462FA0">
        <w:t xml:space="preserve">burning equipment. </w:t>
      </w:r>
      <w:r w:rsidR="00E83A48">
        <w:t xml:space="preserve"> GRID/</w:t>
      </w:r>
      <w:r w:rsidR="00C54DFC">
        <w:t>CHPC</w:t>
      </w:r>
      <w:r w:rsidR="00E83A48">
        <w:t xml:space="preserve"> observe that all</w:t>
      </w:r>
      <w:r w:rsidR="00757681">
        <w:noBreakHyphen/>
      </w:r>
      <w:r w:rsidR="00E83A48">
        <w:t xml:space="preserve">electric households are more vulnerable to outages and that the pilot should explore the effectiveness of storage to provide </w:t>
      </w:r>
      <w:r w:rsidR="0095008A">
        <w:t>backup</w:t>
      </w:r>
      <w:r w:rsidR="00E83A48">
        <w:t xml:space="preserve"> power.  </w:t>
      </w:r>
    </w:p>
    <w:p w14:paraId="0D299650" w14:textId="14C7D0BF" w:rsidR="00466E7E" w:rsidRDefault="0033495B" w:rsidP="00DE53B6">
      <w:pPr>
        <w:pStyle w:val="ALJBodyText"/>
      </w:pPr>
      <w:r>
        <w:t xml:space="preserve">In contrast, </w:t>
      </w:r>
      <w:r w:rsidR="00706528">
        <w:t>Cal Advocates argues</w:t>
      </w:r>
      <w:r w:rsidR="00DA1510">
        <w:t xml:space="preserve"> that </w:t>
      </w:r>
      <w:r w:rsidR="00706528">
        <w:t xml:space="preserve">it </w:t>
      </w:r>
      <w:r>
        <w:t>i</w:t>
      </w:r>
      <w:r w:rsidR="00706528">
        <w:t xml:space="preserve">s likely that </w:t>
      </w:r>
      <w:r w:rsidR="00DA1510">
        <w:t xml:space="preserve">the proposed </w:t>
      </w:r>
      <w:r w:rsidR="00706528">
        <w:t xml:space="preserve">modifications </w:t>
      </w:r>
      <w:r w:rsidR="00BD7CA6">
        <w:t xml:space="preserve">could </w:t>
      </w:r>
      <w:r w:rsidR="00706528">
        <w:t xml:space="preserve">harm pilot communities </w:t>
      </w:r>
      <w:r w:rsidR="00300634">
        <w:t xml:space="preserve">by increasing </w:t>
      </w:r>
      <w:r w:rsidR="005E5754">
        <w:t xml:space="preserve">household </w:t>
      </w:r>
      <w:r w:rsidR="001F65E7">
        <w:t xml:space="preserve">energy </w:t>
      </w:r>
      <w:r w:rsidR="00300634">
        <w:t>bills</w:t>
      </w:r>
      <w:r w:rsidR="005E5754">
        <w:t>.</w:t>
      </w:r>
      <w:r w:rsidR="00A64A3B">
        <w:t xml:space="preserve">  </w:t>
      </w:r>
      <w:r w:rsidR="00DA1510">
        <w:t xml:space="preserve">Cal Advocates </w:t>
      </w:r>
      <w:r w:rsidR="00706528">
        <w:t xml:space="preserve">observes that the </w:t>
      </w:r>
      <w:r w:rsidR="00DA1510">
        <w:t xml:space="preserve">pilot </w:t>
      </w:r>
      <w:r w:rsidR="00DA1510" w:rsidRPr="00DA1510">
        <w:t xml:space="preserve">communities are </w:t>
      </w:r>
      <w:r w:rsidR="00706528">
        <w:t xml:space="preserve">located </w:t>
      </w:r>
      <w:r w:rsidR="00DA1510">
        <w:t xml:space="preserve">in </w:t>
      </w:r>
      <w:r w:rsidR="00706528">
        <w:t xml:space="preserve">a hot climate zone and as such are </w:t>
      </w:r>
      <w:r w:rsidR="00C852F6">
        <w:t xml:space="preserve">exempt from default onto </w:t>
      </w:r>
      <w:r w:rsidR="00207A8C">
        <w:t>time</w:t>
      </w:r>
      <w:r w:rsidR="00757681">
        <w:noBreakHyphen/>
      </w:r>
      <w:r w:rsidR="00207A8C">
        <w:t>of</w:t>
      </w:r>
      <w:r w:rsidR="00757681">
        <w:noBreakHyphen/>
      </w:r>
      <w:r w:rsidR="00207A8C">
        <w:t>use (</w:t>
      </w:r>
      <w:r w:rsidR="00C852F6">
        <w:t>TOU</w:t>
      </w:r>
      <w:r w:rsidR="00207A8C">
        <w:t>)</w:t>
      </w:r>
      <w:r w:rsidR="00C852F6">
        <w:t xml:space="preserve"> rates</w:t>
      </w:r>
      <w:r w:rsidR="00706528">
        <w:t xml:space="preserve">.  </w:t>
      </w:r>
      <w:r w:rsidR="005E5754">
        <w:t xml:space="preserve">Further, </w:t>
      </w:r>
      <w:r w:rsidR="00706528">
        <w:t xml:space="preserve">Cal Advocates states </w:t>
      </w:r>
      <w:r w:rsidR="006B188C">
        <w:t xml:space="preserve">that there </w:t>
      </w:r>
      <w:r w:rsidR="00272322">
        <w:t xml:space="preserve">are </w:t>
      </w:r>
      <w:r w:rsidR="006B188C">
        <w:t xml:space="preserve">no </w:t>
      </w:r>
      <w:r w:rsidR="00706528">
        <w:t xml:space="preserve">available CARE </w:t>
      </w:r>
      <w:r w:rsidR="006B188C">
        <w:t xml:space="preserve">TOU </w:t>
      </w:r>
      <w:r w:rsidR="00214A18">
        <w:t xml:space="preserve">tariffs </w:t>
      </w:r>
      <w:r w:rsidR="00706528">
        <w:t>with peak</w:t>
      </w:r>
      <w:r w:rsidR="00AD0D34">
        <w:t xml:space="preserve"> to </w:t>
      </w:r>
      <w:r w:rsidR="00706528">
        <w:t>off</w:t>
      </w:r>
      <w:r w:rsidR="00757681">
        <w:noBreakHyphen/>
      </w:r>
      <w:r w:rsidR="00706528">
        <w:t xml:space="preserve">peak </w:t>
      </w:r>
      <w:r w:rsidR="006B188C">
        <w:t>price differential</w:t>
      </w:r>
      <w:r w:rsidR="00706528">
        <w:t xml:space="preserve">s </w:t>
      </w:r>
      <w:r w:rsidR="00AD0D34">
        <w:t xml:space="preserve">large enough </w:t>
      </w:r>
      <w:r w:rsidR="005F19EF">
        <w:t>to motivate</w:t>
      </w:r>
      <w:r w:rsidR="0071525D">
        <w:t xml:space="preserve"> </w:t>
      </w:r>
      <w:r w:rsidR="005E5754">
        <w:t>customer</w:t>
      </w:r>
      <w:r w:rsidR="00F92335">
        <w:t>s</w:t>
      </w:r>
      <w:r w:rsidR="0071525D">
        <w:t xml:space="preserve"> to</w:t>
      </w:r>
      <w:r w:rsidR="005E5754">
        <w:t xml:space="preserve"> cycl</w:t>
      </w:r>
      <w:r w:rsidR="0071525D">
        <w:t xml:space="preserve">e an </w:t>
      </w:r>
      <w:r w:rsidR="005E5754">
        <w:t>installed storage</w:t>
      </w:r>
      <w:r w:rsidR="0071525D">
        <w:t xml:space="preserve"> system</w:t>
      </w:r>
      <w:r w:rsidR="00706528">
        <w:t xml:space="preserve"> in a</w:t>
      </w:r>
      <w:r w:rsidR="005E5754">
        <w:t xml:space="preserve"> way </w:t>
      </w:r>
      <w:r w:rsidR="00706528">
        <w:t xml:space="preserve">that reduces </w:t>
      </w:r>
      <w:r w:rsidR="0071525D">
        <w:t xml:space="preserve">electricity </w:t>
      </w:r>
      <w:r w:rsidR="00706528">
        <w:t>bills</w:t>
      </w:r>
      <w:r w:rsidR="005E5754">
        <w:t xml:space="preserve"> or</w:t>
      </w:r>
      <w:r w:rsidR="00706528">
        <w:t xml:space="preserve"> GHG emissions.  </w:t>
      </w:r>
      <w:r w:rsidR="00AD0D34">
        <w:t>Because systems are not 100 percent efficient, i</w:t>
      </w:r>
      <w:r w:rsidR="00706528">
        <w:t xml:space="preserve">nstalling </w:t>
      </w:r>
      <w:r w:rsidR="00D80025">
        <w:t xml:space="preserve">storage </w:t>
      </w:r>
      <w:r w:rsidR="00706528">
        <w:t xml:space="preserve">systems in households </w:t>
      </w:r>
      <w:r w:rsidR="00D80025">
        <w:t>on tiered rates</w:t>
      </w:r>
      <w:r w:rsidR="00706528">
        <w:t xml:space="preserve"> </w:t>
      </w:r>
      <w:r w:rsidR="00F92335">
        <w:t xml:space="preserve">leads to </w:t>
      </w:r>
      <w:r w:rsidR="00706528">
        <w:t>increase</w:t>
      </w:r>
      <w:r w:rsidR="00F92335">
        <w:t>d</w:t>
      </w:r>
      <w:r w:rsidR="00706528">
        <w:t xml:space="preserve"> </w:t>
      </w:r>
      <w:r w:rsidR="00AD0D34">
        <w:t xml:space="preserve">household </w:t>
      </w:r>
      <w:r w:rsidR="00706528">
        <w:t>energy bills, sta</w:t>
      </w:r>
      <w:r w:rsidR="001B7DD5">
        <w:t>tes Cal Advocate</w:t>
      </w:r>
      <w:r w:rsidR="00AD0D34">
        <w:t>s.</w:t>
      </w:r>
    </w:p>
    <w:p w14:paraId="6447D897" w14:textId="68D83E6C" w:rsidR="00A06298" w:rsidRDefault="00466E7E" w:rsidP="00DE53B6">
      <w:pPr>
        <w:pStyle w:val="ALJBodyText"/>
      </w:pPr>
      <w:r>
        <w:t xml:space="preserve">Cal Advocates also </w:t>
      </w:r>
      <w:r w:rsidR="00AD0D34">
        <w:t>argues</w:t>
      </w:r>
      <w:r>
        <w:t xml:space="preserve"> that it is inappropriate to use SGIP funding to address perceived reliability concerns.  </w:t>
      </w:r>
      <w:r w:rsidR="00AF55FA">
        <w:t>They state that c</w:t>
      </w:r>
      <w:r w:rsidR="001B7DD5">
        <w:t xml:space="preserve">ycling a battery as </w:t>
      </w:r>
      <w:r w:rsidR="007B1777">
        <w:t xml:space="preserve">required </w:t>
      </w:r>
      <w:r w:rsidR="00207A8C">
        <w:t xml:space="preserve">by the SGIP </w:t>
      </w:r>
      <w:r w:rsidR="007B1777">
        <w:t>impair</w:t>
      </w:r>
      <w:r w:rsidR="001B7DD5">
        <w:t>s</w:t>
      </w:r>
      <w:r w:rsidR="007B1777">
        <w:t xml:space="preserve"> its availability as a </w:t>
      </w:r>
      <w:r w:rsidR="0095008A">
        <w:t>backup</w:t>
      </w:r>
      <w:r w:rsidR="007B1777">
        <w:t xml:space="preserve"> power supply for power outages</w:t>
      </w:r>
      <w:r w:rsidR="00AF55FA">
        <w:t xml:space="preserve">.  </w:t>
      </w:r>
      <w:r w:rsidR="007B1777">
        <w:t xml:space="preserve">Further, Cal Advocates notes that </w:t>
      </w:r>
      <w:r w:rsidR="00F07C85">
        <w:t xml:space="preserve">there is no evidence that electric service reliability is particularly problematic in the SJV pilot communities and </w:t>
      </w:r>
      <w:r w:rsidR="001B7DD5">
        <w:t>that</w:t>
      </w:r>
      <w:r w:rsidR="00F07C85">
        <w:t xml:space="preserve"> “</w:t>
      </w:r>
      <w:r w:rsidR="00A95A98">
        <w:t xml:space="preserve">’neither PG&amp;E nor SCE have any records of formal or informal </w:t>
      </w:r>
      <w:r w:rsidR="00CD0837">
        <w:t>complaints</w:t>
      </w:r>
      <w:r w:rsidR="00A95A98">
        <w:t xml:space="preserve"> </w:t>
      </w:r>
      <w:r w:rsidR="00A95A98">
        <w:lastRenderedPageBreak/>
        <w:t>about electric service reliability in any of the pilot communities</w:t>
      </w:r>
      <w:r w:rsidR="00CD0837">
        <w:t>.’”</w:t>
      </w:r>
      <w:r w:rsidR="00CD0837">
        <w:rPr>
          <w:rStyle w:val="FootnoteReference"/>
        </w:rPr>
        <w:footnoteReference w:id="106"/>
      </w:r>
      <w:r w:rsidR="00033CB9">
        <w:t xml:space="preserve">  Cal </w:t>
      </w:r>
      <w:r w:rsidR="005A05DA">
        <w:t>Advocates recommend</w:t>
      </w:r>
      <w:r w:rsidR="001B2280">
        <w:t>s</w:t>
      </w:r>
      <w:r w:rsidR="005A05DA">
        <w:t xml:space="preserve"> that the Commission </w:t>
      </w:r>
      <w:r w:rsidR="001B2280">
        <w:t xml:space="preserve">require the </w:t>
      </w:r>
      <w:r w:rsidR="0047251A">
        <w:t xml:space="preserve">SJV </w:t>
      </w:r>
      <w:r w:rsidR="001B2280">
        <w:t xml:space="preserve">pilot </w:t>
      </w:r>
      <w:r w:rsidR="0047251A">
        <w:t>households to participate in the SGIP program under the standard program rules</w:t>
      </w:r>
      <w:r w:rsidR="001B2280">
        <w:t xml:space="preserve"> and budget. </w:t>
      </w:r>
      <w:r w:rsidR="00BD7FA7">
        <w:t xml:space="preserve"> </w:t>
      </w:r>
    </w:p>
    <w:p w14:paraId="3BB632FA" w14:textId="2504F976" w:rsidR="00115859" w:rsidRDefault="00115859" w:rsidP="00115859">
      <w:pPr>
        <w:pStyle w:val="ALJBodyText"/>
      </w:pPr>
      <w:r>
        <w:t xml:space="preserve">Most parties broadly concur that a $10 million SGIP budget is reasonable to adopt for the purpose of investing in the SJV DAC pilot projects.  </w:t>
      </w:r>
      <w:r w:rsidR="00207A8C">
        <w:t xml:space="preserve">However, </w:t>
      </w:r>
      <w:r>
        <w:t>SCE expresses concern that a set</w:t>
      </w:r>
      <w:r w:rsidR="00757681">
        <w:noBreakHyphen/>
      </w:r>
      <w:r>
        <w:t xml:space="preserve">aside could isolate funds depending on demand from </w:t>
      </w:r>
      <w:r w:rsidR="00207A8C">
        <w:t xml:space="preserve">the </w:t>
      </w:r>
      <w:r>
        <w:t>pilot communities</w:t>
      </w:r>
      <w:r w:rsidR="00207A8C">
        <w:t xml:space="preserve">.  SCE </w:t>
      </w:r>
      <w:r>
        <w:t>recommends that the Commission adopt a budget not to exceed $10 million</w:t>
      </w:r>
      <w:r w:rsidR="00207A8C">
        <w:t xml:space="preserve"> </w:t>
      </w:r>
      <w:r w:rsidR="00111C81">
        <w:t xml:space="preserve">and </w:t>
      </w:r>
      <w:r w:rsidR="00207A8C">
        <w:t xml:space="preserve">provide a method to make the funds available for other uses </w:t>
      </w:r>
      <w:r w:rsidR="00111C81">
        <w:t xml:space="preserve">if there is insufficient demand. </w:t>
      </w:r>
    </w:p>
    <w:p w14:paraId="57CE6707" w14:textId="7F79CDF3" w:rsidR="00115859" w:rsidRDefault="00115859" w:rsidP="00115859">
      <w:pPr>
        <w:pStyle w:val="ALJBodyText"/>
      </w:pPr>
      <w:r>
        <w:t>GRID/</w:t>
      </w:r>
      <w:r w:rsidR="00C54DFC">
        <w:t>CHPC</w:t>
      </w:r>
      <w:r>
        <w:t xml:space="preserve"> recommend allocating the $10 million from the existing non</w:t>
      </w:r>
      <w:r w:rsidR="00757681">
        <w:noBreakHyphen/>
      </w:r>
      <w:r>
        <w:t xml:space="preserve">residential </w:t>
      </w:r>
      <w:r w:rsidR="00111C81">
        <w:t>e</w:t>
      </w:r>
      <w:r>
        <w:t xml:space="preserve">quity budget, stating that the “existing residential </w:t>
      </w:r>
      <w:r w:rsidR="00111C81">
        <w:t>e</w:t>
      </w:r>
      <w:r>
        <w:t>quity budget cannot support an allocation of this magnitude, and the San Joaquin Valley generally does not overlap high fire threat zones, another area of need for residential storage.”</w:t>
      </w:r>
      <w:r>
        <w:rPr>
          <w:rStyle w:val="FootnoteReference"/>
        </w:rPr>
        <w:footnoteReference w:id="107"/>
      </w:r>
      <w:r>
        <w:t xml:space="preserve">  </w:t>
      </w:r>
    </w:p>
    <w:p w14:paraId="7174257E" w14:textId="5B186B4C" w:rsidR="00115859" w:rsidRDefault="00115859" w:rsidP="00D7338F">
      <w:pPr>
        <w:pStyle w:val="ALJBodyText"/>
      </w:pPr>
      <w:r>
        <w:t>GRID/</w:t>
      </w:r>
      <w:r w:rsidR="00C54DFC">
        <w:t>CHPC</w:t>
      </w:r>
      <w:r>
        <w:t xml:space="preserve"> recommend that the </w:t>
      </w:r>
      <w:r w:rsidR="00111C81">
        <w:t xml:space="preserve">Commission set aside the </w:t>
      </w:r>
      <w:r w:rsidR="00033CB9">
        <w:t>full $10 </w:t>
      </w:r>
      <w:r>
        <w:t>million just for residential customers as “the SJV pilot communities are rural, with few commercial buildings, so it is unclear how useful or viable a community energy storage installation would be to such sparsely</w:t>
      </w:r>
      <w:r w:rsidR="00757681">
        <w:noBreakHyphen/>
      </w:r>
      <w:r>
        <w:t>populated communities.”</w:t>
      </w:r>
      <w:r>
        <w:rPr>
          <w:rStyle w:val="FootnoteReference"/>
        </w:rPr>
        <w:footnoteReference w:id="108"/>
      </w:r>
      <w:r>
        <w:t xml:space="preserve">  SCE recommends that the </w:t>
      </w:r>
      <w:r w:rsidR="00111C81">
        <w:t xml:space="preserve">Commission approve the </w:t>
      </w:r>
      <w:r w:rsidR="00033CB9">
        <w:t>S</w:t>
      </w:r>
      <w:r w:rsidR="00754CCC">
        <w:t>J</w:t>
      </w:r>
      <w:r w:rsidR="00033CB9">
        <w:t>V ACR’s proposed residential</w:t>
      </w:r>
      <w:r>
        <w:t>/non</w:t>
      </w:r>
      <w:r w:rsidR="00757681">
        <w:noBreakHyphen/>
      </w:r>
      <w:r>
        <w:t xml:space="preserve">residential </w:t>
      </w:r>
      <w:r w:rsidR="00111C81">
        <w:t xml:space="preserve">budget </w:t>
      </w:r>
      <w:r>
        <w:t xml:space="preserve">allocation. </w:t>
      </w:r>
    </w:p>
    <w:p w14:paraId="77643524" w14:textId="70DFCE7F" w:rsidR="00BD7FA7" w:rsidRDefault="00BD7FA7" w:rsidP="00C151FC">
      <w:pPr>
        <w:pStyle w:val="ALJHeading2"/>
      </w:pPr>
      <w:bookmarkStart w:id="87" w:name="_Toc15908103"/>
      <w:r>
        <w:lastRenderedPageBreak/>
        <w:t>Discussion</w:t>
      </w:r>
      <w:bookmarkEnd w:id="87"/>
      <w:r>
        <w:t xml:space="preserve"> </w:t>
      </w:r>
    </w:p>
    <w:p w14:paraId="29A6A8AE" w14:textId="7458660B" w:rsidR="00E7451C" w:rsidRDefault="001B7DD5" w:rsidP="001910FE">
      <w:pPr>
        <w:pStyle w:val="ALJBodyText"/>
      </w:pPr>
      <w:r>
        <w:t>This decision approves a set</w:t>
      </w:r>
      <w:r w:rsidR="00757681">
        <w:noBreakHyphen/>
      </w:r>
      <w:r>
        <w:t xml:space="preserve">aside of up to $10 million in incentives for the SJV pilot host communities </w:t>
      </w:r>
      <w:r w:rsidR="00CB06FB">
        <w:t xml:space="preserve">and </w:t>
      </w:r>
      <w:r w:rsidR="00CB06FB" w:rsidRPr="001C662D">
        <w:t>confirms</w:t>
      </w:r>
      <w:r w:rsidR="0093624B" w:rsidRPr="001C662D">
        <w:t xml:space="preserve"> </w:t>
      </w:r>
      <w:r w:rsidR="001C662D">
        <w:t xml:space="preserve">the applicability to these communities of </w:t>
      </w:r>
      <w:r w:rsidRPr="001C662D">
        <w:t xml:space="preserve">requirements </w:t>
      </w:r>
      <w:r w:rsidR="00CB06FB" w:rsidRPr="001C662D">
        <w:t>adopted in</w:t>
      </w:r>
      <w:r w:rsidR="00CB06FB">
        <w:t xml:space="preserve"> </w:t>
      </w:r>
      <w:r w:rsidR="00CB06FB" w:rsidRPr="003A7970">
        <w:t>D</w:t>
      </w:r>
      <w:r w:rsidR="00CB06FB" w:rsidRPr="00D32CB0">
        <w:t>.</w:t>
      </w:r>
      <w:r w:rsidR="003F39D8" w:rsidRPr="00D32CB0">
        <w:t>19</w:t>
      </w:r>
      <w:r w:rsidR="00757681">
        <w:noBreakHyphen/>
      </w:r>
      <w:r w:rsidR="003F39D8" w:rsidRPr="00D32CB0">
        <w:t>08</w:t>
      </w:r>
      <w:r w:rsidR="00757681">
        <w:noBreakHyphen/>
      </w:r>
      <w:r w:rsidR="003F39D8" w:rsidRPr="00D32CB0">
        <w:t>001</w:t>
      </w:r>
      <w:r w:rsidR="001C662D" w:rsidRPr="003A7970">
        <w:t xml:space="preserve"> designed to</w:t>
      </w:r>
      <w:r w:rsidRPr="003A7970">
        <w:t xml:space="preserve"> </w:t>
      </w:r>
      <w:r w:rsidR="00111C81" w:rsidRPr="00D54660">
        <w:t xml:space="preserve">ensure that SGIP storage systems </w:t>
      </w:r>
      <w:r w:rsidR="0093624B" w:rsidRPr="00D54660">
        <w:t>reduce GHG emissions</w:t>
      </w:r>
      <w:r w:rsidR="00033CB9">
        <w:t xml:space="preserve">. </w:t>
      </w:r>
      <w:r w:rsidR="0093624B">
        <w:t xml:space="preserve"> </w:t>
      </w:r>
      <w:r w:rsidR="001910FE">
        <w:t xml:space="preserve">Our adopted approach will </w:t>
      </w:r>
      <w:r w:rsidR="001910FE" w:rsidRPr="001910FE">
        <w:t>support</w:t>
      </w:r>
      <w:r w:rsidR="001910FE">
        <w:t xml:space="preserve"> participating SJV pilot households to</w:t>
      </w:r>
      <w:r w:rsidR="00A03508">
        <w:t xml:space="preserve"> </w:t>
      </w:r>
      <w:r w:rsidR="00D87304">
        <w:t>s</w:t>
      </w:r>
      <w:r w:rsidR="001910FE" w:rsidRPr="001910FE">
        <w:t>hif</w:t>
      </w:r>
      <w:r w:rsidR="001910FE">
        <w:t xml:space="preserve">t their electricity </w:t>
      </w:r>
      <w:r w:rsidR="001910FE" w:rsidRPr="001910FE">
        <w:t>load from peak to off</w:t>
      </w:r>
      <w:r w:rsidR="00757681">
        <w:noBreakHyphen/>
      </w:r>
      <w:r w:rsidR="001910FE" w:rsidRPr="001910FE">
        <w:t>peak periods as required in Section 379.6(e)</w:t>
      </w:r>
      <w:r w:rsidR="001910FE">
        <w:t xml:space="preserve">.  It will </w:t>
      </w:r>
      <w:r w:rsidR="001910FE" w:rsidRPr="001910FE">
        <w:t>help ensure equitable access to SGIP benefits by low</w:t>
      </w:r>
      <w:r w:rsidR="00757681">
        <w:noBreakHyphen/>
      </w:r>
      <w:r w:rsidR="001910FE" w:rsidRPr="001910FE">
        <w:t>income cus</w:t>
      </w:r>
      <w:r w:rsidR="00033CB9">
        <w:t>tomers, as discussed in Section </w:t>
      </w:r>
      <w:r w:rsidR="001910FE" w:rsidRPr="001910FE">
        <w:t>379.6(a)(1)</w:t>
      </w:r>
      <w:r w:rsidR="001910FE">
        <w:t xml:space="preserve"> and</w:t>
      </w:r>
      <w:r w:rsidR="00213095">
        <w:t xml:space="preserve"> may help address concerns about </w:t>
      </w:r>
      <w:r w:rsidR="001910FE" w:rsidRPr="001910FE">
        <w:t xml:space="preserve">the reliability of electricity for participants as emphasized in Section 379.6(l) by </w:t>
      </w:r>
      <w:r w:rsidR="00213095">
        <w:t xml:space="preserve">providing a source of </w:t>
      </w:r>
      <w:r w:rsidR="001910FE" w:rsidRPr="001910FE">
        <w:t>backup power during outages, particularly in community centers such as schools or public buildings</w:t>
      </w:r>
      <w:r w:rsidR="001C662D">
        <w:t>.</w:t>
      </w:r>
      <w:r w:rsidR="001910FE" w:rsidRPr="001910FE">
        <w:t xml:space="preserve"> </w:t>
      </w:r>
      <w:r w:rsidR="00FC2680">
        <w:t xml:space="preserve"> </w:t>
      </w:r>
      <w:r w:rsidR="00F8686A">
        <w:t xml:space="preserve">Using SGIP funds for incentives in SJV pilot communities </w:t>
      </w:r>
      <w:r w:rsidR="00FC2680">
        <w:t>does not violate the SGIP restriction on using incentives solely for backup power because</w:t>
      </w:r>
      <w:r w:rsidR="00F8686A">
        <w:t xml:space="preserve"> all SGIP system and operational requirements continue to apply, including the cycling and GHG emission reduction requirements adopted in D.19</w:t>
      </w:r>
      <w:r w:rsidR="00757681">
        <w:noBreakHyphen/>
      </w:r>
      <w:r w:rsidR="00F8686A">
        <w:t>08</w:t>
      </w:r>
      <w:r w:rsidR="00757681">
        <w:noBreakHyphen/>
      </w:r>
      <w:r w:rsidR="00F8686A">
        <w:t xml:space="preserve">001. </w:t>
      </w:r>
    </w:p>
    <w:p w14:paraId="03FF8904" w14:textId="3469EA4E" w:rsidR="001910FE" w:rsidRPr="001910FE" w:rsidRDefault="001910FE" w:rsidP="001910FE">
      <w:pPr>
        <w:pStyle w:val="ALJBodyText"/>
      </w:pPr>
      <w:r w:rsidRPr="001910FE">
        <w:t xml:space="preserve">Approving </w:t>
      </w:r>
      <w:r w:rsidR="004F28C6" w:rsidRPr="001910FE">
        <w:t>an</w:t>
      </w:r>
      <w:r w:rsidRPr="001910FE">
        <w:t xml:space="preserve"> SJV pilot set</w:t>
      </w:r>
      <w:r w:rsidR="00757681">
        <w:noBreakHyphen/>
      </w:r>
      <w:r w:rsidRPr="001910FE">
        <w:t xml:space="preserve">aside supports the SJV pilot goals of reducing GHG and criteria air pollutants and </w:t>
      </w:r>
      <w:r w:rsidR="00213095">
        <w:t xml:space="preserve">could </w:t>
      </w:r>
      <w:r w:rsidRPr="001910FE">
        <w:t>provide insights on the impacts of simultaneous deployment of multiple demand</w:t>
      </w:r>
      <w:r w:rsidR="00757681">
        <w:noBreakHyphen/>
      </w:r>
      <w:r w:rsidRPr="001910FE">
        <w:t xml:space="preserve">side customer options in </w:t>
      </w:r>
      <w:r w:rsidR="00111C81">
        <w:t xml:space="preserve">a single </w:t>
      </w:r>
      <w:r w:rsidRPr="001910FE">
        <w:t>community.</w:t>
      </w:r>
      <w:r w:rsidR="00F31686">
        <w:t xml:space="preserve">  It is appropriate to reserve </w:t>
      </w:r>
      <w:r w:rsidR="00E15565">
        <w:t xml:space="preserve">a dedicated </w:t>
      </w:r>
      <w:r w:rsidR="00F31686">
        <w:t>$10 million</w:t>
      </w:r>
      <w:r w:rsidR="00E15565">
        <w:t xml:space="preserve"> set</w:t>
      </w:r>
      <w:r w:rsidR="00757681">
        <w:noBreakHyphen/>
      </w:r>
      <w:r w:rsidR="00E15565">
        <w:t>aside</w:t>
      </w:r>
      <w:r w:rsidR="00F31686">
        <w:t xml:space="preserve"> for the SJV pilot communities </w:t>
      </w:r>
      <w:r w:rsidR="00213095">
        <w:t xml:space="preserve">for this purpose and </w:t>
      </w:r>
      <w:r w:rsidR="00E15565">
        <w:t xml:space="preserve">to </w:t>
      </w:r>
      <w:r w:rsidR="003B3E17">
        <w:t xml:space="preserve">target equity budget investments to </w:t>
      </w:r>
      <w:r w:rsidR="00E15565">
        <w:t xml:space="preserve">explore these </w:t>
      </w:r>
      <w:r w:rsidR="003B3E17">
        <w:t xml:space="preserve">potential </w:t>
      </w:r>
      <w:r w:rsidR="00E15565">
        <w:t>impacts</w:t>
      </w:r>
      <w:r w:rsidR="003B3E17">
        <w:t xml:space="preserve">. </w:t>
      </w:r>
    </w:p>
    <w:p w14:paraId="24E85111" w14:textId="0505BBCD" w:rsidR="00213095" w:rsidRDefault="00D7338F" w:rsidP="00D7338F">
      <w:pPr>
        <w:pStyle w:val="ALJBodyText"/>
      </w:pPr>
      <w:r>
        <w:t xml:space="preserve">SCE’s suggested approach of allocating </w:t>
      </w:r>
      <w:r w:rsidR="00111C81">
        <w:t xml:space="preserve">a budget not to exceed </w:t>
      </w:r>
      <w:r>
        <w:t>$10 million</w:t>
      </w:r>
      <w:r w:rsidR="00111C81">
        <w:t xml:space="preserve"> </w:t>
      </w:r>
      <w:r>
        <w:t xml:space="preserve">for </w:t>
      </w:r>
      <w:r w:rsidR="00111C81">
        <w:t xml:space="preserve">the </w:t>
      </w:r>
      <w:r>
        <w:t xml:space="preserve">SJV pilot </w:t>
      </w:r>
      <w:r w:rsidR="00111C81">
        <w:t xml:space="preserve">incentives </w:t>
      </w:r>
      <w:r>
        <w:t xml:space="preserve">is the best </w:t>
      </w:r>
      <w:r w:rsidR="008323C3">
        <w:t>way</w:t>
      </w:r>
      <w:r>
        <w:t xml:space="preserve"> to ensure that </w:t>
      </w:r>
      <w:r w:rsidR="008323C3">
        <w:t xml:space="preserve">there is enough budget to support the pilot </w:t>
      </w:r>
      <w:r w:rsidR="00174B22">
        <w:t xml:space="preserve">but that the funds are also </w:t>
      </w:r>
      <w:r>
        <w:t>available for alternative use</w:t>
      </w:r>
      <w:r w:rsidR="00174B22">
        <w:t>s</w:t>
      </w:r>
      <w:r>
        <w:t xml:space="preserve"> if </w:t>
      </w:r>
      <w:r w:rsidRPr="004A45AC">
        <w:lastRenderedPageBreak/>
        <w:t xml:space="preserve">there is insufficient demand.  </w:t>
      </w:r>
      <w:r w:rsidR="00213095">
        <w:t>This approach is less administratively burdensome than allocating a smaller set</w:t>
      </w:r>
      <w:r w:rsidR="00757681">
        <w:noBreakHyphen/>
      </w:r>
      <w:r w:rsidR="00213095">
        <w:t xml:space="preserve">aside and increasing it later if necessary. </w:t>
      </w:r>
    </w:p>
    <w:p w14:paraId="030DF27C" w14:textId="1DF1E7BE" w:rsidR="00D7338F" w:rsidRDefault="00D7338F" w:rsidP="00D7338F">
      <w:pPr>
        <w:pStyle w:val="ALJBodyText"/>
      </w:pPr>
      <w:r w:rsidRPr="004A45AC">
        <w:t>We concur with GRID/</w:t>
      </w:r>
      <w:r w:rsidR="00C54DFC" w:rsidRPr="004A45AC">
        <w:t>CHPC</w:t>
      </w:r>
      <w:r w:rsidRPr="004A45AC">
        <w:t xml:space="preserve"> that </w:t>
      </w:r>
      <w:r w:rsidRPr="00D32CB0">
        <w:t>the current non</w:t>
      </w:r>
      <w:r w:rsidR="00757681">
        <w:noBreakHyphen/>
      </w:r>
      <w:r w:rsidRPr="00D32CB0">
        <w:t>residential storage equity budget</w:t>
      </w:r>
      <w:r w:rsidR="003C6B87">
        <w:t xml:space="preserve"> is an appropriate source of funds for this $10 million</w:t>
      </w:r>
      <w:r w:rsidR="00213095">
        <w:t xml:space="preserve"> because nearly 10 times as many funds are available in this budget as in the residential budget</w:t>
      </w:r>
      <w:r w:rsidRPr="00D32CB0">
        <w:t>.</w:t>
      </w:r>
      <w:r w:rsidRPr="00D32CB0">
        <w:rPr>
          <w:rStyle w:val="FootnoteReference"/>
        </w:rPr>
        <w:footnoteReference w:id="109"/>
      </w:r>
    </w:p>
    <w:p w14:paraId="495B6167" w14:textId="29057285" w:rsidR="003E0CF0" w:rsidRDefault="00D7338F" w:rsidP="003E0CF0">
      <w:pPr>
        <w:pStyle w:val="ALJBodyText"/>
      </w:pPr>
      <w:r>
        <w:t>Unlike GRID/</w:t>
      </w:r>
      <w:r w:rsidR="00C54DFC">
        <w:t>CHPC</w:t>
      </w:r>
      <w:r>
        <w:t>, we believe that non</w:t>
      </w:r>
      <w:r w:rsidR="00757681">
        <w:noBreakHyphen/>
      </w:r>
      <w:r>
        <w:t xml:space="preserve">residential customers in the SJV pilot communities will want to install storage and serve as Community Service </w:t>
      </w:r>
      <w:r w:rsidR="006B791B">
        <w:t>c</w:t>
      </w:r>
      <w:r>
        <w:t>enters during grid outages or de</w:t>
      </w:r>
      <w:r w:rsidR="00757681">
        <w:noBreakHyphen/>
      </w:r>
      <w:r w:rsidR="00D42079">
        <w:t xml:space="preserve">energization events.  </w:t>
      </w:r>
      <w:r w:rsidR="00F8686A">
        <w:t>SJV pilot community members have actively participated in pilot project</w:t>
      </w:r>
      <w:r w:rsidR="00757681">
        <w:noBreakHyphen/>
      </w:r>
      <w:r w:rsidR="00F8686A">
        <w:t xml:space="preserve">related discussions thus far and Commission staff and community members have convened a number of meetings in local schools and other public buildings. </w:t>
      </w:r>
      <w:r w:rsidR="0032323C">
        <w:t xml:space="preserve"> </w:t>
      </w:r>
      <w:r>
        <w:t>Therefore, of the $10</w:t>
      </w:r>
      <w:r w:rsidR="0032323C">
        <w:t> </w:t>
      </w:r>
      <w:r>
        <w:t xml:space="preserve">million </w:t>
      </w:r>
      <w:r w:rsidR="00111C81">
        <w:t>set</w:t>
      </w:r>
      <w:r w:rsidR="00757681">
        <w:noBreakHyphen/>
      </w:r>
      <w:r w:rsidR="00111C81">
        <w:t>aside for S</w:t>
      </w:r>
      <w:r w:rsidR="00754CCC">
        <w:t>J</w:t>
      </w:r>
      <w:r w:rsidR="00111C81">
        <w:t>V incentives</w:t>
      </w:r>
      <w:r>
        <w:t xml:space="preserve">, no more than $9.76 million of this may be allocated for residential </w:t>
      </w:r>
      <w:r w:rsidRPr="004A45AC">
        <w:t>system incentives.</w:t>
      </w:r>
      <w:r w:rsidR="00174B22" w:rsidRPr="004A45AC">
        <w:rPr>
          <w:rStyle w:val="FootnoteReference"/>
        </w:rPr>
        <w:footnoteReference w:id="110"/>
      </w:r>
      <w:r w:rsidR="00174B22" w:rsidRPr="004A45AC">
        <w:t xml:space="preserve"> </w:t>
      </w:r>
      <w:r w:rsidR="00D42079">
        <w:t xml:space="preserve"> </w:t>
      </w:r>
      <w:r w:rsidRPr="004A45AC">
        <w:t>If applications for non</w:t>
      </w:r>
      <w:r w:rsidR="00757681">
        <w:noBreakHyphen/>
      </w:r>
      <w:r w:rsidRPr="004A45AC">
        <w:t xml:space="preserve">residential projects exceed $240,000 within </w:t>
      </w:r>
      <w:r w:rsidRPr="00D32CB0">
        <w:t>f</w:t>
      </w:r>
      <w:r w:rsidR="00111C81" w:rsidRPr="00D32CB0">
        <w:t>our</w:t>
      </w:r>
      <w:r w:rsidRPr="004A45AC">
        <w:t xml:space="preserve"> years</w:t>
      </w:r>
      <w:r>
        <w:t xml:space="preserve"> of issuance of this decision, the PAs may allocate an additional $240,000 towards SJV pilot non</w:t>
      </w:r>
      <w:r w:rsidR="00757681">
        <w:noBreakHyphen/>
      </w:r>
      <w:r>
        <w:t xml:space="preserve">residential system incentives. </w:t>
      </w:r>
    </w:p>
    <w:p w14:paraId="22528FAE" w14:textId="42DA4751" w:rsidR="00B3492A" w:rsidRDefault="00F53B48" w:rsidP="00DC61A0">
      <w:pPr>
        <w:pStyle w:val="ALJBodyText"/>
      </w:pPr>
      <w:r w:rsidRPr="003E0CF0">
        <w:t xml:space="preserve">Requiring </w:t>
      </w:r>
      <w:r w:rsidR="003E0CF0" w:rsidRPr="003E0CF0">
        <w:t xml:space="preserve">all </w:t>
      </w:r>
      <w:r w:rsidRPr="003E0CF0">
        <w:t xml:space="preserve">participating SJV pilot customers to adhere to the requirements </w:t>
      </w:r>
      <w:r w:rsidRPr="003A7970">
        <w:t xml:space="preserve">adopted in </w:t>
      </w:r>
      <w:r w:rsidRPr="00D32CB0">
        <w:t>D.</w:t>
      </w:r>
      <w:r w:rsidR="003F39D8" w:rsidRPr="00D32CB0">
        <w:t>19</w:t>
      </w:r>
      <w:r w:rsidR="00757681">
        <w:noBreakHyphen/>
      </w:r>
      <w:r w:rsidR="003F39D8" w:rsidRPr="00D32CB0">
        <w:t>08</w:t>
      </w:r>
      <w:r w:rsidR="00757681">
        <w:noBreakHyphen/>
      </w:r>
      <w:r w:rsidR="003F39D8" w:rsidRPr="00D32CB0">
        <w:t xml:space="preserve">001 </w:t>
      </w:r>
      <w:r w:rsidRPr="003A7970">
        <w:t>should address Cal Advocate’s concerns</w:t>
      </w:r>
      <w:r w:rsidR="003D69E0" w:rsidRPr="003A7970">
        <w:t xml:space="preserve"> regarding potential increases in household electricity bill</w:t>
      </w:r>
      <w:r w:rsidR="00111C81" w:rsidRPr="00D54660">
        <w:t>s</w:t>
      </w:r>
      <w:r w:rsidRPr="00D54660">
        <w:t xml:space="preserve">.  </w:t>
      </w:r>
      <w:bookmarkStart w:id="88" w:name="_Hlk15548334"/>
      <w:r w:rsidR="000F3F6D" w:rsidRPr="00D32CB0">
        <w:t>D.</w:t>
      </w:r>
      <w:r w:rsidR="003F39D8" w:rsidRPr="00D32CB0">
        <w:t>19</w:t>
      </w:r>
      <w:r w:rsidR="00757681">
        <w:noBreakHyphen/>
      </w:r>
      <w:r w:rsidR="003F39D8" w:rsidRPr="00D32CB0">
        <w:t>08</w:t>
      </w:r>
      <w:r w:rsidR="00757681">
        <w:noBreakHyphen/>
      </w:r>
      <w:r w:rsidR="003F39D8" w:rsidRPr="00D32CB0">
        <w:t>001</w:t>
      </w:r>
      <w:r w:rsidR="000F3F6D" w:rsidRPr="003A7970">
        <w:t xml:space="preserve"> </w:t>
      </w:r>
      <w:bookmarkEnd w:id="88"/>
      <w:r w:rsidR="000F3F6D" w:rsidRPr="003A7970">
        <w:t xml:space="preserve">adopted </w:t>
      </w:r>
      <w:r w:rsidRPr="003A7970">
        <w:t xml:space="preserve">extensive new </w:t>
      </w:r>
      <w:r w:rsidR="000F3F6D" w:rsidRPr="00D54660">
        <w:t>requirements</w:t>
      </w:r>
      <w:r w:rsidRPr="00D54660">
        <w:t xml:space="preserve"> intended</w:t>
      </w:r>
      <w:r w:rsidR="005D7720">
        <w:t xml:space="preserve"> to</w:t>
      </w:r>
      <w:r w:rsidR="008E630C" w:rsidRPr="00D54660">
        <w:t xml:space="preserve"> fulfill </w:t>
      </w:r>
      <w:r w:rsidR="003F39D8">
        <w:t xml:space="preserve">the requirements of </w:t>
      </w:r>
      <w:r w:rsidR="005D7720">
        <w:t>Section </w:t>
      </w:r>
      <w:r w:rsidR="003F39D8">
        <w:t xml:space="preserve">379.6(b)(1) </w:t>
      </w:r>
      <w:r w:rsidR="008E630C" w:rsidRPr="00D54660">
        <w:t xml:space="preserve">that </w:t>
      </w:r>
      <w:r w:rsidR="000F3F6D" w:rsidRPr="00D54660">
        <w:t xml:space="preserve">all storage systems receiving SGIP incentives </w:t>
      </w:r>
      <w:r w:rsidR="008E630C" w:rsidRPr="00D54660">
        <w:t>reduce GHG emissions</w:t>
      </w:r>
      <w:r w:rsidR="008E630C" w:rsidRPr="00D32CB0">
        <w:t>.</w:t>
      </w:r>
      <w:r w:rsidR="00A01011" w:rsidRPr="00D32CB0">
        <w:t xml:space="preserve">  To accomplish this, D.</w:t>
      </w:r>
      <w:r w:rsidR="003F39D8" w:rsidRPr="00D32CB0">
        <w:t>19</w:t>
      </w:r>
      <w:r w:rsidR="00757681">
        <w:noBreakHyphen/>
      </w:r>
      <w:r w:rsidR="003F39D8" w:rsidRPr="00D32CB0">
        <w:t>08</w:t>
      </w:r>
      <w:r w:rsidR="00757681">
        <w:noBreakHyphen/>
      </w:r>
      <w:r w:rsidR="003F39D8" w:rsidRPr="00D32CB0">
        <w:t>001</w:t>
      </w:r>
      <w:r w:rsidR="00A01011" w:rsidRPr="003A7970">
        <w:t xml:space="preserve"> requires </w:t>
      </w:r>
      <w:r w:rsidR="00766DCD" w:rsidRPr="00D54660">
        <w:t xml:space="preserve">new residential </w:t>
      </w:r>
      <w:r w:rsidR="00766DCD" w:rsidRPr="00D54660">
        <w:lastRenderedPageBreak/>
        <w:t xml:space="preserve">customers to enroll </w:t>
      </w:r>
      <w:r w:rsidR="001D7108" w:rsidRPr="00D54660">
        <w:t>i</w:t>
      </w:r>
      <w:r w:rsidR="00766DCD" w:rsidRPr="00D54660">
        <w:t>n an “SGIP</w:t>
      </w:r>
      <w:r w:rsidR="00757681">
        <w:noBreakHyphen/>
      </w:r>
      <w:r w:rsidR="00766DCD" w:rsidRPr="00D54660">
        <w:t>approved” TOU rate if one is available</w:t>
      </w:r>
      <w:r w:rsidR="00370BF4" w:rsidRPr="00D54660">
        <w:t>.  I</w:t>
      </w:r>
      <w:r w:rsidR="0078740E" w:rsidRPr="00D54660">
        <w:t>f</w:t>
      </w:r>
      <w:r w:rsidR="0078740E">
        <w:t xml:space="preserve"> </w:t>
      </w:r>
      <w:r w:rsidR="003E78D7">
        <w:t xml:space="preserve">an SGIP approved rate restricted to CARE customers is not available, </w:t>
      </w:r>
      <w:r w:rsidR="003F39D8" w:rsidRPr="00A675B5">
        <w:t>D.19</w:t>
      </w:r>
      <w:r w:rsidR="00757681">
        <w:noBreakHyphen/>
      </w:r>
      <w:r w:rsidR="003F39D8" w:rsidRPr="00A675B5">
        <w:t>08</w:t>
      </w:r>
      <w:r w:rsidR="00757681">
        <w:noBreakHyphen/>
      </w:r>
      <w:r w:rsidR="003F39D8" w:rsidRPr="00A675B5">
        <w:t xml:space="preserve">001 </w:t>
      </w:r>
      <w:r w:rsidR="003E78D7">
        <w:t>requires CARE</w:t>
      </w:r>
      <w:r w:rsidR="00757681">
        <w:noBreakHyphen/>
      </w:r>
      <w:r w:rsidR="003E78D7">
        <w:t>eligible customers to enroll in any CARE TOU rate</w:t>
      </w:r>
      <w:r w:rsidR="00370BF4">
        <w:t>.</w:t>
      </w:r>
      <w:r w:rsidR="00766DCD">
        <w:t xml:space="preserve">  </w:t>
      </w:r>
      <w:r w:rsidR="003E78D7">
        <w:t>In addition, t</w:t>
      </w:r>
      <w:r w:rsidR="00AD39B8">
        <w:t xml:space="preserve">o </w:t>
      </w:r>
      <w:r w:rsidR="003E78D7">
        <w:t>reduce the likelihood of bill increases for participating SJV households</w:t>
      </w:r>
      <w:r w:rsidR="0074551E">
        <w:t xml:space="preserve">, we require </w:t>
      </w:r>
      <w:r w:rsidR="00196B87">
        <w:t>CARE</w:t>
      </w:r>
      <w:r w:rsidR="00757681">
        <w:noBreakHyphen/>
      </w:r>
      <w:r w:rsidR="00196B87">
        <w:t>eligible SJV pilot households</w:t>
      </w:r>
      <w:r w:rsidR="00B076F2">
        <w:t xml:space="preserve"> </w:t>
      </w:r>
      <w:r w:rsidR="00CB3F60">
        <w:t xml:space="preserve">that wish to </w:t>
      </w:r>
      <w:r w:rsidR="003E78D7">
        <w:t xml:space="preserve">use </w:t>
      </w:r>
      <w:r w:rsidR="00CB3F60">
        <w:t xml:space="preserve">SGIP incentives to </w:t>
      </w:r>
      <w:r w:rsidR="00B076F2">
        <w:t>enroll in a</w:t>
      </w:r>
      <w:r w:rsidR="003E78D7">
        <w:t>n SGIP</w:t>
      </w:r>
      <w:r w:rsidR="00757681">
        <w:noBreakHyphen/>
      </w:r>
      <w:r w:rsidR="003E78D7">
        <w:t>approved rate, if one is available, and, if not, in any</w:t>
      </w:r>
      <w:r w:rsidR="00B076F2">
        <w:t xml:space="preserve"> </w:t>
      </w:r>
      <w:r w:rsidR="00635209">
        <w:t>CARE TOU rate</w:t>
      </w:r>
      <w:r w:rsidR="00530D1F">
        <w:t xml:space="preserve">, </w:t>
      </w:r>
      <w:r w:rsidR="00CB3F60">
        <w:t xml:space="preserve">regardless of the date of </w:t>
      </w:r>
      <w:r w:rsidR="008003C7">
        <w:t xml:space="preserve">submittal of </w:t>
      </w:r>
      <w:r w:rsidR="003E78D7">
        <w:t xml:space="preserve">a complete </w:t>
      </w:r>
      <w:r w:rsidR="008003C7">
        <w:t>SGIP application.</w:t>
      </w:r>
      <w:r w:rsidR="003E78D7" w:rsidRPr="003E78D7">
        <w:rPr>
          <w:vertAlign w:val="superscript"/>
        </w:rPr>
        <w:footnoteReference w:id="111"/>
      </w:r>
      <w:r w:rsidR="008003C7">
        <w:t xml:space="preserve">  </w:t>
      </w:r>
    </w:p>
    <w:p w14:paraId="0DEF1378" w14:textId="0D83853B" w:rsidR="000F70F5" w:rsidRDefault="00BB1B42" w:rsidP="00172E15">
      <w:pPr>
        <w:pStyle w:val="ALJBodyText"/>
      </w:pPr>
      <w:r>
        <w:t xml:space="preserve">Requiring adherence to the requirements of </w:t>
      </w:r>
      <w:r w:rsidR="003F39D8" w:rsidRPr="00A675B5">
        <w:t>D.19</w:t>
      </w:r>
      <w:r w:rsidR="00757681">
        <w:noBreakHyphen/>
      </w:r>
      <w:r w:rsidR="003F39D8" w:rsidRPr="00A675B5">
        <w:t>08</w:t>
      </w:r>
      <w:r w:rsidR="00757681">
        <w:noBreakHyphen/>
      </w:r>
      <w:r w:rsidR="003F39D8" w:rsidRPr="00A675B5">
        <w:t xml:space="preserve">001 </w:t>
      </w:r>
      <w:r w:rsidR="00F6256F">
        <w:t xml:space="preserve">is </w:t>
      </w:r>
      <w:r w:rsidR="008C10B0">
        <w:t xml:space="preserve">also </w:t>
      </w:r>
      <w:r w:rsidR="00F6256F">
        <w:t>the best</w:t>
      </w:r>
      <w:r w:rsidR="003E78D7">
        <w:t xml:space="preserve"> way </w:t>
      </w:r>
      <w:r w:rsidR="00F6256F">
        <w:t xml:space="preserve">to </w:t>
      </w:r>
      <w:r>
        <w:t>ensure that SJV pilot households that install SGIP</w:t>
      </w:r>
      <w:r w:rsidR="003E78D7">
        <w:t xml:space="preserve"> </w:t>
      </w:r>
      <w:r>
        <w:t xml:space="preserve">storage systems </w:t>
      </w:r>
      <w:r w:rsidR="003C0698">
        <w:t>reduce GHG emissions</w:t>
      </w:r>
      <w:r>
        <w:t>.</w:t>
      </w:r>
      <w:r w:rsidR="00266D81">
        <w:t xml:space="preserve">  </w:t>
      </w:r>
      <w:r w:rsidR="008C10B0">
        <w:t xml:space="preserve">This is because </w:t>
      </w:r>
      <w:r w:rsidR="003F39D8" w:rsidRPr="00A675B5">
        <w:t>D.19</w:t>
      </w:r>
      <w:r w:rsidR="00757681">
        <w:noBreakHyphen/>
      </w:r>
      <w:r w:rsidR="003F39D8" w:rsidRPr="00A675B5">
        <w:t>08</w:t>
      </w:r>
      <w:r w:rsidR="00757681">
        <w:noBreakHyphen/>
      </w:r>
      <w:r w:rsidR="003F39D8" w:rsidRPr="00A675B5">
        <w:t xml:space="preserve">001 </w:t>
      </w:r>
      <w:r w:rsidR="003E78D7">
        <w:t xml:space="preserve">“aim[s] </w:t>
      </w:r>
      <w:r w:rsidR="003E78D7" w:rsidRPr="003E78D7">
        <w:t>to ensure that 100 percent of new residential systems reduce GHG emissions</w:t>
      </w:r>
      <w:r w:rsidR="008C10B0">
        <w:t>.”</w:t>
      </w:r>
      <w:r w:rsidR="008C10B0">
        <w:rPr>
          <w:rStyle w:val="FootnoteReference"/>
        </w:rPr>
        <w:footnoteReference w:id="112"/>
      </w:r>
      <w:r w:rsidR="008C10B0">
        <w:t xml:space="preserve"> </w:t>
      </w:r>
      <w:r w:rsidR="005E2AA2">
        <w:t xml:space="preserve"> </w:t>
      </w:r>
      <w:r w:rsidR="003F39D8" w:rsidRPr="00A675B5">
        <w:t>D.19</w:t>
      </w:r>
      <w:r w:rsidR="00757681">
        <w:noBreakHyphen/>
      </w:r>
      <w:r w:rsidR="003F39D8" w:rsidRPr="00A675B5">
        <w:t>08</w:t>
      </w:r>
      <w:r w:rsidR="00757681">
        <w:noBreakHyphen/>
      </w:r>
      <w:r w:rsidR="003F39D8" w:rsidRPr="00A675B5">
        <w:t xml:space="preserve">001 </w:t>
      </w:r>
      <w:r w:rsidR="000F70F5">
        <w:t xml:space="preserve">also </w:t>
      </w:r>
      <w:r w:rsidR="00172E15">
        <w:t xml:space="preserve">continues to </w:t>
      </w:r>
      <w:r w:rsidR="000F70F5">
        <w:t>require</w:t>
      </w:r>
      <w:r w:rsidR="00172E15">
        <w:t xml:space="preserve"> </w:t>
      </w:r>
      <w:r w:rsidR="000F70F5">
        <w:t xml:space="preserve">residential storage projects receiving SGIP incentives to cycle a minimum of 52 times per year, which ensures that </w:t>
      </w:r>
      <w:r w:rsidR="00172E15">
        <w:t xml:space="preserve">such </w:t>
      </w:r>
      <w:r w:rsidR="000F70F5">
        <w:t>systems cannot be used only or primarily for backup purposes</w:t>
      </w:r>
      <w:r w:rsidR="00155432">
        <w:t xml:space="preserve"> and that they provide grid services and GHG emission reductions, </w:t>
      </w:r>
      <w:r w:rsidR="00172E15">
        <w:t>as discussed earlier in this decision.</w:t>
      </w:r>
      <w:r w:rsidR="009C52CC">
        <w:t xml:space="preserve"> </w:t>
      </w:r>
      <w:r w:rsidR="00266D81">
        <w:t xml:space="preserve"> I</w:t>
      </w:r>
      <w:r w:rsidR="00266D81" w:rsidRPr="00266D81">
        <w:t xml:space="preserve">n addition, as noted by Sunrun, pilot households currently using propane or </w:t>
      </w:r>
      <w:r w:rsidR="005F666F">
        <w:t xml:space="preserve">wood to meet their basic </w:t>
      </w:r>
      <w:r w:rsidR="00266D81" w:rsidRPr="00266D81">
        <w:t>needs will experience significantly increased electric load by installing electric appliances; these households are likely to receive the most benefit from installing storage to help manage their increased electricity costs.</w:t>
      </w:r>
    </w:p>
    <w:p w14:paraId="22569D27" w14:textId="48C0F37A" w:rsidR="00A71C34" w:rsidRDefault="008323C3" w:rsidP="00155CFC">
      <w:pPr>
        <w:pStyle w:val="ALJBodyText"/>
      </w:pPr>
      <w:r>
        <w:t>The SGIP budget to support the SJV DAC pilot projects approved in D.18</w:t>
      </w:r>
      <w:r w:rsidR="00757681">
        <w:noBreakHyphen/>
      </w:r>
      <w:r>
        <w:t>12</w:t>
      </w:r>
      <w:r w:rsidR="00757681">
        <w:noBreakHyphen/>
      </w:r>
      <w:r>
        <w:t xml:space="preserve">015 shall be no more than $10 million.  PG&amp;E and SCE shall </w:t>
      </w:r>
      <w:r w:rsidR="00172E15">
        <w:t>include a proposal to set</w:t>
      </w:r>
      <w:r w:rsidR="00757681">
        <w:noBreakHyphen/>
      </w:r>
      <w:r w:rsidR="00172E15">
        <w:t xml:space="preserve">aside </w:t>
      </w:r>
      <w:r>
        <w:t xml:space="preserve">no less than $5 million each from their </w:t>
      </w:r>
      <w:r w:rsidR="00FF4975">
        <w:t>accumulated unused</w:t>
      </w:r>
      <w:r w:rsidR="00172E15">
        <w:t xml:space="preserve"> </w:t>
      </w:r>
      <w:r>
        <w:lastRenderedPageBreak/>
        <w:t>non</w:t>
      </w:r>
      <w:r w:rsidR="00757681">
        <w:noBreakHyphen/>
      </w:r>
      <w:r>
        <w:t xml:space="preserve">residential equity budgets for up to five years, for </w:t>
      </w:r>
      <w:r w:rsidR="00172E15">
        <w:t xml:space="preserve">this purpose.  </w:t>
      </w:r>
      <w:r>
        <w:t xml:space="preserve">Unreserved funds remaining in </w:t>
      </w:r>
      <w:r w:rsidR="00172E15">
        <w:t xml:space="preserve">the </w:t>
      </w:r>
      <w:r>
        <w:t xml:space="preserve">SJV </w:t>
      </w:r>
      <w:r w:rsidR="00172E15">
        <w:t>pilot set</w:t>
      </w:r>
      <w:r w:rsidR="00757681">
        <w:noBreakHyphen/>
      </w:r>
      <w:r w:rsidR="00172E15">
        <w:t xml:space="preserve">aside </w:t>
      </w:r>
      <w:r>
        <w:t>as of f</w:t>
      </w:r>
      <w:r w:rsidR="00BF28BC">
        <w:t xml:space="preserve">our </w:t>
      </w:r>
      <w:r>
        <w:t>years from issuance of this decision shall be reallocated to the residential equity budget at that time.</w:t>
      </w:r>
      <w:r w:rsidR="00BF28BC">
        <w:t xml:space="preserve"> </w:t>
      </w:r>
      <w:r w:rsidR="0053240B">
        <w:t xml:space="preserve"> </w:t>
      </w:r>
    </w:p>
    <w:p w14:paraId="074A046A" w14:textId="4AC826DD" w:rsidR="00CE1996" w:rsidRDefault="007548F7" w:rsidP="00CE14ED">
      <w:pPr>
        <w:pStyle w:val="ALJHeading1"/>
      </w:pPr>
      <w:bookmarkStart w:id="89" w:name="_Toc15908104"/>
      <w:r>
        <w:t>SJ</w:t>
      </w:r>
      <w:r w:rsidR="00754CCC">
        <w:t>V</w:t>
      </w:r>
      <w:r>
        <w:t xml:space="preserve"> </w:t>
      </w:r>
      <w:r w:rsidR="009A2C52">
        <w:t xml:space="preserve">Pilot </w:t>
      </w:r>
      <w:r w:rsidR="000F6D9A">
        <w:t>I</w:t>
      </w:r>
      <w:r w:rsidR="00044899">
        <w:t>ncentive</w:t>
      </w:r>
      <w:r w:rsidR="000F6D9A">
        <w:t xml:space="preserve"> Design and Eligibility Criteria</w:t>
      </w:r>
      <w:bookmarkEnd w:id="89"/>
    </w:p>
    <w:p w14:paraId="29743A59" w14:textId="76AFC068" w:rsidR="00243BA7" w:rsidRPr="00243BA7" w:rsidRDefault="00243BA7" w:rsidP="00243BA7">
      <w:pPr>
        <w:pStyle w:val="ALJBodyText"/>
      </w:pPr>
      <w:r>
        <w:t xml:space="preserve">The </w:t>
      </w:r>
      <w:r w:rsidR="00366C16">
        <w:t xml:space="preserve">SGIP ACR asked parties to comment on whether the </w:t>
      </w:r>
      <w:r w:rsidR="00742863">
        <w:t xml:space="preserve">SGIP </w:t>
      </w:r>
      <w:r w:rsidR="00330289">
        <w:t xml:space="preserve">should </w:t>
      </w:r>
      <w:r w:rsidR="00FC3635">
        <w:t>adopt incentives t</w:t>
      </w:r>
      <w:r w:rsidR="00330289">
        <w:t xml:space="preserve">o </w:t>
      </w:r>
      <w:r w:rsidR="00FC3635">
        <w:t xml:space="preserve">cover the full installed costs </w:t>
      </w:r>
      <w:r w:rsidR="00330289">
        <w:t xml:space="preserve">of </w:t>
      </w:r>
      <w:r w:rsidR="00742863">
        <w:t xml:space="preserve">residential </w:t>
      </w:r>
      <w:r w:rsidR="008F3A7A">
        <w:t>and non</w:t>
      </w:r>
      <w:r w:rsidR="00757681">
        <w:noBreakHyphen/>
      </w:r>
      <w:r w:rsidR="008F3A7A">
        <w:t xml:space="preserve">residential systems in SJV </w:t>
      </w:r>
      <w:r w:rsidR="00742863">
        <w:t xml:space="preserve">pilot host communities up to a </w:t>
      </w:r>
      <w:r w:rsidR="00FC3635">
        <w:t xml:space="preserve">project </w:t>
      </w:r>
      <w:r w:rsidR="00742863">
        <w:t xml:space="preserve">cost cap of $11,979 </w:t>
      </w:r>
      <w:r w:rsidR="008F3A7A">
        <w:t xml:space="preserve">and $26,379 </w:t>
      </w:r>
      <w:r w:rsidR="002777FD">
        <w:t>respectively</w:t>
      </w:r>
      <w:r w:rsidR="008F3A7A">
        <w:t>.</w:t>
      </w:r>
      <w:r w:rsidR="00742863">
        <w:rPr>
          <w:rStyle w:val="FootnoteReference"/>
        </w:rPr>
        <w:footnoteReference w:id="113"/>
      </w:r>
      <w:r w:rsidR="008F3A7A">
        <w:t xml:space="preserve">  </w:t>
      </w:r>
      <w:r w:rsidR="000F6D9A">
        <w:t xml:space="preserve">The SGIP ACR </w:t>
      </w:r>
      <w:r w:rsidR="00A87656">
        <w:t xml:space="preserve">also </w:t>
      </w:r>
      <w:r w:rsidR="000F6D9A">
        <w:t xml:space="preserve">asked if </w:t>
      </w:r>
      <w:r w:rsidR="002777FD">
        <w:t xml:space="preserve">the SJV pilot community of </w:t>
      </w:r>
      <w:r w:rsidR="000F6D9A">
        <w:t>California City should be eligible for any approved incentives, in addition to the 10 communities identified in the SJV ACR</w:t>
      </w:r>
      <w:r w:rsidR="00B44B0A">
        <w:t>.</w:t>
      </w:r>
    </w:p>
    <w:p w14:paraId="446C5336" w14:textId="37F32845" w:rsidR="00044899" w:rsidRDefault="00044899" w:rsidP="00C151FC">
      <w:pPr>
        <w:pStyle w:val="ALJHeading2"/>
      </w:pPr>
      <w:bookmarkStart w:id="90" w:name="_Toc15908105"/>
      <w:r>
        <w:t>Party Comments</w:t>
      </w:r>
      <w:bookmarkEnd w:id="90"/>
    </w:p>
    <w:p w14:paraId="419A68D7" w14:textId="6893B834" w:rsidR="00CE2349" w:rsidRDefault="00BB6E33" w:rsidP="00742863">
      <w:pPr>
        <w:pStyle w:val="ALJBodyText"/>
      </w:pPr>
      <w:r>
        <w:t xml:space="preserve">Most parties broadly agree </w:t>
      </w:r>
      <w:r w:rsidR="005F6A2A">
        <w:t xml:space="preserve">that SGIP </w:t>
      </w:r>
      <w:r w:rsidR="009F6054">
        <w:t>should fully or nearly</w:t>
      </w:r>
      <w:r w:rsidR="00757681">
        <w:noBreakHyphen/>
      </w:r>
      <w:r w:rsidR="009F6054">
        <w:t xml:space="preserve">fully subsidize the cost of residential storage systems in </w:t>
      </w:r>
      <w:r w:rsidR="00C45038">
        <w:t xml:space="preserve">eligible households in the </w:t>
      </w:r>
      <w:r w:rsidR="009F6054">
        <w:t xml:space="preserve">SJV </w:t>
      </w:r>
      <w:r>
        <w:t xml:space="preserve">pilot </w:t>
      </w:r>
      <w:r w:rsidR="009F6054">
        <w:t>communities</w:t>
      </w:r>
      <w:r w:rsidR="00B6758B">
        <w:t xml:space="preserve"> but </w:t>
      </w:r>
      <w:r w:rsidR="003867FF">
        <w:t xml:space="preserve">that subsidies </w:t>
      </w:r>
      <w:r w:rsidR="00B6758B">
        <w:t xml:space="preserve">must not exceed the </w:t>
      </w:r>
      <w:r w:rsidR="00A87656">
        <w:t xml:space="preserve">total eligible projects </w:t>
      </w:r>
      <w:r w:rsidR="00B6758B">
        <w:t>cost</w:t>
      </w:r>
      <w:r>
        <w:t xml:space="preserve">s of the installed unit, as required in the SGIP </w:t>
      </w:r>
      <w:r w:rsidR="005C51F5">
        <w:t>handbook</w:t>
      </w:r>
      <w:r>
        <w:t>.</w:t>
      </w:r>
      <w:r>
        <w:rPr>
          <w:rStyle w:val="FootnoteReference"/>
        </w:rPr>
        <w:footnoteReference w:id="114"/>
      </w:r>
      <w:r w:rsidR="007361B5">
        <w:t xml:space="preserve"> </w:t>
      </w:r>
      <w:r>
        <w:t xml:space="preserve"> </w:t>
      </w:r>
      <w:r w:rsidR="00742863">
        <w:t>Most parties</w:t>
      </w:r>
      <w:r w:rsidR="00CE2349">
        <w:t xml:space="preserve"> </w:t>
      </w:r>
      <w:r>
        <w:t>recommend</w:t>
      </w:r>
      <w:r w:rsidR="00941464">
        <w:t xml:space="preserve"> increasing incentive levels to accomplish this, rather than adopting a fixed </w:t>
      </w:r>
      <w:r w:rsidR="00742863">
        <w:t>cost</w:t>
      </w:r>
      <w:r w:rsidR="00757681">
        <w:noBreakHyphen/>
      </w:r>
      <w:r w:rsidR="00742863">
        <w:t>cap per unit.</w:t>
      </w:r>
      <w:r w:rsidR="00CE2349">
        <w:t xml:space="preserve">  </w:t>
      </w:r>
      <w:r w:rsidR="007361B5">
        <w:t>PG&amp;E</w:t>
      </w:r>
      <w:r w:rsidR="00CE2349">
        <w:t xml:space="preserve"> </w:t>
      </w:r>
      <w:r>
        <w:t>recommends</w:t>
      </w:r>
      <w:r w:rsidR="007361B5">
        <w:t xml:space="preserve"> the Commission audit actual costs and use the information to set a cost cap per unit.</w:t>
      </w:r>
      <w:r w:rsidR="001E2972">
        <w:t xml:space="preserve">  </w:t>
      </w:r>
    </w:p>
    <w:p w14:paraId="065CB40A" w14:textId="2C0B9F82" w:rsidR="00044899" w:rsidRDefault="005240C1" w:rsidP="00742863">
      <w:pPr>
        <w:pStyle w:val="ALJBodyText"/>
      </w:pPr>
      <w:r>
        <w:t>CALSSA</w:t>
      </w:r>
      <w:r w:rsidR="002B2BA7">
        <w:t xml:space="preserve"> did not comment on </w:t>
      </w:r>
      <w:r w:rsidR="006F0D7C">
        <w:t xml:space="preserve">the </w:t>
      </w:r>
      <w:r w:rsidR="000427C4">
        <w:t>proposed S</w:t>
      </w:r>
      <w:r w:rsidR="00B42582">
        <w:t>JV</w:t>
      </w:r>
      <w:r w:rsidR="000427C4">
        <w:t xml:space="preserve"> pilot set</w:t>
      </w:r>
      <w:r w:rsidR="00757681">
        <w:noBreakHyphen/>
      </w:r>
      <w:r w:rsidR="000427C4">
        <w:t xml:space="preserve">aside, but </w:t>
      </w:r>
      <w:r w:rsidR="00941464">
        <w:t xml:space="preserve">recommends in </w:t>
      </w:r>
      <w:r w:rsidR="00BB6E33">
        <w:t>e</w:t>
      </w:r>
      <w:r w:rsidR="002D1CD0">
        <w:t>quity budget</w:t>
      </w:r>
      <w:r w:rsidR="00941464">
        <w:t xml:space="preserve"> comments </w:t>
      </w:r>
      <w:r w:rsidR="00BB6E33">
        <w:t xml:space="preserve">that </w:t>
      </w:r>
      <w:r w:rsidR="00941464">
        <w:t xml:space="preserve">the Commission set </w:t>
      </w:r>
      <w:r w:rsidR="000427C4">
        <w:t xml:space="preserve">residential </w:t>
      </w:r>
      <w:r w:rsidR="00941464">
        <w:t xml:space="preserve">incentives </w:t>
      </w:r>
      <w:r w:rsidR="002F1359">
        <w:t xml:space="preserve">at the </w:t>
      </w:r>
      <w:r w:rsidR="00751FEA">
        <w:t>“</w:t>
      </w:r>
      <w:r w:rsidR="00941464">
        <w:t>anticipated full cost” level, which it states should be equal to about</w:t>
      </w:r>
      <w:r w:rsidR="00751FEA">
        <w:t xml:space="preserve"> 85 percent of </w:t>
      </w:r>
      <w:r w:rsidR="00BB6E33">
        <w:t xml:space="preserve">the </w:t>
      </w:r>
      <w:r w:rsidR="00751FEA">
        <w:t xml:space="preserve">total installed </w:t>
      </w:r>
      <w:r w:rsidR="00941464">
        <w:t xml:space="preserve">median cost of residential systems added to </w:t>
      </w:r>
      <w:r w:rsidR="00751FEA">
        <w:t xml:space="preserve">the SGIP database </w:t>
      </w:r>
      <w:r w:rsidR="004E23D2">
        <w:t>over the last six months</w:t>
      </w:r>
      <w:r w:rsidR="000427C4">
        <w:t>.  CALSSA estimate</w:t>
      </w:r>
      <w:r w:rsidR="00291EDC">
        <w:t>s</w:t>
      </w:r>
      <w:r w:rsidR="000427C4">
        <w:t xml:space="preserve"> that this </w:t>
      </w:r>
      <w:r w:rsidR="00B556EA">
        <w:t xml:space="preserve">would </w:t>
      </w:r>
      <w:r w:rsidR="00B556EA">
        <w:lastRenderedPageBreak/>
        <w:t xml:space="preserve">result in incentives of </w:t>
      </w:r>
      <w:r w:rsidR="004E23D2">
        <w:t>about $0.80/Wh</w:t>
      </w:r>
      <w:r w:rsidR="00291EDC">
        <w:t xml:space="preserve"> </w:t>
      </w:r>
      <w:r w:rsidR="00757681">
        <w:noBreakHyphen/>
      </w:r>
      <w:r w:rsidR="00291EDC">
        <w:t xml:space="preserve"> $0.83/Wh</w:t>
      </w:r>
      <w:r w:rsidR="004E23D2">
        <w:t>.</w:t>
      </w:r>
      <w:r w:rsidR="004E23D2">
        <w:rPr>
          <w:rStyle w:val="FootnoteReference"/>
        </w:rPr>
        <w:footnoteReference w:id="115"/>
      </w:r>
      <w:r w:rsidR="000F6D9A">
        <w:t xml:space="preserve"> </w:t>
      </w:r>
      <w:r w:rsidR="00276192">
        <w:t xml:space="preserve"> </w:t>
      </w:r>
      <w:r w:rsidR="007F3843">
        <w:t>GRID/</w:t>
      </w:r>
      <w:r w:rsidR="00C54DFC">
        <w:t>CHPC</w:t>
      </w:r>
      <w:r w:rsidR="007F3843">
        <w:t xml:space="preserve"> assert that the “cost of storage for low</w:t>
      </w:r>
      <w:r w:rsidR="00757681">
        <w:noBreakHyphen/>
      </w:r>
      <w:r w:rsidR="007F3843">
        <w:t>income customers may be even higher than average or median costs reported in the residential SGIP program currently, because low</w:t>
      </w:r>
      <w:r w:rsidR="00757681">
        <w:noBreakHyphen/>
      </w:r>
      <w:r w:rsidR="007F3843">
        <w:t>income customers are more likely to live in structures with challenging installation conditions.”</w:t>
      </w:r>
      <w:r w:rsidR="007F3843">
        <w:rPr>
          <w:rStyle w:val="FootnoteReference"/>
        </w:rPr>
        <w:footnoteReference w:id="116"/>
      </w:r>
      <w:r w:rsidR="007F3843">
        <w:t xml:space="preserve">  GRID/</w:t>
      </w:r>
      <w:r w:rsidR="00C54DFC">
        <w:t>CHPC</w:t>
      </w:r>
      <w:r w:rsidR="007F3843">
        <w:t xml:space="preserve"> recommend authorizing an </w:t>
      </w:r>
      <w:r w:rsidR="00941464">
        <w:t xml:space="preserve">incentive of </w:t>
      </w:r>
      <w:r w:rsidR="007F3843">
        <w:t>up to $1.10/Wh total per household</w:t>
      </w:r>
      <w:r w:rsidR="00941464">
        <w:t xml:space="preserve"> in the SJV pilot communities</w:t>
      </w:r>
      <w:r w:rsidR="007F3843">
        <w:t>, o</w:t>
      </w:r>
      <w:r w:rsidR="005E2AA2">
        <w:t>bserving that a $10 </w:t>
      </w:r>
      <w:r w:rsidR="00941464">
        <w:t>million incentive budget</w:t>
      </w:r>
      <w:r w:rsidR="007F3843">
        <w:t xml:space="preserve"> at this level could fund </w:t>
      </w:r>
      <w:r w:rsidR="004F7CE3">
        <w:t xml:space="preserve">the installation of </w:t>
      </w:r>
      <w:r w:rsidR="007F3843">
        <w:t xml:space="preserve">storage </w:t>
      </w:r>
      <w:r w:rsidR="004F7CE3">
        <w:t xml:space="preserve">systems in about </w:t>
      </w:r>
      <w:r w:rsidR="00941464">
        <w:t xml:space="preserve">half (680) </w:t>
      </w:r>
      <w:r w:rsidR="004F7CE3">
        <w:t xml:space="preserve">of the </w:t>
      </w:r>
      <w:r w:rsidR="007F3843">
        <w:t>households par</w:t>
      </w:r>
      <w:r w:rsidR="004F7CE3">
        <w:t>ticipating in the SJV pilot.</w:t>
      </w:r>
      <w:r w:rsidR="007F3843">
        <w:t xml:space="preserve"> </w:t>
      </w:r>
      <w:r w:rsidR="00276192">
        <w:t xml:space="preserve"> </w:t>
      </w:r>
      <w:r w:rsidR="00291EDC">
        <w:t xml:space="preserve">GRID argues in comments on the proposed decision that the higher incentive level of $1.10/Wh is warranted for the SJV pilots because of the remoteness of the locations of the communities, rising contractor costs, and to overcome resident’s hesitancy to electrify or rely on electricity due to residents’ perceptions’ regarding the reliability of electric supply in the area. </w:t>
      </w:r>
      <w:r w:rsidR="002F3FEF">
        <w:t xml:space="preserve"> In addition, GRID argues that average costs in the SGIP database thus far reflect costs for “early adopter” households, who are unlikely to face the same barriers to participation as equity budget</w:t>
      </w:r>
      <w:r w:rsidR="00757681">
        <w:noBreakHyphen/>
      </w:r>
      <w:r w:rsidR="002F3FEF">
        <w:t xml:space="preserve">eligible customers.  </w:t>
      </w:r>
      <w:r w:rsidR="00276192">
        <w:t>As noted earlier, Tesla reports installed costs for its residential Powerwall systems of $0.73/Wh.</w:t>
      </w:r>
      <w:r w:rsidR="00276192">
        <w:rPr>
          <w:rStyle w:val="FootnoteReference"/>
        </w:rPr>
        <w:footnoteReference w:id="117"/>
      </w:r>
    </w:p>
    <w:p w14:paraId="73CFA338" w14:textId="264AB638" w:rsidR="000F6D9A" w:rsidRDefault="008F3A7A" w:rsidP="00742863">
      <w:pPr>
        <w:pStyle w:val="ALJBodyText"/>
      </w:pPr>
      <w:r>
        <w:t xml:space="preserve">  SCE </w:t>
      </w:r>
      <w:r w:rsidR="00941464">
        <w:t xml:space="preserve">supports </w:t>
      </w:r>
      <w:r>
        <w:t>fully subsidizing non</w:t>
      </w:r>
      <w:r w:rsidR="00757681">
        <w:noBreakHyphen/>
      </w:r>
      <w:r>
        <w:t xml:space="preserve">residential systems in the SJV pilot communities up to a $26,379 cost cap. </w:t>
      </w:r>
      <w:r w:rsidR="00941464">
        <w:t xml:space="preserve"> No other party commented on this issue.</w:t>
      </w:r>
      <w:r w:rsidR="00C72E46">
        <w:t xml:space="preserve"> </w:t>
      </w:r>
      <w:r w:rsidR="005E2AA2">
        <w:t xml:space="preserve"> </w:t>
      </w:r>
      <w:r w:rsidR="00C72E46">
        <w:t>Most parties</w:t>
      </w:r>
      <w:r w:rsidR="000F6D9A">
        <w:t xml:space="preserve"> support including California City in the list of eligibl</w:t>
      </w:r>
      <w:r w:rsidR="003074A7">
        <w:t xml:space="preserve">e SJV pilot communities, observing </w:t>
      </w:r>
      <w:r w:rsidR="000F6D9A">
        <w:t>that D.18</w:t>
      </w:r>
      <w:r w:rsidR="00757681">
        <w:noBreakHyphen/>
      </w:r>
      <w:r w:rsidR="000F6D9A">
        <w:t>12</w:t>
      </w:r>
      <w:r w:rsidR="00757681">
        <w:noBreakHyphen/>
      </w:r>
      <w:r w:rsidR="000F6D9A">
        <w:t>01</w:t>
      </w:r>
      <w:r w:rsidR="00BC638C">
        <w:t>5</w:t>
      </w:r>
      <w:r w:rsidR="000F6D9A">
        <w:t xml:space="preserve"> approved home electrification pilot activities in this community </w:t>
      </w:r>
      <w:r w:rsidR="003074A7">
        <w:t xml:space="preserve">and </w:t>
      </w:r>
      <w:r w:rsidR="00155432">
        <w:t xml:space="preserve">that </w:t>
      </w:r>
      <w:r w:rsidR="003074A7">
        <w:t xml:space="preserve">no rationale was provided to exclude </w:t>
      </w:r>
      <w:r w:rsidR="003074A7">
        <w:lastRenderedPageBreak/>
        <w:t>California City.</w:t>
      </w:r>
      <w:r w:rsidR="00291EDC">
        <w:t xml:space="preserve">  </w:t>
      </w:r>
      <w:r w:rsidR="000F6D9A">
        <w:t>SC/NRDC propose that o</w:t>
      </w:r>
      <w:r w:rsidR="003074A7">
        <w:t>nly households in the pilot communities that newly</w:t>
      </w:r>
      <w:r w:rsidR="00757681">
        <w:noBreakHyphen/>
      </w:r>
      <w:r w:rsidR="003074A7">
        <w:t xml:space="preserve">install </w:t>
      </w:r>
      <w:r w:rsidR="000F6D9A">
        <w:t>electric appliances to replace propane or wood</w:t>
      </w:r>
      <w:r w:rsidR="00757681">
        <w:noBreakHyphen/>
      </w:r>
      <w:r w:rsidR="000F6D9A">
        <w:t>burning appliances</w:t>
      </w:r>
      <w:r w:rsidR="0015787C">
        <w:t xml:space="preserve"> </w:t>
      </w:r>
      <w:r w:rsidR="000F6D9A">
        <w:t xml:space="preserve">should be eligible for the </w:t>
      </w:r>
      <w:r w:rsidR="00941464">
        <w:t>SGIP set</w:t>
      </w:r>
      <w:r w:rsidR="00757681">
        <w:noBreakHyphen/>
      </w:r>
      <w:r w:rsidR="00941464">
        <w:t xml:space="preserve">aside and full subsidies. </w:t>
      </w:r>
      <w:r w:rsidR="0015787C">
        <w:t xml:space="preserve"> In comments on the proposed decision, PG&amp;E argues that households in the pilot communities that newly</w:t>
      </w:r>
      <w:r w:rsidR="00757681">
        <w:noBreakHyphen/>
      </w:r>
      <w:r w:rsidR="0015787C">
        <w:t>install electric appliances to replace inefficient or inoperable electric appliances should also be eligible for the SGIP set</w:t>
      </w:r>
      <w:r w:rsidR="00757681">
        <w:noBreakHyphen/>
      </w:r>
      <w:r w:rsidR="0015787C">
        <w:t xml:space="preserve">aside and full subsidies.  </w:t>
      </w:r>
    </w:p>
    <w:p w14:paraId="4D40909F" w14:textId="0E718E81" w:rsidR="00500791" w:rsidRPr="00044899" w:rsidRDefault="00500791" w:rsidP="00C151FC">
      <w:pPr>
        <w:pStyle w:val="ALJHeading2"/>
      </w:pPr>
      <w:bookmarkStart w:id="91" w:name="_Toc15908106"/>
      <w:r>
        <w:t>Discussion</w:t>
      </w:r>
      <w:bookmarkEnd w:id="91"/>
    </w:p>
    <w:p w14:paraId="2CC6B5B2" w14:textId="4FE39C8D" w:rsidR="0003265E" w:rsidRDefault="006B1652">
      <w:pPr>
        <w:pStyle w:val="ALJBodyText"/>
      </w:pPr>
      <w:r>
        <w:t xml:space="preserve">There is limited information available to justify a particular incentive </w:t>
      </w:r>
      <w:r w:rsidR="00C72E46">
        <w:t xml:space="preserve">level </w:t>
      </w:r>
      <w:r>
        <w:t>o</w:t>
      </w:r>
      <w:r w:rsidR="00BB6E33">
        <w:t xml:space="preserve">r per unit cost cap for SJV </w:t>
      </w:r>
      <w:r>
        <w:t xml:space="preserve">pilot residential </w:t>
      </w:r>
      <w:r w:rsidR="008F3A7A">
        <w:t>or non</w:t>
      </w:r>
      <w:r w:rsidR="00757681">
        <w:noBreakHyphen/>
      </w:r>
      <w:r w:rsidR="008F3A7A">
        <w:t xml:space="preserve">residential </w:t>
      </w:r>
      <w:r>
        <w:t xml:space="preserve">systems.  </w:t>
      </w:r>
      <w:r w:rsidR="0003265E">
        <w:t xml:space="preserve">However, parties persuade us in </w:t>
      </w:r>
      <w:r w:rsidR="00291EDC">
        <w:t>comments</w:t>
      </w:r>
      <w:r w:rsidR="0003265E">
        <w:t xml:space="preserve"> on the proposed decision </w:t>
      </w:r>
      <w:r w:rsidR="00291EDC">
        <w:t>tha</w:t>
      </w:r>
      <w:r w:rsidR="0003265E">
        <w:t>t the risk of lack of uptake of our modified equity budget incentives because these do not sufficiently cover actual project costs is greater than the risk of developers elevating project costs because this Commission has set the incentive levels too high.  Similar to the equity resiliency budget and equity budgets, lack of use of our modified SJV pilot set</w:t>
      </w:r>
      <w:r w:rsidR="00757681">
        <w:noBreakHyphen/>
      </w:r>
      <w:r w:rsidR="0003265E">
        <w:t xml:space="preserve">aside incentives in the next several </w:t>
      </w:r>
      <w:r w:rsidR="002F3FEF">
        <w:t xml:space="preserve">years </w:t>
      </w:r>
      <w:r w:rsidR="0003265E">
        <w:t xml:space="preserve">would be an unacceptable outcome of this decision.  For the SJV </w:t>
      </w:r>
      <w:r w:rsidR="004D0A87">
        <w:t>p</w:t>
      </w:r>
      <w:r w:rsidR="0003265E">
        <w:t>ilot set</w:t>
      </w:r>
      <w:r w:rsidR="00757681">
        <w:noBreakHyphen/>
      </w:r>
      <w:r w:rsidR="0003265E">
        <w:t>aside, the risk of lack of uptake for this reason would mean that the SJV pilots fail to garner insights into the</w:t>
      </w:r>
      <w:r w:rsidR="00A35276">
        <w:t xml:space="preserve"> </w:t>
      </w:r>
      <w:r w:rsidR="0003265E">
        <w:t xml:space="preserve">research questions posed for these pilots regarding storage and that participating community members </w:t>
      </w:r>
      <w:r w:rsidR="002F3FEF">
        <w:t xml:space="preserve">may </w:t>
      </w:r>
      <w:r w:rsidR="0003265E">
        <w:t xml:space="preserve">not have access to energy systems that meet their needs. </w:t>
      </w:r>
    </w:p>
    <w:p w14:paraId="3A857B03" w14:textId="2DA3D175" w:rsidR="00A87656" w:rsidRDefault="0003265E">
      <w:pPr>
        <w:pStyle w:val="ALJBodyText"/>
      </w:pPr>
      <w:r>
        <w:t xml:space="preserve">Given this, we </w:t>
      </w:r>
      <w:r w:rsidR="008F3A7A">
        <w:t>adopt a</w:t>
      </w:r>
      <w:r>
        <w:t xml:space="preserve">n incentive level of </w:t>
      </w:r>
      <w:r w:rsidR="000F6D9A" w:rsidRPr="00A87656">
        <w:t>$</w:t>
      </w:r>
      <w:r>
        <w:t>1.00</w:t>
      </w:r>
      <w:r w:rsidR="000F6D9A" w:rsidRPr="00A87656">
        <w:t>/Wh</w:t>
      </w:r>
      <w:r w:rsidR="004F70E5">
        <w:t xml:space="preserve"> </w:t>
      </w:r>
      <w:r w:rsidR="003074A7">
        <w:t>for the SJV pilot communities</w:t>
      </w:r>
      <w:r w:rsidR="004F70E5">
        <w:t>.</w:t>
      </w:r>
      <w:r w:rsidR="00867913">
        <w:t xml:space="preserve"> </w:t>
      </w:r>
      <w:r w:rsidR="000F6D9A">
        <w:t xml:space="preserve"> Our intent is that </w:t>
      </w:r>
      <w:r w:rsidR="00C72E46">
        <w:t xml:space="preserve">our approved incentive </w:t>
      </w:r>
      <w:r w:rsidR="000F6D9A">
        <w:t>level will fully or nearly fully subsidize both residential and non</w:t>
      </w:r>
      <w:r w:rsidR="00757681">
        <w:noBreakHyphen/>
      </w:r>
      <w:r w:rsidR="000F6D9A">
        <w:t>residen</w:t>
      </w:r>
      <w:r w:rsidR="003074A7">
        <w:t xml:space="preserve">tial storage systems in these </w:t>
      </w:r>
      <w:r w:rsidR="000F6D9A">
        <w:t xml:space="preserve">communities. </w:t>
      </w:r>
      <w:r w:rsidR="003074A7">
        <w:t xml:space="preserve"> </w:t>
      </w:r>
      <w:r w:rsidR="007A3639">
        <w:t xml:space="preserve">We do not adopt a project cost cap.  </w:t>
      </w:r>
      <w:r w:rsidR="002F3FEF">
        <w:t>However, w</w:t>
      </w:r>
      <w:r>
        <w:t>e stress, again, that a</w:t>
      </w:r>
      <w:r w:rsidR="003074A7">
        <w:t xml:space="preserve">s required in the SGIP </w:t>
      </w:r>
      <w:r w:rsidR="005C51F5">
        <w:t>handbook</w:t>
      </w:r>
      <w:r w:rsidR="003074A7">
        <w:t>, approved project incentives</w:t>
      </w:r>
      <w:r w:rsidR="00BB6E33">
        <w:t xml:space="preserve"> must not </w:t>
      </w:r>
      <w:r w:rsidR="00BB6E33">
        <w:lastRenderedPageBreak/>
        <w:t>exceed actual project</w:t>
      </w:r>
      <w:r w:rsidR="003074A7">
        <w:t xml:space="preserve"> costs. </w:t>
      </w:r>
      <w:r w:rsidR="003A2240">
        <w:t xml:space="preserve"> In addition, SJV pilot </w:t>
      </w:r>
      <w:r>
        <w:t xml:space="preserve">projects are subject to </w:t>
      </w:r>
      <w:r w:rsidR="000F3E2E">
        <w:t>the modification to the SGIP handbook tha</w:t>
      </w:r>
      <w:r w:rsidR="00155432">
        <w:t xml:space="preserve">t we adopt in Section 5.2.2, which </w:t>
      </w:r>
      <w:r w:rsidR="000F3E2E">
        <w:t>state</w:t>
      </w:r>
      <w:r>
        <w:t>s</w:t>
      </w:r>
      <w:r w:rsidR="000F3E2E">
        <w:t xml:space="preserve"> that “v</w:t>
      </w:r>
      <w:r w:rsidR="000F3E2E" w:rsidRPr="00072163">
        <w:t xml:space="preserve">endors/developers shall not sell a </w:t>
      </w:r>
      <w:r w:rsidR="00A35276">
        <w:t xml:space="preserve">residential </w:t>
      </w:r>
      <w:r w:rsidR="000F3E2E" w:rsidRPr="00072163">
        <w:t>storage system that receives incentives for a total price (before incentives) that is greater than the price they sell a comparable system that does not receive incentives</w:t>
      </w:r>
      <w:r w:rsidR="00155432">
        <w:t xml:space="preserve">,” as well as the </w:t>
      </w:r>
      <w:r w:rsidR="000F3E2E">
        <w:t>additional steps we approve to explore implementing an SGIP price cap.</w:t>
      </w:r>
    </w:p>
    <w:p w14:paraId="68C344FB" w14:textId="1947B4EC" w:rsidR="00253D85" w:rsidRDefault="00FC132E" w:rsidP="00197C2A">
      <w:pPr>
        <w:pStyle w:val="ALJBodyText"/>
        <w:rPr>
          <w:szCs w:val="26"/>
        </w:rPr>
      </w:pPr>
      <w:r>
        <w:rPr>
          <w:szCs w:val="26"/>
        </w:rPr>
        <w:t xml:space="preserve">Including </w:t>
      </w:r>
      <w:r w:rsidR="003074A7" w:rsidRPr="001A31CC">
        <w:rPr>
          <w:szCs w:val="26"/>
        </w:rPr>
        <w:t xml:space="preserve">California City </w:t>
      </w:r>
      <w:r>
        <w:rPr>
          <w:szCs w:val="26"/>
        </w:rPr>
        <w:t>in the pilot communities eligible to access the SJV pilot set</w:t>
      </w:r>
      <w:r w:rsidR="00757681">
        <w:rPr>
          <w:szCs w:val="26"/>
        </w:rPr>
        <w:noBreakHyphen/>
      </w:r>
      <w:r>
        <w:rPr>
          <w:szCs w:val="26"/>
        </w:rPr>
        <w:t xml:space="preserve">aside will allow </w:t>
      </w:r>
      <w:r w:rsidR="00A87656">
        <w:rPr>
          <w:szCs w:val="26"/>
        </w:rPr>
        <w:t xml:space="preserve">qualifying households and </w:t>
      </w:r>
      <w:r w:rsidR="003A0F1F">
        <w:rPr>
          <w:szCs w:val="26"/>
        </w:rPr>
        <w:t>non</w:t>
      </w:r>
      <w:r w:rsidR="00757681">
        <w:rPr>
          <w:szCs w:val="26"/>
        </w:rPr>
        <w:noBreakHyphen/>
      </w:r>
      <w:r>
        <w:rPr>
          <w:szCs w:val="26"/>
        </w:rPr>
        <w:t>residential customer</w:t>
      </w:r>
      <w:r w:rsidR="003A0F1F">
        <w:rPr>
          <w:szCs w:val="26"/>
        </w:rPr>
        <w:t xml:space="preserve">s </w:t>
      </w:r>
      <w:r w:rsidR="00155432">
        <w:rPr>
          <w:szCs w:val="26"/>
        </w:rPr>
        <w:t xml:space="preserve">in this community </w:t>
      </w:r>
      <w:r>
        <w:rPr>
          <w:szCs w:val="26"/>
        </w:rPr>
        <w:t>to access th</w:t>
      </w:r>
      <w:r w:rsidR="003074A7" w:rsidRPr="001A31CC">
        <w:rPr>
          <w:szCs w:val="26"/>
        </w:rPr>
        <w:t>e approved</w:t>
      </w:r>
      <w:r w:rsidR="00A87656">
        <w:rPr>
          <w:szCs w:val="26"/>
        </w:rPr>
        <w:t xml:space="preserve"> SJV pilot</w:t>
      </w:r>
      <w:r w:rsidR="003074A7" w:rsidRPr="001A31CC">
        <w:rPr>
          <w:szCs w:val="26"/>
        </w:rPr>
        <w:t xml:space="preserve"> incentive levels</w:t>
      </w:r>
      <w:r w:rsidR="00253D85">
        <w:rPr>
          <w:szCs w:val="26"/>
        </w:rPr>
        <w:t xml:space="preserve">.  </w:t>
      </w:r>
      <w:r w:rsidR="00A87656">
        <w:rPr>
          <w:szCs w:val="26"/>
        </w:rPr>
        <w:t>N</w:t>
      </w:r>
      <w:r w:rsidR="00253D85" w:rsidRPr="001A31CC">
        <w:rPr>
          <w:szCs w:val="26"/>
        </w:rPr>
        <w:t xml:space="preserve">o party provided a rationale to exclude California City from accessing the approved incentive levels. </w:t>
      </w:r>
      <w:r w:rsidR="00253D85">
        <w:rPr>
          <w:szCs w:val="26"/>
        </w:rPr>
        <w:t xml:space="preserve"> </w:t>
      </w:r>
      <w:r w:rsidR="003074A7" w:rsidRPr="001A31CC">
        <w:rPr>
          <w:szCs w:val="26"/>
        </w:rPr>
        <w:t xml:space="preserve">Therefore, </w:t>
      </w:r>
      <w:r w:rsidR="00253D85">
        <w:rPr>
          <w:szCs w:val="26"/>
        </w:rPr>
        <w:t xml:space="preserve">SGIP </w:t>
      </w:r>
      <w:r w:rsidR="003074A7" w:rsidRPr="001A31CC">
        <w:rPr>
          <w:szCs w:val="26"/>
        </w:rPr>
        <w:t xml:space="preserve">PAs shall offer </w:t>
      </w:r>
      <w:r w:rsidR="00155432">
        <w:rPr>
          <w:szCs w:val="26"/>
        </w:rPr>
        <w:t xml:space="preserve">the </w:t>
      </w:r>
      <w:r w:rsidR="003074A7" w:rsidRPr="001A31CC">
        <w:rPr>
          <w:szCs w:val="26"/>
        </w:rPr>
        <w:t>approved</w:t>
      </w:r>
      <w:r w:rsidR="00253D85">
        <w:rPr>
          <w:szCs w:val="26"/>
        </w:rPr>
        <w:t xml:space="preserve"> SJV pilot</w:t>
      </w:r>
      <w:r w:rsidR="003074A7" w:rsidRPr="001A31CC">
        <w:rPr>
          <w:szCs w:val="26"/>
        </w:rPr>
        <w:t xml:space="preserve"> incentives in </w:t>
      </w:r>
      <w:r w:rsidR="00253D85">
        <w:rPr>
          <w:szCs w:val="26"/>
        </w:rPr>
        <w:t xml:space="preserve">the communities of </w:t>
      </w:r>
      <w:r w:rsidR="003074A7" w:rsidRPr="001A31CC">
        <w:rPr>
          <w:szCs w:val="26"/>
        </w:rPr>
        <w:t xml:space="preserve">Allensworth, Alpaugh, Cantua Creek, Ducor, Fairmead, Lanare, Le Grand, La Vina, Seville, West Goshen, and California City.  </w:t>
      </w:r>
    </w:p>
    <w:p w14:paraId="0ED87FFE" w14:textId="37F76BEB" w:rsidR="001A31CC" w:rsidRDefault="00673FB8" w:rsidP="00197C2A">
      <w:pPr>
        <w:pStyle w:val="ALJBodyText"/>
        <w:rPr>
          <w:szCs w:val="26"/>
        </w:rPr>
      </w:pPr>
      <w:r>
        <w:rPr>
          <w:szCs w:val="26"/>
        </w:rPr>
        <w:t xml:space="preserve">The Commission’s </w:t>
      </w:r>
      <w:r w:rsidR="00155432">
        <w:rPr>
          <w:szCs w:val="26"/>
        </w:rPr>
        <w:t xml:space="preserve">priority is ensuring access to SGIP incentives by </w:t>
      </w:r>
      <w:r w:rsidR="005F666F">
        <w:rPr>
          <w:szCs w:val="26"/>
        </w:rPr>
        <w:t xml:space="preserve">SJV </w:t>
      </w:r>
      <w:r w:rsidR="00A87656">
        <w:rPr>
          <w:szCs w:val="26"/>
        </w:rPr>
        <w:t xml:space="preserve">households </w:t>
      </w:r>
      <w:r w:rsidR="001A31CC">
        <w:rPr>
          <w:szCs w:val="26"/>
        </w:rPr>
        <w:t xml:space="preserve">currently using propane or wood </w:t>
      </w:r>
      <w:r w:rsidR="003A0F1F">
        <w:rPr>
          <w:szCs w:val="26"/>
        </w:rPr>
        <w:t xml:space="preserve">to meet </w:t>
      </w:r>
      <w:r w:rsidR="001A31CC">
        <w:rPr>
          <w:szCs w:val="26"/>
        </w:rPr>
        <w:t>basic needs</w:t>
      </w:r>
      <w:r w:rsidR="005F666F">
        <w:rPr>
          <w:szCs w:val="26"/>
        </w:rPr>
        <w:t xml:space="preserve"> that participate in the SJV pilot</w:t>
      </w:r>
      <w:r w:rsidR="005E2AA2">
        <w:rPr>
          <w:szCs w:val="26"/>
        </w:rPr>
        <w:t xml:space="preserve"> </w:t>
      </w:r>
      <w:r w:rsidR="005F666F">
        <w:rPr>
          <w:szCs w:val="26"/>
        </w:rPr>
        <w:t>—</w:t>
      </w:r>
      <w:r w:rsidR="005E2AA2">
        <w:rPr>
          <w:szCs w:val="26"/>
        </w:rPr>
        <w:t xml:space="preserve"> </w:t>
      </w:r>
      <w:r w:rsidR="005F666F">
        <w:rPr>
          <w:szCs w:val="26"/>
        </w:rPr>
        <w:t xml:space="preserve">because these customers </w:t>
      </w:r>
      <w:r w:rsidR="005F666F" w:rsidRPr="005F666F">
        <w:rPr>
          <w:szCs w:val="26"/>
        </w:rPr>
        <w:t xml:space="preserve">will </w:t>
      </w:r>
      <w:r w:rsidR="005F666F">
        <w:rPr>
          <w:szCs w:val="26"/>
        </w:rPr>
        <w:t>increase their</w:t>
      </w:r>
      <w:r w:rsidR="005F666F" w:rsidRPr="005F666F">
        <w:rPr>
          <w:szCs w:val="26"/>
        </w:rPr>
        <w:t xml:space="preserve"> electric load by installing electr</w:t>
      </w:r>
      <w:r w:rsidR="005F666F">
        <w:rPr>
          <w:szCs w:val="26"/>
        </w:rPr>
        <w:t xml:space="preserve">ic appliances and </w:t>
      </w:r>
      <w:r w:rsidR="005F666F" w:rsidRPr="005F666F">
        <w:rPr>
          <w:szCs w:val="26"/>
        </w:rPr>
        <w:t>are likely to receive the most benefit from install</w:t>
      </w:r>
      <w:r w:rsidR="005F666F">
        <w:rPr>
          <w:szCs w:val="26"/>
        </w:rPr>
        <w:t>ing storage to help manage increased electricity costs</w:t>
      </w:r>
      <w:r w:rsidR="005E2AA2">
        <w:rPr>
          <w:szCs w:val="26"/>
        </w:rPr>
        <w:t xml:space="preserve"> </w:t>
      </w:r>
      <w:r w:rsidR="005F666F">
        <w:rPr>
          <w:szCs w:val="26"/>
        </w:rPr>
        <w:t>— a</w:t>
      </w:r>
      <w:r w:rsidR="00155432">
        <w:rPr>
          <w:szCs w:val="26"/>
        </w:rPr>
        <w:t xml:space="preserve">nd </w:t>
      </w:r>
      <w:r>
        <w:rPr>
          <w:szCs w:val="26"/>
        </w:rPr>
        <w:t>non</w:t>
      </w:r>
      <w:r w:rsidR="00757681">
        <w:rPr>
          <w:szCs w:val="26"/>
        </w:rPr>
        <w:noBreakHyphen/>
      </w:r>
      <w:r>
        <w:rPr>
          <w:szCs w:val="26"/>
        </w:rPr>
        <w:t>residential customers</w:t>
      </w:r>
      <w:r w:rsidR="00253D85">
        <w:rPr>
          <w:szCs w:val="26"/>
        </w:rPr>
        <w:t xml:space="preserve"> providing critical community services</w:t>
      </w:r>
      <w:r w:rsidR="00155432">
        <w:rPr>
          <w:szCs w:val="26"/>
        </w:rPr>
        <w:t xml:space="preserve"> access.  </w:t>
      </w:r>
      <w:r w:rsidR="0015787C">
        <w:rPr>
          <w:szCs w:val="26"/>
        </w:rPr>
        <w:t xml:space="preserve">However, PG&amp;E’s assertion that some households </w:t>
      </w:r>
      <w:r w:rsidR="002F3FEF">
        <w:rPr>
          <w:szCs w:val="26"/>
        </w:rPr>
        <w:t xml:space="preserve">that </w:t>
      </w:r>
      <w:r w:rsidR="0015787C">
        <w:rPr>
          <w:szCs w:val="26"/>
        </w:rPr>
        <w:t>remov</w:t>
      </w:r>
      <w:r w:rsidR="002F3FEF">
        <w:rPr>
          <w:szCs w:val="26"/>
        </w:rPr>
        <w:t>e</w:t>
      </w:r>
      <w:r w:rsidR="0015787C">
        <w:rPr>
          <w:szCs w:val="26"/>
        </w:rPr>
        <w:t xml:space="preserve"> and install</w:t>
      </w:r>
      <w:r w:rsidR="002F3FEF">
        <w:rPr>
          <w:szCs w:val="26"/>
        </w:rPr>
        <w:t xml:space="preserve"> </w:t>
      </w:r>
      <w:r w:rsidR="0015787C">
        <w:rPr>
          <w:szCs w:val="26"/>
        </w:rPr>
        <w:t xml:space="preserve">new electric appliances </w:t>
      </w:r>
      <w:r w:rsidR="002F3FEF">
        <w:rPr>
          <w:szCs w:val="26"/>
        </w:rPr>
        <w:t xml:space="preserve">as part of the pilot </w:t>
      </w:r>
      <w:r w:rsidR="0015787C">
        <w:rPr>
          <w:szCs w:val="26"/>
        </w:rPr>
        <w:t xml:space="preserve">because </w:t>
      </w:r>
      <w:r w:rsidR="002F3FEF">
        <w:rPr>
          <w:szCs w:val="26"/>
        </w:rPr>
        <w:t xml:space="preserve">their </w:t>
      </w:r>
      <w:r w:rsidR="0015787C">
        <w:rPr>
          <w:szCs w:val="26"/>
        </w:rPr>
        <w:t xml:space="preserve">existing electric appliances are inoperable or inefficient </w:t>
      </w:r>
      <w:r w:rsidR="002F3FEF">
        <w:rPr>
          <w:szCs w:val="26"/>
        </w:rPr>
        <w:t xml:space="preserve">should also have access to the higher incentives </w:t>
      </w:r>
      <w:r w:rsidR="0015787C">
        <w:rPr>
          <w:szCs w:val="26"/>
        </w:rPr>
        <w:t>is</w:t>
      </w:r>
      <w:r w:rsidR="00A35276">
        <w:rPr>
          <w:szCs w:val="26"/>
        </w:rPr>
        <w:t xml:space="preserve"> </w:t>
      </w:r>
      <w:r w:rsidR="0015787C">
        <w:rPr>
          <w:szCs w:val="26"/>
        </w:rPr>
        <w:t>persuasive</w:t>
      </w:r>
      <w:r w:rsidR="002F3FEF">
        <w:rPr>
          <w:szCs w:val="26"/>
        </w:rPr>
        <w:t>, as long as these are major appliances such as those used for home cooling, heating or water heating.</w:t>
      </w:r>
      <w:r w:rsidR="0015787C">
        <w:rPr>
          <w:szCs w:val="26"/>
        </w:rPr>
        <w:t xml:space="preserve">  W</w:t>
      </w:r>
      <w:r w:rsidR="00253D85">
        <w:rPr>
          <w:szCs w:val="26"/>
        </w:rPr>
        <w:t xml:space="preserve">e limit </w:t>
      </w:r>
      <w:r w:rsidR="001A31CC">
        <w:rPr>
          <w:szCs w:val="26"/>
        </w:rPr>
        <w:t>e</w:t>
      </w:r>
      <w:r w:rsidR="003074A7" w:rsidRPr="001A31CC">
        <w:rPr>
          <w:szCs w:val="26"/>
        </w:rPr>
        <w:t xml:space="preserve">ligibility for </w:t>
      </w:r>
      <w:r>
        <w:rPr>
          <w:szCs w:val="26"/>
        </w:rPr>
        <w:t xml:space="preserve">our </w:t>
      </w:r>
      <w:r w:rsidR="003074A7" w:rsidRPr="001A31CC">
        <w:rPr>
          <w:szCs w:val="26"/>
        </w:rPr>
        <w:t xml:space="preserve">approved residential </w:t>
      </w:r>
      <w:r>
        <w:rPr>
          <w:szCs w:val="26"/>
        </w:rPr>
        <w:t xml:space="preserve">SJV pilot </w:t>
      </w:r>
      <w:r w:rsidR="003074A7" w:rsidRPr="001A31CC">
        <w:rPr>
          <w:szCs w:val="26"/>
        </w:rPr>
        <w:t xml:space="preserve">incentives to households </w:t>
      </w:r>
      <w:r w:rsidR="001A31CC">
        <w:rPr>
          <w:szCs w:val="26"/>
        </w:rPr>
        <w:t>that participate</w:t>
      </w:r>
      <w:r w:rsidR="003074A7" w:rsidRPr="001A31CC">
        <w:rPr>
          <w:szCs w:val="26"/>
        </w:rPr>
        <w:t xml:space="preserve"> in the pilot by replacing one or more propane</w:t>
      </w:r>
      <w:r w:rsidR="0015787C">
        <w:rPr>
          <w:szCs w:val="26"/>
        </w:rPr>
        <w:t xml:space="preserve">, </w:t>
      </w:r>
      <w:r w:rsidR="003074A7" w:rsidRPr="001A31CC">
        <w:rPr>
          <w:szCs w:val="26"/>
        </w:rPr>
        <w:t>wood</w:t>
      </w:r>
      <w:r w:rsidR="00757681">
        <w:rPr>
          <w:szCs w:val="26"/>
        </w:rPr>
        <w:noBreakHyphen/>
      </w:r>
      <w:r w:rsidR="003074A7" w:rsidRPr="001A31CC">
        <w:rPr>
          <w:szCs w:val="26"/>
        </w:rPr>
        <w:t>burning</w:t>
      </w:r>
      <w:r w:rsidR="0015787C">
        <w:rPr>
          <w:szCs w:val="26"/>
        </w:rPr>
        <w:t xml:space="preserve">, or inefficient or inoperable </w:t>
      </w:r>
      <w:r w:rsidR="002F3FEF">
        <w:rPr>
          <w:szCs w:val="26"/>
        </w:rPr>
        <w:t xml:space="preserve">major </w:t>
      </w:r>
      <w:r w:rsidR="0015787C">
        <w:rPr>
          <w:szCs w:val="26"/>
        </w:rPr>
        <w:lastRenderedPageBreak/>
        <w:t xml:space="preserve">electric </w:t>
      </w:r>
      <w:r w:rsidR="003074A7" w:rsidRPr="001A31CC">
        <w:rPr>
          <w:szCs w:val="26"/>
        </w:rPr>
        <w:t xml:space="preserve">appliances with </w:t>
      </w:r>
      <w:r w:rsidR="0015787C">
        <w:rPr>
          <w:szCs w:val="26"/>
        </w:rPr>
        <w:t xml:space="preserve">the efficient </w:t>
      </w:r>
      <w:r w:rsidR="003074A7" w:rsidRPr="001A31CC">
        <w:rPr>
          <w:szCs w:val="26"/>
        </w:rPr>
        <w:t>electric appliances</w:t>
      </w:r>
      <w:r w:rsidR="0015787C">
        <w:rPr>
          <w:szCs w:val="26"/>
        </w:rPr>
        <w:t xml:space="preserve"> offered by the pilot.  </w:t>
      </w:r>
      <w:r w:rsidR="003074A7" w:rsidRPr="001A31CC">
        <w:rPr>
          <w:szCs w:val="26"/>
        </w:rPr>
        <w:t>Eligibility for the approved non</w:t>
      </w:r>
      <w:r w:rsidR="00757681">
        <w:rPr>
          <w:szCs w:val="26"/>
        </w:rPr>
        <w:noBreakHyphen/>
      </w:r>
      <w:r w:rsidR="003074A7" w:rsidRPr="001A31CC">
        <w:rPr>
          <w:szCs w:val="26"/>
        </w:rPr>
        <w:t xml:space="preserve">residential </w:t>
      </w:r>
      <w:r>
        <w:rPr>
          <w:szCs w:val="26"/>
        </w:rPr>
        <w:t xml:space="preserve">SJV pilot </w:t>
      </w:r>
      <w:r w:rsidR="003074A7" w:rsidRPr="001A31CC">
        <w:rPr>
          <w:szCs w:val="26"/>
        </w:rPr>
        <w:t>incent</w:t>
      </w:r>
      <w:r w:rsidR="001A31CC">
        <w:rPr>
          <w:szCs w:val="26"/>
        </w:rPr>
        <w:t xml:space="preserve">ives </w:t>
      </w:r>
      <w:r>
        <w:rPr>
          <w:szCs w:val="26"/>
        </w:rPr>
        <w:t xml:space="preserve">is </w:t>
      </w:r>
      <w:r w:rsidR="001A31CC">
        <w:rPr>
          <w:szCs w:val="26"/>
        </w:rPr>
        <w:t xml:space="preserve">limited to </w:t>
      </w:r>
      <w:r w:rsidR="003A0F1F">
        <w:rPr>
          <w:szCs w:val="26"/>
        </w:rPr>
        <w:t>non</w:t>
      </w:r>
      <w:r w:rsidR="00757681">
        <w:rPr>
          <w:szCs w:val="26"/>
        </w:rPr>
        <w:noBreakHyphen/>
      </w:r>
      <w:r w:rsidR="003A0F1F">
        <w:rPr>
          <w:szCs w:val="26"/>
        </w:rPr>
        <w:t xml:space="preserve">residential customers providing critical </w:t>
      </w:r>
      <w:r>
        <w:rPr>
          <w:szCs w:val="26"/>
        </w:rPr>
        <w:t xml:space="preserve">facilities or infrastructure </w:t>
      </w:r>
      <w:r w:rsidR="003A0F1F">
        <w:rPr>
          <w:szCs w:val="26"/>
        </w:rPr>
        <w:t xml:space="preserve">as defined in Section </w:t>
      </w:r>
      <w:r w:rsidR="00D87304" w:rsidRPr="00D32CB0">
        <w:rPr>
          <w:szCs w:val="26"/>
        </w:rPr>
        <w:t>4.4.2</w:t>
      </w:r>
      <w:r w:rsidR="003A0F1F" w:rsidRPr="00D32CB0">
        <w:rPr>
          <w:szCs w:val="26"/>
        </w:rPr>
        <w:t>.</w:t>
      </w:r>
      <w:r w:rsidR="003A0F1F">
        <w:rPr>
          <w:szCs w:val="26"/>
        </w:rPr>
        <w:t xml:space="preserve">  </w:t>
      </w:r>
    </w:p>
    <w:p w14:paraId="3BD6D8BA" w14:textId="2AFE6AFB" w:rsidR="00ED0818" w:rsidRDefault="00ED0818" w:rsidP="00197C2A">
      <w:pPr>
        <w:pStyle w:val="ALJBodyText"/>
        <w:rPr>
          <w:szCs w:val="26"/>
        </w:rPr>
      </w:pPr>
      <w:r>
        <w:rPr>
          <w:szCs w:val="26"/>
        </w:rPr>
        <w:t xml:space="preserve">It would also be helpful for SGIP PAs to provide information to the SJV pilot project implementers </w:t>
      </w:r>
      <w:r w:rsidR="00A35276">
        <w:rPr>
          <w:szCs w:val="26"/>
        </w:rPr>
        <w:t>and the Community Energy Navigator Program Manager (CPM) addressed in D.18</w:t>
      </w:r>
      <w:r w:rsidR="00757681">
        <w:rPr>
          <w:szCs w:val="26"/>
        </w:rPr>
        <w:noBreakHyphen/>
      </w:r>
      <w:r w:rsidR="00A35276">
        <w:rPr>
          <w:szCs w:val="26"/>
        </w:rPr>
        <w:t>12</w:t>
      </w:r>
      <w:r w:rsidR="00757681">
        <w:rPr>
          <w:szCs w:val="26"/>
        </w:rPr>
        <w:noBreakHyphen/>
      </w:r>
      <w:r w:rsidR="00A35276">
        <w:rPr>
          <w:szCs w:val="26"/>
        </w:rPr>
        <w:t xml:space="preserve">014 </w:t>
      </w:r>
      <w:r>
        <w:rPr>
          <w:szCs w:val="26"/>
        </w:rPr>
        <w:t>about the new incentives so that they can be promoted alongside other pilot project offerings.  SGIP PAs shall invite the SJV pilot project implementers</w:t>
      </w:r>
      <w:r w:rsidR="00A35276">
        <w:rPr>
          <w:szCs w:val="26"/>
        </w:rPr>
        <w:t xml:space="preserve"> and the CPM</w:t>
      </w:r>
      <w:r>
        <w:rPr>
          <w:szCs w:val="26"/>
        </w:rPr>
        <w:t xml:space="preserve"> to </w:t>
      </w:r>
      <w:r w:rsidR="00A35276">
        <w:rPr>
          <w:szCs w:val="26"/>
        </w:rPr>
        <w:t xml:space="preserve">any </w:t>
      </w:r>
      <w:r>
        <w:rPr>
          <w:szCs w:val="26"/>
        </w:rPr>
        <w:t xml:space="preserve">equity budget ME&amp;O Plan workshop </w:t>
      </w:r>
      <w:r w:rsidR="00A35276">
        <w:rPr>
          <w:szCs w:val="26"/>
        </w:rPr>
        <w:t xml:space="preserve">convened as </w:t>
      </w:r>
      <w:r>
        <w:rPr>
          <w:szCs w:val="26"/>
        </w:rPr>
        <w:t xml:space="preserve">discussed in this decision and </w:t>
      </w:r>
      <w:r w:rsidR="00A35276">
        <w:rPr>
          <w:szCs w:val="26"/>
        </w:rPr>
        <w:t xml:space="preserve">shall </w:t>
      </w:r>
      <w:r>
        <w:rPr>
          <w:szCs w:val="26"/>
        </w:rPr>
        <w:t>otherwise provide them with the information they need to appropriately promote the new SJV pilot incentives.</w:t>
      </w:r>
    </w:p>
    <w:p w14:paraId="12AD4D24" w14:textId="550FB091" w:rsidR="00B44361" w:rsidRPr="00CE14ED" w:rsidRDefault="00B44361" w:rsidP="00CE14ED">
      <w:pPr>
        <w:pStyle w:val="ALJHeading1"/>
        <w:spacing w:before="0"/>
      </w:pPr>
      <w:bookmarkStart w:id="92" w:name="_Toc15908107"/>
      <w:bookmarkStart w:id="93" w:name="_Toc2523441"/>
      <w:bookmarkEnd w:id="20"/>
      <w:bookmarkEnd w:id="21"/>
      <w:r w:rsidRPr="00CE14ED">
        <w:t>Updated Budgets</w:t>
      </w:r>
      <w:r w:rsidR="0095454E" w:rsidRPr="00CE14ED">
        <w:t xml:space="preserve"> Using </w:t>
      </w:r>
      <w:r w:rsidRPr="00CE14ED">
        <w:t>Accumulated Unused Funds</w:t>
      </w:r>
      <w:bookmarkEnd w:id="92"/>
    </w:p>
    <w:p w14:paraId="0958CA16" w14:textId="350EF188" w:rsidR="00B44361" w:rsidRPr="00B44361" w:rsidRDefault="00B44361" w:rsidP="00B44361">
      <w:pPr>
        <w:pStyle w:val="ALJBodyText"/>
      </w:pPr>
      <w:r>
        <w:t>This decision has directed a number of modifications to accumulated unused funds.  Section 11.2 directed establishment of a $100 million equity resiliency budget using accumulated unused generation technology funds.  Section 12.2 directed establishment of a</w:t>
      </w:r>
      <w:r w:rsidR="006C28C7">
        <w:t>n</w:t>
      </w:r>
      <w:r>
        <w:t xml:space="preserve"> $4 million equity HPWH set</w:t>
      </w:r>
      <w:r w:rsidR="00757681">
        <w:noBreakHyphen/>
      </w:r>
      <w:r>
        <w:t xml:space="preserve">aside using accumulated unused </w:t>
      </w:r>
      <w:r w:rsidR="00AF4F30">
        <w:t>large</w:t>
      </w:r>
      <w:r w:rsidR="00757681">
        <w:noBreakHyphen/>
      </w:r>
      <w:r w:rsidR="00AF4F30">
        <w:t xml:space="preserve">scale </w:t>
      </w:r>
      <w:r>
        <w:t xml:space="preserve">storage funds.  Section 14.2 directed </w:t>
      </w:r>
      <w:r w:rsidR="00155432">
        <w:t xml:space="preserve">PG&amp;E and SCE to establish </w:t>
      </w:r>
      <w:r>
        <w:t>a $</w:t>
      </w:r>
      <w:r w:rsidR="00155432">
        <w:t>10 million SJV pilot set</w:t>
      </w:r>
      <w:r w:rsidR="00757681">
        <w:noBreakHyphen/>
      </w:r>
      <w:r w:rsidR="00155432">
        <w:t xml:space="preserve">aside by each contributing </w:t>
      </w:r>
      <w:r w:rsidR="0012152A">
        <w:t>$5 </w:t>
      </w:r>
      <w:r>
        <w:t xml:space="preserve">million </w:t>
      </w:r>
      <w:r w:rsidR="00155432">
        <w:t>of non</w:t>
      </w:r>
      <w:r w:rsidR="00757681">
        <w:noBreakHyphen/>
      </w:r>
      <w:r w:rsidR="00155432">
        <w:t>residential equity funds.</w:t>
      </w:r>
      <w:r>
        <w:t xml:space="preserve">  </w:t>
      </w:r>
      <w:r w:rsidRPr="00B44361">
        <w:t>Table 10 reflects these changes</w:t>
      </w:r>
      <w:r>
        <w:t xml:space="preserve">. </w:t>
      </w:r>
    </w:p>
    <w:p w14:paraId="2E4D53FB" w14:textId="4C1E427C" w:rsidR="00B44361" w:rsidRPr="00B44361" w:rsidRDefault="00B44361" w:rsidP="00DE53B6">
      <w:pPr>
        <w:pStyle w:val="ALJBodyText"/>
        <w:keepNext/>
        <w:keepLines/>
        <w:ind w:firstLine="0"/>
        <w:jc w:val="center"/>
      </w:pPr>
      <w:r w:rsidRPr="00B44361">
        <w:t>Table 10: Approved Budgets for Accumulated Unused Funds</w:t>
      </w:r>
    </w:p>
    <w:tbl>
      <w:tblPr>
        <w:tblStyle w:val="TableGrid"/>
        <w:tblW w:w="9185" w:type="dxa"/>
        <w:jc w:val="center"/>
        <w:tblLook w:val="04A0" w:firstRow="1" w:lastRow="0" w:firstColumn="1" w:lastColumn="0" w:noHBand="0" w:noVBand="1"/>
      </w:tblPr>
      <w:tblGrid>
        <w:gridCol w:w="4592"/>
        <w:gridCol w:w="4593"/>
      </w:tblGrid>
      <w:tr w:rsidR="00B44361" w:rsidRPr="00B44361" w14:paraId="56157E72" w14:textId="77777777" w:rsidTr="00CE14ED">
        <w:trPr>
          <w:trHeight w:val="325"/>
          <w:jc w:val="center"/>
        </w:trPr>
        <w:tc>
          <w:tcPr>
            <w:tcW w:w="4592" w:type="dxa"/>
          </w:tcPr>
          <w:p w14:paraId="679BA18B" w14:textId="77777777" w:rsidR="00B44361" w:rsidRPr="00B44361" w:rsidRDefault="00B44361" w:rsidP="00CE14ED">
            <w:pPr>
              <w:pStyle w:val="ALJBodyText"/>
              <w:keepNext/>
              <w:keepLines/>
              <w:spacing w:before="20" w:after="20" w:line="240" w:lineRule="auto"/>
              <w:ind w:firstLine="0"/>
              <w:jc w:val="center"/>
              <w:rPr>
                <w:b/>
              </w:rPr>
            </w:pPr>
            <w:bookmarkStart w:id="94" w:name="_Hlk14707930"/>
            <w:r w:rsidRPr="00B44361">
              <w:rPr>
                <w:b/>
              </w:rPr>
              <w:t>Category</w:t>
            </w:r>
          </w:p>
        </w:tc>
        <w:tc>
          <w:tcPr>
            <w:tcW w:w="4593" w:type="dxa"/>
          </w:tcPr>
          <w:p w14:paraId="589137C6" w14:textId="77777777" w:rsidR="00B44361" w:rsidRPr="00B44361" w:rsidRDefault="00B44361" w:rsidP="00CE14ED">
            <w:pPr>
              <w:pStyle w:val="ALJBodyText"/>
              <w:keepNext/>
              <w:keepLines/>
              <w:spacing w:before="20" w:after="20" w:line="240" w:lineRule="auto"/>
              <w:ind w:firstLine="0"/>
              <w:jc w:val="center"/>
              <w:rPr>
                <w:b/>
              </w:rPr>
            </w:pPr>
            <w:r w:rsidRPr="00B44361">
              <w:rPr>
                <w:b/>
              </w:rPr>
              <w:t>Approved Budgets</w:t>
            </w:r>
          </w:p>
        </w:tc>
      </w:tr>
      <w:tr w:rsidR="00B44361" w:rsidRPr="00B44361" w14:paraId="4953F129" w14:textId="77777777" w:rsidTr="00CE14ED">
        <w:trPr>
          <w:trHeight w:val="291"/>
          <w:jc w:val="center"/>
        </w:trPr>
        <w:tc>
          <w:tcPr>
            <w:tcW w:w="4592" w:type="dxa"/>
          </w:tcPr>
          <w:p w14:paraId="11A0BB40" w14:textId="77777777" w:rsidR="00B44361" w:rsidRPr="00B44361" w:rsidRDefault="00B44361" w:rsidP="00CE14ED">
            <w:pPr>
              <w:pStyle w:val="ALJBodyText"/>
              <w:keepNext/>
              <w:keepLines/>
              <w:spacing w:before="20" w:after="20" w:line="240" w:lineRule="auto"/>
              <w:ind w:firstLine="0"/>
            </w:pPr>
            <w:r w:rsidRPr="00B44361">
              <w:t>Generation</w:t>
            </w:r>
          </w:p>
        </w:tc>
        <w:tc>
          <w:tcPr>
            <w:tcW w:w="4593" w:type="dxa"/>
          </w:tcPr>
          <w:p w14:paraId="5E3C45F0" w14:textId="77777777" w:rsidR="00B44361" w:rsidRPr="00B44361" w:rsidRDefault="00B44361" w:rsidP="00CE14ED">
            <w:pPr>
              <w:pStyle w:val="ALJBodyText"/>
              <w:keepNext/>
              <w:keepLines/>
              <w:spacing w:before="20" w:after="20" w:line="240" w:lineRule="auto"/>
              <w:ind w:firstLine="0"/>
            </w:pPr>
            <w:r w:rsidRPr="00B44361">
              <w:t>$6,760,301</w:t>
            </w:r>
          </w:p>
        </w:tc>
      </w:tr>
      <w:tr w:rsidR="00B44361" w:rsidRPr="00B44361" w14:paraId="076266B3" w14:textId="77777777" w:rsidTr="00CE14ED">
        <w:trPr>
          <w:trHeight w:val="281"/>
          <w:jc w:val="center"/>
        </w:trPr>
        <w:tc>
          <w:tcPr>
            <w:tcW w:w="4592" w:type="dxa"/>
          </w:tcPr>
          <w:p w14:paraId="34579E18" w14:textId="4A39A89D" w:rsidR="00B44361" w:rsidRPr="00B44361" w:rsidRDefault="00B44361" w:rsidP="00CE14ED">
            <w:pPr>
              <w:pStyle w:val="ALJBodyText"/>
              <w:keepNext/>
              <w:keepLines/>
              <w:spacing w:before="20" w:after="20" w:line="240" w:lineRule="auto"/>
              <w:ind w:firstLine="0"/>
            </w:pPr>
            <w:r w:rsidRPr="00B44361">
              <w:t>Non</w:t>
            </w:r>
            <w:r w:rsidR="00757681">
              <w:noBreakHyphen/>
            </w:r>
            <w:r w:rsidRPr="00B44361">
              <w:t>Residential Storage</w:t>
            </w:r>
          </w:p>
        </w:tc>
        <w:tc>
          <w:tcPr>
            <w:tcW w:w="4593" w:type="dxa"/>
          </w:tcPr>
          <w:p w14:paraId="2058BD49" w14:textId="77777777" w:rsidR="00B44361" w:rsidRPr="00B44361" w:rsidRDefault="00B44361" w:rsidP="00CE14ED">
            <w:pPr>
              <w:pStyle w:val="ALJBodyText"/>
              <w:keepNext/>
              <w:keepLines/>
              <w:spacing w:before="20" w:after="20" w:line="240" w:lineRule="auto"/>
              <w:ind w:firstLine="0"/>
            </w:pPr>
            <w:r w:rsidRPr="00B44361">
              <w:t>$216,818,321</w:t>
            </w:r>
          </w:p>
        </w:tc>
      </w:tr>
      <w:tr w:rsidR="00B44361" w:rsidRPr="00B44361" w14:paraId="1CAC6A22" w14:textId="77777777" w:rsidTr="00CE14ED">
        <w:trPr>
          <w:trHeight w:val="20"/>
          <w:jc w:val="center"/>
        </w:trPr>
        <w:tc>
          <w:tcPr>
            <w:tcW w:w="4592" w:type="dxa"/>
          </w:tcPr>
          <w:p w14:paraId="650A97F3" w14:textId="77777777" w:rsidR="00B44361" w:rsidRPr="00B44361" w:rsidRDefault="00B44361" w:rsidP="00CE14ED">
            <w:pPr>
              <w:pStyle w:val="ALJBodyText"/>
              <w:spacing w:before="20" w:after="20" w:line="240" w:lineRule="auto"/>
              <w:ind w:firstLine="0"/>
            </w:pPr>
            <w:r w:rsidRPr="00B44361">
              <w:t>Residential Storage</w:t>
            </w:r>
          </w:p>
        </w:tc>
        <w:tc>
          <w:tcPr>
            <w:tcW w:w="4593" w:type="dxa"/>
          </w:tcPr>
          <w:p w14:paraId="62742496" w14:textId="77777777" w:rsidR="00B44361" w:rsidRPr="00B44361" w:rsidRDefault="00B44361" w:rsidP="00CE14ED">
            <w:pPr>
              <w:pStyle w:val="ALJBodyText"/>
              <w:spacing w:before="20" w:after="20" w:line="240" w:lineRule="auto"/>
              <w:ind w:firstLine="0"/>
            </w:pPr>
            <w:r w:rsidRPr="00B44361">
              <w:t>$3,086,504</w:t>
            </w:r>
          </w:p>
        </w:tc>
      </w:tr>
      <w:tr w:rsidR="00B44361" w:rsidRPr="00B44361" w14:paraId="0C443988" w14:textId="77777777" w:rsidTr="00CE14ED">
        <w:trPr>
          <w:trHeight w:val="20"/>
          <w:jc w:val="center"/>
        </w:trPr>
        <w:tc>
          <w:tcPr>
            <w:tcW w:w="4592" w:type="dxa"/>
          </w:tcPr>
          <w:p w14:paraId="52E7DD02" w14:textId="5597345B" w:rsidR="00B44361" w:rsidRPr="00B44361" w:rsidRDefault="001B31D1" w:rsidP="00CE14ED">
            <w:pPr>
              <w:pStyle w:val="ALJBodyText"/>
              <w:spacing w:before="20" w:after="20" w:line="240" w:lineRule="auto"/>
              <w:ind w:firstLine="0"/>
            </w:pPr>
            <w:r>
              <w:t xml:space="preserve">                                            </w:t>
            </w:r>
            <w:r w:rsidR="00B44361">
              <w:t>Subtotal</w:t>
            </w:r>
          </w:p>
        </w:tc>
        <w:tc>
          <w:tcPr>
            <w:tcW w:w="4593" w:type="dxa"/>
          </w:tcPr>
          <w:p w14:paraId="241672F0" w14:textId="65C09D2B" w:rsidR="00B44361" w:rsidRPr="00B44361" w:rsidRDefault="001B31D1" w:rsidP="00CE14ED">
            <w:pPr>
              <w:pStyle w:val="ALJBodyText"/>
              <w:spacing w:before="20" w:after="20" w:line="240" w:lineRule="auto"/>
              <w:ind w:firstLine="0"/>
            </w:pPr>
            <w:r>
              <w:t xml:space="preserve">                                         $226,665,126</w:t>
            </w:r>
          </w:p>
        </w:tc>
      </w:tr>
      <w:tr w:rsidR="00B44361" w:rsidRPr="00B44361" w14:paraId="63C78324" w14:textId="77777777" w:rsidTr="00CE14ED">
        <w:trPr>
          <w:trHeight w:val="291"/>
          <w:jc w:val="center"/>
        </w:trPr>
        <w:tc>
          <w:tcPr>
            <w:tcW w:w="9185" w:type="dxa"/>
            <w:gridSpan w:val="2"/>
          </w:tcPr>
          <w:p w14:paraId="4B8260C7" w14:textId="4C6BFDD2" w:rsidR="00B44361" w:rsidRPr="00B44361" w:rsidRDefault="00B44361" w:rsidP="00CE14ED">
            <w:pPr>
              <w:pStyle w:val="ALJBodyText"/>
              <w:spacing w:before="20" w:after="20" w:line="240" w:lineRule="auto"/>
              <w:ind w:firstLine="0"/>
            </w:pPr>
            <w:r>
              <w:t>Equity Budget</w:t>
            </w:r>
          </w:p>
        </w:tc>
      </w:tr>
      <w:tr w:rsidR="00B44361" w:rsidRPr="00B44361" w14:paraId="60443220" w14:textId="77777777" w:rsidTr="00CE14ED">
        <w:trPr>
          <w:trHeight w:val="291"/>
          <w:jc w:val="center"/>
        </w:trPr>
        <w:tc>
          <w:tcPr>
            <w:tcW w:w="4592" w:type="dxa"/>
          </w:tcPr>
          <w:p w14:paraId="1D705373" w14:textId="111706D7" w:rsidR="00B44361" w:rsidRPr="00B44361" w:rsidRDefault="00B44361" w:rsidP="00CE14ED">
            <w:pPr>
              <w:pStyle w:val="ALJBodyText"/>
              <w:spacing w:before="20" w:after="20" w:line="240" w:lineRule="auto"/>
              <w:ind w:firstLine="0"/>
            </w:pPr>
            <w:r>
              <w:lastRenderedPageBreak/>
              <w:t xml:space="preserve">     </w:t>
            </w:r>
            <w:r w:rsidRPr="00B44361">
              <w:t>Non</w:t>
            </w:r>
            <w:r w:rsidR="00757681">
              <w:noBreakHyphen/>
            </w:r>
            <w:r w:rsidRPr="00B44361">
              <w:t>Res</w:t>
            </w:r>
            <w:r>
              <w:t>idential</w:t>
            </w:r>
            <w:r w:rsidRPr="00B44361">
              <w:t xml:space="preserve"> Storage </w:t>
            </w:r>
            <w:r>
              <w:t>Equity</w:t>
            </w:r>
          </w:p>
        </w:tc>
        <w:tc>
          <w:tcPr>
            <w:tcW w:w="4593" w:type="dxa"/>
          </w:tcPr>
          <w:p w14:paraId="793E25FC" w14:textId="77777777" w:rsidR="00B44361" w:rsidRPr="00B44361" w:rsidRDefault="00B44361" w:rsidP="00CE14ED">
            <w:pPr>
              <w:pStyle w:val="ALJBodyText"/>
              <w:spacing w:before="20" w:after="20" w:line="240" w:lineRule="auto"/>
              <w:ind w:firstLine="0"/>
            </w:pPr>
            <w:r w:rsidRPr="00B44361">
              <w:t>$52,852,387</w:t>
            </w:r>
          </w:p>
        </w:tc>
      </w:tr>
      <w:tr w:rsidR="00B44361" w:rsidRPr="00B44361" w14:paraId="07894C42" w14:textId="77777777" w:rsidTr="00CE14ED">
        <w:trPr>
          <w:trHeight w:val="281"/>
          <w:jc w:val="center"/>
        </w:trPr>
        <w:tc>
          <w:tcPr>
            <w:tcW w:w="4592" w:type="dxa"/>
          </w:tcPr>
          <w:p w14:paraId="3343DFF3" w14:textId="3537ED9E" w:rsidR="00B44361" w:rsidRPr="00B44361" w:rsidRDefault="00B44361" w:rsidP="00CE14ED">
            <w:pPr>
              <w:pStyle w:val="ALJBodyText"/>
              <w:spacing w:before="20" w:after="20" w:line="240" w:lineRule="auto"/>
              <w:ind w:firstLine="0"/>
            </w:pPr>
            <w:r>
              <w:t xml:space="preserve">     </w:t>
            </w:r>
            <w:r w:rsidRPr="00B44361">
              <w:t>Residential Storage Equity</w:t>
            </w:r>
          </w:p>
        </w:tc>
        <w:tc>
          <w:tcPr>
            <w:tcW w:w="4593" w:type="dxa"/>
          </w:tcPr>
          <w:p w14:paraId="4DF33D73" w14:textId="77777777" w:rsidR="00B44361" w:rsidRPr="00B44361" w:rsidRDefault="00B44361" w:rsidP="00CE14ED">
            <w:pPr>
              <w:pStyle w:val="ALJBodyText"/>
              <w:spacing w:before="20" w:after="20" w:line="240" w:lineRule="auto"/>
              <w:ind w:firstLine="0"/>
            </w:pPr>
            <w:r w:rsidRPr="00B44361">
              <w:t xml:space="preserve">$7,231,691 </w:t>
            </w:r>
          </w:p>
        </w:tc>
      </w:tr>
      <w:tr w:rsidR="00B44361" w:rsidRPr="00B44361" w14:paraId="1141E998" w14:textId="77777777" w:rsidTr="00CE14ED">
        <w:trPr>
          <w:trHeight w:val="281"/>
          <w:jc w:val="center"/>
        </w:trPr>
        <w:tc>
          <w:tcPr>
            <w:tcW w:w="4592" w:type="dxa"/>
          </w:tcPr>
          <w:p w14:paraId="393F2D89" w14:textId="18C5B2BD" w:rsidR="00B44361" w:rsidRPr="00B44361" w:rsidRDefault="00B44361" w:rsidP="00CE14ED">
            <w:pPr>
              <w:pStyle w:val="ALJBodyText"/>
              <w:spacing w:before="20" w:after="20" w:line="240" w:lineRule="auto"/>
              <w:ind w:firstLine="0"/>
            </w:pPr>
            <w:r>
              <w:t xml:space="preserve">     </w:t>
            </w:r>
            <w:r w:rsidRPr="00B44361">
              <w:t xml:space="preserve">Residential </w:t>
            </w:r>
            <w:r w:rsidR="001B31D1">
              <w:t xml:space="preserve">HPWH </w:t>
            </w:r>
            <w:r w:rsidRPr="00B44361">
              <w:t>Equity</w:t>
            </w:r>
          </w:p>
        </w:tc>
        <w:tc>
          <w:tcPr>
            <w:tcW w:w="4593" w:type="dxa"/>
          </w:tcPr>
          <w:p w14:paraId="47C2A507" w14:textId="77777777" w:rsidR="00B44361" w:rsidRPr="00B44361" w:rsidRDefault="00B44361" w:rsidP="00CE14ED">
            <w:pPr>
              <w:pStyle w:val="ALJBodyText"/>
              <w:spacing w:before="20" w:after="20" w:line="240" w:lineRule="auto"/>
              <w:ind w:firstLine="0"/>
            </w:pPr>
            <w:r w:rsidRPr="00B44361">
              <w:t>$4,000,000</w:t>
            </w:r>
          </w:p>
        </w:tc>
      </w:tr>
      <w:tr w:rsidR="00B44361" w:rsidRPr="00B44361" w14:paraId="5BF121C9" w14:textId="77777777" w:rsidTr="00CE14ED">
        <w:trPr>
          <w:trHeight w:val="281"/>
          <w:jc w:val="center"/>
        </w:trPr>
        <w:tc>
          <w:tcPr>
            <w:tcW w:w="4592" w:type="dxa"/>
          </w:tcPr>
          <w:p w14:paraId="28AB1CD9" w14:textId="618175AC" w:rsidR="00B44361" w:rsidRPr="00B44361" w:rsidRDefault="00B44361" w:rsidP="00CE14ED">
            <w:pPr>
              <w:pStyle w:val="ALJBodyText"/>
              <w:spacing w:before="20" w:after="20" w:line="240" w:lineRule="auto"/>
              <w:ind w:firstLine="0"/>
            </w:pPr>
            <w:r>
              <w:t xml:space="preserve">     </w:t>
            </w:r>
            <w:r w:rsidRPr="00B44361">
              <w:t xml:space="preserve">Equity Resiliency </w:t>
            </w:r>
          </w:p>
        </w:tc>
        <w:tc>
          <w:tcPr>
            <w:tcW w:w="4593" w:type="dxa"/>
          </w:tcPr>
          <w:p w14:paraId="477E8640" w14:textId="77777777" w:rsidR="00B44361" w:rsidRPr="00B44361" w:rsidRDefault="00B44361" w:rsidP="00CE14ED">
            <w:pPr>
              <w:pStyle w:val="ALJBodyText"/>
              <w:spacing w:before="20" w:after="20" w:line="240" w:lineRule="auto"/>
              <w:ind w:firstLine="0"/>
            </w:pPr>
            <w:r w:rsidRPr="00B44361">
              <w:t>$100,000,000</w:t>
            </w:r>
          </w:p>
        </w:tc>
      </w:tr>
      <w:tr w:rsidR="00B44361" w:rsidRPr="00B44361" w14:paraId="2CDD165A" w14:textId="77777777" w:rsidTr="00CE14ED">
        <w:trPr>
          <w:trHeight w:val="281"/>
          <w:jc w:val="center"/>
        </w:trPr>
        <w:tc>
          <w:tcPr>
            <w:tcW w:w="4592" w:type="dxa"/>
          </w:tcPr>
          <w:p w14:paraId="4CAA025F" w14:textId="773F3BE3" w:rsidR="00B44361" w:rsidRPr="00B44361" w:rsidRDefault="00B44361" w:rsidP="00CE14ED">
            <w:pPr>
              <w:pStyle w:val="ALJBodyText"/>
              <w:spacing w:before="20" w:after="20" w:line="240" w:lineRule="auto"/>
              <w:ind w:firstLine="0"/>
            </w:pPr>
            <w:r>
              <w:t xml:space="preserve">     </w:t>
            </w:r>
            <w:r w:rsidRPr="00B44361">
              <w:t>San Joaquin Valley</w:t>
            </w:r>
            <w:r w:rsidR="001B31D1">
              <w:t xml:space="preserve"> Pilots</w:t>
            </w:r>
          </w:p>
        </w:tc>
        <w:tc>
          <w:tcPr>
            <w:tcW w:w="4593" w:type="dxa"/>
          </w:tcPr>
          <w:p w14:paraId="3129D4FF" w14:textId="77777777" w:rsidR="00B44361" w:rsidRPr="00B44361" w:rsidRDefault="00B44361" w:rsidP="00CE14ED">
            <w:pPr>
              <w:pStyle w:val="ALJBodyText"/>
              <w:spacing w:before="20" w:after="20" w:line="240" w:lineRule="auto"/>
              <w:ind w:firstLine="0"/>
            </w:pPr>
            <w:r w:rsidRPr="00B44361">
              <w:t>$10,000,000</w:t>
            </w:r>
          </w:p>
        </w:tc>
      </w:tr>
      <w:tr w:rsidR="001B31D1" w:rsidRPr="00B44361" w14:paraId="45B57002" w14:textId="77777777" w:rsidTr="00CE14ED">
        <w:trPr>
          <w:trHeight w:val="281"/>
          <w:jc w:val="center"/>
        </w:trPr>
        <w:tc>
          <w:tcPr>
            <w:tcW w:w="4592" w:type="dxa"/>
          </w:tcPr>
          <w:p w14:paraId="20CD027F" w14:textId="0ED64570" w:rsidR="001B31D1" w:rsidRPr="00B44361" w:rsidRDefault="001B31D1" w:rsidP="00CE14ED">
            <w:pPr>
              <w:pStyle w:val="ALJBodyText"/>
              <w:spacing w:before="20" w:after="20" w:line="240" w:lineRule="auto"/>
              <w:ind w:firstLine="0"/>
            </w:pPr>
            <w:r>
              <w:t xml:space="preserve">                                           Subtotal</w:t>
            </w:r>
          </w:p>
        </w:tc>
        <w:tc>
          <w:tcPr>
            <w:tcW w:w="4593" w:type="dxa"/>
          </w:tcPr>
          <w:p w14:paraId="73E57B3B" w14:textId="79CFBA16" w:rsidR="001B31D1" w:rsidRPr="00B44361" w:rsidRDefault="001B31D1" w:rsidP="00CE14ED">
            <w:pPr>
              <w:pStyle w:val="ALJBodyText"/>
              <w:spacing w:before="20" w:after="20" w:line="240" w:lineRule="auto"/>
              <w:ind w:firstLine="0"/>
            </w:pPr>
            <w:r>
              <w:t xml:space="preserve">                                        $174,084,078</w:t>
            </w:r>
          </w:p>
        </w:tc>
      </w:tr>
      <w:tr w:rsidR="001B31D1" w:rsidRPr="00B44361" w14:paraId="2F7CA9C0" w14:textId="77777777" w:rsidTr="00CE14ED">
        <w:trPr>
          <w:trHeight w:val="281"/>
          <w:jc w:val="center"/>
        </w:trPr>
        <w:tc>
          <w:tcPr>
            <w:tcW w:w="4592" w:type="dxa"/>
          </w:tcPr>
          <w:p w14:paraId="2C70C179" w14:textId="409932DF" w:rsidR="001B31D1" w:rsidRPr="00B44361" w:rsidRDefault="001B31D1" w:rsidP="00CE14ED">
            <w:pPr>
              <w:pStyle w:val="ALJBodyText"/>
              <w:spacing w:before="20" w:after="20" w:line="240" w:lineRule="auto"/>
              <w:ind w:firstLine="0"/>
            </w:pPr>
            <w:r>
              <w:t xml:space="preserve">                 Subt</w:t>
            </w:r>
            <w:r w:rsidRPr="00B44361">
              <w:t>otal</w:t>
            </w:r>
            <w:r>
              <w:t xml:space="preserve"> (Incentive Budget)</w:t>
            </w:r>
          </w:p>
        </w:tc>
        <w:tc>
          <w:tcPr>
            <w:tcW w:w="4593" w:type="dxa"/>
          </w:tcPr>
          <w:p w14:paraId="7CBB10B3" w14:textId="37CDD7A9" w:rsidR="001B31D1" w:rsidRPr="00B44361" w:rsidRDefault="001B31D1" w:rsidP="00CE14ED">
            <w:pPr>
              <w:pStyle w:val="ALJBodyText"/>
              <w:spacing w:before="20" w:after="20" w:line="240" w:lineRule="auto"/>
              <w:ind w:firstLine="0"/>
            </w:pPr>
            <w:r>
              <w:t xml:space="preserve">                                        </w:t>
            </w:r>
            <w:r w:rsidRPr="00B44361">
              <w:t>$400,749,204</w:t>
            </w:r>
          </w:p>
        </w:tc>
      </w:tr>
      <w:tr w:rsidR="001B31D1" w:rsidRPr="00B44361" w14:paraId="25F68A91" w14:textId="77777777" w:rsidTr="00CE14ED">
        <w:trPr>
          <w:trHeight w:val="281"/>
          <w:jc w:val="center"/>
        </w:trPr>
        <w:tc>
          <w:tcPr>
            <w:tcW w:w="4592" w:type="dxa"/>
          </w:tcPr>
          <w:p w14:paraId="58BFE773" w14:textId="46BE26B6" w:rsidR="001B31D1" w:rsidRPr="00B44361" w:rsidRDefault="001B31D1" w:rsidP="00CE14ED">
            <w:pPr>
              <w:pStyle w:val="ALJBodyText"/>
              <w:spacing w:before="20" w:after="20" w:line="240" w:lineRule="auto"/>
              <w:ind w:firstLine="0"/>
            </w:pPr>
            <w:r w:rsidRPr="00B44361">
              <w:t>Administrative</w:t>
            </w:r>
            <w:r>
              <w:t xml:space="preserve"> / M&amp;O</w:t>
            </w:r>
          </w:p>
        </w:tc>
        <w:tc>
          <w:tcPr>
            <w:tcW w:w="4593" w:type="dxa"/>
          </w:tcPr>
          <w:p w14:paraId="551F1F09" w14:textId="3C688029" w:rsidR="001B31D1" w:rsidRPr="00B44361" w:rsidRDefault="001B31D1" w:rsidP="00CE14ED">
            <w:pPr>
              <w:pStyle w:val="ALJBodyText"/>
              <w:spacing w:before="20" w:after="20" w:line="240" w:lineRule="auto"/>
              <w:ind w:firstLine="0"/>
            </w:pPr>
            <w:r w:rsidRPr="00B44361">
              <w:t>$70,298,181</w:t>
            </w:r>
          </w:p>
        </w:tc>
      </w:tr>
      <w:tr w:rsidR="001B31D1" w:rsidRPr="00B44361" w14:paraId="597FC70D" w14:textId="77777777" w:rsidTr="00CE14ED">
        <w:trPr>
          <w:trHeight w:val="304"/>
          <w:jc w:val="center"/>
        </w:trPr>
        <w:tc>
          <w:tcPr>
            <w:tcW w:w="4592" w:type="dxa"/>
          </w:tcPr>
          <w:p w14:paraId="38AF3AC3" w14:textId="1BBB4967" w:rsidR="001B31D1" w:rsidRPr="00B44361" w:rsidRDefault="001B31D1" w:rsidP="00CE14ED">
            <w:pPr>
              <w:pStyle w:val="ALJBodyText"/>
              <w:spacing w:before="20" w:after="20" w:line="240" w:lineRule="auto"/>
              <w:ind w:firstLine="0"/>
            </w:pPr>
            <w:r>
              <w:t xml:space="preserve">Total </w:t>
            </w:r>
          </w:p>
        </w:tc>
        <w:tc>
          <w:tcPr>
            <w:tcW w:w="4593" w:type="dxa"/>
          </w:tcPr>
          <w:p w14:paraId="356E09EE" w14:textId="6ED73460" w:rsidR="001B31D1" w:rsidRPr="00B44361" w:rsidRDefault="001B31D1" w:rsidP="00CE14ED">
            <w:pPr>
              <w:pStyle w:val="ALJBodyText"/>
              <w:spacing w:before="20" w:after="20" w:line="240" w:lineRule="auto"/>
              <w:ind w:firstLine="0"/>
            </w:pPr>
            <w:r>
              <w:t xml:space="preserve">                        </w:t>
            </w:r>
            <w:r w:rsidR="004B7DB2">
              <w:t xml:space="preserve">                </w:t>
            </w:r>
            <w:r>
              <w:t>$471,047,385</w:t>
            </w:r>
          </w:p>
        </w:tc>
      </w:tr>
      <w:bookmarkEnd w:id="94"/>
    </w:tbl>
    <w:p w14:paraId="61B2C9AC" w14:textId="77777777" w:rsidR="004B7DB2" w:rsidRDefault="004B7DB2" w:rsidP="001B31D1">
      <w:pPr>
        <w:pStyle w:val="ALJBodyText"/>
      </w:pPr>
    </w:p>
    <w:p w14:paraId="263E3EDA" w14:textId="7D68BA2E" w:rsidR="001B31D1" w:rsidRPr="001B31D1" w:rsidRDefault="001B31D1" w:rsidP="001B31D1">
      <w:pPr>
        <w:pStyle w:val="ALJBodyText"/>
      </w:pPr>
      <w:r>
        <w:t xml:space="preserve">As discussed in Section 11, this decision </w:t>
      </w:r>
      <w:r w:rsidRPr="001B31D1">
        <w:t>approve</w:t>
      </w:r>
      <w:r>
        <w:t>s</w:t>
      </w:r>
      <w:r w:rsidRPr="001B31D1">
        <w:t xml:space="preserve"> the carry</w:t>
      </w:r>
      <w:r w:rsidR="00D56A6C">
        <w:t xml:space="preserve"> </w:t>
      </w:r>
      <w:r w:rsidRPr="001B31D1">
        <w:t xml:space="preserve">over of </w:t>
      </w:r>
      <w:r>
        <w:t>any remainder as of January 1, 2020 of</w:t>
      </w:r>
      <w:r w:rsidRPr="001B31D1">
        <w:t xml:space="preserve"> </w:t>
      </w:r>
      <w:r>
        <w:t xml:space="preserve">the </w:t>
      </w:r>
      <w:r w:rsidRPr="001B31D1">
        <w:t xml:space="preserve">approximately $400.7 million in accumulated unused SGIP incentive funds and $70.3 million in accumulated unused SGIP administrative funds for use during the 2020 to 2025 period.  We direct PAs to include updated budget allocations for accumulated unused SGIP funds reflecting </w:t>
      </w:r>
      <w:r>
        <w:t xml:space="preserve">the modifications </w:t>
      </w:r>
      <w:r w:rsidR="00155432">
        <w:t xml:space="preserve">adopted </w:t>
      </w:r>
      <w:r>
        <w:t xml:space="preserve">herein </w:t>
      </w:r>
      <w:r w:rsidRPr="001B31D1">
        <w:t>in the Tier 2 advice letter directed in this decision.  In addition, we direct the PAs to each submit a Tier 1 advice letter on January 31, 2020 that contains their final SGIP accounting data as of December 31, 2019 using the format directed in D.09</w:t>
      </w:r>
      <w:r w:rsidR="00757681">
        <w:noBreakHyphen/>
      </w:r>
      <w:r w:rsidRPr="001B31D1">
        <w:t>12</w:t>
      </w:r>
      <w:r w:rsidR="00757681">
        <w:noBreakHyphen/>
      </w:r>
      <w:r w:rsidRPr="001B31D1">
        <w:t xml:space="preserve">047, Appendix A.  </w:t>
      </w:r>
    </w:p>
    <w:p w14:paraId="6B26D09D" w14:textId="0E955A13" w:rsidR="00AD1183" w:rsidRDefault="00AD1183" w:rsidP="00CE14ED">
      <w:pPr>
        <w:pStyle w:val="ALJHeading1"/>
      </w:pPr>
      <w:bookmarkStart w:id="95" w:name="_Toc15908108"/>
      <w:r>
        <w:t>Categorization</w:t>
      </w:r>
      <w:bookmarkEnd w:id="95"/>
      <w:r>
        <w:t xml:space="preserve"> </w:t>
      </w:r>
    </w:p>
    <w:p w14:paraId="4B1E08ED" w14:textId="178538F7" w:rsidR="00AD1183" w:rsidRDefault="00150949" w:rsidP="008866EE">
      <w:pPr>
        <w:pStyle w:val="ALJBodyText"/>
      </w:pPr>
      <w:r>
        <w:t xml:space="preserve">The June </w:t>
      </w:r>
      <w:r w:rsidR="00720B30">
        <w:t xml:space="preserve">9, 2014 </w:t>
      </w:r>
      <w:r w:rsidR="00720B30" w:rsidRPr="001D3482">
        <w:rPr>
          <w:i/>
          <w:iCs/>
        </w:rPr>
        <w:t>Assigned Commissioner’s Scoping Memo</w:t>
      </w:r>
      <w:r w:rsidR="00720B30">
        <w:t xml:space="preserve"> </w:t>
      </w:r>
      <w:r w:rsidR="001D3482">
        <w:t xml:space="preserve">confirmed the categorization of </w:t>
      </w:r>
      <w:r w:rsidR="0010491B">
        <w:t>R.12</w:t>
      </w:r>
      <w:r w:rsidR="00757681">
        <w:noBreakHyphen/>
      </w:r>
      <w:r w:rsidR="0010491B">
        <w:t>11</w:t>
      </w:r>
      <w:r w:rsidR="00757681">
        <w:noBreakHyphen/>
      </w:r>
      <w:r w:rsidR="0010491B">
        <w:t>0</w:t>
      </w:r>
      <w:r>
        <w:t>05</w:t>
      </w:r>
      <w:r w:rsidR="001D3482">
        <w:t xml:space="preserve"> as quasi</w:t>
      </w:r>
      <w:r w:rsidR="00757681">
        <w:noBreakHyphen/>
      </w:r>
      <w:r w:rsidR="001D3482">
        <w:t>legislative.</w:t>
      </w:r>
      <w:r>
        <w:t xml:space="preserve"> </w:t>
      </w:r>
      <w:r w:rsidR="001D3482">
        <w:t xml:space="preserve"> </w:t>
      </w:r>
      <w:r w:rsidR="005B1BB0">
        <w:t xml:space="preserve">The </w:t>
      </w:r>
      <w:r w:rsidR="008866EE">
        <w:t xml:space="preserve">July 26, 2017 </w:t>
      </w:r>
      <w:r w:rsidR="008866EE" w:rsidRPr="001D3482">
        <w:rPr>
          <w:i/>
          <w:iCs/>
        </w:rPr>
        <w:t>Assigned Commissioner’s Ruling Amending Scope and Schedule on Proposed Changes to the Self</w:t>
      </w:r>
      <w:r w:rsidR="00757681">
        <w:rPr>
          <w:i/>
          <w:iCs/>
        </w:rPr>
        <w:noBreakHyphen/>
      </w:r>
      <w:r w:rsidR="008866EE" w:rsidRPr="001D3482">
        <w:rPr>
          <w:i/>
          <w:iCs/>
        </w:rPr>
        <w:t xml:space="preserve"> Generation Incentive Program and Extending Statutory Deadline</w:t>
      </w:r>
      <w:r w:rsidR="008866EE">
        <w:t xml:space="preserve"> </w:t>
      </w:r>
      <w:r w:rsidR="00791F63">
        <w:t xml:space="preserve">and the </w:t>
      </w:r>
      <w:r w:rsidR="001A60F8">
        <w:t xml:space="preserve">June 7, 2019 </w:t>
      </w:r>
      <w:r w:rsidR="00791F63" w:rsidRPr="001D3482">
        <w:rPr>
          <w:i/>
          <w:iCs/>
        </w:rPr>
        <w:t>Administrative Law Judge’s Ruling Granting Motions for Party Status and Denying Motion to Revise Categorization of Proceeding from Quasi</w:t>
      </w:r>
      <w:r w:rsidR="00757681">
        <w:rPr>
          <w:i/>
          <w:iCs/>
        </w:rPr>
        <w:noBreakHyphen/>
      </w:r>
      <w:r w:rsidR="00791F63" w:rsidRPr="001D3482">
        <w:rPr>
          <w:i/>
          <w:iCs/>
        </w:rPr>
        <w:t>legislative to Ratesetting</w:t>
      </w:r>
      <w:r w:rsidR="00791F63">
        <w:t xml:space="preserve"> </w:t>
      </w:r>
      <w:r w:rsidR="00C81A6C">
        <w:t xml:space="preserve">upheld </w:t>
      </w:r>
      <w:r w:rsidR="0010491B">
        <w:t xml:space="preserve">this </w:t>
      </w:r>
      <w:r w:rsidR="00C81A6C">
        <w:t>categorization</w:t>
      </w:r>
      <w:r w:rsidR="0010491B">
        <w:t>.</w:t>
      </w:r>
      <w:r w:rsidR="003E191C">
        <w:t xml:space="preserve">  </w:t>
      </w:r>
      <w:r w:rsidR="006A426C">
        <w:t>This decision ratifies those rulings.</w:t>
      </w:r>
    </w:p>
    <w:p w14:paraId="5A494988" w14:textId="77676615" w:rsidR="00542B86" w:rsidRDefault="00542B86" w:rsidP="00CE14ED">
      <w:pPr>
        <w:pStyle w:val="ALJHeading1"/>
      </w:pPr>
      <w:bookmarkStart w:id="96" w:name="_Toc15908109"/>
      <w:r>
        <w:lastRenderedPageBreak/>
        <w:t>Comments on Proposed Decision</w:t>
      </w:r>
      <w:bookmarkEnd w:id="93"/>
      <w:bookmarkEnd w:id="96"/>
    </w:p>
    <w:p w14:paraId="10518417" w14:textId="754A189A" w:rsidR="00D66D69" w:rsidRPr="00D66D69" w:rsidRDefault="0012152A" w:rsidP="00D66D69">
      <w:pPr>
        <w:pStyle w:val="standard"/>
        <w:rPr>
          <w:rFonts w:ascii="Book Antiqua" w:hAnsi="Book Antiqua"/>
        </w:rPr>
      </w:pPr>
      <w:r w:rsidRPr="00CE14ED">
        <w:rPr>
          <w:rFonts w:ascii="Book Antiqua" w:hAnsi="Book Antiqua"/>
        </w:rPr>
        <w:t xml:space="preserve">The proposed decision of </w:t>
      </w:r>
      <w:r w:rsidR="005E2AA2" w:rsidRPr="00CE14ED">
        <w:rPr>
          <w:rFonts w:ascii="Book Antiqua" w:hAnsi="Book Antiqua"/>
        </w:rPr>
        <w:t>Commissioner Rechtschaffen</w:t>
      </w:r>
      <w:r w:rsidRPr="00CE14ED">
        <w:rPr>
          <w:rFonts w:ascii="Book Antiqua" w:hAnsi="Book Antiqua"/>
        </w:rPr>
        <w:t xml:space="preserve"> in this matter was mailed to the parties in accordance with Section 311 of the Public Utilities Code and comments were allowed under Rule 14.3 of the Commission’s Rules of Practice and Procedure.</w:t>
      </w:r>
      <w:r w:rsidR="00D66D69">
        <w:rPr>
          <w:rFonts w:ascii="Book Antiqua" w:hAnsi="Book Antiqua"/>
        </w:rPr>
        <w:t xml:space="preserve"> </w:t>
      </w:r>
      <w:r w:rsidR="0032323C">
        <w:rPr>
          <w:rFonts w:ascii="Book Antiqua" w:hAnsi="Book Antiqua"/>
        </w:rPr>
        <w:t xml:space="preserve"> </w:t>
      </w:r>
      <w:r w:rsidR="00D66D69" w:rsidRPr="00D66D69">
        <w:rPr>
          <w:rFonts w:ascii="Book Antiqua" w:hAnsi="Book Antiqua"/>
        </w:rPr>
        <w:t xml:space="preserve">Comments were filed on August 29, 2019 by SC/NRDC, Sunrun, CALSSA, Vote Solar, CESA, PG&amp;E, CCDC, CSE, SCE, Cal Advocates, SoCalGas, CHP, the JCCAs, GRID, JFCP, and SDG&amp;E, and reply comments were filed on September 3, 2019 by SC/NRDC, Vote Solar, CSE, GRID, PG&amp;E, CESA, SCE, SDG&amp;E, Cal Advocates, and CALSSA. </w:t>
      </w:r>
    </w:p>
    <w:p w14:paraId="224512A4" w14:textId="119922AC" w:rsidR="00D66D69" w:rsidRPr="00D66D69" w:rsidRDefault="00D66D69" w:rsidP="00D66D69">
      <w:pPr>
        <w:pStyle w:val="standard"/>
      </w:pPr>
      <w:r w:rsidRPr="00D66D69">
        <w:t xml:space="preserve">Parties raise a number of issues on the proposed decision and we have modified the final decision in response.  We have also corrected some minor inadvertent errors. </w:t>
      </w:r>
    </w:p>
    <w:p w14:paraId="4EE8DE77" w14:textId="76D4DAB5" w:rsidR="00D66D69" w:rsidRPr="00D66D69" w:rsidRDefault="00D66D69" w:rsidP="00D66D69">
      <w:pPr>
        <w:pStyle w:val="standard"/>
        <w:numPr>
          <w:ilvl w:val="0"/>
          <w:numId w:val="43"/>
        </w:numPr>
        <w:rPr>
          <w:u w:val="single"/>
        </w:rPr>
      </w:pPr>
      <w:r w:rsidRPr="00D66D69">
        <w:rPr>
          <w:u w:val="single"/>
        </w:rPr>
        <w:t>Equity Budget, Equity Resiliency Budget and San Joaquin Valley Set</w:t>
      </w:r>
      <w:r w:rsidR="00757681">
        <w:rPr>
          <w:u w:val="single"/>
        </w:rPr>
        <w:noBreakHyphen/>
      </w:r>
      <w:r w:rsidRPr="00D66D69">
        <w:rPr>
          <w:u w:val="single"/>
        </w:rPr>
        <w:t>Aside Incentive Levels</w:t>
      </w:r>
    </w:p>
    <w:p w14:paraId="3C902ACE" w14:textId="3A7D2AA1" w:rsidR="00DC08ED" w:rsidRDefault="00D66D69" w:rsidP="00D66D69">
      <w:pPr>
        <w:pStyle w:val="standard"/>
      </w:pPr>
      <w:r w:rsidRPr="00D66D69">
        <w:t xml:space="preserve">Several parties (CALSSAS, GRID, CESA) state in comments that the incentives indicated </w:t>
      </w:r>
      <w:r w:rsidR="002F3FEF">
        <w:t xml:space="preserve">in the proposed decision </w:t>
      </w:r>
      <w:r w:rsidRPr="00D66D69">
        <w:t>for the equity resiliency budget are insufficient to fully subsidize storage systems for eligible customers who</w:t>
      </w:r>
      <w:r w:rsidR="002F3FEF">
        <w:t xml:space="preserve"> </w:t>
      </w:r>
      <w:r w:rsidRPr="00D66D69">
        <w:t>lack access to financing or capital.  CALSSA states that the Commission should increase incentives for equity resiliency budget customers to $1.02/Wh for residential customers and $1.20/Wh for non</w:t>
      </w:r>
      <w:r w:rsidR="00757681">
        <w:noBreakHyphen/>
      </w:r>
      <w:r w:rsidRPr="00D66D69">
        <w:t xml:space="preserve">residential customers.  For residential customers, CALSSA states that the higher incentive levels are needed </w:t>
      </w:r>
      <w:r>
        <w:t xml:space="preserve">because customers installing storage for resiliency purposes are more likely to pursue partial backup rather than whole home backup, necessitating the need to deploy a critical loads panel.  CESA states that higher incentives are needed </w:t>
      </w:r>
      <w:r w:rsidRPr="00D66D69">
        <w:t>to support “additional islanding costs (e.g. service panel re</w:t>
      </w:r>
      <w:r w:rsidR="00757681">
        <w:noBreakHyphen/>
      </w:r>
      <w:r w:rsidRPr="00D66D69">
        <w:t xml:space="preserve">wiring, specialized </w:t>
      </w:r>
      <w:r w:rsidRPr="00D66D69">
        <w:lastRenderedPageBreak/>
        <w:t>switchgear.”</w:t>
      </w:r>
      <w:r w:rsidRPr="00D66D69">
        <w:rPr>
          <w:vertAlign w:val="superscript"/>
        </w:rPr>
        <w:footnoteReference w:id="118"/>
      </w:r>
      <w:r w:rsidRPr="00D66D69">
        <w:t xml:space="preserve">  CESA states that these additional features c</w:t>
      </w:r>
      <w:r w:rsidR="00A56690">
        <w:t>an increase costs by between three</w:t>
      </w:r>
      <w:r w:rsidRPr="00D66D69">
        <w:t xml:space="preserve"> and 21 percent. </w:t>
      </w:r>
      <w:r w:rsidR="009E6D76">
        <w:t xml:space="preserve"> </w:t>
      </w:r>
    </w:p>
    <w:p w14:paraId="4B0CBF31" w14:textId="02B128FE" w:rsidR="00DC08ED" w:rsidRDefault="002F3FEF" w:rsidP="00D66D69">
      <w:pPr>
        <w:pStyle w:val="standard"/>
      </w:pPr>
      <w:r>
        <w:t>GRID states that the average cost of $0.85/Wh for residential systems in the SGIP database reflects costs faced by “early adopter” households and is an inappropriate gauge of the barriers and resulting costs</w:t>
      </w:r>
      <w:r w:rsidR="00DC08ED">
        <w:t xml:space="preserve"> </w:t>
      </w:r>
      <w:r>
        <w:t>faced by equity budget</w:t>
      </w:r>
      <w:r w:rsidR="00757681">
        <w:noBreakHyphen/>
      </w:r>
      <w:r>
        <w:t xml:space="preserve">eligible households.  </w:t>
      </w:r>
      <w:r w:rsidR="00DC08ED" w:rsidRPr="00D66D69">
        <w:t xml:space="preserve">GRID states that the incentive levels indicated in the proposed decision are inadequate to cover the additional costs of serving pilot customers, who are remotely located and who will need strong assurances of the reliability of electric supply before they will agree to electrify their cooling and water heating systems as part of the pilot projects.  GRID urges the Commission to raise incentive levels for the </w:t>
      </w:r>
      <w:r w:rsidR="00DC08ED">
        <w:t>SJV pilot set</w:t>
      </w:r>
      <w:r w:rsidR="00757681">
        <w:noBreakHyphen/>
      </w:r>
      <w:r w:rsidR="00DC08ED">
        <w:t xml:space="preserve">aside to $1.10.  </w:t>
      </w:r>
    </w:p>
    <w:p w14:paraId="56AB609B" w14:textId="1B4BBDF6" w:rsidR="00D66D69" w:rsidRPr="00D66D69" w:rsidRDefault="009E6D76" w:rsidP="00D66D69">
      <w:pPr>
        <w:pStyle w:val="standard"/>
      </w:pPr>
      <w:r>
        <w:t>SCE requests that this decision authorize PAs to submit a Tier 3 advice letter to increase customer participation in the equity budgets</w:t>
      </w:r>
      <w:r w:rsidR="00A35276">
        <w:t xml:space="preserve"> as warranted, </w:t>
      </w:r>
      <w:r w:rsidR="00DC08ED">
        <w:t>as authorized in D.17</w:t>
      </w:r>
      <w:r w:rsidR="00757681">
        <w:noBreakHyphen/>
      </w:r>
      <w:r w:rsidR="00DC08ED">
        <w:t>10</w:t>
      </w:r>
      <w:r w:rsidR="00757681">
        <w:noBreakHyphen/>
      </w:r>
      <w:r w:rsidR="00DC08ED">
        <w:t>0</w:t>
      </w:r>
      <w:r>
        <w:t>0</w:t>
      </w:r>
      <w:r w:rsidR="00DC08ED">
        <w:t>4</w:t>
      </w:r>
      <w:r>
        <w:t>.</w:t>
      </w:r>
      <w:r>
        <w:rPr>
          <w:rStyle w:val="FootnoteReference"/>
        </w:rPr>
        <w:footnoteReference w:id="119"/>
      </w:r>
    </w:p>
    <w:p w14:paraId="08F2552C" w14:textId="31BBF6EC" w:rsidR="00D66D69" w:rsidRPr="00D66D69" w:rsidRDefault="00DC08ED" w:rsidP="00D66D69">
      <w:pPr>
        <w:pStyle w:val="standard"/>
      </w:pPr>
      <w:r>
        <w:t>In sum, p</w:t>
      </w:r>
      <w:r w:rsidR="00D66D69" w:rsidRPr="00D66D69">
        <w:t>arties argue that the greater risk is that the Commission adopts equity resiliency and SJV pilot incentive levels that do not cover costs sufficiently for eligible low</w:t>
      </w:r>
      <w:r w:rsidR="00757681">
        <w:noBreakHyphen/>
      </w:r>
      <w:r w:rsidR="00D66D69" w:rsidRPr="00D66D69">
        <w:t xml:space="preserve">income customers to be able to afford the storage systems, not that the Commission approves incentive levels that allow developers to </w:t>
      </w:r>
      <w:r>
        <w:t>inflate project costs</w:t>
      </w:r>
      <w:r w:rsidR="00D66D69" w:rsidRPr="00D66D69">
        <w:t>.  Parties’ comments on the proposed decision were persuasive.  We agree that the greater risk for the newly established equity resiliency budget and the SJV pilot set</w:t>
      </w:r>
      <w:r w:rsidR="00757681">
        <w:noBreakHyphen/>
      </w:r>
      <w:r w:rsidR="00D66D69" w:rsidRPr="00D66D69">
        <w:t xml:space="preserve">aside, at least in the short term, is a lack of customer participation, not that this Commission sets incentive levels “too high.”  Lack of uptake of these incentives in the next few years would be an unacceptable </w:t>
      </w:r>
      <w:r w:rsidR="00D66D69" w:rsidRPr="00D66D69">
        <w:lastRenderedPageBreak/>
        <w:t>outcome of this decision, as this would mean that the Commission would not gain the insights that installation of storage as part of the SJV pilot will provide nor would vulnerable customers in Tier 3 and Tier 2 HFTDs have the opportunity to use storage systems to increase their resiliency to PSPS or other outage events.  The final decision modifies the incentive levels for the equity resiliency budget and the SJV pilot set</w:t>
      </w:r>
      <w:r w:rsidR="00757681">
        <w:noBreakHyphen/>
      </w:r>
      <w:r w:rsidR="00D66D69" w:rsidRPr="00D66D69">
        <w:t xml:space="preserve">aside to $1.00/Wh. </w:t>
      </w:r>
    </w:p>
    <w:p w14:paraId="53BA342D" w14:textId="20D6CAD1" w:rsidR="00D66D69" w:rsidRPr="00D66D69" w:rsidRDefault="00D66D69" w:rsidP="00D66D69">
      <w:pPr>
        <w:pStyle w:val="standard"/>
      </w:pPr>
      <w:r w:rsidRPr="00D66D69">
        <w:t>The final decision does not increase non</w:t>
      </w:r>
      <w:r w:rsidR="00757681">
        <w:noBreakHyphen/>
      </w:r>
      <w:r w:rsidRPr="00D66D69">
        <w:t xml:space="preserve">residential customer equity resiliency </w:t>
      </w:r>
      <w:r w:rsidR="001418CE">
        <w:t>incentives</w:t>
      </w:r>
      <w:r w:rsidRPr="00D66D69">
        <w:t xml:space="preserve"> or SJV pilot set</w:t>
      </w:r>
      <w:r w:rsidR="00757681">
        <w:noBreakHyphen/>
      </w:r>
      <w:r w:rsidRPr="00D66D69">
        <w:t>aside incentives beyond those approved for residential customers because we have not been persuaded that such customers merit additional incentive levels</w:t>
      </w:r>
      <w:r w:rsidR="0080145D">
        <w:t>.  Mor</w:t>
      </w:r>
      <w:r w:rsidR="00A741BB">
        <w:t>eover</w:t>
      </w:r>
      <w:r w:rsidRPr="00D66D69">
        <w:t xml:space="preserve">, </w:t>
      </w:r>
      <w:r w:rsidR="00DC08ED">
        <w:t>non</w:t>
      </w:r>
      <w:r w:rsidR="00757681">
        <w:noBreakHyphen/>
      </w:r>
      <w:r w:rsidR="00DC08ED">
        <w:t xml:space="preserve">residential customers that are eligible for these incentives </w:t>
      </w:r>
      <w:r w:rsidRPr="00D66D69">
        <w:t>are more likely to have access to other sources of capital or financing as compared to residential customers</w:t>
      </w:r>
      <w:r w:rsidR="00A35276">
        <w:t xml:space="preserve"> and/or the resources and market savvy to compare several competitive bids</w:t>
      </w:r>
      <w:r w:rsidRPr="00D66D69">
        <w:t xml:space="preserve">. </w:t>
      </w:r>
    </w:p>
    <w:p w14:paraId="1AACE6B5" w14:textId="5AB42C06" w:rsidR="00DC08ED" w:rsidRDefault="00D66D69" w:rsidP="00D66D69">
      <w:pPr>
        <w:pStyle w:val="standard"/>
      </w:pPr>
      <w:r w:rsidRPr="00D66D69">
        <w:t xml:space="preserve">Several parties recommend that the Commission increase incentive levels for the equity budget above the $0.65/Wh indicated in the proposed decision.  These parties again state that these levels are insufficient to drive participation as they do not represent 85 percent of system costs, as originally proposed by CALSSA, which a $0.85/Wh incentive level would.  Parties also state that the proposed decision’s incentive level of $0.65/Wh does not account for higher than average system costs for such projects to provide for panel upgrades, rising contractor costs, maintenance and replacement parts, and the need to overcome what customers see as an uncertain value proposition for storage.  Parties recommend </w:t>
      </w:r>
      <w:r w:rsidR="00DC08ED">
        <w:t xml:space="preserve">that </w:t>
      </w:r>
      <w:r w:rsidRPr="00D66D69">
        <w:t xml:space="preserve">the Commission adopt an incentive level in the higher range of those originally proposed by parties.  </w:t>
      </w:r>
    </w:p>
    <w:p w14:paraId="1F837349" w14:textId="42CF31B5" w:rsidR="0069558F" w:rsidRDefault="00D66D69" w:rsidP="00D66D69">
      <w:pPr>
        <w:pStyle w:val="standard"/>
      </w:pPr>
      <w:r w:rsidRPr="00D66D69">
        <w:t>Parties’ comments on the proposed decision have persuaded us that a $0.65/Wh incentive may be too low to drive equity budget participation</w:t>
      </w:r>
      <w:r w:rsidR="00DC08ED">
        <w:t>.  L</w:t>
      </w:r>
      <w:r w:rsidRPr="00D66D69">
        <w:t xml:space="preserve">ack of </w:t>
      </w:r>
      <w:r w:rsidRPr="00D66D69">
        <w:lastRenderedPageBreak/>
        <w:t xml:space="preserve">participation in the modified </w:t>
      </w:r>
      <w:r w:rsidR="00A35276">
        <w:t xml:space="preserve">equity </w:t>
      </w:r>
      <w:r w:rsidRPr="00D66D69">
        <w:t>budget would be an unacceptable outcome of this decision.  We increase equity budget incentive levels in the final decision to $0.85/Wh, as originally proposed by CALSSA, and by Sunrun.</w:t>
      </w:r>
    </w:p>
    <w:p w14:paraId="29708F38" w14:textId="6248A916" w:rsidR="00D66D69" w:rsidRPr="00D66D69" w:rsidRDefault="00DC08ED">
      <w:pPr>
        <w:pStyle w:val="standard"/>
      </w:pPr>
      <w:r>
        <w:t>However, a</w:t>
      </w:r>
      <w:r w:rsidRPr="009E6D76">
        <w:t xml:space="preserve"> streamlined process to make changes to the SGIP Equity Budget incentive levels is </w:t>
      </w:r>
      <w:r w:rsidR="007A5166">
        <w:t xml:space="preserve">also </w:t>
      </w:r>
      <w:r w:rsidRPr="009E6D76">
        <w:t>reasonable and consistent with past Commission actions.</w:t>
      </w:r>
      <w:r>
        <w:rPr>
          <w:rStyle w:val="FootnoteReference"/>
        </w:rPr>
        <w:footnoteReference w:id="120"/>
      </w:r>
      <w:r>
        <w:t xml:space="preserve">  We therefore </w:t>
      </w:r>
      <w:r w:rsidR="0069558F">
        <w:t>clarify that, as provided for in D.17</w:t>
      </w:r>
      <w:r w:rsidR="00757681">
        <w:noBreakHyphen/>
      </w:r>
      <w:r w:rsidR="0069558F">
        <w:t>10</w:t>
      </w:r>
      <w:r w:rsidR="00757681">
        <w:noBreakHyphen/>
      </w:r>
      <w:r w:rsidR="0069558F">
        <w:t xml:space="preserve">004, the PAs </w:t>
      </w:r>
      <w:r>
        <w:t xml:space="preserve">retain </w:t>
      </w:r>
      <w:r w:rsidR="0069558F">
        <w:t>the authority to file a Tier 3 advice letter to modify equity budget, equity resiliency budget and the SJV pilot set</w:t>
      </w:r>
      <w:r w:rsidR="00757681">
        <w:noBreakHyphen/>
      </w:r>
      <w:r w:rsidR="0069558F">
        <w:t xml:space="preserve">aside </w:t>
      </w:r>
      <w:r>
        <w:t>incentives</w:t>
      </w:r>
      <w:r w:rsidR="007A5166">
        <w:t xml:space="preserve"> as warranted </w:t>
      </w:r>
      <w:r w:rsidR="0069558F">
        <w:t xml:space="preserve">to increase </w:t>
      </w:r>
      <w:r w:rsidR="009E6D76">
        <w:t xml:space="preserve">customer </w:t>
      </w:r>
      <w:r w:rsidR="0069558F">
        <w:t xml:space="preserve">participation. </w:t>
      </w:r>
      <w:r w:rsidR="009E6D76">
        <w:t xml:space="preserve"> We also clarify that, as also provided for in D.17</w:t>
      </w:r>
      <w:r w:rsidR="00757681">
        <w:noBreakHyphen/>
      </w:r>
      <w:r w:rsidR="009E6D76">
        <w:t>10</w:t>
      </w:r>
      <w:r w:rsidR="00757681">
        <w:noBreakHyphen/>
      </w:r>
      <w:r w:rsidR="009E6D76">
        <w:t xml:space="preserve">004, the Energy </w:t>
      </w:r>
      <w:r>
        <w:t xml:space="preserve">Division has </w:t>
      </w:r>
      <w:r w:rsidR="009E6D76">
        <w:t xml:space="preserve">authority to change the equity </w:t>
      </w:r>
      <w:r w:rsidR="00A35276">
        <w:t xml:space="preserve">and equity resiliency </w:t>
      </w:r>
      <w:r w:rsidR="009E6D76">
        <w:t>budget</w:t>
      </w:r>
      <w:r w:rsidR="00A35276">
        <w:t>s and the SJV pilot set</w:t>
      </w:r>
      <w:r w:rsidR="00757681">
        <w:noBreakHyphen/>
      </w:r>
      <w:r w:rsidR="00A35276">
        <w:t>aside</w:t>
      </w:r>
      <w:r w:rsidR="009E6D76">
        <w:t xml:space="preserve"> on its own motion via resolution. </w:t>
      </w:r>
    </w:p>
    <w:p w14:paraId="5E332E42" w14:textId="76F4C510" w:rsidR="00D66D69" w:rsidRPr="00D66D69" w:rsidRDefault="00D66D69" w:rsidP="00D66D69">
      <w:pPr>
        <w:pStyle w:val="standard"/>
        <w:numPr>
          <w:ilvl w:val="0"/>
          <w:numId w:val="43"/>
        </w:numPr>
        <w:rPr>
          <w:u w:val="single"/>
        </w:rPr>
      </w:pPr>
      <w:r w:rsidRPr="00D66D69">
        <w:rPr>
          <w:u w:val="single"/>
        </w:rPr>
        <w:t>Incentive Step</w:t>
      </w:r>
      <w:r w:rsidR="00757681">
        <w:rPr>
          <w:u w:val="single"/>
        </w:rPr>
        <w:noBreakHyphen/>
      </w:r>
      <w:r w:rsidRPr="00D66D69">
        <w:rPr>
          <w:u w:val="single"/>
        </w:rPr>
        <w:t>Down Structure for Longer Duration Storage Systems</w:t>
      </w:r>
    </w:p>
    <w:p w14:paraId="6C828ECA" w14:textId="5FF3D550" w:rsidR="00D66D69" w:rsidRPr="00D66D69" w:rsidRDefault="00D66D69" w:rsidP="00D66D69">
      <w:pPr>
        <w:pStyle w:val="standard"/>
      </w:pPr>
      <w:r w:rsidRPr="00D66D69">
        <w:t xml:space="preserve">Several parties urge the Commission to alter the </w:t>
      </w:r>
      <w:r w:rsidR="007A5166">
        <w:t xml:space="preserve">duration </w:t>
      </w:r>
      <w:r w:rsidRPr="00D66D69">
        <w:t>step</w:t>
      </w:r>
      <w:r w:rsidR="00757681">
        <w:noBreakHyphen/>
      </w:r>
      <w:r w:rsidRPr="00D66D69">
        <w:t>down</w:t>
      </w:r>
      <w:r w:rsidR="007A5166">
        <w:t xml:space="preserve"> structure </w:t>
      </w:r>
      <w:r w:rsidRPr="00D66D69">
        <w:t xml:space="preserve">included in the proposed decision by extending </w:t>
      </w:r>
      <w:r w:rsidR="007A5166">
        <w:t xml:space="preserve">the </w:t>
      </w:r>
      <w:r w:rsidRPr="00D66D69">
        <w:t xml:space="preserve">base incentive level step to six hours or by </w:t>
      </w:r>
      <w:r w:rsidR="007A5166">
        <w:t xml:space="preserve">decreasing incentives to just </w:t>
      </w:r>
      <w:r w:rsidRPr="00D66D69">
        <w:t xml:space="preserve">50 percent of </w:t>
      </w:r>
      <w:r w:rsidR="007A5166">
        <w:t xml:space="preserve">the </w:t>
      </w:r>
      <w:r w:rsidRPr="00D66D69">
        <w:t>base incentive at four hours</w:t>
      </w:r>
      <w:r w:rsidR="007A5166">
        <w:t xml:space="preserve"> </w:t>
      </w:r>
      <w:r w:rsidRPr="00D66D69">
        <w:t xml:space="preserve">rather than to 25 percent, and not ending incentives at any particular </w:t>
      </w:r>
      <w:r w:rsidR="007A5166">
        <w:t xml:space="preserve">length of </w:t>
      </w:r>
      <w:r w:rsidRPr="00D66D69">
        <w:t xml:space="preserve">time.  These parties state that the structure indicated in the proposed decision does not adequately reflect the risk that PSPS or other outage events exceed four hours.  </w:t>
      </w:r>
      <w:r w:rsidR="007A5166">
        <w:t xml:space="preserve">CALSSA </w:t>
      </w:r>
      <w:r w:rsidR="00DD31F8">
        <w:t xml:space="preserve">reiterates that systems designed to discharge at the maximum rate for four to five hours are </w:t>
      </w:r>
      <w:r w:rsidR="007A5166">
        <w:t xml:space="preserve">useful </w:t>
      </w:r>
      <w:r w:rsidR="00DD31F8">
        <w:t>to address system ramping needs.</w:t>
      </w:r>
    </w:p>
    <w:p w14:paraId="67ACBC0A" w14:textId="632C2539" w:rsidR="00D66D69" w:rsidRPr="00D66D69" w:rsidRDefault="00D66D69" w:rsidP="00D66D69">
      <w:pPr>
        <w:pStyle w:val="standard"/>
      </w:pPr>
      <w:r w:rsidRPr="00D66D69">
        <w:t xml:space="preserve">We agree that the proposed decision’s duration structure </w:t>
      </w:r>
      <w:r w:rsidR="007718F8">
        <w:t xml:space="preserve">could be slightly modified to support </w:t>
      </w:r>
      <w:r w:rsidRPr="00D66D69">
        <w:t xml:space="preserve">equity budget customers </w:t>
      </w:r>
      <w:r w:rsidR="007718F8">
        <w:t xml:space="preserve">to </w:t>
      </w:r>
      <w:r w:rsidR="007A5166">
        <w:t xml:space="preserve">install </w:t>
      </w:r>
      <w:r w:rsidRPr="00D66D69">
        <w:t xml:space="preserve">storage systems </w:t>
      </w:r>
      <w:r w:rsidR="007A5166">
        <w:t xml:space="preserve">capable of </w:t>
      </w:r>
      <w:r w:rsidRPr="00D66D69">
        <w:t>provid</w:t>
      </w:r>
      <w:r w:rsidR="007A5166">
        <w:t>ing</w:t>
      </w:r>
      <w:r w:rsidRPr="00D66D69">
        <w:t xml:space="preserve"> </w:t>
      </w:r>
      <w:r w:rsidR="007A5166">
        <w:t xml:space="preserve">backup </w:t>
      </w:r>
      <w:r w:rsidRPr="00D66D69">
        <w:t xml:space="preserve">electricity for </w:t>
      </w:r>
      <w:r w:rsidR="007A5166">
        <w:t>extended outage events</w:t>
      </w:r>
      <w:r w:rsidRPr="00D66D69">
        <w:t xml:space="preserve">.  However, </w:t>
      </w:r>
      <w:r w:rsidR="007A5166">
        <w:t xml:space="preserve">to the </w:t>
      </w:r>
      <w:r w:rsidR="007A5166">
        <w:lastRenderedPageBreak/>
        <w:t xml:space="preserve">extent possible, </w:t>
      </w:r>
      <w:r w:rsidRPr="00D66D69">
        <w:t xml:space="preserve">we want to avoid concentrating use of incentive funds amongst a smaller number of customers installing large systems.  We therefore update the duration incentive structure to provide 50 percent of base incentive levels for storage systems </w:t>
      </w:r>
      <w:r w:rsidR="007A5166">
        <w:t xml:space="preserve">with </w:t>
      </w:r>
      <w:r w:rsidRPr="00D66D69">
        <w:t>discharg</w:t>
      </w:r>
      <w:r w:rsidR="007A5166">
        <w:t>e durations of</w:t>
      </w:r>
      <w:r w:rsidRPr="00D66D69">
        <w:t xml:space="preserve"> four to </w:t>
      </w:r>
      <w:r w:rsidR="007718F8">
        <w:t>six</w:t>
      </w:r>
      <w:r w:rsidRPr="00D66D69">
        <w:t xml:space="preserve"> hours</w:t>
      </w:r>
      <w:r w:rsidR="00086552">
        <w:t xml:space="preserve">.  </w:t>
      </w:r>
      <w:r w:rsidR="007A5166">
        <w:t xml:space="preserve">We agree </w:t>
      </w:r>
      <w:r w:rsidR="00086552" w:rsidRPr="00086552">
        <w:t xml:space="preserve">that longer duration discharge systems may be useful to address system ramping needs, and request that the SGIP evaluator study this issue as feasible in the annual SGIP impact evaluations. </w:t>
      </w:r>
    </w:p>
    <w:p w14:paraId="68B6B1C2" w14:textId="77777777" w:rsidR="00D66D69" w:rsidRPr="00D66D69" w:rsidRDefault="00D66D69" w:rsidP="00D66D69">
      <w:pPr>
        <w:pStyle w:val="standard"/>
        <w:numPr>
          <w:ilvl w:val="0"/>
          <w:numId w:val="43"/>
        </w:numPr>
        <w:rPr>
          <w:u w:val="single"/>
        </w:rPr>
      </w:pPr>
      <w:r w:rsidRPr="00D66D69">
        <w:rPr>
          <w:u w:val="single"/>
        </w:rPr>
        <w:t>System Sizing Incentive Structure</w:t>
      </w:r>
    </w:p>
    <w:p w14:paraId="43CE4F6B" w14:textId="057E119A" w:rsidR="00D66D69" w:rsidRPr="00D66D69" w:rsidRDefault="00D66D69" w:rsidP="00D66D69">
      <w:pPr>
        <w:pStyle w:val="standard"/>
      </w:pPr>
      <w:r w:rsidRPr="00D66D69">
        <w:t>CALSSA and CESA request that the Commission modify SGIP system sizing requirements to increase the maximum size of storage systems that qualify for incentives</w:t>
      </w:r>
      <w:r w:rsidR="00A25B49">
        <w:t xml:space="preserve">.  These parties recommend that the Commission modify maximize size limits to base these on the </w:t>
      </w:r>
      <w:r w:rsidRPr="00D66D69">
        <w:t>estimated 48</w:t>
      </w:r>
      <w:r w:rsidR="00757681">
        <w:noBreakHyphen/>
      </w:r>
      <w:r w:rsidRPr="00D66D69">
        <w:t xml:space="preserve">hour energy needs of </w:t>
      </w:r>
      <w:r w:rsidR="00A25B49">
        <w:t>a</w:t>
      </w:r>
      <w:r w:rsidRPr="00D66D69">
        <w:t xml:space="preserve"> facility,</w:t>
      </w:r>
      <w:r w:rsidR="00A25B49">
        <w:t xml:space="preserve"> </w:t>
      </w:r>
      <w:r w:rsidRPr="00D66D69">
        <w:t>calculated based on average weekday consumption over the summer season (July</w:t>
      </w:r>
      <w:r w:rsidR="00757681">
        <w:noBreakHyphen/>
      </w:r>
      <w:r w:rsidRPr="00D66D69">
        <w:t xml:space="preserve">August).  We </w:t>
      </w:r>
      <w:r w:rsidR="00A25B49">
        <w:t xml:space="preserve">do </w:t>
      </w:r>
      <w:r w:rsidRPr="00D66D69">
        <w:t xml:space="preserve">not modify the final decision to reflect this recommendation </w:t>
      </w:r>
      <w:r w:rsidR="00A25B49">
        <w:t xml:space="preserve">at this time </w:t>
      </w:r>
      <w:r w:rsidRPr="00D66D69">
        <w:t>but may consider it in subsequent decisions in R.12</w:t>
      </w:r>
      <w:r w:rsidR="00757681">
        <w:noBreakHyphen/>
      </w:r>
      <w:r w:rsidRPr="00D66D69">
        <w:t>11</w:t>
      </w:r>
      <w:r w:rsidR="00757681">
        <w:noBreakHyphen/>
      </w:r>
      <w:r w:rsidRPr="00D66D69">
        <w:t xml:space="preserve">005.   </w:t>
      </w:r>
    </w:p>
    <w:p w14:paraId="5CC9A3F2" w14:textId="77777777" w:rsidR="00D66D69" w:rsidRPr="00D66D69" w:rsidRDefault="00D66D69" w:rsidP="00D66D69">
      <w:pPr>
        <w:pStyle w:val="standard"/>
        <w:numPr>
          <w:ilvl w:val="0"/>
          <w:numId w:val="43"/>
        </w:numPr>
        <w:rPr>
          <w:u w:val="single"/>
        </w:rPr>
      </w:pPr>
      <w:r w:rsidRPr="00D66D69">
        <w:rPr>
          <w:u w:val="single"/>
        </w:rPr>
        <w:t>Equity Resiliency Budget Eligibility Criteria</w:t>
      </w:r>
    </w:p>
    <w:p w14:paraId="3EA36038" w14:textId="2FE7E762" w:rsidR="00D66D69" w:rsidRPr="00D66D69" w:rsidRDefault="009B4563" w:rsidP="00D66D69">
      <w:pPr>
        <w:pStyle w:val="standard"/>
      </w:pPr>
      <w:r>
        <w:t xml:space="preserve">Five parties comment that the Commission should </w:t>
      </w:r>
      <w:r w:rsidR="00D66D69" w:rsidRPr="00D66D69">
        <w:t>expand eligibility for the equity resiliency budget incentives to customers located in Tier 2 HFTDs as well as Tier 3 districts because Tier 2 HFTD customers are also at a significantly elevated risk for wildfire</w:t>
      </w:r>
      <w:r w:rsidR="00757681">
        <w:noBreakHyphen/>
      </w:r>
      <w:r w:rsidR="001204E0">
        <w:t>related de</w:t>
      </w:r>
      <w:r w:rsidR="00757681">
        <w:noBreakHyphen/>
      </w:r>
      <w:r w:rsidR="001204E0">
        <w:t>energization</w:t>
      </w:r>
      <w:r w:rsidR="00D66D69" w:rsidRPr="00D66D69">
        <w:t xml:space="preserve">.  We have been persuaded by party comments on the proposed decision that this is the case, and have modified the final decision to expand eligibility for the equity resiliency budget incentives to Tier 2 HFTD customers as well as Tier 3 customers. </w:t>
      </w:r>
    </w:p>
    <w:p w14:paraId="1CAF0E00" w14:textId="67955541" w:rsidR="00D66D69" w:rsidRPr="00D66D69" w:rsidRDefault="00D66D69" w:rsidP="00D66D69">
      <w:pPr>
        <w:pStyle w:val="standard"/>
      </w:pPr>
      <w:r w:rsidRPr="00D66D69">
        <w:t xml:space="preserve">The JCCAs recommend </w:t>
      </w:r>
      <w:r w:rsidR="00A25B49">
        <w:t xml:space="preserve">several additional </w:t>
      </w:r>
      <w:r w:rsidRPr="00D66D69">
        <w:t xml:space="preserve">finely parsed geographic eligibility requirements for the equity resiliency budget.  </w:t>
      </w:r>
      <w:r w:rsidR="00A25B49">
        <w:t>W</w:t>
      </w:r>
      <w:r w:rsidRPr="00D66D69">
        <w:t xml:space="preserve">e do not adopt these </w:t>
      </w:r>
      <w:r w:rsidRPr="00D66D69">
        <w:lastRenderedPageBreak/>
        <w:t xml:space="preserve">recommendations at this time, as we </w:t>
      </w:r>
      <w:r w:rsidR="00A25B49">
        <w:t xml:space="preserve">have a limited record on this topic </w:t>
      </w:r>
      <w:r w:rsidRPr="00D66D69">
        <w:t>and do not wish to order the PAs to undertake additional mapping activities</w:t>
      </w:r>
      <w:r w:rsidR="00A25B49">
        <w:t xml:space="preserve"> that are not coordinated with R.18</w:t>
      </w:r>
      <w:r w:rsidR="00757681">
        <w:noBreakHyphen/>
      </w:r>
      <w:r w:rsidR="00A25B49">
        <w:t>12</w:t>
      </w:r>
      <w:r w:rsidR="00757681">
        <w:noBreakHyphen/>
      </w:r>
      <w:r w:rsidR="00A25B49">
        <w:t>005</w:t>
      </w:r>
      <w:r w:rsidRPr="00D66D69">
        <w:t>.  We also do not adopt the JCCAs’ recommendation that we add additional non</w:t>
      </w:r>
      <w:r w:rsidR="00757681">
        <w:noBreakHyphen/>
      </w:r>
      <w:r w:rsidRPr="00D66D69">
        <w:t xml:space="preserve">residential customers as eligible for the equity resiliency incentives because we have based </w:t>
      </w:r>
      <w:r w:rsidR="00A25B49">
        <w:t>such</w:t>
      </w:r>
      <w:r w:rsidRPr="00D66D69">
        <w:t xml:space="preserve"> customer</w:t>
      </w:r>
      <w:r w:rsidR="00A25B49">
        <w:t>s’</w:t>
      </w:r>
      <w:r w:rsidRPr="00D66D69">
        <w:t xml:space="preserve"> eligibility on D.19</w:t>
      </w:r>
      <w:r w:rsidR="00757681">
        <w:noBreakHyphen/>
      </w:r>
      <w:r w:rsidRPr="00D66D69">
        <w:t>05</w:t>
      </w:r>
      <w:r w:rsidR="00757681">
        <w:noBreakHyphen/>
      </w:r>
      <w:r w:rsidRPr="00D66D69">
        <w:t xml:space="preserve">042, which addresses this issue in depth.  </w:t>
      </w:r>
      <w:r w:rsidR="0045785D">
        <w:t>One exception is that we add 911 call centers</w:t>
      </w:r>
      <w:r w:rsidR="00DE4B3F">
        <w:t>,</w:t>
      </w:r>
      <w:r w:rsidR="0045785D">
        <w:t xml:space="preserve"> also referred to as Public Safety Answering Points</w:t>
      </w:r>
      <w:r w:rsidR="00A25B49">
        <w:t>, as eligible for the equity resiliency incentives.</w:t>
      </w:r>
      <w:r w:rsidR="007713BB">
        <w:rPr>
          <w:rStyle w:val="FootnoteReference"/>
        </w:rPr>
        <w:footnoteReference w:id="121"/>
      </w:r>
      <w:r w:rsidR="0045785D">
        <w:t xml:space="preserve"> </w:t>
      </w:r>
      <w:r w:rsidR="00A740E6">
        <w:t xml:space="preserve"> We also clarify that the </w:t>
      </w:r>
      <w:r w:rsidR="00D630AF">
        <w:t>identif</w:t>
      </w:r>
      <w:r w:rsidR="00ED5161">
        <w:t>ication of</w:t>
      </w:r>
      <w:r w:rsidR="00D630AF">
        <w:t xml:space="preserve"> police stations</w:t>
      </w:r>
      <w:r w:rsidR="00A25B49">
        <w:t xml:space="preserve">, </w:t>
      </w:r>
      <w:r w:rsidR="00D630AF">
        <w:t>fire stations</w:t>
      </w:r>
      <w:r w:rsidR="00A25B49">
        <w:t xml:space="preserve">, </w:t>
      </w:r>
      <w:r w:rsidR="00076651">
        <w:t>and</w:t>
      </w:r>
      <w:r w:rsidR="00292F18">
        <w:t xml:space="preserve"> emergency operations centers </w:t>
      </w:r>
      <w:r w:rsidR="00ED5161">
        <w:t xml:space="preserve">as critical facilities in this decision </w:t>
      </w:r>
      <w:r w:rsidR="00292F18">
        <w:t>include</w:t>
      </w:r>
      <w:r w:rsidR="00ED5161">
        <w:t>s</w:t>
      </w:r>
      <w:r w:rsidR="00121401">
        <w:t xml:space="preserve"> their associated vehicle </w:t>
      </w:r>
      <w:r w:rsidR="007B29A9">
        <w:t xml:space="preserve">storage, maintenance, and fueling </w:t>
      </w:r>
      <w:r w:rsidR="00121401">
        <w:t>facilities.</w:t>
      </w:r>
      <w:r w:rsidR="00A740E6">
        <w:t xml:space="preserve"> </w:t>
      </w:r>
      <w:r w:rsidR="00A25B49">
        <w:t xml:space="preserve"> </w:t>
      </w:r>
      <w:r w:rsidRPr="00D66D69">
        <w:t>To the extent that subsequent decisions in R.18</w:t>
      </w:r>
      <w:r w:rsidR="00757681">
        <w:noBreakHyphen/>
      </w:r>
      <w:r w:rsidRPr="00D66D69">
        <w:t>12</w:t>
      </w:r>
      <w:r w:rsidR="00757681">
        <w:noBreakHyphen/>
      </w:r>
      <w:r w:rsidRPr="00D66D69">
        <w:t>005</w:t>
      </w:r>
      <w:r w:rsidR="00A25B49">
        <w:t xml:space="preserve"> </w:t>
      </w:r>
      <w:r w:rsidRPr="00D66D69">
        <w:t>or a successor proceeding</w:t>
      </w:r>
      <w:r w:rsidR="00A25B49">
        <w:t xml:space="preserve"> </w:t>
      </w:r>
      <w:r w:rsidRPr="00D66D69">
        <w:t xml:space="preserve">update definitions of critical facilities, critical infrastructure or first responders, however, we authorize the PAs to jointly submit a </w:t>
      </w:r>
      <w:r w:rsidR="000F79E2">
        <w:t xml:space="preserve">Tier 2 </w:t>
      </w:r>
      <w:r w:rsidRPr="00D66D69">
        <w:t xml:space="preserve">advice letter </w:t>
      </w:r>
      <w:r w:rsidR="00DE4B3F">
        <w:t xml:space="preserve">seeking </w:t>
      </w:r>
      <w:r w:rsidRPr="00D66D69">
        <w:t xml:space="preserve">to similarly update the definitions of these terms as they apply to the SGIP. </w:t>
      </w:r>
    </w:p>
    <w:p w14:paraId="02B8DEAF" w14:textId="2D4605DB" w:rsidR="00D66D69" w:rsidRPr="00D66D69" w:rsidRDefault="00D66D69" w:rsidP="00D66D69">
      <w:pPr>
        <w:pStyle w:val="standard"/>
      </w:pPr>
      <w:r w:rsidRPr="00D66D69">
        <w:t xml:space="preserve">We concur with the JCCAs that CCA customers must be </w:t>
      </w:r>
      <w:r w:rsidR="00A25B49">
        <w:t xml:space="preserve">accorded </w:t>
      </w:r>
      <w:r w:rsidRPr="00D66D69">
        <w:t xml:space="preserve">equal access to SGIP incentives and have modified the final decision accordingly. </w:t>
      </w:r>
    </w:p>
    <w:p w14:paraId="09439A66" w14:textId="77777777" w:rsidR="00D66D69" w:rsidRPr="00D66D69" w:rsidRDefault="00D66D69" w:rsidP="00D66D69">
      <w:pPr>
        <w:pStyle w:val="standard"/>
        <w:numPr>
          <w:ilvl w:val="0"/>
          <w:numId w:val="43"/>
        </w:numPr>
        <w:rPr>
          <w:u w:val="single"/>
        </w:rPr>
      </w:pPr>
      <w:r w:rsidRPr="00D66D69">
        <w:rPr>
          <w:u w:val="single"/>
        </w:rPr>
        <w:t>Program Changes to Support Critical Resiliency Needs Customers</w:t>
      </w:r>
    </w:p>
    <w:p w14:paraId="18087C8E" w14:textId="3A334D10" w:rsidR="008219B6" w:rsidRDefault="00D66D69" w:rsidP="00D66D69">
      <w:pPr>
        <w:pStyle w:val="standard"/>
      </w:pPr>
      <w:r w:rsidRPr="00D66D69">
        <w:t xml:space="preserve">Several parties raise concerns regarding disclosure requirements for potential equity resiliency budget customers that may be interested in SGIP incentives in order to power medical devices during PSPS or other outage events.  These parties offer a variety of recommendations aimed at ensuring that such </w:t>
      </w:r>
      <w:r w:rsidRPr="00D66D69">
        <w:lastRenderedPageBreak/>
        <w:t xml:space="preserve">customers are aware of the potential limitations of SGIP storage systems prior to signing a contract.  </w:t>
      </w:r>
    </w:p>
    <w:p w14:paraId="0186DEBA" w14:textId="0676893A" w:rsidR="00D66D69" w:rsidRPr="00D66D69" w:rsidRDefault="00D66D69" w:rsidP="00D66D69">
      <w:pPr>
        <w:pStyle w:val="standard"/>
      </w:pPr>
      <w:r w:rsidRPr="00D66D69">
        <w:t xml:space="preserve">We modify the final decision to require two additional components as part of SGIP application materials for equity resiliency incentives.  First, we require developers to provide a written assessment to the customer about the capability and limits of the battery and to obtain and include an affidavit from the customer that indicates that the developer has informed the customer of how long the battery could operate in less favorable conditions.  Second, we require developers to include in the affidavit a confirmation from the customer that the developer has provided information to the customer about how to best prepare </w:t>
      </w:r>
      <w:r w:rsidR="005875EA">
        <w:t xml:space="preserve">a </w:t>
      </w:r>
      <w:r w:rsidRPr="00D66D69">
        <w:t xml:space="preserve">storage system in advance for a known outage, such as a PSPS event.  The PAs shall include examples of </w:t>
      </w:r>
      <w:r w:rsidR="005875EA">
        <w:t xml:space="preserve">the </w:t>
      </w:r>
      <w:r w:rsidRPr="00D66D69">
        <w:t xml:space="preserve">standardized affidavit statements that they will require for equity resiliency budget applications in the Tier 2 advice letter required in this decision.   PAs are encouraged to invite disability </w:t>
      </w:r>
      <w:r w:rsidR="00754CCC">
        <w:t>advocates</w:t>
      </w:r>
      <w:r w:rsidRPr="00D66D69">
        <w:t xml:space="preserve"> to participate in a SGIP TWG session to further discuss appropriate standardized disclosure statements for the affidavits. </w:t>
      </w:r>
    </w:p>
    <w:p w14:paraId="317811BA" w14:textId="0A22A2DC" w:rsidR="005875EA" w:rsidRDefault="00D66D69" w:rsidP="00D66D69">
      <w:pPr>
        <w:pStyle w:val="standard"/>
      </w:pPr>
      <w:r w:rsidRPr="00D66D69">
        <w:t xml:space="preserve">Parties </w:t>
      </w:r>
      <w:r w:rsidR="005875EA">
        <w:t xml:space="preserve">also </w:t>
      </w:r>
      <w:r w:rsidRPr="00D66D69">
        <w:t xml:space="preserve">state that the </w:t>
      </w:r>
      <w:r w:rsidR="005875EA">
        <w:t xml:space="preserve">Commission should not require </w:t>
      </w:r>
      <w:r w:rsidRPr="00D66D69">
        <w:t xml:space="preserve">documentation that </w:t>
      </w:r>
      <w:r w:rsidR="005875EA">
        <w:t xml:space="preserve">an </w:t>
      </w:r>
      <w:r w:rsidRPr="00D66D69">
        <w:t xml:space="preserve">AJH has certified the installation of an SGIP system </w:t>
      </w:r>
      <w:r w:rsidR="005875EA">
        <w:t>as part of an application</w:t>
      </w:r>
      <w:r w:rsidRPr="00D66D69">
        <w:t xml:space="preserve">.  Parties </w:t>
      </w:r>
      <w:r w:rsidR="005875EA">
        <w:t xml:space="preserve">urge the </w:t>
      </w:r>
      <w:r w:rsidRPr="00D66D69">
        <w:t xml:space="preserve">Commission </w:t>
      </w:r>
      <w:r w:rsidR="005875EA">
        <w:t xml:space="preserve">to </w:t>
      </w:r>
      <w:r w:rsidRPr="00D66D69">
        <w:t>allow equity resiliency budget projects to submit equipment specifications for the storage components that provide islanding capacities, rather than requiring an AHJ inspection, and if the components are not on standard, the PA can ask for additional documentation to demonstrate the automatic transfer functionality of the project.  As needed, the PA can in addition require an SGIP field inspection to visually verify that the system components capable of islanding are installed</w:t>
      </w:r>
      <w:r w:rsidR="0067262C">
        <w:t>, the parties argue.</w:t>
      </w:r>
      <w:r w:rsidRPr="00D66D69">
        <w:t xml:space="preserve">  </w:t>
      </w:r>
    </w:p>
    <w:p w14:paraId="2E1B3B5C" w14:textId="0CD315C0" w:rsidR="00D66D69" w:rsidRPr="00D66D69" w:rsidRDefault="005875EA" w:rsidP="00D66D69">
      <w:pPr>
        <w:pStyle w:val="standard"/>
      </w:pPr>
      <w:r>
        <w:lastRenderedPageBreak/>
        <w:t>To ensure the safety of operations of SGIP systems intended for use during outages, w</w:t>
      </w:r>
      <w:r w:rsidR="00D66D69" w:rsidRPr="00D66D69">
        <w:t xml:space="preserve">e </w:t>
      </w:r>
      <w:r>
        <w:t>decline to adopt these modifications.  We believe that i</w:t>
      </w:r>
      <w:r w:rsidR="00D66D69" w:rsidRPr="00D66D69">
        <w:t xml:space="preserve">t is appropriate </w:t>
      </w:r>
      <w:r>
        <w:t xml:space="preserve">for </w:t>
      </w:r>
      <w:r w:rsidR="008219B6">
        <w:t>this Commission and</w:t>
      </w:r>
      <w:r w:rsidR="0067262C">
        <w:t xml:space="preserve"> </w:t>
      </w:r>
      <w:r>
        <w:t xml:space="preserve">the SGIP PAs </w:t>
      </w:r>
      <w:r w:rsidR="00D66D69" w:rsidRPr="00D66D69">
        <w:t xml:space="preserve">to rely on </w:t>
      </w:r>
      <w:r>
        <w:t xml:space="preserve">an </w:t>
      </w:r>
      <w:r w:rsidR="00D66D69" w:rsidRPr="00D66D69">
        <w:t xml:space="preserve">AHJ </w:t>
      </w:r>
      <w:r>
        <w:t xml:space="preserve">for the </w:t>
      </w:r>
      <w:r w:rsidR="00D66D69" w:rsidRPr="00D66D69">
        <w:t>determin</w:t>
      </w:r>
      <w:r>
        <w:t>ation</w:t>
      </w:r>
      <w:r w:rsidR="00D66D69" w:rsidRPr="00D66D69">
        <w:t xml:space="preserve"> that an equity resiliency </w:t>
      </w:r>
      <w:r>
        <w:t xml:space="preserve">storage </w:t>
      </w:r>
      <w:r w:rsidR="00D66D69" w:rsidRPr="00D66D69">
        <w:t xml:space="preserve">project can safely operate in island mode.  However, we </w:t>
      </w:r>
      <w:r>
        <w:t xml:space="preserve">modify the </w:t>
      </w:r>
      <w:r w:rsidR="00D66D69" w:rsidRPr="00D66D69">
        <w:t xml:space="preserve">requirement </w:t>
      </w:r>
      <w:r>
        <w:t xml:space="preserve">slightly </w:t>
      </w:r>
      <w:r w:rsidR="00D66D69" w:rsidRPr="00D66D69">
        <w:t xml:space="preserve">to indicate that PAs must confirm </w:t>
      </w:r>
      <w:r>
        <w:t xml:space="preserve">during the application process </w:t>
      </w:r>
      <w:r w:rsidR="00D66D69" w:rsidRPr="00D66D69">
        <w:t>that</w:t>
      </w:r>
      <w:r>
        <w:t>: (</w:t>
      </w:r>
      <w:r w:rsidR="00D66D69" w:rsidRPr="00D66D69">
        <w:t>1) an AHJ has approved plans showing that the system can operate in island mode</w:t>
      </w:r>
      <w:r>
        <w:t xml:space="preserve">; </w:t>
      </w:r>
      <w:r w:rsidR="00D66D69" w:rsidRPr="00D66D69">
        <w:t>and</w:t>
      </w:r>
      <w:r>
        <w:t>, (</w:t>
      </w:r>
      <w:r w:rsidR="00D66D69" w:rsidRPr="00D66D69">
        <w:t xml:space="preserve">2) an AHJ </w:t>
      </w:r>
      <w:r>
        <w:t xml:space="preserve">has </w:t>
      </w:r>
      <w:r w:rsidR="00D66D69" w:rsidRPr="00D66D69">
        <w:t xml:space="preserve">inspected the system after installation and </w:t>
      </w:r>
      <w:r>
        <w:t xml:space="preserve">has </w:t>
      </w:r>
      <w:r w:rsidR="00D66D69" w:rsidRPr="00D66D69">
        <w:t xml:space="preserve">authorized operation. </w:t>
      </w:r>
    </w:p>
    <w:p w14:paraId="65C1130A" w14:textId="3665EDD4" w:rsidR="00D66D69" w:rsidRPr="00D66D69" w:rsidRDefault="00D66D69" w:rsidP="00D66D69">
      <w:pPr>
        <w:pStyle w:val="standard"/>
        <w:numPr>
          <w:ilvl w:val="0"/>
          <w:numId w:val="43"/>
        </w:numPr>
        <w:rPr>
          <w:u w:val="single"/>
        </w:rPr>
      </w:pPr>
      <w:r w:rsidRPr="00D66D69">
        <w:rPr>
          <w:u w:val="single"/>
        </w:rPr>
        <w:t>Carried</w:t>
      </w:r>
      <w:r w:rsidR="00757681">
        <w:rPr>
          <w:u w:val="single"/>
        </w:rPr>
        <w:noBreakHyphen/>
      </w:r>
      <w:r w:rsidRPr="00D66D69">
        <w:rPr>
          <w:u w:val="single"/>
        </w:rPr>
        <w:t>Over Funds and Their Allocation</w:t>
      </w:r>
    </w:p>
    <w:p w14:paraId="3B04442E" w14:textId="18F60E3D" w:rsidR="00D66D69" w:rsidRPr="00D66D69" w:rsidRDefault="00D66D69" w:rsidP="00D66D69">
      <w:pPr>
        <w:pStyle w:val="standard"/>
      </w:pPr>
      <w:r w:rsidRPr="00D66D69">
        <w:t>PG&amp;E urge</w:t>
      </w:r>
      <w:r w:rsidR="00F6666B">
        <w:t>s</w:t>
      </w:r>
      <w:r w:rsidRPr="00D66D69">
        <w:t xml:space="preserve"> the Commission not to carry</w:t>
      </w:r>
      <w:r w:rsidR="00757681">
        <w:noBreakHyphen/>
      </w:r>
      <w:r w:rsidRPr="00D66D69">
        <w:t xml:space="preserve">over at least $100 million in </w:t>
      </w:r>
      <w:r w:rsidR="00A35276">
        <w:t xml:space="preserve">accumulated, </w:t>
      </w:r>
      <w:r w:rsidRPr="00D66D69">
        <w:t xml:space="preserve">unused PG&amp;E funds.  CSE and other parties oppose this, stating that there is significant demand and need remaining to fund SGIP incentives, in part due to the introduction of PSPS events following the severe 2018 wildfires. </w:t>
      </w:r>
    </w:p>
    <w:p w14:paraId="2DB87D44" w14:textId="7C549F31" w:rsidR="00D66D69" w:rsidRPr="00D66D69" w:rsidRDefault="00D66D69" w:rsidP="00D66D69">
      <w:pPr>
        <w:pStyle w:val="standard"/>
      </w:pPr>
      <w:r w:rsidRPr="00D66D69">
        <w:t>CCDC recommends that the Commission not transfer $100 million from the accumulated unused generation budget to the new equity resiliency budget, but instead transfer these funds more equally from all remaining budgets.  CCDC and SoCalGas also recommend that the Commission expand the equity resiliency budget to include generation technologies, so that storage paired with renewable natural gas (RNG)</w:t>
      </w:r>
      <w:r w:rsidR="00757681">
        <w:noBreakHyphen/>
      </w:r>
      <w:r w:rsidRPr="00D66D69">
        <w:t>fueled generation technologies are eligible for these incentive</w:t>
      </w:r>
      <w:r w:rsidR="00A35276">
        <w:t xml:space="preserve">, </w:t>
      </w:r>
      <w:r w:rsidRPr="00D66D69">
        <w:t xml:space="preserve">and </w:t>
      </w:r>
      <w:r w:rsidR="00A35276">
        <w:t xml:space="preserve">increase </w:t>
      </w:r>
      <w:r w:rsidRPr="00D66D69">
        <w:t>the incentive for RNG technologies</w:t>
      </w:r>
      <w:r w:rsidR="00A35276">
        <w:t xml:space="preserve"> </w:t>
      </w:r>
      <w:r w:rsidRPr="00D66D69">
        <w:t>to reflect the current out</w:t>
      </w:r>
      <w:r w:rsidR="00757681">
        <w:noBreakHyphen/>
      </w:r>
      <w:r w:rsidRPr="00D66D69">
        <w:t>of</w:t>
      </w:r>
      <w:r w:rsidR="00757681">
        <w:noBreakHyphen/>
      </w:r>
      <w:r w:rsidRPr="00D66D69">
        <w:t xml:space="preserve">market cost of this fuel.  These parties argue that RNG generation located in areas facing resiliency threats </w:t>
      </w:r>
      <w:r w:rsidR="008219B6">
        <w:t xml:space="preserve">is </w:t>
      </w:r>
      <w:r w:rsidRPr="00D66D69">
        <w:t xml:space="preserve">well suited to provide electricity to critical loads during outages or PSPS events and, consequently, that the final decision should allocate $260 million for the equity resiliency budget to accommodate equity resiliency generation technologies. </w:t>
      </w:r>
    </w:p>
    <w:p w14:paraId="6BDD77DA" w14:textId="1D2082B0" w:rsidR="008219B6" w:rsidRDefault="00D66D69" w:rsidP="00D66D69">
      <w:pPr>
        <w:pStyle w:val="standard"/>
      </w:pPr>
      <w:r w:rsidRPr="00D66D69">
        <w:lastRenderedPageBreak/>
        <w:t>We concur with CCDC and SoCalGas that RNG generation technologies are potentially useful to support customer resiliency during PSPS and similar outage events</w:t>
      </w:r>
      <w:r w:rsidR="008219B6">
        <w:t xml:space="preserve"> and/or to </w:t>
      </w:r>
      <w:r w:rsidR="009D7B87">
        <w:t>support</w:t>
      </w:r>
      <w:r w:rsidR="00CD0F9F">
        <w:t xml:space="preserve"> state </w:t>
      </w:r>
      <w:r w:rsidR="0067262C">
        <w:t xml:space="preserve">GHG </w:t>
      </w:r>
      <w:r w:rsidR="00CD0F9F">
        <w:t>reduction goal</w:t>
      </w:r>
      <w:r w:rsidR="00D420F1">
        <w:t>s</w:t>
      </w:r>
      <w:r w:rsidR="0067262C">
        <w:t xml:space="preserve">, but we do not adopt any changes to </w:t>
      </w:r>
      <w:r w:rsidR="008219B6">
        <w:t xml:space="preserve">the generation technology budget in this decision </w:t>
      </w:r>
      <w:r w:rsidR="0067262C">
        <w:t>as we</w:t>
      </w:r>
      <w:r w:rsidRPr="00D66D69">
        <w:t xml:space="preserve"> intend to examine this issue in the next decision in R.12</w:t>
      </w:r>
      <w:r w:rsidR="00757681">
        <w:noBreakHyphen/>
      </w:r>
      <w:r w:rsidRPr="00D66D69">
        <w:t>11</w:t>
      </w:r>
      <w:r w:rsidR="00757681">
        <w:noBreakHyphen/>
      </w:r>
      <w:r w:rsidRPr="00D66D69">
        <w:t>005</w:t>
      </w:r>
      <w:r w:rsidR="0067262C">
        <w:t xml:space="preserve">.  </w:t>
      </w:r>
      <w:r w:rsidRPr="00D66D69">
        <w:t>Th</w:t>
      </w:r>
      <w:r w:rsidR="008219B6">
        <w:t>is</w:t>
      </w:r>
      <w:r w:rsidRPr="00D66D69">
        <w:t xml:space="preserve"> subsequent decision will address new collections for the 2020 – 2024 period</w:t>
      </w:r>
      <w:r w:rsidR="008219B6">
        <w:t xml:space="preserve"> </w:t>
      </w:r>
      <w:r w:rsidR="008219B6" w:rsidRPr="00D66D69">
        <w:t>as authorized in SB 700</w:t>
      </w:r>
      <w:r w:rsidR="00A35E81">
        <w:t>, al</w:t>
      </w:r>
      <w:r w:rsidR="008219B6">
        <w:t xml:space="preserve">location of any new collections, </w:t>
      </w:r>
      <w:r w:rsidR="00A35E81">
        <w:t xml:space="preserve">and/or </w:t>
      </w:r>
      <w:r w:rsidR="00E64C72">
        <w:t xml:space="preserve">any </w:t>
      </w:r>
      <w:r w:rsidR="00A35E81">
        <w:t xml:space="preserve">changes to allocations </w:t>
      </w:r>
      <w:r w:rsidR="00A35E81" w:rsidRPr="00D66D69">
        <w:t>for administrative activities</w:t>
      </w:r>
      <w:r w:rsidR="008219B6">
        <w:t xml:space="preserve"> or other budget categories</w:t>
      </w:r>
      <w:r w:rsidR="00A35E81">
        <w:t xml:space="preserve">.  </w:t>
      </w:r>
    </w:p>
    <w:p w14:paraId="19AA6A67" w14:textId="5D415716" w:rsidR="00D66D69" w:rsidRPr="00D66D69" w:rsidRDefault="00F6666B" w:rsidP="00D66D69">
      <w:pPr>
        <w:pStyle w:val="standard"/>
      </w:pPr>
      <w:r>
        <w:t xml:space="preserve">We do not concur with PG&amp;E on the need to return unused funds to PG&amp;E customers; rather, these funds should be made available to the most vulnerable PG&amp;E </w:t>
      </w:r>
      <w:r w:rsidR="00A35E81">
        <w:t xml:space="preserve">customers via </w:t>
      </w:r>
      <w:r>
        <w:t>equity resiliency budget incentives to support them through PSPS events, wildfires or other outages</w:t>
      </w:r>
      <w:r w:rsidR="00A35E81">
        <w:t xml:space="preserve">, and/or through equity budget incentives more generally. </w:t>
      </w:r>
    </w:p>
    <w:p w14:paraId="39C0BCF2" w14:textId="670CD46C" w:rsidR="00D66D69" w:rsidRPr="00D66D69" w:rsidRDefault="00D66D69" w:rsidP="00D66D69">
      <w:pPr>
        <w:pStyle w:val="standard"/>
      </w:pPr>
      <w:r w:rsidRPr="00D66D69">
        <w:t>We therefore retain the amount and allocation of funds authorized for carry</w:t>
      </w:r>
      <w:r w:rsidR="00757681">
        <w:noBreakHyphen/>
      </w:r>
      <w:r w:rsidRPr="00D66D69">
        <w:t>over to the 2020</w:t>
      </w:r>
      <w:r w:rsidR="00757681">
        <w:noBreakHyphen/>
      </w:r>
      <w:r w:rsidRPr="00D66D69">
        <w:t xml:space="preserve">2025 period as indicated in the proposed decision. </w:t>
      </w:r>
    </w:p>
    <w:p w14:paraId="321D6D5A" w14:textId="3A807F66" w:rsidR="00D66D69" w:rsidRPr="00D66D69" w:rsidRDefault="00D66D69" w:rsidP="00D66D69">
      <w:pPr>
        <w:pStyle w:val="standard"/>
      </w:pPr>
      <w:r w:rsidRPr="00D66D69">
        <w:t xml:space="preserve">CSE requests clarification </w:t>
      </w:r>
      <w:r w:rsidR="00A56690">
        <w:t xml:space="preserve">on how the PAs </w:t>
      </w:r>
      <w:r w:rsidRPr="00D66D69">
        <w:t xml:space="preserve">should transfer their portion of the $100 million </w:t>
      </w:r>
      <w:r w:rsidR="00A56690">
        <w:t xml:space="preserve">from their generation technology budgets to </w:t>
      </w:r>
      <w:r w:rsidRPr="00D66D69">
        <w:t xml:space="preserve">the new equity resiliency budget.  We clarify that the PAs shall </w:t>
      </w:r>
      <w:r w:rsidR="00A35E81">
        <w:t xml:space="preserve">first </w:t>
      </w:r>
      <w:r w:rsidRPr="00D66D69">
        <w:t xml:space="preserve">transfer all funds from the highest budgeted incentive step and move backwards until the directed level of funds are transferred. </w:t>
      </w:r>
      <w:r w:rsidR="008219B6">
        <w:t xml:space="preserve"> </w:t>
      </w:r>
      <w:r w:rsidR="00A35E81">
        <w:t xml:space="preserve">For example, </w:t>
      </w:r>
      <w:r w:rsidRPr="00D66D69">
        <w:t>if a PA has budget in incentive step 1,</w:t>
      </w:r>
      <w:r w:rsidR="00A56690">
        <w:t xml:space="preserve"> </w:t>
      </w:r>
      <w:r w:rsidRPr="00D66D69">
        <w:t xml:space="preserve">2, </w:t>
      </w:r>
      <w:r w:rsidR="00A56690">
        <w:t>and 3, it should first transfer</w:t>
      </w:r>
      <w:r w:rsidRPr="00D66D69">
        <w:t xml:space="preserve"> and close, if needed, all funds in incentive step 3, and then repeat this for incentive step 2, </w:t>
      </w:r>
      <w:r w:rsidR="00A56690">
        <w:t xml:space="preserve">closing or </w:t>
      </w:r>
      <w:r w:rsidRPr="00D66D69">
        <w:t>leaving th</w:t>
      </w:r>
      <w:r w:rsidR="00A56690">
        <w:t>at step open as warranted, depending on whether funds remain following the transfer.</w:t>
      </w:r>
    </w:p>
    <w:p w14:paraId="2DF8DC94" w14:textId="77777777" w:rsidR="00D66D69" w:rsidRPr="00D66D69" w:rsidRDefault="00D66D69" w:rsidP="00D66D69">
      <w:pPr>
        <w:pStyle w:val="standard"/>
        <w:numPr>
          <w:ilvl w:val="0"/>
          <w:numId w:val="43"/>
        </w:numPr>
        <w:rPr>
          <w:u w:val="single"/>
        </w:rPr>
      </w:pPr>
      <w:r w:rsidRPr="00D66D69">
        <w:rPr>
          <w:u w:val="single"/>
        </w:rPr>
        <w:t xml:space="preserve">Equity Budget ME&amp;O </w:t>
      </w:r>
    </w:p>
    <w:p w14:paraId="3F32ED29" w14:textId="6EA42EBD" w:rsidR="00D66D69" w:rsidRPr="00D66D69" w:rsidRDefault="00D66D69" w:rsidP="00D66D69">
      <w:pPr>
        <w:pStyle w:val="standard"/>
      </w:pPr>
      <w:r w:rsidRPr="00D66D69">
        <w:t xml:space="preserve">Several parties provide additional recommendations to ensure the success of the equity budget ME&amp;O activities authorized in this decision.  We adopt </w:t>
      </w:r>
      <w:r w:rsidRPr="00D66D69">
        <w:lastRenderedPageBreak/>
        <w:t>several but not all of these recommendations.   We concur with parties that any workshop convened to consider appropriate ME&amp;O approach</w:t>
      </w:r>
      <w:r w:rsidR="00E64C72">
        <w:t xml:space="preserve">es should include </w:t>
      </w:r>
      <w:r w:rsidRPr="00D66D69">
        <w:t>representatives of DAC community members, residents from Tier 2 and Tier 3 HFTDs, Indian Country members, representatives of CCAs and local governments, and representatives of the SASH, DAC</w:t>
      </w:r>
      <w:r w:rsidR="00757681">
        <w:noBreakHyphen/>
      </w:r>
      <w:r w:rsidRPr="00D66D69">
        <w:t>SASH and SOMAH PAs</w:t>
      </w:r>
      <w:r w:rsidR="00E64C72">
        <w:t>, as feasible</w:t>
      </w:r>
      <w:r w:rsidRPr="00D66D69">
        <w:t xml:space="preserve">. </w:t>
      </w:r>
      <w:r w:rsidR="00A35276">
        <w:t xml:space="preserve"> Any </w:t>
      </w:r>
      <w:r w:rsidRPr="00D66D69">
        <w:t xml:space="preserve">workshop should include disability rights </w:t>
      </w:r>
      <w:r w:rsidR="00754CCC">
        <w:t>advocates</w:t>
      </w:r>
      <w:r w:rsidRPr="00D66D69">
        <w:t>.</w:t>
      </w:r>
    </w:p>
    <w:p w14:paraId="1FC11E1B" w14:textId="21D2F688" w:rsidR="00D66D69" w:rsidRPr="00D66D69" w:rsidRDefault="00D66D69" w:rsidP="00D66D69">
      <w:pPr>
        <w:pStyle w:val="standard"/>
      </w:pPr>
      <w:r w:rsidRPr="00D66D69">
        <w:t xml:space="preserve">We encourage the SGIP PAs to include discussions on equity budget ME&amp;O and related issues </w:t>
      </w:r>
      <w:r w:rsidR="00F6666B">
        <w:t>o</w:t>
      </w:r>
      <w:r w:rsidRPr="00D66D69">
        <w:t xml:space="preserve">n the SGIP TWG </w:t>
      </w:r>
      <w:r w:rsidR="00F6666B">
        <w:t xml:space="preserve">agenda </w:t>
      </w:r>
      <w:r w:rsidRPr="00D66D69">
        <w:t xml:space="preserve">on an approximately quarterly basis in order to better educate the developer community on storage solutions for equity resiliency and equity budget customers.  We also clarify that the PAs may propose a </w:t>
      </w:r>
      <w:r w:rsidR="00F54AF8">
        <w:t xml:space="preserve">competitively bid </w:t>
      </w:r>
      <w:r w:rsidRPr="00D66D69">
        <w:t>statewide third</w:t>
      </w:r>
      <w:r w:rsidR="00757681">
        <w:noBreakHyphen/>
      </w:r>
      <w:r w:rsidRPr="00D66D69">
        <w:t>party contract for equity budget ME&amp;O activities if they wish and that CCAs and local governments may qualify for equity budget ME&amp;O funds dependi</w:t>
      </w:r>
      <w:r w:rsidR="00E64C72">
        <w:t xml:space="preserve">ng on what approaches emerge.  </w:t>
      </w:r>
      <w:r w:rsidRPr="00D66D69">
        <w:t xml:space="preserve">We do not approve GRID’s suggestion of a specific allocation of equity budget ME&amp;O funds to specific entities, as the funds should be dispersed as determined necessary via competitive contracts. </w:t>
      </w:r>
      <w:r w:rsidRPr="00D66D69">
        <w:tab/>
      </w:r>
    </w:p>
    <w:p w14:paraId="4EACADFA" w14:textId="44BCC3B1" w:rsidR="00D66D69" w:rsidRPr="00D66D69" w:rsidRDefault="00D66D69" w:rsidP="00D66D69">
      <w:pPr>
        <w:pStyle w:val="standard"/>
      </w:pPr>
      <w:r w:rsidRPr="00D66D69">
        <w:t>The JCCAs suggest that the Commission should ensure that the equity res</w:t>
      </w:r>
      <w:r w:rsidR="00E64C72">
        <w:t>iliency ME&amp;O Plan</w:t>
      </w:r>
      <w:r w:rsidRPr="00D66D69">
        <w:t>:</w:t>
      </w:r>
    </w:p>
    <w:p w14:paraId="519B2430" w14:textId="6B823FDF" w:rsidR="00D66D69" w:rsidRPr="00D66D69" w:rsidRDefault="00D66D69" w:rsidP="00D66D69">
      <w:pPr>
        <w:pStyle w:val="standard"/>
        <w:numPr>
          <w:ilvl w:val="0"/>
          <w:numId w:val="44"/>
        </w:numPr>
      </w:pPr>
      <w:r w:rsidRPr="00D66D69">
        <w:t>Prioritizes providing resiliency resources to customers with life</w:t>
      </w:r>
      <w:r w:rsidR="00757681">
        <w:noBreakHyphen/>
      </w:r>
      <w:r w:rsidRPr="00D66D69">
        <w:t>support designations and first</w:t>
      </w:r>
      <w:r w:rsidR="00757681">
        <w:noBreakHyphen/>
      </w:r>
      <w:r w:rsidRPr="00D66D69">
        <w:t>responder, medical, water, and sanitation facilities first;</w:t>
      </w:r>
    </w:p>
    <w:p w14:paraId="47C83382" w14:textId="1A009E5B" w:rsidR="00D66D69" w:rsidRPr="00D66D69" w:rsidRDefault="00E64C72" w:rsidP="00D66D69">
      <w:pPr>
        <w:pStyle w:val="standard"/>
        <w:numPr>
          <w:ilvl w:val="0"/>
          <w:numId w:val="44"/>
        </w:numPr>
      </w:pPr>
      <w:r>
        <w:t xml:space="preserve">Supports </w:t>
      </w:r>
      <w:r w:rsidR="00D66D69" w:rsidRPr="00D66D69">
        <w:t>distrib</w:t>
      </w:r>
      <w:r>
        <w:t xml:space="preserve">ution utilities to identify </w:t>
      </w:r>
      <w:r w:rsidR="00D66D69" w:rsidRPr="00D66D69">
        <w:t>life</w:t>
      </w:r>
      <w:r w:rsidR="00757681">
        <w:noBreakHyphen/>
      </w:r>
      <w:r w:rsidR="00D66D69" w:rsidRPr="00D66D69">
        <w:t>support customers located within their service territories and to share this list with the appropriate PAs, who then proactively reach out to life</w:t>
      </w:r>
      <w:r w:rsidR="00757681">
        <w:noBreakHyphen/>
      </w:r>
      <w:r w:rsidR="00D66D69" w:rsidRPr="00D66D69">
        <w:t xml:space="preserve">support customers in high PSPS risk areas to inform </w:t>
      </w:r>
      <w:r>
        <w:t xml:space="preserve">them </w:t>
      </w:r>
      <w:r w:rsidR="00D66D69" w:rsidRPr="00D66D69">
        <w:t xml:space="preserve">about the availability of equity resiliency incentives; and, </w:t>
      </w:r>
    </w:p>
    <w:p w14:paraId="666CD58B" w14:textId="2058E5C2" w:rsidR="00D66D69" w:rsidRPr="00D66D69" w:rsidRDefault="00E64C72" w:rsidP="00D66D69">
      <w:pPr>
        <w:pStyle w:val="standard"/>
        <w:numPr>
          <w:ilvl w:val="0"/>
          <w:numId w:val="44"/>
        </w:numPr>
      </w:pPr>
      <w:r>
        <w:lastRenderedPageBreak/>
        <w:t xml:space="preserve">Prioritizes PAs </w:t>
      </w:r>
      <w:r w:rsidR="00D66D69" w:rsidRPr="00D66D69">
        <w:t>proactively contact</w:t>
      </w:r>
      <w:r>
        <w:t>ing</w:t>
      </w:r>
      <w:r w:rsidR="00D66D69" w:rsidRPr="00D66D69">
        <w:t xml:space="preserve"> local agencies that provide life</w:t>
      </w:r>
      <w:r w:rsidR="00757681">
        <w:noBreakHyphen/>
      </w:r>
      <w:r w:rsidR="00D66D69" w:rsidRPr="00D66D69">
        <w:t xml:space="preserve">sustaining public services </w:t>
      </w:r>
      <w:r>
        <w:t xml:space="preserve">to high PSPS risk residents, </w:t>
      </w:r>
      <w:r w:rsidR="00D66D69" w:rsidRPr="00D66D69">
        <w:t>work</w:t>
      </w:r>
      <w:r>
        <w:t>ing</w:t>
      </w:r>
      <w:r w:rsidR="00D66D69" w:rsidRPr="00D66D69">
        <w:t xml:space="preserve"> with them to identify resil</w:t>
      </w:r>
      <w:r>
        <w:t>iency resource needs and providing</w:t>
      </w:r>
      <w:r w:rsidR="00D66D69" w:rsidRPr="00D66D69">
        <w:t xml:space="preserve"> subsidized resiliency resources to meet those needs.  </w:t>
      </w:r>
    </w:p>
    <w:p w14:paraId="78493519" w14:textId="138C4528" w:rsidR="00D66D69" w:rsidRDefault="00D66D69" w:rsidP="00D66D69">
      <w:pPr>
        <w:pStyle w:val="standard"/>
      </w:pPr>
      <w:r w:rsidRPr="00D66D69">
        <w:t xml:space="preserve">These are valuable suggestions.  The PAs shall consider them as they develop their equity budget ME&amp;O plan and </w:t>
      </w:r>
      <w:r w:rsidR="00A35276">
        <w:t xml:space="preserve">shall </w:t>
      </w:r>
      <w:r w:rsidRPr="00D66D69">
        <w:t xml:space="preserve">discuss these and related ideas in any dedicated workshop and/or SGIP TWG session on the equity budget ME&amp;O Plan. </w:t>
      </w:r>
    </w:p>
    <w:p w14:paraId="038D1A30" w14:textId="27DDC4D9" w:rsidR="00F6666B" w:rsidRDefault="00F6666B" w:rsidP="00D66D69">
      <w:pPr>
        <w:pStyle w:val="standard"/>
      </w:pPr>
      <w:r>
        <w:t xml:space="preserve">In addition, CSE notes that it currently has limited accumulated, unused administrative funds to contribute to the ME&amp;O Plan, which generates concerns about equal promotion of the equity resiliency budget in its SGIP territory.  CSE requests approval to transfer additional funds to the ME&amp;O Plan at a later date via Tier 2 advice letter.  </w:t>
      </w:r>
    </w:p>
    <w:p w14:paraId="2E810D08" w14:textId="22CED25D" w:rsidR="00F6666B" w:rsidRPr="00D66D69" w:rsidRDefault="00F6666B" w:rsidP="00D66D69">
      <w:pPr>
        <w:pStyle w:val="standard"/>
      </w:pPr>
      <w:r>
        <w:t xml:space="preserve">We approve CSE’s request </w:t>
      </w:r>
      <w:r w:rsidR="00E64C72">
        <w:t xml:space="preserve">and authorize the </w:t>
      </w:r>
      <w:r>
        <w:t>PA</w:t>
      </w:r>
      <w:r w:rsidR="00E64C72">
        <w:t xml:space="preserve">s </w:t>
      </w:r>
      <w:r>
        <w:t xml:space="preserve">to </w:t>
      </w:r>
      <w:r w:rsidR="00E64C72">
        <w:t xml:space="preserve">submit Tier 2 advice letters to </w:t>
      </w:r>
      <w:r>
        <w:t xml:space="preserve">transfer additional funds to the ME&amp;O Plan </w:t>
      </w:r>
      <w:r w:rsidR="00E64C72">
        <w:t>up until December 31, 2024.  W</w:t>
      </w:r>
      <w:r>
        <w:t xml:space="preserve">e clarify that the Plan should be equitably directed to reach customers in all SGIP PA territories. </w:t>
      </w:r>
    </w:p>
    <w:p w14:paraId="2B86E6BC" w14:textId="77777777" w:rsidR="00D66D69" w:rsidRPr="00D66D69" w:rsidRDefault="00D66D69" w:rsidP="00D66D69">
      <w:pPr>
        <w:pStyle w:val="standard"/>
        <w:numPr>
          <w:ilvl w:val="0"/>
          <w:numId w:val="43"/>
        </w:numPr>
        <w:rPr>
          <w:u w:val="single"/>
        </w:rPr>
      </w:pPr>
      <w:r w:rsidRPr="00D66D69">
        <w:rPr>
          <w:u w:val="single"/>
        </w:rPr>
        <w:t xml:space="preserve">Streamlining SGIP Equity Budget Customer Eligibility Review </w:t>
      </w:r>
    </w:p>
    <w:p w14:paraId="714E8E70" w14:textId="0D0169CF" w:rsidR="00D66D69" w:rsidRPr="00D66D69" w:rsidRDefault="00D66D69" w:rsidP="00D66D69">
      <w:pPr>
        <w:pStyle w:val="standard"/>
      </w:pPr>
      <w:r w:rsidRPr="00D66D69">
        <w:t xml:space="preserve">Several parties comment that the final decision should clarify </w:t>
      </w:r>
      <w:r w:rsidR="00E64C72">
        <w:t xml:space="preserve">the streamlined </w:t>
      </w:r>
      <w:r w:rsidRPr="00D66D69">
        <w:t>equity budget eligibility</w:t>
      </w:r>
      <w:r w:rsidR="00E64C72">
        <w:t xml:space="preserve"> process</w:t>
      </w:r>
      <w:r w:rsidRPr="00D66D69">
        <w:t xml:space="preserve">.  We modify the final decision to clarify that the </w:t>
      </w:r>
      <w:r w:rsidR="00A35276">
        <w:t xml:space="preserve">MASH, </w:t>
      </w:r>
      <w:r w:rsidRPr="00D66D69">
        <w:t>SASH, DAC</w:t>
      </w:r>
      <w:r w:rsidR="00757681">
        <w:noBreakHyphen/>
      </w:r>
      <w:r w:rsidRPr="00D66D69">
        <w:t>SASH and SOMAH PAs determine customer eligibility for these programs, not the SGIP PAs.  Once this has been completed</w:t>
      </w:r>
      <w:r w:rsidR="00E64C72">
        <w:t xml:space="preserve"> and a customer has been approved for participation in one of these low</w:t>
      </w:r>
      <w:r w:rsidR="00757681">
        <w:noBreakHyphen/>
      </w:r>
      <w:r w:rsidR="00E64C72">
        <w:t>income solar programs</w:t>
      </w:r>
      <w:r w:rsidRPr="00D66D69">
        <w:t xml:space="preserve">, </w:t>
      </w:r>
      <w:r w:rsidR="00E64C72">
        <w:t xml:space="preserve">the customer </w:t>
      </w:r>
      <w:r w:rsidRPr="00D66D69">
        <w:t xml:space="preserve">can be considered automatically eligible for </w:t>
      </w:r>
      <w:r w:rsidR="00E64C72">
        <w:t xml:space="preserve">SGIP incentives.  We </w:t>
      </w:r>
      <w:r w:rsidRPr="00D66D69">
        <w:t xml:space="preserve">clarify that “approved for participation” in these </w:t>
      </w:r>
      <w:r w:rsidR="00E64C72">
        <w:t>low</w:t>
      </w:r>
      <w:r w:rsidR="00757681">
        <w:noBreakHyphen/>
      </w:r>
      <w:r w:rsidR="00E64C72">
        <w:t xml:space="preserve">income </w:t>
      </w:r>
      <w:r w:rsidR="00E64C72">
        <w:lastRenderedPageBreak/>
        <w:t xml:space="preserve">solar programs means that the </w:t>
      </w:r>
      <w:r w:rsidRPr="00D66D69">
        <w:t xml:space="preserve">applicant </w:t>
      </w:r>
      <w:r w:rsidR="00E64C72">
        <w:t>has obtained</w:t>
      </w:r>
      <w:r w:rsidRPr="00D66D69">
        <w:t xml:space="preserve"> and can furnish to the SGIP PA an incentive reservation incentive let</w:t>
      </w:r>
      <w:r w:rsidR="00E64C72">
        <w:t>ter or equivalent document.</w:t>
      </w:r>
    </w:p>
    <w:p w14:paraId="6DBB5E37" w14:textId="77777777" w:rsidR="00D66D69" w:rsidRPr="00D66D69" w:rsidRDefault="00D66D69" w:rsidP="00D66D69">
      <w:pPr>
        <w:pStyle w:val="standard"/>
        <w:numPr>
          <w:ilvl w:val="0"/>
          <w:numId w:val="43"/>
        </w:numPr>
        <w:rPr>
          <w:u w:val="single"/>
        </w:rPr>
      </w:pPr>
      <w:r w:rsidRPr="00D66D69">
        <w:rPr>
          <w:u w:val="single"/>
        </w:rPr>
        <w:t>Heat Pump Water Heaters</w:t>
      </w:r>
    </w:p>
    <w:p w14:paraId="481A43D0" w14:textId="6CE95758" w:rsidR="00D66D69" w:rsidRPr="00D66D69" w:rsidRDefault="00D66D69" w:rsidP="00D66D69">
      <w:pPr>
        <w:pStyle w:val="standard"/>
      </w:pPr>
      <w:r w:rsidRPr="00D66D69">
        <w:t>Some parties object to the establishment of an equity budget HPWH set</w:t>
      </w:r>
      <w:r w:rsidR="00757681">
        <w:noBreakHyphen/>
      </w:r>
      <w:r w:rsidRPr="00D66D69">
        <w:t>aside in this decision, stating that HPWHs should not be eligible for SGIP incentives as they do not generate electricity, because other funding sources exist, and because these technologies have not yet been demonstrated as capable of meeting SGIP GHG emission reduction requirements as outlined in D.19</w:t>
      </w:r>
      <w:r w:rsidR="00757681">
        <w:noBreakHyphen/>
      </w:r>
      <w:r w:rsidRPr="00D66D69">
        <w:t>04</w:t>
      </w:r>
      <w:r w:rsidR="00757681">
        <w:noBreakHyphen/>
      </w:r>
      <w:r w:rsidRPr="00D66D69">
        <w:t xml:space="preserve">020.  </w:t>
      </w:r>
    </w:p>
    <w:p w14:paraId="392E099F" w14:textId="7368F9B2" w:rsidR="00E64C72" w:rsidRDefault="00D66D69" w:rsidP="00D66D69">
      <w:pPr>
        <w:pStyle w:val="standard"/>
      </w:pPr>
      <w:r w:rsidRPr="00D66D69">
        <w:t>We reject these arguments and the final decision retains the $4 million HPWH equity budget set</w:t>
      </w:r>
      <w:r w:rsidR="00757681">
        <w:noBreakHyphen/>
      </w:r>
      <w:r w:rsidRPr="00D66D69">
        <w:t>aside.  HPWHs need not generate electricity to be eligible for SGIP incentives as these technologies are operated as a type of energy storing and load</w:t>
      </w:r>
      <w:r w:rsidR="00757681">
        <w:noBreakHyphen/>
      </w:r>
      <w:r w:rsidRPr="00D66D69">
        <w:t>shift technology.  We are aware that energy efficiency or other programs offer and may expand incentives for HPWHs but observe that SGIP is concerned with load</w:t>
      </w:r>
      <w:r w:rsidR="00757681">
        <w:noBreakHyphen/>
      </w:r>
      <w:r w:rsidRPr="00D66D69">
        <w:t xml:space="preserve">shifting and other storage technology services, not energy efficiency.  </w:t>
      </w:r>
      <w:r w:rsidR="006E4A68">
        <w:t xml:space="preserve">Moreover, SGIP encompasses thermal storage, which includes HPWHs. </w:t>
      </w:r>
      <w:r w:rsidR="00C60ED6">
        <w:t xml:space="preserve"> </w:t>
      </w:r>
    </w:p>
    <w:p w14:paraId="32A868B1" w14:textId="2228B682" w:rsidR="00D66D69" w:rsidRPr="00D66D69" w:rsidRDefault="00D66D69" w:rsidP="00D66D69">
      <w:pPr>
        <w:pStyle w:val="standard"/>
      </w:pPr>
      <w:r w:rsidRPr="00D66D69">
        <w:t>In addition, this decision requires service of notice of the HPWH workshop to several proceedings, including R.13</w:t>
      </w:r>
      <w:r w:rsidR="00757681">
        <w:noBreakHyphen/>
      </w:r>
      <w:r w:rsidRPr="00D66D69">
        <w:t>11</w:t>
      </w:r>
      <w:r w:rsidR="00757681">
        <w:noBreakHyphen/>
      </w:r>
      <w:r w:rsidRPr="00D66D69">
        <w:t>005, the current energy efficiency rulemaking and R.19</w:t>
      </w:r>
      <w:r w:rsidR="00757681">
        <w:noBreakHyphen/>
      </w:r>
      <w:r w:rsidRPr="00D66D69">
        <w:t>01</w:t>
      </w:r>
      <w:r w:rsidR="00757681">
        <w:noBreakHyphen/>
      </w:r>
      <w:r w:rsidRPr="00D66D69">
        <w:t>011 (and R.15</w:t>
      </w:r>
      <w:r w:rsidR="00757681">
        <w:noBreakHyphen/>
      </w:r>
      <w:r w:rsidRPr="00D66D69">
        <w:t>03</w:t>
      </w:r>
      <w:r w:rsidR="00757681">
        <w:noBreakHyphen/>
      </w:r>
      <w:r w:rsidRPr="00D66D69">
        <w:t>010), addressing building electrification, so proposals and counter</w:t>
      </w:r>
      <w:r w:rsidR="00757681">
        <w:noBreakHyphen/>
      </w:r>
      <w:r w:rsidRPr="00D66D69">
        <w:t xml:space="preserve">proposals regarding appropriate SGIP incentive levels and program requirements for HPWHs given other potential funding sources can be considered in context </w:t>
      </w:r>
      <w:r w:rsidR="00E64C72">
        <w:t xml:space="preserve">at this workshop </w:t>
      </w:r>
      <w:r w:rsidRPr="00D66D69">
        <w:t>and reflected in subsequent party input in R.12</w:t>
      </w:r>
      <w:r w:rsidR="00757681">
        <w:noBreakHyphen/>
      </w:r>
      <w:r w:rsidRPr="00D66D69">
        <w:t>11</w:t>
      </w:r>
      <w:r w:rsidR="00757681">
        <w:noBreakHyphen/>
      </w:r>
      <w:r w:rsidRPr="00D66D69">
        <w:t>005.  We also disagree with CALSSA that establishment of the equity bud</w:t>
      </w:r>
      <w:r w:rsidR="00E64C72">
        <w:t>get HPWH set</w:t>
      </w:r>
      <w:r w:rsidR="00757681">
        <w:noBreakHyphen/>
      </w:r>
      <w:r w:rsidR="00E64C72">
        <w:t>aside should occur subsequent to</w:t>
      </w:r>
      <w:r w:rsidRPr="00D66D69">
        <w:t xml:space="preserve"> demonstration of HPWH’s ability to comply with the GHG rules adopted in </w:t>
      </w:r>
      <w:r w:rsidRPr="00D66D69">
        <w:lastRenderedPageBreak/>
        <w:t>D.19</w:t>
      </w:r>
      <w:r w:rsidR="00757681">
        <w:noBreakHyphen/>
      </w:r>
      <w:r w:rsidRPr="00D66D69">
        <w:t>04</w:t>
      </w:r>
      <w:r w:rsidR="00757681">
        <w:noBreakHyphen/>
      </w:r>
      <w:r w:rsidRPr="00D66D69">
        <w:t>020, as those rules provide an adequate framework that will be further modified as a result of SGIP</w:t>
      </w:r>
      <w:r w:rsidR="00E64C72">
        <w:t xml:space="preserve"> TWG discussions and </w:t>
      </w:r>
      <w:r w:rsidRPr="00D66D69">
        <w:t xml:space="preserve">PA advice letters. </w:t>
      </w:r>
    </w:p>
    <w:p w14:paraId="01C517E2" w14:textId="1CED9B70" w:rsidR="00D66D69" w:rsidRPr="00D66D69" w:rsidRDefault="00D66D69" w:rsidP="00D66D69">
      <w:pPr>
        <w:pStyle w:val="standard"/>
      </w:pPr>
      <w:r w:rsidRPr="00D66D69">
        <w:t>Regarding the SGIP TES</w:t>
      </w:r>
      <w:r w:rsidR="00C25430">
        <w:t xml:space="preserve"> working group</w:t>
      </w:r>
      <w:r w:rsidRPr="00D66D69">
        <w:t xml:space="preserve"> established in D.19</w:t>
      </w:r>
      <w:r w:rsidR="00757681">
        <w:noBreakHyphen/>
      </w:r>
      <w:r w:rsidRPr="00D66D69">
        <w:t>04</w:t>
      </w:r>
      <w:r w:rsidR="00757681">
        <w:noBreakHyphen/>
      </w:r>
      <w:r w:rsidRPr="00D66D69">
        <w:t>020, we clarify that the scope of th</w:t>
      </w:r>
      <w:r w:rsidR="00C25430">
        <w:t xml:space="preserve">e TES working group </w:t>
      </w:r>
      <w:r w:rsidRPr="00D66D69">
        <w:t>discussions is limited to alterations to the GHG emission reduction requirements adopted in that decision to ensure their general applicability for TES systems.  All other HPWH</w:t>
      </w:r>
      <w:r w:rsidR="00757681">
        <w:noBreakHyphen/>
      </w:r>
      <w:r w:rsidRPr="00D66D69">
        <w:t xml:space="preserve">related SGIP issues, such as current barriers, eligibility issues, and potential modifications to SGIP rules, program or operational requirements and/or incentive levels regarding HPWHs will be discussed at the dedicated HPWH workshop directed in this decision.  We also modify the final decision to encourage Commission staff to convene the HPWH workshop within 90 days, if feasible, to reflect SC/NRDC’s suggestion. </w:t>
      </w:r>
    </w:p>
    <w:p w14:paraId="0131FAD1" w14:textId="2061EB90" w:rsidR="00D66D69" w:rsidRPr="00D66D69" w:rsidRDefault="00D66D69" w:rsidP="00D66D69">
      <w:pPr>
        <w:pStyle w:val="standard"/>
        <w:numPr>
          <w:ilvl w:val="0"/>
          <w:numId w:val="43"/>
        </w:numPr>
        <w:rPr>
          <w:u w:val="single"/>
        </w:rPr>
      </w:pPr>
      <w:r w:rsidRPr="00D66D69">
        <w:rPr>
          <w:u w:val="single"/>
        </w:rPr>
        <w:t xml:space="preserve"> Eligibility Criteria for San Joaquin Valley Pilot Set</w:t>
      </w:r>
      <w:r w:rsidR="00757681">
        <w:rPr>
          <w:u w:val="single"/>
        </w:rPr>
        <w:noBreakHyphen/>
      </w:r>
      <w:r w:rsidRPr="00D66D69">
        <w:rPr>
          <w:u w:val="single"/>
        </w:rPr>
        <w:t>Aside</w:t>
      </w:r>
    </w:p>
    <w:p w14:paraId="7EF6CB37" w14:textId="1E352F42" w:rsidR="005012AC" w:rsidRDefault="00D66D69" w:rsidP="00D66D69">
      <w:pPr>
        <w:pStyle w:val="standard"/>
      </w:pPr>
      <w:r w:rsidRPr="00D66D69">
        <w:t>PG&amp;E comments that eligibility for the higher SGIP incentives approved for the SJV Pilot set</w:t>
      </w:r>
      <w:r w:rsidR="00757681">
        <w:noBreakHyphen/>
      </w:r>
      <w:r w:rsidRPr="00D66D69">
        <w:t xml:space="preserve">aside should be limited to customers currently using propane and wood for water and/or spacing heating that install both a HPWH and a heat pump space conditioner as part of the pilot.   PG&amp;E argues that households receiving electric appliance upgrades for existing inefficient or inoperable electric appliances as part of the pilot should also be eligible for the higher incentives.  </w:t>
      </w:r>
    </w:p>
    <w:p w14:paraId="756FE2DD" w14:textId="6C43B6E7" w:rsidR="00D66D69" w:rsidRPr="00D66D69" w:rsidRDefault="00D66D69" w:rsidP="00D66D69">
      <w:pPr>
        <w:pStyle w:val="standard"/>
      </w:pPr>
      <w:r w:rsidRPr="00D66D69">
        <w:t xml:space="preserve">We disagree that participating households must install both a HPWH and a heat pump space conditioner to be eligible for the SJV pilot incentives, as this would unduly limit eligibility and does not have sufficient rationale.  However, we can conceive of circumstances where participating pilot households upgrade one or more inoperable or inefficient major appliances as part of the pilot and </w:t>
      </w:r>
      <w:r w:rsidRPr="00D66D69">
        <w:lastRenderedPageBreak/>
        <w:t>should therefore also be permitted to util</w:t>
      </w:r>
      <w:r w:rsidR="005012AC">
        <w:t>ize the higher incentive levels.  We modify</w:t>
      </w:r>
      <w:r w:rsidRPr="00D66D69">
        <w:t xml:space="preserve"> the final decision to reflect this change. </w:t>
      </w:r>
    </w:p>
    <w:p w14:paraId="605F3F4C" w14:textId="77777777" w:rsidR="00D66D69" w:rsidRPr="00D66D69" w:rsidRDefault="00D66D69" w:rsidP="00D66D69">
      <w:pPr>
        <w:pStyle w:val="standard"/>
        <w:numPr>
          <w:ilvl w:val="0"/>
          <w:numId w:val="43"/>
        </w:numPr>
        <w:rPr>
          <w:u w:val="single"/>
        </w:rPr>
      </w:pPr>
      <w:r w:rsidRPr="00D66D69">
        <w:rPr>
          <w:u w:val="single"/>
        </w:rPr>
        <w:t>Modified Equity and Equity Resiliency Budget Incentive Start Dates</w:t>
      </w:r>
    </w:p>
    <w:p w14:paraId="410C3FEB" w14:textId="21B5C790" w:rsidR="00D66D69" w:rsidRPr="00D66D69" w:rsidRDefault="00D66D69" w:rsidP="00D66D69">
      <w:pPr>
        <w:pStyle w:val="standard"/>
      </w:pPr>
      <w:r w:rsidRPr="00D66D69">
        <w:t>Several parties recommend that the Commission accelerate the start date for the modified equity and equity resiliency budget incentives to January 2020, stating that there is no need to delay until April 1, 2020, when the new SGIP GHG r</w:t>
      </w:r>
      <w:r w:rsidR="005012AC">
        <w:t xml:space="preserve">equirements begin.  Sunrun </w:t>
      </w:r>
      <w:r w:rsidRPr="00D66D69">
        <w:t xml:space="preserve">requests clarification on the applicability of </w:t>
      </w:r>
      <w:r w:rsidR="005012AC">
        <w:t xml:space="preserve">a </w:t>
      </w:r>
      <w:r w:rsidRPr="00D66D69">
        <w:t>SGIP handbook rule that projects installed up to a year before or after applying for SGIP incentives are eligible for the incentives.</w:t>
      </w:r>
    </w:p>
    <w:p w14:paraId="0DFCF723" w14:textId="33C96F18" w:rsidR="00D66D69" w:rsidRPr="00D66D69" w:rsidRDefault="00D66D69" w:rsidP="00D66D69">
      <w:pPr>
        <w:pStyle w:val="standard"/>
      </w:pPr>
      <w:r w:rsidRPr="00D66D69">
        <w:t xml:space="preserve">We modify the final decision to indicate that any PA may start its modified equity and equity resiliency budget incentives for residential customers on January 1, 2020, or any other time prior to April 1, 2020, if it implements the new SGIP GHG requirements for new residential customers </w:t>
      </w:r>
      <w:r w:rsidR="005012AC">
        <w:t xml:space="preserve">adopted </w:t>
      </w:r>
      <w:r w:rsidRPr="00D66D69">
        <w:t>in D.19</w:t>
      </w:r>
      <w:r w:rsidR="00757681">
        <w:noBreakHyphen/>
      </w:r>
      <w:r w:rsidRPr="00D66D69">
        <w:t>08</w:t>
      </w:r>
      <w:r w:rsidR="00757681">
        <w:noBreakHyphen/>
      </w:r>
      <w:r w:rsidRPr="00D66D69">
        <w:t>001 at the same time, which PAs are authorized to do in this decision.  PAs are encouraged to start the modified incentives earlier than April 1, 2020 if they are able to</w:t>
      </w:r>
      <w:r w:rsidR="005012AC">
        <w:t xml:space="preserve"> do so</w:t>
      </w:r>
      <w:r w:rsidRPr="00D66D69">
        <w:t>.</w:t>
      </w:r>
    </w:p>
    <w:p w14:paraId="3CA1A83F" w14:textId="4006F754" w:rsidR="00D66D69" w:rsidRPr="00D66D69" w:rsidRDefault="00D66D69" w:rsidP="00D66D69">
      <w:pPr>
        <w:pStyle w:val="standard"/>
      </w:pPr>
      <w:r w:rsidRPr="00D66D69">
        <w:t xml:space="preserve">With respect to Sunrun’s request for clarification, the existing SGIP handbook rule is applicable; however, projects may not apply for the modified equity incentives or equity resiliency incentives until the start date of April 1, 2020, or an earlier date if the PA sets an earlier start date as discussed in the prior paragraph.  Accordingly, the new SGIP GHG rules will apply to all projects receiving the modified equity incentives or equity resiliency incentives.  </w:t>
      </w:r>
    </w:p>
    <w:p w14:paraId="20C04B03" w14:textId="77777777" w:rsidR="00D66D69" w:rsidRPr="00D66D69" w:rsidRDefault="00D66D69" w:rsidP="00D66D69">
      <w:pPr>
        <w:pStyle w:val="standard"/>
        <w:numPr>
          <w:ilvl w:val="0"/>
          <w:numId w:val="43"/>
        </w:numPr>
        <w:rPr>
          <w:u w:val="single"/>
        </w:rPr>
      </w:pPr>
      <w:r w:rsidRPr="00D66D69">
        <w:rPr>
          <w:u w:val="single"/>
        </w:rPr>
        <w:t xml:space="preserve">Updated SGIP Evaluation Plan Requirements </w:t>
      </w:r>
    </w:p>
    <w:p w14:paraId="0C0A6891" w14:textId="1EDFC854" w:rsidR="00D66D69" w:rsidRPr="00D66D69" w:rsidRDefault="00A56690" w:rsidP="00D66D69">
      <w:pPr>
        <w:pStyle w:val="standard"/>
      </w:pPr>
      <w:r>
        <w:t xml:space="preserve">CALSSA provides some and </w:t>
      </w:r>
      <w:r w:rsidR="00D66D69" w:rsidRPr="00D66D69">
        <w:t>Cal Advocates p</w:t>
      </w:r>
      <w:r>
        <w:t xml:space="preserve">rovides extensive </w:t>
      </w:r>
      <w:r w:rsidR="00D66D69" w:rsidRPr="00D66D69">
        <w:t xml:space="preserve">recommendations regarding evaluation of the new equity resiliency and equity budget incentives.  The final decision </w:t>
      </w:r>
      <w:r>
        <w:t xml:space="preserve">adopts these recommended </w:t>
      </w:r>
      <w:r w:rsidR="00D66D69" w:rsidRPr="00D66D69">
        <w:t xml:space="preserve">equity budget </w:t>
      </w:r>
      <w:r w:rsidR="00D66D69" w:rsidRPr="00D66D69">
        <w:lastRenderedPageBreak/>
        <w:t xml:space="preserve">research questions, in part, and provides additional guidance to Commission staff and the SGIP evaluator. </w:t>
      </w:r>
    </w:p>
    <w:p w14:paraId="7F8E0DAD" w14:textId="051EBEBA" w:rsidR="005012AC" w:rsidRDefault="00D66D69">
      <w:pPr>
        <w:pStyle w:val="standard"/>
      </w:pPr>
      <w:r w:rsidRPr="00D66D69">
        <w:t>Commission staff shall work with the SG</w:t>
      </w:r>
      <w:r w:rsidR="005012AC">
        <w:t xml:space="preserve">IP evaluator to incorporate additional </w:t>
      </w:r>
      <w:r w:rsidRPr="00D66D69">
        <w:t xml:space="preserve">research questions into the </w:t>
      </w:r>
      <w:r w:rsidR="005012AC">
        <w:rPr>
          <w:rFonts w:ascii="Book Antiqua" w:hAnsi="Book Antiqua"/>
          <w:color w:val="000000"/>
          <w:szCs w:val="26"/>
        </w:rPr>
        <w:t>SGIP storage impact evaluation for program year 2020 (due June 30, 2021) and into the SGIP evaluation plan for program years 2021</w:t>
      </w:r>
      <w:r w:rsidR="00757681">
        <w:rPr>
          <w:rFonts w:ascii="Book Antiqua" w:hAnsi="Book Antiqua"/>
          <w:color w:val="000000"/>
          <w:szCs w:val="26"/>
        </w:rPr>
        <w:noBreakHyphen/>
      </w:r>
      <w:r w:rsidR="005012AC">
        <w:rPr>
          <w:rFonts w:ascii="Book Antiqua" w:hAnsi="Book Antiqua"/>
          <w:color w:val="000000"/>
          <w:szCs w:val="26"/>
        </w:rPr>
        <w:t>2025. </w:t>
      </w:r>
      <w:r w:rsidR="0032323C">
        <w:rPr>
          <w:rFonts w:ascii="Book Antiqua" w:hAnsi="Book Antiqua"/>
          <w:color w:val="000000"/>
          <w:szCs w:val="26"/>
        </w:rPr>
        <w:t xml:space="preserve"> </w:t>
      </w:r>
      <w:r w:rsidR="005012AC">
        <w:rPr>
          <w:rFonts w:ascii="Book Antiqua" w:hAnsi="Book Antiqua"/>
          <w:color w:val="000000"/>
          <w:szCs w:val="26"/>
        </w:rPr>
        <w:t xml:space="preserve">We recommend including the questions listed below. </w:t>
      </w:r>
      <w:r w:rsidR="0032323C">
        <w:rPr>
          <w:rFonts w:ascii="Book Antiqua" w:hAnsi="Book Antiqua"/>
          <w:color w:val="000000"/>
          <w:szCs w:val="26"/>
        </w:rPr>
        <w:t xml:space="preserve"> </w:t>
      </w:r>
      <w:r w:rsidR="005012AC">
        <w:rPr>
          <w:rFonts w:ascii="Book Antiqua" w:hAnsi="Book Antiqua"/>
          <w:color w:val="000000"/>
          <w:szCs w:val="26"/>
        </w:rPr>
        <w:t xml:space="preserve">Commission staff may modify </w:t>
      </w:r>
      <w:r w:rsidR="00A35276">
        <w:rPr>
          <w:rFonts w:ascii="Book Antiqua" w:hAnsi="Book Antiqua"/>
          <w:color w:val="000000"/>
          <w:szCs w:val="26"/>
        </w:rPr>
        <w:t xml:space="preserve">these </w:t>
      </w:r>
      <w:r w:rsidR="005012AC">
        <w:rPr>
          <w:rFonts w:ascii="Book Antiqua" w:hAnsi="Book Antiqua"/>
          <w:color w:val="000000"/>
          <w:szCs w:val="26"/>
        </w:rPr>
        <w:t xml:space="preserve">as necessary to ensure the evaluations provide useful information for the Commission to evaluate the efficacy and efficiency of the equity and equity resiliency budgets and that questions are framed in a way that can be answered by the SGIP evaluator. </w:t>
      </w:r>
    </w:p>
    <w:p w14:paraId="0A150973" w14:textId="291C3D6E" w:rsidR="00A56690" w:rsidRDefault="00D66D69">
      <w:pPr>
        <w:pStyle w:val="standard"/>
        <w:rPr>
          <w:u w:val="single"/>
        </w:rPr>
      </w:pPr>
      <w:r w:rsidRPr="00D66D69">
        <w:t>In addition, in order to ensure a transparent review a</w:t>
      </w:r>
      <w:r w:rsidR="005012AC">
        <w:t>nd comment process on the 2021</w:t>
      </w:r>
      <w:r w:rsidR="00757681">
        <w:noBreakHyphen/>
      </w:r>
      <w:r w:rsidR="005012AC">
        <w:t xml:space="preserve">2025 </w:t>
      </w:r>
      <w:r w:rsidRPr="00D66D69">
        <w:t xml:space="preserve">evaluation plan, we direct the PAs to jointly submit a Tier 2 advice letter </w:t>
      </w:r>
      <w:r w:rsidR="005012AC">
        <w:t xml:space="preserve">by March 31, 2021 </w:t>
      </w:r>
      <w:r w:rsidR="00DD31F8" w:rsidRPr="00D66D69">
        <w:t>t</w:t>
      </w:r>
      <w:r w:rsidR="00DD31F8">
        <w:t>o finalize the evaluation plan</w:t>
      </w:r>
      <w:r w:rsidR="005012AC">
        <w:t>.</w:t>
      </w:r>
    </w:p>
    <w:p w14:paraId="4E29E459" w14:textId="18B57088" w:rsidR="00D66D69" w:rsidRPr="00BA004B" w:rsidRDefault="005012AC" w:rsidP="00BA004B">
      <w:pPr>
        <w:pStyle w:val="standard"/>
        <w:ind w:firstLine="0"/>
      </w:pPr>
      <w:r>
        <w:rPr>
          <w:u w:val="single"/>
        </w:rPr>
        <w:t xml:space="preserve">Suggested </w:t>
      </w:r>
      <w:r w:rsidR="00D66D69" w:rsidRPr="00D66D69">
        <w:rPr>
          <w:u w:val="single"/>
        </w:rPr>
        <w:t xml:space="preserve">Research Questions and Processes to Include in SGIP </w:t>
      </w:r>
      <w:r>
        <w:rPr>
          <w:u w:val="single"/>
        </w:rPr>
        <w:t>Storage Impacte Evaluation for Program Year 2020 (due June 30, 2021), and the SGIP 2021</w:t>
      </w:r>
      <w:r w:rsidR="00757681">
        <w:rPr>
          <w:u w:val="single"/>
        </w:rPr>
        <w:noBreakHyphen/>
      </w:r>
      <w:r>
        <w:rPr>
          <w:u w:val="single"/>
        </w:rPr>
        <w:t>2025</w:t>
      </w:r>
      <w:r w:rsidR="00D66D69" w:rsidRPr="00D66D69">
        <w:rPr>
          <w:u w:val="single"/>
        </w:rPr>
        <w:t xml:space="preserve"> Evaluation Plan </w:t>
      </w:r>
    </w:p>
    <w:p w14:paraId="382A078B" w14:textId="0BDE17B3" w:rsidR="00D66D69" w:rsidRPr="00D66D69" w:rsidRDefault="005012AC" w:rsidP="00BA004B">
      <w:pPr>
        <w:pStyle w:val="standard"/>
        <w:numPr>
          <w:ilvl w:val="1"/>
          <w:numId w:val="45"/>
        </w:numPr>
        <w:ind w:left="1080"/>
      </w:pPr>
      <w:r>
        <w:t>Equity Resiliency Budget</w:t>
      </w:r>
      <w:r w:rsidR="00D66D69" w:rsidRPr="00D66D69">
        <w:t>:</w:t>
      </w:r>
    </w:p>
    <w:p w14:paraId="6B155043" w14:textId="77777777" w:rsidR="005012AC" w:rsidRDefault="00D66D69" w:rsidP="00BA004B">
      <w:pPr>
        <w:pStyle w:val="standard"/>
        <w:numPr>
          <w:ilvl w:val="2"/>
          <w:numId w:val="45"/>
        </w:numPr>
        <w:ind w:left="1800"/>
      </w:pPr>
      <w:r w:rsidRPr="00D66D69">
        <w:t>What are the resiliency needs of participating customers?</w:t>
      </w:r>
    </w:p>
    <w:p w14:paraId="504995DB" w14:textId="4CAE3CFA" w:rsidR="005012AC" w:rsidRPr="00D66D69" w:rsidRDefault="005012AC" w:rsidP="00BA004B">
      <w:pPr>
        <w:pStyle w:val="standard"/>
        <w:numPr>
          <w:ilvl w:val="2"/>
          <w:numId w:val="45"/>
        </w:numPr>
        <w:ind w:left="1800"/>
      </w:pPr>
      <w:r w:rsidRPr="00756298">
        <w:rPr>
          <w:color w:val="000000"/>
          <w:szCs w:val="26"/>
        </w:rPr>
        <w:t>For customers whose resiliency needs include backup for life</w:t>
      </w:r>
      <w:r w:rsidR="00757681">
        <w:rPr>
          <w:color w:val="000000"/>
          <w:szCs w:val="26"/>
        </w:rPr>
        <w:noBreakHyphen/>
      </w:r>
      <w:r w:rsidRPr="00756298">
        <w:rPr>
          <w:color w:val="000000"/>
          <w:szCs w:val="26"/>
        </w:rPr>
        <w:t xml:space="preserve">support systems, medical equipment, or any use where product failure could lead to injury or loss of </w:t>
      </w:r>
      <w:r w:rsidRPr="00DF6FDD">
        <w:rPr>
          <w:color w:val="000000"/>
          <w:szCs w:val="26"/>
        </w:rPr>
        <w:t xml:space="preserve">life, did customers rely exclusively on </w:t>
      </w:r>
      <w:r w:rsidRPr="0054653B">
        <w:rPr>
          <w:color w:val="000000"/>
          <w:szCs w:val="26"/>
        </w:rPr>
        <w:t>their equity r</w:t>
      </w:r>
      <w:r w:rsidRPr="00806578">
        <w:rPr>
          <w:color w:val="000000"/>
          <w:szCs w:val="26"/>
        </w:rPr>
        <w:t>esiliency storage systems for backup? If no, what additional equipment did customers install or rely on, and how much did that equipment cost? If yes, did the storage systems successfully provide the ne</w:t>
      </w:r>
      <w:r w:rsidRPr="00CE2F58">
        <w:rPr>
          <w:color w:val="000000"/>
          <w:szCs w:val="26"/>
        </w:rPr>
        <w:t>eded backup?</w:t>
      </w:r>
    </w:p>
    <w:p w14:paraId="56EFC995" w14:textId="77777777" w:rsidR="00D66D69" w:rsidRPr="00D66D69" w:rsidRDefault="00D66D69" w:rsidP="00BA004B">
      <w:pPr>
        <w:pStyle w:val="standard"/>
        <w:numPr>
          <w:ilvl w:val="2"/>
          <w:numId w:val="45"/>
        </w:numPr>
        <w:ind w:left="1800"/>
      </w:pPr>
      <w:r w:rsidRPr="00D66D69">
        <w:t>What types of customers accessed the incentive?</w:t>
      </w:r>
    </w:p>
    <w:p w14:paraId="48154639" w14:textId="0E07A0D9" w:rsidR="00D66D69" w:rsidRPr="00D66D69" w:rsidRDefault="005012AC" w:rsidP="00BA004B">
      <w:pPr>
        <w:pStyle w:val="standard"/>
        <w:numPr>
          <w:ilvl w:val="3"/>
          <w:numId w:val="45"/>
        </w:numPr>
        <w:ind w:left="2520"/>
      </w:pPr>
      <w:r>
        <w:rPr>
          <w:color w:val="000000"/>
          <w:szCs w:val="26"/>
        </w:rPr>
        <w:lastRenderedPageBreak/>
        <w:t>Characterize participating customers by customer class, geographic location, on</w:t>
      </w:r>
      <w:r w:rsidR="00757681">
        <w:rPr>
          <w:color w:val="000000"/>
          <w:szCs w:val="26"/>
        </w:rPr>
        <w:noBreakHyphen/>
      </w:r>
      <w:r>
        <w:rPr>
          <w:color w:val="000000"/>
          <w:szCs w:val="26"/>
        </w:rPr>
        <w:t>site load, whether systems were paired with solar, and other key variables.</w:t>
      </w:r>
    </w:p>
    <w:p w14:paraId="7333E487" w14:textId="77777777" w:rsidR="00D66D69" w:rsidRPr="00D66D69" w:rsidRDefault="00D66D69" w:rsidP="00BA004B">
      <w:pPr>
        <w:pStyle w:val="standard"/>
        <w:numPr>
          <w:ilvl w:val="3"/>
          <w:numId w:val="45"/>
        </w:numPr>
        <w:ind w:left="2520"/>
      </w:pPr>
      <w:r w:rsidRPr="00D66D69">
        <w:t>Provide a list of participating developers and operators of the systems.</w:t>
      </w:r>
    </w:p>
    <w:p w14:paraId="28D2F77F" w14:textId="29F8303D" w:rsidR="00D66D69" w:rsidRDefault="00D66D69" w:rsidP="00BA004B">
      <w:pPr>
        <w:pStyle w:val="standard"/>
        <w:numPr>
          <w:ilvl w:val="2"/>
          <w:numId w:val="45"/>
        </w:numPr>
        <w:ind w:left="1800"/>
      </w:pPr>
      <w:r w:rsidRPr="00D66D69">
        <w:t xml:space="preserve">What types (frequency, duration) of outages did participating customers experience? </w:t>
      </w:r>
      <w:r w:rsidR="005012AC">
        <w:t xml:space="preserve"> How many outages were PSPS events?</w:t>
      </w:r>
    </w:p>
    <w:p w14:paraId="3FAA7A7D" w14:textId="7312B6E0" w:rsidR="005012AC" w:rsidRPr="005012AC" w:rsidRDefault="005012AC" w:rsidP="005012AC">
      <w:pPr>
        <w:pStyle w:val="standard"/>
        <w:numPr>
          <w:ilvl w:val="3"/>
          <w:numId w:val="45"/>
        </w:numPr>
      </w:pPr>
      <w:r w:rsidRPr="005012AC">
        <w:t>Did equity resiliency budget projects address critical resiliency needs? What percentage of the outage’s duration did the SGIP</w:t>
      </w:r>
      <w:r w:rsidR="00757681">
        <w:noBreakHyphen/>
      </w:r>
      <w:r w:rsidRPr="005012AC">
        <w:t>incentivized storage system provide power? How does the answer differ for storage</w:t>
      </w:r>
      <w:r w:rsidR="00757681">
        <w:noBreakHyphen/>
      </w:r>
      <w:r w:rsidRPr="005012AC">
        <w:t>only versus storage paired with solar?</w:t>
      </w:r>
    </w:p>
    <w:p w14:paraId="52A39AAC" w14:textId="543045B9" w:rsidR="005012AC" w:rsidRPr="00D66D69" w:rsidRDefault="005012AC" w:rsidP="00BA004B">
      <w:pPr>
        <w:pStyle w:val="standard"/>
        <w:numPr>
          <w:ilvl w:val="3"/>
          <w:numId w:val="45"/>
        </w:numPr>
      </w:pPr>
      <w:r w:rsidRPr="005012AC">
        <w:t>Did the storage system energize the full on</w:t>
      </w:r>
      <w:r w:rsidR="00757681">
        <w:noBreakHyphen/>
      </w:r>
      <w:r w:rsidRPr="005012AC">
        <w:t>site load or a subset?</w:t>
      </w:r>
    </w:p>
    <w:p w14:paraId="406D7EB4" w14:textId="70C365DE" w:rsidR="00D66D69" w:rsidRPr="00D66D69" w:rsidRDefault="00D66D69" w:rsidP="00BA004B">
      <w:pPr>
        <w:pStyle w:val="standard"/>
        <w:numPr>
          <w:ilvl w:val="2"/>
          <w:numId w:val="45"/>
        </w:numPr>
        <w:ind w:left="1800"/>
      </w:pPr>
      <w:r w:rsidRPr="00D66D69">
        <w:t>To what extent did customers report use of the incentives to inst</w:t>
      </w:r>
      <w:r w:rsidR="00DD31F8">
        <w:t>all</w:t>
      </w:r>
      <w:r w:rsidRPr="00D66D69">
        <w:t xml:space="preserve"> storage as an alternative to gasoline powered generators? </w:t>
      </w:r>
    </w:p>
    <w:p w14:paraId="43A2A8BD" w14:textId="77777777" w:rsidR="00D66D69" w:rsidRDefault="00D66D69" w:rsidP="00BA004B">
      <w:pPr>
        <w:pStyle w:val="standard"/>
        <w:numPr>
          <w:ilvl w:val="2"/>
          <w:numId w:val="45"/>
        </w:numPr>
        <w:ind w:left="1800"/>
      </w:pPr>
      <w:r w:rsidRPr="00D66D69">
        <w:t xml:space="preserve">Provide an estimate of average customer and total GHG emissions avoided as a result of incentive use. </w:t>
      </w:r>
    </w:p>
    <w:p w14:paraId="3FF4B8A4" w14:textId="1EC7FDF3" w:rsidR="007A5166" w:rsidRDefault="007A5166" w:rsidP="00BA004B">
      <w:pPr>
        <w:pStyle w:val="standard"/>
        <w:numPr>
          <w:ilvl w:val="2"/>
          <w:numId w:val="45"/>
        </w:numPr>
        <w:ind w:left="1800"/>
      </w:pPr>
      <w:r>
        <w:t>Were systems capable of longer duration discharge enrolled in appropriate programs (</w:t>
      </w:r>
      <w:r w:rsidR="00A25B49">
        <w:t xml:space="preserve">such </w:t>
      </w:r>
      <w:r>
        <w:t>dema</w:t>
      </w:r>
      <w:r w:rsidR="00A25B49">
        <w:t xml:space="preserve">nd response or resource adequacy) and </w:t>
      </w:r>
      <w:r>
        <w:t xml:space="preserve">dispatched to address </w:t>
      </w:r>
      <w:r w:rsidRPr="007A5166">
        <w:t>system ramping needs</w:t>
      </w:r>
      <w:r>
        <w:t xml:space="preserve">? </w:t>
      </w:r>
      <w:r w:rsidRPr="007A5166">
        <w:t xml:space="preserve"> </w:t>
      </w:r>
      <w:r w:rsidR="00A25B49">
        <w:t xml:space="preserve">If so, please summarize system ramping benefits provided, as feasible. </w:t>
      </w:r>
    </w:p>
    <w:p w14:paraId="337E1738" w14:textId="43A1D849" w:rsidR="005012AC" w:rsidRPr="00D66D69" w:rsidRDefault="005012AC" w:rsidP="00BA004B">
      <w:pPr>
        <w:pStyle w:val="standard"/>
        <w:numPr>
          <w:ilvl w:val="2"/>
          <w:numId w:val="45"/>
        </w:numPr>
        <w:ind w:left="1800"/>
      </w:pPr>
      <w:r w:rsidRPr="005012AC">
        <w:t xml:space="preserve">What is the difference between the implied </w:t>
      </w:r>
      <w:r w:rsidRPr="00BA004B">
        <w:rPr>
          <w:iCs/>
        </w:rPr>
        <w:t>value of lost load</w:t>
      </w:r>
      <w:r w:rsidRPr="005012AC">
        <w:rPr>
          <w:i/>
          <w:iCs/>
        </w:rPr>
        <w:t xml:space="preserve"> </w:t>
      </w:r>
      <w:r w:rsidRPr="005012AC">
        <w:t xml:space="preserve">($/kWh) of Equity Resiliency storage systems versus gasoline powered generators? If the storage system is more expensive per </w:t>
      </w:r>
      <w:r w:rsidRPr="005012AC">
        <w:lastRenderedPageBreak/>
        <w:t>kilowatt hour of backup energy provided, does the value of reduced GHG emissions per kilowatt hour ($/kWh) make up the difference?</w:t>
      </w:r>
    </w:p>
    <w:p w14:paraId="52304356" w14:textId="77777777" w:rsidR="00D66D69" w:rsidRPr="00D66D69" w:rsidRDefault="00D66D69" w:rsidP="00BA004B">
      <w:pPr>
        <w:pStyle w:val="standard"/>
        <w:numPr>
          <w:ilvl w:val="1"/>
          <w:numId w:val="45"/>
        </w:numPr>
        <w:ind w:left="1080"/>
      </w:pPr>
      <w:r w:rsidRPr="00D66D69">
        <w:t>Please provide information on equity budget storage system metrics, to the extent feasible and as directed by Commission staff:</w:t>
      </w:r>
    </w:p>
    <w:p w14:paraId="20940A91" w14:textId="77777777" w:rsidR="00D66D69" w:rsidRPr="00D66D69" w:rsidRDefault="00D66D69" w:rsidP="00BA004B">
      <w:pPr>
        <w:pStyle w:val="standard"/>
        <w:numPr>
          <w:ilvl w:val="0"/>
          <w:numId w:val="46"/>
        </w:numPr>
        <w:ind w:left="1800"/>
      </w:pPr>
      <w:r w:rsidRPr="00D66D69">
        <w:t>Actual costs of storage systems (equipment);</w:t>
      </w:r>
    </w:p>
    <w:p w14:paraId="6A662BB9" w14:textId="77777777" w:rsidR="00D66D69" w:rsidRPr="00D66D69" w:rsidRDefault="00D66D69" w:rsidP="00BA004B">
      <w:pPr>
        <w:pStyle w:val="standard"/>
        <w:numPr>
          <w:ilvl w:val="0"/>
          <w:numId w:val="46"/>
        </w:numPr>
        <w:ind w:left="1800"/>
      </w:pPr>
      <w:r w:rsidRPr="00D66D69">
        <w:t>Actual costs of storage system installations;</w:t>
      </w:r>
    </w:p>
    <w:p w14:paraId="6CA84A3F" w14:textId="77777777" w:rsidR="00D66D69" w:rsidRPr="00D66D69" w:rsidRDefault="00D66D69" w:rsidP="00BA004B">
      <w:pPr>
        <w:pStyle w:val="standard"/>
        <w:numPr>
          <w:ilvl w:val="0"/>
          <w:numId w:val="46"/>
        </w:numPr>
        <w:ind w:left="1800"/>
      </w:pPr>
      <w:r w:rsidRPr="00D66D69">
        <w:t>Assessment of how many storage systems require electric panel upgrades;</w:t>
      </w:r>
    </w:p>
    <w:p w14:paraId="0F353E43" w14:textId="77777777" w:rsidR="00D66D69" w:rsidRPr="00D66D69" w:rsidRDefault="00D66D69" w:rsidP="00BA004B">
      <w:pPr>
        <w:pStyle w:val="standard"/>
        <w:numPr>
          <w:ilvl w:val="2"/>
          <w:numId w:val="47"/>
        </w:numPr>
        <w:ind w:left="1800"/>
      </w:pPr>
      <w:r w:rsidRPr="00D66D69">
        <w:t>Customer bill savings, relative to several baselines:</w:t>
      </w:r>
    </w:p>
    <w:p w14:paraId="08A24F0F" w14:textId="77777777" w:rsidR="00D66D69" w:rsidRPr="00D66D69" w:rsidRDefault="00D66D69" w:rsidP="00BA004B">
      <w:pPr>
        <w:pStyle w:val="standard"/>
        <w:numPr>
          <w:ilvl w:val="3"/>
          <w:numId w:val="47"/>
        </w:numPr>
        <w:ind w:left="2520"/>
      </w:pPr>
      <w:r w:rsidRPr="00D66D69">
        <w:t>Customer is on the same TOU tariff but does not have storage;</w:t>
      </w:r>
    </w:p>
    <w:p w14:paraId="55BFA733" w14:textId="77777777" w:rsidR="00D66D69" w:rsidRPr="00D66D69" w:rsidRDefault="00D66D69" w:rsidP="00BA004B">
      <w:pPr>
        <w:pStyle w:val="standard"/>
        <w:numPr>
          <w:ilvl w:val="3"/>
          <w:numId w:val="47"/>
        </w:numPr>
        <w:ind w:left="2520"/>
      </w:pPr>
      <w:r w:rsidRPr="00D66D69">
        <w:t>Customer’s default tariff; and,</w:t>
      </w:r>
    </w:p>
    <w:p w14:paraId="347E2492" w14:textId="77777777" w:rsidR="00D66D69" w:rsidRPr="00D66D69" w:rsidRDefault="00D66D69" w:rsidP="00BA004B">
      <w:pPr>
        <w:pStyle w:val="standard"/>
        <w:numPr>
          <w:ilvl w:val="3"/>
          <w:numId w:val="47"/>
        </w:numPr>
        <w:ind w:left="2520"/>
      </w:pPr>
      <w:r w:rsidRPr="00D66D69">
        <w:t>The most advantageous tariff available to the customer;</w:t>
      </w:r>
    </w:p>
    <w:p w14:paraId="664DD518" w14:textId="77777777" w:rsidR="00D66D69" w:rsidRPr="00D66D69" w:rsidRDefault="00D66D69" w:rsidP="00BA004B">
      <w:pPr>
        <w:pStyle w:val="standard"/>
        <w:numPr>
          <w:ilvl w:val="2"/>
          <w:numId w:val="47"/>
        </w:numPr>
        <w:ind w:left="1800"/>
      </w:pPr>
      <w:r w:rsidRPr="00D66D69">
        <w:t>Impact on electric system costs;</w:t>
      </w:r>
    </w:p>
    <w:p w14:paraId="52F4F4AD" w14:textId="3A88A316" w:rsidR="00D66D69" w:rsidRPr="00D66D69" w:rsidRDefault="00D66D69" w:rsidP="00BA004B">
      <w:pPr>
        <w:pStyle w:val="standard"/>
        <w:numPr>
          <w:ilvl w:val="2"/>
          <w:numId w:val="47"/>
        </w:numPr>
        <w:ind w:left="1800"/>
      </w:pPr>
      <w:r w:rsidRPr="00D66D69">
        <w:t>Interaction between storage and grid</w:t>
      </w:r>
      <w:r w:rsidR="00757681">
        <w:noBreakHyphen/>
      </w:r>
      <w:r w:rsidRPr="00D66D69">
        <w:t>responsive appliances (where applicable);</w:t>
      </w:r>
    </w:p>
    <w:p w14:paraId="1A5B6D76" w14:textId="77777777" w:rsidR="00D66D69" w:rsidRPr="00D66D69" w:rsidRDefault="00D66D69" w:rsidP="00BA004B">
      <w:pPr>
        <w:pStyle w:val="standard"/>
        <w:numPr>
          <w:ilvl w:val="2"/>
          <w:numId w:val="47"/>
        </w:numPr>
        <w:ind w:left="1800"/>
      </w:pPr>
      <w:r w:rsidRPr="00D66D69">
        <w:t>Battery cycling metrics:</w:t>
      </w:r>
    </w:p>
    <w:p w14:paraId="40830ED3" w14:textId="77777777" w:rsidR="00D66D69" w:rsidRPr="00D66D69" w:rsidRDefault="00D66D69" w:rsidP="00BA004B">
      <w:pPr>
        <w:pStyle w:val="standard"/>
        <w:numPr>
          <w:ilvl w:val="3"/>
          <w:numId w:val="47"/>
        </w:numPr>
        <w:ind w:left="2520"/>
      </w:pPr>
      <w:r w:rsidRPr="00D66D69">
        <w:t>Daily percent capacity utilization,</w:t>
      </w:r>
    </w:p>
    <w:p w14:paraId="7EDC8F03" w14:textId="3ED88327" w:rsidR="00D66D69" w:rsidRPr="00D66D69" w:rsidRDefault="00D66D69" w:rsidP="00BA004B">
      <w:pPr>
        <w:pStyle w:val="standard"/>
        <w:numPr>
          <w:ilvl w:val="3"/>
          <w:numId w:val="47"/>
        </w:numPr>
        <w:ind w:left="2520"/>
      </w:pPr>
      <w:r w:rsidRPr="00D66D69">
        <w:t>Discharge at on</w:t>
      </w:r>
      <w:r w:rsidR="00757681">
        <w:noBreakHyphen/>
      </w:r>
      <w:r w:rsidRPr="00D66D69">
        <w:t>peak and off</w:t>
      </w:r>
      <w:r w:rsidR="00757681">
        <w:noBreakHyphen/>
      </w:r>
      <w:r w:rsidRPr="00D66D69">
        <w:t>peak,</w:t>
      </w:r>
    </w:p>
    <w:p w14:paraId="344AEE6D" w14:textId="1327F734" w:rsidR="00DD31F8" w:rsidRDefault="00D66D69" w:rsidP="00BA004B">
      <w:pPr>
        <w:pStyle w:val="standard"/>
        <w:numPr>
          <w:ilvl w:val="3"/>
          <w:numId w:val="47"/>
        </w:numPr>
        <w:ind w:left="2520"/>
      </w:pPr>
      <w:r w:rsidRPr="00D66D69">
        <w:t>Charging at on</w:t>
      </w:r>
      <w:r w:rsidR="00757681">
        <w:noBreakHyphen/>
      </w:r>
      <w:r w:rsidRPr="00D66D69">
        <w:t>peak and off</w:t>
      </w:r>
      <w:r w:rsidR="00757681">
        <w:noBreakHyphen/>
      </w:r>
      <w:r w:rsidRPr="00D66D69">
        <w:t>peak</w:t>
      </w:r>
      <w:r w:rsidR="00DD31F8">
        <w:t>,</w:t>
      </w:r>
    </w:p>
    <w:p w14:paraId="22813FB3" w14:textId="0759FFA5" w:rsidR="00DD31F8" w:rsidRPr="00D66D69" w:rsidRDefault="00DD31F8" w:rsidP="00BA004B">
      <w:pPr>
        <w:pStyle w:val="standard"/>
        <w:numPr>
          <w:ilvl w:val="2"/>
          <w:numId w:val="47"/>
        </w:numPr>
      </w:pPr>
      <w:r>
        <w:t xml:space="preserve">Use of </w:t>
      </w:r>
      <w:r w:rsidRPr="00DD31F8">
        <w:t>longer duration discharge systems to address system ramping needs</w:t>
      </w:r>
      <w:r>
        <w:t>.</w:t>
      </w:r>
    </w:p>
    <w:p w14:paraId="1022591E" w14:textId="742E4B3B" w:rsidR="00D66D69" w:rsidRPr="00D66D69" w:rsidRDefault="00D66D69" w:rsidP="00BA004B">
      <w:pPr>
        <w:pStyle w:val="standard"/>
        <w:numPr>
          <w:ilvl w:val="1"/>
          <w:numId w:val="45"/>
        </w:numPr>
        <w:ind w:left="1080"/>
      </w:pPr>
      <w:r w:rsidRPr="00D66D69">
        <w:t xml:space="preserve">The 2021 </w:t>
      </w:r>
      <w:r w:rsidR="00756298">
        <w:t xml:space="preserve">SGIP storage impact </w:t>
      </w:r>
      <w:r w:rsidRPr="00D66D69">
        <w:t xml:space="preserve">evaluation </w:t>
      </w:r>
      <w:r w:rsidR="00756298">
        <w:t xml:space="preserve">for program year 2021 </w:t>
      </w:r>
      <w:r w:rsidRPr="00D66D69">
        <w:t>should be provided no later than</w:t>
      </w:r>
      <w:r w:rsidR="00756298">
        <w:t xml:space="preserve"> December 2, 2022, </w:t>
      </w:r>
      <w:r w:rsidRPr="00D66D69">
        <w:t xml:space="preserve">be based on a </w:t>
      </w:r>
      <w:r w:rsidRPr="00D66D69">
        <w:lastRenderedPageBreak/>
        <w:t>repres</w:t>
      </w:r>
      <w:r w:rsidR="00756298">
        <w:t xml:space="preserve">entative sampling of customers </w:t>
      </w:r>
      <w:r w:rsidRPr="00D66D69">
        <w:t xml:space="preserve">as directed by Commission staff, and </w:t>
      </w:r>
      <w:r w:rsidR="00756298">
        <w:t xml:space="preserve">should </w:t>
      </w:r>
      <w:r w:rsidRPr="00D66D69">
        <w:t>assess regarding the equity resiliency budget:</w:t>
      </w:r>
    </w:p>
    <w:p w14:paraId="10C1856E" w14:textId="77777777" w:rsidR="00D66D69" w:rsidRPr="00D66D69" w:rsidRDefault="00D66D69" w:rsidP="00BA004B">
      <w:pPr>
        <w:pStyle w:val="standard"/>
        <w:numPr>
          <w:ilvl w:val="2"/>
          <w:numId w:val="47"/>
        </w:numPr>
        <w:ind w:left="1800"/>
      </w:pPr>
      <w:r w:rsidRPr="00D66D69">
        <w:t>The known and expected performance of projects as a source of backup power;</w:t>
      </w:r>
    </w:p>
    <w:p w14:paraId="6B2882E8" w14:textId="77777777" w:rsidR="00D66D69" w:rsidRPr="00D66D69" w:rsidRDefault="00D66D69" w:rsidP="00BA004B">
      <w:pPr>
        <w:pStyle w:val="standard"/>
        <w:numPr>
          <w:ilvl w:val="2"/>
          <w:numId w:val="47"/>
        </w:numPr>
        <w:ind w:left="1800"/>
      </w:pPr>
      <w:r w:rsidRPr="00D66D69">
        <w:t>GHG emissions impacts;</w:t>
      </w:r>
    </w:p>
    <w:p w14:paraId="0C32F618" w14:textId="77777777" w:rsidR="00D66D69" w:rsidRPr="00D66D69" w:rsidRDefault="00D66D69" w:rsidP="00BA004B">
      <w:pPr>
        <w:pStyle w:val="standard"/>
        <w:numPr>
          <w:ilvl w:val="2"/>
          <w:numId w:val="47"/>
        </w:numPr>
        <w:ind w:left="1800"/>
      </w:pPr>
      <w:r w:rsidRPr="00D66D69">
        <w:t>Communities served by the critical facility or critical infrastructure; and,</w:t>
      </w:r>
    </w:p>
    <w:p w14:paraId="1A17BB48" w14:textId="77777777" w:rsidR="00D66D69" w:rsidRPr="00D66D69" w:rsidRDefault="00D66D69" w:rsidP="00BA004B">
      <w:pPr>
        <w:pStyle w:val="standard"/>
        <w:numPr>
          <w:ilvl w:val="2"/>
          <w:numId w:val="47"/>
        </w:numPr>
        <w:ind w:left="1800"/>
      </w:pPr>
      <w:r w:rsidRPr="00D66D69">
        <w:t>Customer coordination with the Office of Emergency Services, the electrical corporation serving the community and relevant local governments.</w:t>
      </w:r>
    </w:p>
    <w:p w14:paraId="1B78745A" w14:textId="77777777" w:rsidR="00D66D69" w:rsidRPr="00D66D69" w:rsidRDefault="00D66D69" w:rsidP="00D66D69">
      <w:pPr>
        <w:pStyle w:val="standard"/>
        <w:numPr>
          <w:ilvl w:val="0"/>
          <w:numId w:val="43"/>
        </w:numPr>
        <w:rPr>
          <w:u w:val="single"/>
        </w:rPr>
      </w:pPr>
      <w:r w:rsidRPr="00D66D69">
        <w:rPr>
          <w:u w:val="single"/>
        </w:rPr>
        <w:t>Additional Inadvertent Errors and Minor Modifications</w:t>
      </w:r>
    </w:p>
    <w:p w14:paraId="77146733" w14:textId="77777777" w:rsidR="00D66D69" w:rsidRPr="00D66D69" w:rsidRDefault="00D66D69" w:rsidP="00D66D69">
      <w:pPr>
        <w:pStyle w:val="standard"/>
      </w:pPr>
      <w:r w:rsidRPr="00D66D69">
        <w:t xml:space="preserve">The final decision clarifies several points, as CSE, CALSSA and Cal Advocates request, including: </w:t>
      </w:r>
    </w:p>
    <w:p w14:paraId="027983E7" w14:textId="2F090C86" w:rsidR="00B16027" w:rsidRDefault="00B16027" w:rsidP="00BA004B">
      <w:pPr>
        <w:pStyle w:val="standard"/>
        <w:numPr>
          <w:ilvl w:val="1"/>
          <w:numId w:val="52"/>
        </w:numPr>
      </w:pPr>
      <w:r>
        <w:t>Correction of technical errors relating to remaining PA generation technology budgets</w:t>
      </w:r>
      <w:r w:rsidR="00756298">
        <w:t xml:space="preserve"> (SoCalGas)</w:t>
      </w:r>
      <w:r>
        <w:t>;</w:t>
      </w:r>
    </w:p>
    <w:p w14:paraId="64C80CCE" w14:textId="7F433B9C" w:rsidR="00D66D69" w:rsidRPr="00D66D69" w:rsidRDefault="00D66D69" w:rsidP="00BA004B">
      <w:pPr>
        <w:pStyle w:val="standard"/>
        <w:numPr>
          <w:ilvl w:val="1"/>
          <w:numId w:val="52"/>
        </w:numPr>
      </w:pPr>
      <w:r w:rsidRPr="00D66D69">
        <w:t xml:space="preserve">Minor modifications to the example cost data provided in Section </w:t>
      </w:r>
      <w:r w:rsidR="00B07EC8">
        <w:t xml:space="preserve">5.2.2 </w:t>
      </w:r>
      <w:r w:rsidRPr="00D66D69">
        <w:t>and to terminology surrounding descriptions of longer</w:t>
      </w:r>
      <w:r w:rsidR="00757681">
        <w:noBreakHyphen/>
      </w:r>
      <w:r w:rsidRPr="00D66D69">
        <w:t>discharge batteries (CALSSA);</w:t>
      </w:r>
    </w:p>
    <w:p w14:paraId="69A02FA6" w14:textId="77777777" w:rsidR="00D66D69" w:rsidRPr="00D66D69" w:rsidRDefault="00D66D69" w:rsidP="00BA004B">
      <w:pPr>
        <w:pStyle w:val="standard"/>
        <w:numPr>
          <w:ilvl w:val="1"/>
          <w:numId w:val="52"/>
        </w:numPr>
      </w:pPr>
      <w:r w:rsidRPr="00D66D69">
        <w:t xml:space="preserve">An incorrect comment attribution to Cal Advocates; </w:t>
      </w:r>
    </w:p>
    <w:p w14:paraId="4150D3F6" w14:textId="73E253F5" w:rsidR="00D66D69" w:rsidRPr="00D66D69" w:rsidRDefault="00D66D69" w:rsidP="00BA004B">
      <w:pPr>
        <w:pStyle w:val="standard"/>
        <w:numPr>
          <w:ilvl w:val="1"/>
          <w:numId w:val="52"/>
        </w:numPr>
      </w:pPr>
      <w:r w:rsidRPr="00D66D69">
        <w:t>References to the non</w:t>
      </w:r>
      <w:r w:rsidR="00757681">
        <w:noBreakHyphen/>
      </w:r>
      <w:r w:rsidRPr="00D66D69">
        <w:t>residential storage budget are changed to refer to the “large</w:t>
      </w:r>
      <w:r w:rsidR="00757681">
        <w:noBreakHyphen/>
      </w:r>
      <w:r w:rsidR="0042200F">
        <w:t xml:space="preserve">scale storage budget (CSE); </w:t>
      </w:r>
    </w:p>
    <w:p w14:paraId="2DF12C03" w14:textId="77777777" w:rsidR="0042200F" w:rsidRDefault="00D66D69" w:rsidP="00BA004B">
      <w:pPr>
        <w:pStyle w:val="standard"/>
        <w:numPr>
          <w:ilvl w:val="1"/>
          <w:numId w:val="52"/>
        </w:numPr>
        <w:rPr>
          <w:rFonts w:ascii="Book Antiqua" w:hAnsi="Book Antiqua"/>
        </w:rPr>
      </w:pPr>
      <w:r w:rsidRPr="00D66D69">
        <w:rPr>
          <w:rFonts w:ascii="Book Antiqua" w:hAnsi="Book Antiqua"/>
        </w:rPr>
        <w:t>That this decision elimin</w:t>
      </w:r>
      <w:r w:rsidR="00756298">
        <w:rPr>
          <w:rFonts w:ascii="Book Antiqua" w:hAnsi="Book Antiqua"/>
        </w:rPr>
        <w:t xml:space="preserve">ates the developer cap for </w:t>
      </w:r>
      <w:r w:rsidRPr="00D66D69">
        <w:rPr>
          <w:rFonts w:ascii="Book Antiqua" w:hAnsi="Book Antiqua"/>
        </w:rPr>
        <w:t xml:space="preserve">the equity budget and </w:t>
      </w:r>
      <w:r w:rsidR="00756298">
        <w:rPr>
          <w:rFonts w:ascii="Book Antiqua" w:hAnsi="Book Antiqua"/>
        </w:rPr>
        <w:t xml:space="preserve">does not adopt one for </w:t>
      </w:r>
      <w:r w:rsidRPr="00D66D69">
        <w:rPr>
          <w:rFonts w:ascii="Book Antiqua" w:hAnsi="Book Antiqua"/>
        </w:rPr>
        <w:t>the new equity resiliency budget (CSE</w:t>
      </w:r>
      <w:r>
        <w:rPr>
          <w:rFonts w:ascii="Book Antiqua" w:hAnsi="Book Antiqua"/>
        </w:rPr>
        <w:t>)</w:t>
      </w:r>
      <w:r w:rsidR="0042200F">
        <w:rPr>
          <w:rFonts w:ascii="Book Antiqua" w:hAnsi="Book Antiqua"/>
        </w:rPr>
        <w:t xml:space="preserve">; and, </w:t>
      </w:r>
    </w:p>
    <w:p w14:paraId="0CE78D90" w14:textId="5152D8F1" w:rsidR="00630ED4" w:rsidRPr="0046123F" w:rsidRDefault="0042200F" w:rsidP="00BA004B">
      <w:pPr>
        <w:pStyle w:val="standard"/>
        <w:numPr>
          <w:ilvl w:val="1"/>
          <w:numId w:val="52"/>
        </w:numPr>
        <w:rPr>
          <w:rFonts w:ascii="Book Antiqua" w:hAnsi="Book Antiqua"/>
        </w:rPr>
      </w:pPr>
      <w:r>
        <w:rPr>
          <w:rFonts w:ascii="Book Antiqua" w:hAnsi="Book Antiqua"/>
        </w:rPr>
        <w:lastRenderedPageBreak/>
        <w:t xml:space="preserve">That this decision adopts direction to the SGIP PAs regarding exploration of a “soft cap” on residential equity budget storage systems only (CESA, CALSSA, Sunrun). </w:t>
      </w:r>
    </w:p>
    <w:p w14:paraId="5D428110" w14:textId="77777777" w:rsidR="00542B86" w:rsidRDefault="00542B86" w:rsidP="00CE14ED">
      <w:pPr>
        <w:pStyle w:val="ALJHeading1"/>
      </w:pPr>
      <w:bookmarkStart w:id="97" w:name="_Toc2523442"/>
      <w:bookmarkStart w:id="98" w:name="_Toc15908110"/>
      <w:r>
        <w:t>Assignment of Proceeding</w:t>
      </w:r>
      <w:bookmarkEnd w:id="97"/>
      <w:bookmarkEnd w:id="98"/>
    </w:p>
    <w:p w14:paraId="5B5E2305" w14:textId="6D2E2DEB" w:rsidR="00E368A2" w:rsidRDefault="001A60F8" w:rsidP="00E368A2">
      <w:pPr>
        <w:pStyle w:val="ALJBodyText"/>
      </w:pPr>
      <w:r>
        <w:t xml:space="preserve">Clifford Rechtschaffen </w:t>
      </w:r>
      <w:r w:rsidR="00B26DB6">
        <w:t xml:space="preserve">is the assigned Commissioner and </w:t>
      </w:r>
      <w:r w:rsidR="00F31F7B">
        <w:t xml:space="preserve">Cathleen A. Fogel </w:t>
      </w:r>
      <w:r w:rsidR="002D456E">
        <w:t xml:space="preserve">is </w:t>
      </w:r>
      <w:r w:rsidR="00B26DB6">
        <w:t xml:space="preserve">the assigned </w:t>
      </w:r>
      <w:r w:rsidR="005E2AA2">
        <w:t>ALJ</w:t>
      </w:r>
      <w:r w:rsidR="00B26DB6">
        <w:t xml:space="preserve"> in this proceeding.</w:t>
      </w:r>
    </w:p>
    <w:p w14:paraId="45725959" w14:textId="77777777" w:rsidR="003871CE" w:rsidRDefault="003871CE" w:rsidP="00CE14ED">
      <w:pPr>
        <w:pStyle w:val="ALJHeading1"/>
        <w:numPr>
          <w:ilvl w:val="0"/>
          <w:numId w:val="0"/>
        </w:numPr>
        <w:ind w:left="360"/>
      </w:pPr>
      <w:bookmarkStart w:id="99" w:name="_Toc2523443"/>
      <w:bookmarkStart w:id="100" w:name="_Toc15908111"/>
      <w:r>
        <w:t>Findings of Fact</w:t>
      </w:r>
      <w:bookmarkEnd w:id="99"/>
      <w:bookmarkEnd w:id="100"/>
    </w:p>
    <w:p w14:paraId="11FCFFB4" w14:textId="09C76094" w:rsidR="00A2345F" w:rsidRDefault="00A2345F" w:rsidP="0012152A">
      <w:pPr>
        <w:pStyle w:val="FindingofFAct"/>
        <w:ind w:firstLine="360"/>
      </w:pPr>
      <w:r>
        <w:t>The Commission established the SGIP equity budget in D.17</w:t>
      </w:r>
      <w:r w:rsidR="00757681">
        <w:noBreakHyphen/>
      </w:r>
      <w:r>
        <w:t>10</w:t>
      </w:r>
      <w:r w:rsidR="00757681">
        <w:noBreakHyphen/>
      </w:r>
      <w:r>
        <w:t>004 but as of April 2019</w:t>
      </w:r>
      <w:r w:rsidR="004457B1">
        <w:t xml:space="preserve"> no developer had applied for equity budget incentives and none had been approved. </w:t>
      </w:r>
      <w:r>
        <w:t xml:space="preserve"> </w:t>
      </w:r>
    </w:p>
    <w:p w14:paraId="1BE5B0F4" w14:textId="21563E6F" w:rsidR="0024310F" w:rsidRDefault="00327386" w:rsidP="0012152A">
      <w:pPr>
        <w:pStyle w:val="FindingofFAct"/>
        <w:ind w:firstLine="360"/>
      </w:pPr>
      <w:r>
        <w:t>T</w:t>
      </w:r>
      <w:r w:rsidRPr="00327386">
        <w:t xml:space="preserve">he largest barrier inhibiting equity budget participation is the lack of upfront capital </w:t>
      </w:r>
      <w:r w:rsidR="00A2345F">
        <w:t>and</w:t>
      </w:r>
      <w:r w:rsidRPr="00327386">
        <w:t xml:space="preserve"> financing available to low</w:t>
      </w:r>
      <w:r w:rsidR="00757681">
        <w:noBreakHyphen/>
      </w:r>
      <w:r w:rsidRPr="00327386">
        <w:t>income customers and, correspondingly, inadequate incentive levels.</w:t>
      </w:r>
    </w:p>
    <w:p w14:paraId="398B3C80" w14:textId="6E3B079C" w:rsidR="00A2345F" w:rsidRDefault="004457B1" w:rsidP="0012152A">
      <w:pPr>
        <w:pStyle w:val="FindingofFAct"/>
        <w:ind w:firstLine="360"/>
      </w:pPr>
      <w:r>
        <w:t xml:space="preserve">Including </w:t>
      </w:r>
      <w:r w:rsidR="00A2345F" w:rsidRPr="00A2345F">
        <w:t xml:space="preserve">California </w:t>
      </w:r>
      <w:r w:rsidR="00CE6BD3">
        <w:t>Indian County</w:t>
      </w:r>
      <w:r w:rsidR="00A2345F">
        <w:t xml:space="preserve">, as defined in </w:t>
      </w:r>
      <w:r w:rsidR="001D4B45">
        <w:t xml:space="preserve">18 </w:t>
      </w:r>
      <w:r w:rsidR="00A2345F">
        <w:t>USC 1151,</w:t>
      </w:r>
      <w:r w:rsidR="00A2345F" w:rsidRPr="00A2345F">
        <w:t xml:space="preserve"> </w:t>
      </w:r>
      <w:r>
        <w:t xml:space="preserve">within the </w:t>
      </w:r>
      <w:r w:rsidR="00900D7F">
        <w:t xml:space="preserve">SGIP </w:t>
      </w:r>
      <w:r>
        <w:t xml:space="preserve">definition of a DAC </w:t>
      </w:r>
      <w:r w:rsidR="00A2345F" w:rsidRPr="00A2345F">
        <w:t>supports statutory and Commission goals of ensuring broad access to SGIP funds for low</w:t>
      </w:r>
      <w:r w:rsidR="00757681">
        <w:noBreakHyphen/>
      </w:r>
      <w:r w:rsidR="00A2345F" w:rsidRPr="00A2345F">
        <w:t xml:space="preserve">income </w:t>
      </w:r>
      <w:r>
        <w:t>and disadvantaged customers</w:t>
      </w:r>
      <w:r w:rsidR="00A2345F">
        <w:t>.</w:t>
      </w:r>
    </w:p>
    <w:p w14:paraId="0C929593" w14:textId="3645AC44" w:rsidR="00A2345F" w:rsidRDefault="004457B1" w:rsidP="0012152A">
      <w:pPr>
        <w:pStyle w:val="FindingofFAct"/>
        <w:ind w:firstLine="360"/>
      </w:pPr>
      <w:r>
        <w:t>N</w:t>
      </w:r>
      <w:r w:rsidR="00A2345F" w:rsidRPr="00A2345F">
        <w:t>on</w:t>
      </w:r>
      <w:r w:rsidR="00757681">
        <w:noBreakHyphen/>
      </w:r>
      <w:r w:rsidR="00A2345F" w:rsidRPr="00A2345F">
        <w:t xml:space="preserve">Indian residences or businesses located on privately owned fee lands within the bounds of California </w:t>
      </w:r>
      <w:r w:rsidR="00CE6BD3">
        <w:t>Indian County</w:t>
      </w:r>
      <w:r w:rsidR="00A2345F" w:rsidRPr="00A2345F">
        <w:t xml:space="preserve"> </w:t>
      </w:r>
      <w:r>
        <w:t xml:space="preserve">should not be permitted to </w:t>
      </w:r>
      <w:r w:rsidR="00A2345F" w:rsidRPr="00A2345F">
        <w:t xml:space="preserve">access SGIP equity budget funds as the occupants or owners of such lands typically are not members of the tribe with jurisdiction over the </w:t>
      </w:r>
      <w:r w:rsidR="00CE6BD3">
        <w:t>Indian County</w:t>
      </w:r>
      <w:r w:rsidR="00A2345F" w:rsidRPr="00A2345F">
        <w:t xml:space="preserve"> and may not be disadvantaged per se.  </w:t>
      </w:r>
    </w:p>
    <w:p w14:paraId="0D994B68" w14:textId="3BA716F5" w:rsidR="0024310F" w:rsidRDefault="00EF555A" w:rsidP="0012152A">
      <w:pPr>
        <w:pStyle w:val="FindingofFAct"/>
        <w:ind w:firstLine="360"/>
      </w:pPr>
      <w:r>
        <w:t>Expand</w:t>
      </w:r>
      <w:r w:rsidR="00355459">
        <w:t>ing</w:t>
      </w:r>
      <w:r>
        <w:t xml:space="preserve"> the definition of non</w:t>
      </w:r>
      <w:r w:rsidR="00757681">
        <w:noBreakHyphen/>
      </w:r>
      <w:r>
        <w:t xml:space="preserve">residential </w:t>
      </w:r>
      <w:r w:rsidR="00823AA5">
        <w:t xml:space="preserve">equity budget </w:t>
      </w:r>
      <w:r>
        <w:t>customers to include</w:t>
      </w:r>
      <w:r w:rsidR="00823AA5">
        <w:t xml:space="preserve"> </w:t>
      </w:r>
      <w:r>
        <w:t>public agencies for which at least 50 percent of census tracts served are DACs</w:t>
      </w:r>
      <w:r w:rsidR="00823AA5">
        <w:t xml:space="preserve"> </w:t>
      </w:r>
      <w:r>
        <w:t xml:space="preserve">will increase participation in the SGIP equity budget but ensure that most of the benefits from these incentives continue to flow to </w:t>
      </w:r>
      <w:r w:rsidR="00CD41CA">
        <w:t>DACs.</w:t>
      </w:r>
    </w:p>
    <w:p w14:paraId="7527C692" w14:textId="04024A02" w:rsidR="0024310F" w:rsidRDefault="009A10D4" w:rsidP="0012152A">
      <w:pPr>
        <w:pStyle w:val="FindingofFAct"/>
        <w:ind w:firstLine="360"/>
      </w:pPr>
      <w:r w:rsidRPr="009A10D4">
        <w:lastRenderedPageBreak/>
        <w:t xml:space="preserve">Allowing customers that </w:t>
      </w:r>
      <w:r w:rsidR="00355459">
        <w:t>are verified as meeting eligibility</w:t>
      </w:r>
      <w:r w:rsidRPr="009A10D4">
        <w:t xml:space="preserve"> criteria for </w:t>
      </w:r>
      <w:r w:rsidR="00355459">
        <w:t xml:space="preserve">the </w:t>
      </w:r>
      <w:r w:rsidR="00A56690">
        <w:t xml:space="preserve">MASH, </w:t>
      </w:r>
      <w:r w:rsidRPr="009A10D4">
        <w:t>SASH, DAC</w:t>
      </w:r>
      <w:r w:rsidR="00757681">
        <w:noBreakHyphen/>
      </w:r>
      <w:r w:rsidRPr="009A10D4">
        <w:t xml:space="preserve">SASH or SOMAH </w:t>
      </w:r>
      <w:r w:rsidR="00355459">
        <w:t xml:space="preserve">programs </w:t>
      </w:r>
      <w:r w:rsidRPr="009A10D4">
        <w:t>to simultaneously be approved as eligible for SGIP equity budget funds will accelerate subscriptions by allowing for streamlined project approval and easier developer identification of interested customers</w:t>
      </w:r>
      <w:r w:rsidR="00BE47E4">
        <w:t xml:space="preserve"> and will </w:t>
      </w:r>
      <w:r w:rsidRPr="009A10D4">
        <w:t>help avoid unnecessary delays to low</w:t>
      </w:r>
      <w:r w:rsidR="00757681">
        <w:noBreakHyphen/>
      </w:r>
      <w:r w:rsidRPr="009A10D4">
        <w:t>income customers</w:t>
      </w:r>
      <w:r w:rsidR="00BE47E4">
        <w:t>.</w:t>
      </w:r>
    </w:p>
    <w:p w14:paraId="6E194D97" w14:textId="471E5F00" w:rsidR="00206D6A" w:rsidRDefault="00206D6A" w:rsidP="0012152A">
      <w:pPr>
        <w:pStyle w:val="FindingofFAct"/>
        <w:ind w:firstLine="360"/>
      </w:pPr>
      <w:r w:rsidRPr="000B4C27">
        <w:t xml:space="preserve">The 2017 and 2018 </w:t>
      </w:r>
      <w:r>
        <w:t xml:space="preserve">California </w:t>
      </w:r>
      <w:r w:rsidRPr="000B4C27">
        <w:t xml:space="preserve">wildfires and resulting increases in the expected frequency of PSPS events has altered the landscape of customers’ storage needs.  </w:t>
      </w:r>
    </w:p>
    <w:p w14:paraId="20D77101" w14:textId="0416FD79" w:rsidR="00932F32" w:rsidRDefault="00932F32" w:rsidP="0012152A">
      <w:pPr>
        <w:pStyle w:val="FindingofFAct"/>
        <w:ind w:firstLine="360"/>
      </w:pPr>
      <w:r w:rsidRPr="00932F32">
        <w:t xml:space="preserve">Section 379.6(b)(3) requires the Commission to ensure that energy storage systems that receive SGIP incentives reduce GHG emissions.  </w:t>
      </w:r>
    </w:p>
    <w:p w14:paraId="6D18DE69" w14:textId="61326133" w:rsidR="00206D6A" w:rsidRDefault="00206D6A" w:rsidP="0012152A">
      <w:pPr>
        <w:pStyle w:val="FindingofFAct"/>
        <w:ind w:firstLine="360"/>
      </w:pPr>
      <w:r w:rsidRPr="000B4C27">
        <w:t>SGIP incentives can be utilized to support storage systems that provide the additional resiliency benefit of longer</w:t>
      </w:r>
      <w:r w:rsidR="002D456E">
        <w:t xml:space="preserve"> duration </w:t>
      </w:r>
      <w:r w:rsidRPr="000B4C27">
        <w:t>backup power</w:t>
      </w:r>
      <w:r w:rsidR="00932F32">
        <w:t xml:space="preserve"> but r</w:t>
      </w:r>
      <w:r w:rsidR="00932F32" w:rsidRPr="00932F32">
        <w:t xml:space="preserve">esidential </w:t>
      </w:r>
      <w:r w:rsidR="00932F32">
        <w:t>and non</w:t>
      </w:r>
      <w:r w:rsidR="00757681">
        <w:noBreakHyphen/>
      </w:r>
      <w:r w:rsidR="00932F32">
        <w:t xml:space="preserve">residential </w:t>
      </w:r>
      <w:r w:rsidR="00F8686A">
        <w:t xml:space="preserve">storage projects </w:t>
      </w:r>
      <w:r w:rsidR="00932F32" w:rsidRPr="00932F32">
        <w:t xml:space="preserve">using equity </w:t>
      </w:r>
      <w:r w:rsidR="00F8686A">
        <w:t xml:space="preserve">resiliency and equity budget incentives must </w:t>
      </w:r>
      <w:r w:rsidR="00932F32" w:rsidRPr="00932F32">
        <w:t xml:space="preserve">cycle a minimum of 52 </w:t>
      </w:r>
      <w:r w:rsidR="00932F32">
        <w:t xml:space="preserve">and 104 </w:t>
      </w:r>
      <w:r w:rsidR="00932F32" w:rsidRPr="00932F32">
        <w:t xml:space="preserve">times per year </w:t>
      </w:r>
      <w:r w:rsidR="00932F32">
        <w:t xml:space="preserve">respectively </w:t>
      </w:r>
      <w:r w:rsidR="00932F32" w:rsidRPr="00932F32">
        <w:t>and must meet the GHG emission reduction requirements approved in D.19</w:t>
      </w:r>
      <w:r w:rsidR="00757681">
        <w:noBreakHyphen/>
      </w:r>
      <w:r w:rsidR="00932F32" w:rsidRPr="00932F32">
        <w:t>08</w:t>
      </w:r>
      <w:r w:rsidR="00757681">
        <w:noBreakHyphen/>
      </w:r>
      <w:r w:rsidR="00932F32" w:rsidRPr="00932F32">
        <w:t>001.</w:t>
      </w:r>
    </w:p>
    <w:p w14:paraId="341DD6E6" w14:textId="7A342492" w:rsidR="0024310F" w:rsidRDefault="00F17E41" w:rsidP="0012152A">
      <w:pPr>
        <w:pStyle w:val="FindingofFAct"/>
        <w:ind w:firstLine="230"/>
      </w:pPr>
      <w:r w:rsidRPr="00F17E41">
        <w:t xml:space="preserve">Identifying customers with critical resiliency needs for SGIP purposes enables the Commission to target limited equity budget incentive funds to the most vulnerable customers and those that provide critical </w:t>
      </w:r>
      <w:r w:rsidR="00355459">
        <w:t>facilities or infrastructure.</w:t>
      </w:r>
    </w:p>
    <w:p w14:paraId="648E4208" w14:textId="608DD2BD" w:rsidR="002A33C6" w:rsidRDefault="002A33C6" w:rsidP="0012152A">
      <w:pPr>
        <w:pStyle w:val="FindingofFAct"/>
        <w:ind w:firstLine="230"/>
      </w:pPr>
      <w:r>
        <w:t xml:space="preserve">Limiting the </w:t>
      </w:r>
      <w:r w:rsidR="00843080">
        <w:t xml:space="preserve">inclusion of medical baseline customers or customers </w:t>
      </w:r>
      <w:r w:rsidR="00F3683C">
        <w:t>that have notified their utility of a life</w:t>
      </w:r>
      <w:r w:rsidR="00757681">
        <w:noBreakHyphen/>
      </w:r>
      <w:r w:rsidR="00F3683C">
        <w:t xml:space="preserve">threatening illness in the </w:t>
      </w:r>
      <w:r>
        <w:t xml:space="preserve">definition of residential customers with critical resiliency needs to customers living in a </w:t>
      </w:r>
      <w:r w:rsidRPr="002A33C6">
        <w:t>single family home subject to resale restrictions or in mult</w:t>
      </w:r>
      <w:r>
        <w:t xml:space="preserve">ifamily deed restricted housing would be too restrictive and would excessively limit participation in the new </w:t>
      </w:r>
      <w:r w:rsidR="005F3AF5">
        <w:t>equity resiliency budget</w:t>
      </w:r>
      <w:r>
        <w:t xml:space="preserve">. </w:t>
      </w:r>
    </w:p>
    <w:p w14:paraId="1094BFF9" w14:textId="5E933626" w:rsidR="005614B8" w:rsidRDefault="005614B8" w:rsidP="0012152A">
      <w:pPr>
        <w:pStyle w:val="FindingofFAct"/>
        <w:ind w:firstLine="230"/>
      </w:pPr>
      <w:r>
        <w:lastRenderedPageBreak/>
        <w:t>Tier 3 and Tier 2 HFTDs have previously been identified by CAL FIRE and the Commission as areas of the state that are most likely to be impacted by wildfires.</w:t>
      </w:r>
    </w:p>
    <w:p w14:paraId="7802F5F2" w14:textId="77345DEC" w:rsidR="002A33C6" w:rsidRDefault="002A33C6" w:rsidP="0012152A">
      <w:pPr>
        <w:pStyle w:val="FindingofFAct"/>
        <w:ind w:firstLine="230"/>
      </w:pPr>
      <w:r>
        <w:t>N</w:t>
      </w:r>
      <w:r w:rsidRPr="002A33C6">
        <w:t>on</w:t>
      </w:r>
      <w:r w:rsidR="00757681">
        <w:noBreakHyphen/>
      </w:r>
      <w:r w:rsidRPr="002A33C6">
        <w:t xml:space="preserve">residential customers located in Tier 2 HFTDs </w:t>
      </w:r>
      <w:r>
        <w:t>may provide</w:t>
      </w:r>
      <w:r w:rsidRPr="002A33C6">
        <w:t xml:space="preserve"> emergency response services and/or critical infrastructure to equity budget</w:t>
      </w:r>
      <w:r w:rsidR="00757681">
        <w:noBreakHyphen/>
      </w:r>
      <w:r w:rsidRPr="002A33C6">
        <w:t xml:space="preserve">eligible communities in </w:t>
      </w:r>
      <w:r w:rsidR="00A56690">
        <w:t xml:space="preserve">both </w:t>
      </w:r>
      <w:r w:rsidRPr="002A33C6">
        <w:t xml:space="preserve">Tier 3 </w:t>
      </w:r>
      <w:r w:rsidR="00A56690">
        <w:t xml:space="preserve">and Tier 2 </w:t>
      </w:r>
      <w:r w:rsidRPr="002A33C6">
        <w:t>HFTDs, particularly in sparsely populated counties.</w:t>
      </w:r>
    </w:p>
    <w:p w14:paraId="2C43A234" w14:textId="4C3A03AA" w:rsidR="007C4991" w:rsidRDefault="007C4991" w:rsidP="0012152A">
      <w:pPr>
        <w:pStyle w:val="FindingofFAct"/>
        <w:ind w:firstLine="230"/>
      </w:pPr>
      <w:r>
        <w:t>A two</w:t>
      </w:r>
      <w:r w:rsidR="00757681">
        <w:noBreakHyphen/>
      </w:r>
      <w:r>
        <w:t>hour battery that is operated to provide customer, grid and GHG emission reduction benefits can fully charge in a relatively short period of time after a customer receives notice of a potential PSPS and be ready to operate in backup mode, as can longer duration batteries, since potential PSPS events are generally announced a day in advance.</w:t>
      </w:r>
    </w:p>
    <w:p w14:paraId="3D6BEBCD" w14:textId="58606174" w:rsidR="007C4991" w:rsidRDefault="007C4991" w:rsidP="0012152A">
      <w:pPr>
        <w:pStyle w:val="FindingofFAct"/>
        <w:ind w:firstLine="230"/>
      </w:pPr>
      <w:r w:rsidRPr="001148A5">
        <w:t xml:space="preserve">Modifying the incentive </w:t>
      </w:r>
      <w:r>
        <w:t>step</w:t>
      </w:r>
      <w:r w:rsidR="00757681">
        <w:noBreakHyphen/>
      </w:r>
      <w:r>
        <w:t>down</w:t>
      </w:r>
      <w:r w:rsidRPr="001148A5">
        <w:t xml:space="preserve"> structure for </w:t>
      </w:r>
      <w:r w:rsidR="006D4367">
        <w:t xml:space="preserve">equity budget </w:t>
      </w:r>
      <w:r w:rsidRPr="001148A5">
        <w:t xml:space="preserve">projects </w:t>
      </w:r>
      <w:r>
        <w:t xml:space="preserve">with more than a </w:t>
      </w:r>
      <w:r w:rsidR="002D456E">
        <w:t xml:space="preserve">two and </w:t>
      </w:r>
      <w:r>
        <w:t>four</w:t>
      </w:r>
      <w:r w:rsidR="00757681">
        <w:noBreakHyphen/>
      </w:r>
      <w:r>
        <w:t xml:space="preserve">hour discharge duration </w:t>
      </w:r>
      <w:r w:rsidRPr="001148A5">
        <w:t>support</w:t>
      </w:r>
      <w:r w:rsidR="002D456E">
        <w:t>s</w:t>
      </w:r>
      <w:r w:rsidRPr="001148A5">
        <w:t xml:space="preserve"> </w:t>
      </w:r>
      <w:r>
        <w:t xml:space="preserve">the </w:t>
      </w:r>
      <w:r w:rsidRPr="001148A5">
        <w:t>use of SGIP incentives for resiliency purposes without over</w:t>
      </w:r>
      <w:r>
        <w:t xml:space="preserve"> subsidizing </w:t>
      </w:r>
      <w:r w:rsidR="002D456E">
        <w:t xml:space="preserve">larger </w:t>
      </w:r>
      <w:r>
        <w:t>projects that</w:t>
      </w:r>
      <w:r w:rsidRPr="001148A5">
        <w:t xml:space="preserve"> should be able to benefit from economies of scale</w:t>
      </w:r>
      <w:r>
        <w:t>.</w:t>
      </w:r>
    </w:p>
    <w:p w14:paraId="54960729" w14:textId="50912A64" w:rsidR="00B0696E" w:rsidRDefault="002D456E" w:rsidP="0012152A">
      <w:pPr>
        <w:pStyle w:val="FindingofFAct"/>
        <w:ind w:firstLine="230"/>
      </w:pPr>
      <w:r>
        <w:t xml:space="preserve">With a $0.50/Wh incentive, a </w:t>
      </w:r>
      <w:r w:rsidR="00B0696E" w:rsidRPr="00B0696E">
        <w:t>13.2 kWh, two</w:t>
      </w:r>
      <w:r w:rsidR="00757681">
        <w:noBreakHyphen/>
      </w:r>
      <w:r w:rsidR="00B0696E" w:rsidRPr="00B0696E">
        <w:t>hour residential storage system</w:t>
      </w:r>
      <w:r w:rsidR="00B0696E">
        <w:t xml:space="preserve"> </w:t>
      </w:r>
      <w:r w:rsidR="00B0696E" w:rsidRPr="00B0696E">
        <w:t xml:space="preserve">would receive a </w:t>
      </w:r>
      <w:r>
        <w:t xml:space="preserve">total subsidy of about </w:t>
      </w:r>
      <w:r w:rsidR="006972B5">
        <w:t>$6,600—</w:t>
      </w:r>
      <w:r>
        <w:t xml:space="preserve">half </w:t>
      </w:r>
      <w:r w:rsidR="00B0696E" w:rsidRPr="00B0696E">
        <w:t xml:space="preserve">of the median $13,500 cost of a residential system </w:t>
      </w:r>
      <w:r w:rsidR="00B0696E">
        <w:t xml:space="preserve">as identified </w:t>
      </w:r>
      <w:r>
        <w:t>i</w:t>
      </w:r>
      <w:r w:rsidR="00B0696E">
        <w:t>n the SGIP project database, whereas the same system receiving a</w:t>
      </w:r>
      <w:r w:rsidR="00B0696E" w:rsidRPr="00B0696E">
        <w:t xml:space="preserve"> $0.85/Wh</w:t>
      </w:r>
      <w:r w:rsidR="00B0696E">
        <w:t xml:space="preserve"> incentive </w:t>
      </w:r>
      <w:r w:rsidR="00B0696E" w:rsidRPr="00B0696E">
        <w:t xml:space="preserve">would receive </w:t>
      </w:r>
      <w:r>
        <w:t xml:space="preserve">a total subsidy of about </w:t>
      </w:r>
      <w:r w:rsidR="00B0696E" w:rsidRPr="00B0696E">
        <w:t>$11,200</w:t>
      </w:r>
      <w:r>
        <w:t xml:space="preserve">, </w:t>
      </w:r>
      <w:r w:rsidR="00B0696E" w:rsidRPr="00B0696E">
        <w:t xml:space="preserve">or 83 percent of </w:t>
      </w:r>
      <w:r w:rsidR="00B0696E">
        <w:t xml:space="preserve">the system’s </w:t>
      </w:r>
      <w:r w:rsidR="00B0696E" w:rsidRPr="00B0696E">
        <w:t>total eligible cost</w:t>
      </w:r>
      <w:r w:rsidR="004820E7">
        <w:t>,</w:t>
      </w:r>
      <w:r w:rsidR="004820E7" w:rsidRPr="004820E7">
        <w:t xml:space="preserve"> </w:t>
      </w:r>
      <w:r w:rsidR="004820E7">
        <w:t>and at $1.00/Wh, the total incentive would equal $13,200 or 98</w:t>
      </w:r>
      <w:r w:rsidR="005111DC">
        <w:t xml:space="preserve"> percent</w:t>
      </w:r>
      <w:r w:rsidR="004820E7">
        <w:t xml:space="preserve"> of the system’s total eligible cost.</w:t>
      </w:r>
      <w:r w:rsidR="001C0404" w:rsidRPr="001C0404">
        <w:t xml:space="preserve"> </w:t>
      </w:r>
    </w:p>
    <w:p w14:paraId="4B3F0D7A" w14:textId="745AD292" w:rsidR="001C0404" w:rsidRDefault="001C0404" w:rsidP="0012152A">
      <w:pPr>
        <w:pStyle w:val="FindingofFAct"/>
        <w:ind w:firstLine="230"/>
      </w:pPr>
      <w:r w:rsidRPr="001C0404">
        <w:t xml:space="preserve"> </w:t>
      </w:r>
      <w:r w:rsidR="002D456E">
        <w:t>With a $0.35/Wh incentive,</w:t>
      </w:r>
      <w:r w:rsidR="00B0696E">
        <w:t xml:space="preserve"> </w:t>
      </w:r>
      <w:r w:rsidR="00532ACF">
        <w:t xml:space="preserve">an </w:t>
      </w:r>
      <w:r w:rsidR="00B0696E">
        <w:t xml:space="preserve">average </w:t>
      </w:r>
      <w:r w:rsidR="00532ACF">
        <w:t xml:space="preserve">13.5 kWh five kW </w:t>
      </w:r>
      <w:r w:rsidR="00B0696E">
        <w:t xml:space="preserve">Tesla Powerwall system </w:t>
      </w:r>
      <w:r w:rsidR="002D456E">
        <w:t>that costs about $9</w:t>
      </w:r>
      <w:r w:rsidR="005111DC">
        <w:t>,</w:t>
      </w:r>
      <w:r w:rsidR="002D456E">
        <w:t>800</w:t>
      </w:r>
      <w:r w:rsidR="00B0696E">
        <w:t xml:space="preserve"> would receive </w:t>
      </w:r>
      <w:r w:rsidR="00532ACF">
        <w:t xml:space="preserve">a total subsidy of </w:t>
      </w:r>
      <w:r w:rsidR="00B0696E">
        <w:t>about $4,725</w:t>
      </w:r>
      <w:r w:rsidR="00532ACF">
        <w:t>, whereas a</w:t>
      </w:r>
      <w:r w:rsidR="00B0696E">
        <w:t xml:space="preserve"> $0.85/Wh incentive </w:t>
      </w:r>
      <w:r w:rsidR="00532ACF">
        <w:t xml:space="preserve">would fully subsidize the system. </w:t>
      </w:r>
    </w:p>
    <w:p w14:paraId="39810629" w14:textId="330D3F4B" w:rsidR="005614B8" w:rsidRDefault="005614B8" w:rsidP="0012152A">
      <w:pPr>
        <w:pStyle w:val="FindingofFAct"/>
        <w:ind w:firstLine="230"/>
      </w:pPr>
      <w:r>
        <w:lastRenderedPageBreak/>
        <w:t xml:space="preserve">The risk of setting equity resiliency budget, equity budget and SJV pilot incentives too low to trigger rapid participation by eligible customers outweighs the risk that developers will inflate costs. </w:t>
      </w:r>
    </w:p>
    <w:p w14:paraId="3AAA2B7F" w14:textId="03BFB5B8" w:rsidR="00611B00" w:rsidRDefault="003852C4" w:rsidP="0012152A">
      <w:pPr>
        <w:pStyle w:val="FindingofFAct"/>
        <w:ind w:firstLine="230"/>
      </w:pPr>
      <w:r>
        <w:t xml:space="preserve">Providing an </w:t>
      </w:r>
      <w:r w:rsidR="00611B00">
        <w:t xml:space="preserve">equity resiliency </w:t>
      </w:r>
      <w:r w:rsidR="00E631E1" w:rsidRPr="00E631E1">
        <w:t>incentive of $</w:t>
      </w:r>
      <w:r w:rsidR="005614B8">
        <w:t>1.00</w:t>
      </w:r>
      <w:r w:rsidR="00E631E1" w:rsidRPr="00E631E1">
        <w:t xml:space="preserve">/Wh for equity budget customers with critical resiliency needs </w:t>
      </w:r>
      <w:r w:rsidR="00611B00">
        <w:t>increase</w:t>
      </w:r>
      <w:r w:rsidR="000111D7">
        <w:t>s</w:t>
      </w:r>
      <w:r w:rsidR="00611B00">
        <w:t xml:space="preserve"> the accessibility of SGIP incentives for </w:t>
      </w:r>
      <w:r w:rsidR="00611B00" w:rsidRPr="00A30D6D">
        <w:t>the most vulnerable customers</w:t>
      </w:r>
      <w:r w:rsidR="00611B00">
        <w:t xml:space="preserve"> and for those providing critical facilities or infrastructure</w:t>
      </w:r>
      <w:r w:rsidR="00B0696E">
        <w:t xml:space="preserve"> </w:t>
      </w:r>
      <w:r w:rsidR="005614B8">
        <w:t xml:space="preserve">as this level is likely to fully or nearly fully subsidize installation of a storage </w:t>
      </w:r>
      <w:r w:rsidR="000111D7">
        <w:t xml:space="preserve">system. </w:t>
      </w:r>
    </w:p>
    <w:p w14:paraId="04808E1C" w14:textId="782957B0" w:rsidR="00611B00" w:rsidRDefault="00611B00" w:rsidP="0012152A">
      <w:pPr>
        <w:pStyle w:val="FindingofFAct"/>
        <w:ind w:firstLine="230"/>
      </w:pPr>
      <w:r>
        <w:t xml:space="preserve">Providing an equity resiliency </w:t>
      </w:r>
      <w:r w:rsidRPr="00E631E1">
        <w:t>incentive of $</w:t>
      </w:r>
      <w:r w:rsidR="005614B8">
        <w:t>1.00</w:t>
      </w:r>
      <w:r w:rsidRPr="00E631E1">
        <w:t xml:space="preserve">/Wh for </w:t>
      </w:r>
      <w:r>
        <w:t>HFTD SASH/DAC</w:t>
      </w:r>
      <w:r w:rsidR="00757681">
        <w:noBreakHyphen/>
      </w:r>
      <w:r>
        <w:t xml:space="preserve">SASH customers </w:t>
      </w:r>
      <w:r w:rsidRPr="00611B00">
        <w:t xml:space="preserve">increases </w:t>
      </w:r>
      <w:r w:rsidR="000111D7">
        <w:t xml:space="preserve">the accessibility of SGIP incentives for these customers </w:t>
      </w:r>
      <w:r w:rsidR="005614B8">
        <w:t xml:space="preserve">because this level is likely to fully or nearly fully subsidize installation of a storage system </w:t>
      </w:r>
      <w:r w:rsidR="006972B5">
        <w:t>and allows</w:t>
      </w:r>
      <w:r w:rsidR="00532ACF">
        <w:t xml:space="preserve"> them </w:t>
      </w:r>
      <w:r w:rsidR="000111D7">
        <w:t xml:space="preserve">greater access to </w:t>
      </w:r>
      <w:r w:rsidRPr="00611B00">
        <w:t>resiliency benefits</w:t>
      </w:r>
      <w:r w:rsidR="005614B8">
        <w:t xml:space="preserve">, </w:t>
      </w:r>
      <w:r w:rsidRPr="00611B00">
        <w:t>because correctly configured storage</w:t>
      </w:r>
      <w:r w:rsidR="00757681">
        <w:noBreakHyphen/>
      </w:r>
      <w:r w:rsidRPr="00611B00">
        <w:t>plus</w:t>
      </w:r>
      <w:r w:rsidR="00757681">
        <w:noBreakHyphen/>
      </w:r>
      <w:r w:rsidRPr="00611B00">
        <w:t xml:space="preserve">solar system </w:t>
      </w:r>
      <w:r w:rsidR="000111D7">
        <w:t xml:space="preserve">can </w:t>
      </w:r>
      <w:r w:rsidRPr="00611B00">
        <w:t>provide multi</w:t>
      </w:r>
      <w:r w:rsidR="00757681">
        <w:noBreakHyphen/>
      </w:r>
      <w:r w:rsidRPr="00611B00">
        <w:t>day, multi</w:t>
      </w:r>
      <w:r w:rsidR="00757681">
        <w:noBreakHyphen/>
      </w:r>
      <w:r w:rsidRPr="00611B00">
        <w:t>hour backup electricity for critical loads</w:t>
      </w:r>
      <w:r>
        <w:t>.</w:t>
      </w:r>
    </w:p>
    <w:p w14:paraId="27E0E74B" w14:textId="6515E868" w:rsidR="000231F2" w:rsidRDefault="00611B00" w:rsidP="0012152A">
      <w:pPr>
        <w:pStyle w:val="FindingofFAct"/>
        <w:ind w:firstLine="230"/>
      </w:pPr>
      <w:r w:rsidRPr="00611B00">
        <w:t>Providing an equity resiliency incentive of $</w:t>
      </w:r>
      <w:r w:rsidR="005614B8">
        <w:t>1.00</w:t>
      </w:r>
      <w:r w:rsidRPr="00611B00">
        <w:t xml:space="preserve">/Wh for </w:t>
      </w:r>
      <w:r w:rsidRPr="00E631E1">
        <w:t xml:space="preserve">equity budget customers with critical resiliency needs </w:t>
      </w:r>
      <w:r>
        <w:t xml:space="preserve">and </w:t>
      </w:r>
      <w:r w:rsidRPr="00611B00">
        <w:t>HFTD SASH/DAC</w:t>
      </w:r>
      <w:r w:rsidR="00757681">
        <w:noBreakHyphen/>
      </w:r>
      <w:r w:rsidRPr="00611B00">
        <w:t xml:space="preserve">SASH </w:t>
      </w:r>
      <w:r>
        <w:t xml:space="preserve">customers </w:t>
      </w:r>
      <w:r w:rsidR="00355459">
        <w:t>ad</w:t>
      </w:r>
      <w:r w:rsidR="0077307B">
        <w:t xml:space="preserve">dresses the key barrier of lack of access to capital </w:t>
      </w:r>
      <w:r w:rsidR="00355459">
        <w:t>and</w:t>
      </w:r>
      <w:r w:rsidR="0077307B">
        <w:t xml:space="preserve"> financing by low</w:t>
      </w:r>
      <w:r w:rsidR="00757681">
        <w:noBreakHyphen/>
      </w:r>
      <w:r w:rsidR="0077307B">
        <w:t xml:space="preserve">income </w:t>
      </w:r>
      <w:r w:rsidR="006972B5">
        <w:t xml:space="preserve">and disadvantaged </w:t>
      </w:r>
      <w:r w:rsidR="0077307B">
        <w:t>customers</w:t>
      </w:r>
      <w:r w:rsidR="005614B8">
        <w:t xml:space="preserve"> because this level is likely to fully or nearly fully subsidize installation of a storage system</w:t>
      </w:r>
      <w:r w:rsidR="000111D7">
        <w:t>.</w:t>
      </w:r>
    </w:p>
    <w:p w14:paraId="1CB13171" w14:textId="519BC758" w:rsidR="0003453F" w:rsidRDefault="006A7419" w:rsidP="0012152A">
      <w:pPr>
        <w:pStyle w:val="FindingofFAct"/>
        <w:ind w:firstLine="230"/>
      </w:pPr>
      <w:r w:rsidRPr="005B7CE6">
        <w:t xml:space="preserve">Providing incentives </w:t>
      </w:r>
      <w:r>
        <w:t>of $</w:t>
      </w:r>
      <w:r w:rsidR="005614B8">
        <w:t>1.00</w:t>
      </w:r>
      <w:r>
        <w:t>/Wh f</w:t>
      </w:r>
      <w:r w:rsidRPr="005B7CE6">
        <w:t>or</w:t>
      </w:r>
      <w:r>
        <w:t xml:space="preserve"> </w:t>
      </w:r>
      <w:r w:rsidR="00355459">
        <w:t xml:space="preserve">eligible </w:t>
      </w:r>
      <w:r>
        <w:t xml:space="preserve">SJV pilot </w:t>
      </w:r>
      <w:r w:rsidR="00355459">
        <w:t xml:space="preserve">customers </w:t>
      </w:r>
      <w:r w:rsidR="00BF3A97">
        <w:t>addresses the barrier o</w:t>
      </w:r>
      <w:r w:rsidR="006972B5">
        <w:t>f lack of access to financing and</w:t>
      </w:r>
      <w:r w:rsidR="00BF3A97">
        <w:t xml:space="preserve"> capital, </w:t>
      </w:r>
      <w:r w:rsidR="00653B72">
        <w:t>allow</w:t>
      </w:r>
      <w:r w:rsidR="00355459">
        <w:t>s</w:t>
      </w:r>
      <w:r w:rsidR="00653B72">
        <w:t xml:space="preserve"> the pilot to assess the impacts of </w:t>
      </w:r>
      <w:r w:rsidR="003C3BC4">
        <w:t>deploying multiple demand side technologies in a clustered location</w:t>
      </w:r>
      <w:r w:rsidR="00355459">
        <w:t xml:space="preserve">, is consistent with the </w:t>
      </w:r>
      <w:r w:rsidR="003C3BC4">
        <w:t>SGIP</w:t>
      </w:r>
      <w:r w:rsidR="00355459">
        <w:t xml:space="preserve">’s environmental and grid services goals, and supports the SJV pilot </w:t>
      </w:r>
      <w:r w:rsidR="006B54E2">
        <w:t xml:space="preserve">objectives, including </w:t>
      </w:r>
      <w:r w:rsidR="000111D7">
        <w:t xml:space="preserve">proving affordable energy options and </w:t>
      </w:r>
      <w:r w:rsidR="00355459">
        <w:t xml:space="preserve">assessing the feasibility of scaling </w:t>
      </w:r>
      <w:r w:rsidR="000111D7">
        <w:t xml:space="preserve">such </w:t>
      </w:r>
      <w:r w:rsidR="00355459">
        <w:t xml:space="preserve">options to all SJV DACs. </w:t>
      </w:r>
    </w:p>
    <w:p w14:paraId="74BAC66E" w14:textId="603B5A80" w:rsidR="00355459" w:rsidRDefault="00355459" w:rsidP="0012152A">
      <w:pPr>
        <w:pStyle w:val="FindingofFAct"/>
        <w:ind w:firstLine="230"/>
      </w:pPr>
      <w:r w:rsidRPr="005B7CE6">
        <w:lastRenderedPageBreak/>
        <w:t xml:space="preserve">Providing incentives </w:t>
      </w:r>
      <w:r>
        <w:t>of $0.</w:t>
      </w:r>
      <w:r w:rsidR="005614B8">
        <w:t>8</w:t>
      </w:r>
      <w:r>
        <w:t>5/Wh f</w:t>
      </w:r>
      <w:r w:rsidRPr="005B7CE6">
        <w:t>or equity budget customers</w:t>
      </w:r>
      <w:r w:rsidR="00BF3A97">
        <w:t xml:space="preserve"> other than those eligible for the equity resiliency or SJV pilot </w:t>
      </w:r>
      <w:r w:rsidR="00611B00">
        <w:t>incentives</w:t>
      </w:r>
      <w:r w:rsidR="00BF3A97">
        <w:t xml:space="preserve"> </w:t>
      </w:r>
      <w:r w:rsidR="00072163">
        <w:t xml:space="preserve">increases </w:t>
      </w:r>
      <w:r w:rsidR="00072163" w:rsidRPr="00072163">
        <w:t xml:space="preserve">the </w:t>
      </w:r>
      <w:r w:rsidR="00BB3258">
        <w:t xml:space="preserve">benefits provided </w:t>
      </w:r>
      <w:r w:rsidR="004150A1">
        <w:t>by</w:t>
      </w:r>
      <w:r w:rsidR="00E9527B">
        <w:t xml:space="preserve"> </w:t>
      </w:r>
      <w:r w:rsidR="00072163" w:rsidRPr="00072163">
        <w:t xml:space="preserve">equity budget </w:t>
      </w:r>
      <w:r w:rsidR="00072163">
        <w:t>incentives</w:t>
      </w:r>
      <w:r w:rsidR="00806578">
        <w:t xml:space="preserve">, </w:t>
      </w:r>
      <w:r w:rsidR="005614B8">
        <w:t>allows customers faced with higher than average system costs to participate</w:t>
      </w:r>
      <w:r w:rsidR="00072163">
        <w:t xml:space="preserve">, </w:t>
      </w:r>
      <w:r w:rsidR="00BF3A97">
        <w:t xml:space="preserve">and, for customers </w:t>
      </w:r>
      <w:r w:rsidRPr="005B7CE6">
        <w:t>participating in the SOMAH program</w:t>
      </w:r>
      <w:r w:rsidR="00BF3A97">
        <w:t>,</w:t>
      </w:r>
      <w:r w:rsidRPr="005B7CE6">
        <w:t xml:space="preserve"> encourag</w:t>
      </w:r>
      <w:r w:rsidR="00FE4066">
        <w:t>es</w:t>
      </w:r>
      <w:r w:rsidRPr="005B7CE6">
        <w:t xml:space="preserve"> the </w:t>
      </w:r>
      <w:r>
        <w:t xml:space="preserve">installation of </w:t>
      </w:r>
      <w:r w:rsidRPr="005B7CE6">
        <w:t xml:space="preserve">storage </w:t>
      </w:r>
      <w:r>
        <w:t>paired with solar generation</w:t>
      </w:r>
      <w:r w:rsidR="00BF3A97">
        <w:t>.</w:t>
      </w:r>
    </w:p>
    <w:p w14:paraId="305EF5B9" w14:textId="5E96CA41" w:rsidR="002873ED" w:rsidRDefault="002873ED" w:rsidP="0012152A">
      <w:pPr>
        <w:pStyle w:val="FindingofFAct"/>
        <w:ind w:firstLine="230"/>
      </w:pPr>
      <w:r w:rsidRPr="002873ED">
        <w:t>A streamlined proce</w:t>
      </w:r>
      <w:r>
        <w:t>ss to make changes to the SGIP equity b</w:t>
      </w:r>
      <w:r w:rsidRPr="002873ED">
        <w:t>udget</w:t>
      </w:r>
      <w:r>
        <w:t>, equity resiliency budget and/or the SJV set</w:t>
      </w:r>
      <w:r w:rsidR="00757681">
        <w:noBreakHyphen/>
      </w:r>
      <w:r>
        <w:t>aside</w:t>
      </w:r>
      <w:r w:rsidRPr="002873ED">
        <w:t xml:space="preserve"> incentive levels is reasonable and consistent with past Commission actions.</w:t>
      </w:r>
    </w:p>
    <w:p w14:paraId="1A276783" w14:textId="394608E8" w:rsidR="00355459" w:rsidRDefault="00532ACF" w:rsidP="0012152A">
      <w:pPr>
        <w:pStyle w:val="FindingofFAct"/>
        <w:ind w:firstLine="230"/>
      </w:pPr>
      <w:r>
        <w:t>If d</w:t>
      </w:r>
      <w:r w:rsidR="00611B00">
        <w:t xml:space="preserve">evelopers or </w:t>
      </w:r>
      <w:r w:rsidR="00611B00" w:rsidRPr="0098166B">
        <w:t xml:space="preserve">vendors </w:t>
      </w:r>
      <w:r w:rsidR="00611B00">
        <w:t xml:space="preserve">do </w:t>
      </w:r>
      <w:r w:rsidR="00611B00" w:rsidRPr="0098166B">
        <w:t xml:space="preserve">not pass on </w:t>
      </w:r>
      <w:r w:rsidR="00611B00">
        <w:t xml:space="preserve">to customers the cost </w:t>
      </w:r>
      <w:r w:rsidR="00611B00" w:rsidRPr="0098166B">
        <w:t xml:space="preserve">savings </w:t>
      </w:r>
      <w:r w:rsidR="00611B00">
        <w:t xml:space="preserve">enabled by SGIP equity budget </w:t>
      </w:r>
      <w:r w:rsidR="00611B00" w:rsidRPr="0098166B">
        <w:t>incentives</w:t>
      </w:r>
      <w:r w:rsidR="006972B5">
        <w:t xml:space="preserve"> it </w:t>
      </w:r>
      <w:r w:rsidR="00611B00">
        <w:t xml:space="preserve">would </w:t>
      </w:r>
      <w:r w:rsidR="00611B00" w:rsidRPr="0098166B">
        <w:t>under</w:t>
      </w:r>
      <w:r w:rsidR="00611B00">
        <w:t>mine</w:t>
      </w:r>
      <w:r w:rsidR="00611B00" w:rsidRPr="0098166B">
        <w:t xml:space="preserve"> the intent of </w:t>
      </w:r>
      <w:r w:rsidR="000111D7">
        <w:t xml:space="preserve">the Commission for these incentives, which is </w:t>
      </w:r>
      <w:r w:rsidR="00611B00">
        <w:t xml:space="preserve">to </w:t>
      </w:r>
      <w:r w:rsidR="00611B00" w:rsidRPr="0098166B">
        <w:t xml:space="preserve">reduce </w:t>
      </w:r>
      <w:r w:rsidR="000111D7">
        <w:t xml:space="preserve">the </w:t>
      </w:r>
      <w:r w:rsidR="00611B00" w:rsidRPr="0098166B">
        <w:t>customer</w:t>
      </w:r>
      <w:r w:rsidR="000111D7">
        <w:t xml:space="preserve"> costs</w:t>
      </w:r>
      <w:r w:rsidR="00611B00" w:rsidRPr="0098166B">
        <w:t xml:space="preserve"> of installing storage systems</w:t>
      </w:r>
      <w:r w:rsidR="00611B00">
        <w:t xml:space="preserve"> </w:t>
      </w:r>
      <w:r w:rsidR="000111D7">
        <w:t xml:space="preserve">that </w:t>
      </w:r>
      <w:r w:rsidR="00611B00">
        <w:t>provid</w:t>
      </w:r>
      <w:r>
        <w:t>e</w:t>
      </w:r>
      <w:r w:rsidR="00611B00">
        <w:t xml:space="preserve"> customer and grid benefits, stimulate </w:t>
      </w:r>
      <w:r w:rsidR="00611B00" w:rsidRPr="0098166B">
        <w:t xml:space="preserve">increased </w:t>
      </w:r>
      <w:r w:rsidR="00611B00">
        <w:t xml:space="preserve">customer demand, and, in turn </w:t>
      </w:r>
      <w:r>
        <w:t xml:space="preserve">over time </w:t>
      </w:r>
      <w:r w:rsidR="00611B00" w:rsidRPr="0098166B">
        <w:t>lower energy storage manufacturing, installation, and operation</w:t>
      </w:r>
      <w:r w:rsidR="00611B00">
        <w:t xml:space="preserve"> costs. </w:t>
      </w:r>
    </w:p>
    <w:p w14:paraId="019D7586" w14:textId="19D94D9A" w:rsidR="0061511B" w:rsidRDefault="0061511B" w:rsidP="0012152A">
      <w:pPr>
        <w:pStyle w:val="FindingofFAct"/>
        <w:ind w:firstLine="230"/>
      </w:pPr>
      <w:r>
        <w:t>In Resolution 4396</w:t>
      </w:r>
      <w:r w:rsidR="00757681">
        <w:noBreakHyphen/>
      </w:r>
      <w:r>
        <w:t xml:space="preserve">E, the </w:t>
      </w:r>
      <w:r w:rsidRPr="0061511B">
        <w:t>Commission adopted a soft cap on the price of a solar PV system that receive</w:t>
      </w:r>
      <w:r>
        <w:t>s</w:t>
      </w:r>
      <w:r w:rsidRPr="0061511B">
        <w:t xml:space="preserve"> CSI incentives to protect the interests of consumers, bas</w:t>
      </w:r>
      <w:r>
        <w:t xml:space="preserve">ed the </w:t>
      </w:r>
      <w:r w:rsidRPr="0061511B">
        <w:t>cap on publicly available CSI cost data</w:t>
      </w:r>
      <w:r>
        <w:t xml:space="preserve">, </w:t>
      </w:r>
      <w:r w:rsidRPr="0061511B">
        <w:t>and allow</w:t>
      </w:r>
      <w:r>
        <w:t>ed</w:t>
      </w:r>
      <w:r w:rsidRPr="0061511B">
        <w:t xml:space="preserve"> </w:t>
      </w:r>
      <w:r w:rsidR="007A6DAA">
        <w:t xml:space="preserve">costs to exceed the cap if necessary, and </w:t>
      </w:r>
      <w:r w:rsidR="007979AE">
        <w:t xml:space="preserve">the customer signed </w:t>
      </w:r>
      <w:r w:rsidRPr="0061511B">
        <w:t xml:space="preserve">a high cost justification.   </w:t>
      </w:r>
    </w:p>
    <w:p w14:paraId="00759C93" w14:textId="405F6618" w:rsidR="0061511B" w:rsidRDefault="0061511B" w:rsidP="0012152A">
      <w:pPr>
        <w:pStyle w:val="FindingofFAct"/>
        <w:ind w:firstLine="230"/>
      </w:pPr>
      <w:r w:rsidRPr="0061511B">
        <w:t xml:space="preserve">The Commission has considerable public data on SGIP system costs and </w:t>
      </w:r>
      <w:r>
        <w:t xml:space="preserve">is </w:t>
      </w:r>
      <w:r w:rsidRPr="0061511B">
        <w:t xml:space="preserve">interested in exploring </w:t>
      </w:r>
      <w:r>
        <w:t xml:space="preserve">a soft cap option </w:t>
      </w:r>
      <w:r w:rsidR="00072163">
        <w:t xml:space="preserve">for SGIP equity budget </w:t>
      </w:r>
      <w:r w:rsidR="00D36199">
        <w:t xml:space="preserve">residential storage systems similar </w:t>
      </w:r>
      <w:r>
        <w:t>to that adopted for the CSI program</w:t>
      </w:r>
      <w:r w:rsidRPr="0061511B">
        <w:t xml:space="preserve">.  </w:t>
      </w:r>
    </w:p>
    <w:p w14:paraId="4CAE68C2" w14:textId="17E7683D" w:rsidR="00B41893" w:rsidRDefault="00CE2F58" w:rsidP="00BB6CB6">
      <w:pPr>
        <w:pStyle w:val="FindingofFAct"/>
        <w:ind w:firstLine="230"/>
      </w:pPr>
      <w:r>
        <w:t xml:space="preserve">CCA </w:t>
      </w:r>
      <w:r w:rsidR="00B41893">
        <w:t>customers that qualify for the equity resiliency budget incentives have the same right to access these incentives as IOU customers.</w:t>
      </w:r>
    </w:p>
    <w:p w14:paraId="76E2404C" w14:textId="72E6235C" w:rsidR="0024310F" w:rsidRDefault="00CF0526" w:rsidP="0012152A">
      <w:pPr>
        <w:pStyle w:val="FindingofFAct"/>
        <w:ind w:firstLine="230"/>
      </w:pPr>
      <w:r w:rsidRPr="00CF0526">
        <w:lastRenderedPageBreak/>
        <w:t>Eliminating the current equity budget incentive step</w:t>
      </w:r>
      <w:r w:rsidR="00757681">
        <w:noBreakHyphen/>
      </w:r>
      <w:r w:rsidRPr="00CF0526">
        <w:t xml:space="preserve">up structure will </w:t>
      </w:r>
      <w:r w:rsidR="00072163">
        <w:t xml:space="preserve">ensure that developers do not delay initiating equity budget projects while they wait for incentive levels to rise. </w:t>
      </w:r>
    </w:p>
    <w:p w14:paraId="79E274A7" w14:textId="39941FE6" w:rsidR="00072163" w:rsidRDefault="00072163" w:rsidP="0012152A">
      <w:pPr>
        <w:pStyle w:val="FindingofFAct"/>
        <w:ind w:firstLine="230"/>
      </w:pPr>
      <w:r>
        <w:t>De</w:t>
      </w:r>
      <w:r w:rsidR="00757681">
        <w:noBreakHyphen/>
      </w:r>
      <w:r>
        <w:t xml:space="preserve">linking the equity budget from step three of </w:t>
      </w:r>
      <w:r w:rsidR="006972B5">
        <w:t xml:space="preserve">the </w:t>
      </w:r>
      <w:r>
        <w:t>general storage incentives</w:t>
      </w:r>
      <w:r w:rsidR="00611B00">
        <w:t>, as adopted in D.17</w:t>
      </w:r>
      <w:r w:rsidR="00757681">
        <w:noBreakHyphen/>
      </w:r>
      <w:r w:rsidR="00611B00">
        <w:t>10</w:t>
      </w:r>
      <w:r w:rsidR="00757681">
        <w:noBreakHyphen/>
      </w:r>
      <w:r w:rsidR="00611B00">
        <w:t xml:space="preserve">004, </w:t>
      </w:r>
      <w:r>
        <w:t>will eliminate u</w:t>
      </w:r>
      <w:r w:rsidRPr="00072163">
        <w:t>nnecessary barriers to participation</w:t>
      </w:r>
      <w:r w:rsidR="00611B00">
        <w:t xml:space="preserve"> in the equity budget</w:t>
      </w:r>
      <w:r w:rsidRPr="00072163">
        <w:t xml:space="preserve"> in PG&amp;E service territory</w:t>
      </w:r>
      <w:r w:rsidR="00611B00">
        <w:t>.</w:t>
      </w:r>
    </w:p>
    <w:p w14:paraId="23319B96" w14:textId="2396B7C4" w:rsidR="004457B1" w:rsidRDefault="004457B1" w:rsidP="0012152A">
      <w:pPr>
        <w:pStyle w:val="FindingofFAct"/>
        <w:ind w:firstLine="230"/>
      </w:pPr>
      <w:r>
        <w:t>E</w:t>
      </w:r>
      <w:r w:rsidRPr="00E84B0A">
        <w:t xml:space="preserve">nergy storage system installation practices </w:t>
      </w:r>
      <w:r>
        <w:t xml:space="preserve">must </w:t>
      </w:r>
      <w:r w:rsidRPr="00E84B0A">
        <w:t xml:space="preserve">comply with applicable AHJ code or permitting requirements </w:t>
      </w:r>
      <w:r>
        <w:t xml:space="preserve">and </w:t>
      </w:r>
      <w:r w:rsidR="00490613">
        <w:t xml:space="preserve">the California </w:t>
      </w:r>
      <w:r w:rsidRPr="00E84B0A">
        <w:t>Electrical Code</w:t>
      </w:r>
      <w:r>
        <w:t xml:space="preserve"> and, for </w:t>
      </w:r>
      <w:r w:rsidRPr="00E84B0A">
        <w:t>storage systems larger than 20 kW</w:t>
      </w:r>
      <w:r>
        <w:t xml:space="preserve">, must also </w:t>
      </w:r>
      <w:r w:rsidRPr="00E84B0A">
        <w:t xml:space="preserve">comply with California Fire Code </w:t>
      </w:r>
      <w:r>
        <w:t>S</w:t>
      </w:r>
      <w:r w:rsidRPr="00E84B0A">
        <w:t>ection 608 on installation of Stationary Storage Battery Systems.</w:t>
      </w:r>
      <w:r>
        <w:t xml:space="preserve"> </w:t>
      </w:r>
    </w:p>
    <w:p w14:paraId="24EA0E4E" w14:textId="74ED6DBE" w:rsidR="004457B1" w:rsidRDefault="004457B1" w:rsidP="0012152A">
      <w:pPr>
        <w:pStyle w:val="FindingofFAct"/>
        <w:ind w:firstLine="230"/>
      </w:pPr>
      <w:r>
        <w:t xml:space="preserve">The Commission has </w:t>
      </w:r>
      <w:r w:rsidRPr="00D32CB0">
        <w:rPr>
          <w:i/>
        </w:rPr>
        <w:t>Safety Best Practices for the Installation of Energy Storage</w:t>
      </w:r>
      <w:r w:rsidR="00532ACF">
        <w:t xml:space="preserve"> guidelines,</w:t>
      </w:r>
      <w:r>
        <w:t xml:space="preserve"> which </w:t>
      </w:r>
      <w:r w:rsidR="00532ACF">
        <w:t xml:space="preserve">are </w:t>
      </w:r>
      <w:r>
        <w:t xml:space="preserve">available on the Commission website. </w:t>
      </w:r>
    </w:p>
    <w:p w14:paraId="479CA863" w14:textId="319602F8" w:rsidR="004457B1" w:rsidRDefault="00A84CDD" w:rsidP="0012152A">
      <w:pPr>
        <w:pStyle w:val="FindingofFAct"/>
        <w:ind w:firstLine="230"/>
      </w:pPr>
      <w:r>
        <w:t>SGIP</w:t>
      </w:r>
      <w:r w:rsidR="00757681">
        <w:noBreakHyphen/>
      </w:r>
      <w:r>
        <w:t>eligible technologies, including equipment used for islanding purposes, are required to be certified for safety by a NRTL</w:t>
      </w:r>
      <w:r w:rsidR="004457B1">
        <w:t>.</w:t>
      </w:r>
    </w:p>
    <w:p w14:paraId="67BC6B71" w14:textId="4A50E84D" w:rsidR="004457B1" w:rsidRDefault="00C1415D" w:rsidP="0012152A">
      <w:pPr>
        <w:pStyle w:val="FindingofFAct"/>
        <w:ind w:firstLine="230"/>
      </w:pPr>
      <w:r>
        <w:t>For purposes</w:t>
      </w:r>
      <w:r w:rsidR="00622042">
        <w:t xml:space="preserve"> </w:t>
      </w:r>
      <w:r w:rsidR="000F440C">
        <w:t xml:space="preserve">of this decision, </w:t>
      </w:r>
      <w:r w:rsidR="00622042">
        <w:t>the term “island” or “islandin</w:t>
      </w:r>
      <w:r w:rsidR="000F440C">
        <w:t>g</w:t>
      </w:r>
      <w:r w:rsidR="00CB6C69">
        <w:t xml:space="preserve">” </w:t>
      </w:r>
      <w:r w:rsidR="00622042">
        <w:t>describe</w:t>
      </w:r>
      <w:r w:rsidR="000F440C">
        <w:t>s</w:t>
      </w:r>
      <w:r w:rsidR="00622042">
        <w:t xml:space="preserve"> the situation where a behind the meter battery system provide</w:t>
      </w:r>
      <w:r w:rsidR="005111DC">
        <w:t>s</w:t>
      </w:r>
      <w:r w:rsidR="00622042">
        <w:t xml:space="preserve"> electricity to some or all of the customer’s loads at that site during a grid outage. </w:t>
      </w:r>
    </w:p>
    <w:p w14:paraId="42AEB79C" w14:textId="60ED109D" w:rsidR="00FC3488" w:rsidRDefault="004457B1" w:rsidP="0012152A">
      <w:pPr>
        <w:pStyle w:val="FindingofFAct"/>
        <w:ind w:firstLine="230"/>
      </w:pPr>
      <w:r>
        <w:t xml:space="preserve">SGIP technologies </w:t>
      </w:r>
      <w:r w:rsidR="00FC3488">
        <w:t>discharging to t</w:t>
      </w:r>
      <w:r>
        <w:t xml:space="preserve">he grid must </w:t>
      </w:r>
      <w:r w:rsidR="00A84CDD">
        <w:t xml:space="preserve">comply with </w:t>
      </w:r>
      <w:r w:rsidR="006972B5">
        <w:t>Rule</w:t>
      </w:r>
      <w:r w:rsidR="00A84CDD">
        <w:t xml:space="preserve"> 21 interconnection standards that require</w:t>
      </w:r>
      <w:r w:rsidR="00FC3488">
        <w:t>: (a)</w:t>
      </w:r>
      <w:r w:rsidR="00A84CDD">
        <w:t xml:space="preserve"> </w:t>
      </w:r>
      <w:r w:rsidR="00E5315B">
        <w:t>anti</w:t>
      </w:r>
      <w:r w:rsidR="00757681">
        <w:noBreakHyphen/>
      </w:r>
      <w:r w:rsidR="00A84CDD">
        <w:t>islanding protection equipment to detect and disconnect</w:t>
      </w:r>
      <w:r w:rsidR="00FC3488">
        <w:t xml:space="preserve"> a </w:t>
      </w:r>
      <w:r w:rsidR="00A84CDD">
        <w:t xml:space="preserve">system from the grid </w:t>
      </w:r>
      <w:r w:rsidR="00FC3488">
        <w:t xml:space="preserve">during </w:t>
      </w:r>
      <w:r w:rsidR="00A84CDD">
        <w:t>an outage</w:t>
      </w:r>
      <w:r w:rsidR="00FC3488">
        <w:t>; and, (b) that storage systems can safely re</w:t>
      </w:r>
      <w:r w:rsidR="00757681">
        <w:noBreakHyphen/>
      </w:r>
      <w:r w:rsidR="00FC3488">
        <w:t xml:space="preserve">connect to the grid following an outage. </w:t>
      </w:r>
    </w:p>
    <w:p w14:paraId="3A3DA5F5" w14:textId="6D9C6747" w:rsidR="00A84CDD" w:rsidRDefault="006972B5" w:rsidP="0012152A">
      <w:pPr>
        <w:pStyle w:val="FindingofFAct"/>
        <w:ind w:firstLine="230"/>
      </w:pPr>
      <w:r>
        <w:t>Rule</w:t>
      </w:r>
      <w:r w:rsidR="00FC3488">
        <w:t xml:space="preserve"> 21 requirements p</w:t>
      </w:r>
      <w:r w:rsidR="004457B1">
        <w:t>revent</w:t>
      </w:r>
      <w:r w:rsidR="00FC3488">
        <w:t xml:space="preserve"> </w:t>
      </w:r>
      <w:r w:rsidR="004457B1">
        <w:t>backfeed into distribution lines that were meant to be de</w:t>
      </w:r>
      <w:r w:rsidR="00757681">
        <w:noBreakHyphen/>
      </w:r>
      <w:r w:rsidR="004457B1">
        <w:t>energized.</w:t>
      </w:r>
    </w:p>
    <w:p w14:paraId="4B1CB267" w14:textId="514CBDF7" w:rsidR="00FC3488" w:rsidRDefault="00FC3488" w:rsidP="0012152A">
      <w:pPr>
        <w:pStyle w:val="FindingofFAct"/>
        <w:ind w:firstLine="230"/>
      </w:pPr>
      <w:r>
        <w:t xml:space="preserve">Resiliency benefits from storage will vary depending on the design of a system, the duration of the PSPS event, whether the system is supplying all or </w:t>
      </w:r>
      <w:r>
        <w:lastRenderedPageBreak/>
        <w:t xml:space="preserve">only the </w:t>
      </w:r>
      <w:r w:rsidRPr="003859E5">
        <w:t>most critical loads</w:t>
      </w:r>
      <w:r>
        <w:t>, whether there is on</w:t>
      </w:r>
      <w:r w:rsidR="00757681">
        <w:noBreakHyphen/>
      </w:r>
      <w:r>
        <w:t>site solar generation tied to the system</w:t>
      </w:r>
      <w:r w:rsidR="00532ACF">
        <w:t>,</w:t>
      </w:r>
      <w:r>
        <w:t xml:space="preserve"> and other factors</w:t>
      </w:r>
      <w:r w:rsidRPr="003859E5">
        <w:t xml:space="preserve">.  </w:t>
      </w:r>
    </w:p>
    <w:p w14:paraId="2762BC86" w14:textId="5F844ACF" w:rsidR="007C4991" w:rsidRDefault="00FC3488" w:rsidP="0012152A">
      <w:pPr>
        <w:pStyle w:val="FindingofFAct"/>
        <w:ind w:firstLine="230"/>
      </w:pPr>
      <w:r>
        <w:t>To maximize benefits, s</w:t>
      </w:r>
      <w:r w:rsidR="007C4991">
        <w:t xml:space="preserve">torage systems </w:t>
      </w:r>
      <w:r>
        <w:t xml:space="preserve">intended for resiliency purposes </w:t>
      </w:r>
      <w:r w:rsidR="007C4991">
        <w:t>must be able to island and operate when the distribution system is experiencing an outage</w:t>
      </w:r>
      <w:r>
        <w:t>.</w:t>
      </w:r>
    </w:p>
    <w:p w14:paraId="527D7866" w14:textId="6675DBFC" w:rsidR="00A84CDD" w:rsidRDefault="00252C41" w:rsidP="0012152A">
      <w:pPr>
        <w:pStyle w:val="FindingofFAct"/>
        <w:ind w:firstLine="230"/>
      </w:pPr>
      <w:r>
        <w:t>The</w:t>
      </w:r>
      <w:r w:rsidR="00A84CDD">
        <w:t xml:space="preserve"> </w:t>
      </w:r>
      <w:r w:rsidR="00A84CDD" w:rsidRPr="00165FF2">
        <w:t>safe</w:t>
      </w:r>
      <w:r w:rsidR="00A84CDD">
        <w:t xml:space="preserve"> </w:t>
      </w:r>
      <w:r w:rsidR="00A84CDD" w:rsidRPr="00165FF2">
        <w:t xml:space="preserve">operation </w:t>
      </w:r>
      <w:r w:rsidR="00A84CDD">
        <w:t xml:space="preserve">of a storage system </w:t>
      </w:r>
      <w:r w:rsidR="00FC3488">
        <w:t xml:space="preserve">in island mode </w:t>
      </w:r>
      <w:r w:rsidR="00A84CDD">
        <w:t xml:space="preserve">when installed in a building </w:t>
      </w:r>
      <w:r w:rsidR="00A84CDD" w:rsidRPr="00165FF2">
        <w:t xml:space="preserve">is beyond the scope of </w:t>
      </w:r>
      <w:r w:rsidR="006972B5">
        <w:t>Rule</w:t>
      </w:r>
      <w:r w:rsidR="00A84CDD" w:rsidRPr="00165FF2">
        <w:t xml:space="preserve"> 21</w:t>
      </w:r>
      <w:r w:rsidR="009A5D61">
        <w:t xml:space="preserve"> and is overseen by AHJs</w:t>
      </w:r>
      <w:r w:rsidR="008754F4">
        <w:t>.</w:t>
      </w:r>
    </w:p>
    <w:p w14:paraId="4D57B144" w14:textId="26A36D85" w:rsidR="00A84CDD" w:rsidRDefault="00A84CDD" w:rsidP="0012152A">
      <w:pPr>
        <w:pStyle w:val="FindingofFAct"/>
        <w:ind w:firstLine="230"/>
      </w:pPr>
      <w:r>
        <w:t xml:space="preserve">Adopting </w:t>
      </w:r>
      <w:r w:rsidRPr="00A84CDD">
        <w:t xml:space="preserve">new information submittal requirements for developers applying for equity </w:t>
      </w:r>
      <w:r w:rsidR="00FC3488">
        <w:t xml:space="preserve">budget incentives for resiliency purposes </w:t>
      </w:r>
      <w:r w:rsidRPr="00A84CDD">
        <w:t xml:space="preserve">will ensure that customers that install SGIP projects with the expectation that they will provide </w:t>
      </w:r>
      <w:r w:rsidR="00FC3488">
        <w:t xml:space="preserve">such </w:t>
      </w:r>
      <w:r w:rsidRPr="00A84CDD">
        <w:t>services are basing this on accurate information</w:t>
      </w:r>
      <w:r w:rsidR="0038256F">
        <w:t xml:space="preserve"> about both the capabilities and limitations of storage systems</w:t>
      </w:r>
      <w:r>
        <w:t>.</w:t>
      </w:r>
      <w:r w:rsidR="008733CD">
        <w:t xml:space="preserve"> </w:t>
      </w:r>
    </w:p>
    <w:p w14:paraId="41A994CB" w14:textId="3A7758EA" w:rsidR="00532ACF" w:rsidRDefault="006C54B8" w:rsidP="0012152A">
      <w:pPr>
        <w:pStyle w:val="FindingofFAct"/>
        <w:ind w:firstLine="230"/>
      </w:pPr>
      <w:r>
        <w:t>Utility Rule 21 interconnection tariffs and the SGIP rules are adequate to address the safety risks posed by t</w:t>
      </w:r>
      <w:r w:rsidR="00532ACF">
        <w:t>he i</w:t>
      </w:r>
      <w:r w:rsidR="00532ACF" w:rsidRPr="00FC3488">
        <w:t>nstallation of energy storage systems for resiliency purposes</w:t>
      </w:r>
      <w:r w:rsidR="00CD7A86">
        <w:t>.</w:t>
      </w:r>
      <w:r w:rsidR="00532ACF" w:rsidRPr="00FC3488">
        <w:t xml:space="preserve">  </w:t>
      </w:r>
    </w:p>
    <w:p w14:paraId="783CF7DB" w14:textId="644A3007" w:rsidR="008733CD" w:rsidRDefault="008733CD" w:rsidP="0012152A">
      <w:pPr>
        <w:pStyle w:val="FindingofFAct"/>
        <w:ind w:firstLine="230"/>
      </w:pPr>
      <w:r>
        <w:t>Approximately 43 percent of California’s low</w:t>
      </w:r>
      <w:r w:rsidR="00757681">
        <w:noBreakHyphen/>
      </w:r>
      <w:r>
        <w:t xml:space="preserve">income population </w:t>
      </w:r>
      <w:r w:rsidR="00532ACF">
        <w:t xml:space="preserve">lives </w:t>
      </w:r>
      <w:r>
        <w:t>in multifamily housing.</w:t>
      </w:r>
    </w:p>
    <w:p w14:paraId="3B5D66A5" w14:textId="5BC0BAB6" w:rsidR="00EB1D3E" w:rsidRDefault="00EB1D3E" w:rsidP="0012152A">
      <w:pPr>
        <w:pStyle w:val="FindingofFAct"/>
        <w:ind w:firstLine="230"/>
      </w:pPr>
      <w:r>
        <w:t>Historical electrical usage information is now available for all IOU multifamily buildings because PG&amp;E, SCE and SDG&amp;E have implemented processes in response to AB 802 to enable property owners to determine their building’s aggregated historical energy usage.</w:t>
      </w:r>
    </w:p>
    <w:p w14:paraId="06B51AB1" w14:textId="63892FE5" w:rsidR="008733CD" w:rsidRDefault="00EB1D3E" w:rsidP="0012152A">
      <w:pPr>
        <w:pStyle w:val="FindingofFAct"/>
        <w:ind w:firstLine="230"/>
      </w:pPr>
      <w:r>
        <w:t xml:space="preserve">PG&amp;E, SCE, SDG&amp;E and the SOMAH PA are developing automated processes by which the SOMAH PA and SOMAH applicants can determine the energy usage of multifamily tenant and common area loads for participating properties.   </w:t>
      </w:r>
    </w:p>
    <w:p w14:paraId="4DBD90A6" w14:textId="53BC569C" w:rsidR="00EB1D3E" w:rsidRDefault="00EB1D3E" w:rsidP="0012152A">
      <w:pPr>
        <w:pStyle w:val="FindingofFAct"/>
        <w:ind w:firstLine="230"/>
      </w:pPr>
      <w:r>
        <w:lastRenderedPageBreak/>
        <w:t>Updating system</w:t>
      </w:r>
      <w:r w:rsidR="00757681">
        <w:noBreakHyphen/>
      </w:r>
      <w:r>
        <w:t>sizing requirements for multifamily housing to improve procedures for accessing and using a</w:t>
      </w:r>
      <w:r w:rsidR="00532ACF">
        <w:t xml:space="preserve"> </w:t>
      </w:r>
      <w:r>
        <w:t xml:space="preserve">property’s historical electrical usage will help remove barriers to multifamily building participation in the SGIP.  </w:t>
      </w:r>
    </w:p>
    <w:p w14:paraId="11E868D5" w14:textId="003EBD40" w:rsidR="00EB1D3E" w:rsidRDefault="00EB1D3E" w:rsidP="0012152A">
      <w:pPr>
        <w:pStyle w:val="FindingofFAct"/>
        <w:ind w:firstLine="230"/>
      </w:pPr>
      <w:r>
        <w:t>M</w:t>
      </w:r>
      <w:r w:rsidRPr="002B6270">
        <w:t>odify</w:t>
      </w:r>
      <w:r>
        <w:t>ing</w:t>
      </w:r>
      <w:r w:rsidRPr="002B6270">
        <w:t xml:space="preserve"> the SGIP </w:t>
      </w:r>
      <w:r>
        <w:t xml:space="preserve">handbook’s </w:t>
      </w:r>
      <w:r w:rsidRPr="002B6270">
        <w:t>eligibility requirements section to include systems that interconnect to the local electric utility’s distribution system under the requirements of the VNEM tariff</w:t>
      </w:r>
      <w:r>
        <w:t xml:space="preserve"> </w:t>
      </w:r>
      <w:r w:rsidR="00DE4C36">
        <w:t xml:space="preserve">and modifying the definition of host customer to include properties enrolled in a VNEM tariff </w:t>
      </w:r>
      <w:r>
        <w:t>will help remove barriers to multifamily building participation in the SGIP.</w:t>
      </w:r>
    </w:p>
    <w:p w14:paraId="6FF70A5C" w14:textId="6EBD1704" w:rsidR="00C613FA" w:rsidRDefault="00EB1D3E" w:rsidP="0012152A">
      <w:pPr>
        <w:pStyle w:val="FindingofFAct"/>
        <w:ind w:firstLine="230"/>
      </w:pPr>
      <w:r>
        <w:t xml:space="preserve">Allowing </w:t>
      </w:r>
      <w:r w:rsidR="00ED6C3B">
        <w:t>customers</w:t>
      </w:r>
      <w:r>
        <w:t xml:space="preserve"> to use a number of sources of incentives or financing for equity budget projects could accelerate low</w:t>
      </w:r>
      <w:r w:rsidR="00757681">
        <w:noBreakHyphen/>
      </w:r>
      <w:r>
        <w:t>income customer participation in the SGIP equity budget but is appropriate only if the total subsidy does not exceed a project’s total installed cost.</w:t>
      </w:r>
    </w:p>
    <w:p w14:paraId="7D8BB1D3" w14:textId="1CECA3B9" w:rsidR="00C21C70" w:rsidRDefault="00C21C70" w:rsidP="0012152A">
      <w:pPr>
        <w:pStyle w:val="FindingofFAct"/>
        <w:ind w:firstLine="230"/>
      </w:pPr>
      <w:r w:rsidRPr="00172FD2">
        <w:t xml:space="preserve">Requiring </w:t>
      </w:r>
      <w:r w:rsidR="00532ACF">
        <w:t xml:space="preserve">the </w:t>
      </w:r>
      <w:r>
        <w:t xml:space="preserve">SGIP </w:t>
      </w:r>
      <w:r w:rsidRPr="00172FD2">
        <w:t>PAs to develop and implement a customized equity budget ME&amp;O Plan</w:t>
      </w:r>
      <w:r w:rsidR="005614B8">
        <w:t xml:space="preserve"> developed in consultation with disability </w:t>
      </w:r>
      <w:r w:rsidR="00C72504">
        <w:t xml:space="preserve">rights </w:t>
      </w:r>
      <w:r w:rsidR="005614B8">
        <w:t xml:space="preserve">advocates </w:t>
      </w:r>
      <w:r w:rsidR="0038256F">
        <w:t xml:space="preserve">and </w:t>
      </w:r>
      <w:r w:rsidR="00CE2F58">
        <w:t xml:space="preserve">other key stakeholders </w:t>
      </w:r>
      <w:r>
        <w:t xml:space="preserve">will </w:t>
      </w:r>
      <w:r w:rsidRPr="00172FD2">
        <w:t xml:space="preserve">increase awareness of the equity budget amongst eligible communities and will support their increased participation.  </w:t>
      </w:r>
    </w:p>
    <w:p w14:paraId="7A1D616D" w14:textId="3D51AA34" w:rsidR="007B5CF3" w:rsidRDefault="007B5CF3" w:rsidP="0012152A">
      <w:pPr>
        <w:pStyle w:val="FindingofFAct"/>
        <w:ind w:firstLine="230"/>
      </w:pPr>
      <w:r>
        <w:t xml:space="preserve">Requiring </w:t>
      </w:r>
      <w:r w:rsidR="00532ACF">
        <w:t xml:space="preserve">the </w:t>
      </w:r>
      <w:r>
        <w:t xml:space="preserve">SGIP PAs to rapidly inform customers with critical resiliency needs about equity resiliency incentives </w:t>
      </w:r>
      <w:r w:rsidR="00532ACF">
        <w:t xml:space="preserve">prioritizes outreach to the most vulnerable </w:t>
      </w:r>
      <w:r>
        <w:t>customers.</w:t>
      </w:r>
      <w:r w:rsidR="00C613FA">
        <w:t xml:space="preserve">Requiring </w:t>
      </w:r>
      <w:r>
        <w:t xml:space="preserve">SGIP </w:t>
      </w:r>
      <w:r w:rsidR="00C613FA">
        <w:t>PAs to co</w:t>
      </w:r>
      <w:r w:rsidR="00757681">
        <w:noBreakHyphen/>
      </w:r>
      <w:r w:rsidR="00C613FA">
        <w:t>promote equity</w:t>
      </w:r>
      <w:r>
        <w:t xml:space="preserve">, equity resiliency and </w:t>
      </w:r>
      <w:r w:rsidR="00C613FA">
        <w:t>SOMAH, SASH and DAC</w:t>
      </w:r>
      <w:r w:rsidR="00757681">
        <w:noBreakHyphen/>
      </w:r>
      <w:r w:rsidR="00C613FA">
        <w:t xml:space="preserve">SASH </w:t>
      </w:r>
      <w:r>
        <w:t xml:space="preserve">incentives </w:t>
      </w:r>
      <w:r w:rsidR="00C613FA">
        <w:t>leverages limited resources and</w:t>
      </w:r>
      <w:r w:rsidR="00532ACF">
        <w:t xml:space="preserve"> </w:t>
      </w:r>
      <w:r w:rsidR="00C613FA">
        <w:t xml:space="preserve">helps appropriately shape messages for potential customers.  </w:t>
      </w:r>
    </w:p>
    <w:p w14:paraId="14DC284D" w14:textId="1A948563" w:rsidR="00726C3C" w:rsidRDefault="00726C3C" w:rsidP="0012152A">
      <w:pPr>
        <w:pStyle w:val="FindingofFAct"/>
        <w:ind w:firstLine="230"/>
      </w:pPr>
      <w:r>
        <w:t xml:space="preserve">Authorizing SGIP PAs to train local residents to educate equity budget community members about incentives and the services provided by storage could increase trust, awareness and participation. </w:t>
      </w:r>
    </w:p>
    <w:p w14:paraId="4FBEBE27" w14:textId="1E855A93" w:rsidR="00344BE0" w:rsidRDefault="00344BE0" w:rsidP="0038256F">
      <w:pPr>
        <w:pStyle w:val="FindingofFAct"/>
        <w:ind w:firstLine="230"/>
      </w:pPr>
      <w:r>
        <w:lastRenderedPageBreak/>
        <w:t>Coordination of equity resiliency budget ME&amp;O Plan promotional activities with key emerging PSPS resources could increase the effectiveness of the Plan in reaching critical resiliency needs customers.</w:t>
      </w:r>
    </w:p>
    <w:p w14:paraId="5335EF11" w14:textId="166F194D" w:rsidR="00B41893" w:rsidRDefault="0038256F" w:rsidP="0038256F">
      <w:pPr>
        <w:pStyle w:val="FindingofFAct"/>
        <w:ind w:firstLine="230"/>
      </w:pPr>
      <w:r>
        <w:t>Depending on t</w:t>
      </w:r>
      <w:r w:rsidR="00CE2F58">
        <w:t>he ME&amp;O Plan</w:t>
      </w:r>
      <w:r>
        <w:t xml:space="preserve">, it may be appropriate for </w:t>
      </w:r>
      <w:r w:rsidR="00CE2F58">
        <w:t>a statewide competitively contracted third</w:t>
      </w:r>
      <w:r w:rsidR="00757681">
        <w:noBreakHyphen/>
      </w:r>
      <w:r w:rsidR="00CE2F58">
        <w:t xml:space="preserve">party to implement the Plan, and for </w:t>
      </w:r>
      <w:r>
        <w:t>local governments and/or CCAs to imp</w:t>
      </w:r>
      <w:r w:rsidR="00697BBC">
        <w:t xml:space="preserve">lement components of the </w:t>
      </w:r>
      <w:r w:rsidR="00CE2F58">
        <w:t xml:space="preserve">Plan. </w:t>
      </w:r>
    </w:p>
    <w:p w14:paraId="7323EFDA" w14:textId="474389E0" w:rsidR="00B41893" w:rsidRDefault="00B41893" w:rsidP="00BB6CB6">
      <w:pPr>
        <w:pStyle w:val="FindingofFAct"/>
        <w:ind w:firstLine="230"/>
      </w:pPr>
      <w:r>
        <w:t xml:space="preserve">The ME&amp;O Plan should be equitably directed to reach customers in all SGIP PA territories. </w:t>
      </w:r>
    </w:p>
    <w:p w14:paraId="117DC94A" w14:textId="1817111A" w:rsidR="007B5CF3" w:rsidRDefault="007B5CF3" w:rsidP="0012152A">
      <w:pPr>
        <w:pStyle w:val="FindingofFAct"/>
        <w:ind w:firstLine="230"/>
      </w:pPr>
      <w:r w:rsidRPr="007B5CF3">
        <w:t xml:space="preserve">Eliminating the developer cap for the equity budget </w:t>
      </w:r>
      <w:r w:rsidR="005614B8">
        <w:t xml:space="preserve">and not adopting a developer cap for the new equity resiliency budget </w:t>
      </w:r>
      <w:r w:rsidRPr="007B5CF3">
        <w:t>prioritizes the Commission’s goal for th</w:t>
      </w:r>
      <w:r w:rsidR="005614B8">
        <w:t xml:space="preserve">ese </w:t>
      </w:r>
      <w:r w:rsidRPr="007B5CF3">
        <w:t xml:space="preserve">budget </w:t>
      </w:r>
      <w:r w:rsidR="005614B8">
        <w:t>categories</w:t>
      </w:r>
      <w:r w:rsidRPr="007B5CF3">
        <w:t xml:space="preserve">, which is </w:t>
      </w:r>
      <w:r w:rsidR="00121543">
        <w:t>to facilitate access to SGIP incentives for</w:t>
      </w:r>
      <w:r w:rsidRPr="007B5CF3">
        <w:t xml:space="preserve"> qualifying low</w:t>
      </w:r>
      <w:r w:rsidR="00757681">
        <w:noBreakHyphen/>
      </w:r>
      <w:r w:rsidRPr="007B5CF3">
        <w:t xml:space="preserve">income customers </w:t>
      </w:r>
      <w:r w:rsidR="00121543">
        <w:t xml:space="preserve">so they </w:t>
      </w:r>
      <w:r w:rsidR="003C308B">
        <w:t xml:space="preserve">receive the benefits of </w:t>
      </w:r>
      <w:r w:rsidRPr="007B5CF3">
        <w:t>install</w:t>
      </w:r>
      <w:r w:rsidR="003C308B">
        <w:t>ing</w:t>
      </w:r>
      <w:r w:rsidRPr="007B5CF3">
        <w:t xml:space="preserve"> residential storage systems.  </w:t>
      </w:r>
    </w:p>
    <w:p w14:paraId="793F81C9" w14:textId="4ECDDFFC" w:rsidR="00206D6A" w:rsidRDefault="00206D6A" w:rsidP="0012152A">
      <w:pPr>
        <w:pStyle w:val="FindingofFAct"/>
        <w:ind w:firstLine="230"/>
      </w:pPr>
      <w:r w:rsidRPr="00A754FF">
        <w:t xml:space="preserve">As of </w:t>
      </w:r>
      <w:r>
        <w:t>July</w:t>
      </w:r>
      <w:r w:rsidRPr="00A754FF">
        <w:t xml:space="preserve"> 2019, </w:t>
      </w:r>
      <w:r w:rsidR="005E4EAA">
        <w:t xml:space="preserve">SGIP </w:t>
      </w:r>
      <w:r w:rsidR="00BA5681">
        <w:t xml:space="preserve">PAs </w:t>
      </w:r>
      <w:r w:rsidRPr="00A754FF">
        <w:t>had $</w:t>
      </w:r>
      <w:r>
        <w:t>400.7</w:t>
      </w:r>
      <w:r w:rsidRPr="00A754FF">
        <w:t xml:space="preserve"> million in available </w:t>
      </w:r>
      <w:r>
        <w:t xml:space="preserve">incentive </w:t>
      </w:r>
      <w:r w:rsidRPr="00A754FF">
        <w:t>funds, including 2019 collections</w:t>
      </w:r>
      <w:r w:rsidR="00726C3C">
        <w:t>,</w:t>
      </w:r>
      <w:r>
        <w:t xml:space="preserve"> and </w:t>
      </w:r>
      <w:r w:rsidRPr="00206D6A">
        <w:t>$</w:t>
      </w:r>
      <w:r w:rsidR="00352A03">
        <w:t>72.3</w:t>
      </w:r>
      <w:r w:rsidRPr="00206D6A">
        <w:t xml:space="preserve"> million in administrative funds</w:t>
      </w:r>
      <w:r w:rsidRPr="00A754FF">
        <w:t>.</w:t>
      </w:r>
    </w:p>
    <w:p w14:paraId="7739F5E2" w14:textId="5A154B08" w:rsidR="005E4EAA" w:rsidRDefault="005E4EAA" w:rsidP="0012152A">
      <w:pPr>
        <w:pStyle w:val="FindingofFAct"/>
        <w:ind w:firstLine="230"/>
      </w:pPr>
      <w:r>
        <w:t>Pursuant to D.09</w:t>
      </w:r>
      <w:r w:rsidR="00757681">
        <w:noBreakHyphen/>
      </w:r>
      <w:r>
        <w:t>12</w:t>
      </w:r>
      <w:r w:rsidR="00757681">
        <w:noBreakHyphen/>
      </w:r>
      <w:r>
        <w:t>047, accumulated unused SGIP funds are carried over from year to year.</w:t>
      </w:r>
    </w:p>
    <w:p w14:paraId="7DF65478" w14:textId="078789B1" w:rsidR="0026769B" w:rsidRDefault="00E8592F" w:rsidP="0012152A">
      <w:pPr>
        <w:pStyle w:val="FindingofFAct"/>
        <w:ind w:firstLine="230"/>
      </w:pPr>
      <w:r>
        <w:t>Applications for SGIP generation incentives have declined</w:t>
      </w:r>
      <w:r w:rsidR="006D4367">
        <w:t xml:space="preserve"> </w:t>
      </w:r>
      <w:r>
        <w:t>since the Commission in D.16</w:t>
      </w:r>
      <w:r w:rsidR="00757681">
        <w:noBreakHyphen/>
      </w:r>
      <w:r>
        <w:t>06</w:t>
      </w:r>
      <w:r w:rsidR="00757681">
        <w:noBreakHyphen/>
      </w:r>
      <w:r>
        <w:t xml:space="preserve">055 required </w:t>
      </w:r>
      <w:r w:rsidR="00352A03">
        <w:t xml:space="preserve">steadily </w:t>
      </w:r>
      <w:r>
        <w:t>increasing levels of renewable natural gas to fuel SGIP generation projects</w:t>
      </w:r>
      <w:r w:rsidR="00352A03">
        <w:t>.</w:t>
      </w:r>
      <w:r>
        <w:t xml:space="preserve"> </w:t>
      </w:r>
      <w:r w:rsidR="0032323C">
        <w:t xml:space="preserve"> </w:t>
      </w:r>
      <w:r w:rsidR="0026769B" w:rsidRPr="0026769B">
        <w:t>Section 379.6(m) prohibits use of SGIP incentives for non</w:t>
      </w:r>
      <w:r w:rsidR="00757681">
        <w:noBreakHyphen/>
      </w:r>
      <w:r w:rsidR="0026769B" w:rsidRPr="0026769B">
        <w:t xml:space="preserve">renewable generation technologies as of January 1, 2020.  </w:t>
      </w:r>
    </w:p>
    <w:p w14:paraId="3C33C642" w14:textId="12736FFA" w:rsidR="00A616E0" w:rsidRDefault="00A616E0" w:rsidP="0012152A">
      <w:pPr>
        <w:pStyle w:val="FindingofFAct"/>
        <w:ind w:firstLine="230"/>
      </w:pPr>
      <w:r w:rsidRPr="00A616E0">
        <w:t xml:space="preserve">Because they are lower cost than most residential battery technologies, HPWHs </w:t>
      </w:r>
      <w:r>
        <w:t xml:space="preserve">may </w:t>
      </w:r>
      <w:r w:rsidRPr="00A616E0">
        <w:t>provide a</w:t>
      </w:r>
      <w:r w:rsidR="00352A03">
        <w:t xml:space="preserve">n </w:t>
      </w:r>
      <w:r w:rsidRPr="00A616E0">
        <w:t>affordable method for low</w:t>
      </w:r>
      <w:r w:rsidR="00757681">
        <w:noBreakHyphen/>
      </w:r>
      <w:r w:rsidRPr="00A616E0">
        <w:t>income customers to experience bill savings</w:t>
      </w:r>
      <w:r w:rsidR="000529B6">
        <w:t xml:space="preserve"> and </w:t>
      </w:r>
      <w:r w:rsidRPr="00A616E0">
        <w:t xml:space="preserve">provide </w:t>
      </w:r>
      <w:r w:rsidR="00A5436C">
        <w:t xml:space="preserve">GHG emission reductions and </w:t>
      </w:r>
      <w:r w:rsidRPr="00A616E0">
        <w:t xml:space="preserve">needed grid services </w:t>
      </w:r>
      <w:r w:rsidR="005E07A2">
        <w:t>as compared to electrochemical batteries.</w:t>
      </w:r>
    </w:p>
    <w:p w14:paraId="08DD8301" w14:textId="739BAFDE" w:rsidR="005B1B01" w:rsidRDefault="00A616E0" w:rsidP="0012152A">
      <w:pPr>
        <w:pStyle w:val="FindingofFAct"/>
        <w:ind w:firstLine="230"/>
      </w:pPr>
      <w:r w:rsidRPr="00A616E0">
        <w:lastRenderedPageBreak/>
        <w:t xml:space="preserve">Establishing </w:t>
      </w:r>
      <w:r w:rsidR="00352A03">
        <w:t xml:space="preserve">an initial </w:t>
      </w:r>
      <w:r w:rsidRPr="00A616E0">
        <w:t>HPWH set</w:t>
      </w:r>
      <w:r w:rsidR="00757681">
        <w:noBreakHyphen/>
      </w:r>
      <w:r w:rsidRPr="00A616E0">
        <w:t xml:space="preserve">aside within the SGIP equity </w:t>
      </w:r>
      <w:r w:rsidR="00516EA8">
        <w:t xml:space="preserve">residential </w:t>
      </w:r>
      <w:r w:rsidRPr="00A616E0">
        <w:t xml:space="preserve">budget and exploring additional SGIP program modifications to increase market growth of this technology </w:t>
      </w:r>
      <w:r w:rsidR="005614B8">
        <w:t xml:space="preserve">through a workshop and additional activities </w:t>
      </w:r>
      <w:r w:rsidRPr="00A616E0">
        <w:t xml:space="preserve">signals Commission interest in this technology for the multiple services and benefits it may provide.  </w:t>
      </w:r>
    </w:p>
    <w:p w14:paraId="01299165" w14:textId="2E864363" w:rsidR="00697BBC" w:rsidRDefault="00697BBC" w:rsidP="00697BBC">
      <w:pPr>
        <w:pStyle w:val="FindingofFAct"/>
        <w:ind w:firstLine="230"/>
      </w:pPr>
      <w:r>
        <w:t>The appropriate scope of the SGIP TES working group established in D.19</w:t>
      </w:r>
      <w:r w:rsidR="00757681">
        <w:noBreakHyphen/>
      </w:r>
      <w:r>
        <w:t>04</w:t>
      </w:r>
      <w:r w:rsidR="00757681">
        <w:noBreakHyphen/>
      </w:r>
      <w:r>
        <w:t>020 is the need for modifications to the GHG emission reduction require</w:t>
      </w:r>
      <w:r w:rsidR="00CE2F58">
        <w:t xml:space="preserve">ments adopted in that decision </w:t>
      </w:r>
      <w:r>
        <w:t xml:space="preserve">to ensure their applicability </w:t>
      </w:r>
      <w:r w:rsidR="00CE2F58">
        <w:t xml:space="preserve">to </w:t>
      </w:r>
      <w:r>
        <w:t>TES systems</w:t>
      </w:r>
      <w:r w:rsidR="00CE2F58">
        <w:t>, including HPWHs</w:t>
      </w:r>
      <w:r>
        <w:t xml:space="preserve">.   </w:t>
      </w:r>
    </w:p>
    <w:p w14:paraId="2D1A13AD" w14:textId="31EF6F24" w:rsidR="009B1F35" w:rsidRDefault="009B1F35" w:rsidP="0012152A">
      <w:pPr>
        <w:pStyle w:val="FindingofFAct"/>
        <w:ind w:firstLine="230"/>
      </w:pPr>
      <w:r>
        <w:t>Adopting a set</w:t>
      </w:r>
      <w:r w:rsidR="00757681">
        <w:noBreakHyphen/>
      </w:r>
      <w:r>
        <w:t xml:space="preserve">aside of up to $10 million in incentives for the SJV pilot communities supports SJV pilot households </w:t>
      </w:r>
      <w:r w:rsidR="00E8592F">
        <w:t xml:space="preserve">to </w:t>
      </w:r>
      <w:r>
        <w:t>shift their electricity load from peak to off</w:t>
      </w:r>
      <w:r w:rsidR="00757681">
        <w:noBreakHyphen/>
      </w:r>
      <w:r>
        <w:t xml:space="preserve">peak periods as </w:t>
      </w:r>
      <w:r w:rsidR="00352A03">
        <w:t xml:space="preserve">required in </w:t>
      </w:r>
      <w:r>
        <w:t>Section 379.6(e), help</w:t>
      </w:r>
      <w:r w:rsidR="00352A03">
        <w:t>s</w:t>
      </w:r>
      <w:r>
        <w:t xml:space="preserve"> ensure equitable access to SGIP benefits by low</w:t>
      </w:r>
      <w:r w:rsidR="00757681">
        <w:noBreakHyphen/>
      </w:r>
      <w:r>
        <w:t xml:space="preserve">income customers as </w:t>
      </w:r>
      <w:r w:rsidR="00352A03">
        <w:t xml:space="preserve">required </w:t>
      </w:r>
      <w:r>
        <w:t>in Section 379.6(a)(1) and help</w:t>
      </w:r>
      <w:r w:rsidR="00352A03">
        <w:t>s</w:t>
      </w:r>
      <w:r>
        <w:t xml:space="preserve"> to increase the reliability of electricity for participants as emphasized in Section 379.6(l)</w:t>
      </w:r>
      <w:r w:rsidR="00E8592F">
        <w:t>.</w:t>
      </w:r>
    </w:p>
    <w:p w14:paraId="28A5EFB6" w14:textId="47F7DC1A" w:rsidR="005F666F" w:rsidRDefault="005F666F" w:rsidP="0012152A">
      <w:pPr>
        <w:pStyle w:val="FindingofFAct"/>
        <w:ind w:firstLine="230"/>
      </w:pPr>
      <w:r>
        <w:t xml:space="preserve">SJV </w:t>
      </w:r>
      <w:r w:rsidRPr="005F666F">
        <w:t xml:space="preserve">pilot households currently using propane or wood to meet their basic energy needs will </w:t>
      </w:r>
      <w:r>
        <w:t>increase their</w:t>
      </w:r>
      <w:r w:rsidRPr="005F666F">
        <w:t xml:space="preserve"> electric load by installing electric </w:t>
      </w:r>
      <w:r>
        <w:t xml:space="preserve">appliances and </w:t>
      </w:r>
      <w:r w:rsidRPr="005F666F">
        <w:t>are likely to receive the most benefit from installing storage to help manage their increased electricity costs</w:t>
      </w:r>
      <w:r w:rsidR="005614B8">
        <w:t>, although SJV pilot households installing new efficient appliances to replace inoperable or inefficient electric appliances may also benefit.</w:t>
      </w:r>
    </w:p>
    <w:p w14:paraId="1ED3BBE3" w14:textId="6D0D630C" w:rsidR="005F666F" w:rsidRDefault="00090FE3" w:rsidP="0012152A">
      <w:pPr>
        <w:pStyle w:val="FindingofFAct"/>
        <w:ind w:firstLine="230"/>
      </w:pPr>
      <w:r>
        <w:t>Limiting SJV pilot non</w:t>
      </w:r>
      <w:r w:rsidR="00757681">
        <w:noBreakHyphen/>
      </w:r>
      <w:r>
        <w:t xml:space="preserve">residential incentives to facilities </w:t>
      </w:r>
      <w:r w:rsidR="003C5BD7">
        <w:t>providing critical services or infrastructure</w:t>
      </w:r>
      <w:r>
        <w:t xml:space="preserve"> ensures use of the incentives by customers providing the greatest benefit to communities</w:t>
      </w:r>
      <w:r w:rsidR="003C5BD7">
        <w:t>.</w:t>
      </w:r>
    </w:p>
    <w:p w14:paraId="13887B97" w14:textId="5B041603" w:rsidR="005B1B01" w:rsidRDefault="009B1F35" w:rsidP="0012152A">
      <w:pPr>
        <w:pStyle w:val="FindingofFAct"/>
        <w:ind w:firstLine="230"/>
      </w:pPr>
      <w:r>
        <w:t xml:space="preserve">Approving </w:t>
      </w:r>
      <w:r w:rsidR="009E4D00">
        <w:t>a set</w:t>
      </w:r>
      <w:r w:rsidR="00757681">
        <w:noBreakHyphen/>
      </w:r>
      <w:r w:rsidR="009E4D00">
        <w:t xml:space="preserve">aside of up to $10 million in incentives for the SJV pilot communities </w:t>
      </w:r>
      <w:r>
        <w:t xml:space="preserve">supports the </w:t>
      </w:r>
      <w:r w:rsidR="00352A03">
        <w:t xml:space="preserve">shared </w:t>
      </w:r>
      <w:r>
        <w:t xml:space="preserve">SJV pilot </w:t>
      </w:r>
      <w:r w:rsidR="009E4D00">
        <w:t xml:space="preserve">and SGIP </w:t>
      </w:r>
      <w:r>
        <w:t>goal</w:t>
      </w:r>
      <w:r w:rsidR="00352A03">
        <w:t xml:space="preserve"> </w:t>
      </w:r>
      <w:r>
        <w:t xml:space="preserve">of reducing GHG </w:t>
      </w:r>
      <w:r w:rsidR="00E8592F">
        <w:lastRenderedPageBreak/>
        <w:t xml:space="preserve">emissions </w:t>
      </w:r>
      <w:r>
        <w:t xml:space="preserve">and criteria air pollutants and </w:t>
      </w:r>
      <w:r w:rsidR="00352A03">
        <w:t xml:space="preserve">will </w:t>
      </w:r>
      <w:r>
        <w:t>provide insights on the impacts of simultaneous deployment of multiple demand</w:t>
      </w:r>
      <w:r w:rsidR="00757681">
        <w:noBreakHyphen/>
      </w:r>
      <w:r>
        <w:t xml:space="preserve">side customer options in the same community.  </w:t>
      </w:r>
    </w:p>
    <w:p w14:paraId="38BFE1EE" w14:textId="5BE43756" w:rsidR="00DB645A" w:rsidRDefault="00DB645A" w:rsidP="0012152A">
      <w:pPr>
        <w:pStyle w:val="FindingofFAct"/>
        <w:ind w:firstLine="230"/>
      </w:pPr>
      <w:r>
        <w:t>A</w:t>
      </w:r>
      <w:r w:rsidRPr="00DB645A">
        <w:t xml:space="preserve">llocating </w:t>
      </w:r>
      <w:r>
        <w:t>up to</w:t>
      </w:r>
      <w:r w:rsidRPr="00DB645A">
        <w:t xml:space="preserve"> $10 million</w:t>
      </w:r>
      <w:r w:rsidR="0043675F">
        <w:t xml:space="preserve"> as a set</w:t>
      </w:r>
      <w:r w:rsidR="00757681">
        <w:noBreakHyphen/>
      </w:r>
      <w:r w:rsidR="0043675F">
        <w:t>aside</w:t>
      </w:r>
      <w:r w:rsidRPr="00DB645A">
        <w:t xml:space="preserve"> for SJV pilot incentives </w:t>
      </w:r>
      <w:r>
        <w:t xml:space="preserve">and returning any unreserved </w:t>
      </w:r>
      <w:r w:rsidR="0043675F">
        <w:t>budget remaining in the set</w:t>
      </w:r>
      <w:r w:rsidR="00757681">
        <w:noBreakHyphen/>
      </w:r>
      <w:r w:rsidR="0043675F">
        <w:t xml:space="preserve">aside to the general residential equity budget as of four years from issuance of this decision </w:t>
      </w:r>
      <w:r w:rsidRPr="00DB645A">
        <w:t>ensure</w:t>
      </w:r>
      <w:r w:rsidR="00352A03">
        <w:t>s</w:t>
      </w:r>
      <w:r w:rsidRPr="00DB645A">
        <w:t xml:space="preserve"> that there </w:t>
      </w:r>
      <w:r w:rsidR="00352A03">
        <w:t xml:space="preserve">will be </w:t>
      </w:r>
      <w:r w:rsidRPr="00DB645A">
        <w:t xml:space="preserve">enough budget to support the SJV pilot but that the funds are also available for alternative uses if there is insufficient demand.  </w:t>
      </w:r>
    </w:p>
    <w:p w14:paraId="163304F7" w14:textId="16450503" w:rsidR="005B1B01" w:rsidRDefault="001247C2" w:rsidP="0012152A">
      <w:pPr>
        <w:pStyle w:val="FindingofFAct"/>
        <w:ind w:firstLine="230"/>
      </w:pPr>
      <w:r>
        <w:t>T</w:t>
      </w:r>
      <w:r w:rsidR="00DB645A" w:rsidRPr="00DB645A">
        <w:t>he current non</w:t>
      </w:r>
      <w:r w:rsidR="00757681">
        <w:noBreakHyphen/>
      </w:r>
      <w:r w:rsidR="00DB645A" w:rsidRPr="00DB645A">
        <w:t>residential storage equity budget</w:t>
      </w:r>
      <w:r>
        <w:t xml:space="preserve"> is an appropriate funding source for a $10 million SJV pilot set</w:t>
      </w:r>
      <w:r w:rsidR="00757681">
        <w:noBreakHyphen/>
      </w:r>
      <w:r>
        <w:t>aside</w:t>
      </w:r>
      <w:r w:rsidR="00352A03">
        <w:t>.</w:t>
      </w:r>
    </w:p>
    <w:p w14:paraId="30448464" w14:textId="5473A251" w:rsidR="00133F8B" w:rsidRDefault="00133F8B" w:rsidP="0012152A">
      <w:pPr>
        <w:pStyle w:val="FindingofFAct"/>
        <w:ind w:firstLine="230"/>
      </w:pPr>
      <w:r>
        <w:t xml:space="preserve">Requiring adherence to the requirements of </w:t>
      </w:r>
      <w:r w:rsidR="003F39D8" w:rsidRPr="00A675B5">
        <w:t>D.19</w:t>
      </w:r>
      <w:r w:rsidR="00757681">
        <w:noBreakHyphen/>
      </w:r>
      <w:r w:rsidR="003F39D8" w:rsidRPr="00A675B5">
        <w:t>08</w:t>
      </w:r>
      <w:r w:rsidR="00757681">
        <w:noBreakHyphen/>
      </w:r>
      <w:r w:rsidR="003F39D8" w:rsidRPr="00A675B5">
        <w:t xml:space="preserve">001 </w:t>
      </w:r>
      <w:r w:rsidR="00D64875">
        <w:t>will</w:t>
      </w:r>
      <w:r>
        <w:t xml:space="preserve"> ensure that SJV pilot househ</w:t>
      </w:r>
      <w:r w:rsidR="00726C3C">
        <w:t xml:space="preserve">olds that install SGIP </w:t>
      </w:r>
      <w:r>
        <w:t>storage systems experience energy cost savings</w:t>
      </w:r>
      <w:r w:rsidR="006D4367">
        <w:t xml:space="preserve">, </w:t>
      </w:r>
      <w:r>
        <w:t>reduce GHG emissions</w:t>
      </w:r>
      <w:r w:rsidR="006D4367">
        <w:t>, and provide other grid services.</w:t>
      </w:r>
      <w:r>
        <w:t xml:space="preserve">  </w:t>
      </w:r>
    </w:p>
    <w:p w14:paraId="7AAAEE6D" w14:textId="30103A11" w:rsidR="00EB1FD2" w:rsidRPr="00EB1FD2" w:rsidRDefault="00EB1FD2" w:rsidP="0012152A">
      <w:pPr>
        <w:pStyle w:val="FindingofFAct"/>
        <w:ind w:firstLine="230"/>
      </w:pPr>
      <w:r>
        <w:t>Re</w:t>
      </w:r>
      <w:r w:rsidRPr="00EB1FD2">
        <w:t>quir</w:t>
      </w:r>
      <w:r>
        <w:t>ing</w:t>
      </w:r>
      <w:r w:rsidRPr="00EB1FD2">
        <w:t xml:space="preserve"> CARE</w:t>
      </w:r>
      <w:r w:rsidR="00757681">
        <w:noBreakHyphen/>
      </w:r>
      <w:r w:rsidRPr="00EB1FD2">
        <w:t>eligible SJV pilot households that wish to access SGIP incentives to enroll in a</w:t>
      </w:r>
      <w:r w:rsidR="00E8592F">
        <w:t>n SGIP</w:t>
      </w:r>
      <w:r w:rsidR="00757681">
        <w:noBreakHyphen/>
      </w:r>
      <w:r w:rsidR="00E8592F">
        <w:t>approved rate, if one is available, or in any</w:t>
      </w:r>
      <w:r w:rsidRPr="00EB1FD2">
        <w:t xml:space="preserve"> CARE TOU rate</w:t>
      </w:r>
      <w:r w:rsidR="00726C3C">
        <w:t>,</w:t>
      </w:r>
      <w:r w:rsidR="00E8592F">
        <w:t xml:space="preserve"> if one is not</w:t>
      </w:r>
      <w:r w:rsidRPr="00EB1FD2">
        <w:t xml:space="preserve">, regardless of the date of submittal of the SGIP application, </w:t>
      </w:r>
      <w:r>
        <w:t xml:space="preserve">will </w:t>
      </w:r>
      <w:r w:rsidRPr="00EB1FD2">
        <w:t xml:space="preserve">maximize the likelihood </w:t>
      </w:r>
      <w:r>
        <w:t>that such</w:t>
      </w:r>
      <w:r w:rsidRPr="00EB1FD2">
        <w:t xml:space="preserve"> households experienc</w:t>
      </w:r>
      <w:r>
        <w:t xml:space="preserve">e </w:t>
      </w:r>
      <w:r w:rsidRPr="00EB1FD2">
        <w:t xml:space="preserve">energy cost reductions.  </w:t>
      </w:r>
    </w:p>
    <w:p w14:paraId="0E3A22E3" w14:textId="3C28B724" w:rsidR="001F6164" w:rsidRDefault="001F6164" w:rsidP="0012152A">
      <w:pPr>
        <w:pStyle w:val="FindingofFAct"/>
        <w:ind w:firstLine="230"/>
      </w:pPr>
      <w:r>
        <w:t>N</w:t>
      </w:r>
      <w:r w:rsidRPr="001F6164">
        <w:t>o party provided a rationale to exclude California City from accessing the approved incentive levels</w:t>
      </w:r>
      <w:r w:rsidR="00D64875">
        <w:t xml:space="preserve"> for SJV pilot communities</w:t>
      </w:r>
      <w:r w:rsidRPr="001F6164">
        <w:t xml:space="preserve">.  </w:t>
      </w:r>
    </w:p>
    <w:p w14:paraId="482A82A2" w14:textId="779D9823" w:rsidR="00F605C5" w:rsidRDefault="001F6164" w:rsidP="0012152A">
      <w:pPr>
        <w:pStyle w:val="FindingofFAct"/>
        <w:ind w:firstLine="230"/>
      </w:pPr>
      <w:r w:rsidRPr="001F6164">
        <w:t xml:space="preserve">Including California City in the </w:t>
      </w:r>
      <w:r>
        <w:t xml:space="preserve">list of SJV </w:t>
      </w:r>
      <w:r w:rsidRPr="001F6164">
        <w:t>pilot communities eligible to access the SJV pilot set</w:t>
      </w:r>
      <w:r w:rsidR="00757681">
        <w:noBreakHyphen/>
      </w:r>
      <w:r w:rsidRPr="001F6164">
        <w:t>aside allow</w:t>
      </w:r>
      <w:r>
        <w:t>s</w:t>
      </w:r>
      <w:r w:rsidRPr="001F6164">
        <w:t xml:space="preserve"> </w:t>
      </w:r>
      <w:r w:rsidR="00352A03">
        <w:t xml:space="preserve">qualifying </w:t>
      </w:r>
      <w:r w:rsidRPr="001F6164">
        <w:t>households and non</w:t>
      </w:r>
      <w:r w:rsidR="00757681">
        <w:noBreakHyphen/>
      </w:r>
      <w:r w:rsidRPr="001F6164">
        <w:t xml:space="preserve">residential customers </w:t>
      </w:r>
      <w:r w:rsidR="00352A03">
        <w:t xml:space="preserve">in this community </w:t>
      </w:r>
      <w:r w:rsidRPr="001F6164">
        <w:t>to</w:t>
      </w:r>
      <w:r w:rsidR="00E8592F">
        <w:t xml:space="preserve"> benefit from the increased SJV pilot incentives. </w:t>
      </w:r>
    </w:p>
    <w:p w14:paraId="059E1461" w14:textId="0CFC9ECF" w:rsidR="00F605C5" w:rsidRDefault="00405A35" w:rsidP="0012152A">
      <w:pPr>
        <w:pStyle w:val="FindingofFAct"/>
        <w:ind w:firstLine="230"/>
      </w:pPr>
      <w:r>
        <w:t xml:space="preserve">Approving increased equity budget </w:t>
      </w:r>
      <w:r w:rsidR="00235DCE">
        <w:t>incentive</w:t>
      </w:r>
      <w:r>
        <w:t xml:space="preserve"> levels</w:t>
      </w:r>
      <w:r w:rsidR="002A167A">
        <w:t xml:space="preserve"> for </w:t>
      </w:r>
      <w:r w:rsidR="00235DCE">
        <w:t xml:space="preserve">SJV pilot </w:t>
      </w:r>
      <w:r w:rsidR="00235DCE" w:rsidRPr="00235DCE">
        <w:t xml:space="preserve">households </w:t>
      </w:r>
      <w:r w:rsidR="002A167A">
        <w:t xml:space="preserve">that </w:t>
      </w:r>
      <w:r w:rsidR="00235DCE" w:rsidRPr="00235DCE">
        <w:t>currently us</w:t>
      </w:r>
      <w:r w:rsidR="00352A03">
        <w:t>e</w:t>
      </w:r>
      <w:r w:rsidR="00235DCE" w:rsidRPr="00235DCE">
        <w:t xml:space="preserve"> propane or wood to meet basic needs</w:t>
      </w:r>
      <w:r w:rsidR="00697BBC">
        <w:t xml:space="preserve">, or that currently have installed inoperable or inefficient </w:t>
      </w:r>
      <w:r w:rsidR="004D0A87">
        <w:t xml:space="preserve">major </w:t>
      </w:r>
      <w:r w:rsidR="00697BBC">
        <w:t xml:space="preserve">electric appliances, </w:t>
      </w:r>
      <w:r w:rsidR="002A167A">
        <w:t xml:space="preserve">and </w:t>
      </w:r>
      <w:r w:rsidR="002A167A">
        <w:lastRenderedPageBreak/>
        <w:t>that electrify one or more appliances</w:t>
      </w:r>
      <w:r w:rsidR="00697BBC">
        <w:t xml:space="preserve">, or install highly efficient electric appliances, </w:t>
      </w:r>
      <w:r w:rsidR="002A167A">
        <w:t xml:space="preserve">as part of the SJV pilot </w:t>
      </w:r>
      <w:r w:rsidR="00E8592F">
        <w:t>and for non</w:t>
      </w:r>
      <w:r w:rsidR="00757681">
        <w:noBreakHyphen/>
      </w:r>
      <w:r w:rsidR="00E8592F">
        <w:t xml:space="preserve">residential pilot </w:t>
      </w:r>
      <w:r w:rsidR="002A167A">
        <w:t xml:space="preserve">customers </w:t>
      </w:r>
      <w:r w:rsidR="00235DCE" w:rsidRPr="00235DCE">
        <w:t xml:space="preserve">providing critical </w:t>
      </w:r>
      <w:r w:rsidR="00E8592F">
        <w:t xml:space="preserve">facilities or infrastructure </w:t>
      </w:r>
      <w:r w:rsidR="00003C0C">
        <w:t xml:space="preserve">targets </w:t>
      </w:r>
      <w:r w:rsidR="002A167A">
        <w:t xml:space="preserve">the </w:t>
      </w:r>
      <w:r w:rsidR="00352A03">
        <w:t xml:space="preserve">higher SJV pilot </w:t>
      </w:r>
      <w:r w:rsidR="00003C0C">
        <w:t xml:space="preserve">incentives </w:t>
      </w:r>
      <w:r>
        <w:t xml:space="preserve">where they will </w:t>
      </w:r>
      <w:r w:rsidR="00E8592F">
        <w:t xml:space="preserve">provide the greatest benefits. </w:t>
      </w:r>
    </w:p>
    <w:p w14:paraId="1BEADB1F" w14:textId="1CE94E69" w:rsidR="00ED0818" w:rsidRDefault="00ED0818">
      <w:pPr>
        <w:pStyle w:val="FindingofFAct"/>
        <w:ind w:firstLine="230"/>
      </w:pPr>
      <w:r w:rsidRPr="00ED0818">
        <w:t xml:space="preserve">It would also be helpful for SGIP PAs to provide information to the SJV pilot project implementers about the new incentives so that they can be promoted alongside other pilot project offerings.  </w:t>
      </w:r>
    </w:p>
    <w:p w14:paraId="3E9607A0" w14:textId="5265353A" w:rsidR="00DD31F8" w:rsidRDefault="00B07EC8" w:rsidP="0012152A">
      <w:pPr>
        <w:pStyle w:val="FindingofFAct"/>
        <w:ind w:firstLine="230"/>
      </w:pPr>
      <w:r>
        <w:t>Including additional research questions on the equity resiliency budget and other matters in the SGIP 2020</w:t>
      </w:r>
      <w:r w:rsidR="00CE2F58">
        <w:t xml:space="preserve"> storage impact evaluation and the 2021</w:t>
      </w:r>
      <w:r w:rsidR="00757681">
        <w:noBreakHyphen/>
      </w:r>
      <w:r>
        <w:t>202</w:t>
      </w:r>
      <w:r w:rsidR="00CE2F58">
        <w:t>5 SGIP</w:t>
      </w:r>
      <w:r>
        <w:t xml:space="preserve"> evaluation plan will help the Commission understand the impact of the new incentives. </w:t>
      </w:r>
    </w:p>
    <w:p w14:paraId="2F61E419" w14:textId="77777777" w:rsidR="003871CE" w:rsidRDefault="003871CE" w:rsidP="00CE14ED">
      <w:pPr>
        <w:pStyle w:val="ALJHeading1"/>
        <w:numPr>
          <w:ilvl w:val="0"/>
          <w:numId w:val="0"/>
        </w:numPr>
        <w:ind w:left="360"/>
      </w:pPr>
      <w:bookmarkStart w:id="101" w:name="_Toc2523444"/>
      <w:bookmarkStart w:id="102" w:name="_Toc15908112"/>
      <w:r>
        <w:t>Conclusions of Law</w:t>
      </w:r>
      <w:bookmarkEnd w:id="101"/>
      <w:bookmarkEnd w:id="102"/>
    </w:p>
    <w:p w14:paraId="50FF17F7" w14:textId="1494C7A8" w:rsidR="00841238" w:rsidRDefault="001D4B45" w:rsidP="0012152A">
      <w:pPr>
        <w:pStyle w:val="conclusionoflaw"/>
        <w:ind w:firstLine="360"/>
      </w:pPr>
      <w:r>
        <w:t xml:space="preserve">18 </w:t>
      </w:r>
      <w:r w:rsidR="00841238" w:rsidRPr="00841238">
        <w:t>USC 1151</w:t>
      </w:r>
      <w:r w:rsidR="00841238">
        <w:t xml:space="preserve"> defines the term “</w:t>
      </w:r>
      <w:r w:rsidR="00CE6BD3">
        <w:t>Indian County</w:t>
      </w:r>
      <w:r w:rsidR="00841238" w:rsidRPr="00841238">
        <w:t>” as</w:t>
      </w:r>
      <w:r w:rsidR="00841238">
        <w:t xml:space="preserve"> meaning</w:t>
      </w:r>
      <w:r w:rsidR="00841238" w:rsidRPr="00841238">
        <w:t xml:space="preserve"> (a) all land within the limits of any Indian reservation under the jurisdiction of the United States Government, notwithstanding the issuance of any patent, and, including rights</w:t>
      </w:r>
      <w:r w:rsidR="00757681">
        <w:noBreakHyphen/>
      </w:r>
      <w:r w:rsidR="00841238" w:rsidRPr="00841238">
        <w:t>of</w:t>
      </w:r>
      <w:r w:rsidR="00757681">
        <w:noBreakHyphen/>
      </w:r>
      <w:r w:rsidR="00841238" w:rsidRPr="00841238">
        <w:t>way running through the reservation, (b) all dependent Indian communities within the borders of the United States whether within the original or subsequently acquired territory thereof, and whether within or without the limits of a state, and (c) all Indian allotments, the Indian titles to which have not been extinguished, including rights</w:t>
      </w:r>
      <w:r w:rsidR="00757681">
        <w:noBreakHyphen/>
      </w:r>
      <w:r w:rsidR="00841238" w:rsidRPr="00841238">
        <w:t>of</w:t>
      </w:r>
      <w:r w:rsidR="00757681">
        <w:noBreakHyphen/>
      </w:r>
      <w:r w:rsidR="00841238" w:rsidRPr="00841238">
        <w:t>way running through the same.</w:t>
      </w:r>
    </w:p>
    <w:p w14:paraId="6AECDEB2" w14:textId="103FA450" w:rsidR="00841238" w:rsidRDefault="000C2FBF" w:rsidP="0012152A">
      <w:pPr>
        <w:pStyle w:val="conclusionoflaw"/>
        <w:ind w:firstLine="360"/>
      </w:pPr>
      <w:r>
        <w:t>For SGIP purposes,</w:t>
      </w:r>
      <w:r w:rsidR="00722FAD">
        <w:t xml:space="preserve"> </w:t>
      </w:r>
      <w:r>
        <w:t>”</w:t>
      </w:r>
      <w:r w:rsidR="00CE6BD3">
        <w:t>Indian County</w:t>
      </w:r>
      <w:r>
        <w:t>”</w:t>
      </w:r>
      <w:r w:rsidR="00841238">
        <w:t xml:space="preserve"> should not </w:t>
      </w:r>
      <w:r>
        <w:t>include</w:t>
      </w:r>
      <w:r w:rsidR="00841238">
        <w:t xml:space="preserve"> p</w:t>
      </w:r>
      <w:r w:rsidR="00841238" w:rsidRPr="00841238">
        <w:t>rivately owned non</w:t>
      </w:r>
      <w:r w:rsidR="00757681">
        <w:noBreakHyphen/>
      </w:r>
      <w:r w:rsidR="00841238" w:rsidRPr="00841238">
        <w:t>Indian in</w:t>
      </w:r>
      <w:r w:rsidR="00757681">
        <w:noBreakHyphen/>
      </w:r>
      <w:r w:rsidR="00841238" w:rsidRPr="00841238">
        <w:t>holdings located within the exterior boundaries of</w:t>
      </w:r>
      <w:r w:rsidR="00726C3C">
        <w:t xml:space="preserve"> a tribe’s </w:t>
      </w:r>
      <w:r w:rsidR="00CE6BD3">
        <w:t>Indian County</w:t>
      </w:r>
      <w:r>
        <w:t>.</w:t>
      </w:r>
    </w:p>
    <w:p w14:paraId="56F7EC33" w14:textId="29BAAC53" w:rsidR="009807BD" w:rsidRDefault="009807BD" w:rsidP="0012152A">
      <w:pPr>
        <w:pStyle w:val="conclusionoflaw"/>
        <w:ind w:firstLine="360"/>
      </w:pPr>
      <w:r>
        <w:t xml:space="preserve">The Commission should define a </w:t>
      </w:r>
      <w:r w:rsidRPr="009807BD">
        <w:t>privately held in</w:t>
      </w:r>
      <w:r w:rsidR="00757681">
        <w:noBreakHyphen/>
      </w:r>
      <w:r w:rsidRPr="009807BD">
        <w:t xml:space="preserve">holding </w:t>
      </w:r>
      <w:r>
        <w:t>in</w:t>
      </w:r>
      <w:r w:rsidR="00E8592F">
        <w:t xml:space="preserve"> </w:t>
      </w:r>
      <w:r w:rsidR="00841238">
        <w:t xml:space="preserve">California </w:t>
      </w:r>
      <w:r w:rsidR="00CE6BD3">
        <w:t>Indian County</w:t>
      </w:r>
      <w:r w:rsidR="00E8592F">
        <w:t xml:space="preserve"> as</w:t>
      </w:r>
      <w:r w:rsidR="00E8592F" w:rsidRPr="00C6687D">
        <w:t xml:space="preserve"> </w:t>
      </w:r>
      <w:r w:rsidR="00E8592F">
        <w:t>non</w:t>
      </w:r>
      <w:r w:rsidR="00757681">
        <w:noBreakHyphen/>
      </w:r>
      <w:r w:rsidR="00E8592F">
        <w:t>Indian owned</w:t>
      </w:r>
      <w:r w:rsidR="00E8592F" w:rsidRPr="00C6687D">
        <w:t xml:space="preserve"> fee land located within the exterior boundaries of California </w:t>
      </w:r>
      <w:r w:rsidR="00CE6BD3">
        <w:t>Indian County</w:t>
      </w:r>
      <w:r w:rsidR="00E8592F" w:rsidRPr="00C6687D">
        <w:t>, regardless of the use of the land</w:t>
      </w:r>
      <w:r w:rsidR="00841238">
        <w:t xml:space="preserve">; </w:t>
      </w:r>
      <w:r w:rsidR="00E8592F">
        <w:t xml:space="preserve">in the </w:t>
      </w:r>
      <w:r w:rsidR="00E8592F">
        <w:lastRenderedPageBreak/>
        <w:t xml:space="preserve">event of multiple owners, </w:t>
      </w:r>
      <w:r w:rsidR="00841238">
        <w:t xml:space="preserve">such land </w:t>
      </w:r>
      <w:r w:rsidR="00E8592F">
        <w:t>shall be considered Indian owned if at least one owner is a tribe or tribal member.</w:t>
      </w:r>
    </w:p>
    <w:p w14:paraId="73F01A70" w14:textId="19047250" w:rsidR="005F493B" w:rsidRDefault="005F493B" w:rsidP="0012152A">
      <w:pPr>
        <w:pStyle w:val="conclusionoflaw"/>
        <w:ind w:firstLine="360"/>
      </w:pPr>
      <w:r>
        <w:t xml:space="preserve">The Commission should modify the </w:t>
      </w:r>
      <w:r w:rsidRPr="005F493B">
        <w:t>definition of non</w:t>
      </w:r>
      <w:r w:rsidR="00757681">
        <w:noBreakHyphen/>
      </w:r>
      <w:r w:rsidRPr="005F493B">
        <w:t>residential equity budget customers ado</w:t>
      </w:r>
      <w:r>
        <w:t>pted in D.17</w:t>
      </w:r>
      <w:r w:rsidR="00757681">
        <w:noBreakHyphen/>
      </w:r>
      <w:r>
        <w:t>10</w:t>
      </w:r>
      <w:r w:rsidR="00757681">
        <w:noBreakHyphen/>
      </w:r>
      <w:r>
        <w:t xml:space="preserve">004 </w:t>
      </w:r>
      <w:r w:rsidRPr="005F493B">
        <w:t xml:space="preserve">to include public agencies for which at least 50 percent of census tracts served are DACs, but </w:t>
      </w:r>
      <w:r>
        <w:t xml:space="preserve">should clarify that </w:t>
      </w:r>
      <w:r w:rsidRPr="005F493B">
        <w:t xml:space="preserve">such customers </w:t>
      </w:r>
      <w:r>
        <w:t xml:space="preserve">to </w:t>
      </w:r>
      <w:r w:rsidRPr="005F493B">
        <w:t>have the burden of providing th</w:t>
      </w:r>
      <w:r>
        <w:t xml:space="preserve">e information to demonstrate a </w:t>
      </w:r>
      <w:r w:rsidRPr="005F493B">
        <w:t>facility’s eligibility.</w:t>
      </w:r>
    </w:p>
    <w:p w14:paraId="5CA9BD42" w14:textId="19735FB4" w:rsidR="00E8592F" w:rsidRDefault="003954B2" w:rsidP="0012152A">
      <w:pPr>
        <w:pStyle w:val="conclusionoflaw"/>
        <w:ind w:firstLine="360"/>
      </w:pPr>
      <w:r>
        <w:t>For SGIP purposes, t</w:t>
      </w:r>
      <w:r w:rsidR="008B5602">
        <w:t xml:space="preserve">he Commission should define </w:t>
      </w:r>
      <w:r w:rsidR="00E8592F">
        <w:t xml:space="preserve">residential </w:t>
      </w:r>
      <w:r w:rsidR="008B5602">
        <w:t xml:space="preserve">customers </w:t>
      </w:r>
      <w:r w:rsidR="005C18E4">
        <w:t xml:space="preserve">with </w:t>
      </w:r>
      <w:r w:rsidR="008B5602">
        <w:t xml:space="preserve">critical resiliency needs as </w:t>
      </w:r>
      <w:r w:rsidR="005C18E4">
        <w:t>customers that</w:t>
      </w:r>
      <w:r w:rsidR="00E8592F">
        <w:t>: (a) a</w:t>
      </w:r>
      <w:r w:rsidR="00E8592F" w:rsidRPr="00E8592F">
        <w:t xml:space="preserve">re </w:t>
      </w:r>
      <w:r w:rsidR="00EC6593">
        <w:t xml:space="preserve">located in a Tier 3 </w:t>
      </w:r>
      <w:r w:rsidR="00697BBC">
        <w:t xml:space="preserve">or Tier 2 </w:t>
      </w:r>
      <w:r w:rsidR="00EC6593">
        <w:t>HFTD</w:t>
      </w:r>
      <w:r w:rsidR="00116B07">
        <w:t>;</w:t>
      </w:r>
      <w:r w:rsidR="00912306">
        <w:t xml:space="preserve"> </w:t>
      </w:r>
      <w:r w:rsidR="00E8592F" w:rsidRPr="00E8592F">
        <w:t>and</w:t>
      </w:r>
      <w:r w:rsidR="00E8592F">
        <w:t>,</w:t>
      </w:r>
      <w:r w:rsidR="00E8592F" w:rsidRPr="00E8592F">
        <w:t xml:space="preserve"> </w:t>
      </w:r>
      <w:r w:rsidR="00E8592F">
        <w:t>(</w:t>
      </w:r>
      <w:r w:rsidR="00116B07">
        <w:t>b</w:t>
      </w:r>
      <w:r w:rsidR="00E8592F">
        <w:t>) a</w:t>
      </w:r>
      <w:r w:rsidR="00E8592F" w:rsidRPr="00E8592F">
        <w:t xml:space="preserve">re one of the following: </w:t>
      </w:r>
      <w:r w:rsidR="00E8592F">
        <w:t xml:space="preserve">(i) </w:t>
      </w:r>
      <w:r w:rsidR="00116B07">
        <w:t>eligible for the equity budget; (ii)</w:t>
      </w:r>
      <w:r w:rsidR="00AF6267">
        <w:t xml:space="preserve"> </w:t>
      </w:r>
      <w:r w:rsidR="005C18E4">
        <w:t xml:space="preserve">a </w:t>
      </w:r>
      <w:r w:rsidR="00E8592F">
        <w:t>m</w:t>
      </w:r>
      <w:r w:rsidR="00E8592F" w:rsidRPr="00E8592F">
        <w:t>edical baseline customer; or</w:t>
      </w:r>
      <w:r w:rsidR="00E8592F">
        <w:t xml:space="preserve"> (ii</w:t>
      </w:r>
      <w:r w:rsidR="00912306">
        <w:t>i</w:t>
      </w:r>
      <w:r w:rsidR="00E8592F">
        <w:t>) a c</w:t>
      </w:r>
      <w:r w:rsidR="00E8592F" w:rsidRPr="00E8592F">
        <w:t>ustomer that has notified their utility of serious illness or condition that could become life</w:t>
      </w:r>
      <w:r w:rsidR="00757681">
        <w:noBreakHyphen/>
      </w:r>
      <w:r w:rsidR="00E8592F" w:rsidRPr="00E8592F">
        <w:t>threatening if electricity is disconnected.</w:t>
      </w:r>
      <w:r w:rsidR="00E8592F" w:rsidDel="00E8592F">
        <w:t xml:space="preserve"> </w:t>
      </w:r>
    </w:p>
    <w:p w14:paraId="698B44F3" w14:textId="658D6CAE" w:rsidR="00E8592F" w:rsidRDefault="005B1F60" w:rsidP="0012152A">
      <w:pPr>
        <w:pStyle w:val="conclusionoflaw"/>
        <w:ind w:firstLine="360"/>
      </w:pPr>
      <w:r>
        <w:t>For SGIP purposes, t</w:t>
      </w:r>
      <w:r w:rsidR="00E8592F">
        <w:t>he Commission should define non</w:t>
      </w:r>
      <w:r w:rsidR="00757681">
        <w:noBreakHyphen/>
      </w:r>
      <w:r w:rsidR="00E8592F">
        <w:t xml:space="preserve">residential customers as having critical resiliency needs </w:t>
      </w:r>
      <w:r w:rsidR="00E8592F" w:rsidRPr="00E8592F">
        <w:t xml:space="preserve">if they </w:t>
      </w:r>
      <w:r w:rsidR="00DC1D32">
        <w:t xml:space="preserve">are located in a Tier </w:t>
      </w:r>
      <w:r w:rsidR="005E2AA2">
        <w:t>2 or Tier </w:t>
      </w:r>
      <w:r w:rsidR="00DC1D32">
        <w:t xml:space="preserve">3 HFTD and </w:t>
      </w:r>
      <w:r w:rsidR="00E8592F" w:rsidRPr="00E8592F">
        <w:t xml:space="preserve">provide critical </w:t>
      </w:r>
      <w:r w:rsidR="005C18E4">
        <w:t xml:space="preserve">facilities </w:t>
      </w:r>
      <w:r w:rsidR="00E8592F" w:rsidRPr="00E8592F">
        <w:t xml:space="preserve">or infrastructure </w:t>
      </w:r>
      <w:r w:rsidR="005C18E4">
        <w:t xml:space="preserve">as defined in this decision </w:t>
      </w:r>
      <w:r w:rsidR="00E8592F" w:rsidRPr="00E8592F">
        <w:t xml:space="preserve">for a community that is located in a </w:t>
      </w:r>
      <w:r w:rsidR="00697BBC">
        <w:t xml:space="preserve">Tier 2 or </w:t>
      </w:r>
      <w:r w:rsidR="00E8592F" w:rsidRPr="00E8592F">
        <w:t>Tier 3 HFTD and eligible for the equity budget</w:t>
      </w:r>
      <w:r w:rsidR="00E8592F">
        <w:t xml:space="preserve">. </w:t>
      </w:r>
    </w:p>
    <w:p w14:paraId="3C2142BA" w14:textId="263C4570" w:rsidR="00E8592F" w:rsidRDefault="005C18E4" w:rsidP="0012152A">
      <w:pPr>
        <w:pStyle w:val="conclusionoflaw"/>
        <w:ind w:firstLine="360"/>
      </w:pPr>
      <w:r>
        <w:t xml:space="preserve">For SGIP purposes, </w:t>
      </w:r>
      <w:r w:rsidR="001E2A14">
        <w:t>eligible</w:t>
      </w:r>
      <w:r>
        <w:t xml:space="preserve"> </w:t>
      </w:r>
      <w:r w:rsidR="00E8592F">
        <w:t>non</w:t>
      </w:r>
      <w:r w:rsidR="00757681">
        <w:noBreakHyphen/>
      </w:r>
      <w:r w:rsidR="00E8592F">
        <w:t xml:space="preserve">residential critical resiliency needs customers </w:t>
      </w:r>
      <w:r w:rsidR="001E2A14">
        <w:t>should be</w:t>
      </w:r>
      <w:r>
        <w:t xml:space="preserve"> </w:t>
      </w:r>
      <w:r w:rsidR="00E8592F">
        <w:t>p</w:t>
      </w:r>
      <w:r w:rsidR="00E8592F" w:rsidRPr="00E8592F">
        <w:t>olice stations; fire stations; emergency response providers</w:t>
      </w:r>
      <w:r w:rsidR="00E36D99">
        <w:t xml:space="preserve"> as defined in D.19</w:t>
      </w:r>
      <w:r w:rsidR="00757681">
        <w:noBreakHyphen/>
      </w:r>
      <w:r w:rsidR="00E36D99">
        <w:t>05</w:t>
      </w:r>
      <w:r w:rsidR="00757681">
        <w:noBreakHyphen/>
      </w:r>
      <w:r w:rsidR="00E36D99">
        <w:t>042</w:t>
      </w:r>
      <w:r w:rsidR="00E8592F" w:rsidRPr="00E8592F">
        <w:t xml:space="preserve">; emergency operations centers; </w:t>
      </w:r>
      <w:r w:rsidR="00A35DD1">
        <w:t>911 call centers (also referred to as Public Safety Answering Points</w:t>
      </w:r>
      <w:r w:rsidR="005111DC">
        <w:t>)</w:t>
      </w:r>
      <w:r w:rsidR="003823C3">
        <w:t>;</w:t>
      </w:r>
      <w:r w:rsidR="00A35DD1" w:rsidRPr="00E8592F">
        <w:t xml:space="preserve"> </w:t>
      </w:r>
      <w:r w:rsidR="00E8592F" w:rsidRPr="00E8592F">
        <w:t xml:space="preserve">medical facilities including hospitals, skilled nursing facilities, nursing homes, blood banks, health care facilities, dialysis centers and hospice facilities; public and private gas, electric, water, wastewater or flood control facilities; jails and prisons; locations designated by the IOUs to provide assistance during PSPS events; cooling centers </w:t>
      </w:r>
      <w:r w:rsidR="00E8592F" w:rsidRPr="00E8592F">
        <w:lastRenderedPageBreak/>
        <w:t>designated by state or local governments; and, homeless shelters supported by federal, state, or local governments.</w:t>
      </w:r>
    </w:p>
    <w:p w14:paraId="54E2EC5B" w14:textId="1BBCDCCC" w:rsidR="000F79E2" w:rsidRDefault="000F79E2" w:rsidP="0012152A">
      <w:pPr>
        <w:pStyle w:val="conclusionoflaw"/>
        <w:ind w:firstLine="360"/>
      </w:pPr>
      <w:r>
        <w:t xml:space="preserve">The Commission should </w:t>
      </w:r>
      <w:r w:rsidRPr="00D66D69">
        <w:t xml:space="preserve">authorize the PAs to jointly submit a </w:t>
      </w:r>
      <w:r>
        <w:t>Tier 2 advice letter to update the definition</w:t>
      </w:r>
      <w:r w:rsidRPr="00D66D69">
        <w:t xml:space="preserve"> of </w:t>
      </w:r>
      <w:r>
        <w:t>non</w:t>
      </w:r>
      <w:r w:rsidR="00757681">
        <w:noBreakHyphen/>
      </w:r>
      <w:r>
        <w:t xml:space="preserve">residential critical resiliency needs customers as </w:t>
      </w:r>
      <w:r w:rsidRPr="00D66D69">
        <w:t>these terms as they apply to the SGIP</w:t>
      </w:r>
      <w:r>
        <w:t xml:space="preserve">, if </w:t>
      </w:r>
      <w:r w:rsidRPr="00D66D69">
        <w:t>subsequent decisions in R.18</w:t>
      </w:r>
      <w:r w:rsidR="00757681">
        <w:noBreakHyphen/>
      </w:r>
      <w:r w:rsidRPr="00D66D69">
        <w:t>12</w:t>
      </w:r>
      <w:r w:rsidR="00757681">
        <w:noBreakHyphen/>
      </w:r>
      <w:r w:rsidRPr="00D66D69">
        <w:t>005</w:t>
      </w:r>
      <w:r w:rsidR="00DF6FDD">
        <w:t xml:space="preserve"> </w:t>
      </w:r>
      <w:r w:rsidRPr="00D66D69">
        <w:t>or a successor proceeding</w:t>
      </w:r>
      <w:r w:rsidR="00DF6FDD">
        <w:t xml:space="preserve"> </w:t>
      </w:r>
      <w:r w:rsidRPr="00D66D69">
        <w:t>update definitions of critical facilities, critical infrastructure or first responders</w:t>
      </w:r>
      <w:r>
        <w:t>.</w:t>
      </w:r>
    </w:p>
    <w:p w14:paraId="662DECF1" w14:textId="376F4A03" w:rsidR="00E8592F" w:rsidRDefault="0065793B" w:rsidP="0012152A">
      <w:pPr>
        <w:pStyle w:val="conclusionoflaw"/>
        <w:ind w:firstLine="360"/>
      </w:pPr>
      <w:r>
        <w:t>The Commission should</w:t>
      </w:r>
      <w:r w:rsidR="00E8592F">
        <w:t xml:space="preserve"> establish an </w:t>
      </w:r>
      <w:r w:rsidR="00321562">
        <w:t xml:space="preserve">SGIP </w:t>
      </w:r>
      <w:r w:rsidR="005F3AF5">
        <w:t>equity resiliency budget</w:t>
      </w:r>
      <w:r w:rsidR="00E8592F">
        <w:t xml:space="preserve"> with</w:t>
      </w:r>
      <w:r w:rsidR="00CB1D5B">
        <w:t xml:space="preserve"> </w:t>
      </w:r>
      <w:r>
        <w:t xml:space="preserve">incentives </w:t>
      </w:r>
      <w:r w:rsidR="00E8592F">
        <w:t>of</w:t>
      </w:r>
      <w:r>
        <w:t xml:space="preserve"> $</w:t>
      </w:r>
      <w:r w:rsidR="00697BBC">
        <w:t>1.00</w:t>
      </w:r>
      <w:r>
        <w:t xml:space="preserve">/Wh </w:t>
      </w:r>
      <w:r w:rsidR="00E8592F">
        <w:t>that is available for residential</w:t>
      </w:r>
      <w:r w:rsidR="00726C3C">
        <w:t xml:space="preserve"> and </w:t>
      </w:r>
      <w:r w:rsidR="00E8592F">
        <w:t>non</w:t>
      </w:r>
      <w:r w:rsidR="00757681">
        <w:noBreakHyphen/>
      </w:r>
      <w:r w:rsidR="00E8592F">
        <w:t>residential customers</w:t>
      </w:r>
      <w:r w:rsidR="00726C3C">
        <w:t xml:space="preserve"> with critical resiliency needs, </w:t>
      </w:r>
      <w:r w:rsidR="00186723">
        <w:t xml:space="preserve">as defined in this decision, </w:t>
      </w:r>
      <w:r w:rsidR="00E8592F">
        <w:t xml:space="preserve">and </w:t>
      </w:r>
      <w:r w:rsidR="00186723">
        <w:t xml:space="preserve">Tier 3 </w:t>
      </w:r>
      <w:r w:rsidR="00697BBC">
        <w:t xml:space="preserve">and Tier 2 </w:t>
      </w:r>
      <w:r w:rsidR="00E8592F">
        <w:t>HFTD SASH/DAC</w:t>
      </w:r>
      <w:r w:rsidR="00757681">
        <w:noBreakHyphen/>
      </w:r>
      <w:r w:rsidR="00E8592F">
        <w:t xml:space="preserve">SASH customers. </w:t>
      </w:r>
    </w:p>
    <w:p w14:paraId="29B6A8EE" w14:textId="4E531201" w:rsidR="0065793B" w:rsidRDefault="00E8592F" w:rsidP="0012152A">
      <w:pPr>
        <w:pStyle w:val="conclusionoflaw"/>
        <w:ind w:firstLine="360"/>
      </w:pPr>
      <w:r>
        <w:t>The Commission should establish a</w:t>
      </w:r>
      <w:r w:rsidR="005C18E4">
        <w:t>n</w:t>
      </w:r>
      <w:r>
        <w:t xml:space="preserve"> SJV pilot set</w:t>
      </w:r>
      <w:r w:rsidR="00757681">
        <w:noBreakHyphen/>
      </w:r>
      <w:r>
        <w:t xml:space="preserve">aside </w:t>
      </w:r>
      <w:r w:rsidR="005E2AA2">
        <w:t>of up to $10 </w:t>
      </w:r>
      <w:r w:rsidR="005C18E4">
        <w:t xml:space="preserve">million that provides </w:t>
      </w:r>
      <w:r>
        <w:t>incentives of $</w:t>
      </w:r>
      <w:r w:rsidR="00697BBC">
        <w:t>1.00</w:t>
      </w:r>
      <w:r>
        <w:t>/Wh</w:t>
      </w:r>
      <w:r w:rsidR="00F42D19">
        <w:t xml:space="preserve"> </w:t>
      </w:r>
      <w:r w:rsidR="005C18E4">
        <w:t>that i</w:t>
      </w:r>
      <w:r>
        <w:t>s available to customers</w:t>
      </w:r>
      <w:r w:rsidR="0029403A">
        <w:t xml:space="preserve"> located in </w:t>
      </w:r>
      <w:r w:rsidR="0029403A" w:rsidRPr="0029403A">
        <w:t>Allensworth, Alpaugh, Cantua Cre</w:t>
      </w:r>
      <w:r w:rsidR="005E2AA2">
        <w:t>ek, Ducor, Fairmead, Lanare, Le </w:t>
      </w:r>
      <w:r w:rsidR="0029403A" w:rsidRPr="0029403A">
        <w:t xml:space="preserve">Grand, La Vina, Seville, West Goshen, </w:t>
      </w:r>
      <w:r w:rsidR="0029403A">
        <w:t>or</w:t>
      </w:r>
      <w:r w:rsidR="0029403A" w:rsidRPr="0029403A">
        <w:t xml:space="preserve"> California City</w:t>
      </w:r>
      <w:r>
        <w:t xml:space="preserve"> that are either </w:t>
      </w:r>
      <w:r w:rsidR="00766C63" w:rsidRPr="00766C63">
        <w:t xml:space="preserve">households that participate in the SJV pilot </w:t>
      </w:r>
      <w:r w:rsidR="00766C63">
        <w:t>authorized in D.18</w:t>
      </w:r>
      <w:r w:rsidR="00757681">
        <w:noBreakHyphen/>
      </w:r>
      <w:r w:rsidR="00766C63">
        <w:t>12</w:t>
      </w:r>
      <w:r w:rsidR="00757681">
        <w:noBreakHyphen/>
      </w:r>
      <w:r w:rsidR="00766C63">
        <w:t xml:space="preserve">015 </w:t>
      </w:r>
      <w:r w:rsidR="00766C63" w:rsidRPr="00766C63">
        <w:t>by replacing one or more propane or wood</w:t>
      </w:r>
      <w:r w:rsidR="00757681">
        <w:noBreakHyphen/>
      </w:r>
      <w:r w:rsidR="00766C63" w:rsidRPr="00766C63">
        <w:t>burning applianc</w:t>
      </w:r>
      <w:r w:rsidR="00F42D19">
        <w:t>es with electric appliances</w:t>
      </w:r>
      <w:r w:rsidR="00697BBC">
        <w:t xml:space="preserve">, or by replacing inoperable or inefficient </w:t>
      </w:r>
      <w:r w:rsidR="004D0A87">
        <w:t xml:space="preserve">major </w:t>
      </w:r>
      <w:r w:rsidR="00697BBC">
        <w:t>electric appliances (such as heating, cooling and/or water heating systems) with efficient electric appliances,</w:t>
      </w:r>
      <w:r w:rsidR="00F42D19">
        <w:t xml:space="preserve"> and/</w:t>
      </w:r>
      <w:r w:rsidR="00766C63">
        <w:t xml:space="preserve">or </w:t>
      </w:r>
      <w:r w:rsidR="00766C63" w:rsidRPr="00766C63">
        <w:t>non</w:t>
      </w:r>
      <w:r w:rsidR="00757681">
        <w:noBreakHyphen/>
      </w:r>
      <w:r w:rsidR="00766C63" w:rsidRPr="00766C63">
        <w:t xml:space="preserve">residential customers </w:t>
      </w:r>
      <w:r w:rsidR="00766C63">
        <w:t xml:space="preserve">in these locations </w:t>
      </w:r>
      <w:r w:rsidR="00766C63" w:rsidRPr="00766C63">
        <w:t>that provide critical</w:t>
      </w:r>
      <w:r w:rsidR="00766C63">
        <w:t xml:space="preserve"> facilities or infrastructure as defined in Conclusion</w:t>
      </w:r>
      <w:r w:rsidR="005C18E4">
        <w:t>s</w:t>
      </w:r>
      <w:r w:rsidR="00766C63">
        <w:t xml:space="preserve"> of Law </w:t>
      </w:r>
      <w:r w:rsidR="001F7237">
        <w:t>6</w:t>
      </w:r>
      <w:r w:rsidR="005C18E4">
        <w:t xml:space="preserve"> and </w:t>
      </w:r>
      <w:r w:rsidR="001F7237">
        <w:t>7</w:t>
      </w:r>
      <w:r w:rsidR="00766C63">
        <w:t>.</w:t>
      </w:r>
    </w:p>
    <w:p w14:paraId="41ACFA64" w14:textId="63E685A1" w:rsidR="0029403A" w:rsidRDefault="00961604" w:rsidP="0012152A">
      <w:pPr>
        <w:pStyle w:val="conclusionoflaw"/>
        <w:ind w:firstLine="230"/>
      </w:pPr>
      <w:r>
        <w:t>The Commission should i</w:t>
      </w:r>
      <w:r w:rsidRPr="00961604">
        <w:t xml:space="preserve">ncrease the </w:t>
      </w:r>
      <w:r w:rsidR="005C18E4">
        <w:t xml:space="preserve">equity budget </w:t>
      </w:r>
      <w:r w:rsidRPr="00961604">
        <w:t>incentive level to $0.</w:t>
      </w:r>
      <w:r w:rsidR="0068006E">
        <w:t>8</w:t>
      </w:r>
      <w:r w:rsidRPr="00961604">
        <w:t>5/Wh</w:t>
      </w:r>
      <w:r>
        <w:t xml:space="preserve"> for </w:t>
      </w:r>
      <w:r w:rsidR="005C18E4">
        <w:t xml:space="preserve">qualifying </w:t>
      </w:r>
      <w:r>
        <w:t>customers</w:t>
      </w:r>
      <w:r w:rsidR="00766C63">
        <w:t xml:space="preserve"> that do not have critical resiliency needs, are not </w:t>
      </w:r>
      <w:r w:rsidR="00BF228C">
        <w:t xml:space="preserve">Tier 3 </w:t>
      </w:r>
      <w:r w:rsidR="0068006E">
        <w:t xml:space="preserve">or Tier 2 </w:t>
      </w:r>
      <w:r w:rsidR="00766C63">
        <w:t>HFTD SASH/DAC</w:t>
      </w:r>
      <w:r w:rsidR="00757681">
        <w:noBreakHyphen/>
      </w:r>
      <w:r w:rsidR="00766C63">
        <w:t>SASH customers and are not eligible for the SJV pilot set</w:t>
      </w:r>
      <w:r w:rsidR="00757681">
        <w:noBreakHyphen/>
      </w:r>
      <w:r w:rsidR="00766C63">
        <w:t xml:space="preserve">aside as defined in this decision. </w:t>
      </w:r>
    </w:p>
    <w:p w14:paraId="01AFC2BC" w14:textId="145BBF06" w:rsidR="0061511B" w:rsidRDefault="005C18E4" w:rsidP="0012152A">
      <w:pPr>
        <w:pStyle w:val="conclusionoflaw"/>
        <w:ind w:firstLine="230"/>
      </w:pPr>
      <w:r>
        <w:lastRenderedPageBreak/>
        <w:t xml:space="preserve">The Commission should deter </w:t>
      </w:r>
      <w:r w:rsidR="0061511B">
        <w:t xml:space="preserve">SGIP storage developers </w:t>
      </w:r>
      <w:r>
        <w:t xml:space="preserve">from </w:t>
      </w:r>
      <w:r w:rsidR="0061511B">
        <w:t>increas</w:t>
      </w:r>
      <w:r>
        <w:t>ing</w:t>
      </w:r>
      <w:r w:rsidR="0061511B">
        <w:t xml:space="preserve"> the price of a storage system to equity budget customers because SGIP incentives are available. </w:t>
      </w:r>
    </w:p>
    <w:p w14:paraId="146D0762" w14:textId="4381FB6B" w:rsidR="0061511B" w:rsidRDefault="0061511B" w:rsidP="0012152A">
      <w:pPr>
        <w:pStyle w:val="conclusionoflaw"/>
        <w:ind w:firstLine="230"/>
      </w:pPr>
      <w:r>
        <w:t xml:space="preserve">The Commission should </w:t>
      </w:r>
      <w:r w:rsidRPr="0061511B">
        <w:t xml:space="preserve">direct </w:t>
      </w:r>
      <w:r w:rsidR="005C18E4">
        <w:t xml:space="preserve">the </w:t>
      </w:r>
      <w:r>
        <w:t xml:space="preserve">SGIP </w:t>
      </w:r>
      <w:r w:rsidRPr="0061511B">
        <w:t>PAs to add the following statement to the SGIP handbook: “</w:t>
      </w:r>
      <w:r w:rsidR="00766C63">
        <w:t>v</w:t>
      </w:r>
      <w:r w:rsidRPr="0061511B">
        <w:t xml:space="preserve">endors/developers shall not sell a </w:t>
      </w:r>
      <w:r w:rsidR="005111DC">
        <w:t xml:space="preserve">residential </w:t>
      </w:r>
      <w:r w:rsidRPr="0061511B">
        <w:t>storage system that receives incentives for a total price (before incentives) that is greater than the price they sell a comparable system that does not receive incentives.” </w:t>
      </w:r>
    </w:p>
    <w:p w14:paraId="6B1C5546" w14:textId="6E671391" w:rsidR="0061511B" w:rsidRDefault="0061511B" w:rsidP="0012152A">
      <w:pPr>
        <w:pStyle w:val="conclusionoflaw"/>
        <w:ind w:firstLine="230"/>
      </w:pPr>
      <w:r>
        <w:t xml:space="preserve">The Commission should </w:t>
      </w:r>
      <w:r w:rsidRPr="0061511B">
        <w:t xml:space="preserve">direct </w:t>
      </w:r>
      <w:r>
        <w:t xml:space="preserve">SGIP </w:t>
      </w:r>
      <w:r w:rsidRPr="0061511B">
        <w:t xml:space="preserve">PAs to work with Commission staff to determine if it is feasible to implement a price cap on </w:t>
      </w:r>
      <w:r w:rsidR="0042200F">
        <w:t xml:space="preserve">residential </w:t>
      </w:r>
      <w:r>
        <w:t xml:space="preserve">storage </w:t>
      </w:r>
      <w:r w:rsidRPr="0061511B">
        <w:t>systems receiving SGIP equity budget</w:t>
      </w:r>
      <w:r>
        <w:t xml:space="preserve"> incentives</w:t>
      </w:r>
      <w:r w:rsidRPr="0061511B">
        <w:t>, if there should be any exceptions</w:t>
      </w:r>
      <w:r>
        <w:t xml:space="preserve"> to such an approach</w:t>
      </w:r>
      <w:r w:rsidRPr="0061511B">
        <w:t>, how to address longer duration batteries, and other issues about how to implement such a cap</w:t>
      </w:r>
      <w:r>
        <w:t>, and should authorize</w:t>
      </w:r>
      <w:r w:rsidRPr="0061511B">
        <w:t xml:space="preserve"> the PAs </w:t>
      </w:r>
      <w:r>
        <w:t xml:space="preserve">to </w:t>
      </w:r>
      <w:r w:rsidRPr="0061511B">
        <w:t xml:space="preserve">file a proposal </w:t>
      </w:r>
      <w:r w:rsidR="00072163">
        <w:t xml:space="preserve">on this topic as appropriate via a </w:t>
      </w:r>
      <w:r w:rsidRPr="0061511B">
        <w:t>Tier 2 advice letter.</w:t>
      </w:r>
    </w:p>
    <w:p w14:paraId="13BAB024" w14:textId="260612A1" w:rsidR="00A62C83" w:rsidRDefault="00A75FFF" w:rsidP="0012152A">
      <w:pPr>
        <w:pStyle w:val="conclusionoflaw"/>
        <w:ind w:firstLine="230"/>
      </w:pPr>
      <w:r>
        <w:t xml:space="preserve">The Commission should </w:t>
      </w:r>
      <w:r w:rsidR="00766C63">
        <w:t>eliminate the step</w:t>
      </w:r>
      <w:r w:rsidR="00757681">
        <w:noBreakHyphen/>
      </w:r>
      <w:r w:rsidR="00766C63">
        <w:t>up e</w:t>
      </w:r>
      <w:r w:rsidR="009C0F7E">
        <w:t>quity budget incentive structure</w:t>
      </w:r>
      <w:r w:rsidR="00766C63">
        <w:t xml:space="preserve"> adopted in D.17</w:t>
      </w:r>
      <w:r w:rsidR="00757681">
        <w:noBreakHyphen/>
      </w:r>
      <w:r w:rsidR="00766C63">
        <w:t>10</w:t>
      </w:r>
      <w:r w:rsidR="00757681">
        <w:noBreakHyphen/>
      </w:r>
      <w:r w:rsidR="00766C63">
        <w:t xml:space="preserve">004 and adopt a fixed equity budget incentive level. </w:t>
      </w:r>
      <w:r w:rsidR="00AD1CF1">
        <w:t xml:space="preserve"> </w:t>
      </w:r>
    </w:p>
    <w:p w14:paraId="210A5257" w14:textId="407310C4" w:rsidR="002873ED" w:rsidRDefault="002873ED" w:rsidP="0012152A">
      <w:pPr>
        <w:pStyle w:val="conclusionoflaw"/>
        <w:ind w:firstLine="230"/>
      </w:pPr>
      <w:r>
        <w:t>The Commission should</w:t>
      </w:r>
      <w:r w:rsidRPr="002873ED">
        <w:t xml:space="preserve"> </w:t>
      </w:r>
      <w:r>
        <w:t>affirm</w:t>
      </w:r>
      <w:r w:rsidRPr="002873ED">
        <w:t xml:space="preserve"> that the SGIP PAs have authority to file a Tier 3 advice letter to modify the equity budget, equity resiliency budget and the SJV pilot set</w:t>
      </w:r>
      <w:r w:rsidR="00757681">
        <w:noBreakHyphen/>
      </w:r>
      <w:r w:rsidRPr="002873ED">
        <w:t>asid</w:t>
      </w:r>
      <w:r w:rsidR="00DF6FDD">
        <w:t xml:space="preserve">e </w:t>
      </w:r>
      <w:r w:rsidRPr="002873ED">
        <w:t xml:space="preserve">as warranted to increase customer participation.  </w:t>
      </w:r>
    </w:p>
    <w:p w14:paraId="7B4C3580" w14:textId="195710FD" w:rsidR="002873ED" w:rsidRDefault="002873ED" w:rsidP="0012152A">
      <w:pPr>
        <w:pStyle w:val="conclusionoflaw"/>
        <w:ind w:firstLine="230"/>
      </w:pPr>
      <w:r>
        <w:t xml:space="preserve">The Commission should affirm that the </w:t>
      </w:r>
      <w:r w:rsidRPr="002873ED">
        <w:t>Energy Division retains authority to change the equity budget</w:t>
      </w:r>
      <w:r w:rsidR="00DF6FDD">
        <w:t>, the equity resiliency budget and/or the SJV pilot set</w:t>
      </w:r>
      <w:r w:rsidR="00757681">
        <w:noBreakHyphen/>
      </w:r>
      <w:r w:rsidR="00DF6FDD">
        <w:t xml:space="preserve">aside </w:t>
      </w:r>
      <w:r w:rsidRPr="002873ED">
        <w:t xml:space="preserve">on its own motion via resolution.  </w:t>
      </w:r>
    </w:p>
    <w:p w14:paraId="4B895B53" w14:textId="49FA6AB1" w:rsidR="00932F32" w:rsidRDefault="00A62C83" w:rsidP="0012152A">
      <w:pPr>
        <w:pStyle w:val="conclusionoflaw"/>
        <w:ind w:firstLine="230"/>
      </w:pPr>
      <w:r w:rsidRPr="00766C63">
        <w:t xml:space="preserve">The Commission should modify the </w:t>
      </w:r>
      <w:r w:rsidR="00766C63" w:rsidRPr="00766C63">
        <w:t xml:space="preserve">duration </w:t>
      </w:r>
      <w:r w:rsidRPr="00766C63">
        <w:t>step</w:t>
      </w:r>
      <w:r w:rsidR="00757681">
        <w:noBreakHyphen/>
      </w:r>
      <w:r w:rsidRPr="00766C63">
        <w:t xml:space="preserve">down </w:t>
      </w:r>
      <w:r w:rsidR="00766C63" w:rsidRPr="00766C63">
        <w:t xml:space="preserve">incentive </w:t>
      </w:r>
      <w:r w:rsidRPr="00766C63">
        <w:t xml:space="preserve">structure </w:t>
      </w:r>
      <w:r w:rsidR="00766C63" w:rsidRPr="00766C63">
        <w:t>adopted in D.16</w:t>
      </w:r>
      <w:r w:rsidR="00757681">
        <w:noBreakHyphen/>
      </w:r>
      <w:r w:rsidR="00766C63" w:rsidRPr="00766C63">
        <w:t>06</w:t>
      </w:r>
      <w:r w:rsidR="00757681">
        <w:noBreakHyphen/>
      </w:r>
      <w:r w:rsidR="00766C63" w:rsidRPr="00766C63">
        <w:t xml:space="preserve">055 as it applies to equity budget </w:t>
      </w:r>
      <w:r w:rsidR="006D4367">
        <w:t xml:space="preserve">projects </w:t>
      </w:r>
      <w:r w:rsidRPr="00766C63">
        <w:t xml:space="preserve">such that storage </w:t>
      </w:r>
      <w:r w:rsidR="00766C63" w:rsidRPr="00766C63">
        <w:t xml:space="preserve">with </w:t>
      </w:r>
      <w:r w:rsidRPr="00766C63">
        <w:t xml:space="preserve">a discharge duration of </w:t>
      </w:r>
      <w:r w:rsidR="00574012">
        <w:t xml:space="preserve">zero </w:t>
      </w:r>
      <w:r w:rsidR="00766C63">
        <w:t xml:space="preserve">to </w:t>
      </w:r>
      <w:r w:rsidRPr="00A62C83">
        <w:t xml:space="preserve">four </w:t>
      </w:r>
      <w:r w:rsidR="00766C63">
        <w:t xml:space="preserve">hours receives 100 percent of the base rate and systems with a discharge duration of four </w:t>
      </w:r>
      <w:r w:rsidRPr="00A62C83">
        <w:t xml:space="preserve">to </w:t>
      </w:r>
      <w:r w:rsidR="007718F8">
        <w:t>six</w:t>
      </w:r>
      <w:r w:rsidRPr="00A62C83">
        <w:t xml:space="preserve"> hours receive </w:t>
      </w:r>
      <w:r w:rsidR="0068006E">
        <w:lastRenderedPageBreak/>
        <w:t>50</w:t>
      </w:r>
      <w:r w:rsidRPr="00A62C83">
        <w:t xml:space="preserve"> percent of the base rate</w:t>
      </w:r>
      <w:r w:rsidR="00086552">
        <w:t xml:space="preserve"> for any discharge duration </w:t>
      </w:r>
      <w:r w:rsidR="00DF6FDD">
        <w:t xml:space="preserve">capacity of between </w:t>
      </w:r>
      <w:r w:rsidR="00086552">
        <w:t>four</w:t>
      </w:r>
      <w:r w:rsidR="00DF6FDD">
        <w:t xml:space="preserve"> and </w:t>
      </w:r>
      <w:r w:rsidR="007718F8">
        <w:t>six</w:t>
      </w:r>
      <w:r w:rsidR="00086552">
        <w:t xml:space="preserve"> hours.</w:t>
      </w:r>
    </w:p>
    <w:p w14:paraId="63050028" w14:textId="18F6DCBC" w:rsidR="00932F32" w:rsidRDefault="00D57068" w:rsidP="0012152A">
      <w:pPr>
        <w:pStyle w:val="conclusionoflaw"/>
        <w:ind w:firstLine="230"/>
      </w:pPr>
      <w:r>
        <w:t xml:space="preserve">The Commission </w:t>
      </w:r>
      <w:r w:rsidR="00932F32">
        <w:t xml:space="preserve">should </w:t>
      </w:r>
      <w:r>
        <w:t xml:space="preserve">require </w:t>
      </w:r>
      <w:r w:rsidR="00932F32">
        <w:t xml:space="preserve">all </w:t>
      </w:r>
      <w:r w:rsidR="00F8686A">
        <w:t xml:space="preserve">equity budget and </w:t>
      </w:r>
      <w:r w:rsidR="00932F32">
        <w:t xml:space="preserve">equity resiliency </w:t>
      </w:r>
      <w:r>
        <w:t>projects</w:t>
      </w:r>
      <w:r w:rsidR="00F8686A">
        <w:t xml:space="preserve"> </w:t>
      </w:r>
      <w:r>
        <w:t xml:space="preserve">to meet all </w:t>
      </w:r>
      <w:r w:rsidR="00932F32">
        <w:t xml:space="preserve">SGIP </w:t>
      </w:r>
      <w:r w:rsidRPr="00D57068">
        <w:t xml:space="preserve">GHG emission reduction, cycling and other system and operational requirements as these ensure that </w:t>
      </w:r>
      <w:r w:rsidR="00F8686A">
        <w:t xml:space="preserve">storage </w:t>
      </w:r>
      <w:r w:rsidR="00932F32">
        <w:t xml:space="preserve">systems receiving incentives </w:t>
      </w:r>
      <w:r w:rsidRPr="00D57068">
        <w:t xml:space="preserve">will not be used only or primarily to provide backup power.   </w:t>
      </w:r>
    </w:p>
    <w:p w14:paraId="76C5D683" w14:textId="092B9720" w:rsidR="00F42D19" w:rsidRDefault="00180957" w:rsidP="0012152A">
      <w:pPr>
        <w:pStyle w:val="conclusionoflaw"/>
        <w:ind w:firstLine="230"/>
      </w:pPr>
      <w:r>
        <w:t>The</w:t>
      </w:r>
      <w:r w:rsidR="00EF3610">
        <w:t xml:space="preserve"> Commission should direct PAs to modify the</w:t>
      </w:r>
      <w:r w:rsidR="0047138A">
        <w:t xml:space="preserve"> SGIP incentive application </w:t>
      </w:r>
      <w:r w:rsidR="00EF3610">
        <w:t xml:space="preserve">to require </w:t>
      </w:r>
      <w:r w:rsidR="0047138A">
        <w:t xml:space="preserve">developers applying for </w:t>
      </w:r>
      <w:r w:rsidR="00761B10">
        <w:t xml:space="preserve">the </w:t>
      </w:r>
      <w:r w:rsidR="005F3AF5">
        <w:t>equity resiliency budget</w:t>
      </w:r>
      <w:r w:rsidR="00550644">
        <w:t xml:space="preserve">, </w:t>
      </w:r>
      <w:r w:rsidR="00540569">
        <w:t>and</w:t>
      </w:r>
      <w:r w:rsidR="00550644">
        <w:t xml:space="preserve"> </w:t>
      </w:r>
      <w:r w:rsidR="00470B96">
        <w:t>non</w:t>
      </w:r>
      <w:r w:rsidR="00757681">
        <w:noBreakHyphen/>
      </w:r>
      <w:r w:rsidR="004B2324">
        <w:t xml:space="preserve">equity </w:t>
      </w:r>
      <w:r w:rsidR="00470B96">
        <w:t>resiliency</w:t>
      </w:r>
      <w:r w:rsidR="004B2324">
        <w:t xml:space="preserve"> </w:t>
      </w:r>
      <w:r w:rsidR="00550644">
        <w:t>budget systems with longer than two hour duration</w:t>
      </w:r>
      <w:r w:rsidR="007859C1">
        <w:t xml:space="preserve"> </w:t>
      </w:r>
      <w:r w:rsidR="00D92112">
        <w:t>to</w:t>
      </w:r>
      <w:r w:rsidR="0047138A">
        <w:t>:</w:t>
      </w:r>
      <w:r w:rsidR="00EF3610">
        <w:t xml:space="preserve"> </w:t>
      </w:r>
      <w:r w:rsidR="005E2AA2">
        <w:t xml:space="preserve"> </w:t>
      </w:r>
      <w:r w:rsidR="00EF3610" w:rsidRPr="00EF3610">
        <w:t>(</w:t>
      </w:r>
      <w:r w:rsidR="00EF3610">
        <w:t>a</w:t>
      </w:r>
      <w:r w:rsidR="005E2AA2">
        <w:t>) </w:t>
      </w:r>
      <w:r w:rsidR="00EF3610" w:rsidRPr="00EF3610">
        <w:t>provide an estimate of how long a project’s fully charged battery will provide electricity for the relevant facility average load during an outage; (</w:t>
      </w:r>
      <w:r w:rsidR="00EF3610">
        <w:t>b</w:t>
      </w:r>
      <w:r w:rsidR="00EF3610" w:rsidRPr="00EF3610">
        <w:t>) indicate whether a project’s critical loads can and will be isolated</w:t>
      </w:r>
      <w:r w:rsidR="0068006E">
        <w:t xml:space="preserve">; (c) </w:t>
      </w:r>
      <w:r w:rsidR="00EF3610" w:rsidRPr="00EF3610">
        <w:t xml:space="preserve">provide an estimate of how long the project’s fully charged battery will provide electricity critical uses during an outage; </w:t>
      </w:r>
      <w:r w:rsidR="0068006E">
        <w:t>(d) provide an estimate of how long the project can operate in less</w:t>
      </w:r>
      <w:r w:rsidR="00757681">
        <w:noBreakHyphen/>
      </w:r>
      <w:r w:rsidR="0068006E">
        <w:t xml:space="preserve">than favorable circumstances, such as if an outage occurs when the battery has been discharged or during the winter (if paired with solar); (e) summarize information given to the customer about how the customer may best prepare the storage system to provide backup power, in the case of PSPS events announced in advance; </w:t>
      </w:r>
      <w:r w:rsidR="0068006E" w:rsidRPr="00D32CB0">
        <w:t>(</w:t>
      </w:r>
      <w:r w:rsidR="0068006E">
        <w:t>f</w:t>
      </w:r>
      <w:r w:rsidR="0068006E" w:rsidRPr="00D32CB0">
        <w:t>)</w:t>
      </w:r>
      <w:r w:rsidR="0068006E">
        <w:t xml:space="preserve"> </w:t>
      </w:r>
      <w:r w:rsidR="00EF3610" w:rsidRPr="00EF3610">
        <w:t>attest to the truth of the information provided</w:t>
      </w:r>
      <w:r w:rsidR="0068006E">
        <w:t>;</w:t>
      </w:r>
      <w:r w:rsidR="00EF3610" w:rsidRPr="00EF3610">
        <w:t xml:space="preserve"> and</w:t>
      </w:r>
      <w:r w:rsidR="0068006E">
        <w:t xml:space="preserve">, (g) provide an attestation from the customer indicating that he or she received this </w:t>
      </w:r>
      <w:r w:rsidR="00EF3610" w:rsidRPr="00EF3610">
        <w:t xml:space="preserve">information </w:t>
      </w:r>
      <w:r w:rsidR="0068006E">
        <w:t xml:space="preserve">prior to </w:t>
      </w:r>
      <w:r w:rsidR="00EF3610" w:rsidRPr="00EF3610">
        <w:t>sign</w:t>
      </w:r>
      <w:r w:rsidR="0068006E">
        <w:t>ing</w:t>
      </w:r>
      <w:r w:rsidR="00EF3610" w:rsidRPr="00EF3610">
        <w:t xml:space="preserve"> a contract</w:t>
      </w:r>
      <w:r w:rsidR="00F42D19">
        <w:t>.</w:t>
      </w:r>
    </w:p>
    <w:p w14:paraId="41E13742" w14:textId="2C64BF90" w:rsidR="0068006E" w:rsidRDefault="0068006E" w:rsidP="0012152A">
      <w:pPr>
        <w:pStyle w:val="conclusionoflaw"/>
        <w:ind w:firstLine="230"/>
      </w:pPr>
      <w:r>
        <w:t xml:space="preserve">The Commission should direct the PAs to develop standard forms for the customer and developer attestations described in Conclusion of Law </w:t>
      </w:r>
      <w:r w:rsidR="00DF6FDD">
        <w:t>20</w:t>
      </w:r>
      <w:r>
        <w:t xml:space="preserve"> in consultation with the SGIP TWG and should notify disability </w:t>
      </w:r>
      <w:r w:rsidR="00754CCC">
        <w:t>advocate</w:t>
      </w:r>
      <w:r>
        <w:t>s of the opportunity to participate in these discussions.</w:t>
      </w:r>
    </w:p>
    <w:p w14:paraId="5983FB39" w14:textId="49FD50A6" w:rsidR="009807BD" w:rsidRDefault="00F42D19" w:rsidP="0012152A">
      <w:pPr>
        <w:pStyle w:val="conclusionoflaw"/>
        <w:ind w:firstLine="230"/>
      </w:pPr>
      <w:r>
        <w:lastRenderedPageBreak/>
        <w:t xml:space="preserve">The Commission should direct PAs to ensure that equity resiliency projects </w:t>
      </w:r>
      <w:r w:rsidR="00540569">
        <w:t>and</w:t>
      </w:r>
      <w:r>
        <w:t xml:space="preserve"> non</w:t>
      </w:r>
      <w:r w:rsidR="00757681">
        <w:noBreakHyphen/>
      </w:r>
      <w:r w:rsidR="00540569">
        <w:t xml:space="preserve">equity </w:t>
      </w:r>
      <w:r>
        <w:t xml:space="preserve">resiliency budget systems </w:t>
      </w:r>
      <w:r w:rsidRPr="00F42D19">
        <w:t xml:space="preserve">with </w:t>
      </w:r>
      <w:r w:rsidR="0003048A">
        <w:t xml:space="preserve">a </w:t>
      </w:r>
      <w:r w:rsidRPr="00F42D19">
        <w:t>longer than</w:t>
      </w:r>
      <w:r>
        <w:t xml:space="preserve"> two</w:t>
      </w:r>
      <w:r w:rsidR="00757681">
        <w:noBreakHyphen/>
      </w:r>
      <w:r w:rsidRPr="00F42D19">
        <w:t xml:space="preserve">hour </w:t>
      </w:r>
      <w:r>
        <w:t xml:space="preserve">duration </w:t>
      </w:r>
      <w:r w:rsidRPr="00F42D19">
        <w:t>demonstrate to the PAs that</w:t>
      </w:r>
      <w:r w:rsidR="0011548C">
        <w:t xml:space="preserve">: (a) </w:t>
      </w:r>
      <w:r w:rsidRPr="00F42D19">
        <w:t xml:space="preserve">an AHJ has </w:t>
      </w:r>
      <w:r w:rsidR="0011548C">
        <w:t xml:space="preserve">approved plans showing that </w:t>
      </w:r>
      <w:r w:rsidRPr="00F42D19">
        <w:t>the system can operate in island mode</w:t>
      </w:r>
      <w:r w:rsidR="0011548C">
        <w:t xml:space="preserve">; and, (b) an AHJ </w:t>
      </w:r>
      <w:r w:rsidR="0054653B">
        <w:t xml:space="preserve">has </w:t>
      </w:r>
      <w:r w:rsidR="0011548C">
        <w:t xml:space="preserve">inspected the system after installation and </w:t>
      </w:r>
      <w:r w:rsidR="0054653B">
        <w:t xml:space="preserve">has </w:t>
      </w:r>
      <w:r w:rsidR="0011548C">
        <w:t xml:space="preserve">authorized operation. </w:t>
      </w:r>
    </w:p>
    <w:p w14:paraId="4462CCDD" w14:textId="160BD828" w:rsidR="00EB1D3E" w:rsidRDefault="003444C7" w:rsidP="0012152A">
      <w:pPr>
        <w:pStyle w:val="conclusionoflaw"/>
        <w:ind w:firstLine="230"/>
      </w:pPr>
      <w:r>
        <w:t xml:space="preserve">The Commission should </w:t>
      </w:r>
      <w:r w:rsidR="008733CD">
        <w:t>modify SGIP eligibility requirements to include systems that interconnect to the local electric utility’s distribution system under the requirements of the VNEM tariff</w:t>
      </w:r>
      <w:r w:rsidR="00DE4C36">
        <w:t xml:space="preserve"> and should modify the definition of host customer in the SGIP handbook to include properties enrolled in a VNEM tariff. </w:t>
      </w:r>
    </w:p>
    <w:p w14:paraId="41CDBFFE" w14:textId="33306695" w:rsidR="00EB1D3E" w:rsidRDefault="00EB1D3E" w:rsidP="0012152A">
      <w:pPr>
        <w:pStyle w:val="conclusionoflaw"/>
        <w:ind w:firstLine="230"/>
      </w:pPr>
      <w:r>
        <w:t xml:space="preserve">The Commission should direct </w:t>
      </w:r>
      <w:r w:rsidRPr="00D47B32">
        <w:t>SDG&amp;E</w:t>
      </w:r>
      <w:r>
        <w:t xml:space="preserve"> and </w:t>
      </w:r>
      <w:r w:rsidRPr="00D47B32">
        <w:t xml:space="preserve">the SGIP PAs </w:t>
      </w:r>
      <w:r>
        <w:t xml:space="preserve">to </w:t>
      </w:r>
      <w:r w:rsidRPr="00D47B32">
        <w:t>discuss the</w:t>
      </w:r>
      <w:r>
        <w:t xml:space="preserve"> </w:t>
      </w:r>
      <w:r w:rsidR="005E2AA2">
        <w:t>IOUs’</w:t>
      </w:r>
      <w:r>
        <w:t xml:space="preserve"> </w:t>
      </w:r>
      <w:r w:rsidRPr="00D47B32">
        <w:t xml:space="preserve">AB 802 and SOMAH </w:t>
      </w:r>
      <w:r>
        <w:t>p</w:t>
      </w:r>
      <w:r w:rsidRPr="00D47B32">
        <w:t xml:space="preserve">rogram building benchmarking processes with the SGIP TWG </w:t>
      </w:r>
      <w:r>
        <w:t>and interested</w:t>
      </w:r>
      <w:r w:rsidR="00F42D19">
        <w:t xml:space="preserve"> electric municipal utilities and</w:t>
      </w:r>
      <w:r>
        <w:t xml:space="preserve"> Customer Choice Aggregation entities</w:t>
      </w:r>
      <w:r w:rsidRPr="00D47B32">
        <w:t xml:space="preserve"> to identify the best method</w:t>
      </w:r>
      <w:r>
        <w:t>s</w:t>
      </w:r>
      <w:r w:rsidRPr="00D47B32">
        <w:t xml:space="preserve"> to apply these </w:t>
      </w:r>
      <w:r>
        <w:t xml:space="preserve">or similar </w:t>
      </w:r>
      <w:r w:rsidRPr="00D47B32">
        <w:t>tools to the SGIP</w:t>
      </w:r>
      <w:r>
        <w:t>.</w:t>
      </w:r>
    </w:p>
    <w:p w14:paraId="383808D5" w14:textId="28EF2903" w:rsidR="00EB1D3E" w:rsidRDefault="00EB1D3E" w:rsidP="0012152A">
      <w:pPr>
        <w:pStyle w:val="conclusionoflaw"/>
        <w:ind w:firstLine="230"/>
      </w:pPr>
      <w:r>
        <w:t>The Commission should direct SGIP PAs to review and update</w:t>
      </w:r>
      <w:r w:rsidR="00F42D19">
        <w:t>,</w:t>
      </w:r>
      <w:r>
        <w:t xml:space="preserve"> </w:t>
      </w:r>
      <w:r w:rsidR="00F42D19">
        <w:t xml:space="preserve">as needed, </w:t>
      </w:r>
      <w:r>
        <w:t>the SGIP’s system</w:t>
      </w:r>
      <w:r w:rsidR="00757681">
        <w:noBreakHyphen/>
      </w:r>
      <w:r>
        <w:t xml:space="preserve">sizing requirements for multifamily housing </w:t>
      </w:r>
      <w:r w:rsidRPr="008E3AC4">
        <w:t>based on</w:t>
      </w:r>
      <w:r>
        <w:t xml:space="preserve"> a property’s historical electrical usage to facilitate the participation of multifamily buildings in the SGIP.  </w:t>
      </w:r>
    </w:p>
    <w:p w14:paraId="7314BED6" w14:textId="72F72396" w:rsidR="00EB1D3E" w:rsidRDefault="00EB1D3E" w:rsidP="0012152A">
      <w:pPr>
        <w:pStyle w:val="conclusionoflaw"/>
        <w:ind w:firstLine="230"/>
      </w:pPr>
      <w:r>
        <w:t>The Commission should</w:t>
      </w:r>
      <w:r w:rsidR="00574012">
        <w:t xml:space="preserve">, for the equity budget, </w:t>
      </w:r>
      <w:r>
        <w:t xml:space="preserve">waive the SGIP handbook requirement that PAs must reduce SGIP incentives for </w:t>
      </w:r>
      <w:r w:rsidRPr="00856B3F">
        <w:t xml:space="preserve">projects </w:t>
      </w:r>
      <w:r>
        <w:t>that receive non</w:t>
      </w:r>
      <w:r w:rsidR="00757681">
        <w:noBreakHyphen/>
      </w:r>
      <w:r>
        <w:t xml:space="preserve">SGIP </w:t>
      </w:r>
      <w:r w:rsidRPr="00856B3F">
        <w:t>incentives funde</w:t>
      </w:r>
      <w:r>
        <w:t xml:space="preserve">d </w:t>
      </w:r>
      <w:r w:rsidRPr="00856B3F">
        <w:t xml:space="preserve">by IOU </w:t>
      </w:r>
      <w:r w:rsidR="00574012">
        <w:t xml:space="preserve">ratepayers or </w:t>
      </w:r>
      <w:r>
        <w:t>non</w:t>
      </w:r>
      <w:r w:rsidR="00757681">
        <w:noBreakHyphen/>
      </w:r>
      <w:r>
        <w:t>IOU</w:t>
      </w:r>
      <w:r w:rsidR="00574012">
        <w:t xml:space="preserve">s </w:t>
      </w:r>
      <w:r>
        <w:t>by the full amount and 50 percent</w:t>
      </w:r>
      <w:r w:rsidRPr="00856B3F">
        <w:t xml:space="preserve"> of the amount of the other incentive</w:t>
      </w:r>
      <w:r>
        <w:t xml:space="preserve">(s) respectively and instead direct </w:t>
      </w:r>
      <w:r w:rsidRPr="00E1461E">
        <w:t>SGIP PAs to reduce the SGIP incentive as needed so that the SGIP incentive and external funding combined do not exceed the total installed costs of the system. </w:t>
      </w:r>
    </w:p>
    <w:p w14:paraId="39903F9A" w14:textId="715DEE7A" w:rsidR="00C613FA" w:rsidRDefault="00C613FA" w:rsidP="0012152A">
      <w:pPr>
        <w:pStyle w:val="conclusionoflaw"/>
        <w:ind w:firstLine="230"/>
      </w:pPr>
      <w:r>
        <w:lastRenderedPageBreak/>
        <w:t>The Commission should direct the PAs to develop a</w:t>
      </w:r>
      <w:r w:rsidRPr="00C613FA">
        <w:t xml:space="preserve"> customized equity budget ME&amp;O Plan</w:t>
      </w:r>
      <w:r w:rsidR="00806578">
        <w:t xml:space="preserve"> </w:t>
      </w:r>
      <w:r w:rsidR="0011548C">
        <w:t xml:space="preserve">in consultation with </w:t>
      </w:r>
      <w:r w:rsidR="002048B5">
        <w:t xml:space="preserve">disability rights advocates and </w:t>
      </w:r>
      <w:r w:rsidR="00806578">
        <w:t xml:space="preserve">other key stakeholders </w:t>
      </w:r>
      <w:r>
        <w:t xml:space="preserve">that: (a) </w:t>
      </w:r>
      <w:r w:rsidRPr="00C613FA">
        <w:t>co</w:t>
      </w:r>
      <w:r w:rsidR="00757681">
        <w:noBreakHyphen/>
      </w:r>
      <w:r w:rsidRPr="00C613FA">
        <w:t>promote</w:t>
      </w:r>
      <w:r>
        <w:t>s</w:t>
      </w:r>
      <w:r w:rsidRPr="00C613FA">
        <w:t xml:space="preserve"> SGIP equity budget incentives alongside SASH, DAC</w:t>
      </w:r>
      <w:r w:rsidR="00757681">
        <w:noBreakHyphen/>
      </w:r>
      <w:r w:rsidRPr="00C613FA">
        <w:t xml:space="preserve">SASH and SOMAH </w:t>
      </w:r>
      <w:r>
        <w:t xml:space="preserve">incentives; </w:t>
      </w:r>
      <w:r w:rsidR="005111DC">
        <w:t xml:space="preserve">and </w:t>
      </w:r>
      <w:r>
        <w:t xml:space="preserve">(b) </w:t>
      </w:r>
      <w:r w:rsidRPr="00C613FA">
        <w:t>prioritizes outreach methods to rapidly inform</w:t>
      </w:r>
      <w:r w:rsidR="005D7720">
        <w:t xml:space="preserve"> </w:t>
      </w:r>
      <w:r w:rsidRPr="00C613FA">
        <w:t xml:space="preserve">customers with critical resiliency needs about </w:t>
      </w:r>
      <w:r>
        <w:t xml:space="preserve">the </w:t>
      </w:r>
      <w:r w:rsidRPr="00C613FA">
        <w:t>availab</w:t>
      </w:r>
      <w:r>
        <w:t>ility of</w:t>
      </w:r>
      <w:r w:rsidRPr="00C613FA">
        <w:t xml:space="preserve"> SGIP incentives</w:t>
      </w:r>
      <w:r>
        <w:t xml:space="preserve"> and how they can identify and apply for battery storage systems that are appropriate for resiliency</w:t>
      </w:r>
      <w:r w:rsidR="00C21C70">
        <w:t>.</w:t>
      </w:r>
      <w:r w:rsidR="00F42D19">
        <w:t xml:space="preserve"> </w:t>
      </w:r>
    </w:p>
    <w:p w14:paraId="37421CC5" w14:textId="3EDF9CA2" w:rsidR="00CF7ED5" w:rsidRDefault="00CF7ED5">
      <w:pPr>
        <w:pStyle w:val="conclusionoflaw"/>
        <w:ind w:firstLine="230"/>
      </w:pPr>
      <w:r>
        <w:t xml:space="preserve">The Commission </w:t>
      </w:r>
      <w:r w:rsidRPr="00CF7ED5">
        <w:t xml:space="preserve">should </w:t>
      </w:r>
      <w:r>
        <w:t xml:space="preserve">direct the PAs to </w:t>
      </w:r>
      <w:r w:rsidRPr="00CF7ED5">
        <w:t xml:space="preserve">include in the </w:t>
      </w:r>
      <w:r>
        <w:t xml:space="preserve">ME&amp;O Plan activities </w:t>
      </w:r>
      <w:r w:rsidRPr="00CF7ED5">
        <w:t xml:space="preserve">to educate customers about the availability of equity resiliency incentives </w:t>
      </w:r>
      <w:r w:rsidR="00806578">
        <w:t xml:space="preserve">by </w:t>
      </w:r>
      <w:r>
        <w:t xml:space="preserve">coordinating with </w:t>
      </w:r>
      <w:r w:rsidRPr="00CF7ED5">
        <w:t>key emerging PSPS resources</w:t>
      </w:r>
      <w:r>
        <w:t xml:space="preserve"> a</w:t>
      </w:r>
      <w:r w:rsidR="00806578">
        <w:t>s discussed in this decision</w:t>
      </w:r>
      <w:r>
        <w:t xml:space="preserve">. </w:t>
      </w:r>
      <w:r w:rsidRPr="00CF7ED5">
        <w:t xml:space="preserve"> </w:t>
      </w:r>
    </w:p>
    <w:p w14:paraId="15327668" w14:textId="635EADFD" w:rsidR="00F42D19" w:rsidRDefault="00F42D19" w:rsidP="0012152A">
      <w:pPr>
        <w:pStyle w:val="conclusionoflaw"/>
        <w:ind w:firstLine="230"/>
      </w:pPr>
      <w:r>
        <w:t xml:space="preserve">The Commission should authorize the PAs to include </w:t>
      </w:r>
      <w:r w:rsidR="002D6F6C">
        <w:t xml:space="preserve">in the equity budget ME&amp;O Plan the </w:t>
      </w:r>
      <w:r w:rsidRPr="00F42D19">
        <w:t>training of local residents in communities qualifying for equity budget incentives</w:t>
      </w:r>
      <w:r w:rsidR="002D6F6C">
        <w:t xml:space="preserve"> to educate their fellow residents about SGIP incentive and the services provided by storage systems.</w:t>
      </w:r>
    </w:p>
    <w:p w14:paraId="7FB0C81B" w14:textId="2388CE44" w:rsidR="00C613FA" w:rsidRDefault="00C613FA" w:rsidP="0012152A">
      <w:pPr>
        <w:pStyle w:val="conclusionoflaw"/>
        <w:ind w:firstLine="230"/>
      </w:pPr>
      <w:r>
        <w:t>The Commission should direct the SGIP PAs to adequately fund the equity budget ME&amp;O Plan to accomplish its objectives</w:t>
      </w:r>
      <w:r w:rsidR="002D6F6C">
        <w:t xml:space="preserve">, at a level </w:t>
      </w:r>
      <w:r w:rsidR="00B41893">
        <w:t xml:space="preserve">of approximately </w:t>
      </w:r>
      <w:r w:rsidR="002D6F6C">
        <w:t>10 percent of annual administrative expenses</w:t>
      </w:r>
      <w:r>
        <w:t xml:space="preserve">. </w:t>
      </w:r>
    </w:p>
    <w:p w14:paraId="050D30BE" w14:textId="529188DD" w:rsidR="00B41893" w:rsidRDefault="00B41893" w:rsidP="0012152A">
      <w:pPr>
        <w:pStyle w:val="conclusionoflaw"/>
        <w:ind w:firstLine="230"/>
      </w:pPr>
      <w:r>
        <w:t xml:space="preserve">The Commission should authorize PAs to </w:t>
      </w:r>
      <w:r w:rsidR="00806578">
        <w:t xml:space="preserve">submit a Tier 2 advice letter to </w:t>
      </w:r>
      <w:r>
        <w:t xml:space="preserve">transfer additional funds to the ME&amp;O Plan </w:t>
      </w:r>
      <w:r w:rsidR="00806578">
        <w:t xml:space="preserve">and to request to allocate more than 10 percent of a PA’s administrative funds to the Plan </w:t>
      </w:r>
      <w:r>
        <w:t xml:space="preserve">at </w:t>
      </w:r>
      <w:r w:rsidR="00806578">
        <w:t xml:space="preserve">any time prior to December 31, 2024, if warranted. </w:t>
      </w:r>
    </w:p>
    <w:p w14:paraId="2F279D1B" w14:textId="00B83A1D" w:rsidR="00D40C78" w:rsidRDefault="00DC30E3" w:rsidP="0012152A">
      <w:pPr>
        <w:pStyle w:val="conclusionoflaw"/>
        <w:ind w:firstLine="230"/>
      </w:pPr>
      <w:r>
        <w:t>The Commission should e</w:t>
      </w:r>
      <w:r w:rsidRPr="00DC30E3">
        <w:t>liminate the developer cap</w:t>
      </w:r>
      <w:r w:rsidR="007B5CF3">
        <w:t xml:space="preserve"> adopted in </w:t>
      </w:r>
      <w:r w:rsidR="007B5CF3" w:rsidRPr="00D32CB0">
        <w:t>D.</w:t>
      </w:r>
      <w:r w:rsidR="00766C63" w:rsidRPr="00D32CB0">
        <w:t>16</w:t>
      </w:r>
      <w:r w:rsidR="00757681">
        <w:noBreakHyphen/>
      </w:r>
      <w:r w:rsidR="00766C63" w:rsidRPr="00D32CB0">
        <w:t>06</w:t>
      </w:r>
      <w:r w:rsidR="00757681">
        <w:noBreakHyphen/>
      </w:r>
      <w:r w:rsidR="00766C63" w:rsidRPr="00D32CB0">
        <w:t>055</w:t>
      </w:r>
      <w:r w:rsidRPr="00766C63">
        <w:t xml:space="preserve"> for </w:t>
      </w:r>
      <w:r w:rsidR="00766C63">
        <w:t xml:space="preserve">the </w:t>
      </w:r>
      <w:r w:rsidRPr="00766C63">
        <w:t>equity budget</w:t>
      </w:r>
      <w:r w:rsidR="002048B5">
        <w:t xml:space="preserve"> and should not adopt a developer cap for the new equity resiliency budget</w:t>
      </w:r>
      <w:r w:rsidR="007B5CF3" w:rsidRPr="00766C63">
        <w:t>.</w:t>
      </w:r>
      <w:r w:rsidR="00107BD3">
        <w:t xml:space="preserve"> </w:t>
      </w:r>
    </w:p>
    <w:p w14:paraId="7828FBFD" w14:textId="4F05C737" w:rsidR="00BA5681" w:rsidRPr="00BA5681" w:rsidRDefault="00734CCA" w:rsidP="0012152A">
      <w:pPr>
        <w:pStyle w:val="conclusionoflaw"/>
        <w:ind w:firstLine="230"/>
      </w:pPr>
      <w:r>
        <w:lastRenderedPageBreak/>
        <w:t xml:space="preserve">The Commission should </w:t>
      </w:r>
      <w:r w:rsidR="00D9174D">
        <w:t xml:space="preserve">direct </w:t>
      </w:r>
      <w:r w:rsidR="00BA5681">
        <w:t xml:space="preserve">the </w:t>
      </w:r>
      <w:r w:rsidR="00D9174D">
        <w:t xml:space="preserve">SGIP PAs to </w:t>
      </w:r>
      <w:r w:rsidR="00201930">
        <w:t>carry</w:t>
      </w:r>
      <w:r w:rsidR="00D56A6C">
        <w:t xml:space="preserve"> </w:t>
      </w:r>
      <w:r w:rsidR="00201930">
        <w:t>over</w:t>
      </w:r>
      <w:r w:rsidR="00D9174D">
        <w:t xml:space="preserve"> </w:t>
      </w:r>
      <w:r w:rsidR="00FF4975">
        <w:t>accumulated unused</w:t>
      </w:r>
      <w:r w:rsidR="00D9174D">
        <w:t xml:space="preserve"> </w:t>
      </w:r>
      <w:r w:rsidRPr="00734CCA">
        <w:t xml:space="preserve">SGIP </w:t>
      </w:r>
      <w:r w:rsidR="00BA5681">
        <w:t xml:space="preserve">incentive and administrative </w:t>
      </w:r>
      <w:r w:rsidR="002D6F6C">
        <w:t xml:space="preserve">funds </w:t>
      </w:r>
      <w:r w:rsidR="00D9174D">
        <w:t xml:space="preserve">for use </w:t>
      </w:r>
      <w:r>
        <w:t>during the 2020</w:t>
      </w:r>
      <w:r w:rsidR="00757681">
        <w:noBreakHyphen/>
      </w:r>
      <w:r>
        <w:t xml:space="preserve">2025 period. </w:t>
      </w:r>
    </w:p>
    <w:p w14:paraId="11899B09" w14:textId="01D86164" w:rsidR="00BA5681" w:rsidRPr="00BA5681" w:rsidRDefault="00BA5681" w:rsidP="0012152A">
      <w:pPr>
        <w:pStyle w:val="conclusionoflaw"/>
        <w:ind w:firstLine="230"/>
      </w:pPr>
      <w:r w:rsidRPr="00BA5681">
        <w:t xml:space="preserve">The Commission should direct the </w:t>
      </w:r>
      <w:r>
        <w:t xml:space="preserve">SGIP </w:t>
      </w:r>
      <w:r w:rsidRPr="00BA5681">
        <w:t xml:space="preserve">PAs to each submit a </w:t>
      </w:r>
      <w:r w:rsidRPr="00B44361">
        <w:t>Tier 1 advice letter</w:t>
      </w:r>
      <w:r w:rsidRPr="00BA5681">
        <w:t xml:space="preserve"> on January 31, 2020 that contains their final SGIP accounting data as of December 31, 2019 using the format </w:t>
      </w:r>
      <w:r>
        <w:t>indicated</w:t>
      </w:r>
      <w:r w:rsidRPr="00BA5681">
        <w:t xml:space="preserve"> in D.09</w:t>
      </w:r>
      <w:r w:rsidR="00757681">
        <w:noBreakHyphen/>
      </w:r>
      <w:r w:rsidRPr="00BA5681">
        <w:t>12</w:t>
      </w:r>
      <w:r w:rsidR="00757681">
        <w:noBreakHyphen/>
      </w:r>
      <w:r w:rsidRPr="00BA5681">
        <w:t xml:space="preserve">047, Appendix A.  </w:t>
      </w:r>
    </w:p>
    <w:p w14:paraId="219D65EF" w14:textId="62CB2D48" w:rsidR="002048B5" w:rsidRDefault="00053A4D" w:rsidP="0012152A">
      <w:pPr>
        <w:pStyle w:val="conclusionoflaw"/>
        <w:ind w:firstLine="230"/>
      </w:pPr>
      <w:r>
        <w:t xml:space="preserve">The Commission should </w:t>
      </w:r>
      <w:r w:rsidR="00734CCA" w:rsidRPr="00734CCA">
        <w:t>establish a new $100 million budget set</w:t>
      </w:r>
      <w:r w:rsidR="00757681">
        <w:noBreakHyphen/>
      </w:r>
      <w:r w:rsidR="00734CCA" w:rsidRPr="00734CCA">
        <w:t>aside for equity budget customers with critical resiliency needs</w:t>
      </w:r>
      <w:r w:rsidR="00D9174D">
        <w:t xml:space="preserve"> and HFTD SASH/DAC</w:t>
      </w:r>
      <w:r w:rsidR="00757681">
        <w:noBreakHyphen/>
      </w:r>
      <w:r w:rsidR="00D9174D">
        <w:t xml:space="preserve">SASH customers </w:t>
      </w:r>
      <w:r>
        <w:t xml:space="preserve">by directing the </w:t>
      </w:r>
      <w:r w:rsidR="00D9174D">
        <w:t xml:space="preserve">SGIP </w:t>
      </w:r>
      <w:r w:rsidR="00734CCA" w:rsidRPr="00734CCA">
        <w:t xml:space="preserve">PAs </w:t>
      </w:r>
      <w:r>
        <w:t>to</w:t>
      </w:r>
      <w:r w:rsidR="00734CCA" w:rsidRPr="00734CCA">
        <w:t xml:space="preserve"> transfer $100 million from the </w:t>
      </w:r>
      <w:r w:rsidR="00FF4975">
        <w:t>accumulated unused</w:t>
      </w:r>
      <w:r w:rsidR="00734CCA" w:rsidRPr="00734CCA">
        <w:t xml:space="preserve"> generation </w:t>
      </w:r>
      <w:r w:rsidR="00D9174D">
        <w:t xml:space="preserve">technology </w:t>
      </w:r>
      <w:r w:rsidR="00734CCA" w:rsidRPr="00734CCA">
        <w:t xml:space="preserve">budget to </w:t>
      </w:r>
      <w:r>
        <w:t xml:space="preserve">a new </w:t>
      </w:r>
      <w:r w:rsidR="00734CCA" w:rsidRPr="00734CCA">
        <w:t>equity resiliency budget</w:t>
      </w:r>
      <w:r w:rsidR="00D9174D">
        <w:t>.</w:t>
      </w:r>
      <w:r w:rsidR="002048B5">
        <w:t xml:space="preserve">  </w:t>
      </w:r>
    </w:p>
    <w:p w14:paraId="599DAFBC" w14:textId="0C6E4FB9" w:rsidR="00D40C78" w:rsidRDefault="002048B5" w:rsidP="0012152A">
      <w:pPr>
        <w:pStyle w:val="conclusionoflaw"/>
        <w:ind w:firstLine="230"/>
      </w:pPr>
      <w:r>
        <w:t xml:space="preserve">The Commission should direct the PAs to establish the equity resiliency budget by </w:t>
      </w:r>
      <w:r w:rsidRPr="00D66D69">
        <w:t>transfe</w:t>
      </w:r>
      <w:r>
        <w:t>rring</w:t>
      </w:r>
      <w:r w:rsidRPr="00D66D69">
        <w:t xml:space="preserve"> funds first from the highest budgeted incentive step and </w:t>
      </w:r>
      <w:r>
        <w:t>then moving</w:t>
      </w:r>
      <w:r w:rsidRPr="00D66D69">
        <w:t xml:space="preserve"> backwards </w:t>
      </w:r>
      <w:r>
        <w:t xml:space="preserve">to lower steps </w:t>
      </w:r>
      <w:r w:rsidRPr="00D66D69">
        <w:t>until the directed level of funds are transferred</w:t>
      </w:r>
      <w:r w:rsidR="00806578">
        <w:t xml:space="preserve">; </w:t>
      </w:r>
      <w:r w:rsidR="006C28C7" w:rsidRPr="005111DC">
        <w:rPr>
          <w:rFonts w:cs="BookAntiqua"/>
          <w:szCs w:val="26"/>
        </w:rPr>
        <w:t>to the extent that a PA has insufficient funds remaining in its accumulated unused generation technology budgets to complete the budget transfers summarized in Table 8, the PA should transfer the additional funds necessary from its large</w:t>
      </w:r>
      <w:r w:rsidR="00757681" w:rsidRPr="005111DC">
        <w:rPr>
          <w:rFonts w:cs="BookAntiqua"/>
          <w:szCs w:val="26"/>
        </w:rPr>
        <w:noBreakHyphen/>
      </w:r>
      <w:r w:rsidR="006C28C7" w:rsidRPr="005111DC">
        <w:rPr>
          <w:rFonts w:cs="BookAntiqua"/>
          <w:szCs w:val="26"/>
        </w:rPr>
        <w:t>scale storage budget</w:t>
      </w:r>
      <w:r w:rsidR="006C28C7">
        <w:rPr>
          <w:rFonts w:ascii="BookAntiqua" w:hAnsi="BookAntiqua" w:cs="BookAntiqua"/>
          <w:szCs w:val="26"/>
        </w:rPr>
        <w:t>.</w:t>
      </w:r>
    </w:p>
    <w:p w14:paraId="025E1F0E" w14:textId="5C43FEA4" w:rsidR="00D9174D" w:rsidRDefault="00D9174D" w:rsidP="0012152A">
      <w:pPr>
        <w:pStyle w:val="conclusionoflaw"/>
        <w:ind w:firstLine="230"/>
      </w:pPr>
      <w:r>
        <w:t xml:space="preserve">The Commission should direct the SGIP PAs to transfer the following amounts of funds </w:t>
      </w:r>
      <w:r w:rsidR="00806578">
        <w:t xml:space="preserve">to the new equity resiliency budget </w:t>
      </w:r>
      <w:r>
        <w:t xml:space="preserve">from each PA’s </w:t>
      </w:r>
      <w:r w:rsidR="00FF4975">
        <w:t>accumulated unused</w:t>
      </w:r>
      <w:r>
        <w:t xml:space="preserve"> generation technology budget</w:t>
      </w:r>
      <w:r w:rsidR="006C28C7">
        <w:t xml:space="preserve"> and, as needed</w:t>
      </w:r>
      <w:r w:rsidR="00806578">
        <w:t xml:space="preserve">, </w:t>
      </w:r>
      <w:r w:rsidR="006C28C7">
        <w:t>its accumulated unused large</w:t>
      </w:r>
      <w:r w:rsidR="00757681">
        <w:noBreakHyphen/>
      </w:r>
      <w:r w:rsidR="006C28C7">
        <w:t>scale storage budget</w:t>
      </w:r>
      <w:r>
        <w:t>:</w:t>
      </w:r>
    </w:p>
    <w:tbl>
      <w:tblPr>
        <w:tblStyle w:val="TableGrid"/>
        <w:tblW w:w="6393" w:type="dxa"/>
        <w:jc w:val="center"/>
        <w:tblLook w:val="04A0" w:firstRow="1" w:lastRow="0" w:firstColumn="1" w:lastColumn="0" w:noHBand="0" w:noVBand="1"/>
      </w:tblPr>
      <w:tblGrid>
        <w:gridCol w:w="3333"/>
        <w:gridCol w:w="3060"/>
      </w:tblGrid>
      <w:tr w:rsidR="00D9174D" w14:paraId="1ED32726" w14:textId="77777777" w:rsidTr="005E2AA2">
        <w:trPr>
          <w:trHeight w:val="187"/>
          <w:jc w:val="center"/>
        </w:trPr>
        <w:tc>
          <w:tcPr>
            <w:tcW w:w="3333" w:type="dxa"/>
          </w:tcPr>
          <w:p w14:paraId="1F29D884" w14:textId="77777777" w:rsidR="00D9174D" w:rsidRPr="00856B3F" w:rsidRDefault="00D9174D" w:rsidP="005111DC">
            <w:pPr>
              <w:pStyle w:val="ALJBodyText"/>
              <w:keepNext/>
              <w:keepLines/>
              <w:spacing w:line="240" w:lineRule="auto"/>
              <w:ind w:firstLine="0"/>
              <w:jc w:val="center"/>
              <w:rPr>
                <w:b/>
                <w:bCs/>
              </w:rPr>
            </w:pPr>
            <w:r w:rsidRPr="00856B3F">
              <w:rPr>
                <w:b/>
                <w:bCs/>
              </w:rPr>
              <w:t>P</w:t>
            </w:r>
            <w:r>
              <w:rPr>
                <w:b/>
                <w:bCs/>
              </w:rPr>
              <w:t>rogram Administrator</w:t>
            </w:r>
          </w:p>
        </w:tc>
        <w:tc>
          <w:tcPr>
            <w:tcW w:w="3060" w:type="dxa"/>
          </w:tcPr>
          <w:p w14:paraId="3E5004C1" w14:textId="62DC23FD" w:rsidR="00D9174D" w:rsidRPr="00856B3F" w:rsidRDefault="00D9174D" w:rsidP="005111DC">
            <w:pPr>
              <w:pStyle w:val="ALJBodyText"/>
              <w:keepNext/>
              <w:keepLines/>
              <w:spacing w:line="240" w:lineRule="auto"/>
              <w:ind w:firstLine="230"/>
              <w:jc w:val="center"/>
              <w:rPr>
                <w:b/>
                <w:bCs/>
              </w:rPr>
            </w:pPr>
            <w:r w:rsidRPr="00856B3F">
              <w:rPr>
                <w:b/>
                <w:bCs/>
              </w:rPr>
              <w:t>Budget</w:t>
            </w:r>
            <w:r>
              <w:rPr>
                <w:b/>
                <w:bCs/>
              </w:rPr>
              <w:t xml:space="preserve"> (in millions)</w:t>
            </w:r>
          </w:p>
        </w:tc>
      </w:tr>
      <w:tr w:rsidR="00D9174D" w14:paraId="5FE4A148" w14:textId="77777777" w:rsidTr="005E2AA2">
        <w:trPr>
          <w:trHeight w:val="187"/>
          <w:jc w:val="center"/>
        </w:trPr>
        <w:tc>
          <w:tcPr>
            <w:tcW w:w="3333" w:type="dxa"/>
          </w:tcPr>
          <w:p w14:paraId="259197C6" w14:textId="77777777" w:rsidR="00D9174D" w:rsidRDefault="00D9174D" w:rsidP="005111DC">
            <w:pPr>
              <w:pStyle w:val="ALJBodyText"/>
              <w:keepNext/>
              <w:keepLines/>
              <w:spacing w:line="240" w:lineRule="auto"/>
              <w:ind w:firstLine="230"/>
              <w:jc w:val="center"/>
            </w:pPr>
            <w:r>
              <w:t>PG&amp;E</w:t>
            </w:r>
          </w:p>
        </w:tc>
        <w:tc>
          <w:tcPr>
            <w:tcW w:w="3060" w:type="dxa"/>
          </w:tcPr>
          <w:p w14:paraId="6DDD5A78" w14:textId="77777777" w:rsidR="00D9174D" w:rsidRDefault="00D9174D" w:rsidP="005111DC">
            <w:pPr>
              <w:pStyle w:val="ALJBodyText"/>
              <w:keepNext/>
              <w:keepLines/>
              <w:spacing w:line="240" w:lineRule="auto"/>
              <w:ind w:firstLine="230"/>
              <w:jc w:val="center"/>
            </w:pPr>
            <w:r>
              <w:t>$44</w:t>
            </w:r>
          </w:p>
        </w:tc>
      </w:tr>
      <w:tr w:rsidR="00D9174D" w14:paraId="5886C79F" w14:textId="77777777" w:rsidTr="005E2AA2">
        <w:trPr>
          <w:trHeight w:val="193"/>
          <w:jc w:val="center"/>
        </w:trPr>
        <w:tc>
          <w:tcPr>
            <w:tcW w:w="3333" w:type="dxa"/>
          </w:tcPr>
          <w:p w14:paraId="610C3260" w14:textId="77777777" w:rsidR="00D9174D" w:rsidRDefault="00D9174D" w:rsidP="005111DC">
            <w:pPr>
              <w:pStyle w:val="ALJBodyText"/>
              <w:keepNext/>
              <w:keepLines/>
              <w:spacing w:line="240" w:lineRule="auto"/>
              <w:ind w:firstLine="230"/>
              <w:jc w:val="center"/>
            </w:pPr>
            <w:r>
              <w:t>SCE</w:t>
            </w:r>
          </w:p>
        </w:tc>
        <w:tc>
          <w:tcPr>
            <w:tcW w:w="3060" w:type="dxa"/>
          </w:tcPr>
          <w:p w14:paraId="05C7AEBA" w14:textId="378CC3AD" w:rsidR="00D9174D" w:rsidRDefault="00D9174D" w:rsidP="005111DC">
            <w:pPr>
              <w:pStyle w:val="ALJBodyText"/>
              <w:keepNext/>
              <w:keepLines/>
              <w:spacing w:line="240" w:lineRule="auto"/>
              <w:ind w:firstLine="230"/>
              <w:jc w:val="center"/>
            </w:pPr>
            <w:r>
              <w:t>$3</w:t>
            </w:r>
            <w:r w:rsidR="006C28C7">
              <w:t>4</w:t>
            </w:r>
          </w:p>
        </w:tc>
      </w:tr>
      <w:tr w:rsidR="00D9174D" w14:paraId="6AD2497B" w14:textId="77777777" w:rsidTr="005E2AA2">
        <w:trPr>
          <w:trHeight w:val="187"/>
          <w:jc w:val="center"/>
        </w:trPr>
        <w:tc>
          <w:tcPr>
            <w:tcW w:w="3333" w:type="dxa"/>
          </w:tcPr>
          <w:p w14:paraId="45A5057D" w14:textId="77777777" w:rsidR="00D9174D" w:rsidRDefault="00D9174D" w:rsidP="005111DC">
            <w:pPr>
              <w:pStyle w:val="ALJBodyText"/>
              <w:keepNext/>
              <w:keepLines/>
              <w:spacing w:line="240" w:lineRule="auto"/>
              <w:ind w:firstLine="230"/>
              <w:jc w:val="center"/>
            </w:pPr>
            <w:r>
              <w:t>CSE</w:t>
            </w:r>
          </w:p>
        </w:tc>
        <w:tc>
          <w:tcPr>
            <w:tcW w:w="3060" w:type="dxa"/>
          </w:tcPr>
          <w:p w14:paraId="641A94FB" w14:textId="77777777" w:rsidR="00D9174D" w:rsidRDefault="00D9174D" w:rsidP="005111DC">
            <w:pPr>
              <w:pStyle w:val="ALJBodyText"/>
              <w:keepNext/>
              <w:keepLines/>
              <w:spacing w:line="240" w:lineRule="auto"/>
              <w:ind w:firstLine="230"/>
              <w:jc w:val="center"/>
            </w:pPr>
            <w:r>
              <w:t>$13</w:t>
            </w:r>
          </w:p>
        </w:tc>
      </w:tr>
      <w:tr w:rsidR="00D9174D" w14:paraId="4CFEB0B4" w14:textId="77777777" w:rsidTr="005E2AA2">
        <w:trPr>
          <w:trHeight w:val="187"/>
          <w:jc w:val="center"/>
        </w:trPr>
        <w:tc>
          <w:tcPr>
            <w:tcW w:w="3333" w:type="dxa"/>
          </w:tcPr>
          <w:p w14:paraId="2059EDE5" w14:textId="77777777" w:rsidR="00D9174D" w:rsidRDefault="00D9174D" w:rsidP="005111DC">
            <w:pPr>
              <w:pStyle w:val="ALJBodyText"/>
              <w:keepNext/>
              <w:keepLines/>
              <w:spacing w:line="240" w:lineRule="auto"/>
              <w:ind w:firstLine="230"/>
              <w:jc w:val="center"/>
            </w:pPr>
            <w:r>
              <w:t>SoCalGas</w:t>
            </w:r>
          </w:p>
        </w:tc>
        <w:tc>
          <w:tcPr>
            <w:tcW w:w="3060" w:type="dxa"/>
          </w:tcPr>
          <w:p w14:paraId="14E269BA" w14:textId="77777777" w:rsidR="00D9174D" w:rsidRDefault="00D9174D" w:rsidP="005111DC">
            <w:pPr>
              <w:pStyle w:val="ALJBodyText"/>
              <w:keepNext/>
              <w:keepLines/>
              <w:spacing w:line="240" w:lineRule="auto"/>
              <w:ind w:firstLine="230"/>
              <w:jc w:val="center"/>
            </w:pPr>
            <w:r>
              <w:t>$9</w:t>
            </w:r>
          </w:p>
        </w:tc>
      </w:tr>
      <w:tr w:rsidR="00D9174D" w14:paraId="1642F256" w14:textId="77777777" w:rsidTr="005E2AA2">
        <w:trPr>
          <w:trHeight w:val="193"/>
          <w:jc w:val="center"/>
        </w:trPr>
        <w:tc>
          <w:tcPr>
            <w:tcW w:w="3333" w:type="dxa"/>
          </w:tcPr>
          <w:p w14:paraId="61CDC2B4" w14:textId="77777777" w:rsidR="00D9174D" w:rsidRPr="00856B3F" w:rsidRDefault="00D9174D" w:rsidP="005E2AA2">
            <w:pPr>
              <w:pStyle w:val="ALJBodyText"/>
              <w:spacing w:line="240" w:lineRule="auto"/>
              <w:ind w:firstLine="230"/>
              <w:jc w:val="center"/>
              <w:rPr>
                <w:b/>
                <w:bCs/>
              </w:rPr>
            </w:pPr>
            <w:r w:rsidRPr="00856B3F">
              <w:rPr>
                <w:b/>
                <w:bCs/>
              </w:rPr>
              <w:t>Total</w:t>
            </w:r>
          </w:p>
        </w:tc>
        <w:tc>
          <w:tcPr>
            <w:tcW w:w="3060" w:type="dxa"/>
          </w:tcPr>
          <w:p w14:paraId="559D7FF6" w14:textId="77777777" w:rsidR="00D9174D" w:rsidRDefault="00D9174D" w:rsidP="005E2AA2">
            <w:pPr>
              <w:pStyle w:val="ALJBodyText"/>
              <w:spacing w:line="240" w:lineRule="auto"/>
              <w:ind w:firstLine="230"/>
              <w:jc w:val="center"/>
            </w:pPr>
            <w:r>
              <w:t>$100</w:t>
            </w:r>
          </w:p>
        </w:tc>
      </w:tr>
    </w:tbl>
    <w:p w14:paraId="350B085A" w14:textId="2594DAAA" w:rsidR="00D9174D" w:rsidRPr="005E2AA2" w:rsidRDefault="00D9174D" w:rsidP="0012152A">
      <w:pPr>
        <w:pStyle w:val="conclusionoflaw"/>
        <w:numPr>
          <w:ilvl w:val="0"/>
          <w:numId w:val="0"/>
        </w:numPr>
        <w:ind w:firstLine="230"/>
        <w:rPr>
          <w:sz w:val="12"/>
        </w:rPr>
      </w:pPr>
    </w:p>
    <w:p w14:paraId="4C886C7E" w14:textId="08F950B2" w:rsidR="00D9174D" w:rsidRDefault="000C31AA" w:rsidP="0012152A">
      <w:pPr>
        <w:pStyle w:val="conclusionoflaw"/>
        <w:ind w:firstLine="230"/>
      </w:pPr>
      <w:r>
        <w:t xml:space="preserve">The Commission should </w:t>
      </w:r>
      <w:r w:rsidR="00D9174D">
        <w:t xml:space="preserve">direct the PAs to </w:t>
      </w:r>
      <w:r>
        <w:t xml:space="preserve">establish </w:t>
      </w:r>
      <w:r w:rsidRPr="000C31AA">
        <w:t xml:space="preserve">a </w:t>
      </w:r>
      <w:r w:rsidR="00D9174D">
        <w:t xml:space="preserve">$4 million equity </w:t>
      </w:r>
      <w:r w:rsidRPr="000C31AA">
        <w:t>HPWH</w:t>
      </w:r>
      <w:r w:rsidR="00D9174D">
        <w:t xml:space="preserve"> set</w:t>
      </w:r>
      <w:r w:rsidR="00757681">
        <w:noBreakHyphen/>
      </w:r>
      <w:r w:rsidR="00D9174D">
        <w:t xml:space="preserve">aside budget by transferring the following amounts of funds from each PA’s </w:t>
      </w:r>
      <w:r w:rsidR="00FF4975">
        <w:t>accumulated unused</w:t>
      </w:r>
      <w:r w:rsidR="00D9174D">
        <w:t xml:space="preserve"> </w:t>
      </w:r>
      <w:r w:rsidR="00AF4F30">
        <w:t>large</w:t>
      </w:r>
      <w:r w:rsidR="00757681">
        <w:noBreakHyphen/>
      </w:r>
      <w:r w:rsidR="00AF4F30">
        <w:t xml:space="preserve">scale </w:t>
      </w:r>
      <w:r w:rsidR="00D9174D">
        <w:t>storage budget</w:t>
      </w:r>
      <w:r w:rsidR="00AF4F30">
        <w:t xml:space="preserve"> drawing, at their discretion, from incentive steps four or five</w:t>
      </w:r>
      <w:r w:rsidR="00D9174D">
        <w:t xml:space="preserve">: </w:t>
      </w:r>
    </w:p>
    <w:tbl>
      <w:tblPr>
        <w:tblStyle w:val="TableGrid"/>
        <w:tblW w:w="6357" w:type="dxa"/>
        <w:jc w:val="center"/>
        <w:tblLook w:val="04A0" w:firstRow="1" w:lastRow="0" w:firstColumn="1" w:lastColumn="0" w:noHBand="0" w:noVBand="1"/>
      </w:tblPr>
      <w:tblGrid>
        <w:gridCol w:w="3297"/>
        <w:gridCol w:w="3060"/>
      </w:tblGrid>
      <w:tr w:rsidR="00D9174D" w:rsidRPr="00AF6BF5" w14:paraId="18C51F9C" w14:textId="77777777" w:rsidTr="005E2AA2">
        <w:trPr>
          <w:trHeight w:val="197"/>
          <w:jc w:val="center"/>
        </w:trPr>
        <w:tc>
          <w:tcPr>
            <w:tcW w:w="3297" w:type="dxa"/>
          </w:tcPr>
          <w:p w14:paraId="31A64F0E" w14:textId="77777777" w:rsidR="00D9174D" w:rsidRPr="00AF6BF5" w:rsidRDefault="00D9174D" w:rsidP="005E2AA2">
            <w:pPr>
              <w:pStyle w:val="ALJBodyText"/>
              <w:spacing w:line="240" w:lineRule="auto"/>
              <w:ind w:firstLine="0"/>
              <w:jc w:val="center"/>
              <w:rPr>
                <w:b/>
                <w:bCs/>
              </w:rPr>
            </w:pPr>
            <w:r w:rsidRPr="00AF6BF5">
              <w:rPr>
                <w:b/>
                <w:bCs/>
              </w:rPr>
              <w:t>Program Administrator</w:t>
            </w:r>
          </w:p>
        </w:tc>
        <w:tc>
          <w:tcPr>
            <w:tcW w:w="3060" w:type="dxa"/>
          </w:tcPr>
          <w:p w14:paraId="0E817DD5" w14:textId="325D9427" w:rsidR="00D9174D" w:rsidRPr="00AF6BF5" w:rsidRDefault="00D9174D" w:rsidP="005E2AA2">
            <w:pPr>
              <w:pStyle w:val="ALJBodyText"/>
              <w:spacing w:line="240" w:lineRule="auto"/>
              <w:ind w:firstLine="230"/>
              <w:jc w:val="center"/>
              <w:rPr>
                <w:b/>
                <w:bCs/>
              </w:rPr>
            </w:pPr>
            <w:r w:rsidRPr="00AF6BF5">
              <w:rPr>
                <w:b/>
                <w:bCs/>
              </w:rPr>
              <w:t>Budget (in millions)</w:t>
            </w:r>
          </w:p>
        </w:tc>
      </w:tr>
      <w:tr w:rsidR="00D9174D" w:rsidRPr="00AF6BF5" w14:paraId="4563858A" w14:textId="77777777" w:rsidTr="005E2AA2">
        <w:trPr>
          <w:trHeight w:val="197"/>
          <w:jc w:val="center"/>
        </w:trPr>
        <w:tc>
          <w:tcPr>
            <w:tcW w:w="3297" w:type="dxa"/>
          </w:tcPr>
          <w:p w14:paraId="5D5A653C" w14:textId="77777777" w:rsidR="00D9174D" w:rsidRPr="00AF6BF5" w:rsidRDefault="00D9174D" w:rsidP="005E2AA2">
            <w:pPr>
              <w:pStyle w:val="ALJBodyText"/>
              <w:spacing w:line="240" w:lineRule="auto"/>
              <w:ind w:firstLine="230"/>
              <w:jc w:val="center"/>
            </w:pPr>
            <w:r w:rsidRPr="00AF6BF5">
              <w:t>PG&amp;E</w:t>
            </w:r>
          </w:p>
        </w:tc>
        <w:tc>
          <w:tcPr>
            <w:tcW w:w="3060" w:type="dxa"/>
          </w:tcPr>
          <w:p w14:paraId="1329CB28" w14:textId="77777777" w:rsidR="00D9174D" w:rsidRPr="00AF6BF5" w:rsidRDefault="00D9174D" w:rsidP="005E2AA2">
            <w:pPr>
              <w:pStyle w:val="ALJBodyText"/>
              <w:spacing w:line="240" w:lineRule="auto"/>
              <w:ind w:firstLine="230"/>
              <w:jc w:val="center"/>
            </w:pPr>
            <w:r w:rsidRPr="00AF6BF5">
              <w:t>$</w:t>
            </w:r>
            <w:r>
              <w:t>1.76</w:t>
            </w:r>
          </w:p>
        </w:tc>
      </w:tr>
      <w:tr w:rsidR="00D9174D" w:rsidRPr="00AF6BF5" w14:paraId="3261E270" w14:textId="77777777" w:rsidTr="005E2AA2">
        <w:trPr>
          <w:trHeight w:val="203"/>
          <w:jc w:val="center"/>
        </w:trPr>
        <w:tc>
          <w:tcPr>
            <w:tcW w:w="3297" w:type="dxa"/>
          </w:tcPr>
          <w:p w14:paraId="1606C7F7" w14:textId="77777777" w:rsidR="00D9174D" w:rsidRPr="00AF6BF5" w:rsidRDefault="00D9174D" w:rsidP="005E2AA2">
            <w:pPr>
              <w:pStyle w:val="ALJBodyText"/>
              <w:spacing w:line="240" w:lineRule="auto"/>
              <w:ind w:firstLine="230"/>
              <w:jc w:val="center"/>
            </w:pPr>
            <w:r w:rsidRPr="00AF6BF5">
              <w:t>SCE</w:t>
            </w:r>
          </w:p>
        </w:tc>
        <w:tc>
          <w:tcPr>
            <w:tcW w:w="3060" w:type="dxa"/>
          </w:tcPr>
          <w:p w14:paraId="25BBD833" w14:textId="77777777" w:rsidR="00D9174D" w:rsidRPr="00AF6BF5" w:rsidRDefault="00D9174D" w:rsidP="005E2AA2">
            <w:pPr>
              <w:pStyle w:val="ALJBodyText"/>
              <w:spacing w:line="240" w:lineRule="auto"/>
              <w:ind w:firstLine="230"/>
              <w:jc w:val="center"/>
            </w:pPr>
            <w:r w:rsidRPr="00AF6BF5">
              <w:t>$</w:t>
            </w:r>
            <w:r>
              <w:t>1.36</w:t>
            </w:r>
          </w:p>
        </w:tc>
      </w:tr>
      <w:tr w:rsidR="00D9174D" w:rsidRPr="00AF6BF5" w14:paraId="14115B29" w14:textId="77777777" w:rsidTr="005E2AA2">
        <w:trPr>
          <w:trHeight w:val="197"/>
          <w:jc w:val="center"/>
        </w:trPr>
        <w:tc>
          <w:tcPr>
            <w:tcW w:w="3297" w:type="dxa"/>
          </w:tcPr>
          <w:p w14:paraId="7038A838" w14:textId="77777777" w:rsidR="00D9174D" w:rsidRPr="00AF6BF5" w:rsidRDefault="00D9174D" w:rsidP="005E2AA2">
            <w:pPr>
              <w:pStyle w:val="ALJBodyText"/>
              <w:spacing w:line="240" w:lineRule="auto"/>
              <w:ind w:firstLine="230"/>
              <w:jc w:val="center"/>
            </w:pPr>
            <w:r w:rsidRPr="00AF6BF5">
              <w:t>CSE</w:t>
            </w:r>
          </w:p>
        </w:tc>
        <w:tc>
          <w:tcPr>
            <w:tcW w:w="3060" w:type="dxa"/>
          </w:tcPr>
          <w:p w14:paraId="64BF2593" w14:textId="77777777" w:rsidR="00D9174D" w:rsidRPr="00AF6BF5" w:rsidRDefault="00D9174D" w:rsidP="005E2AA2">
            <w:pPr>
              <w:pStyle w:val="ALJBodyText"/>
              <w:spacing w:line="240" w:lineRule="auto"/>
              <w:ind w:firstLine="230"/>
              <w:jc w:val="center"/>
            </w:pPr>
            <w:r w:rsidRPr="00AF6BF5">
              <w:t>$</w:t>
            </w:r>
            <w:r>
              <w:t>0.52</w:t>
            </w:r>
          </w:p>
        </w:tc>
      </w:tr>
      <w:tr w:rsidR="00D9174D" w:rsidRPr="00AF6BF5" w14:paraId="4613823A" w14:textId="77777777" w:rsidTr="005E2AA2">
        <w:trPr>
          <w:trHeight w:val="197"/>
          <w:jc w:val="center"/>
        </w:trPr>
        <w:tc>
          <w:tcPr>
            <w:tcW w:w="3297" w:type="dxa"/>
          </w:tcPr>
          <w:p w14:paraId="78E2F6CD" w14:textId="77777777" w:rsidR="00D9174D" w:rsidRPr="00AF6BF5" w:rsidRDefault="00D9174D" w:rsidP="005E2AA2">
            <w:pPr>
              <w:pStyle w:val="ALJBodyText"/>
              <w:spacing w:line="240" w:lineRule="auto"/>
              <w:ind w:firstLine="230"/>
              <w:jc w:val="center"/>
            </w:pPr>
            <w:r w:rsidRPr="00AF6BF5">
              <w:t>SoCalGas</w:t>
            </w:r>
          </w:p>
        </w:tc>
        <w:tc>
          <w:tcPr>
            <w:tcW w:w="3060" w:type="dxa"/>
          </w:tcPr>
          <w:p w14:paraId="7C578EF0" w14:textId="77777777" w:rsidR="00D9174D" w:rsidRPr="00AF6BF5" w:rsidRDefault="00D9174D" w:rsidP="005E2AA2">
            <w:pPr>
              <w:pStyle w:val="ALJBodyText"/>
              <w:spacing w:line="240" w:lineRule="auto"/>
              <w:ind w:firstLine="230"/>
              <w:jc w:val="center"/>
            </w:pPr>
            <w:r w:rsidRPr="00AF6BF5">
              <w:t>$</w:t>
            </w:r>
            <w:r>
              <w:t>0.36</w:t>
            </w:r>
          </w:p>
        </w:tc>
      </w:tr>
      <w:tr w:rsidR="00D9174D" w:rsidRPr="00AF6BF5" w14:paraId="1DAEFF82" w14:textId="77777777" w:rsidTr="005E2AA2">
        <w:trPr>
          <w:trHeight w:val="203"/>
          <w:jc w:val="center"/>
        </w:trPr>
        <w:tc>
          <w:tcPr>
            <w:tcW w:w="3297" w:type="dxa"/>
          </w:tcPr>
          <w:p w14:paraId="7577BA6B" w14:textId="77777777" w:rsidR="00D9174D" w:rsidRPr="00AF6BF5" w:rsidRDefault="00D9174D" w:rsidP="005E2AA2">
            <w:pPr>
              <w:pStyle w:val="ALJBodyText"/>
              <w:spacing w:line="240" w:lineRule="auto"/>
              <w:ind w:firstLine="230"/>
              <w:jc w:val="center"/>
              <w:rPr>
                <w:b/>
                <w:bCs/>
              </w:rPr>
            </w:pPr>
            <w:r w:rsidRPr="00AF6BF5">
              <w:rPr>
                <w:b/>
                <w:bCs/>
              </w:rPr>
              <w:t>Total</w:t>
            </w:r>
          </w:p>
        </w:tc>
        <w:tc>
          <w:tcPr>
            <w:tcW w:w="3060" w:type="dxa"/>
          </w:tcPr>
          <w:p w14:paraId="25934446" w14:textId="77777777" w:rsidR="00D9174D" w:rsidRPr="00AF6BF5" w:rsidRDefault="00D9174D" w:rsidP="005E2AA2">
            <w:pPr>
              <w:pStyle w:val="ALJBodyText"/>
              <w:spacing w:line="240" w:lineRule="auto"/>
              <w:ind w:firstLine="230"/>
              <w:jc w:val="center"/>
            </w:pPr>
            <w:r w:rsidRPr="00AF6BF5">
              <w:t>$</w:t>
            </w:r>
            <w:r>
              <w:t>4</w:t>
            </w:r>
          </w:p>
        </w:tc>
      </w:tr>
    </w:tbl>
    <w:p w14:paraId="54F0B6EC" w14:textId="77777777" w:rsidR="00D9174D" w:rsidRPr="005E2AA2" w:rsidRDefault="00D9174D" w:rsidP="0012152A">
      <w:pPr>
        <w:pStyle w:val="conclusionoflaw"/>
        <w:numPr>
          <w:ilvl w:val="0"/>
          <w:numId w:val="0"/>
        </w:numPr>
        <w:ind w:left="720" w:firstLine="230"/>
        <w:rPr>
          <w:sz w:val="16"/>
        </w:rPr>
      </w:pPr>
    </w:p>
    <w:p w14:paraId="41705536" w14:textId="3861EEFC" w:rsidR="00BA5681" w:rsidRDefault="00D9174D" w:rsidP="0012152A">
      <w:pPr>
        <w:pStyle w:val="conclusionoflaw"/>
        <w:ind w:firstLine="230"/>
      </w:pPr>
      <w:r>
        <w:t xml:space="preserve"> </w:t>
      </w:r>
      <w:r w:rsidR="00BA5681">
        <w:t xml:space="preserve">The </w:t>
      </w:r>
      <w:bookmarkStart w:id="103" w:name="_Hlk15558688"/>
      <w:r w:rsidR="00BA5681">
        <w:t>Commission should direct the SGIP PAs</w:t>
      </w:r>
      <w:r w:rsidR="00BA5681" w:rsidRPr="00BA5681">
        <w:t xml:space="preserve"> </w:t>
      </w:r>
      <w:r w:rsidR="00BA5681">
        <w:t>to include updated budget allocations for accumulated unused SGIP funds reflecting the budget modifications adopted herein in the Tier 2 advice letter due 90 days after issuance of this decision.</w:t>
      </w:r>
      <w:bookmarkEnd w:id="103"/>
    </w:p>
    <w:p w14:paraId="6A5CC8AD" w14:textId="17DDB38F" w:rsidR="00D40C78" w:rsidRDefault="000C31AA" w:rsidP="0012152A">
      <w:pPr>
        <w:pStyle w:val="conclusionoflaw"/>
        <w:ind w:firstLine="230"/>
      </w:pPr>
      <w:r w:rsidRPr="000C31AA">
        <w:t xml:space="preserve">Commission staff </w:t>
      </w:r>
      <w:r w:rsidR="00D9174D">
        <w:t xml:space="preserve">should </w:t>
      </w:r>
      <w:r w:rsidRPr="000C31AA">
        <w:t xml:space="preserve">convene a workshop on identifying and removing barriers to HPWH </w:t>
      </w:r>
      <w:r w:rsidR="00927CE7">
        <w:t xml:space="preserve">participation in the SGIP </w:t>
      </w:r>
      <w:r w:rsidRPr="000C31AA">
        <w:t xml:space="preserve">within </w:t>
      </w:r>
      <w:r w:rsidR="002048B5">
        <w:t xml:space="preserve">90 days if feasible and no later than </w:t>
      </w:r>
      <w:r w:rsidR="00927CE7">
        <w:t xml:space="preserve">120 </w:t>
      </w:r>
      <w:r w:rsidRPr="000C31AA">
        <w:t>days of issuance of this decision</w:t>
      </w:r>
      <w:r w:rsidR="00927CE7">
        <w:t>.</w:t>
      </w:r>
      <w:r w:rsidR="00574012">
        <w:t xml:space="preserve"> </w:t>
      </w:r>
    </w:p>
    <w:p w14:paraId="65415F1D" w14:textId="2081058D" w:rsidR="006B5E88" w:rsidRDefault="001C4A4E" w:rsidP="0012152A">
      <w:pPr>
        <w:pStyle w:val="conclusionoflaw"/>
        <w:ind w:firstLine="230"/>
      </w:pPr>
      <w:r>
        <w:t xml:space="preserve">The Commission should establish </w:t>
      </w:r>
      <w:r w:rsidRPr="001C4A4E">
        <w:t>a</w:t>
      </w:r>
      <w:r w:rsidR="008E27F8">
        <w:t>n SGIP equity budget</w:t>
      </w:r>
      <w:r w:rsidRPr="001C4A4E">
        <w:t xml:space="preserve"> </w:t>
      </w:r>
      <w:r w:rsidR="002D6F6C">
        <w:t xml:space="preserve">SJV </w:t>
      </w:r>
      <w:r>
        <w:t>set</w:t>
      </w:r>
      <w:r w:rsidR="00757681">
        <w:noBreakHyphen/>
      </w:r>
      <w:r>
        <w:t xml:space="preserve">aside </w:t>
      </w:r>
      <w:r w:rsidR="00927CE7">
        <w:t xml:space="preserve">not to exceed </w:t>
      </w:r>
      <w:r w:rsidRPr="001C4A4E">
        <w:t xml:space="preserve">$10 million for </w:t>
      </w:r>
      <w:r w:rsidR="008E27F8">
        <w:t xml:space="preserve">use by </w:t>
      </w:r>
      <w:r w:rsidRPr="001C4A4E">
        <w:t xml:space="preserve">the </w:t>
      </w:r>
      <w:r w:rsidR="008E27F8">
        <w:t xml:space="preserve">11 </w:t>
      </w:r>
      <w:r w:rsidR="008E27F8" w:rsidRPr="003607B7">
        <w:t>S</w:t>
      </w:r>
      <w:r w:rsidR="00754CCC">
        <w:t>J</w:t>
      </w:r>
      <w:r w:rsidR="008E27F8" w:rsidRPr="003607B7">
        <w:t>V pilot communities</w:t>
      </w:r>
      <w:r w:rsidR="008E27F8">
        <w:t xml:space="preserve"> approved in this decision.</w:t>
      </w:r>
    </w:p>
    <w:p w14:paraId="79DB67CC" w14:textId="1AC959C3" w:rsidR="00090FE3" w:rsidRPr="00090FE3" w:rsidRDefault="00090FE3" w:rsidP="0012152A">
      <w:pPr>
        <w:pStyle w:val="conclusionoflaw"/>
        <w:ind w:firstLine="230"/>
      </w:pPr>
      <w:r>
        <w:t xml:space="preserve">The Commission should restrict eligibility to the </w:t>
      </w:r>
      <w:r w:rsidRPr="00090FE3">
        <w:t>SJV</w:t>
      </w:r>
      <w:r>
        <w:t xml:space="preserve"> set</w:t>
      </w:r>
      <w:r w:rsidR="00757681">
        <w:noBreakHyphen/>
      </w:r>
      <w:r>
        <w:t>aside to</w:t>
      </w:r>
      <w:r w:rsidRPr="00090FE3">
        <w:t xml:space="preserve"> households </w:t>
      </w:r>
      <w:r>
        <w:t xml:space="preserve">in the 11 pilot communities </w:t>
      </w:r>
      <w:r w:rsidRPr="00090FE3">
        <w:t xml:space="preserve">currently using propane or </w:t>
      </w:r>
      <w:r>
        <w:t xml:space="preserve">wood to meet their basic </w:t>
      </w:r>
      <w:r w:rsidRPr="00090FE3">
        <w:t>needs</w:t>
      </w:r>
      <w:r w:rsidR="002048B5">
        <w:t xml:space="preserve">, or households with inoperable or inefficient major electrical appliances (such as cooling, heating or water heating systems), </w:t>
      </w:r>
      <w:r>
        <w:t xml:space="preserve">that install </w:t>
      </w:r>
      <w:r w:rsidR="002048B5">
        <w:t xml:space="preserve">efficient </w:t>
      </w:r>
      <w:r w:rsidRPr="00090FE3">
        <w:t>electric appliances</w:t>
      </w:r>
      <w:r w:rsidR="002048B5">
        <w:t xml:space="preserve"> </w:t>
      </w:r>
      <w:r w:rsidR="00FC76EE">
        <w:t xml:space="preserve">as part of the pilot project and to </w:t>
      </w:r>
      <w:r w:rsidRPr="00090FE3">
        <w:t>facilities providing crit</w:t>
      </w:r>
      <w:r w:rsidR="00FC76EE">
        <w:t>ical services or infrastructure.</w:t>
      </w:r>
    </w:p>
    <w:p w14:paraId="5D4133F5" w14:textId="017C60F0" w:rsidR="00343C83" w:rsidRDefault="006B5E88" w:rsidP="0012152A">
      <w:pPr>
        <w:pStyle w:val="conclusionoflaw"/>
        <w:ind w:firstLine="230"/>
      </w:pPr>
      <w:r>
        <w:lastRenderedPageBreak/>
        <w:t xml:space="preserve">The Commission should </w:t>
      </w:r>
      <w:r w:rsidR="00927CE7">
        <w:t xml:space="preserve">direct </w:t>
      </w:r>
      <w:r w:rsidR="003607B7" w:rsidRPr="003607B7">
        <w:t xml:space="preserve">PG&amp;E and SCE </w:t>
      </w:r>
      <w:r>
        <w:t xml:space="preserve">to each </w:t>
      </w:r>
      <w:r w:rsidR="002D6F6C">
        <w:t xml:space="preserve">allocate </w:t>
      </w:r>
      <w:r w:rsidR="003607B7" w:rsidRPr="003607B7">
        <w:t xml:space="preserve">$5 million from their </w:t>
      </w:r>
      <w:r w:rsidR="00FF4975">
        <w:t>accumulated unused</w:t>
      </w:r>
      <w:r w:rsidR="00927CE7">
        <w:t xml:space="preserve"> n</w:t>
      </w:r>
      <w:r w:rsidR="003607B7" w:rsidRPr="003607B7">
        <w:t>on</w:t>
      </w:r>
      <w:r w:rsidR="00757681">
        <w:noBreakHyphen/>
      </w:r>
      <w:r w:rsidR="003607B7" w:rsidRPr="003607B7">
        <w:t>residential equity budget</w:t>
      </w:r>
      <w:r w:rsidR="00927CE7">
        <w:t>s</w:t>
      </w:r>
      <w:r w:rsidR="003607B7" w:rsidRPr="003607B7">
        <w:t xml:space="preserve"> for use by</w:t>
      </w:r>
      <w:r>
        <w:t xml:space="preserve"> the 11 </w:t>
      </w:r>
      <w:r w:rsidR="003607B7" w:rsidRPr="003607B7">
        <w:t>S</w:t>
      </w:r>
      <w:r w:rsidR="00754CCC">
        <w:t>J</w:t>
      </w:r>
      <w:r w:rsidR="003607B7" w:rsidRPr="003607B7">
        <w:t>V pilot communities</w:t>
      </w:r>
      <w:r>
        <w:t xml:space="preserve"> approved in this decision</w:t>
      </w:r>
      <w:r w:rsidR="00343C83">
        <w:t>.</w:t>
      </w:r>
    </w:p>
    <w:p w14:paraId="3D8812A8" w14:textId="2A2A9B45" w:rsidR="006D3134" w:rsidRDefault="00343C83" w:rsidP="0012152A">
      <w:pPr>
        <w:pStyle w:val="conclusionoflaw"/>
        <w:ind w:firstLine="230"/>
      </w:pPr>
      <w:r>
        <w:t xml:space="preserve">The Commission </w:t>
      </w:r>
      <w:r w:rsidR="006B5E88">
        <w:t xml:space="preserve">should </w:t>
      </w:r>
      <w:r w:rsidR="00927CE7">
        <w:t xml:space="preserve">direct </w:t>
      </w:r>
      <w:r w:rsidR="006B5E88">
        <w:t>PG&amp;E and SCE to reallocate any u</w:t>
      </w:r>
      <w:r w:rsidR="006B5E88" w:rsidRPr="003607B7">
        <w:t xml:space="preserve">nreserved funds remaining in </w:t>
      </w:r>
      <w:r w:rsidR="006B5E88">
        <w:t>the</w:t>
      </w:r>
      <w:r>
        <w:t xml:space="preserve"> SJV </w:t>
      </w:r>
      <w:r w:rsidR="006B5E88">
        <w:t>set</w:t>
      </w:r>
      <w:r w:rsidR="00757681">
        <w:noBreakHyphen/>
      </w:r>
      <w:r w:rsidR="006B5E88">
        <w:t xml:space="preserve">aside </w:t>
      </w:r>
      <w:r w:rsidR="006B5E88" w:rsidRPr="003607B7">
        <w:t>as of four years from issuance of this decision</w:t>
      </w:r>
      <w:r w:rsidR="008E27F8">
        <w:t xml:space="preserve"> to the </w:t>
      </w:r>
      <w:r w:rsidR="008E27F8" w:rsidRPr="00343C83">
        <w:t>residential equity budget</w:t>
      </w:r>
      <w:r>
        <w:t>.</w:t>
      </w:r>
    </w:p>
    <w:p w14:paraId="64F7D7A2" w14:textId="135A959C" w:rsidR="00927CE7" w:rsidRDefault="006D3134" w:rsidP="0012152A">
      <w:pPr>
        <w:pStyle w:val="conclusionoflaw"/>
        <w:ind w:firstLine="230"/>
      </w:pPr>
      <w:r w:rsidRPr="006D3134">
        <w:t xml:space="preserve">The Commission should </w:t>
      </w:r>
      <w:r w:rsidR="008759F9">
        <w:t xml:space="preserve">approve </w:t>
      </w:r>
      <w:r w:rsidRPr="006D3134">
        <w:t>no more than $9.76 million of the $10 million SJV set</w:t>
      </w:r>
      <w:r w:rsidR="00757681">
        <w:noBreakHyphen/>
      </w:r>
      <w:r w:rsidRPr="006D3134">
        <w:t xml:space="preserve">aside for </w:t>
      </w:r>
      <w:r w:rsidR="00927CE7">
        <w:t>use towards SGIP incentives by qualifying residential SJV pilot customers.</w:t>
      </w:r>
      <w:r w:rsidR="008759F9">
        <w:t xml:space="preserve"> </w:t>
      </w:r>
      <w:r w:rsidR="00927CE7">
        <w:t xml:space="preserve"> </w:t>
      </w:r>
    </w:p>
    <w:p w14:paraId="3782D833" w14:textId="11650C09" w:rsidR="00927CE7" w:rsidRPr="00927CE7" w:rsidRDefault="00927CE7" w:rsidP="0012152A">
      <w:pPr>
        <w:pStyle w:val="conclusionoflaw"/>
        <w:ind w:firstLine="230"/>
      </w:pPr>
      <w:r>
        <w:t xml:space="preserve">The Commission should approve an initial budget of $240,000 for </w:t>
      </w:r>
      <w:r w:rsidR="002D6F6C">
        <w:t xml:space="preserve">SJV </w:t>
      </w:r>
      <w:r>
        <w:t>non</w:t>
      </w:r>
      <w:r w:rsidR="00757681">
        <w:noBreakHyphen/>
      </w:r>
      <w:r w:rsidR="006D3134" w:rsidRPr="006D3134">
        <w:t xml:space="preserve">residential </w:t>
      </w:r>
      <w:r>
        <w:t xml:space="preserve">incentives and </w:t>
      </w:r>
      <w:r w:rsidR="008E27F8">
        <w:t xml:space="preserve">should </w:t>
      </w:r>
      <w:r>
        <w:t xml:space="preserve">authorize SCE and PG&amp;E to </w:t>
      </w:r>
      <w:r w:rsidR="006D3134" w:rsidRPr="006D3134">
        <w:t xml:space="preserve">allocate an additional $240,000 </w:t>
      </w:r>
      <w:r>
        <w:t xml:space="preserve">in incentives for this purpose if </w:t>
      </w:r>
      <w:r w:rsidRPr="00927CE7">
        <w:t xml:space="preserve">there is additional demand. </w:t>
      </w:r>
    </w:p>
    <w:p w14:paraId="30EAF3F9" w14:textId="33AC3E32" w:rsidR="00927CE7" w:rsidRDefault="00EB1FD2" w:rsidP="0012152A">
      <w:pPr>
        <w:pStyle w:val="conclusionoflaw"/>
        <w:ind w:firstLine="230"/>
      </w:pPr>
      <w:r w:rsidRPr="00927CE7">
        <w:t>The Commission should require CARE</w:t>
      </w:r>
      <w:r w:rsidR="00757681">
        <w:noBreakHyphen/>
      </w:r>
      <w:r w:rsidRPr="00927CE7">
        <w:t>eligible SJV pilot households that wish to access SGIP incentives to enroll in a</w:t>
      </w:r>
      <w:r w:rsidR="00927CE7" w:rsidRPr="00927CE7">
        <w:t>n SGIP</w:t>
      </w:r>
      <w:r w:rsidR="00757681">
        <w:noBreakHyphen/>
      </w:r>
      <w:r w:rsidR="00927CE7" w:rsidRPr="00927CE7">
        <w:t>approved rate, if one is available, or in any</w:t>
      </w:r>
      <w:r w:rsidRPr="00927CE7">
        <w:t xml:space="preserve"> CARE TOU rate</w:t>
      </w:r>
      <w:r w:rsidR="00927CE7" w:rsidRPr="00927CE7">
        <w:t xml:space="preserve"> if an SGIP</w:t>
      </w:r>
      <w:r w:rsidR="00757681">
        <w:noBreakHyphen/>
      </w:r>
      <w:r w:rsidR="00927CE7" w:rsidRPr="00927CE7">
        <w:t>approved rate is not available</w:t>
      </w:r>
      <w:r w:rsidRPr="00927CE7">
        <w:t>, regardless of the date of submittal of the SGIP application.</w:t>
      </w:r>
    </w:p>
    <w:p w14:paraId="3D71E504" w14:textId="21193154" w:rsidR="00ED0818" w:rsidRDefault="00ED0818">
      <w:pPr>
        <w:pStyle w:val="conclusionoflaw"/>
        <w:ind w:firstLine="230"/>
      </w:pPr>
      <w:r>
        <w:t xml:space="preserve">The Commission should direct the SGIP PAs to </w:t>
      </w:r>
      <w:r w:rsidRPr="00ED0818">
        <w:t xml:space="preserve">invite the SJV pilot project implementers </w:t>
      </w:r>
      <w:r>
        <w:t>and the SJV Pilot Community Energy Navigator Program Manager, as addressed in D.18</w:t>
      </w:r>
      <w:r w:rsidR="00757681">
        <w:noBreakHyphen/>
      </w:r>
      <w:r>
        <w:t>12</w:t>
      </w:r>
      <w:r w:rsidR="00757681">
        <w:noBreakHyphen/>
      </w:r>
      <w:r>
        <w:t xml:space="preserve">015, </w:t>
      </w:r>
      <w:r w:rsidRPr="00ED0818">
        <w:t>to</w:t>
      </w:r>
      <w:r>
        <w:t xml:space="preserve"> any </w:t>
      </w:r>
      <w:r w:rsidRPr="00ED0818">
        <w:t xml:space="preserve">equity budget ME&amp;O Plan workshop </w:t>
      </w:r>
      <w:r w:rsidR="005111DC">
        <w:t xml:space="preserve">as </w:t>
      </w:r>
      <w:r w:rsidRPr="00ED0818">
        <w:t xml:space="preserve">discussed in this decision and </w:t>
      </w:r>
      <w:r>
        <w:t xml:space="preserve">to </w:t>
      </w:r>
      <w:r w:rsidRPr="00ED0818">
        <w:t>otherwise provide them with the information they need to appropriately promote the new SJV pilot incentives.</w:t>
      </w:r>
    </w:p>
    <w:p w14:paraId="1A62B67E" w14:textId="4CA27E7F" w:rsidR="00B07EC8" w:rsidRDefault="00B07EC8" w:rsidP="0012152A">
      <w:pPr>
        <w:pStyle w:val="conclusionoflaw"/>
        <w:ind w:firstLine="230"/>
      </w:pPr>
      <w:r>
        <w:t xml:space="preserve">The Commission should direct </w:t>
      </w:r>
      <w:r w:rsidR="00806578">
        <w:t xml:space="preserve">Energy Division </w:t>
      </w:r>
      <w:r>
        <w:t>staff to include additional research questions on the equity resiliency budget and other matters as discussed in this decision in the SGIP 202</w:t>
      </w:r>
      <w:r w:rsidR="004D0A87">
        <w:t>1</w:t>
      </w:r>
      <w:r w:rsidR="00757681">
        <w:noBreakHyphen/>
      </w:r>
      <w:r>
        <w:t>202</w:t>
      </w:r>
      <w:r w:rsidR="004D0A87">
        <w:t>5</w:t>
      </w:r>
      <w:r>
        <w:t xml:space="preserve"> evaluation plan</w:t>
      </w:r>
      <w:r w:rsidR="004D0A87">
        <w:t xml:space="preserve"> and the SGIP 2020 storage impact evaluation</w:t>
      </w:r>
      <w:r>
        <w:t>.</w:t>
      </w:r>
    </w:p>
    <w:p w14:paraId="7A8659E9" w14:textId="10DBACD9" w:rsidR="00073A4C" w:rsidRDefault="00073A4C" w:rsidP="0012152A">
      <w:pPr>
        <w:pStyle w:val="conclusionoflaw"/>
        <w:ind w:firstLine="230"/>
      </w:pPr>
      <w:r>
        <w:lastRenderedPageBreak/>
        <w:t>The Commission should notify the service list of R.15</w:t>
      </w:r>
      <w:r w:rsidR="00757681">
        <w:noBreakHyphen/>
      </w:r>
      <w:r>
        <w:t>03</w:t>
      </w:r>
      <w:r w:rsidR="00757681">
        <w:noBreakHyphen/>
      </w:r>
      <w:r>
        <w:t xml:space="preserve">010 </w:t>
      </w:r>
      <w:r w:rsidR="00D12B0E">
        <w:t>and R.18</w:t>
      </w:r>
      <w:r w:rsidR="00757681">
        <w:noBreakHyphen/>
      </w:r>
      <w:r w:rsidR="00D12B0E">
        <w:t>12</w:t>
      </w:r>
      <w:r w:rsidR="00757681">
        <w:noBreakHyphen/>
      </w:r>
      <w:r w:rsidR="00D12B0E">
        <w:t xml:space="preserve">005 </w:t>
      </w:r>
      <w:r>
        <w:t>of this decision.</w:t>
      </w:r>
    </w:p>
    <w:p w14:paraId="59786667" w14:textId="594E36A5" w:rsidR="003871CE" w:rsidRPr="00A1007D" w:rsidRDefault="003871CE" w:rsidP="00D32CB0">
      <w:pPr>
        <w:pStyle w:val="conclusionoflaw"/>
        <w:numPr>
          <w:ilvl w:val="0"/>
          <w:numId w:val="0"/>
        </w:numPr>
        <w:ind w:left="720"/>
        <w:rPr>
          <w:highlight w:val="yellow"/>
        </w:rPr>
      </w:pPr>
    </w:p>
    <w:p w14:paraId="7AFD56A7" w14:textId="21041120" w:rsidR="003871CE" w:rsidRPr="00CE14ED" w:rsidRDefault="00542B86" w:rsidP="00DB189F">
      <w:pPr>
        <w:pStyle w:val="ALJHeading1"/>
        <w:numPr>
          <w:ilvl w:val="0"/>
          <w:numId w:val="0"/>
        </w:numPr>
        <w:spacing w:after="240"/>
        <w:ind w:right="0"/>
        <w:jc w:val="center"/>
        <w:rPr>
          <w:spacing w:val="120"/>
        </w:rPr>
      </w:pPr>
      <w:bookmarkStart w:id="104" w:name="_Toc15908113"/>
      <w:r w:rsidRPr="00CE14ED">
        <w:rPr>
          <w:spacing w:val="120"/>
        </w:rPr>
        <w:t>OR</w:t>
      </w:r>
      <w:r w:rsidR="00D07134" w:rsidRPr="00CE14ED">
        <w:rPr>
          <w:spacing w:val="120"/>
        </w:rPr>
        <w:t>DE</w:t>
      </w:r>
      <w:r w:rsidRPr="00CE14ED">
        <w:rPr>
          <w:spacing w:val="120"/>
        </w:rPr>
        <w:t>R</w:t>
      </w:r>
      <w:bookmarkEnd w:id="104"/>
    </w:p>
    <w:p w14:paraId="63F251AE" w14:textId="77777777" w:rsidR="00B26DB6" w:rsidRDefault="00B26DB6" w:rsidP="00B26DB6">
      <w:pPr>
        <w:pStyle w:val="ALJBodyText"/>
        <w:keepNext/>
      </w:pPr>
      <w:r w:rsidRPr="00B26DB6">
        <w:rPr>
          <w:b/>
        </w:rPr>
        <w:t>IT IS ORDERED</w:t>
      </w:r>
      <w:r>
        <w:t xml:space="preserve"> that:</w:t>
      </w:r>
    </w:p>
    <w:p w14:paraId="1E62B5F1" w14:textId="6BC35335" w:rsidR="007957E3" w:rsidRDefault="007957E3" w:rsidP="00757681">
      <w:pPr>
        <w:pStyle w:val="ALJOP"/>
        <w:numPr>
          <w:ilvl w:val="0"/>
          <w:numId w:val="55"/>
        </w:numPr>
        <w:ind w:left="0" w:firstLine="360"/>
      </w:pPr>
      <w:r w:rsidRPr="007957E3">
        <w:t>The modifications to the Self</w:t>
      </w:r>
      <w:r w:rsidR="00757681">
        <w:noBreakHyphen/>
      </w:r>
      <w:r w:rsidRPr="007957E3">
        <w:t>Generation Incentive Program contained in Attachment A are approved.</w:t>
      </w:r>
    </w:p>
    <w:p w14:paraId="45DAE6A7" w14:textId="46466A53" w:rsidR="0031014E" w:rsidRPr="0031014E" w:rsidRDefault="007957E3" w:rsidP="00757681">
      <w:pPr>
        <w:pStyle w:val="ALJOP"/>
        <w:numPr>
          <w:ilvl w:val="0"/>
          <w:numId w:val="55"/>
        </w:numPr>
        <w:ind w:left="0" w:firstLine="360"/>
      </w:pPr>
      <w:r w:rsidRPr="007957E3">
        <w:t>The modifications to the Self</w:t>
      </w:r>
      <w:r w:rsidR="00757681">
        <w:noBreakHyphen/>
      </w:r>
      <w:r w:rsidRPr="007957E3">
        <w:t>Generation Incentive Program adopted in this decisio</w:t>
      </w:r>
      <w:r>
        <w:t xml:space="preserve">n are effective April 1, 2020. </w:t>
      </w:r>
      <w:r w:rsidR="0031014E">
        <w:t xml:space="preserve"> </w:t>
      </w:r>
    </w:p>
    <w:p w14:paraId="2D649DC2" w14:textId="5682CB16" w:rsidR="0031014E" w:rsidRDefault="0031014E" w:rsidP="00757681">
      <w:pPr>
        <w:pStyle w:val="ALJOP"/>
        <w:numPr>
          <w:ilvl w:val="0"/>
          <w:numId w:val="55"/>
        </w:numPr>
        <w:ind w:left="0" w:firstLine="360"/>
      </w:pPr>
      <w:r w:rsidRPr="007957E3">
        <w:t>Pacific</w:t>
      </w:r>
      <w:r>
        <w:t xml:space="preserve"> Gas and Electric Company</w:t>
      </w:r>
      <w:r w:rsidRPr="007957E3">
        <w:t>, Southern</w:t>
      </w:r>
      <w:r>
        <w:t xml:space="preserve"> California Edison Company</w:t>
      </w:r>
      <w:r w:rsidRPr="007957E3">
        <w:t>, Southern Ca</w:t>
      </w:r>
      <w:r>
        <w:t xml:space="preserve">lifornia Gas Company </w:t>
      </w:r>
      <w:r w:rsidRPr="007957E3">
        <w:t>and the Center fo</w:t>
      </w:r>
      <w:r>
        <w:t>r Sustainable Energy (collectively program administrators) must not accept a</w:t>
      </w:r>
      <w:r w:rsidRPr="0031014E">
        <w:t xml:space="preserve">pplications for energy storage projects receiving the </w:t>
      </w:r>
      <w:r>
        <w:t>incentive</w:t>
      </w:r>
      <w:r w:rsidRPr="0031014E">
        <w:t xml:space="preserve"> payment amounts adopted in this decision </w:t>
      </w:r>
      <w:r>
        <w:t xml:space="preserve">until April 1, 2020, </w:t>
      </w:r>
      <w:r w:rsidR="003013B6">
        <w:t>except that</w:t>
      </w:r>
      <w:r>
        <w:t xml:space="preserve"> any program a</w:t>
      </w:r>
      <w:r w:rsidRPr="0031014E">
        <w:t>dministrator may start implementing the Self</w:t>
      </w:r>
      <w:r w:rsidR="00757681">
        <w:noBreakHyphen/>
      </w:r>
      <w:r w:rsidRPr="0031014E">
        <w:t xml:space="preserve">Generation Incentive Program </w:t>
      </w:r>
      <w:r>
        <w:t xml:space="preserve">(SGIP) </w:t>
      </w:r>
      <w:r w:rsidRPr="0031014E">
        <w:t xml:space="preserve">modifications </w:t>
      </w:r>
      <w:r w:rsidR="00473141">
        <w:t xml:space="preserve">and incentive amounts </w:t>
      </w:r>
      <w:r>
        <w:t xml:space="preserve">adopted </w:t>
      </w:r>
      <w:r w:rsidRPr="0031014E">
        <w:t xml:space="preserve">in this decision for residential energy storage customers on January 1, 2020, or any other time prior to April 1, 2020, if it implements the </w:t>
      </w:r>
      <w:r>
        <w:t xml:space="preserve">SGIP </w:t>
      </w:r>
      <w:r w:rsidRPr="0031014E">
        <w:t>requirements for new residential customers set forth in Decision 19</w:t>
      </w:r>
      <w:r w:rsidR="00757681">
        <w:noBreakHyphen/>
      </w:r>
      <w:r w:rsidRPr="0031014E">
        <w:t>08</w:t>
      </w:r>
      <w:r w:rsidR="00757681">
        <w:noBreakHyphen/>
      </w:r>
      <w:r w:rsidRPr="0031014E">
        <w:t xml:space="preserve">001 at the same time.  </w:t>
      </w:r>
    </w:p>
    <w:p w14:paraId="3E9A9686" w14:textId="1DEBC21C" w:rsidR="007957E3" w:rsidRPr="007957E3" w:rsidRDefault="0031014E" w:rsidP="00757681">
      <w:pPr>
        <w:pStyle w:val="ALJOP"/>
        <w:numPr>
          <w:ilvl w:val="0"/>
          <w:numId w:val="55"/>
        </w:numPr>
        <w:ind w:left="0" w:firstLine="360"/>
      </w:pPr>
      <w:r w:rsidRPr="007957E3">
        <w:t>Pacific</w:t>
      </w:r>
      <w:r>
        <w:t xml:space="preserve"> Gas and Electric Company</w:t>
      </w:r>
      <w:r w:rsidRPr="007957E3">
        <w:t>, Southern</w:t>
      </w:r>
      <w:r>
        <w:t xml:space="preserve"> California Edison Company</w:t>
      </w:r>
      <w:r w:rsidRPr="007957E3">
        <w:t>, Southern Ca</w:t>
      </w:r>
      <w:r>
        <w:t xml:space="preserve">lifornia Gas Company </w:t>
      </w:r>
      <w:r w:rsidRPr="007957E3">
        <w:t>and the Center fo</w:t>
      </w:r>
      <w:r>
        <w:t xml:space="preserve">r Sustainable Energy are authorized </w:t>
      </w:r>
      <w:r w:rsidRPr="0031014E">
        <w:t>to begin implementing</w:t>
      </w:r>
      <w:r w:rsidR="00DF6FDD">
        <w:t xml:space="preserve"> the requirements of Decision 19</w:t>
      </w:r>
      <w:r w:rsidR="00757681">
        <w:noBreakHyphen/>
      </w:r>
      <w:r w:rsidRPr="0031014E">
        <w:t>08</w:t>
      </w:r>
      <w:r w:rsidR="00757681">
        <w:noBreakHyphen/>
      </w:r>
      <w:r w:rsidRPr="0031014E">
        <w:t>001 for new residential customers on January 1, 2020, or any other time prior to April 1, 2020</w:t>
      </w:r>
      <w:r w:rsidR="00D12B0E">
        <w:t>, if they are able to</w:t>
      </w:r>
      <w:r w:rsidR="00DF6FDD">
        <w:t xml:space="preserve"> do so</w:t>
      </w:r>
      <w:r>
        <w:t>.</w:t>
      </w:r>
    </w:p>
    <w:p w14:paraId="6CD48072" w14:textId="65D522FB" w:rsidR="00952D37" w:rsidRDefault="007957E3" w:rsidP="00952D37">
      <w:pPr>
        <w:pStyle w:val="ALJOP"/>
        <w:numPr>
          <w:ilvl w:val="0"/>
          <w:numId w:val="55"/>
        </w:numPr>
        <w:ind w:left="0" w:firstLine="360"/>
      </w:pPr>
      <w:r w:rsidRPr="007957E3">
        <w:t xml:space="preserve">Pacific Gas and Electric Company (PG&amp;E), Southern California Edison Company (SCE), Southern California Gas Company (SoCalGas) and the Center </w:t>
      </w:r>
      <w:r w:rsidRPr="007957E3">
        <w:lastRenderedPageBreak/>
        <w:t xml:space="preserve">for Sustainable Energy (CSE) are directed to allocate </w:t>
      </w:r>
      <w:r w:rsidR="00FF4975">
        <w:t>accumulated unused</w:t>
      </w:r>
      <w:r w:rsidR="00927CE7">
        <w:t xml:space="preserve"> </w:t>
      </w:r>
      <w:r w:rsidRPr="007957E3">
        <w:t>incentive funds to the following budget categories</w:t>
      </w:r>
      <w:r w:rsidR="00D12B0E">
        <w:t xml:space="preserve"> following the guidance provided in this decision</w:t>
      </w:r>
      <w:r w:rsidR="00D833E1">
        <w:t>:</w:t>
      </w:r>
    </w:p>
    <w:tbl>
      <w:tblPr>
        <w:tblStyle w:val="TableGrid"/>
        <w:tblW w:w="8228" w:type="dxa"/>
        <w:jc w:val="center"/>
        <w:tblLook w:val="04A0" w:firstRow="1" w:lastRow="0" w:firstColumn="1" w:lastColumn="0" w:noHBand="0" w:noVBand="1"/>
      </w:tblPr>
      <w:tblGrid>
        <w:gridCol w:w="2742"/>
        <w:gridCol w:w="2743"/>
        <w:gridCol w:w="2743"/>
      </w:tblGrid>
      <w:tr w:rsidR="00952D37" w:rsidRPr="00AF6BF5" w14:paraId="78119BEE" w14:textId="77777777" w:rsidTr="004D1EBD">
        <w:trPr>
          <w:trHeight w:val="220"/>
          <w:jc w:val="center"/>
        </w:trPr>
        <w:tc>
          <w:tcPr>
            <w:tcW w:w="2742" w:type="dxa"/>
          </w:tcPr>
          <w:p w14:paraId="2E457D73" w14:textId="77777777" w:rsidR="00952D37" w:rsidRPr="00D32CB0" w:rsidRDefault="00952D37" w:rsidP="004D1EBD">
            <w:pPr>
              <w:pStyle w:val="ALJBodyText"/>
              <w:spacing w:line="240" w:lineRule="auto"/>
              <w:ind w:firstLine="72"/>
              <w:rPr>
                <w:bCs/>
              </w:rPr>
            </w:pPr>
            <w:r w:rsidRPr="00D32CB0">
              <w:rPr>
                <w:bCs/>
              </w:rPr>
              <w:t>Program Administrator</w:t>
            </w:r>
          </w:p>
        </w:tc>
        <w:tc>
          <w:tcPr>
            <w:tcW w:w="2743" w:type="dxa"/>
          </w:tcPr>
          <w:p w14:paraId="3AEA6750" w14:textId="77777777" w:rsidR="00952D37" w:rsidRPr="00D32CB0" w:rsidRDefault="00952D37" w:rsidP="004D1EBD">
            <w:pPr>
              <w:pStyle w:val="ALJBodyText"/>
              <w:spacing w:line="240" w:lineRule="auto"/>
              <w:ind w:firstLine="0"/>
              <w:rPr>
                <w:bCs/>
              </w:rPr>
            </w:pPr>
            <w:r w:rsidRPr="00D32CB0">
              <w:rPr>
                <w:bCs/>
              </w:rPr>
              <w:t xml:space="preserve">Equity Resiliency Budget </w:t>
            </w:r>
          </w:p>
          <w:p w14:paraId="4D8A4D4A" w14:textId="77777777" w:rsidR="00952D37" w:rsidRPr="00D32CB0" w:rsidRDefault="00952D37" w:rsidP="004D1EBD">
            <w:pPr>
              <w:pStyle w:val="ALJBodyText"/>
              <w:spacing w:line="240" w:lineRule="auto"/>
              <w:ind w:firstLine="30"/>
              <w:rPr>
                <w:bCs/>
              </w:rPr>
            </w:pPr>
            <w:r w:rsidRPr="00D32CB0">
              <w:rPr>
                <w:bCs/>
              </w:rPr>
              <w:t>(in millions)</w:t>
            </w:r>
          </w:p>
        </w:tc>
        <w:tc>
          <w:tcPr>
            <w:tcW w:w="2743" w:type="dxa"/>
          </w:tcPr>
          <w:p w14:paraId="4DC3F8EF" w14:textId="77777777" w:rsidR="00952D37" w:rsidRPr="00D32CB0" w:rsidRDefault="00952D37" w:rsidP="004D1EBD">
            <w:pPr>
              <w:pStyle w:val="ALJBodyText"/>
              <w:spacing w:line="240" w:lineRule="auto"/>
              <w:ind w:firstLine="0"/>
              <w:rPr>
                <w:bCs/>
              </w:rPr>
            </w:pPr>
            <w:r w:rsidRPr="00D32CB0">
              <w:rPr>
                <w:bCs/>
              </w:rPr>
              <w:t xml:space="preserve">Equity Heat Pump Water Heater Budget </w:t>
            </w:r>
          </w:p>
          <w:p w14:paraId="7231B59F" w14:textId="77777777" w:rsidR="00952D37" w:rsidRPr="00D32CB0" w:rsidRDefault="00952D37" w:rsidP="004D1EBD">
            <w:pPr>
              <w:pStyle w:val="ALJBodyText"/>
              <w:spacing w:line="240" w:lineRule="auto"/>
              <w:ind w:firstLine="0"/>
              <w:rPr>
                <w:bCs/>
              </w:rPr>
            </w:pPr>
            <w:r w:rsidRPr="00D32CB0">
              <w:rPr>
                <w:bCs/>
              </w:rPr>
              <w:t>(in millions)</w:t>
            </w:r>
          </w:p>
        </w:tc>
      </w:tr>
      <w:tr w:rsidR="00952D37" w:rsidRPr="00AF6BF5" w14:paraId="52B2F48E" w14:textId="77777777" w:rsidTr="004D1EBD">
        <w:trPr>
          <w:trHeight w:val="220"/>
          <w:jc w:val="center"/>
        </w:trPr>
        <w:tc>
          <w:tcPr>
            <w:tcW w:w="2742" w:type="dxa"/>
          </w:tcPr>
          <w:p w14:paraId="5697ED60" w14:textId="77777777" w:rsidR="00952D37" w:rsidRPr="00AF6BF5" w:rsidRDefault="00952D37" w:rsidP="004D1EBD">
            <w:pPr>
              <w:pStyle w:val="ALJBodyText"/>
              <w:spacing w:line="240" w:lineRule="auto"/>
            </w:pPr>
            <w:r w:rsidRPr="00AF6BF5">
              <w:t>PG&amp;E</w:t>
            </w:r>
          </w:p>
        </w:tc>
        <w:tc>
          <w:tcPr>
            <w:tcW w:w="2743" w:type="dxa"/>
          </w:tcPr>
          <w:p w14:paraId="1D7A55B7" w14:textId="77777777" w:rsidR="00952D37" w:rsidRPr="00AF6BF5" w:rsidRDefault="00952D37" w:rsidP="004D1EBD">
            <w:pPr>
              <w:pStyle w:val="ALJBodyText"/>
              <w:spacing w:line="240" w:lineRule="auto"/>
            </w:pPr>
            <w:r>
              <w:t>$44</w:t>
            </w:r>
          </w:p>
        </w:tc>
        <w:tc>
          <w:tcPr>
            <w:tcW w:w="2743" w:type="dxa"/>
          </w:tcPr>
          <w:p w14:paraId="79371F26" w14:textId="77777777" w:rsidR="00952D37" w:rsidRPr="00AF6BF5" w:rsidRDefault="00952D37" w:rsidP="004D1EBD">
            <w:pPr>
              <w:pStyle w:val="ALJBodyText"/>
              <w:spacing w:line="240" w:lineRule="auto"/>
            </w:pPr>
            <w:r w:rsidRPr="00AF6BF5">
              <w:t>$</w:t>
            </w:r>
            <w:r>
              <w:t>1.76</w:t>
            </w:r>
          </w:p>
        </w:tc>
      </w:tr>
      <w:tr w:rsidR="00952D37" w:rsidRPr="00AF6BF5" w14:paraId="51C96752" w14:textId="77777777" w:rsidTr="004D1EBD">
        <w:trPr>
          <w:trHeight w:val="227"/>
          <w:jc w:val="center"/>
        </w:trPr>
        <w:tc>
          <w:tcPr>
            <w:tcW w:w="2742" w:type="dxa"/>
          </w:tcPr>
          <w:p w14:paraId="365CE040" w14:textId="77777777" w:rsidR="00952D37" w:rsidRPr="00AF6BF5" w:rsidRDefault="00952D37" w:rsidP="004D1EBD">
            <w:pPr>
              <w:pStyle w:val="ALJBodyText"/>
              <w:spacing w:line="240" w:lineRule="auto"/>
            </w:pPr>
            <w:r w:rsidRPr="00AF6BF5">
              <w:t>SCE</w:t>
            </w:r>
          </w:p>
        </w:tc>
        <w:tc>
          <w:tcPr>
            <w:tcW w:w="2743" w:type="dxa"/>
          </w:tcPr>
          <w:p w14:paraId="2413C9F9" w14:textId="72B5E50E" w:rsidR="00952D37" w:rsidRPr="00AF6BF5" w:rsidRDefault="00952D37" w:rsidP="004D1EBD">
            <w:pPr>
              <w:pStyle w:val="ALJBodyText"/>
              <w:spacing w:line="240" w:lineRule="auto"/>
            </w:pPr>
            <w:r>
              <w:t>$34</w:t>
            </w:r>
          </w:p>
        </w:tc>
        <w:tc>
          <w:tcPr>
            <w:tcW w:w="2743" w:type="dxa"/>
          </w:tcPr>
          <w:p w14:paraId="26381D51" w14:textId="77777777" w:rsidR="00952D37" w:rsidRPr="00AF6BF5" w:rsidRDefault="00952D37" w:rsidP="004D1EBD">
            <w:pPr>
              <w:pStyle w:val="ALJBodyText"/>
              <w:spacing w:line="240" w:lineRule="auto"/>
            </w:pPr>
            <w:r w:rsidRPr="00AF6BF5">
              <w:t>$</w:t>
            </w:r>
            <w:r>
              <w:t>1.36</w:t>
            </w:r>
          </w:p>
        </w:tc>
      </w:tr>
      <w:tr w:rsidR="00952D37" w:rsidRPr="00AF6BF5" w14:paraId="13E4D4E5" w14:textId="77777777" w:rsidTr="004D1EBD">
        <w:trPr>
          <w:trHeight w:val="220"/>
          <w:jc w:val="center"/>
        </w:trPr>
        <w:tc>
          <w:tcPr>
            <w:tcW w:w="2742" w:type="dxa"/>
          </w:tcPr>
          <w:p w14:paraId="368D85CA" w14:textId="77777777" w:rsidR="00952D37" w:rsidRPr="00AF6BF5" w:rsidRDefault="00952D37" w:rsidP="004D1EBD">
            <w:pPr>
              <w:pStyle w:val="ALJBodyText"/>
              <w:spacing w:line="240" w:lineRule="auto"/>
            </w:pPr>
            <w:r w:rsidRPr="00AF6BF5">
              <w:t>CSE</w:t>
            </w:r>
          </w:p>
        </w:tc>
        <w:tc>
          <w:tcPr>
            <w:tcW w:w="2743" w:type="dxa"/>
          </w:tcPr>
          <w:p w14:paraId="6E52576B" w14:textId="77777777" w:rsidR="00952D37" w:rsidRPr="00AF6BF5" w:rsidRDefault="00952D37" w:rsidP="004D1EBD">
            <w:pPr>
              <w:pStyle w:val="ALJBodyText"/>
              <w:spacing w:line="240" w:lineRule="auto"/>
            </w:pPr>
            <w:r>
              <w:t>$13</w:t>
            </w:r>
          </w:p>
        </w:tc>
        <w:tc>
          <w:tcPr>
            <w:tcW w:w="2743" w:type="dxa"/>
          </w:tcPr>
          <w:p w14:paraId="67F0972F" w14:textId="77777777" w:rsidR="00952D37" w:rsidRPr="00AF6BF5" w:rsidRDefault="00952D37" w:rsidP="004D1EBD">
            <w:pPr>
              <w:pStyle w:val="ALJBodyText"/>
              <w:spacing w:line="240" w:lineRule="auto"/>
            </w:pPr>
            <w:r w:rsidRPr="00AF6BF5">
              <w:t>$</w:t>
            </w:r>
            <w:r>
              <w:t>0.52</w:t>
            </w:r>
          </w:p>
        </w:tc>
      </w:tr>
      <w:tr w:rsidR="00952D37" w:rsidRPr="00AF6BF5" w14:paraId="0977B20F" w14:textId="77777777" w:rsidTr="004D1EBD">
        <w:trPr>
          <w:trHeight w:val="220"/>
          <w:jc w:val="center"/>
        </w:trPr>
        <w:tc>
          <w:tcPr>
            <w:tcW w:w="2742" w:type="dxa"/>
          </w:tcPr>
          <w:p w14:paraId="4CC82178" w14:textId="77777777" w:rsidR="00952D37" w:rsidRPr="00AF6BF5" w:rsidRDefault="00952D37" w:rsidP="004D1EBD">
            <w:pPr>
              <w:pStyle w:val="ALJBodyText"/>
              <w:spacing w:line="240" w:lineRule="auto"/>
            </w:pPr>
            <w:r w:rsidRPr="00AF6BF5">
              <w:t>SoCalGas</w:t>
            </w:r>
          </w:p>
        </w:tc>
        <w:tc>
          <w:tcPr>
            <w:tcW w:w="2743" w:type="dxa"/>
          </w:tcPr>
          <w:p w14:paraId="34B8CEFD" w14:textId="77777777" w:rsidR="00952D37" w:rsidRPr="00AF6BF5" w:rsidRDefault="00952D37" w:rsidP="004D1EBD">
            <w:pPr>
              <w:pStyle w:val="ALJBodyText"/>
              <w:spacing w:line="240" w:lineRule="auto"/>
            </w:pPr>
            <w:r>
              <w:t>$9</w:t>
            </w:r>
          </w:p>
        </w:tc>
        <w:tc>
          <w:tcPr>
            <w:tcW w:w="2743" w:type="dxa"/>
          </w:tcPr>
          <w:p w14:paraId="30E983F2" w14:textId="77777777" w:rsidR="00952D37" w:rsidRPr="00AF6BF5" w:rsidRDefault="00952D37" w:rsidP="004D1EBD">
            <w:pPr>
              <w:pStyle w:val="ALJBodyText"/>
              <w:spacing w:line="240" w:lineRule="auto"/>
            </w:pPr>
            <w:r w:rsidRPr="00AF6BF5">
              <w:t>$</w:t>
            </w:r>
            <w:r>
              <w:t>0.36</w:t>
            </w:r>
          </w:p>
        </w:tc>
      </w:tr>
      <w:tr w:rsidR="00952D37" w:rsidRPr="00AF6BF5" w14:paraId="26CA3DFB" w14:textId="77777777" w:rsidTr="004D1EBD">
        <w:trPr>
          <w:trHeight w:val="227"/>
          <w:jc w:val="center"/>
        </w:trPr>
        <w:tc>
          <w:tcPr>
            <w:tcW w:w="2742" w:type="dxa"/>
          </w:tcPr>
          <w:p w14:paraId="4FF6A671" w14:textId="77777777" w:rsidR="00952D37" w:rsidRPr="00AF6BF5" w:rsidRDefault="00952D37" w:rsidP="004D1EBD">
            <w:pPr>
              <w:pStyle w:val="ALJBodyText"/>
              <w:spacing w:line="240" w:lineRule="auto"/>
              <w:rPr>
                <w:b/>
                <w:bCs/>
              </w:rPr>
            </w:pPr>
            <w:r w:rsidRPr="00AF6BF5">
              <w:rPr>
                <w:b/>
                <w:bCs/>
              </w:rPr>
              <w:t>Total</w:t>
            </w:r>
          </w:p>
        </w:tc>
        <w:tc>
          <w:tcPr>
            <w:tcW w:w="2743" w:type="dxa"/>
          </w:tcPr>
          <w:p w14:paraId="445C1158" w14:textId="77777777" w:rsidR="00952D37" w:rsidRPr="00AF6BF5" w:rsidRDefault="00952D37" w:rsidP="004D1EBD">
            <w:pPr>
              <w:pStyle w:val="ALJBodyText"/>
              <w:spacing w:line="240" w:lineRule="auto"/>
            </w:pPr>
            <w:r>
              <w:t>$100</w:t>
            </w:r>
          </w:p>
        </w:tc>
        <w:tc>
          <w:tcPr>
            <w:tcW w:w="2743" w:type="dxa"/>
          </w:tcPr>
          <w:p w14:paraId="1B124413" w14:textId="77777777" w:rsidR="00952D37" w:rsidRPr="00AF6BF5" w:rsidRDefault="00952D37" w:rsidP="004D1EBD">
            <w:pPr>
              <w:pStyle w:val="ALJBodyText"/>
              <w:spacing w:line="240" w:lineRule="auto"/>
            </w:pPr>
            <w:r w:rsidRPr="00AF6BF5">
              <w:t>$</w:t>
            </w:r>
            <w:r>
              <w:t>4</w:t>
            </w:r>
          </w:p>
        </w:tc>
      </w:tr>
    </w:tbl>
    <w:p w14:paraId="3CABD811" w14:textId="77777777" w:rsidR="00952D37" w:rsidRDefault="00952D37" w:rsidP="00952D37">
      <w:pPr>
        <w:pStyle w:val="ALJOP"/>
        <w:ind w:left="360"/>
      </w:pPr>
    </w:p>
    <w:p w14:paraId="187EAE24" w14:textId="5F54B6DC" w:rsidR="00952D37" w:rsidRDefault="00D833E1" w:rsidP="00952D37">
      <w:pPr>
        <w:pStyle w:val="ALJOP"/>
        <w:numPr>
          <w:ilvl w:val="0"/>
          <w:numId w:val="55"/>
        </w:numPr>
        <w:ind w:left="0" w:firstLine="360"/>
      </w:pPr>
      <w:r w:rsidRPr="007957E3">
        <w:t>Pacific G</w:t>
      </w:r>
      <w:r>
        <w:t xml:space="preserve">as and Electric Company and </w:t>
      </w:r>
      <w:r w:rsidRPr="007957E3">
        <w:t xml:space="preserve">Southern </w:t>
      </w:r>
      <w:r>
        <w:t xml:space="preserve">California Edison Company are directed </w:t>
      </w:r>
      <w:r w:rsidR="001362CA">
        <w:t xml:space="preserve">to </w:t>
      </w:r>
      <w:r>
        <w:t xml:space="preserve">allocate $5 million from their </w:t>
      </w:r>
      <w:r w:rsidR="00FF4975">
        <w:t>accumulated unused</w:t>
      </w:r>
      <w:r>
        <w:t xml:space="preserve"> non</w:t>
      </w:r>
      <w:r w:rsidR="00757681">
        <w:noBreakHyphen/>
      </w:r>
      <w:r>
        <w:t>residential equity storage budgets to a $10 million set</w:t>
      </w:r>
      <w:r w:rsidR="00757681">
        <w:noBreakHyphen/>
      </w:r>
      <w:r w:rsidR="00A53D77">
        <w:t>aside for eligible San </w:t>
      </w:r>
      <w:r>
        <w:t xml:space="preserve">Joaquin Valley customers as approved in this decision that are located in </w:t>
      </w:r>
      <w:r w:rsidRPr="00843BEE">
        <w:t>Allensworth, Alpaugh, Cantua Creek, Ducor,</w:t>
      </w:r>
      <w:r w:rsidR="00A53D77">
        <w:t xml:space="preserve"> Fairmead, Lanare, Le Grand, La </w:t>
      </w:r>
      <w:r w:rsidRPr="00843BEE">
        <w:t>Vina, Seville, Wes</w:t>
      </w:r>
      <w:r w:rsidR="002D6F6C">
        <w:t xml:space="preserve">t Goshen, or </w:t>
      </w:r>
      <w:r>
        <w:t>California City.</w:t>
      </w:r>
    </w:p>
    <w:p w14:paraId="3E6049D9" w14:textId="400B8907" w:rsidR="00D833E1" w:rsidRPr="007957E3" w:rsidRDefault="00D833E1" w:rsidP="00952D37">
      <w:pPr>
        <w:pStyle w:val="ALJOP"/>
        <w:numPr>
          <w:ilvl w:val="0"/>
          <w:numId w:val="55"/>
        </w:numPr>
        <w:ind w:left="0" w:firstLine="360"/>
      </w:pPr>
      <w:r w:rsidRPr="007957E3">
        <w:t>Pacific Gas and Electric Company, Southern California Edison Company, Southern California Gas Company and the Center for Sustainable Energy (collectively program administrators) shall:</w:t>
      </w:r>
    </w:p>
    <w:p w14:paraId="7FBD17E0" w14:textId="5870C3DE" w:rsidR="007957E3" w:rsidRDefault="005E4EAA" w:rsidP="005207D5">
      <w:pPr>
        <w:pStyle w:val="ALJOP"/>
        <w:numPr>
          <w:ilvl w:val="0"/>
          <w:numId w:val="61"/>
        </w:numPr>
        <w:spacing w:after="160" w:line="240" w:lineRule="auto"/>
        <w:ind w:left="1080" w:right="720"/>
      </w:pPr>
      <w:r>
        <w:t>Jointly submit</w:t>
      </w:r>
      <w:r w:rsidR="007957E3" w:rsidRPr="007957E3">
        <w:t xml:space="preserve"> a Tier 2 advice letter within 90 days of issuance of this decision proposing modifications to the Self</w:t>
      </w:r>
      <w:r w:rsidR="00757681">
        <w:noBreakHyphen/>
      </w:r>
      <w:r w:rsidR="007957E3" w:rsidRPr="007957E3">
        <w:t xml:space="preserve">Generation Incentive Program </w:t>
      </w:r>
      <w:r w:rsidR="005C51F5">
        <w:t>handbook</w:t>
      </w:r>
      <w:r w:rsidR="007957E3" w:rsidRPr="007957E3">
        <w:t xml:space="preserve"> to implement the changes adopted in this decision;</w:t>
      </w:r>
    </w:p>
    <w:p w14:paraId="6C054CA3" w14:textId="1594B74C" w:rsidR="00BA5681" w:rsidRDefault="00BA5681" w:rsidP="005207D5">
      <w:pPr>
        <w:pStyle w:val="ALJOP"/>
        <w:numPr>
          <w:ilvl w:val="0"/>
          <w:numId w:val="61"/>
        </w:numPr>
        <w:spacing w:after="160" w:line="240" w:lineRule="auto"/>
        <w:ind w:left="1080" w:right="720"/>
      </w:pPr>
      <w:r>
        <w:t xml:space="preserve">Include updated budget allocations for accumulated unused funds that reflect the modifications adopted in this decision in the Tier 2 advice letter directed in Ordering Paragraph (OP) </w:t>
      </w:r>
      <w:r w:rsidR="00D12B0E">
        <w:t>7</w:t>
      </w:r>
      <w:r>
        <w:t>(a)</w:t>
      </w:r>
      <w:r w:rsidR="00BC638C">
        <w:t>;</w:t>
      </w:r>
    </w:p>
    <w:p w14:paraId="02B3863C" w14:textId="1DDA1A96" w:rsidR="005E4EAA" w:rsidRPr="007957E3" w:rsidRDefault="005E4EAA" w:rsidP="005207D5">
      <w:pPr>
        <w:pStyle w:val="ALJOP"/>
        <w:numPr>
          <w:ilvl w:val="0"/>
          <w:numId w:val="61"/>
        </w:numPr>
        <w:spacing w:after="160" w:line="240" w:lineRule="auto"/>
        <w:ind w:left="1080" w:right="720"/>
      </w:pPr>
      <w:r>
        <w:t>Each s</w:t>
      </w:r>
      <w:r w:rsidRPr="005E4EAA">
        <w:t xml:space="preserve">ubmit a Tier 1 advice letter on January 31, 2020 that contains their final SGIP accounting data as of December 31, 2019 using the format </w:t>
      </w:r>
      <w:r>
        <w:t xml:space="preserve">indicated </w:t>
      </w:r>
      <w:r w:rsidRPr="005E4EAA">
        <w:t>in D.09</w:t>
      </w:r>
      <w:r w:rsidR="00757681">
        <w:noBreakHyphen/>
      </w:r>
      <w:r w:rsidRPr="005E4EAA">
        <w:t>12</w:t>
      </w:r>
      <w:r w:rsidR="00757681">
        <w:noBreakHyphen/>
      </w:r>
      <w:r w:rsidRPr="005E4EAA">
        <w:t>047</w:t>
      </w:r>
      <w:r>
        <w:t>;</w:t>
      </w:r>
      <w:r w:rsidRPr="005E4EAA">
        <w:t xml:space="preserve">  </w:t>
      </w:r>
    </w:p>
    <w:p w14:paraId="1449F007" w14:textId="0548ABB7" w:rsidR="007957E3" w:rsidRPr="007957E3" w:rsidRDefault="007957E3" w:rsidP="005207D5">
      <w:pPr>
        <w:pStyle w:val="ALJOP"/>
        <w:numPr>
          <w:ilvl w:val="0"/>
          <w:numId w:val="61"/>
        </w:numPr>
        <w:spacing w:after="160" w:line="240" w:lineRule="auto"/>
        <w:ind w:left="1080" w:right="720"/>
      </w:pPr>
      <w:r w:rsidRPr="007957E3">
        <w:lastRenderedPageBreak/>
        <w:t>Discuss with the Self</w:t>
      </w:r>
      <w:r w:rsidR="00757681">
        <w:noBreakHyphen/>
      </w:r>
      <w:r w:rsidRPr="007957E3">
        <w:t>Generation Incentive Program</w:t>
      </w:r>
      <w:r w:rsidR="006828C7">
        <w:t xml:space="preserve"> </w:t>
      </w:r>
      <w:r w:rsidR="00C21C70">
        <w:t xml:space="preserve">(SGIP) </w:t>
      </w:r>
      <w:r w:rsidR="006828C7" w:rsidRPr="007957E3">
        <w:t>technical working group</w:t>
      </w:r>
      <w:r w:rsidRPr="007957E3">
        <w:t xml:space="preserve"> </w:t>
      </w:r>
      <w:r w:rsidR="00C21C70">
        <w:t>the whole</w:t>
      </w:r>
      <w:r w:rsidR="00757681">
        <w:noBreakHyphen/>
      </w:r>
      <w:r w:rsidR="006828C7">
        <w:t>b</w:t>
      </w:r>
      <w:r w:rsidR="006828C7" w:rsidRPr="006828C7">
        <w:t xml:space="preserve">uilding benchmarking processes </w:t>
      </w:r>
      <w:r w:rsidR="006828C7">
        <w:t xml:space="preserve">being used in the </w:t>
      </w:r>
      <w:r w:rsidR="006828C7" w:rsidRPr="000D00DD">
        <w:t>Solar on Multifamily Afford</w:t>
      </w:r>
      <w:r w:rsidR="006828C7">
        <w:t xml:space="preserve">able Housing (SOMAH) program </w:t>
      </w:r>
      <w:r w:rsidR="006828C7" w:rsidRPr="006828C7">
        <w:t>to identify the best methods to apply these or similar tools to the SGIP</w:t>
      </w:r>
      <w:r w:rsidR="002D6F6C">
        <w:t xml:space="preserve"> </w:t>
      </w:r>
      <w:r w:rsidR="006828C7">
        <w:t xml:space="preserve">and </w:t>
      </w:r>
      <w:r w:rsidRPr="007957E3">
        <w:t>include recommendation</w:t>
      </w:r>
      <w:r w:rsidR="006828C7">
        <w:t>s</w:t>
      </w:r>
      <w:r w:rsidRPr="007957E3">
        <w:t xml:space="preserve"> on th</w:t>
      </w:r>
      <w:r w:rsidR="006828C7">
        <w:t>is</w:t>
      </w:r>
      <w:r w:rsidRPr="007957E3">
        <w:t xml:space="preserve"> topic in the Tier 2 advice letter required in O</w:t>
      </w:r>
      <w:r w:rsidR="00BA5681">
        <w:t xml:space="preserve">P </w:t>
      </w:r>
      <w:r w:rsidR="00D12B0E">
        <w:t>7</w:t>
      </w:r>
      <w:r w:rsidRPr="007957E3">
        <w:t>(a)</w:t>
      </w:r>
      <w:r w:rsidR="005C18E4">
        <w:t>;</w:t>
      </w:r>
    </w:p>
    <w:p w14:paraId="0E9E77EC" w14:textId="66C3B31D" w:rsidR="007957E3" w:rsidRPr="007957E3" w:rsidRDefault="007957E3" w:rsidP="005207D5">
      <w:pPr>
        <w:pStyle w:val="ALJOP"/>
        <w:numPr>
          <w:ilvl w:val="0"/>
          <w:numId w:val="61"/>
        </w:numPr>
        <w:spacing w:after="160" w:line="240" w:lineRule="auto"/>
        <w:ind w:left="1080" w:right="720"/>
      </w:pPr>
      <w:r w:rsidRPr="007957E3">
        <w:t>Develop a customized equity budget ME&amp;O Plan (Plan)</w:t>
      </w:r>
      <w:r w:rsidR="0031014E">
        <w:t xml:space="preserve"> in consultation with disability rights advocates</w:t>
      </w:r>
      <w:r w:rsidR="00D12B0E">
        <w:t xml:space="preserve"> and </w:t>
      </w:r>
      <w:r w:rsidR="00702BF0">
        <w:t xml:space="preserve">other key stakeholders </w:t>
      </w:r>
      <w:r w:rsidR="00D12B0E">
        <w:t>as described in this decision</w:t>
      </w:r>
      <w:r w:rsidR="00702BF0">
        <w:t xml:space="preserve"> </w:t>
      </w:r>
      <w:r w:rsidR="00C21C70">
        <w:t>that</w:t>
      </w:r>
      <w:r w:rsidR="0067262C">
        <w:t xml:space="preserve">: </w:t>
      </w:r>
      <w:r w:rsidR="006828C7">
        <w:t>co</w:t>
      </w:r>
      <w:r w:rsidR="00757681">
        <w:noBreakHyphen/>
      </w:r>
      <w:r w:rsidR="006828C7">
        <w:t>promote</w:t>
      </w:r>
      <w:r w:rsidR="00C21C70">
        <w:t>s</w:t>
      </w:r>
      <w:r w:rsidR="006828C7">
        <w:t xml:space="preserve"> equity budget incentives with the SOMAH, </w:t>
      </w:r>
      <w:r w:rsidR="006828C7" w:rsidRPr="006828C7">
        <w:t>Single Family Affor</w:t>
      </w:r>
      <w:r w:rsidR="006828C7">
        <w:t xml:space="preserve">dable Solar Homes (SASH) and </w:t>
      </w:r>
      <w:r w:rsidR="006828C7" w:rsidRPr="006828C7">
        <w:t>the SASH for D</w:t>
      </w:r>
      <w:r w:rsidR="006828C7">
        <w:t>isadvantaged Communities (DAC</w:t>
      </w:r>
      <w:r w:rsidR="00757681">
        <w:noBreakHyphen/>
      </w:r>
      <w:r w:rsidR="006828C7">
        <w:t>SASH) programs</w:t>
      </w:r>
      <w:r w:rsidR="0067262C">
        <w:t xml:space="preserve">; </w:t>
      </w:r>
      <w:r w:rsidR="00C21C70" w:rsidRPr="00C21C70">
        <w:t>prioritizes outreach methods to rapidly inform customers with critical resiliency needs about the availability of SGIP incentives and how they can identify and apply for storage systems that are appropriate for resiliency</w:t>
      </w:r>
      <w:r w:rsidR="0067262C">
        <w:t xml:space="preserve">; and, </w:t>
      </w:r>
      <w:r w:rsidR="00CF7ED5">
        <w:t>addresses other guidance provided in this decision</w:t>
      </w:r>
      <w:r w:rsidR="0067262C">
        <w:t xml:space="preserve">; </w:t>
      </w:r>
      <w:r w:rsidRPr="007957E3">
        <w:t>and</w:t>
      </w:r>
      <w:r w:rsidR="0067262C">
        <w:t>,</w:t>
      </w:r>
      <w:r w:rsidRPr="007957E3">
        <w:t xml:space="preserve"> include the Plan in the Tier 2 advice letter required in O</w:t>
      </w:r>
      <w:r w:rsidR="00BC638C">
        <w:t xml:space="preserve">P </w:t>
      </w:r>
      <w:r w:rsidR="00D12B0E">
        <w:t>7</w:t>
      </w:r>
      <w:r w:rsidRPr="007957E3">
        <w:t>(a)</w:t>
      </w:r>
      <w:r w:rsidR="005C18E4">
        <w:t>;</w:t>
      </w:r>
    </w:p>
    <w:p w14:paraId="57023042" w14:textId="382CEBAC" w:rsidR="00574012" w:rsidRDefault="003A7970" w:rsidP="005207D5">
      <w:pPr>
        <w:pStyle w:val="ALJOP"/>
        <w:numPr>
          <w:ilvl w:val="0"/>
          <w:numId w:val="61"/>
        </w:numPr>
        <w:spacing w:after="160" w:line="240" w:lineRule="auto"/>
        <w:ind w:left="1080" w:right="720"/>
      </w:pPr>
      <w:r>
        <w:t>A</w:t>
      </w:r>
      <w:r w:rsidRPr="003A7970">
        <w:t xml:space="preserve">llocate </w:t>
      </w:r>
      <w:r w:rsidR="002D6F6C">
        <w:t>a sufficient budget to accomplish the objectives of the Plan</w:t>
      </w:r>
      <w:r w:rsidR="00B41893">
        <w:t xml:space="preserve"> of approximately </w:t>
      </w:r>
      <w:r w:rsidRPr="003A7970">
        <w:t>10 percent o</w:t>
      </w:r>
      <w:r>
        <w:t xml:space="preserve">f </w:t>
      </w:r>
      <w:r w:rsidR="00BC638C">
        <w:t>annual</w:t>
      </w:r>
      <w:r>
        <w:t xml:space="preserve"> </w:t>
      </w:r>
      <w:r w:rsidRPr="003A7970">
        <w:t>administ</w:t>
      </w:r>
      <w:r w:rsidR="002D6F6C">
        <w:t>rative expenditures</w:t>
      </w:r>
      <w:r w:rsidR="00574012">
        <w:t xml:space="preserve">; </w:t>
      </w:r>
    </w:p>
    <w:p w14:paraId="4F79FA16" w14:textId="0D135BFB" w:rsidR="00DD31F8" w:rsidRDefault="005C18E4" w:rsidP="005207D5">
      <w:pPr>
        <w:pStyle w:val="ALJOP"/>
        <w:numPr>
          <w:ilvl w:val="0"/>
          <w:numId w:val="61"/>
        </w:numPr>
        <w:spacing w:after="160" w:line="240" w:lineRule="auto"/>
        <w:ind w:left="1080" w:right="720"/>
      </w:pPr>
      <w:r>
        <w:t>W</w:t>
      </w:r>
      <w:r w:rsidRPr="005C18E4">
        <w:t>ork with Commission staff to determine if it is feasible to implement a price cap on</w:t>
      </w:r>
      <w:r w:rsidR="00D833E1">
        <w:t xml:space="preserve"> </w:t>
      </w:r>
      <w:r w:rsidR="00DF6FDD">
        <w:t xml:space="preserve">residential </w:t>
      </w:r>
      <w:r w:rsidR="00D833E1">
        <w:t xml:space="preserve">storage systems receiving SGIP </w:t>
      </w:r>
      <w:r w:rsidRPr="005C18E4">
        <w:t>equity budget incentives, if there should be any exceptions to such an approach, how to address longer duration batteries, and other issues about how to implement such a cap</w:t>
      </w:r>
      <w:r w:rsidR="00DD31F8">
        <w:t>; and,</w:t>
      </w:r>
    </w:p>
    <w:p w14:paraId="54181F11" w14:textId="4EA7992F" w:rsidR="00574012" w:rsidRDefault="00DD31F8" w:rsidP="005207D5">
      <w:pPr>
        <w:pStyle w:val="ALJOP"/>
        <w:numPr>
          <w:ilvl w:val="0"/>
          <w:numId w:val="61"/>
        </w:numPr>
        <w:spacing w:after="160" w:line="240" w:lineRule="auto"/>
        <w:ind w:left="1080" w:right="720"/>
      </w:pPr>
      <w:r>
        <w:t>J</w:t>
      </w:r>
      <w:r w:rsidRPr="00DD31F8">
        <w:t xml:space="preserve">ointly submit a Tier 2 advice letter </w:t>
      </w:r>
      <w:r w:rsidR="00952D37">
        <w:t xml:space="preserve">no later than March 31, 2021 to </w:t>
      </w:r>
      <w:r w:rsidRPr="00DD31F8">
        <w:t xml:space="preserve">finalize the </w:t>
      </w:r>
      <w:r>
        <w:t>202</w:t>
      </w:r>
      <w:r w:rsidR="00952D37">
        <w:t>1</w:t>
      </w:r>
      <w:r w:rsidR="00757681">
        <w:noBreakHyphen/>
      </w:r>
      <w:r>
        <w:t xml:space="preserve"> 202</w:t>
      </w:r>
      <w:r w:rsidR="00952D37">
        <w:t>5</w:t>
      </w:r>
      <w:r>
        <w:t xml:space="preserve"> SGIP </w:t>
      </w:r>
      <w:r w:rsidRPr="00DD31F8">
        <w:t>evaluation plan.</w:t>
      </w:r>
    </w:p>
    <w:p w14:paraId="26E46147" w14:textId="77777777" w:rsidR="00952D37" w:rsidRDefault="00952D37" w:rsidP="00952D37">
      <w:pPr>
        <w:pStyle w:val="ALJOP"/>
        <w:numPr>
          <w:ilvl w:val="0"/>
          <w:numId w:val="55"/>
        </w:numPr>
        <w:ind w:left="0" w:firstLine="360"/>
      </w:pPr>
      <w:r>
        <w:t>Pacific Gas and Electric Company (PG&amp;E), Southern California Edison Company (SCE), Southern California Gas Company (SoCalGas) and the Center for Sustainable Energy (CSE) are authorized to:</w:t>
      </w:r>
    </w:p>
    <w:p w14:paraId="2274A6C7" w14:textId="5443D572" w:rsidR="00952D37" w:rsidRDefault="00952D37" w:rsidP="005207D5">
      <w:pPr>
        <w:pStyle w:val="ALJOP"/>
        <w:numPr>
          <w:ilvl w:val="0"/>
          <w:numId w:val="62"/>
        </w:numPr>
        <w:spacing w:after="160" w:line="240" w:lineRule="auto"/>
        <w:ind w:left="1080" w:right="720"/>
      </w:pPr>
      <w:r>
        <w:t xml:space="preserve">Submit a proposal for a Self-Generation Incentive Program residential price cap as outlined in Ordering Paragraph 7(g) in a Tier 2 advice letter within one year of issuance of this decision; </w:t>
      </w:r>
    </w:p>
    <w:p w14:paraId="702EECCB" w14:textId="73D3500E" w:rsidR="00952D37" w:rsidRDefault="00952D37" w:rsidP="005207D5">
      <w:pPr>
        <w:pStyle w:val="ALJOP"/>
        <w:numPr>
          <w:ilvl w:val="0"/>
          <w:numId w:val="62"/>
        </w:numPr>
        <w:spacing w:after="160" w:line="240" w:lineRule="auto"/>
        <w:ind w:left="1080" w:right="720"/>
      </w:pPr>
      <w:r>
        <w:lastRenderedPageBreak/>
        <w:t>Submit a Tier 2 advice letter at any time prior to December 31, 2024 to transfer additional funds to the Marketing, Education and Outreach Plan approved in this decision; and,</w:t>
      </w:r>
    </w:p>
    <w:p w14:paraId="4F8C77E6" w14:textId="6577F788" w:rsidR="00952D37" w:rsidRDefault="00952D37" w:rsidP="005207D5">
      <w:pPr>
        <w:pStyle w:val="ALJOP"/>
        <w:numPr>
          <w:ilvl w:val="0"/>
          <w:numId w:val="62"/>
        </w:numPr>
        <w:spacing w:after="160" w:line="240" w:lineRule="auto"/>
        <w:ind w:left="1080" w:right="720"/>
      </w:pPr>
      <w:r>
        <w:t>Submit a Tier 2 advice letter to update the definition of non-residential critical resiliency needs customers as these terms as they apply to the SGIP, if subsequent a decision in Rulemaking (R.) 18 12 005 or a successor proceeding update definitions of critical facilities, critical infrastructure or first responders.</w:t>
      </w:r>
    </w:p>
    <w:p w14:paraId="2674E7F2" w14:textId="0BA54279" w:rsidR="007957E3" w:rsidRDefault="00574012" w:rsidP="00BA004B">
      <w:pPr>
        <w:pStyle w:val="ALJOP"/>
        <w:numPr>
          <w:ilvl w:val="0"/>
          <w:numId w:val="55"/>
        </w:numPr>
        <w:ind w:left="0" w:firstLine="360"/>
      </w:pPr>
      <w:r w:rsidRPr="00574012">
        <w:t xml:space="preserve">Commission staff should convene a workshop on identifying and removing barriers to </w:t>
      </w:r>
      <w:r w:rsidR="005111DC">
        <w:t>heat pump water heater</w:t>
      </w:r>
      <w:r w:rsidRPr="00574012">
        <w:t xml:space="preserve"> participation in the </w:t>
      </w:r>
      <w:r w:rsidR="005111DC">
        <w:t>Self</w:t>
      </w:r>
      <w:r w:rsidR="005111DC" w:rsidRPr="00540A8D">
        <w:noBreakHyphen/>
      </w:r>
      <w:r w:rsidR="005111DC">
        <w:t>Generation Incentive Program (</w:t>
      </w:r>
      <w:r w:rsidRPr="00574012">
        <w:t>SGIP</w:t>
      </w:r>
      <w:r w:rsidR="005111DC">
        <w:t>)</w:t>
      </w:r>
      <w:r w:rsidRPr="00574012">
        <w:t xml:space="preserve"> </w:t>
      </w:r>
      <w:r w:rsidR="008E27F8">
        <w:t xml:space="preserve">as discussed in this decision </w:t>
      </w:r>
      <w:r w:rsidRPr="00574012">
        <w:t>within 120 days of issuance of this decisi</w:t>
      </w:r>
      <w:r w:rsidR="008E27F8">
        <w:t>on</w:t>
      </w:r>
      <w:r w:rsidR="00B07EC8">
        <w:t xml:space="preserve">, </w:t>
      </w:r>
      <w:r w:rsidR="00DD31F8">
        <w:t xml:space="preserve">and should </w:t>
      </w:r>
      <w:r w:rsidR="00DD31F8" w:rsidRPr="00DD31F8">
        <w:t xml:space="preserve">work with the SGIP evaluator to incorporate </w:t>
      </w:r>
      <w:r w:rsidR="00DD31F8">
        <w:t xml:space="preserve">additional </w:t>
      </w:r>
      <w:r w:rsidR="00DD31F8" w:rsidRPr="00DD31F8">
        <w:t>research questions into the 2020</w:t>
      </w:r>
      <w:r w:rsidR="00DF6FDD">
        <w:t xml:space="preserve"> SGIP impact evaluation and the 2021</w:t>
      </w:r>
      <w:r w:rsidR="00757681">
        <w:noBreakHyphen/>
      </w:r>
      <w:r w:rsidR="00DD31F8" w:rsidRPr="00DD31F8">
        <w:t>202</w:t>
      </w:r>
      <w:r w:rsidR="00DF6FDD">
        <w:t>5</w:t>
      </w:r>
      <w:r w:rsidR="00DD31F8" w:rsidRPr="00DD31F8">
        <w:t xml:space="preserve"> SGIP evaluation plan</w:t>
      </w:r>
      <w:r w:rsidR="00DD31F8">
        <w:t xml:space="preserve"> as discussed in this decision</w:t>
      </w:r>
      <w:r w:rsidR="00DD31F8" w:rsidRPr="00DD31F8">
        <w:t xml:space="preserve">.  </w:t>
      </w:r>
    </w:p>
    <w:p w14:paraId="3C83911C" w14:textId="48116645" w:rsidR="007957E3" w:rsidRDefault="007957E3" w:rsidP="00BA004B">
      <w:pPr>
        <w:pStyle w:val="ALJOP"/>
        <w:numPr>
          <w:ilvl w:val="0"/>
          <w:numId w:val="55"/>
        </w:numPr>
        <w:ind w:left="0" w:firstLine="230"/>
      </w:pPr>
      <w:r w:rsidRPr="007957E3">
        <w:t xml:space="preserve">Decisions </w:t>
      </w:r>
      <w:r w:rsidR="002D456E">
        <w:t>(D.) 17</w:t>
      </w:r>
      <w:r w:rsidR="00757681">
        <w:noBreakHyphen/>
      </w:r>
      <w:r w:rsidR="002D456E">
        <w:t>10</w:t>
      </w:r>
      <w:r w:rsidR="00757681">
        <w:noBreakHyphen/>
      </w:r>
      <w:r w:rsidR="002D456E">
        <w:t>004</w:t>
      </w:r>
      <w:r w:rsidR="00BC638C">
        <w:t xml:space="preserve"> </w:t>
      </w:r>
      <w:r w:rsidR="002D456E">
        <w:t>and D.16</w:t>
      </w:r>
      <w:r w:rsidR="00757681">
        <w:noBreakHyphen/>
      </w:r>
      <w:r w:rsidR="002D456E">
        <w:t>06</w:t>
      </w:r>
      <w:r w:rsidR="00757681">
        <w:noBreakHyphen/>
      </w:r>
      <w:r w:rsidR="002D456E">
        <w:t>055</w:t>
      </w:r>
      <w:r w:rsidRPr="007957E3">
        <w:t xml:space="preserve"> are modified as set forth in Attachment A.</w:t>
      </w:r>
    </w:p>
    <w:p w14:paraId="0F8FAB3D" w14:textId="3B0FAFC5" w:rsidR="00444D36" w:rsidRDefault="00444D36" w:rsidP="00BA004B">
      <w:pPr>
        <w:pStyle w:val="ALJOP"/>
        <w:numPr>
          <w:ilvl w:val="0"/>
          <w:numId w:val="55"/>
        </w:numPr>
        <w:ind w:left="0" w:firstLine="230"/>
      </w:pPr>
      <w:r>
        <w:t>The Commission’s Process Office shall serve th</w:t>
      </w:r>
      <w:r w:rsidR="002B1C7E">
        <w:t xml:space="preserve">is </w:t>
      </w:r>
      <w:r>
        <w:t>decision on the service list</w:t>
      </w:r>
      <w:r w:rsidR="00D12B0E">
        <w:t>s</w:t>
      </w:r>
      <w:r>
        <w:t xml:space="preserve"> of Rulemaking </w:t>
      </w:r>
      <w:r w:rsidR="00D12B0E">
        <w:t xml:space="preserve">(R.) </w:t>
      </w:r>
      <w:r>
        <w:t>15</w:t>
      </w:r>
      <w:r w:rsidR="00757681">
        <w:noBreakHyphen/>
      </w:r>
      <w:r>
        <w:t>03</w:t>
      </w:r>
      <w:r w:rsidR="00757681">
        <w:noBreakHyphen/>
      </w:r>
      <w:r>
        <w:t>010</w:t>
      </w:r>
      <w:r w:rsidR="00D12B0E">
        <w:t xml:space="preserve"> and R.18</w:t>
      </w:r>
      <w:r w:rsidR="00757681">
        <w:noBreakHyphen/>
      </w:r>
      <w:r w:rsidR="00D12B0E">
        <w:t>12</w:t>
      </w:r>
      <w:r w:rsidR="00757681">
        <w:noBreakHyphen/>
      </w:r>
      <w:r w:rsidR="00D12B0E">
        <w:t>005</w:t>
      </w:r>
      <w:r w:rsidR="00391803">
        <w:t>.</w:t>
      </w:r>
    </w:p>
    <w:p w14:paraId="1254BE03" w14:textId="6E3820F3" w:rsidR="00B26DB6" w:rsidRDefault="00B26DB6" w:rsidP="00BA004B">
      <w:pPr>
        <w:pStyle w:val="ALJOP"/>
        <w:numPr>
          <w:ilvl w:val="0"/>
          <w:numId w:val="55"/>
        </w:numPr>
        <w:ind w:left="0" w:firstLine="230"/>
      </w:pPr>
      <w:r>
        <w:t>Rulemaking</w:t>
      </w:r>
      <w:r w:rsidR="007957E3">
        <w:t xml:space="preserve"> 12</w:t>
      </w:r>
      <w:r w:rsidR="00757681">
        <w:noBreakHyphen/>
      </w:r>
      <w:r w:rsidR="007957E3">
        <w:t>11</w:t>
      </w:r>
      <w:r w:rsidR="00757681">
        <w:noBreakHyphen/>
      </w:r>
      <w:r w:rsidR="007957E3">
        <w:t xml:space="preserve">005 remains </w:t>
      </w:r>
      <w:r w:rsidR="002D456E">
        <w:t>open</w:t>
      </w:r>
      <w:r w:rsidR="007957E3">
        <w:t xml:space="preserve">. </w:t>
      </w:r>
    </w:p>
    <w:p w14:paraId="580A3269" w14:textId="77777777" w:rsidR="00542B86" w:rsidRDefault="00542B86" w:rsidP="00542B86">
      <w:pPr>
        <w:pStyle w:val="ALJBodyText"/>
      </w:pPr>
      <w:r>
        <w:t>This order is effective today.</w:t>
      </w:r>
    </w:p>
    <w:p w14:paraId="1A3CBE43" w14:textId="69B0CB19" w:rsidR="00542B86" w:rsidRDefault="00542B86" w:rsidP="00542B86">
      <w:pPr>
        <w:pStyle w:val="ALJBodyText"/>
      </w:pPr>
      <w:r w:rsidRPr="002D46C4">
        <w:t>Date</w:t>
      </w:r>
      <w:r w:rsidR="000F427C">
        <w:t>d September 12, 2019</w:t>
      </w:r>
      <w:r w:rsidRPr="002D46C4">
        <w:t xml:space="preserve">, at </w:t>
      </w:r>
      <w:r w:rsidR="00AA7E1E">
        <w:t>Los Angeles</w:t>
      </w:r>
      <w:r w:rsidRPr="002D46C4">
        <w:t>, California.</w:t>
      </w:r>
    </w:p>
    <w:p w14:paraId="2A3FF102" w14:textId="77777777" w:rsidR="000F427C" w:rsidRPr="009A2899" w:rsidRDefault="000F427C" w:rsidP="00B97820">
      <w:pPr>
        <w:pStyle w:val="standard"/>
        <w:keepNext/>
        <w:keepLines/>
        <w:rPr>
          <w:sz w:val="34"/>
          <w:szCs w:val="34"/>
        </w:rPr>
      </w:pPr>
    </w:p>
    <w:tbl>
      <w:tblPr>
        <w:tblW w:w="0" w:type="auto"/>
        <w:tblLook w:val="04A0" w:firstRow="1" w:lastRow="0" w:firstColumn="1" w:lastColumn="0" w:noHBand="0" w:noVBand="1"/>
      </w:tblPr>
      <w:tblGrid>
        <w:gridCol w:w="5148"/>
        <w:gridCol w:w="270"/>
        <w:gridCol w:w="4158"/>
      </w:tblGrid>
      <w:tr w:rsidR="000F427C" w:rsidRPr="00B97820" w14:paraId="2CFB9F14" w14:textId="77777777" w:rsidTr="001B4CE1">
        <w:tc>
          <w:tcPr>
            <w:tcW w:w="5148" w:type="dxa"/>
            <w:shd w:val="clear" w:color="auto" w:fill="auto"/>
          </w:tcPr>
          <w:p w14:paraId="720DA806" w14:textId="77777777" w:rsidR="000F427C" w:rsidRPr="00B97820" w:rsidRDefault="000F427C" w:rsidP="00810A13">
            <w:pPr>
              <w:autoSpaceDE w:val="0"/>
              <w:autoSpaceDN w:val="0"/>
              <w:adjustRightInd w:val="0"/>
              <w:ind w:left="4320"/>
              <w:jc w:val="both"/>
              <w:rPr>
                <w:rFonts w:cs="Palatino"/>
                <w:szCs w:val="26"/>
              </w:rPr>
            </w:pPr>
          </w:p>
        </w:tc>
        <w:tc>
          <w:tcPr>
            <w:tcW w:w="270" w:type="dxa"/>
            <w:shd w:val="clear" w:color="auto" w:fill="auto"/>
          </w:tcPr>
          <w:p w14:paraId="10F3E744" w14:textId="77777777" w:rsidR="000F427C" w:rsidRPr="00B97820" w:rsidRDefault="000F427C" w:rsidP="001B4CE1">
            <w:pPr>
              <w:keepNext/>
              <w:keepLines/>
              <w:rPr>
                <w:rFonts w:cs="Palatino"/>
                <w:szCs w:val="26"/>
              </w:rPr>
            </w:pPr>
          </w:p>
        </w:tc>
        <w:tc>
          <w:tcPr>
            <w:tcW w:w="4158" w:type="dxa"/>
            <w:shd w:val="clear" w:color="auto" w:fill="auto"/>
          </w:tcPr>
          <w:p w14:paraId="77FBE38E" w14:textId="77777777" w:rsidR="000F427C" w:rsidRPr="00B97820" w:rsidRDefault="000F427C" w:rsidP="001B4CE1">
            <w:pPr>
              <w:keepNext/>
              <w:keepLines/>
              <w:ind w:left="72"/>
              <w:rPr>
                <w:rFonts w:cs="Palatino"/>
                <w:szCs w:val="26"/>
              </w:rPr>
            </w:pPr>
            <w:r w:rsidRPr="00B97820">
              <w:rPr>
                <w:rFonts w:cs="Palatino"/>
                <w:szCs w:val="26"/>
              </w:rPr>
              <w:t>MARYBEL BATJER</w:t>
            </w:r>
          </w:p>
          <w:p w14:paraId="1555C636" w14:textId="77777777" w:rsidR="000F427C" w:rsidRPr="00B97820" w:rsidRDefault="000F427C" w:rsidP="001B4CE1">
            <w:pPr>
              <w:keepNext/>
              <w:keepLines/>
              <w:ind w:left="72"/>
              <w:rPr>
                <w:rFonts w:cs="Palatino"/>
                <w:szCs w:val="26"/>
              </w:rPr>
            </w:pPr>
            <w:r w:rsidRPr="00B97820">
              <w:rPr>
                <w:rFonts w:cs="Palatino"/>
                <w:szCs w:val="26"/>
              </w:rPr>
              <w:t xml:space="preserve">   </w:t>
            </w:r>
            <w:r w:rsidRPr="00B97820">
              <w:rPr>
                <w:rFonts w:cs="Palatino"/>
                <w:sz w:val="20"/>
                <w:szCs w:val="26"/>
              </w:rPr>
              <w:t xml:space="preserve"> </w:t>
            </w:r>
            <w:r w:rsidRPr="00B97820">
              <w:rPr>
                <w:rFonts w:cs="Palatino"/>
                <w:szCs w:val="26"/>
              </w:rPr>
              <w:t xml:space="preserve"> </w:t>
            </w:r>
            <w:r w:rsidRPr="00B97820">
              <w:rPr>
                <w:rFonts w:cs="Palatino"/>
                <w:sz w:val="20"/>
                <w:szCs w:val="26"/>
              </w:rPr>
              <w:t xml:space="preserve"> </w:t>
            </w:r>
            <w:r w:rsidRPr="00B97820">
              <w:rPr>
                <w:rFonts w:cs="Palatino"/>
                <w:szCs w:val="26"/>
              </w:rPr>
              <w:t xml:space="preserve">        </w:t>
            </w:r>
            <w:r w:rsidRPr="00B97820">
              <w:rPr>
                <w:rFonts w:cs="Palatino"/>
                <w:sz w:val="20"/>
                <w:szCs w:val="26"/>
              </w:rPr>
              <w:t xml:space="preserve"> </w:t>
            </w:r>
            <w:r w:rsidRPr="00B97820">
              <w:rPr>
                <w:rFonts w:cs="Palatino"/>
                <w:sz w:val="24"/>
                <w:szCs w:val="26"/>
              </w:rPr>
              <w:t xml:space="preserve"> </w:t>
            </w:r>
            <w:r w:rsidRPr="00B97820">
              <w:rPr>
                <w:rFonts w:cs="Palatino"/>
                <w:szCs w:val="26"/>
              </w:rPr>
              <w:t xml:space="preserve"> </w:t>
            </w:r>
            <w:r w:rsidRPr="00B97820">
              <w:rPr>
                <w:rFonts w:cs="Palatino"/>
                <w:sz w:val="24"/>
                <w:szCs w:val="26"/>
              </w:rPr>
              <w:t xml:space="preserve"> </w:t>
            </w:r>
            <w:r w:rsidRPr="00B97820">
              <w:rPr>
                <w:rFonts w:cs="Palatino"/>
                <w:szCs w:val="26"/>
              </w:rPr>
              <w:t xml:space="preserve"> President</w:t>
            </w:r>
          </w:p>
          <w:p w14:paraId="16A1B067" w14:textId="77777777" w:rsidR="000F427C" w:rsidRPr="00B97820" w:rsidRDefault="000F427C" w:rsidP="001B4CE1">
            <w:pPr>
              <w:keepNext/>
              <w:keepLines/>
              <w:ind w:left="72"/>
              <w:rPr>
                <w:rFonts w:cs="Courier New"/>
                <w:szCs w:val="26"/>
              </w:rPr>
            </w:pPr>
            <w:r w:rsidRPr="00B97820">
              <w:rPr>
                <w:rFonts w:cs="Courier New"/>
                <w:szCs w:val="26"/>
              </w:rPr>
              <w:t>LIANE M. RANDOLPH</w:t>
            </w:r>
          </w:p>
          <w:p w14:paraId="53F92E64" w14:textId="77777777" w:rsidR="000F427C" w:rsidRPr="00B97820" w:rsidRDefault="000F427C" w:rsidP="001B4CE1">
            <w:pPr>
              <w:keepNext/>
              <w:keepLines/>
              <w:ind w:left="72"/>
              <w:rPr>
                <w:rFonts w:cs="Courier New"/>
                <w:szCs w:val="26"/>
              </w:rPr>
            </w:pPr>
            <w:r w:rsidRPr="00B97820">
              <w:rPr>
                <w:rFonts w:cs="Courier New"/>
                <w:szCs w:val="26"/>
              </w:rPr>
              <w:t>MARTHA GUZMAN ACEVES</w:t>
            </w:r>
          </w:p>
          <w:p w14:paraId="19759D67" w14:textId="77777777" w:rsidR="000F427C" w:rsidRPr="00B97820" w:rsidRDefault="000F427C" w:rsidP="001B4CE1">
            <w:pPr>
              <w:keepNext/>
              <w:keepLines/>
              <w:ind w:left="72"/>
              <w:rPr>
                <w:rFonts w:cs="Courier New"/>
                <w:szCs w:val="26"/>
              </w:rPr>
            </w:pPr>
            <w:r w:rsidRPr="00B97820">
              <w:rPr>
                <w:rFonts w:cs="Courier New"/>
                <w:szCs w:val="26"/>
              </w:rPr>
              <w:t>CLIFFORD RECHTSCHAFFEN</w:t>
            </w:r>
          </w:p>
          <w:p w14:paraId="5024418C" w14:textId="77777777" w:rsidR="000F427C" w:rsidRPr="00B97820" w:rsidRDefault="000F427C" w:rsidP="001B4CE1">
            <w:pPr>
              <w:keepNext/>
              <w:keepLines/>
              <w:ind w:left="72"/>
              <w:rPr>
                <w:rFonts w:cs="Courier New"/>
                <w:szCs w:val="26"/>
              </w:rPr>
            </w:pPr>
            <w:r w:rsidRPr="00B97820">
              <w:rPr>
                <w:rFonts w:cs="Courier New"/>
                <w:szCs w:val="26"/>
              </w:rPr>
              <w:t>GENEVIEVE SHIROMA</w:t>
            </w:r>
          </w:p>
          <w:p w14:paraId="19F37C7E" w14:textId="77777777" w:rsidR="000F427C" w:rsidRPr="00B97820" w:rsidRDefault="000F427C" w:rsidP="001B4CE1">
            <w:pPr>
              <w:keepNext/>
              <w:keepLines/>
              <w:ind w:left="72"/>
            </w:pPr>
            <w:r w:rsidRPr="00B97820">
              <w:t xml:space="preserve">            </w:t>
            </w:r>
            <w:r w:rsidRPr="00B97820">
              <w:rPr>
                <w:sz w:val="22"/>
              </w:rPr>
              <w:t xml:space="preserve"> </w:t>
            </w:r>
            <w:r w:rsidRPr="00B97820">
              <w:t xml:space="preserve">              </w:t>
            </w:r>
            <w:r w:rsidRPr="00B97820">
              <w:rPr>
                <w:sz w:val="32"/>
              </w:rPr>
              <w:t xml:space="preserve"> </w:t>
            </w:r>
            <w:r w:rsidRPr="00B97820">
              <w:rPr>
                <w:sz w:val="24"/>
              </w:rPr>
              <w:t xml:space="preserve"> </w:t>
            </w:r>
            <w:r w:rsidRPr="00B97820">
              <w:t>Commissioners</w:t>
            </w:r>
          </w:p>
        </w:tc>
      </w:tr>
    </w:tbl>
    <w:p w14:paraId="73693CA9" w14:textId="0CEA007A" w:rsidR="00201C0E" w:rsidRDefault="000F427C" w:rsidP="000F427C">
      <w:pPr>
        <w:pStyle w:val="standard"/>
      </w:pPr>
      <w:r w:rsidRPr="00B97820">
        <w:rPr>
          <w:sz w:val="10"/>
          <w:szCs w:val="26"/>
        </w:rPr>
        <w:t xml:space="preserve"> </w:t>
      </w:r>
      <w:r>
        <w:t xml:space="preserve"> </w:t>
      </w:r>
    </w:p>
    <w:p w14:paraId="274904A0" w14:textId="77777777" w:rsidR="00201C0E" w:rsidRDefault="00201C0E" w:rsidP="003871CE">
      <w:pPr>
        <w:pStyle w:val="ALJBodyText"/>
        <w:sectPr w:rsidR="00201C0E" w:rsidSect="00EF2AA5">
          <w:headerReference w:type="default" r:id="rId22"/>
          <w:headerReference w:type="first" r:id="rId23"/>
          <w:footerReference w:type="first" r:id="rId24"/>
          <w:pgSz w:w="12240" w:h="15840" w:code="1"/>
          <w:pgMar w:top="1440" w:right="1440" w:bottom="1440" w:left="1440" w:header="720" w:footer="720" w:gutter="0"/>
          <w:pgNumType w:start="2"/>
          <w:cols w:space="720"/>
          <w:titlePg/>
          <w:docGrid w:linePitch="360"/>
        </w:sectPr>
      </w:pPr>
    </w:p>
    <w:p w14:paraId="5CC65A7F" w14:textId="77777777" w:rsidR="007957E3" w:rsidRPr="00856B3F" w:rsidRDefault="007957E3" w:rsidP="00856B3F">
      <w:pPr>
        <w:pStyle w:val="ALJBodyText"/>
        <w:jc w:val="center"/>
        <w:rPr>
          <w:b/>
        </w:rPr>
      </w:pPr>
      <w:r w:rsidRPr="00856B3F">
        <w:rPr>
          <w:b/>
        </w:rPr>
        <w:lastRenderedPageBreak/>
        <w:t>Attachment A</w:t>
      </w:r>
    </w:p>
    <w:p w14:paraId="1D89EB3B" w14:textId="5CA4E31D" w:rsidR="007957E3" w:rsidRPr="00856B3F" w:rsidRDefault="007957E3" w:rsidP="00856B3F">
      <w:pPr>
        <w:pStyle w:val="ALJBodyText"/>
        <w:jc w:val="center"/>
        <w:rPr>
          <w:b/>
        </w:rPr>
      </w:pPr>
      <w:r w:rsidRPr="00856B3F">
        <w:rPr>
          <w:b/>
        </w:rPr>
        <w:t>Self</w:t>
      </w:r>
      <w:r w:rsidR="00757681">
        <w:rPr>
          <w:b/>
        </w:rPr>
        <w:noBreakHyphen/>
      </w:r>
      <w:r w:rsidRPr="00856B3F">
        <w:rPr>
          <w:b/>
        </w:rPr>
        <w:t>Generation Incentive Program Modifications</w:t>
      </w:r>
    </w:p>
    <w:p w14:paraId="4F120987" w14:textId="77777777" w:rsidR="007957E3" w:rsidRPr="007957E3" w:rsidRDefault="007957E3" w:rsidP="007957E3">
      <w:pPr>
        <w:pStyle w:val="ALJBodyText"/>
      </w:pPr>
    </w:p>
    <w:p w14:paraId="2191DD27" w14:textId="77777777" w:rsidR="007957E3" w:rsidRPr="00585027" w:rsidRDefault="007957E3" w:rsidP="007957E3">
      <w:pPr>
        <w:rPr>
          <w:u w:val="single"/>
        </w:rPr>
      </w:pPr>
      <w:r w:rsidRPr="00585027">
        <w:rPr>
          <w:u w:val="single"/>
        </w:rPr>
        <w:t>Definitions:</w:t>
      </w:r>
    </w:p>
    <w:p w14:paraId="73DDE80C" w14:textId="77777777" w:rsidR="007957E3" w:rsidRDefault="007957E3" w:rsidP="007957E3"/>
    <w:p w14:paraId="3DDA4F36" w14:textId="1142DDD2" w:rsidR="007957E3" w:rsidRDefault="000F3E2E" w:rsidP="002A33C6">
      <w:pPr>
        <w:pStyle w:val="ListParagraph"/>
        <w:spacing w:after="0"/>
        <w:contextualSpacing/>
      </w:pPr>
      <w:r>
        <w:t>A residential e</w:t>
      </w:r>
      <w:r w:rsidR="007957E3">
        <w:t>quity budget customer</w:t>
      </w:r>
      <w:r>
        <w:t xml:space="preserve"> </w:t>
      </w:r>
      <w:r w:rsidR="007957E3">
        <w:t>with critical resiliency needs is defined as</w:t>
      </w:r>
      <w:r>
        <w:t xml:space="preserve"> a</w:t>
      </w:r>
      <w:r w:rsidR="007957E3">
        <w:t xml:space="preserve">ny customer located in a Tier 3 </w:t>
      </w:r>
      <w:r w:rsidR="00D12B0E">
        <w:t xml:space="preserve">or Tier 2 </w:t>
      </w:r>
      <w:r w:rsidR="007957E3">
        <w:t xml:space="preserve">high fire threat district (HFTD) that is: </w:t>
      </w:r>
    </w:p>
    <w:p w14:paraId="2652AAA5" w14:textId="6A8F98A8" w:rsidR="0012709D" w:rsidRDefault="0012709D" w:rsidP="00D32CB0">
      <w:pPr>
        <w:pStyle w:val="ALJOP"/>
        <w:numPr>
          <w:ilvl w:val="0"/>
          <w:numId w:val="38"/>
        </w:numPr>
        <w:spacing w:line="240" w:lineRule="auto"/>
        <w:contextualSpacing/>
      </w:pPr>
      <w:r>
        <w:t>Eligible for the equity budget;</w:t>
      </w:r>
      <w:r w:rsidR="00673348">
        <w:t xml:space="preserve"> or,</w:t>
      </w:r>
    </w:p>
    <w:p w14:paraId="7B1D9ADD" w14:textId="262CF8D4" w:rsidR="007957E3" w:rsidRDefault="007957E3" w:rsidP="00D32CB0">
      <w:pPr>
        <w:pStyle w:val="ALJOP"/>
        <w:numPr>
          <w:ilvl w:val="0"/>
          <w:numId w:val="38"/>
        </w:numPr>
        <w:spacing w:line="240" w:lineRule="auto"/>
        <w:contextualSpacing/>
      </w:pPr>
      <w:r>
        <w:t xml:space="preserve">Eligible for the </w:t>
      </w:r>
      <w:r w:rsidR="000F3E2E">
        <w:t>m</w:t>
      </w:r>
      <w:r>
        <w:t xml:space="preserve">edical baseline program as defined in </w:t>
      </w:r>
      <w:r w:rsidR="000F3E2E" w:rsidRPr="000F3E2E">
        <w:t>D.86087, 80 CPUC 182</w:t>
      </w:r>
      <w:r w:rsidRPr="00D32CB0">
        <w:t>; or,</w:t>
      </w:r>
    </w:p>
    <w:p w14:paraId="56773064" w14:textId="557DA209" w:rsidR="000F3E2E" w:rsidRDefault="007957E3" w:rsidP="00D32CB0">
      <w:pPr>
        <w:pStyle w:val="ALJOP"/>
        <w:numPr>
          <w:ilvl w:val="0"/>
          <w:numId w:val="38"/>
        </w:numPr>
        <w:spacing w:line="240" w:lineRule="auto"/>
        <w:contextualSpacing/>
      </w:pPr>
      <w:r>
        <w:t xml:space="preserve">A customer </w:t>
      </w:r>
      <w:r w:rsidRPr="006D21A9">
        <w:t>that has notified their utility of serious illness or condition that could become life</w:t>
      </w:r>
      <w:r w:rsidR="00757681">
        <w:noBreakHyphen/>
      </w:r>
      <w:r w:rsidRPr="006D21A9">
        <w:t>threatening if electricity is disconnected</w:t>
      </w:r>
      <w:r>
        <w:t>, as defined in D.12</w:t>
      </w:r>
      <w:r w:rsidR="00757681">
        <w:noBreakHyphen/>
      </w:r>
      <w:r>
        <w:t>03</w:t>
      </w:r>
      <w:r w:rsidR="00757681">
        <w:noBreakHyphen/>
      </w:r>
      <w:r>
        <w:t>054</w:t>
      </w:r>
      <w:r w:rsidR="000F3E2E">
        <w:t>.</w:t>
      </w:r>
      <w:r>
        <w:t xml:space="preserve"> </w:t>
      </w:r>
    </w:p>
    <w:p w14:paraId="113850C4" w14:textId="77777777" w:rsidR="003D742B" w:rsidRDefault="003D742B" w:rsidP="00D32CB0">
      <w:pPr>
        <w:pStyle w:val="ALJOP"/>
        <w:spacing w:line="240" w:lineRule="auto"/>
        <w:ind w:firstLine="720"/>
        <w:contextualSpacing/>
      </w:pPr>
    </w:p>
    <w:p w14:paraId="387F3171" w14:textId="5DF3DDAB" w:rsidR="003D742B" w:rsidRDefault="003D742B" w:rsidP="003D742B">
      <w:pPr>
        <w:pStyle w:val="ListParagraph"/>
      </w:pPr>
      <w:r w:rsidRPr="003D742B">
        <w:t>Non</w:t>
      </w:r>
      <w:r w:rsidR="00757681">
        <w:noBreakHyphen/>
      </w:r>
      <w:r w:rsidRPr="003D742B">
        <w:t xml:space="preserve">residential customers eligible for the </w:t>
      </w:r>
      <w:r w:rsidR="005F3AF5">
        <w:t>equity resiliency budget</w:t>
      </w:r>
      <w:r w:rsidR="005F493B">
        <w:t xml:space="preserve"> </w:t>
      </w:r>
      <w:r w:rsidR="00DC1D32">
        <w:t xml:space="preserve">are defined as customers located in a Tier </w:t>
      </w:r>
      <w:r w:rsidR="00FA21D9">
        <w:t xml:space="preserve">2 or Tier </w:t>
      </w:r>
      <w:r w:rsidR="00DC1D32">
        <w:t xml:space="preserve">3 HFTD </w:t>
      </w:r>
      <w:r w:rsidR="005F493B">
        <w:t>that provide critical facilities</w:t>
      </w:r>
      <w:r w:rsidRPr="003D742B">
        <w:t xml:space="preserve"> or critical infrastructure to </w:t>
      </w:r>
      <w:r w:rsidR="00FA21D9">
        <w:t xml:space="preserve">a community </w:t>
      </w:r>
      <w:r w:rsidR="00FA21D9" w:rsidRPr="003D742B">
        <w:t>that is eligible for the equity budget</w:t>
      </w:r>
      <w:r w:rsidR="00FA21D9" w:rsidRPr="003D742B" w:rsidDel="00FA21D9">
        <w:t xml:space="preserve"> </w:t>
      </w:r>
      <w:r w:rsidR="00FA21D9">
        <w:t xml:space="preserve">and </w:t>
      </w:r>
      <w:r w:rsidRPr="003D742B">
        <w:t xml:space="preserve">located </w:t>
      </w:r>
      <w:r w:rsidR="00DC1D32">
        <w:t xml:space="preserve">in a Tier 3 </w:t>
      </w:r>
      <w:r w:rsidR="00D12B0E">
        <w:t xml:space="preserve">or Tier 2 </w:t>
      </w:r>
      <w:r w:rsidR="00DC1D32">
        <w:t>HFT</w:t>
      </w:r>
      <w:r w:rsidR="00FA21D9">
        <w:t>D</w:t>
      </w:r>
      <w:r>
        <w:t xml:space="preserve">, limited to the following: </w:t>
      </w:r>
    </w:p>
    <w:p w14:paraId="0B1843F9" w14:textId="7DD4826E" w:rsidR="003D742B" w:rsidRDefault="003D742B" w:rsidP="00D32CB0">
      <w:pPr>
        <w:ind w:left="720"/>
      </w:pPr>
      <w:r w:rsidRPr="003D742B">
        <w:t>Police stations; fire stations; emergency response providers</w:t>
      </w:r>
      <w:r w:rsidR="00E36D99">
        <w:t xml:space="preserve"> as defined in D.19</w:t>
      </w:r>
      <w:r w:rsidR="00757681">
        <w:noBreakHyphen/>
      </w:r>
      <w:r w:rsidR="00E36D99">
        <w:t>05</w:t>
      </w:r>
      <w:r w:rsidR="00757681">
        <w:noBreakHyphen/>
      </w:r>
      <w:r w:rsidR="00E36D99">
        <w:t>042</w:t>
      </w:r>
      <w:r w:rsidRPr="003D742B">
        <w:t xml:space="preserve">; emergency operations centers; </w:t>
      </w:r>
      <w:r w:rsidR="006D581B">
        <w:t xml:space="preserve">911 call centers, also referred to as Public Safety Answering Points; </w:t>
      </w:r>
      <w:r w:rsidRPr="003D742B">
        <w:t>medical facilities including hospitals, skilled nursing facilities, nursing homes, blood banks, health care facilities, dialysis centers and hospice facilities; public and private gas, electric, water, wastewater or flood control facilities; jails and prisons; locations designated by the IOUs to provide assistance during PSPS events; cooling centers designated by state or local governments; and, homeless shelters supported by federal, state, or local governments.</w:t>
      </w:r>
    </w:p>
    <w:p w14:paraId="24ABB787" w14:textId="77777777" w:rsidR="003D742B" w:rsidRPr="003D742B" w:rsidRDefault="003D742B" w:rsidP="00D32CB0">
      <w:pPr>
        <w:ind w:left="720"/>
      </w:pPr>
    </w:p>
    <w:p w14:paraId="060310C8" w14:textId="38D8F0A7" w:rsidR="003D742B" w:rsidRDefault="003D742B" w:rsidP="00D32CB0">
      <w:pPr>
        <w:pStyle w:val="ListParagraph"/>
      </w:pPr>
      <w:r>
        <w:t>Disadvantaged communities for SGIP purposes</w:t>
      </w:r>
      <w:r w:rsidR="00DC1D32">
        <w:t xml:space="preserve"> include all California </w:t>
      </w:r>
      <w:r w:rsidR="00CE6BD3">
        <w:t>Indian County</w:t>
      </w:r>
      <w:r>
        <w:t xml:space="preserve"> as defined in </w:t>
      </w:r>
      <w:r w:rsidR="001D4B45">
        <w:t xml:space="preserve">18 </w:t>
      </w:r>
      <w:r>
        <w:t>United States Code Section 1151, with the exception of p</w:t>
      </w:r>
      <w:r w:rsidRPr="00C6687D">
        <w:t xml:space="preserve">rivately </w:t>
      </w:r>
      <w:r w:rsidRPr="00A2345F">
        <w:t>held in</w:t>
      </w:r>
      <w:r w:rsidR="00757681">
        <w:noBreakHyphen/>
      </w:r>
      <w:r w:rsidRPr="00A2345F">
        <w:t>holding</w:t>
      </w:r>
      <w:r>
        <w:t xml:space="preserve">s, which are </w:t>
      </w:r>
      <w:r w:rsidRPr="00A2345F">
        <w:t>defined as non</w:t>
      </w:r>
      <w:r w:rsidR="00757681">
        <w:noBreakHyphen/>
      </w:r>
      <w:r w:rsidRPr="00A2345F">
        <w:t>Indian owned fee land located within the exterior boundarie</w:t>
      </w:r>
      <w:r w:rsidR="00DC1D32">
        <w:t xml:space="preserve">s of California </w:t>
      </w:r>
      <w:r w:rsidR="00CE6BD3">
        <w:t>Indian County</w:t>
      </w:r>
      <w:r w:rsidR="00DC1D32">
        <w:t xml:space="preserve">; </w:t>
      </w:r>
      <w:r>
        <w:t xml:space="preserve">in </w:t>
      </w:r>
      <w:r w:rsidRPr="00A2345F">
        <w:t xml:space="preserve">the event of multiple owners, </w:t>
      </w:r>
      <w:r w:rsidR="00DC1D32">
        <w:t xml:space="preserve">such land </w:t>
      </w:r>
      <w:r w:rsidRPr="00A2345F">
        <w:t>shall be considered Indian owned if at least one owner is a tribe or tribal member</w:t>
      </w:r>
      <w:r w:rsidR="00DC1D32">
        <w:t xml:space="preserve">, </w:t>
      </w:r>
      <w:r w:rsidR="00DC1D32" w:rsidRPr="00A2345F">
        <w:t>regardless of the use of the land</w:t>
      </w:r>
      <w:r w:rsidR="00DC1D32">
        <w:t>.</w:t>
      </w:r>
    </w:p>
    <w:p w14:paraId="49CEB738" w14:textId="745EE91C" w:rsidR="006972B5" w:rsidRDefault="006972B5" w:rsidP="00D32CB0">
      <w:pPr>
        <w:pStyle w:val="ListParagraph"/>
      </w:pPr>
      <w:r>
        <w:lastRenderedPageBreak/>
        <w:t>The d</w:t>
      </w:r>
      <w:r w:rsidRPr="006972B5">
        <w:t>efinition of non</w:t>
      </w:r>
      <w:r w:rsidR="00757681">
        <w:noBreakHyphen/>
      </w:r>
      <w:r w:rsidRPr="006972B5">
        <w:t xml:space="preserve">residential equity budget customers </w:t>
      </w:r>
      <w:r w:rsidR="00DC1D32">
        <w:t xml:space="preserve">adopted </w:t>
      </w:r>
      <w:r>
        <w:t xml:space="preserve">is modified </w:t>
      </w:r>
      <w:r w:rsidRPr="006972B5">
        <w:t>to include public agencies for which at least 50 percent of census tracts served are DACs</w:t>
      </w:r>
      <w:r w:rsidR="005F493B">
        <w:t>, but such customers have</w:t>
      </w:r>
      <w:r w:rsidR="00522909">
        <w:t xml:space="preserve"> the burden of providing the information to demonstrate the facility’s eligibility</w:t>
      </w:r>
      <w:r w:rsidR="005F493B">
        <w:t>.</w:t>
      </w:r>
    </w:p>
    <w:p w14:paraId="7B9B01D1" w14:textId="7C9E1748" w:rsidR="003D742B" w:rsidRDefault="003D742B" w:rsidP="00D32CB0">
      <w:pPr>
        <w:rPr>
          <w:u w:val="single"/>
        </w:rPr>
      </w:pPr>
      <w:r w:rsidRPr="000D00DD">
        <w:rPr>
          <w:u w:val="single"/>
        </w:rPr>
        <w:t>Eligibility</w:t>
      </w:r>
    </w:p>
    <w:p w14:paraId="57F02F2C" w14:textId="77777777" w:rsidR="00BD308E" w:rsidRDefault="00BD308E" w:rsidP="00D32CB0"/>
    <w:p w14:paraId="469C8ED6" w14:textId="617AF540" w:rsidR="003D742B" w:rsidRDefault="003D742B" w:rsidP="00D32CB0">
      <w:pPr>
        <w:pStyle w:val="ListParagraph"/>
      </w:pPr>
      <w:r>
        <w:t>C</w:t>
      </w:r>
      <w:r w:rsidR="007957E3" w:rsidRPr="000D00DD">
        <w:t xml:space="preserve">ustomers </w:t>
      </w:r>
      <w:r w:rsidR="007957E3">
        <w:t xml:space="preserve">approved as </w:t>
      </w:r>
      <w:r w:rsidR="007957E3" w:rsidRPr="000D00DD">
        <w:t>meeting the eligibility criteria for the Single Family Affordable Solar Homes program (SASH), the SASH for Disadvantaged Communities program (DAC</w:t>
      </w:r>
      <w:r w:rsidR="00757681">
        <w:noBreakHyphen/>
      </w:r>
      <w:r w:rsidR="007957E3" w:rsidRPr="000D00DD">
        <w:t xml:space="preserve">SASH), </w:t>
      </w:r>
      <w:r w:rsidR="00D12B0E">
        <w:t xml:space="preserve">the Multifamily Affordable Solar Homes program (MASH), </w:t>
      </w:r>
      <w:r w:rsidR="00702BF0">
        <w:t xml:space="preserve">or </w:t>
      </w:r>
      <w:r w:rsidR="007957E3" w:rsidRPr="000D00DD">
        <w:t>the Solar on Multifamily Afford</w:t>
      </w:r>
      <w:r w:rsidR="007957E3">
        <w:t xml:space="preserve">able Housing program (SOMAH) </w:t>
      </w:r>
      <w:r w:rsidR="00702BF0">
        <w:t xml:space="preserve">and approved for participation in the program </w:t>
      </w:r>
      <w:r w:rsidR="007957E3">
        <w:t xml:space="preserve">are deemed </w:t>
      </w:r>
      <w:r w:rsidR="007957E3" w:rsidRPr="000D00DD">
        <w:t xml:space="preserve">automatically eligible for </w:t>
      </w:r>
      <w:r>
        <w:t xml:space="preserve">SGIP </w:t>
      </w:r>
      <w:r w:rsidR="007957E3" w:rsidRPr="000D00DD">
        <w:t>equity budget</w:t>
      </w:r>
      <w:r w:rsidR="007957E3">
        <w:t xml:space="preserve"> incentives</w:t>
      </w:r>
      <w:r w:rsidR="00702BF0">
        <w:t>.  MASH, SASH, DAC</w:t>
      </w:r>
      <w:r w:rsidR="00757681">
        <w:noBreakHyphen/>
      </w:r>
      <w:r w:rsidR="00702BF0">
        <w:t>SASH and SOMAH PAs will determine customer’s eligibility for these programs, not the SGIP PAs, and “approved for participation” means that the applicant has obtained and can furnish to the SGIP PA an incentive reservation letter or similar document.</w:t>
      </w:r>
    </w:p>
    <w:p w14:paraId="71C32591" w14:textId="22B51B19" w:rsidR="00FC5DFE" w:rsidRDefault="00FC5DFE" w:rsidP="00FC5DFE">
      <w:pPr>
        <w:pStyle w:val="ListParagraph"/>
      </w:pPr>
      <w:r>
        <w:t>Eligibility for the equity resiliency budget is limited to residential and non</w:t>
      </w:r>
      <w:r w:rsidR="00757681">
        <w:noBreakHyphen/>
      </w:r>
      <w:r>
        <w:t xml:space="preserve">residential customers with critical resiliency needs and customers residing in Tier 3 </w:t>
      </w:r>
      <w:r w:rsidR="00D12B0E">
        <w:t xml:space="preserve">or Tier 2 </w:t>
      </w:r>
      <w:r>
        <w:t>high fire threat districts (HFTDs</w:t>
      </w:r>
      <w:r w:rsidR="00121732">
        <w:t xml:space="preserve">) that have incentives reserved </w:t>
      </w:r>
      <w:r>
        <w:t>in the SASH or DAC</w:t>
      </w:r>
      <w:r w:rsidR="00757681">
        <w:noBreakHyphen/>
      </w:r>
      <w:r>
        <w:t>SASH programs (“HFTD SASH/DAC</w:t>
      </w:r>
      <w:r w:rsidR="00757681">
        <w:noBreakHyphen/>
      </w:r>
      <w:r>
        <w:t xml:space="preserve">SASH customers”). </w:t>
      </w:r>
    </w:p>
    <w:p w14:paraId="242779F5" w14:textId="6599094C" w:rsidR="003D742B" w:rsidRDefault="007957E3" w:rsidP="00D32CB0">
      <w:pPr>
        <w:pStyle w:val="ListParagraph"/>
      </w:pPr>
      <w:r>
        <w:t>E</w:t>
      </w:r>
      <w:r w:rsidRPr="00843BEE">
        <w:t>ligibili</w:t>
      </w:r>
      <w:r>
        <w:t>ty for</w:t>
      </w:r>
      <w:r w:rsidR="00FC5DFE">
        <w:t xml:space="preserve"> San Joaquin Valley (SJV) budget </w:t>
      </w:r>
      <w:r>
        <w:t xml:space="preserve">is limited </w:t>
      </w:r>
      <w:r w:rsidRPr="00843BEE">
        <w:t xml:space="preserve">to </w:t>
      </w:r>
      <w:r>
        <w:t xml:space="preserve">customers located in </w:t>
      </w:r>
      <w:r w:rsidRPr="00843BEE">
        <w:t>Allensworth, Alpaugh, Cantua Creek, Ducor, Fairmead, Lanare, Le Grand, La Vina, Seville, Wes</w:t>
      </w:r>
      <w:r>
        <w:t>t Goshen, and California City that</w:t>
      </w:r>
      <w:r w:rsidR="003D742B">
        <w:t xml:space="preserve"> are</w:t>
      </w:r>
      <w:r>
        <w:t xml:space="preserve">: (a) </w:t>
      </w:r>
      <w:r w:rsidR="003D742B">
        <w:t xml:space="preserve">residential customers </w:t>
      </w:r>
      <w:r w:rsidRPr="00843BEE">
        <w:t>participat</w:t>
      </w:r>
      <w:r w:rsidR="003D742B">
        <w:t>ing</w:t>
      </w:r>
      <w:r w:rsidR="00FC5DFE">
        <w:t xml:space="preserve"> in the SJV p</w:t>
      </w:r>
      <w:r w:rsidRPr="00843BEE">
        <w:t>ilot by replacing one or more propane</w:t>
      </w:r>
      <w:r w:rsidR="006D581B">
        <w:t>,</w:t>
      </w:r>
      <w:r w:rsidRPr="00843BEE">
        <w:t xml:space="preserve"> wood</w:t>
      </w:r>
      <w:r w:rsidR="00757681">
        <w:noBreakHyphen/>
      </w:r>
      <w:r w:rsidRPr="00843BEE">
        <w:t>burning</w:t>
      </w:r>
      <w:r w:rsidR="006D581B">
        <w:t xml:space="preserve">, or inefficient or inoperable </w:t>
      </w:r>
      <w:r w:rsidR="007718F8">
        <w:t xml:space="preserve">major </w:t>
      </w:r>
      <w:r w:rsidR="006D581B">
        <w:t>electric</w:t>
      </w:r>
      <w:r w:rsidRPr="00843BEE">
        <w:t xml:space="preserve"> appli</w:t>
      </w:r>
      <w:r>
        <w:t xml:space="preserve">ances </w:t>
      </w:r>
      <w:r w:rsidR="007718F8">
        <w:t xml:space="preserve">(cooling, heating or water heating systems) </w:t>
      </w:r>
      <w:r>
        <w:t>with electric appliances; or (b)</w:t>
      </w:r>
      <w:r w:rsidR="003D742B">
        <w:t xml:space="preserve">, </w:t>
      </w:r>
      <w:r>
        <w:t xml:space="preserve">a </w:t>
      </w:r>
      <w:r w:rsidRPr="00843BEE">
        <w:t>non</w:t>
      </w:r>
      <w:r w:rsidR="00757681">
        <w:noBreakHyphen/>
      </w:r>
      <w:r>
        <w:t xml:space="preserve">residential customer </w:t>
      </w:r>
      <w:r w:rsidRPr="00E2029B">
        <w:t>that provides critical facilities or critical infrastructure</w:t>
      </w:r>
      <w:r>
        <w:t>,</w:t>
      </w:r>
      <w:r w:rsidRPr="00E2029B">
        <w:t xml:space="preserve"> as defined in </w:t>
      </w:r>
      <w:r w:rsidR="003D742B">
        <w:t>this decision.</w:t>
      </w:r>
    </w:p>
    <w:p w14:paraId="13F61A01" w14:textId="77777777" w:rsidR="003D742B" w:rsidRPr="00D32CB0" w:rsidRDefault="003D742B" w:rsidP="00D32CB0">
      <w:pPr>
        <w:rPr>
          <w:u w:val="single"/>
        </w:rPr>
      </w:pPr>
      <w:r w:rsidRPr="00D32CB0">
        <w:rPr>
          <w:u w:val="single"/>
        </w:rPr>
        <w:t>Incentives:</w:t>
      </w:r>
    </w:p>
    <w:p w14:paraId="0B24A860" w14:textId="77777777" w:rsidR="003D742B" w:rsidRDefault="003D742B" w:rsidP="00D32CB0"/>
    <w:p w14:paraId="5D0122EB" w14:textId="6B1C3B47" w:rsidR="00230BA3" w:rsidRDefault="003D742B" w:rsidP="006D4367">
      <w:pPr>
        <w:pStyle w:val="ListParagraph"/>
        <w:spacing w:after="0" w:line="276" w:lineRule="auto"/>
      </w:pPr>
      <w:r>
        <w:t xml:space="preserve">The </w:t>
      </w:r>
      <w:r w:rsidR="007957E3">
        <w:t xml:space="preserve">equity budget incentive </w:t>
      </w:r>
      <w:r w:rsidR="009558C8">
        <w:t>amounts are</w:t>
      </w:r>
      <w:r w:rsidR="007957E3">
        <w:t xml:space="preserve"> the following</w:t>
      </w:r>
      <w:r w:rsidR="00230BA3">
        <w:t>:</w:t>
      </w:r>
      <w:r w:rsidR="007957E3">
        <w:t xml:space="preserve"> </w:t>
      </w:r>
    </w:p>
    <w:p w14:paraId="69AB3874" w14:textId="77777777" w:rsidR="001D4B45" w:rsidRDefault="001D4B45" w:rsidP="006D4367">
      <w:pPr>
        <w:spacing w:line="276" w:lineRule="auto"/>
      </w:pPr>
    </w:p>
    <w:p w14:paraId="2187B758" w14:textId="2755B1BB" w:rsidR="003D742B" w:rsidRDefault="00D12B0E" w:rsidP="006D4367">
      <w:pPr>
        <w:pStyle w:val="ListParagraph"/>
        <w:numPr>
          <w:ilvl w:val="1"/>
          <w:numId w:val="7"/>
        </w:numPr>
        <w:spacing w:after="0" w:line="276" w:lineRule="auto"/>
      </w:pPr>
      <w:r>
        <w:t>One dollar</w:t>
      </w:r>
      <w:r w:rsidR="007957E3">
        <w:t xml:space="preserve"> per watt</w:t>
      </w:r>
      <w:r w:rsidR="00757681">
        <w:noBreakHyphen/>
      </w:r>
      <w:r w:rsidR="007957E3">
        <w:t>hour for:</w:t>
      </w:r>
    </w:p>
    <w:p w14:paraId="51CA21B3" w14:textId="6D0C4EDA" w:rsidR="00FC5DFE" w:rsidRDefault="00FC5DFE" w:rsidP="006D4367">
      <w:pPr>
        <w:pStyle w:val="ListParagraph"/>
        <w:numPr>
          <w:ilvl w:val="2"/>
          <w:numId w:val="7"/>
        </w:numPr>
        <w:spacing w:after="0" w:line="276" w:lineRule="auto"/>
      </w:pPr>
      <w:r>
        <w:t xml:space="preserve">Customers eligible for the equity resiliency budget; </w:t>
      </w:r>
    </w:p>
    <w:p w14:paraId="03795A7E" w14:textId="7CAD8289" w:rsidR="00230BA3" w:rsidRDefault="00FC5DFE" w:rsidP="006D4367">
      <w:pPr>
        <w:pStyle w:val="ListParagraph"/>
        <w:numPr>
          <w:ilvl w:val="2"/>
          <w:numId w:val="7"/>
        </w:numPr>
        <w:spacing w:after="0" w:line="276" w:lineRule="auto"/>
      </w:pPr>
      <w:r>
        <w:lastRenderedPageBreak/>
        <w:t>C</w:t>
      </w:r>
      <w:r w:rsidR="007957E3" w:rsidRPr="00843BEE">
        <w:t xml:space="preserve">ustomers </w:t>
      </w:r>
      <w:r>
        <w:t xml:space="preserve">eligible for the SJV incentive; and, </w:t>
      </w:r>
    </w:p>
    <w:p w14:paraId="562BEDA3" w14:textId="399D7874" w:rsidR="00230BA3" w:rsidRDefault="00D12B0E" w:rsidP="006D4367">
      <w:pPr>
        <w:pStyle w:val="ListParagraph"/>
        <w:numPr>
          <w:ilvl w:val="1"/>
          <w:numId w:val="7"/>
        </w:numPr>
        <w:spacing w:after="0" w:line="276" w:lineRule="auto"/>
      </w:pPr>
      <w:r>
        <w:t>Eight</w:t>
      </w:r>
      <w:r w:rsidR="007957E3">
        <w:t>y</w:t>
      </w:r>
      <w:r w:rsidR="00757681">
        <w:noBreakHyphen/>
      </w:r>
      <w:r w:rsidR="007957E3">
        <w:t>five cents per watt</w:t>
      </w:r>
      <w:r w:rsidR="00757681">
        <w:noBreakHyphen/>
      </w:r>
      <w:r w:rsidR="007957E3">
        <w:t>hour for al</w:t>
      </w:r>
      <w:r w:rsidR="00121732">
        <w:t>l other equity budget customers.</w:t>
      </w:r>
      <w:r w:rsidR="007957E3">
        <w:t xml:space="preserve"> </w:t>
      </w:r>
    </w:p>
    <w:p w14:paraId="122EC17A" w14:textId="77777777" w:rsidR="001D4B45" w:rsidRDefault="001D4B45" w:rsidP="006D4367"/>
    <w:p w14:paraId="0D7E4EB1" w14:textId="5F27CBDA" w:rsidR="00121732" w:rsidRDefault="00FC5DFE" w:rsidP="006D4367">
      <w:pPr>
        <w:pStyle w:val="ListParagraph"/>
        <w:spacing w:after="0" w:line="276" w:lineRule="auto"/>
        <w:rPr>
          <w:u w:val="single"/>
        </w:rPr>
      </w:pPr>
      <w:r>
        <w:t xml:space="preserve">For the equity budget, the </w:t>
      </w:r>
      <w:r w:rsidR="007957E3">
        <w:t>dura</w:t>
      </w:r>
      <w:r>
        <w:t>tion step</w:t>
      </w:r>
      <w:r w:rsidR="00757681">
        <w:noBreakHyphen/>
      </w:r>
      <w:r>
        <w:t xml:space="preserve">down incentive structure is </w:t>
      </w:r>
      <w:r w:rsidR="007957E3">
        <w:t>as follows</w:t>
      </w:r>
      <w:r w:rsidR="00086552">
        <w:t xml:space="preserve">, such that systems with discharge duration capacities of four to </w:t>
      </w:r>
      <w:r w:rsidR="007718F8">
        <w:t>six</w:t>
      </w:r>
      <w:r w:rsidR="00086552">
        <w:t xml:space="preserve"> hours receive 50 percent of the base rate for any capacity between four hours and </w:t>
      </w:r>
      <w:r w:rsidR="007718F8">
        <w:t>six</w:t>
      </w:r>
      <w:r w:rsidR="00086552">
        <w:t xml:space="preserve"> hours</w:t>
      </w:r>
      <w:r w:rsidR="00644AE4">
        <w:t>:</w:t>
      </w:r>
      <w:r w:rsidR="00121732">
        <w:rPr>
          <w:u w:val="single"/>
        </w:rPr>
        <w:t xml:space="preserve"> </w:t>
      </w:r>
    </w:p>
    <w:p w14:paraId="65BBB9F8" w14:textId="77777777" w:rsidR="00121732" w:rsidRPr="00121732" w:rsidRDefault="00121732" w:rsidP="00121732">
      <w:pPr>
        <w:spacing w:line="276" w:lineRule="auto"/>
        <w:rPr>
          <w:u w:val="single"/>
        </w:rPr>
      </w:pPr>
    </w:p>
    <w:tbl>
      <w:tblPr>
        <w:tblStyle w:val="TableGrid"/>
        <w:tblW w:w="8555" w:type="dxa"/>
        <w:tblLook w:val="04A0" w:firstRow="1" w:lastRow="0" w:firstColumn="1" w:lastColumn="0" w:noHBand="0" w:noVBand="1"/>
      </w:tblPr>
      <w:tblGrid>
        <w:gridCol w:w="4627"/>
        <w:gridCol w:w="3928"/>
      </w:tblGrid>
      <w:tr w:rsidR="00121732" w14:paraId="3BFA6902" w14:textId="77777777" w:rsidTr="00D57068">
        <w:trPr>
          <w:trHeight w:val="104"/>
        </w:trPr>
        <w:tc>
          <w:tcPr>
            <w:tcW w:w="4627" w:type="dxa"/>
          </w:tcPr>
          <w:p w14:paraId="419DA728" w14:textId="77777777" w:rsidR="00121732" w:rsidRDefault="00121732" w:rsidP="00DB189F">
            <w:pPr>
              <w:pStyle w:val="ALJBodyText"/>
              <w:keepNext/>
              <w:keepLines/>
              <w:spacing w:line="240" w:lineRule="auto"/>
              <w:ind w:firstLine="0"/>
            </w:pPr>
            <w:r>
              <w:t>Discharge Duration (hours)</w:t>
            </w:r>
          </w:p>
        </w:tc>
        <w:tc>
          <w:tcPr>
            <w:tcW w:w="3928" w:type="dxa"/>
          </w:tcPr>
          <w:p w14:paraId="58226E9D" w14:textId="77777777" w:rsidR="00121732" w:rsidRDefault="00121732" w:rsidP="00DB189F">
            <w:pPr>
              <w:pStyle w:val="ALJBodyText"/>
              <w:keepNext/>
              <w:keepLines/>
              <w:spacing w:line="240" w:lineRule="auto"/>
              <w:ind w:firstLine="0"/>
            </w:pPr>
            <w:r>
              <w:t xml:space="preserve">Percent of Base Incentive </w:t>
            </w:r>
          </w:p>
        </w:tc>
      </w:tr>
      <w:tr w:rsidR="00121732" w14:paraId="4EB3BF0B" w14:textId="77777777" w:rsidTr="00D57068">
        <w:trPr>
          <w:trHeight w:val="104"/>
        </w:trPr>
        <w:tc>
          <w:tcPr>
            <w:tcW w:w="4627" w:type="dxa"/>
          </w:tcPr>
          <w:p w14:paraId="109B41C1" w14:textId="675A9C3C" w:rsidR="00121732" w:rsidRDefault="00121732" w:rsidP="00DB189F">
            <w:pPr>
              <w:pStyle w:val="ALJBodyText"/>
              <w:keepNext/>
              <w:keepLines/>
              <w:spacing w:line="240" w:lineRule="auto"/>
              <w:ind w:firstLine="0"/>
            </w:pPr>
            <w:r>
              <w:t>0</w:t>
            </w:r>
            <w:r w:rsidR="00757681">
              <w:noBreakHyphen/>
            </w:r>
            <w:r>
              <w:t xml:space="preserve">2 </w:t>
            </w:r>
          </w:p>
        </w:tc>
        <w:tc>
          <w:tcPr>
            <w:tcW w:w="3928" w:type="dxa"/>
          </w:tcPr>
          <w:p w14:paraId="2F363C4A" w14:textId="77777777" w:rsidR="00121732" w:rsidRDefault="00121732" w:rsidP="00DB189F">
            <w:pPr>
              <w:pStyle w:val="ALJBodyText"/>
              <w:keepNext/>
              <w:keepLines/>
              <w:spacing w:line="240" w:lineRule="auto"/>
              <w:ind w:firstLine="0"/>
            </w:pPr>
            <w:r>
              <w:t>100</w:t>
            </w:r>
          </w:p>
        </w:tc>
      </w:tr>
      <w:tr w:rsidR="00121732" w14:paraId="69D9297F" w14:textId="77777777" w:rsidTr="00D57068">
        <w:trPr>
          <w:trHeight w:val="104"/>
        </w:trPr>
        <w:tc>
          <w:tcPr>
            <w:tcW w:w="4627" w:type="dxa"/>
          </w:tcPr>
          <w:p w14:paraId="60B4F2DE" w14:textId="234E27D9" w:rsidR="00121732" w:rsidRDefault="00121732" w:rsidP="00D57068">
            <w:pPr>
              <w:pStyle w:val="ALJBodyText"/>
              <w:spacing w:line="240" w:lineRule="auto"/>
              <w:ind w:firstLine="0"/>
            </w:pPr>
            <w:r>
              <w:t>2</w:t>
            </w:r>
            <w:r w:rsidR="00757681">
              <w:noBreakHyphen/>
            </w:r>
            <w:r>
              <w:t>4</w:t>
            </w:r>
          </w:p>
        </w:tc>
        <w:tc>
          <w:tcPr>
            <w:tcW w:w="3928" w:type="dxa"/>
          </w:tcPr>
          <w:p w14:paraId="18D621BE" w14:textId="77777777" w:rsidR="00121732" w:rsidRDefault="00121732" w:rsidP="00D57068">
            <w:pPr>
              <w:pStyle w:val="ALJBodyText"/>
              <w:spacing w:line="240" w:lineRule="auto"/>
              <w:ind w:firstLine="0"/>
            </w:pPr>
            <w:r>
              <w:t>100</w:t>
            </w:r>
          </w:p>
        </w:tc>
      </w:tr>
      <w:tr w:rsidR="00121732" w14:paraId="44570B1A" w14:textId="77777777" w:rsidTr="00D57068">
        <w:trPr>
          <w:trHeight w:val="104"/>
        </w:trPr>
        <w:tc>
          <w:tcPr>
            <w:tcW w:w="4627" w:type="dxa"/>
          </w:tcPr>
          <w:p w14:paraId="4B19E52C" w14:textId="3947ADF8" w:rsidR="00121732" w:rsidRDefault="00121732" w:rsidP="00D57068">
            <w:pPr>
              <w:pStyle w:val="ALJBodyText"/>
              <w:spacing w:line="240" w:lineRule="auto"/>
              <w:ind w:firstLine="0"/>
            </w:pPr>
            <w:r>
              <w:t>4</w:t>
            </w:r>
            <w:r w:rsidR="00757681">
              <w:noBreakHyphen/>
            </w:r>
            <w:r>
              <w:t>6</w:t>
            </w:r>
          </w:p>
        </w:tc>
        <w:tc>
          <w:tcPr>
            <w:tcW w:w="3928" w:type="dxa"/>
          </w:tcPr>
          <w:p w14:paraId="3B79A260" w14:textId="14C45C64" w:rsidR="00121732" w:rsidRDefault="00D12B0E" w:rsidP="00D57068">
            <w:pPr>
              <w:pStyle w:val="ALJBodyText"/>
              <w:spacing w:line="240" w:lineRule="auto"/>
              <w:ind w:firstLine="0"/>
            </w:pPr>
            <w:r>
              <w:t>50</w:t>
            </w:r>
          </w:p>
        </w:tc>
      </w:tr>
      <w:tr w:rsidR="00121732" w14:paraId="034015C0" w14:textId="77777777" w:rsidTr="00D57068">
        <w:trPr>
          <w:trHeight w:val="104"/>
        </w:trPr>
        <w:tc>
          <w:tcPr>
            <w:tcW w:w="4627" w:type="dxa"/>
          </w:tcPr>
          <w:p w14:paraId="5A51B032" w14:textId="5F889199" w:rsidR="00121732" w:rsidRDefault="00121732" w:rsidP="00D57068">
            <w:pPr>
              <w:pStyle w:val="ALJBodyText"/>
              <w:spacing w:line="240" w:lineRule="auto"/>
              <w:ind w:firstLine="0"/>
            </w:pPr>
            <w:r>
              <w:t>6</w:t>
            </w:r>
            <w:r w:rsidR="00757681">
              <w:noBreakHyphen/>
            </w:r>
            <w:r>
              <w:t>8</w:t>
            </w:r>
          </w:p>
        </w:tc>
        <w:tc>
          <w:tcPr>
            <w:tcW w:w="3928" w:type="dxa"/>
          </w:tcPr>
          <w:p w14:paraId="0AE16082" w14:textId="79440B67" w:rsidR="00121732" w:rsidRDefault="007718F8" w:rsidP="00D57068">
            <w:pPr>
              <w:pStyle w:val="ALJBodyText"/>
              <w:spacing w:line="240" w:lineRule="auto"/>
              <w:ind w:firstLine="0"/>
            </w:pPr>
            <w:r>
              <w:t>0</w:t>
            </w:r>
          </w:p>
        </w:tc>
      </w:tr>
      <w:tr w:rsidR="00121732" w14:paraId="364BAF2E" w14:textId="77777777" w:rsidTr="00D57068">
        <w:trPr>
          <w:trHeight w:val="104"/>
        </w:trPr>
        <w:tc>
          <w:tcPr>
            <w:tcW w:w="4627" w:type="dxa"/>
          </w:tcPr>
          <w:p w14:paraId="4C8F14E8" w14:textId="77777777" w:rsidR="00121732" w:rsidRDefault="00121732" w:rsidP="00D57068">
            <w:pPr>
              <w:pStyle w:val="ALJBodyText"/>
              <w:spacing w:line="240" w:lineRule="auto"/>
              <w:ind w:firstLine="0"/>
            </w:pPr>
            <w:r>
              <w:t>8+</w:t>
            </w:r>
          </w:p>
        </w:tc>
        <w:tc>
          <w:tcPr>
            <w:tcW w:w="3928" w:type="dxa"/>
          </w:tcPr>
          <w:p w14:paraId="2821DDEE" w14:textId="77777777" w:rsidR="00121732" w:rsidRDefault="00121732" w:rsidP="00D57068">
            <w:pPr>
              <w:pStyle w:val="ALJBodyText"/>
              <w:spacing w:line="240" w:lineRule="auto"/>
              <w:ind w:firstLine="0"/>
            </w:pPr>
            <w:r>
              <w:t>0</w:t>
            </w:r>
          </w:p>
        </w:tc>
      </w:tr>
    </w:tbl>
    <w:p w14:paraId="108C48A3" w14:textId="77777777" w:rsidR="00121732" w:rsidRDefault="00121732" w:rsidP="00121732">
      <w:pPr>
        <w:pStyle w:val="ALJOP"/>
        <w:spacing w:line="240" w:lineRule="auto"/>
        <w:ind w:left="720"/>
      </w:pPr>
    </w:p>
    <w:p w14:paraId="70CB4F48" w14:textId="77777777" w:rsidR="00121732" w:rsidRDefault="00121732" w:rsidP="00121732">
      <w:pPr>
        <w:pStyle w:val="ALJOP"/>
        <w:spacing w:line="240" w:lineRule="auto"/>
        <w:rPr>
          <w:u w:val="single"/>
        </w:rPr>
      </w:pPr>
      <w:r w:rsidRPr="000D00DD">
        <w:rPr>
          <w:u w:val="single"/>
        </w:rPr>
        <w:t>Program Requirements:</w:t>
      </w:r>
    </w:p>
    <w:p w14:paraId="17B3CAF2" w14:textId="77777777" w:rsidR="00121732" w:rsidRPr="00121732" w:rsidRDefault="00121732" w:rsidP="00121732">
      <w:pPr>
        <w:spacing w:line="276" w:lineRule="auto"/>
        <w:rPr>
          <w:u w:val="single"/>
        </w:rPr>
      </w:pPr>
    </w:p>
    <w:p w14:paraId="76AFEC49" w14:textId="7FDD9425" w:rsidR="00121732" w:rsidRPr="00121732" w:rsidRDefault="00121732" w:rsidP="00121732">
      <w:pPr>
        <w:pStyle w:val="ListParagraph"/>
        <w:spacing w:after="0" w:line="276" w:lineRule="auto"/>
        <w:rPr>
          <w:u w:val="single"/>
        </w:rPr>
      </w:pPr>
      <w:r>
        <w:rPr>
          <w:u w:val="single"/>
        </w:rPr>
        <w:t xml:space="preserve"> </w:t>
      </w:r>
      <w:r w:rsidR="007957E3">
        <w:t xml:space="preserve">Equity budget </w:t>
      </w:r>
      <w:r w:rsidR="00D12B0E">
        <w:t xml:space="preserve">and equity resiliency budget </w:t>
      </w:r>
      <w:r w:rsidR="007957E3">
        <w:t xml:space="preserve">projects are exempt from the developer cap of 20 percent of </w:t>
      </w:r>
      <w:r w:rsidR="007957E3" w:rsidRPr="005D1991">
        <w:t xml:space="preserve">SGIP incentive funding for a given budget category </w:t>
      </w:r>
      <w:r w:rsidR="007957E3">
        <w:t>per statewide incentive step</w:t>
      </w:r>
      <w:r>
        <w:t>.</w:t>
      </w:r>
    </w:p>
    <w:p w14:paraId="38F1CE7B" w14:textId="77777777" w:rsidR="00121732" w:rsidRPr="00121732" w:rsidRDefault="00121732" w:rsidP="00121732">
      <w:pPr>
        <w:spacing w:line="276" w:lineRule="auto"/>
        <w:rPr>
          <w:u w:val="single"/>
        </w:rPr>
      </w:pPr>
    </w:p>
    <w:p w14:paraId="6CF007C5" w14:textId="5E905936" w:rsidR="00121732" w:rsidRDefault="00121732" w:rsidP="00121732">
      <w:pPr>
        <w:pStyle w:val="ListParagraph"/>
        <w:spacing w:after="0" w:line="276" w:lineRule="auto"/>
        <w:rPr>
          <w:u w:val="single"/>
        </w:rPr>
      </w:pPr>
      <w:r>
        <w:t xml:space="preserve"> </w:t>
      </w:r>
      <w:r w:rsidR="00A9242D">
        <w:t xml:space="preserve">The SGIP application for </w:t>
      </w:r>
      <w:r w:rsidR="007957E3">
        <w:t>customer</w:t>
      </w:r>
      <w:r w:rsidR="00A9242D">
        <w:t>s</w:t>
      </w:r>
      <w:r w:rsidR="007957E3">
        <w:t xml:space="preserve"> </w:t>
      </w:r>
      <w:r w:rsidR="007957E3" w:rsidRPr="001B10C1">
        <w:t>receiving an incentive reservation for a</w:t>
      </w:r>
      <w:r w:rsidR="00480EA7">
        <w:t>n</w:t>
      </w:r>
      <w:r w:rsidR="00797F58">
        <w:t xml:space="preserve"> equity resiliency project or an equity budget project with a longer than two</w:t>
      </w:r>
      <w:r w:rsidR="00757681">
        <w:noBreakHyphen/>
      </w:r>
      <w:r w:rsidR="00797F58">
        <w:t xml:space="preserve">hour discharge duration </w:t>
      </w:r>
      <w:r w:rsidR="007957E3" w:rsidRPr="001B10C1">
        <w:t>must</w:t>
      </w:r>
      <w:r w:rsidR="00A9242D">
        <w:t xml:space="preserve"> require developers to:</w:t>
      </w:r>
    </w:p>
    <w:p w14:paraId="423CE962" w14:textId="77777777" w:rsidR="00121732" w:rsidRPr="00121732" w:rsidRDefault="00121732" w:rsidP="00121732">
      <w:pPr>
        <w:spacing w:line="276" w:lineRule="auto"/>
        <w:rPr>
          <w:u w:val="single"/>
        </w:rPr>
      </w:pPr>
    </w:p>
    <w:p w14:paraId="78653A55" w14:textId="77777777" w:rsidR="00230BA3" w:rsidRDefault="00230BA3" w:rsidP="00D32CB0">
      <w:pPr>
        <w:pStyle w:val="ALJOP"/>
        <w:spacing w:line="240" w:lineRule="auto"/>
        <w:ind w:left="720"/>
      </w:pPr>
      <w:r w:rsidRPr="00EF3610">
        <w:t>(</w:t>
      </w:r>
      <w:r>
        <w:t>a</w:t>
      </w:r>
      <w:r w:rsidRPr="00EF3610">
        <w:t xml:space="preserve">) provide an estimate of how long a project’s fully charged battery will provide electricity for the relevant facility average load during an outage; </w:t>
      </w:r>
    </w:p>
    <w:p w14:paraId="4C712512" w14:textId="77777777" w:rsidR="00230BA3" w:rsidRDefault="00230BA3" w:rsidP="00D32CB0">
      <w:pPr>
        <w:pStyle w:val="ALJOP"/>
        <w:spacing w:line="240" w:lineRule="auto"/>
        <w:ind w:left="720"/>
      </w:pPr>
    </w:p>
    <w:p w14:paraId="72895C3B" w14:textId="77777777" w:rsidR="00D12B0E" w:rsidRDefault="00230BA3" w:rsidP="00D32CB0">
      <w:pPr>
        <w:pStyle w:val="ALJOP"/>
        <w:spacing w:line="240" w:lineRule="auto"/>
        <w:ind w:left="720"/>
      </w:pPr>
      <w:r w:rsidRPr="00EF3610">
        <w:t>(</w:t>
      </w:r>
      <w:r>
        <w:t>b</w:t>
      </w:r>
      <w:r w:rsidRPr="00EF3610">
        <w:t>) indicate whether a project’s critical loads can and will be isolated</w:t>
      </w:r>
      <w:r w:rsidR="00D12B0E">
        <w:t>;</w:t>
      </w:r>
    </w:p>
    <w:p w14:paraId="26C44401" w14:textId="77777777" w:rsidR="00D12B0E" w:rsidRDefault="00D12B0E" w:rsidP="00D32CB0">
      <w:pPr>
        <w:pStyle w:val="ALJOP"/>
        <w:spacing w:line="240" w:lineRule="auto"/>
        <w:ind w:left="720"/>
      </w:pPr>
    </w:p>
    <w:p w14:paraId="2BA805FF" w14:textId="4992B9BF" w:rsidR="00230BA3" w:rsidRDefault="00D12B0E" w:rsidP="00D32CB0">
      <w:pPr>
        <w:pStyle w:val="ALJOP"/>
        <w:spacing w:line="240" w:lineRule="auto"/>
        <w:ind w:left="720"/>
      </w:pPr>
      <w:r>
        <w:t xml:space="preserve">(c) </w:t>
      </w:r>
      <w:r w:rsidR="00230BA3" w:rsidRPr="00EF3610">
        <w:t xml:space="preserve">provide an estimate of how long the project’s fully charged battery will provide electricity </w:t>
      </w:r>
      <w:r>
        <w:t xml:space="preserve">to </w:t>
      </w:r>
      <w:r w:rsidR="00230BA3" w:rsidRPr="00EF3610">
        <w:t xml:space="preserve">critical uses during an outage; </w:t>
      </w:r>
    </w:p>
    <w:p w14:paraId="1CCBAC76" w14:textId="77777777" w:rsidR="00230BA3" w:rsidRDefault="00230BA3" w:rsidP="00D32CB0">
      <w:pPr>
        <w:pStyle w:val="ALJOP"/>
        <w:spacing w:line="240" w:lineRule="auto"/>
        <w:ind w:left="720"/>
      </w:pPr>
    </w:p>
    <w:p w14:paraId="1D1A5336" w14:textId="1CECBE7D" w:rsidR="00D12B0E" w:rsidRDefault="00230BA3" w:rsidP="00D32CB0">
      <w:pPr>
        <w:pStyle w:val="ALJOP"/>
        <w:spacing w:line="240" w:lineRule="auto"/>
        <w:ind w:left="720"/>
      </w:pPr>
      <w:r w:rsidRPr="00EF3610">
        <w:t>(</w:t>
      </w:r>
      <w:r w:rsidR="00D12B0E">
        <w:t>d</w:t>
      </w:r>
      <w:r w:rsidRPr="00EF3610">
        <w:t xml:space="preserve">) </w:t>
      </w:r>
      <w:r w:rsidR="00D12B0E" w:rsidRPr="00D12B0E">
        <w:t>provide an estimate of how long the project can operate in less</w:t>
      </w:r>
      <w:r w:rsidR="00757681">
        <w:noBreakHyphen/>
      </w:r>
      <w:r w:rsidR="00D12B0E" w:rsidRPr="00D12B0E">
        <w:t>than favorable circumstances, such as if an outage occurs when the battery has been discharged or during the winter (if paired with solar);</w:t>
      </w:r>
    </w:p>
    <w:p w14:paraId="434CE554" w14:textId="77777777" w:rsidR="00D12B0E" w:rsidRDefault="00D12B0E" w:rsidP="00D32CB0">
      <w:pPr>
        <w:pStyle w:val="ALJOP"/>
        <w:spacing w:line="240" w:lineRule="auto"/>
        <w:ind w:left="720"/>
      </w:pPr>
    </w:p>
    <w:p w14:paraId="7806B1FC" w14:textId="20816FAB" w:rsidR="00D12B0E" w:rsidRDefault="00D12B0E" w:rsidP="00D32CB0">
      <w:pPr>
        <w:pStyle w:val="ALJOP"/>
        <w:spacing w:line="240" w:lineRule="auto"/>
        <w:ind w:left="720"/>
      </w:pPr>
      <w:r>
        <w:t>(e) summarize information given to the customer about how the customer may best prepare the</w:t>
      </w:r>
      <w:r w:rsidR="00A9242D">
        <w:t xml:space="preserve"> storage system to provide back</w:t>
      </w:r>
      <w:r>
        <w:t xml:space="preserve">up power, in the case of </w:t>
      </w:r>
      <w:r w:rsidR="00A9242D">
        <w:t>a PSPS event</w:t>
      </w:r>
      <w:r>
        <w:t xml:space="preserve"> announced in advance;</w:t>
      </w:r>
    </w:p>
    <w:p w14:paraId="3D2B3A78" w14:textId="77777777" w:rsidR="00D12B0E" w:rsidRDefault="00D12B0E" w:rsidP="00D32CB0">
      <w:pPr>
        <w:pStyle w:val="ALJOP"/>
        <w:spacing w:line="240" w:lineRule="auto"/>
        <w:ind w:left="720"/>
      </w:pPr>
    </w:p>
    <w:p w14:paraId="5BDB3C4B" w14:textId="6C67EEBB" w:rsidR="00D12B0E" w:rsidRDefault="00D12B0E" w:rsidP="00D32CB0">
      <w:pPr>
        <w:pStyle w:val="ALJOP"/>
        <w:spacing w:line="240" w:lineRule="auto"/>
        <w:ind w:left="720"/>
      </w:pPr>
      <w:r>
        <w:t xml:space="preserve">(f) </w:t>
      </w:r>
      <w:r w:rsidR="00230BA3" w:rsidRPr="00EF3610">
        <w:t>attest to the truth of the information provided</w:t>
      </w:r>
      <w:r w:rsidR="00230BA3">
        <w:t xml:space="preserve">; </w:t>
      </w:r>
    </w:p>
    <w:p w14:paraId="43D99DFA" w14:textId="77777777" w:rsidR="00D12B0E" w:rsidRDefault="00D12B0E" w:rsidP="00D32CB0">
      <w:pPr>
        <w:pStyle w:val="ALJOP"/>
        <w:spacing w:line="240" w:lineRule="auto"/>
        <w:ind w:left="720"/>
      </w:pPr>
    </w:p>
    <w:p w14:paraId="4CA3FDD0" w14:textId="6A3E711F" w:rsidR="00230BA3" w:rsidRDefault="00D12B0E" w:rsidP="00D32CB0">
      <w:pPr>
        <w:pStyle w:val="ALJOP"/>
        <w:spacing w:line="240" w:lineRule="auto"/>
        <w:ind w:left="720"/>
      </w:pPr>
      <w:r>
        <w:t xml:space="preserve">(g) provide an attestation from the customer indicating that he or she received this information prior to </w:t>
      </w:r>
      <w:r w:rsidRPr="00D32CB0">
        <w:t>sign</w:t>
      </w:r>
      <w:r>
        <w:t>ing</w:t>
      </w:r>
      <w:r w:rsidRPr="00D32CB0">
        <w:t xml:space="preserve"> a contract</w:t>
      </w:r>
      <w:r>
        <w:t>; and,</w:t>
      </w:r>
    </w:p>
    <w:p w14:paraId="04D2D20D" w14:textId="77777777" w:rsidR="00230BA3" w:rsidRDefault="00230BA3" w:rsidP="00D32CB0">
      <w:pPr>
        <w:pStyle w:val="ALJOP"/>
        <w:spacing w:line="240" w:lineRule="auto"/>
        <w:ind w:left="720"/>
      </w:pPr>
    </w:p>
    <w:p w14:paraId="1B91FB8A" w14:textId="4A67F2A0" w:rsidR="00121732" w:rsidRDefault="00230BA3" w:rsidP="00121732">
      <w:pPr>
        <w:pStyle w:val="ALJOP"/>
        <w:spacing w:line="240" w:lineRule="auto"/>
        <w:ind w:left="720"/>
      </w:pPr>
      <w:r>
        <w:t>(</w:t>
      </w:r>
      <w:r w:rsidR="00D12B0E">
        <w:t>h</w:t>
      </w:r>
      <w:r>
        <w:t xml:space="preserve">) demonstrate that an AHJ has </w:t>
      </w:r>
      <w:r w:rsidR="0031014E">
        <w:t>approved plans showing that the system can operate in island mode</w:t>
      </w:r>
      <w:r w:rsidR="00DF6FDD">
        <w:t xml:space="preserve">, has </w:t>
      </w:r>
      <w:r>
        <w:t xml:space="preserve">inspected </w:t>
      </w:r>
      <w:r w:rsidR="0031014E">
        <w:t xml:space="preserve">the system after installation and </w:t>
      </w:r>
      <w:r w:rsidR="00DF6FDD">
        <w:t xml:space="preserve">has </w:t>
      </w:r>
      <w:r w:rsidR="0031014E">
        <w:t xml:space="preserve">authorized operation. </w:t>
      </w:r>
    </w:p>
    <w:p w14:paraId="2062EB20" w14:textId="77777777" w:rsidR="00121732" w:rsidRDefault="00121732" w:rsidP="00121732">
      <w:pPr>
        <w:pStyle w:val="ALJOP"/>
        <w:spacing w:line="240" w:lineRule="auto"/>
        <w:ind w:left="720"/>
      </w:pPr>
    </w:p>
    <w:p w14:paraId="34E298CA" w14:textId="391B5C9E" w:rsidR="00121732" w:rsidRDefault="007957E3" w:rsidP="00121732">
      <w:pPr>
        <w:pStyle w:val="ListParagraph"/>
      </w:pPr>
      <w:r>
        <w:t xml:space="preserve">Requirements for storage system sizing </w:t>
      </w:r>
      <w:r w:rsidRPr="00FE7E59">
        <w:t xml:space="preserve">for </w:t>
      </w:r>
      <w:r w:rsidR="00C3468E">
        <w:t xml:space="preserve">eligible </w:t>
      </w:r>
      <w:r w:rsidRPr="00FE7E59">
        <w:t xml:space="preserve">multifamily housing </w:t>
      </w:r>
      <w:r>
        <w:t>is</w:t>
      </w:r>
      <w:r w:rsidR="00C3468E">
        <w:t xml:space="preserve">, where feasible, </w:t>
      </w:r>
      <w:r w:rsidRPr="00FE7E59">
        <w:t>based</w:t>
      </w:r>
      <w:r>
        <w:t xml:space="preserve"> on the whole building’s historical usage</w:t>
      </w:r>
      <w:r w:rsidR="006C387F">
        <w:t>.</w:t>
      </w:r>
    </w:p>
    <w:p w14:paraId="4C90BA5D" w14:textId="7166D2C1" w:rsidR="006C387F" w:rsidRPr="00121732" w:rsidRDefault="00121732" w:rsidP="00121732">
      <w:pPr>
        <w:pStyle w:val="ListParagraph"/>
      </w:pPr>
      <w:r>
        <w:t xml:space="preserve"> </w:t>
      </w:r>
      <w:r w:rsidR="006C387F" w:rsidRPr="006C387F">
        <w:t xml:space="preserve">SGIP interconnection requirements contained in Section 4.2.2 of the SGIP handbook are updated as follows: </w:t>
      </w:r>
    </w:p>
    <w:p w14:paraId="52575C39" w14:textId="5134DB00" w:rsidR="00121732" w:rsidRDefault="006C387F" w:rsidP="00121732">
      <w:pPr>
        <w:pStyle w:val="ALJBlockQuote"/>
      </w:pPr>
      <w:r w:rsidRPr="006C387F">
        <w:t xml:space="preserve">All systems receiving incentives under the SGIP that discharge electricity must be connected to the local electric utility’s distribution system and must be installed on the Host Customer’s side of the electric utility meter. The interconnection, operation, and metering requirements for the systems shall be in accordance with the local electric utility rules for customer generating facility interconnections. Energy storage systems must also be configured to operate in parallel with the grid. </w:t>
      </w:r>
      <w:r>
        <w:t xml:space="preserve"> </w:t>
      </w:r>
      <w:r w:rsidRPr="006C387F">
        <w:rPr>
          <w:u w:val="single"/>
        </w:rPr>
        <w:t>SGIP eligibility includes systems that interconnect to the local electric utility’s distribution system under the requirements of a virtual net metering tariff</w:t>
      </w:r>
      <w:r w:rsidRPr="006C387F">
        <w:t>.</w:t>
      </w:r>
    </w:p>
    <w:p w14:paraId="6C390EE0" w14:textId="77777777" w:rsidR="00121732" w:rsidRDefault="00121732" w:rsidP="00121732">
      <w:pPr>
        <w:pStyle w:val="ALJBlockQuote"/>
      </w:pPr>
    </w:p>
    <w:p w14:paraId="01EEF5D4" w14:textId="3132BA58" w:rsidR="00DE4C36" w:rsidRDefault="00DE4C36" w:rsidP="00121732">
      <w:pPr>
        <w:pStyle w:val="ListParagraph"/>
      </w:pPr>
      <w:r>
        <w:t xml:space="preserve">The definition of host customer contained in the SGIP handbook </w:t>
      </w:r>
      <w:r w:rsidR="000F79E2">
        <w:t>in Section 4.1.1 is modified to include properties taking service on a Virtual Net Energy Metering (VNEM) tariff.</w:t>
      </w:r>
    </w:p>
    <w:p w14:paraId="2D68E891" w14:textId="10D3D0C6" w:rsidR="007957E3" w:rsidRDefault="007957E3" w:rsidP="00121732">
      <w:pPr>
        <w:pStyle w:val="ListParagraph"/>
      </w:pPr>
      <w:r>
        <w:lastRenderedPageBreak/>
        <w:t xml:space="preserve">The </w:t>
      </w:r>
      <w:r w:rsidRPr="001C668E">
        <w:t xml:space="preserve">existing SGIP </w:t>
      </w:r>
      <w:r w:rsidR="005C51F5">
        <w:t>handbook</w:t>
      </w:r>
      <w:r w:rsidRPr="001C668E">
        <w:t xml:space="preserve"> requirement that SGIP projects receiving other incentives funded 10</w:t>
      </w:r>
      <w:r>
        <w:t>0 percent by IOU ratepayers will</w:t>
      </w:r>
      <w:r w:rsidRPr="001C668E">
        <w:t xml:space="preserve"> have</w:t>
      </w:r>
      <w:r w:rsidR="00AF4F30">
        <w:t xml:space="preserve"> </w:t>
      </w:r>
      <w:r w:rsidRPr="001C668E">
        <w:t>their SGIP incentive reduced by the full amount of the other incentive and that SGIP projects receiving other incentives fu</w:t>
      </w:r>
      <w:r>
        <w:t>nded by non</w:t>
      </w:r>
      <w:r w:rsidR="00757681">
        <w:noBreakHyphen/>
      </w:r>
      <w:r>
        <w:t xml:space="preserve">IOU ratepayers will </w:t>
      </w:r>
      <w:r w:rsidRPr="001C668E">
        <w:t xml:space="preserve">have their SGIP incentive reduced by 50% of the amount of the other incentive </w:t>
      </w:r>
      <w:r w:rsidR="00121732">
        <w:t xml:space="preserve">is waived </w:t>
      </w:r>
      <w:r>
        <w:t>f</w:t>
      </w:r>
      <w:r w:rsidRPr="001C668E">
        <w:t>or equit</w:t>
      </w:r>
      <w:r>
        <w:t>y budget projects</w:t>
      </w:r>
      <w:r w:rsidR="00230BA3">
        <w:t xml:space="preserve">.  </w:t>
      </w:r>
      <w:r>
        <w:t xml:space="preserve">Instead, for </w:t>
      </w:r>
      <w:r w:rsidRPr="001C668E">
        <w:t>equity budget</w:t>
      </w:r>
      <w:r>
        <w:t xml:space="preserve"> projects</w:t>
      </w:r>
      <w:r w:rsidRPr="001C668E">
        <w:t>, </w:t>
      </w:r>
      <w:r>
        <w:t xml:space="preserve">the SGIP incentive will be reduced, </w:t>
      </w:r>
      <w:r w:rsidRPr="001C668E">
        <w:t>as needed</w:t>
      </w:r>
      <w:r>
        <w:t>,</w:t>
      </w:r>
      <w:r w:rsidRPr="001C668E">
        <w:t xml:space="preserve"> so that the SGIP incentive and external funding combined do not exceed the total installed costs of the system. </w:t>
      </w:r>
    </w:p>
    <w:p w14:paraId="58A49CCF" w14:textId="6CA1D403" w:rsidR="00121732" w:rsidRPr="00121732" w:rsidRDefault="00121732" w:rsidP="00121732">
      <w:pPr>
        <w:pStyle w:val="ListParagraph"/>
      </w:pPr>
      <w:r>
        <w:t xml:space="preserve"> </w:t>
      </w:r>
      <w:r w:rsidR="00891464" w:rsidRPr="00121732">
        <w:t xml:space="preserve">Vendors/developers shall not sell a </w:t>
      </w:r>
      <w:r w:rsidR="00EA330E">
        <w:t xml:space="preserve">residential </w:t>
      </w:r>
      <w:r w:rsidR="00891464" w:rsidRPr="00121732">
        <w:t>storage system that receives incentives for a total price (before incentives) that is greater than the price they sell a comparable system that does not receive incentives. </w:t>
      </w:r>
    </w:p>
    <w:p w14:paraId="78859B5C" w14:textId="74137517" w:rsidR="00155432" w:rsidRDefault="00155432" w:rsidP="00121732">
      <w:pPr>
        <w:pStyle w:val="ListParagraph"/>
      </w:pPr>
      <w:r w:rsidRPr="00121732">
        <w:t>CARE</w:t>
      </w:r>
      <w:r w:rsidR="00757681">
        <w:noBreakHyphen/>
      </w:r>
      <w:r w:rsidRPr="00121732">
        <w:t>eligible SJV pilot households that wish to use SG</w:t>
      </w:r>
      <w:r w:rsidR="00121732">
        <w:t xml:space="preserve">IP incentives must </w:t>
      </w:r>
      <w:r w:rsidRPr="00121732">
        <w:t>enroll in an SGIP</w:t>
      </w:r>
      <w:r w:rsidR="00757681">
        <w:noBreakHyphen/>
      </w:r>
      <w:r w:rsidRPr="00121732">
        <w:t>approved rate, if one is available, and, if not, in any CARE TOU rate, regardless of the date of submittal of a complete SGIP application.</w:t>
      </w:r>
    </w:p>
    <w:p w14:paraId="65D4B971" w14:textId="0A37D7F9" w:rsidR="00F8686A" w:rsidRPr="00121732" w:rsidRDefault="00F8686A" w:rsidP="00121732">
      <w:pPr>
        <w:pStyle w:val="ListParagraph"/>
      </w:pPr>
      <w:r>
        <w:t>R</w:t>
      </w:r>
      <w:r w:rsidRPr="00F8686A">
        <w:t>esidential and non</w:t>
      </w:r>
      <w:r w:rsidR="00757681">
        <w:noBreakHyphen/>
      </w:r>
      <w:r w:rsidRPr="00F8686A">
        <w:t xml:space="preserve">residential equity resiliency and equity budget </w:t>
      </w:r>
      <w:r>
        <w:t xml:space="preserve">storage projects must </w:t>
      </w:r>
      <w:r w:rsidRPr="00F8686A">
        <w:t>cycle a minimum of 52 and 104 times per year respectively and must meet the GHG emission reduction requirements approved in D.19</w:t>
      </w:r>
      <w:r w:rsidR="00757681">
        <w:noBreakHyphen/>
      </w:r>
      <w:r w:rsidRPr="00F8686A">
        <w:t>08</w:t>
      </w:r>
      <w:r w:rsidR="00757681">
        <w:noBreakHyphen/>
      </w:r>
      <w:r w:rsidRPr="00F8686A">
        <w:t>001.</w:t>
      </w:r>
    </w:p>
    <w:p w14:paraId="4A11259D" w14:textId="0EDCD33A" w:rsidR="00DB189F" w:rsidRDefault="00DB189F" w:rsidP="00201C0E">
      <w:pPr>
        <w:jc w:val="center"/>
        <w:sectPr w:rsidR="00DB189F" w:rsidSect="00201C0E">
          <w:footerReference w:type="default" r:id="rId25"/>
          <w:footerReference w:type="first" r:id="rId26"/>
          <w:pgSz w:w="12240" w:h="15840" w:code="1"/>
          <w:pgMar w:top="1440" w:right="1440" w:bottom="1440" w:left="1440" w:header="720" w:footer="720" w:gutter="0"/>
          <w:pgNumType w:start="1"/>
          <w:cols w:space="720"/>
          <w:titlePg/>
          <w:docGrid w:linePitch="360"/>
        </w:sectPr>
      </w:pPr>
      <w:r>
        <w:t xml:space="preserve"> </w:t>
      </w:r>
      <w:r w:rsidR="00201C0E">
        <w:t>(End of Attachment A)</w:t>
      </w:r>
    </w:p>
    <w:p w14:paraId="3E5BEB37" w14:textId="77777777" w:rsidR="00DB189F" w:rsidRDefault="00DB189F" w:rsidP="00FA235C">
      <w:pPr>
        <w:jc w:val="center"/>
        <w:rPr>
          <w:b/>
        </w:rPr>
        <w:sectPr w:rsidR="00DB189F" w:rsidSect="00201C0E">
          <w:footerReference w:type="default" r:id="rId27"/>
          <w:footerReference w:type="first" r:id="rId28"/>
          <w:footnotePr>
            <w:numRestart w:val="eachSect"/>
          </w:footnotePr>
          <w:type w:val="continuous"/>
          <w:pgSz w:w="12240" w:h="15840" w:code="1"/>
          <w:pgMar w:top="1440" w:right="1440" w:bottom="1440" w:left="1440" w:header="720" w:footer="720" w:gutter="0"/>
          <w:pgNumType w:start="1"/>
          <w:cols w:space="720"/>
          <w:titlePg/>
          <w:docGrid w:linePitch="360"/>
        </w:sectPr>
      </w:pPr>
    </w:p>
    <w:p w14:paraId="476732C8" w14:textId="5B71F8A0" w:rsidR="00FA235C" w:rsidRPr="00201C0E" w:rsidRDefault="00FA235C" w:rsidP="00FA235C">
      <w:pPr>
        <w:jc w:val="center"/>
        <w:rPr>
          <w:b/>
        </w:rPr>
      </w:pPr>
      <w:r w:rsidRPr="00201C0E">
        <w:rPr>
          <w:b/>
        </w:rPr>
        <w:lastRenderedPageBreak/>
        <w:t>Attachment B</w:t>
      </w:r>
    </w:p>
    <w:p w14:paraId="6545A93A" w14:textId="77777777" w:rsidR="00FA235C" w:rsidRDefault="00FA235C" w:rsidP="00FA235C">
      <w:pPr>
        <w:jc w:val="center"/>
      </w:pPr>
    </w:p>
    <w:p w14:paraId="47CC5284" w14:textId="54B2BDE9" w:rsidR="00FA235C" w:rsidRDefault="00FA235C" w:rsidP="00FA235C">
      <w:pPr>
        <w:jc w:val="center"/>
      </w:pPr>
      <w:r>
        <w:t>Authorized and Remaining SGIP Incentive and Administrative Funds</w:t>
      </w:r>
    </w:p>
    <w:p w14:paraId="35C9D643" w14:textId="77777777" w:rsidR="00201C0E" w:rsidRDefault="00FA235C" w:rsidP="00D32CB0">
      <w:pPr>
        <w:jc w:val="center"/>
      </w:pPr>
      <w:r>
        <w:t xml:space="preserve">as of July 31, 2019. </w:t>
      </w:r>
    </w:p>
    <w:p w14:paraId="5A1362D8" w14:textId="0A28098B" w:rsidR="00FA235C" w:rsidRDefault="00FA235C" w:rsidP="00D32CB0">
      <w:pPr>
        <w:jc w:val="center"/>
      </w:pPr>
    </w:p>
    <w:p w14:paraId="11524622" w14:textId="2BF5F636" w:rsidR="00FA235C" w:rsidRDefault="00FA235C" w:rsidP="00201C0E">
      <w:pPr>
        <w:jc w:val="center"/>
      </w:pPr>
      <w:r>
        <w:t xml:space="preserve">Table 11: </w:t>
      </w:r>
      <w:r w:rsidRPr="00FA235C">
        <w:t xml:space="preserve">Authorized and Remaining </w:t>
      </w:r>
      <w:r>
        <w:t xml:space="preserve">SGIP </w:t>
      </w:r>
      <w:r w:rsidRPr="00FA235C">
        <w:t>Incentive Funds per PA</w:t>
      </w:r>
      <w:r w:rsidRPr="00FA235C">
        <w:rPr>
          <w:vertAlign w:val="superscript"/>
        </w:rPr>
        <w:footnoteReference w:id="122"/>
      </w:r>
    </w:p>
    <w:p w14:paraId="2F8F2C72" w14:textId="77777777" w:rsidR="00FA235C" w:rsidRPr="00FA235C" w:rsidRDefault="00FA235C" w:rsidP="00FA235C"/>
    <w:tbl>
      <w:tblPr>
        <w:tblW w:w="8230" w:type="dxa"/>
        <w:jc w:val="center"/>
        <w:tblLook w:val="04A0" w:firstRow="1" w:lastRow="0" w:firstColumn="1" w:lastColumn="0" w:noHBand="0" w:noVBand="1"/>
      </w:tblPr>
      <w:tblGrid>
        <w:gridCol w:w="3470"/>
        <w:gridCol w:w="2380"/>
        <w:gridCol w:w="2380"/>
      </w:tblGrid>
      <w:tr w:rsidR="00FA235C" w:rsidRPr="00FA235C" w14:paraId="10E3317B" w14:textId="77777777" w:rsidTr="00D32CB0">
        <w:trPr>
          <w:trHeight w:val="360"/>
          <w:jc w:val="center"/>
        </w:trPr>
        <w:tc>
          <w:tcPr>
            <w:tcW w:w="3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59533B" w14:textId="77777777" w:rsidR="00FA235C" w:rsidRPr="00FA235C" w:rsidRDefault="00FA235C" w:rsidP="00D32CB0">
            <w:pPr>
              <w:ind w:left="288"/>
              <w:contextualSpacing/>
              <w:rPr>
                <w:b/>
                <w:bCs/>
              </w:rPr>
            </w:pPr>
            <w:bookmarkStart w:id="105" w:name="RANGE!F5"/>
            <w:r w:rsidRPr="00FA235C">
              <w:rPr>
                <w:b/>
                <w:bCs/>
              </w:rPr>
              <w:t>Category</w:t>
            </w:r>
            <w:bookmarkEnd w:id="105"/>
          </w:p>
        </w:tc>
        <w:tc>
          <w:tcPr>
            <w:tcW w:w="2380" w:type="dxa"/>
            <w:tcBorders>
              <w:top w:val="single" w:sz="8" w:space="0" w:color="auto"/>
              <w:left w:val="nil"/>
              <w:bottom w:val="single" w:sz="8" w:space="0" w:color="auto"/>
              <w:right w:val="single" w:sz="8" w:space="0" w:color="auto"/>
            </w:tcBorders>
            <w:shd w:val="clear" w:color="auto" w:fill="auto"/>
            <w:vAlign w:val="center"/>
            <w:hideMark/>
          </w:tcPr>
          <w:p w14:paraId="29DABFD9" w14:textId="77777777" w:rsidR="00FA235C" w:rsidRPr="00FA235C" w:rsidRDefault="00FA235C" w:rsidP="00D32CB0">
            <w:pPr>
              <w:ind w:left="288"/>
              <w:contextualSpacing/>
              <w:rPr>
                <w:rFonts w:cs="Arial"/>
                <w:b/>
                <w:bCs/>
              </w:rPr>
            </w:pPr>
            <w:r w:rsidRPr="00FA235C">
              <w:rPr>
                <w:b/>
                <w:bCs/>
              </w:rPr>
              <w:t>Authorized</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14:paraId="47FEB143" w14:textId="77777777" w:rsidR="00FA235C" w:rsidRPr="00FA235C" w:rsidRDefault="00FA235C" w:rsidP="00D32CB0">
            <w:pPr>
              <w:ind w:left="288"/>
              <w:contextualSpacing/>
              <w:rPr>
                <w:rFonts w:cs="Arial"/>
                <w:b/>
                <w:bCs/>
              </w:rPr>
            </w:pPr>
            <w:r w:rsidRPr="00FA235C">
              <w:rPr>
                <w:b/>
                <w:bCs/>
              </w:rPr>
              <w:t>Remaining</w:t>
            </w:r>
          </w:p>
        </w:tc>
      </w:tr>
      <w:tr w:rsidR="00FA235C" w:rsidRPr="00FA235C" w14:paraId="79DF3499" w14:textId="77777777" w:rsidTr="00D32CB0">
        <w:trPr>
          <w:trHeight w:val="495"/>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76EE02DD" w14:textId="77777777" w:rsidR="00FA235C" w:rsidRPr="00FA235C" w:rsidRDefault="00FA235C" w:rsidP="00D32CB0">
            <w:pPr>
              <w:ind w:left="288"/>
              <w:contextualSpacing/>
              <w:rPr>
                <w:rFonts w:cs="Arial"/>
                <w:b/>
              </w:rPr>
            </w:pPr>
            <w:r w:rsidRPr="00FA235C">
              <w:t>Generation</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23F0C78E" w14:textId="77777777" w:rsidR="00FA235C" w:rsidRPr="00FA235C" w:rsidRDefault="00FA235C" w:rsidP="00D32CB0">
            <w:pPr>
              <w:ind w:left="288"/>
              <w:contextualSpacing/>
              <w:rPr>
                <w:rFonts w:cs="Arial"/>
                <w:b/>
              </w:rPr>
            </w:pPr>
            <w:r w:rsidRPr="00FA235C">
              <w:t xml:space="preserve">$124,323,340 </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67246262" w14:textId="77777777" w:rsidR="00FA235C" w:rsidRPr="00FA235C" w:rsidRDefault="00FA235C" w:rsidP="00D32CB0">
            <w:pPr>
              <w:ind w:left="288"/>
              <w:contextualSpacing/>
              <w:rPr>
                <w:rFonts w:cs="Arial"/>
                <w:b/>
              </w:rPr>
            </w:pPr>
            <w:r w:rsidRPr="00FA235C">
              <w:t xml:space="preserve">$106,760,302 </w:t>
            </w:r>
          </w:p>
        </w:tc>
      </w:tr>
      <w:tr w:rsidR="00FA235C" w:rsidRPr="00FA235C" w14:paraId="0189DD59"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02F1BA1C" w14:textId="77777777" w:rsidR="00FA235C" w:rsidRPr="00FA235C" w:rsidRDefault="00FA235C" w:rsidP="00D32CB0">
            <w:pPr>
              <w:ind w:left="288"/>
              <w:contextualSpacing/>
              <w:rPr>
                <w:rFonts w:cs="Arial"/>
                <w:b/>
              </w:rPr>
            </w:pPr>
            <w:bookmarkStart w:id="106" w:name="RANGE!F7"/>
            <w:bookmarkStart w:id="107" w:name="_Hlk15474434" w:colFirst="2" w:colLast="2"/>
            <w:r w:rsidRPr="00FA235C">
              <w:t>PG&amp;E</w:t>
            </w:r>
            <w:bookmarkEnd w:id="106"/>
          </w:p>
        </w:tc>
        <w:tc>
          <w:tcPr>
            <w:tcW w:w="2380" w:type="dxa"/>
            <w:tcBorders>
              <w:top w:val="nil"/>
              <w:left w:val="nil"/>
              <w:bottom w:val="single" w:sz="8" w:space="0" w:color="auto"/>
              <w:right w:val="single" w:sz="8" w:space="0" w:color="auto"/>
            </w:tcBorders>
            <w:shd w:val="clear" w:color="auto" w:fill="auto"/>
            <w:vAlign w:val="center"/>
            <w:hideMark/>
          </w:tcPr>
          <w:p w14:paraId="0E7D86A3" w14:textId="77777777" w:rsidR="00FA235C" w:rsidRPr="00FA235C" w:rsidRDefault="00FA235C" w:rsidP="00D32CB0">
            <w:pPr>
              <w:ind w:left="288"/>
              <w:contextualSpacing/>
              <w:rPr>
                <w:rFonts w:cs="Arial"/>
                <w:b/>
              </w:rPr>
            </w:pPr>
            <w:r w:rsidRPr="00FA235C">
              <w:t xml:space="preserve">$56,063,203 </w:t>
            </w:r>
          </w:p>
        </w:tc>
        <w:tc>
          <w:tcPr>
            <w:tcW w:w="2380" w:type="dxa"/>
            <w:tcBorders>
              <w:top w:val="nil"/>
              <w:left w:val="nil"/>
              <w:bottom w:val="single" w:sz="8" w:space="0" w:color="auto"/>
              <w:right w:val="single" w:sz="8" w:space="0" w:color="auto"/>
            </w:tcBorders>
            <w:shd w:val="clear" w:color="auto" w:fill="auto"/>
            <w:vAlign w:val="center"/>
            <w:hideMark/>
          </w:tcPr>
          <w:p w14:paraId="00A2D31E" w14:textId="77777777" w:rsidR="00FA235C" w:rsidRPr="00FA235C" w:rsidRDefault="00FA235C" w:rsidP="00D32CB0">
            <w:pPr>
              <w:ind w:left="288"/>
              <w:contextualSpacing/>
            </w:pPr>
            <w:r w:rsidRPr="00FA235C">
              <w:t xml:space="preserve">$49,206,277 </w:t>
            </w:r>
          </w:p>
        </w:tc>
      </w:tr>
      <w:tr w:rsidR="00FA235C" w:rsidRPr="00FA235C" w14:paraId="2F67028D"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20FD62B2" w14:textId="77777777" w:rsidR="00FA235C" w:rsidRPr="00FA235C" w:rsidRDefault="00FA235C" w:rsidP="00D32CB0">
            <w:pPr>
              <w:ind w:left="288"/>
              <w:contextualSpacing/>
              <w:rPr>
                <w:rFonts w:cs="Arial"/>
                <w:b/>
              </w:rPr>
            </w:pPr>
            <w:r w:rsidRPr="00FA235C">
              <w:t>SCE</w:t>
            </w:r>
          </w:p>
        </w:tc>
        <w:tc>
          <w:tcPr>
            <w:tcW w:w="2380" w:type="dxa"/>
            <w:tcBorders>
              <w:top w:val="nil"/>
              <w:left w:val="nil"/>
              <w:bottom w:val="single" w:sz="8" w:space="0" w:color="auto"/>
              <w:right w:val="single" w:sz="8" w:space="0" w:color="auto"/>
            </w:tcBorders>
            <w:shd w:val="clear" w:color="auto" w:fill="auto"/>
            <w:vAlign w:val="center"/>
            <w:hideMark/>
          </w:tcPr>
          <w:p w14:paraId="33C010F4" w14:textId="77777777" w:rsidR="00FA235C" w:rsidRPr="00FA235C" w:rsidRDefault="00FA235C" w:rsidP="00D32CB0">
            <w:pPr>
              <w:ind w:left="288"/>
              <w:contextualSpacing/>
              <w:rPr>
                <w:rFonts w:cs="Arial"/>
                <w:b/>
              </w:rPr>
            </w:pPr>
            <w:r w:rsidRPr="00FA235C">
              <w:t xml:space="preserve">$40,388,556 </w:t>
            </w:r>
          </w:p>
        </w:tc>
        <w:tc>
          <w:tcPr>
            <w:tcW w:w="2380" w:type="dxa"/>
            <w:tcBorders>
              <w:top w:val="nil"/>
              <w:left w:val="nil"/>
              <w:bottom w:val="single" w:sz="8" w:space="0" w:color="auto"/>
              <w:right w:val="single" w:sz="8" w:space="0" w:color="auto"/>
            </w:tcBorders>
            <w:shd w:val="clear" w:color="auto" w:fill="auto"/>
            <w:vAlign w:val="center"/>
            <w:hideMark/>
          </w:tcPr>
          <w:p w14:paraId="6A573A5D" w14:textId="77777777" w:rsidR="00FA235C" w:rsidRPr="00FA235C" w:rsidRDefault="00FA235C" w:rsidP="00D32CB0">
            <w:pPr>
              <w:ind w:left="288"/>
              <w:contextualSpacing/>
            </w:pPr>
            <w:r w:rsidRPr="00FA235C">
              <w:t xml:space="preserve">$33,163,644 </w:t>
            </w:r>
          </w:p>
        </w:tc>
      </w:tr>
      <w:tr w:rsidR="00FA235C" w:rsidRPr="00FA235C" w14:paraId="2EB6309E"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1DD9A7A7" w14:textId="77777777" w:rsidR="00FA235C" w:rsidRPr="00FA235C" w:rsidRDefault="00FA235C" w:rsidP="00D32CB0">
            <w:pPr>
              <w:ind w:left="288"/>
              <w:contextualSpacing/>
            </w:pPr>
            <w:r w:rsidRPr="00FA235C">
              <w:t>CSE</w:t>
            </w:r>
          </w:p>
        </w:tc>
        <w:tc>
          <w:tcPr>
            <w:tcW w:w="2380" w:type="dxa"/>
            <w:tcBorders>
              <w:top w:val="nil"/>
              <w:left w:val="nil"/>
              <w:bottom w:val="single" w:sz="8" w:space="0" w:color="auto"/>
              <w:right w:val="single" w:sz="8" w:space="0" w:color="auto"/>
            </w:tcBorders>
            <w:shd w:val="clear" w:color="auto" w:fill="auto"/>
            <w:vAlign w:val="center"/>
            <w:hideMark/>
          </w:tcPr>
          <w:p w14:paraId="42016FA2" w14:textId="77777777" w:rsidR="00FA235C" w:rsidRPr="00FA235C" w:rsidRDefault="00FA235C" w:rsidP="00D32CB0">
            <w:pPr>
              <w:ind w:left="288"/>
              <w:contextualSpacing/>
              <w:rPr>
                <w:rFonts w:cs="Arial"/>
                <w:b/>
              </w:rPr>
            </w:pPr>
            <w:r w:rsidRPr="00FA235C">
              <w:t xml:space="preserve">$17,287,342 </w:t>
            </w:r>
          </w:p>
        </w:tc>
        <w:tc>
          <w:tcPr>
            <w:tcW w:w="2380" w:type="dxa"/>
            <w:tcBorders>
              <w:top w:val="nil"/>
              <w:left w:val="nil"/>
              <w:bottom w:val="single" w:sz="8" w:space="0" w:color="auto"/>
              <w:right w:val="single" w:sz="8" w:space="0" w:color="auto"/>
            </w:tcBorders>
            <w:shd w:val="clear" w:color="auto" w:fill="auto"/>
            <w:vAlign w:val="center"/>
            <w:hideMark/>
          </w:tcPr>
          <w:p w14:paraId="4C247C02" w14:textId="77777777" w:rsidR="00FA235C" w:rsidRPr="00FA235C" w:rsidRDefault="00FA235C" w:rsidP="00D32CB0">
            <w:pPr>
              <w:ind w:left="288"/>
              <w:contextualSpacing/>
              <w:rPr>
                <w:rFonts w:cs="Arial"/>
                <w:b/>
              </w:rPr>
            </w:pPr>
            <w:r w:rsidRPr="00FA235C">
              <w:t xml:space="preserve">$15,970,942 </w:t>
            </w:r>
          </w:p>
        </w:tc>
      </w:tr>
      <w:tr w:rsidR="00FA235C" w:rsidRPr="00FA235C" w14:paraId="17B60E7C"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1E73F9B6" w14:textId="77777777" w:rsidR="00FA235C" w:rsidRPr="00FA235C" w:rsidRDefault="00FA235C" w:rsidP="00D32CB0">
            <w:pPr>
              <w:ind w:left="288"/>
              <w:contextualSpacing/>
              <w:rPr>
                <w:rFonts w:cs="Arial"/>
                <w:b/>
              </w:rPr>
            </w:pPr>
            <w:r w:rsidRPr="00FA235C">
              <w:t>SoCalGas</w:t>
            </w:r>
          </w:p>
        </w:tc>
        <w:tc>
          <w:tcPr>
            <w:tcW w:w="2380" w:type="dxa"/>
            <w:tcBorders>
              <w:top w:val="nil"/>
              <w:left w:val="nil"/>
              <w:bottom w:val="single" w:sz="8" w:space="0" w:color="auto"/>
              <w:right w:val="single" w:sz="8" w:space="0" w:color="auto"/>
            </w:tcBorders>
            <w:shd w:val="clear" w:color="auto" w:fill="auto"/>
            <w:vAlign w:val="center"/>
            <w:hideMark/>
          </w:tcPr>
          <w:p w14:paraId="623F8C90" w14:textId="77777777" w:rsidR="00FA235C" w:rsidRPr="00FA235C" w:rsidRDefault="00FA235C" w:rsidP="00D32CB0">
            <w:pPr>
              <w:ind w:left="288"/>
              <w:contextualSpacing/>
            </w:pPr>
            <w:r w:rsidRPr="00FA235C">
              <w:t xml:space="preserve">$10,584,239 </w:t>
            </w:r>
          </w:p>
        </w:tc>
        <w:tc>
          <w:tcPr>
            <w:tcW w:w="2380" w:type="dxa"/>
            <w:tcBorders>
              <w:top w:val="nil"/>
              <w:left w:val="nil"/>
              <w:bottom w:val="single" w:sz="8" w:space="0" w:color="auto"/>
              <w:right w:val="single" w:sz="8" w:space="0" w:color="auto"/>
            </w:tcBorders>
            <w:shd w:val="clear" w:color="auto" w:fill="auto"/>
            <w:vAlign w:val="center"/>
            <w:hideMark/>
          </w:tcPr>
          <w:p w14:paraId="3B005B29" w14:textId="77777777" w:rsidR="00FA235C" w:rsidRPr="00FA235C" w:rsidRDefault="00FA235C" w:rsidP="00D32CB0">
            <w:pPr>
              <w:ind w:left="288"/>
              <w:contextualSpacing/>
              <w:rPr>
                <w:rFonts w:cs="Arial"/>
                <w:b/>
              </w:rPr>
            </w:pPr>
            <w:r w:rsidRPr="00FA235C">
              <w:t xml:space="preserve">$8,419,439 </w:t>
            </w:r>
          </w:p>
        </w:tc>
      </w:tr>
      <w:tr w:rsidR="00FA235C" w:rsidRPr="00FA235C" w14:paraId="334492E0" w14:textId="77777777" w:rsidTr="00D32CB0">
        <w:trPr>
          <w:trHeight w:val="720"/>
          <w:jc w:val="center"/>
        </w:trPr>
        <w:tc>
          <w:tcPr>
            <w:tcW w:w="347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3E5675AD" w14:textId="6081135D" w:rsidR="00FA235C" w:rsidRPr="00FA235C" w:rsidRDefault="00FA235C" w:rsidP="00D32CB0">
            <w:pPr>
              <w:ind w:left="288"/>
              <w:contextualSpacing/>
              <w:rPr>
                <w:rFonts w:cs="Arial"/>
                <w:b/>
              </w:rPr>
            </w:pPr>
            <w:r w:rsidRPr="00FA235C">
              <w:t>Non</w:t>
            </w:r>
            <w:r w:rsidR="00757681">
              <w:noBreakHyphen/>
            </w:r>
            <w:r w:rsidRPr="00FA235C">
              <w:t>Residential Storage</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15ED4465" w14:textId="77777777" w:rsidR="00FA235C" w:rsidRPr="00FA235C" w:rsidRDefault="00FA235C" w:rsidP="00D32CB0">
            <w:pPr>
              <w:ind w:left="288"/>
              <w:contextualSpacing/>
              <w:rPr>
                <w:rFonts w:cs="Arial"/>
                <w:b/>
              </w:rPr>
            </w:pPr>
            <w:r w:rsidRPr="00FA235C">
              <w:t xml:space="preserve">$351,668,504 </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4A65824D" w14:textId="77777777" w:rsidR="00FA235C" w:rsidRPr="00FA235C" w:rsidRDefault="00FA235C" w:rsidP="00D32CB0">
            <w:pPr>
              <w:ind w:left="288"/>
              <w:contextualSpacing/>
              <w:rPr>
                <w:rFonts w:cs="Arial"/>
                <w:b/>
              </w:rPr>
            </w:pPr>
            <w:r w:rsidRPr="00FA235C">
              <w:t xml:space="preserve">$220,690,464 </w:t>
            </w:r>
          </w:p>
        </w:tc>
      </w:tr>
      <w:tr w:rsidR="00FA235C" w:rsidRPr="00FA235C" w14:paraId="711D01A2"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68C3591D" w14:textId="77777777" w:rsidR="00FA235C" w:rsidRPr="00FA235C" w:rsidRDefault="00FA235C" w:rsidP="00D32CB0">
            <w:pPr>
              <w:ind w:left="288"/>
              <w:contextualSpacing/>
              <w:rPr>
                <w:rFonts w:cs="Arial"/>
                <w:b/>
              </w:rPr>
            </w:pPr>
            <w:r w:rsidRPr="00FA235C">
              <w:t>PG&amp;E</w:t>
            </w:r>
          </w:p>
        </w:tc>
        <w:tc>
          <w:tcPr>
            <w:tcW w:w="2380" w:type="dxa"/>
            <w:tcBorders>
              <w:top w:val="nil"/>
              <w:left w:val="nil"/>
              <w:bottom w:val="single" w:sz="8" w:space="0" w:color="auto"/>
              <w:right w:val="single" w:sz="8" w:space="0" w:color="auto"/>
            </w:tcBorders>
            <w:shd w:val="clear" w:color="auto" w:fill="auto"/>
            <w:vAlign w:val="center"/>
            <w:hideMark/>
          </w:tcPr>
          <w:p w14:paraId="293EA127" w14:textId="77777777" w:rsidR="00FA235C" w:rsidRPr="00FA235C" w:rsidRDefault="00FA235C" w:rsidP="00D32CB0">
            <w:pPr>
              <w:ind w:left="288"/>
              <w:contextualSpacing/>
              <w:rPr>
                <w:rFonts w:cs="Arial"/>
                <w:b/>
              </w:rPr>
            </w:pPr>
            <w:r w:rsidRPr="00FA235C">
              <w:t xml:space="preserve">$145,467,010 </w:t>
            </w:r>
          </w:p>
        </w:tc>
        <w:tc>
          <w:tcPr>
            <w:tcW w:w="2380" w:type="dxa"/>
            <w:tcBorders>
              <w:top w:val="nil"/>
              <w:left w:val="nil"/>
              <w:bottom w:val="single" w:sz="8" w:space="0" w:color="auto"/>
              <w:right w:val="single" w:sz="8" w:space="0" w:color="auto"/>
            </w:tcBorders>
            <w:shd w:val="clear" w:color="auto" w:fill="auto"/>
            <w:vAlign w:val="center"/>
            <w:hideMark/>
          </w:tcPr>
          <w:p w14:paraId="62B9130F" w14:textId="77777777" w:rsidR="00FA235C" w:rsidRPr="00FA235C" w:rsidRDefault="00FA235C" w:rsidP="00D32CB0">
            <w:pPr>
              <w:ind w:left="288"/>
              <w:contextualSpacing/>
              <w:rPr>
                <w:rFonts w:cs="Arial"/>
                <w:b/>
              </w:rPr>
            </w:pPr>
            <w:r w:rsidRPr="00FA235C">
              <w:t xml:space="preserve">$101,891,801 </w:t>
            </w:r>
          </w:p>
        </w:tc>
      </w:tr>
      <w:tr w:rsidR="00FA235C" w:rsidRPr="00FA235C" w14:paraId="39AE814B"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00D4A63B" w14:textId="77777777" w:rsidR="00FA235C" w:rsidRPr="00FA235C" w:rsidRDefault="00FA235C" w:rsidP="00D32CB0">
            <w:pPr>
              <w:ind w:left="288"/>
              <w:contextualSpacing/>
            </w:pPr>
            <w:r w:rsidRPr="00FA235C">
              <w:t>SCE</w:t>
            </w:r>
          </w:p>
        </w:tc>
        <w:tc>
          <w:tcPr>
            <w:tcW w:w="2380" w:type="dxa"/>
            <w:tcBorders>
              <w:top w:val="nil"/>
              <w:left w:val="nil"/>
              <w:bottom w:val="single" w:sz="8" w:space="0" w:color="auto"/>
              <w:right w:val="single" w:sz="8" w:space="0" w:color="auto"/>
            </w:tcBorders>
            <w:shd w:val="clear" w:color="auto" w:fill="auto"/>
            <w:vAlign w:val="center"/>
            <w:hideMark/>
          </w:tcPr>
          <w:p w14:paraId="78F9DB01" w14:textId="77777777" w:rsidR="00FA235C" w:rsidRPr="00FA235C" w:rsidRDefault="00FA235C" w:rsidP="00D32CB0">
            <w:pPr>
              <w:ind w:left="288"/>
              <w:contextualSpacing/>
              <w:rPr>
                <w:rFonts w:cs="Arial"/>
                <w:b/>
              </w:rPr>
            </w:pPr>
            <w:r w:rsidRPr="00FA235C">
              <w:t xml:space="preserve">$125,080,309 </w:t>
            </w:r>
          </w:p>
        </w:tc>
        <w:tc>
          <w:tcPr>
            <w:tcW w:w="2380" w:type="dxa"/>
            <w:tcBorders>
              <w:top w:val="nil"/>
              <w:left w:val="nil"/>
              <w:bottom w:val="single" w:sz="8" w:space="0" w:color="auto"/>
              <w:right w:val="single" w:sz="8" w:space="0" w:color="auto"/>
            </w:tcBorders>
            <w:shd w:val="clear" w:color="auto" w:fill="auto"/>
            <w:vAlign w:val="center"/>
            <w:hideMark/>
          </w:tcPr>
          <w:p w14:paraId="2453B0B3" w14:textId="77777777" w:rsidR="00FA235C" w:rsidRPr="00FA235C" w:rsidRDefault="00FA235C" w:rsidP="00D32CB0">
            <w:pPr>
              <w:ind w:left="288"/>
              <w:contextualSpacing/>
              <w:rPr>
                <w:rFonts w:cs="Arial"/>
                <w:b/>
              </w:rPr>
            </w:pPr>
            <w:r w:rsidRPr="00FA235C">
              <w:t xml:space="preserve">$72,586,647 </w:t>
            </w:r>
          </w:p>
        </w:tc>
      </w:tr>
      <w:tr w:rsidR="00FA235C" w:rsidRPr="00FA235C" w14:paraId="4C8CFA05"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76A2F1E9" w14:textId="77777777" w:rsidR="00FA235C" w:rsidRPr="00FA235C" w:rsidRDefault="00FA235C" w:rsidP="00D32CB0">
            <w:pPr>
              <w:ind w:left="288"/>
              <w:contextualSpacing/>
              <w:rPr>
                <w:rFonts w:cs="Arial"/>
                <w:b/>
              </w:rPr>
            </w:pPr>
            <w:r w:rsidRPr="00FA235C">
              <w:t>CSE</w:t>
            </w:r>
          </w:p>
        </w:tc>
        <w:tc>
          <w:tcPr>
            <w:tcW w:w="2380" w:type="dxa"/>
            <w:tcBorders>
              <w:top w:val="nil"/>
              <w:left w:val="nil"/>
              <w:bottom w:val="single" w:sz="8" w:space="0" w:color="auto"/>
              <w:right w:val="single" w:sz="8" w:space="0" w:color="auto"/>
            </w:tcBorders>
            <w:shd w:val="clear" w:color="auto" w:fill="auto"/>
            <w:vAlign w:val="center"/>
            <w:hideMark/>
          </w:tcPr>
          <w:p w14:paraId="6427656A" w14:textId="77777777" w:rsidR="00FA235C" w:rsidRPr="00FA235C" w:rsidRDefault="00FA235C" w:rsidP="00D32CB0">
            <w:pPr>
              <w:ind w:left="288"/>
              <w:contextualSpacing/>
              <w:rPr>
                <w:rFonts w:cs="Arial"/>
                <w:b/>
              </w:rPr>
            </w:pPr>
            <w:r w:rsidRPr="00FA235C">
              <w:t xml:space="preserve">$49,485,218 </w:t>
            </w:r>
          </w:p>
        </w:tc>
        <w:tc>
          <w:tcPr>
            <w:tcW w:w="2380" w:type="dxa"/>
            <w:tcBorders>
              <w:top w:val="nil"/>
              <w:left w:val="nil"/>
              <w:bottom w:val="single" w:sz="8" w:space="0" w:color="auto"/>
              <w:right w:val="single" w:sz="8" w:space="0" w:color="auto"/>
            </w:tcBorders>
            <w:shd w:val="clear" w:color="auto" w:fill="auto"/>
            <w:vAlign w:val="center"/>
            <w:hideMark/>
          </w:tcPr>
          <w:p w14:paraId="566A7164" w14:textId="77777777" w:rsidR="00FA235C" w:rsidRPr="00FA235C" w:rsidRDefault="00FA235C" w:rsidP="00D32CB0">
            <w:pPr>
              <w:ind w:left="288"/>
              <w:contextualSpacing/>
              <w:rPr>
                <w:rFonts w:cs="Arial"/>
                <w:b/>
              </w:rPr>
            </w:pPr>
            <w:r w:rsidRPr="00FA235C">
              <w:t xml:space="preserve">$29,722,308 </w:t>
            </w:r>
          </w:p>
        </w:tc>
      </w:tr>
      <w:tr w:rsidR="00FA235C" w:rsidRPr="00FA235C" w14:paraId="3740A959"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576072D9" w14:textId="77777777" w:rsidR="00FA235C" w:rsidRPr="00FA235C" w:rsidRDefault="00FA235C" w:rsidP="00D32CB0">
            <w:pPr>
              <w:ind w:left="288"/>
              <w:contextualSpacing/>
              <w:rPr>
                <w:rFonts w:cs="Arial"/>
                <w:b/>
              </w:rPr>
            </w:pPr>
            <w:r w:rsidRPr="00FA235C">
              <w:t>SoCalGas</w:t>
            </w:r>
          </w:p>
        </w:tc>
        <w:tc>
          <w:tcPr>
            <w:tcW w:w="2380" w:type="dxa"/>
            <w:tcBorders>
              <w:top w:val="nil"/>
              <w:left w:val="nil"/>
              <w:bottom w:val="single" w:sz="8" w:space="0" w:color="auto"/>
              <w:right w:val="single" w:sz="8" w:space="0" w:color="auto"/>
            </w:tcBorders>
            <w:shd w:val="clear" w:color="auto" w:fill="auto"/>
            <w:vAlign w:val="center"/>
            <w:hideMark/>
          </w:tcPr>
          <w:p w14:paraId="2A22D14A" w14:textId="77777777" w:rsidR="00FA235C" w:rsidRPr="00FA235C" w:rsidRDefault="00FA235C" w:rsidP="00D32CB0">
            <w:pPr>
              <w:ind w:left="288"/>
              <w:contextualSpacing/>
              <w:rPr>
                <w:rFonts w:cs="Arial"/>
                <w:b/>
              </w:rPr>
            </w:pPr>
            <w:r w:rsidRPr="00FA235C">
              <w:t xml:space="preserve">$31,635,968 </w:t>
            </w:r>
          </w:p>
        </w:tc>
        <w:tc>
          <w:tcPr>
            <w:tcW w:w="2380" w:type="dxa"/>
            <w:tcBorders>
              <w:top w:val="nil"/>
              <w:left w:val="nil"/>
              <w:bottom w:val="single" w:sz="8" w:space="0" w:color="auto"/>
              <w:right w:val="single" w:sz="8" w:space="0" w:color="auto"/>
            </w:tcBorders>
            <w:shd w:val="clear" w:color="auto" w:fill="auto"/>
            <w:vAlign w:val="center"/>
            <w:hideMark/>
          </w:tcPr>
          <w:p w14:paraId="14C3D149" w14:textId="77777777" w:rsidR="00FA235C" w:rsidRPr="00FA235C" w:rsidRDefault="00FA235C" w:rsidP="00D32CB0">
            <w:pPr>
              <w:ind w:left="288"/>
              <w:contextualSpacing/>
              <w:rPr>
                <w:rFonts w:cs="Arial"/>
                <w:b/>
              </w:rPr>
            </w:pPr>
            <w:r w:rsidRPr="00FA235C">
              <w:t xml:space="preserve">$16,489,708 </w:t>
            </w:r>
          </w:p>
        </w:tc>
      </w:tr>
      <w:tr w:rsidR="00FA235C" w:rsidRPr="00FA235C" w14:paraId="27F2B2CF" w14:textId="77777777" w:rsidTr="00D32CB0">
        <w:trPr>
          <w:trHeight w:val="570"/>
          <w:jc w:val="center"/>
        </w:trPr>
        <w:tc>
          <w:tcPr>
            <w:tcW w:w="347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46AD8E47" w14:textId="77777777" w:rsidR="00FA235C" w:rsidRPr="00FA235C" w:rsidRDefault="00FA235C" w:rsidP="00D32CB0">
            <w:pPr>
              <w:ind w:left="288"/>
              <w:contextualSpacing/>
              <w:rPr>
                <w:rFonts w:cs="Arial"/>
                <w:b/>
              </w:rPr>
            </w:pPr>
            <w:r w:rsidRPr="00FA235C">
              <w:t>Residential Storage</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0B38168F" w14:textId="77777777" w:rsidR="00FA235C" w:rsidRPr="00FA235C" w:rsidRDefault="00FA235C" w:rsidP="00D32CB0">
            <w:pPr>
              <w:ind w:left="288"/>
              <w:contextualSpacing/>
              <w:rPr>
                <w:rFonts w:cs="Arial"/>
                <w:b/>
              </w:rPr>
            </w:pPr>
            <w:r w:rsidRPr="00FA235C">
              <w:t xml:space="preserve">$48,874,357 </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01C61A7C" w14:textId="77777777" w:rsidR="00FA235C" w:rsidRPr="00FA235C" w:rsidRDefault="00FA235C" w:rsidP="00D32CB0">
            <w:pPr>
              <w:ind w:left="288"/>
              <w:contextualSpacing/>
            </w:pPr>
            <w:r w:rsidRPr="00FA235C">
              <w:t xml:space="preserve">$2,880,459 </w:t>
            </w:r>
          </w:p>
        </w:tc>
      </w:tr>
      <w:tr w:rsidR="00FA235C" w:rsidRPr="00FA235C" w14:paraId="1E04D587"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24C265AD" w14:textId="77777777" w:rsidR="00FA235C" w:rsidRPr="00FA235C" w:rsidRDefault="00FA235C" w:rsidP="00D32CB0">
            <w:pPr>
              <w:ind w:left="288"/>
              <w:contextualSpacing/>
              <w:rPr>
                <w:rFonts w:cs="Arial"/>
                <w:b/>
              </w:rPr>
            </w:pPr>
            <w:r w:rsidRPr="00FA235C">
              <w:t>PG&amp;E</w:t>
            </w:r>
          </w:p>
        </w:tc>
        <w:tc>
          <w:tcPr>
            <w:tcW w:w="2380" w:type="dxa"/>
            <w:tcBorders>
              <w:top w:val="nil"/>
              <w:left w:val="nil"/>
              <w:bottom w:val="single" w:sz="8" w:space="0" w:color="auto"/>
              <w:right w:val="single" w:sz="8" w:space="0" w:color="auto"/>
            </w:tcBorders>
            <w:shd w:val="clear" w:color="auto" w:fill="auto"/>
            <w:vAlign w:val="center"/>
            <w:hideMark/>
          </w:tcPr>
          <w:p w14:paraId="50C36A59" w14:textId="77777777" w:rsidR="00FA235C" w:rsidRPr="00FA235C" w:rsidRDefault="00FA235C" w:rsidP="00D32CB0">
            <w:pPr>
              <w:ind w:left="288"/>
              <w:contextualSpacing/>
              <w:rPr>
                <w:rFonts w:cs="Arial"/>
                <w:b/>
              </w:rPr>
            </w:pPr>
            <w:r w:rsidRPr="00FA235C">
              <w:t xml:space="preserve">$20,811,097 </w:t>
            </w:r>
          </w:p>
        </w:tc>
        <w:tc>
          <w:tcPr>
            <w:tcW w:w="2380" w:type="dxa"/>
            <w:tcBorders>
              <w:top w:val="nil"/>
              <w:left w:val="nil"/>
              <w:bottom w:val="single" w:sz="8" w:space="0" w:color="auto"/>
              <w:right w:val="single" w:sz="8" w:space="0" w:color="auto"/>
            </w:tcBorders>
            <w:shd w:val="clear" w:color="auto" w:fill="auto"/>
            <w:vAlign w:val="center"/>
            <w:hideMark/>
          </w:tcPr>
          <w:p w14:paraId="73D3C3A0" w14:textId="77777777" w:rsidR="00FA235C" w:rsidRPr="00FA235C" w:rsidRDefault="00FA235C" w:rsidP="00D32CB0">
            <w:pPr>
              <w:ind w:left="288"/>
              <w:contextualSpacing/>
              <w:rPr>
                <w:rFonts w:cs="Arial"/>
                <w:b/>
              </w:rPr>
            </w:pPr>
            <w:r w:rsidRPr="00FA235C">
              <w:t xml:space="preserve">$14,752 </w:t>
            </w:r>
          </w:p>
        </w:tc>
      </w:tr>
      <w:tr w:rsidR="00FA235C" w:rsidRPr="00FA235C" w14:paraId="3D776D25"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3A804E05" w14:textId="77777777" w:rsidR="00FA235C" w:rsidRPr="00FA235C" w:rsidRDefault="00FA235C" w:rsidP="00D32CB0">
            <w:pPr>
              <w:ind w:left="288"/>
              <w:contextualSpacing/>
              <w:rPr>
                <w:rFonts w:cs="Arial"/>
                <w:b/>
              </w:rPr>
            </w:pPr>
            <w:r w:rsidRPr="00FA235C">
              <w:t>SCE</w:t>
            </w:r>
          </w:p>
        </w:tc>
        <w:tc>
          <w:tcPr>
            <w:tcW w:w="2380" w:type="dxa"/>
            <w:tcBorders>
              <w:top w:val="nil"/>
              <w:left w:val="nil"/>
              <w:bottom w:val="single" w:sz="8" w:space="0" w:color="auto"/>
              <w:right w:val="single" w:sz="8" w:space="0" w:color="auto"/>
            </w:tcBorders>
            <w:shd w:val="clear" w:color="auto" w:fill="auto"/>
            <w:vAlign w:val="center"/>
            <w:hideMark/>
          </w:tcPr>
          <w:p w14:paraId="673DF593" w14:textId="77777777" w:rsidR="00FA235C" w:rsidRPr="00FA235C" w:rsidRDefault="00FA235C" w:rsidP="00D32CB0">
            <w:pPr>
              <w:ind w:left="288"/>
              <w:contextualSpacing/>
              <w:rPr>
                <w:rFonts w:cs="Arial"/>
                <w:b/>
              </w:rPr>
            </w:pPr>
            <w:r w:rsidRPr="00FA235C">
              <w:t xml:space="preserve">$16,475,997 </w:t>
            </w:r>
          </w:p>
        </w:tc>
        <w:tc>
          <w:tcPr>
            <w:tcW w:w="2380" w:type="dxa"/>
            <w:tcBorders>
              <w:top w:val="nil"/>
              <w:left w:val="nil"/>
              <w:bottom w:val="single" w:sz="8" w:space="0" w:color="auto"/>
              <w:right w:val="single" w:sz="8" w:space="0" w:color="auto"/>
            </w:tcBorders>
            <w:shd w:val="clear" w:color="auto" w:fill="auto"/>
            <w:vAlign w:val="center"/>
            <w:hideMark/>
          </w:tcPr>
          <w:p w14:paraId="4F02E77C" w14:textId="77777777" w:rsidR="00FA235C" w:rsidRPr="00FA235C" w:rsidRDefault="00FA235C" w:rsidP="00D32CB0">
            <w:pPr>
              <w:ind w:left="288"/>
              <w:contextualSpacing/>
              <w:rPr>
                <w:rFonts w:cs="Arial"/>
                <w:b/>
              </w:rPr>
            </w:pPr>
            <w:r w:rsidRPr="00FA235C">
              <w:t xml:space="preserve">$2,004,979 </w:t>
            </w:r>
          </w:p>
        </w:tc>
      </w:tr>
      <w:tr w:rsidR="00FA235C" w:rsidRPr="00FA235C" w14:paraId="71473BDA"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29A2E9E7" w14:textId="77777777" w:rsidR="00FA235C" w:rsidRPr="00FA235C" w:rsidRDefault="00FA235C" w:rsidP="00D32CB0">
            <w:pPr>
              <w:ind w:left="288"/>
              <w:contextualSpacing/>
              <w:rPr>
                <w:rFonts w:cs="Arial"/>
                <w:b/>
              </w:rPr>
            </w:pPr>
            <w:r w:rsidRPr="00FA235C">
              <w:t>CSE</w:t>
            </w:r>
          </w:p>
        </w:tc>
        <w:tc>
          <w:tcPr>
            <w:tcW w:w="2380" w:type="dxa"/>
            <w:tcBorders>
              <w:top w:val="nil"/>
              <w:left w:val="nil"/>
              <w:bottom w:val="single" w:sz="8" w:space="0" w:color="auto"/>
              <w:right w:val="single" w:sz="8" w:space="0" w:color="auto"/>
            </w:tcBorders>
            <w:shd w:val="clear" w:color="auto" w:fill="auto"/>
            <w:vAlign w:val="center"/>
            <w:hideMark/>
          </w:tcPr>
          <w:p w14:paraId="69F40501" w14:textId="77777777" w:rsidR="00FA235C" w:rsidRPr="00FA235C" w:rsidRDefault="00FA235C" w:rsidP="00D32CB0">
            <w:pPr>
              <w:ind w:left="288"/>
              <w:contextualSpacing/>
            </w:pPr>
            <w:r w:rsidRPr="00FA235C">
              <w:t xml:space="preserve">$6,921,361 </w:t>
            </w:r>
          </w:p>
        </w:tc>
        <w:tc>
          <w:tcPr>
            <w:tcW w:w="2380" w:type="dxa"/>
            <w:tcBorders>
              <w:top w:val="nil"/>
              <w:left w:val="nil"/>
              <w:bottom w:val="single" w:sz="8" w:space="0" w:color="auto"/>
              <w:right w:val="single" w:sz="8" w:space="0" w:color="auto"/>
            </w:tcBorders>
            <w:shd w:val="clear" w:color="auto" w:fill="auto"/>
            <w:vAlign w:val="center"/>
            <w:hideMark/>
          </w:tcPr>
          <w:p w14:paraId="5170D925" w14:textId="77777777" w:rsidR="00FA235C" w:rsidRPr="00FA235C" w:rsidRDefault="00FA235C" w:rsidP="00D32CB0">
            <w:pPr>
              <w:ind w:left="288"/>
              <w:contextualSpacing/>
              <w:rPr>
                <w:rFonts w:cs="Arial"/>
                <w:b/>
              </w:rPr>
            </w:pPr>
            <w:r w:rsidRPr="00FA235C">
              <w:t xml:space="preserve">$1,427 </w:t>
            </w:r>
          </w:p>
        </w:tc>
      </w:tr>
      <w:tr w:rsidR="00FA235C" w:rsidRPr="00FA235C" w14:paraId="6A65F01E"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54D00B1C" w14:textId="77777777" w:rsidR="00FA235C" w:rsidRPr="00FA235C" w:rsidRDefault="00FA235C" w:rsidP="00D32CB0">
            <w:pPr>
              <w:ind w:left="288"/>
              <w:contextualSpacing/>
              <w:rPr>
                <w:rFonts w:cs="Arial"/>
                <w:b/>
              </w:rPr>
            </w:pPr>
            <w:r w:rsidRPr="00FA235C">
              <w:t>SoCalGas</w:t>
            </w:r>
          </w:p>
        </w:tc>
        <w:tc>
          <w:tcPr>
            <w:tcW w:w="2380" w:type="dxa"/>
            <w:tcBorders>
              <w:top w:val="nil"/>
              <w:left w:val="nil"/>
              <w:bottom w:val="single" w:sz="8" w:space="0" w:color="auto"/>
              <w:right w:val="single" w:sz="8" w:space="0" w:color="auto"/>
            </w:tcBorders>
            <w:shd w:val="clear" w:color="auto" w:fill="auto"/>
            <w:vAlign w:val="center"/>
            <w:hideMark/>
          </w:tcPr>
          <w:p w14:paraId="4C47272F" w14:textId="77777777" w:rsidR="00FA235C" w:rsidRPr="00FA235C" w:rsidRDefault="00FA235C" w:rsidP="00D32CB0">
            <w:pPr>
              <w:ind w:left="288"/>
              <w:contextualSpacing/>
              <w:rPr>
                <w:rFonts w:cs="Arial"/>
                <w:b/>
              </w:rPr>
            </w:pPr>
            <w:r w:rsidRPr="00FA235C">
              <w:t xml:space="preserve">$4,665,901 </w:t>
            </w:r>
          </w:p>
        </w:tc>
        <w:tc>
          <w:tcPr>
            <w:tcW w:w="2380" w:type="dxa"/>
            <w:tcBorders>
              <w:top w:val="nil"/>
              <w:left w:val="nil"/>
              <w:bottom w:val="single" w:sz="8" w:space="0" w:color="auto"/>
              <w:right w:val="single" w:sz="8" w:space="0" w:color="auto"/>
            </w:tcBorders>
            <w:shd w:val="clear" w:color="auto" w:fill="auto"/>
            <w:vAlign w:val="center"/>
            <w:hideMark/>
          </w:tcPr>
          <w:p w14:paraId="60B71322" w14:textId="77777777" w:rsidR="00FA235C" w:rsidRPr="00FA235C" w:rsidRDefault="00FA235C" w:rsidP="00D32CB0">
            <w:pPr>
              <w:ind w:left="288"/>
              <w:contextualSpacing/>
              <w:rPr>
                <w:rFonts w:cs="Arial"/>
                <w:b/>
              </w:rPr>
            </w:pPr>
            <w:r w:rsidRPr="00FA235C">
              <w:t xml:space="preserve">$859,302 </w:t>
            </w:r>
          </w:p>
        </w:tc>
      </w:tr>
      <w:tr w:rsidR="00FA235C" w:rsidRPr="00FA235C" w14:paraId="3ABEC59D" w14:textId="77777777" w:rsidTr="00D32CB0">
        <w:trPr>
          <w:trHeight w:val="720"/>
          <w:jc w:val="center"/>
        </w:trPr>
        <w:tc>
          <w:tcPr>
            <w:tcW w:w="347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63B996E6" w14:textId="2C9E8A15" w:rsidR="00FA235C" w:rsidRPr="00FA235C" w:rsidRDefault="00FA235C" w:rsidP="00201C0E">
            <w:pPr>
              <w:keepNext/>
              <w:keepLines/>
              <w:ind w:left="288"/>
              <w:contextualSpacing/>
              <w:rPr>
                <w:rFonts w:cs="Arial"/>
                <w:b/>
              </w:rPr>
            </w:pPr>
            <w:r w:rsidRPr="00FA235C">
              <w:t>Non</w:t>
            </w:r>
            <w:r w:rsidR="00757681">
              <w:noBreakHyphen/>
            </w:r>
            <w:r w:rsidRPr="00FA235C">
              <w:t>Res Storage Equity</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61DED3E3" w14:textId="77777777" w:rsidR="00FA235C" w:rsidRPr="00FA235C" w:rsidRDefault="00FA235C" w:rsidP="00201C0E">
            <w:pPr>
              <w:keepNext/>
              <w:keepLines/>
              <w:ind w:left="288"/>
              <w:contextualSpacing/>
              <w:rPr>
                <w:rFonts w:cs="Arial"/>
                <w:b/>
              </w:rPr>
            </w:pPr>
            <w:r w:rsidRPr="00FA235C">
              <w:t xml:space="preserve">$65,373,787 </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3C739F9B" w14:textId="77777777" w:rsidR="00FA235C" w:rsidRPr="00FA235C" w:rsidRDefault="00FA235C" w:rsidP="00201C0E">
            <w:pPr>
              <w:keepNext/>
              <w:keepLines/>
              <w:ind w:left="288"/>
              <w:contextualSpacing/>
              <w:rPr>
                <w:rFonts w:cs="Arial"/>
                <w:b/>
              </w:rPr>
            </w:pPr>
            <w:r w:rsidRPr="00FA235C">
              <w:t xml:space="preserve">$62,852,387 </w:t>
            </w:r>
          </w:p>
        </w:tc>
      </w:tr>
      <w:tr w:rsidR="00FA235C" w:rsidRPr="00FA235C" w14:paraId="576D6260"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43AFFCBD" w14:textId="77777777" w:rsidR="00FA235C" w:rsidRPr="00FA235C" w:rsidRDefault="00FA235C" w:rsidP="00201C0E">
            <w:pPr>
              <w:keepNext/>
              <w:keepLines/>
              <w:ind w:left="288"/>
              <w:contextualSpacing/>
            </w:pPr>
            <w:r w:rsidRPr="00FA235C">
              <w:t>PG&amp;E</w:t>
            </w:r>
          </w:p>
        </w:tc>
        <w:tc>
          <w:tcPr>
            <w:tcW w:w="2380" w:type="dxa"/>
            <w:tcBorders>
              <w:top w:val="nil"/>
              <w:left w:val="nil"/>
              <w:bottom w:val="single" w:sz="8" w:space="0" w:color="auto"/>
              <w:right w:val="single" w:sz="8" w:space="0" w:color="auto"/>
            </w:tcBorders>
            <w:shd w:val="clear" w:color="auto" w:fill="auto"/>
            <w:vAlign w:val="center"/>
            <w:hideMark/>
          </w:tcPr>
          <w:p w14:paraId="517FBD4B" w14:textId="77777777" w:rsidR="00FA235C" w:rsidRPr="00FA235C" w:rsidRDefault="00FA235C" w:rsidP="00201C0E">
            <w:pPr>
              <w:keepNext/>
              <w:keepLines/>
              <w:ind w:left="288"/>
              <w:contextualSpacing/>
              <w:rPr>
                <w:rFonts w:cs="Arial"/>
                <w:b/>
              </w:rPr>
            </w:pPr>
            <w:r w:rsidRPr="00FA235C">
              <w:t xml:space="preserve">$26,814,534 </w:t>
            </w:r>
          </w:p>
        </w:tc>
        <w:tc>
          <w:tcPr>
            <w:tcW w:w="2380" w:type="dxa"/>
            <w:tcBorders>
              <w:top w:val="nil"/>
              <w:left w:val="nil"/>
              <w:bottom w:val="single" w:sz="8" w:space="0" w:color="auto"/>
              <w:right w:val="single" w:sz="8" w:space="0" w:color="auto"/>
            </w:tcBorders>
            <w:shd w:val="clear" w:color="auto" w:fill="auto"/>
            <w:vAlign w:val="center"/>
            <w:hideMark/>
          </w:tcPr>
          <w:p w14:paraId="2C8DCFE6" w14:textId="77777777" w:rsidR="00FA235C" w:rsidRPr="00FA235C" w:rsidRDefault="00FA235C" w:rsidP="00201C0E">
            <w:pPr>
              <w:keepNext/>
              <w:keepLines/>
              <w:ind w:left="288"/>
              <w:contextualSpacing/>
              <w:rPr>
                <w:rFonts w:cs="Arial"/>
                <w:b/>
              </w:rPr>
            </w:pPr>
            <w:r w:rsidRPr="00FA235C">
              <w:t xml:space="preserve">$26,814,534 </w:t>
            </w:r>
          </w:p>
        </w:tc>
      </w:tr>
      <w:tr w:rsidR="00FA235C" w:rsidRPr="00FA235C" w14:paraId="06E416A2"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1A63E314" w14:textId="77777777" w:rsidR="00FA235C" w:rsidRPr="00FA235C" w:rsidRDefault="00FA235C" w:rsidP="00201C0E">
            <w:pPr>
              <w:keepNext/>
              <w:keepLines/>
              <w:ind w:left="288"/>
              <w:contextualSpacing/>
              <w:rPr>
                <w:rFonts w:cs="Arial"/>
                <w:b/>
              </w:rPr>
            </w:pPr>
            <w:r w:rsidRPr="00FA235C">
              <w:t>SCE</w:t>
            </w:r>
          </w:p>
        </w:tc>
        <w:tc>
          <w:tcPr>
            <w:tcW w:w="2380" w:type="dxa"/>
            <w:tcBorders>
              <w:top w:val="nil"/>
              <w:left w:val="nil"/>
              <w:bottom w:val="single" w:sz="8" w:space="0" w:color="auto"/>
              <w:right w:val="single" w:sz="8" w:space="0" w:color="auto"/>
            </w:tcBorders>
            <w:shd w:val="clear" w:color="auto" w:fill="auto"/>
            <w:vAlign w:val="center"/>
            <w:hideMark/>
          </w:tcPr>
          <w:p w14:paraId="050B46D1" w14:textId="77777777" w:rsidR="00FA235C" w:rsidRPr="00FA235C" w:rsidRDefault="00FA235C" w:rsidP="00201C0E">
            <w:pPr>
              <w:keepNext/>
              <w:keepLines/>
              <w:ind w:left="288"/>
              <w:contextualSpacing/>
              <w:rPr>
                <w:rFonts w:cs="Arial"/>
                <w:b/>
              </w:rPr>
            </w:pPr>
            <w:r w:rsidRPr="00FA235C">
              <w:t xml:space="preserve">$23,557,776 </w:t>
            </w:r>
          </w:p>
        </w:tc>
        <w:tc>
          <w:tcPr>
            <w:tcW w:w="2380" w:type="dxa"/>
            <w:tcBorders>
              <w:top w:val="nil"/>
              <w:left w:val="nil"/>
              <w:bottom w:val="single" w:sz="8" w:space="0" w:color="auto"/>
              <w:right w:val="single" w:sz="8" w:space="0" w:color="auto"/>
            </w:tcBorders>
            <w:shd w:val="clear" w:color="auto" w:fill="auto"/>
            <w:vAlign w:val="center"/>
            <w:hideMark/>
          </w:tcPr>
          <w:p w14:paraId="1CA87D85" w14:textId="77777777" w:rsidR="00FA235C" w:rsidRPr="00FA235C" w:rsidRDefault="00FA235C" w:rsidP="00201C0E">
            <w:pPr>
              <w:keepNext/>
              <w:keepLines/>
              <w:ind w:left="288"/>
              <w:contextualSpacing/>
              <w:rPr>
                <w:rFonts w:cs="Arial"/>
                <w:b/>
              </w:rPr>
            </w:pPr>
            <w:r w:rsidRPr="00FA235C">
              <w:t xml:space="preserve">$21,414,876 </w:t>
            </w:r>
          </w:p>
        </w:tc>
      </w:tr>
      <w:tr w:rsidR="00FA235C" w:rsidRPr="00FA235C" w14:paraId="5F009799"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77450AFB" w14:textId="77777777" w:rsidR="00FA235C" w:rsidRPr="00FA235C" w:rsidRDefault="00FA235C" w:rsidP="00201C0E">
            <w:pPr>
              <w:keepNext/>
              <w:keepLines/>
              <w:ind w:left="288"/>
              <w:contextualSpacing/>
              <w:rPr>
                <w:rFonts w:cs="Arial"/>
                <w:b/>
              </w:rPr>
            </w:pPr>
            <w:r w:rsidRPr="00FA235C">
              <w:t>CSE</w:t>
            </w:r>
          </w:p>
        </w:tc>
        <w:tc>
          <w:tcPr>
            <w:tcW w:w="2380" w:type="dxa"/>
            <w:tcBorders>
              <w:top w:val="nil"/>
              <w:left w:val="nil"/>
              <w:bottom w:val="single" w:sz="8" w:space="0" w:color="auto"/>
              <w:right w:val="single" w:sz="8" w:space="0" w:color="auto"/>
            </w:tcBorders>
            <w:shd w:val="clear" w:color="auto" w:fill="auto"/>
            <w:vAlign w:val="center"/>
            <w:hideMark/>
          </w:tcPr>
          <w:p w14:paraId="2EC33FFD" w14:textId="77777777" w:rsidR="00FA235C" w:rsidRPr="00FA235C" w:rsidRDefault="00FA235C" w:rsidP="00201C0E">
            <w:pPr>
              <w:keepNext/>
              <w:keepLines/>
              <w:ind w:left="288"/>
              <w:contextualSpacing/>
            </w:pPr>
            <w:r w:rsidRPr="00FA235C">
              <w:t xml:space="preserve">$8,954,161 </w:t>
            </w:r>
          </w:p>
        </w:tc>
        <w:tc>
          <w:tcPr>
            <w:tcW w:w="2380" w:type="dxa"/>
            <w:tcBorders>
              <w:top w:val="nil"/>
              <w:left w:val="nil"/>
              <w:bottom w:val="single" w:sz="8" w:space="0" w:color="auto"/>
              <w:right w:val="single" w:sz="8" w:space="0" w:color="auto"/>
            </w:tcBorders>
            <w:shd w:val="clear" w:color="auto" w:fill="auto"/>
            <w:vAlign w:val="center"/>
            <w:hideMark/>
          </w:tcPr>
          <w:p w14:paraId="137A89AE" w14:textId="77777777" w:rsidR="00FA235C" w:rsidRPr="00FA235C" w:rsidRDefault="00FA235C" w:rsidP="00201C0E">
            <w:pPr>
              <w:keepNext/>
              <w:keepLines/>
              <w:ind w:left="288"/>
              <w:contextualSpacing/>
              <w:rPr>
                <w:rFonts w:cs="Arial"/>
                <w:b/>
              </w:rPr>
            </w:pPr>
            <w:r w:rsidRPr="00FA235C">
              <w:t xml:space="preserve">$8,693,161 </w:t>
            </w:r>
          </w:p>
        </w:tc>
      </w:tr>
      <w:tr w:rsidR="00FA235C" w:rsidRPr="00FA235C" w14:paraId="53DFED21"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34C4BC0C" w14:textId="77777777" w:rsidR="00FA235C" w:rsidRPr="00FA235C" w:rsidRDefault="00FA235C" w:rsidP="00D32CB0">
            <w:pPr>
              <w:ind w:left="288"/>
              <w:contextualSpacing/>
              <w:rPr>
                <w:rFonts w:cs="Arial"/>
                <w:b/>
              </w:rPr>
            </w:pPr>
            <w:r w:rsidRPr="00FA235C">
              <w:t>SoCalGas</w:t>
            </w:r>
          </w:p>
        </w:tc>
        <w:tc>
          <w:tcPr>
            <w:tcW w:w="2380" w:type="dxa"/>
            <w:tcBorders>
              <w:top w:val="nil"/>
              <w:left w:val="nil"/>
              <w:bottom w:val="single" w:sz="8" w:space="0" w:color="auto"/>
              <w:right w:val="single" w:sz="8" w:space="0" w:color="auto"/>
            </w:tcBorders>
            <w:shd w:val="clear" w:color="auto" w:fill="auto"/>
            <w:vAlign w:val="center"/>
            <w:hideMark/>
          </w:tcPr>
          <w:p w14:paraId="7A6EEEAC" w14:textId="77777777" w:rsidR="00FA235C" w:rsidRPr="00FA235C" w:rsidRDefault="00FA235C" w:rsidP="00D32CB0">
            <w:pPr>
              <w:ind w:left="288"/>
              <w:contextualSpacing/>
              <w:rPr>
                <w:rFonts w:cs="Arial"/>
                <w:b/>
              </w:rPr>
            </w:pPr>
            <w:r w:rsidRPr="00FA235C">
              <w:t xml:space="preserve">$6,047,315 </w:t>
            </w:r>
          </w:p>
        </w:tc>
        <w:tc>
          <w:tcPr>
            <w:tcW w:w="2380" w:type="dxa"/>
            <w:tcBorders>
              <w:top w:val="nil"/>
              <w:left w:val="nil"/>
              <w:bottom w:val="single" w:sz="8" w:space="0" w:color="auto"/>
              <w:right w:val="single" w:sz="8" w:space="0" w:color="auto"/>
            </w:tcBorders>
            <w:shd w:val="clear" w:color="auto" w:fill="auto"/>
            <w:vAlign w:val="center"/>
            <w:hideMark/>
          </w:tcPr>
          <w:p w14:paraId="0CC74648" w14:textId="77777777" w:rsidR="00FA235C" w:rsidRPr="00FA235C" w:rsidRDefault="00FA235C" w:rsidP="00D32CB0">
            <w:pPr>
              <w:ind w:left="288"/>
              <w:contextualSpacing/>
              <w:rPr>
                <w:rFonts w:cs="Arial"/>
                <w:b/>
              </w:rPr>
            </w:pPr>
            <w:r w:rsidRPr="00FA235C">
              <w:t xml:space="preserve">$5,929,815 </w:t>
            </w:r>
          </w:p>
        </w:tc>
      </w:tr>
      <w:tr w:rsidR="00FA235C" w:rsidRPr="00FA235C" w14:paraId="2BC2AF56" w14:textId="77777777" w:rsidTr="00D32CB0">
        <w:trPr>
          <w:trHeight w:val="720"/>
          <w:jc w:val="center"/>
        </w:trPr>
        <w:tc>
          <w:tcPr>
            <w:tcW w:w="347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5098F4F0" w14:textId="77777777" w:rsidR="00FA235C" w:rsidRPr="00FA235C" w:rsidRDefault="00FA235C" w:rsidP="00D32CB0">
            <w:pPr>
              <w:ind w:left="288"/>
              <w:contextualSpacing/>
              <w:rPr>
                <w:rFonts w:cs="Arial"/>
                <w:b/>
              </w:rPr>
            </w:pPr>
            <w:r w:rsidRPr="00FA235C">
              <w:lastRenderedPageBreak/>
              <w:t>Residential Storage Equity</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16F96EE3" w14:textId="77777777" w:rsidR="00FA235C" w:rsidRPr="00FA235C" w:rsidRDefault="00FA235C" w:rsidP="00D32CB0">
            <w:pPr>
              <w:ind w:left="288"/>
              <w:contextualSpacing/>
              <w:rPr>
                <w:rFonts w:cs="Arial"/>
                <w:b/>
              </w:rPr>
            </w:pPr>
            <w:r w:rsidRPr="00FA235C">
              <w:t xml:space="preserve">$7,263,754 </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7A1FA9D1" w14:textId="77777777" w:rsidR="00FA235C" w:rsidRPr="00FA235C" w:rsidRDefault="00FA235C" w:rsidP="00D32CB0">
            <w:pPr>
              <w:ind w:left="288"/>
              <w:contextualSpacing/>
              <w:rPr>
                <w:rFonts w:cs="Arial"/>
                <w:b/>
              </w:rPr>
            </w:pPr>
            <w:r w:rsidRPr="00FA235C">
              <w:t xml:space="preserve">$7,231,691 </w:t>
            </w:r>
          </w:p>
        </w:tc>
      </w:tr>
      <w:tr w:rsidR="00FA235C" w:rsidRPr="00FA235C" w14:paraId="108EE98B"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66CD4C2F" w14:textId="77777777" w:rsidR="00FA235C" w:rsidRPr="00FA235C" w:rsidRDefault="00FA235C" w:rsidP="00D32CB0">
            <w:pPr>
              <w:ind w:left="288"/>
              <w:contextualSpacing/>
              <w:rPr>
                <w:rFonts w:cs="Arial"/>
                <w:b/>
              </w:rPr>
            </w:pPr>
            <w:r w:rsidRPr="00FA235C">
              <w:t>PG&amp;E</w:t>
            </w:r>
          </w:p>
        </w:tc>
        <w:tc>
          <w:tcPr>
            <w:tcW w:w="2380" w:type="dxa"/>
            <w:tcBorders>
              <w:top w:val="nil"/>
              <w:left w:val="nil"/>
              <w:bottom w:val="single" w:sz="8" w:space="0" w:color="auto"/>
              <w:right w:val="single" w:sz="8" w:space="0" w:color="auto"/>
            </w:tcBorders>
            <w:shd w:val="clear" w:color="auto" w:fill="auto"/>
            <w:vAlign w:val="center"/>
            <w:hideMark/>
          </w:tcPr>
          <w:p w14:paraId="6CF08E06" w14:textId="77777777" w:rsidR="00FA235C" w:rsidRPr="00FA235C" w:rsidRDefault="00FA235C" w:rsidP="00D32CB0">
            <w:pPr>
              <w:ind w:left="288"/>
              <w:contextualSpacing/>
              <w:rPr>
                <w:rFonts w:cs="Arial"/>
                <w:b/>
              </w:rPr>
            </w:pPr>
            <w:r w:rsidRPr="00FA235C">
              <w:t xml:space="preserve">$2,979,393 </w:t>
            </w:r>
          </w:p>
        </w:tc>
        <w:tc>
          <w:tcPr>
            <w:tcW w:w="2380" w:type="dxa"/>
            <w:tcBorders>
              <w:top w:val="nil"/>
              <w:left w:val="nil"/>
              <w:bottom w:val="single" w:sz="8" w:space="0" w:color="auto"/>
              <w:right w:val="single" w:sz="8" w:space="0" w:color="auto"/>
            </w:tcBorders>
            <w:shd w:val="clear" w:color="auto" w:fill="auto"/>
            <w:vAlign w:val="center"/>
            <w:hideMark/>
          </w:tcPr>
          <w:p w14:paraId="63856C0C" w14:textId="77777777" w:rsidR="00FA235C" w:rsidRPr="00FA235C" w:rsidRDefault="00FA235C" w:rsidP="00D32CB0">
            <w:pPr>
              <w:ind w:left="288"/>
              <w:contextualSpacing/>
              <w:rPr>
                <w:rFonts w:cs="Arial"/>
                <w:b/>
              </w:rPr>
            </w:pPr>
            <w:r w:rsidRPr="00FA235C">
              <w:t xml:space="preserve">$2,979,393 </w:t>
            </w:r>
          </w:p>
        </w:tc>
      </w:tr>
      <w:tr w:rsidR="00FA235C" w:rsidRPr="00FA235C" w14:paraId="536FF17F"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55A24386" w14:textId="77777777" w:rsidR="00FA235C" w:rsidRPr="00FA235C" w:rsidRDefault="00FA235C" w:rsidP="00D32CB0">
            <w:pPr>
              <w:ind w:left="288"/>
              <w:contextualSpacing/>
              <w:rPr>
                <w:rFonts w:cs="Arial"/>
                <w:b/>
              </w:rPr>
            </w:pPr>
            <w:r w:rsidRPr="00FA235C">
              <w:t>SCE</w:t>
            </w:r>
          </w:p>
        </w:tc>
        <w:tc>
          <w:tcPr>
            <w:tcW w:w="2380" w:type="dxa"/>
            <w:tcBorders>
              <w:top w:val="nil"/>
              <w:left w:val="nil"/>
              <w:bottom w:val="single" w:sz="8" w:space="0" w:color="auto"/>
              <w:right w:val="single" w:sz="8" w:space="0" w:color="auto"/>
            </w:tcBorders>
            <w:shd w:val="clear" w:color="auto" w:fill="auto"/>
            <w:vAlign w:val="center"/>
            <w:hideMark/>
          </w:tcPr>
          <w:p w14:paraId="4D055734" w14:textId="77777777" w:rsidR="00FA235C" w:rsidRPr="00FA235C" w:rsidRDefault="00FA235C" w:rsidP="00D32CB0">
            <w:pPr>
              <w:ind w:left="288"/>
              <w:contextualSpacing/>
            </w:pPr>
            <w:r w:rsidRPr="00FA235C">
              <w:t xml:space="preserve">$2,617,531 </w:t>
            </w:r>
          </w:p>
        </w:tc>
        <w:tc>
          <w:tcPr>
            <w:tcW w:w="2380" w:type="dxa"/>
            <w:tcBorders>
              <w:top w:val="nil"/>
              <w:left w:val="nil"/>
              <w:bottom w:val="single" w:sz="8" w:space="0" w:color="auto"/>
              <w:right w:val="single" w:sz="8" w:space="0" w:color="auto"/>
            </w:tcBorders>
            <w:shd w:val="clear" w:color="auto" w:fill="auto"/>
            <w:vAlign w:val="center"/>
            <w:hideMark/>
          </w:tcPr>
          <w:p w14:paraId="60EF3277" w14:textId="77777777" w:rsidR="00FA235C" w:rsidRPr="00FA235C" w:rsidRDefault="00FA235C" w:rsidP="00D32CB0">
            <w:pPr>
              <w:ind w:left="288"/>
              <w:contextualSpacing/>
              <w:rPr>
                <w:rFonts w:cs="Arial"/>
                <w:b/>
              </w:rPr>
            </w:pPr>
            <w:r w:rsidRPr="00FA235C">
              <w:t xml:space="preserve">$2,585,467 </w:t>
            </w:r>
          </w:p>
        </w:tc>
      </w:tr>
      <w:tr w:rsidR="00FA235C" w:rsidRPr="00FA235C" w14:paraId="0B0D06B0"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08906F0E" w14:textId="77777777" w:rsidR="00FA235C" w:rsidRPr="00FA235C" w:rsidRDefault="00FA235C" w:rsidP="00D32CB0">
            <w:pPr>
              <w:ind w:left="288"/>
              <w:contextualSpacing/>
              <w:rPr>
                <w:rFonts w:cs="Arial"/>
                <w:b/>
              </w:rPr>
            </w:pPr>
            <w:r w:rsidRPr="00FA235C">
              <w:t>CSE</w:t>
            </w:r>
          </w:p>
        </w:tc>
        <w:tc>
          <w:tcPr>
            <w:tcW w:w="2380" w:type="dxa"/>
            <w:tcBorders>
              <w:top w:val="nil"/>
              <w:left w:val="nil"/>
              <w:bottom w:val="single" w:sz="8" w:space="0" w:color="auto"/>
              <w:right w:val="single" w:sz="8" w:space="0" w:color="auto"/>
            </w:tcBorders>
            <w:shd w:val="clear" w:color="auto" w:fill="auto"/>
            <w:vAlign w:val="center"/>
            <w:hideMark/>
          </w:tcPr>
          <w:p w14:paraId="28011E5D" w14:textId="77777777" w:rsidR="00FA235C" w:rsidRPr="00FA235C" w:rsidRDefault="00FA235C" w:rsidP="00D32CB0">
            <w:pPr>
              <w:ind w:left="288"/>
              <w:contextualSpacing/>
              <w:rPr>
                <w:rFonts w:cs="Arial"/>
                <w:b/>
              </w:rPr>
            </w:pPr>
            <w:r w:rsidRPr="00FA235C">
              <w:t xml:space="preserve">$994,907 </w:t>
            </w:r>
          </w:p>
        </w:tc>
        <w:tc>
          <w:tcPr>
            <w:tcW w:w="2380" w:type="dxa"/>
            <w:tcBorders>
              <w:top w:val="nil"/>
              <w:left w:val="nil"/>
              <w:bottom w:val="single" w:sz="8" w:space="0" w:color="auto"/>
              <w:right w:val="single" w:sz="8" w:space="0" w:color="auto"/>
            </w:tcBorders>
            <w:shd w:val="clear" w:color="auto" w:fill="auto"/>
            <w:vAlign w:val="center"/>
            <w:hideMark/>
          </w:tcPr>
          <w:p w14:paraId="4DF6AB0E" w14:textId="77777777" w:rsidR="00FA235C" w:rsidRPr="00FA235C" w:rsidRDefault="00FA235C" w:rsidP="00D32CB0">
            <w:pPr>
              <w:ind w:left="288"/>
              <w:contextualSpacing/>
              <w:rPr>
                <w:rFonts w:cs="Arial"/>
                <w:b/>
              </w:rPr>
            </w:pPr>
            <w:r w:rsidRPr="00FA235C">
              <w:t xml:space="preserve">$994,907 </w:t>
            </w:r>
          </w:p>
        </w:tc>
      </w:tr>
      <w:tr w:rsidR="00FA235C" w:rsidRPr="00FA235C" w14:paraId="72181AD6" w14:textId="77777777" w:rsidTr="00D32CB0">
        <w:trPr>
          <w:trHeight w:val="360"/>
          <w:jc w:val="center"/>
        </w:trPr>
        <w:tc>
          <w:tcPr>
            <w:tcW w:w="3470" w:type="dxa"/>
            <w:tcBorders>
              <w:top w:val="nil"/>
              <w:left w:val="single" w:sz="8" w:space="0" w:color="auto"/>
              <w:bottom w:val="single" w:sz="8" w:space="0" w:color="auto"/>
              <w:right w:val="single" w:sz="8" w:space="0" w:color="auto"/>
            </w:tcBorders>
            <w:shd w:val="clear" w:color="auto" w:fill="auto"/>
            <w:vAlign w:val="center"/>
            <w:hideMark/>
          </w:tcPr>
          <w:p w14:paraId="0DC6562C" w14:textId="77777777" w:rsidR="00FA235C" w:rsidRPr="00FA235C" w:rsidRDefault="00FA235C" w:rsidP="00D32CB0">
            <w:pPr>
              <w:ind w:left="288"/>
              <w:contextualSpacing/>
              <w:rPr>
                <w:rFonts w:cs="Arial"/>
                <w:b/>
              </w:rPr>
            </w:pPr>
            <w:r w:rsidRPr="00FA235C">
              <w:t>SoCalGas</w:t>
            </w:r>
          </w:p>
        </w:tc>
        <w:tc>
          <w:tcPr>
            <w:tcW w:w="2380" w:type="dxa"/>
            <w:tcBorders>
              <w:top w:val="nil"/>
              <w:left w:val="nil"/>
              <w:bottom w:val="single" w:sz="8" w:space="0" w:color="auto"/>
              <w:right w:val="single" w:sz="8" w:space="0" w:color="auto"/>
            </w:tcBorders>
            <w:shd w:val="clear" w:color="auto" w:fill="auto"/>
            <w:vAlign w:val="center"/>
            <w:hideMark/>
          </w:tcPr>
          <w:p w14:paraId="0CE48D5C" w14:textId="77777777" w:rsidR="00FA235C" w:rsidRPr="00FA235C" w:rsidRDefault="00FA235C" w:rsidP="00D32CB0">
            <w:pPr>
              <w:ind w:left="288"/>
              <w:contextualSpacing/>
              <w:rPr>
                <w:rFonts w:cs="Arial"/>
                <w:b/>
              </w:rPr>
            </w:pPr>
            <w:r w:rsidRPr="00FA235C">
              <w:t xml:space="preserve">$671,924 </w:t>
            </w:r>
          </w:p>
        </w:tc>
        <w:tc>
          <w:tcPr>
            <w:tcW w:w="2380" w:type="dxa"/>
            <w:tcBorders>
              <w:top w:val="nil"/>
              <w:left w:val="nil"/>
              <w:bottom w:val="single" w:sz="8" w:space="0" w:color="auto"/>
              <w:right w:val="single" w:sz="8" w:space="0" w:color="auto"/>
            </w:tcBorders>
            <w:shd w:val="clear" w:color="auto" w:fill="auto"/>
            <w:vAlign w:val="center"/>
            <w:hideMark/>
          </w:tcPr>
          <w:p w14:paraId="370FBED1" w14:textId="77777777" w:rsidR="00FA235C" w:rsidRPr="00FA235C" w:rsidRDefault="00FA235C" w:rsidP="00D32CB0">
            <w:pPr>
              <w:ind w:left="288"/>
              <w:contextualSpacing/>
            </w:pPr>
            <w:r w:rsidRPr="00FA235C">
              <w:t xml:space="preserve">$671,924 </w:t>
            </w:r>
          </w:p>
        </w:tc>
      </w:tr>
      <w:bookmarkEnd w:id="107"/>
      <w:tr w:rsidR="00FA235C" w:rsidRPr="00FA235C" w14:paraId="10595CF4" w14:textId="77777777" w:rsidTr="00D32CB0">
        <w:trPr>
          <w:trHeight w:val="375"/>
          <w:jc w:val="center"/>
        </w:trPr>
        <w:tc>
          <w:tcPr>
            <w:tcW w:w="347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21CA6573" w14:textId="77777777" w:rsidR="00FA235C" w:rsidRPr="00FA235C" w:rsidRDefault="00FA235C" w:rsidP="00D32CB0">
            <w:pPr>
              <w:ind w:left="288"/>
              <w:contextualSpacing/>
            </w:pPr>
            <w:r w:rsidRPr="00FA235C">
              <w:t>Total</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6CA2C138" w14:textId="77777777" w:rsidR="00FA235C" w:rsidRPr="00FA235C" w:rsidRDefault="00FA235C" w:rsidP="00D32CB0">
            <w:pPr>
              <w:ind w:left="288"/>
              <w:contextualSpacing/>
              <w:rPr>
                <w:rFonts w:cs="Arial"/>
                <w:b/>
              </w:rPr>
            </w:pPr>
            <w:r w:rsidRPr="00FA235C">
              <w:t xml:space="preserve">$597,503,742 </w:t>
            </w:r>
          </w:p>
        </w:tc>
        <w:tc>
          <w:tcPr>
            <w:tcW w:w="2380" w:type="dxa"/>
            <w:tcBorders>
              <w:top w:val="single" w:sz="12" w:space="0" w:color="auto"/>
              <w:left w:val="nil"/>
              <w:bottom w:val="single" w:sz="8" w:space="0" w:color="auto"/>
              <w:right w:val="single" w:sz="8" w:space="0" w:color="auto"/>
            </w:tcBorders>
            <w:shd w:val="clear" w:color="auto" w:fill="auto"/>
            <w:vAlign w:val="center"/>
            <w:hideMark/>
          </w:tcPr>
          <w:p w14:paraId="3ADB7662" w14:textId="77777777" w:rsidR="00FA235C" w:rsidRPr="00FA235C" w:rsidRDefault="00FA235C" w:rsidP="00D32CB0">
            <w:pPr>
              <w:ind w:left="288"/>
              <w:contextualSpacing/>
              <w:rPr>
                <w:rFonts w:cs="Arial"/>
                <w:b/>
              </w:rPr>
            </w:pPr>
            <w:r w:rsidRPr="00FA235C">
              <w:t xml:space="preserve">$400,415,303 </w:t>
            </w:r>
          </w:p>
        </w:tc>
      </w:tr>
    </w:tbl>
    <w:p w14:paraId="4F4FBDD4" w14:textId="77777777" w:rsidR="00FA235C" w:rsidRPr="00FA235C" w:rsidRDefault="00FA235C" w:rsidP="00FA235C"/>
    <w:p w14:paraId="413248E7" w14:textId="77777777" w:rsidR="00FA235C" w:rsidRPr="00FA235C" w:rsidRDefault="00FA235C" w:rsidP="00FA235C"/>
    <w:p w14:paraId="4123AC6C" w14:textId="0F729F21" w:rsidR="00FA235C" w:rsidRPr="00FA235C" w:rsidRDefault="00FA235C" w:rsidP="00FA235C">
      <w:r w:rsidRPr="00FA235C">
        <w:t xml:space="preserve">Table </w:t>
      </w:r>
      <w:r>
        <w:t>12</w:t>
      </w:r>
      <w:r w:rsidRPr="00FA235C">
        <w:t>:  Authorized and Remaining Administrative Funds per PA</w:t>
      </w:r>
      <w:r w:rsidRPr="00FA235C">
        <w:rPr>
          <w:vertAlign w:val="superscript"/>
        </w:rPr>
        <w:footnoteReference w:id="123"/>
      </w:r>
    </w:p>
    <w:p w14:paraId="109A714C" w14:textId="77777777" w:rsidR="00FA235C" w:rsidRPr="00FA235C" w:rsidRDefault="00FA235C" w:rsidP="00FA235C"/>
    <w:tbl>
      <w:tblPr>
        <w:tblW w:w="8000" w:type="dxa"/>
        <w:jc w:val="center"/>
        <w:tblLook w:val="04A0" w:firstRow="1" w:lastRow="0" w:firstColumn="1" w:lastColumn="0" w:noHBand="0" w:noVBand="1"/>
      </w:tblPr>
      <w:tblGrid>
        <w:gridCol w:w="1766"/>
        <w:gridCol w:w="3029"/>
        <w:gridCol w:w="3205"/>
      </w:tblGrid>
      <w:tr w:rsidR="00FA235C" w:rsidRPr="00FA235C" w14:paraId="78077ECB" w14:textId="77777777" w:rsidTr="006828C7">
        <w:trPr>
          <w:trHeight w:val="705"/>
          <w:jc w:val="center"/>
        </w:trPr>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F91DB8" w14:textId="77777777" w:rsidR="00FA235C" w:rsidRPr="00FA235C" w:rsidRDefault="00FA235C" w:rsidP="00FA235C">
            <w:pPr>
              <w:rPr>
                <w:b/>
                <w:bCs/>
              </w:rPr>
            </w:pPr>
            <w:r w:rsidRPr="00FA235C">
              <w:rPr>
                <w:b/>
                <w:bCs/>
              </w:rPr>
              <w:t xml:space="preserve">Admin/M&amp;E Budget </w:t>
            </w:r>
          </w:p>
        </w:tc>
        <w:tc>
          <w:tcPr>
            <w:tcW w:w="3060" w:type="dxa"/>
            <w:tcBorders>
              <w:top w:val="single" w:sz="8" w:space="0" w:color="auto"/>
              <w:left w:val="nil"/>
              <w:bottom w:val="single" w:sz="8" w:space="0" w:color="auto"/>
              <w:right w:val="single" w:sz="8" w:space="0" w:color="auto"/>
            </w:tcBorders>
            <w:shd w:val="clear" w:color="auto" w:fill="auto"/>
            <w:vAlign w:val="center"/>
            <w:hideMark/>
          </w:tcPr>
          <w:p w14:paraId="62F5DCA8" w14:textId="77777777" w:rsidR="00FA235C" w:rsidRPr="00FA235C" w:rsidRDefault="00FA235C" w:rsidP="00FA235C">
            <w:pPr>
              <w:rPr>
                <w:b/>
                <w:bCs/>
              </w:rPr>
            </w:pPr>
            <w:r w:rsidRPr="00FA235C">
              <w:rPr>
                <w:b/>
                <w:bCs/>
              </w:rPr>
              <w:t>Total Authorized</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14:paraId="0D1EF772" w14:textId="77777777" w:rsidR="00FA235C" w:rsidRPr="00FA235C" w:rsidRDefault="00FA235C" w:rsidP="00FA235C">
            <w:pPr>
              <w:rPr>
                <w:b/>
                <w:bCs/>
              </w:rPr>
            </w:pPr>
            <w:r w:rsidRPr="00FA235C">
              <w:rPr>
                <w:b/>
                <w:bCs/>
              </w:rPr>
              <w:t>Remaining</w:t>
            </w:r>
          </w:p>
        </w:tc>
      </w:tr>
      <w:tr w:rsidR="00FA235C" w:rsidRPr="00FA235C" w14:paraId="0CDB5688" w14:textId="77777777" w:rsidTr="006828C7">
        <w:trPr>
          <w:trHeight w:val="360"/>
          <w:jc w:val="center"/>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52981C4B" w14:textId="77777777" w:rsidR="00FA235C" w:rsidRPr="00FA235C" w:rsidRDefault="00FA235C" w:rsidP="00FA235C">
            <w:r w:rsidRPr="00FA235C">
              <w:t>PG&amp;E</w:t>
            </w:r>
          </w:p>
        </w:tc>
        <w:tc>
          <w:tcPr>
            <w:tcW w:w="3060" w:type="dxa"/>
            <w:tcBorders>
              <w:top w:val="nil"/>
              <w:left w:val="nil"/>
              <w:bottom w:val="single" w:sz="8" w:space="0" w:color="auto"/>
              <w:right w:val="single" w:sz="8" w:space="0" w:color="auto"/>
            </w:tcBorders>
            <w:shd w:val="clear" w:color="auto" w:fill="auto"/>
            <w:vAlign w:val="center"/>
            <w:hideMark/>
          </w:tcPr>
          <w:p w14:paraId="30824E7A" w14:textId="77777777" w:rsidR="00FA235C" w:rsidRPr="00FA235C" w:rsidRDefault="00FA235C" w:rsidP="00FA235C">
            <w:r w:rsidRPr="00FA235C">
              <w:t xml:space="preserve">$33,907,102 </w:t>
            </w:r>
          </w:p>
        </w:tc>
        <w:tc>
          <w:tcPr>
            <w:tcW w:w="3240" w:type="dxa"/>
            <w:tcBorders>
              <w:top w:val="nil"/>
              <w:left w:val="nil"/>
              <w:bottom w:val="single" w:sz="8" w:space="0" w:color="auto"/>
              <w:right w:val="single" w:sz="8" w:space="0" w:color="auto"/>
            </w:tcBorders>
            <w:shd w:val="clear" w:color="auto" w:fill="auto"/>
            <w:vAlign w:val="center"/>
            <w:hideMark/>
          </w:tcPr>
          <w:p w14:paraId="12096102" w14:textId="77777777" w:rsidR="00FA235C" w:rsidRPr="00FA235C" w:rsidRDefault="00FA235C" w:rsidP="00FA235C">
            <w:r w:rsidRPr="00FA235C">
              <w:t xml:space="preserve">$28,397,784 </w:t>
            </w:r>
          </w:p>
        </w:tc>
      </w:tr>
      <w:tr w:rsidR="00FA235C" w:rsidRPr="00FA235C" w14:paraId="35CD8CDF" w14:textId="77777777" w:rsidTr="006828C7">
        <w:trPr>
          <w:trHeight w:val="360"/>
          <w:jc w:val="center"/>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559359D9" w14:textId="77777777" w:rsidR="00FA235C" w:rsidRPr="00FA235C" w:rsidRDefault="00FA235C" w:rsidP="00FA235C">
            <w:r w:rsidRPr="00FA235C">
              <w:t>SCE</w:t>
            </w:r>
          </w:p>
        </w:tc>
        <w:tc>
          <w:tcPr>
            <w:tcW w:w="3060" w:type="dxa"/>
            <w:tcBorders>
              <w:top w:val="nil"/>
              <w:left w:val="nil"/>
              <w:bottom w:val="single" w:sz="8" w:space="0" w:color="auto"/>
              <w:right w:val="single" w:sz="8" w:space="0" w:color="auto"/>
            </w:tcBorders>
            <w:shd w:val="clear" w:color="auto" w:fill="auto"/>
            <w:vAlign w:val="center"/>
            <w:hideMark/>
          </w:tcPr>
          <w:p w14:paraId="10EACDC0" w14:textId="77777777" w:rsidR="00FA235C" w:rsidRPr="00FA235C" w:rsidRDefault="00FA235C" w:rsidP="00FA235C">
            <w:r w:rsidRPr="00FA235C">
              <w:t xml:space="preserve">$36,932,832 </w:t>
            </w:r>
          </w:p>
        </w:tc>
        <w:tc>
          <w:tcPr>
            <w:tcW w:w="3240" w:type="dxa"/>
            <w:tcBorders>
              <w:top w:val="nil"/>
              <w:left w:val="nil"/>
              <w:bottom w:val="single" w:sz="8" w:space="0" w:color="auto"/>
              <w:right w:val="single" w:sz="8" w:space="0" w:color="auto"/>
            </w:tcBorders>
            <w:shd w:val="clear" w:color="auto" w:fill="auto"/>
            <w:vAlign w:val="center"/>
            <w:hideMark/>
          </w:tcPr>
          <w:p w14:paraId="1AE3F227" w14:textId="77777777" w:rsidR="00FA235C" w:rsidRPr="00FA235C" w:rsidRDefault="00FA235C" w:rsidP="00FA235C">
            <w:r w:rsidRPr="00FA235C">
              <w:t xml:space="preserve">$31,589,564 </w:t>
            </w:r>
          </w:p>
        </w:tc>
      </w:tr>
      <w:tr w:rsidR="00FA235C" w:rsidRPr="00FA235C" w14:paraId="3D4B89CB" w14:textId="77777777" w:rsidTr="006828C7">
        <w:trPr>
          <w:trHeight w:val="360"/>
          <w:jc w:val="center"/>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29A22486" w14:textId="77777777" w:rsidR="00FA235C" w:rsidRPr="00FA235C" w:rsidRDefault="00FA235C" w:rsidP="00FA235C">
            <w:r w:rsidRPr="00FA235C">
              <w:t>CSE</w:t>
            </w:r>
          </w:p>
        </w:tc>
        <w:tc>
          <w:tcPr>
            <w:tcW w:w="3060" w:type="dxa"/>
            <w:tcBorders>
              <w:top w:val="nil"/>
              <w:left w:val="nil"/>
              <w:bottom w:val="single" w:sz="8" w:space="0" w:color="auto"/>
              <w:right w:val="single" w:sz="8" w:space="0" w:color="auto"/>
            </w:tcBorders>
            <w:shd w:val="clear" w:color="auto" w:fill="auto"/>
            <w:vAlign w:val="center"/>
            <w:hideMark/>
          </w:tcPr>
          <w:p w14:paraId="4C5FF688" w14:textId="77777777" w:rsidR="00FA235C" w:rsidRPr="00FA235C" w:rsidRDefault="00FA235C" w:rsidP="00FA235C">
            <w:r w:rsidRPr="00FA235C">
              <w:t xml:space="preserve">$6,870,346 </w:t>
            </w:r>
          </w:p>
        </w:tc>
        <w:tc>
          <w:tcPr>
            <w:tcW w:w="3240" w:type="dxa"/>
            <w:tcBorders>
              <w:top w:val="nil"/>
              <w:left w:val="nil"/>
              <w:bottom w:val="single" w:sz="8" w:space="0" w:color="auto"/>
              <w:right w:val="single" w:sz="8" w:space="0" w:color="auto"/>
            </w:tcBorders>
            <w:shd w:val="clear" w:color="auto" w:fill="auto"/>
            <w:vAlign w:val="center"/>
            <w:hideMark/>
          </w:tcPr>
          <w:p w14:paraId="18818EAF" w14:textId="77777777" w:rsidR="00FA235C" w:rsidRPr="00FA235C" w:rsidRDefault="00FA235C" w:rsidP="00FA235C">
            <w:r w:rsidRPr="00FA235C">
              <w:t xml:space="preserve">$2,844,824 </w:t>
            </w:r>
          </w:p>
        </w:tc>
      </w:tr>
      <w:tr w:rsidR="00FA235C" w:rsidRPr="00FA235C" w14:paraId="01603E87" w14:textId="77777777" w:rsidTr="006828C7">
        <w:trPr>
          <w:trHeight w:val="360"/>
          <w:jc w:val="center"/>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15F20FC2" w14:textId="77777777" w:rsidR="00FA235C" w:rsidRPr="00FA235C" w:rsidRDefault="00FA235C" w:rsidP="00FA235C">
            <w:r w:rsidRPr="00FA235C">
              <w:t>SoCalGas</w:t>
            </w:r>
          </w:p>
        </w:tc>
        <w:tc>
          <w:tcPr>
            <w:tcW w:w="3060" w:type="dxa"/>
            <w:tcBorders>
              <w:top w:val="nil"/>
              <w:left w:val="nil"/>
              <w:bottom w:val="single" w:sz="8" w:space="0" w:color="auto"/>
              <w:right w:val="single" w:sz="8" w:space="0" w:color="auto"/>
            </w:tcBorders>
            <w:shd w:val="clear" w:color="auto" w:fill="auto"/>
            <w:vAlign w:val="center"/>
            <w:hideMark/>
          </w:tcPr>
          <w:p w14:paraId="0253453F" w14:textId="77777777" w:rsidR="00FA235C" w:rsidRPr="00FA235C" w:rsidRDefault="00FA235C" w:rsidP="00FA235C">
            <w:r w:rsidRPr="00FA235C">
              <w:t xml:space="preserve">$8,871,329 </w:t>
            </w:r>
          </w:p>
        </w:tc>
        <w:tc>
          <w:tcPr>
            <w:tcW w:w="3240" w:type="dxa"/>
            <w:tcBorders>
              <w:top w:val="nil"/>
              <w:left w:val="nil"/>
              <w:bottom w:val="single" w:sz="8" w:space="0" w:color="auto"/>
              <w:right w:val="single" w:sz="8" w:space="0" w:color="auto"/>
            </w:tcBorders>
            <w:shd w:val="clear" w:color="auto" w:fill="auto"/>
            <w:vAlign w:val="center"/>
            <w:hideMark/>
          </w:tcPr>
          <w:p w14:paraId="4F94251A" w14:textId="77777777" w:rsidR="00FA235C" w:rsidRPr="00FA235C" w:rsidRDefault="00FA235C" w:rsidP="00FA235C">
            <w:r w:rsidRPr="00FA235C">
              <w:t xml:space="preserve">$7,466,010 </w:t>
            </w:r>
          </w:p>
        </w:tc>
      </w:tr>
      <w:tr w:rsidR="00FA235C" w:rsidRPr="00FA235C" w14:paraId="5A84EBDE" w14:textId="77777777" w:rsidTr="006828C7">
        <w:trPr>
          <w:trHeight w:val="360"/>
          <w:jc w:val="center"/>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644B709F" w14:textId="77777777" w:rsidR="00FA235C" w:rsidRPr="00FA235C" w:rsidRDefault="00FA235C" w:rsidP="00FA235C">
            <w:pPr>
              <w:rPr>
                <w:b/>
                <w:bCs/>
              </w:rPr>
            </w:pPr>
            <w:r w:rsidRPr="00FA235C">
              <w:rPr>
                <w:b/>
                <w:bCs/>
              </w:rPr>
              <w:t xml:space="preserve">Total </w:t>
            </w:r>
          </w:p>
        </w:tc>
        <w:tc>
          <w:tcPr>
            <w:tcW w:w="3060" w:type="dxa"/>
            <w:tcBorders>
              <w:top w:val="nil"/>
              <w:left w:val="nil"/>
              <w:bottom w:val="single" w:sz="8" w:space="0" w:color="auto"/>
              <w:right w:val="single" w:sz="8" w:space="0" w:color="auto"/>
            </w:tcBorders>
            <w:shd w:val="clear" w:color="auto" w:fill="auto"/>
            <w:vAlign w:val="center"/>
            <w:hideMark/>
          </w:tcPr>
          <w:p w14:paraId="3D2C6AB7" w14:textId="77777777" w:rsidR="00FA235C" w:rsidRPr="00FA235C" w:rsidRDefault="00FA235C" w:rsidP="00FA235C">
            <w:pPr>
              <w:rPr>
                <w:b/>
                <w:bCs/>
              </w:rPr>
            </w:pPr>
            <w:r w:rsidRPr="00FA235C">
              <w:rPr>
                <w:b/>
                <w:bCs/>
              </w:rPr>
              <w:t xml:space="preserve">$86,581,609 </w:t>
            </w:r>
          </w:p>
        </w:tc>
        <w:tc>
          <w:tcPr>
            <w:tcW w:w="3240" w:type="dxa"/>
            <w:tcBorders>
              <w:top w:val="nil"/>
              <w:left w:val="nil"/>
              <w:bottom w:val="single" w:sz="8" w:space="0" w:color="auto"/>
              <w:right w:val="single" w:sz="8" w:space="0" w:color="auto"/>
            </w:tcBorders>
            <w:shd w:val="clear" w:color="auto" w:fill="auto"/>
            <w:vAlign w:val="center"/>
            <w:hideMark/>
          </w:tcPr>
          <w:p w14:paraId="6C06C372" w14:textId="77777777" w:rsidR="00FA235C" w:rsidRPr="00FA235C" w:rsidRDefault="00FA235C" w:rsidP="00FA235C">
            <w:pPr>
              <w:rPr>
                <w:b/>
                <w:bCs/>
              </w:rPr>
            </w:pPr>
            <w:r w:rsidRPr="00FA235C">
              <w:rPr>
                <w:b/>
                <w:bCs/>
              </w:rPr>
              <w:t xml:space="preserve">$70,298,181 </w:t>
            </w:r>
          </w:p>
        </w:tc>
      </w:tr>
    </w:tbl>
    <w:p w14:paraId="38597C70" w14:textId="77777777" w:rsidR="00FA235C" w:rsidRDefault="00FA235C" w:rsidP="00FA235C"/>
    <w:p w14:paraId="5CD34FCE" w14:textId="77777777" w:rsidR="00201C0E" w:rsidRDefault="00201C0E" w:rsidP="00FA235C"/>
    <w:p w14:paraId="31A9806E" w14:textId="17C54626" w:rsidR="00201C0E" w:rsidRDefault="00201C0E" w:rsidP="00201C0E">
      <w:pPr>
        <w:jc w:val="center"/>
      </w:pPr>
      <w:r>
        <w:t>(End of Attachment B)</w:t>
      </w:r>
    </w:p>
    <w:p w14:paraId="4EB0D9B2" w14:textId="77777777" w:rsidR="00201C0E" w:rsidRDefault="00201C0E" w:rsidP="00FA235C"/>
    <w:p w14:paraId="719C646B" w14:textId="77777777" w:rsidR="00201C0E" w:rsidRPr="00FA235C" w:rsidRDefault="00201C0E" w:rsidP="00FA235C"/>
    <w:p w14:paraId="2C51F403" w14:textId="77777777" w:rsidR="00201C0E" w:rsidRDefault="00201C0E">
      <w:pPr>
        <w:sectPr w:rsidR="00201C0E" w:rsidSect="00DB189F">
          <w:footnotePr>
            <w:numRestart w:val="eachSect"/>
          </w:footnotePr>
          <w:pgSz w:w="12240" w:h="15840" w:code="1"/>
          <w:pgMar w:top="1440" w:right="1440" w:bottom="1440" w:left="1440" w:header="720" w:footer="720" w:gutter="0"/>
          <w:pgNumType w:start="1"/>
          <w:cols w:space="720"/>
          <w:titlePg/>
          <w:docGrid w:linePitch="360"/>
        </w:sectPr>
      </w:pPr>
    </w:p>
    <w:p w14:paraId="6F1FBDA5" w14:textId="77777777" w:rsidR="008D692E" w:rsidRDefault="008D692E"/>
    <w:p w14:paraId="658C1A8F" w14:textId="77777777" w:rsidR="008D692E" w:rsidRDefault="008D692E"/>
    <w:p w14:paraId="7AE558B8" w14:textId="4EF7F70A" w:rsidR="00D261DA" w:rsidRDefault="00D261DA" w:rsidP="00D261DA">
      <w:pPr>
        <w:pStyle w:val="ALJBodyText"/>
        <w:jc w:val="center"/>
        <w:rPr>
          <w:b/>
        </w:rPr>
      </w:pPr>
      <w:r w:rsidRPr="00205B50">
        <w:rPr>
          <w:b/>
        </w:rPr>
        <w:t xml:space="preserve">Attachment </w:t>
      </w:r>
      <w:r w:rsidR="00FA235C">
        <w:rPr>
          <w:b/>
        </w:rPr>
        <w:t>C</w:t>
      </w:r>
    </w:p>
    <w:p w14:paraId="49179128" w14:textId="77777777" w:rsidR="00FA235C" w:rsidRPr="00205B50" w:rsidRDefault="00FA235C" w:rsidP="00D261DA">
      <w:pPr>
        <w:pStyle w:val="ALJBodyText"/>
        <w:jc w:val="center"/>
        <w:rPr>
          <w:b/>
        </w:rPr>
      </w:pPr>
    </w:p>
    <w:p w14:paraId="52BAA22E" w14:textId="5CEC9A32" w:rsidR="008D1A26" w:rsidRDefault="00D261DA" w:rsidP="00D261DA">
      <w:pPr>
        <w:pStyle w:val="ALJBodyText"/>
        <w:jc w:val="center"/>
        <w:rPr>
          <w:b/>
        </w:rPr>
      </w:pPr>
      <w:r>
        <w:rPr>
          <w:b/>
        </w:rPr>
        <w:t xml:space="preserve">List of </w:t>
      </w:r>
      <w:r w:rsidR="00FA235C">
        <w:rPr>
          <w:b/>
        </w:rPr>
        <w:t>A</w:t>
      </w:r>
      <w:r>
        <w:rPr>
          <w:b/>
        </w:rPr>
        <w:t xml:space="preserve">pplicable </w:t>
      </w:r>
      <w:r w:rsidR="001B79FA">
        <w:rPr>
          <w:b/>
        </w:rPr>
        <w:t>Nationally Recognized Testing Laboratory</w:t>
      </w:r>
      <w:r>
        <w:rPr>
          <w:b/>
        </w:rPr>
        <w:t xml:space="preserve"> </w:t>
      </w:r>
    </w:p>
    <w:p w14:paraId="4B8973F8" w14:textId="1731208E" w:rsidR="00D261DA" w:rsidRDefault="00FA235C" w:rsidP="00D261DA">
      <w:pPr>
        <w:pStyle w:val="ALJBodyText"/>
        <w:jc w:val="center"/>
        <w:rPr>
          <w:b/>
        </w:rPr>
      </w:pPr>
      <w:r>
        <w:rPr>
          <w:b/>
        </w:rPr>
        <w:t>S</w:t>
      </w:r>
      <w:r w:rsidR="00D261DA">
        <w:rPr>
          <w:b/>
        </w:rPr>
        <w:t xml:space="preserve">tandards for </w:t>
      </w:r>
      <w:r>
        <w:rPr>
          <w:b/>
        </w:rPr>
        <w:t>S</w:t>
      </w:r>
      <w:r w:rsidR="00D261DA">
        <w:rPr>
          <w:b/>
        </w:rPr>
        <w:t>torage</w:t>
      </w:r>
      <w:r w:rsidR="00D261DA">
        <w:rPr>
          <w:rStyle w:val="FootnoteReference"/>
          <w:b/>
        </w:rPr>
        <w:footnoteReference w:id="124"/>
      </w:r>
    </w:p>
    <w:p w14:paraId="7332C4F0" w14:textId="77777777" w:rsidR="00D261DA" w:rsidRPr="00205B50" w:rsidRDefault="00D261DA" w:rsidP="00D261DA">
      <w:pPr>
        <w:pStyle w:val="ALJBodyText"/>
        <w:jc w:val="center"/>
        <w:rPr>
          <w:b/>
        </w:rPr>
      </w:pPr>
    </w:p>
    <w:p w14:paraId="7DBA0ED7" w14:textId="171E1283" w:rsidR="00D261DA" w:rsidRDefault="00D261DA" w:rsidP="00FC70A7">
      <w:pPr>
        <w:pStyle w:val="ALJBodyText"/>
        <w:numPr>
          <w:ilvl w:val="0"/>
          <w:numId w:val="33"/>
        </w:numPr>
        <w:spacing w:line="276" w:lineRule="auto"/>
      </w:pPr>
      <w:r w:rsidRPr="008E71DF">
        <w:t>Lithium batteries are governed by UL 1642, where requirements are established to reduce the risk of fire or explosion</w:t>
      </w:r>
      <w:r w:rsidR="00FC70A7">
        <w:t>;</w:t>
      </w:r>
      <w:r>
        <w:rPr>
          <w:rStyle w:val="FootnoteReference"/>
        </w:rPr>
        <w:footnoteReference w:id="125"/>
      </w:r>
    </w:p>
    <w:p w14:paraId="597FFA17" w14:textId="77777777" w:rsidR="00FC70A7" w:rsidRDefault="00FC70A7" w:rsidP="00FC70A7">
      <w:pPr>
        <w:pStyle w:val="ALJBodyText"/>
        <w:spacing w:line="276" w:lineRule="auto"/>
      </w:pPr>
    </w:p>
    <w:p w14:paraId="65D83E6C" w14:textId="1E5BB5F3" w:rsidR="00D261DA" w:rsidRDefault="00D261DA" w:rsidP="00FC70A7">
      <w:pPr>
        <w:pStyle w:val="ALJBodyText"/>
        <w:numPr>
          <w:ilvl w:val="0"/>
          <w:numId w:val="33"/>
        </w:numPr>
        <w:spacing w:line="276" w:lineRule="auto"/>
      </w:pPr>
      <w:r w:rsidRPr="008E71DF">
        <w:t xml:space="preserve">Inverters, converters, controllers and interconnection system equipment for use with </w:t>
      </w:r>
      <w:r w:rsidR="00F22DD1">
        <w:t xml:space="preserve">distributed energy resources </w:t>
      </w:r>
      <w:r w:rsidRPr="008E71DF">
        <w:t xml:space="preserve">are governed by UL 1741, IEEE 1547, and </w:t>
      </w:r>
      <w:r w:rsidR="00F22DD1">
        <w:t>National Fire Protection Association (</w:t>
      </w:r>
      <w:r w:rsidRPr="008E71DF">
        <w:t>NFPA</w:t>
      </w:r>
      <w:r w:rsidR="00F22DD1">
        <w:t>)</w:t>
      </w:r>
      <w:r w:rsidRPr="008E71DF">
        <w:t xml:space="preserve"> 70 where these requirements cover among other things rapid shutdown requirements</w:t>
      </w:r>
      <w:r w:rsidR="00FC70A7">
        <w:t>;</w:t>
      </w:r>
      <w:r>
        <w:rPr>
          <w:rStyle w:val="FootnoteReference"/>
        </w:rPr>
        <w:footnoteReference w:id="126"/>
      </w:r>
    </w:p>
    <w:p w14:paraId="1DAA32A7" w14:textId="77777777" w:rsidR="00FC70A7" w:rsidRDefault="00FC70A7" w:rsidP="00FC70A7">
      <w:pPr>
        <w:pStyle w:val="ALJBodyText"/>
        <w:spacing w:line="276" w:lineRule="auto"/>
      </w:pPr>
    </w:p>
    <w:p w14:paraId="33DF99DD" w14:textId="0BD66F64" w:rsidR="00D261DA" w:rsidRDefault="00D261DA" w:rsidP="00FC70A7">
      <w:pPr>
        <w:pStyle w:val="ALJBodyText"/>
        <w:numPr>
          <w:ilvl w:val="0"/>
          <w:numId w:val="33"/>
        </w:numPr>
        <w:spacing w:line="276" w:lineRule="auto"/>
      </w:pPr>
      <w:r w:rsidRPr="008E71DF">
        <w:t>Energy storage systems or battery systems that are paired with PV or wind turbines are governed by UL 1973 to evaluate that the asset can safely withstand simulated abuse conditions</w:t>
      </w:r>
      <w:r w:rsidR="00FC70A7">
        <w:t>;</w:t>
      </w:r>
      <w:r>
        <w:rPr>
          <w:rStyle w:val="FootnoteReference"/>
        </w:rPr>
        <w:footnoteReference w:id="127"/>
      </w:r>
    </w:p>
    <w:p w14:paraId="2565F288" w14:textId="77777777" w:rsidR="00FC70A7" w:rsidRDefault="00FC70A7" w:rsidP="00FC70A7">
      <w:pPr>
        <w:pStyle w:val="ALJBodyText"/>
        <w:spacing w:line="276" w:lineRule="auto"/>
      </w:pPr>
    </w:p>
    <w:p w14:paraId="241E8AF4" w14:textId="73C25D39" w:rsidR="00D261DA" w:rsidRDefault="00D261DA" w:rsidP="00FC70A7">
      <w:pPr>
        <w:pStyle w:val="ALJBodyText"/>
        <w:numPr>
          <w:ilvl w:val="0"/>
          <w:numId w:val="33"/>
        </w:numPr>
        <w:spacing w:line="276" w:lineRule="auto"/>
      </w:pPr>
      <w:r w:rsidRPr="008E71DF">
        <w:t>The broader category for standalone energy storage, including electrochemical, chemical, mechanical, and thermal devices, are governed by UL 9540, which covers fire detection and suppression, among other things</w:t>
      </w:r>
      <w:r w:rsidR="00FC70A7">
        <w:t>;</w:t>
      </w:r>
      <w:r>
        <w:rPr>
          <w:rStyle w:val="FootnoteReference"/>
        </w:rPr>
        <w:footnoteReference w:id="128"/>
      </w:r>
    </w:p>
    <w:p w14:paraId="53161848" w14:textId="77777777" w:rsidR="00FC70A7" w:rsidRDefault="00FC70A7" w:rsidP="00FC70A7">
      <w:pPr>
        <w:pStyle w:val="ALJBodyText"/>
        <w:spacing w:line="276" w:lineRule="auto"/>
      </w:pPr>
    </w:p>
    <w:p w14:paraId="42C57A0C" w14:textId="11AE69EF" w:rsidR="00D261DA" w:rsidRDefault="00D261DA" w:rsidP="00FC70A7">
      <w:pPr>
        <w:pStyle w:val="ALJBodyText"/>
        <w:numPr>
          <w:ilvl w:val="0"/>
          <w:numId w:val="33"/>
        </w:numPr>
        <w:spacing w:line="276" w:lineRule="auto"/>
      </w:pPr>
      <w:r w:rsidRPr="008E71DF">
        <w:lastRenderedPageBreak/>
        <w:t>For the installation of energy storage systems, the following relevant codes and standards are present</w:t>
      </w:r>
      <w:r w:rsidR="00FC70A7">
        <w:t>:</w:t>
      </w:r>
      <w:r>
        <w:rPr>
          <w:rStyle w:val="FootnoteReference"/>
        </w:rPr>
        <w:footnoteReference w:id="129"/>
      </w:r>
    </w:p>
    <w:p w14:paraId="6B22BF40" w14:textId="77777777" w:rsidR="00FC70A7" w:rsidRDefault="00FC70A7" w:rsidP="00FC70A7">
      <w:pPr>
        <w:pStyle w:val="ALJBodyText"/>
        <w:spacing w:line="276" w:lineRule="auto"/>
      </w:pPr>
    </w:p>
    <w:p w14:paraId="2CE7FC2C" w14:textId="7F530A2C" w:rsidR="00D261DA" w:rsidRDefault="00D261DA" w:rsidP="00FC70A7">
      <w:pPr>
        <w:pStyle w:val="ALJBodyText"/>
        <w:numPr>
          <w:ilvl w:val="1"/>
          <w:numId w:val="33"/>
        </w:numPr>
        <w:spacing w:line="276" w:lineRule="auto"/>
      </w:pPr>
      <w:r>
        <w:t>Fire and smoke detection, fire suppression, fire and smoke containment (NFPA 1, 12, 15, 101, 850, and 851)</w:t>
      </w:r>
      <w:r w:rsidR="00FC70A7">
        <w:t>;</w:t>
      </w:r>
    </w:p>
    <w:p w14:paraId="5AC1E758" w14:textId="2FBA3F48" w:rsidR="00D261DA" w:rsidRDefault="00D261DA" w:rsidP="00FC70A7">
      <w:pPr>
        <w:pStyle w:val="ALJBodyText"/>
        <w:numPr>
          <w:ilvl w:val="1"/>
          <w:numId w:val="33"/>
        </w:numPr>
        <w:spacing w:line="276" w:lineRule="auto"/>
      </w:pPr>
      <w:r>
        <w:t>Mitigation of generation of combustible gases or fluids (NFPA 1, 7, and IEEE 1635)</w:t>
      </w:r>
      <w:r w:rsidR="00FC70A7">
        <w:t>;</w:t>
      </w:r>
    </w:p>
    <w:p w14:paraId="5BD5001F" w14:textId="1AFD6C6E" w:rsidR="00D261DA" w:rsidRDefault="00D261DA" w:rsidP="00FC70A7">
      <w:pPr>
        <w:pStyle w:val="ALJBodyText"/>
        <w:numPr>
          <w:ilvl w:val="1"/>
          <w:numId w:val="33"/>
        </w:numPr>
        <w:spacing w:line="276" w:lineRule="auto"/>
      </w:pPr>
      <w:r>
        <w:t xml:space="preserve">Electrical safety, emergency shutoff, working space, electrical connections for </w:t>
      </w:r>
      <w:r w:rsidR="008D0EBD">
        <w:t>behind</w:t>
      </w:r>
      <w:r w:rsidR="00757681">
        <w:noBreakHyphen/>
      </w:r>
      <w:r w:rsidR="008D0EBD">
        <w:t>the</w:t>
      </w:r>
      <w:r w:rsidR="00757681">
        <w:noBreakHyphen/>
      </w:r>
      <w:r w:rsidR="008D0EBD">
        <w:t xml:space="preserve">meter </w:t>
      </w:r>
      <w:r>
        <w:t>storage (NFPA 70 and 70E)</w:t>
      </w:r>
      <w:r w:rsidR="00FC70A7">
        <w:t>; and,</w:t>
      </w:r>
    </w:p>
    <w:p w14:paraId="15728759" w14:textId="49432BE2" w:rsidR="00D261DA" w:rsidRDefault="00D261DA" w:rsidP="00FC70A7">
      <w:pPr>
        <w:pStyle w:val="ALJBodyText"/>
        <w:numPr>
          <w:ilvl w:val="1"/>
          <w:numId w:val="33"/>
        </w:numPr>
        <w:spacing w:line="276" w:lineRule="auto"/>
      </w:pPr>
      <w:r>
        <w:t xml:space="preserve">Electrical safety, emergency shutoff, remote shutdown, working space, electrical connections for </w:t>
      </w:r>
      <w:r w:rsidR="008D0EBD">
        <w:t>in</w:t>
      </w:r>
      <w:r w:rsidR="00757681">
        <w:noBreakHyphen/>
      </w:r>
      <w:r w:rsidR="008D0EBD">
        <w:t>front</w:t>
      </w:r>
      <w:r w:rsidR="00757681">
        <w:noBreakHyphen/>
      </w:r>
      <w:r w:rsidR="008D0EBD">
        <w:t>of</w:t>
      </w:r>
      <w:r w:rsidR="00757681">
        <w:noBreakHyphen/>
      </w:r>
      <w:r w:rsidR="008D0EBD">
        <w:t xml:space="preserve">meter </w:t>
      </w:r>
      <w:r>
        <w:t>storage (IEEE C2 and NFPA 5000)</w:t>
      </w:r>
      <w:r w:rsidR="00FC70A7">
        <w:t xml:space="preserve">; </w:t>
      </w:r>
    </w:p>
    <w:p w14:paraId="1D295479" w14:textId="77777777" w:rsidR="00FC70A7" w:rsidRDefault="00FC70A7" w:rsidP="00FC70A7">
      <w:pPr>
        <w:pStyle w:val="ALJBodyText"/>
        <w:spacing w:line="276" w:lineRule="auto"/>
      </w:pPr>
    </w:p>
    <w:p w14:paraId="27A1D4FC" w14:textId="7234C753" w:rsidR="00D84D6E" w:rsidRDefault="00D261DA" w:rsidP="00FC70A7">
      <w:pPr>
        <w:pStyle w:val="ALJBodyText"/>
        <w:numPr>
          <w:ilvl w:val="0"/>
          <w:numId w:val="33"/>
        </w:numPr>
        <w:spacing w:line="276" w:lineRule="auto"/>
      </w:pPr>
      <w:r>
        <w:t xml:space="preserve">Anchoring and protection from natural disasters (seismic, flood, etc.) and the elements (rain, snow, wind, etc.) are governed by </w:t>
      </w:r>
      <w:r w:rsidR="00FE6BD3">
        <w:t>International Electrotechnical Commission (</w:t>
      </w:r>
      <w:r>
        <w:t>IEC</w:t>
      </w:r>
      <w:r w:rsidR="00FE6BD3">
        <w:t>)</w:t>
      </w:r>
      <w:r>
        <w:t xml:space="preserve"> 60529, IEEE 1375, UL 96A, I</w:t>
      </w:r>
      <w:r w:rsidR="008D0EBD">
        <w:t>nternational Finance Corporation (I</w:t>
      </w:r>
      <w:r>
        <w:t>FC</w:t>
      </w:r>
      <w:r w:rsidR="008D0EBD">
        <w:t xml:space="preserve">) </w:t>
      </w:r>
      <w:r>
        <w:t>and NFPA 70 and 5000</w:t>
      </w:r>
      <w:r w:rsidR="00D84D6E">
        <w:t>; and,</w:t>
      </w:r>
    </w:p>
    <w:p w14:paraId="6DCFAC84" w14:textId="77777777" w:rsidR="006D6982" w:rsidRDefault="006D6982" w:rsidP="00CE14ED">
      <w:pPr>
        <w:pStyle w:val="ALJBodyText"/>
        <w:spacing w:line="276" w:lineRule="auto"/>
      </w:pPr>
    </w:p>
    <w:p w14:paraId="71246AFD" w14:textId="1D0E3EDF" w:rsidR="00FC70A7" w:rsidRDefault="00D84D6E" w:rsidP="00FC70A7">
      <w:pPr>
        <w:pStyle w:val="ALJBodyText"/>
        <w:numPr>
          <w:ilvl w:val="0"/>
          <w:numId w:val="33"/>
        </w:numPr>
        <w:spacing w:line="276" w:lineRule="auto"/>
      </w:pPr>
      <w:r>
        <w:t>Proposed Standard for the Installation of Stationary Energy Storage Systems</w:t>
      </w:r>
      <w:r w:rsidR="00757681">
        <w:noBreakHyphen/>
      </w:r>
      <w:r>
        <w:t xml:space="preserve"> NFPA 855.</w:t>
      </w:r>
      <w:r>
        <w:rPr>
          <w:rStyle w:val="FootnoteReference"/>
        </w:rPr>
        <w:footnoteReference w:id="130"/>
      </w:r>
    </w:p>
    <w:p w14:paraId="71984D96" w14:textId="77777777" w:rsidR="003871CE" w:rsidRDefault="003871CE">
      <w:pPr>
        <w:pStyle w:val="ALJBodyText"/>
      </w:pPr>
    </w:p>
    <w:p w14:paraId="31E3BF6E" w14:textId="77777777" w:rsidR="00201C0E" w:rsidRDefault="00201C0E">
      <w:pPr>
        <w:pStyle w:val="ALJBodyText"/>
      </w:pPr>
    </w:p>
    <w:p w14:paraId="0933B8E1" w14:textId="20484204" w:rsidR="00201C0E" w:rsidRPr="003871CE" w:rsidRDefault="00201C0E" w:rsidP="00201C0E">
      <w:pPr>
        <w:pStyle w:val="ALJBodyText"/>
        <w:jc w:val="center"/>
      </w:pPr>
      <w:r>
        <w:t>(End of Attachment C)</w:t>
      </w:r>
    </w:p>
    <w:sectPr w:rsidR="00201C0E" w:rsidRPr="003871CE" w:rsidSect="00201C0E">
      <w:footerReference w:type="default" r:id="rId29"/>
      <w:footerReference w:type="first" r:id="rId30"/>
      <w:footnotePr>
        <w:numRestart w:val="eachSect"/>
      </w:footnotePr>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A52D6" w16cid:durableId="21207B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AE35D" w14:textId="77777777" w:rsidR="00D02976" w:rsidRDefault="00D02976" w:rsidP="008F5856">
      <w:r>
        <w:separator/>
      </w:r>
    </w:p>
  </w:endnote>
  <w:endnote w:type="continuationSeparator" w:id="0">
    <w:p w14:paraId="606EAC54" w14:textId="77777777" w:rsidR="00D02976" w:rsidRDefault="00D02976" w:rsidP="008F5856">
      <w:r>
        <w:continuationSeparator/>
      </w:r>
    </w:p>
  </w:endnote>
  <w:endnote w:type="continuationNotice" w:id="1">
    <w:p w14:paraId="7D430969" w14:textId="77777777" w:rsidR="00D02976" w:rsidRDefault="00D02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0"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Antiqua">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A6D0" w14:textId="29C53339" w:rsidR="005F549C" w:rsidRDefault="00AB292B" w:rsidP="00C43634">
    <w:pPr>
      <w:pStyle w:val="Footer"/>
      <w:ind w:left="1080"/>
      <w:jc w:val="center"/>
    </w:pPr>
    <w:sdt>
      <w:sdtPr>
        <w:id w:val="1566754428"/>
        <w:docPartObj>
          <w:docPartGallery w:val="Page Numbers (Bottom of Page)"/>
          <w:docPartUnique/>
        </w:docPartObj>
      </w:sdtPr>
      <w:sdtEndPr>
        <w:rPr>
          <w:noProof/>
        </w:rPr>
      </w:sdtEndPr>
      <w:sdtContent>
        <w:r w:rsidR="005F549C">
          <w:noBreakHyphen/>
          <w:t xml:space="preserve"> </w:t>
        </w:r>
        <w:r w:rsidR="005F549C">
          <w:fldChar w:fldCharType="begin"/>
        </w:r>
        <w:r w:rsidR="005F549C">
          <w:instrText xml:space="preserve"> PAGE   \* MERGEFORMAT </w:instrText>
        </w:r>
        <w:r w:rsidR="005F549C">
          <w:fldChar w:fldCharType="separate"/>
        </w:r>
        <w:r>
          <w:rPr>
            <w:noProof/>
          </w:rPr>
          <w:t>129</w:t>
        </w:r>
        <w:r w:rsidR="005F549C">
          <w:rPr>
            <w:noProof/>
          </w:rPr>
          <w:fldChar w:fldCharType="end"/>
        </w:r>
        <w:r w:rsidR="005F549C">
          <w:rPr>
            <w:noProof/>
          </w:rPr>
          <w:t xml:space="preserve"> </w:t>
        </w:r>
        <w:r w:rsidR="005F549C">
          <w:rPr>
            <w:noProof/>
          </w:rPr>
          <w:noBreakHyphen/>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61EF" w14:textId="6D275887" w:rsidR="005F549C" w:rsidRDefault="00AB292B" w:rsidP="00201C0E">
    <w:pPr>
      <w:pStyle w:val="Footer"/>
      <w:tabs>
        <w:tab w:val="clear" w:pos="4680"/>
      </w:tabs>
      <w:jc w:val="center"/>
    </w:pPr>
    <w:sdt>
      <w:sdtPr>
        <w:id w:val="-472142027"/>
        <w:docPartObj>
          <w:docPartGallery w:val="Page Numbers (Bottom of Page)"/>
          <w:docPartUnique/>
        </w:docPartObj>
      </w:sdtPr>
      <w:sdtEndPr>
        <w:rPr>
          <w:noProof/>
        </w:rPr>
      </w:sdtEndPr>
      <w:sdtContent>
        <w:r w:rsidR="005F549C">
          <w:noBreakHyphen/>
          <w:t>C</w:t>
        </w:r>
        <w:r w:rsidR="005F549C">
          <w:fldChar w:fldCharType="begin"/>
        </w:r>
        <w:r w:rsidR="005F549C">
          <w:instrText xml:space="preserve"> PAGE   \* MERGEFORMAT </w:instrText>
        </w:r>
        <w:r w:rsidR="005F549C">
          <w:fldChar w:fldCharType="separate"/>
        </w:r>
        <w:r>
          <w:rPr>
            <w:noProof/>
          </w:rPr>
          <w:t>2</w:t>
        </w:r>
        <w:r w:rsidR="005F549C">
          <w:rPr>
            <w:noProof/>
          </w:rPr>
          <w:fldChar w:fldCharType="end"/>
        </w:r>
        <w:r w:rsidR="005F549C">
          <w:rPr>
            <w:noProof/>
          </w:rPr>
          <w:t xml:space="preserve"> </w:t>
        </w:r>
        <w:r w:rsidR="005F549C">
          <w:rPr>
            <w:noProof/>
          </w:rPr>
          <w:noBreakHyphen/>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D273" w14:textId="75023838" w:rsidR="005F549C" w:rsidRPr="00C43634" w:rsidRDefault="005F549C" w:rsidP="00201C0E">
    <w:pPr>
      <w:pStyle w:val="Footer"/>
      <w:tabs>
        <w:tab w:val="clear" w:pos="4680"/>
      </w:tabs>
      <w:jc w:val="center"/>
    </w:pPr>
    <w:r>
      <w:noBreakHyphen/>
      <w:t xml:space="preserve"> C</w:t>
    </w:r>
    <w:r>
      <w:fldChar w:fldCharType="begin"/>
    </w:r>
    <w:r>
      <w:instrText xml:space="preserve"> PAGE   \* MERGEFORMAT </w:instrText>
    </w:r>
    <w:r>
      <w:fldChar w:fldCharType="separate"/>
    </w:r>
    <w:r w:rsidR="00AB292B">
      <w:rPr>
        <w:noProof/>
      </w:rPr>
      <w:t>1</w:t>
    </w:r>
    <w:r>
      <w:rPr>
        <w:noProof/>
      </w:rPr>
      <w:fldChar w:fldCharType="end"/>
    </w:r>
    <w:r>
      <w:rPr>
        <w:noProof/>
      </w:rPr>
      <w:t xml:space="preserve"> </w:t>
    </w:r>
    <w:r>
      <w:rPr>
        <w:noProof/>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ADCC" w14:textId="76DC8128" w:rsidR="005F549C" w:rsidRPr="001B04C0" w:rsidRDefault="000F427C" w:rsidP="00C43634">
    <w:pPr>
      <w:pStyle w:val="Footer"/>
      <w:rPr>
        <w:noProof/>
      </w:rPr>
    </w:pPr>
    <w:r>
      <w:rPr>
        <w:rFonts w:ascii="Tahoma" w:hAnsi="Tahoma" w:cs="Tahoma"/>
        <w:sz w:val="17"/>
        <w:szCs w:val="17"/>
      </w:rPr>
      <w:t>313975481</w:t>
    </w:r>
    <w:r w:rsidR="005F549C">
      <w:tab/>
    </w:r>
    <w:r w:rsidR="005F549C">
      <w:noBreakHyphen/>
      <w:t xml:space="preserve"> </w:t>
    </w:r>
    <w:r w:rsidR="005F549C">
      <w:fldChar w:fldCharType="begin"/>
    </w:r>
    <w:r w:rsidR="005F549C">
      <w:instrText xml:space="preserve"> PAGE   \* MERGEFORMAT </w:instrText>
    </w:r>
    <w:r w:rsidR="005F549C">
      <w:fldChar w:fldCharType="separate"/>
    </w:r>
    <w:r w:rsidR="00AB292B">
      <w:rPr>
        <w:noProof/>
      </w:rPr>
      <w:t>1</w:t>
    </w:r>
    <w:r w:rsidR="005F549C">
      <w:rPr>
        <w:noProof/>
      </w:rPr>
      <w:fldChar w:fldCharType="end"/>
    </w:r>
    <w:r w:rsidR="005F549C">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33FA" w14:textId="2815DEAE" w:rsidR="005F549C" w:rsidRPr="00C43634" w:rsidRDefault="005F549C" w:rsidP="00C43634">
    <w:pPr>
      <w:pStyle w:val="Footer"/>
    </w:pPr>
    <w:r>
      <w:tab/>
    </w:r>
    <w:r>
      <w:noBreakHyphen/>
      <w:t xml:space="preserve"> </w:t>
    </w:r>
    <w:r>
      <w:fldChar w:fldCharType="begin"/>
    </w:r>
    <w:r>
      <w:instrText xml:space="preserve"> PAGE   \* MERGEFORMAT </w:instrText>
    </w:r>
    <w:r>
      <w:fldChar w:fldCharType="separate"/>
    </w:r>
    <w:r w:rsidR="00AB292B">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24F5" w14:textId="08CCC69A" w:rsidR="005F549C" w:rsidRPr="00C43634" w:rsidRDefault="005F549C" w:rsidP="00C43634">
    <w:pPr>
      <w:pStyle w:val="Footer"/>
    </w:pPr>
    <w:r>
      <w:tab/>
    </w:r>
    <w:r>
      <w:noBreakHyphen/>
      <w:t xml:space="preserve"> </w:t>
    </w:r>
    <w:r>
      <w:fldChar w:fldCharType="begin"/>
    </w:r>
    <w:r>
      <w:instrText xml:space="preserve"> PAGE   \* MERGEFORMAT </w:instrText>
    </w:r>
    <w:r>
      <w:fldChar w:fldCharType="separate"/>
    </w:r>
    <w:r w:rsidR="00AB292B">
      <w:rPr>
        <w:noProof/>
      </w:rPr>
      <w:t>i</w:t>
    </w:r>
    <w:r>
      <w:rPr>
        <w:noProof/>
      </w:rPr>
      <w:fldChar w:fldCharType="end"/>
    </w:r>
    <w:r>
      <w:rPr>
        <w:noProof/>
      </w:rPr>
      <w:t xml:space="preserve">ii </w:t>
    </w:r>
    <w:r>
      <w:rPr>
        <w:noProof/>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34DAE" w14:textId="02E78BA1" w:rsidR="005F549C" w:rsidRPr="00C43634" w:rsidRDefault="005F549C" w:rsidP="00C43634">
    <w:pPr>
      <w:pStyle w:val="Footer"/>
    </w:pPr>
    <w:r>
      <w:tab/>
    </w:r>
    <w:r>
      <w:noBreakHyphen/>
      <w:t xml:space="preserve"> </w:t>
    </w:r>
    <w:r>
      <w:fldChar w:fldCharType="begin"/>
    </w:r>
    <w:r>
      <w:instrText xml:space="preserve"> PAGE   \* MERGEFORMAT </w:instrText>
    </w:r>
    <w:r>
      <w:fldChar w:fldCharType="separate"/>
    </w:r>
    <w:r w:rsidR="00AB292B">
      <w:rPr>
        <w:noProof/>
      </w:rPr>
      <w:t>2</w:t>
    </w:r>
    <w:r>
      <w:rPr>
        <w:noProof/>
      </w:rPr>
      <w:fldChar w:fldCharType="end"/>
    </w:r>
    <w:r>
      <w:rPr>
        <w:noProof/>
      </w:rPr>
      <w:t xml:space="preserve"> </w:t>
    </w:r>
    <w:r>
      <w:rPr>
        <w:noProof/>
      </w:rPr>
      <w:noBreakHyphen/>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E3895" w14:textId="3B6EF87D" w:rsidR="005F549C" w:rsidRDefault="00AB292B" w:rsidP="00201C0E">
    <w:pPr>
      <w:pStyle w:val="Footer"/>
      <w:tabs>
        <w:tab w:val="clear" w:pos="4680"/>
      </w:tabs>
      <w:jc w:val="center"/>
    </w:pPr>
    <w:sdt>
      <w:sdtPr>
        <w:id w:val="-314952142"/>
        <w:docPartObj>
          <w:docPartGallery w:val="Page Numbers (Bottom of Page)"/>
          <w:docPartUnique/>
        </w:docPartObj>
      </w:sdtPr>
      <w:sdtEndPr>
        <w:rPr>
          <w:noProof/>
        </w:rPr>
      </w:sdtEndPr>
      <w:sdtContent>
        <w:r w:rsidR="005F549C">
          <w:noBreakHyphen/>
          <w:t>A</w:t>
        </w:r>
        <w:r w:rsidR="005F549C">
          <w:fldChar w:fldCharType="begin"/>
        </w:r>
        <w:r w:rsidR="005F549C">
          <w:instrText xml:space="preserve"> PAGE   \* MERGEFORMAT </w:instrText>
        </w:r>
        <w:r w:rsidR="005F549C">
          <w:fldChar w:fldCharType="separate"/>
        </w:r>
        <w:r>
          <w:rPr>
            <w:noProof/>
          </w:rPr>
          <w:t>5</w:t>
        </w:r>
        <w:r w:rsidR="005F549C">
          <w:rPr>
            <w:noProof/>
          </w:rPr>
          <w:fldChar w:fldCharType="end"/>
        </w:r>
        <w:r w:rsidR="005F549C">
          <w:rPr>
            <w:noProof/>
          </w:rPr>
          <w:t xml:space="preserve"> </w:t>
        </w:r>
        <w:r w:rsidR="005F549C">
          <w:rPr>
            <w:noProof/>
          </w:rPr>
          <w:noBreakHyphen/>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D6E8" w14:textId="3C5CEECF" w:rsidR="005F549C" w:rsidRPr="00C43634" w:rsidRDefault="005F549C" w:rsidP="00201C0E">
    <w:pPr>
      <w:pStyle w:val="Footer"/>
      <w:tabs>
        <w:tab w:val="clear" w:pos="4680"/>
      </w:tabs>
      <w:jc w:val="center"/>
    </w:pPr>
    <w:r>
      <w:noBreakHyphen/>
      <w:t xml:space="preserve"> A</w:t>
    </w:r>
    <w:r>
      <w:fldChar w:fldCharType="begin"/>
    </w:r>
    <w:r>
      <w:instrText xml:space="preserve"> PAGE   \* MERGEFORMAT </w:instrText>
    </w:r>
    <w:r>
      <w:fldChar w:fldCharType="separate"/>
    </w:r>
    <w:r w:rsidR="00AB292B">
      <w:rPr>
        <w:noProof/>
      </w:rPr>
      <w:t>1</w:t>
    </w:r>
    <w:r>
      <w:rPr>
        <w:noProof/>
      </w:rPr>
      <w:fldChar w:fldCharType="end"/>
    </w:r>
    <w:r>
      <w:rPr>
        <w:noProof/>
      </w:rPr>
      <w:t xml:space="preserve"> </w:t>
    </w:r>
    <w:r>
      <w:rPr>
        <w:noProof/>
      </w:rPr>
      <w:noBreakHyphen/>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61AC" w14:textId="3DA29EA2" w:rsidR="005F549C" w:rsidRDefault="00AB292B" w:rsidP="00201C0E">
    <w:pPr>
      <w:pStyle w:val="Footer"/>
      <w:tabs>
        <w:tab w:val="clear" w:pos="4680"/>
      </w:tabs>
      <w:jc w:val="center"/>
    </w:pPr>
    <w:sdt>
      <w:sdtPr>
        <w:id w:val="-1189682952"/>
        <w:docPartObj>
          <w:docPartGallery w:val="Page Numbers (Bottom of Page)"/>
          <w:docPartUnique/>
        </w:docPartObj>
      </w:sdtPr>
      <w:sdtEndPr>
        <w:rPr>
          <w:noProof/>
        </w:rPr>
      </w:sdtEndPr>
      <w:sdtContent>
        <w:r w:rsidR="005F549C">
          <w:noBreakHyphen/>
          <w:t>B</w:t>
        </w:r>
        <w:r w:rsidR="005F549C">
          <w:fldChar w:fldCharType="begin"/>
        </w:r>
        <w:r w:rsidR="005F549C">
          <w:instrText xml:space="preserve"> PAGE   \* MERGEFORMAT </w:instrText>
        </w:r>
        <w:r w:rsidR="005F549C">
          <w:fldChar w:fldCharType="separate"/>
        </w:r>
        <w:r>
          <w:rPr>
            <w:noProof/>
          </w:rPr>
          <w:t>2</w:t>
        </w:r>
        <w:r w:rsidR="005F549C">
          <w:rPr>
            <w:noProof/>
          </w:rPr>
          <w:fldChar w:fldCharType="end"/>
        </w:r>
        <w:r w:rsidR="005F549C">
          <w:rPr>
            <w:noProof/>
          </w:rPr>
          <w:t xml:space="preserve"> </w:t>
        </w:r>
        <w:r w:rsidR="005F549C">
          <w:rPr>
            <w:noProof/>
          </w:rPr>
          <w:noBreakHyphen/>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843C5" w14:textId="53050971" w:rsidR="005F549C" w:rsidRPr="00C43634" w:rsidRDefault="005F549C" w:rsidP="00201C0E">
    <w:pPr>
      <w:pStyle w:val="Footer"/>
      <w:tabs>
        <w:tab w:val="clear" w:pos="4680"/>
      </w:tabs>
      <w:jc w:val="center"/>
    </w:pPr>
    <w:r>
      <w:noBreakHyphen/>
      <w:t xml:space="preserve"> B</w:t>
    </w:r>
    <w:r>
      <w:fldChar w:fldCharType="begin"/>
    </w:r>
    <w:r>
      <w:instrText xml:space="preserve"> PAGE   \* MERGEFORMAT </w:instrText>
    </w:r>
    <w:r>
      <w:fldChar w:fldCharType="separate"/>
    </w:r>
    <w:r w:rsidR="00AB292B">
      <w:rPr>
        <w:noProof/>
      </w:rPr>
      <w:t>1</w:t>
    </w:r>
    <w:r>
      <w:rPr>
        <w:noProof/>
      </w:rPr>
      <w:fldChar w:fldCharType="end"/>
    </w:r>
    <w:r>
      <w:rPr>
        <w:noProof/>
      </w:rPr>
      <w:t xml:space="preserve"> </w:t>
    </w:r>
    <w:r>
      <w:rPr>
        <w:noProof/>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251C1" w14:textId="77777777" w:rsidR="00D02976" w:rsidRPr="00300E6A" w:rsidRDefault="00D02976" w:rsidP="00300E6A">
      <w:pPr>
        <w:pStyle w:val="Footer"/>
      </w:pPr>
      <w:r w:rsidRPr="00540A8D">
        <w:noBreakHyphen/>
      </w:r>
      <w:r w:rsidRPr="00540A8D">
        <w:noBreakHyphen/>
      </w:r>
      <w:r w:rsidRPr="00540A8D">
        <w:noBreakHyphen/>
      </w:r>
      <w:r w:rsidRPr="00540A8D">
        <w:noBreakHyphen/>
      </w:r>
      <w:r w:rsidRPr="00540A8D">
        <w:noBreakHyphen/>
      </w:r>
      <w:r w:rsidRPr="00540A8D">
        <w:noBreakHyphen/>
      </w:r>
      <w:r w:rsidRPr="00540A8D">
        <w:noBreakHyphen/>
      </w:r>
      <w:r w:rsidRPr="00540A8D">
        <w:noBreakHyphen/>
      </w:r>
      <w:r w:rsidRPr="00540A8D">
        <w:noBreakHyphen/>
      </w:r>
      <w:r w:rsidRPr="00540A8D">
        <w:noBreakHyphen/>
      </w:r>
      <w:r w:rsidRPr="00540A8D">
        <w:noBreakHyphen/>
      </w:r>
      <w:r w:rsidRPr="00540A8D">
        <w:noBreakHyphen/>
      </w:r>
      <w:r w:rsidRPr="00540A8D">
        <w:noBreakHyphen/>
      </w:r>
      <w:r w:rsidRPr="00540A8D">
        <w:noBreakHyphen/>
      </w:r>
      <w:r w:rsidRPr="00540A8D">
        <w:noBreakHyphen/>
      </w:r>
      <w:r w:rsidRPr="00540A8D">
        <w:noBreakHyphen/>
      </w:r>
      <w:r w:rsidRPr="00540A8D">
        <w:noBreakHyphen/>
      </w:r>
      <w:r w:rsidRPr="00540A8D">
        <w:noBreakHyphen/>
      </w:r>
    </w:p>
  </w:footnote>
  <w:footnote w:type="continuationSeparator" w:id="0">
    <w:p w14:paraId="7EE144CF" w14:textId="77777777" w:rsidR="00D02976" w:rsidRDefault="00D02976" w:rsidP="008F5856">
      <w:r>
        <w:continuationSeparator/>
      </w:r>
    </w:p>
  </w:footnote>
  <w:footnote w:type="continuationNotice" w:id="1">
    <w:p w14:paraId="2B860634" w14:textId="77777777" w:rsidR="00D02976" w:rsidRPr="00CA4BCF" w:rsidRDefault="00D02976" w:rsidP="00CA4BCF">
      <w:pPr>
        <w:jc w:val="right"/>
        <w:rPr>
          <w:i/>
          <w:sz w:val="20"/>
        </w:rPr>
      </w:pPr>
      <w:r w:rsidRPr="00CA4BCF">
        <w:rPr>
          <w:i/>
          <w:sz w:val="20"/>
        </w:rPr>
        <w:t>Footnote continued on next page</w:t>
      </w:r>
    </w:p>
  </w:footnote>
  <w:footnote w:id="2">
    <w:p w14:paraId="6F47DF13" w14:textId="62258D92" w:rsidR="005F549C" w:rsidRPr="00C4647E" w:rsidRDefault="005F549C" w:rsidP="00CA4BCF">
      <w:pPr>
        <w:spacing w:after="120"/>
        <w:rPr>
          <w:sz w:val="22"/>
          <w:szCs w:val="22"/>
        </w:rPr>
      </w:pPr>
      <w:r w:rsidRPr="00C4647E">
        <w:rPr>
          <w:rStyle w:val="FootnoteReference"/>
          <w:sz w:val="22"/>
          <w:szCs w:val="22"/>
        </w:rPr>
        <w:footnoteRef/>
      </w:r>
      <w:r>
        <w:rPr>
          <w:sz w:val="22"/>
          <w:szCs w:val="22"/>
        </w:rPr>
        <w:t xml:space="preserve"> </w:t>
      </w:r>
      <w:r w:rsidRPr="00C4647E">
        <w:rPr>
          <w:sz w:val="22"/>
          <w:szCs w:val="22"/>
        </w:rPr>
        <w:t>Stats. 2019, Ch. 839 (Wiener).</w:t>
      </w:r>
    </w:p>
  </w:footnote>
  <w:footnote w:id="3">
    <w:p w14:paraId="494B5CB8" w14:textId="1C35F6CE" w:rsidR="005F549C" w:rsidRPr="00C4647E" w:rsidRDefault="005F549C" w:rsidP="00CA4BCF">
      <w:pPr>
        <w:pStyle w:val="FootnoteText"/>
      </w:pPr>
      <w:r w:rsidRPr="00C4647E">
        <w:rPr>
          <w:rStyle w:val="FootnoteReference"/>
        </w:rPr>
        <w:footnoteRef/>
      </w:r>
      <w:r>
        <w:t xml:space="preserve"> </w:t>
      </w:r>
      <w:r w:rsidRPr="00C4647E">
        <w:rPr>
          <w:i/>
        </w:rPr>
        <w:t>Assigned Commissioner’s Ruling Seeking Comment on Implementation of Senate Bill 700 and Other Program Modifications,</w:t>
      </w:r>
      <w:r w:rsidRPr="00C4647E">
        <w:t xml:space="preserve"> April 15, 2019. </w:t>
      </w:r>
    </w:p>
  </w:footnote>
  <w:footnote w:id="4">
    <w:p w14:paraId="19AC7E9D" w14:textId="49E20892" w:rsidR="005F549C" w:rsidRPr="008F1A86" w:rsidRDefault="005F549C" w:rsidP="00CA4BCF">
      <w:pPr>
        <w:pStyle w:val="FootnoteText"/>
        <w:rPr>
          <w:sz w:val="24"/>
          <w:szCs w:val="24"/>
        </w:rPr>
      </w:pPr>
      <w:r w:rsidRPr="00C4647E">
        <w:rPr>
          <w:rStyle w:val="FootnoteReference"/>
        </w:rPr>
        <w:footnoteRef/>
      </w:r>
      <w:r>
        <w:t xml:space="preserve"> </w:t>
      </w:r>
      <w:r w:rsidRPr="00C4647E">
        <w:t>The SGIP ACR at 1 requested party feedback on overall SGIP collection levels for years 2020</w:t>
      </w:r>
      <w:r>
        <w:noBreakHyphen/>
      </w:r>
      <w:r w:rsidRPr="00C4647E">
        <w:t>2024, funding allocations among technology and customer sectors, incentive levels, equity budget program and incentive design, incentive step</w:t>
      </w:r>
      <w:r>
        <w:noBreakHyphen/>
      </w:r>
      <w:r w:rsidRPr="00C4647E">
        <w:t>down structure, administrative budget, resiliency, SGIP modifications to support the San Joaquin Valley pilot projects, and, thermal energy storage and coordination with the new building de</w:t>
      </w:r>
      <w:r>
        <w:noBreakHyphen/>
      </w:r>
      <w:r w:rsidRPr="00C4647E">
        <w:t>carbonization rulemaking.</w:t>
      </w:r>
    </w:p>
  </w:footnote>
  <w:footnote w:id="5">
    <w:p w14:paraId="33E0DB7F" w14:textId="7604E4E5" w:rsidR="005F549C" w:rsidRPr="008F1A86" w:rsidRDefault="005F549C" w:rsidP="00300E6A">
      <w:pPr>
        <w:pStyle w:val="FootnoteText"/>
        <w:rPr>
          <w:sz w:val="24"/>
          <w:szCs w:val="24"/>
        </w:rPr>
      </w:pPr>
      <w:r w:rsidRPr="008F1A86">
        <w:rPr>
          <w:rStyle w:val="FootnoteReference"/>
          <w:sz w:val="24"/>
          <w:szCs w:val="24"/>
        </w:rPr>
        <w:footnoteRef/>
      </w:r>
      <w:r w:rsidRPr="008F1A86">
        <w:rPr>
          <w:sz w:val="24"/>
          <w:szCs w:val="24"/>
        </w:rPr>
        <w:t xml:space="preserve"> </w:t>
      </w:r>
      <w:r w:rsidRPr="00C4647E">
        <w:rPr>
          <w:rStyle w:val="ALJFNChar"/>
          <w:rFonts w:eastAsiaTheme="minorHAnsi"/>
        </w:rPr>
        <w:t>D.18</w:t>
      </w:r>
      <w:r>
        <w:rPr>
          <w:rStyle w:val="ALJFNChar"/>
          <w:rFonts w:eastAsiaTheme="minorHAnsi"/>
        </w:rPr>
        <w:noBreakHyphen/>
      </w:r>
      <w:r w:rsidRPr="00C4647E">
        <w:rPr>
          <w:rStyle w:val="ALJFNChar"/>
          <w:rFonts w:eastAsiaTheme="minorHAnsi"/>
        </w:rPr>
        <w:t>12</w:t>
      </w:r>
      <w:r>
        <w:rPr>
          <w:rStyle w:val="ALJFNChar"/>
          <w:rFonts w:eastAsiaTheme="minorHAnsi"/>
        </w:rPr>
        <w:noBreakHyphen/>
      </w:r>
      <w:r w:rsidRPr="00C4647E">
        <w:rPr>
          <w:rStyle w:val="ALJFNChar"/>
          <w:rFonts w:eastAsiaTheme="minorHAnsi"/>
        </w:rPr>
        <w:t>015 in R.15</w:t>
      </w:r>
      <w:r>
        <w:rPr>
          <w:rStyle w:val="ALJFNChar"/>
          <w:rFonts w:eastAsiaTheme="minorHAnsi"/>
        </w:rPr>
        <w:noBreakHyphen/>
      </w:r>
      <w:r w:rsidRPr="00C4647E">
        <w:rPr>
          <w:rStyle w:val="ALJFNChar"/>
          <w:rFonts w:eastAsiaTheme="minorHAnsi"/>
        </w:rPr>
        <w:t>03</w:t>
      </w:r>
      <w:r>
        <w:rPr>
          <w:rStyle w:val="ALJFNChar"/>
          <w:rFonts w:eastAsiaTheme="minorHAnsi"/>
        </w:rPr>
        <w:noBreakHyphen/>
      </w:r>
      <w:r w:rsidRPr="00C4647E">
        <w:rPr>
          <w:rStyle w:val="ALJFNChar"/>
          <w:rFonts w:eastAsiaTheme="minorHAnsi"/>
        </w:rPr>
        <w:t>010.</w:t>
      </w:r>
      <w:r w:rsidRPr="008F1A86">
        <w:rPr>
          <w:sz w:val="24"/>
          <w:szCs w:val="24"/>
        </w:rPr>
        <w:t xml:space="preserve"> </w:t>
      </w:r>
    </w:p>
  </w:footnote>
  <w:footnote w:id="6">
    <w:p w14:paraId="291673C2" w14:textId="3FA51666" w:rsidR="005F549C" w:rsidRDefault="005F549C" w:rsidP="00300E6A">
      <w:pPr>
        <w:pStyle w:val="FootnoteText"/>
      </w:pPr>
      <w:r>
        <w:rPr>
          <w:rStyle w:val="FootnoteReference"/>
        </w:rPr>
        <w:footnoteRef/>
      </w:r>
      <w:r>
        <w:t xml:space="preserve"> Unless otherwise indicated, all references to code in this decision are to the Public Utilities Code. </w:t>
      </w:r>
    </w:p>
  </w:footnote>
  <w:footnote w:id="7">
    <w:p w14:paraId="09EA39A9" w14:textId="3994423E" w:rsidR="005F549C" w:rsidRPr="003E23C5" w:rsidRDefault="005F549C" w:rsidP="00E0409D">
      <w:pPr>
        <w:pStyle w:val="FootnoteText"/>
      </w:pPr>
      <w:r w:rsidRPr="003E23C5">
        <w:rPr>
          <w:rStyle w:val="FootnoteReference"/>
        </w:rPr>
        <w:footnoteRef/>
      </w:r>
      <w:r w:rsidRPr="003E23C5">
        <w:t xml:space="preserve"> D.17</w:t>
      </w:r>
      <w:r>
        <w:noBreakHyphen/>
      </w:r>
      <w:r w:rsidRPr="003E23C5">
        <w:t>10</w:t>
      </w:r>
      <w:r>
        <w:noBreakHyphen/>
      </w:r>
      <w:r w:rsidRPr="003E23C5">
        <w:t xml:space="preserve">004, Finding of Fact 1 and 2 at 28. </w:t>
      </w:r>
    </w:p>
  </w:footnote>
  <w:footnote w:id="8">
    <w:p w14:paraId="2B6FD22D" w14:textId="75B9ED8A" w:rsidR="005F549C" w:rsidRDefault="005F549C">
      <w:pPr>
        <w:pStyle w:val="FootnoteText"/>
      </w:pPr>
      <w:r w:rsidRPr="003E23C5">
        <w:rPr>
          <w:rStyle w:val="FootnoteReference"/>
        </w:rPr>
        <w:footnoteRef/>
      </w:r>
      <w:r w:rsidRPr="003E23C5">
        <w:t xml:space="preserve"> SGIP incentives decline as funding in each PA step is depleted.</w:t>
      </w:r>
      <w:r>
        <w:t xml:space="preserve"> </w:t>
      </w:r>
      <w:r w:rsidRPr="003E23C5">
        <w:t xml:space="preserve"> Current SGIP incentive steps can be found in the SGIP </w:t>
      </w:r>
      <w:r>
        <w:t>handbook</w:t>
      </w:r>
      <w:r w:rsidRPr="003E23C5">
        <w:t xml:space="preserve"> and at https://www.selfgenca.com/home/program_metrics/.</w:t>
      </w:r>
    </w:p>
  </w:footnote>
  <w:footnote w:id="9">
    <w:p w14:paraId="47031F6B" w14:textId="1CD3EF3C" w:rsidR="005F549C" w:rsidRDefault="005F549C">
      <w:pPr>
        <w:pStyle w:val="FootnoteText"/>
      </w:pPr>
      <w:r>
        <w:rPr>
          <w:rStyle w:val="FootnoteReference"/>
        </w:rPr>
        <w:footnoteRef/>
      </w:r>
      <w:r>
        <w:t xml:space="preserve"> </w:t>
      </w:r>
      <w:r w:rsidRPr="0016308D">
        <w:rPr>
          <w:i/>
          <w:iCs/>
        </w:rPr>
        <w:t>Assigned Commissioner’s Second Amended Ruling and Scoping Memo</w:t>
      </w:r>
      <w:r>
        <w:t>, June 9, 2017 at 6</w:t>
      </w:r>
      <w:r>
        <w:noBreakHyphen/>
        <w:t xml:space="preserve">7.  The </w:t>
      </w:r>
      <w:r w:rsidRPr="0016308D">
        <w:rPr>
          <w:i/>
          <w:iCs/>
        </w:rPr>
        <w:t>Assigned Commissioner’s Ruling Amending Scope and Schedule on Proposed Changes to the Self</w:t>
      </w:r>
      <w:r>
        <w:rPr>
          <w:i/>
          <w:iCs/>
        </w:rPr>
        <w:noBreakHyphen/>
      </w:r>
      <w:r w:rsidRPr="0016308D">
        <w:rPr>
          <w:i/>
          <w:iCs/>
        </w:rPr>
        <w:t>Generation Incentive Program and Extending Statutory Period</w:t>
      </w:r>
      <w:r>
        <w:t>, issued on July 26, 2018, did not amend this scope.  SGIP ACR at 1.</w:t>
      </w:r>
    </w:p>
  </w:footnote>
  <w:footnote w:id="10">
    <w:p w14:paraId="20FF6C16" w14:textId="286439F4" w:rsidR="005F549C" w:rsidRDefault="005F549C">
      <w:pPr>
        <w:pStyle w:val="FootnoteText"/>
      </w:pPr>
      <w:r w:rsidRPr="003E23C5">
        <w:rPr>
          <w:rStyle w:val="FootnoteReference"/>
        </w:rPr>
        <w:footnoteRef/>
      </w:r>
      <w:r w:rsidRPr="003E23C5">
        <w:t xml:space="preserve"> D.17</w:t>
      </w:r>
      <w:r>
        <w:noBreakHyphen/>
      </w:r>
      <w:r w:rsidRPr="003E23C5">
        <w:t>10</w:t>
      </w:r>
      <w:r>
        <w:noBreakHyphen/>
      </w:r>
      <w:r w:rsidRPr="003E23C5">
        <w:t>004 at 10</w:t>
      </w:r>
      <w:r>
        <w:noBreakHyphen/>
      </w:r>
      <w:r w:rsidRPr="003E23C5">
        <w:t>17.</w:t>
      </w:r>
      <w:r>
        <w:t xml:space="preserve"> </w:t>
      </w:r>
    </w:p>
  </w:footnote>
  <w:footnote w:id="11">
    <w:p w14:paraId="462C9490" w14:textId="78DAC7B5" w:rsidR="005F549C" w:rsidRPr="00CB3913" w:rsidRDefault="005F549C" w:rsidP="00CB3913">
      <w:pPr>
        <w:pStyle w:val="FootnoteText"/>
      </w:pPr>
      <w:r>
        <w:rPr>
          <w:rStyle w:val="FootnoteReference"/>
        </w:rPr>
        <w:footnoteRef/>
      </w:r>
      <w:r>
        <w:t xml:space="preserve"> The </w:t>
      </w:r>
      <w:r w:rsidRPr="00191673">
        <w:t>California Communities Environmental Health Sc</w:t>
      </w:r>
      <w:r>
        <w:t xml:space="preserve">reening Tool (CalEnviroScreen) </w:t>
      </w:r>
      <w:r w:rsidRPr="00CB3913">
        <w:t>identifies California communities by census tract that are disproportionately burdened by, and vulnerable to, multiple sources of pollution</w:t>
      </w:r>
      <w:r>
        <w:t>.  The tool is managed by t</w:t>
      </w:r>
      <w:r w:rsidRPr="00CB3913">
        <w:t>he Office of Environmental Health Hazard Assessment (OEHHA), on behalf of the California Environmental Prote</w:t>
      </w:r>
      <w:r>
        <w:t xml:space="preserve">ction Agency (CalEPA) and may be accessed here: </w:t>
      </w:r>
      <w:hyperlink r:id="rId1" w:history="1">
        <w:r w:rsidRPr="00793474">
          <w:rPr>
            <w:rStyle w:val="Hyperlink"/>
          </w:rPr>
          <w:t>https://oehha.ca.gov/calenviroscreen/report/calenviroscreen</w:t>
        </w:r>
        <w:r>
          <w:rPr>
            <w:rStyle w:val="Hyperlink"/>
          </w:rPr>
          <w:noBreakHyphen/>
        </w:r>
        <w:r w:rsidRPr="00793474">
          <w:rPr>
            <w:rStyle w:val="Hyperlink"/>
          </w:rPr>
          <w:t>30</w:t>
        </w:r>
      </w:hyperlink>
      <w:r>
        <w:t>.</w:t>
      </w:r>
    </w:p>
    <w:p w14:paraId="1180265D" w14:textId="1BF26565" w:rsidR="005F549C" w:rsidRDefault="005F549C">
      <w:pPr>
        <w:pStyle w:val="FootnoteText"/>
      </w:pPr>
    </w:p>
  </w:footnote>
  <w:footnote w:id="12">
    <w:p w14:paraId="49050288" w14:textId="69C998D2" w:rsidR="005F549C" w:rsidRDefault="005F549C" w:rsidP="003E23C5">
      <w:pPr>
        <w:pStyle w:val="FootnoteText"/>
      </w:pPr>
      <w:r>
        <w:rPr>
          <w:rStyle w:val="FootnoteReference"/>
        </w:rPr>
        <w:footnoteRef/>
      </w:r>
      <w:r>
        <w:t xml:space="preserve"> 18 </w:t>
      </w:r>
      <w:r w:rsidRPr="00C6687D">
        <w:t xml:space="preserve">USC 1151: Except as otherwise provided in sections 1154 and 1156 of this title, the term “Indian </w:t>
      </w:r>
      <w:r>
        <w:t>C</w:t>
      </w:r>
      <w:r w:rsidRPr="00C6687D">
        <w:t>ountry</w:t>
      </w:r>
      <w:r>
        <w:t>,</w:t>
      </w:r>
      <w:r w:rsidRPr="00C6687D">
        <w:t>”</w:t>
      </w:r>
      <w:r>
        <w:t xml:space="preserve"> </w:t>
      </w:r>
      <w:r w:rsidRPr="00C6687D">
        <w:t>as used in this chapter, means (a) all land within the limits of any Indian reservation under the jurisdiction of the United States Government, notwithstanding the issuance of any patent, and, including rights</w:t>
      </w:r>
      <w:r>
        <w:noBreakHyphen/>
      </w:r>
      <w:r w:rsidRPr="00C6687D">
        <w:t>of</w:t>
      </w:r>
      <w:r>
        <w:noBreakHyphen/>
      </w:r>
      <w:r w:rsidRPr="00C6687D">
        <w:t>way running through the reservation, (b) all dependent Indian communities within the borders of the United States whether within the original or subsequently acquired territory thereof, and whether within or without the limits of a state, and (c) all Indian allotments, the Indian titles to which have not been extinguished, including rights</w:t>
      </w:r>
      <w:r>
        <w:noBreakHyphen/>
      </w:r>
      <w:r w:rsidRPr="00C6687D">
        <w:t>of</w:t>
      </w:r>
      <w:r>
        <w:noBreakHyphen/>
      </w:r>
      <w:r w:rsidRPr="00C6687D">
        <w:t>way running through the same.</w:t>
      </w:r>
    </w:p>
  </w:footnote>
  <w:footnote w:id="13">
    <w:p w14:paraId="10E18402" w14:textId="1D22442D" w:rsidR="005F549C" w:rsidRPr="00C4647E" w:rsidRDefault="005F549C" w:rsidP="00C4647E">
      <w:pPr>
        <w:pStyle w:val="FootnoteText"/>
      </w:pPr>
      <w:r>
        <w:rPr>
          <w:rStyle w:val="FootnoteReference"/>
        </w:rPr>
        <w:footnoteRef/>
      </w:r>
      <w:r>
        <w:t xml:space="preserve"> CESA, “Comments on SGIP ACR,” May 30, </w:t>
      </w:r>
      <w:r w:rsidRPr="0084594E">
        <w:t xml:space="preserve">2019 </w:t>
      </w:r>
      <w:r w:rsidRPr="00856B3F">
        <w:t xml:space="preserve">at </w:t>
      </w:r>
      <w:r w:rsidRPr="0084594E">
        <w:t>7</w:t>
      </w:r>
      <w:r w:rsidRPr="00F17551">
        <w:t>; The SOMAH P</w:t>
      </w:r>
      <w:r>
        <w:t xml:space="preserve">rogram launched on July 1, 2019.  </w:t>
      </w:r>
      <w:r w:rsidRPr="00C4647E">
        <w:rPr>
          <w:i/>
        </w:rPr>
        <w:t xml:space="preserve">See </w:t>
      </w:r>
      <w:r>
        <w:t xml:space="preserve">also: </w:t>
      </w:r>
      <w:hyperlink r:id="rId2" w:history="1">
        <w:r w:rsidRPr="00C4647E">
          <w:rPr>
            <w:rStyle w:val="Hyperlink"/>
          </w:rPr>
          <w:t>https://www.cpuc.ca.gov/General.aspx?id=6442454736</w:t>
        </w:r>
      </w:hyperlink>
      <w:r>
        <w:t>.</w:t>
      </w:r>
    </w:p>
    <w:p w14:paraId="22FC87AE" w14:textId="21B36AAF" w:rsidR="005F549C" w:rsidRDefault="005F549C" w:rsidP="00841EF4">
      <w:pPr>
        <w:pStyle w:val="FootnoteText"/>
      </w:pPr>
    </w:p>
  </w:footnote>
  <w:footnote w:id="14">
    <w:p w14:paraId="3CCAEF89" w14:textId="40AD833A" w:rsidR="005F549C" w:rsidRDefault="005F549C" w:rsidP="00D56CA5">
      <w:pPr>
        <w:pStyle w:val="FootnoteText"/>
      </w:pPr>
      <w:r>
        <w:rPr>
          <w:rStyle w:val="FootnoteReference"/>
        </w:rPr>
        <w:footnoteRef/>
      </w:r>
      <w:r>
        <w:t xml:space="preserve"> D.17</w:t>
      </w:r>
      <w:r>
        <w:noBreakHyphen/>
        <w:t>12</w:t>
      </w:r>
      <w:r>
        <w:noBreakHyphen/>
        <w:t>022 directed the statewide PA to submit a Tier 3 advice letter with the SOMAH Program handbook.  On April 2, 2019, the Commission issued Resolution E</w:t>
      </w:r>
      <w:r>
        <w:noBreakHyphen/>
        <w:t>4987 that approved the SOMAH Program handbook.</w:t>
      </w:r>
    </w:p>
  </w:footnote>
  <w:footnote w:id="15">
    <w:p w14:paraId="33CA5B09" w14:textId="4D4F9EED" w:rsidR="005F549C" w:rsidRDefault="005F549C" w:rsidP="00CC44C1">
      <w:pPr>
        <w:pStyle w:val="FootnoteText"/>
      </w:pPr>
      <w:r>
        <w:rPr>
          <w:rStyle w:val="FootnoteReference"/>
        </w:rPr>
        <w:footnoteRef/>
      </w:r>
      <w:r>
        <w:t xml:space="preserve"> Eligible multifamily low</w:t>
      </w:r>
      <w:r>
        <w:noBreakHyphen/>
        <w:t>income properties must adhere to Section 2852 (a)(3)(A)(i) compliance elements for multifamily residential complexes with deed restrictions or regulatory agreements pursuant to terms of financing or financial assistance by one or more of the following: low</w:t>
      </w:r>
      <w:r>
        <w:noBreakHyphen/>
        <w:t>income housing tax credits, tax</w:t>
      </w:r>
      <w:r>
        <w:noBreakHyphen/>
        <w:t>exempt mortgage revenue bonds, general obligation bonds or local, state, or federal loans or grants.  Rents for low</w:t>
      </w:r>
      <w:r>
        <w:noBreakHyphen/>
        <w:t>income tenants must be maintained within required limits pursuant to the property’s affordable housing restrictions.  The deed restriction or regulatory agreement must be independently enforceable and verifiable and cannot be contingent upon participation in the SOMAH program.</w:t>
      </w:r>
    </w:p>
  </w:footnote>
  <w:footnote w:id="16">
    <w:p w14:paraId="0AD03C5B" w14:textId="56DDA0C7" w:rsidR="005F549C" w:rsidRDefault="005F549C" w:rsidP="00D56CA5">
      <w:pPr>
        <w:pStyle w:val="FootnoteText"/>
      </w:pPr>
      <w:r>
        <w:rPr>
          <w:rStyle w:val="FootnoteReference"/>
        </w:rPr>
        <w:footnoteRef/>
      </w:r>
      <w:r>
        <w:t xml:space="preserve"> SASH Program handbook, available at: </w:t>
      </w:r>
      <w:hyperlink r:id="rId3" w:history="1">
        <w:r w:rsidRPr="00E03B2B">
          <w:rPr>
            <w:rStyle w:val="Hyperlink"/>
          </w:rPr>
          <w:t>http://gridalternatives.org/sites/default/files/SASH%202.0_handbook%20Update_FINAL.pdf</w:t>
        </w:r>
      </w:hyperlink>
      <w:r>
        <w:t>.</w:t>
      </w:r>
    </w:p>
  </w:footnote>
  <w:footnote w:id="17">
    <w:p w14:paraId="44FF8570" w14:textId="09E59CED" w:rsidR="005F549C" w:rsidRPr="00AC5BBC" w:rsidRDefault="005F549C" w:rsidP="00AC5BBC">
      <w:pPr>
        <w:pStyle w:val="FootnoteText"/>
      </w:pPr>
      <w:r>
        <w:rPr>
          <w:rStyle w:val="FootnoteReference"/>
        </w:rPr>
        <w:footnoteRef/>
      </w:r>
      <w:r>
        <w:t xml:space="preserve"> MASH Program handbook, available here: </w:t>
      </w:r>
      <w:hyperlink r:id="rId4" w:history="1">
        <w:r w:rsidRPr="00AC5BBC">
          <w:rPr>
            <w:rStyle w:val="Hyperlink"/>
          </w:rPr>
          <w:t>https://www.cpuc.ca.gov/General.aspx?id=3752</w:t>
        </w:r>
      </w:hyperlink>
      <w:r>
        <w:t>.</w:t>
      </w:r>
    </w:p>
    <w:p w14:paraId="010D9C4E" w14:textId="2FDED2B3" w:rsidR="005F549C" w:rsidRDefault="005F549C">
      <w:pPr>
        <w:pStyle w:val="FootnoteText"/>
      </w:pPr>
    </w:p>
  </w:footnote>
  <w:footnote w:id="18">
    <w:p w14:paraId="7AF10A30" w14:textId="297650F3" w:rsidR="005F549C" w:rsidRDefault="005F549C" w:rsidP="00C4647E">
      <w:pPr>
        <w:pStyle w:val="FootnoteText"/>
      </w:pPr>
      <w:r>
        <w:rPr>
          <w:rStyle w:val="FootnoteReference"/>
        </w:rPr>
        <w:footnoteRef/>
      </w:r>
      <w:r>
        <w:t xml:space="preserve"> </w:t>
      </w:r>
      <w:r w:rsidRPr="0095008A">
        <w:t>The 1976 Warren</w:t>
      </w:r>
      <w:r>
        <w:noBreakHyphen/>
      </w:r>
      <w:r w:rsidRPr="0095008A">
        <w:t>Miller Lifeline Act established</w:t>
      </w:r>
      <w:r>
        <w:t xml:space="preserve"> Section 739 </w:t>
      </w:r>
      <w:r w:rsidRPr="0095008A">
        <w:t>authorized baselines for all customers and directed the Commission to provide larger quantities of power at the baseline rate to residential customers who have special medical needs and/or are dependent on life</w:t>
      </w:r>
      <w:r>
        <w:noBreakHyphen/>
      </w:r>
      <w:r w:rsidRPr="0095008A">
        <w:t>support equipment.  The list of conditions and devices are specified in statute as residential customers dependent on life</w:t>
      </w:r>
      <w:r>
        <w:noBreakHyphen/>
      </w:r>
      <w:r w:rsidRPr="0095008A">
        <w:t>support equipment, including, but not limited to, emphysema and pulmonary patients.  Medical baseline</w:t>
      </w:r>
      <w:r>
        <w:t>s</w:t>
      </w:r>
      <w:r w:rsidRPr="0095008A">
        <w:t xml:space="preserve"> are set in general rate case and </w:t>
      </w:r>
      <w:r>
        <w:t>rate design window proceedings.</w:t>
      </w:r>
      <w:r w:rsidRPr="0095008A">
        <w:t xml:space="preserve"> </w:t>
      </w:r>
      <w:r>
        <w:t xml:space="preserve"> </w:t>
      </w:r>
      <w:r w:rsidRPr="00C4647E">
        <w:rPr>
          <w:i/>
        </w:rPr>
        <w:t>See</w:t>
      </w:r>
      <w:r w:rsidRPr="0095008A">
        <w:t xml:space="preserve"> D.86087, 80 CPUC 182.</w:t>
      </w:r>
      <w:r>
        <w:t xml:space="preserve"> </w:t>
      </w:r>
    </w:p>
  </w:footnote>
  <w:footnote w:id="19">
    <w:p w14:paraId="3A2F4FAD" w14:textId="78B5652B" w:rsidR="005F549C" w:rsidRDefault="005F549C">
      <w:pPr>
        <w:pStyle w:val="FootnoteText"/>
      </w:pPr>
      <w:r>
        <w:rPr>
          <w:rStyle w:val="FootnoteReference"/>
        </w:rPr>
        <w:footnoteRef/>
      </w:r>
      <w:r>
        <w:t xml:space="preserve"> </w:t>
      </w:r>
      <w:r w:rsidRPr="00C4647E">
        <w:t>D.12</w:t>
      </w:r>
      <w:r>
        <w:noBreakHyphen/>
      </w:r>
      <w:r w:rsidRPr="00C4647E">
        <w:t>03</w:t>
      </w:r>
      <w:r>
        <w:noBreakHyphen/>
      </w:r>
      <w:r w:rsidRPr="00C4647E">
        <w:t>054, Ordering Paragraph (OP) 2</w:t>
      </w:r>
      <w:r>
        <w:t>(h) cited in D.19</w:t>
      </w:r>
      <w:r>
        <w:noBreakHyphen/>
        <w:t>05</w:t>
      </w:r>
      <w:r>
        <w:noBreakHyphen/>
        <w:t>042 at 82 states, “t</w:t>
      </w:r>
      <w:r w:rsidRPr="00C4647E">
        <w:t>he utility shall provide a field person who can collect on a bill during an in</w:t>
      </w:r>
      <w:r>
        <w:noBreakHyphen/>
      </w:r>
      <w:r w:rsidRPr="00C4647E">
        <w:t>person visit prior to disconnection for medical baseline and life support customers and customers who certify that they have a serious illness or condition that could become life threatening if service is disconnect</w:t>
      </w:r>
      <w:r>
        <w:t>ed;” D.12</w:t>
      </w:r>
      <w:r>
        <w:noBreakHyphen/>
        <w:t>03</w:t>
      </w:r>
      <w:r>
        <w:noBreakHyphen/>
        <w:t>054 OP 6 states, “w</w:t>
      </w:r>
      <w:r w:rsidRPr="00C4647E">
        <w:t>ithin 60 days of the effective date of this decision, Pacific Gas and Electric Company and Southern California Edison Company shall file compliance reports in this docket explaining (a) how they will notify customers with a serious illness or condition that could become life</w:t>
      </w:r>
      <w:r>
        <w:noBreakHyphen/>
      </w:r>
      <w:r w:rsidRPr="00C4647E">
        <w:t xml:space="preserve">threatening if service is disconnected, and who face possible disconnection of service, of their option to provide certification to that effect.”  </w:t>
      </w:r>
    </w:p>
  </w:footnote>
  <w:footnote w:id="20">
    <w:p w14:paraId="3F68788E" w14:textId="0090EE28" w:rsidR="005F549C" w:rsidRDefault="005F549C">
      <w:pPr>
        <w:pStyle w:val="FootnoteText"/>
      </w:pPr>
      <w:r>
        <w:rPr>
          <w:rStyle w:val="FootnoteReference"/>
        </w:rPr>
        <w:footnoteRef/>
      </w:r>
      <w:r>
        <w:t xml:space="preserve"> SGIP ACR, April 15, 2019 at 18. </w:t>
      </w:r>
    </w:p>
  </w:footnote>
  <w:footnote w:id="21">
    <w:p w14:paraId="0E95BBF2" w14:textId="5689E5DE" w:rsidR="005F549C" w:rsidRDefault="005F549C" w:rsidP="00ED5A94">
      <w:pPr>
        <w:pStyle w:val="FootnoteText"/>
      </w:pPr>
      <w:r>
        <w:rPr>
          <w:rStyle w:val="FootnoteReference"/>
        </w:rPr>
        <w:footnoteRef/>
      </w:r>
      <w:r>
        <w:t xml:space="preserve"> The Commission i</w:t>
      </w:r>
      <w:r w:rsidRPr="00916897">
        <w:t xml:space="preserve">dentified </w:t>
      </w:r>
      <w:r>
        <w:t xml:space="preserve">HFTDs </w:t>
      </w:r>
      <w:r w:rsidRPr="00916897">
        <w:t>in a process initiated in D.17</w:t>
      </w:r>
      <w:r>
        <w:noBreakHyphen/>
      </w:r>
      <w:r w:rsidRPr="00916897">
        <w:t>01</w:t>
      </w:r>
      <w:r>
        <w:noBreakHyphen/>
      </w:r>
      <w:r w:rsidRPr="00916897">
        <w:t>009 and modified by D.17</w:t>
      </w:r>
      <w:r>
        <w:noBreakHyphen/>
      </w:r>
      <w:r w:rsidRPr="00916897">
        <w:t>06</w:t>
      </w:r>
      <w:r>
        <w:noBreakHyphen/>
      </w:r>
      <w:r w:rsidRPr="00916897">
        <w:t>024.</w:t>
      </w:r>
    </w:p>
  </w:footnote>
  <w:footnote w:id="22">
    <w:p w14:paraId="19ECA32F" w14:textId="607F6300" w:rsidR="005F549C" w:rsidRPr="00ED5A94" w:rsidRDefault="005F549C" w:rsidP="00ED5A94">
      <w:pPr>
        <w:pStyle w:val="FootnoteText"/>
      </w:pPr>
      <w:r>
        <w:rPr>
          <w:rStyle w:val="FootnoteReference"/>
        </w:rPr>
        <w:footnoteRef/>
      </w:r>
      <w:r>
        <w:t xml:space="preserve"> California Department of Forestry and Fire Protection, “Community Wildfire Prevention &amp; Mitigation Report,” February 22, 2019 at 25, available here: </w:t>
      </w:r>
      <w:hyperlink r:id="rId5" w:history="1">
        <w:r w:rsidRPr="00ED5A94">
          <w:rPr>
            <w:rStyle w:val="Hyperlink"/>
          </w:rPr>
          <w:t>https://assets.documentcloud.org/documents/5759583/Cal</w:t>
        </w:r>
        <w:r>
          <w:rPr>
            <w:rStyle w:val="Hyperlink"/>
          </w:rPr>
          <w:noBreakHyphen/>
        </w:r>
        <w:r w:rsidRPr="00ED5A94">
          <w:rPr>
            <w:rStyle w:val="Hyperlink"/>
          </w:rPr>
          <w:t>Fire</w:t>
        </w:r>
        <w:r>
          <w:rPr>
            <w:rStyle w:val="Hyperlink"/>
          </w:rPr>
          <w:noBreakHyphen/>
        </w:r>
        <w:r w:rsidRPr="00ED5A94">
          <w:rPr>
            <w:rStyle w:val="Hyperlink"/>
          </w:rPr>
          <w:t>2019</w:t>
        </w:r>
        <w:r>
          <w:rPr>
            <w:rStyle w:val="Hyperlink"/>
          </w:rPr>
          <w:noBreakHyphen/>
        </w:r>
        <w:r w:rsidRPr="00ED5A94">
          <w:rPr>
            <w:rStyle w:val="Hyperlink"/>
          </w:rPr>
          <w:t>Community</w:t>
        </w:r>
        <w:r>
          <w:rPr>
            <w:rStyle w:val="Hyperlink"/>
          </w:rPr>
          <w:noBreakHyphen/>
        </w:r>
        <w:r w:rsidRPr="00ED5A94">
          <w:rPr>
            <w:rStyle w:val="Hyperlink"/>
          </w:rPr>
          <w:t>Wildfire</w:t>
        </w:r>
        <w:r>
          <w:rPr>
            <w:rStyle w:val="Hyperlink"/>
          </w:rPr>
          <w:noBreakHyphen/>
        </w:r>
        <w:r w:rsidRPr="00ED5A94">
          <w:rPr>
            <w:rStyle w:val="Hyperlink"/>
          </w:rPr>
          <w:t>Prevention</w:t>
        </w:r>
        <w:r>
          <w:rPr>
            <w:rStyle w:val="Hyperlink"/>
          </w:rPr>
          <w:noBreakHyphen/>
        </w:r>
        <w:r w:rsidRPr="00ED5A94">
          <w:rPr>
            <w:rStyle w:val="Hyperlink"/>
          </w:rPr>
          <w:t>and.pdf</w:t>
        </w:r>
      </w:hyperlink>
    </w:p>
    <w:p w14:paraId="2CC3AC9E" w14:textId="537BC766" w:rsidR="005F549C" w:rsidRDefault="005F549C">
      <w:pPr>
        <w:pStyle w:val="FootnoteText"/>
      </w:pPr>
    </w:p>
  </w:footnote>
  <w:footnote w:id="23">
    <w:p w14:paraId="4FF512B9" w14:textId="4EAC26ED" w:rsidR="005F549C" w:rsidRDefault="005F549C">
      <w:pPr>
        <w:pStyle w:val="FootnoteText"/>
      </w:pPr>
      <w:r>
        <w:rPr>
          <w:rStyle w:val="FootnoteReference"/>
        </w:rPr>
        <w:footnoteRef/>
      </w:r>
      <w:r>
        <w:t xml:space="preserve"> CALSSA, “Comments on SGIP ACR”, May 30, 2019 at 15.</w:t>
      </w:r>
    </w:p>
  </w:footnote>
  <w:footnote w:id="24">
    <w:p w14:paraId="2FB2ADC7" w14:textId="0290C13E" w:rsidR="005F549C" w:rsidRDefault="005F549C" w:rsidP="00786232">
      <w:pPr>
        <w:pStyle w:val="FootnoteText"/>
      </w:pPr>
      <w:r>
        <w:rPr>
          <w:rStyle w:val="FootnoteReference"/>
        </w:rPr>
        <w:footnoteRef/>
      </w:r>
      <w:r>
        <w:t xml:space="preserve"> Tesla, “Comments on SGIP ACR,” May 30, 2019 at </w:t>
      </w:r>
      <w:r w:rsidRPr="00786232">
        <w:t xml:space="preserve">11 </w:t>
      </w:r>
      <w:r>
        <w:t>states that, “</w:t>
      </w:r>
      <w:r w:rsidRPr="00786232">
        <w:t>Assuming an average onsite use of 25 kWh/day for a home</w:t>
      </w:r>
      <w:r>
        <w:t xml:space="preserve">, </w:t>
      </w:r>
      <w:r w:rsidRPr="00761C28">
        <w:t xml:space="preserve">Tesla estimates that a full day of </w:t>
      </w:r>
      <w:r>
        <w:t>backup</w:t>
      </w:r>
      <w:r w:rsidRPr="00761C28">
        <w:t xml:space="preserve"> would require the deployment of two Powerwalls. </w:t>
      </w:r>
      <w:r>
        <w:t xml:space="preserve"> </w:t>
      </w:r>
      <w:r w:rsidRPr="00761C28">
        <w:t xml:space="preserve">However, if paired with solar, this same deployment could provide </w:t>
      </w:r>
      <w:r>
        <w:t>backup</w:t>
      </w:r>
      <w:r w:rsidRPr="00761C28">
        <w:t xml:space="preserve"> power for 7 or more days.</w:t>
      </w:r>
      <w:r>
        <w:t>”</w:t>
      </w:r>
    </w:p>
  </w:footnote>
  <w:footnote w:id="25">
    <w:p w14:paraId="29CD84B0" w14:textId="0DBA8898" w:rsidR="005F549C" w:rsidRDefault="005F549C">
      <w:pPr>
        <w:pStyle w:val="FootnoteText"/>
      </w:pPr>
      <w:r>
        <w:rPr>
          <w:rStyle w:val="FootnoteReference"/>
        </w:rPr>
        <w:footnoteRef/>
      </w:r>
      <w:r>
        <w:t xml:space="preserve"> Tesla Powerwall, available here: </w:t>
      </w:r>
      <w:hyperlink r:id="rId6" w:history="1">
        <w:r>
          <w:rPr>
            <w:rStyle w:val="Hyperlink"/>
          </w:rPr>
          <w:t>https://www.tesla.com/powerwall</w:t>
        </w:r>
      </w:hyperlink>
    </w:p>
  </w:footnote>
  <w:footnote w:id="26">
    <w:p w14:paraId="2C15C701" w14:textId="0169D9BF" w:rsidR="005F549C" w:rsidRDefault="005F549C">
      <w:pPr>
        <w:pStyle w:val="FootnoteText"/>
      </w:pPr>
      <w:r>
        <w:rPr>
          <w:rStyle w:val="FootnoteReference"/>
        </w:rPr>
        <w:footnoteRef/>
      </w:r>
      <w:r>
        <w:t xml:space="preserve"> We clarify that this decision generally uses the term “long duration” storage as a synonym for “appropriately sized storage system.”  As CALSSA observes in comments on the proposed decision, the more meaningful metric for resiliency purposes is the ratio of energy storage capacity to daily energy consumption not the ratio of energy storage capacity to maximum discharge rate, which is the more typical industry understanding of “duration.”</w:t>
      </w:r>
    </w:p>
  </w:footnote>
  <w:footnote w:id="27">
    <w:p w14:paraId="61D15DCD" w14:textId="77777777" w:rsidR="005F549C" w:rsidRDefault="005F549C" w:rsidP="00117CC7">
      <w:pPr>
        <w:pStyle w:val="FootnoteText"/>
      </w:pPr>
      <w:r>
        <w:rPr>
          <w:rStyle w:val="FootnoteReference"/>
        </w:rPr>
        <w:footnoteRef/>
      </w:r>
      <w:r>
        <w:t xml:space="preserve"> See SGIP 2017 handbook Section 4.2.4, Ineligible Equipment, at 39, available here: </w:t>
      </w:r>
      <w:hyperlink r:id="rId7" w:history="1">
        <w:r w:rsidRPr="00E03B2B">
          <w:rPr>
            <w:rStyle w:val="Hyperlink"/>
          </w:rPr>
          <w:t>https://www.cpuc.ca.gov/General.aspx?id=5935</w:t>
        </w:r>
      </w:hyperlink>
      <w:r>
        <w:t xml:space="preserve"> </w:t>
      </w:r>
    </w:p>
  </w:footnote>
  <w:footnote w:id="28">
    <w:p w14:paraId="4370A864" w14:textId="5BE6BD59" w:rsidR="005F549C" w:rsidRDefault="005F549C">
      <w:pPr>
        <w:pStyle w:val="FootnoteText"/>
      </w:pPr>
      <w:r>
        <w:rPr>
          <w:rStyle w:val="FootnoteReference"/>
        </w:rPr>
        <w:footnoteRef/>
      </w:r>
      <w:r>
        <w:t xml:space="preserve"> </w:t>
      </w:r>
      <w:r w:rsidRPr="00A841AE">
        <w:t>D.12</w:t>
      </w:r>
      <w:r>
        <w:noBreakHyphen/>
      </w:r>
      <w:r w:rsidRPr="00A841AE">
        <w:t>03</w:t>
      </w:r>
      <w:r>
        <w:noBreakHyphen/>
      </w:r>
      <w:r w:rsidRPr="00A841AE">
        <w:t>054</w:t>
      </w:r>
      <w:r>
        <w:t>.</w:t>
      </w:r>
    </w:p>
  </w:footnote>
  <w:footnote w:id="29">
    <w:p w14:paraId="5085D8F5" w14:textId="0C5D58AC" w:rsidR="005F549C" w:rsidRDefault="005F549C">
      <w:pPr>
        <w:pStyle w:val="FootnoteText"/>
      </w:pPr>
      <w:r>
        <w:rPr>
          <w:rStyle w:val="FootnoteReference"/>
        </w:rPr>
        <w:footnoteRef/>
      </w:r>
      <w:r>
        <w:t xml:space="preserve"> D.19</w:t>
      </w:r>
      <w:r>
        <w:noBreakHyphen/>
        <w:t>05</w:t>
      </w:r>
      <w:r>
        <w:noBreakHyphen/>
        <w:t xml:space="preserve">042, Appendix C at C4.  </w:t>
      </w:r>
      <w:r w:rsidRPr="00B03FAE">
        <w:t xml:space="preserve">The terms critical facilities and critical infrastructure can be used synonymously.  </w:t>
      </w:r>
    </w:p>
  </w:footnote>
  <w:footnote w:id="30">
    <w:p w14:paraId="76CE2A7D" w14:textId="6817B4DB" w:rsidR="005F549C" w:rsidRDefault="005F549C">
      <w:pPr>
        <w:pStyle w:val="FootnoteText"/>
      </w:pPr>
      <w:r>
        <w:rPr>
          <w:rStyle w:val="FootnoteReference"/>
        </w:rPr>
        <w:footnoteRef/>
      </w:r>
      <w:r>
        <w:t xml:space="preserve"> </w:t>
      </w:r>
      <w:r w:rsidRPr="00B03FAE">
        <w:rPr>
          <w:i/>
          <w:iCs/>
        </w:rPr>
        <w:t xml:space="preserve">Ibid </w:t>
      </w:r>
      <w:r>
        <w:t xml:space="preserve">at C2. </w:t>
      </w:r>
    </w:p>
  </w:footnote>
  <w:footnote w:id="31">
    <w:p w14:paraId="6E1C545F" w14:textId="78231B31" w:rsidR="005F549C" w:rsidRDefault="005F549C" w:rsidP="00121D09">
      <w:pPr>
        <w:pStyle w:val="FootnoteText"/>
      </w:pPr>
      <w:r>
        <w:rPr>
          <w:rStyle w:val="FootnoteReference"/>
        </w:rPr>
        <w:footnoteRef/>
      </w:r>
      <w:r>
        <w:t xml:space="preserve"> Resolution ESRB</w:t>
      </w:r>
      <w:r>
        <w:noBreakHyphen/>
        <w:t>8, directs IOU to develop De</w:t>
      </w:r>
      <w:r>
        <w:noBreakHyphen/>
        <w:t>energization Plans, which must include Public Outreach, Notice and Mitigation Plans that include how the IOU will assist customers during PSPS events, and to file reports after PSPS events that identify all community assistance locations that were activated and describe the assistance that was provided.</w:t>
      </w:r>
    </w:p>
  </w:footnote>
  <w:footnote w:id="32">
    <w:p w14:paraId="51F84C48" w14:textId="15949980" w:rsidR="005F549C" w:rsidRDefault="005F549C">
      <w:pPr>
        <w:pStyle w:val="FootnoteText"/>
      </w:pPr>
      <w:r>
        <w:rPr>
          <w:rStyle w:val="FootnoteReference"/>
        </w:rPr>
        <w:footnoteRef/>
      </w:r>
      <w:r>
        <w:t xml:space="preserve"> Although D.16</w:t>
      </w:r>
      <w:r>
        <w:noBreakHyphen/>
        <w:t>06</w:t>
      </w:r>
      <w:r>
        <w:noBreakHyphen/>
        <w:t>055 adopted the duration step</w:t>
      </w:r>
      <w:r>
        <w:noBreakHyphen/>
        <w:t xml:space="preserve">down incentive structure prior to the establishment of the equity budget in </w:t>
      </w:r>
      <w:r w:rsidRPr="00D90C3E">
        <w:t>D.17</w:t>
      </w:r>
      <w:r>
        <w:noBreakHyphen/>
      </w:r>
      <w:r w:rsidRPr="00D90C3E">
        <w:t>10</w:t>
      </w:r>
      <w:r>
        <w:noBreakHyphen/>
      </w:r>
      <w:r w:rsidRPr="00D90C3E">
        <w:t>004</w:t>
      </w:r>
      <w:r>
        <w:t>, the latter decision</w:t>
      </w:r>
      <w:r w:rsidRPr="00D90C3E">
        <w:t xml:space="preserve"> stipulates that “all existing SGIP rules apply unless expressly changed pursuant to this decision</w:t>
      </w:r>
      <w:r>
        <w:t>;” D.17</w:t>
      </w:r>
      <w:r>
        <w:noBreakHyphen/>
        <w:t>10</w:t>
      </w:r>
      <w:r>
        <w:noBreakHyphen/>
        <w:t xml:space="preserve">004 at 8. </w:t>
      </w:r>
    </w:p>
  </w:footnote>
  <w:footnote w:id="33">
    <w:p w14:paraId="13946398" w14:textId="1501C65F" w:rsidR="005F549C" w:rsidRDefault="005F549C">
      <w:pPr>
        <w:pStyle w:val="FootnoteText"/>
      </w:pPr>
      <w:r>
        <w:rPr>
          <w:rStyle w:val="FootnoteReference"/>
        </w:rPr>
        <w:footnoteRef/>
      </w:r>
      <w:r>
        <w:t xml:space="preserve"> D.16</w:t>
      </w:r>
      <w:r>
        <w:noBreakHyphen/>
        <w:t>06</w:t>
      </w:r>
      <w:r>
        <w:noBreakHyphen/>
        <w:t>055 at 28.</w:t>
      </w:r>
    </w:p>
  </w:footnote>
  <w:footnote w:id="34">
    <w:p w14:paraId="35A3EE9E" w14:textId="77777777" w:rsidR="005F549C" w:rsidRDefault="005F549C" w:rsidP="001D5B7A">
      <w:pPr>
        <w:pStyle w:val="FootnoteText"/>
      </w:pPr>
      <w:r>
        <w:rPr>
          <w:rStyle w:val="FootnoteReference"/>
        </w:rPr>
        <w:footnoteRef/>
      </w:r>
      <w:r>
        <w:t xml:space="preserve"> CESA, “Comments on SGIP ACR” at 19. </w:t>
      </w:r>
    </w:p>
  </w:footnote>
  <w:footnote w:id="35">
    <w:p w14:paraId="6D05F598" w14:textId="3842C7BD" w:rsidR="005F549C" w:rsidRDefault="005F549C" w:rsidP="001D5B7A">
      <w:pPr>
        <w:pStyle w:val="FootnoteText"/>
      </w:pPr>
      <w:r>
        <w:rPr>
          <w:rStyle w:val="FootnoteReference"/>
        </w:rPr>
        <w:footnoteRef/>
      </w:r>
      <w:r>
        <w:t xml:space="preserve"> CSE, “Comments on SGIP ACR,” May 30, 2019 </w:t>
      </w:r>
      <w:r w:rsidRPr="00625D5F">
        <w:t>at 18.</w:t>
      </w:r>
    </w:p>
  </w:footnote>
  <w:footnote w:id="36">
    <w:p w14:paraId="7FE410BB" w14:textId="460457AD" w:rsidR="005F549C" w:rsidRDefault="005F549C" w:rsidP="0037295E">
      <w:pPr>
        <w:pStyle w:val="FootnoteText"/>
      </w:pPr>
      <w:r>
        <w:rPr>
          <w:rStyle w:val="FootnoteReference"/>
        </w:rPr>
        <w:footnoteRef/>
      </w:r>
      <w:r>
        <w:t xml:space="preserve"> SGIP handbook</w:t>
      </w:r>
      <w:r w:rsidRPr="00A841AE">
        <w:t xml:space="preserve"> at 24, available here: </w:t>
      </w:r>
      <w:hyperlink r:id="rId8" w:history="1">
        <w:r w:rsidRPr="00A841AE">
          <w:rPr>
            <w:rStyle w:val="Hyperlink"/>
          </w:rPr>
          <w:t>https://www.cpuc.ca.gov/General.aspx?id=5935</w:t>
        </w:r>
      </w:hyperlink>
      <w:r>
        <w:t xml:space="preserve"> </w:t>
      </w:r>
    </w:p>
  </w:footnote>
  <w:footnote w:id="37">
    <w:p w14:paraId="50101046" w14:textId="23FB25A5" w:rsidR="005F549C" w:rsidRPr="00AB1591" w:rsidRDefault="005F549C" w:rsidP="0037295E">
      <w:pPr>
        <w:pStyle w:val="ALJFN"/>
      </w:pPr>
      <w:r w:rsidRPr="00AB1591">
        <w:rPr>
          <w:rStyle w:val="FootnoteReference"/>
        </w:rPr>
        <w:footnoteRef/>
      </w:r>
      <w:r w:rsidRPr="00AB1591">
        <w:t xml:space="preserve">  D.17</w:t>
      </w:r>
      <w:r>
        <w:noBreakHyphen/>
      </w:r>
      <w:r w:rsidRPr="00AB1591">
        <w:t>10</w:t>
      </w:r>
      <w:r>
        <w:noBreakHyphen/>
      </w:r>
      <w:r w:rsidRPr="00AB1591">
        <w:t>004, p. 23</w:t>
      </w:r>
      <w:r>
        <w:noBreakHyphen/>
      </w:r>
      <w:r w:rsidRPr="00AB1591">
        <w:t>25.</w:t>
      </w:r>
    </w:p>
  </w:footnote>
  <w:footnote w:id="38">
    <w:p w14:paraId="134D1B82" w14:textId="77777777" w:rsidR="005F549C" w:rsidRPr="00AB1591" w:rsidRDefault="005F549C" w:rsidP="0037295E">
      <w:pPr>
        <w:pStyle w:val="ALJFN"/>
      </w:pPr>
      <w:r w:rsidRPr="00AB1591">
        <w:rPr>
          <w:rStyle w:val="FootnoteReference"/>
        </w:rPr>
        <w:footnoteRef/>
      </w:r>
      <w:r w:rsidRPr="00AB1591">
        <w:t xml:space="preserve">  </w:t>
      </w:r>
      <w:r w:rsidRPr="00F55EEA">
        <w:t xml:space="preserve">Current incentive rates vary by PA service territory depending on which step the PA is in.  </w:t>
      </w:r>
      <w:r w:rsidRPr="00F55EEA">
        <w:rPr>
          <w:i/>
        </w:rPr>
        <w:t>See</w:t>
      </w:r>
      <w:r w:rsidRPr="00F55EEA">
        <w:t xml:space="preserve"> </w:t>
      </w:r>
      <w:hyperlink r:id="rId9" w:history="1">
        <w:r w:rsidRPr="00F55EEA">
          <w:rPr>
            <w:rStyle w:val="Hyperlink"/>
          </w:rPr>
          <w:t>https://www.selfgenca.com/home/program_metrics</w:t>
        </w:r>
      </w:hyperlink>
      <w:r w:rsidRPr="00F55EEA">
        <w:t xml:space="preserve"> for incentive rates by PA.</w:t>
      </w:r>
    </w:p>
  </w:footnote>
  <w:footnote w:id="39">
    <w:p w14:paraId="47B76323" w14:textId="06522485" w:rsidR="005F549C" w:rsidRDefault="005F549C">
      <w:pPr>
        <w:pStyle w:val="FootnoteText"/>
      </w:pPr>
      <w:r>
        <w:rPr>
          <w:rStyle w:val="FootnoteReference"/>
        </w:rPr>
        <w:footnoteRef/>
      </w:r>
      <w:r>
        <w:t xml:space="preserve"> </w:t>
      </w:r>
      <w:r w:rsidRPr="00667C82">
        <w:t>D. 15</w:t>
      </w:r>
      <w:r>
        <w:noBreakHyphen/>
      </w:r>
      <w:r w:rsidRPr="00667C82">
        <w:t>01</w:t>
      </w:r>
      <w:r>
        <w:noBreakHyphen/>
      </w:r>
      <w:r w:rsidRPr="00667C82">
        <w:t>027 at 47, Conclusion of Law 38 and D.18</w:t>
      </w:r>
      <w:r>
        <w:noBreakHyphen/>
      </w:r>
      <w:r w:rsidRPr="00667C82">
        <w:t>06</w:t>
      </w:r>
      <w:r>
        <w:noBreakHyphen/>
      </w:r>
      <w:r w:rsidRPr="00667C82">
        <w:t>027 at A</w:t>
      </w:r>
      <w:r>
        <w:noBreakHyphen/>
      </w:r>
      <w:r w:rsidRPr="00667C82">
        <w:t>5</w:t>
      </w:r>
      <w:r>
        <w:t>; t</w:t>
      </w:r>
      <w:r w:rsidRPr="00667C82">
        <w:t>he reauthorized SASH program and the new DAC</w:t>
      </w:r>
      <w:r>
        <w:noBreakHyphen/>
      </w:r>
      <w:r w:rsidRPr="00667C82">
        <w:t>SASH program provide incentives of $3.00/watt</w:t>
      </w:r>
      <w:r>
        <w:t xml:space="preserve">.  </w:t>
      </w:r>
      <w:r w:rsidRPr="00667C82">
        <w:t>The</w:t>
      </w:r>
      <w:r>
        <w:t xml:space="preserve"> PA </w:t>
      </w:r>
      <w:r w:rsidRPr="00667C82">
        <w:t xml:space="preserve">of both programs combines this funding with the solar </w:t>
      </w:r>
      <w:r>
        <w:t xml:space="preserve">ITC </w:t>
      </w:r>
      <w:r w:rsidRPr="00667C82">
        <w:t>and other resources to fully cover the cost of solar installations for qualified customers (SASH Semi</w:t>
      </w:r>
      <w:r>
        <w:noBreakHyphen/>
      </w:r>
      <w:r w:rsidRPr="00667C82">
        <w:t xml:space="preserve">Annual Program Status Report at 7; </w:t>
      </w:r>
      <w:hyperlink r:id="rId10" w:history="1">
        <w:r w:rsidRPr="00667C82">
          <w:rPr>
            <w:rStyle w:val="Hyperlink"/>
          </w:rPr>
          <w:t>https://www.cpuc.ca.gov/WorkArea/DownloadAsset.aspx?id=6442460500</w:t>
        </w:r>
      </w:hyperlink>
      <w:r w:rsidRPr="00667C82">
        <w:t>).</w:t>
      </w:r>
    </w:p>
  </w:footnote>
  <w:footnote w:id="40">
    <w:p w14:paraId="2DFD92A6" w14:textId="649FE7EC" w:rsidR="005F549C" w:rsidRDefault="005F549C" w:rsidP="0090049E">
      <w:pPr>
        <w:pStyle w:val="FootnoteText"/>
      </w:pPr>
      <w:r>
        <w:rPr>
          <w:rStyle w:val="FootnoteReference"/>
        </w:rPr>
        <w:footnoteRef/>
      </w:r>
      <w:r>
        <w:t xml:space="preserve"> CALSSA, “Comments on SGIP ACR” </w:t>
      </w:r>
      <w:r w:rsidRPr="005A1C4D">
        <w:t>at 10</w:t>
      </w:r>
      <w:r>
        <w:t>; CALSSA, “Comments on Proposed Decision,” at 2.</w:t>
      </w:r>
    </w:p>
  </w:footnote>
  <w:footnote w:id="41">
    <w:p w14:paraId="6BE9FDD6" w14:textId="7E8676B7" w:rsidR="005F549C" w:rsidRDefault="005F549C">
      <w:pPr>
        <w:pStyle w:val="FootnoteText"/>
      </w:pPr>
      <w:r>
        <w:rPr>
          <w:rStyle w:val="FootnoteReference"/>
        </w:rPr>
        <w:footnoteRef/>
      </w:r>
      <w:r>
        <w:t xml:space="preserve"> Tesla, “Comments on SGIP ACR” at 8</w:t>
      </w:r>
      <w:r w:rsidRPr="00F55EEA">
        <w:t xml:space="preserve">.  </w:t>
      </w:r>
    </w:p>
  </w:footnote>
  <w:footnote w:id="42">
    <w:p w14:paraId="35AF4080" w14:textId="74F56D75" w:rsidR="005F549C" w:rsidRDefault="005F549C" w:rsidP="00C529F4">
      <w:pPr>
        <w:pStyle w:val="FootnoteText"/>
      </w:pPr>
      <w:r>
        <w:rPr>
          <w:rStyle w:val="FootnoteReference"/>
        </w:rPr>
        <w:footnoteRef/>
      </w:r>
      <w:r>
        <w:t xml:space="preserve"> GRID/CHPC “Amended Comments on SGIP ACR,” June 13, 2019 at 12.</w:t>
      </w:r>
    </w:p>
  </w:footnote>
  <w:footnote w:id="43">
    <w:p w14:paraId="7C322A4A" w14:textId="1879DE06" w:rsidR="005F549C" w:rsidRDefault="005F549C">
      <w:pPr>
        <w:pStyle w:val="FootnoteText"/>
      </w:pPr>
      <w:r>
        <w:rPr>
          <w:rStyle w:val="FootnoteReference"/>
        </w:rPr>
        <w:footnoteRef/>
      </w:r>
      <w:r>
        <w:t xml:space="preserve"> Ibid. </w:t>
      </w:r>
    </w:p>
  </w:footnote>
  <w:footnote w:id="44">
    <w:p w14:paraId="1E01A07E" w14:textId="35587F1F" w:rsidR="005F549C" w:rsidRDefault="005F549C">
      <w:pPr>
        <w:pStyle w:val="FootnoteText"/>
      </w:pPr>
      <w:r>
        <w:rPr>
          <w:rStyle w:val="FootnoteReference"/>
        </w:rPr>
        <w:footnoteRef/>
      </w:r>
      <w:r>
        <w:t xml:space="preserve"> GRID/CHPC, “Amended Comments on SGIP ACR” at 12; </w:t>
      </w:r>
      <w:r w:rsidRPr="00F55EEA">
        <w:t>GRID is the PA for the SASH and DAC</w:t>
      </w:r>
      <w:r>
        <w:noBreakHyphen/>
      </w:r>
      <w:r w:rsidRPr="00F55EEA">
        <w:t>SASH programs and is part of the non</w:t>
      </w:r>
      <w:r>
        <w:noBreakHyphen/>
      </w:r>
      <w:r w:rsidRPr="00F55EEA">
        <w:t xml:space="preserve">profit PA team administering the SOMAH program. </w:t>
      </w:r>
    </w:p>
  </w:footnote>
  <w:footnote w:id="45">
    <w:p w14:paraId="1C725030" w14:textId="6F7FC593" w:rsidR="005F549C" w:rsidRDefault="005F549C">
      <w:pPr>
        <w:pStyle w:val="FootnoteText"/>
      </w:pPr>
      <w:r w:rsidRPr="00D32CB0">
        <w:rPr>
          <w:rStyle w:val="FootnoteReference"/>
        </w:rPr>
        <w:footnoteRef/>
      </w:r>
      <w:r w:rsidRPr="00D32CB0">
        <w:t xml:space="preserve"> D.15</w:t>
      </w:r>
      <w:r>
        <w:noBreakHyphen/>
      </w:r>
      <w:r w:rsidRPr="00D32CB0">
        <w:t>01</w:t>
      </w:r>
      <w:r>
        <w:noBreakHyphen/>
      </w:r>
      <w:r w:rsidRPr="00D32CB0">
        <w:t>027 at Conclusion of Law 35 and 38.</w:t>
      </w:r>
    </w:p>
  </w:footnote>
  <w:footnote w:id="46">
    <w:p w14:paraId="2EB248CB" w14:textId="62424564" w:rsidR="005F549C" w:rsidRDefault="005F549C">
      <w:pPr>
        <w:pStyle w:val="FootnoteText"/>
      </w:pPr>
      <w:r>
        <w:rPr>
          <w:rStyle w:val="FootnoteReference"/>
        </w:rPr>
        <w:footnoteRef/>
      </w:r>
      <w:r>
        <w:t xml:space="preserve"> SGIP Project Database, SelfGenCA.com (accessed 7/22/19).</w:t>
      </w:r>
    </w:p>
  </w:footnote>
  <w:footnote w:id="47">
    <w:p w14:paraId="5AAF5BBF" w14:textId="77777777" w:rsidR="005F549C" w:rsidRDefault="005F549C" w:rsidP="004D0A87">
      <w:pPr>
        <w:pStyle w:val="FootnoteText"/>
      </w:pPr>
      <w:r>
        <w:rPr>
          <w:rStyle w:val="FootnoteReference"/>
        </w:rPr>
        <w:footnoteRef/>
      </w:r>
      <w:r>
        <w:t xml:space="preserve"> Tesla, “Comments on SGIP ACR” at 8.</w:t>
      </w:r>
    </w:p>
  </w:footnote>
  <w:footnote w:id="48">
    <w:p w14:paraId="666B8F75" w14:textId="008593DB" w:rsidR="005F549C" w:rsidRDefault="005F549C">
      <w:pPr>
        <w:pStyle w:val="FootnoteText"/>
      </w:pPr>
      <w:r>
        <w:rPr>
          <w:rStyle w:val="FootnoteReference"/>
        </w:rPr>
        <w:footnoteRef/>
      </w:r>
      <w:r>
        <w:t xml:space="preserve"> </w:t>
      </w:r>
      <w:r w:rsidRPr="00C3468E">
        <w:t>Resolution 4396</w:t>
      </w:r>
      <w:r>
        <w:noBreakHyphen/>
      </w:r>
      <w:r w:rsidRPr="00C3468E">
        <w:t>E, September 2011; CSI Handbook, Section 3.4.5</w:t>
      </w:r>
      <w:r>
        <w:t xml:space="preserve">, available here: </w:t>
      </w:r>
      <w:hyperlink r:id="rId11" w:history="1">
        <w:r w:rsidRPr="00E03B2B">
          <w:rPr>
            <w:rStyle w:val="Hyperlink"/>
          </w:rPr>
          <w:t>https://www.cpuc.ca.gov/General.aspx?id=5367</w:t>
        </w:r>
      </w:hyperlink>
      <w:r>
        <w:t xml:space="preserve">.  </w:t>
      </w:r>
    </w:p>
  </w:footnote>
  <w:footnote w:id="49">
    <w:p w14:paraId="188D549A" w14:textId="7CD88AF2" w:rsidR="005F549C" w:rsidRDefault="005F549C" w:rsidP="00062412">
      <w:pPr>
        <w:pStyle w:val="FootnoteText"/>
      </w:pPr>
      <w:r>
        <w:rPr>
          <w:rStyle w:val="FootnoteReference"/>
        </w:rPr>
        <w:footnoteRef/>
      </w:r>
      <w:r>
        <w:t xml:space="preserve">  D.17</w:t>
      </w:r>
      <w:r>
        <w:noBreakHyphen/>
        <w:t>10</w:t>
      </w:r>
      <w:r>
        <w:noBreakHyphen/>
        <w:t>040, Conclusion of Law 13 and 14, Finding of Fact 10.</w:t>
      </w:r>
    </w:p>
  </w:footnote>
  <w:footnote w:id="50">
    <w:p w14:paraId="6701C51B" w14:textId="669D501A" w:rsidR="005F549C" w:rsidRDefault="005F549C">
      <w:pPr>
        <w:pStyle w:val="FootnoteText"/>
      </w:pPr>
      <w:r>
        <w:rPr>
          <w:rStyle w:val="FootnoteReference"/>
        </w:rPr>
        <w:footnoteRef/>
      </w:r>
      <w:r>
        <w:t xml:space="preserve"> CSE, “Comments on SGIP ACR” at 17.</w:t>
      </w:r>
    </w:p>
  </w:footnote>
  <w:footnote w:id="51">
    <w:p w14:paraId="30719388" w14:textId="6BBF4C37" w:rsidR="005F549C" w:rsidRDefault="005F549C">
      <w:pPr>
        <w:pStyle w:val="FootnoteText"/>
      </w:pPr>
      <w:r>
        <w:rPr>
          <w:rStyle w:val="FootnoteReference"/>
        </w:rPr>
        <w:footnoteRef/>
      </w:r>
      <w:r>
        <w:t xml:space="preserve"> NFCRC, “Comments on SGIP ACR” at 20.</w:t>
      </w:r>
    </w:p>
  </w:footnote>
  <w:footnote w:id="52">
    <w:p w14:paraId="7BC1C30A" w14:textId="77777777" w:rsidR="005F549C" w:rsidRDefault="005F549C" w:rsidP="00CC2A64">
      <w:pPr>
        <w:pStyle w:val="FootnoteText"/>
      </w:pPr>
      <w:r>
        <w:rPr>
          <w:rStyle w:val="FootnoteReference"/>
        </w:rPr>
        <w:footnoteRef/>
      </w:r>
      <w:r>
        <w:t xml:space="preserve"> CSE, “Comments on SGIP ACR” at 17. </w:t>
      </w:r>
    </w:p>
  </w:footnote>
  <w:footnote w:id="53">
    <w:p w14:paraId="5797A9D0" w14:textId="19B67BF4" w:rsidR="005F549C" w:rsidRDefault="005F549C" w:rsidP="004A5BDD">
      <w:pPr>
        <w:pStyle w:val="FootnoteText"/>
        <w:spacing w:after="0"/>
      </w:pPr>
      <w:r>
        <w:rPr>
          <w:rStyle w:val="FootnoteReference"/>
        </w:rPr>
        <w:footnoteRef/>
      </w:r>
      <w:r>
        <w:t xml:space="preserve"> See for example, PG&amp;E’s Rule 21 Tariff, Section C, available here:  </w:t>
      </w:r>
      <w:hyperlink r:id="rId12" w:history="1">
        <w:r>
          <w:rPr>
            <w:rStyle w:val="Hyperlink"/>
          </w:rPr>
          <w:t>https://www.pge.com/tariffs/assets/pdf/tariffbook/ELEC_RULES_21.pdf</w:t>
        </w:r>
      </w:hyperlink>
      <w:r>
        <w:t xml:space="preserve"> </w:t>
      </w:r>
    </w:p>
  </w:footnote>
  <w:footnote w:id="54">
    <w:p w14:paraId="18550388" w14:textId="0B234E23" w:rsidR="005F549C" w:rsidRDefault="005F549C">
      <w:pPr>
        <w:pStyle w:val="FootnoteText"/>
      </w:pPr>
      <w:r>
        <w:rPr>
          <w:rStyle w:val="FootnoteReference"/>
        </w:rPr>
        <w:footnoteRef/>
      </w:r>
      <w:r>
        <w:t xml:space="preserve"> IOU De</w:t>
      </w:r>
      <w:r>
        <w:noBreakHyphen/>
        <w:t>energization Reports that must be submitted to the Commission with the specific dates and time of de</w:t>
      </w:r>
      <w:r>
        <w:noBreakHyphen/>
        <w:t xml:space="preserve">energization of each affected circuit are available here: </w:t>
      </w:r>
      <w:hyperlink r:id="rId13" w:history="1">
        <w:r w:rsidRPr="00E03B2B">
          <w:rPr>
            <w:rStyle w:val="Hyperlink"/>
          </w:rPr>
          <w:t>http://www.cpuc.ca.gov/deenergization</w:t>
        </w:r>
      </w:hyperlink>
      <w:r>
        <w:t xml:space="preserve">. </w:t>
      </w:r>
    </w:p>
  </w:footnote>
  <w:footnote w:id="55">
    <w:p w14:paraId="483BF4AB" w14:textId="77777777" w:rsidR="005F549C" w:rsidRDefault="005F549C" w:rsidP="005C51F5">
      <w:pPr>
        <w:pStyle w:val="FootnoteText"/>
      </w:pPr>
      <w:r>
        <w:rPr>
          <w:rStyle w:val="FootnoteReference"/>
        </w:rPr>
        <w:footnoteRef/>
      </w:r>
      <w:r>
        <w:t xml:space="preserve"> SGIP Weekly Statewide Report from July 22, 2019, </w:t>
      </w:r>
      <w:hyperlink r:id="rId14" w:history="1">
        <w:r w:rsidRPr="005E058F">
          <w:rPr>
            <w:rStyle w:val="Hyperlink"/>
          </w:rPr>
          <w:t>https://www.selfgenca.com/documents/reports/statewide_projects</w:t>
        </w:r>
      </w:hyperlink>
      <w:r>
        <w:t xml:space="preserve"> </w:t>
      </w:r>
    </w:p>
  </w:footnote>
  <w:footnote w:id="56">
    <w:p w14:paraId="27F78017" w14:textId="77777777" w:rsidR="005F549C" w:rsidRDefault="005F549C" w:rsidP="00992BEE">
      <w:pPr>
        <w:pStyle w:val="FootnoteText"/>
      </w:pPr>
      <w:r>
        <w:rPr>
          <w:rStyle w:val="FootnoteReference"/>
        </w:rPr>
        <w:footnoteRef/>
      </w:r>
      <w:r>
        <w:t xml:space="preserve"> SGIP 2017 handbook at 37, available here: </w:t>
      </w:r>
      <w:hyperlink r:id="rId15" w:history="1">
        <w:r w:rsidRPr="00354FDC">
          <w:rPr>
            <w:rStyle w:val="Hyperlink"/>
          </w:rPr>
          <w:t>https://www.cpuc.ca.gov/General.aspx?id=5935</w:t>
        </w:r>
      </w:hyperlink>
      <w:r>
        <w:t xml:space="preserve">. </w:t>
      </w:r>
    </w:p>
  </w:footnote>
  <w:footnote w:id="57">
    <w:p w14:paraId="5045DD89" w14:textId="6D594D64" w:rsidR="005F549C" w:rsidRDefault="005F549C">
      <w:pPr>
        <w:pStyle w:val="FootnoteText"/>
      </w:pPr>
      <w:r>
        <w:rPr>
          <w:rStyle w:val="FootnoteReference"/>
        </w:rPr>
        <w:footnoteRef/>
      </w:r>
      <w:r>
        <w:t xml:space="preserve"> </w:t>
      </w:r>
      <w:r w:rsidRPr="00274557">
        <w:rPr>
          <w:i/>
        </w:rPr>
        <w:t>Ibid.</w:t>
      </w:r>
      <w:r>
        <w:t xml:space="preserve"> </w:t>
      </w:r>
    </w:p>
  </w:footnote>
  <w:footnote w:id="58">
    <w:p w14:paraId="44559368" w14:textId="04C7D1A3" w:rsidR="005F549C" w:rsidRDefault="005F549C" w:rsidP="00770173">
      <w:pPr>
        <w:pStyle w:val="FootnoteText"/>
      </w:pPr>
      <w:r>
        <w:rPr>
          <w:rStyle w:val="FootnoteReference"/>
        </w:rPr>
        <w:footnoteRef/>
      </w:r>
      <w:r>
        <w:t xml:space="preserve"> “</w:t>
      </w:r>
      <w:r w:rsidRPr="00274557">
        <w:t>Anti</w:t>
      </w:r>
      <w:r>
        <w:noBreakHyphen/>
      </w:r>
      <w:r w:rsidRPr="00274557">
        <w:t>islanding</w:t>
      </w:r>
      <w:r>
        <w:t xml:space="preserve">” and “islanding” capabilities </w:t>
      </w:r>
      <w:r w:rsidRPr="00274557">
        <w:t xml:space="preserve">are not mutually exclusive. </w:t>
      </w:r>
      <w:r>
        <w:t xml:space="preserve"> </w:t>
      </w:r>
      <w:r w:rsidRPr="00274557">
        <w:t>Anti</w:t>
      </w:r>
      <w:r>
        <w:noBreakHyphen/>
      </w:r>
      <w:r w:rsidRPr="00274557">
        <w:t xml:space="preserve">Islanding </w:t>
      </w:r>
      <w:r>
        <w:t>capabilities prevent</w:t>
      </w:r>
      <w:r w:rsidRPr="00274557">
        <w:t xml:space="preserve"> backfeed into lines. </w:t>
      </w:r>
      <w:r>
        <w:t xml:space="preserve">  </w:t>
      </w:r>
      <w:r w:rsidRPr="00274557">
        <w:rPr>
          <w:i/>
        </w:rPr>
        <w:t xml:space="preserve">See </w:t>
      </w:r>
      <w:r>
        <w:t xml:space="preserve">PG&amp;E Rule 21, Section H.1 and Hh.1, available here: </w:t>
      </w:r>
      <w:hyperlink r:id="rId16" w:history="1">
        <w:r>
          <w:rPr>
            <w:rStyle w:val="Hyperlink"/>
          </w:rPr>
          <w:t>https://www.pge.com/tariffs/assets/pdf/tariffbook/ELEC_RULES_21.pdf</w:t>
        </w:r>
      </w:hyperlink>
    </w:p>
  </w:footnote>
  <w:footnote w:id="59">
    <w:p w14:paraId="2204C4F0" w14:textId="0C9D376E" w:rsidR="005F549C" w:rsidRDefault="005F549C" w:rsidP="00770173">
      <w:pPr>
        <w:pStyle w:val="FootnoteText"/>
      </w:pPr>
      <w:r>
        <w:rPr>
          <w:rStyle w:val="FootnoteReference"/>
        </w:rPr>
        <w:footnoteRef/>
      </w:r>
      <w:r>
        <w:t xml:space="preserve"> </w:t>
      </w:r>
      <w:r w:rsidRPr="00274557">
        <w:rPr>
          <w:i/>
        </w:rPr>
        <w:t>Ibid</w:t>
      </w:r>
      <w:r>
        <w:t xml:space="preserve"> at Section H.2 and Hh.2.</w:t>
      </w:r>
    </w:p>
  </w:footnote>
  <w:footnote w:id="60">
    <w:p w14:paraId="1A70D19F" w14:textId="6D1E342A" w:rsidR="005F549C" w:rsidRDefault="005F549C">
      <w:pPr>
        <w:pStyle w:val="FootnoteText"/>
      </w:pPr>
      <w:r>
        <w:rPr>
          <w:rStyle w:val="FootnoteReference"/>
        </w:rPr>
        <w:footnoteRef/>
      </w:r>
      <w:r>
        <w:t xml:space="preserve"> SGIP ACR, April 15, 2019 at 19.  </w:t>
      </w:r>
    </w:p>
  </w:footnote>
  <w:footnote w:id="61">
    <w:p w14:paraId="1CE51E49" w14:textId="1527E3B1" w:rsidR="005F549C" w:rsidRDefault="005F549C">
      <w:pPr>
        <w:pStyle w:val="FootnoteText"/>
      </w:pPr>
      <w:r>
        <w:rPr>
          <w:rStyle w:val="FootnoteReference"/>
        </w:rPr>
        <w:footnoteRef/>
      </w:r>
      <w:r>
        <w:t xml:space="preserve"> California Code of Regulations, Title 24, Part 3.</w:t>
      </w:r>
    </w:p>
  </w:footnote>
  <w:footnote w:id="62">
    <w:p w14:paraId="5DD5C488" w14:textId="2A274AFE" w:rsidR="005F549C" w:rsidRDefault="005F549C">
      <w:pPr>
        <w:pStyle w:val="FootnoteText"/>
      </w:pPr>
      <w:r>
        <w:rPr>
          <w:rStyle w:val="FootnoteReference"/>
        </w:rPr>
        <w:footnoteRef/>
      </w:r>
      <w:r>
        <w:t xml:space="preserve"> </w:t>
      </w:r>
      <w:r w:rsidRPr="00856B3F">
        <w:rPr>
          <w:i/>
        </w:rPr>
        <w:t xml:space="preserve">See </w:t>
      </w:r>
      <w:r>
        <w:t xml:space="preserve">California Building Standards Commission at </w:t>
      </w:r>
      <w:hyperlink r:id="rId17" w:history="1">
        <w:r w:rsidRPr="00901E20">
          <w:rPr>
            <w:rStyle w:val="Hyperlink"/>
          </w:rPr>
          <w:t>https://www.dgs.ca.gov/BSC</w:t>
        </w:r>
      </w:hyperlink>
    </w:p>
  </w:footnote>
  <w:footnote w:id="63">
    <w:p w14:paraId="386BC43E" w14:textId="4F289B0E" w:rsidR="005F549C" w:rsidRDefault="005F549C">
      <w:pPr>
        <w:pStyle w:val="FootnoteText"/>
      </w:pPr>
      <w:r>
        <w:rPr>
          <w:rStyle w:val="FootnoteReference"/>
        </w:rPr>
        <w:footnoteRef/>
      </w:r>
      <w:r>
        <w:t xml:space="preserve"> </w:t>
      </w:r>
      <w:r w:rsidRPr="00344C4B">
        <w:t xml:space="preserve">California Fire Code, CA Code of Regulations, Title 24, Part 9, Section 608.7 (for storage systems larger than 20 kWh), available here: </w:t>
      </w:r>
      <w:hyperlink r:id="rId18" w:history="1">
        <w:r w:rsidRPr="00344C4B">
          <w:rPr>
            <w:rStyle w:val="Hyperlink"/>
          </w:rPr>
          <w:t>https://www.citymb.info/Home/ShowDocument?id=28089</w:t>
        </w:r>
      </w:hyperlink>
      <w:r w:rsidRPr="00344C4B">
        <w:t xml:space="preserve">; </w:t>
      </w:r>
      <w:r>
        <w:t xml:space="preserve">and, </w:t>
      </w:r>
      <w:r w:rsidRPr="00344C4B">
        <w:t xml:space="preserve">UL 9540 Standard for Energy Storage Systems and Equipment, available here: </w:t>
      </w:r>
      <w:hyperlink r:id="rId19" w:history="1">
        <w:r w:rsidRPr="00344C4B">
          <w:rPr>
            <w:rStyle w:val="Hyperlink"/>
          </w:rPr>
          <w:t>https://standardscatalog.ul.com/standards/en/standard_9540_1</w:t>
        </w:r>
      </w:hyperlink>
      <w:r w:rsidRPr="00344C4B">
        <w:t>.</w:t>
      </w:r>
    </w:p>
  </w:footnote>
  <w:footnote w:id="64">
    <w:p w14:paraId="1DF25A94" w14:textId="28E295EE" w:rsidR="005F549C" w:rsidRDefault="005F549C">
      <w:pPr>
        <w:pStyle w:val="FootnoteText"/>
      </w:pPr>
      <w:r w:rsidRPr="00B51258">
        <w:rPr>
          <w:rStyle w:val="FootnoteReference"/>
        </w:rPr>
        <w:footnoteRef/>
      </w:r>
      <w:r w:rsidRPr="00B51258">
        <w:t xml:space="preserve"> </w:t>
      </w:r>
      <w:r w:rsidRPr="00856B3F">
        <w:t xml:space="preserve">CPUC, </w:t>
      </w:r>
      <w:r w:rsidRPr="00B51258">
        <w:t>Safety Best Practices for the Installation of Energy Storage</w:t>
      </w:r>
      <w:r>
        <w:t xml:space="preserve">, available here: </w:t>
      </w:r>
      <w:hyperlink r:id="rId20" w:history="1">
        <w:r>
          <w:rPr>
            <w:rStyle w:val="Hyperlink"/>
          </w:rPr>
          <w:t>https://www.cpuc.ca.gov/General.aspx?id=8353</w:t>
        </w:r>
      </w:hyperlink>
      <w:r>
        <w:t xml:space="preserve">  </w:t>
      </w:r>
    </w:p>
  </w:footnote>
  <w:footnote w:id="65">
    <w:p w14:paraId="3A24B93C" w14:textId="07EDE143" w:rsidR="005F549C" w:rsidRDefault="005F549C" w:rsidP="00705625">
      <w:pPr>
        <w:pStyle w:val="FootnoteText"/>
      </w:pPr>
      <w:r>
        <w:rPr>
          <w:rStyle w:val="FootnoteReference"/>
        </w:rPr>
        <w:footnoteRef/>
      </w:r>
      <w:r>
        <w:t xml:space="preserve"> VNEM</w:t>
      </w:r>
      <w:r w:rsidRPr="009D59E1">
        <w:t xml:space="preserve"> </w:t>
      </w:r>
      <w:r w:rsidRPr="00856B3F">
        <w:rPr>
          <w:rFonts w:cs="Helvetica"/>
          <w:color w:val="333333"/>
          <w:lang w:val="en"/>
        </w:rPr>
        <w:t>is a tariff available to multitenant properties that enables an owner of such property to allocate a solar system's benefits to tenants across multiple units.  Tariff rules allow the system owner to allocate renewable generation bill credits between common load areas and tenants along a single service or multiple service delivery points</w:t>
      </w:r>
      <w:r>
        <w:rPr>
          <w:rFonts w:cs="Helvetica"/>
          <w:color w:val="333333"/>
          <w:lang w:val="en"/>
        </w:rPr>
        <w:t xml:space="preserve">.  </w:t>
      </w:r>
      <w:r w:rsidRPr="00705625">
        <w:rPr>
          <w:rFonts w:cs="Helvetica"/>
          <w:i/>
          <w:iCs/>
          <w:color w:val="333333"/>
          <w:lang w:val="en"/>
        </w:rPr>
        <w:t xml:space="preserve">See </w:t>
      </w:r>
      <w:r>
        <w:rPr>
          <w:rFonts w:cs="Helvetica"/>
          <w:color w:val="333333"/>
          <w:lang w:val="en"/>
        </w:rPr>
        <w:t xml:space="preserve">also </w:t>
      </w:r>
      <w:hyperlink r:id="rId21" w:history="1">
        <w:r w:rsidRPr="00E03B2B">
          <w:rPr>
            <w:rStyle w:val="Hyperlink"/>
            <w:rFonts w:cs="Helvetica"/>
            <w:lang w:val="en"/>
          </w:rPr>
          <w:t>https://www.cpuc.ca.gov/General.aspx?id=5408</w:t>
        </w:r>
      </w:hyperlink>
      <w:r>
        <w:rPr>
          <w:rFonts w:cs="Helvetica"/>
          <w:color w:val="333333"/>
          <w:lang w:val="en"/>
        </w:rPr>
        <w:t>.</w:t>
      </w:r>
    </w:p>
  </w:footnote>
  <w:footnote w:id="66">
    <w:p w14:paraId="353190DE" w14:textId="56130582" w:rsidR="005F549C" w:rsidRDefault="005F549C">
      <w:pPr>
        <w:pStyle w:val="FootnoteText"/>
      </w:pPr>
      <w:r>
        <w:rPr>
          <w:rStyle w:val="FootnoteReference"/>
        </w:rPr>
        <w:footnoteRef/>
      </w:r>
      <w:r>
        <w:t xml:space="preserve"> </w:t>
      </w:r>
      <w:r w:rsidRPr="00E763B4">
        <w:t xml:space="preserve">SGIP 2017 </w:t>
      </w:r>
      <w:r>
        <w:t>handbook</w:t>
      </w:r>
      <w:r w:rsidRPr="00E763B4">
        <w:t xml:space="preserve"> Section 4.2.2 at 38 available here:  </w:t>
      </w:r>
      <w:hyperlink r:id="rId22" w:history="1">
        <w:r w:rsidRPr="00D22FAD">
          <w:rPr>
            <w:rStyle w:val="Hyperlink"/>
          </w:rPr>
          <w:t>https://www.cpuc.ca.gov/General.aspx?id=5935</w:t>
        </w:r>
      </w:hyperlink>
      <w:r w:rsidRPr="00E763B4">
        <w:t>.</w:t>
      </w:r>
      <w:r>
        <w:t xml:space="preserve">  </w:t>
      </w:r>
      <w:r w:rsidRPr="0024359D">
        <w:rPr>
          <w:i/>
        </w:rPr>
        <w:t xml:space="preserve">See </w:t>
      </w:r>
      <w:r w:rsidRPr="00E763B4">
        <w:t>also, CALSSA, “Com</w:t>
      </w:r>
      <w:r>
        <w:t>ments on ACR,” at </w:t>
      </w:r>
      <w:r w:rsidRPr="00E763B4">
        <w:t>9.</w:t>
      </w:r>
    </w:p>
  </w:footnote>
  <w:footnote w:id="67">
    <w:p w14:paraId="5AC6288E" w14:textId="62FCC3F3" w:rsidR="005F549C" w:rsidRDefault="005F549C">
      <w:pPr>
        <w:pStyle w:val="FootnoteText"/>
      </w:pPr>
      <w:r>
        <w:rPr>
          <w:rStyle w:val="FootnoteReference"/>
        </w:rPr>
        <w:footnoteRef/>
      </w:r>
      <w:r>
        <w:t xml:space="preserve"> CALSSA, “Comments on SGIP ACR” at 9.</w:t>
      </w:r>
    </w:p>
  </w:footnote>
  <w:footnote w:id="68">
    <w:p w14:paraId="427D5C77" w14:textId="23AF82E4" w:rsidR="005F549C" w:rsidRDefault="005F549C">
      <w:pPr>
        <w:pStyle w:val="FootnoteText"/>
      </w:pPr>
      <w:r>
        <w:rPr>
          <w:rStyle w:val="FootnoteReference"/>
        </w:rPr>
        <w:footnoteRef/>
      </w:r>
      <w:r>
        <w:t xml:space="preserve"> D.08</w:t>
      </w:r>
      <w:r>
        <w:noBreakHyphen/>
        <w:t>10</w:t>
      </w:r>
      <w:r>
        <w:noBreakHyphen/>
        <w:t>036 at 33 and 39 and Conclusion of Law 19.</w:t>
      </w:r>
    </w:p>
  </w:footnote>
  <w:footnote w:id="69">
    <w:p w14:paraId="53ADD3E6" w14:textId="5B42766B" w:rsidR="005F549C" w:rsidRDefault="005F549C">
      <w:pPr>
        <w:pStyle w:val="FootnoteText"/>
      </w:pPr>
      <w:r>
        <w:rPr>
          <w:rStyle w:val="FootnoteReference"/>
        </w:rPr>
        <w:footnoteRef/>
      </w:r>
      <w:r>
        <w:t xml:space="preserve"> 2017 SGIP handbook at 30, available here:  </w:t>
      </w:r>
      <w:hyperlink r:id="rId23" w:history="1">
        <w:r w:rsidRPr="00E9310C">
          <w:rPr>
            <w:rStyle w:val="Hyperlink"/>
          </w:rPr>
          <w:t>https://www.cpuc.ca.gov/General.aspx?id=5935</w:t>
        </w:r>
      </w:hyperlink>
      <w:r>
        <w:t xml:space="preserve">. </w:t>
      </w:r>
    </w:p>
  </w:footnote>
  <w:footnote w:id="70">
    <w:p w14:paraId="3B0F5CB8" w14:textId="13C68780" w:rsidR="005F549C" w:rsidRDefault="005F549C" w:rsidP="00D32F0A">
      <w:pPr>
        <w:pStyle w:val="FootnoteText"/>
      </w:pPr>
      <w:r>
        <w:rPr>
          <w:rStyle w:val="FootnoteReference"/>
        </w:rPr>
        <w:footnoteRef/>
      </w:r>
      <w:r>
        <w:t xml:space="preserve"> Energy Savings Assistance Program Multifamily Segment Study Volume 1: Report, The Cadmus Group, Inc, December 4, 2013.</w:t>
      </w:r>
    </w:p>
  </w:footnote>
  <w:footnote w:id="71">
    <w:p w14:paraId="60F8EC5A" w14:textId="0766E82A" w:rsidR="005F549C" w:rsidRPr="004B7B7A" w:rsidRDefault="005F549C" w:rsidP="00D47B32">
      <w:pPr>
        <w:pStyle w:val="FootnoteText"/>
      </w:pPr>
      <w:r w:rsidRPr="004B7B7A">
        <w:rPr>
          <w:rStyle w:val="FootnoteReference"/>
        </w:rPr>
        <w:footnoteRef/>
      </w:r>
      <w:r>
        <w:t xml:space="preserve"> As of January 1, 2017, Assembly Bill (AB)</w:t>
      </w:r>
      <w:r w:rsidRPr="004B7B7A">
        <w:t xml:space="preserve"> 802 requires that energy utilities provide building</w:t>
      </w:r>
      <w:r>
        <w:noBreakHyphen/>
      </w:r>
      <w:r w:rsidRPr="004B7B7A">
        <w:t>level energy use data to building owners, owners' agents, and operators upon request for buildings with no residential utility accounts and for buildings with five or more utility accounts.</w:t>
      </w:r>
    </w:p>
  </w:footnote>
  <w:footnote w:id="72">
    <w:p w14:paraId="1A97EDF9" w14:textId="32C73A13" w:rsidR="005F549C" w:rsidRDefault="005F549C" w:rsidP="00D47B32">
      <w:pPr>
        <w:pStyle w:val="FootnoteText"/>
      </w:pPr>
      <w:r w:rsidRPr="004B7B7A">
        <w:rPr>
          <w:rStyle w:val="FootnoteReference"/>
        </w:rPr>
        <w:footnoteRef/>
      </w:r>
      <w:r>
        <w:t xml:space="preserve"> D</w:t>
      </w:r>
      <w:r w:rsidRPr="0024359D">
        <w:t>.17</w:t>
      </w:r>
      <w:r>
        <w:noBreakHyphen/>
      </w:r>
      <w:r w:rsidRPr="0024359D">
        <w:t>12</w:t>
      </w:r>
      <w:r>
        <w:noBreakHyphen/>
      </w:r>
      <w:r w:rsidRPr="0024359D">
        <w:t>022 and</w:t>
      </w:r>
      <w:r>
        <w:t xml:space="preserve"> Resolution E</w:t>
      </w:r>
      <w:r>
        <w:noBreakHyphen/>
        <w:t>4987</w:t>
      </w:r>
      <w:r w:rsidRPr="0024359D">
        <w:t> </w:t>
      </w:r>
      <w:r>
        <w:t>directed the I</w:t>
      </w:r>
      <w:r w:rsidRPr="0024359D">
        <w:t>OU/S</w:t>
      </w:r>
      <w:r>
        <w:t>OMAH PA automated data exchange.  In the July 22, 2019</w:t>
      </w:r>
      <w:r w:rsidRPr="0024359D">
        <w:t xml:space="preserve"> Joint Semi</w:t>
      </w:r>
      <w:r>
        <w:noBreakHyphen/>
      </w:r>
      <w:r w:rsidRPr="0024359D">
        <w:t xml:space="preserve">annual </w:t>
      </w:r>
      <w:r>
        <w:t xml:space="preserve">SOMAH </w:t>
      </w:r>
      <w:r w:rsidRPr="0024359D">
        <w:t>Adm</w:t>
      </w:r>
      <w:r>
        <w:t>inistrative Expense Report, filed in R.14</w:t>
      </w:r>
      <w:r>
        <w:noBreakHyphen/>
        <w:t>07</w:t>
      </w:r>
      <w:r>
        <w:noBreakHyphen/>
        <w:t xml:space="preserve">002, the IOUs comment on the status of </w:t>
      </w:r>
      <w:r w:rsidRPr="0024359D">
        <w:t>data exchange</w:t>
      </w:r>
      <w:r>
        <w:t xml:space="preserve"> work, stating (at 4), that "</w:t>
      </w:r>
      <w:r w:rsidRPr="0024359D">
        <w:t xml:space="preserve">data requests will be issued for approximately 58 applications in the next reporting period. </w:t>
      </w:r>
      <w:r>
        <w:t xml:space="preserve"> </w:t>
      </w:r>
      <w:r w:rsidRPr="0024359D">
        <w:t>Each data pull will need to be done manually by a Business Analyst until PG&amp;E’s SOMAH Data Portal is operational."</w:t>
      </w:r>
      <w:r>
        <w:t xml:space="preserve">  The SOMAH program is </w:t>
      </w:r>
      <w:r w:rsidRPr="004B7B7A">
        <w:t>administered by a team of non</w:t>
      </w:r>
      <w:r>
        <w:noBreakHyphen/>
      </w:r>
      <w:r w:rsidRPr="004B7B7A">
        <w:t xml:space="preserve">profit organizations consisting of the CSE, GRID, </w:t>
      </w:r>
      <w:r>
        <w:t xml:space="preserve">CHPC and </w:t>
      </w:r>
      <w:r w:rsidRPr="004B7B7A">
        <w:t>the Association for Energy Affordability</w:t>
      </w:r>
      <w:r>
        <w:t xml:space="preserve">. </w:t>
      </w:r>
    </w:p>
  </w:footnote>
  <w:footnote w:id="73">
    <w:p w14:paraId="3052EEDB" w14:textId="0A515624" w:rsidR="005F549C" w:rsidRDefault="005F549C">
      <w:pPr>
        <w:pStyle w:val="FootnoteText"/>
      </w:pPr>
      <w:r w:rsidRPr="004B7B7A">
        <w:rPr>
          <w:rStyle w:val="FootnoteReference"/>
        </w:rPr>
        <w:footnoteRef/>
      </w:r>
      <w:r>
        <w:t xml:space="preserve"> 2017 SGIP handbook at 27</w:t>
      </w:r>
      <w:r w:rsidRPr="004B7B7A">
        <w:t xml:space="preserve">, available here: </w:t>
      </w:r>
      <w:hyperlink r:id="rId24" w:history="1">
        <w:r w:rsidRPr="004B7B7A">
          <w:rPr>
            <w:rStyle w:val="Hyperlink"/>
          </w:rPr>
          <w:t>https://www.cpuc.ca.gov/General.aspx?id=5935</w:t>
        </w:r>
      </w:hyperlink>
      <w:r w:rsidRPr="004B7B7A">
        <w:t>.</w:t>
      </w:r>
      <w:r>
        <w:t xml:space="preserve"> </w:t>
      </w:r>
    </w:p>
  </w:footnote>
  <w:footnote w:id="74">
    <w:p w14:paraId="7A86BC89" w14:textId="406695EB" w:rsidR="005F549C" w:rsidRDefault="005F549C">
      <w:pPr>
        <w:pStyle w:val="FootnoteText"/>
      </w:pPr>
      <w:r w:rsidRPr="00D32CB0">
        <w:rPr>
          <w:rStyle w:val="FootnoteReference"/>
        </w:rPr>
        <w:footnoteRef/>
      </w:r>
      <w:r>
        <w:t xml:space="preserve"> </w:t>
      </w:r>
      <w:r w:rsidRPr="009F56F0">
        <w:rPr>
          <w:i/>
        </w:rPr>
        <w:t>Ibid</w:t>
      </w:r>
      <w:r>
        <w:t xml:space="preserve"> at 32.</w:t>
      </w:r>
    </w:p>
  </w:footnote>
  <w:footnote w:id="75">
    <w:p w14:paraId="5C7C15D7" w14:textId="61CC16EB" w:rsidR="005F549C" w:rsidRDefault="005F549C">
      <w:pPr>
        <w:pStyle w:val="FootnoteText"/>
      </w:pPr>
      <w:r>
        <w:rPr>
          <w:rStyle w:val="FootnoteReference"/>
        </w:rPr>
        <w:footnoteRef/>
      </w:r>
      <w:r>
        <w:t xml:space="preserve"> D.19</w:t>
      </w:r>
      <w:r>
        <w:noBreakHyphen/>
        <w:t>08</w:t>
      </w:r>
      <w:r>
        <w:noBreakHyphen/>
        <w:t>001, “Decision Approving Greenhouse Gas Emission Reduction Requirements for the Self</w:t>
      </w:r>
      <w:r>
        <w:noBreakHyphen/>
        <w:t xml:space="preserve">Generation Incentive Program Storage Budget,” adopted August 1, 2019. </w:t>
      </w:r>
    </w:p>
  </w:footnote>
  <w:footnote w:id="76">
    <w:p w14:paraId="1431553A" w14:textId="6EE9AFA8" w:rsidR="005F549C" w:rsidRDefault="005F549C">
      <w:pPr>
        <w:pStyle w:val="FootnoteText"/>
      </w:pPr>
      <w:r>
        <w:rPr>
          <w:rStyle w:val="FootnoteReference"/>
        </w:rPr>
        <w:footnoteRef/>
      </w:r>
      <w:r>
        <w:t xml:space="preserve"> D.18</w:t>
      </w:r>
      <w:r>
        <w:noBreakHyphen/>
        <w:t>12</w:t>
      </w:r>
      <w:r>
        <w:noBreakHyphen/>
        <w:t xml:space="preserve">015, OP 9 at 160 (emphasis in original). </w:t>
      </w:r>
    </w:p>
  </w:footnote>
  <w:footnote w:id="77">
    <w:p w14:paraId="18FE1CBF" w14:textId="21F54D50" w:rsidR="005F549C" w:rsidRDefault="005F549C">
      <w:pPr>
        <w:pStyle w:val="FootnoteText"/>
      </w:pPr>
      <w:r>
        <w:rPr>
          <w:rStyle w:val="FootnoteReference"/>
        </w:rPr>
        <w:footnoteRef/>
      </w:r>
      <w:r>
        <w:t xml:space="preserve"> </w:t>
      </w:r>
      <w:r w:rsidRPr="009E11B6">
        <w:t>D.19</w:t>
      </w:r>
      <w:r>
        <w:noBreakHyphen/>
      </w:r>
      <w:r w:rsidRPr="009E11B6">
        <w:t>05</w:t>
      </w:r>
      <w:r>
        <w:noBreakHyphen/>
      </w:r>
      <w:r w:rsidRPr="009E11B6">
        <w:t>042</w:t>
      </w:r>
      <w:r>
        <w:t xml:space="preserve"> at 93.</w:t>
      </w:r>
    </w:p>
  </w:footnote>
  <w:footnote w:id="78">
    <w:p w14:paraId="72C5123F" w14:textId="2698F2CD" w:rsidR="005F549C" w:rsidRDefault="005F549C">
      <w:pPr>
        <w:pStyle w:val="FootnoteText"/>
      </w:pPr>
      <w:r>
        <w:rPr>
          <w:rStyle w:val="FootnoteReference"/>
        </w:rPr>
        <w:footnoteRef/>
      </w:r>
      <w:r>
        <w:t xml:space="preserve"> Should additional MASH program incentives become available, co</w:t>
      </w:r>
      <w:r>
        <w:noBreakHyphen/>
        <w:t>promotion of the equity resiliency and low</w:t>
      </w:r>
      <w:r>
        <w:noBreakHyphen/>
        <w:t xml:space="preserve">income solar incentives may involve this program as well. </w:t>
      </w:r>
    </w:p>
  </w:footnote>
  <w:footnote w:id="79">
    <w:p w14:paraId="13F56543" w14:textId="063EFA16" w:rsidR="005F549C" w:rsidRDefault="005F549C">
      <w:pPr>
        <w:pStyle w:val="FootnoteText"/>
      </w:pPr>
      <w:r>
        <w:rPr>
          <w:rStyle w:val="FootnoteReference"/>
        </w:rPr>
        <w:footnoteRef/>
      </w:r>
      <w:r>
        <w:t xml:space="preserve"> </w:t>
      </w:r>
      <w:r w:rsidRPr="00D54660">
        <w:t>D.11</w:t>
      </w:r>
      <w:r>
        <w:noBreakHyphen/>
      </w:r>
      <w:r w:rsidRPr="00D54660">
        <w:t>09</w:t>
      </w:r>
      <w:r>
        <w:noBreakHyphen/>
      </w:r>
      <w:r w:rsidRPr="00D54660">
        <w:t>015 at 57</w:t>
      </w:r>
      <w:r>
        <w:t xml:space="preserve"> stated that SGIP administrative budgets should provide the funds for any SGIP marketing and outreach efforts determined necessary. </w:t>
      </w:r>
    </w:p>
  </w:footnote>
  <w:footnote w:id="80">
    <w:p w14:paraId="3992C3C9" w14:textId="7FD71B9E" w:rsidR="005F549C" w:rsidRDefault="005F549C">
      <w:pPr>
        <w:pStyle w:val="FootnoteText"/>
      </w:pPr>
      <w:r>
        <w:rPr>
          <w:rStyle w:val="FootnoteReference"/>
        </w:rPr>
        <w:footnoteRef/>
      </w:r>
      <w:r>
        <w:t xml:space="preserve"> </w:t>
      </w:r>
      <w:r w:rsidRPr="00BA004B">
        <w:rPr>
          <w:i/>
        </w:rPr>
        <w:t>See</w:t>
      </w:r>
      <w:r>
        <w:t xml:space="preserve"> </w:t>
      </w:r>
      <w:hyperlink r:id="rId25" w:history="1">
        <w:r w:rsidRPr="00AE674A">
          <w:rPr>
            <w:rStyle w:val="Hyperlink"/>
          </w:rPr>
          <w:t>www.preparefor</w:t>
        </w:r>
      </w:hyperlink>
      <w:r>
        <w:t xml:space="preserve"> powerdown.com. </w:t>
      </w:r>
    </w:p>
  </w:footnote>
  <w:footnote w:id="81">
    <w:p w14:paraId="663A9B48" w14:textId="2418A8F2" w:rsidR="005F549C" w:rsidRDefault="005F549C">
      <w:pPr>
        <w:pStyle w:val="FootnoteText"/>
      </w:pPr>
      <w:r>
        <w:rPr>
          <w:rStyle w:val="FootnoteReference"/>
        </w:rPr>
        <w:footnoteRef/>
      </w:r>
      <w:r>
        <w:t xml:space="preserve"> </w:t>
      </w:r>
      <w:r w:rsidRPr="009F56F0">
        <w:t>201</w:t>
      </w:r>
      <w:r>
        <w:t>7 SGIP handbook at 30</w:t>
      </w:r>
      <w:r w:rsidRPr="009F56F0">
        <w:t xml:space="preserve">, available here: </w:t>
      </w:r>
      <w:hyperlink r:id="rId26" w:history="1">
        <w:r w:rsidRPr="009F56F0">
          <w:rPr>
            <w:rStyle w:val="Hyperlink"/>
          </w:rPr>
          <w:t>https://www.cpuc.ca.gov/General.aspx?id=5935</w:t>
        </w:r>
      </w:hyperlink>
      <w:r w:rsidRPr="009F56F0">
        <w:t>.</w:t>
      </w:r>
    </w:p>
  </w:footnote>
  <w:footnote w:id="82">
    <w:p w14:paraId="500472BF" w14:textId="7DE38B23" w:rsidR="005F549C" w:rsidRDefault="005F549C">
      <w:pPr>
        <w:pStyle w:val="FootnoteText"/>
      </w:pPr>
      <w:r>
        <w:rPr>
          <w:rStyle w:val="FootnoteReference"/>
        </w:rPr>
        <w:footnoteRef/>
      </w:r>
      <w:r>
        <w:t xml:space="preserve"> Tesla, “Comments on SGIP ACR,” May 30, 2019 at 9.</w:t>
      </w:r>
    </w:p>
  </w:footnote>
  <w:footnote w:id="83">
    <w:p w14:paraId="3BB11A7E" w14:textId="19289FF6" w:rsidR="005F549C" w:rsidRDefault="005F549C" w:rsidP="00B22515">
      <w:pPr>
        <w:pStyle w:val="FootnoteText"/>
      </w:pPr>
      <w:r>
        <w:rPr>
          <w:rStyle w:val="FootnoteReference"/>
        </w:rPr>
        <w:footnoteRef/>
      </w:r>
      <w:r>
        <w:t xml:space="preserve"> Per </w:t>
      </w:r>
      <w:r w:rsidRPr="009A7856">
        <w:t>D.17</w:t>
      </w:r>
      <w:r>
        <w:noBreakHyphen/>
      </w:r>
      <w:r w:rsidRPr="009A7856">
        <w:t>04</w:t>
      </w:r>
      <w:r>
        <w:noBreakHyphen/>
      </w:r>
      <w:r w:rsidRPr="009A7856">
        <w:t>017</w:t>
      </w:r>
      <w:r>
        <w:t xml:space="preserve"> at 2, a</w:t>
      </w:r>
      <w:r w:rsidRPr="009A7856">
        <w:t>n amount equivalent to double the 2008 SGIP funding level is $166 million.</w:t>
      </w:r>
    </w:p>
  </w:footnote>
  <w:footnote w:id="84">
    <w:p w14:paraId="2D92D60C" w14:textId="625D8620" w:rsidR="005F549C" w:rsidRDefault="005F549C" w:rsidP="007E114B">
      <w:pPr>
        <w:pStyle w:val="FootnoteText"/>
      </w:pPr>
      <w:r>
        <w:rPr>
          <w:rStyle w:val="FootnoteReference"/>
        </w:rPr>
        <w:footnoteRef/>
      </w:r>
      <w:r>
        <w:t xml:space="preserve"> </w:t>
      </w:r>
      <w:r w:rsidRPr="004B5CE1">
        <w:t>D.16</w:t>
      </w:r>
      <w:r>
        <w:noBreakHyphen/>
      </w:r>
      <w:r w:rsidRPr="004B5CE1">
        <w:t>06</w:t>
      </w:r>
      <w:r>
        <w:noBreakHyphen/>
      </w:r>
      <w:r w:rsidRPr="004B5CE1">
        <w:t>055 and D.17</w:t>
      </w:r>
      <w:r>
        <w:noBreakHyphen/>
      </w:r>
      <w:r w:rsidRPr="004B5CE1">
        <w:t>0</w:t>
      </w:r>
      <w:r>
        <w:t>4</w:t>
      </w:r>
      <w:r>
        <w:noBreakHyphen/>
        <w:t xml:space="preserve">017 allow for the PAs to request </w:t>
      </w:r>
      <w:r w:rsidRPr="004B5CE1">
        <w:t>to amend the residential storage an</w:t>
      </w:r>
      <w:r>
        <w:t>d renewable generation budgets via advice letter.</w:t>
      </w:r>
    </w:p>
  </w:footnote>
  <w:footnote w:id="85">
    <w:p w14:paraId="752A4985" w14:textId="30F3E2DF" w:rsidR="005F549C" w:rsidRDefault="005F549C" w:rsidP="007E114B">
      <w:pPr>
        <w:pStyle w:val="FootnoteText"/>
      </w:pPr>
      <w:r>
        <w:rPr>
          <w:rStyle w:val="FootnoteReference"/>
        </w:rPr>
        <w:footnoteRef/>
      </w:r>
      <w:r>
        <w:t xml:space="preserve"> This is a combination of 15 percent approved in D.16</w:t>
      </w:r>
      <w:r>
        <w:noBreakHyphen/>
        <w:t>06</w:t>
      </w:r>
      <w:r>
        <w:noBreakHyphen/>
        <w:t>055 and 10 percent approved in D.17</w:t>
      </w:r>
      <w:r>
        <w:noBreakHyphen/>
        <w:t>04</w:t>
      </w:r>
      <w:r>
        <w:noBreakHyphen/>
        <w:t>017 to implement Assembly Bill (AB) 1637.</w:t>
      </w:r>
    </w:p>
  </w:footnote>
  <w:footnote w:id="86">
    <w:p w14:paraId="1D121BA0" w14:textId="173EF404" w:rsidR="005F549C" w:rsidRDefault="005F549C">
      <w:pPr>
        <w:pStyle w:val="FootnoteText"/>
      </w:pPr>
      <w:r>
        <w:rPr>
          <w:rStyle w:val="FootnoteReference"/>
        </w:rPr>
        <w:footnoteRef/>
      </w:r>
      <w:r>
        <w:t xml:space="preserve"> SGIP ACR, April 15, 2019 at 6.</w:t>
      </w:r>
    </w:p>
  </w:footnote>
  <w:footnote w:id="87">
    <w:p w14:paraId="3328218A" w14:textId="42FF6BE5" w:rsidR="005F549C" w:rsidRDefault="005F549C">
      <w:pPr>
        <w:pStyle w:val="FootnoteText"/>
      </w:pPr>
      <w:r>
        <w:rPr>
          <w:rStyle w:val="FootnoteReference"/>
        </w:rPr>
        <w:footnoteRef/>
      </w:r>
      <w:r>
        <w:t xml:space="preserve"> </w:t>
      </w:r>
      <w:r w:rsidRPr="00841A93">
        <w:rPr>
          <w:i/>
        </w:rPr>
        <w:t>See</w:t>
      </w:r>
      <w:r>
        <w:t xml:space="preserve"> SGIP ACR at 5 for a complete overview of the source of accumulated unused SGIP funds. </w:t>
      </w:r>
    </w:p>
  </w:footnote>
  <w:footnote w:id="88">
    <w:p w14:paraId="5154914F" w14:textId="46BF454B" w:rsidR="005F549C" w:rsidRDefault="005F549C" w:rsidP="00841A93">
      <w:pPr>
        <w:pStyle w:val="FootnoteText"/>
      </w:pPr>
      <w:r>
        <w:rPr>
          <w:rStyle w:val="FootnoteReference"/>
        </w:rPr>
        <w:footnoteRef/>
      </w:r>
      <w:r>
        <w:t xml:space="preserve"> Total available funds in each budget category were derived from the </w:t>
      </w:r>
      <w:r w:rsidRPr="0084743D">
        <w:t xml:space="preserve">Program Level Budget Summary </w:t>
      </w:r>
      <w:r>
        <w:t xml:space="preserve">on SelfGenCA.com </w:t>
      </w:r>
      <w:r w:rsidRPr="0084743D">
        <w:t>(</w:t>
      </w:r>
      <w:hyperlink r:id="rId27" w:history="1">
        <w:r>
          <w:rPr>
            <w:rStyle w:val="Hyperlink"/>
          </w:rPr>
          <w:t>https://www.selfgenca.com/budget_public/program_level_summary/statewide</w:t>
        </w:r>
      </w:hyperlink>
      <w:r w:rsidRPr="0084743D">
        <w:t>)</w:t>
      </w:r>
      <w:r>
        <w:t xml:space="preserve"> by subtracting the statewide “Total Allocated Funds” from “Total Budget”(accessed July 22, 2019).  </w:t>
      </w:r>
    </w:p>
  </w:footnote>
  <w:footnote w:id="89">
    <w:p w14:paraId="34979F9F" w14:textId="57C73341" w:rsidR="005F549C" w:rsidRDefault="005F549C" w:rsidP="00841A93">
      <w:pPr>
        <w:pStyle w:val="FootnoteText"/>
      </w:pPr>
      <w:r>
        <w:rPr>
          <w:rStyle w:val="FootnoteReference"/>
        </w:rPr>
        <w:footnoteRef/>
      </w:r>
      <w:r>
        <w:t xml:space="preserve"> Total available funds in each budget category were derived from the </w:t>
      </w:r>
      <w:r w:rsidRPr="0084743D">
        <w:t xml:space="preserve">Program Level Budget Summary </w:t>
      </w:r>
      <w:r>
        <w:t xml:space="preserve">on SelfGenCA.com </w:t>
      </w:r>
      <w:r w:rsidRPr="0084743D">
        <w:t>(</w:t>
      </w:r>
      <w:hyperlink r:id="rId28" w:history="1">
        <w:r>
          <w:rPr>
            <w:rStyle w:val="Hyperlink"/>
          </w:rPr>
          <w:t>https://www.selfgenca.com/budget_public/program_level_summary/statewide</w:t>
        </w:r>
      </w:hyperlink>
      <w:r w:rsidRPr="0084743D">
        <w:t>)</w:t>
      </w:r>
      <w:r>
        <w:t xml:space="preserve"> by subtracting the statewide “Total Allocated Funds” from “Total Budget”(accessed July 22, 2019).  </w:t>
      </w:r>
    </w:p>
  </w:footnote>
  <w:footnote w:id="90">
    <w:p w14:paraId="3A80D80A" w14:textId="65A5F8FA" w:rsidR="005F549C" w:rsidRDefault="005F549C">
      <w:pPr>
        <w:pStyle w:val="FootnoteText"/>
      </w:pPr>
      <w:r>
        <w:rPr>
          <w:rStyle w:val="FootnoteReference"/>
        </w:rPr>
        <w:footnoteRef/>
      </w:r>
      <w:r>
        <w:t xml:space="preserve"> D.06</w:t>
      </w:r>
      <w:r>
        <w:noBreakHyphen/>
        <w:t>01</w:t>
      </w:r>
      <w:r>
        <w:noBreakHyphen/>
        <w:t>024 at 7, Table 2, first adopted these PA contribution ratios for the CSI; D.06</w:t>
      </w:r>
      <w:r>
        <w:noBreakHyphen/>
        <w:t>12</w:t>
      </w:r>
      <w:r>
        <w:noBreakHyphen/>
        <w:t>003 at 32</w:t>
      </w:r>
      <w:r>
        <w:noBreakHyphen/>
        <w:t xml:space="preserve">33 adopted them for the SGIP. </w:t>
      </w:r>
    </w:p>
  </w:footnote>
  <w:footnote w:id="91">
    <w:p w14:paraId="3FABAE03" w14:textId="4BEAB252" w:rsidR="005F549C" w:rsidRDefault="005F549C">
      <w:pPr>
        <w:pStyle w:val="FootnoteText"/>
      </w:pPr>
      <w:r>
        <w:rPr>
          <w:rStyle w:val="FootnoteReference"/>
        </w:rPr>
        <w:footnoteRef/>
      </w:r>
      <w:r>
        <w:t xml:space="preserve"> D.09</w:t>
      </w:r>
      <w:r>
        <w:noBreakHyphen/>
        <w:t>12</w:t>
      </w:r>
      <w:r>
        <w:noBreakHyphen/>
        <w:t>047, “Decision Adopting Self</w:t>
      </w:r>
      <w:r>
        <w:noBreakHyphen/>
        <w:t>Generation Incentive Program Budget for 2010 and 2011,” December 24, 2009, OP 4; D.11</w:t>
      </w:r>
      <w:r>
        <w:noBreakHyphen/>
        <w:t>12</w:t>
      </w:r>
      <w:r>
        <w:noBreakHyphen/>
        <w:t>030 confirmed continuation of carryover funds collected and unallocated as of January 1, 2016; D.14</w:t>
      </w:r>
      <w:r>
        <w:noBreakHyphen/>
        <w:t>12</w:t>
      </w:r>
      <w:r>
        <w:noBreakHyphen/>
        <w:t>033 approved new collections from 2015 to 2019 and did not modify the carryover guidelines adopted in D.09</w:t>
      </w:r>
      <w:r>
        <w:noBreakHyphen/>
        <w:t>12</w:t>
      </w:r>
      <w:r>
        <w:noBreakHyphen/>
        <w:t xml:space="preserve">047. </w:t>
      </w:r>
    </w:p>
  </w:footnote>
  <w:footnote w:id="92">
    <w:p w14:paraId="4978E02B" w14:textId="594FD3E9" w:rsidR="005F549C" w:rsidRDefault="005F549C">
      <w:pPr>
        <w:pStyle w:val="FootnoteText"/>
      </w:pPr>
      <w:r>
        <w:rPr>
          <w:rStyle w:val="FootnoteReference"/>
        </w:rPr>
        <w:footnoteRef/>
      </w:r>
      <w:r>
        <w:t xml:space="preserve"> D.16</w:t>
      </w:r>
      <w:r>
        <w:noBreakHyphen/>
        <w:t>06</w:t>
      </w:r>
      <w:r>
        <w:noBreakHyphen/>
        <w:t xml:space="preserve">055 required that, beginning with program year 2017, generation projects that use natural gas must also use a minimum of 10 percent biogas (renewable natural gas) to receive an SGIP incentive.  The minimum biogas fuel requirement increased to 25 percent in 2018 and 50 percent in 2019.  </w:t>
      </w:r>
    </w:p>
  </w:footnote>
  <w:footnote w:id="93">
    <w:p w14:paraId="6D141FC5" w14:textId="2CF54200" w:rsidR="005F549C" w:rsidRDefault="005F549C" w:rsidP="00B22515">
      <w:pPr>
        <w:pStyle w:val="FootnoteText"/>
      </w:pPr>
      <w:r w:rsidRPr="003A7970">
        <w:rPr>
          <w:rStyle w:val="FootnoteReference"/>
        </w:rPr>
        <w:footnoteRef/>
      </w:r>
      <w:r w:rsidRPr="003A7970">
        <w:t xml:space="preserve"> </w:t>
      </w:r>
      <w:r w:rsidRPr="00D32CB0">
        <w:t>D.19</w:t>
      </w:r>
      <w:r>
        <w:noBreakHyphen/>
      </w:r>
      <w:r w:rsidRPr="00D32CB0">
        <w:t>08</w:t>
      </w:r>
      <w:r>
        <w:noBreakHyphen/>
      </w:r>
      <w:r w:rsidRPr="00D32CB0">
        <w:t>001 at 76.</w:t>
      </w:r>
    </w:p>
  </w:footnote>
  <w:footnote w:id="94">
    <w:p w14:paraId="7D078CF1" w14:textId="77777777" w:rsidR="005F549C" w:rsidRDefault="005F549C" w:rsidP="008A7D34">
      <w:pPr>
        <w:pStyle w:val="FootnoteText"/>
      </w:pPr>
      <w:r>
        <w:rPr>
          <w:rStyle w:val="FootnoteReference"/>
        </w:rPr>
        <w:footnoteRef/>
      </w:r>
      <w:r>
        <w:t xml:space="preserve"> SC/NRDC, “Comments on SGIP ACR,” May 30, 2019 at 3. </w:t>
      </w:r>
    </w:p>
  </w:footnote>
  <w:footnote w:id="95">
    <w:p w14:paraId="7EDF36C1" w14:textId="536DDDE7" w:rsidR="005F549C" w:rsidRDefault="005F549C" w:rsidP="006F4457">
      <w:pPr>
        <w:pStyle w:val="FootnoteText"/>
      </w:pPr>
      <w:r>
        <w:rPr>
          <w:rStyle w:val="FootnoteReference"/>
        </w:rPr>
        <w:footnoteRef/>
      </w:r>
      <w:r>
        <w:t xml:space="preserve"> </w:t>
      </w:r>
      <w:r w:rsidRPr="00033CB9">
        <w:rPr>
          <w:i/>
        </w:rPr>
        <w:t>Ibid</w:t>
      </w:r>
      <w:r>
        <w:t xml:space="preserve">. at 19.  </w:t>
      </w:r>
      <w:r w:rsidRPr="00033CB9">
        <w:rPr>
          <w:i/>
        </w:rPr>
        <w:t>See also</w:t>
      </w:r>
      <w:r>
        <w:t xml:space="preserve"> Section 748.6. </w:t>
      </w:r>
    </w:p>
  </w:footnote>
  <w:footnote w:id="96">
    <w:p w14:paraId="24937A96" w14:textId="4FAEF88A" w:rsidR="005F549C" w:rsidRDefault="005F549C">
      <w:pPr>
        <w:pStyle w:val="FootnoteText"/>
      </w:pPr>
      <w:r>
        <w:rPr>
          <w:rStyle w:val="FootnoteReference"/>
        </w:rPr>
        <w:footnoteRef/>
      </w:r>
      <w:r>
        <w:t xml:space="preserve"> D.19</w:t>
      </w:r>
      <w:r>
        <w:noBreakHyphen/>
        <w:t>08</w:t>
      </w:r>
      <w:r>
        <w:noBreakHyphen/>
        <w:t>009, “Decision Modifying the Energy Efficiency Three</w:t>
      </w:r>
      <w:r>
        <w:noBreakHyphen/>
        <w:t xml:space="preserve">Prong Test Related to Fuel Substitution,” adopted August 1, 2019. </w:t>
      </w:r>
    </w:p>
  </w:footnote>
  <w:footnote w:id="97">
    <w:p w14:paraId="19C45702" w14:textId="7B5BFD45" w:rsidR="005F549C" w:rsidRPr="00E0608A" w:rsidRDefault="005F549C">
      <w:pPr>
        <w:pStyle w:val="FootnoteText"/>
      </w:pPr>
      <w:r w:rsidRPr="00E0608A">
        <w:rPr>
          <w:rStyle w:val="FootnoteReference"/>
        </w:rPr>
        <w:footnoteRef/>
      </w:r>
      <w:r w:rsidRPr="00E0608A">
        <w:t xml:space="preserve"> The Commission in D.16</w:t>
      </w:r>
      <w:r>
        <w:noBreakHyphen/>
      </w:r>
      <w:r w:rsidRPr="00E0608A">
        <w:t>06</w:t>
      </w:r>
      <w:r>
        <w:noBreakHyphen/>
      </w:r>
      <w:r w:rsidRPr="00E0608A">
        <w:t>055 adopted three co</w:t>
      </w:r>
      <w:r>
        <w:noBreakHyphen/>
      </w:r>
      <w:r w:rsidRPr="00E0608A">
        <w:t xml:space="preserve">equal goals for the SGIP program: </w:t>
      </w:r>
      <w:r>
        <w:t xml:space="preserve"> (1) </w:t>
      </w:r>
      <w:r w:rsidRPr="00E0608A">
        <w:t>Environmental Benefits; (2) Grid Support; and, (3) Market Transformation.  D.16</w:t>
      </w:r>
      <w:r>
        <w:noBreakHyphen/>
      </w:r>
      <w:r w:rsidRPr="00E0608A">
        <w:t>06</w:t>
      </w:r>
      <w:r>
        <w:noBreakHyphen/>
      </w:r>
      <w:r w:rsidRPr="00E0608A">
        <w:t>055 defined Market Transformation as a “key goal,” meaning that “SGIP should support technologies with the potential to thrive in future years without rebates.”</w:t>
      </w:r>
      <w:r>
        <w:t xml:space="preserve"> </w:t>
      </w:r>
      <w:r w:rsidRPr="00E0608A">
        <w:t xml:space="preserve"> D.16</w:t>
      </w:r>
      <w:r>
        <w:noBreakHyphen/>
      </w:r>
      <w:r w:rsidRPr="00E0608A">
        <w:t>06</w:t>
      </w:r>
      <w:r>
        <w:noBreakHyphen/>
      </w:r>
      <w:r w:rsidRPr="00E0608A">
        <w:t>055, Findings of Fact 1</w:t>
      </w:r>
      <w:r>
        <w:noBreakHyphen/>
      </w:r>
      <w:r w:rsidRPr="00E0608A">
        <w:t>3 and Conclusions of Law 1 – 3 and p. 11.</w:t>
      </w:r>
    </w:p>
  </w:footnote>
  <w:footnote w:id="98">
    <w:p w14:paraId="6CA140EE" w14:textId="200BA952" w:rsidR="005F549C" w:rsidRDefault="005F549C" w:rsidP="00041706">
      <w:pPr>
        <w:pStyle w:val="FootnoteText"/>
      </w:pPr>
      <w:r w:rsidRPr="00E0608A">
        <w:rPr>
          <w:rStyle w:val="FootnoteReference"/>
        </w:rPr>
        <w:footnoteRef/>
      </w:r>
      <w:r w:rsidRPr="00E0608A">
        <w:t xml:space="preserve"> SC/NRDC</w:t>
      </w:r>
      <w:r>
        <w:t>, “Comments on SGIP ACR,” May 30, 2019 at 4, referring to</w:t>
      </w:r>
      <w:r w:rsidRPr="00E0608A">
        <w:t xml:space="preserve"> SB 1477 (Stern, 2018), AB 3232 (Friedman, 2018) and SB 100 (Leon, 2018).  </w:t>
      </w:r>
      <w:r w:rsidRPr="00E0608A">
        <w:rPr>
          <w:lang w:val="en"/>
        </w:rPr>
        <w:t>SB 1477 requires the Commission to develop, in consultation with the CEC, two programs aimed at reducing greenhouse gas emissions associated with buildings.</w:t>
      </w:r>
      <w:r>
        <w:rPr>
          <w:lang w:val="en"/>
        </w:rPr>
        <w:t xml:space="preserve"> </w:t>
      </w:r>
      <w:r w:rsidRPr="00E0608A">
        <w:rPr>
          <w:lang w:val="en"/>
        </w:rPr>
        <w:t xml:space="preserve"> AB 3232 requires CEC to, by 2021, develop an assessment of the feasibility of reducing the GHG emissions of California’s buildings 40 percent below 1990 levels by 2030, working in consultation with the Commission and other state agencies.  </w:t>
      </w:r>
      <w:r w:rsidRPr="00E0608A">
        <w:t>SB 100 states that it is California policy that eligible renewable energy resources and zero</w:t>
      </w:r>
      <w:r>
        <w:noBreakHyphen/>
      </w:r>
      <w:r w:rsidRPr="00E0608A">
        <w:t>carbon resources supply 100 percent of retail sales of electricity to California end</w:t>
      </w:r>
      <w:r>
        <w:noBreakHyphen/>
      </w:r>
      <w:r w:rsidRPr="00E0608A">
        <w:t>use customers and 100 percent of electricity procured to serve all state agencies by December 31, 2045.</w:t>
      </w:r>
      <w:r>
        <w:t xml:space="preserve"> </w:t>
      </w:r>
    </w:p>
  </w:footnote>
  <w:footnote w:id="99">
    <w:p w14:paraId="4E452D11" w14:textId="5B23FB14" w:rsidR="005F549C" w:rsidRPr="00CA6CF6" w:rsidRDefault="005F549C" w:rsidP="00033CB9">
      <w:pPr>
        <w:spacing w:after="120"/>
        <w:rPr>
          <w:sz w:val="24"/>
          <w:highlight w:val="yellow"/>
        </w:rPr>
      </w:pPr>
      <w:r w:rsidRPr="001A4516">
        <w:rPr>
          <w:rStyle w:val="FootnoteReference"/>
          <w:sz w:val="24"/>
        </w:rPr>
        <w:footnoteRef/>
      </w:r>
      <w:r>
        <w:rPr>
          <w:sz w:val="24"/>
        </w:rPr>
        <w:t xml:space="preserve"> </w:t>
      </w:r>
      <w:r w:rsidRPr="001A4516">
        <w:rPr>
          <w:sz w:val="24"/>
        </w:rPr>
        <w:t>D.18</w:t>
      </w:r>
      <w:r>
        <w:rPr>
          <w:sz w:val="24"/>
        </w:rPr>
        <w:noBreakHyphen/>
      </w:r>
      <w:r w:rsidRPr="001A4516">
        <w:rPr>
          <w:sz w:val="24"/>
        </w:rPr>
        <w:t>12</w:t>
      </w:r>
      <w:r>
        <w:rPr>
          <w:sz w:val="24"/>
        </w:rPr>
        <w:noBreakHyphen/>
      </w:r>
      <w:r w:rsidRPr="001A4516">
        <w:rPr>
          <w:sz w:val="24"/>
        </w:rPr>
        <w:t>015, at 41</w:t>
      </w:r>
      <w:r>
        <w:rPr>
          <w:sz w:val="24"/>
        </w:rPr>
        <w:noBreakHyphen/>
      </w:r>
      <w:r w:rsidRPr="001A4516">
        <w:rPr>
          <w:sz w:val="24"/>
        </w:rPr>
        <w:t>42 and 115</w:t>
      </w:r>
      <w:r>
        <w:rPr>
          <w:sz w:val="24"/>
        </w:rPr>
        <w:noBreakHyphen/>
      </w:r>
      <w:r w:rsidRPr="001A4516">
        <w:rPr>
          <w:sz w:val="24"/>
        </w:rPr>
        <w:t xml:space="preserve">118; </w:t>
      </w:r>
      <w:r w:rsidRPr="00723E87">
        <w:rPr>
          <w:i/>
          <w:iCs/>
          <w:sz w:val="24"/>
        </w:rPr>
        <w:t>Assigned Commissioner’s Ruling Proposing Phase II Pilot Projects in Twelve Communities in the San Joaquin Valley and Noticing All</w:t>
      </w:r>
      <w:r>
        <w:rPr>
          <w:i/>
          <w:iCs/>
          <w:sz w:val="24"/>
        </w:rPr>
        <w:noBreakHyphen/>
      </w:r>
      <w:r w:rsidRPr="00723E87">
        <w:rPr>
          <w:i/>
          <w:iCs/>
          <w:sz w:val="24"/>
        </w:rPr>
        <w:t>Party Meeting</w:t>
      </w:r>
      <w:r w:rsidRPr="009C38DF">
        <w:rPr>
          <w:sz w:val="24"/>
        </w:rPr>
        <w:t xml:space="preserve">, October 3, 2018.  </w:t>
      </w:r>
    </w:p>
  </w:footnote>
  <w:footnote w:id="100">
    <w:p w14:paraId="6B20694A" w14:textId="44BCD5DA" w:rsidR="005F549C" w:rsidRPr="00723E87" w:rsidRDefault="005F549C" w:rsidP="00033CB9">
      <w:pPr>
        <w:pStyle w:val="FootnoteText"/>
        <w:rPr>
          <w:sz w:val="24"/>
          <w:szCs w:val="24"/>
        </w:rPr>
      </w:pPr>
      <w:r w:rsidRPr="002A1566">
        <w:rPr>
          <w:rStyle w:val="FootnoteReference"/>
          <w:sz w:val="24"/>
          <w:szCs w:val="24"/>
        </w:rPr>
        <w:footnoteRef/>
      </w:r>
      <w:r w:rsidRPr="002A1566">
        <w:rPr>
          <w:sz w:val="24"/>
          <w:szCs w:val="24"/>
        </w:rPr>
        <w:t xml:space="preserve"> D.17</w:t>
      </w:r>
      <w:r>
        <w:rPr>
          <w:sz w:val="24"/>
          <w:szCs w:val="24"/>
        </w:rPr>
        <w:noBreakHyphen/>
      </w:r>
      <w:r w:rsidRPr="002A1566">
        <w:rPr>
          <w:sz w:val="24"/>
          <w:szCs w:val="24"/>
        </w:rPr>
        <w:t>05</w:t>
      </w:r>
      <w:r>
        <w:rPr>
          <w:sz w:val="24"/>
          <w:szCs w:val="24"/>
        </w:rPr>
        <w:noBreakHyphen/>
      </w:r>
      <w:r w:rsidRPr="002A1566">
        <w:rPr>
          <w:sz w:val="24"/>
          <w:szCs w:val="24"/>
        </w:rPr>
        <w:t>014 and D.18</w:t>
      </w:r>
      <w:r>
        <w:rPr>
          <w:sz w:val="24"/>
          <w:szCs w:val="24"/>
        </w:rPr>
        <w:noBreakHyphen/>
      </w:r>
      <w:r w:rsidRPr="002A1566">
        <w:rPr>
          <w:sz w:val="24"/>
          <w:szCs w:val="24"/>
        </w:rPr>
        <w:t>08</w:t>
      </w:r>
      <w:r>
        <w:rPr>
          <w:sz w:val="24"/>
          <w:szCs w:val="24"/>
        </w:rPr>
        <w:noBreakHyphen/>
      </w:r>
      <w:r w:rsidRPr="002A1566">
        <w:rPr>
          <w:sz w:val="24"/>
          <w:szCs w:val="24"/>
        </w:rPr>
        <w:t>019.</w:t>
      </w:r>
    </w:p>
  </w:footnote>
  <w:footnote w:id="101">
    <w:p w14:paraId="4EDEC0BD" w14:textId="2EE3099A" w:rsidR="005F549C" w:rsidRPr="00723E87" w:rsidRDefault="005F549C" w:rsidP="00033CB9">
      <w:pPr>
        <w:pStyle w:val="FootnoteText"/>
        <w:rPr>
          <w:sz w:val="24"/>
          <w:szCs w:val="24"/>
        </w:rPr>
      </w:pPr>
      <w:r w:rsidRPr="00723E87">
        <w:rPr>
          <w:rStyle w:val="FootnoteReference"/>
          <w:sz w:val="24"/>
          <w:szCs w:val="24"/>
        </w:rPr>
        <w:footnoteRef/>
      </w:r>
      <w:r w:rsidRPr="00723E87">
        <w:rPr>
          <w:sz w:val="24"/>
          <w:szCs w:val="24"/>
        </w:rPr>
        <w:t xml:space="preserve"> D.18</w:t>
      </w:r>
      <w:r>
        <w:rPr>
          <w:sz w:val="24"/>
          <w:szCs w:val="24"/>
        </w:rPr>
        <w:noBreakHyphen/>
      </w:r>
      <w:r w:rsidRPr="00723E87">
        <w:rPr>
          <w:sz w:val="24"/>
          <w:szCs w:val="24"/>
        </w:rPr>
        <w:t>12</w:t>
      </w:r>
      <w:r>
        <w:rPr>
          <w:sz w:val="24"/>
          <w:szCs w:val="24"/>
        </w:rPr>
        <w:noBreakHyphen/>
      </w:r>
      <w:r w:rsidRPr="00723E87">
        <w:rPr>
          <w:sz w:val="24"/>
          <w:szCs w:val="24"/>
        </w:rPr>
        <w:t>015 at 10</w:t>
      </w:r>
      <w:r>
        <w:rPr>
          <w:sz w:val="24"/>
          <w:szCs w:val="24"/>
        </w:rPr>
        <w:noBreakHyphen/>
      </w:r>
      <w:r w:rsidRPr="00723E87">
        <w:rPr>
          <w:sz w:val="24"/>
          <w:szCs w:val="24"/>
        </w:rPr>
        <w:t xml:space="preserve">11. </w:t>
      </w:r>
    </w:p>
  </w:footnote>
  <w:footnote w:id="102">
    <w:p w14:paraId="5294EB26" w14:textId="7197D754" w:rsidR="005F549C" w:rsidRPr="001A4516" w:rsidRDefault="005F549C" w:rsidP="00033CB9">
      <w:pPr>
        <w:spacing w:after="120"/>
        <w:rPr>
          <w:sz w:val="24"/>
        </w:rPr>
      </w:pPr>
      <w:r w:rsidRPr="00723E87">
        <w:rPr>
          <w:rStyle w:val="FootnoteReference"/>
          <w:sz w:val="24"/>
        </w:rPr>
        <w:footnoteRef/>
      </w:r>
      <w:r w:rsidRPr="00723E87">
        <w:rPr>
          <w:sz w:val="24"/>
        </w:rPr>
        <w:t xml:space="preserve"> SJV ACR</w:t>
      </w:r>
      <w:r w:rsidRPr="00723E87">
        <w:rPr>
          <w:i/>
          <w:sz w:val="24"/>
        </w:rPr>
        <w:t xml:space="preserve">, </w:t>
      </w:r>
      <w:r w:rsidRPr="00723E87">
        <w:rPr>
          <w:sz w:val="24"/>
        </w:rPr>
        <w:t xml:space="preserve">Table 8 at 43.  The communities proposed in the ACR to receive storage projects were </w:t>
      </w:r>
      <w:bookmarkStart w:id="81" w:name="_Hlk13485105"/>
      <w:r w:rsidRPr="00723E87">
        <w:rPr>
          <w:sz w:val="24"/>
        </w:rPr>
        <w:t>Allensworth, Alpaugh, Cantua Creek, Ducor, Fairmead, Lanare, Le Grand, La Vina, Seville, and West Goshen.  The SJV ACR did not propose that California City</w:t>
      </w:r>
      <w:bookmarkEnd w:id="81"/>
      <w:r w:rsidRPr="00723E87">
        <w:rPr>
          <w:sz w:val="24"/>
        </w:rPr>
        <w:t xml:space="preserve"> receive SGIP</w:t>
      </w:r>
      <w:r>
        <w:rPr>
          <w:sz w:val="24"/>
        </w:rPr>
        <w:noBreakHyphen/>
      </w:r>
      <w:r w:rsidRPr="00723E87">
        <w:rPr>
          <w:sz w:val="24"/>
        </w:rPr>
        <w:t xml:space="preserve">funded storage projects but did not indicate a rationale for this. </w:t>
      </w:r>
      <w:r>
        <w:rPr>
          <w:sz w:val="24"/>
        </w:rPr>
        <w:t xml:space="preserve"> </w:t>
      </w:r>
      <w:r w:rsidRPr="00723E87">
        <w:rPr>
          <w:sz w:val="24"/>
        </w:rPr>
        <w:t>Monterey Park Tract was also not included in the list, as it currently does not receive any ratepayer funded natural gas service</w:t>
      </w:r>
      <w:r>
        <w:rPr>
          <w:sz w:val="24"/>
        </w:rPr>
        <w:t xml:space="preserve">—its </w:t>
      </w:r>
      <w:r w:rsidRPr="00723E87">
        <w:rPr>
          <w:sz w:val="24"/>
        </w:rPr>
        <w:t>electric service provider is Turlock Irrigation District.</w:t>
      </w:r>
    </w:p>
  </w:footnote>
  <w:footnote w:id="103">
    <w:p w14:paraId="077687A6" w14:textId="7311D912" w:rsidR="005F549C" w:rsidRPr="009F52F1" w:rsidRDefault="005F549C" w:rsidP="00033CB9">
      <w:pPr>
        <w:spacing w:after="120"/>
        <w:rPr>
          <w:sz w:val="24"/>
        </w:rPr>
      </w:pPr>
      <w:r w:rsidRPr="001A4516">
        <w:rPr>
          <w:rStyle w:val="FootnoteReference"/>
          <w:sz w:val="24"/>
        </w:rPr>
        <w:footnoteRef/>
      </w:r>
      <w:r w:rsidRPr="001A4516">
        <w:rPr>
          <w:sz w:val="24"/>
        </w:rPr>
        <w:t xml:space="preserve">  The average SGIP incentive for residential storage projects that were paid out </w:t>
      </w:r>
      <w:r>
        <w:rPr>
          <w:sz w:val="24"/>
        </w:rPr>
        <w:t>in s</w:t>
      </w:r>
      <w:r w:rsidRPr="001A4516">
        <w:rPr>
          <w:sz w:val="24"/>
        </w:rPr>
        <w:t xml:space="preserve">tep </w:t>
      </w:r>
      <w:r>
        <w:rPr>
          <w:sz w:val="24"/>
        </w:rPr>
        <w:t>t</w:t>
      </w:r>
      <w:r w:rsidRPr="001A4516">
        <w:rPr>
          <w:sz w:val="24"/>
        </w:rPr>
        <w:t xml:space="preserve">hree of the SGIP residential storage budget was $3,710.  This value was calculated </w:t>
      </w:r>
      <w:r w:rsidRPr="009F52F1">
        <w:rPr>
          <w:sz w:val="24"/>
        </w:rPr>
        <w:t xml:space="preserve">using the SGIP Public Export </w:t>
      </w:r>
      <w:r>
        <w:rPr>
          <w:sz w:val="24"/>
        </w:rPr>
        <w:t xml:space="preserve">(accessed </w:t>
      </w:r>
      <w:r w:rsidRPr="009F52F1">
        <w:rPr>
          <w:sz w:val="24"/>
        </w:rPr>
        <w:t>February 22, 2019</w:t>
      </w:r>
      <w:r>
        <w:rPr>
          <w:sz w:val="24"/>
        </w:rPr>
        <w:t>)</w:t>
      </w:r>
      <w:r w:rsidRPr="009F52F1">
        <w:rPr>
          <w:sz w:val="24"/>
        </w:rPr>
        <w:t>.</w:t>
      </w:r>
    </w:p>
  </w:footnote>
  <w:footnote w:id="104">
    <w:p w14:paraId="51E94B57" w14:textId="0901CAB3" w:rsidR="005F549C" w:rsidRPr="009F52F1" w:rsidRDefault="005F549C" w:rsidP="00033CB9">
      <w:pPr>
        <w:pStyle w:val="FootnoteText"/>
        <w:rPr>
          <w:sz w:val="24"/>
          <w:szCs w:val="24"/>
        </w:rPr>
      </w:pPr>
      <w:r w:rsidRPr="009F52F1">
        <w:rPr>
          <w:rStyle w:val="FootnoteReference"/>
          <w:sz w:val="24"/>
          <w:szCs w:val="24"/>
        </w:rPr>
        <w:footnoteRef/>
      </w:r>
      <w:r w:rsidRPr="009F52F1">
        <w:rPr>
          <w:sz w:val="24"/>
          <w:szCs w:val="24"/>
        </w:rPr>
        <w:t xml:space="preserve"> </w:t>
      </w:r>
      <w:r>
        <w:rPr>
          <w:sz w:val="24"/>
          <w:szCs w:val="24"/>
        </w:rPr>
        <w:t>D.18</w:t>
      </w:r>
      <w:r>
        <w:rPr>
          <w:sz w:val="24"/>
          <w:szCs w:val="24"/>
        </w:rPr>
        <w:noBreakHyphen/>
        <w:t>12</w:t>
      </w:r>
      <w:r>
        <w:rPr>
          <w:sz w:val="24"/>
          <w:szCs w:val="24"/>
        </w:rPr>
        <w:noBreakHyphen/>
        <w:t>015 at 42.</w:t>
      </w:r>
    </w:p>
  </w:footnote>
  <w:footnote w:id="105">
    <w:p w14:paraId="7FA79CD1" w14:textId="502A8DA1" w:rsidR="005F549C" w:rsidRPr="00AB1591" w:rsidRDefault="005F549C" w:rsidP="00D47237">
      <w:r w:rsidRPr="00AB1591">
        <w:rPr>
          <w:rStyle w:val="FootnoteReference"/>
          <w:sz w:val="22"/>
        </w:rPr>
        <w:footnoteRef/>
      </w:r>
      <w:r w:rsidRPr="00AB1591">
        <w:t xml:space="preserve"> </w:t>
      </w:r>
      <w:r>
        <w:t xml:space="preserve">SGIP ACR at 21; </w:t>
      </w:r>
      <w:r w:rsidRPr="009D270D">
        <w:rPr>
          <w:i/>
        </w:rPr>
        <w:t xml:space="preserve">See </w:t>
      </w:r>
      <w:r>
        <w:t xml:space="preserve">also </w:t>
      </w:r>
      <w:r w:rsidRPr="00AB1591">
        <w:t>D.16</w:t>
      </w:r>
      <w:r>
        <w:noBreakHyphen/>
      </w:r>
      <w:r w:rsidRPr="00AB1591">
        <w:t>06</w:t>
      </w:r>
      <w:r>
        <w:noBreakHyphen/>
      </w:r>
      <w:r w:rsidRPr="00AB1591">
        <w:t>055, at 9</w:t>
      </w:r>
      <w:r>
        <w:noBreakHyphen/>
      </w:r>
      <w:r w:rsidRPr="00AB1591">
        <w:t>13.</w:t>
      </w:r>
    </w:p>
  </w:footnote>
  <w:footnote w:id="106">
    <w:p w14:paraId="7D2B282A" w14:textId="2E84E589" w:rsidR="005F549C" w:rsidRDefault="005F549C">
      <w:pPr>
        <w:pStyle w:val="FootnoteText"/>
      </w:pPr>
      <w:r>
        <w:rPr>
          <w:rStyle w:val="FootnoteReference"/>
        </w:rPr>
        <w:footnoteRef/>
      </w:r>
      <w:r>
        <w:t xml:space="preserve"> </w:t>
      </w:r>
      <w:r w:rsidRPr="00207A8C">
        <w:rPr>
          <w:i/>
          <w:iCs/>
        </w:rPr>
        <w:t>Ibid</w:t>
      </w:r>
      <w:r>
        <w:rPr>
          <w:i/>
          <w:iCs/>
        </w:rPr>
        <w:t>.</w:t>
      </w:r>
      <w:r w:rsidRPr="00207A8C">
        <w:rPr>
          <w:i/>
          <w:iCs/>
        </w:rPr>
        <w:t xml:space="preserve"> </w:t>
      </w:r>
      <w:r>
        <w:t xml:space="preserve">at 13. </w:t>
      </w:r>
    </w:p>
  </w:footnote>
  <w:footnote w:id="107">
    <w:p w14:paraId="2C884137" w14:textId="7C0A4B8E" w:rsidR="005F549C" w:rsidRDefault="005F549C" w:rsidP="00115859">
      <w:pPr>
        <w:pStyle w:val="FootnoteText"/>
      </w:pPr>
      <w:r>
        <w:rPr>
          <w:rStyle w:val="FootnoteReference"/>
        </w:rPr>
        <w:footnoteRef/>
      </w:r>
      <w:r>
        <w:t xml:space="preserve"> GRID/CHPC, “Comments on SGIP ACR” at 22. </w:t>
      </w:r>
    </w:p>
  </w:footnote>
  <w:footnote w:id="108">
    <w:p w14:paraId="023A93C8" w14:textId="3B668DE4" w:rsidR="005F549C" w:rsidRDefault="005F549C" w:rsidP="00115859">
      <w:pPr>
        <w:pStyle w:val="FootnoteText"/>
      </w:pPr>
      <w:r>
        <w:rPr>
          <w:rStyle w:val="FootnoteReference"/>
        </w:rPr>
        <w:footnoteRef/>
      </w:r>
      <w:r>
        <w:t xml:space="preserve"> </w:t>
      </w:r>
      <w:r w:rsidRPr="00207A8C">
        <w:rPr>
          <w:i/>
          <w:iCs/>
        </w:rPr>
        <w:t>Ibid</w:t>
      </w:r>
      <w:r>
        <w:rPr>
          <w:i/>
          <w:iCs/>
        </w:rPr>
        <w:t>.</w:t>
      </w:r>
      <w:r>
        <w:t xml:space="preserve"> at 23. </w:t>
      </w:r>
    </w:p>
  </w:footnote>
  <w:footnote w:id="109">
    <w:p w14:paraId="3E5B9EC9" w14:textId="0448E406" w:rsidR="005F549C" w:rsidRDefault="005F549C" w:rsidP="00D7338F">
      <w:pPr>
        <w:pStyle w:val="FootnoteText"/>
      </w:pPr>
      <w:r>
        <w:rPr>
          <w:rStyle w:val="FootnoteReference"/>
        </w:rPr>
        <w:footnoteRef/>
      </w:r>
      <w:r>
        <w:t xml:space="preserve"> </w:t>
      </w:r>
      <w:r w:rsidRPr="00213095">
        <w:t>Attachment B, Table 11</w:t>
      </w:r>
    </w:p>
  </w:footnote>
  <w:footnote w:id="110">
    <w:p w14:paraId="4229B534" w14:textId="01994C81" w:rsidR="005F549C" w:rsidRDefault="005F549C" w:rsidP="00174B22">
      <w:pPr>
        <w:pStyle w:val="FootnoteText"/>
      </w:pPr>
      <w:r>
        <w:rPr>
          <w:rStyle w:val="FootnoteReference"/>
        </w:rPr>
        <w:footnoteRef/>
      </w:r>
      <w:r>
        <w:t xml:space="preserve"> The SJV ACR at 43 estimated that between $9.53 and $9.76 million would be invested in 815 residential systems and $240,000 to $475,000 in nine to 18 non</w:t>
      </w:r>
      <w:r>
        <w:noBreakHyphen/>
        <w:t>residential systems.</w:t>
      </w:r>
    </w:p>
  </w:footnote>
  <w:footnote w:id="111">
    <w:p w14:paraId="038C0865" w14:textId="37FB5C18" w:rsidR="005F549C" w:rsidRPr="00D54660" w:rsidRDefault="005F549C" w:rsidP="003E78D7">
      <w:pPr>
        <w:pStyle w:val="FootnoteText"/>
      </w:pPr>
      <w:r w:rsidRPr="003A7970">
        <w:rPr>
          <w:rStyle w:val="FootnoteReference"/>
        </w:rPr>
        <w:footnoteRef/>
      </w:r>
      <w:r w:rsidRPr="003A7970">
        <w:t xml:space="preserve"> </w:t>
      </w:r>
      <w:r>
        <w:t>D.19</w:t>
      </w:r>
      <w:r>
        <w:noBreakHyphen/>
        <w:t>08</w:t>
      </w:r>
      <w:r>
        <w:noBreakHyphen/>
        <w:t xml:space="preserve">001 </w:t>
      </w:r>
      <w:r w:rsidRPr="00D32CB0">
        <w:t>at 77</w:t>
      </w:r>
      <w:r w:rsidRPr="003A7970">
        <w:t xml:space="preserve"> requires “new” SGIP projects to enroll in rates and defines “new</w:t>
      </w:r>
      <w:r w:rsidRPr="00D54660">
        <w:t xml:space="preserve">” projects as those submitting complete SGIP applications containing all required information on or after April 1, 2020. </w:t>
      </w:r>
    </w:p>
  </w:footnote>
  <w:footnote w:id="112">
    <w:p w14:paraId="3415977D" w14:textId="26A8E4A7" w:rsidR="005F549C" w:rsidRDefault="005F549C" w:rsidP="008C10B0">
      <w:pPr>
        <w:pStyle w:val="FootnoteText"/>
      </w:pPr>
      <w:r w:rsidRPr="003A7970">
        <w:rPr>
          <w:rStyle w:val="FootnoteReference"/>
        </w:rPr>
        <w:footnoteRef/>
      </w:r>
      <w:r w:rsidRPr="003A7970">
        <w:t xml:space="preserve"> D.</w:t>
      </w:r>
      <w:r w:rsidRPr="00D54660">
        <w:t>19</w:t>
      </w:r>
      <w:r>
        <w:noBreakHyphen/>
      </w:r>
      <w:r w:rsidRPr="00D54660">
        <w:t>08</w:t>
      </w:r>
      <w:r>
        <w:noBreakHyphen/>
      </w:r>
      <w:r w:rsidRPr="00D54660">
        <w:t>001 at 85.</w:t>
      </w:r>
    </w:p>
  </w:footnote>
  <w:footnote w:id="113">
    <w:p w14:paraId="23F946E2" w14:textId="3BE9C9BB" w:rsidR="005F549C" w:rsidRDefault="005F549C" w:rsidP="00F91094">
      <w:pPr>
        <w:pStyle w:val="FootnoteText"/>
      </w:pPr>
      <w:r>
        <w:rPr>
          <w:rStyle w:val="FootnoteReference"/>
        </w:rPr>
        <w:footnoteRef/>
      </w:r>
      <w:r>
        <w:t xml:space="preserve"> SGIP ACR, April 15, 2019 at 22</w:t>
      </w:r>
      <w:r>
        <w:noBreakHyphen/>
        <w:t>23.</w:t>
      </w:r>
    </w:p>
  </w:footnote>
  <w:footnote w:id="114">
    <w:p w14:paraId="062CF3B8" w14:textId="295B8837" w:rsidR="005F549C" w:rsidRDefault="005F549C">
      <w:pPr>
        <w:pStyle w:val="FootnoteText"/>
      </w:pPr>
      <w:r w:rsidRPr="00A87656">
        <w:rPr>
          <w:rStyle w:val="FootnoteReference"/>
        </w:rPr>
        <w:footnoteRef/>
      </w:r>
      <w:r w:rsidRPr="00A87656">
        <w:t xml:space="preserve"> SGIP 2017 handbook at 27</w:t>
      </w:r>
      <w:r>
        <w:t xml:space="preserve">, available here </w:t>
      </w:r>
      <w:hyperlink r:id="rId29" w:history="1">
        <w:r w:rsidRPr="00E03B2B">
          <w:rPr>
            <w:rStyle w:val="Hyperlink"/>
          </w:rPr>
          <w:t>https://www.cpuc.ca.gov/General.aspx?id=5935</w:t>
        </w:r>
      </w:hyperlink>
      <w:r>
        <w:t xml:space="preserve">. </w:t>
      </w:r>
    </w:p>
  </w:footnote>
  <w:footnote w:id="115">
    <w:p w14:paraId="3D2F7D9C" w14:textId="31FB354C" w:rsidR="005F549C" w:rsidRDefault="005F549C" w:rsidP="00F91094">
      <w:pPr>
        <w:pStyle w:val="FootnoteText"/>
      </w:pPr>
      <w:r>
        <w:rPr>
          <w:rStyle w:val="FootnoteReference"/>
        </w:rPr>
        <w:footnoteRef/>
      </w:r>
      <w:r>
        <w:t xml:space="preserve"> CALSSA, “Comments on SGIP ACR” </w:t>
      </w:r>
      <w:r w:rsidRPr="005A1C4D">
        <w:t>at 10</w:t>
      </w:r>
      <w:r>
        <w:t>; CALSSA, “Comments on Proposed Decision.”</w:t>
      </w:r>
    </w:p>
  </w:footnote>
  <w:footnote w:id="116">
    <w:p w14:paraId="56755F8D" w14:textId="018B2EE4" w:rsidR="005F549C" w:rsidRDefault="005F549C" w:rsidP="007F3843">
      <w:pPr>
        <w:pStyle w:val="FootnoteText"/>
      </w:pPr>
      <w:r>
        <w:rPr>
          <w:rStyle w:val="FootnoteReference"/>
        </w:rPr>
        <w:footnoteRef/>
      </w:r>
      <w:r>
        <w:t xml:space="preserve"> GRID/CHPC, “Comments on SGIP ACR” at 4. </w:t>
      </w:r>
    </w:p>
  </w:footnote>
  <w:footnote w:id="117">
    <w:p w14:paraId="3679173C" w14:textId="77777777" w:rsidR="005F549C" w:rsidRDefault="005F549C" w:rsidP="00276192">
      <w:pPr>
        <w:pStyle w:val="FootnoteText"/>
      </w:pPr>
      <w:r>
        <w:rPr>
          <w:rStyle w:val="FootnoteReference"/>
        </w:rPr>
        <w:footnoteRef/>
      </w:r>
      <w:r>
        <w:t xml:space="preserve"> Tesla, “Comments on SGIP ACR” at 8.</w:t>
      </w:r>
    </w:p>
  </w:footnote>
  <w:footnote w:id="118">
    <w:p w14:paraId="405C93FA" w14:textId="2D96CB6C" w:rsidR="005F549C" w:rsidRDefault="005F549C" w:rsidP="00D66D69">
      <w:pPr>
        <w:pStyle w:val="FootnoteText"/>
      </w:pPr>
      <w:r>
        <w:rPr>
          <w:rStyle w:val="FootnoteReference"/>
        </w:rPr>
        <w:footnoteRef/>
      </w:r>
      <w:r>
        <w:t xml:space="preserve"> CESA, “Comments on Proposed Decision,” August 29, 2019 at 8.</w:t>
      </w:r>
    </w:p>
  </w:footnote>
  <w:footnote w:id="119">
    <w:p w14:paraId="44558F85" w14:textId="11B45B53" w:rsidR="005F549C" w:rsidRDefault="005F549C">
      <w:pPr>
        <w:pStyle w:val="FootnoteText"/>
      </w:pPr>
      <w:r>
        <w:rPr>
          <w:rStyle w:val="FootnoteReference"/>
        </w:rPr>
        <w:footnoteRef/>
      </w:r>
      <w:r>
        <w:t xml:space="preserve"> D.17</w:t>
      </w:r>
      <w:r>
        <w:noBreakHyphen/>
        <w:t>10</w:t>
      </w:r>
      <w:r>
        <w:noBreakHyphen/>
        <w:t>004, Conclusion of Law 14.</w:t>
      </w:r>
    </w:p>
  </w:footnote>
  <w:footnote w:id="120">
    <w:p w14:paraId="080F71F3" w14:textId="0CD84CE1" w:rsidR="005F549C" w:rsidRDefault="005F549C" w:rsidP="00DC08ED">
      <w:pPr>
        <w:pStyle w:val="FootnoteText"/>
      </w:pPr>
      <w:r>
        <w:rPr>
          <w:rStyle w:val="FootnoteReference"/>
        </w:rPr>
        <w:footnoteRef/>
      </w:r>
      <w:r>
        <w:t xml:space="preserve">  D.17</w:t>
      </w:r>
      <w:r>
        <w:noBreakHyphen/>
        <w:t>10</w:t>
      </w:r>
      <w:r>
        <w:noBreakHyphen/>
        <w:t>040, Conclusion of Law 13, Finding of Fact 10.</w:t>
      </w:r>
    </w:p>
  </w:footnote>
  <w:footnote w:id="121">
    <w:p w14:paraId="04904E58" w14:textId="3EE4AE89" w:rsidR="005F549C" w:rsidRDefault="005F549C">
      <w:pPr>
        <w:pStyle w:val="FootnoteText"/>
      </w:pPr>
      <w:r>
        <w:rPr>
          <w:rStyle w:val="FootnoteReference"/>
        </w:rPr>
        <w:footnoteRef/>
      </w:r>
      <w:r w:rsidRPr="00BA004B">
        <w:rPr>
          <w:i/>
        </w:rPr>
        <w:t xml:space="preserve"> See</w:t>
      </w:r>
      <w:r>
        <w:t xml:space="preserve"> </w:t>
      </w:r>
      <w:hyperlink r:id="rId30" w:history="1">
        <w:r w:rsidRPr="00BE5AFD">
          <w:rPr>
            <w:rStyle w:val="Hyperlink"/>
          </w:rPr>
          <w:t>https://www.cpuc.ca.gov/General.aspx?id=10682</w:t>
        </w:r>
      </w:hyperlink>
      <w:r>
        <w:t>.</w:t>
      </w:r>
    </w:p>
    <w:p w14:paraId="423502F1" w14:textId="77777777" w:rsidR="005F549C" w:rsidRDefault="005F549C">
      <w:pPr>
        <w:pStyle w:val="FootnoteText"/>
      </w:pPr>
    </w:p>
  </w:footnote>
  <w:footnote w:id="122">
    <w:p w14:paraId="5C07B7E4" w14:textId="77777777" w:rsidR="005F549C" w:rsidRDefault="005F549C" w:rsidP="00FA235C">
      <w:pPr>
        <w:pStyle w:val="FootnoteText"/>
      </w:pPr>
      <w:r>
        <w:rPr>
          <w:rStyle w:val="FootnoteReference"/>
        </w:rPr>
        <w:footnoteRef/>
      </w:r>
      <w:r>
        <w:t xml:space="preserve"> Source: SGIP Program Level Budget Summary, accessed July 31, 2019, (</w:t>
      </w:r>
      <w:hyperlink r:id="rId31" w:history="1">
        <w:r w:rsidRPr="008A425A">
          <w:rPr>
            <w:rStyle w:val="Hyperlink"/>
          </w:rPr>
          <w:t>https://www.selfgenca.com/budget_public/program_level_summary/statewide</w:t>
        </w:r>
      </w:hyperlink>
      <w:r>
        <w:t xml:space="preserve">). </w:t>
      </w:r>
    </w:p>
  </w:footnote>
  <w:footnote w:id="123">
    <w:p w14:paraId="2F26928D" w14:textId="6ABFEA5F" w:rsidR="005F549C" w:rsidRDefault="005F549C" w:rsidP="00FA235C">
      <w:pPr>
        <w:pStyle w:val="FootnoteText"/>
      </w:pPr>
      <w:r>
        <w:rPr>
          <w:rStyle w:val="FootnoteReference"/>
        </w:rPr>
        <w:footnoteRef/>
      </w:r>
      <w:r>
        <w:t xml:space="preserve"> Source: SGIP PA Budget Details (internal only), </w:t>
      </w:r>
      <w:hyperlink r:id="rId32" w:history="1">
        <w:r w:rsidRPr="00793923">
          <w:rPr>
            <w:rStyle w:val="Hyperlink"/>
          </w:rPr>
          <w:t>selfgenca.com</w:t>
        </w:r>
      </w:hyperlink>
      <w:r>
        <w:t xml:space="preserve">, accessed 7/31/2019. </w:t>
      </w:r>
    </w:p>
  </w:footnote>
  <w:footnote w:id="124">
    <w:p w14:paraId="402D6818" w14:textId="7A6B6E06" w:rsidR="005F549C" w:rsidRDefault="005F549C" w:rsidP="00D32CB0">
      <w:pPr>
        <w:pStyle w:val="FootnoteText"/>
        <w:spacing w:after="0"/>
        <w:contextualSpacing/>
      </w:pPr>
      <w:r>
        <w:rPr>
          <w:rStyle w:val="FootnoteReference"/>
        </w:rPr>
        <w:footnoteRef/>
      </w:r>
      <w:r>
        <w:t xml:space="preserve"> CESA, “Comments on SGIP ACR”, May 30, 2019 at C</w:t>
      </w:r>
      <w:r>
        <w:noBreakHyphen/>
        <w:t>1.  We have added the proposed standard NPFA 855 to this list.</w:t>
      </w:r>
    </w:p>
  </w:footnote>
  <w:footnote w:id="125">
    <w:p w14:paraId="6D380A42" w14:textId="5F8F2743" w:rsidR="005F549C" w:rsidRDefault="005F549C" w:rsidP="00D32CB0">
      <w:pPr>
        <w:pStyle w:val="FootnoteText"/>
        <w:spacing w:after="0"/>
        <w:contextualSpacing/>
      </w:pPr>
      <w:r>
        <w:rPr>
          <w:rStyle w:val="FootnoteReference"/>
        </w:rPr>
        <w:footnoteRef/>
      </w:r>
      <w:r>
        <w:t xml:space="preserve"> UL 1642 Section 1.3, available here: </w:t>
      </w:r>
      <w:hyperlink r:id="rId33" w:history="1">
        <w:r w:rsidRPr="00E03B2B">
          <w:rPr>
            <w:rStyle w:val="Hyperlink"/>
          </w:rPr>
          <w:t>https://standardscatalog.ul.com/standards/en/standard_1642_5</w:t>
        </w:r>
      </w:hyperlink>
      <w:r>
        <w:t xml:space="preserve">. </w:t>
      </w:r>
    </w:p>
  </w:footnote>
  <w:footnote w:id="126">
    <w:p w14:paraId="19EE7D6A" w14:textId="4D21A117" w:rsidR="005F549C" w:rsidRDefault="005F549C" w:rsidP="00D32CB0">
      <w:pPr>
        <w:pStyle w:val="FootnoteText"/>
        <w:spacing w:after="0"/>
        <w:contextualSpacing/>
      </w:pPr>
      <w:r>
        <w:rPr>
          <w:rStyle w:val="FootnoteReference"/>
        </w:rPr>
        <w:footnoteRef/>
      </w:r>
      <w:r>
        <w:t xml:space="preserve"> </w:t>
      </w:r>
      <w:r w:rsidRPr="00FC70A7">
        <w:rPr>
          <w:i/>
        </w:rPr>
        <w:t>Ibid,</w:t>
      </w:r>
      <w:r>
        <w:t xml:space="preserve"> Section 1.6.</w:t>
      </w:r>
    </w:p>
  </w:footnote>
  <w:footnote w:id="127">
    <w:p w14:paraId="6D4E13A9" w14:textId="11E20CA2" w:rsidR="005F549C" w:rsidRDefault="005F549C" w:rsidP="00D32CB0">
      <w:pPr>
        <w:pStyle w:val="FootnoteText"/>
        <w:spacing w:after="0"/>
        <w:contextualSpacing/>
      </w:pPr>
      <w:r>
        <w:rPr>
          <w:rStyle w:val="FootnoteReference"/>
        </w:rPr>
        <w:footnoteRef/>
      </w:r>
      <w:r>
        <w:t xml:space="preserve"> UL 1973 Section 1.4, available here:  </w:t>
      </w:r>
      <w:hyperlink r:id="rId34" w:history="1">
        <w:r w:rsidRPr="00E03B2B">
          <w:rPr>
            <w:rStyle w:val="Hyperlink"/>
          </w:rPr>
          <w:t>https://standardscatalog.ul.com/standards/en/standard_1973_2</w:t>
        </w:r>
      </w:hyperlink>
      <w:r>
        <w:t xml:space="preserve">.  </w:t>
      </w:r>
    </w:p>
  </w:footnote>
  <w:footnote w:id="128">
    <w:p w14:paraId="67553786" w14:textId="5A8C9C8F" w:rsidR="005F549C" w:rsidRDefault="005F549C" w:rsidP="00D32CB0">
      <w:pPr>
        <w:pStyle w:val="FootnoteText"/>
        <w:spacing w:after="0"/>
        <w:contextualSpacing/>
      </w:pPr>
      <w:r>
        <w:rPr>
          <w:rStyle w:val="FootnoteReference"/>
        </w:rPr>
        <w:footnoteRef/>
      </w:r>
      <w:r>
        <w:t xml:space="preserve"> </w:t>
      </w:r>
      <w:r>
        <w:rPr>
          <w:i/>
          <w:iCs/>
        </w:rPr>
        <w:t xml:space="preserve">Establishing Safety of Energy Storage – an Overview of UL Safety Standards </w:t>
      </w:r>
      <w:r>
        <w:t xml:space="preserve">at Slide 17, available here: </w:t>
      </w:r>
      <w:hyperlink r:id="rId35" w:history="1">
        <w:r w:rsidRPr="00E03B2B">
          <w:rPr>
            <w:rStyle w:val="Hyperlink"/>
          </w:rPr>
          <w:t>www.cpuc.ca.gov/WorkArea/DownloadAsset.aspx?id=3067</w:t>
        </w:r>
      </w:hyperlink>
      <w:r>
        <w:t xml:space="preserve">.   </w:t>
      </w:r>
    </w:p>
  </w:footnote>
  <w:footnote w:id="129">
    <w:p w14:paraId="4B3FF6B5" w14:textId="4439E483" w:rsidR="005F549C" w:rsidRDefault="005F549C" w:rsidP="00D261DA">
      <w:pPr>
        <w:pStyle w:val="FootnoteText"/>
      </w:pPr>
      <w:r>
        <w:rPr>
          <w:rStyle w:val="FootnoteReference"/>
        </w:rPr>
        <w:footnoteRef/>
      </w:r>
      <w:r>
        <w:t xml:space="preserve"> </w:t>
      </w:r>
      <w:r>
        <w:rPr>
          <w:i/>
          <w:iCs/>
        </w:rPr>
        <w:t xml:space="preserve">Energy Storage System Guide for Compliance with Safety Codes and Standards </w:t>
      </w:r>
      <w:r>
        <w:t xml:space="preserve">report prepared by Pacific Northwest National Laboratory, and Sandia National Laboratories at Section 4.4., available here: </w:t>
      </w:r>
      <w:hyperlink r:id="rId36" w:history="1">
        <w:r w:rsidRPr="00E03B2B">
          <w:rPr>
            <w:rStyle w:val="Hyperlink"/>
          </w:rPr>
          <w:t>https://www.sandia.gov/ess</w:t>
        </w:r>
        <w:r>
          <w:rPr>
            <w:rStyle w:val="Hyperlink"/>
          </w:rPr>
          <w:noBreakHyphen/>
        </w:r>
        <w:r w:rsidRPr="00E03B2B">
          <w:rPr>
            <w:rStyle w:val="Hyperlink"/>
          </w:rPr>
          <w:t>ssl/publications/SAND2016</w:t>
        </w:r>
        <w:r>
          <w:rPr>
            <w:rStyle w:val="Hyperlink"/>
          </w:rPr>
          <w:noBreakHyphen/>
        </w:r>
        <w:r w:rsidRPr="00E03B2B">
          <w:rPr>
            <w:rStyle w:val="Hyperlink"/>
          </w:rPr>
          <w:t>5977R.pdf</w:t>
        </w:r>
      </w:hyperlink>
      <w:r>
        <w:t xml:space="preserve">.  </w:t>
      </w:r>
    </w:p>
  </w:footnote>
  <w:footnote w:id="130">
    <w:p w14:paraId="59636918" w14:textId="775AE491" w:rsidR="005F549C" w:rsidRDefault="005F549C">
      <w:pPr>
        <w:pStyle w:val="FootnoteText"/>
      </w:pPr>
      <w:r>
        <w:rPr>
          <w:rStyle w:val="FootnoteReference"/>
        </w:rPr>
        <w:footnoteRef/>
      </w:r>
      <w:r>
        <w:t xml:space="preserve"> See https:/www.nfpa.org/codes</w:t>
      </w:r>
      <w:r>
        <w:noBreakHyphen/>
        <w:t>and</w:t>
      </w:r>
      <w:r>
        <w:noBreakHyphen/>
        <w:t>standards/all</w:t>
      </w:r>
      <w:r>
        <w:noBreakHyphen/>
        <w:t>codes</w:t>
      </w:r>
      <w:r>
        <w:noBreakHyphen/>
        <w:t>and</w:t>
      </w:r>
      <w:r>
        <w:noBreakHyphen/>
        <w:t>standards/list</w:t>
      </w:r>
      <w:r>
        <w:noBreakHyphen/>
        <w:t>of</w:t>
      </w:r>
      <w:r>
        <w:noBreakHyphen/>
        <w:t>codes</w:t>
      </w:r>
      <w:r>
        <w:noBreakHyphen/>
        <w:t>and</w:t>
      </w:r>
      <w:r>
        <w:noBreakHyphen/>
        <w:t xml:space="preserve">standards/detail?code=855.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F097" w14:textId="77777777" w:rsidR="005F549C" w:rsidRPr="00C43634" w:rsidRDefault="005F549C" w:rsidP="00C43634">
    <w:pPr>
      <w:pStyle w:val="Header"/>
      <w:rPr>
        <w:b/>
        <w:color w:val="FF0000"/>
        <w:sz w:val="20"/>
      </w:rPr>
    </w:pPr>
    <w:r w:rsidRPr="00C43634">
      <w:rPr>
        <w:i/>
        <w:color w:val="FF0000"/>
        <w:sz w:val="20"/>
      </w:rPr>
      <w:t xml:space="preserve">Internal Review Draft; Subject to </w:t>
    </w:r>
    <w:r w:rsidRPr="00C43634">
      <w:rPr>
        <w:b/>
        <w:i/>
        <w:color w:val="FF0000"/>
        <w:sz w:val="20"/>
      </w:rPr>
      <w:t>ALJ Division Review</w:t>
    </w:r>
    <w:r>
      <w:rPr>
        <w:b/>
        <w:i/>
        <w:color w:val="FF0000"/>
        <w:sz w:val="20"/>
      </w:rPr>
      <w:t>/</w:t>
    </w:r>
    <w:r w:rsidRPr="00C43634">
      <w:rPr>
        <w:b/>
        <w:color w:val="FF0000"/>
        <w:sz w:val="20"/>
      </w:rPr>
      <w:t xml:space="preserve">CONFIDENTIAL; </w:t>
    </w:r>
    <w:r w:rsidRPr="00C43634">
      <w:rPr>
        <w:i/>
        <w:color w:val="FF0000"/>
        <w:sz w:val="20"/>
      </w:rPr>
      <w:t>Deliberative Process Privilege</w:t>
    </w:r>
  </w:p>
  <w:p w14:paraId="1DF4BE8E" w14:textId="77777777" w:rsidR="005F549C" w:rsidRDefault="005F549C" w:rsidP="00831AB9">
    <w:pPr>
      <w:pStyle w:val="Header"/>
    </w:pPr>
    <w:r>
      <w:t>^^^/^^^/^^^</w:t>
    </w:r>
  </w:p>
  <w:p w14:paraId="513EFE10" w14:textId="77777777" w:rsidR="005F549C" w:rsidRDefault="005F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6CE8" w14:textId="77777777" w:rsidR="005F549C" w:rsidRDefault="005F549C">
    <w:pPr>
      <w:pStyle w:val="Header"/>
      <w:rPr>
        <w:i/>
        <w:color w:val="FF0000"/>
      </w:rPr>
    </w:pPr>
  </w:p>
  <w:p w14:paraId="0B9635DE" w14:textId="77777777" w:rsidR="005F549C" w:rsidRDefault="005F549C">
    <w:pPr>
      <w:pStyle w:val="Header"/>
      <w:rPr>
        <w:i/>
        <w:color w:val="FF0000"/>
      </w:rPr>
    </w:pPr>
  </w:p>
  <w:p w14:paraId="1C9D3096" w14:textId="77777777" w:rsidR="005F549C" w:rsidRDefault="005F5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D938" w14:textId="59EF4D34" w:rsidR="005F549C" w:rsidRDefault="005F549C" w:rsidP="00EF2AA5">
    <w:pPr>
      <w:pStyle w:val="Header"/>
    </w:pPr>
    <w:r>
      <w:t>R.12</w:t>
    </w:r>
    <w:r>
      <w:noBreakHyphen/>
      <w:t>11</w:t>
    </w:r>
    <w:r>
      <w:noBreakHyphen/>
      <w:t>005  COM/CR6/jt2</w:t>
    </w:r>
  </w:p>
  <w:p w14:paraId="24EE56B1" w14:textId="77777777" w:rsidR="005F549C" w:rsidRDefault="005F549C" w:rsidP="00EF2AA5">
    <w:pPr>
      <w:pStyle w:val="Header"/>
    </w:pPr>
  </w:p>
  <w:p w14:paraId="13EF9D7A" w14:textId="77777777" w:rsidR="005F549C" w:rsidRDefault="005F549C" w:rsidP="00EF2AA5">
    <w:pPr>
      <w:pStyle w:val="Header"/>
    </w:pPr>
  </w:p>
  <w:p w14:paraId="456959B2" w14:textId="77777777" w:rsidR="005F549C" w:rsidRPr="004D4F77" w:rsidRDefault="005F549C" w:rsidP="00EF2AA5">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14:paraId="75A2DF65" w14:textId="77777777" w:rsidR="005F549C" w:rsidRPr="004D4F77" w:rsidRDefault="005F549C" w:rsidP="00EF2AA5">
    <w:pPr>
      <w:rPr>
        <w:rFonts w:ascii="Helvetica" w:hAnsi="Helvetica"/>
        <w:b/>
        <w:bCs/>
      </w:rPr>
    </w:pPr>
  </w:p>
  <w:p w14:paraId="04612ED0" w14:textId="77777777" w:rsidR="005F549C" w:rsidRPr="004D4F77" w:rsidRDefault="005F549C" w:rsidP="00EF2AA5">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1F4DA47A" w14:textId="77777777" w:rsidR="005F549C" w:rsidRPr="000B18BC" w:rsidRDefault="005F549C" w:rsidP="00EF2A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CF2B" w14:textId="393DC104" w:rsidR="005F549C" w:rsidRDefault="005F549C">
    <w:pPr>
      <w:pStyle w:val="Header"/>
    </w:pPr>
    <w:r>
      <w:t>R.12</w:t>
    </w:r>
    <w:r>
      <w:noBreakHyphen/>
      <w:t>11</w:t>
    </w:r>
    <w:r>
      <w:noBreakHyphen/>
      <w:t>005  COM/CR6/jt2</w:t>
    </w:r>
  </w:p>
  <w:p w14:paraId="4DC14AB2" w14:textId="77777777" w:rsidR="005F549C" w:rsidRDefault="005F549C">
    <w:pPr>
      <w:pStyle w:val="Header"/>
    </w:pPr>
  </w:p>
  <w:p w14:paraId="1741482C" w14:textId="77777777" w:rsidR="005F549C" w:rsidRDefault="005F54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BC6D" w14:textId="368A3E61" w:rsidR="005F549C" w:rsidRDefault="005F549C" w:rsidP="00501843">
    <w:pPr>
      <w:pStyle w:val="Header"/>
    </w:pPr>
    <w:r>
      <w:t>R.12</w:t>
    </w:r>
    <w:r>
      <w:noBreakHyphen/>
      <w:t>11</w:t>
    </w:r>
    <w:r>
      <w:noBreakHyphen/>
      <w:t>005  COM/CR6/jt2</w:t>
    </w:r>
  </w:p>
  <w:p w14:paraId="098E83AF" w14:textId="77777777" w:rsidR="005F549C" w:rsidRDefault="005F549C" w:rsidP="00501843">
    <w:pPr>
      <w:pStyle w:val="Header"/>
    </w:pPr>
  </w:p>
  <w:p w14:paraId="3B5E7B22" w14:textId="77777777" w:rsidR="005F549C" w:rsidRDefault="005F549C" w:rsidP="00501843">
    <w:pPr>
      <w:pStyle w:val="Header"/>
    </w:pPr>
  </w:p>
  <w:p w14:paraId="32A6A7C9" w14:textId="77777777" w:rsidR="005F549C" w:rsidRPr="004D4F77" w:rsidRDefault="005F549C" w:rsidP="00501843">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14:paraId="3E7F9B18" w14:textId="77777777" w:rsidR="005F549C" w:rsidRPr="004D4F77" w:rsidRDefault="005F549C" w:rsidP="00501843">
    <w:pPr>
      <w:rPr>
        <w:rFonts w:ascii="Helvetica" w:hAnsi="Helvetica"/>
        <w:b/>
        <w:bCs/>
      </w:rPr>
    </w:pPr>
  </w:p>
  <w:p w14:paraId="406DAFBA" w14:textId="77777777" w:rsidR="005F549C" w:rsidRPr="004D4F77" w:rsidRDefault="005F549C" w:rsidP="0050184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44794EBD" w14:textId="77777777" w:rsidR="005F549C" w:rsidRPr="00501843" w:rsidRDefault="005F549C" w:rsidP="005018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2D98" w14:textId="46F467DD" w:rsidR="005F549C" w:rsidRDefault="005F549C" w:rsidP="00EF2AA5">
    <w:pPr>
      <w:pStyle w:val="Header"/>
    </w:pPr>
    <w:r>
      <w:t>R.12</w:t>
    </w:r>
    <w:r>
      <w:noBreakHyphen/>
      <w:t>11</w:t>
    </w:r>
    <w:r>
      <w:noBreakHyphen/>
      <w:t>005  COM/CR6/jt2</w:t>
    </w:r>
  </w:p>
  <w:p w14:paraId="2D5F806E" w14:textId="3F10FA5E" w:rsidR="005F549C" w:rsidRDefault="005F549C" w:rsidP="00EF2AA5">
    <w:pPr>
      <w:pStyle w:val="Header"/>
    </w:pPr>
  </w:p>
  <w:p w14:paraId="7EA5D9C1" w14:textId="77777777" w:rsidR="005F549C" w:rsidRPr="00EF2AA5" w:rsidRDefault="005F549C" w:rsidP="00EF2A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3E81" w14:textId="1AB4FE5E" w:rsidR="005F549C" w:rsidRDefault="005F549C" w:rsidP="00501843">
    <w:pPr>
      <w:pStyle w:val="Header"/>
    </w:pPr>
    <w:r>
      <w:t>R.12</w:t>
    </w:r>
    <w:r>
      <w:noBreakHyphen/>
      <w:t>11</w:t>
    </w:r>
    <w:r>
      <w:noBreakHyphen/>
      <w:t>005  COM/CR6/jt2</w:t>
    </w:r>
  </w:p>
  <w:p w14:paraId="3036CE8E" w14:textId="77777777" w:rsidR="005F549C" w:rsidRDefault="005F549C" w:rsidP="00501843">
    <w:pPr>
      <w:pStyle w:val="Header"/>
    </w:pPr>
  </w:p>
  <w:p w14:paraId="3E7A8DFC" w14:textId="77777777" w:rsidR="005F549C" w:rsidRDefault="005F549C" w:rsidP="00501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34803AE"/>
    <w:lvl w:ilvl="0">
      <w:start w:val="1"/>
      <w:numFmt w:val="decimal"/>
      <w:pStyle w:val="Heading1"/>
      <w:lvlText w:val="%1."/>
      <w:legacy w:legacy="1" w:legacySpace="0" w:legacyIndent="720"/>
      <w:lvlJc w:val="left"/>
      <w:pPr>
        <w:ind w:left="1530" w:hanging="720"/>
      </w:pPr>
      <w:rPr>
        <w:b/>
      </w:rPr>
    </w:lvl>
    <w:lvl w:ilvl="1">
      <w:start w:val="1"/>
      <w:numFmt w:val="decimal"/>
      <w:pStyle w:val="Heading2"/>
      <w:lvlText w:val="%1.%2."/>
      <w:legacy w:legacy="1" w:legacySpace="0" w:legacyIndent="720"/>
      <w:lvlJc w:val="left"/>
      <w:pPr>
        <w:ind w:left="2250" w:hanging="720"/>
      </w:pPr>
      <w:rPr>
        <w:b/>
      </w:rPr>
    </w:lvl>
    <w:lvl w:ilvl="2">
      <w:start w:val="1"/>
      <w:numFmt w:val="decimal"/>
      <w:pStyle w:val="Heading3"/>
      <w:lvlText w:val="%1.%2.%3."/>
      <w:legacy w:legacy="1" w:legacySpace="0" w:legacyIndent="720"/>
      <w:lvlJc w:val="left"/>
      <w:pPr>
        <w:ind w:left="2970" w:hanging="720"/>
      </w:pPr>
    </w:lvl>
    <w:lvl w:ilvl="3">
      <w:start w:val="1"/>
      <w:numFmt w:val="decimal"/>
      <w:pStyle w:val="Heading4"/>
      <w:lvlText w:val="%1.%2.%3.%4."/>
      <w:legacy w:legacy="1" w:legacySpace="0" w:legacyIndent="720"/>
      <w:lvlJc w:val="left"/>
      <w:pPr>
        <w:ind w:left="3690" w:hanging="720"/>
      </w:pPr>
    </w:lvl>
    <w:lvl w:ilvl="4">
      <w:start w:val="1"/>
      <w:numFmt w:val="decimal"/>
      <w:pStyle w:val="Heading5"/>
      <w:lvlText w:val="%1.%2.%3.%4.%5."/>
      <w:legacy w:legacy="1" w:legacySpace="0" w:legacyIndent="720"/>
      <w:lvlJc w:val="left"/>
      <w:pPr>
        <w:ind w:left="495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5130" w:hanging="720"/>
      </w:pPr>
      <w:rPr>
        <w:b/>
        <w:i w:val="0"/>
        <w:sz w:val="26"/>
        <w:szCs w:val="26"/>
      </w:rPr>
    </w:lvl>
    <w:lvl w:ilvl="6">
      <w:start w:val="1"/>
      <w:numFmt w:val="decimal"/>
      <w:pStyle w:val="Heading7"/>
      <w:lvlText w:val="%1.%2.%3.%4.%5.%6.%7."/>
      <w:legacy w:legacy="1" w:legacySpace="0" w:legacyIndent="720"/>
      <w:lvlJc w:val="left"/>
      <w:pPr>
        <w:ind w:left="5850" w:hanging="720"/>
      </w:pPr>
    </w:lvl>
    <w:lvl w:ilvl="7">
      <w:start w:val="1"/>
      <w:numFmt w:val="decimal"/>
      <w:lvlText w:val="%1.%2.%3.%4.%5.%6.%7.%8."/>
      <w:legacy w:legacy="1" w:legacySpace="0" w:legacyIndent="720"/>
      <w:lvlJc w:val="left"/>
      <w:pPr>
        <w:ind w:left="6570" w:hanging="720"/>
      </w:pPr>
    </w:lvl>
    <w:lvl w:ilvl="8">
      <w:start w:val="1"/>
      <w:numFmt w:val="decimal"/>
      <w:pStyle w:val="Heading9"/>
      <w:lvlText w:val="%1.%2.%3.%4.%5.%6.%7.%8.%9."/>
      <w:legacy w:legacy="1" w:legacySpace="0" w:legacyIndent="720"/>
      <w:lvlJc w:val="left"/>
      <w:pPr>
        <w:ind w:left="7290" w:hanging="720"/>
      </w:pPr>
    </w:lvl>
  </w:abstractNum>
  <w:abstractNum w:abstractNumId="1">
    <w:nsid w:val="029253B5"/>
    <w:multiLevelType w:val="hybridMultilevel"/>
    <w:tmpl w:val="99A857BC"/>
    <w:lvl w:ilvl="0" w:tplc="7C1CDD7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DE2FD52">
      <w:numFmt w:val="bullet"/>
      <w:lvlText w:val=""/>
      <w:lvlJc w:val="left"/>
      <w:pPr>
        <w:ind w:left="3600" w:hanging="360"/>
      </w:pPr>
      <w:rPr>
        <w:rFonts w:ascii="Cambria" w:eastAsiaTheme="minorEastAsia" w:hAnsi="Cambria" w:cstheme="minorBidi"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144DA6"/>
    <w:multiLevelType w:val="hybridMultilevel"/>
    <w:tmpl w:val="58B6956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781DA5"/>
    <w:multiLevelType w:val="hybridMultilevel"/>
    <w:tmpl w:val="010A5A82"/>
    <w:lvl w:ilvl="0" w:tplc="B12C83E6">
      <w:start w:val="1"/>
      <w:numFmt w:val="bullet"/>
      <w:lvlText w:val=""/>
      <w:lvlJc w:val="left"/>
      <w:pPr>
        <w:ind w:left="1440" w:hanging="360"/>
      </w:pPr>
      <w:rPr>
        <w:rFonts w:ascii="Symbol" w:hAnsi="Symbol" w:hint="default"/>
        <w:b w:val="0"/>
        <w:bCs w:val="0"/>
        <w:i w:val="0"/>
        <w:iCs w:val="0"/>
        <w:sz w:val="26"/>
        <w:szCs w:val="2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9D4EBE"/>
    <w:multiLevelType w:val="hybridMultilevel"/>
    <w:tmpl w:val="492A3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66E55"/>
    <w:multiLevelType w:val="hybridMultilevel"/>
    <w:tmpl w:val="20549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CC4FEF"/>
    <w:multiLevelType w:val="hybridMultilevel"/>
    <w:tmpl w:val="9842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719EE"/>
    <w:multiLevelType w:val="hybridMultilevel"/>
    <w:tmpl w:val="0220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C3584"/>
    <w:multiLevelType w:val="hybridMultilevel"/>
    <w:tmpl w:val="F59C1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B11B0C"/>
    <w:multiLevelType w:val="hybridMultilevel"/>
    <w:tmpl w:val="82A6A7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B86A8A"/>
    <w:multiLevelType w:val="hybridMultilevel"/>
    <w:tmpl w:val="1E749F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DE60AC"/>
    <w:multiLevelType w:val="hybridMultilevel"/>
    <w:tmpl w:val="EC66CB3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612006"/>
    <w:multiLevelType w:val="hybridMultilevel"/>
    <w:tmpl w:val="73EA5CE4"/>
    <w:lvl w:ilvl="0" w:tplc="B12C83E6">
      <w:start w:val="1"/>
      <w:numFmt w:val="bullet"/>
      <w:lvlText w:val=""/>
      <w:lvlJc w:val="left"/>
      <w:pPr>
        <w:ind w:left="720" w:hanging="360"/>
      </w:pPr>
      <w:rPr>
        <w:rFonts w:ascii="Symbol" w:hAnsi="Symbol" w:hint="default"/>
        <w:b w:val="0"/>
        <w:bCs w:val="0"/>
        <w:i w:val="0"/>
        <w:iCs w:val="0"/>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5B4259"/>
    <w:multiLevelType w:val="hybridMultilevel"/>
    <w:tmpl w:val="E75EA9B2"/>
    <w:lvl w:ilvl="0" w:tplc="241A7016">
      <w:start w:val="1"/>
      <w:numFmt w:val="bullet"/>
      <w:lvlText w:val="-"/>
      <w:lvlJc w:val="left"/>
      <w:pPr>
        <w:ind w:left="720" w:hanging="360"/>
      </w:pPr>
      <w:rPr>
        <w:rFonts w:ascii="Book Antiqua" w:hAnsi="Book Antiqua"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DD0913"/>
    <w:multiLevelType w:val="hybridMultilevel"/>
    <w:tmpl w:val="4F0618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ED5684"/>
    <w:multiLevelType w:val="multilevel"/>
    <w:tmpl w:val="926A56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2F3AB0"/>
    <w:multiLevelType w:val="hybridMultilevel"/>
    <w:tmpl w:val="5CE09904"/>
    <w:lvl w:ilvl="0" w:tplc="6750C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4F1E09"/>
    <w:multiLevelType w:val="multilevel"/>
    <w:tmpl w:val="E4D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6C3533"/>
    <w:multiLevelType w:val="hybridMultilevel"/>
    <w:tmpl w:val="B6D20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604A56"/>
    <w:multiLevelType w:val="hybridMultilevel"/>
    <w:tmpl w:val="5FE082EE"/>
    <w:lvl w:ilvl="0" w:tplc="4628B9D4">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912991"/>
    <w:multiLevelType w:val="hybridMultilevel"/>
    <w:tmpl w:val="AE8A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A141A"/>
    <w:multiLevelType w:val="hybridMultilevel"/>
    <w:tmpl w:val="C55CC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0612A"/>
    <w:multiLevelType w:val="hybridMultilevel"/>
    <w:tmpl w:val="02CCA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9D29E6"/>
    <w:multiLevelType w:val="hybridMultilevel"/>
    <w:tmpl w:val="23F83374"/>
    <w:lvl w:ilvl="0" w:tplc="04090001">
      <w:start w:val="1"/>
      <w:numFmt w:val="bullet"/>
      <w:lvlText w:val=""/>
      <w:lvlJc w:val="left"/>
      <w:pPr>
        <w:ind w:left="720" w:hanging="360"/>
      </w:pPr>
      <w:rPr>
        <w:rFonts w:ascii="Symbol" w:hAnsi="Symbol" w:hint="default"/>
      </w:rPr>
    </w:lvl>
    <w:lvl w:ilvl="1" w:tplc="B12C83E6">
      <w:start w:val="1"/>
      <w:numFmt w:val="bullet"/>
      <w:lvlText w:val=""/>
      <w:lvlJc w:val="left"/>
      <w:pPr>
        <w:ind w:left="1440" w:hanging="360"/>
      </w:pPr>
      <w:rPr>
        <w:rFonts w:ascii="Symbol" w:hAnsi="Symbol" w:hint="default"/>
        <w:b w:val="0"/>
        <w:bCs w:val="0"/>
        <w:i w:val="0"/>
        <w:iCs w:val="0"/>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6A5258"/>
    <w:multiLevelType w:val="hybridMultilevel"/>
    <w:tmpl w:val="8D9054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2212619"/>
    <w:multiLevelType w:val="hybridMultilevel"/>
    <w:tmpl w:val="88F20B9C"/>
    <w:lvl w:ilvl="0" w:tplc="890642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7C066DF"/>
    <w:multiLevelType w:val="hybridMultilevel"/>
    <w:tmpl w:val="835AA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D5B19"/>
    <w:multiLevelType w:val="hybridMultilevel"/>
    <w:tmpl w:val="917CB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D01B03"/>
    <w:multiLevelType w:val="hybridMultilevel"/>
    <w:tmpl w:val="D53268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B42106"/>
    <w:multiLevelType w:val="hybridMultilevel"/>
    <w:tmpl w:val="2AECF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4312E3"/>
    <w:multiLevelType w:val="hybridMultilevel"/>
    <w:tmpl w:val="844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AD23B5"/>
    <w:multiLevelType w:val="multilevel"/>
    <w:tmpl w:val="0E2627F2"/>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1DE6E06"/>
    <w:multiLevelType w:val="hybridMultilevel"/>
    <w:tmpl w:val="3760CE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A96877"/>
    <w:multiLevelType w:val="hybridMultilevel"/>
    <w:tmpl w:val="C416FE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50C6706"/>
    <w:multiLevelType w:val="hybridMultilevel"/>
    <w:tmpl w:val="21645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286CA6"/>
    <w:multiLevelType w:val="hybridMultilevel"/>
    <w:tmpl w:val="BFBE7138"/>
    <w:lvl w:ilvl="0" w:tplc="B12C83E6">
      <w:start w:val="1"/>
      <w:numFmt w:val="bullet"/>
      <w:lvlText w:val=""/>
      <w:lvlJc w:val="left"/>
      <w:pPr>
        <w:ind w:left="1440" w:hanging="360"/>
      </w:pPr>
      <w:rPr>
        <w:rFonts w:ascii="Symbol" w:hAnsi="Symbol" w:hint="default"/>
        <w:b w:val="0"/>
        <w:bCs w:val="0"/>
        <w:i w:val="0"/>
        <w:iCs w:val="0"/>
        <w:sz w:val="26"/>
        <w:szCs w:val="2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D874DAC"/>
    <w:multiLevelType w:val="hybridMultilevel"/>
    <w:tmpl w:val="F3CED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7B525B"/>
    <w:multiLevelType w:val="hybridMultilevel"/>
    <w:tmpl w:val="6E1A41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1C76CAF"/>
    <w:multiLevelType w:val="hybridMultilevel"/>
    <w:tmpl w:val="B0B241B0"/>
    <w:lvl w:ilvl="0" w:tplc="5C5CB5C4">
      <w:numFmt w:val="bullet"/>
      <w:lvlText w:val="-"/>
      <w:lvlJc w:val="left"/>
      <w:pPr>
        <w:ind w:left="405" w:hanging="360"/>
      </w:pPr>
      <w:rPr>
        <w:rFonts w:ascii="Book Antiqua" w:eastAsiaTheme="minorHAnsi" w:hAnsi="Book Antiqu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nsid w:val="63062D91"/>
    <w:multiLevelType w:val="hybridMultilevel"/>
    <w:tmpl w:val="C3C0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6BF6E79"/>
    <w:multiLevelType w:val="hybridMultilevel"/>
    <w:tmpl w:val="8A1A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5A6844"/>
    <w:multiLevelType w:val="hybridMultilevel"/>
    <w:tmpl w:val="B22612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C0D09F4"/>
    <w:multiLevelType w:val="hybridMultilevel"/>
    <w:tmpl w:val="C9DA50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A51E6F"/>
    <w:multiLevelType w:val="hybridMultilevel"/>
    <w:tmpl w:val="5CEC4DEA"/>
    <w:lvl w:ilvl="0" w:tplc="5080B8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F621EF"/>
    <w:multiLevelType w:val="hybridMultilevel"/>
    <w:tmpl w:val="1F1034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39E423C"/>
    <w:multiLevelType w:val="hybridMultilevel"/>
    <w:tmpl w:val="6E9E2A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3D75182"/>
    <w:multiLevelType w:val="hybridMultilevel"/>
    <w:tmpl w:val="5D3414E8"/>
    <w:lvl w:ilvl="0" w:tplc="4DE4B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DD1D81"/>
    <w:multiLevelType w:val="hybridMultilevel"/>
    <w:tmpl w:val="2FA419D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F0A204F8">
      <w:numFmt w:val="bullet"/>
      <w:lvlText w:val="•"/>
      <w:lvlJc w:val="left"/>
      <w:pPr>
        <w:ind w:left="5760" w:hanging="360"/>
      </w:pPr>
      <w:rPr>
        <w:rFonts w:ascii="Cambria" w:eastAsiaTheme="minorEastAsia" w:hAnsi="Cambria" w:cstheme="minorBidi"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0">
    <w:nsid w:val="7AB36FF0"/>
    <w:multiLevelType w:val="hybridMultilevel"/>
    <w:tmpl w:val="56FC9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CFB062A"/>
    <w:multiLevelType w:val="hybridMultilevel"/>
    <w:tmpl w:val="3A8EC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D0A355B"/>
    <w:multiLevelType w:val="hybridMultilevel"/>
    <w:tmpl w:val="91AE493A"/>
    <w:lvl w:ilvl="0" w:tplc="94A88440">
      <w:start w:val="1"/>
      <w:numFmt w:val="decimal"/>
      <w:pStyle w:val="FindingofFAct"/>
      <w:lvlText w:val="%1."/>
      <w:lvlJc w:val="left"/>
      <w:pPr>
        <w:ind w:left="58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D381ACD"/>
    <w:multiLevelType w:val="multilevel"/>
    <w:tmpl w:val="A0B004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nsid w:val="7E9B59EC"/>
    <w:multiLevelType w:val="hybridMultilevel"/>
    <w:tmpl w:val="09EE5C6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0"/>
  </w:num>
  <w:num w:numId="3">
    <w:abstractNumId w:val="52"/>
  </w:num>
  <w:num w:numId="4">
    <w:abstractNumId w:val="13"/>
  </w:num>
  <w:num w:numId="5">
    <w:abstractNumId w:val="23"/>
  </w:num>
  <w:num w:numId="6">
    <w:abstractNumId w:val="29"/>
  </w:num>
  <w:num w:numId="7">
    <w:abstractNumId w:val="20"/>
  </w:num>
  <w:num w:numId="8">
    <w:abstractNumId w:val="47"/>
  </w:num>
  <w:num w:numId="9">
    <w:abstractNumId w:val="44"/>
  </w:num>
  <w:num w:numId="10">
    <w:abstractNumId w:val="36"/>
  </w:num>
  <w:num w:numId="11">
    <w:abstractNumId w:val="18"/>
  </w:num>
  <w:num w:numId="12">
    <w:abstractNumId w:val="50"/>
  </w:num>
  <w:num w:numId="13">
    <w:abstractNumId w:val="37"/>
  </w:num>
  <w:num w:numId="14">
    <w:abstractNumId w:val="3"/>
  </w:num>
  <w:num w:numId="15">
    <w:abstractNumId w:val="51"/>
  </w:num>
  <w:num w:numId="16">
    <w:abstractNumId w:val="8"/>
  </w:num>
  <w:num w:numId="17">
    <w:abstractNumId w:val="45"/>
  </w:num>
  <w:num w:numId="18">
    <w:abstractNumId w:val="17"/>
  </w:num>
  <w:num w:numId="19">
    <w:abstractNumId w:val="31"/>
  </w:num>
  <w:num w:numId="20">
    <w:abstractNumId w:val="15"/>
  </w:num>
  <w:num w:numId="21">
    <w:abstractNumId w:val="25"/>
  </w:num>
  <w:num w:numId="22">
    <w:abstractNumId w:val="12"/>
  </w:num>
  <w:num w:numId="23">
    <w:abstractNumId w:val="34"/>
  </w:num>
  <w:num w:numId="24">
    <w:abstractNumId w:val="33"/>
  </w:num>
  <w:num w:numId="25">
    <w:abstractNumId w:val="33"/>
  </w:num>
  <w:num w:numId="26">
    <w:abstractNumId w:val="6"/>
  </w:num>
  <w:num w:numId="27">
    <w:abstractNumId w:val="4"/>
  </w:num>
  <w:num w:numId="28">
    <w:abstractNumId w:val="35"/>
  </w:num>
  <w:num w:numId="29">
    <w:abstractNumId w:val="16"/>
  </w:num>
  <w:num w:numId="30">
    <w:abstractNumId w:val="42"/>
  </w:num>
  <w:num w:numId="31">
    <w:abstractNumId w:val="40"/>
  </w:num>
  <w:num w:numId="32">
    <w:abstractNumId w:val="38"/>
  </w:num>
  <w:num w:numId="33">
    <w:abstractNumId w:val="43"/>
  </w:num>
  <w:num w:numId="34">
    <w:abstractNumId w:val="28"/>
  </w:num>
  <w:num w:numId="35">
    <w:abstractNumId w:val="2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
  </w:num>
  <w:num w:numId="39">
    <w:abstractNumId w:val="9"/>
  </w:num>
  <w:num w:numId="40">
    <w:abstractNumId w:val="30"/>
  </w:num>
  <w:num w:numId="41">
    <w:abstractNumId w:val="5"/>
  </w:num>
  <w:num w:numId="42">
    <w:abstractNumId w:val="53"/>
  </w:num>
  <w:num w:numId="43">
    <w:abstractNumId w:val="46"/>
  </w:num>
  <w:num w:numId="44">
    <w:abstractNumId w:val="32"/>
  </w:num>
  <w:num w:numId="45">
    <w:abstractNumId w:val="1"/>
  </w:num>
  <w:num w:numId="46">
    <w:abstractNumId w:val="49"/>
  </w:num>
  <w:num w:numId="47">
    <w:abstractNumId w:val="14"/>
  </w:num>
  <w:num w:numId="48">
    <w:abstractNumId w:val="1"/>
  </w:num>
  <w:num w:numId="49">
    <w:abstractNumId w:val="41"/>
  </w:num>
  <w:num w:numId="50">
    <w:abstractNumId w:val="21"/>
  </w:num>
  <w:num w:numId="51">
    <w:abstractNumId w:val="7"/>
  </w:num>
  <w:num w:numId="52">
    <w:abstractNumId w:val="24"/>
  </w:num>
  <w:num w:numId="53">
    <w:abstractNumId w:val="11"/>
  </w:num>
  <w:num w:numId="54">
    <w:abstractNumId w:val="26"/>
  </w:num>
  <w:num w:numId="55">
    <w:abstractNumId w:val="48"/>
  </w:num>
  <w:num w:numId="56">
    <w:abstractNumId w:val="23"/>
  </w:num>
  <w:num w:numId="57">
    <w:abstractNumId w:val="54"/>
  </w:num>
  <w:num w:numId="58">
    <w:abstractNumId w:val="23"/>
  </w:num>
  <w:num w:numId="59">
    <w:abstractNumId w:val="23"/>
  </w:num>
  <w:num w:numId="60">
    <w:abstractNumId w:val="23"/>
  </w:num>
  <w:num w:numId="61">
    <w:abstractNumId w:val="10"/>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35"/>
    <w:rsid w:val="00000C29"/>
    <w:rsid w:val="00001BA5"/>
    <w:rsid w:val="0000283F"/>
    <w:rsid w:val="00002BA2"/>
    <w:rsid w:val="00002FC9"/>
    <w:rsid w:val="00003BA8"/>
    <w:rsid w:val="00003BB2"/>
    <w:rsid w:val="00003C0C"/>
    <w:rsid w:val="0000459F"/>
    <w:rsid w:val="00004B15"/>
    <w:rsid w:val="00004CF3"/>
    <w:rsid w:val="0000575F"/>
    <w:rsid w:val="00005DE3"/>
    <w:rsid w:val="00010EE8"/>
    <w:rsid w:val="0001119D"/>
    <w:rsid w:val="000111D7"/>
    <w:rsid w:val="00011B58"/>
    <w:rsid w:val="000125A4"/>
    <w:rsid w:val="00012B2B"/>
    <w:rsid w:val="000142E1"/>
    <w:rsid w:val="000147B0"/>
    <w:rsid w:val="0001489C"/>
    <w:rsid w:val="00014C69"/>
    <w:rsid w:val="00016984"/>
    <w:rsid w:val="00017A5F"/>
    <w:rsid w:val="000217A6"/>
    <w:rsid w:val="000231F2"/>
    <w:rsid w:val="000247CC"/>
    <w:rsid w:val="0002549C"/>
    <w:rsid w:val="000256F7"/>
    <w:rsid w:val="00025909"/>
    <w:rsid w:val="00025DB9"/>
    <w:rsid w:val="000267D5"/>
    <w:rsid w:val="00026906"/>
    <w:rsid w:val="0002772E"/>
    <w:rsid w:val="00027ABE"/>
    <w:rsid w:val="0003048A"/>
    <w:rsid w:val="00030732"/>
    <w:rsid w:val="00030ABE"/>
    <w:rsid w:val="000312AB"/>
    <w:rsid w:val="00031AB0"/>
    <w:rsid w:val="0003265E"/>
    <w:rsid w:val="00033CB9"/>
    <w:rsid w:val="0003453F"/>
    <w:rsid w:val="00034BE5"/>
    <w:rsid w:val="00034E78"/>
    <w:rsid w:val="00036316"/>
    <w:rsid w:val="000369B2"/>
    <w:rsid w:val="00037924"/>
    <w:rsid w:val="00041706"/>
    <w:rsid w:val="00041C97"/>
    <w:rsid w:val="000427C4"/>
    <w:rsid w:val="00042AED"/>
    <w:rsid w:val="0004416D"/>
    <w:rsid w:val="0004417A"/>
    <w:rsid w:val="00044370"/>
    <w:rsid w:val="0004464D"/>
    <w:rsid w:val="00044899"/>
    <w:rsid w:val="00045EBF"/>
    <w:rsid w:val="00046509"/>
    <w:rsid w:val="0005029A"/>
    <w:rsid w:val="00050E13"/>
    <w:rsid w:val="00051487"/>
    <w:rsid w:val="00051996"/>
    <w:rsid w:val="00051AC8"/>
    <w:rsid w:val="000520ED"/>
    <w:rsid w:val="000524B7"/>
    <w:rsid w:val="00052863"/>
    <w:rsid w:val="000529B6"/>
    <w:rsid w:val="00053A4D"/>
    <w:rsid w:val="00053BA0"/>
    <w:rsid w:val="00053D59"/>
    <w:rsid w:val="00055387"/>
    <w:rsid w:val="000558E9"/>
    <w:rsid w:val="00055CF4"/>
    <w:rsid w:val="000564B5"/>
    <w:rsid w:val="00056F16"/>
    <w:rsid w:val="000604E5"/>
    <w:rsid w:val="000610F3"/>
    <w:rsid w:val="00061FFF"/>
    <w:rsid w:val="00062412"/>
    <w:rsid w:val="000633D1"/>
    <w:rsid w:val="00063A7F"/>
    <w:rsid w:val="00066C84"/>
    <w:rsid w:val="00066F6D"/>
    <w:rsid w:val="00067F79"/>
    <w:rsid w:val="00070B2C"/>
    <w:rsid w:val="00072163"/>
    <w:rsid w:val="000722B9"/>
    <w:rsid w:val="000727EE"/>
    <w:rsid w:val="00073A4C"/>
    <w:rsid w:val="000749EA"/>
    <w:rsid w:val="000754CD"/>
    <w:rsid w:val="00076651"/>
    <w:rsid w:val="000778C8"/>
    <w:rsid w:val="00077E2D"/>
    <w:rsid w:val="00080F5C"/>
    <w:rsid w:val="000813DF"/>
    <w:rsid w:val="0008321A"/>
    <w:rsid w:val="00083B06"/>
    <w:rsid w:val="00083E23"/>
    <w:rsid w:val="00084D55"/>
    <w:rsid w:val="00085F6D"/>
    <w:rsid w:val="00086552"/>
    <w:rsid w:val="00086E6B"/>
    <w:rsid w:val="000907C4"/>
    <w:rsid w:val="00090FE3"/>
    <w:rsid w:val="0009129C"/>
    <w:rsid w:val="00091CDF"/>
    <w:rsid w:val="000920C9"/>
    <w:rsid w:val="000952CE"/>
    <w:rsid w:val="00095B3F"/>
    <w:rsid w:val="00096185"/>
    <w:rsid w:val="0009682B"/>
    <w:rsid w:val="00097EAB"/>
    <w:rsid w:val="00097EE7"/>
    <w:rsid w:val="000A1433"/>
    <w:rsid w:val="000A2581"/>
    <w:rsid w:val="000A2A54"/>
    <w:rsid w:val="000A3115"/>
    <w:rsid w:val="000A320F"/>
    <w:rsid w:val="000A3BC3"/>
    <w:rsid w:val="000A4CEC"/>
    <w:rsid w:val="000A5089"/>
    <w:rsid w:val="000A6C14"/>
    <w:rsid w:val="000A7E99"/>
    <w:rsid w:val="000B0DD4"/>
    <w:rsid w:val="000B10CA"/>
    <w:rsid w:val="000B3F16"/>
    <w:rsid w:val="000B3F6A"/>
    <w:rsid w:val="000B42B8"/>
    <w:rsid w:val="000B466A"/>
    <w:rsid w:val="000B492A"/>
    <w:rsid w:val="000B4C27"/>
    <w:rsid w:val="000B55D4"/>
    <w:rsid w:val="000B58C2"/>
    <w:rsid w:val="000B60C2"/>
    <w:rsid w:val="000B65AB"/>
    <w:rsid w:val="000B693D"/>
    <w:rsid w:val="000B7092"/>
    <w:rsid w:val="000B7CB9"/>
    <w:rsid w:val="000C0793"/>
    <w:rsid w:val="000C1FB0"/>
    <w:rsid w:val="000C2C1A"/>
    <w:rsid w:val="000C2FBF"/>
    <w:rsid w:val="000C31AA"/>
    <w:rsid w:val="000C32C0"/>
    <w:rsid w:val="000C3790"/>
    <w:rsid w:val="000C3E82"/>
    <w:rsid w:val="000C4420"/>
    <w:rsid w:val="000C47AD"/>
    <w:rsid w:val="000C4B37"/>
    <w:rsid w:val="000C4E0A"/>
    <w:rsid w:val="000C546E"/>
    <w:rsid w:val="000C5E02"/>
    <w:rsid w:val="000C7C8E"/>
    <w:rsid w:val="000D2087"/>
    <w:rsid w:val="000D2B85"/>
    <w:rsid w:val="000D4C7A"/>
    <w:rsid w:val="000D625F"/>
    <w:rsid w:val="000E0AAC"/>
    <w:rsid w:val="000E0D0A"/>
    <w:rsid w:val="000E1DAB"/>
    <w:rsid w:val="000E2284"/>
    <w:rsid w:val="000E3D72"/>
    <w:rsid w:val="000E495A"/>
    <w:rsid w:val="000E5FA0"/>
    <w:rsid w:val="000E7481"/>
    <w:rsid w:val="000F0A8A"/>
    <w:rsid w:val="000F1664"/>
    <w:rsid w:val="000F206F"/>
    <w:rsid w:val="000F2A1C"/>
    <w:rsid w:val="000F3E2E"/>
    <w:rsid w:val="000F3F6D"/>
    <w:rsid w:val="000F427C"/>
    <w:rsid w:val="000F440C"/>
    <w:rsid w:val="000F460F"/>
    <w:rsid w:val="000F6544"/>
    <w:rsid w:val="000F6D9A"/>
    <w:rsid w:val="000F70F5"/>
    <w:rsid w:val="000F718D"/>
    <w:rsid w:val="000F79E2"/>
    <w:rsid w:val="000F7F6D"/>
    <w:rsid w:val="0010114D"/>
    <w:rsid w:val="001036F5"/>
    <w:rsid w:val="00103782"/>
    <w:rsid w:val="00103CFA"/>
    <w:rsid w:val="0010491B"/>
    <w:rsid w:val="00104B51"/>
    <w:rsid w:val="00105CDA"/>
    <w:rsid w:val="0010716F"/>
    <w:rsid w:val="00107AFF"/>
    <w:rsid w:val="00107BD3"/>
    <w:rsid w:val="0011127B"/>
    <w:rsid w:val="00111695"/>
    <w:rsid w:val="00111C81"/>
    <w:rsid w:val="00111DCC"/>
    <w:rsid w:val="0011205B"/>
    <w:rsid w:val="001138A2"/>
    <w:rsid w:val="001139B0"/>
    <w:rsid w:val="001139FC"/>
    <w:rsid w:val="001148A5"/>
    <w:rsid w:val="0011548C"/>
    <w:rsid w:val="00115859"/>
    <w:rsid w:val="00115E74"/>
    <w:rsid w:val="00116B07"/>
    <w:rsid w:val="00117CC7"/>
    <w:rsid w:val="001204E0"/>
    <w:rsid w:val="00121046"/>
    <w:rsid w:val="0012127D"/>
    <w:rsid w:val="00121401"/>
    <w:rsid w:val="0012152A"/>
    <w:rsid w:val="00121543"/>
    <w:rsid w:val="00121732"/>
    <w:rsid w:val="00121D09"/>
    <w:rsid w:val="00122401"/>
    <w:rsid w:val="00122971"/>
    <w:rsid w:val="001229BD"/>
    <w:rsid w:val="00122FDE"/>
    <w:rsid w:val="001247C2"/>
    <w:rsid w:val="0012596F"/>
    <w:rsid w:val="00125EC5"/>
    <w:rsid w:val="00126FD8"/>
    <w:rsid w:val="0012709D"/>
    <w:rsid w:val="00127806"/>
    <w:rsid w:val="00131132"/>
    <w:rsid w:val="00132BA4"/>
    <w:rsid w:val="00133F8B"/>
    <w:rsid w:val="00134133"/>
    <w:rsid w:val="001362CA"/>
    <w:rsid w:val="001364FD"/>
    <w:rsid w:val="001370CB"/>
    <w:rsid w:val="001374A2"/>
    <w:rsid w:val="001407F6"/>
    <w:rsid w:val="00141455"/>
    <w:rsid w:val="00141897"/>
    <w:rsid w:val="001418CE"/>
    <w:rsid w:val="00142445"/>
    <w:rsid w:val="001429E5"/>
    <w:rsid w:val="0014315D"/>
    <w:rsid w:val="001457C2"/>
    <w:rsid w:val="00147A12"/>
    <w:rsid w:val="00147BBF"/>
    <w:rsid w:val="001506CA"/>
    <w:rsid w:val="00150949"/>
    <w:rsid w:val="00150A89"/>
    <w:rsid w:val="0015274A"/>
    <w:rsid w:val="001527A4"/>
    <w:rsid w:val="00153EA3"/>
    <w:rsid w:val="00154B83"/>
    <w:rsid w:val="00154EDA"/>
    <w:rsid w:val="00155432"/>
    <w:rsid w:val="00155433"/>
    <w:rsid w:val="0015544C"/>
    <w:rsid w:val="001558A7"/>
    <w:rsid w:val="00155CF1"/>
    <w:rsid w:val="00155CFC"/>
    <w:rsid w:val="00155ED4"/>
    <w:rsid w:val="00156536"/>
    <w:rsid w:val="00156893"/>
    <w:rsid w:val="00156C9F"/>
    <w:rsid w:val="0015766B"/>
    <w:rsid w:val="0015787C"/>
    <w:rsid w:val="00160607"/>
    <w:rsid w:val="001607AA"/>
    <w:rsid w:val="001607C6"/>
    <w:rsid w:val="00162357"/>
    <w:rsid w:val="0016308D"/>
    <w:rsid w:val="001649B2"/>
    <w:rsid w:val="00165092"/>
    <w:rsid w:val="00165793"/>
    <w:rsid w:val="00165FF2"/>
    <w:rsid w:val="00166215"/>
    <w:rsid w:val="001669B9"/>
    <w:rsid w:val="00170485"/>
    <w:rsid w:val="00170E5B"/>
    <w:rsid w:val="00172383"/>
    <w:rsid w:val="00172E15"/>
    <w:rsid w:val="00172FD2"/>
    <w:rsid w:val="00174B22"/>
    <w:rsid w:val="00174ED8"/>
    <w:rsid w:val="001761FE"/>
    <w:rsid w:val="001769AC"/>
    <w:rsid w:val="00176A79"/>
    <w:rsid w:val="00180260"/>
    <w:rsid w:val="00180957"/>
    <w:rsid w:val="00180C3A"/>
    <w:rsid w:val="001812BA"/>
    <w:rsid w:val="00182156"/>
    <w:rsid w:val="001823F1"/>
    <w:rsid w:val="00183641"/>
    <w:rsid w:val="00183EC9"/>
    <w:rsid w:val="00184B63"/>
    <w:rsid w:val="00185138"/>
    <w:rsid w:val="00186723"/>
    <w:rsid w:val="00186A21"/>
    <w:rsid w:val="00187AC7"/>
    <w:rsid w:val="001910FE"/>
    <w:rsid w:val="00191673"/>
    <w:rsid w:val="001918E1"/>
    <w:rsid w:val="0019194C"/>
    <w:rsid w:val="00192510"/>
    <w:rsid w:val="00194A8D"/>
    <w:rsid w:val="001950BA"/>
    <w:rsid w:val="00195B74"/>
    <w:rsid w:val="00196B87"/>
    <w:rsid w:val="001973D0"/>
    <w:rsid w:val="00197C2A"/>
    <w:rsid w:val="00197E7D"/>
    <w:rsid w:val="001A10AC"/>
    <w:rsid w:val="001A31CC"/>
    <w:rsid w:val="001A4516"/>
    <w:rsid w:val="001A491D"/>
    <w:rsid w:val="001A559C"/>
    <w:rsid w:val="001A60F8"/>
    <w:rsid w:val="001A654A"/>
    <w:rsid w:val="001A7472"/>
    <w:rsid w:val="001A7EDA"/>
    <w:rsid w:val="001B04C0"/>
    <w:rsid w:val="001B10C1"/>
    <w:rsid w:val="001B199C"/>
    <w:rsid w:val="001B2280"/>
    <w:rsid w:val="001B23E1"/>
    <w:rsid w:val="001B2ADF"/>
    <w:rsid w:val="001B2B84"/>
    <w:rsid w:val="001B31D1"/>
    <w:rsid w:val="001B489B"/>
    <w:rsid w:val="001B6037"/>
    <w:rsid w:val="001B6196"/>
    <w:rsid w:val="001B66C4"/>
    <w:rsid w:val="001B79FA"/>
    <w:rsid w:val="001B7DD5"/>
    <w:rsid w:val="001C0404"/>
    <w:rsid w:val="001C23EB"/>
    <w:rsid w:val="001C250D"/>
    <w:rsid w:val="001C4A4E"/>
    <w:rsid w:val="001C4E57"/>
    <w:rsid w:val="001C564B"/>
    <w:rsid w:val="001C662D"/>
    <w:rsid w:val="001C675E"/>
    <w:rsid w:val="001C7C1E"/>
    <w:rsid w:val="001C7F09"/>
    <w:rsid w:val="001D005D"/>
    <w:rsid w:val="001D0B49"/>
    <w:rsid w:val="001D3482"/>
    <w:rsid w:val="001D4066"/>
    <w:rsid w:val="001D4B45"/>
    <w:rsid w:val="001D4C34"/>
    <w:rsid w:val="001D5B7A"/>
    <w:rsid w:val="001D698A"/>
    <w:rsid w:val="001D7105"/>
    <w:rsid w:val="001D7108"/>
    <w:rsid w:val="001D76C4"/>
    <w:rsid w:val="001D7FD4"/>
    <w:rsid w:val="001E06FD"/>
    <w:rsid w:val="001E07D4"/>
    <w:rsid w:val="001E0E48"/>
    <w:rsid w:val="001E2972"/>
    <w:rsid w:val="001E2A14"/>
    <w:rsid w:val="001E2F30"/>
    <w:rsid w:val="001E35C2"/>
    <w:rsid w:val="001E3F49"/>
    <w:rsid w:val="001E5A5D"/>
    <w:rsid w:val="001E6370"/>
    <w:rsid w:val="001F23A6"/>
    <w:rsid w:val="001F2830"/>
    <w:rsid w:val="001F30AE"/>
    <w:rsid w:val="001F3B1E"/>
    <w:rsid w:val="001F3B60"/>
    <w:rsid w:val="001F4963"/>
    <w:rsid w:val="001F4D46"/>
    <w:rsid w:val="001F4EA2"/>
    <w:rsid w:val="001F4FB5"/>
    <w:rsid w:val="001F6164"/>
    <w:rsid w:val="001F65E7"/>
    <w:rsid w:val="001F7237"/>
    <w:rsid w:val="001F78CA"/>
    <w:rsid w:val="002000A4"/>
    <w:rsid w:val="00201930"/>
    <w:rsid w:val="00201BED"/>
    <w:rsid w:val="00201C0E"/>
    <w:rsid w:val="00201F31"/>
    <w:rsid w:val="0020350B"/>
    <w:rsid w:val="00203B2D"/>
    <w:rsid w:val="0020404C"/>
    <w:rsid w:val="002048B5"/>
    <w:rsid w:val="002049E3"/>
    <w:rsid w:val="00204A8D"/>
    <w:rsid w:val="002056C0"/>
    <w:rsid w:val="00205C29"/>
    <w:rsid w:val="002063D0"/>
    <w:rsid w:val="0020651B"/>
    <w:rsid w:val="00206B2C"/>
    <w:rsid w:val="00206D6A"/>
    <w:rsid w:val="00207622"/>
    <w:rsid w:val="002076F4"/>
    <w:rsid w:val="00207A8C"/>
    <w:rsid w:val="00207C1E"/>
    <w:rsid w:val="00212312"/>
    <w:rsid w:val="00212EE0"/>
    <w:rsid w:val="00213095"/>
    <w:rsid w:val="0021334D"/>
    <w:rsid w:val="00214A18"/>
    <w:rsid w:val="002159E6"/>
    <w:rsid w:val="00215C98"/>
    <w:rsid w:val="002169B9"/>
    <w:rsid w:val="00217550"/>
    <w:rsid w:val="00217C6C"/>
    <w:rsid w:val="00220A6F"/>
    <w:rsid w:val="00220CD5"/>
    <w:rsid w:val="00224161"/>
    <w:rsid w:val="00225612"/>
    <w:rsid w:val="002259FD"/>
    <w:rsid w:val="0023077F"/>
    <w:rsid w:val="00230BA3"/>
    <w:rsid w:val="002317D7"/>
    <w:rsid w:val="00231C92"/>
    <w:rsid w:val="00233731"/>
    <w:rsid w:val="00233FC4"/>
    <w:rsid w:val="00234D18"/>
    <w:rsid w:val="00235DCE"/>
    <w:rsid w:val="00236574"/>
    <w:rsid w:val="0023662D"/>
    <w:rsid w:val="00236672"/>
    <w:rsid w:val="00236921"/>
    <w:rsid w:val="002373AB"/>
    <w:rsid w:val="00240257"/>
    <w:rsid w:val="002403D6"/>
    <w:rsid w:val="00240CC4"/>
    <w:rsid w:val="00240EAA"/>
    <w:rsid w:val="002416D9"/>
    <w:rsid w:val="00242E0A"/>
    <w:rsid w:val="0024304E"/>
    <w:rsid w:val="0024310F"/>
    <w:rsid w:val="0024359D"/>
    <w:rsid w:val="00243BA7"/>
    <w:rsid w:val="002445C2"/>
    <w:rsid w:val="002445CC"/>
    <w:rsid w:val="00244F4C"/>
    <w:rsid w:val="002460D7"/>
    <w:rsid w:val="002468B5"/>
    <w:rsid w:val="00246ADB"/>
    <w:rsid w:val="00247482"/>
    <w:rsid w:val="002477E5"/>
    <w:rsid w:val="00247B5B"/>
    <w:rsid w:val="002500F5"/>
    <w:rsid w:val="00251194"/>
    <w:rsid w:val="00252C41"/>
    <w:rsid w:val="00253093"/>
    <w:rsid w:val="00253171"/>
    <w:rsid w:val="00253210"/>
    <w:rsid w:val="00253D85"/>
    <w:rsid w:val="00254F26"/>
    <w:rsid w:val="00255008"/>
    <w:rsid w:val="00255423"/>
    <w:rsid w:val="00256BA4"/>
    <w:rsid w:val="002603BF"/>
    <w:rsid w:val="0026157D"/>
    <w:rsid w:val="00261867"/>
    <w:rsid w:val="002641FE"/>
    <w:rsid w:val="002642B9"/>
    <w:rsid w:val="00265659"/>
    <w:rsid w:val="00266766"/>
    <w:rsid w:val="00266D81"/>
    <w:rsid w:val="0026721B"/>
    <w:rsid w:val="0026769B"/>
    <w:rsid w:val="00270A00"/>
    <w:rsid w:val="00270EA1"/>
    <w:rsid w:val="00272322"/>
    <w:rsid w:val="00273EE0"/>
    <w:rsid w:val="00274557"/>
    <w:rsid w:val="00274B48"/>
    <w:rsid w:val="0027564E"/>
    <w:rsid w:val="00276192"/>
    <w:rsid w:val="002761B8"/>
    <w:rsid w:val="0027736B"/>
    <w:rsid w:val="00277380"/>
    <w:rsid w:val="002777FD"/>
    <w:rsid w:val="0028063C"/>
    <w:rsid w:val="0028187E"/>
    <w:rsid w:val="002819D9"/>
    <w:rsid w:val="002827A1"/>
    <w:rsid w:val="002833D4"/>
    <w:rsid w:val="00284136"/>
    <w:rsid w:val="002867DA"/>
    <w:rsid w:val="00287120"/>
    <w:rsid w:val="002873ED"/>
    <w:rsid w:val="002874E3"/>
    <w:rsid w:val="00287C16"/>
    <w:rsid w:val="00290634"/>
    <w:rsid w:val="00290B04"/>
    <w:rsid w:val="00291EDC"/>
    <w:rsid w:val="00292137"/>
    <w:rsid w:val="00292F18"/>
    <w:rsid w:val="00293323"/>
    <w:rsid w:val="0029403A"/>
    <w:rsid w:val="00294B5C"/>
    <w:rsid w:val="0029554E"/>
    <w:rsid w:val="00297C95"/>
    <w:rsid w:val="00297FCF"/>
    <w:rsid w:val="002A1566"/>
    <w:rsid w:val="002A167A"/>
    <w:rsid w:val="002A29D4"/>
    <w:rsid w:val="002A2AAA"/>
    <w:rsid w:val="002A33C6"/>
    <w:rsid w:val="002A4302"/>
    <w:rsid w:val="002A5E8B"/>
    <w:rsid w:val="002A62FB"/>
    <w:rsid w:val="002B0AEB"/>
    <w:rsid w:val="002B0F61"/>
    <w:rsid w:val="002B141F"/>
    <w:rsid w:val="002B1C7E"/>
    <w:rsid w:val="002B218D"/>
    <w:rsid w:val="002B2BA7"/>
    <w:rsid w:val="002B377D"/>
    <w:rsid w:val="002B3D5A"/>
    <w:rsid w:val="002B58CA"/>
    <w:rsid w:val="002B5E99"/>
    <w:rsid w:val="002B6270"/>
    <w:rsid w:val="002B7922"/>
    <w:rsid w:val="002B7BF6"/>
    <w:rsid w:val="002C0EF5"/>
    <w:rsid w:val="002C1FE0"/>
    <w:rsid w:val="002C2258"/>
    <w:rsid w:val="002C22BD"/>
    <w:rsid w:val="002C6DE8"/>
    <w:rsid w:val="002D1278"/>
    <w:rsid w:val="002D1CD0"/>
    <w:rsid w:val="002D2181"/>
    <w:rsid w:val="002D2C94"/>
    <w:rsid w:val="002D2F16"/>
    <w:rsid w:val="002D36D3"/>
    <w:rsid w:val="002D456E"/>
    <w:rsid w:val="002D4FBA"/>
    <w:rsid w:val="002D56A3"/>
    <w:rsid w:val="002D6F6C"/>
    <w:rsid w:val="002D750A"/>
    <w:rsid w:val="002E098A"/>
    <w:rsid w:val="002E0DE7"/>
    <w:rsid w:val="002E0E4A"/>
    <w:rsid w:val="002E192B"/>
    <w:rsid w:val="002E1F3B"/>
    <w:rsid w:val="002E26E4"/>
    <w:rsid w:val="002E490B"/>
    <w:rsid w:val="002E54AB"/>
    <w:rsid w:val="002E5A98"/>
    <w:rsid w:val="002E5E70"/>
    <w:rsid w:val="002E7370"/>
    <w:rsid w:val="002E7BFC"/>
    <w:rsid w:val="002F100F"/>
    <w:rsid w:val="002F1359"/>
    <w:rsid w:val="002F300E"/>
    <w:rsid w:val="002F319E"/>
    <w:rsid w:val="002F38DE"/>
    <w:rsid w:val="002F3BF4"/>
    <w:rsid w:val="002F3FEF"/>
    <w:rsid w:val="00300634"/>
    <w:rsid w:val="00300D12"/>
    <w:rsid w:val="00300E6A"/>
    <w:rsid w:val="00300F3E"/>
    <w:rsid w:val="003013B6"/>
    <w:rsid w:val="00302015"/>
    <w:rsid w:val="00302C5E"/>
    <w:rsid w:val="003035FD"/>
    <w:rsid w:val="003043FD"/>
    <w:rsid w:val="0030553A"/>
    <w:rsid w:val="00305705"/>
    <w:rsid w:val="003058B7"/>
    <w:rsid w:val="00306447"/>
    <w:rsid w:val="0030665F"/>
    <w:rsid w:val="0030720E"/>
    <w:rsid w:val="003074A7"/>
    <w:rsid w:val="00307C72"/>
    <w:rsid w:val="0031014E"/>
    <w:rsid w:val="00313727"/>
    <w:rsid w:val="00313806"/>
    <w:rsid w:val="003138FB"/>
    <w:rsid w:val="00313B82"/>
    <w:rsid w:val="0031726C"/>
    <w:rsid w:val="00321562"/>
    <w:rsid w:val="00322BD6"/>
    <w:rsid w:val="0032323C"/>
    <w:rsid w:val="00323523"/>
    <w:rsid w:val="00324E09"/>
    <w:rsid w:val="0032552C"/>
    <w:rsid w:val="00326A65"/>
    <w:rsid w:val="00327386"/>
    <w:rsid w:val="00330289"/>
    <w:rsid w:val="00330DD3"/>
    <w:rsid w:val="00330FFD"/>
    <w:rsid w:val="0033139A"/>
    <w:rsid w:val="003328F0"/>
    <w:rsid w:val="00332C2E"/>
    <w:rsid w:val="00333497"/>
    <w:rsid w:val="00334028"/>
    <w:rsid w:val="0033485D"/>
    <w:rsid w:val="0033495B"/>
    <w:rsid w:val="003360F2"/>
    <w:rsid w:val="00336E8B"/>
    <w:rsid w:val="003423AF"/>
    <w:rsid w:val="003437F6"/>
    <w:rsid w:val="003439BF"/>
    <w:rsid w:val="00343C83"/>
    <w:rsid w:val="0034423A"/>
    <w:rsid w:val="003444C7"/>
    <w:rsid w:val="00344BE0"/>
    <w:rsid w:val="00344C4B"/>
    <w:rsid w:val="003471B0"/>
    <w:rsid w:val="00347E60"/>
    <w:rsid w:val="00350950"/>
    <w:rsid w:val="00350C65"/>
    <w:rsid w:val="00350CD7"/>
    <w:rsid w:val="00352A03"/>
    <w:rsid w:val="00352A8B"/>
    <w:rsid w:val="003530A4"/>
    <w:rsid w:val="00353AED"/>
    <w:rsid w:val="00354142"/>
    <w:rsid w:val="00354D1A"/>
    <w:rsid w:val="00355459"/>
    <w:rsid w:val="00355A3F"/>
    <w:rsid w:val="003564C6"/>
    <w:rsid w:val="00357185"/>
    <w:rsid w:val="003607B7"/>
    <w:rsid w:val="00362467"/>
    <w:rsid w:val="0036280D"/>
    <w:rsid w:val="003657EB"/>
    <w:rsid w:val="00365A5A"/>
    <w:rsid w:val="00366C16"/>
    <w:rsid w:val="00367AE4"/>
    <w:rsid w:val="00370089"/>
    <w:rsid w:val="00370BF4"/>
    <w:rsid w:val="003728B8"/>
    <w:rsid w:val="0037295E"/>
    <w:rsid w:val="00372EBF"/>
    <w:rsid w:val="003737D4"/>
    <w:rsid w:val="003738B8"/>
    <w:rsid w:val="00374456"/>
    <w:rsid w:val="003752AF"/>
    <w:rsid w:val="0037684A"/>
    <w:rsid w:val="003823C3"/>
    <w:rsid w:val="0038256F"/>
    <w:rsid w:val="00383991"/>
    <w:rsid w:val="00383D1F"/>
    <w:rsid w:val="0038477A"/>
    <w:rsid w:val="003852C4"/>
    <w:rsid w:val="003852F2"/>
    <w:rsid w:val="00385D1E"/>
    <w:rsid w:val="003860C1"/>
    <w:rsid w:val="003867FF"/>
    <w:rsid w:val="00386D88"/>
    <w:rsid w:val="003871CE"/>
    <w:rsid w:val="0039060A"/>
    <w:rsid w:val="0039135B"/>
    <w:rsid w:val="00391803"/>
    <w:rsid w:val="00391CFB"/>
    <w:rsid w:val="00392285"/>
    <w:rsid w:val="00392325"/>
    <w:rsid w:val="00392C8E"/>
    <w:rsid w:val="00392DE7"/>
    <w:rsid w:val="003935FB"/>
    <w:rsid w:val="003954B2"/>
    <w:rsid w:val="00397A7F"/>
    <w:rsid w:val="003A068C"/>
    <w:rsid w:val="003A0F1F"/>
    <w:rsid w:val="003A2240"/>
    <w:rsid w:val="003A259C"/>
    <w:rsid w:val="003A3AEF"/>
    <w:rsid w:val="003A4237"/>
    <w:rsid w:val="003A4BFC"/>
    <w:rsid w:val="003A4EF6"/>
    <w:rsid w:val="003A6574"/>
    <w:rsid w:val="003A7168"/>
    <w:rsid w:val="003A7970"/>
    <w:rsid w:val="003A7D74"/>
    <w:rsid w:val="003B0C1A"/>
    <w:rsid w:val="003B12A3"/>
    <w:rsid w:val="003B3E17"/>
    <w:rsid w:val="003B4360"/>
    <w:rsid w:val="003B4B32"/>
    <w:rsid w:val="003B7799"/>
    <w:rsid w:val="003C0698"/>
    <w:rsid w:val="003C25A9"/>
    <w:rsid w:val="003C3075"/>
    <w:rsid w:val="003C308B"/>
    <w:rsid w:val="003C36EB"/>
    <w:rsid w:val="003C3B2B"/>
    <w:rsid w:val="003C3BC4"/>
    <w:rsid w:val="003C4AEF"/>
    <w:rsid w:val="003C4EA6"/>
    <w:rsid w:val="003C4FF0"/>
    <w:rsid w:val="003C5497"/>
    <w:rsid w:val="003C554C"/>
    <w:rsid w:val="003C5BD7"/>
    <w:rsid w:val="003C5D6E"/>
    <w:rsid w:val="003C6B87"/>
    <w:rsid w:val="003C7978"/>
    <w:rsid w:val="003D079C"/>
    <w:rsid w:val="003D0A2A"/>
    <w:rsid w:val="003D119B"/>
    <w:rsid w:val="003D1F9D"/>
    <w:rsid w:val="003D22E0"/>
    <w:rsid w:val="003D34A0"/>
    <w:rsid w:val="003D456D"/>
    <w:rsid w:val="003D69E0"/>
    <w:rsid w:val="003D742B"/>
    <w:rsid w:val="003D7AB5"/>
    <w:rsid w:val="003E00FB"/>
    <w:rsid w:val="003E0CF0"/>
    <w:rsid w:val="003E191C"/>
    <w:rsid w:val="003E23C5"/>
    <w:rsid w:val="003E25D7"/>
    <w:rsid w:val="003E2966"/>
    <w:rsid w:val="003E473B"/>
    <w:rsid w:val="003E4A82"/>
    <w:rsid w:val="003E55C6"/>
    <w:rsid w:val="003E5EE7"/>
    <w:rsid w:val="003E6A78"/>
    <w:rsid w:val="003E70A1"/>
    <w:rsid w:val="003E78D7"/>
    <w:rsid w:val="003E7C32"/>
    <w:rsid w:val="003E7DB8"/>
    <w:rsid w:val="003E7DD4"/>
    <w:rsid w:val="003F20F4"/>
    <w:rsid w:val="003F3305"/>
    <w:rsid w:val="003F39D8"/>
    <w:rsid w:val="003F3E68"/>
    <w:rsid w:val="003F6601"/>
    <w:rsid w:val="003F6FDC"/>
    <w:rsid w:val="003F7546"/>
    <w:rsid w:val="003F798D"/>
    <w:rsid w:val="004035D1"/>
    <w:rsid w:val="00404BB3"/>
    <w:rsid w:val="004055D5"/>
    <w:rsid w:val="00405A35"/>
    <w:rsid w:val="00405DCB"/>
    <w:rsid w:val="00406261"/>
    <w:rsid w:val="00411F20"/>
    <w:rsid w:val="00412A0C"/>
    <w:rsid w:val="004138A5"/>
    <w:rsid w:val="00413C8E"/>
    <w:rsid w:val="00413FFB"/>
    <w:rsid w:val="004150A1"/>
    <w:rsid w:val="00416D4E"/>
    <w:rsid w:val="00417387"/>
    <w:rsid w:val="004175E7"/>
    <w:rsid w:val="004202D2"/>
    <w:rsid w:val="00420734"/>
    <w:rsid w:val="0042200F"/>
    <w:rsid w:val="00422814"/>
    <w:rsid w:val="00424AF9"/>
    <w:rsid w:val="0042510D"/>
    <w:rsid w:val="004251AE"/>
    <w:rsid w:val="00425248"/>
    <w:rsid w:val="00426F50"/>
    <w:rsid w:val="0042793C"/>
    <w:rsid w:val="00427F8E"/>
    <w:rsid w:val="0043031C"/>
    <w:rsid w:val="004305D8"/>
    <w:rsid w:val="0043296E"/>
    <w:rsid w:val="00432D74"/>
    <w:rsid w:val="00435065"/>
    <w:rsid w:val="004353BB"/>
    <w:rsid w:val="0043569B"/>
    <w:rsid w:val="004358E3"/>
    <w:rsid w:val="0043675F"/>
    <w:rsid w:val="004375B1"/>
    <w:rsid w:val="00440ABF"/>
    <w:rsid w:val="004418FD"/>
    <w:rsid w:val="00441BFC"/>
    <w:rsid w:val="00442174"/>
    <w:rsid w:val="00442584"/>
    <w:rsid w:val="0044301E"/>
    <w:rsid w:val="00443059"/>
    <w:rsid w:val="00444D36"/>
    <w:rsid w:val="004457B1"/>
    <w:rsid w:val="00447E9B"/>
    <w:rsid w:val="004508EC"/>
    <w:rsid w:val="0045381A"/>
    <w:rsid w:val="00453ED4"/>
    <w:rsid w:val="0045782D"/>
    <w:rsid w:val="0045785D"/>
    <w:rsid w:val="0045798F"/>
    <w:rsid w:val="00457BF1"/>
    <w:rsid w:val="0046123F"/>
    <w:rsid w:val="0046293B"/>
    <w:rsid w:val="0046298A"/>
    <w:rsid w:val="00462FA0"/>
    <w:rsid w:val="00463B27"/>
    <w:rsid w:val="00464FF6"/>
    <w:rsid w:val="0046541E"/>
    <w:rsid w:val="0046564F"/>
    <w:rsid w:val="004656FE"/>
    <w:rsid w:val="00465D83"/>
    <w:rsid w:val="00466E7E"/>
    <w:rsid w:val="004676B0"/>
    <w:rsid w:val="00470357"/>
    <w:rsid w:val="004703E4"/>
    <w:rsid w:val="00470B96"/>
    <w:rsid w:val="0047138A"/>
    <w:rsid w:val="00471F88"/>
    <w:rsid w:val="00472405"/>
    <w:rsid w:val="0047251A"/>
    <w:rsid w:val="00472BFC"/>
    <w:rsid w:val="00473141"/>
    <w:rsid w:val="004751A2"/>
    <w:rsid w:val="00475C04"/>
    <w:rsid w:val="0047625C"/>
    <w:rsid w:val="00477B91"/>
    <w:rsid w:val="00480A9B"/>
    <w:rsid w:val="00480EA7"/>
    <w:rsid w:val="00481020"/>
    <w:rsid w:val="00481CF4"/>
    <w:rsid w:val="004820E7"/>
    <w:rsid w:val="00482C59"/>
    <w:rsid w:val="00483555"/>
    <w:rsid w:val="00484435"/>
    <w:rsid w:val="00490613"/>
    <w:rsid w:val="00490CCD"/>
    <w:rsid w:val="00491D21"/>
    <w:rsid w:val="004936F6"/>
    <w:rsid w:val="004947F1"/>
    <w:rsid w:val="00496821"/>
    <w:rsid w:val="00496A2C"/>
    <w:rsid w:val="00496DB0"/>
    <w:rsid w:val="00496E76"/>
    <w:rsid w:val="004A039D"/>
    <w:rsid w:val="004A126E"/>
    <w:rsid w:val="004A1C9C"/>
    <w:rsid w:val="004A2529"/>
    <w:rsid w:val="004A2816"/>
    <w:rsid w:val="004A3138"/>
    <w:rsid w:val="004A31AF"/>
    <w:rsid w:val="004A3749"/>
    <w:rsid w:val="004A45AC"/>
    <w:rsid w:val="004A4AC3"/>
    <w:rsid w:val="004A5BDD"/>
    <w:rsid w:val="004A607D"/>
    <w:rsid w:val="004A6496"/>
    <w:rsid w:val="004A781A"/>
    <w:rsid w:val="004B2324"/>
    <w:rsid w:val="004B23AE"/>
    <w:rsid w:val="004B3F92"/>
    <w:rsid w:val="004B5EA5"/>
    <w:rsid w:val="004B7274"/>
    <w:rsid w:val="004B7B7A"/>
    <w:rsid w:val="004B7DB2"/>
    <w:rsid w:val="004B7DEB"/>
    <w:rsid w:val="004C12D5"/>
    <w:rsid w:val="004C2A42"/>
    <w:rsid w:val="004C445A"/>
    <w:rsid w:val="004C47CE"/>
    <w:rsid w:val="004C4895"/>
    <w:rsid w:val="004C5ADD"/>
    <w:rsid w:val="004C5C03"/>
    <w:rsid w:val="004C600C"/>
    <w:rsid w:val="004C63C2"/>
    <w:rsid w:val="004C70D6"/>
    <w:rsid w:val="004C753B"/>
    <w:rsid w:val="004D014A"/>
    <w:rsid w:val="004D0A87"/>
    <w:rsid w:val="004D1EBD"/>
    <w:rsid w:val="004D1F8E"/>
    <w:rsid w:val="004D208A"/>
    <w:rsid w:val="004D21A8"/>
    <w:rsid w:val="004E05F4"/>
    <w:rsid w:val="004E23D2"/>
    <w:rsid w:val="004E3F2E"/>
    <w:rsid w:val="004E41DC"/>
    <w:rsid w:val="004E4899"/>
    <w:rsid w:val="004E5600"/>
    <w:rsid w:val="004E71C9"/>
    <w:rsid w:val="004F1DBA"/>
    <w:rsid w:val="004F1E01"/>
    <w:rsid w:val="004F28C6"/>
    <w:rsid w:val="004F39B6"/>
    <w:rsid w:val="004F3A6C"/>
    <w:rsid w:val="004F45A3"/>
    <w:rsid w:val="004F55E5"/>
    <w:rsid w:val="004F5C2A"/>
    <w:rsid w:val="004F66B5"/>
    <w:rsid w:val="004F70E5"/>
    <w:rsid w:val="004F7130"/>
    <w:rsid w:val="004F7819"/>
    <w:rsid w:val="004F79AD"/>
    <w:rsid w:val="004F7CE3"/>
    <w:rsid w:val="0050002D"/>
    <w:rsid w:val="00500791"/>
    <w:rsid w:val="005012AC"/>
    <w:rsid w:val="00501788"/>
    <w:rsid w:val="00501843"/>
    <w:rsid w:val="005020DF"/>
    <w:rsid w:val="00502CDA"/>
    <w:rsid w:val="0050424B"/>
    <w:rsid w:val="005049F5"/>
    <w:rsid w:val="00505C69"/>
    <w:rsid w:val="00506657"/>
    <w:rsid w:val="005067FC"/>
    <w:rsid w:val="005075A9"/>
    <w:rsid w:val="005076E5"/>
    <w:rsid w:val="005105FB"/>
    <w:rsid w:val="00511128"/>
    <w:rsid w:val="005111DC"/>
    <w:rsid w:val="00511A9E"/>
    <w:rsid w:val="00513A5C"/>
    <w:rsid w:val="00513CEA"/>
    <w:rsid w:val="005149E5"/>
    <w:rsid w:val="00515E14"/>
    <w:rsid w:val="005161B9"/>
    <w:rsid w:val="00516EA8"/>
    <w:rsid w:val="0051716B"/>
    <w:rsid w:val="00520261"/>
    <w:rsid w:val="005207D5"/>
    <w:rsid w:val="005215F5"/>
    <w:rsid w:val="00522909"/>
    <w:rsid w:val="00522C06"/>
    <w:rsid w:val="00522FA3"/>
    <w:rsid w:val="0052352B"/>
    <w:rsid w:val="00523754"/>
    <w:rsid w:val="00523850"/>
    <w:rsid w:val="00523AF7"/>
    <w:rsid w:val="005240C1"/>
    <w:rsid w:val="005253A3"/>
    <w:rsid w:val="00525FE1"/>
    <w:rsid w:val="00527D6E"/>
    <w:rsid w:val="0053094C"/>
    <w:rsid w:val="00530D1F"/>
    <w:rsid w:val="005316E8"/>
    <w:rsid w:val="005319DA"/>
    <w:rsid w:val="0053240B"/>
    <w:rsid w:val="00532ACF"/>
    <w:rsid w:val="0053386D"/>
    <w:rsid w:val="00534453"/>
    <w:rsid w:val="005354AC"/>
    <w:rsid w:val="005356CD"/>
    <w:rsid w:val="00540569"/>
    <w:rsid w:val="00541682"/>
    <w:rsid w:val="0054217E"/>
    <w:rsid w:val="00542B86"/>
    <w:rsid w:val="00544FED"/>
    <w:rsid w:val="00545698"/>
    <w:rsid w:val="0054653B"/>
    <w:rsid w:val="0054705E"/>
    <w:rsid w:val="00547E33"/>
    <w:rsid w:val="00547E3B"/>
    <w:rsid w:val="005500EA"/>
    <w:rsid w:val="00550644"/>
    <w:rsid w:val="005529EC"/>
    <w:rsid w:val="00552ADE"/>
    <w:rsid w:val="00553ED0"/>
    <w:rsid w:val="005548DE"/>
    <w:rsid w:val="00554B59"/>
    <w:rsid w:val="00555840"/>
    <w:rsid w:val="00555BDD"/>
    <w:rsid w:val="005614B8"/>
    <w:rsid w:val="00561867"/>
    <w:rsid w:val="00563D60"/>
    <w:rsid w:val="005656CC"/>
    <w:rsid w:val="00565E86"/>
    <w:rsid w:val="0057021E"/>
    <w:rsid w:val="00571151"/>
    <w:rsid w:val="0057325B"/>
    <w:rsid w:val="00574012"/>
    <w:rsid w:val="00574F46"/>
    <w:rsid w:val="00576303"/>
    <w:rsid w:val="00576D99"/>
    <w:rsid w:val="00577673"/>
    <w:rsid w:val="0058005C"/>
    <w:rsid w:val="00580193"/>
    <w:rsid w:val="00580229"/>
    <w:rsid w:val="00580B1C"/>
    <w:rsid w:val="005823B2"/>
    <w:rsid w:val="0058404E"/>
    <w:rsid w:val="00584739"/>
    <w:rsid w:val="0058529B"/>
    <w:rsid w:val="00585870"/>
    <w:rsid w:val="00585EF6"/>
    <w:rsid w:val="00585FB8"/>
    <w:rsid w:val="00586370"/>
    <w:rsid w:val="0058672B"/>
    <w:rsid w:val="005875EA"/>
    <w:rsid w:val="00590D1E"/>
    <w:rsid w:val="005926CA"/>
    <w:rsid w:val="0059332C"/>
    <w:rsid w:val="005936D5"/>
    <w:rsid w:val="00594378"/>
    <w:rsid w:val="00595F6B"/>
    <w:rsid w:val="005A05DA"/>
    <w:rsid w:val="005A1C4D"/>
    <w:rsid w:val="005A1DDF"/>
    <w:rsid w:val="005A4690"/>
    <w:rsid w:val="005A57FC"/>
    <w:rsid w:val="005A5C96"/>
    <w:rsid w:val="005A7458"/>
    <w:rsid w:val="005A7DAB"/>
    <w:rsid w:val="005B0D68"/>
    <w:rsid w:val="005B1B01"/>
    <w:rsid w:val="005B1BB0"/>
    <w:rsid w:val="005B1F4D"/>
    <w:rsid w:val="005B1F60"/>
    <w:rsid w:val="005B2452"/>
    <w:rsid w:val="005B2BFE"/>
    <w:rsid w:val="005B2CBE"/>
    <w:rsid w:val="005B2D9F"/>
    <w:rsid w:val="005B32E6"/>
    <w:rsid w:val="005B354C"/>
    <w:rsid w:val="005B5DFC"/>
    <w:rsid w:val="005B5F5B"/>
    <w:rsid w:val="005B700A"/>
    <w:rsid w:val="005B7CE6"/>
    <w:rsid w:val="005C12AC"/>
    <w:rsid w:val="005C18E4"/>
    <w:rsid w:val="005C1ADB"/>
    <w:rsid w:val="005C28C8"/>
    <w:rsid w:val="005C51F5"/>
    <w:rsid w:val="005C5671"/>
    <w:rsid w:val="005C5BBC"/>
    <w:rsid w:val="005C6737"/>
    <w:rsid w:val="005C7EDF"/>
    <w:rsid w:val="005D095C"/>
    <w:rsid w:val="005D0D8C"/>
    <w:rsid w:val="005D2D63"/>
    <w:rsid w:val="005D3F7B"/>
    <w:rsid w:val="005D6F2B"/>
    <w:rsid w:val="005D760D"/>
    <w:rsid w:val="005D7720"/>
    <w:rsid w:val="005E07A2"/>
    <w:rsid w:val="005E0B31"/>
    <w:rsid w:val="005E1470"/>
    <w:rsid w:val="005E2AA2"/>
    <w:rsid w:val="005E31BB"/>
    <w:rsid w:val="005E3540"/>
    <w:rsid w:val="005E4B81"/>
    <w:rsid w:val="005E4EAA"/>
    <w:rsid w:val="005E56BD"/>
    <w:rsid w:val="005E5754"/>
    <w:rsid w:val="005E5ADA"/>
    <w:rsid w:val="005E60E1"/>
    <w:rsid w:val="005E680E"/>
    <w:rsid w:val="005E6DCF"/>
    <w:rsid w:val="005F082C"/>
    <w:rsid w:val="005F0A2C"/>
    <w:rsid w:val="005F0A36"/>
    <w:rsid w:val="005F0F4E"/>
    <w:rsid w:val="005F19EF"/>
    <w:rsid w:val="005F1C96"/>
    <w:rsid w:val="005F1FE8"/>
    <w:rsid w:val="005F2881"/>
    <w:rsid w:val="005F391A"/>
    <w:rsid w:val="005F3AF5"/>
    <w:rsid w:val="005F493B"/>
    <w:rsid w:val="005F4CFF"/>
    <w:rsid w:val="005F4E67"/>
    <w:rsid w:val="005F5029"/>
    <w:rsid w:val="005F549C"/>
    <w:rsid w:val="005F551C"/>
    <w:rsid w:val="005F59EC"/>
    <w:rsid w:val="005F666F"/>
    <w:rsid w:val="005F6A2A"/>
    <w:rsid w:val="00601E71"/>
    <w:rsid w:val="0060200D"/>
    <w:rsid w:val="00602CC8"/>
    <w:rsid w:val="006040FA"/>
    <w:rsid w:val="00604AE7"/>
    <w:rsid w:val="0060531A"/>
    <w:rsid w:val="00605537"/>
    <w:rsid w:val="00605B47"/>
    <w:rsid w:val="00606BD9"/>
    <w:rsid w:val="00606F4C"/>
    <w:rsid w:val="00610240"/>
    <w:rsid w:val="0061077C"/>
    <w:rsid w:val="0061120A"/>
    <w:rsid w:val="00611B00"/>
    <w:rsid w:val="00613276"/>
    <w:rsid w:val="0061511B"/>
    <w:rsid w:val="0061574B"/>
    <w:rsid w:val="00615AE7"/>
    <w:rsid w:val="00615FB8"/>
    <w:rsid w:val="006176FD"/>
    <w:rsid w:val="00617A50"/>
    <w:rsid w:val="0062046C"/>
    <w:rsid w:val="00620575"/>
    <w:rsid w:val="006216C2"/>
    <w:rsid w:val="00622042"/>
    <w:rsid w:val="006242DF"/>
    <w:rsid w:val="006255D7"/>
    <w:rsid w:val="00625D5F"/>
    <w:rsid w:val="0063050C"/>
    <w:rsid w:val="00630600"/>
    <w:rsid w:val="00630ED4"/>
    <w:rsid w:val="00632ADE"/>
    <w:rsid w:val="00635209"/>
    <w:rsid w:val="0063542D"/>
    <w:rsid w:val="00643A96"/>
    <w:rsid w:val="00643C3B"/>
    <w:rsid w:val="00644AE4"/>
    <w:rsid w:val="00645648"/>
    <w:rsid w:val="006458FE"/>
    <w:rsid w:val="00645E0B"/>
    <w:rsid w:val="00646FC9"/>
    <w:rsid w:val="00646FEB"/>
    <w:rsid w:val="00647244"/>
    <w:rsid w:val="00647F97"/>
    <w:rsid w:val="006509EA"/>
    <w:rsid w:val="00650B66"/>
    <w:rsid w:val="00652229"/>
    <w:rsid w:val="0065348C"/>
    <w:rsid w:val="00653517"/>
    <w:rsid w:val="00653B72"/>
    <w:rsid w:val="00655923"/>
    <w:rsid w:val="00656C90"/>
    <w:rsid w:val="00656F57"/>
    <w:rsid w:val="0065793B"/>
    <w:rsid w:val="00660326"/>
    <w:rsid w:val="00661535"/>
    <w:rsid w:val="00661EC6"/>
    <w:rsid w:val="006622AB"/>
    <w:rsid w:val="00662B3D"/>
    <w:rsid w:val="006630EE"/>
    <w:rsid w:val="00663215"/>
    <w:rsid w:val="00663AF2"/>
    <w:rsid w:val="00663BD3"/>
    <w:rsid w:val="006645E9"/>
    <w:rsid w:val="00665DB9"/>
    <w:rsid w:val="006661DA"/>
    <w:rsid w:val="00666918"/>
    <w:rsid w:val="00667166"/>
    <w:rsid w:val="00667C82"/>
    <w:rsid w:val="0067076B"/>
    <w:rsid w:val="0067262C"/>
    <w:rsid w:val="00672BF9"/>
    <w:rsid w:val="00673217"/>
    <w:rsid w:val="00673348"/>
    <w:rsid w:val="00673576"/>
    <w:rsid w:val="006739D1"/>
    <w:rsid w:val="00673C9C"/>
    <w:rsid w:val="00673FB8"/>
    <w:rsid w:val="00674CF0"/>
    <w:rsid w:val="00676183"/>
    <w:rsid w:val="006769F2"/>
    <w:rsid w:val="006778F3"/>
    <w:rsid w:val="00677E3F"/>
    <w:rsid w:val="0068006E"/>
    <w:rsid w:val="0068241D"/>
    <w:rsid w:val="006828C7"/>
    <w:rsid w:val="00683260"/>
    <w:rsid w:val="006833ED"/>
    <w:rsid w:val="006844E2"/>
    <w:rsid w:val="0068488E"/>
    <w:rsid w:val="0068513C"/>
    <w:rsid w:val="006852B8"/>
    <w:rsid w:val="00685D19"/>
    <w:rsid w:val="00685E87"/>
    <w:rsid w:val="00685EB2"/>
    <w:rsid w:val="00686F4F"/>
    <w:rsid w:val="006879B4"/>
    <w:rsid w:val="00690C9A"/>
    <w:rsid w:val="006910C5"/>
    <w:rsid w:val="00691C6B"/>
    <w:rsid w:val="00692BF0"/>
    <w:rsid w:val="00693423"/>
    <w:rsid w:val="00694A40"/>
    <w:rsid w:val="00694C1B"/>
    <w:rsid w:val="00695146"/>
    <w:rsid w:val="0069536F"/>
    <w:rsid w:val="0069558F"/>
    <w:rsid w:val="00695B7A"/>
    <w:rsid w:val="0069681D"/>
    <w:rsid w:val="00696FB6"/>
    <w:rsid w:val="006972B5"/>
    <w:rsid w:val="00697BBC"/>
    <w:rsid w:val="006A0E46"/>
    <w:rsid w:val="006A3985"/>
    <w:rsid w:val="006A3B58"/>
    <w:rsid w:val="006A426C"/>
    <w:rsid w:val="006A4D98"/>
    <w:rsid w:val="006A5E89"/>
    <w:rsid w:val="006A65BE"/>
    <w:rsid w:val="006A72BD"/>
    <w:rsid w:val="006A7419"/>
    <w:rsid w:val="006B133C"/>
    <w:rsid w:val="006B1652"/>
    <w:rsid w:val="006B188C"/>
    <w:rsid w:val="006B3653"/>
    <w:rsid w:val="006B3D0E"/>
    <w:rsid w:val="006B497C"/>
    <w:rsid w:val="006B4F2D"/>
    <w:rsid w:val="006B52A9"/>
    <w:rsid w:val="006B54E2"/>
    <w:rsid w:val="006B5E88"/>
    <w:rsid w:val="006B7553"/>
    <w:rsid w:val="006B7788"/>
    <w:rsid w:val="006B791B"/>
    <w:rsid w:val="006C1A82"/>
    <w:rsid w:val="006C28C7"/>
    <w:rsid w:val="006C34FA"/>
    <w:rsid w:val="006C387F"/>
    <w:rsid w:val="006C3FEC"/>
    <w:rsid w:val="006C403F"/>
    <w:rsid w:val="006C54B8"/>
    <w:rsid w:val="006C567A"/>
    <w:rsid w:val="006C5939"/>
    <w:rsid w:val="006C6459"/>
    <w:rsid w:val="006C6AF6"/>
    <w:rsid w:val="006C6FF6"/>
    <w:rsid w:val="006C7826"/>
    <w:rsid w:val="006D02CF"/>
    <w:rsid w:val="006D10F8"/>
    <w:rsid w:val="006D2359"/>
    <w:rsid w:val="006D3134"/>
    <w:rsid w:val="006D365C"/>
    <w:rsid w:val="006D4367"/>
    <w:rsid w:val="006D50CB"/>
    <w:rsid w:val="006D581B"/>
    <w:rsid w:val="006D6982"/>
    <w:rsid w:val="006D7DF9"/>
    <w:rsid w:val="006E0005"/>
    <w:rsid w:val="006E0949"/>
    <w:rsid w:val="006E0C4C"/>
    <w:rsid w:val="006E14EC"/>
    <w:rsid w:val="006E16C1"/>
    <w:rsid w:val="006E2089"/>
    <w:rsid w:val="006E36E5"/>
    <w:rsid w:val="006E40F9"/>
    <w:rsid w:val="006E442D"/>
    <w:rsid w:val="006E4A68"/>
    <w:rsid w:val="006E5D93"/>
    <w:rsid w:val="006E6770"/>
    <w:rsid w:val="006E7011"/>
    <w:rsid w:val="006F0D7C"/>
    <w:rsid w:val="006F11E6"/>
    <w:rsid w:val="006F158D"/>
    <w:rsid w:val="006F2561"/>
    <w:rsid w:val="006F288A"/>
    <w:rsid w:val="006F360E"/>
    <w:rsid w:val="006F4457"/>
    <w:rsid w:val="006F75BE"/>
    <w:rsid w:val="006F7674"/>
    <w:rsid w:val="006F7904"/>
    <w:rsid w:val="00702122"/>
    <w:rsid w:val="00702BF0"/>
    <w:rsid w:val="00703ADE"/>
    <w:rsid w:val="00703CF0"/>
    <w:rsid w:val="0070439A"/>
    <w:rsid w:val="007053D3"/>
    <w:rsid w:val="00705625"/>
    <w:rsid w:val="00706528"/>
    <w:rsid w:val="00706793"/>
    <w:rsid w:val="0070715A"/>
    <w:rsid w:val="007076D6"/>
    <w:rsid w:val="007078ED"/>
    <w:rsid w:val="00712B47"/>
    <w:rsid w:val="0071302D"/>
    <w:rsid w:val="00714531"/>
    <w:rsid w:val="0071525D"/>
    <w:rsid w:val="00715ADB"/>
    <w:rsid w:val="007165A0"/>
    <w:rsid w:val="00716F97"/>
    <w:rsid w:val="00717F9E"/>
    <w:rsid w:val="00720B30"/>
    <w:rsid w:val="00722905"/>
    <w:rsid w:val="00722F8E"/>
    <w:rsid w:val="00722FAD"/>
    <w:rsid w:val="00723B71"/>
    <w:rsid w:val="00723C59"/>
    <w:rsid w:val="00723E87"/>
    <w:rsid w:val="0072410F"/>
    <w:rsid w:val="00724BA6"/>
    <w:rsid w:val="00725AB6"/>
    <w:rsid w:val="00726502"/>
    <w:rsid w:val="007269CD"/>
    <w:rsid w:val="00726C3C"/>
    <w:rsid w:val="00726CA3"/>
    <w:rsid w:val="0072719A"/>
    <w:rsid w:val="00727B31"/>
    <w:rsid w:val="00730B4C"/>
    <w:rsid w:val="00730C25"/>
    <w:rsid w:val="007313E8"/>
    <w:rsid w:val="00732267"/>
    <w:rsid w:val="00732295"/>
    <w:rsid w:val="007336E0"/>
    <w:rsid w:val="00734CCA"/>
    <w:rsid w:val="0073574A"/>
    <w:rsid w:val="007361B5"/>
    <w:rsid w:val="007362DE"/>
    <w:rsid w:val="00736344"/>
    <w:rsid w:val="00736737"/>
    <w:rsid w:val="00737A17"/>
    <w:rsid w:val="00737D3E"/>
    <w:rsid w:val="007416CD"/>
    <w:rsid w:val="007420E7"/>
    <w:rsid w:val="007426AF"/>
    <w:rsid w:val="00742863"/>
    <w:rsid w:val="00745199"/>
    <w:rsid w:val="0074551E"/>
    <w:rsid w:val="007465CB"/>
    <w:rsid w:val="0074665D"/>
    <w:rsid w:val="00746876"/>
    <w:rsid w:val="00746DAF"/>
    <w:rsid w:val="00746E3F"/>
    <w:rsid w:val="00746FE3"/>
    <w:rsid w:val="00751FEA"/>
    <w:rsid w:val="00752DAF"/>
    <w:rsid w:val="00753B47"/>
    <w:rsid w:val="00753F38"/>
    <w:rsid w:val="007548F7"/>
    <w:rsid w:val="00754CCC"/>
    <w:rsid w:val="00754D67"/>
    <w:rsid w:val="00754DCF"/>
    <w:rsid w:val="00756298"/>
    <w:rsid w:val="00757681"/>
    <w:rsid w:val="00757E83"/>
    <w:rsid w:val="00760007"/>
    <w:rsid w:val="00761B10"/>
    <w:rsid w:val="00761C28"/>
    <w:rsid w:val="00761D72"/>
    <w:rsid w:val="00761FB7"/>
    <w:rsid w:val="00763040"/>
    <w:rsid w:val="00763606"/>
    <w:rsid w:val="00764279"/>
    <w:rsid w:val="00764BE8"/>
    <w:rsid w:val="00764FB7"/>
    <w:rsid w:val="007664A8"/>
    <w:rsid w:val="00766C63"/>
    <w:rsid w:val="00766D42"/>
    <w:rsid w:val="00766D4F"/>
    <w:rsid w:val="00766DCD"/>
    <w:rsid w:val="00766EFC"/>
    <w:rsid w:val="00767EA7"/>
    <w:rsid w:val="00770173"/>
    <w:rsid w:val="00770297"/>
    <w:rsid w:val="0077083F"/>
    <w:rsid w:val="007713BB"/>
    <w:rsid w:val="007718F8"/>
    <w:rsid w:val="00771B3F"/>
    <w:rsid w:val="0077307B"/>
    <w:rsid w:val="00774801"/>
    <w:rsid w:val="007748E3"/>
    <w:rsid w:val="0077659E"/>
    <w:rsid w:val="007768E9"/>
    <w:rsid w:val="0077711E"/>
    <w:rsid w:val="00777AD9"/>
    <w:rsid w:val="00780B05"/>
    <w:rsid w:val="00780CB3"/>
    <w:rsid w:val="007812F2"/>
    <w:rsid w:val="00781452"/>
    <w:rsid w:val="00782C71"/>
    <w:rsid w:val="00784F9C"/>
    <w:rsid w:val="007859C1"/>
    <w:rsid w:val="00786232"/>
    <w:rsid w:val="0078728A"/>
    <w:rsid w:val="0078740E"/>
    <w:rsid w:val="00787BB2"/>
    <w:rsid w:val="00790B14"/>
    <w:rsid w:val="00791E39"/>
    <w:rsid w:val="00791F63"/>
    <w:rsid w:val="007923EF"/>
    <w:rsid w:val="00792616"/>
    <w:rsid w:val="00793187"/>
    <w:rsid w:val="00793474"/>
    <w:rsid w:val="0079478C"/>
    <w:rsid w:val="007957E3"/>
    <w:rsid w:val="007958C4"/>
    <w:rsid w:val="00796AA0"/>
    <w:rsid w:val="00797112"/>
    <w:rsid w:val="0079726C"/>
    <w:rsid w:val="007979AE"/>
    <w:rsid w:val="00797F58"/>
    <w:rsid w:val="007A1BFE"/>
    <w:rsid w:val="007A25E4"/>
    <w:rsid w:val="007A3639"/>
    <w:rsid w:val="007A5166"/>
    <w:rsid w:val="007A5260"/>
    <w:rsid w:val="007A5FEF"/>
    <w:rsid w:val="007A63D6"/>
    <w:rsid w:val="007A6511"/>
    <w:rsid w:val="007A6C18"/>
    <w:rsid w:val="007A6DAA"/>
    <w:rsid w:val="007B1625"/>
    <w:rsid w:val="007B1777"/>
    <w:rsid w:val="007B19AF"/>
    <w:rsid w:val="007B293F"/>
    <w:rsid w:val="007B29A9"/>
    <w:rsid w:val="007B34C7"/>
    <w:rsid w:val="007B5239"/>
    <w:rsid w:val="007B59F0"/>
    <w:rsid w:val="007B5CF3"/>
    <w:rsid w:val="007C1FFD"/>
    <w:rsid w:val="007C3A08"/>
    <w:rsid w:val="007C3AB5"/>
    <w:rsid w:val="007C3AD9"/>
    <w:rsid w:val="007C4182"/>
    <w:rsid w:val="007C4991"/>
    <w:rsid w:val="007C4C26"/>
    <w:rsid w:val="007C4C3E"/>
    <w:rsid w:val="007C76AF"/>
    <w:rsid w:val="007D19DC"/>
    <w:rsid w:val="007D2E34"/>
    <w:rsid w:val="007D497E"/>
    <w:rsid w:val="007D4FB7"/>
    <w:rsid w:val="007D5CD5"/>
    <w:rsid w:val="007D5DBF"/>
    <w:rsid w:val="007D64CF"/>
    <w:rsid w:val="007E114B"/>
    <w:rsid w:val="007E19EC"/>
    <w:rsid w:val="007E1DB4"/>
    <w:rsid w:val="007E1DB9"/>
    <w:rsid w:val="007E27BF"/>
    <w:rsid w:val="007E32B9"/>
    <w:rsid w:val="007E42D6"/>
    <w:rsid w:val="007E690E"/>
    <w:rsid w:val="007E77B7"/>
    <w:rsid w:val="007F031C"/>
    <w:rsid w:val="007F2A72"/>
    <w:rsid w:val="007F3843"/>
    <w:rsid w:val="007F4DE9"/>
    <w:rsid w:val="007F5C03"/>
    <w:rsid w:val="007F72EF"/>
    <w:rsid w:val="008003C7"/>
    <w:rsid w:val="00800472"/>
    <w:rsid w:val="00800F6E"/>
    <w:rsid w:val="0080145D"/>
    <w:rsid w:val="00801A54"/>
    <w:rsid w:val="00801BA9"/>
    <w:rsid w:val="00803C12"/>
    <w:rsid w:val="008042C2"/>
    <w:rsid w:val="0080477F"/>
    <w:rsid w:val="008060A8"/>
    <w:rsid w:val="00806578"/>
    <w:rsid w:val="008068C8"/>
    <w:rsid w:val="00806BC2"/>
    <w:rsid w:val="0080702C"/>
    <w:rsid w:val="00807C50"/>
    <w:rsid w:val="00807DBE"/>
    <w:rsid w:val="00807E4C"/>
    <w:rsid w:val="00810FCA"/>
    <w:rsid w:val="008114DF"/>
    <w:rsid w:val="008124B0"/>
    <w:rsid w:val="00812FB8"/>
    <w:rsid w:val="008157DC"/>
    <w:rsid w:val="008178F0"/>
    <w:rsid w:val="00820A19"/>
    <w:rsid w:val="008214C1"/>
    <w:rsid w:val="008219B6"/>
    <w:rsid w:val="00822321"/>
    <w:rsid w:val="008223E9"/>
    <w:rsid w:val="00822EB5"/>
    <w:rsid w:val="00823310"/>
    <w:rsid w:val="008235B1"/>
    <w:rsid w:val="00823AA5"/>
    <w:rsid w:val="00826C32"/>
    <w:rsid w:val="00826DAB"/>
    <w:rsid w:val="0083056A"/>
    <w:rsid w:val="00831702"/>
    <w:rsid w:val="00831AB9"/>
    <w:rsid w:val="008323C3"/>
    <w:rsid w:val="008339F6"/>
    <w:rsid w:val="00833D2E"/>
    <w:rsid w:val="00834ADA"/>
    <w:rsid w:val="00836059"/>
    <w:rsid w:val="00837533"/>
    <w:rsid w:val="00840F18"/>
    <w:rsid w:val="00841238"/>
    <w:rsid w:val="00841A93"/>
    <w:rsid w:val="00841D8E"/>
    <w:rsid w:val="00841EF4"/>
    <w:rsid w:val="00842091"/>
    <w:rsid w:val="008424F1"/>
    <w:rsid w:val="008429CB"/>
    <w:rsid w:val="00843080"/>
    <w:rsid w:val="00843884"/>
    <w:rsid w:val="0084491B"/>
    <w:rsid w:val="0084594E"/>
    <w:rsid w:val="00845958"/>
    <w:rsid w:val="00847188"/>
    <w:rsid w:val="00847C96"/>
    <w:rsid w:val="00850F75"/>
    <w:rsid w:val="0085122C"/>
    <w:rsid w:val="00851E36"/>
    <w:rsid w:val="00852C19"/>
    <w:rsid w:val="00853143"/>
    <w:rsid w:val="008540B9"/>
    <w:rsid w:val="008545B2"/>
    <w:rsid w:val="008560D7"/>
    <w:rsid w:val="0085691B"/>
    <w:rsid w:val="00856B3F"/>
    <w:rsid w:val="0085760C"/>
    <w:rsid w:val="00860222"/>
    <w:rsid w:val="008611EF"/>
    <w:rsid w:val="00861563"/>
    <w:rsid w:val="0086298E"/>
    <w:rsid w:val="0086371C"/>
    <w:rsid w:val="008676E4"/>
    <w:rsid w:val="00867913"/>
    <w:rsid w:val="00870975"/>
    <w:rsid w:val="00870BF9"/>
    <w:rsid w:val="00870D87"/>
    <w:rsid w:val="0087106F"/>
    <w:rsid w:val="00872955"/>
    <w:rsid w:val="008733CD"/>
    <w:rsid w:val="008754F4"/>
    <w:rsid w:val="008757FE"/>
    <w:rsid w:val="00875934"/>
    <w:rsid w:val="008759F9"/>
    <w:rsid w:val="00876143"/>
    <w:rsid w:val="008761BE"/>
    <w:rsid w:val="00876E94"/>
    <w:rsid w:val="00877133"/>
    <w:rsid w:val="00877F1B"/>
    <w:rsid w:val="00881630"/>
    <w:rsid w:val="008821C5"/>
    <w:rsid w:val="008821E9"/>
    <w:rsid w:val="00885E7D"/>
    <w:rsid w:val="00886354"/>
    <w:rsid w:val="0088654B"/>
    <w:rsid w:val="008866EE"/>
    <w:rsid w:val="008907F5"/>
    <w:rsid w:val="00890FAA"/>
    <w:rsid w:val="00891464"/>
    <w:rsid w:val="008921DA"/>
    <w:rsid w:val="0089427E"/>
    <w:rsid w:val="00894413"/>
    <w:rsid w:val="008948D8"/>
    <w:rsid w:val="008953C2"/>
    <w:rsid w:val="00895E41"/>
    <w:rsid w:val="008960D3"/>
    <w:rsid w:val="00897BDF"/>
    <w:rsid w:val="008A13F4"/>
    <w:rsid w:val="008A214F"/>
    <w:rsid w:val="008A2AF2"/>
    <w:rsid w:val="008A55CC"/>
    <w:rsid w:val="008A6303"/>
    <w:rsid w:val="008A6512"/>
    <w:rsid w:val="008A6D69"/>
    <w:rsid w:val="008A7D34"/>
    <w:rsid w:val="008B068D"/>
    <w:rsid w:val="008B084F"/>
    <w:rsid w:val="008B23FD"/>
    <w:rsid w:val="008B25B4"/>
    <w:rsid w:val="008B2F22"/>
    <w:rsid w:val="008B3F40"/>
    <w:rsid w:val="008B4D7E"/>
    <w:rsid w:val="008B5602"/>
    <w:rsid w:val="008B572C"/>
    <w:rsid w:val="008B5EE9"/>
    <w:rsid w:val="008B65AC"/>
    <w:rsid w:val="008B7B12"/>
    <w:rsid w:val="008C05A8"/>
    <w:rsid w:val="008C10B0"/>
    <w:rsid w:val="008C1275"/>
    <w:rsid w:val="008C1A6A"/>
    <w:rsid w:val="008C20B5"/>
    <w:rsid w:val="008C2573"/>
    <w:rsid w:val="008C4EA6"/>
    <w:rsid w:val="008C6C19"/>
    <w:rsid w:val="008C71BC"/>
    <w:rsid w:val="008C7F3B"/>
    <w:rsid w:val="008D0672"/>
    <w:rsid w:val="008D0EBD"/>
    <w:rsid w:val="008D160B"/>
    <w:rsid w:val="008D1925"/>
    <w:rsid w:val="008D1A26"/>
    <w:rsid w:val="008D2BD7"/>
    <w:rsid w:val="008D2D99"/>
    <w:rsid w:val="008D2F9E"/>
    <w:rsid w:val="008D5F28"/>
    <w:rsid w:val="008D692E"/>
    <w:rsid w:val="008D7249"/>
    <w:rsid w:val="008D7384"/>
    <w:rsid w:val="008D795B"/>
    <w:rsid w:val="008E122A"/>
    <w:rsid w:val="008E1825"/>
    <w:rsid w:val="008E1D90"/>
    <w:rsid w:val="008E27F8"/>
    <w:rsid w:val="008E3216"/>
    <w:rsid w:val="008E389B"/>
    <w:rsid w:val="008E3AC4"/>
    <w:rsid w:val="008E3FCD"/>
    <w:rsid w:val="008E53F7"/>
    <w:rsid w:val="008E62C7"/>
    <w:rsid w:val="008E630C"/>
    <w:rsid w:val="008E693B"/>
    <w:rsid w:val="008E7AB2"/>
    <w:rsid w:val="008F1A86"/>
    <w:rsid w:val="008F3A7A"/>
    <w:rsid w:val="008F4E03"/>
    <w:rsid w:val="008F4EC0"/>
    <w:rsid w:val="008F5579"/>
    <w:rsid w:val="008F5856"/>
    <w:rsid w:val="008F5A6E"/>
    <w:rsid w:val="008F7660"/>
    <w:rsid w:val="0090049E"/>
    <w:rsid w:val="00900D7F"/>
    <w:rsid w:val="009013BF"/>
    <w:rsid w:val="00901E20"/>
    <w:rsid w:val="0090236D"/>
    <w:rsid w:val="009024AC"/>
    <w:rsid w:val="00902E65"/>
    <w:rsid w:val="00903045"/>
    <w:rsid w:val="00903B47"/>
    <w:rsid w:val="00903EC2"/>
    <w:rsid w:val="00904D5D"/>
    <w:rsid w:val="00905C33"/>
    <w:rsid w:val="009067D4"/>
    <w:rsid w:val="0090683C"/>
    <w:rsid w:val="00907F08"/>
    <w:rsid w:val="0091015F"/>
    <w:rsid w:val="00912306"/>
    <w:rsid w:val="00912F23"/>
    <w:rsid w:val="00913F7C"/>
    <w:rsid w:val="0091431B"/>
    <w:rsid w:val="00915165"/>
    <w:rsid w:val="00915274"/>
    <w:rsid w:val="00915803"/>
    <w:rsid w:val="00915DEA"/>
    <w:rsid w:val="009166E7"/>
    <w:rsid w:val="00916897"/>
    <w:rsid w:val="00916AA3"/>
    <w:rsid w:val="00916CB3"/>
    <w:rsid w:val="009207F9"/>
    <w:rsid w:val="00922187"/>
    <w:rsid w:val="00923B6D"/>
    <w:rsid w:val="00926684"/>
    <w:rsid w:val="009266E0"/>
    <w:rsid w:val="009272A2"/>
    <w:rsid w:val="00927CE7"/>
    <w:rsid w:val="00931875"/>
    <w:rsid w:val="00932F32"/>
    <w:rsid w:val="00935359"/>
    <w:rsid w:val="00935CE8"/>
    <w:rsid w:val="0093624B"/>
    <w:rsid w:val="00936403"/>
    <w:rsid w:val="00941464"/>
    <w:rsid w:val="00942E44"/>
    <w:rsid w:val="0094364F"/>
    <w:rsid w:val="00945A1D"/>
    <w:rsid w:val="00945AFD"/>
    <w:rsid w:val="00945FF2"/>
    <w:rsid w:val="00946E31"/>
    <w:rsid w:val="0094766C"/>
    <w:rsid w:val="009476A0"/>
    <w:rsid w:val="00947CC5"/>
    <w:rsid w:val="0095008A"/>
    <w:rsid w:val="0095022B"/>
    <w:rsid w:val="0095029C"/>
    <w:rsid w:val="00950C8E"/>
    <w:rsid w:val="00950FDA"/>
    <w:rsid w:val="0095184F"/>
    <w:rsid w:val="00952734"/>
    <w:rsid w:val="00952D18"/>
    <w:rsid w:val="00952D37"/>
    <w:rsid w:val="00952F7A"/>
    <w:rsid w:val="00953B99"/>
    <w:rsid w:val="00954164"/>
    <w:rsid w:val="00954370"/>
    <w:rsid w:val="0095454E"/>
    <w:rsid w:val="00954992"/>
    <w:rsid w:val="009558C8"/>
    <w:rsid w:val="009615C4"/>
    <w:rsid w:val="00961604"/>
    <w:rsid w:val="00961D43"/>
    <w:rsid w:val="00962536"/>
    <w:rsid w:val="009641C4"/>
    <w:rsid w:val="0096671D"/>
    <w:rsid w:val="00967AD2"/>
    <w:rsid w:val="00976B42"/>
    <w:rsid w:val="009779A6"/>
    <w:rsid w:val="00977C90"/>
    <w:rsid w:val="00980584"/>
    <w:rsid w:val="009807BD"/>
    <w:rsid w:val="0098166B"/>
    <w:rsid w:val="00981973"/>
    <w:rsid w:val="009825C1"/>
    <w:rsid w:val="00984C39"/>
    <w:rsid w:val="00985065"/>
    <w:rsid w:val="00985DBB"/>
    <w:rsid w:val="00986FE3"/>
    <w:rsid w:val="009912D7"/>
    <w:rsid w:val="00991844"/>
    <w:rsid w:val="009926BA"/>
    <w:rsid w:val="009927C7"/>
    <w:rsid w:val="00992B85"/>
    <w:rsid w:val="00992BEE"/>
    <w:rsid w:val="0099456B"/>
    <w:rsid w:val="009975CE"/>
    <w:rsid w:val="00997C8B"/>
    <w:rsid w:val="009A10D4"/>
    <w:rsid w:val="009A23BE"/>
    <w:rsid w:val="009A2899"/>
    <w:rsid w:val="009A2C52"/>
    <w:rsid w:val="009A3CCE"/>
    <w:rsid w:val="009A4991"/>
    <w:rsid w:val="009A5D61"/>
    <w:rsid w:val="009A6609"/>
    <w:rsid w:val="009B0D97"/>
    <w:rsid w:val="009B1E79"/>
    <w:rsid w:val="009B1F35"/>
    <w:rsid w:val="009B2932"/>
    <w:rsid w:val="009B2BDC"/>
    <w:rsid w:val="009B2C76"/>
    <w:rsid w:val="009B3FB1"/>
    <w:rsid w:val="009B4563"/>
    <w:rsid w:val="009B4E70"/>
    <w:rsid w:val="009B6D04"/>
    <w:rsid w:val="009B7A77"/>
    <w:rsid w:val="009B7BFE"/>
    <w:rsid w:val="009C0BE7"/>
    <w:rsid w:val="009C0F7E"/>
    <w:rsid w:val="009C127B"/>
    <w:rsid w:val="009C1C6B"/>
    <w:rsid w:val="009C38DF"/>
    <w:rsid w:val="009C3B92"/>
    <w:rsid w:val="009C3FB9"/>
    <w:rsid w:val="009C4E5A"/>
    <w:rsid w:val="009C52CC"/>
    <w:rsid w:val="009C5688"/>
    <w:rsid w:val="009C5860"/>
    <w:rsid w:val="009C5AC4"/>
    <w:rsid w:val="009C62B2"/>
    <w:rsid w:val="009C6E90"/>
    <w:rsid w:val="009C73F4"/>
    <w:rsid w:val="009D056B"/>
    <w:rsid w:val="009D1601"/>
    <w:rsid w:val="009D270D"/>
    <w:rsid w:val="009D2D82"/>
    <w:rsid w:val="009D3324"/>
    <w:rsid w:val="009D33C0"/>
    <w:rsid w:val="009D4629"/>
    <w:rsid w:val="009D46CD"/>
    <w:rsid w:val="009D59E1"/>
    <w:rsid w:val="009D7A46"/>
    <w:rsid w:val="009D7B87"/>
    <w:rsid w:val="009E117B"/>
    <w:rsid w:val="009E11B6"/>
    <w:rsid w:val="009E262F"/>
    <w:rsid w:val="009E2E19"/>
    <w:rsid w:val="009E3208"/>
    <w:rsid w:val="009E3770"/>
    <w:rsid w:val="009E3D18"/>
    <w:rsid w:val="009E4D00"/>
    <w:rsid w:val="009E6D76"/>
    <w:rsid w:val="009E6F7B"/>
    <w:rsid w:val="009E7813"/>
    <w:rsid w:val="009F08AC"/>
    <w:rsid w:val="009F0935"/>
    <w:rsid w:val="009F0DF9"/>
    <w:rsid w:val="009F17E0"/>
    <w:rsid w:val="009F1D9B"/>
    <w:rsid w:val="009F21A8"/>
    <w:rsid w:val="009F2F2E"/>
    <w:rsid w:val="009F4553"/>
    <w:rsid w:val="009F4617"/>
    <w:rsid w:val="009F52F1"/>
    <w:rsid w:val="009F56F0"/>
    <w:rsid w:val="009F6054"/>
    <w:rsid w:val="009F64EC"/>
    <w:rsid w:val="00A00CEC"/>
    <w:rsid w:val="00A00F1E"/>
    <w:rsid w:val="00A00F77"/>
    <w:rsid w:val="00A01011"/>
    <w:rsid w:val="00A02226"/>
    <w:rsid w:val="00A029D0"/>
    <w:rsid w:val="00A03508"/>
    <w:rsid w:val="00A0384D"/>
    <w:rsid w:val="00A055CD"/>
    <w:rsid w:val="00A058AE"/>
    <w:rsid w:val="00A05EF7"/>
    <w:rsid w:val="00A06298"/>
    <w:rsid w:val="00A076A0"/>
    <w:rsid w:val="00A07965"/>
    <w:rsid w:val="00A07BC1"/>
    <w:rsid w:val="00A07FDA"/>
    <w:rsid w:val="00A1007D"/>
    <w:rsid w:val="00A10F3E"/>
    <w:rsid w:val="00A110AC"/>
    <w:rsid w:val="00A1298D"/>
    <w:rsid w:val="00A12B2F"/>
    <w:rsid w:val="00A14072"/>
    <w:rsid w:val="00A15F2C"/>
    <w:rsid w:val="00A160CA"/>
    <w:rsid w:val="00A16AE9"/>
    <w:rsid w:val="00A2091F"/>
    <w:rsid w:val="00A22BB9"/>
    <w:rsid w:val="00A230A1"/>
    <w:rsid w:val="00A2345F"/>
    <w:rsid w:val="00A24492"/>
    <w:rsid w:val="00A246D4"/>
    <w:rsid w:val="00A25ADE"/>
    <w:rsid w:val="00A25B49"/>
    <w:rsid w:val="00A25F21"/>
    <w:rsid w:val="00A26F2C"/>
    <w:rsid w:val="00A2769F"/>
    <w:rsid w:val="00A30D6D"/>
    <w:rsid w:val="00A31593"/>
    <w:rsid w:val="00A315DC"/>
    <w:rsid w:val="00A33AD1"/>
    <w:rsid w:val="00A35276"/>
    <w:rsid w:val="00A35DD1"/>
    <w:rsid w:val="00A35E81"/>
    <w:rsid w:val="00A36574"/>
    <w:rsid w:val="00A366BC"/>
    <w:rsid w:val="00A376B5"/>
    <w:rsid w:val="00A37C86"/>
    <w:rsid w:val="00A400CE"/>
    <w:rsid w:val="00A414B1"/>
    <w:rsid w:val="00A420A5"/>
    <w:rsid w:val="00A4517C"/>
    <w:rsid w:val="00A45D75"/>
    <w:rsid w:val="00A46487"/>
    <w:rsid w:val="00A47573"/>
    <w:rsid w:val="00A51448"/>
    <w:rsid w:val="00A5146B"/>
    <w:rsid w:val="00A51AE6"/>
    <w:rsid w:val="00A53D77"/>
    <w:rsid w:val="00A5436C"/>
    <w:rsid w:val="00A55902"/>
    <w:rsid w:val="00A56690"/>
    <w:rsid w:val="00A60117"/>
    <w:rsid w:val="00A60456"/>
    <w:rsid w:val="00A6079D"/>
    <w:rsid w:val="00A616E0"/>
    <w:rsid w:val="00A62604"/>
    <w:rsid w:val="00A6261D"/>
    <w:rsid w:val="00A62C83"/>
    <w:rsid w:val="00A638FE"/>
    <w:rsid w:val="00A63F1C"/>
    <w:rsid w:val="00A64A3B"/>
    <w:rsid w:val="00A67DF6"/>
    <w:rsid w:val="00A71A35"/>
    <w:rsid w:val="00A71C34"/>
    <w:rsid w:val="00A728F0"/>
    <w:rsid w:val="00A72E3C"/>
    <w:rsid w:val="00A740E6"/>
    <w:rsid w:val="00A741BB"/>
    <w:rsid w:val="00A754FF"/>
    <w:rsid w:val="00A75FFF"/>
    <w:rsid w:val="00A76404"/>
    <w:rsid w:val="00A76CEF"/>
    <w:rsid w:val="00A80158"/>
    <w:rsid w:val="00A81156"/>
    <w:rsid w:val="00A8393E"/>
    <w:rsid w:val="00A841AE"/>
    <w:rsid w:val="00A8433A"/>
    <w:rsid w:val="00A84C17"/>
    <w:rsid w:val="00A84CDD"/>
    <w:rsid w:val="00A84E86"/>
    <w:rsid w:val="00A85A11"/>
    <w:rsid w:val="00A87656"/>
    <w:rsid w:val="00A90421"/>
    <w:rsid w:val="00A90CAB"/>
    <w:rsid w:val="00A90E13"/>
    <w:rsid w:val="00A9242D"/>
    <w:rsid w:val="00A92F2A"/>
    <w:rsid w:val="00A94946"/>
    <w:rsid w:val="00A94DA0"/>
    <w:rsid w:val="00A95A98"/>
    <w:rsid w:val="00A95AAF"/>
    <w:rsid w:val="00A961C0"/>
    <w:rsid w:val="00A9630F"/>
    <w:rsid w:val="00A96891"/>
    <w:rsid w:val="00A96EBF"/>
    <w:rsid w:val="00A97BD3"/>
    <w:rsid w:val="00AA1A66"/>
    <w:rsid w:val="00AA1CF9"/>
    <w:rsid w:val="00AA2307"/>
    <w:rsid w:val="00AA2A2F"/>
    <w:rsid w:val="00AA49F2"/>
    <w:rsid w:val="00AA4FE9"/>
    <w:rsid w:val="00AA5B4E"/>
    <w:rsid w:val="00AA5DC2"/>
    <w:rsid w:val="00AA5F03"/>
    <w:rsid w:val="00AA7184"/>
    <w:rsid w:val="00AA76BB"/>
    <w:rsid w:val="00AA7E1E"/>
    <w:rsid w:val="00AB2896"/>
    <w:rsid w:val="00AB292B"/>
    <w:rsid w:val="00AB3D1A"/>
    <w:rsid w:val="00AB46FF"/>
    <w:rsid w:val="00AB49E6"/>
    <w:rsid w:val="00AB5937"/>
    <w:rsid w:val="00AB76A5"/>
    <w:rsid w:val="00AB7BFD"/>
    <w:rsid w:val="00AC0ED5"/>
    <w:rsid w:val="00AC0EF3"/>
    <w:rsid w:val="00AC145E"/>
    <w:rsid w:val="00AC2B33"/>
    <w:rsid w:val="00AC4186"/>
    <w:rsid w:val="00AC4A41"/>
    <w:rsid w:val="00AC4E63"/>
    <w:rsid w:val="00AC5627"/>
    <w:rsid w:val="00AC5BBC"/>
    <w:rsid w:val="00AC7623"/>
    <w:rsid w:val="00AC77C0"/>
    <w:rsid w:val="00AD0D34"/>
    <w:rsid w:val="00AD1183"/>
    <w:rsid w:val="00AD18C2"/>
    <w:rsid w:val="00AD1B10"/>
    <w:rsid w:val="00AD1CF1"/>
    <w:rsid w:val="00AD33E6"/>
    <w:rsid w:val="00AD3677"/>
    <w:rsid w:val="00AD36AC"/>
    <w:rsid w:val="00AD39B8"/>
    <w:rsid w:val="00AD3C6B"/>
    <w:rsid w:val="00AD4486"/>
    <w:rsid w:val="00AD5B4B"/>
    <w:rsid w:val="00AE025B"/>
    <w:rsid w:val="00AE02B2"/>
    <w:rsid w:val="00AE11A4"/>
    <w:rsid w:val="00AE21A4"/>
    <w:rsid w:val="00AE2688"/>
    <w:rsid w:val="00AE2FC2"/>
    <w:rsid w:val="00AE34AB"/>
    <w:rsid w:val="00AE5040"/>
    <w:rsid w:val="00AE5731"/>
    <w:rsid w:val="00AE7D68"/>
    <w:rsid w:val="00AF0B60"/>
    <w:rsid w:val="00AF1307"/>
    <w:rsid w:val="00AF1470"/>
    <w:rsid w:val="00AF202C"/>
    <w:rsid w:val="00AF2573"/>
    <w:rsid w:val="00AF44F1"/>
    <w:rsid w:val="00AF4F30"/>
    <w:rsid w:val="00AF515C"/>
    <w:rsid w:val="00AF52F4"/>
    <w:rsid w:val="00AF5396"/>
    <w:rsid w:val="00AF55FA"/>
    <w:rsid w:val="00AF5C34"/>
    <w:rsid w:val="00AF5FFB"/>
    <w:rsid w:val="00AF6267"/>
    <w:rsid w:val="00AF687D"/>
    <w:rsid w:val="00AF6BF5"/>
    <w:rsid w:val="00AF6ED3"/>
    <w:rsid w:val="00AF70E6"/>
    <w:rsid w:val="00AF7A1D"/>
    <w:rsid w:val="00AF7A28"/>
    <w:rsid w:val="00B00A87"/>
    <w:rsid w:val="00B00E33"/>
    <w:rsid w:val="00B01FC9"/>
    <w:rsid w:val="00B03FAE"/>
    <w:rsid w:val="00B04EA9"/>
    <w:rsid w:val="00B056D2"/>
    <w:rsid w:val="00B05D77"/>
    <w:rsid w:val="00B0696E"/>
    <w:rsid w:val="00B076F2"/>
    <w:rsid w:val="00B07EC8"/>
    <w:rsid w:val="00B11CE7"/>
    <w:rsid w:val="00B14EC2"/>
    <w:rsid w:val="00B1578D"/>
    <w:rsid w:val="00B16027"/>
    <w:rsid w:val="00B17A92"/>
    <w:rsid w:val="00B21290"/>
    <w:rsid w:val="00B22515"/>
    <w:rsid w:val="00B228CB"/>
    <w:rsid w:val="00B228E4"/>
    <w:rsid w:val="00B22E7B"/>
    <w:rsid w:val="00B23688"/>
    <w:rsid w:val="00B2444D"/>
    <w:rsid w:val="00B2633C"/>
    <w:rsid w:val="00B26DB6"/>
    <w:rsid w:val="00B304DF"/>
    <w:rsid w:val="00B308C0"/>
    <w:rsid w:val="00B31332"/>
    <w:rsid w:val="00B33505"/>
    <w:rsid w:val="00B33A23"/>
    <w:rsid w:val="00B33B10"/>
    <w:rsid w:val="00B3492A"/>
    <w:rsid w:val="00B34E61"/>
    <w:rsid w:val="00B34ED2"/>
    <w:rsid w:val="00B353AC"/>
    <w:rsid w:val="00B35509"/>
    <w:rsid w:val="00B3550C"/>
    <w:rsid w:val="00B37898"/>
    <w:rsid w:val="00B4028B"/>
    <w:rsid w:val="00B40925"/>
    <w:rsid w:val="00B41732"/>
    <w:rsid w:val="00B41893"/>
    <w:rsid w:val="00B42057"/>
    <w:rsid w:val="00B42582"/>
    <w:rsid w:val="00B4290D"/>
    <w:rsid w:val="00B42F40"/>
    <w:rsid w:val="00B43594"/>
    <w:rsid w:val="00B43AF2"/>
    <w:rsid w:val="00B43DB2"/>
    <w:rsid w:val="00B44298"/>
    <w:rsid w:val="00B44361"/>
    <w:rsid w:val="00B44A1C"/>
    <w:rsid w:val="00B44B0A"/>
    <w:rsid w:val="00B4616F"/>
    <w:rsid w:val="00B46A69"/>
    <w:rsid w:val="00B46B18"/>
    <w:rsid w:val="00B46D3B"/>
    <w:rsid w:val="00B50368"/>
    <w:rsid w:val="00B50987"/>
    <w:rsid w:val="00B50A31"/>
    <w:rsid w:val="00B50B39"/>
    <w:rsid w:val="00B51258"/>
    <w:rsid w:val="00B524D3"/>
    <w:rsid w:val="00B52A21"/>
    <w:rsid w:val="00B5473B"/>
    <w:rsid w:val="00B556EA"/>
    <w:rsid w:val="00B56390"/>
    <w:rsid w:val="00B5650E"/>
    <w:rsid w:val="00B624EB"/>
    <w:rsid w:val="00B625D1"/>
    <w:rsid w:val="00B63F57"/>
    <w:rsid w:val="00B63F6F"/>
    <w:rsid w:val="00B64418"/>
    <w:rsid w:val="00B647BF"/>
    <w:rsid w:val="00B66D64"/>
    <w:rsid w:val="00B6758B"/>
    <w:rsid w:val="00B67ECC"/>
    <w:rsid w:val="00B70645"/>
    <w:rsid w:val="00B7158C"/>
    <w:rsid w:val="00B74E4B"/>
    <w:rsid w:val="00B74F1E"/>
    <w:rsid w:val="00B7524A"/>
    <w:rsid w:val="00B76514"/>
    <w:rsid w:val="00B77BBE"/>
    <w:rsid w:val="00B81620"/>
    <w:rsid w:val="00B832F5"/>
    <w:rsid w:val="00B84CFD"/>
    <w:rsid w:val="00B84FB0"/>
    <w:rsid w:val="00B86DA8"/>
    <w:rsid w:val="00B87A6E"/>
    <w:rsid w:val="00B90361"/>
    <w:rsid w:val="00B90821"/>
    <w:rsid w:val="00B90A52"/>
    <w:rsid w:val="00B92237"/>
    <w:rsid w:val="00B94185"/>
    <w:rsid w:val="00B94F3B"/>
    <w:rsid w:val="00B95626"/>
    <w:rsid w:val="00B9581C"/>
    <w:rsid w:val="00B95AAC"/>
    <w:rsid w:val="00B96043"/>
    <w:rsid w:val="00B9634D"/>
    <w:rsid w:val="00B96A35"/>
    <w:rsid w:val="00B96A3F"/>
    <w:rsid w:val="00BA004B"/>
    <w:rsid w:val="00BA038F"/>
    <w:rsid w:val="00BA23D2"/>
    <w:rsid w:val="00BA3689"/>
    <w:rsid w:val="00BA384B"/>
    <w:rsid w:val="00BA541B"/>
    <w:rsid w:val="00BA5681"/>
    <w:rsid w:val="00BA5815"/>
    <w:rsid w:val="00BA617C"/>
    <w:rsid w:val="00BB00E9"/>
    <w:rsid w:val="00BB0397"/>
    <w:rsid w:val="00BB0CC7"/>
    <w:rsid w:val="00BB1245"/>
    <w:rsid w:val="00BB1456"/>
    <w:rsid w:val="00BB1B42"/>
    <w:rsid w:val="00BB225A"/>
    <w:rsid w:val="00BB3258"/>
    <w:rsid w:val="00BB53D7"/>
    <w:rsid w:val="00BB67D7"/>
    <w:rsid w:val="00BB68B9"/>
    <w:rsid w:val="00BB6CB6"/>
    <w:rsid w:val="00BB6E33"/>
    <w:rsid w:val="00BB6F25"/>
    <w:rsid w:val="00BC1087"/>
    <w:rsid w:val="00BC1116"/>
    <w:rsid w:val="00BC1370"/>
    <w:rsid w:val="00BC1E5A"/>
    <w:rsid w:val="00BC23BF"/>
    <w:rsid w:val="00BC25DB"/>
    <w:rsid w:val="00BC3CDD"/>
    <w:rsid w:val="00BC3E83"/>
    <w:rsid w:val="00BC494F"/>
    <w:rsid w:val="00BC638C"/>
    <w:rsid w:val="00BC6A00"/>
    <w:rsid w:val="00BC7490"/>
    <w:rsid w:val="00BC79F1"/>
    <w:rsid w:val="00BD1775"/>
    <w:rsid w:val="00BD1D0F"/>
    <w:rsid w:val="00BD21A9"/>
    <w:rsid w:val="00BD308E"/>
    <w:rsid w:val="00BD5ED4"/>
    <w:rsid w:val="00BD6BCA"/>
    <w:rsid w:val="00BD7CA6"/>
    <w:rsid w:val="00BD7E49"/>
    <w:rsid w:val="00BD7FA7"/>
    <w:rsid w:val="00BE0390"/>
    <w:rsid w:val="00BE1AE3"/>
    <w:rsid w:val="00BE24B3"/>
    <w:rsid w:val="00BE47E4"/>
    <w:rsid w:val="00BE57FD"/>
    <w:rsid w:val="00BE5B6B"/>
    <w:rsid w:val="00BE719E"/>
    <w:rsid w:val="00BE736F"/>
    <w:rsid w:val="00BE788E"/>
    <w:rsid w:val="00BF228C"/>
    <w:rsid w:val="00BF2683"/>
    <w:rsid w:val="00BF2707"/>
    <w:rsid w:val="00BF2774"/>
    <w:rsid w:val="00BF28BC"/>
    <w:rsid w:val="00BF2B7B"/>
    <w:rsid w:val="00BF2BC0"/>
    <w:rsid w:val="00BF3A97"/>
    <w:rsid w:val="00BF3F3E"/>
    <w:rsid w:val="00BF3FB2"/>
    <w:rsid w:val="00BF44B2"/>
    <w:rsid w:val="00BF6474"/>
    <w:rsid w:val="00BF7994"/>
    <w:rsid w:val="00C002EA"/>
    <w:rsid w:val="00C0080E"/>
    <w:rsid w:val="00C00997"/>
    <w:rsid w:val="00C04F62"/>
    <w:rsid w:val="00C050D2"/>
    <w:rsid w:val="00C05553"/>
    <w:rsid w:val="00C05663"/>
    <w:rsid w:val="00C06FA8"/>
    <w:rsid w:val="00C117B0"/>
    <w:rsid w:val="00C11866"/>
    <w:rsid w:val="00C12D5B"/>
    <w:rsid w:val="00C1346B"/>
    <w:rsid w:val="00C1415D"/>
    <w:rsid w:val="00C141ED"/>
    <w:rsid w:val="00C151FC"/>
    <w:rsid w:val="00C15850"/>
    <w:rsid w:val="00C1599E"/>
    <w:rsid w:val="00C160B2"/>
    <w:rsid w:val="00C160B8"/>
    <w:rsid w:val="00C1673B"/>
    <w:rsid w:val="00C170D4"/>
    <w:rsid w:val="00C170EE"/>
    <w:rsid w:val="00C17A29"/>
    <w:rsid w:val="00C206C4"/>
    <w:rsid w:val="00C21369"/>
    <w:rsid w:val="00C21C70"/>
    <w:rsid w:val="00C2201A"/>
    <w:rsid w:val="00C22710"/>
    <w:rsid w:val="00C22C91"/>
    <w:rsid w:val="00C2375A"/>
    <w:rsid w:val="00C23A9C"/>
    <w:rsid w:val="00C24F0F"/>
    <w:rsid w:val="00C2519E"/>
    <w:rsid w:val="00C25430"/>
    <w:rsid w:val="00C263A6"/>
    <w:rsid w:val="00C27D65"/>
    <w:rsid w:val="00C3098E"/>
    <w:rsid w:val="00C3185B"/>
    <w:rsid w:val="00C32133"/>
    <w:rsid w:val="00C33B83"/>
    <w:rsid w:val="00C33F89"/>
    <w:rsid w:val="00C3468E"/>
    <w:rsid w:val="00C34EAF"/>
    <w:rsid w:val="00C34EF3"/>
    <w:rsid w:val="00C35BEE"/>
    <w:rsid w:val="00C36E8A"/>
    <w:rsid w:val="00C40B8F"/>
    <w:rsid w:val="00C4136A"/>
    <w:rsid w:val="00C41A41"/>
    <w:rsid w:val="00C4244A"/>
    <w:rsid w:val="00C43634"/>
    <w:rsid w:val="00C45038"/>
    <w:rsid w:val="00C45864"/>
    <w:rsid w:val="00C4647E"/>
    <w:rsid w:val="00C477BA"/>
    <w:rsid w:val="00C500A2"/>
    <w:rsid w:val="00C50C85"/>
    <w:rsid w:val="00C5192C"/>
    <w:rsid w:val="00C529F4"/>
    <w:rsid w:val="00C533A1"/>
    <w:rsid w:val="00C5405E"/>
    <w:rsid w:val="00C54769"/>
    <w:rsid w:val="00C54DFC"/>
    <w:rsid w:val="00C5718B"/>
    <w:rsid w:val="00C579C2"/>
    <w:rsid w:val="00C60BAF"/>
    <w:rsid w:val="00C60ED6"/>
    <w:rsid w:val="00C613FA"/>
    <w:rsid w:val="00C626D1"/>
    <w:rsid w:val="00C627AD"/>
    <w:rsid w:val="00C627C1"/>
    <w:rsid w:val="00C64481"/>
    <w:rsid w:val="00C64FAB"/>
    <w:rsid w:val="00C6687D"/>
    <w:rsid w:val="00C700F8"/>
    <w:rsid w:val="00C707D3"/>
    <w:rsid w:val="00C7089A"/>
    <w:rsid w:val="00C72504"/>
    <w:rsid w:val="00C728D1"/>
    <w:rsid w:val="00C72E46"/>
    <w:rsid w:val="00C73E8F"/>
    <w:rsid w:val="00C76290"/>
    <w:rsid w:val="00C771A7"/>
    <w:rsid w:val="00C7736B"/>
    <w:rsid w:val="00C773C7"/>
    <w:rsid w:val="00C8090E"/>
    <w:rsid w:val="00C810D2"/>
    <w:rsid w:val="00C811A5"/>
    <w:rsid w:val="00C811D1"/>
    <w:rsid w:val="00C81A6C"/>
    <w:rsid w:val="00C82763"/>
    <w:rsid w:val="00C83527"/>
    <w:rsid w:val="00C83FCB"/>
    <w:rsid w:val="00C852F6"/>
    <w:rsid w:val="00C85545"/>
    <w:rsid w:val="00C8648A"/>
    <w:rsid w:val="00C86668"/>
    <w:rsid w:val="00C868A4"/>
    <w:rsid w:val="00C86B37"/>
    <w:rsid w:val="00C87191"/>
    <w:rsid w:val="00C87E5D"/>
    <w:rsid w:val="00C90B68"/>
    <w:rsid w:val="00C90C4F"/>
    <w:rsid w:val="00C91266"/>
    <w:rsid w:val="00C91590"/>
    <w:rsid w:val="00C92351"/>
    <w:rsid w:val="00C92803"/>
    <w:rsid w:val="00C928FB"/>
    <w:rsid w:val="00C92C8B"/>
    <w:rsid w:val="00C93190"/>
    <w:rsid w:val="00C94423"/>
    <w:rsid w:val="00C94B6F"/>
    <w:rsid w:val="00C95579"/>
    <w:rsid w:val="00C9730E"/>
    <w:rsid w:val="00CA017C"/>
    <w:rsid w:val="00CA03FE"/>
    <w:rsid w:val="00CA0879"/>
    <w:rsid w:val="00CA0A5C"/>
    <w:rsid w:val="00CA3722"/>
    <w:rsid w:val="00CA38F8"/>
    <w:rsid w:val="00CA3C82"/>
    <w:rsid w:val="00CA4BCF"/>
    <w:rsid w:val="00CA595A"/>
    <w:rsid w:val="00CA5B7A"/>
    <w:rsid w:val="00CA5E23"/>
    <w:rsid w:val="00CA61F6"/>
    <w:rsid w:val="00CA6574"/>
    <w:rsid w:val="00CA6CF6"/>
    <w:rsid w:val="00CA737B"/>
    <w:rsid w:val="00CA7A6F"/>
    <w:rsid w:val="00CB0423"/>
    <w:rsid w:val="00CB06FB"/>
    <w:rsid w:val="00CB1D5B"/>
    <w:rsid w:val="00CB3913"/>
    <w:rsid w:val="00CB3C01"/>
    <w:rsid w:val="00CB3E2F"/>
    <w:rsid w:val="00CB3F60"/>
    <w:rsid w:val="00CB4680"/>
    <w:rsid w:val="00CB4E0D"/>
    <w:rsid w:val="00CB69E8"/>
    <w:rsid w:val="00CB6C69"/>
    <w:rsid w:val="00CB6F11"/>
    <w:rsid w:val="00CB747D"/>
    <w:rsid w:val="00CB7C74"/>
    <w:rsid w:val="00CC0632"/>
    <w:rsid w:val="00CC0C12"/>
    <w:rsid w:val="00CC1B0D"/>
    <w:rsid w:val="00CC2A64"/>
    <w:rsid w:val="00CC3D3C"/>
    <w:rsid w:val="00CC422F"/>
    <w:rsid w:val="00CC44C1"/>
    <w:rsid w:val="00CC4FB2"/>
    <w:rsid w:val="00CC6707"/>
    <w:rsid w:val="00CC7D44"/>
    <w:rsid w:val="00CD0837"/>
    <w:rsid w:val="00CD0F8F"/>
    <w:rsid w:val="00CD0F9F"/>
    <w:rsid w:val="00CD0FD4"/>
    <w:rsid w:val="00CD12F4"/>
    <w:rsid w:val="00CD17FB"/>
    <w:rsid w:val="00CD230B"/>
    <w:rsid w:val="00CD2768"/>
    <w:rsid w:val="00CD3659"/>
    <w:rsid w:val="00CD41CA"/>
    <w:rsid w:val="00CD539F"/>
    <w:rsid w:val="00CD6AA6"/>
    <w:rsid w:val="00CD7A86"/>
    <w:rsid w:val="00CE14ED"/>
    <w:rsid w:val="00CE1996"/>
    <w:rsid w:val="00CE2349"/>
    <w:rsid w:val="00CE2F58"/>
    <w:rsid w:val="00CE3F31"/>
    <w:rsid w:val="00CE6BD3"/>
    <w:rsid w:val="00CF0526"/>
    <w:rsid w:val="00CF095C"/>
    <w:rsid w:val="00CF3838"/>
    <w:rsid w:val="00CF4637"/>
    <w:rsid w:val="00CF46A1"/>
    <w:rsid w:val="00CF53EB"/>
    <w:rsid w:val="00CF5FDE"/>
    <w:rsid w:val="00CF740C"/>
    <w:rsid w:val="00CF7ED5"/>
    <w:rsid w:val="00D0058B"/>
    <w:rsid w:val="00D01D7A"/>
    <w:rsid w:val="00D02976"/>
    <w:rsid w:val="00D02DBE"/>
    <w:rsid w:val="00D03B1D"/>
    <w:rsid w:val="00D04818"/>
    <w:rsid w:val="00D06C1D"/>
    <w:rsid w:val="00D06CC5"/>
    <w:rsid w:val="00D07134"/>
    <w:rsid w:val="00D07D2B"/>
    <w:rsid w:val="00D10680"/>
    <w:rsid w:val="00D1070F"/>
    <w:rsid w:val="00D11810"/>
    <w:rsid w:val="00D12B0E"/>
    <w:rsid w:val="00D12C13"/>
    <w:rsid w:val="00D135CC"/>
    <w:rsid w:val="00D13E96"/>
    <w:rsid w:val="00D14492"/>
    <w:rsid w:val="00D14994"/>
    <w:rsid w:val="00D14A8D"/>
    <w:rsid w:val="00D14CB5"/>
    <w:rsid w:val="00D160F2"/>
    <w:rsid w:val="00D163F5"/>
    <w:rsid w:val="00D17330"/>
    <w:rsid w:val="00D17DFA"/>
    <w:rsid w:val="00D22156"/>
    <w:rsid w:val="00D22322"/>
    <w:rsid w:val="00D22701"/>
    <w:rsid w:val="00D23F99"/>
    <w:rsid w:val="00D24BAD"/>
    <w:rsid w:val="00D250F0"/>
    <w:rsid w:val="00D25474"/>
    <w:rsid w:val="00D25ACA"/>
    <w:rsid w:val="00D261DA"/>
    <w:rsid w:val="00D26BE9"/>
    <w:rsid w:val="00D27A53"/>
    <w:rsid w:val="00D30BD4"/>
    <w:rsid w:val="00D30DF1"/>
    <w:rsid w:val="00D3116F"/>
    <w:rsid w:val="00D32CB0"/>
    <w:rsid w:val="00D32F0A"/>
    <w:rsid w:val="00D33B2C"/>
    <w:rsid w:val="00D33C86"/>
    <w:rsid w:val="00D36199"/>
    <w:rsid w:val="00D37CC8"/>
    <w:rsid w:val="00D40C78"/>
    <w:rsid w:val="00D4126E"/>
    <w:rsid w:val="00D41652"/>
    <w:rsid w:val="00D417CB"/>
    <w:rsid w:val="00D418F0"/>
    <w:rsid w:val="00D418FA"/>
    <w:rsid w:val="00D42079"/>
    <w:rsid w:val="00D420F1"/>
    <w:rsid w:val="00D4325F"/>
    <w:rsid w:val="00D44100"/>
    <w:rsid w:val="00D44159"/>
    <w:rsid w:val="00D47237"/>
    <w:rsid w:val="00D4730C"/>
    <w:rsid w:val="00D47B32"/>
    <w:rsid w:val="00D47DC6"/>
    <w:rsid w:val="00D5219A"/>
    <w:rsid w:val="00D54660"/>
    <w:rsid w:val="00D54D80"/>
    <w:rsid w:val="00D56A6C"/>
    <w:rsid w:val="00D56CA5"/>
    <w:rsid w:val="00D57068"/>
    <w:rsid w:val="00D57192"/>
    <w:rsid w:val="00D57528"/>
    <w:rsid w:val="00D6158B"/>
    <w:rsid w:val="00D61962"/>
    <w:rsid w:val="00D63031"/>
    <w:rsid w:val="00D630AF"/>
    <w:rsid w:val="00D63B59"/>
    <w:rsid w:val="00D63E0D"/>
    <w:rsid w:val="00D64875"/>
    <w:rsid w:val="00D648ED"/>
    <w:rsid w:val="00D649D4"/>
    <w:rsid w:val="00D6503F"/>
    <w:rsid w:val="00D65542"/>
    <w:rsid w:val="00D669B8"/>
    <w:rsid w:val="00D66A34"/>
    <w:rsid w:val="00D66D69"/>
    <w:rsid w:val="00D66DB9"/>
    <w:rsid w:val="00D670B3"/>
    <w:rsid w:val="00D67258"/>
    <w:rsid w:val="00D708ED"/>
    <w:rsid w:val="00D73046"/>
    <w:rsid w:val="00D7338F"/>
    <w:rsid w:val="00D7507B"/>
    <w:rsid w:val="00D76AE6"/>
    <w:rsid w:val="00D76EAC"/>
    <w:rsid w:val="00D80025"/>
    <w:rsid w:val="00D82958"/>
    <w:rsid w:val="00D82F0F"/>
    <w:rsid w:val="00D833E1"/>
    <w:rsid w:val="00D8394B"/>
    <w:rsid w:val="00D84D6E"/>
    <w:rsid w:val="00D860EE"/>
    <w:rsid w:val="00D86738"/>
    <w:rsid w:val="00D87304"/>
    <w:rsid w:val="00D907CA"/>
    <w:rsid w:val="00D90A54"/>
    <w:rsid w:val="00D90C3E"/>
    <w:rsid w:val="00D90D99"/>
    <w:rsid w:val="00D9174D"/>
    <w:rsid w:val="00D92112"/>
    <w:rsid w:val="00D9287A"/>
    <w:rsid w:val="00D92C27"/>
    <w:rsid w:val="00D936C5"/>
    <w:rsid w:val="00D94F19"/>
    <w:rsid w:val="00D955AF"/>
    <w:rsid w:val="00D976A6"/>
    <w:rsid w:val="00D97E05"/>
    <w:rsid w:val="00DA1510"/>
    <w:rsid w:val="00DA4397"/>
    <w:rsid w:val="00DA482B"/>
    <w:rsid w:val="00DA651F"/>
    <w:rsid w:val="00DA6ADE"/>
    <w:rsid w:val="00DA6C6A"/>
    <w:rsid w:val="00DA7C28"/>
    <w:rsid w:val="00DB1264"/>
    <w:rsid w:val="00DB1798"/>
    <w:rsid w:val="00DB189F"/>
    <w:rsid w:val="00DB1D78"/>
    <w:rsid w:val="00DB268D"/>
    <w:rsid w:val="00DB330D"/>
    <w:rsid w:val="00DB403E"/>
    <w:rsid w:val="00DB47D7"/>
    <w:rsid w:val="00DB613B"/>
    <w:rsid w:val="00DB645A"/>
    <w:rsid w:val="00DB66EA"/>
    <w:rsid w:val="00DC08ED"/>
    <w:rsid w:val="00DC0C33"/>
    <w:rsid w:val="00DC1D32"/>
    <w:rsid w:val="00DC2EE9"/>
    <w:rsid w:val="00DC30E3"/>
    <w:rsid w:val="00DC3938"/>
    <w:rsid w:val="00DC3EB7"/>
    <w:rsid w:val="00DC43F2"/>
    <w:rsid w:val="00DC61A0"/>
    <w:rsid w:val="00DC62DD"/>
    <w:rsid w:val="00DC75C9"/>
    <w:rsid w:val="00DC75FA"/>
    <w:rsid w:val="00DC7D77"/>
    <w:rsid w:val="00DD22AC"/>
    <w:rsid w:val="00DD2821"/>
    <w:rsid w:val="00DD2E8D"/>
    <w:rsid w:val="00DD31F8"/>
    <w:rsid w:val="00DD732C"/>
    <w:rsid w:val="00DE0998"/>
    <w:rsid w:val="00DE2562"/>
    <w:rsid w:val="00DE3BCA"/>
    <w:rsid w:val="00DE4B3F"/>
    <w:rsid w:val="00DE4C36"/>
    <w:rsid w:val="00DE4D59"/>
    <w:rsid w:val="00DE53B6"/>
    <w:rsid w:val="00DE54DC"/>
    <w:rsid w:val="00DE6082"/>
    <w:rsid w:val="00DE60B5"/>
    <w:rsid w:val="00DE777B"/>
    <w:rsid w:val="00DE7BFC"/>
    <w:rsid w:val="00DF000D"/>
    <w:rsid w:val="00DF07B9"/>
    <w:rsid w:val="00DF0ABF"/>
    <w:rsid w:val="00DF18F4"/>
    <w:rsid w:val="00DF1DC5"/>
    <w:rsid w:val="00DF1F22"/>
    <w:rsid w:val="00DF231E"/>
    <w:rsid w:val="00DF46EE"/>
    <w:rsid w:val="00DF46F5"/>
    <w:rsid w:val="00DF6E0C"/>
    <w:rsid w:val="00DF6FDD"/>
    <w:rsid w:val="00DF779E"/>
    <w:rsid w:val="00E002EE"/>
    <w:rsid w:val="00E013E9"/>
    <w:rsid w:val="00E019C1"/>
    <w:rsid w:val="00E01B4D"/>
    <w:rsid w:val="00E01BA8"/>
    <w:rsid w:val="00E0409D"/>
    <w:rsid w:val="00E05423"/>
    <w:rsid w:val="00E0608A"/>
    <w:rsid w:val="00E06C06"/>
    <w:rsid w:val="00E10E27"/>
    <w:rsid w:val="00E11AF4"/>
    <w:rsid w:val="00E125A0"/>
    <w:rsid w:val="00E1461E"/>
    <w:rsid w:val="00E149A1"/>
    <w:rsid w:val="00E15565"/>
    <w:rsid w:val="00E1575D"/>
    <w:rsid w:val="00E15A89"/>
    <w:rsid w:val="00E15B26"/>
    <w:rsid w:val="00E16424"/>
    <w:rsid w:val="00E16EF0"/>
    <w:rsid w:val="00E17279"/>
    <w:rsid w:val="00E1789A"/>
    <w:rsid w:val="00E204D0"/>
    <w:rsid w:val="00E209CA"/>
    <w:rsid w:val="00E21E3D"/>
    <w:rsid w:val="00E21F84"/>
    <w:rsid w:val="00E239E3"/>
    <w:rsid w:val="00E24E43"/>
    <w:rsid w:val="00E25554"/>
    <w:rsid w:val="00E25C57"/>
    <w:rsid w:val="00E267D4"/>
    <w:rsid w:val="00E273E7"/>
    <w:rsid w:val="00E278F7"/>
    <w:rsid w:val="00E309A7"/>
    <w:rsid w:val="00E315E8"/>
    <w:rsid w:val="00E31D15"/>
    <w:rsid w:val="00E3322C"/>
    <w:rsid w:val="00E339D7"/>
    <w:rsid w:val="00E3491D"/>
    <w:rsid w:val="00E34F4C"/>
    <w:rsid w:val="00E368A2"/>
    <w:rsid w:val="00E36D99"/>
    <w:rsid w:val="00E373DA"/>
    <w:rsid w:val="00E37D71"/>
    <w:rsid w:val="00E37F07"/>
    <w:rsid w:val="00E41184"/>
    <w:rsid w:val="00E427F1"/>
    <w:rsid w:val="00E428F1"/>
    <w:rsid w:val="00E44229"/>
    <w:rsid w:val="00E45C59"/>
    <w:rsid w:val="00E461F9"/>
    <w:rsid w:val="00E46821"/>
    <w:rsid w:val="00E47CB9"/>
    <w:rsid w:val="00E5315B"/>
    <w:rsid w:val="00E56F46"/>
    <w:rsid w:val="00E57858"/>
    <w:rsid w:val="00E57B70"/>
    <w:rsid w:val="00E60451"/>
    <w:rsid w:val="00E60E7F"/>
    <w:rsid w:val="00E61156"/>
    <w:rsid w:val="00E61701"/>
    <w:rsid w:val="00E62C64"/>
    <w:rsid w:val="00E631E1"/>
    <w:rsid w:val="00E6379D"/>
    <w:rsid w:val="00E641F5"/>
    <w:rsid w:val="00E646F5"/>
    <w:rsid w:val="00E64C72"/>
    <w:rsid w:val="00E65CF2"/>
    <w:rsid w:val="00E66C2F"/>
    <w:rsid w:val="00E67D40"/>
    <w:rsid w:val="00E710B1"/>
    <w:rsid w:val="00E72042"/>
    <w:rsid w:val="00E72237"/>
    <w:rsid w:val="00E729BB"/>
    <w:rsid w:val="00E734E5"/>
    <w:rsid w:val="00E7412D"/>
    <w:rsid w:val="00E7451C"/>
    <w:rsid w:val="00E7634C"/>
    <w:rsid w:val="00E763B4"/>
    <w:rsid w:val="00E763E8"/>
    <w:rsid w:val="00E76C0E"/>
    <w:rsid w:val="00E770FB"/>
    <w:rsid w:val="00E7718B"/>
    <w:rsid w:val="00E803AE"/>
    <w:rsid w:val="00E8226A"/>
    <w:rsid w:val="00E82BAE"/>
    <w:rsid w:val="00E832EF"/>
    <w:rsid w:val="00E83810"/>
    <w:rsid w:val="00E83A48"/>
    <w:rsid w:val="00E84B0A"/>
    <w:rsid w:val="00E8592F"/>
    <w:rsid w:val="00E86A72"/>
    <w:rsid w:val="00E87169"/>
    <w:rsid w:val="00E90A17"/>
    <w:rsid w:val="00E9102F"/>
    <w:rsid w:val="00E91DF4"/>
    <w:rsid w:val="00E920C6"/>
    <w:rsid w:val="00E92731"/>
    <w:rsid w:val="00E92EE4"/>
    <w:rsid w:val="00E92F08"/>
    <w:rsid w:val="00E94049"/>
    <w:rsid w:val="00E94C71"/>
    <w:rsid w:val="00E9527B"/>
    <w:rsid w:val="00E95A17"/>
    <w:rsid w:val="00E95C94"/>
    <w:rsid w:val="00E95DD4"/>
    <w:rsid w:val="00E95DD5"/>
    <w:rsid w:val="00E96391"/>
    <w:rsid w:val="00E968AD"/>
    <w:rsid w:val="00EA0C97"/>
    <w:rsid w:val="00EA0E78"/>
    <w:rsid w:val="00EA1435"/>
    <w:rsid w:val="00EA29A2"/>
    <w:rsid w:val="00EA330E"/>
    <w:rsid w:val="00EA4AE2"/>
    <w:rsid w:val="00EA68EF"/>
    <w:rsid w:val="00EA74F7"/>
    <w:rsid w:val="00EA7A78"/>
    <w:rsid w:val="00EB0385"/>
    <w:rsid w:val="00EB0851"/>
    <w:rsid w:val="00EB1D3E"/>
    <w:rsid w:val="00EB1FD2"/>
    <w:rsid w:val="00EB2A9C"/>
    <w:rsid w:val="00EB2CED"/>
    <w:rsid w:val="00EB400C"/>
    <w:rsid w:val="00EB4DB3"/>
    <w:rsid w:val="00EB5329"/>
    <w:rsid w:val="00EB538B"/>
    <w:rsid w:val="00EB79A1"/>
    <w:rsid w:val="00EC03EC"/>
    <w:rsid w:val="00EC4059"/>
    <w:rsid w:val="00EC462D"/>
    <w:rsid w:val="00EC4B80"/>
    <w:rsid w:val="00EC4E6F"/>
    <w:rsid w:val="00EC5176"/>
    <w:rsid w:val="00EC5731"/>
    <w:rsid w:val="00EC5B25"/>
    <w:rsid w:val="00EC616C"/>
    <w:rsid w:val="00EC6593"/>
    <w:rsid w:val="00EC7722"/>
    <w:rsid w:val="00EC7822"/>
    <w:rsid w:val="00EC7A25"/>
    <w:rsid w:val="00ED0043"/>
    <w:rsid w:val="00ED026E"/>
    <w:rsid w:val="00ED0818"/>
    <w:rsid w:val="00ED0A26"/>
    <w:rsid w:val="00ED0C49"/>
    <w:rsid w:val="00ED0E7F"/>
    <w:rsid w:val="00ED13D5"/>
    <w:rsid w:val="00ED208C"/>
    <w:rsid w:val="00ED5161"/>
    <w:rsid w:val="00ED5382"/>
    <w:rsid w:val="00ED5A94"/>
    <w:rsid w:val="00ED61C8"/>
    <w:rsid w:val="00ED67FB"/>
    <w:rsid w:val="00ED6C3B"/>
    <w:rsid w:val="00ED77BD"/>
    <w:rsid w:val="00EE0355"/>
    <w:rsid w:val="00EE0A5D"/>
    <w:rsid w:val="00EE293E"/>
    <w:rsid w:val="00EE2DE2"/>
    <w:rsid w:val="00EE5604"/>
    <w:rsid w:val="00EE5B0B"/>
    <w:rsid w:val="00EE783B"/>
    <w:rsid w:val="00EF07C9"/>
    <w:rsid w:val="00EF19B3"/>
    <w:rsid w:val="00EF1C6A"/>
    <w:rsid w:val="00EF2AA5"/>
    <w:rsid w:val="00EF340A"/>
    <w:rsid w:val="00EF3610"/>
    <w:rsid w:val="00EF4242"/>
    <w:rsid w:val="00EF4256"/>
    <w:rsid w:val="00EF4455"/>
    <w:rsid w:val="00EF555A"/>
    <w:rsid w:val="00F0566E"/>
    <w:rsid w:val="00F057E7"/>
    <w:rsid w:val="00F06E3D"/>
    <w:rsid w:val="00F07231"/>
    <w:rsid w:val="00F07825"/>
    <w:rsid w:val="00F079F2"/>
    <w:rsid w:val="00F07C85"/>
    <w:rsid w:val="00F103FE"/>
    <w:rsid w:val="00F11358"/>
    <w:rsid w:val="00F13E02"/>
    <w:rsid w:val="00F1444F"/>
    <w:rsid w:val="00F17551"/>
    <w:rsid w:val="00F176F9"/>
    <w:rsid w:val="00F17A13"/>
    <w:rsid w:val="00F17E41"/>
    <w:rsid w:val="00F17F9C"/>
    <w:rsid w:val="00F21030"/>
    <w:rsid w:val="00F2257B"/>
    <w:rsid w:val="00F22970"/>
    <w:rsid w:val="00F22A77"/>
    <w:rsid w:val="00F22B19"/>
    <w:rsid w:val="00F22DD1"/>
    <w:rsid w:val="00F23A3C"/>
    <w:rsid w:val="00F25219"/>
    <w:rsid w:val="00F25E3E"/>
    <w:rsid w:val="00F270A2"/>
    <w:rsid w:val="00F27186"/>
    <w:rsid w:val="00F278CC"/>
    <w:rsid w:val="00F30364"/>
    <w:rsid w:val="00F304DC"/>
    <w:rsid w:val="00F30BB5"/>
    <w:rsid w:val="00F31686"/>
    <w:rsid w:val="00F31F7B"/>
    <w:rsid w:val="00F337F5"/>
    <w:rsid w:val="00F34802"/>
    <w:rsid w:val="00F3683C"/>
    <w:rsid w:val="00F36B8B"/>
    <w:rsid w:val="00F370E1"/>
    <w:rsid w:val="00F373E8"/>
    <w:rsid w:val="00F400D0"/>
    <w:rsid w:val="00F40F7C"/>
    <w:rsid w:val="00F41502"/>
    <w:rsid w:val="00F418E8"/>
    <w:rsid w:val="00F4194C"/>
    <w:rsid w:val="00F42B77"/>
    <w:rsid w:val="00F42D19"/>
    <w:rsid w:val="00F46E34"/>
    <w:rsid w:val="00F50F2A"/>
    <w:rsid w:val="00F51221"/>
    <w:rsid w:val="00F51958"/>
    <w:rsid w:val="00F51D08"/>
    <w:rsid w:val="00F5267E"/>
    <w:rsid w:val="00F52DC0"/>
    <w:rsid w:val="00F5331A"/>
    <w:rsid w:val="00F53590"/>
    <w:rsid w:val="00F53746"/>
    <w:rsid w:val="00F53B48"/>
    <w:rsid w:val="00F53FAF"/>
    <w:rsid w:val="00F54AF8"/>
    <w:rsid w:val="00F55EEA"/>
    <w:rsid w:val="00F57425"/>
    <w:rsid w:val="00F605C5"/>
    <w:rsid w:val="00F608F7"/>
    <w:rsid w:val="00F61479"/>
    <w:rsid w:val="00F6256F"/>
    <w:rsid w:val="00F628AF"/>
    <w:rsid w:val="00F64227"/>
    <w:rsid w:val="00F648F2"/>
    <w:rsid w:val="00F64EE1"/>
    <w:rsid w:val="00F65A88"/>
    <w:rsid w:val="00F662FF"/>
    <w:rsid w:val="00F6666B"/>
    <w:rsid w:val="00F67613"/>
    <w:rsid w:val="00F67E46"/>
    <w:rsid w:val="00F70DFB"/>
    <w:rsid w:val="00F71140"/>
    <w:rsid w:val="00F712B0"/>
    <w:rsid w:val="00F71723"/>
    <w:rsid w:val="00F7276F"/>
    <w:rsid w:val="00F72D8A"/>
    <w:rsid w:val="00F75A76"/>
    <w:rsid w:val="00F764DF"/>
    <w:rsid w:val="00F76CDB"/>
    <w:rsid w:val="00F808A7"/>
    <w:rsid w:val="00F83A99"/>
    <w:rsid w:val="00F83CB0"/>
    <w:rsid w:val="00F85215"/>
    <w:rsid w:val="00F8600D"/>
    <w:rsid w:val="00F8613C"/>
    <w:rsid w:val="00F8686A"/>
    <w:rsid w:val="00F87730"/>
    <w:rsid w:val="00F901CB"/>
    <w:rsid w:val="00F90250"/>
    <w:rsid w:val="00F90335"/>
    <w:rsid w:val="00F91094"/>
    <w:rsid w:val="00F91E7F"/>
    <w:rsid w:val="00F920BD"/>
    <w:rsid w:val="00F92335"/>
    <w:rsid w:val="00F9401D"/>
    <w:rsid w:val="00F95BBF"/>
    <w:rsid w:val="00F95D20"/>
    <w:rsid w:val="00F96496"/>
    <w:rsid w:val="00FA1499"/>
    <w:rsid w:val="00FA21D9"/>
    <w:rsid w:val="00FA235C"/>
    <w:rsid w:val="00FA24BC"/>
    <w:rsid w:val="00FA292B"/>
    <w:rsid w:val="00FA2F5F"/>
    <w:rsid w:val="00FA501F"/>
    <w:rsid w:val="00FA665D"/>
    <w:rsid w:val="00FB16E1"/>
    <w:rsid w:val="00FB197F"/>
    <w:rsid w:val="00FB2902"/>
    <w:rsid w:val="00FB2C54"/>
    <w:rsid w:val="00FB3C13"/>
    <w:rsid w:val="00FB43D9"/>
    <w:rsid w:val="00FB480C"/>
    <w:rsid w:val="00FB5147"/>
    <w:rsid w:val="00FB574F"/>
    <w:rsid w:val="00FB59D7"/>
    <w:rsid w:val="00FB63A4"/>
    <w:rsid w:val="00FB6D73"/>
    <w:rsid w:val="00FC08A4"/>
    <w:rsid w:val="00FC1169"/>
    <w:rsid w:val="00FC132E"/>
    <w:rsid w:val="00FC1BD9"/>
    <w:rsid w:val="00FC210B"/>
    <w:rsid w:val="00FC2680"/>
    <w:rsid w:val="00FC2AD9"/>
    <w:rsid w:val="00FC3488"/>
    <w:rsid w:val="00FC3635"/>
    <w:rsid w:val="00FC5847"/>
    <w:rsid w:val="00FC5969"/>
    <w:rsid w:val="00FC5DFE"/>
    <w:rsid w:val="00FC607E"/>
    <w:rsid w:val="00FC642D"/>
    <w:rsid w:val="00FC70A7"/>
    <w:rsid w:val="00FC74DF"/>
    <w:rsid w:val="00FC76EE"/>
    <w:rsid w:val="00FD0DD1"/>
    <w:rsid w:val="00FD18AF"/>
    <w:rsid w:val="00FD2BE3"/>
    <w:rsid w:val="00FD2C97"/>
    <w:rsid w:val="00FD3A7D"/>
    <w:rsid w:val="00FD5E1B"/>
    <w:rsid w:val="00FE16AC"/>
    <w:rsid w:val="00FE3953"/>
    <w:rsid w:val="00FE3990"/>
    <w:rsid w:val="00FE3EED"/>
    <w:rsid w:val="00FE4066"/>
    <w:rsid w:val="00FE459C"/>
    <w:rsid w:val="00FE5618"/>
    <w:rsid w:val="00FE56F9"/>
    <w:rsid w:val="00FE5965"/>
    <w:rsid w:val="00FE6BD3"/>
    <w:rsid w:val="00FE6CC4"/>
    <w:rsid w:val="00FE6D23"/>
    <w:rsid w:val="00FF0921"/>
    <w:rsid w:val="00FF12C5"/>
    <w:rsid w:val="00FF12D9"/>
    <w:rsid w:val="00FF2AB8"/>
    <w:rsid w:val="00FF3022"/>
    <w:rsid w:val="00FF3EB8"/>
    <w:rsid w:val="00FF4975"/>
    <w:rsid w:val="0E66A317"/>
    <w:rsid w:val="14B93129"/>
    <w:rsid w:val="17E621DE"/>
    <w:rsid w:val="4BC86F7C"/>
    <w:rsid w:val="66E5BE0D"/>
    <w:rsid w:val="7E62095F"/>
    <w:rsid w:val="7F2CAD79"/>
    <w:rsid w:val="7F79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9B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9174D"/>
    <w:rPr>
      <w:rFonts w:ascii="Book Antiqua" w:hAnsi="Book Antiqua"/>
      <w:sz w:val="26"/>
    </w:rPr>
  </w:style>
  <w:style w:type="paragraph" w:styleId="Heading1">
    <w:name w:val="heading 1"/>
    <w:basedOn w:val="Normal"/>
    <w:next w:val="Normal"/>
    <w:link w:val="Heading1Char"/>
    <w:rsid w:val="00E25554"/>
    <w:pPr>
      <w:keepNext/>
      <w:numPr>
        <w:numId w:val="2"/>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rsid w:val="00091CDF"/>
    <w:pPr>
      <w:keepNext/>
      <w:numPr>
        <w:ilvl w:val="1"/>
        <w:numId w:val="2"/>
      </w:numPr>
      <w:spacing w:before="120" w:after="120"/>
      <w:outlineLvl w:val="1"/>
    </w:pPr>
    <w:rPr>
      <w:rFonts w:ascii="Arial" w:eastAsia="Times New Roman" w:hAnsi="Arial"/>
      <w:b/>
      <w:szCs w:val="26"/>
    </w:rPr>
  </w:style>
  <w:style w:type="paragraph" w:styleId="Heading3">
    <w:name w:val="heading 3"/>
    <w:basedOn w:val="Normal"/>
    <w:next w:val="Normal"/>
    <w:link w:val="Heading3Char"/>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9">
    <w:name w:val="heading 9"/>
    <w:basedOn w:val="Normal"/>
    <w:next w:val="Normal"/>
    <w:link w:val="Heading9Char"/>
    <w:autoRedefine/>
    <w:rsid w:val="00E25554"/>
    <w:pPr>
      <w:numPr>
        <w:ilvl w:val="8"/>
        <w:numId w:val="2"/>
      </w:numPr>
      <w:tabs>
        <w:tab w:val="left" w:pos="2880"/>
      </w:tabs>
      <w:spacing w:before="120" w:after="120"/>
      <w:ind w:left="2880" w:hanging="2160"/>
      <w:outlineLvl w:val="8"/>
    </w:pPr>
    <w:rPr>
      <w:rFonts w:ascii="Helvetica" w:eastAsia="Times New Roman"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CE14ED"/>
    <w:pPr>
      <w:keepNext/>
      <w:numPr>
        <w:numId w:val="1"/>
      </w:numPr>
      <w:spacing w:before="120" w:after="120" w:line="240" w:lineRule="auto"/>
      <w:ind w:left="720" w:right="2160" w:hanging="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C151FC"/>
    <w:pPr>
      <w:keepNext/>
      <w:numPr>
        <w:ilvl w:val="1"/>
        <w:numId w:val="1"/>
      </w:numPr>
      <w:tabs>
        <w:tab w:val="left" w:pos="1080"/>
      </w:tabs>
      <w:spacing w:before="120" w:after="120" w:line="240" w:lineRule="auto"/>
      <w:ind w:left="720" w:hanging="360"/>
    </w:pPr>
    <w:rPr>
      <w:rFonts w:ascii="Arial" w:hAnsi="Arial" w:cs="Arial"/>
      <w:b/>
    </w:rPr>
  </w:style>
  <w:style w:type="character" w:customStyle="1" w:styleId="ALJHeading1Char">
    <w:name w:val="ALJ Heading 1 Char"/>
    <w:basedOn w:val="ALJBodyTextChar"/>
    <w:link w:val="ALJHeading1"/>
    <w:rsid w:val="00CE14ED"/>
    <w:rPr>
      <w:rFonts w:ascii="Arial" w:hAnsi="Arial" w:cs="Arial"/>
      <w:b/>
      <w:sz w:val="26"/>
    </w:rPr>
  </w:style>
  <w:style w:type="paragraph" w:customStyle="1" w:styleId="ALJHeading3">
    <w:name w:val="ALJ Heading 3"/>
    <w:basedOn w:val="ALJBodyText"/>
    <w:next w:val="ALJBodyText"/>
    <w:link w:val="ALJHeading3Char"/>
    <w:qFormat/>
    <w:rsid w:val="00C151FC"/>
    <w:pPr>
      <w:keepNext/>
      <w:numPr>
        <w:ilvl w:val="2"/>
        <w:numId w:val="1"/>
      </w:numPr>
      <w:tabs>
        <w:tab w:val="left" w:pos="1620"/>
      </w:tabs>
      <w:spacing w:before="120" w:after="120" w:line="240" w:lineRule="auto"/>
      <w:ind w:right="2160"/>
    </w:pPr>
    <w:rPr>
      <w:rFonts w:ascii="Arial" w:hAnsi="Arial" w:cs="Arial"/>
      <w:b/>
    </w:rPr>
  </w:style>
  <w:style w:type="character" w:customStyle="1" w:styleId="ALJHeading2Char">
    <w:name w:val="ALJ Heading 2 Char"/>
    <w:basedOn w:val="ALJBodyTextChar"/>
    <w:link w:val="ALJHeading2"/>
    <w:rsid w:val="00C151FC"/>
    <w:rPr>
      <w:rFonts w:ascii="Arial" w:hAnsi="Arial" w:cs="Arial"/>
      <w:b/>
      <w:sz w:val="26"/>
    </w:rPr>
  </w:style>
  <w:style w:type="paragraph" w:styleId="TOC2">
    <w:name w:val="toc 2"/>
    <w:basedOn w:val="Normal"/>
    <w:next w:val="Normal"/>
    <w:autoRedefine/>
    <w:uiPriority w:val="39"/>
    <w:unhideWhenUsed/>
    <w:rsid w:val="00B2444D"/>
    <w:pPr>
      <w:tabs>
        <w:tab w:val="left" w:pos="880"/>
        <w:tab w:val="right" w:leader="dot" w:pos="9350"/>
      </w:tabs>
      <w:ind w:left="259"/>
    </w:pPr>
  </w:style>
  <w:style w:type="character" w:customStyle="1" w:styleId="ALJHeading3Char">
    <w:name w:val="ALJ Heading 3 Char"/>
    <w:basedOn w:val="ALJBodyTextChar"/>
    <w:link w:val="ALJHeading3"/>
    <w:rsid w:val="00C151FC"/>
    <w:rPr>
      <w:rFonts w:ascii="Arial" w:hAnsi="Arial" w:cs="Arial"/>
      <w:b/>
      <w:sz w:val="26"/>
    </w:rPr>
  </w:style>
  <w:style w:type="paragraph" w:styleId="TOC1">
    <w:name w:val="toc 1"/>
    <w:basedOn w:val="Normal"/>
    <w:next w:val="Normal"/>
    <w:autoRedefine/>
    <w:uiPriority w:val="39"/>
    <w:unhideWhenUsed/>
    <w:rsid w:val="007416CD"/>
    <w:pPr>
      <w:tabs>
        <w:tab w:val="left" w:pos="450"/>
        <w:tab w:val="right" w:leader="dot" w:pos="9350"/>
      </w:tabs>
    </w:pPr>
  </w:style>
  <w:style w:type="paragraph" w:styleId="TOC3">
    <w:name w:val="toc 3"/>
    <w:basedOn w:val="Normal"/>
    <w:next w:val="Normal"/>
    <w:autoRedefine/>
    <w:uiPriority w:val="39"/>
    <w:unhideWhenUsed/>
    <w:rsid w:val="00501843"/>
    <w:pPr>
      <w:tabs>
        <w:tab w:val="left" w:pos="1540"/>
        <w:tab w:val="right" w:leader="dot" w:pos="9350"/>
      </w:tabs>
      <w:ind w:left="52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5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basedOn w:val="Normal"/>
    <w:link w:val="FootnoteTextChar"/>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basedOn w:val="DefaultParagraphFont"/>
    <w:link w:val="FootnoteText"/>
    <w:rsid w:val="0044301E"/>
    <w:rPr>
      <w:rFonts w:ascii="Book Antiqua" w:hAnsi="Book Antiqua"/>
      <w:sz w:val="22"/>
      <w:szCs w:val="22"/>
    </w:rPr>
  </w:style>
  <w:style w:type="character" w:styleId="FootnoteReference">
    <w:name w:val="footnote reference"/>
    <w:aliases w:val="o,fr,Style 3,o1,o2,o3,o4,o5,o6,o11,o21,o7,Footnote Reference1,o + Times New Roman,Style 12,(NECG) Footnote Reference,Appel note de bas de p,Style 124,Style 17,char,o7 + Palati...,Char Char Char Char"/>
    <w:basedOn w:val="DefaultParagraphFont"/>
    <w:uiPriority w:val="99"/>
    <w:unhideWhenUsed/>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3"/>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4"/>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6"/>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7"/>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ind w:firstLine="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unhideWhenUsed/>
    <w:rsid w:val="00091CDF"/>
    <w:rPr>
      <w:sz w:val="20"/>
    </w:rPr>
  </w:style>
  <w:style w:type="character" w:customStyle="1" w:styleId="CommentTextChar">
    <w:name w:val="Comment Text Char"/>
    <w:basedOn w:val="DefaultParagraphFont"/>
    <w:link w:val="CommentText"/>
    <w:rsid w:val="00091CDF"/>
    <w:rPr>
      <w:rFonts w:ascii="Book Antiqua" w:hAnsi="Book Antiqua"/>
    </w:rPr>
  </w:style>
  <w:style w:type="paragraph" w:styleId="CommentSubject">
    <w:name w:val="annotation subject"/>
    <w:basedOn w:val="CommentText"/>
    <w:next w:val="CommentText"/>
    <w:link w:val="CommentSubjectChar"/>
    <w:uiPriority w:val="99"/>
    <w:semiHidden/>
    <w:unhideWhenUsed/>
    <w:rsid w:val="00091CDF"/>
    <w:rPr>
      <w:b/>
      <w:bCs/>
    </w:rPr>
  </w:style>
  <w:style w:type="character" w:customStyle="1" w:styleId="CommentSubjectChar">
    <w:name w:val="Comment Subject Char"/>
    <w:basedOn w:val="CommentTextChar"/>
    <w:link w:val="CommentSubject"/>
    <w:uiPriority w:val="99"/>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paragraph" w:styleId="PlainText">
    <w:name w:val="Plain Text"/>
    <w:basedOn w:val="Normal"/>
    <w:link w:val="PlainTextChar"/>
    <w:uiPriority w:val="99"/>
    <w:semiHidden/>
    <w:unhideWhenUsed/>
    <w:rsid w:val="00E10E27"/>
    <w:rPr>
      <w:rFonts w:ascii="Consolas" w:hAnsi="Consolas" w:cs="Consolas"/>
      <w:sz w:val="21"/>
      <w:szCs w:val="21"/>
    </w:rPr>
  </w:style>
  <w:style w:type="character" w:customStyle="1" w:styleId="PlainTextChar">
    <w:name w:val="Plain Text Char"/>
    <w:basedOn w:val="DefaultParagraphFont"/>
    <w:link w:val="PlainText"/>
    <w:uiPriority w:val="99"/>
    <w:semiHidden/>
    <w:rsid w:val="00E10E27"/>
    <w:rPr>
      <w:rFonts w:ascii="Consolas" w:hAnsi="Consolas" w:cs="Consolas"/>
      <w:sz w:val="21"/>
      <w:szCs w:val="21"/>
    </w:rPr>
  </w:style>
  <w:style w:type="paragraph" w:styleId="TOCHeading">
    <w:name w:val="TOC Heading"/>
    <w:basedOn w:val="Heading1"/>
    <w:next w:val="Normal"/>
    <w:uiPriority w:val="39"/>
    <w:unhideWhenUsed/>
    <w:qFormat/>
    <w:rsid w:val="00C263A6"/>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customStyle="1" w:styleId="ALJFN">
    <w:name w:val="ALJ FN"/>
    <w:basedOn w:val="FootnoteText"/>
    <w:link w:val="ALJFNChar"/>
    <w:qFormat/>
    <w:rsid w:val="00240EAA"/>
    <w:rPr>
      <w:rFonts w:eastAsia="Times New Roman"/>
    </w:rPr>
  </w:style>
  <w:style w:type="character" w:customStyle="1" w:styleId="ALJFNChar">
    <w:name w:val="ALJ FN Char"/>
    <w:basedOn w:val="FootnoteTextChar"/>
    <w:link w:val="ALJFN"/>
    <w:rsid w:val="00240EAA"/>
    <w:rPr>
      <w:rFonts w:ascii="Book Antiqua" w:eastAsia="Times New Roman" w:hAnsi="Book Antiqua"/>
      <w:sz w:val="22"/>
      <w:szCs w:val="22"/>
    </w:rPr>
  </w:style>
  <w:style w:type="paragraph" w:styleId="Index1">
    <w:name w:val="index 1"/>
    <w:basedOn w:val="Normal"/>
    <w:next w:val="Normal"/>
    <w:autoRedefine/>
    <w:uiPriority w:val="99"/>
    <w:unhideWhenUsed/>
    <w:rsid w:val="005D3F7B"/>
    <w:pPr>
      <w:ind w:left="260" w:hanging="260"/>
    </w:pPr>
  </w:style>
  <w:style w:type="paragraph" w:styleId="Index2">
    <w:name w:val="index 2"/>
    <w:basedOn w:val="Normal"/>
    <w:next w:val="Normal"/>
    <w:autoRedefine/>
    <w:uiPriority w:val="99"/>
    <w:unhideWhenUsed/>
    <w:rsid w:val="005D3F7B"/>
    <w:pPr>
      <w:ind w:left="520" w:hanging="260"/>
    </w:pPr>
  </w:style>
  <w:style w:type="paragraph" w:styleId="Index3">
    <w:name w:val="index 3"/>
    <w:basedOn w:val="Normal"/>
    <w:next w:val="Normal"/>
    <w:autoRedefine/>
    <w:uiPriority w:val="99"/>
    <w:unhideWhenUsed/>
    <w:rsid w:val="005D3F7B"/>
    <w:pPr>
      <w:ind w:left="780" w:hanging="260"/>
    </w:pPr>
  </w:style>
  <w:style w:type="paragraph" w:styleId="Index4">
    <w:name w:val="index 4"/>
    <w:basedOn w:val="Normal"/>
    <w:next w:val="Normal"/>
    <w:autoRedefine/>
    <w:uiPriority w:val="99"/>
    <w:unhideWhenUsed/>
    <w:rsid w:val="005D3F7B"/>
    <w:pPr>
      <w:ind w:left="1040" w:hanging="260"/>
    </w:pPr>
  </w:style>
  <w:style w:type="paragraph" w:styleId="Index5">
    <w:name w:val="index 5"/>
    <w:basedOn w:val="Normal"/>
    <w:next w:val="Normal"/>
    <w:autoRedefine/>
    <w:uiPriority w:val="99"/>
    <w:unhideWhenUsed/>
    <w:rsid w:val="005D3F7B"/>
    <w:pPr>
      <w:ind w:left="1300" w:hanging="260"/>
    </w:pPr>
  </w:style>
  <w:style w:type="paragraph" w:styleId="Index6">
    <w:name w:val="index 6"/>
    <w:basedOn w:val="Normal"/>
    <w:next w:val="Normal"/>
    <w:autoRedefine/>
    <w:uiPriority w:val="99"/>
    <w:unhideWhenUsed/>
    <w:rsid w:val="005D3F7B"/>
    <w:pPr>
      <w:ind w:left="1560" w:hanging="260"/>
    </w:pPr>
  </w:style>
  <w:style w:type="paragraph" w:styleId="Index7">
    <w:name w:val="index 7"/>
    <w:basedOn w:val="Normal"/>
    <w:next w:val="Normal"/>
    <w:autoRedefine/>
    <w:uiPriority w:val="99"/>
    <w:unhideWhenUsed/>
    <w:rsid w:val="005D3F7B"/>
    <w:pPr>
      <w:ind w:left="1820" w:hanging="260"/>
    </w:pPr>
  </w:style>
  <w:style w:type="paragraph" w:styleId="Index8">
    <w:name w:val="index 8"/>
    <w:basedOn w:val="Normal"/>
    <w:next w:val="Normal"/>
    <w:autoRedefine/>
    <w:uiPriority w:val="99"/>
    <w:unhideWhenUsed/>
    <w:rsid w:val="005D3F7B"/>
    <w:pPr>
      <w:ind w:left="2080" w:hanging="260"/>
    </w:pPr>
  </w:style>
  <w:style w:type="paragraph" w:styleId="Index9">
    <w:name w:val="index 9"/>
    <w:basedOn w:val="Normal"/>
    <w:next w:val="Normal"/>
    <w:autoRedefine/>
    <w:uiPriority w:val="99"/>
    <w:unhideWhenUsed/>
    <w:rsid w:val="005D3F7B"/>
    <w:pPr>
      <w:ind w:left="2340" w:hanging="260"/>
    </w:pPr>
  </w:style>
  <w:style w:type="paragraph" w:styleId="IndexHeading">
    <w:name w:val="index heading"/>
    <w:basedOn w:val="Normal"/>
    <w:next w:val="Index1"/>
    <w:uiPriority w:val="99"/>
    <w:unhideWhenUsed/>
    <w:rsid w:val="005D3F7B"/>
  </w:style>
  <w:style w:type="character" w:customStyle="1" w:styleId="UnresolvedMention1">
    <w:name w:val="Unresolved Mention1"/>
    <w:basedOn w:val="DefaultParagraphFont"/>
    <w:uiPriority w:val="99"/>
    <w:semiHidden/>
    <w:unhideWhenUsed/>
    <w:rsid w:val="000B492A"/>
    <w:rPr>
      <w:color w:val="605E5C"/>
      <w:shd w:val="clear" w:color="auto" w:fill="E1DFDD"/>
    </w:rPr>
  </w:style>
  <w:style w:type="paragraph" w:styleId="TOC4">
    <w:name w:val="toc 4"/>
    <w:basedOn w:val="Normal"/>
    <w:next w:val="Normal"/>
    <w:autoRedefine/>
    <w:uiPriority w:val="39"/>
    <w:unhideWhenUsed/>
    <w:rsid w:val="00841EF4"/>
    <w:pPr>
      <w:spacing w:after="100"/>
      <w:ind w:left="780"/>
    </w:pPr>
  </w:style>
  <w:style w:type="paragraph" w:styleId="NormalWeb">
    <w:name w:val="Normal (Web)"/>
    <w:basedOn w:val="Normal"/>
    <w:uiPriority w:val="99"/>
    <w:semiHidden/>
    <w:unhideWhenUsed/>
    <w:rsid w:val="00C22710"/>
    <w:rPr>
      <w:rFonts w:ascii="Times New Roman" w:hAnsi="Times New Roman"/>
      <w:sz w:val="24"/>
    </w:rPr>
  </w:style>
  <w:style w:type="character" w:customStyle="1" w:styleId="UnresolvedMention2">
    <w:name w:val="Unresolved Mention2"/>
    <w:basedOn w:val="DefaultParagraphFont"/>
    <w:uiPriority w:val="99"/>
    <w:semiHidden/>
    <w:unhideWhenUsed/>
    <w:rsid w:val="009C6E90"/>
    <w:rPr>
      <w:color w:val="605E5C"/>
      <w:shd w:val="clear" w:color="auto" w:fill="E1DFDD"/>
    </w:rPr>
  </w:style>
  <w:style w:type="character" w:customStyle="1" w:styleId="UnresolvedMention3">
    <w:name w:val="Unresolved Mention3"/>
    <w:basedOn w:val="DefaultParagraphFont"/>
    <w:uiPriority w:val="99"/>
    <w:semiHidden/>
    <w:unhideWhenUsed/>
    <w:rsid w:val="00C6687D"/>
    <w:rPr>
      <w:color w:val="605E5C"/>
      <w:shd w:val="clear" w:color="auto" w:fill="E1DFDD"/>
    </w:rPr>
  </w:style>
  <w:style w:type="character" w:styleId="FollowedHyperlink">
    <w:name w:val="FollowedHyperlink"/>
    <w:basedOn w:val="DefaultParagraphFont"/>
    <w:uiPriority w:val="99"/>
    <w:semiHidden/>
    <w:unhideWhenUsed/>
    <w:rsid w:val="00C94B6F"/>
    <w:rPr>
      <w:color w:val="954F72" w:themeColor="followedHyperlink"/>
      <w:u w:val="single"/>
    </w:rPr>
  </w:style>
  <w:style w:type="paragraph" w:styleId="Revision">
    <w:name w:val="Revision"/>
    <w:hidden/>
    <w:uiPriority w:val="99"/>
    <w:semiHidden/>
    <w:rsid w:val="00726CA3"/>
    <w:rPr>
      <w:rFonts w:ascii="Book Antiqua" w:hAnsi="Book Antiqua"/>
      <w:sz w:val="26"/>
    </w:rPr>
  </w:style>
  <w:style w:type="character" w:customStyle="1" w:styleId="UnresolvedMention4">
    <w:name w:val="Unresolved Mention4"/>
    <w:basedOn w:val="DefaultParagraphFont"/>
    <w:uiPriority w:val="99"/>
    <w:semiHidden/>
    <w:unhideWhenUsed/>
    <w:rsid w:val="00793474"/>
    <w:rPr>
      <w:color w:val="605E5C"/>
      <w:shd w:val="clear" w:color="auto" w:fill="E1DFDD"/>
    </w:rPr>
  </w:style>
  <w:style w:type="character" w:customStyle="1" w:styleId="UnresolvedMention5">
    <w:name w:val="Unresolved Mention5"/>
    <w:basedOn w:val="DefaultParagraphFont"/>
    <w:uiPriority w:val="99"/>
    <w:semiHidden/>
    <w:unhideWhenUsed/>
    <w:rsid w:val="00667C82"/>
    <w:rPr>
      <w:color w:val="605E5C"/>
      <w:shd w:val="clear" w:color="auto" w:fill="E1DFDD"/>
    </w:rPr>
  </w:style>
  <w:style w:type="character" w:customStyle="1" w:styleId="UnresolvedMention6">
    <w:name w:val="Unresolved Mention6"/>
    <w:basedOn w:val="DefaultParagraphFont"/>
    <w:uiPriority w:val="99"/>
    <w:semiHidden/>
    <w:unhideWhenUsed/>
    <w:rsid w:val="00344C4B"/>
    <w:rPr>
      <w:color w:val="605E5C"/>
      <w:shd w:val="clear" w:color="auto" w:fill="E1DFDD"/>
    </w:rPr>
  </w:style>
  <w:style w:type="character" w:customStyle="1" w:styleId="UnresolvedMention7">
    <w:name w:val="Unresolved Mention7"/>
    <w:basedOn w:val="DefaultParagraphFont"/>
    <w:uiPriority w:val="99"/>
    <w:semiHidden/>
    <w:unhideWhenUsed/>
    <w:rsid w:val="00561867"/>
    <w:rPr>
      <w:color w:val="605E5C"/>
      <w:shd w:val="clear" w:color="auto" w:fill="E1DFDD"/>
    </w:rPr>
  </w:style>
  <w:style w:type="character" w:customStyle="1" w:styleId="UnresolvedMention">
    <w:name w:val="Unresolved Mention"/>
    <w:basedOn w:val="DefaultParagraphFont"/>
    <w:uiPriority w:val="99"/>
    <w:semiHidden/>
    <w:unhideWhenUsed/>
    <w:rsid w:val="003232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9174D"/>
    <w:rPr>
      <w:rFonts w:ascii="Book Antiqua" w:hAnsi="Book Antiqua"/>
      <w:sz w:val="26"/>
    </w:rPr>
  </w:style>
  <w:style w:type="paragraph" w:styleId="Heading1">
    <w:name w:val="heading 1"/>
    <w:basedOn w:val="Normal"/>
    <w:next w:val="Normal"/>
    <w:link w:val="Heading1Char"/>
    <w:rsid w:val="00E25554"/>
    <w:pPr>
      <w:keepNext/>
      <w:numPr>
        <w:numId w:val="2"/>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rsid w:val="00091CDF"/>
    <w:pPr>
      <w:keepNext/>
      <w:numPr>
        <w:ilvl w:val="1"/>
        <w:numId w:val="2"/>
      </w:numPr>
      <w:spacing w:before="120" w:after="120"/>
      <w:outlineLvl w:val="1"/>
    </w:pPr>
    <w:rPr>
      <w:rFonts w:ascii="Arial" w:eastAsia="Times New Roman" w:hAnsi="Arial"/>
      <w:b/>
      <w:szCs w:val="26"/>
    </w:rPr>
  </w:style>
  <w:style w:type="paragraph" w:styleId="Heading3">
    <w:name w:val="heading 3"/>
    <w:basedOn w:val="Normal"/>
    <w:next w:val="Normal"/>
    <w:link w:val="Heading3Char"/>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9">
    <w:name w:val="heading 9"/>
    <w:basedOn w:val="Normal"/>
    <w:next w:val="Normal"/>
    <w:link w:val="Heading9Char"/>
    <w:autoRedefine/>
    <w:rsid w:val="00E25554"/>
    <w:pPr>
      <w:numPr>
        <w:ilvl w:val="8"/>
        <w:numId w:val="2"/>
      </w:numPr>
      <w:tabs>
        <w:tab w:val="left" w:pos="2880"/>
      </w:tabs>
      <w:spacing w:before="120" w:after="120"/>
      <w:ind w:left="2880" w:hanging="2160"/>
      <w:outlineLvl w:val="8"/>
    </w:pPr>
    <w:rPr>
      <w:rFonts w:ascii="Helvetica" w:eastAsia="Times New Roman"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CE14ED"/>
    <w:pPr>
      <w:keepNext/>
      <w:numPr>
        <w:numId w:val="1"/>
      </w:numPr>
      <w:spacing w:before="120" w:after="120" w:line="240" w:lineRule="auto"/>
      <w:ind w:left="720" w:right="2160" w:hanging="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C151FC"/>
    <w:pPr>
      <w:keepNext/>
      <w:numPr>
        <w:ilvl w:val="1"/>
        <w:numId w:val="1"/>
      </w:numPr>
      <w:tabs>
        <w:tab w:val="left" w:pos="1080"/>
      </w:tabs>
      <w:spacing w:before="120" w:after="120" w:line="240" w:lineRule="auto"/>
      <w:ind w:left="720" w:hanging="360"/>
    </w:pPr>
    <w:rPr>
      <w:rFonts w:ascii="Arial" w:hAnsi="Arial" w:cs="Arial"/>
      <w:b/>
    </w:rPr>
  </w:style>
  <w:style w:type="character" w:customStyle="1" w:styleId="ALJHeading1Char">
    <w:name w:val="ALJ Heading 1 Char"/>
    <w:basedOn w:val="ALJBodyTextChar"/>
    <w:link w:val="ALJHeading1"/>
    <w:rsid w:val="00CE14ED"/>
    <w:rPr>
      <w:rFonts w:ascii="Arial" w:hAnsi="Arial" w:cs="Arial"/>
      <w:b/>
      <w:sz w:val="26"/>
    </w:rPr>
  </w:style>
  <w:style w:type="paragraph" w:customStyle="1" w:styleId="ALJHeading3">
    <w:name w:val="ALJ Heading 3"/>
    <w:basedOn w:val="ALJBodyText"/>
    <w:next w:val="ALJBodyText"/>
    <w:link w:val="ALJHeading3Char"/>
    <w:qFormat/>
    <w:rsid w:val="00C151FC"/>
    <w:pPr>
      <w:keepNext/>
      <w:numPr>
        <w:ilvl w:val="2"/>
        <w:numId w:val="1"/>
      </w:numPr>
      <w:tabs>
        <w:tab w:val="left" w:pos="1620"/>
      </w:tabs>
      <w:spacing w:before="120" w:after="120" w:line="240" w:lineRule="auto"/>
      <w:ind w:right="2160"/>
    </w:pPr>
    <w:rPr>
      <w:rFonts w:ascii="Arial" w:hAnsi="Arial" w:cs="Arial"/>
      <w:b/>
    </w:rPr>
  </w:style>
  <w:style w:type="character" w:customStyle="1" w:styleId="ALJHeading2Char">
    <w:name w:val="ALJ Heading 2 Char"/>
    <w:basedOn w:val="ALJBodyTextChar"/>
    <w:link w:val="ALJHeading2"/>
    <w:rsid w:val="00C151FC"/>
    <w:rPr>
      <w:rFonts w:ascii="Arial" w:hAnsi="Arial" w:cs="Arial"/>
      <w:b/>
      <w:sz w:val="26"/>
    </w:rPr>
  </w:style>
  <w:style w:type="paragraph" w:styleId="TOC2">
    <w:name w:val="toc 2"/>
    <w:basedOn w:val="Normal"/>
    <w:next w:val="Normal"/>
    <w:autoRedefine/>
    <w:uiPriority w:val="39"/>
    <w:unhideWhenUsed/>
    <w:rsid w:val="00B2444D"/>
    <w:pPr>
      <w:tabs>
        <w:tab w:val="left" w:pos="880"/>
        <w:tab w:val="right" w:leader="dot" w:pos="9350"/>
      </w:tabs>
      <w:ind w:left="259"/>
    </w:pPr>
  </w:style>
  <w:style w:type="character" w:customStyle="1" w:styleId="ALJHeading3Char">
    <w:name w:val="ALJ Heading 3 Char"/>
    <w:basedOn w:val="ALJBodyTextChar"/>
    <w:link w:val="ALJHeading3"/>
    <w:rsid w:val="00C151FC"/>
    <w:rPr>
      <w:rFonts w:ascii="Arial" w:hAnsi="Arial" w:cs="Arial"/>
      <w:b/>
      <w:sz w:val="26"/>
    </w:rPr>
  </w:style>
  <w:style w:type="paragraph" w:styleId="TOC1">
    <w:name w:val="toc 1"/>
    <w:basedOn w:val="Normal"/>
    <w:next w:val="Normal"/>
    <w:autoRedefine/>
    <w:uiPriority w:val="39"/>
    <w:unhideWhenUsed/>
    <w:rsid w:val="007416CD"/>
    <w:pPr>
      <w:tabs>
        <w:tab w:val="left" w:pos="450"/>
        <w:tab w:val="right" w:leader="dot" w:pos="9350"/>
      </w:tabs>
    </w:pPr>
  </w:style>
  <w:style w:type="paragraph" w:styleId="TOC3">
    <w:name w:val="toc 3"/>
    <w:basedOn w:val="Normal"/>
    <w:next w:val="Normal"/>
    <w:autoRedefine/>
    <w:uiPriority w:val="39"/>
    <w:unhideWhenUsed/>
    <w:rsid w:val="00501843"/>
    <w:pPr>
      <w:tabs>
        <w:tab w:val="left" w:pos="1540"/>
        <w:tab w:val="right" w:leader="dot" w:pos="9350"/>
      </w:tabs>
      <w:ind w:left="52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5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basedOn w:val="Normal"/>
    <w:link w:val="FootnoteTextChar"/>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basedOn w:val="DefaultParagraphFont"/>
    <w:link w:val="FootnoteText"/>
    <w:rsid w:val="0044301E"/>
    <w:rPr>
      <w:rFonts w:ascii="Book Antiqua" w:hAnsi="Book Antiqua"/>
      <w:sz w:val="22"/>
      <w:szCs w:val="22"/>
    </w:rPr>
  </w:style>
  <w:style w:type="character" w:styleId="FootnoteReference">
    <w:name w:val="footnote reference"/>
    <w:aliases w:val="o,fr,Style 3,o1,o2,o3,o4,o5,o6,o11,o21,o7,Footnote Reference1,o + Times New Roman,Style 12,(NECG) Footnote Reference,Appel note de bas de p,Style 124,Style 17,char,o7 + Palati...,Char Char Char Char"/>
    <w:basedOn w:val="DefaultParagraphFont"/>
    <w:uiPriority w:val="99"/>
    <w:unhideWhenUsed/>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3"/>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4"/>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6"/>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7"/>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ind w:firstLine="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unhideWhenUsed/>
    <w:rsid w:val="00091CDF"/>
    <w:rPr>
      <w:sz w:val="20"/>
    </w:rPr>
  </w:style>
  <w:style w:type="character" w:customStyle="1" w:styleId="CommentTextChar">
    <w:name w:val="Comment Text Char"/>
    <w:basedOn w:val="DefaultParagraphFont"/>
    <w:link w:val="CommentText"/>
    <w:rsid w:val="00091CDF"/>
    <w:rPr>
      <w:rFonts w:ascii="Book Antiqua" w:hAnsi="Book Antiqua"/>
    </w:rPr>
  </w:style>
  <w:style w:type="paragraph" w:styleId="CommentSubject">
    <w:name w:val="annotation subject"/>
    <w:basedOn w:val="CommentText"/>
    <w:next w:val="CommentText"/>
    <w:link w:val="CommentSubjectChar"/>
    <w:uiPriority w:val="99"/>
    <w:semiHidden/>
    <w:unhideWhenUsed/>
    <w:rsid w:val="00091CDF"/>
    <w:rPr>
      <w:b/>
      <w:bCs/>
    </w:rPr>
  </w:style>
  <w:style w:type="character" w:customStyle="1" w:styleId="CommentSubjectChar">
    <w:name w:val="Comment Subject Char"/>
    <w:basedOn w:val="CommentTextChar"/>
    <w:link w:val="CommentSubject"/>
    <w:uiPriority w:val="99"/>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paragraph" w:styleId="PlainText">
    <w:name w:val="Plain Text"/>
    <w:basedOn w:val="Normal"/>
    <w:link w:val="PlainTextChar"/>
    <w:uiPriority w:val="99"/>
    <w:semiHidden/>
    <w:unhideWhenUsed/>
    <w:rsid w:val="00E10E27"/>
    <w:rPr>
      <w:rFonts w:ascii="Consolas" w:hAnsi="Consolas" w:cs="Consolas"/>
      <w:sz w:val="21"/>
      <w:szCs w:val="21"/>
    </w:rPr>
  </w:style>
  <w:style w:type="character" w:customStyle="1" w:styleId="PlainTextChar">
    <w:name w:val="Plain Text Char"/>
    <w:basedOn w:val="DefaultParagraphFont"/>
    <w:link w:val="PlainText"/>
    <w:uiPriority w:val="99"/>
    <w:semiHidden/>
    <w:rsid w:val="00E10E27"/>
    <w:rPr>
      <w:rFonts w:ascii="Consolas" w:hAnsi="Consolas" w:cs="Consolas"/>
      <w:sz w:val="21"/>
      <w:szCs w:val="21"/>
    </w:rPr>
  </w:style>
  <w:style w:type="paragraph" w:styleId="TOCHeading">
    <w:name w:val="TOC Heading"/>
    <w:basedOn w:val="Heading1"/>
    <w:next w:val="Normal"/>
    <w:uiPriority w:val="39"/>
    <w:unhideWhenUsed/>
    <w:qFormat/>
    <w:rsid w:val="00C263A6"/>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customStyle="1" w:styleId="ALJFN">
    <w:name w:val="ALJ FN"/>
    <w:basedOn w:val="FootnoteText"/>
    <w:link w:val="ALJFNChar"/>
    <w:qFormat/>
    <w:rsid w:val="00240EAA"/>
    <w:rPr>
      <w:rFonts w:eastAsia="Times New Roman"/>
    </w:rPr>
  </w:style>
  <w:style w:type="character" w:customStyle="1" w:styleId="ALJFNChar">
    <w:name w:val="ALJ FN Char"/>
    <w:basedOn w:val="FootnoteTextChar"/>
    <w:link w:val="ALJFN"/>
    <w:rsid w:val="00240EAA"/>
    <w:rPr>
      <w:rFonts w:ascii="Book Antiqua" w:eastAsia="Times New Roman" w:hAnsi="Book Antiqua"/>
      <w:sz w:val="22"/>
      <w:szCs w:val="22"/>
    </w:rPr>
  </w:style>
  <w:style w:type="paragraph" w:styleId="Index1">
    <w:name w:val="index 1"/>
    <w:basedOn w:val="Normal"/>
    <w:next w:val="Normal"/>
    <w:autoRedefine/>
    <w:uiPriority w:val="99"/>
    <w:unhideWhenUsed/>
    <w:rsid w:val="005D3F7B"/>
    <w:pPr>
      <w:ind w:left="260" w:hanging="260"/>
    </w:pPr>
  </w:style>
  <w:style w:type="paragraph" w:styleId="Index2">
    <w:name w:val="index 2"/>
    <w:basedOn w:val="Normal"/>
    <w:next w:val="Normal"/>
    <w:autoRedefine/>
    <w:uiPriority w:val="99"/>
    <w:unhideWhenUsed/>
    <w:rsid w:val="005D3F7B"/>
    <w:pPr>
      <w:ind w:left="520" w:hanging="260"/>
    </w:pPr>
  </w:style>
  <w:style w:type="paragraph" w:styleId="Index3">
    <w:name w:val="index 3"/>
    <w:basedOn w:val="Normal"/>
    <w:next w:val="Normal"/>
    <w:autoRedefine/>
    <w:uiPriority w:val="99"/>
    <w:unhideWhenUsed/>
    <w:rsid w:val="005D3F7B"/>
    <w:pPr>
      <w:ind w:left="780" w:hanging="260"/>
    </w:pPr>
  </w:style>
  <w:style w:type="paragraph" w:styleId="Index4">
    <w:name w:val="index 4"/>
    <w:basedOn w:val="Normal"/>
    <w:next w:val="Normal"/>
    <w:autoRedefine/>
    <w:uiPriority w:val="99"/>
    <w:unhideWhenUsed/>
    <w:rsid w:val="005D3F7B"/>
    <w:pPr>
      <w:ind w:left="1040" w:hanging="260"/>
    </w:pPr>
  </w:style>
  <w:style w:type="paragraph" w:styleId="Index5">
    <w:name w:val="index 5"/>
    <w:basedOn w:val="Normal"/>
    <w:next w:val="Normal"/>
    <w:autoRedefine/>
    <w:uiPriority w:val="99"/>
    <w:unhideWhenUsed/>
    <w:rsid w:val="005D3F7B"/>
    <w:pPr>
      <w:ind w:left="1300" w:hanging="260"/>
    </w:pPr>
  </w:style>
  <w:style w:type="paragraph" w:styleId="Index6">
    <w:name w:val="index 6"/>
    <w:basedOn w:val="Normal"/>
    <w:next w:val="Normal"/>
    <w:autoRedefine/>
    <w:uiPriority w:val="99"/>
    <w:unhideWhenUsed/>
    <w:rsid w:val="005D3F7B"/>
    <w:pPr>
      <w:ind w:left="1560" w:hanging="260"/>
    </w:pPr>
  </w:style>
  <w:style w:type="paragraph" w:styleId="Index7">
    <w:name w:val="index 7"/>
    <w:basedOn w:val="Normal"/>
    <w:next w:val="Normal"/>
    <w:autoRedefine/>
    <w:uiPriority w:val="99"/>
    <w:unhideWhenUsed/>
    <w:rsid w:val="005D3F7B"/>
    <w:pPr>
      <w:ind w:left="1820" w:hanging="260"/>
    </w:pPr>
  </w:style>
  <w:style w:type="paragraph" w:styleId="Index8">
    <w:name w:val="index 8"/>
    <w:basedOn w:val="Normal"/>
    <w:next w:val="Normal"/>
    <w:autoRedefine/>
    <w:uiPriority w:val="99"/>
    <w:unhideWhenUsed/>
    <w:rsid w:val="005D3F7B"/>
    <w:pPr>
      <w:ind w:left="2080" w:hanging="260"/>
    </w:pPr>
  </w:style>
  <w:style w:type="paragraph" w:styleId="Index9">
    <w:name w:val="index 9"/>
    <w:basedOn w:val="Normal"/>
    <w:next w:val="Normal"/>
    <w:autoRedefine/>
    <w:uiPriority w:val="99"/>
    <w:unhideWhenUsed/>
    <w:rsid w:val="005D3F7B"/>
    <w:pPr>
      <w:ind w:left="2340" w:hanging="260"/>
    </w:pPr>
  </w:style>
  <w:style w:type="paragraph" w:styleId="IndexHeading">
    <w:name w:val="index heading"/>
    <w:basedOn w:val="Normal"/>
    <w:next w:val="Index1"/>
    <w:uiPriority w:val="99"/>
    <w:unhideWhenUsed/>
    <w:rsid w:val="005D3F7B"/>
  </w:style>
  <w:style w:type="character" w:customStyle="1" w:styleId="UnresolvedMention1">
    <w:name w:val="Unresolved Mention1"/>
    <w:basedOn w:val="DefaultParagraphFont"/>
    <w:uiPriority w:val="99"/>
    <w:semiHidden/>
    <w:unhideWhenUsed/>
    <w:rsid w:val="000B492A"/>
    <w:rPr>
      <w:color w:val="605E5C"/>
      <w:shd w:val="clear" w:color="auto" w:fill="E1DFDD"/>
    </w:rPr>
  </w:style>
  <w:style w:type="paragraph" w:styleId="TOC4">
    <w:name w:val="toc 4"/>
    <w:basedOn w:val="Normal"/>
    <w:next w:val="Normal"/>
    <w:autoRedefine/>
    <w:uiPriority w:val="39"/>
    <w:unhideWhenUsed/>
    <w:rsid w:val="00841EF4"/>
    <w:pPr>
      <w:spacing w:after="100"/>
      <w:ind w:left="780"/>
    </w:pPr>
  </w:style>
  <w:style w:type="paragraph" w:styleId="NormalWeb">
    <w:name w:val="Normal (Web)"/>
    <w:basedOn w:val="Normal"/>
    <w:uiPriority w:val="99"/>
    <w:semiHidden/>
    <w:unhideWhenUsed/>
    <w:rsid w:val="00C22710"/>
    <w:rPr>
      <w:rFonts w:ascii="Times New Roman" w:hAnsi="Times New Roman"/>
      <w:sz w:val="24"/>
    </w:rPr>
  </w:style>
  <w:style w:type="character" w:customStyle="1" w:styleId="UnresolvedMention2">
    <w:name w:val="Unresolved Mention2"/>
    <w:basedOn w:val="DefaultParagraphFont"/>
    <w:uiPriority w:val="99"/>
    <w:semiHidden/>
    <w:unhideWhenUsed/>
    <w:rsid w:val="009C6E90"/>
    <w:rPr>
      <w:color w:val="605E5C"/>
      <w:shd w:val="clear" w:color="auto" w:fill="E1DFDD"/>
    </w:rPr>
  </w:style>
  <w:style w:type="character" w:customStyle="1" w:styleId="UnresolvedMention3">
    <w:name w:val="Unresolved Mention3"/>
    <w:basedOn w:val="DefaultParagraphFont"/>
    <w:uiPriority w:val="99"/>
    <w:semiHidden/>
    <w:unhideWhenUsed/>
    <w:rsid w:val="00C6687D"/>
    <w:rPr>
      <w:color w:val="605E5C"/>
      <w:shd w:val="clear" w:color="auto" w:fill="E1DFDD"/>
    </w:rPr>
  </w:style>
  <w:style w:type="character" w:styleId="FollowedHyperlink">
    <w:name w:val="FollowedHyperlink"/>
    <w:basedOn w:val="DefaultParagraphFont"/>
    <w:uiPriority w:val="99"/>
    <w:semiHidden/>
    <w:unhideWhenUsed/>
    <w:rsid w:val="00C94B6F"/>
    <w:rPr>
      <w:color w:val="954F72" w:themeColor="followedHyperlink"/>
      <w:u w:val="single"/>
    </w:rPr>
  </w:style>
  <w:style w:type="paragraph" w:styleId="Revision">
    <w:name w:val="Revision"/>
    <w:hidden/>
    <w:uiPriority w:val="99"/>
    <w:semiHidden/>
    <w:rsid w:val="00726CA3"/>
    <w:rPr>
      <w:rFonts w:ascii="Book Antiqua" w:hAnsi="Book Antiqua"/>
      <w:sz w:val="26"/>
    </w:rPr>
  </w:style>
  <w:style w:type="character" w:customStyle="1" w:styleId="UnresolvedMention4">
    <w:name w:val="Unresolved Mention4"/>
    <w:basedOn w:val="DefaultParagraphFont"/>
    <w:uiPriority w:val="99"/>
    <w:semiHidden/>
    <w:unhideWhenUsed/>
    <w:rsid w:val="00793474"/>
    <w:rPr>
      <w:color w:val="605E5C"/>
      <w:shd w:val="clear" w:color="auto" w:fill="E1DFDD"/>
    </w:rPr>
  </w:style>
  <w:style w:type="character" w:customStyle="1" w:styleId="UnresolvedMention5">
    <w:name w:val="Unresolved Mention5"/>
    <w:basedOn w:val="DefaultParagraphFont"/>
    <w:uiPriority w:val="99"/>
    <w:semiHidden/>
    <w:unhideWhenUsed/>
    <w:rsid w:val="00667C82"/>
    <w:rPr>
      <w:color w:val="605E5C"/>
      <w:shd w:val="clear" w:color="auto" w:fill="E1DFDD"/>
    </w:rPr>
  </w:style>
  <w:style w:type="character" w:customStyle="1" w:styleId="UnresolvedMention6">
    <w:name w:val="Unresolved Mention6"/>
    <w:basedOn w:val="DefaultParagraphFont"/>
    <w:uiPriority w:val="99"/>
    <w:semiHidden/>
    <w:unhideWhenUsed/>
    <w:rsid w:val="00344C4B"/>
    <w:rPr>
      <w:color w:val="605E5C"/>
      <w:shd w:val="clear" w:color="auto" w:fill="E1DFDD"/>
    </w:rPr>
  </w:style>
  <w:style w:type="character" w:customStyle="1" w:styleId="UnresolvedMention7">
    <w:name w:val="Unresolved Mention7"/>
    <w:basedOn w:val="DefaultParagraphFont"/>
    <w:uiPriority w:val="99"/>
    <w:semiHidden/>
    <w:unhideWhenUsed/>
    <w:rsid w:val="00561867"/>
    <w:rPr>
      <w:color w:val="605E5C"/>
      <w:shd w:val="clear" w:color="auto" w:fill="E1DFDD"/>
    </w:rPr>
  </w:style>
  <w:style w:type="character" w:customStyle="1" w:styleId="UnresolvedMention">
    <w:name w:val="Unresolved Mention"/>
    <w:basedOn w:val="DefaultParagraphFont"/>
    <w:uiPriority w:val="99"/>
    <w:semiHidden/>
    <w:unhideWhenUsed/>
    <w:rsid w:val="00323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280">
      <w:bodyDiv w:val="1"/>
      <w:marLeft w:val="0"/>
      <w:marRight w:val="0"/>
      <w:marTop w:val="0"/>
      <w:marBottom w:val="0"/>
      <w:divBdr>
        <w:top w:val="none" w:sz="0" w:space="0" w:color="auto"/>
        <w:left w:val="none" w:sz="0" w:space="0" w:color="auto"/>
        <w:bottom w:val="none" w:sz="0" w:space="0" w:color="auto"/>
        <w:right w:val="none" w:sz="0" w:space="0" w:color="auto"/>
      </w:divBdr>
    </w:div>
    <w:div w:id="87584021">
      <w:bodyDiv w:val="1"/>
      <w:marLeft w:val="0"/>
      <w:marRight w:val="0"/>
      <w:marTop w:val="0"/>
      <w:marBottom w:val="0"/>
      <w:divBdr>
        <w:top w:val="none" w:sz="0" w:space="0" w:color="auto"/>
        <w:left w:val="none" w:sz="0" w:space="0" w:color="auto"/>
        <w:bottom w:val="none" w:sz="0" w:space="0" w:color="auto"/>
        <w:right w:val="none" w:sz="0" w:space="0" w:color="auto"/>
      </w:divBdr>
    </w:div>
    <w:div w:id="198319955">
      <w:bodyDiv w:val="1"/>
      <w:marLeft w:val="0"/>
      <w:marRight w:val="0"/>
      <w:marTop w:val="0"/>
      <w:marBottom w:val="0"/>
      <w:divBdr>
        <w:top w:val="none" w:sz="0" w:space="0" w:color="auto"/>
        <w:left w:val="none" w:sz="0" w:space="0" w:color="auto"/>
        <w:bottom w:val="none" w:sz="0" w:space="0" w:color="auto"/>
        <w:right w:val="none" w:sz="0" w:space="0" w:color="auto"/>
      </w:divBdr>
      <w:divsChild>
        <w:div w:id="916398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784816">
              <w:marLeft w:val="0"/>
              <w:marRight w:val="0"/>
              <w:marTop w:val="0"/>
              <w:marBottom w:val="0"/>
              <w:divBdr>
                <w:top w:val="none" w:sz="0" w:space="0" w:color="auto"/>
                <w:left w:val="none" w:sz="0" w:space="0" w:color="auto"/>
                <w:bottom w:val="none" w:sz="0" w:space="0" w:color="auto"/>
                <w:right w:val="none" w:sz="0" w:space="0" w:color="auto"/>
              </w:divBdr>
              <w:divsChild>
                <w:div w:id="18712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4107">
      <w:bodyDiv w:val="1"/>
      <w:marLeft w:val="0"/>
      <w:marRight w:val="0"/>
      <w:marTop w:val="0"/>
      <w:marBottom w:val="0"/>
      <w:divBdr>
        <w:top w:val="none" w:sz="0" w:space="0" w:color="auto"/>
        <w:left w:val="none" w:sz="0" w:space="0" w:color="auto"/>
        <w:bottom w:val="none" w:sz="0" w:space="0" w:color="auto"/>
        <w:right w:val="none" w:sz="0" w:space="0" w:color="auto"/>
      </w:divBdr>
    </w:div>
    <w:div w:id="362756271">
      <w:bodyDiv w:val="1"/>
      <w:marLeft w:val="0"/>
      <w:marRight w:val="0"/>
      <w:marTop w:val="0"/>
      <w:marBottom w:val="0"/>
      <w:divBdr>
        <w:top w:val="none" w:sz="0" w:space="0" w:color="auto"/>
        <w:left w:val="none" w:sz="0" w:space="0" w:color="auto"/>
        <w:bottom w:val="none" w:sz="0" w:space="0" w:color="auto"/>
        <w:right w:val="none" w:sz="0" w:space="0" w:color="auto"/>
      </w:divBdr>
    </w:div>
    <w:div w:id="368453854">
      <w:bodyDiv w:val="1"/>
      <w:marLeft w:val="0"/>
      <w:marRight w:val="0"/>
      <w:marTop w:val="0"/>
      <w:marBottom w:val="0"/>
      <w:divBdr>
        <w:top w:val="none" w:sz="0" w:space="0" w:color="auto"/>
        <w:left w:val="none" w:sz="0" w:space="0" w:color="auto"/>
        <w:bottom w:val="none" w:sz="0" w:space="0" w:color="auto"/>
        <w:right w:val="none" w:sz="0" w:space="0" w:color="auto"/>
      </w:divBdr>
      <w:divsChild>
        <w:div w:id="1169906068">
          <w:marLeft w:val="0"/>
          <w:marRight w:val="0"/>
          <w:marTop w:val="0"/>
          <w:marBottom w:val="0"/>
          <w:divBdr>
            <w:top w:val="none" w:sz="0" w:space="0" w:color="auto"/>
            <w:left w:val="none" w:sz="0" w:space="0" w:color="auto"/>
            <w:bottom w:val="none" w:sz="0" w:space="0" w:color="auto"/>
            <w:right w:val="none" w:sz="0" w:space="0" w:color="auto"/>
          </w:divBdr>
        </w:div>
      </w:divsChild>
    </w:div>
    <w:div w:id="386337667">
      <w:bodyDiv w:val="1"/>
      <w:marLeft w:val="0"/>
      <w:marRight w:val="0"/>
      <w:marTop w:val="0"/>
      <w:marBottom w:val="0"/>
      <w:divBdr>
        <w:top w:val="none" w:sz="0" w:space="0" w:color="auto"/>
        <w:left w:val="none" w:sz="0" w:space="0" w:color="auto"/>
        <w:bottom w:val="none" w:sz="0" w:space="0" w:color="auto"/>
        <w:right w:val="none" w:sz="0" w:space="0" w:color="auto"/>
      </w:divBdr>
    </w:div>
    <w:div w:id="394545161">
      <w:bodyDiv w:val="1"/>
      <w:marLeft w:val="0"/>
      <w:marRight w:val="0"/>
      <w:marTop w:val="0"/>
      <w:marBottom w:val="0"/>
      <w:divBdr>
        <w:top w:val="none" w:sz="0" w:space="0" w:color="auto"/>
        <w:left w:val="none" w:sz="0" w:space="0" w:color="auto"/>
        <w:bottom w:val="none" w:sz="0" w:space="0" w:color="auto"/>
        <w:right w:val="none" w:sz="0" w:space="0" w:color="auto"/>
      </w:divBdr>
      <w:divsChild>
        <w:div w:id="122082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53171">
              <w:marLeft w:val="0"/>
              <w:marRight w:val="0"/>
              <w:marTop w:val="0"/>
              <w:marBottom w:val="0"/>
              <w:divBdr>
                <w:top w:val="none" w:sz="0" w:space="0" w:color="auto"/>
                <w:left w:val="none" w:sz="0" w:space="0" w:color="auto"/>
                <w:bottom w:val="none" w:sz="0" w:space="0" w:color="auto"/>
                <w:right w:val="none" w:sz="0" w:space="0" w:color="auto"/>
              </w:divBdr>
              <w:divsChild>
                <w:div w:id="7504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8711">
      <w:bodyDiv w:val="1"/>
      <w:marLeft w:val="0"/>
      <w:marRight w:val="0"/>
      <w:marTop w:val="0"/>
      <w:marBottom w:val="0"/>
      <w:divBdr>
        <w:top w:val="none" w:sz="0" w:space="0" w:color="auto"/>
        <w:left w:val="none" w:sz="0" w:space="0" w:color="auto"/>
        <w:bottom w:val="none" w:sz="0" w:space="0" w:color="auto"/>
        <w:right w:val="none" w:sz="0" w:space="0" w:color="auto"/>
      </w:divBdr>
    </w:div>
    <w:div w:id="474299698">
      <w:bodyDiv w:val="1"/>
      <w:marLeft w:val="0"/>
      <w:marRight w:val="0"/>
      <w:marTop w:val="0"/>
      <w:marBottom w:val="0"/>
      <w:divBdr>
        <w:top w:val="none" w:sz="0" w:space="0" w:color="auto"/>
        <w:left w:val="none" w:sz="0" w:space="0" w:color="auto"/>
        <w:bottom w:val="none" w:sz="0" w:space="0" w:color="auto"/>
        <w:right w:val="none" w:sz="0" w:space="0" w:color="auto"/>
      </w:divBdr>
    </w:div>
    <w:div w:id="577637524">
      <w:bodyDiv w:val="1"/>
      <w:marLeft w:val="0"/>
      <w:marRight w:val="0"/>
      <w:marTop w:val="0"/>
      <w:marBottom w:val="0"/>
      <w:divBdr>
        <w:top w:val="none" w:sz="0" w:space="0" w:color="auto"/>
        <w:left w:val="none" w:sz="0" w:space="0" w:color="auto"/>
        <w:bottom w:val="none" w:sz="0" w:space="0" w:color="auto"/>
        <w:right w:val="none" w:sz="0" w:space="0" w:color="auto"/>
      </w:divBdr>
    </w:div>
    <w:div w:id="651103685">
      <w:bodyDiv w:val="1"/>
      <w:marLeft w:val="0"/>
      <w:marRight w:val="0"/>
      <w:marTop w:val="0"/>
      <w:marBottom w:val="0"/>
      <w:divBdr>
        <w:top w:val="none" w:sz="0" w:space="0" w:color="auto"/>
        <w:left w:val="none" w:sz="0" w:space="0" w:color="auto"/>
        <w:bottom w:val="none" w:sz="0" w:space="0" w:color="auto"/>
        <w:right w:val="none" w:sz="0" w:space="0" w:color="auto"/>
      </w:divBdr>
    </w:div>
    <w:div w:id="744030776">
      <w:bodyDiv w:val="1"/>
      <w:marLeft w:val="0"/>
      <w:marRight w:val="0"/>
      <w:marTop w:val="0"/>
      <w:marBottom w:val="0"/>
      <w:divBdr>
        <w:top w:val="none" w:sz="0" w:space="0" w:color="auto"/>
        <w:left w:val="none" w:sz="0" w:space="0" w:color="auto"/>
        <w:bottom w:val="none" w:sz="0" w:space="0" w:color="auto"/>
        <w:right w:val="none" w:sz="0" w:space="0" w:color="auto"/>
      </w:divBdr>
    </w:div>
    <w:div w:id="793644441">
      <w:bodyDiv w:val="1"/>
      <w:marLeft w:val="0"/>
      <w:marRight w:val="0"/>
      <w:marTop w:val="0"/>
      <w:marBottom w:val="0"/>
      <w:divBdr>
        <w:top w:val="none" w:sz="0" w:space="0" w:color="auto"/>
        <w:left w:val="none" w:sz="0" w:space="0" w:color="auto"/>
        <w:bottom w:val="none" w:sz="0" w:space="0" w:color="auto"/>
        <w:right w:val="none" w:sz="0" w:space="0" w:color="auto"/>
      </w:divBdr>
    </w:div>
    <w:div w:id="926571265">
      <w:bodyDiv w:val="1"/>
      <w:marLeft w:val="0"/>
      <w:marRight w:val="0"/>
      <w:marTop w:val="0"/>
      <w:marBottom w:val="0"/>
      <w:divBdr>
        <w:top w:val="none" w:sz="0" w:space="0" w:color="auto"/>
        <w:left w:val="none" w:sz="0" w:space="0" w:color="auto"/>
        <w:bottom w:val="none" w:sz="0" w:space="0" w:color="auto"/>
        <w:right w:val="none" w:sz="0" w:space="0" w:color="auto"/>
      </w:divBdr>
    </w:div>
    <w:div w:id="1005669585">
      <w:bodyDiv w:val="1"/>
      <w:marLeft w:val="0"/>
      <w:marRight w:val="0"/>
      <w:marTop w:val="0"/>
      <w:marBottom w:val="0"/>
      <w:divBdr>
        <w:top w:val="none" w:sz="0" w:space="0" w:color="auto"/>
        <w:left w:val="none" w:sz="0" w:space="0" w:color="auto"/>
        <w:bottom w:val="none" w:sz="0" w:space="0" w:color="auto"/>
        <w:right w:val="none" w:sz="0" w:space="0" w:color="auto"/>
      </w:divBdr>
      <w:divsChild>
        <w:div w:id="198176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809771">
              <w:marLeft w:val="0"/>
              <w:marRight w:val="0"/>
              <w:marTop w:val="0"/>
              <w:marBottom w:val="0"/>
              <w:divBdr>
                <w:top w:val="none" w:sz="0" w:space="0" w:color="auto"/>
                <w:left w:val="none" w:sz="0" w:space="0" w:color="auto"/>
                <w:bottom w:val="none" w:sz="0" w:space="0" w:color="auto"/>
                <w:right w:val="none" w:sz="0" w:space="0" w:color="auto"/>
              </w:divBdr>
              <w:divsChild>
                <w:div w:id="11184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4695">
      <w:bodyDiv w:val="1"/>
      <w:marLeft w:val="0"/>
      <w:marRight w:val="0"/>
      <w:marTop w:val="0"/>
      <w:marBottom w:val="0"/>
      <w:divBdr>
        <w:top w:val="none" w:sz="0" w:space="0" w:color="auto"/>
        <w:left w:val="none" w:sz="0" w:space="0" w:color="auto"/>
        <w:bottom w:val="none" w:sz="0" w:space="0" w:color="auto"/>
        <w:right w:val="none" w:sz="0" w:space="0" w:color="auto"/>
      </w:divBdr>
    </w:div>
    <w:div w:id="1075512586">
      <w:bodyDiv w:val="1"/>
      <w:marLeft w:val="0"/>
      <w:marRight w:val="0"/>
      <w:marTop w:val="0"/>
      <w:marBottom w:val="0"/>
      <w:divBdr>
        <w:top w:val="none" w:sz="0" w:space="0" w:color="auto"/>
        <w:left w:val="none" w:sz="0" w:space="0" w:color="auto"/>
        <w:bottom w:val="none" w:sz="0" w:space="0" w:color="auto"/>
        <w:right w:val="none" w:sz="0" w:space="0" w:color="auto"/>
      </w:divBdr>
      <w:divsChild>
        <w:div w:id="9209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629479">
              <w:marLeft w:val="0"/>
              <w:marRight w:val="0"/>
              <w:marTop w:val="0"/>
              <w:marBottom w:val="0"/>
              <w:divBdr>
                <w:top w:val="none" w:sz="0" w:space="0" w:color="auto"/>
                <w:left w:val="none" w:sz="0" w:space="0" w:color="auto"/>
                <w:bottom w:val="none" w:sz="0" w:space="0" w:color="auto"/>
                <w:right w:val="none" w:sz="0" w:space="0" w:color="auto"/>
              </w:divBdr>
              <w:divsChild>
                <w:div w:id="6444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3570">
      <w:bodyDiv w:val="1"/>
      <w:marLeft w:val="0"/>
      <w:marRight w:val="0"/>
      <w:marTop w:val="0"/>
      <w:marBottom w:val="0"/>
      <w:divBdr>
        <w:top w:val="none" w:sz="0" w:space="0" w:color="auto"/>
        <w:left w:val="none" w:sz="0" w:space="0" w:color="auto"/>
        <w:bottom w:val="none" w:sz="0" w:space="0" w:color="auto"/>
        <w:right w:val="none" w:sz="0" w:space="0" w:color="auto"/>
      </w:divBdr>
    </w:div>
    <w:div w:id="1220819415">
      <w:bodyDiv w:val="1"/>
      <w:marLeft w:val="0"/>
      <w:marRight w:val="0"/>
      <w:marTop w:val="0"/>
      <w:marBottom w:val="0"/>
      <w:divBdr>
        <w:top w:val="none" w:sz="0" w:space="0" w:color="auto"/>
        <w:left w:val="none" w:sz="0" w:space="0" w:color="auto"/>
        <w:bottom w:val="none" w:sz="0" w:space="0" w:color="auto"/>
        <w:right w:val="none" w:sz="0" w:space="0" w:color="auto"/>
      </w:divBdr>
    </w:div>
    <w:div w:id="1265336207">
      <w:bodyDiv w:val="1"/>
      <w:marLeft w:val="0"/>
      <w:marRight w:val="0"/>
      <w:marTop w:val="0"/>
      <w:marBottom w:val="0"/>
      <w:divBdr>
        <w:top w:val="none" w:sz="0" w:space="0" w:color="auto"/>
        <w:left w:val="none" w:sz="0" w:space="0" w:color="auto"/>
        <w:bottom w:val="none" w:sz="0" w:space="0" w:color="auto"/>
        <w:right w:val="none" w:sz="0" w:space="0" w:color="auto"/>
      </w:divBdr>
      <w:divsChild>
        <w:div w:id="61023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700760">
              <w:marLeft w:val="0"/>
              <w:marRight w:val="0"/>
              <w:marTop w:val="0"/>
              <w:marBottom w:val="0"/>
              <w:divBdr>
                <w:top w:val="none" w:sz="0" w:space="0" w:color="auto"/>
                <w:left w:val="none" w:sz="0" w:space="0" w:color="auto"/>
                <w:bottom w:val="none" w:sz="0" w:space="0" w:color="auto"/>
                <w:right w:val="none" w:sz="0" w:space="0" w:color="auto"/>
              </w:divBdr>
              <w:divsChild>
                <w:div w:id="11295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1114">
      <w:bodyDiv w:val="1"/>
      <w:marLeft w:val="0"/>
      <w:marRight w:val="0"/>
      <w:marTop w:val="0"/>
      <w:marBottom w:val="0"/>
      <w:divBdr>
        <w:top w:val="none" w:sz="0" w:space="0" w:color="auto"/>
        <w:left w:val="none" w:sz="0" w:space="0" w:color="auto"/>
        <w:bottom w:val="none" w:sz="0" w:space="0" w:color="auto"/>
        <w:right w:val="none" w:sz="0" w:space="0" w:color="auto"/>
      </w:divBdr>
    </w:div>
    <w:div w:id="1338851511">
      <w:bodyDiv w:val="1"/>
      <w:marLeft w:val="0"/>
      <w:marRight w:val="0"/>
      <w:marTop w:val="0"/>
      <w:marBottom w:val="0"/>
      <w:divBdr>
        <w:top w:val="none" w:sz="0" w:space="0" w:color="auto"/>
        <w:left w:val="none" w:sz="0" w:space="0" w:color="auto"/>
        <w:bottom w:val="none" w:sz="0" w:space="0" w:color="auto"/>
        <w:right w:val="none" w:sz="0" w:space="0" w:color="auto"/>
      </w:divBdr>
    </w:div>
    <w:div w:id="1353459376">
      <w:bodyDiv w:val="1"/>
      <w:marLeft w:val="0"/>
      <w:marRight w:val="0"/>
      <w:marTop w:val="0"/>
      <w:marBottom w:val="0"/>
      <w:divBdr>
        <w:top w:val="none" w:sz="0" w:space="0" w:color="auto"/>
        <w:left w:val="none" w:sz="0" w:space="0" w:color="auto"/>
        <w:bottom w:val="none" w:sz="0" w:space="0" w:color="auto"/>
        <w:right w:val="none" w:sz="0" w:space="0" w:color="auto"/>
      </w:divBdr>
    </w:div>
    <w:div w:id="1386220127">
      <w:bodyDiv w:val="1"/>
      <w:marLeft w:val="0"/>
      <w:marRight w:val="0"/>
      <w:marTop w:val="0"/>
      <w:marBottom w:val="0"/>
      <w:divBdr>
        <w:top w:val="none" w:sz="0" w:space="0" w:color="auto"/>
        <w:left w:val="none" w:sz="0" w:space="0" w:color="auto"/>
        <w:bottom w:val="none" w:sz="0" w:space="0" w:color="auto"/>
        <w:right w:val="none" w:sz="0" w:space="0" w:color="auto"/>
      </w:divBdr>
    </w:div>
    <w:div w:id="1399355359">
      <w:bodyDiv w:val="1"/>
      <w:marLeft w:val="0"/>
      <w:marRight w:val="0"/>
      <w:marTop w:val="0"/>
      <w:marBottom w:val="0"/>
      <w:divBdr>
        <w:top w:val="none" w:sz="0" w:space="0" w:color="auto"/>
        <w:left w:val="none" w:sz="0" w:space="0" w:color="auto"/>
        <w:bottom w:val="none" w:sz="0" w:space="0" w:color="auto"/>
        <w:right w:val="none" w:sz="0" w:space="0" w:color="auto"/>
      </w:divBdr>
    </w:div>
    <w:div w:id="1446971628">
      <w:bodyDiv w:val="1"/>
      <w:marLeft w:val="0"/>
      <w:marRight w:val="0"/>
      <w:marTop w:val="0"/>
      <w:marBottom w:val="0"/>
      <w:divBdr>
        <w:top w:val="none" w:sz="0" w:space="0" w:color="auto"/>
        <w:left w:val="none" w:sz="0" w:space="0" w:color="auto"/>
        <w:bottom w:val="none" w:sz="0" w:space="0" w:color="auto"/>
        <w:right w:val="none" w:sz="0" w:space="0" w:color="auto"/>
      </w:divBdr>
      <w:divsChild>
        <w:div w:id="1346403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19000">
              <w:marLeft w:val="0"/>
              <w:marRight w:val="0"/>
              <w:marTop w:val="0"/>
              <w:marBottom w:val="0"/>
              <w:divBdr>
                <w:top w:val="none" w:sz="0" w:space="0" w:color="auto"/>
                <w:left w:val="none" w:sz="0" w:space="0" w:color="auto"/>
                <w:bottom w:val="none" w:sz="0" w:space="0" w:color="auto"/>
                <w:right w:val="none" w:sz="0" w:space="0" w:color="auto"/>
              </w:divBdr>
              <w:divsChild>
                <w:div w:id="5895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2899">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684036">
              <w:marLeft w:val="0"/>
              <w:marRight w:val="0"/>
              <w:marTop w:val="0"/>
              <w:marBottom w:val="0"/>
              <w:divBdr>
                <w:top w:val="none" w:sz="0" w:space="0" w:color="auto"/>
                <w:left w:val="none" w:sz="0" w:space="0" w:color="auto"/>
                <w:bottom w:val="none" w:sz="0" w:space="0" w:color="auto"/>
                <w:right w:val="none" w:sz="0" w:space="0" w:color="auto"/>
              </w:divBdr>
              <w:divsChild>
                <w:div w:id="5125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5975">
      <w:bodyDiv w:val="1"/>
      <w:marLeft w:val="0"/>
      <w:marRight w:val="0"/>
      <w:marTop w:val="0"/>
      <w:marBottom w:val="0"/>
      <w:divBdr>
        <w:top w:val="none" w:sz="0" w:space="0" w:color="auto"/>
        <w:left w:val="none" w:sz="0" w:space="0" w:color="auto"/>
        <w:bottom w:val="none" w:sz="0" w:space="0" w:color="auto"/>
        <w:right w:val="none" w:sz="0" w:space="0" w:color="auto"/>
      </w:divBdr>
    </w:div>
    <w:div w:id="1544559869">
      <w:bodyDiv w:val="1"/>
      <w:marLeft w:val="0"/>
      <w:marRight w:val="0"/>
      <w:marTop w:val="0"/>
      <w:marBottom w:val="0"/>
      <w:divBdr>
        <w:top w:val="none" w:sz="0" w:space="0" w:color="auto"/>
        <w:left w:val="none" w:sz="0" w:space="0" w:color="auto"/>
        <w:bottom w:val="none" w:sz="0" w:space="0" w:color="auto"/>
        <w:right w:val="none" w:sz="0" w:space="0" w:color="auto"/>
      </w:divBdr>
    </w:div>
    <w:div w:id="1571847684">
      <w:bodyDiv w:val="1"/>
      <w:marLeft w:val="0"/>
      <w:marRight w:val="0"/>
      <w:marTop w:val="0"/>
      <w:marBottom w:val="0"/>
      <w:divBdr>
        <w:top w:val="none" w:sz="0" w:space="0" w:color="auto"/>
        <w:left w:val="none" w:sz="0" w:space="0" w:color="auto"/>
        <w:bottom w:val="none" w:sz="0" w:space="0" w:color="auto"/>
        <w:right w:val="none" w:sz="0" w:space="0" w:color="auto"/>
      </w:divBdr>
      <w:divsChild>
        <w:div w:id="154698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18635">
              <w:marLeft w:val="0"/>
              <w:marRight w:val="0"/>
              <w:marTop w:val="0"/>
              <w:marBottom w:val="0"/>
              <w:divBdr>
                <w:top w:val="none" w:sz="0" w:space="0" w:color="auto"/>
                <w:left w:val="none" w:sz="0" w:space="0" w:color="auto"/>
                <w:bottom w:val="none" w:sz="0" w:space="0" w:color="auto"/>
                <w:right w:val="none" w:sz="0" w:space="0" w:color="auto"/>
              </w:divBdr>
              <w:divsChild>
                <w:div w:id="17619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8112">
      <w:bodyDiv w:val="1"/>
      <w:marLeft w:val="0"/>
      <w:marRight w:val="0"/>
      <w:marTop w:val="0"/>
      <w:marBottom w:val="0"/>
      <w:divBdr>
        <w:top w:val="none" w:sz="0" w:space="0" w:color="auto"/>
        <w:left w:val="none" w:sz="0" w:space="0" w:color="auto"/>
        <w:bottom w:val="none" w:sz="0" w:space="0" w:color="auto"/>
        <w:right w:val="none" w:sz="0" w:space="0" w:color="auto"/>
      </w:divBdr>
    </w:div>
    <w:div w:id="1612273915">
      <w:bodyDiv w:val="1"/>
      <w:marLeft w:val="0"/>
      <w:marRight w:val="0"/>
      <w:marTop w:val="0"/>
      <w:marBottom w:val="0"/>
      <w:divBdr>
        <w:top w:val="none" w:sz="0" w:space="0" w:color="auto"/>
        <w:left w:val="none" w:sz="0" w:space="0" w:color="auto"/>
        <w:bottom w:val="none" w:sz="0" w:space="0" w:color="auto"/>
        <w:right w:val="none" w:sz="0" w:space="0" w:color="auto"/>
      </w:divBdr>
    </w:div>
    <w:div w:id="1914588172">
      <w:bodyDiv w:val="1"/>
      <w:marLeft w:val="0"/>
      <w:marRight w:val="0"/>
      <w:marTop w:val="0"/>
      <w:marBottom w:val="0"/>
      <w:divBdr>
        <w:top w:val="none" w:sz="0" w:space="0" w:color="auto"/>
        <w:left w:val="none" w:sz="0" w:space="0" w:color="auto"/>
        <w:bottom w:val="none" w:sz="0" w:space="0" w:color="auto"/>
        <w:right w:val="none" w:sz="0" w:space="0" w:color="auto"/>
      </w:divBdr>
    </w:div>
    <w:div w:id="1988242013">
      <w:bodyDiv w:val="1"/>
      <w:marLeft w:val="0"/>
      <w:marRight w:val="0"/>
      <w:marTop w:val="0"/>
      <w:marBottom w:val="0"/>
      <w:divBdr>
        <w:top w:val="none" w:sz="0" w:space="0" w:color="auto"/>
        <w:left w:val="none" w:sz="0" w:space="0" w:color="auto"/>
        <w:bottom w:val="none" w:sz="0" w:space="0" w:color="auto"/>
        <w:right w:val="none" w:sz="0" w:space="0" w:color="auto"/>
      </w:divBdr>
      <w:divsChild>
        <w:div w:id="1037242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2722">
              <w:marLeft w:val="0"/>
              <w:marRight w:val="0"/>
              <w:marTop w:val="0"/>
              <w:marBottom w:val="0"/>
              <w:divBdr>
                <w:top w:val="none" w:sz="0" w:space="0" w:color="auto"/>
                <w:left w:val="none" w:sz="0" w:space="0" w:color="auto"/>
                <w:bottom w:val="none" w:sz="0" w:space="0" w:color="auto"/>
                <w:right w:val="none" w:sz="0" w:space="0" w:color="auto"/>
              </w:divBdr>
              <w:divsChild>
                <w:div w:id="1427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426">
      <w:bodyDiv w:val="1"/>
      <w:marLeft w:val="0"/>
      <w:marRight w:val="0"/>
      <w:marTop w:val="0"/>
      <w:marBottom w:val="0"/>
      <w:divBdr>
        <w:top w:val="none" w:sz="0" w:space="0" w:color="auto"/>
        <w:left w:val="none" w:sz="0" w:space="0" w:color="auto"/>
        <w:bottom w:val="none" w:sz="0" w:space="0" w:color="auto"/>
        <w:right w:val="none" w:sz="0" w:space="0" w:color="auto"/>
      </w:divBdr>
    </w:div>
    <w:div w:id="2089844516">
      <w:bodyDiv w:val="1"/>
      <w:marLeft w:val="0"/>
      <w:marRight w:val="0"/>
      <w:marTop w:val="0"/>
      <w:marBottom w:val="0"/>
      <w:divBdr>
        <w:top w:val="none" w:sz="0" w:space="0" w:color="auto"/>
        <w:left w:val="none" w:sz="0" w:space="0" w:color="auto"/>
        <w:bottom w:val="none" w:sz="0" w:space="0" w:color="auto"/>
        <w:right w:val="none" w:sz="0" w:space="0" w:color="auto"/>
      </w:divBdr>
    </w:div>
    <w:div w:id="2092316003">
      <w:bodyDiv w:val="1"/>
      <w:marLeft w:val="0"/>
      <w:marRight w:val="0"/>
      <w:marTop w:val="0"/>
      <w:marBottom w:val="0"/>
      <w:divBdr>
        <w:top w:val="none" w:sz="0" w:space="0" w:color="auto"/>
        <w:left w:val="none" w:sz="0" w:space="0" w:color="auto"/>
        <w:bottom w:val="none" w:sz="0" w:space="0" w:color="auto"/>
        <w:right w:val="none" w:sz="0" w:space="0" w:color="auto"/>
      </w:divBdr>
    </w:div>
    <w:div w:id="21266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chart" Target="charts/chart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8" Type="http://schemas.openxmlformats.org/officeDocument/2006/relationships/hyperlink" Target="https://www.cpuc.ca.gov/General.aspx?id=5935" TargetMode="External"/><Relationship Id="rId13" Type="http://schemas.openxmlformats.org/officeDocument/2006/relationships/hyperlink" Target="http://www.cpuc.ca.gov/deenergization" TargetMode="External"/><Relationship Id="rId18" Type="http://schemas.openxmlformats.org/officeDocument/2006/relationships/hyperlink" Target="https://www.citymb.info/Home/ShowDocument?id=28089" TargetMode="External"/><Relationship Id="rId26" Type="http://schemas.openxmlformats.org/officeDocument/2006/relationships/hyperlink" Target="https://www.cpuc.ca.gov/General.aspx?id=5935" TargetMode="External"/><Relationship Id="rId3" Type="http://schemas.openxmlformats.org/officeDocument/2006/relationships/hyperlink" Target="http://gridalternatives.org/sites/default/files/SASH%202.0_handbook%20Update_FINAL.pdf" TargetMode="External"/><Relationship Id="rId21" Type="http://schemas.openxmlformats.org/officeDocument/2006/relationships/hyperlink" Target="https://www.cpuc.ca.gov/General.aspx?id=5408" TargetMode="External"/><Relationship Id="rId34" Type="http://schemas.openxmlformats.org/officeDocument/2006/relationships/hyperlink" Target="https://standardscatalog.ul.com/standards/en/standard_1973_2" TargetMode="External"/><Relationship Id="rId7" Type="http://schemas.openxmlformats.org/officeDocument/2006/relationships/hyperlink" Target="https://www.cpuc.ca.gov/General.aspx?id=5935" TargetMode="External"/><Relationship Id="rId12" Type="http://schemas.openxmlformats.org/officeDocument/2006/relationships/hyperlink" Target="https://www.pge.com/tariffs/assets/pdf/tariffbook/ELEC_RULES_21.pdf" TargetMode="External"/><Relationship Id="rId17" Type="http://schemas.openxmlformats.org/officeDocument/2006/relationships/hyperlink" Target="https://www.dgs.ca.gov/BSC" TargetMode="External"/><Relationship Id="rId25" Type="http://schemas.openxmlformats.org/officeDocument/2006/relationships/hyperlink" Target="http://www.preparefor" TargetMode="External"/><Relationship Id="rId33" Type="http://schemas.openxmlformats.org/officeDocument/2006/relationships/hyperlink" Target="https://standardscatalog.ul.com/standards/en/standard_1642_5" TargetMode="External"/><Relationship Id="rId2" Type="http://schemas.openxmlformats.org/officeDocument/2006/relationships/hyperlink" Target="https://www.cpuc.ca.gov/General.aspx?id=6442454736" TargetMode="External"/><Relationship Id="rId16" Type="http://schemas.openxmlformats.org/officeDocument/2006/relationships/hyperlink" Target="https://www.pge.com/tariffs/assets/pdf/tariffbook/ELEC_RULES_21.pdf" TargetMode="External"/><Relationship Id="rId20" Type="http://schemas.openxmlformats.org/officeDocument/2006/relationships/hyperlink" Target="https://www.cpuc.ca.gov/General.aspx?id=8353" TargetMode="External"/><Relationship Id="rId29" Type="http://schemas.openxmlformats.org/officeDocument/2006/relationships/hyperlink" Target="https://www.cpuc.ca.gov/General.aspx?id=5935" TargetMode="External"/><Relationship Id="rId1" Type="http://schemas.openxmlformats.org/officeDocument/2006/relationships/hyperlink" Target="https://oehha.ca.gov/calenviroscreen/report/calenviroscreen-30" TargetMode="External"/><Relationship Id="rId6" Type="http://schemas.openxmlformats.org/officeDocument/2006/relationships/hyperlink" Target="https://www.tesla.com/powerwall" TargetMode="External"/><Relationship Id="rId11" Type="http://schemas.openxmlformats.org/officeDocument/2006/relationships/hyperlink" Target="https://www.cpuc.ca.gov/General.aspx?id=5367" TargetMode="External"/><Relationship Id="rId24" Type="http://schemas.openxmlformats.org/officeDocument/2006/relationships/hyperlink" Target="https://www.cpuc.ca.gov/General.aspx?id=5935" TargetMode="External"/><Relationship Id="rId32" Type="http://schemas.openxmlformats.org/officeDocument/2006/relationships/hyperlink" Target="file:///d:\avs\Application%20Data\OpenText\OTEdit\EC_cpuc\c23173430\selfgenca.com" TargetMode="External"/><Relationship Id="rId5" Type="http://schemas.openxmlformats.org/officeDocument/2006/relationships/hyperlink" Target="https://assets.documentcloud.org/documents/5759583/Cal-Fire-2019-Community-Wildfire-Prevention-and.pdf" TargetMode="External"/><Relationship Id="rId15" Type="http://schemas.openxmlformats.org/officeDocument/2006/relationships/hyperlink" Target="https://www.cpuc.ca.gov/General.aspx?id=5935" TargetMode="External"/><Relationship Id="rId23" Type="http://schemas.openxmlformats.org/officeDocument/2006/relationships/hyperlink" Target="https://www.cpuc.ca.gov/General.aspx?id=5935" TargetMode="External"/><Relationship Id="rId28" Type="http://schemas.openxmlformats.org/officeDocument/2006/relationships/hyperlink" Target="https://www.selfgenca.com/budget/program_level_summary/" TargetMode="External"/><Relationship Id="rId36" Type="http://schemas.openxmlformats.org/officeDocument/2006/relationships/hyperlink" Target="https://www.sandia.gov/ess-ssl/publications/SAND2016-5977R.pdf" TargetMode="External"/><Relationship Id="rId10" Type="http://schemas.openxmlformats.org/officeDocument/2006/relationships/hyperlink" Target="https://www.cpuc.ca.gov/WorkArea/DownloadAsset.aspx?id=6442460500" TargetMode="External"/><Relationship Id="rId19" Type="http://schemas.openxmlformats.org/officeDocument/2006/relationships/hyperlink" Target="https://standardscatalog.ul.com/standards/en/standard_9540_1" TargetMode="External"/><Relationship Id="rId31" Type="http://schemas.openxmlformats.org/officeDocument/2006/relationships/hyperlink" Target="https://www.selfgenca.com/budget_public/program_level_summary/statewide" TargetMode="External"/><Relationship Id="rId4" Type="http://schemas.openxmlformats.org/officeDocument/2006/relationships/hyperlink" Target="https://www.cpuc.ca.gov/General.aspx?id=3752" TargetMode="External"/><Relationship Id="rId9" Type="http://schemas.openxmlformats.org/officeDocument/2006/relationships/hyperlink" Target="https://www.selfgenca.com/home/program_metrics/" TargetMode="External"/><Relationship Id="rId14" Type="http://schemas.openxmlformats.org/officeDocument/2006/relationships/hyperlink" Target="https://www.selfgenca.com/documents/reports/statewide_projects" TargetMode="External"/><Relationship Id="rId22" Type="http://schemas.openxmlformats.org/officeDocument/2006/relationships/hyperlink" Target="https://www.cpuc.ca.gov/General.aspx?id=5935" TargetMode="External"/><Relationship Id="rId27" Type="http://schemas.openxmlformats.org/officeDocument/2006/relationships/hyperlink" Target="https://www.selfgenca.com/budget/program_level_summary/" TargetMode="External"/><Relationship Id="rId30" Type="http://schemas.openxmlformats.org/officeDocument/2006/relationships/hyperlink" Target="https://www.cpuc.ca.gov/General.aspx?id=10682" TargetMode="External"/><Relationship Id="rId35" Type="http://schemas.openxmlformats.org/officeDocument/2006/relationships/hyperlink" Target="http://www.cpuc.ca.gov/WorkArea/DownloadAsset.aspx?id=3067"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Users\maryclaireevans\Downloads\Ruling%20figur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ln>
              <a:solidFill>
                <a:schemeClr val="tx1"/>
              </a:solidFill>
            </a:ln>
          </c:spPr>
          <c:dPt>
            <c:idx val="0"/>
            <c:bubble3D val="0"/>
            <c:spPr>
              <a:solidFill>
                <a:schemeClr val="tx2">
                  <a:lumMod val="20000"/>
                  <a:lumOff val="80000"/>
                </a:schemeClr>
              </a:solidFill>
              <a:ln>
                <a:solidFill>
                  <a:schemeClr val="tx1"/>
                </a:solid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02E-4792-B9ED-2F6E21DE1CC2}"/>
              </c:ext>
            </c:extLst>
          </c:dPt>
          <c:dPt>
            <c:idx val="1"/>
            <c:bubble3D val="0"/>
            <c:spPr>
              <a:solidFill>
                <a:schemeClr val="tx2">
                  <a:lumMod val="40000"/>
                  <a:lumOff val="60000"/>
                </a:schemeClr>
              </a:solidFill>
              <a:ln>
                <a:solidFill>
                  <a:schemeClr val="tx1"/>
                </a:solid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02E-4792-B9ED-2F6E21DE1CC2}"/>
              </c:ext>
            </c:extLst>
          </c:dPt>
          <c:dPt>
            <c:idx val="2"/>
            <c:bubble3D val="0"/>
            <c:spPr>
              <a:solidFill>
                <a:schemeClr val="accent6">
                  <a:lumMod val="60000"/>
                  <a:lumOff val="40000"/>
                </a:schemeClr>
              </a:solidFill>
              <a:ln>
                <a:solidFill>
                  <a:schemeClr val="tx1"/>
                </a:solid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02E-4792-B9ED-2F6E21DE1CC2}"/>
              </c:ext>
            </c:extLst>
          </c:dPt>
          <c:dPt>
            <c:idx val="3"/>
            <c:bubble3D val="0"/>
            <c:spPr>
              <a:solidFill>
                <a:schemeClr val="accent6">
                  <a:lumMod val="75000"/>
                </a:schemeClr>
              </a:solidFill>
              <a:ln>
                <a:solidFill>
                  <a:schemeClr val="tx1"/>
                </a:solid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D02E-4792-B9ED-2F6E21DE1CC2}"/>
              </c:ext>
            </c:extLst>
          </c:dPt>
          <c:dPt>
            <c:idx val="4"/>
            <c:bubble3D val="0"/>
            <c:spPr>
              <a:solidFill>
                <a:schemeClr val="accent3">
                  <a:lumMod val="75000"/>
                </a:schemeClr>
              </a:solidFill>
              <a:ln>
                <a:solidFill>
                  <a:schemeClr val="tx1"/>
                </a:solid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D02E-4792-B9ED-2F6E21DE1CC2}"/>
              </c:ext>
            </c:extLst>
          </c:dPt>
          <c:dPt>
            <c:idx val="5"/>
            <c:bubble3D val="0"/>
            <c:spPr>
              <a:solidFill>
                <a:schemeClr val="accent3">
                  <a:lumMod val="60000"/>
                  <a:lumOff val="40000"/>
                </a:schemeClr>
              </a:solidFill>
              <a:ln>
                <a:solidFill>
                  <a:schemeClr val="tx1"/>
                </a:solid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D02E-4792-B9ED-2F6E21DE1CC2}"/>
              </c:ext>
            </c:extLst>
          </c:dPt>
          <c:dLbls>
            <c:dLbl>
              <c:idx val="0"/>
              <c:layout/>
              <c:tx>
                <c:rich>
                  <a:bodyPr/>
                  <a:lstStyle/>
                  <a:p>
                    <a:r>
                      <a:rPr lang="en-US"/>
                      <a:t>LargeScale Storage
52%</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2E-4792-B9ED-2F6E21DE1CC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spc="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'Fig 3.1'!$B$13:$B$18</c:f>
              <c:strCache>
                <c:ptCount val="6"/>
                <c:pt idx="0">
                  <c:v>Non-Residential Storage</c:v>
                </c:pt>
                <c:pt idx="1">
                  <c:v>Non-Residential Storage - Equity</c:v>
                </c:pt>
                <c:pt idx="2">
                  <c:v>Residential Storage</c:v>
                </c:pt>
                <c:pt idx="3">
                  <c:v>Residential Storage - Equity</c:v>
                </c:pt>
                <c:pt idx="4">
                  <c:v>Generation - Renewable</c:v>
                </c:pt>
                <c:pt idx="5">
                  <c:v>Generation - Non-Renewable</c:v>
                </c:pt>
              </c:strCache>
            </c:strRef>
          </c:cat>
          <c:val>
            <c:numRef>
              <c:f>'Fig 3.1'!$C$13:$C$18</c:f>
              <c:numCache>
                <c:formatCode>0%</c:formatCode>
                <c:ptCount val="6"/>
                <c:pt idx="0">
                  <c:v>0.52200000000000002</c:v>
                </c:pt>
                <c:pt idx="1">
                  <c:v>0.17399999999999999</c:v>
                </c:pt>
                <c:pt idx="2">
                  <c:v>7.8E-2</c:v>
                </c:pt>
                <c:pt idx="3">
                  <c:v>2.5999999999999999E-2</c:v>
                </c:pt>
                <c:pt idx="4">
                  <c:v>0.08</c:v>
                </c:pt>
                <c:pt idx="5">
                  <c:v>0.12</c:v>
                </c:pt>
              </c:numCache>
            </c:numRef>
          </c:val>
          <c:extLst xmlns:c16r2="http://schemas.microsoft.com/office/drawing/2015/06/chart">
            <c:ext xmlns:c16="http://schemas.microsoft.com/office/drawing/2014/chart" uri="{C3380CC4-5D6E-409C-BE32-E72D297353CC}">
              <c16:uniqueId val="{0000000C-D02E-4792-B9ED-2F6E21DE1CC2}"/>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35AA920A90748BE8F83806DCEAB34" ma:contentTypeVersion="10" ma:contentTypeDescription="Create a new document." ma:contentTypeScope="" ma:versionID="667eec2b6c8bd28b2d0920cd8e5e03dc">
  <xsd:schema xmlns:xsd="http://www.w3.org/2001/XMLSchema" xmlns:xs="http://www.w3.org/2001/XMLSchema" xmlns:p="http://schemas.microsoft.com/office/2006/metadata/properties" xmlns:ns3="5770dd94-7d4a-4716-86db-149e12e490dc" xmlns:ns4="3daac092-6046-4f0f-8d50-4c08cd6601b2" targetNamespace="http://schemas.microsoft.com/office/2006/metadata/properties" ma:root="true" ma:fieldsID="1e4ac27136d78caedb853b2308dd0305" ns3:_="" ns4:_="">
    <xsd:import namespace="5770dd94-7d4a-4716-86db-149e12e490dc"/>
    <xsd:import namespace="3daac092-6046-4f0f-8d50-4c08cd6601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dd94-7d4a-4716-86db-149e12e4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ac092-6046-4f0f-8d50-4c08cd6601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C3D87-BCA1-4C7D-93F8-FB146F928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dd94-7d4a-4716-86db-149e12e490dc"/>
    <ds:schemaRef ds:uri="3daac092-6046-4f0f-8d50-4c08cd660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2887-685A-483E-9F9E-8EB879273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BA5BD-6E2E-43C1-85CB-2653B1D8C61C}">
  <ds:schemaRefs>
    <ds:schemaRef ds:uri="http://schemas.microsoft.com/sharepoint/v3/contenttype/forms"/>
  </ds:schemaRefs>
</ds:datastoreItem>
</file>

<file path=customXml/itemProps4.xml><?xml version="1.0" encoding="utf-8"?>
<ds:datastoreItem xmlns:ds="http://schemas.openxmlformats.org/officeDocument/2006/customXml" ds:itemID="{A469FF66-D1DE-4BA7-9789-14571DC8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33081</Words>
  <Characters>188563</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2019-09-10T00:17:00Z</cp:lastPrinted>
  <dcterms:created xsi:type="dcterms:W3CDTF">2019-09-18T07:52:00Z</dcterms:created>
  <dcterms:modified xsi:type="dcterms:W3CDTF">2019-09-18T14:52:00Z</dcterms:modified>
</cp:coreProperties>
</file>