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363C47" w14:textId="77777777" w:rsidR="0076358A" w:rsidRPr="002B799C" w:rsidRDefault="0076358A" w:rsidP="0076358A">
      <w:pPr>
        <w:pStyle w:val="titlebar"/>
        <w:rPr>
          <w:rFonts w:ascii="Palatino Linotype" w:hAnsi="Palatino Linotype"/>
          <w:szCs w:val="26"/>
        </w:rPr>
      </w:pPr>
      <w:bookmarkStart w:id="0" w:name="_GoBack"/>
      <w:bookmarkEnd w:id="0"/>
      <w:r w:rsidRPr="002B799C">
        <w:rPr>
          <w:rFonts w:ascii="Palatino Linotype" w:hAnsi="Palatino Linotype"/>
          <w:szCs w:val="26"/>
        </w:rPr>
        <w:t>PUBLIC UTILITIES COMMISSION OF THE STATE OF CALIFORNIA</w:t>
      </w:r>
    </w:p>
    <w:p w14:paraId="593BD8A8" w14:textId="77777777" w:rsidR="001A2089" w:rsidRDefault="001B503A" w:rsidP="001A2089">
      <w:pPr>
        <w:suppressAutoHyphens/>
        <w:rPr>
          <w:rFonts w:ascii="Palatino Linotype" w:hAnsi="Palatino Linotype"/>
          <w:b/>
          <w:bCs/>
          <w:szCs w:val="26"/>
        </w:rPr>
      </w:pPr>
      <w:r>
        <w:rPr>
          <w:rFonts w:ascii="Palatino Linotype" w:hAnsi="Palatino Linotype"/>
          <w:szCs w:val="26"/>
        </w:rPr>
        <w:tab/>
      </w:r>
      <w:r>
        <w:rPr>
          <w:rFonts w:ascii="Palatino Linotype" w:hAnsi="Palatino Linotype"/>
          <w:szCs w:val="26"/>
        </w:rPr>
        <w:tab/>
      </w:r>
      <w:r>
        <w:rPr>
          <w:rFonts w:ascii="Palatino Linotype" w:hAnsi="Palatino Linotype"/>
          <w:szCs w:val="26"/>
        </w:rPr>
        <w:tab/>
      </w:r>
      <w:r>
        <w:rPr>
          <w:rFonts w:ascii="Palatino Linotype" w:hAnsi="Palatino Linotype"/>
          <w:szCs w:val="26"/>
        </w:rPr>
        <w:tab/>
      </w:r>
      <w:r>
        <w:rPr>
          <w:rFonts w:ascii="Palatino Linotype" w:hAnsi="Palatino Linotype"/>
          <w:szCs w:val="26"/>
        </w:rPr>
        <w:tab/>
      </w:r>
      <w:r>
        <w:rPr>
          <w:rFonts w:ascii="Palatino Linotype" w:hAnsi="Palatino Linotype"/>
          <w:szCs w:val="26"/>
        </w:rPr>
        <w:tab/>
      </w:r>
      <w:r>
        <w:rPr>
          <w:rFonts w:ascii="Palatino Linotype" w:hAnsi="Palatino Linotype"/>
          <w:szCs w:val="26"/>
        </w:rPr>
        <w:tab/>
      </w:r>
      <w:r>
        <w:rPr>
          <w:rFonts w:ascii="Palatino Linotype" w:hAnsi="Palatino Linotype"/>
          <w:szCs w:val="26"/>
        </w:rPr>
        <w:tab/>
      </w:r>
      <w:r>
        <w:rPr>
          <w:rFonts w:ascii="Palatino Linotype" w:hAnsi="Palatino Linotype"/>
          <w:szCs w:val="26"/>
        </w:rPr>
        <w:tab/>
      </w:r>
    </w:p>
    <w:p w14:paraId="04F4F011" w14:textId="77777777" w:rsidR="001A2089" w:rsidRDefault="001A2089" w:rsidP="001A2089">
      <w:pPr>
        <w:suppressAutoHyphens/>
        <w:rPr>
          <w:rFonts w:ascii="Palatino Linotype" w:hAnsi="Palatino Linotype"/>
          <w:b/>
          <w:bCs/>
          <w:szCs w:val="26"/>
        </w:rPr>
      </w:pPr>
    </w:p>
    <w:p w14:paraId="2984D099" w14:textId="67F389A8" w:rsidR="0076358A" w:rsidRPr="002B799C" w:rsidRDefault="0076358A" w:rsidP="001A2089">
      <w:pPr>
        <w:suppressAutoHyphens/>
        <w:rPr>
          <w:rFonts w:ascii="Palatino Linotype" w:hAnsi="Palatino Linotype"/>
          <w:b/>
          <w:szCs w:val="26"/>
        </w:rPr>
      </w:pPr>
      <w:r w:rsidRPr="002B799C">
        <w:rPr>
          <w:rFonts w:ascii="Palatino Linotype" w:hAnsi="Palatino Linotype"/>
          <w:b/>
          <w:szCs w:val="26"/>
        </w:rPr>
        <w:t>ENERGY DIVISION</w:t>
      </w:r>
      <w:r w:rsidRPr="002B799C">
        <w:rPr>
          <w:rFonts w:ascii="Palatino Linotype" w:hAnsi="Palatino Linotype"/>
          <w:b/>
          <w:szCs w:val="26"/>
        </w:rPr>
        <w:tab/>
      </w:r>
      <w:r w:rsidRPr="002B799C">
        <w:rPr>
          <w:rFonts w:ascii="Palatino Linotype" w:hAnsi="Palatino Linotype"/>
          <w:b/>
          <w:szCs w:val="26"/>
        </w:rPr>
        <w:tab/>
      </w:r>
      <w:r w:rsidRPr="002B799C">
        <w:rPr>
          <w:rFonts w:ascii="Palatino Linotype" w:hAnsi="Palatino Linotype"/>
          <w:b/>
          <w:szCs w:val="26"/>
        </w:rPr>
        <w:tab/>
      </w:r>
      <w:r w:rsidRPr="002B799C">
        <w:rPr>
          <w:rFonts w:ascii="Palatino Linotype" w:hAnsi="Palatino Linotype"/>
          <w:b/>
          <w:szCs w:val="26"/>
        </w:rPr>
        <w:tab/>
      </w:r>
      <w:r w:rsidRPr="002B799C">
        <w:rPr>
          <w:rFonts w:ascii="Palatino Linotype" w:hAnsi="Palatino Linotype"/>
          <w:b/>
          <w:szCs w:val="26"/>
        </w:rPr>
        <w:tab/>
      </w:r>
      <w:r w:rsidRPr="002B799C">
        <w:rPr>
          <w:rFonts w:ascii="Palatino Linotype" w:hAnsi="Palatino Linotype"/>
          <w:b/>
          <w:szCs w:val="26"/>
        </w:rPr>
        <w:tab/>
        <w:t xml:space="preserve">RESOLUTION </w:t>
      </w:r>
      <w:r w:rsidR="00890D89">
        <w:rPr>
          <w:rFonts w:ascii="Palatino Linotype" w:hAnsi="Palatino Linotype"/>
          <w:b/>
          <w:szCs w:val="26"/>
        </w:rPr>
        <w:t>E-5028</w:t>
      </w:r>
    </w:p>
    <w:p w14:paraId="674347FC" w14:textId="77777777" w:rsidR="0076358A" w:rsidRPr="002B6E34" w:rsidRDefault="002B6E34" w:rsidP="0076358A">
      <w:pPr>
        <w:tabs>
          <w:tab w:val="right" w:pos="8910"/>
        </w:tabs>
        <w:ind w:left="1440" w:firstLine="720"/>
        <w:rPr>
          <w:rFonts w:ascii="Palatino Linotype" w:hAnsi="Palatino Linotype"/>
          <w:b/>
          <w:szCs w:val="26"/>
        </w:rPr>
      </w:pPr>
      <w:r>
        <w:rPr>
          <w:rFonts w:ascii="Palatino Linotype" w:hAnsi="Palatino Linotype"/>
          <w:b/>
          <w:szCs w:val="26"/>
        </w:rPr>
        <w:t xml:space="preserve">                                                                   </w:t>
      </w:r>
      <w:r w:rsidR="0076358A" w:rsidRPr="002B6E34">
        <w:rPr>
          <w:rFonts w:ascii="Palatino Linotype" w:hAnsi="Palatino Linotype"/>
          <w:b/>
          <w:color w:val="000000" w:themeColor="text1"/>
          <w:szCs w:val="26"/>
        </w:rPr>
        <w:t xml:space="preserve">September </w:t>
      </w:r>
      <w:r w:rsidR="007906C8">
        <w:rPr>
          <w:rFonts w:ascii="Palatino Linotype" w:hAnsi="Palatino Linotype"/>
          <w:b/>
          <w:color w:val="000000" w:themeColor="text1"/>
          <w:szCs w:val="26"/>
        </w:rPr>
        <w:t>26</w:t>
      </w:r>
      <w:r w:rsidR="0076358A" w:rsidRPr="002B6E34">
        <w:rPr>
          <w:rFonts w:ascii="Palatino Linotype" w:hAnsi="Palatino Linotype"/>
          <w:b/>
          <w:color w:val="000000" w:themeColor="text1"/>
          <w:szCs w:val="26"/>
        </w:rPr>
        <w:t>, 2019</w:t>
      </w:r>
    </w:p>
    <w:p w14:paraId="1B2D768D" w14:textId="77777777" w:rsidR="0076358A" w:rsidRPr="00FA492E" w:rsidRDefault="0076358A" w:rsidP="0076358A">
      <w:pPr>
        <w:tabs>
          <w:tab w:val="right" w:pos="8910"/>
        </w:tabs>
        <w:ind w:left="1440" w:firstLine="720"/>
        <w:rPr>
          <w:rFonts w:ascii="Palatino Linotype" w:hAnsi="Palatino Linotype"/>
          <w:b/>
          <w:sz w:val="24"/>
        </w:rPr>
      </w:pPr>
    </w:p>
    <w:p w14:paraId="3A29B732" w14:textId="77777777" w:rsidR="0076358A" w:rsidRPr="00FA492E" w:rsidRDefault="0076358A" w:rsidP="0076358A">
      <w:pPr>
        <w:pStyle w:val="mainex"/>
        <w:rPr>
          <w:rFonts w:ascii="Palatino Linotype" w:hAnsi="Palatino Linotype"/>
          <w:u w:val="single"/>
        </w:rPr>
      </w:pPr>
      <w:bookmarkStart w:id="1" w:name="_Ref404993683"/>
      <w:r w:rsidRPr="00FA492E">
        <w:rPr>
          <w:rFonts w:ascii="Palatino Linotype" w:hAnsi="Palatino Linotype"/>
          <w:u w:val="single"/>
        </w:rPr>
        <w:t>RESOLUTION</w:t>
      </w:r>
    </w:p>
    <w:p w14:paraId="6D65C6F0" w14:textId="77777777" w:rsidR="0076358A" w:rsidRPr="00FA492E" w:rsidRDefault="0076358A" w:rsidP="0076358A">
      <w:pPr>
        <w:rPr>
          <w:rFonts w:ascii="Palatino Linotype" w:hAnsi="Palatino Linotype"/>
        </w:rPr>
      </w:pPr>
    </w:p>
    <w:p w14:paraId="748DD3DB" w14:textId="77777777" w:rsidR="0076358A" w:rsidRPr="00FA492E" w:rsidRDefault="0076358A" w:rsidP="0076358A">
      <w:pPr>
        <w:pStyle w:val="Res-Caption"/>
        <w:rPr>
          <w:rFonts w:ascii="Palatino Linotype" w:hAnsi="Palatino Linotype"/>
        </w:rPr>
      </w:pPr>
      <w:r w:rsidRPr="00FA492E">
        <w:rPr>
          <w:rFonts w:ascii="Palatino Linotype" w:hAnsi="Palatino Linotype"/>
        </w:rPr>
        <w:t xml:space="preserve">Resolution </w:t>
      </w:r>
      <w:r w:rsidR="00890D89">
        <w:rPr>
          <w:rFonts w:ascii="Palatino Linotype" w:hAnsi="Palatino Linotype"/>
        </w:rPr>
        <w:t>E-5028</w:t>
      </w:r>
      <w:r w:rsidRPr="00FA492E">
        <w:rPr>
          <w:rFonts w:ascii="Palatino Linotype" w:hAnsi="Palatino Linotype"/>
        </w:rPr>
        <w:t xml:space="preserve">.  </w:t>
      </w:r>
      <w:bookmarkStart w:id="2" w:name="_Hlk16076583"/>
      <w:r>
        <w:rPr>
          <w:rFonts w:ascii="Palatino Linotype" w:hAnsi="Palatino Linotype"/>
        </w:rPr>
        <w:t>Approves e</w:t>
      </w:r>
      <w:r w:rsidRPr="00FA492E">
        <w:rPr>
          <w:rFonts w:ascii="Palatino Linotype" w:hAnsi="Palatino Linotype"/>
        </w:rPr>
        <w:t xml:space="preserve">xtension </w:t>
      </w:r>
      <w:r>
        <w:rPr>
          <w:rFonts w:ascii="Palatino Linotype" w:hAnsi="Palatino Linotype"/>
        </w:rPr>
        <w:t xml:space="preserve">of, and modifications to, </w:t>
      </w:r>
      <w:r w:rsidRPr="00FA492E">
        <w:rPr>
          <w:rFonts w:ascii="Palatino Linotype" w:hAnsi="Palatino Linotype"/>
        </w:rPr>
        <w:t xml:space="preserve">the </w:t>
      </w:r>
      <w:r>
        <w:rPr>
          <w:rFonts w:ascii="Palatino Linotype" w:hAnsi="Palatino Linotype"/>
        </w:rPr>
        <w:t xml:space="preserve">Utilities’ </w:t>
      </w:r>
      <w:r w:rsidRPr="00FA492E">
        <w:rPr>
          <w:rFonts w:ascii="Palatino Linotype" w:hAnsi="Palatino Linotype"/>
        </w:rPr>
        <w:t>Green Tariff Shared Renewables Program.</w:t>
      </w:r>
      <w:bookmarkEnd w:id="2"/>
    </w:p>
    <w:p w14:paraId="00055D57" w14:textId="77777777" w:rsidR="0076358A" w:rsidRPr="00FA492E" w:rsidRDefault="0076358A" w:rsidP="0076358A">
      <w:pPr>
        <w:pStyle w:val="Res-Caption"/>
        <w:rPr>
          <w:rFonts w:ascii="Palatino Linotype" w:hAnsi="Palatino Linotype"/>
        </w:rPr>
      </w:pPr>
    </w:p>
    <w:p w14:paraId="68DA91EB" w14:textId="77777777" w:rsidR="0076358A" w:rsidRPr="00F57023" w:rsidRDefault="0076358A" w:rsidP="0076358A">
      <w:pPr>
        <w:pStyle w:val="Res-Caption"/>
        <w:rPr>
          <w:rFonts w:ascii="Palatino Linotype" w:hAnsi="Palatino Linotype"/>
        </w:rPr>
      </w:pPr>
      <w:r w:rsidRPr="00FA492E">
        <w:rPr>
          <w:rFonts w:ascii="Palatino Linotype" w:hAnsi="Palatino Linotype"/>
        </w:rPr>
        <w:t>PROPOSED OUTCOME</w:t>
      </w:r>
      <w:r w:rsidRPr="00F57023">
        <w:rPr>
          <w:rFonts w:ascii="Palatino Linotype" w:hAnsi="Palatino Linotype"/>
        </w:rPr>
        <w:t xml:space="preserve">: </w:t>
      </w:r>
    </w:p>
    <w:p w14:paraId="241CD0DF" w14:textId="77777777" w:rsidR="0076358A" w:rsidRPr="00F57023" w:rsidRDefault="0076358A" w:rsidP="0076358A">
      <w:pPr>
        <w:pStyle w:val="Res-Caption"/>
        <w:numPr>
          <w:ilvl w:val="0"/>
          <w:numId w:val="7"/>
        </w:numPr>
        <w:rPr>
          <w:rFonts w:ascii="Palatino Linotype" w:hAnsi="Palatino Linotype"/>
        </w:rPr>
      </w:pPr>
      <w:r>
        <w:rPr>
          <w:rFonts w:ascii="Palatino Linotype" w:hAnsi="Palatino Linotype"/>
        </w:rPr>
        <w:t>Approve</w:t>
      </w:r>
      <w:r w:rsidRPr="00F57023">
        <w:rPr>
          <w:rFonts w:ascii="Palatino Linotype" w:hAnsi="Palatino Linotype"/>
        </w:rPr>
        <w:t>s</w:t>
      </w:r>
      <w:r>
        <w:rPr>
          <w:rFonts w:ascii="Palatino Linotype" w:hAnsi="Palatino Linotype"/>
        </w:rPr>
        <w:t xml:space="preserve"> </w:t>
      </w:r>
      <w:r w:rsidRPr="00F57023">
        <w:rPr>
          <w:rFonts w:ascii="Palatino Linotype" w:hAnsi="Palatino Linotype"/>
        </w:rPr>
        <w:t xml:space="preserve">the proposals of Pacific Gas and Electric Company (PG&amp;E) and San Diego Gas &amp; Electric Company (SDG&amp;E) to extend the Green Tariff </w:t>
      </w:r>
      <w:r>
        <w:rPr>
          <w:rFonts w:ascii="Palatino Linotype" w:hAnsi="Palatino Linotype"/>
        </w:rPr>
        <w:t xml:space="preserve">Shared </w:t>
      </w:r>
      <w:r w:rsidRPr="00F57023">
        <w:rPr>
          <w:rFonts w:ascii="Palatino Linotype" w:hAnsi="Palatino Linotype"/>
        </w:rPr>
        <w:t xml:space="preserve">Renewables Program (GTSR) beyond </w:t>
      </w:r>
      <w:r>
        <w:rPr>
          <w:rFonts w:ascii="Palatino Linotype" w:hAnsi="Palatino Linotype"/>
        </w:rPr>
        <w:t xml:space="preserve">January 1, </w:t>
      </w:r>
      <w:r w:rsidRPr="00F57023">
        <w:rPr>
          <w:rFonts w:ascii="Palatino Linotype" w:hAnsi="Palatino Linotype"/>
        </w:rPr>
        <w:t>2019.</w:t>
      </w:r>
    </w:p>
    <w:p w14:paraId="0085BCF4" w14:textId="77777777" w:rsidR="0076358A" w:rsidRDefault="0076358A" w:rsidP="0076358A">
      <w:pPr>
        <w:pStyle w:val="Res-Caption"/>
        <w:numPr>
          <w:ilvl w:val="0"/>
          <w:numId w:val="7"/>
        </w:numPr>
        <w:rPr>
          <w:rFonts w:ascii="Palatino Linotype" w:hAnsi="Palatino Linotype"/>
        </w:rPr>
      </w:pPr>
      <w:r>
        <w:rPr>
          <w:rFonts w:ascii="Palatino Linotype" w:hAnsi="Palatino Linotype"/>
        </w:rPr>
        <w:t>Approves some proposals by PG&amp;E, SDG&amp;E and other parties to modify the GTSR program across all three utilities.</w:t>
      </w:r>
    </w:p>
    <w:p w14:paraId="25AE8A20" w14:textId="77777777" w:rsidR="0076358A" w:rsidRPr="00F57023" w:rsidRDefault="0076358A" w:rsidP="0076358A">
      <w:pPr>
        <w:pStyle w:val="Res-Caption"/>
        <w:numPr>
          <w:ilvl w:val="0"/>
          <w:numId w:val="7"/>
        </w:numPr>
        <w:rPr>
          <w:rFonts w:ascii="Palatino Linotype" w:hAnsi="Palatino Linotype"/>
        </w:rPr>
      </w:pPr>
      <w:r w:rsidRPr="00F57023">
        <w:rPr>
          <w:rFonts w:ascii="Palatino Linotype" w:hAnsi="Palatino Linotype"/>
        </w:rPr>
        <w:t xml:space="preserve">Denies Southern California Edison’s (SCE) proposal to terminate its GTSR program. </w:t>
      </w:r>
    </w:p>
    <w:p w14:paraId="33F5AAEB" w14:textId="77777777" w:rsidR="0076358A" w:rsidRPr="00F57023" w:rsidRDefault="0076358A" w:rsidP="0076358A">
      <w:pPr>
        <w:pStyle w:val="Res-Caption"/>
        <w:rPr>
          <w:rFonts w:ascii="Palatino Linotype" w:hAnsi="Palatino Linotype"/>
        </w:rPr>
      </w:pPr>
    </w:p>
    <w:p w14:paraId="72AACEAD" w14:textId="77777777" w:rsidR="0076358A" w:rsidRPr="00FA492E" w:rsidRDefault="0076358A" w:rsidP="0076358A">
      <w:pPr>
        <w:pStyle w:val="Res-Caption"/>
        <w:rPr>
          <w:rFonts w:ascii="Palatino Linotype" w:hAnsi="Palatino Linotype"/>
        </w:rPr>
      </w:pPr>
      <w:r w:rsidRPr="00FA492E">
        <w:rPr>
          <w:rFonts w:ascii="Palatino Linotype" w:hAnsi="Palatino Linotype"/>
        </w:rPr>
        <w:t>SAFETY CONSIDERATIONS:</w:t>
      </w:r>
    </w:p>
    <w:p w14:paraId="1DC7A81E" w14:textId="77777777" w:rsidR="0076358A" w:rsidRPr="00F57023" w:rsidRDefault="0076358A" w:rsidP="0076358A">
      <w:pPr>
        <w:pStyle w:val="Res-Caption"/>
        <w:numPr>
          <w:ilvl w:val="0"/>
          <w:numId w:val="6"/>
        </w:numPr>
        <w:rPr>
          <w:rFonts w:ascii="Palatino Linotype" w:hAnsi="Palatino Linotype"/>
        </w:rPr>
      </w:pPr>
      <w:r w:rsidRPr="00FA492E">
        <w:rPr>
          <w:rFonts w:ascii="Palatino Linotype" w:hAnsi="Palatino Linotype"/>
        </w:rPr>
        <w:t>There is no impact on safety.</w:t>
      </w:r>
    </w:p>
    <w:p w14:paraId="0F8939EE" w14:textId="77777777" w:rsidR="0076358A" w:rsidRPr="00F57023" w:rsidRDefault="0076358A" w:rsidP="0076358A">
      <w:pPr>
        <w:pStyle w:val="Res-Caption"/>
        <w:rPr>
          <w:rFonts w:ascii="Palatino Linotype" w:hAnsi="Palatino Linotype"/>
        </w:rPr>
      </w:pPr>
    </w:p>
    <w:p w14:paraId="1E800753" w14:textId="77777777" w:rsidR="0076358A" w:rsidRPr="00F57023" w:rsidRDefault="0076358A" w:rsidP="0076358A">
      <w:pPr>
        <w:pStyle w:val="Res-Caption"/>
        <w:rPr>
          <w:rFonts w:ascii="Palatino Linotype" w:hAnsi="Palatino Linotype"/>
        </w:rPr>
      </w:pPr>
      <w:r w:rsidRPr="00FA492E">
        <w:rPr>
          <w:rFonts w:ascii="Palatino Linotype" w:hAnsi="Palatino Linotype"/>
        </w:rPr>
        <w:t>ESTIMATED COST</w:t>
      </w:r>
      <w:r w:rsidRPr="00F57023">
        <w:rPr>
          <w:rFonts w:ascii="Palatino Linotype" w:hAnsi="Palatino Linotype"/>
        </w:rPr>
        <w:t xml:space="preserve">:  </w:t>
      </w:r>
    </w:p>
    <w:p w14:paraId="30A5C6E8" w14:textId="77777777" w:rsidR="0076358A" w:rsidRPr="00F57023" w:rsidRDefault="0076358A" w:rsidP="0076358A">
      <w:pPr>
        <w:pStyle w:val="Res-Caption"/>
        <w:numPr>
          <w:ilvl w:val="0"/>
          <w:numId w:val="6"/>
        </w:numPr>
        <w:rPr>
          <w:rFonts w:ascii="Palatino Linotype" w:hAnsi="Palatino Linotype"/>
        </w:rPr>
      </w:pPr>
      <w:r w:rsidRPr="00FA492E">
        <w:rPr>
          <w:rFonts w:ascii="Palatino Linotype" w:hAnsi="Palatino Linotype"/>
        </w:rPr>
        <w:t xml:space="preserve">There is no cost impact: by statute, the GTSR program must maintain ratepayer indifference, meaning that program costs must be borne by GTSR </w:t>
      </w:r>
      <w:r w:rsidRPr="00F57023">
        <w:rPr>
          <w:rFonts w:ascii="Palatino Linotype" w:hAnsi="Palatino Linotype"/>
        </w:rPr>
        <w:t>participants.</w:t>
      </w:r>
    </w:p>
    <w:p w14:paraId="62CC7E42" w14:textId="77777777" w:rsidR="0076358A" w:rsidRPr="00FA492E" w:rsidRDefault="0076358A" w:rsidP="0076358A">
      <w:pPr>
        <w:pStyle w:val="Res-Caption"/>
        <w:rPr>
          <w:rFonts w:ascii="Palatino Linotype" w:hAnsi="Palatino Linotype"/>
        </w:rPr>
      </w:pPr>
    </w:p>
    <w:p w14:paraId="5A148ADC" w14:textId="77777777" w:rsidR="0076358A" w:rsidRDefault="0076358A" w:rsidP="0076358A">
      <w:pPr>
        <w:ind w:firstLine="720"/>
        <w:rPr>
          <w:rFonts w:ascii="Palatino Linotype" w:hAnsi="Palatino Linotype"/>
        </w:rPr>
      </w:pPr>
      <w:bookmarkStart w:id="3" w:name="_Hlk513467220"/>
      <w:r>
        <w:rPr>
          <w:rFonts w:ascii="Palatino Linotype" w:hAnsi="Palatino Linotype"/>
        </w:rPr>
        <w:t>By Advice Letters:</w:t>
      </w:r>
    </w:p>
    <w:p w14:paraId="611FEE70" w14:textId="77777777" w:rsidR="0076358A" w:rsidRPr="00FA492E" w:rsidRDefault="0076358A" w:rsidP="0076358A">
      <w:pPr>
        <w:ind w:left="720" w:firstLine="720"/>
        <w:rPr>
          <w:rFonts w:ascii="Palatino Linotype" w:hAnsi="Palatino Linotype"/>
        </w:rPr>
      </w:pPr>
      <w:r w:rsidRPr="00FA492E">
        <w:rPr>
          <w:rFonts w:ascii="Palatino Linotype" w:hAnsi="Palatino Linotype"/>
        </w:rPr>
        <w:t>PG&amp;E 3920-G/5206-E</w:t>
      </w:r>
      <w:r>
        <w:rPr>
          <w:rFonts w:ascii="Palatino Linotype" w:hAnsi="Palatino Linotype"/>
        </w:rPr>
        <w:t>, Filed on December 22, 2017</w:t>
      </w:r>
    </w:p>
    <w:p w14:paraId="210B3AB2" w14:textId="77777777" w:rsidR="0076358A" w:rsidRPr="00FA492E" w:rsidRDefault="0076358A" w:rsidP="0076358A">
      <w:pPr>
        <w:ind w:left="720" w:firstLine="720"/>
        <w:rPr>
          <w:rFonts w:ascii="Palatino Linotype" w:hAnsi="Palatino Linotype"/>
        </w:rPr>
      </w:pPr>
      <w:r w:rsidRPr="00FA492E">
        <w:rPr>
          <w:rFonts w:ascii="Palatino Linotype" w:hAnsi="Palatino Linotype"/>
        </w:rPr>
        <w:t>SCE AL 3722-E</w:t>
      </w:r>
      <w:r>
        <w:rPr>
          <w:rFonts w:ascii="Palatino Linotype" w:hAnsi="Palatino Linotype"/>
        </w:rPr>
        <w:t>, Filed on December 22, 2017</w:t>
      </w:r>
    </w:p>
    <w:p w14:paraId="46D789BE" w14:textId="77777777" w:rsidR="0076358A" w:rsidRPr="00FA492E" w:rsidRDefault="0076358A" w:rsidP="0076358A">
      <w:pPr>
        <w:ind w:left="720" w:firstLine="720"/>
        <w:rPr>
          <w:rFonts w:ascii="Palatino Linotype" w:hAnsi="Palatino Linotype"/>
        </w:rPr>
      </w:pPr>
      <w:r w:rsidRPr="00FA492E">
        <w:rPr>
          <w:rFonts w:ascii="Palatino Linotype" w:hAnsi="Palatino Linotype"/>
        </w:rPr>
        <w:t>SDG&amp;E AL 3168-E</w:t>
      </w:r>
      <w:bookmarkEnd w:id="3"/>
      <w:r>
        <w:rPr>
          <w:rFonts w:ascii="Palatino Linotype" w:hAnsi="Palatino Linotype"/>
        </w:rPr>
        <w:t>, Filed on December 26, 2017</w:t>
      </w:r>
    </w:p>
    <w:p w14:paraId="55CC1803" w14:textId="77777777" w:rsidR="0076358A" w:rsidRPr="00FA492E" w:rsidRDefault="0076358A" w:rsidP="0076358A">
      <w:pPr>
        <w:ind w:firstLine="720"/>
        <w:rPr>
          <w:rFonts w:ascii="Palatino Linotype" w:hAnsi="Palatino Linotype"/>
        </w:rPr>
      </w:pPr>
      <w:r w:rsidRPr="00FA492E">
        <w:rPr>
          <w:rFonts w:ascii="Palatino Linotype" w:hAnsi="Palatino Linotype"/>
        </w:rPr>
        <w:t>__________________________________________________________</w:t>
      </w:r>
    </w:p>
    <w:p w14:paraId="11C20AB4" w14:textId="77777777" w:rsidR="0076358A" w:rsidRPr="00FA492E" w:rsidRDefault="0076358A" w:rsidP="0076358A">
      <w:pPr>
        <w:rPr>
          <w:rFonts w:ascii="Palatino Linotype" w:hAnsi="Palatino Linotype"/>
          <w:b/>
        </w:rPr>
      </w:pPr>
      <w:r w:rsidRPr="00FA492E">
        <w:rPr>
          <w:rFonts w:ascii="Palatino Linotype" w:hAnsi="Palatino Linotype"/>
          <w:b/>
        </w:rPr>
        <w:br w:type="page"/>
      </w:r>
    </w:p>
    <w:p w14:paraId="5C21462C" w14:textId="77777777" w:rsidR="0076358A" w:rsidRPr="00FA492E" w:rsidRDefault="0076358A" w:rsidP="0076358A">
      <w:pPr>
        <w:pStyle w:val="Heading1"/>
      </w:pPr>
      <w:bookmarkStart w:id="4" w:name="_Toc20145917"/>
      <w:bookmarkEnd w:id="1"/>
      <w:r>
        <w:lastRenderedPageBreak/>
        <w:t>Table of Contents</w:t>
      </w:r>
      <w:bookmarkEnd w:id="4"/>
    </w:p>
    <w:p w14:paraId="038DFB53" w14:textId="19A1831B" w:rsidR="005662BB" w:rsidRDefault="00D977CF">
      <w:pPr>
        <w:pStyle w:val="TOC1"/>
        <w:rPr>
          <w:rFonts w:asciiTheme="minorHAnsi" w:eastAsiaTheme="minorEastAsia" w:hAnsiTheme="minorHAnsi" w:cstheme="minorBidi"/>
          <w:noProof/>
          <w:sz w:val="22"/>
          <w:szCs w:val="22"/>
        </w:rPr>
      </w:pPr>
      <w:r w:rsidRPr="00AB432C">
        <w:rPr>
          <w:rFonts w:ascii="Palatino Linotype" w:hAnsi="Palatino Linotype"/>
          <w:sz w:val="24"/>
          <w:szCs w:val="24"/>
        </w:rPr>
        <w:fldChar w:fldCharType="begin"/>
      </w:r>
      <w:r w:rsidR="0076358A" w:rsidRPr="00AB432C">
        <w:rPr>
          <w:rFonts w:ascii="Palatino Linotype" w:hAnsi="Palatino Linotype"/>
          <w:sz w:val="24"/>
          <w:szCs w:val="24"/>
        </w:rPr>
        <w:instrText xml:space="preserve"> TOC \o "1-4" \u </w:instrText>
      </w:r>
      <w:r w:rsidRPr="00AB432C">
        <w:rPr>
          <w:rFonts w:ascii="Palatino Linotype" w:hAnsi="Palatino Linotype"/>
          <w:sz w:val="24"/>
          <w:szCs w:val="24"/>
        </w:rPr>
        <w:fldChar w:fldCharType="separate"/>
      </w:r>
      <w:r w:rsidR="005662BB">
        <w:rPr>
          <w:noProof/>
        </w:rPr>
        <w:t>Table of Contents</w:t>
      </w:r>
      <w:r w:rsidR="005662BB">
        <w:rPr>
          <w:noProof/>
        </w:rPr>
        <w:tab/>
      </w:r>
      <w:r w:rsidR="005662BB">
        <w:rPr>
          <w:noProof/>
        </w:rPr>
        <w:fldChar w:fldCharType="begin"/>
      </w:r>
      <w:r w:rsidR="005662BB">
        <w:rPr>
          <w:noProof/>
        </w:rPr>
        <w:instrText xml:space="preserve"> PAGEREF _Toc20145917 \h </w:instrText>
      </w:r>
      <w:r w:rsidR="005662BB">
        <w:rPr>
          <w:noProof/>
        </w:rPr>
      </w:r>
      <w:r w:rsidR="005662BB">
        <w:rPr>
          <w:noProof/>
        </w:rPr>
        <w:fldChar w:fldCharType="separate"/>
      </w:r>
      <w:r w:rsidR="006667DA">
        <w:rPr>
          <w:noProof/>
        </w:rPr>
        <w:t>2</w:t>
      </w:r>
      <w:r w:rsidR="005662BB">
        <w:rPr>
          <w:noProof/>
        </w:rPr>
        <w:fldChar w:fldCharType="end"/>
      </w:r>
    </w:p>
    <w:p w14:paraId="78EF63DC" w14:textId="0616CB51" w:rsidR="005662BB" w:rsidRDefault="005662BB">
      <w:pPr>
        <w:pStyle w:val="TOC1"/>
        <w:rPr>
          <w:rFonts w:asciiTheme="minorHAnsi" w:eastAsiaTheme="minorEastAsia" w:hAnsiTheme="minorHAnsi" w:cstheme="minorBidi"/>
          <w:noProof/>
          <w:sz w:val="22"/>
          <w:szCs w:val="22"/>
        </w:rPr>
      </w:pPr>
      <w:r>
        <w:rPr>
          <w:noProof/>
        </w:rPr>
        <w:t>Summary</w:t>
      </w:r>
      <w:r>
        <w:rPr>
          <w:noProof/>
        </w:rPr>
        <w:tab/>
      </w:r>
      <w:r>
        <w:rPr>
          <w:noProof/>
        </w:rPr>
        <w:fldChar w:fldCharType="begin"/>
      </w:r>
      <w:r>
        <w:rPr>
          <w:noProof/>
        </w:rPr>
        <w:instrText xml:space="preserve"> PAGEREF _Toc20145918 \h </w:instrText>
      </w:r>
      <w:r>
        <w:rPr>
          <w:noProof/>
        </w:rPr>
      </w:r>
      <w:r>
        <w:rPr>
          <w:noProof/>
        </w:rPr>
        <w:fldChar w:fldCharType="separate"/>
      </w:r>
      <w:r w:rsidR="006667DA">
        <w:rPr>
          <w:noProof/>
        </w:rPr>
        <w:t>3</w:t>
      </w:r>
      <w:r>
        <w:rPr>
          <w:noProof/>
        </w:rPr>
        <w:fldChar w:fldCharType="end"/>
      </w:r>
    </w:p>
    <w:p w14:paraId="12D6DE6B" w14:textId="350B0197" w:rsidR="005662BB" w:rsidRDefault="005662BB">
      <w:pPr>
        <w:pStyle w:val="TOC1"/>
        <w:rPr>
          <w:rFonts w:asciiTheme="minorHAnsi" w:eastAsiaTheme="minorEastAsia" w:hAnsiTheme="minorHAnsi" w:cstheme="minorBidi"/>
          <w:noProof/>
          <w:sz w:val="22"/>
          <w:szCs w:val="22"/>
        </w:rPr>
      </w:pPr>
      <w:r>
        <w:rPr>
          <w:noProof/>
        </w:rPr>
        <w:t>Background</w:t>
      </w:r>
      <w:r>
        <w:rPr>
          <w:noProof/>
        </w:rPr>
        <w:tab/>
      </w:r>
      <w:r>
        <w:rPr>
          <w:noProof/>
        </w:rPr>
        <w:fldChar w:fldCharType="begin"/>
      </w:r>
      <w:r>
        <w:rPr>
          <w:noProof/>
        </w:rPr>
        <w:instrText xml:space="preserve"> PAGEREF _Toc20145919 \h </w:instrText>
      </w:r>
      <w:r>
        <w:rPr>
          <w:noProof/>
        </w:rPr>
      </w:r>
      <w:r>
        <w:rPr>
          <w:noProof/>
        </w:rPr>
        <w:fldChar w:fldCharType="separate"/>
      </w:r>
      <w:r w:rsidR="006667DA">
        <w:rPr>
          <w:noProof/>
        </w:rPr>
        <w:t>3</w:t>
      </w:r>
      <w:r>
        <w:rPr>
          <w:noProof/>
        </w:rPr>
        <w:fldChar w:fldCharType="end"/>
      </w:r>
    </w:p>
    <w:p w14:paraId="581F6D23" w14:textId="3CCFF8A2" w:rsidR="005662BB" w:rsidRDefault="005662BB">
      <w:pPr>
        <w:pStyle w:val="TOC2"/>
        <w:rPr>
          <w:rFonts w:asciiTheme="minorHAnsi" w:eastAsiaTheme="minorEastAsia" w:hAnsiTheme="minorHAnsi" w:cstheme="minorBidi"/>
          <w:noProof/>
          <w:sz w:val="22"/>
          <w:szCs w:val="22"/>
        </w:rPr>
      </w:pPr>
      <w:r>
        <w:rPr>
          <w:noProof/>
        </w:rPr>
        <w:t>Senate Bill 43</w:t>
      </w:r>
      <w:r>
        <w:rPr>
          <w:noProof/>
        </w:rPr>
        <w:tab/>
      </w:r>
      <w:r>
        <w:rPr>
          <w:noProof/>
        </w:rPr>
        <w:fldChar w:fldCharType="begin"/>
      </w:r>
      <w:r>
        <w:rPr>
          <w:noProof/>
        </w:rPr>
        <w:instrText xml:space="preserve"> PAGEREF _Toc20145920 \h </w:instrText>
      </w:r>
      <w:r>
        <w:rPr>
          <w:noProof/>
        </w:rPr>
      </w:r>
      <w:r>
        <w:rPr>
          <w:noProof/>
        </w:rPr>
        <w:fldChar w:fldCharType="separate"/>
      </w:r>
      <w:r w:rsidR="006667DA">
        <w:rPr>
          <w:noProof/>
        </w:rPr>
        <w:t>3</w:t>
      </w:r>
      <w:r>
        <w:rPr>
          <w:noProof/>
        </w:rPr>
        <w:fldChar w:fldCharType="end"/>
      </w:r>
    </w:p>
    <w:p w14:paraId="48AAAF61" w14:textId="4BAEC803" w:rsidR="005662BB" w:rsidRDefault="005662BB">
      <w:pPr>
        <w:pStyle w:val="TOC2"/>
        <w:rPr>
          <w:rFonts w:asciiTheme="minorHAnsi" w:eastAsiaTheme="minorEastAsia" w:hAnsiTheme="minorHAnsi" w:cstheme="minorBidi"/>
          <w:noProof/>
          <w:sz w:val="22"/>
          <w:szCs w:val="22"/>
        </w:rPr>
      </w:pPr>
      <w:r>
        <w:rPr>
          <w:noProof/>
        </w:rPr>
        <w:t>Senate Bill 793</w:t>
      </w:r>
      <w:r>
        <w:rPr>
          <w:noProof/>
        </w:rPr>
        <w:tab/>
      </w:r>
      <w:r>
        <w:rPr>
          <w:noProof/>
        </w:rPr>
        <w:fldChar w:fldCharType="begin"/>
      </w:r>
      <w:r>
        <w:rPr>
          <w:noProof/>
        </w:rPr>
        <w:instrText xml:space="preserve"> PAGEREF _Toc20145921 \h </w:instrText>
      </w:r>
      <w:r>
        <w:rPr>
          <w:noProof/>
        </w:rPr>
      </w:r>
      <w:r>
        <w:rPr>
          <w:noProof/>
        </w:rPr>
        <w:fldChar w:fldCharType="separate"/>
      </w:r>
      <w:r w:rsidR="006667DA">
        <w:rPr>
          <w:noProof/>
        </w:rPr>
        <w:t>5</w:t>
      </w:r>
      <w:r>
        <w:rPr>
          <w:noProof/>
        </w:rPr>
        <w:fldChar w:fldCharType="end"/>
      </w:r>
    </w:p>
    <w:p w14:paraId="57170A02" w14:textId="13F419DF" w:rsidR="005662BB" w:rsidRDefault="005662BB">
      <w:pPr>
        <w:pStyle w:val="TOC2"/>
        <w:rPr>
          <w:rFonts w:asciiTheme="minorHAnsi" w:eastAsiaTheme="minorEastAsia" w:hAnsiTheme="minorHAnsi" w:cstheme="minorBidi"/>
          <w:noProof/>
          <w:sz w:val="22"/>
          <w:szCs w:val="22"/>
        </w:rPr>
      </w:pPr>
      <w:r>
        <w:rPr>
          <w:noProof/>
        </w:rPr>
        <w:t>Senate Bill 840</w:t>
      </w:r>
      <w:r>
        <w:rPr>
          <w:noProof/>
        </w:rPr>
        <w:tab/>
      </w:r>
      <w:r>
        <w:rPr>
          <w:noProof/>
        </w:rPr>
        <w:fldChar w:fldCharType="begin"/>
      </w:r>
      <w:r>
        <w:rPr>
          <w:noProof/>
        </w:rPr>
        <w:instrText xml:space="preserve"> PAGEREF _Toc20145922 \h </w:instrText>
      </w:r>
      <w:r>
        <w:rPr>
          <w:noProof/>
        </w:rPr>
      </w:r>
      <w:r>
        <w:rPr>
          <w:noProof/>
        </w:rPr>
        <w:fldChar w:fldCharType="separate"/>
      </w:r>
      <w:r w:rsidR="006667DA">
        <w:rPr>
          <w:noProof/>
        </w:rPr>
        <w:t>5</w:t>
      </w:r>
      <w:r>
        <w:rPr>
          <w:noProof/>
        </w:rPr>
        <w:fldChar w:fldCharType="end"/>
      </w:r>
    </w:p>
    <w:p w14:paraId="29E7CC8A" w14:textId="5D8A9BE6" w:rsidR="005662BB" w:rsidRDefault="005662BB">
      <w:pPr>
        <w:pStyle w:val="TOC2"/>
        <w:rPr>
          <w:rFonts w:asciiTheme="minorHAnsi" w:eastAsiaTheme="minorEastAsia" w:hAnsiTheme="minorHAnsi" w:cstheme="minorBidi"/>
          <w:noProof/>
          <w:sz w:val="22"/>
          <w:szCs w:val="22"/>
        </w:rPr>
      </w:pPr>
      <w:r>
        <w:rPr>
          <w:noProof/>
        </w:rPr>
        <w:t>Current Program Status</w:t>
      </w:r>
      <w:r>
        <w:rPr>
          <w:noProof/>
        </w:rPr>
        <w:tab/>
      </w:r>
      <w:r>
        <w:rPr>
          <w:noProof/>
        </w:rPr>
        <w:fldChar w:fldCharType="begin"/>
      </w:r>
      <w:r>
        <w:rPr>
          <w:noProof/>
        </w:rPr>
        <w:instrText xml:space="preserve"> PAGEREF _Toc20145923 \h </w:instrText>
      </w:r>
      <w:r>
        <w:rPr>
          <w:noProof/>
        </w:rPr>
      </w:r>
      <w:r>
        <w:rPr>
          <w:noProof/>
        </w:rPr>
        <w:fldChar w:fldCharType="separate"/>
      </w:r>
      <w:r w:rsidR="006667DA">
        <w:rPr>
          <w:noProof/>
        </w:rPr>
        <w:t>6</w:t>
      </w:r>
      <w:r>
        <w:rPr>
          <w:noProof/>
        </w:rPr>
        <w:fldChar w:fldCharType="end"/>
      </w:r>
    </w:p>
    <w:p w14:paraId="3C9E8D7E" w14:textId="6C027AF5" w:rsidR="005662BB" w:rsidRDefault="005662BB">
      <w:pPr>
        <w:pStyle w:val="TOC1"/>
        <w:rPr>
          <w:rFonts w:asciiTheme="minorHAnsi" w:eastAsiaTheme="minorEastAsia" w:hAnsiTheme="minorHAnsi" w:cstheme="minorBidi"/>
          <w:noProof/>
          <w:sz w:val="22"/>
          <w:szCs w:val="22"/>
        </w:rPr>
      </w:pPr>
      <w:r>
        <w:rPr>
          <w:noProof/>
        </w:rPr>
        <w:t>Notice</w:t>
      </w:r>
      <w:r>
        <w:rPr>
          <w:noProof/>
        </w:rPr>
        <w:tab/>
      </w:r>
      <w:r>
        <w:rPr>
          <w:noProof/>
        </w:rPr>
        <w:fldChar w:fldCharType="begin"/>
      </w:r>
      <w:r>
        <w:rPr>
          <w:noProof/>
        </w:rPr>
        <w:instrText xml:space="preserve"> PAGEREF _Toc20145924 \h </w:instrText>
      </w:r>
      <w:r>
        <w:rPr>
          <w:noProof/>
        </w:rPr>
      </w:r>
      <w:r>
        <w:rPr>
          <w:noProof/>
        </w:rPr>
        <w:fldChar w:fldCharType="separate"/>
      </w:r>
      <w:r w:rsidR="006667DA">
        <w:rPr>
          <w:noProof/>
        </w:rPr>
        <w:t>9</w:t>
      </w:r>
      <w:r>
        <w:rPr>
          <w:noProof/>
        </w:rPr>
        <w:fldChar w:fldCharType="end"/>
      </w:r>
    </w:p>
    <w:p w14:paraId="29A6FFEE" w14:textId="02414B63" w:rsidR="005662BB" w:rsidRDefault="005662BB">
      <w:pPr>
        <w:pStyle w:val="TOC1"/>
        <w:rPr>
          <w:rFonts w:asciiTheme="minorHAnsi" w:eastAsiaTheme="minorEastAsia" w:hAnsiTheme="minorHAnsi" w:cstheme="minorBidi"/>
          <w:noProof/>
          <w:sz w:val="22"/>
          <w:szCs w:val="22"/>
        </w:rPr>
      </w:pPr>
      <w:r>
        <w:rPr>
          <w:noProof/>
        </w:rPr>
        <w:t>Protests</w:t>
      </w:r>
      <w:r>
        <w:rPr>
          <w:noProof/>
        </w:rPr>
        <w:tab/>
      </w:r>
      <w:r>
        <w:rPr>
          <w:noProof/>
        </w:rPr>
        <w:fldChar w:fldCharType="begin"/>
      </w:r>
      <w:r>
        <w:rPr>
          <w:noProof/>
        </w:rPr>
        <w:instrText xml:space="preserve"> PAGEREF _Toc20145925 \h </w:instrText>
      </w:r>
      <w:r>
        <w:rPr>
          <w:noProof/>
        </w:rPr>
      </w:r>
      <w:r>
        <w:rPr>
          <w:noProof/>
        </w:rPr>
        <w:fldChar w:fldCharType="separate"/>
      </w:r>
      <w:r w:rsidR="006667DA">
        <w:rPr>
          <w:noProof/>
        </w:rPr>
        <w:t>9</w:t>
      </w:r>
      <w:r>
        <w:rPr>
          <w:noProof/>
        </w:rPr>
        <w:fldChar w:fldCharType="end"/>
      </w:r>
    </w:p>
    <w:p w14:paraId="06B5092F" w14:textId="773D1E10" w:rsidR="005662BB" w:rsidRDefault="005662BB">
      <w:pPr>
        <w:pStyle w:val="TOC1"/>
        <w:rPr>
          <w:rFonts w:asciiTheme="minorHAnsi" w:eastAsiaTheme="minorEastAsia" w:hAnsiTheme="minorHAnsi" w:cstheme="minorBidi"/>
          <w:noProof/>
          <w:sz w:val="22"/>
          <w:szCs w:val="22"/>
        </w:rPr>
      </w:pPr>
      <w:r>
        <w:rPr>
          <w:noProof/>
        </w:rPr>
        <w:t>Discussion</w:t>
      </w:r>
      <w:r>
        <w:rPr>
          <w:noProof/>
        </w:rPr>
        <w:tab/>
      </w:r>
      <w:r>
        <w:rPr>
          <w:noProof/>
        </w:rPr>
        <w:fldChar w:fldCharType="begin"/>
      </w:r>
      <w:r>
        <w:rPr>
          <w:noProof/>
        </w:rPr>
        <w:instrText xml:space="preserve"> PAGEREF _Toc20145926 \h </w:instrText>
      </w:r>
      <w:r>
        <w:rPr>
          <w:noProof/>
        </w:rPr>
      </w:r>
      <w:r>
        <w:rPr>
          <w:noProof/>
        </w:rPr>
        <w:fldChar w:fldCharType="separate"/>
      </w:r>
      <w:r w:rsidR="006667DA">
        <w:rPr>
          <w:noProof/>
        </w:rPr>
        <w:t>10</w:t>
      </w:r>
      <w:r>
        <w:rPr>
          <w:noProof/>
        </w:rPr>
        <w:fldChar w:fldCharType="end"/>
      </w:r>
    </w:p>
    <w:p w14:paraId="6A2DFAA2" w14:textId="54F834B9" w:rsidR="005662BB" w:rsidRDefault="005662BB">
      <w:pPr>
        <w:pStyle w:val="TOC2"/>
        <w:rPr>
          <w:rFonts w:asciiTheme="minorHAnsi" w:eastAsiaTheme="minorEastAsia" w:hAnsiTheme="minorHAnsi" w:cstheme="minorBidi"/>
          <w:noProof/>
          <w:sz w:val="22"/>
          <w:szCs w:val="22"/>
        </w:rPr>
      </w:pPr>
      <w:r>
        <w:rPr>
          <w:noProof/>
        </w:rPr>
        <w:t>Terminating or Extending the GTSR Program</w:t>
      </w:r>
      <w:r>
        <w:rPr>
          <w:noProof/>
        </w:rPr>
        <w:tab/>
      </w:r>
      <w:r>
        <w:rPr>
          <w:noProof/>
        </w:rPr>
        <w:fldChar w:fldCharType="begin"/>
      </w:r>
      <w:r>
        <w:rPr>
          <w:noProof/>
        </w:rPr>
        <w:instrText xml:space="preserve"> PAGEREF _Toc20145927 \h </w:instrText>
      </w:r>
      <w:r>
        <w:rPr>
          <w:noProof/>
        </w:rPr>
      </w:r>
      <w:r>
        <w:rPr>
          <w:noProof/>
        </w:rPr>
        <w:fldChar w:fldCharType="separate"/>
      </w:r>
      <w:r w:rsidR="006667DA">
        <w:rPr>
          <w:noProof/>
        </w:rPr>
        <w:t>10</w:t>
      </w:r>
      <w:r>
        <w:rPr>
          <w:noProof/>
        </w:rPr>
        <w:fldChar w:fldCharType="end"/>
      </w:r>
    </w:p>
    <w:p w14:paraId="00F4F94A" w14:textId="3FCBDA11" w:rsidR="005662BB" w:rsidRDefault="005662BB">
      <w:pPr>
        <w:pStyle w:val="TOC3"/>
        <w:rPr>
          <w:rFonts w:asciiTheme="minorHAnsi" w:eastAsiaTheme="minorEastAsia" w:hAnsiTheme="minorHAnsi" w:cstheme="minorBidi"/>
          <w:noProof/>
          <w:sz w:val="22"/>
          <w:szCs w:val="22"/>
        </w:rPr>
      </w:pPr>
      <w:r>
        <w:rPr>
          <w:noProof/>
        </w:rPr>
        <w:t>Tariff Modifications in Conjunction with a GTSR Extension</w:t>
      </w:r>
      <w:r>
        <w:rPr>
          <w:noProof/>
        </w:rPr>
        <w:tab/>
      </w:r>
      <w:r>
        <w:rPr>
          <w:noProof/>
        </w:rPr>
        <w:fldChar w:fldCharType="begin"/>
      </w:r>
      <w:r>
        <w:rPr>
          <w:noProof/>
        </w:rPr>
        <w:instrText xml:space="preserve"> PAGEREF _Toc20145928 \h </w:instrText>
      </w:r>
      <w:r>
        <w:rPr>
          <w:noProof/>
        </w:rPr>
      </w:r>
      <w:r>
        <w:rPr>
          <w:noProof/>
        </w:rPr>
        <w:fldChar w:fldCharType="separate"/>
      </w:r>
      <w:r w:rsidR="006667DA">
        <w:rPr>
          <w:noProof/>
        </w:rPr>
        <w:t>13</w:t>
      </w:r>
      <w:r>
        <w:rPr>
          <w:noProof/>
        </w:rPr>
        <w:fldChar w:fldCharType="end"/>
      </w:r>
    </w:p>
    <w:p w14:paraId="510C3697" w14:textId="74E96D36" w:rsidR="005662BB" w:rsidRDefault="005662BB">
      <w:pPr>
        <w:pStyle w:val="TOC2"/>
        <w:rPr>
          <w:rFonts w:asciiTheme="minorHAnsi" w:eastAsiaTheme="minorEastAsia" w:hAnsiTheme="minorHAnsi" w:cstheme="minorBidi"/>
          <w:noProof/>
          <w:sz w:val="22"/>
          <w:szCs w:val="22"/>
        </w:rPr>
      </w:pPr>
      <w:r>
        <w:rPr>
          <w:noProof/>
        </w:rPr>
        <w:t>Programmatic Changes Recommended by the IOUs and Parties</w:t>
      </w:r>
      <w:r>
        <w:rPr>
          <w:noProof/>
        </w:rPr>
        <w:tab/>
      </w:r>
      <w:r>
        <w:rPr>
          <w:noProof/>
        </w:rPr>
        <w:fldChar w:fldCharType="begin"/>
      </w:r>
      <w:r>
        <w:rPr>
          <w:noProof/>
        </w:rPr>
        <w:instrText xml:space="preserve"> PAGEREF _Toc20145929 \h </w:instrText>
      </w:r>
      <w:r>
        <w:rPr>
          <w:noProof/>
        </w:rPr>
      </w:r>
      <w:r>
        <w:rPr>
          <w:noProof/>
        </w:rPr>
        <w:fldChar w:fldCharType="separate"/>
      </w:r>
      <w:r w:rsidR="006667DA">
        <w:rPr>
          <w:noProof/>
        </w:rPr>
        <w:t>13</w:t>
      </w:r>
      <w:r>
        <w:rPr>
          <w:noProof/>
        </w:rPr>
        <w:fldChar w:fldCharType="end"/>
      </w:r>
    </w:p>
    <w:p w14:paraId="5C972D39" w14:textId="035BE3F1" w:rsidR="005662BB" w:rsidRDefault="005662BB">
      <w:pPr>
        <w:pStyle w:val="TOC3"/>
        <w:rPr>
          <w:rFonts w:asciiTheme="minorHAnsi" w:eastAsiaTheme="minorEastAsia" w:hAnsiTheme="minorHAnsi" w:cstheme="minorBidi"/>
          <w:noProof/>
          <w:sz w:val="22"/>
          <w:szCs w:val="22"/>
        </w:rPr>
      </w:pPr>
      <w:r>
        <w:rPr>
          <w:noProof/>
        </w:rPr>
        <w:t>IOU Program Proposals</w:t>
      </w:r>
      <w:r>
        <w:rPr>
          <w:noProof/>
        </w:rPr>
        <w:tab/>
      </w:r>
      <w:r>
        <w:rPr>
          <w:noProof/>
        </w:rPr>
        <w:fldChar w:fldCharType="begin"/>
      </w:r>
      <w:r>
        <w:rPr>
          <w:noProof/>
        </w:rPr>
        <w:instrText xml:space="preserve"> PAGEREF _Toc20145930 \h </w:instrText>
      </w:r>
      <w:r>
        <w:rPr>
          <w:noProof/>
        </w:rPr>
      </w:r>
      <w:r>
        <w:rPr>
          <w:noProof/>
        </w:rPr>
        <w:fldChar w:fldCharType="separate"/>
      </w:r>
      <w:r w:rsidR="006667DA">
        <w:rPr>
          <w:noProof/>
        </w:rPr>
        <w:t>14</w:t>
      </w:r>
      <w:r>
        <w:rPr>
          <w:noProof/>
        </w:rPr>
        <w:fldChar w:fldCharType="end"/>
      </w:r>
    </w:p>
    <w:p w14:paraId="2EAEDE5E" w14:textId="1166A7E6" w:rsidR="005662BB" w:rsidRDefault="005662BB">
      <w:pPr>
        <w:pStyle w:val="TOC4"/>
        <w:rPr>
          <w:rFonts w:asciiTheme="minorHAnsi" w:eastAsiaTheme="minorEastAsia" w:hAnsiTheme="minorHAnsi" w:cstheme="minorBidi"/>
          <w:noProof/>
          <w:sz w:val="22"/>
          <w:szCs w:val="22"/>
        </w:rPr>
      </w:pPr>
      <w:r>
        <w:rPr>
          <w:noProof/>
        </w:rPr>
        <w:t>The Community Interest Requirement</w:t>
      </w:r>
      <w:r>
        <w:rPr>
          <w:noProof/>
        </w:rPr>
        <w:tab/>
      </w:r>
      <w:r>
        <w:rPr>
          <w:noProof/>
        </w:rPr>
        <w:fldChar w:fldCharType="begin"/>
      </w:r>
      <w:r>
        <w:rPr>
          <w:noProof/>
        </w:rPr>
        <w:instrText xml:space="preserve"> PAGEREF _Toc20145931 \h </w:instrText>
      </w:r>
      <w:r>
        <w:rPr>
          <w:noProof/>
        </w:rPr>
      </w:r>
      <w:r>
        <w:rPr>
          <w:noProof/>
        </w:rPr>
        <w:fldChar w:fldCharType="separate"/>
      </w:r>
      <w:r w:rsidR="006667DA">
        <w:rPr>
          <w:noProof/>
        </w:rPr>
        <w:t>14</w:t>
      </w:r>
      <w:r>
        <w:rPr>
          <w:noProof/>
        </w:rPr>
        <w:fldChar w:fldCharType="end"/>
      </w:r>
    </w:p>
    <w:p w14:paraId="05957CE4" w14:textId="09AFE8FA" w:rsidR="005662BB" w:rsidRDefault="005662BB">
      <w:pPr>
        <w:pStyle w:val="TOC4"/>
        <w:rPr>
          <w:rFonts w:asciiTheme="minorHAnsi" w:eastAsiaTheme="minorEastAsia" w:hAnsiTheme="minorHAnsi" w:cstheme="minorBidi"/>
          <w:noProof/>
          <w:sz w:val="22"/>
          <w:szCs w:val="22"/>
        </w:rPr>
      </w:pPr>
      <w:r>
        <w:rPr>
          <w:noProof/>
        </w:rPr>
        <w:t>Applying the Environmental Justice Reservation</w:t>
      </w:r>
      <w:r>
        <w:rPr>
          <w:noProof/>
        </w:rPr>
        <w:tab/>
      </w:r>
      <w:r>
        <w:rPr>
          <w:noProof/>
        </w:rPr>
        <w:fldChar w:fldCharType="begin"/>
      </w:r>
      <w:r>
        <w:rPr>
          <w:noProof/>
        </w:rPr>
        <w:instrText xml:space="preserve"> PAGEREF _Toc20145932 \h </w:instrText>
      </w:r>
      <w:r>
        <w:rPr>
          <w:noProof/>
        </w:rPr>
      </w:r>
      <w:r>
        <w:rPr>
          <w:noProof/>
        </w:rPr>
        <w:fldChar w:fldCharType="separate"/>
      </w:r>
      <w:r w:rsidR="006667DA">
        <w:rPr>
          <w:noProof/>
        </w:rPr>
        <w:t>23</w:t>
      </w:r>
      <w:r>
        <w:rPr>
          <w:noProof/>
        </w:rPr>
        <w:fldChar w:fldCharType="end"/>
      </w:r>
    </w:p>
    <w:p w14:paraId="52E4E7E8" w14:textId="7E54B1E7" w:rsidR="005662BB" w:rsidRDefault="005662BB">
      <w:pPr>
        <w:pStyle w:val="TOC4"/>
        <w:rPr>
          <w:rFonts w:asciiTheme="minorHAnsi" w:eastAsiaTheme="minorEastAsia" w:hAnsiTheme="minorHAnsi" w:cstheme="minorBidi"/>
          <w:noProof/>
          <w:sz w:val="22"/>
          <w:szCs w:val="22"/>
        </w:rPr>
      </w:pPr>
      <w:r>
        <w:rPr>
          <w:noProof/>
        </w:rPr>
        <w:t>Greenhouse Gas Emissions Reductions Marketing</w:t>
      </w:r>
      <w:r>
        <w:rPr>
          <w:noProof/>
        </w:rPr>
        <w:tab/>
      </w:r>
      <w:r>
        <w:rPr>
          <w:noProof/>
        </w:rPr>
        <w:fldChar w:fldCharType="begin"/>
      </w:r>
      <w:r>
        <w:rPr>
          <w:noProof/>
        </w:rPr>
        <w:instrText xml:space="preserve"> PAGEREF _Toc20145933 \h </w:instrText>
      </w:r>
      <w:r>
        <w:rPr>
          <w:noProof/>
        </w:rPr>
      </w:r>
      <w:r>
        <w:rPr>
          <w:noProof/>
        </w:rPr>
        <w:fldChar w:fldCharType="separate"/>
      </w:r>
      <w:r w:rsidR="006667DA">
        <w:rPr>
          <w:noProof/>
        </w:rPr>
        <w:t>23</w:t>
      </w:r>
      <w:r>
        <w:rPr>
          <w:noProof/>
        </w:rPr>
        <w:fldChar w:fldCharType="end"/>
      </w:r>
    </w:p>
    <w:p w14:paraId="32A18826" w14:textId="4FDEB9F6" w:rsidR="005662BB" w:rsidRDefault="005662BB">
      <w:pPr>
        <w:pStyle w:val="TOC4"/>
        <w:rPr>
          <w:rFonts w:asciiTheme="minorHAnsi" w:eastAsiaTheme="minorEastAsia" w:hAnsiTheme="minorHAnsi" w:cstheme="minorBidi"/>
          <w:noProof/>
          <w:sz w:val="22"/>
          <w:szCs w:val="22"/>
        </w:rPr>
      </w:pPr>
      <w:r>
        <w:rPr>
          <w:noProof/>
        </w:rPr>
        <w:t>ECR Procurement Timeframe</w:t>
      </w:r>
      <w:r>
        <w:rPr>
          <w:noProof/>
        </w:rPr>
        <w:tab/>
      </w:r>
      <w:r>
        <w:rPr>
          <w:noProof/>
        </w:rPr>
        <w:fldChar w:fldCharType="begin"/>
      </w:r>
      <w:r>
        <w:rPr>
          <w:noProof/>
        </w:rPr>
        <w:instrText xml:space="preserve"> PAGEREF _Toc20145934 \h </w:instrText>
      </w:r>
      <w:r>
        <w:rPr>
          <w:noProof/>
        </w:rPr>
      </w:r>
      <w:r>
        <w:rPr>
          <w:noProof/>
        </w:rPr>
        <w:fldChar w:fldCharType="separate"/>
      </w:r>
      <w:r w:rsidR="006667DA">
        <w:rPr>
          <w:noProof/>
        </w:rPr>
        <w:t>26</w:t>
      </w:r>
      <w:r>
        <w:rPr>
          <w:noProof/>
        </w:rPr>
        <w:fldChar w:fldCharType="end"/>
      </w:r>
    </w:p>
    <w:p w14:paraId="79F0DD9D" w14:textId="08F35CBB" w:rsidR="005662BB" w:rsidRDefault="005662BB">
      <w:pPr>
        <w:pStyle w:val="TOC4"/>
        <w:rPr>
          <w:rFonts w:asciiTheme="minorHAnsi" w:eastAsiaTheme="minorEastAsia" w:hAnsiTheme="minorHAnsi" w:cstheme="minorBidi"/>
          <w:noProof/>
          <w:sz w:val="22"/>
          <w:szCs w:val="22"/>
        </w:rPr>
      </w:pPr>
      <w:r>
        <w:rPr>
          <w:noProof/>
        </w:rPr>
        <w:t>Reducing the Number of Reports</w:t>
      </w:r>
      <w:r>
        <w:rPr>
          <w:noProof/>
        </w:rPr>
        <w:tab/>
      </w:r>
      <w:r>
        <w:rPr>
          <w:noProof/>
        </w:rPr>
        <w:fldChar w:fldCharType="begin"/>
      </w:r>
      <w:r>
        <w:rPr>
          <w:noProof/>
        </w:rPr>
        <w:instrText xml:space="preserve"> PAGEREF _Toc20145935 \h </w:instrText>
      </w:r>
      <w:r>
        <w:rPr>
          <w:noProof/>
        </w:rPr>
      </w:r>
      <w:r>
        <w:rPr>
          <w:noProof/>
        </w:rPr>
        <w:fldChar w:fldCharType="separate"/>
      </w:r>
      <w:r w:rsidR="006667DA">
        <w:rPr>
          <w:noProof/>
        </w:rPr>
        <w:t>28</w:t>
      </w:r>
      <w:r>
        <w:rPr>
          <w:noProof/>
        </w:rPr>
        <w:fldChar w:fldCharType="end"/>
      </w:r>
    </w:p>
    <w:p w14:paraId="2872B8A3" w14:textId="5B4B9415" w:rsidR="005662BB" w:rsidRDefault="005662BB">
      <w:pPr>
        <w:pStyle w:val="TOC4"/>
        <w:rPr>
          <w:rFonts w:asciiTheme="minorHAnsi" w:eastAsiaTheme="minorEastAsia" w:hAnsiTheme="minorHAnsi" w:cstheme="minorBidi"/>
          <w:noProof/>
          <w:sz w:val="22"/>
          <w:szCs w:val="22"/>
        </w:rPr>
      </w:pPr>
      <w:r>
        <w:rPr>
          <w:noProof/>
        </w:rPr>
        <w:t>The 20-Year Forecast Advice Letter</w:t>
      </w:r>
      <w:r>
        <w:rPr>
          <w:noProof/>
        </w:rPr>
        <w:tab/>
      </w:r>
      <w:r>
        <w:rPr>
          <w:noProof/>
        </w:rPr>
        <w:fldChar w:fldCharType="begin"/>
      </w:r>
      <w:r>
        <w:rPr>
          <w:noProof/>
        </w:rPr>
        <w:instrText xml:space="preserve"> PAGEREF _Toc20145936 \h </w:instrText>
      </w:r>
      <w:r>
        <w:rPr>
          <w:noProof/>
        </w:rPr>
      </w:r>
      <w:r>
        <w:rPr>
          <w:noProof/>
        </w:rPr>
        <w:fldChar w:fldCharType="separate"/>
      </w:r>
      <w:r w:rsidR="006667DA">
        <w:rPr>
          <w:noProof/>
        </w:rPr>
        <w:t>28</w:t>
      </w:r>
      <w:r>
        <w:rPr>
          <w:noProof/>
        </w:rPr>
        <w:fldChar w:fldCharType="end"/>
      </w:r>
    </w:p>
    <w:p w14:paraId="54220E92" w14:textId="36D0DF5A" w:rsidR="005662BB" w:rsidRDefault="005662BB">
      <w:pPr>
        <w:pStyle w:val="TOC4"/>
        <w:rPr>
          <w:rFonts w:asciiTheme="minorHAnsi" w:eastAsiaTheme="minorEastAsia" w:hAnsiTheme="minorHAnsi" w:cstheme="minorBidi"/>
          <w:noProof/>
          <w:sz w:val="22"/>
          <w:szCs w:val="22"/>
        </w:rPr>
      </w:pPr>
      <w:r>
        <w:rPr>
          <w:noProof/>
        </w:rPr>
        <w:t>Allowing NEM Customers to Participate in GT and ECR</w:t>
      </w:r>
      <w:r>
        <w:rPr>
          <w:noProof/>
        </w:rPr>
        <w:tab/>
      </w:r>
      <w:r>
        <w:rPr>
          <w:noProof/>
        </w:rPr>
        <w:fldChar w:fldCharType="begin"/>
      </w:r>
      <w:r>
        <w:rPr>
          <w:noProof/>
        </w:rPr>
        <w:instrText xml:space="preserve"> PAGEREF _Toc20145937 \h </w:instrText>
      </w:r>
      <w:r>
        <w:rPr>
          <w:noProof/>
        </w:rPr>
      </w:r>
      <w:r>
        <w:rPr>
          <w:noProof/>
        </w:rPr>
        <w:fldChar w:fldCharType="separate"/>
      </w:r>
      <w:r w:rsidR="006667DA">
        <w:rPr>
          <w:noProof/>
        </w:rPr>
        <w:t>29</w:t>
      </w:r>
      <w:r>
        <w:rPr>
          <w:noProof/>
        </w:rPr>
        <w:fldChar w:fldCharType="end"/>
      </w:r>
    </w:p>
    <w:p w14:paraId="3995CA36" w14:textId="7B8EB4A5" w:rsidR="005662BB" w:rsidRDefault="005662BB">
      <w:pPr>
        <w:pStyle w:val="TOC3"/>
        <w:rPr>
          <w:rFonts w:asciiTheme="minorHAnsi" w:eastAsiaTheme="minorEastAsia" w:hAnsiTheme="minorHAnsi" w:cstheme="minorBidi"/>
          <w:noProof/>
          <w:sz w:val="22"/>
          <w:szCs w:val="22"/>
        </w:rPr>
      </w:pPr>
      <w:r>
        <w:rPr>
          <w:noProof/>
        </w:rPr>
        <w:t>IOU’s GTSR Program Budgets</w:t>
      </w:r>
      <w:r>
        <w:rPr>
          <w:noProof/>
        </w:rPr>
        <w:tab/>
      </w:r>
      <w:r>
        <w:rPr>
          <w:noProof/>
        </w:rPr>
        <w:fldChar w:fldCharType="begin"/>
      </w:r>
      <w:r>
        <w:rPr>
          <w:noProof/>
        </w:rPr>
        <w:instrText xml:space="preserve"> PAGEREF _Toc20145938 \h </w:instrText>
      </w:r>
      <w:r>
        <w:rPr>
          <w:noProof/>
        </w:rPr>
      </w:r>
      <w:r>
        <w:rPr>
          <w:noProof/>
        </w:rPr>
        <w:fldChar w:fldCharType="separate"/>
      </w:r>
      <w:r w:rsidR="006667DA">
        <w:rPr>
          <w:noProof/>
        </w:rPr>
        <w:t>30</w:t>
      </w:r>
      <w:r>
        <w:rPr>
          <w:noProof/>
        </w:rPr>
        <w:fldChar w:fldCharType="end"/>
      </w:r>
    </w:p>
    <w:p w14:paraId="427B44EC" w14:textId="3C26F99E" w:rsidR="005662BB" w:rsidRDefault="005662BB">
      <w:pPr>
        <w:pStyle w:val="TOC4"/>
        <w:rPr>
          <w:rFonts w:asciiTheme="minorHAnsi" w:eastAsiaTheme="minorEastAsia" w:hAnsiTheme="minorHAnsi" w:cstheme="minorBidi"/>
          <w:noProof/>
          <w:sz w:val="22"/>
          <w:szCs w:val="22"/>
        </w:rPr>
      </w:pPr>
      <w:r>
        <w:rPr>
          <w:noProof/>
        </w:rPr>
        <w:t>GTSR Program Cost Recovery</w:t>
      </w:r>
      <w:r>
        <w:rPr>
          <w:noProof/>
        </w:rPr>
        <w:tab/>
      </w:r>
      <w:r>
        <w:rPr>
          <w:noProof/>
        </w:rPr>
        <w:fldChar w:fldCharType="begin"/>
      </w:r>
      <w:r>
        <w:rPr>
          <w:noProof/>
        </w:rPr>
        <w:instrText xml:space="preserve"> PAGEREF _Toc20145939 \h </w:instrText>
      </w:r>
      <w:r>
        <w:rPr>
          <w:noProof/>
        </w:rPr>
      </w:r>
      <w:r>
        <w:rPr>
          <w:noProof/>
        </w:rPr>
        <w:fldChar w:fldCharType="separate"/>
      </w:r>
      <w:r w:rsidR="006667DA">
        <w:rPr>
          <w:noProof/>
        </w:rPr>
        <w:t>30</w:t>
      </w:r>
      <w:r>
        <w:rPr>
          <w:noProof/>
        </w:rPr>
        <w:fldChar w:fldCharType="end"/>
      </w:r>
    </w:p>
    <w:p w14:paraId="0E0FDA45" w14:textId="2C185338" w:rsidR="005662BB" w:rsidRDefault="005662BB">
      <w:pPr>
        <w:pStyle w:val="TOC2"/>
        <w:rPr>
          <w:rFonts w:asciiTheme="minorHAnsi" w:eastAsiaTheme="minorEastAsia" w:hAnsiTheme="minorHAnsi" w:cstheme="minorBidi"/>
          <w:noProof/>
          <w:sz w:val="22"/>
          <w:szCs w:val="22"/>
        </w:rPr>
      </w:pPr>
      <w:r>
        <w:rPr>
          <w:noProof/>
        </w:rPr>
        <w:t>Other Party Proposals</w:t>
      </w:r>
      <w:r>
        <w:rPr>
          <w:noProof/>
        </w:rPr>
        <w:tab/>
      </w:r>
      <w:r>
        <w:rPr>
          <w:noProof/>
        </w:rPr>
        <w:fldChar w:fldCharType="begin"/>
      </w:r>
      <w:r>
        <w:rPr>
          <w:noProof/>
        </w:rPr>
        <w:instrText xml:space="preserve"> PAGEREF _Toc20145940 \h </w:instrText>
      </w:r>
      <w:r>
        <w:rPr>
          <w:noProof/>
        </w:rPr>
      </w:r>
      <w:r>
        <w:rPr>
          <w:noProof/>
        </w:rPr>
        <w:fldChar w:fldCharType="separate"/>
      </w:r>
      <w:r w:rsidR="006667DA">
        <w:rPr>
          <w:noProof/>
        </w:rPr>
        <w:t>32</w:t>
      </w:r>
      <w:r>
        <w:rPr>
          <w:noProof/>
        </w:rPr>
        <w:fldChar w:fldCharType="end"/>
      </w:r>
    </w:p>
    <w:p w14:paraId="113535F4" w14:textId="198237B5" w:rsidR="005662BB" w:rsidRDefault="005662BB">
      <w:pPr>
        <w:pStyle w:val="TOC3"/>
        <w:rPr>
          <w:rFonts w:asciiTheme="minorHAnsi" w:eastAsiaTheme="minorEastAsia" w:hAnsiTheme="minorHAnsi" w:cstheme="minorBidi"/>
          <w:noProof/>
          <w:sz w:val="22"/>
          <w:szCs w:val="22"/>
        </w:rPr>
      </w:pPr>
      <w:r>
        <w:rPr>
          <w:noProof/>
        </w:rPr>
        <w:t>Power Charge Indifference Adjustment</w:t>
      </w:r>
      <w:r>
        <w:rPr>
          <w:noProof/>
        </w:rPr>
        <w:tab/>
      </w:r>
      <w:r>
        <w:rPr>
          <w:noProof/>
        </w:rPr>
        <w:fldChar w:fldCharType="begin"/>
      </w:r>
      <w:r>
        <w:rPr>
          <w:noProof/>
        </w:rPr>
        <w:instrText xml:space="preserve"> PAGEREF _Toc20145941 \h </w:instrText>
      </w:r>
      <w:r>
        <w:rPr>
          <w:noProof/>
        </w:rPr>
      </w:r>
      <w:r>
        <w:rPr>
          <w:noProof/>
        </w:rPr>
        <w:fldChar w:fldCharType="separate"/>
      </w:r>
      <w:r w:rsidR="006667DA">
        <w:rPr>
          <w:noProof/>
        </w:rPr>
        <w:t>32</w:t>
      </w:r>
      <w:r>
        <w:rPr>
          <w:noProof/>
        </w:rPr>
        <w:fldChar w:fldCharType="end"/>
      </w:r>
    </w:p>
    <w:p w14:paraId="41637D8D" w14:textId="1635CDE8" w:rsidR="005662BB" w:rsidRDefault="005662BB">
      <w:pPr>
        <w:pStyle w:val="TOC3"/>
        <w:rPr>
          <w:rFonts w:asciiTheme="minorHAnsi" w:eastAsiaTheme="minorEastAsia" w:hAnsiTheme="minorHAnsi" w:cstheme="minorBidi"/>
          <w:noProof/>
          <w:sz w:val="22"/>
          <w:szCs w:val="22"/>
        </w:rPr>
      </w:pPr>
      <w:r>
        <w:rPr>
          <w:noProof/>
        </w:rPr>
        <w:t>Locational Grid Benefits</w:t>
      </w:r>
      <w:r>
        <w:rPr>
          <w:noProof/>
        </w:rPr>
        <w:tab/>
      </w:r>
      <w:r>
        <w:rPr>
          <w:noProof/>
        </w:rPr>
        <w:fldChar w:fldCharType="begin"/>
      </w:r>
      <w:r>
        <w:rPr>
          <w:noProof/>
        </w:rPr>
        <w:instrText xml:space="preserve"> PAGEREF _Toc20145942 \h </w:instrText>
      </w:r>
      <w:r>
        <w:rPr>
          <w:noProof/>
        </w:rPr>
      </w:r>
      <w:r>
        <w:rPr>
          <w:noProof/>
        </w:rPr>
        <w:fldChar w:fldCharType="separate"/>
      </w:r>
      <w:r w:rsidR="006667DA">
        <w:rPr>
          <w:noProof/>
        </w:rPr>
        <w:t>34</w:t>
      </w:r>
      <w:r>
        <w:rPr>
          <w:noProof/>
        </w:rPr>
        <w:fldChar w:fldCharType="end"/>
      </w:r>
    </w:p>
    <w:p w14:paraId="20D44EA2" w14:textId="26B105B9" w:rsidR="005662BB" w:rsidRDefault="005662BB">
      <w:pPr>
        <w:pStyle w:val="TOC3"/>
        <w:rPr>
          <w:rFonts w:asciiTheme="minorHAnsi" w:eastAsiaTheme="minorEastAsia" w:hAnsiTheme="minorHAnsi" w:cstheme="minorBidi"/>
          <w:noProof/>
          <w:sz w:val="22"/>
          <w:szCs w:val="22"/>
        </w:rPr>
      </w:pPr>
      <w:r>
        <w:rPr>
          <w:noProof/>
        </w:rPr>
        <w:t>Securities Opinion</w:t>
      </w:r>
      <w:r>
        <w:rPr>
          <w:noProof/>
        </w:rPr>
        <w:tab/>
      </w:r>
      <w:r>
        <w:rPr>
          <w:noProof/>
        </w:rPr>
        <w:fldChar w:fldCharType="begin"/>
      </w:r>
      <w:r>
        <w:rPr>
          <w:noProof/>
        </w:rPr>
        <w:instrText xml:space="preserve"> PAGEREF _Toc20145943 \h </w:instrText>
      </w:r>
      <w:r>
        <w:rPr>
          <w:noProof/>
        </w:rPr>
      </w:r>
      <w:r>
        <w:rPr>
          <w:noProof/>
        </w:rPr>
        <w:fldChar w:fldCharType="separate"/>
      </w:r>
      <w:r w:rsidR="006667DA">
        <w:rPr>
          <w:noProof/>
        </w:rPr>
        <w:t>35</w:t>
      </w:r>
      <w:r>
        <w:rPr>
          <w:noProof/>
        </w:rPr>
        <w:fldChar w:fldCharType="end"/>
      </w:r>
    </w:p>
    <w:p w14:paraId="0BD9707A" w14:textId="47FBF82F" w:rsidR="005662BB" w:rsidRDefault="005662BB">
      <w:pPr>
        <w:pStyle w:val="TOC3"/>
        <w:rPr>
          <w:rFonts w:asciiTheme="minorHAnsi" w:eastAsiaTheme="minorEastAsia" w:hAnsiTheme="minorHAnsi" w:cstheme="minorBidi"/>
          <w:noProof/>
          <w:sz w:val="22"/>
          <w:szCs w:val="22"/>
        </w:rPr>
      </w:pPr>
      <w:r>
        <w:rPr>
          <w:noProof/>
        </w:rPr>
        <w:t>The 2 MW Cap on a Location-by-Location or Customer Basis</w:t>
      </w:r>
      <w:r>
        <w:rPr>
          <w:noProof/>
        </w:rPr>
        <w:tab/>
      </w:r>
      <w:r>
        <w:rPr>
          <w:noProof/>
        </w:rPr>
        <w:fldChar w:fldCharType="begin"/>
      </w:r>
      <w:r>
        <w:rPr>
          <w:noProof/>
        </w:rPr>
        <w:instrText xml:space="preserve"> PAGEREF _Toc20145944 \h </w:instrText>
      </w:r>
      <w:r>
        <w:rPr>
          <w:noProof/>
        </w:rPr>
      </w:r>
      <w:r>
        <w:rPr>
          <w:noProof/>
        </w:rPr>
        <w:fldChar w:fldCharType="separate"/>
      </w:r>
      <w:r w:rsidR="006667DA">
        <w:rPr>
          <w:noProof/>
        </w:rPr>
        <w:t>36</w:t>
      </w:r>
      <w:r>
        <w:rPr>
          <w:noProof/>
        </w:rPr>
        <w:fldChar w:fldCharType="end"/>
      </w:r>
    </w:p>
    <w:p w14:paraId="2FBCA0B5" w14:textId="765803E3" w:rsidR="005662BB" w:rsidRDefault="005662BB">
      <w:pPr>
        <w:pStyle w:val="TOC3"/>
        <w:rPr>
          <w:rFonts w:asciiTheme="minorHAnsi" w:eastAsiaTheme="minorEastAsia" w:hAnsiTheme="minorHAnsi" w:cstheme="minorBidi"/>
          <w:noProof/>
          <w:sz w:val="22"/>
          <w:szCs w:val="22"/>
        </w:rPr>
      </w:pPr>
      <w:r>
        <w:rPr>
          <w:noProof/>
        </w:rPr>
        <w:t>Backfilling for Attrition</w:t>
      </w:r>
      <w:r>
        <w:rPr>
          <w:noProof/>
        </w:rPr>
        <w:tab/>
      </w:r>
      <w:r>
        <w:rPr>
          <w:noProof/>
        </w:rPr>
        <w:fldChar w:fldCharType="begin"/>
      </w:r>
      <w:r>
        <w:rPr>
          <w:noProof/>
        </w:rPr>
        <w:instrText xml:space="preserve"> PAGEREF _Toc20145945 \h </w:instrText>
      </w:r>
      <w:r>
        <w:rPr>
          <w:noProof/>
        </w:rPr>
      </w:r>
      <w:r>
        <w:rPr>
          <w:noProof/>
        </w:rPr>
        <w:fldChar w:fldCharType="separate"/>
      </w:r>
      <w:r w:rsidR="006667DA">
        <w:rPr>
          <w:noProof/>
        </w:rPr>
        <w:t>38</w:t>
      </w:r>
      <w:r>
        <w:rPr>
          <w:noProof/>
        </w:rPr>
        <w:fldChar w:fldCharType="end"/>
      </w:r>
    </w:p>
    <w:p w14:paraId="726E15EB" w14:textId="15DF9AFF" w:rsidR="005662BB" w:rsidRDefault="005662BB">
      <w:pPr>
        <w:pStyle w:val="TOC1"/>
        <w:rPr>
          <w:rFonts w:asciiTheme="minorHAnsi" w:eastAsiaTheme="minorEastAsia" w:hAnsiTheme="minorHAnsi" w:cstheme="minorBidi"/>
          <w:noProof/>
          <w:sz w:val="22"/>
          <w:szCs w:val="22"/>
        </w:rPr>
      </w:pPr>
      <w:r>
        <w:rPr>
          <w:noProof/>
        </w:rPr>
        <w:t>Comments</w:t>
      </w:r>
      <w:r>
        <w:rPr>
          <w:noProof/>
        </w:rPr>
        <w:tab/>
      </w:r>
      <w:r>
        <w:rPr>
          <w:noProof/>
        </w:rPr>
        <w:fldChar w:fldCharType="begin"/>
      </w:r>
      <w:r>
        <w:rPr>
          <w:noProof/>
        </w:rPr>
        <w:instrText xml:space="preserve"> PAGEREF _Toc20145946 \h </w:instrText>
      </w:r>
      <w:r>
        <w:rPr>
          <w:noProof/>
        </w:rPr>
      </w:r>
      <w:r>
        <w:rPr>
          <w:noProof/>
        </w:rPr>
        <w:fldChar w:fldCharType="separate"/>
      </w:r>
      <w:r w:rsidR="006667DA">
        <w:rPr>
          <w:noProof/>
        </w:rPr>
        <w:t>39</w:t>
      </w:r>
      <w:r>
        <w:rPr>
          <w:noProof/>
        </w:rPr>
        <w:fldChar w:fldCharType="end"/>
      </w:r>
    </w:p>
    <w:p w14:paraId="044BD43B" w14:textId="31CD7EDF" w:rsidR="005662BB" w:rsidRDefault="005662BB">
      <w:pPr>
        <w:pStyle w:val="TOC2"/>
        <w:rPr>
          <w:rFonts w:asciiTheme="minorHAnsi" w:eastAsiaTheme="minorEastAsia" w:hAnsiTheme="minorHAnsi" w:cstheme="minorBidi"/>
          <w:noProof/>
          <w:sz w:val="22"/>
          <w:szCs w:val="22"/>
        </w:rPr>
      </w:pPr>
      <w:r>
        <w:rPr>
          <w:noProof/>
        </w:rPr>
        <w:t>TURN</w:t>
      </w:r>
      <w:r>
        <w:rPr>
          <w:noProof/>
        </w:rPr>
        <w:tab/>
      </w:r>
      <w:r>
        <w:rPr>
          <w:noProof/>
        </w:rPr>
        <w:fldChar w:fldCharType="begin"/>
      </w:r>
      <w:r>
        <w:rPr>
          <w:noProof/>
        </w:rPr>
        <w:instrText xml:space="preserve"> PAGEREF _Toc20145947 \h </w:instrText>
      </w:r>
      <w:r>
        <w:rPr>
          <w:noProof/>
        </w:rPr>
      </w:r>
      <w:r>
        <w:rPr>
          <w:noProof/>
        </w:rPr>
        <w:fldChar w:fldCharType="separate"/>
      </w:r>
      <w:r w:rsidR="006667DA">
        <w:rPr>
          <w:noProof/>
        </w:rPr>
        <w:t>40</w:t>
      </w:r>
      <w:r>
        <w:rPr>
          <w:noProof/>
        </w:rPr>
        <w:fldChar w:fldCharType="end"/>
      </w:r>
    </w:p>
    <w:p w14:paraId="6C1998A6" w14:textId="2C833295" w:rsidR="005662BB" w:rsidRDefault="005662BB">
      <w:pPr>
        <w:pStyle w:val="TOC2"/>
        <w:rPr>
          <w:rFonts w:asciiTheme="minorHAnsi" w:eastAsiaTheme="minorEastAsia" w:hAnsiTheme="minorHAnsi" w:cstheme="minorBidi"/>
          <w:noProof/>
          <w:sz w:val="22"/>
          <w:szCs w:val="22"/>
        </w:rPr>
      </w:pPr>
      <w:r>
        <w:rPr>
          <w:noProof/>
        </w:rPr>
        <w:t>CCA Parties</w:t>
      </w:r>
      <w:r>
        <w:rPr>
          <w:noProof/>
        </w:rPr>
        <w:tab/>
      </w:r>
      <w:r>
        <w:rPr>
          <w:noProof/>
        </w:rPr>
        <w:fldChar w:fldCharType="begin"/>
      </w:r>
      <w:r>
        <w:rPr>
          <w:noProof/>
        </w:rPr>
        <w:instrText xml:space="preserve"> PAGEREF _Toc20145948 \h </w:instrText>
      </w:r>
      <w:r>
        <w:rPr>
          <w:noProof/>
        </w:rPr>
      </w:r>
      <w:r>
        <w:rPr>
          <w:noProof/>
        </w:rPr>
        <w:fldChar w:fldCharType="separate"/>
      </w:r>
      <w:r w:rsidR="006667DA">
        <w:rPr>
          <w:noProof/>
        </w:rPr>
        <w:t>40</w:t>
      </w:r>
      <w:r>
        <w:rPr>
          <w:noProof/>
        </w:rPr>
        <w:fldChar w:fldCharType="end"/>
      </w:r>
    </w:p>
    <w:p w14:paraId="2D020181" w14:textId="4B54851F" w:rsidR="005662BB" w:rsidRDefault="005662BB">
      <w:pPr>
        <w:pStyle w:val="TOC2"/>
        <w:rPr>
          <w:rFonts w:asciiTheme="minorHAnsi" w:eastAsiaTheme="minorEastAsia" w:hAnsiTheme="minorHAnsi" w:cstheme="minorBidi"/>
          <w:noProof/>
          <w:sz w:val="22"/>
          <w:szCs w:val="22"/>
        </w:rPr>
      </w:pPr>
      <w:r>
        <w:rPr>
          <w:noProof/>
        </w:rPr>
        <w:t>Joint Solar Interests</w:t>
      </w:r>
      <w:r>
        <w:rPr>
          <w:noProof/>
        </w:rPr>
        <w:tab/>
      </w:r>
      <w:r>
        <w:rPr>
          <w:noProof/>
        </w:rPr>
        <w:fldChar w:fldCharType="begin"/>
      </w:r>
      <w:r>
        <w:rPr>
          <w:noProof/>
        </w:rPr>
        <w:instrText xml:space="preserve"> PAGEREF _Toc20145949 \h </w:instrText>
      </w:r>
      <w:r>
        <w:rPr>
          <w:noProof/>
        </w:rPr>
      </w:r>
      <w:r>
        <w:rPr>
          <w:noProof/>
        </w:rPr>
        <w:fldChar w:fldCharType="separate"/>
      </w:r>
      <w:r w:rsidR="006667DA">
        <w:rPr>
          <w:noProof/>
        </w:rPr>
        <w:t>41</w:t>
      </w:r>
      <w:r>
        <w:rPr>
          <w:noProof/>
        </w:rPr>
        <w:fldChar w:fldCharType="end"/>
      </w:r>
    </w:p>
    <w:p w14:paraId="41008C9A" w14:textId="4F51ECF0" w:rsidR="005662BB" w:rsidRDefault="005662BB">
      <w:pPr>
        <w:pStyle w:val="TOC2"/>
        <w:rPr>
          <w:rFonts w:asciiTheme="minorHAnsi" w:eastAsiaTheme="minorEastAsia" w:hAnsiTheme="minorHAnsi" w:cstheme="minorBidi"/>
          <w:noProof/>
          <w:sz w:val="22"/>
          <w:szCs w:val="22"/>
        </w:rPr>
      </w:pPr>
      <w:r>
        <w:rPr>
          <w:noProof/>
        </w:rPr>
        <w:t>ForeFront Power</w:t>
      </w:r>
      <w:r>
        <w:rPr>
          <w:noProof/>
        </w:rPr>
        <w:tab/>
      </w:r>
      <w:r>
        <w:rPr>
          <w:noProof/>
        </w:rPr>
        <w:fldChar w:fldCharType="begin"/>
      </w:r>
      <w:r>
        <w:rPr>
          <w:noProof/>
        </w:rPr>
        <w:instrText xml:space="preserve"> PAGEREF _Toc20145950 \h </w:instrText>
      </w:r>
      <w:r>
        <w:rPr>
          <w:noProof/>
        </w:rPr>
      </w:r>
      <w:r>
        <w:rPr>
          <w:noProof/>
        </w:rPr>
        <w:fldChar w:fldCharType="separate"/>
      </w:r>
      <w:r w:rsidR="006667DA">
        <w:rPr>
          <w:noProof/>
        </w:rPr>
        <w:t>42</w:t>
      </w:r>
      <w:r>
        <w:rPr>
          <w:noProof/>
        </w:rPr>
        <w:fldChar w:fldCharType="end"/>
      </w:r>
    </w:p>
    <w:p w14:paraId="4D1EC883" w14:textId="105882FD" w:rsidR="005662BB" w:rsidRDefault="005662BB">
      <w:pPr>
        <w:pStyle w:val="TOC2"/>
        <w:rPr>
          <w:rFonts w:asciiTheme="minorHAnsi" w:eastAsiaTheme="minorEastAsia" w:hAnsiTheme="minorHAnsi" w:cstheme="minorBidi"/>
          <w:noProof/>
          <w:sz w:val="22"/>
          <w:szCs w:val="22"/>
        </w:rPr>
      </w:pPr>
      <w:r>
        <w:rPr>
          <w:noProof/>
        </w:rPr>
        <w:t>SDG&amp;E</w:t>
      </w:r>
      <w:r>
        <w:rPr>
          <w:noProof/>
        </w:rPr>
        <w:tab/>
      </w:r>
      <w:r>
        <w:rPr>
          <w:noProof/>
        </w:rPr>
        <w:fldChar w:fldCharType="begin"/>
      </w:r>
      <w:r>
        <w:rPr>
          <w:noProof/>
        </w:rPr>
        <w:instrText xml:space="preserve"> PAGEREF _Toc20145951 \h </w:instrText>
      </w:r>
      <w:r>
        <w:rPr>
          <w:noProof/>
        </w:rPr>
      </w:r>
      <w:r>
        <w:rPr>
          <w:noProof/>
        </w:rPr>
        <w:fldChar w:fldCharType="separate"/>
      </w:r>
      <w:r w:rsidR="006667DA">
        <w:rPr>
          <w:noProof/>
        </w:rPr>
        <w:t>43</w:t>
      </w:r>
      <w:r>
        <w:rPr>
          <w:noProof/>
        </w:rPr>
        <w:fldChar w:fldCharType="end"/>
      </w:r>
    </w:p>
    <w:p w14:paraId="30FF17E4" w14:textId="29E8F249" w:rsidR="005662BB" w:rsidRDefault="005662BB">
      <w:pPr>
        <w:pStyle w:val="TOC2"/>
        <w:rPr>
          <w:rFonts w:asciiTheme="minorHAnsi" w:eastAsiaTheme="minorEastAsia" w:hAnsiTheme="minorHAnsi" w:cstheme="minorBidi"/>
          <w:noProof/>
          <w:sz w:val="22"/>
          <w:szCs w:val="22"/>
        </w:rPr>
      </w:pPr>
      <w:r>
        <w:rPr>
          <w:noProof/>
        </w:rPr>
        <w:t>PG&amp;E</w:t>
      </w:r>
      <w:r>
        <w:rPr>
          <w:noProof/>
        </w:rPr>
        <w:tab/>
      </w:r>
      <w:r>
        <w:rPr>
          <w:noProof/>
        </w:rPr>
        <w:fldChar w:fldCharType="begin"/>
      </w:r>
      <w:r>
        <w:rPr>
          <w:noProof/>
        </w:rPr>
        <w:instrText xml:space="preserve"> PAGEREF _Toc20145952 \h </w:instrText>
      </w:r>
      <w:r>
        <w:rPr>
          <w:noProof/>
        </w:rPr>
      </w:r>
      <w:r>
        <w:rPr>
          <w:noProof/>
        </w:rPr>
        <w:fldChar w:fldCharType="separate"/>
      </w:r>
      <w:r w:rsidR="006667DA">
        <w:rPr>
          <w:noProof/>
        </w:rPr>
        <w:t>44</w:t>
      </w:r>
      <w:r>
        <w:rPr>
          <w:noProof/>
        </w:rPr>
        <w:fldChar w:fldCharType="end"/>
      </w:r>
    </w:p>
    <w:p w14:paraId="4544588D" w14:textId="333C2FE0" w:rsidR="005662BB" w:rsidRDefault="005662BB">
      <w:pPr>
        <w:pStyle w:val="TOC2"/>
        <w:rPr>
          <w:rFonts w:asciiTheme="minorHAnsi" w:eastAsiaTheme="minorEastAsia" w:hAnsiTheme="minorHAnsi" w:cstheme="minorBidi"/>
          <w:noProof/>
          <w:sz w:val="22"/>
          <w:szCs w:val="22"/>
        </w:rPr>
      </w:pPr>
      <w:r>
        <w:rPr>
          <w:noProof/>
        </w:rPr>
        <w:t>SCE</w:t>
      </w:r>
      <w:r>
        <w:rPr>
          <w:noProof/>
        </w:rPr>
        <w:tab/>
      </w:r>
      <w:r>
        <w:rPr>
          <w:noProof/>
        </w:rPr>
        <w:fldChar w:fldCharType="begin"/>
      </w:r>
      <w:r>
        <w:rPr>
          <w:noProof/>
        </w:rPr>
        <w:instrText xml:space="preserve"> PAGEREF _Toc20145953 \h </w:instrText>
      </w:r>
      <w:r>
        <w:rPr>
          <w:noProof/>
        </w:rPr>
        <w:fldChar w:fldCharType="separate"/>
      </w:r>
      <w:r w:rsidR="006667DA">
        <w:rPr>
          <w:b/>
          <w:bCs/>
          <w:noProof/>
        </w:rPr>
        <w:t>Error! Bookmark not defined.</w:t>
      </w:r>
      <w:r>
        <w:rPr>
          <w:noProof/>
        </w:rPr>
        <w:fldChar w:fldCharType="end"/>
      </w:r>
    </w:p>
    <w:p w14:paraId="6A05E114" w14:textId="16AB6DF8" w:rsidR="005662BB" w:rsidRDefault="005662BB">
      <w:pPr>
        <w:pStyle w:val="TOC1"/>
        <w:rPr>
          <w:rFonts w:asciiTheme="minorHAnsi" w:eastAsiaTheme="minorEastAsia" w:hAnsiTheme="minorHAnsi" w:cstheme="minorBidi"/>
          <w:noProof/>
          <w:sz w:val="22"/>
          <w:szCs w:val="22"/>
        </w:rPr>
      </w:pPr>
      <w:r>
        <w:rPr>
          <w:noProof/>
        </w:rPr>
        <w:lastRenderedPageBreak/>
        <w:t>Findings</w:t>
      </w:r>
      <w:r>
        <w:rPr>
          <w:noProof/>
        </w:rPr>
        <w:tab/>
      </w:r>
      <w:r>
        <w:rPr>
          <w:noProof/>
        </w:rPr>
        <w:fldChar w:fldCharType="begin"/>
      </w:r>
      <w:r>
        <w:rPr>
          <w:noProof/>
        </w:rPr>
        <w:instrText xml:space="preserve"> PAGEREF _Toc20145954 \h </w:instrText>
      </w:r>
      <w:r>
        <w:rPr>
          <w:noProof/>
        </w:rPr>
      </w:r>
      <w:r>
        <w:rPr>
          <w:noProof/>
        </w:rPr>
        <w:fldChar w:fldCharType="separate"/>
      </w:r>
      <w:r w:rsidR="006667DA">
        <w:rPr>
          <w:noProof/>
        </w:rPr>
        <w:t>45</w:t>
      </w:r>
      <w:r>
        <w:rPr>
          <w:noProof/>
        </w:rPr>
        <w:fldChar w:fldCharType="end"/>
      </w:r>
    </w:p>
    <w:p w14:paraId="7E989D85" w14:textId="132DC48F" w:rsidR="005662BB" w:rsidRDefault="005662BB">
      <w:pPr>
        <w:pStyle w:val="TOC1"/>
        <w:rPr>
          <w:rFonts w:asciiTheme="minorHAnsi" w:eastAsiaTheme="minorEastAsia" w:hAnsiTheme="minorHAnsi" w:cstheme="minorBidi"/>
          <w:noProof/>
          <w:sz w:val="22"/>
          <w:szCs w:val="22"/>
        </w:rPr>
      </w:pPr>
      <w:r>
        <w:rPr>
          <w:noProof/>
        </w:rPr>
        <w:t>THEREFORE IT IS ORDERED THAT:</w:t>
      </w:r>
      <w:r>
        <w:rPr>
          <w:noProof/>
        </w:rPr>
        <w:tab/>
      </w:r>
      <w:r>
        <w:rPr>
          <w:noProof/>
        </w:rPr>
        <w:fldChar w:fldCharType="begin"/>
      </w:r>
      <w:r>
        <w:rPr>
          <w:noProof/>
        </w:rPr>
        <w:instrText xml:space="preserve"> PAGEREF _Toc20145955 \h </w:instrText>
      </w:r>
      <w:r>
        <w:rPr>
          <w:noProof/>
        </w:rPr>
      </w:r>
      <w:r>
        <w:rPr>
          <w:noProof/>
        </w:rPr>
        <w:fldChar w:fldCharType="separate"/>
      </w:r>
      <w:r w:rsidR="006667DA">
        <w:rPr>
          <w:noProof/>
        </w:rPr>
        <w:t>48</w:t>
      </w:r>
      <w:r>
        <w:rPr>
          <w:noProof/>
        </w:rPr>
        <w:fldChar w:fldCharType="end"/>
      </w:r>
    </w:p>
    <w:p w14:paraId="3FDFEEAD" w14:textId="1B6B0F84" w:rsidR="005662BB" w:rsidRDefault="005662BB">
      <w:pPr>
        <w:pStyle w:val="TOC1"/>
        <w:rPr>
          <w:rFonts w:asciiTheme="minorHAnsi" w:eastAsiaTheme="minorEastAsia" w:hAnsiTheme="minorHAnsi" w:cstheme="minorBidi"/>
          <w:noProof/>
          <w:sz w:val="22"/>
          <w:szCs w:val="22"/>
        </w:rPr>
      </w:pPr>
      <w:r>
        <w:rPr>
          <w:noProof/>
        </w:rPr>
        <w:t>Appendix</w:t>
      </w:r>
      <w:r>
        <w:rPr>
          <w:noProof/>
        </w:rPr>
        <w:tab/>
      </w:r>
      <w:r>
        <w:rPr>
          <w:noProof/>
        </w:rPr>
        <w:fldChar w:fldCharType="begin"/>
      </w:r>
      <w:r>
        <w:rPr>
          <w:noProof/>
        </w:rPr>
        <w:instrText xml:space="preserve"> PAGEREF _Toc20145956 \h </w:instrText>
      </w:r>
      <w:r>
        <w:rPr>
          <w:noProof/>
        </w:rPr>
      </w:r>
      <w:r>
        <w:rPr>
          <w:noProof/>
        </w:rPr>
        <w:fldChar w:fldCharType="separate"/>
      </w:r>
      <w:r w:rsidR="006667DA">
        <w:rPr>
          <w:noProof/>
        </w:rPr>
        <w:t>53</w:t>
      </w:r>
      <w:r>
        <w:rPr>
          <w:noProof/>
        </w:rPr>
        <w:fldChar w:fldCharType="end"/>
      </w:r>
    </w:p>
    <w:p w14:paraId="0CD44A54" w14:textId="77777777" w:rsidR="00032E00" w:rsidRDefault="00D977CF">
      <w:pPr>
        <w:pStyle w:val="Heading1"/>
      </w:pPr>
      <w:r w:rsidRPr="00AB432C">
        <w:rPr>
          <w:sz w:val="24"/>
          <w:szCs w:val="24"/>
        </w:rPr>
        <w:fldChar w:fldCharType="end"/>
      </w:r>
      <w:bookmarkStart w:id="5" w:name="_Ref528590980"/>
      <w:bookmarkStart w:id="6" w:name="_Ref528590984"/>
      <w:bookmarkStart w:id="7" w:name="_Ref528590997"/>
      <w:r w:rsidRPr="001F1490">
        <w:t xml:space="preserve"> </w:t>
      </w:r>
      <w:bookmarkStart w:id="8" w:name="_Toc20145918"/>
      <w:r w:rsidRPr="00FA492E">
        <w:t>Summary</w:t>
      </w:r>
      <w:bookmarkEnd w:id="5"/>
      <w:bookmarkEnd w:id="6"/>
      <w:bookmarkEnd w:id="7"/>
      <w:bookmarkEnd w:id="8"/>
    </w:p>
    <w:p w14:paraId="47342612" w14:textId="77777777" w:rsidR="0076358A" w:rsidRDefault="0076358A" w:rsidP="0076358A">
      <w:pPr>
        <w:pStyle w:val="DecisionText"/>
        <w:spacing w:line="240" w:lineRule="auto"/>
        <w:rPr>
          <w:rFonts w:ascii="Palatino Linotype" w:hAnsi="Palatino Linotype"/>
        </w:rPr>
      </w:pPr>
      <w:r w:rsidRPr="00FA492E">
        <w:rPr>
          <w:rFonts w:ascii="Palatino Linotype" w:hAnsi="Palatino Linotype"/>
        </w:rPr>
        <w:t xml:space="preserve">This Resolution grants, with modifications and limitations, the program extension requests of </w:t>
      </w:r>
      <w:r w:rsidRPr="00F57023">
        <w:rPr>
          <w:rFonts w:ascii="Palatino Linotype" w:hAnsi="Palatino Linotype"/>
        </w:rPr>
        <w:t>Pacific Gas and Electric Company (PG&amp;E) and San Diego Gas &amp; Electric Company (SDG&amp;E)</w:t>
      </w:r>
      <w:r w:rsidR="00ED7A48">
        <w:rPr>
          <w:rFonts w:ascii="Palatino Linotype" w:hAnsi="Palatino Linotype"/>
        </w:rPr>
        <w:t>,</w:t>
      </w:r>
      <w:r>
        <w:rPr>
          <w:rFonts w:ascii="Palatino Linotype" w:hAnsi="Palatino Linotype"/>
        </w:rPr>
        <w:t xml:space="preserve"> </w:t>
      </w:r>
      <w:r w:rsidRPr="00FA492E">
        <w:rPr>
          <w:rFonts w:ascii="Palatino Linotype" w:hAnsi="Palatino Linotype"/>
        </w:rPr>
        <w:t xml:space="preserve">and denies </w:t>
      </w:r>
      <w:r>
        <w:rPr>
          <w:rFonts w:ascii="Palatino Linotype" w:hAnsi="Palatino Linotype"/>
        </w:rPr>
        <w:t>the request of Southern California Edison Company</w:t>
      </w:r>
      <w:r w:rsidRPr="00FA492E">
        <w:rPr>
          <w:rFonts w:ascii="Palatino Linotype" w:hAnsi="Palatino Linotype"/>
        </w:rPr>
        <w:t xml:space="preserve"> </w:t>
      </w:r>
      <w:r>
        <w:rPr>
          <w:rFonts w:ascii="Palatino Linotype" w:hAnsi="Palatino Linotype"/>
        </w:rPr>
        <w:t xml:space="preserve">(SCE) </w:t>
      </w:r>
      <w:r w:rsidRPr="00FA492E">
        <w:rPr>
          <w:rFonts w:ascii="Palatino Linotype" w:hAnsi="Palatino Linotype"/>
        </w:rPr>
        <w:t xml:space="preserve">to terminate its GTSR program. This resolution also addresses the specific items raised </w:t>
      </w:r>
      <w:r>
        <w:rPr>
          <w:rFonts w:ascii="Palatino Linotype" w:hAnsi="Palatino Linotype"/>
        </w:rPr>
        <w:t xml:space="preserve">through </w:t>
      </w:r>
      <w:r w:rsidRPr="00FA492E">
        <w:rPr>
          <w:rFonts w:ascii="Palatino Linotype" w:hAnsi="Palatino Linotype"/>
        </w:rPr>
        <w:t xml:space="preserve">Advice Letters </w:t>
      </w:r>
      <w:r>
        <w:rPr>
          <w:rFonts w:ascii="Palatino Linotype" w:hAnsi="Palatino Linotype"/>
        </w:rPr>
        <w:t xml:space="preserve">(ALs) </w:t>
      </w:r>
      <w:r w:rsidRPr="00FA492E">
        <w:rPr>
          <w:rFonts w:ascii="Palatino Linotype" w:hAnsi="Palatino Linotype"/>
        </w:rPr>
        <w:t>PG&amp;E 3920-G/5206-E, SCE 3722-E, and SDG&amp;E 3168-E, and its associated protests, and replies.</w:t>
      </w:r>
    </w:p>
    <w:p w14:paraId="36A56B2A" w14:textId="77777777" w:rsidR="0076358A" w:rsidRDefault="0076358A" w:rsidP="0076358A">
      <w:pPr>
        <w:pStyle w:val="Heading1"/>
      </w:pPr>
      <w:bookmarkStart w:id="9" w:name="_Toc529915547"/>
      <w:bookmarkStart w:id="10" w:name="_Toc12442427"/>
      <w:bookmarkStart w:id="11" w:name="_Toc20145919"/>
      <w:r w:rsidRPr="00FA492E">
        <w:t>Background</w:t>
      </w:r>
      <w:bookmarkEnd w:id="9"/>
      <w:bookmarkEnd w:id="10"/>
      <w:bookmarkEnd w:id="11"/>
    </w:p>
    <w:p w14:paraId="030CEFF2" w14:textId="77777777" w:rsidR="00377926" w:rsidRPr="00377926" w:rsidRDefault="00377926" w:rsidP="00961E9E">
      <w:pPr>
        <w:pStyle w:val="Heading2"/>
      </w:pPr>
      <w:bookmarkStart w:id="12" w:name="_Toc20145920"/>
      <w:r>
        <w:t>Senate Bill 43</w:t>
      </w:r>
      <w:bookmarkEnd w:id="12"/>
    </w:p>
    <w:p w14:paraId="225DC78B" w14:textId="77777777" w:rsidR="0076358A" w:rsidRPr="002E026C" w:rsidRDefault="0076358A" w:rsidP="0076358A">
      <w:pPr>
        <w:pStyle w:val="DecisionText"/>
        <w:spacing w:before="0" w:line="240" w:lineRule="auto"/>
        <w:rPr>
          <w:rFonts w:ascii="Palatino Linotype" w:hAnsi="Palatino Linotype"/>
        </w:rPr>
      </w:pPr>
      <w:r w:rsidRPr="00FA492E">
        <w:rPr>
          <w:rFonts w:ascii="Palatino Linotype" w:hAnsi="Palatino Linotype"/>
        </w:rPr>
        <w:t xml:space="preserve">The Green Tariff Shared Renewables (GTSR) Program was enacted by the California Legislature through Senate Bill 43 on September 28, 2013.  This bill required PG&amp;E, SDG&amp;E, and SCE (the IOUs) to file applications requesting </w:t>
      </w:r>
      <w:r w:rsidRPr="006210FD">
        <w:rPr>
          <w:rFonts w:ascii="Palatino Linotype" w:hAnsi="Palatino Linotype"/>
        </w:rPr>
        <w:t xml:space="preserve">approval of a GTSR program and required the Commission to issue a decision by July 1, 2014.  </w:t>
      </w:r>
      <w:r w:rsidRPr="002E026C">
        <w:rPr>
          <w:rFonts w:ascii="Palatino Linotype" w:hAnsi="Palatino Linotype"/>
        </w:rPr>
        <w:t>The GTSR program enables ratepayers to help sponsor and benefit from offsite electrical generation facilities that use eligible renewable energy resources.  There are two options for participating in the GTSR program: Green Tariff or the Enhanced Community Renewables.</w:t>
      </w:r>
    </w:p>
    <w:p w14:paraId="02BCF4EC" w14:textId="77777777" w:rsidR="0076358A" w:rsidRPr="002E026C" w:rsidRDefault="0076358A" w:rsidP="0076358A">
      <w:pPr>
        <w:pStyle w:val="DecisionText"/>
        <w:spacing w:before="0" w:line="240" w:lineRule="auto"/>
        <w:rPr>
          <w:rFonts w:ascii="Palatino Linotype" w:hAnsi="Palatino Linotype"/>
        </w:rPr>
      </w:pPr>
    </w:p>
    <w:p w14:paraId="260CA88D" w14:textId="77777777" w:rsidR="0076358A" w:rsidRPr="002E026C" w:rsidRDefault="0076358A" w:rsidP="0076358A">
      <w:pPr>
        <w:pStyle w:val="DecisionText"/>
        <w:spacing w:before="0" w:line="240" w:lineRule="auto"/>
        <w:rPr>
          <w:rFonts w:ascii="Palatino Linotype" w:hAnsi="Palatino Linotype"/>
        </w:rPr>
      </w:pPr>
      <w:r w:rsidRPr="002E026C">
        <w:rPr>
          <w:rFonts w:ascii="Palatino Linotype" w:hAnsi="Palatino Linotype"/>
        </w:rPr>
        <w:t xml:space="preserve">Under the Green Tariff (GT), a customer may pay the difference between their current generation charge and a charge that reflects the cost of procuring 50% to 100% solar generation for their electricity needs. With Enhanced Community Renewables (ECR), a customer agrees to purchase a share of a local solar (or other renewables) project directly from a developer, and in exchange will receive a credit from their utility for the customer’s avoided generation procurement and for their share of the benefit of the renewables development to the utility. </w:t>
      </w:r>
    </w:p>
    <w:p w14:paraId="4EAAE026" w14:textId="77777777" w:rsidR="0076358A" w:rsidRDefault="0076358A" w:rsidP="0076358A">
      <w:pPr>
        <w:pStyle w:val="DecisionText"/>
        <w:spacing w:before="0" w:line="240" w:lineRule="auto"/>
      </w:pPr>
    </w:p>
    <w:p w14:paraId="0C65E1C2" w14:textId="77777777" w:rsidR="0076358A" w:rsidRDefault="0076358A" w:rsidP="0076358A">
      <w:pPr>
        <w:pStyle w:val="DecisionText"/>
        <w:spacing w:before="0" w:line="240" w:lineRule="auto"/>
        <w:rPr>
          <w:rFonts w:ascii="Palatino Linotype" w:hAnsi="Palatino Linotype"/>
        </w:rPr>
      </w:pPr>
      <w:r w:rsidRPr="00FA492E">
        <w:rPr>
          <w:rFonts w:ascii="Palatino Linotype" w:hAnsi="Palatino Linotype"/>
        </w:rPr>
        <w:t xml:space="preserve">SB 43 included many provisions which limited the size and scope of the </w:t>
      </w:r>
      <w:r>
        <w:rPr>
          <w:rFonts w:ascii="Palatino Linotype" w:hAnsi="Palatino Linotype"/>
        </w:rPr>
        <w:t xml:space="preserve">GTSR </w:t>
      </w:r>
      <w:r w:rsidRPr="00FA492E">
        <w:rPr>
          <w:rFonts w:ascii="Palatino Linotype" w:hAnsi="Palatino Linotype"/>
        </w:rPr>
        <w:t xml:space="preserve">program.  Key amongst those were the following: no more than 600 MW could </w:t>
      </w:r>
      <w:r w:rsidRPr="00FA492E">
        <w:rPr>
          <w:rFonts w:ascii="Palatino Linotype" w:hAnsi="Palatino Linotype"/>
        </w:rPr>
        <w:lastRenderedPageBreak/>
        <w:t>be procured, the costs of the program could only be borne by participants, and the program would sunset on January 1, 2019</w:t>
      </w:r>
      <w:r>
        <w:rPr>
          <w:rFonts w:ascii="Palatino Linotype" w:hAnsi="Palatino Linotype"/>
        </w:rPr>
        <w:t>.</w:t>
      </w:r>
      <w:r w:rsidRPr="00FA492E">
        <w:rPr>
          <w:rStyle w:val="FootnoteReference"/>
          <w:rFonts w:ascii="Palatino Linotype" w:hAnsi="Palatino Linotype"/>
        </w:rPr>
        <w:footnoteReference w:id="2"/>
      </w:r>
      <w:r w:rsidRPr="00FA492E">
        <w:rPr>
          <w:rFonts w:ascii="Palatino Linotype" w:hAnsi="Palatino Linotype"/>
        </w:rPr>
        <w:t xml:space="preserve">  </w:t>
      </w:r>
    </w:p>
    <w:p w14:paraId="3B927BAF" w14:textId="77777777" w:rsidR="0076358A" w:rsidRPr="00FA492E" w:rsidRDefault="0076358A" w:rsidP="0076358A">
      <w:pPr>
        <w:pStyle w:val="DecisionText"/>
        <w:spacing w:before="0" w:line="240" w:lineRule="auto"/>
        <w:rPr>
          <w:rFonts w:ascii="Palatino Linotype" w:hAnsi="Palatino Linotype"/>
        </w:rPr>
      </w:pPr>
    </w:p>
    <w:p w14:paraId="7D9FC8DB" w14:textId="77777777" w:rsidR="0076358A" w:rsidRDefault="0076358A" w:rsidP="0076358A">
      <w:pPr>
        <w:pStyle w:val="DecisionText"/>
        <w:spacing w:before="0" w:line="240" w:lineRule="auto"/>
        <w:rPr>
          <w:rFonts w:ascii="Palatino Linotype" w:hAnsi="Palatino Linotype"/>
        </w:rPr>
      </w:pPr>
      <w:r w:rsidRPr="00FA492E">
        <w:rPr>
          <w:rFonts w:ascii="Palatino Linotype" w:hAnsi="Palatino Linotype"/>
        </w:rPr>
        <w:t>Following extensive litigation</w:t>
      </w:r>
      <w:r>
        <w:rPr>
          <w:rFonts w:ascii="Palatino Linotype" w:hAnsi="Palatino Linotype"/>
        </w:rPr>
        <w:t>,</w:t>
      </w:r>
      <w:r w:rsidRPr="00FA492E">
        <w:rPr>
          <w:rFonts w:ascii="Palatino Linotype" w:hAnsi="Palatino Linotype"/>
        </w:rPr>
        <w:t xml:space="preserve"> testimony, </w:t>
      </w:r>
      <w:r>
        <w:rPr>
          <w:rFonts w:ascii="Palatino Linotype" w:hAnsi="Palatino Linotype"/>
        </w:rPr>
        <w:t xml:space="preserve">and hearings, </w:t>
      </w:r>
      <w:r w:rsidRPr="00FA492E">
        <w:rPr>
          <w:rFonts w:ascii="Palatino Linotype" w:hAnsi="Palatino Linotype"/>
        </w:rPr>
        <w:t>the Commission adopted Decision (D.)15-01-051</w:t>
      </w:r>
      <w:r>
        <w:rPr>
          <w:rFonts w:ascii="Palatino Linotype" w:hAnsi="Palatino Linotype"/>
        </w:rPr>
        <w:t xml:space="preserve"> (2015 GTSR Decision)</w:t>
      </w:r>
      <w:r w:rsidRPr="00FA492E">
        <w:rPr>
          <w:rFonts w:ascii="Palatino Linotype" w:hAnsi="Palatino Linotype"/>
        </w:rPr>
        <w:t>, requir</w:t>
      </w:r>
      <w:r>
        <w:rPr>
          <w:rFonts w:ascii="Palatino Linotype" w:hAnsi="Palatino Linotype"/>
        </w:rPr>
        <w:t>ing</w:t>
      </w:r>
      <w:r w:rsidRPr="00FA492E">
        <w:rPr>
          <w:rFonts w:ascii="Palatino Linotype" w:hAnsi="Palatino Linotype"/>
        </w:rPr>
        <w:t xml:space="preserve"> the utilities to submit their implementation plans for GTSR in three phases: </w:t>
      </w:r>
    </w:p>
    <w:p w14:paraId="75E9630E" w14:textId="77777777" w:rsidR="0076358A" w:rsidRDefault="0076358A" w:rsidP="0076358A">
      <w:pPr>
        <w:pStyle w:val="DecisionText"/>
        <w:numPr>
          <w:ilvl w:val="0"/>
          <w:numId w:val="6"/>
        </w:numPr>
        <w:spacing w:before="40" w:line="240" w:lineRule="auto"/>
        <w:rPr>
          <w:rFonts w:ascii="Palatino Linotype" w:hAnsi="Palatino Linotype"/>
        </w:rPr>
      </w:pPr>
      <w:r w:rsidRPr="00FA492E">
        <w:rPr>
          <w:rFonts w:ascii="Palatino Linotype" w:hAnsi="Palatino Linotype"/>
        </w:rPr>
        <w:t xml:space="preserve">Phase I – Green Tariff options for SDG&amp;E and PG&amp;E, </w:t>
      </w:r>
    </w:p>
    <w:p w14:paraId="158A06B3" w14:textId="77777777" w:rsidR="0076358A" w:rsidRDefault="0076358A" w:rsidP="0076358A">
      <w:pPr>
        <w:pStyle w:val="DecisionText"/>
        <w:numPr>
          <w:ilvl w:val="0"/>
          <w:numId w:val="6"/>
        </w:numPr>
        <w:spacing w:before="40" w:line="240" w:lineRule="auto"/>
        <w:rPr>
          <w:rFonts w:ascii="Palatino Linotype" w:hAnsi="Palatino Linotype"/>
        </w:rPr>
      </w:pPr>
      <w:r w:rsidRPr="00FA492E">
        <w:rPr>
          <w:rFonts w:ascii="Palatino Linotype" w:hAnsi="Palatino Linotype"/>
        </w:rPr>
        <w:t xml:space="preserve">Phase II – Green Tariff options for SCE, and </w:t>
      </w:r>
    </w:p>
    <w:p w14:paraId="6B2FC92E" w14:textId="77777777" w:rsidR="0076358A" w:rsidRDefault="0076358A" w:rsidP="0076358A">
      <w:pPr>
        <w:pStyle w:val="DecisionText"/>
        <w:numPr>
          <w:ilvl w:val="0"/>
          <w:numId w:val="6"/>
        </w:numPr>
        <w:spacing w:before="40" w:line="240" w:lineRule="auto"/>
        <w:rPr>
          <w:rFonts w:ascii="Palatino Linotype" w:hAnsi="Palatino Linotype"/>
        </w:rPr>
      </w:pPr>
      <w:r w:rsidRPr="00FA492E">
        <w:rPr>
          <w:rFonts w:ascii="Palatino Linotype" w:hAnsi="Palatino Linotype"/>
        </w:rPr>
        <w:t xml:space="preserve">Phase III – Enhanced Community Renewables </w:t>
      </w:r>
      <w:r>
        <w:rPr>
          <w:rFonts w:ascii="Palatino Linotype" w:hAnsi="Palatino Linotype"/>
        </w:rPr>
        <w:t xml:space="preserve">(ECR) </w:t>
      </w:r>
      <w:r w:rsidRPr="00FA492E">
        <w:rPr>
          <w:rFonts w:ascii="Palatino Linotype" w:hAnsi="Palatino Linotype"/>
        </w:rPr>
        <w:t xml:space="preserve">program requirements.  </w:t>
      </w:r>
    </w:p>
    <w:p w14:paraId="2345E6D8" w14:textId="77777777" w:rsidR="0076358A" w:rsidRPr="00FA492E" w:rsidRDefault="0076358A" w:rsidP="0076358A">
      <w:pPr>
        <w:pStyle w:val="DecisionText"/>
        <w:spacing w:line="240" w:lineRule="auto"/>
        <w:rPr>
          <w:rFonts w:ascii="Palatino Linotype" w:hAnsi="Palatino Linotype"/>
        </w:rPr>
      </w:pPr>
      <w:r w:rsidRPr="00FA492E">
        <w:rPr>
          <w:rFonts w:ascii="Palatino Linotype" w:hAnsi="Palatino Linotype"/>
        </w:rPr>
        <w:t xml:space="preserve">The Commission subsequently issued Resolution </w:t>
      </w:r>
      <w:r>
        <w:rPr>
          <w:rFonts w:ascii="Palatino Linotype" w:hAnsi="Palatino Linotype"/>
        </w:rPr>
        <w:t>E-</w:t>
      </w:r>
      <w:r w:rsidRPr="00FA492E">
        <w:rPr>
          <w:rFonts w:ascii="Palatino Linotype" w:hAnsi="Palatino Linotype"/>
        </w:rPr>
        <w:t>4734 on October 2, 2015, which clarified some implementation issues raised in the IOUs</w:t>
      </w:r>
      <w:r>
        <w:rPr>
          <w:rFonts w:ascii="Palatino Linotype" w:hAnsi="Palatino Linotype"/>
        </w:rPr>
        <w:t>’</w:t>
      </w:r>
      <w:r w:rsidRPr="00FA492E">
        <w:rPr>
          <w:rFonts w:ascii="Palatino Linotype" w:hAnsi="Palatino Linotype"/>
        </w:rPr>
        <w:t xml:space="preserve"> advice letters and deferred unresolved issues to a Phase IV proceeding.    </w:t>
      </w:r>
    </w:p>
    <w:p w14:paraId="4BB5AD22" w14:textId="77777777" w:rsidR="0076358A" w:rsidRPr="00FA492E" w:rsidRDefault="0076358A" w:rsidP="0076358A">
      <w:pPr>
        <w:pStyle w:val="DecisionText"/>
        <w:spacing w:line="240" w:lineRule="auto"/>
        <w:rPr>
          <w:rFonts w:ascii="Palatino Linotype" w:hAnsi="Palatino Linotype"/>
        </w:rPr>
      </w:pPr>
      <w:r w:rsidRPr="00FA492E">
        <w:rPr>
          <w:rFonts w:ascii="Palatino Linotype" w:hAnsi="Palatino Linotype"/>
        </w:rPr>
        <w:t xml:space="preserve">Ordering Paragraph </w:t>
      </w:r>
      <w:r>
        <w:rPr>
          <w:rFonts w:ascii="Palatino Linotype" w:hAnsi="Palatino Linotype"/>
        </w:rPr>
        <w:t xml:space="preserve">(OP) </w:t>
      </w:r>
      <w:r w:rsidRPr="00FA492E">
        <w:rPr>
          <w:rFonts w:ascii="Palatino Linotype" w:hAnsi="Palatino Linotype"/>
        </w:rPr>
        <w:t>13 of the 2015 GTSR Decision required the IOUs to</w:t>
      </w:r>
      <w:r>
        <w:rPr>
          <w:rFonts w:ascii="Palatino Linotype" w:hAnsi="Palatino Linotype"/>
        </w:rPr>
        <w:t xml:space="preserve"> file</w:t>
      </w:r>
      <w:r w:rsidRPr="00FA492E">
        <w:rPr>
          <w:rFonts w:ascii="Palatino Linotype" w:hAnsi="Palatino Linotype"/>
        </w:rPr>
        <w:t xml:space="preserve"> a Tier 3 Advice Letter or application </w:t>
      </w:r>
      <w:r>
        <w:rPr>
          <w:rFonts w:ascii="Palatino Linotype" w:hAnsi="Palatino Linotype"/>
        </w:rPr>
        <w:t xml:space="preserve">requesting </w:t>
      </w:r>
      <w:r w:rsidRPr="00FA492E">
        <w:rPr>
          <w:rFonts w:ascii="Palatino Linotype" w:hAnsi="Palatino Linotype"/>
        </w:rPr>
        <w:t xml:space="preserve">changes to its GTSR program that would either extend it beyond January 1, 2019 (for new customers) or terminate the GTSR program as of that date.  </w:t>
      </w:r>
    </w:p>
    <w:p w14:paraId="13BFC1D4" w14:textId="77777777" w:rsidR="0076358A" w:rsidRPr="00FA492E" w:rsidRDefault="0076358A" w:rsidP="0076358A">
      <w:pPr>
        <w:rPr>
          <w:rFonts w:ascii="Palatino Linotype" w:hAnsi="Palatino Linotype"/>
        </w:rPr>
      </w:pPr>
    </w:p>
    <w:p w14:paraId="3E7B98A4" w14:textId="77777777" w:rsidR="0076358A" w:rsidRDefault="0076358A" w:rsidP="00661A6B">
      <w:pPr>
        <w:pStyle w:val="num1"/>
        <w:numPr>
          <w:ilvl w:val="0"/>
          <w:numId w:val="10"/>
        </w:numPr>
        <w:suppressAutoHyphens w:val="0"/>
        <w:spacing w:after="0"/>
        <w:ind w:right="288"/>
        <w:rPr>
          <w:rFonts w:ascii="Palatino Linotype" w:hAnsi="Palatino Linotype"/>
        </w:rPr>
      </w:pPr>
      <w:r w:rsidRPr="00FA492E">
        <w:rPr>
          <w:rFonts w:ascii="Palatino Linotype" w:hAnsi="Palatino Linotype"/>
        </w:rPr>
        <w:t xml:space="preserve">Each of Pacific Gas and Electric Company, San Diego Gas &amp; Electric Company, and Southern California Edison Company (IOUs) shall use a Tier 3 Advice Letter or application to make changes to its Green Tariff Shared Renewables (GTSR) program that would either extend it beyond January 1, 2019 (for new customers) or terminate the GTSR program as of that date.  If a utility does not extend their GTSR program prior to January 1, 2019, current participating customers may remain on their contracts on a month-to-month basis, but no new customers may join the GTSR program.  If the IOU desires the extended program to have a different structure or materially different capacity, an application must be filed instead of a Tier 3 Advice Letter.  The Tier 3 Advice Letter or application, as applicable, must be filed no later than December 31, 2017.  The Tier 3 Advice Letter, or application </w:t>
      </w:r>
      <w:r w:rsidRPr="00FA492E">
        <w:rPr>
          <w:rFonts w:ascii="Palatino Linotype" w:hAnsi="Palatino Linotype"/>
        </w:rPr>
        <w:lastRenderedPageBreak/>
        <w:t>may include a proposal for close out of unrecovered administrative and outreach costs.</w:t>
      </w:r>
    </w:p>
    <w:p w14:paraId="269B8F04" w14:textId="77777777" w:rsidR="0076358A" w:rsidRDefault="0076358A" w:rsidP="0076358A">
      <w:pPr>
        <w:pStyle w:val="num1"/>
        <w:suppressAutoHyphens w:val="0"/>
        <w:spacing w:after="0"/>
        <w:ind w:left="864" w:right="288"/>
        <w:rPr>
          <w:rFonts w:ascii="Palatino Linotype" w:hAnsi="Palatino Linotype"/>
        </w:rPr>
      </w:pPr>
    </w:p>
    <w:p w14:paraId="38CA5236" w14:textId="77777777" w:rsidR="0076358A" w:rsidRPr="002E026C" w:rsidRDefault="0076358A" w:rsidP="0076358A">
      <w:pPr>
        <w:rPr>
          <w:rFonts w:ascii="Palatino Linotype" w:hAnsi="Palatino Linotype"/>
        </w:rPr>
      </w:pPr>
      <w:r w:rsidRPr="002E026C">
        <w:rPr>
          <w:rFonts w:ascii="Palatino Linotype" w:hAnsi="Palatino Linotype"/>
        </w:rPr>
        <w:t>A</w:t>
      </w:r>
      <w:r>
        <w:rPr>
          <w:rFonts w:ascii="Palatino Linotype" w:hAnsi="Palatino Linotype"/>
        </w:rPr>
        <w:t>s</w:t>
      </w:r>
      <w:r w:rsidRPr="002E026C">
        <w:rPr>
          <w:rFonts w:ascii="Palatino Linotype" w:hAnsi="Palatino Linotype"/>
        </w:rPr>
        <w:t xml:space="preserve"> </w:t>
      </w:r>
      <w:r>
        <w:rPr>
          <w:rFonts w:ascii="Palatino Linotype" w:hAnsi="Palatino Linotype"/>
        </w:rPr>
        <w:t xml:space="preserve">described in OP 13, a </w:t>
      </w:r>
      <w:r w:rsidRPr="002E026C">
        <w:rPr>
          <w:rFonts w:ascii="Palatino Linotype" w:hAnsi="Palatino Linotype"/>
        </w:rPr>
        <w:t xml:space="preserve">“different structure or materially different capacity” is interpreted </w:t>
      </w:r>
      <w:r>
        <w:rPr>
          <w:rFonts w:ascii="Palatino Linotype" w:hAnsi="Palatino Linotype"/>
        </w:rPr>
        <w:t xml:space="preserve">here </w:t>
      </w:r>
      <w:r w:rsidRPr="002E026C">
        <w:rPr>
          <w:rFonts w:ascii="Palatino Linotype" w:hAnsi="Palatino Linotype"/>
        </w:rPr>
        <w:t xml:space="preserve">as a fundamental or foundational change to the </w:t>
      </w:r>
      <w:r>
        <w:rPr>
          <w:rFonts w:ascii="Palatino Linotype" w:hAnsi="Palatino Linotype"/>
        </w:rPr>
        <w:t xml:space="preserve">GTSR </w:t>
      </w:r>
      <w:r w:rsidRPr="002E026C">
        <w:rPr>
          <w:rFonts w:ascii="Palatino Linotype" w:hAnsi="Palatino Linotype"/>
        </w:rPr>
        <w:t>program that cannot be supported by a reasonable interpretation of legislative intent.</w:t>
      </w:r>
      <w:r>
        <w:rPr>
          <w:rFonts w:ascii="Palatino Linotype" w:hAnsi="Palatino Linotype"/>
        </w:rPr>
        <w:t xml:space="preserve"> “Structure” and “capacity” refer to the design, function, and purpose of the program, and each issue or proposal addressed in this resolution will be primarily evaluated on the basis of whether the resulting program elements or features would deviate from the directives in GTSR decisions and/or the intent of SB 43 and subsequent legislation described below. </w:t>
      </w:r>
    </w:p>
    <w:p w14:paraId="44C0BF94" w14:textId="77777777" w:rsidR="0076358A" w:rsidRPr="00FA492E" w:rsidRDefault="0076358A" w:rsidP="0076358A">
      <w:pPr>
        <w:rPr>
          <w:rFonts w:ascii="Palatino Linotype" w:hAnsi="Palatino Linotype"/>
        </w:rPr>
      </w:pPr>
    </w:p>
    <w:p w14:paraId="31826210" w14:textId="77777777" w:rsidR="0076358A" w:rsidRPr="00FA492E" w:rsidRDefault="0076358A" w:rsidP="0076358A">
      <w:pPr>
        <w:pStyle w:val="Heading2"/>
      </w:pPr>
      <w:bookmarkStart w:id="13" w:name="_Toc20145921"/>
      <w:r w:rsidRPr="00FA492E">
        <w:t>S</w:t>
      </w:r>
      <w:r>
        <w:t xml:space="preserve">enate </w:t>
      </w:r>
      <w:r w:rsidRPr="00FA492E">
        <w:t>B</w:t>
      </w:r>
      <w:r>
        <w:t>ill</w:t>
      </w:r>
      <w:r w:rsidRPr="00FA492E">
        <w:t xml:space="preserve"> 793</w:t>
      </w:r>
      <w:bookmarkEnd w:id="13"/>
    </w:p>
    <w:p w14:paraId="71F8DCB9" w14:textId="77777777" w:rsidR="0076358A" w:rsidRDefault="0076358A" w:rsidP="0076358A">
      <w:pPr>
        <w:pStyle w:val="DecisionText"/>
        <w:spacing w:before="0" w:line="240" w:lineRule="auto"/>
        <w:rPr>
          <w:rFonts w:ascii="Palatino Linotype" w:hAnsi="Palatino Linotype"/>
        </w:rPr>
      </w:pPr>
      <w:r>
        <w:rPr>
          <w:rFonts w:ascii="Palatino Linotype" w:hAnsi="Palatino Linotype"/>
        </w:rPr>
        <w:t xml:space="preserve">Shortly after the 2015 GTSR Decision was adopted, </w:t>
      </w:r>
      <w:r w:rsidRPr="005A6C93">
        <w:rPr>
          <w:rFonts w:ascii="Palatino Linotype" w:hAnsi="Palatino Linotype"/>
        </w:rPr>
        <w:t xml:space="preserve">Senate Bill (SB) 793 </w:t>
      </w:r>
      <w:r>
        <w:rPr>
          <w:rFonts w:ascii="Palatino Linotype" w:hAnsi="Palatino Linotype"/>
        </w:rPr>
        <w:t>passed in October 2015,</w:t>
      </w:r>
      <w:r w:rsidRPr="005A6C93">
        <w:rPr>
          <w:rFonts w:ascii="Palatino Linotype" w:hAnsi="Palatino Linotype"/>
        </w:rPr>
        <w:t xml:space="preserve"> </w:t>
      </w:r>
      <w:r w:rsidRPr="001B531E">
        <w:rPr>
          <w:rFonts w:ascii="Palatino Linotype" w:hAnsi="Palatino Linotype"/>
        </w:rPr>
        <w:t>requir</w:t>
      </w:r>
      <w:r>
        <w:rPr>
          <w:rFonts w:ascii="Palatino Linotype" w:hAnsi="Palatino Linotype"/>
        </w:rPr>
        <w:t>ing</w:t>
      </w:r>
      <w:r w:rsidRPr="001B531E">
        <w:rPr>
          <w:rFonts w:ascii="Palatino Linotype" w:hAnsi="Palatino Linotype"/>
        </w:rPr>
        <w:t xml:space="preserve"> that the IOUs “permit a participating customer to subscribe to the program and be provided with a nonbinding estimate of reasonably anticipated bill credits and bill charges, as determined by the commission, for a period of up to 20 years.”</w:t>
      </w:r>
    </w:p>
    <w:p w14:paraId="73388809" w14:textId="77777777" w:rsidR="0076358A" w:rsidRPr="001B531E" w:rsidRDefault="0076358A" w:rsidP="0076358A">
      <w:pPr>
        <w:pStyle w:val="DecisionText"/>
        <w:spacing w:before="0" w:line="240" w:lineRule="auto"/>
        <w:rPr>
          <w:rFonts w:ascii="Palatino Linotype" w:hAnsi="Palatino Linotype"/>
        </w:rPr>
      </w:pPr>
    </w:p>
    <w:p w14:paraId="5AC7B196" w14:textId="77777777" w:rsidR="0076358A" w:rsidRDefault="0076358A" w:rsidP="0076358A">
      <w:pPr>
        <w:pStyle w:val="DecisionText"/>
        <w:spacing w:before="0" w:line="240" w:lineRule="auto"/>
        <w:rPr>
          <w:rFonts w:ascii="Palatino Linotype" w:hAnsi="Palatino Linotype"/>
        </w:rPr>
      </w:pPr>
      <w:r w:rsidRPr="00FA492E">
        <w:rPr>
          <w:rFonts w:ascii="Palatino Linotype" w:hAnsi="Palatino Linotype"/>
        </w:rPr>
        <w:t>In May 2016, the CPUC adopted D.16-05-006</w:t>
      </w:r>
      <w:r>
        <w:rPr>
          <w:rFonts w:ascii="Palatino Linotype" w:hAnsi="Palatino Linotype"/>
        </w:rPr>
        <w:t xml:space="preserve"> (</w:t>
      </w:r>
      <w:r w:rsidRPr="00FA492E">
        <w:rPr>
          <w:rFonts w:ascii="Palatino Linotype" w:hAnsi="Palatino Linotype"/>
        </w:rPr>
        <w:t>2016 Decision</w:t>
      </w:r>
      <w:r>
        <w:rPr>
          <w:rFonts w:ascii="Palatino Linotype" w:hAnsi="Palatino Linotype"/>
        </w:rPr>
        <w:t>)</w:t>
      </w:r>
      <w:r w:rsidRPr="00FA492E">
        <w:rPr>
          <w:rFonts w:ascii="Palatino Linotype" w:hAnsi="Palatino Linotype"/>
        </w:rPr>
        <w:t>, which addressed participation of ECR projects in the Renewable Auction Mechanism</w:t>
      </w:r>
      <w:r>
        <w:rPr>
          <w:rFonts w:ascii="Palatino Linotype" w:hAnsi="Palatino Linotype"/>
        </w:rPr>
        <w:t xml:space="preserve"> (RAM)</w:t>
      </w:r>
      <w:r w:rsidRPr="00FA492E">
        <w:rPr>
          <w:rFonts w:ascii="Palatino Linotype" w:hAnsi="Palatino Linotype"/>
        </w:rPr>
        <w:t xml:space="preserve">. In addition, the </w:t>
      </w:r>
      <w:r>
        <w:rPr>
          <w:rFonts w:ascii="Palatino Linotype" w:hAnsi="Palatino Linotype"/>
        </w:rPr>
        <w:t>2016 D</w:t>
      </w:r>
      <w:r w:rsidRPr="00FA492E">
        <w:rPr>
          <w:rFonts w:ascii="Palatino Linotype" w:hAnsi="Palatino Linotype"/>
        </w:rPr>
        <w:t xml:space="preserve">ecision provided guidance on several unresolved issues including the reporting of </w:t>
      </w:r>
      <w:r>
        <w:rPr>
          <w:rFonts w:ascii="Palatino Linotype" w:hAnsi="Palatino Linotype"/>
        </w:rPr>
        <w:t>greenhouse gas (</w:t>
      </w:r>
      <w:r w:rsidRPr="00FA492E">
        <w:rPr>
          <w:rFonts w:ascii="Palatino Linotype" w:hAnsi="Palatino Linotype"/>
        </w:rPr>
        <w:t>GHG</w:t>
      </w:r>
      <w:r>
        <w:rPr>
          <w:rFonts w:ascii="Palatino Linotype" w:hAnsi="Palatino Linotype"/>
        </w:rPr>
        <w:t>)</w:t>
      </w:r>
      <w:r w:rsidRPr="00FA492E">
        <w:rPr>
          <w:rFonts w:ascii="Palatino Linotype" w:hAnsi="Palatino Linotype"/>
        </w:rPr>
        <w:t xml:space="preserve"> claims </w:t>
      </w:r>
      <w:r>
        <w:rPr>
          <w:rFonts w:ascii="Palatino Linotype" w:hAnsi="Palatino Linotype"/>
        </w:rPr>
        <w:t xml:space="preserve">as well as the </w:t>
      </w:r>
      <w:r w:rsidRPr="00FA492E">
        <w:rPr>
          <w:rFonts w:ascii="Palatino Linotype" w:hAnsi="Palatino Linotype"/>
        </w:rPr>
        <w:t>forecasting of rate elements</w:t>
      </w:r>
      <w:r>
        <w:rPr>
          <w:rFonts w:ascii="Palatino Linotype" w:hAnsi="Palatino Linotype"/>
        </w:rPr>
        <w:t xml:space="preserve"> such as</w:t>
      </w:r>
      <w:r w:rsidRPr="00FA492E">
        <w:rPr>
          <w:rFonts w:ascii="Palatino Linotype" w:hAnsi="Palatino Linotype"/>
        </w:rPr>
        <w:t xml:space="preserve"> bill charges and credits</w:t>
      </w:r>
      <w:r>
        <w:rPr>
          <w:rFonts w:ascii="Palatino Linotype" w:hAnsi="Palatino Linotype"/>
        </w:rPr>
        <w:t xml:space="preserve"> pursuant to SB 793.</w:t>
      </w:r>
      <w:r w:rsidRPr="00FA492E">
        <w:rPr>
          <w:rFonts w:ascii="Palatino Linotype" w:hAnsi="Palatino Linotype"/>
        </w:rPr>
        <w:t xml:space="preserve"> </w:t>
      </w:r>
    </w:p>
    <w:p w14:paraId="39F4AC1F" w14:textId="77777777" w:rsidR="0076358A" w:rsidRDefault="0076358A" w:rsidP="0076358A">
      <w:pPr>
        <w:pStyle w:val="DecisionText"/>
        <w:spacing w:before="0" w:line="240" w:lineRule="auto"/>
        <w:rPr>
          <w:rFonts w:ascii="Palatino Linotype" w:hAnsi="Palatino Linotype"/>
        </w:rPr>
      </w:pPr>
      <w:r w:rsidRPr="00FA492E">
        <w:rPr>
          <w:rFonts w:ascii="Palatino Linotype" w:hAnsi="Palatino Linotype"/>
        </w:rPr>
        <w:t xml:space="preserve"> </w:t>
      </w:r>
    </w:p>
    <w:p w14:paraId="7A7BF8ED" w14:textId="77777777" w:rsidR="0076358A" w:rsidRDefault="0076358A" w:rsidP="0076358A">
      <w:pPr>
        <w:pStyle w:val="Heading2"/>
        <w:spacing w:before="0" w:after="0"/>
      </w:pPr>
      <w:bookmarkStart w:id="14" w:name="_Toc20145922"/>
      <w:r w:rsidRPr="009D4D15">
        <w:t>Senate Bill 840</w:t>
      </w:r>
      <w:bookmarkEnd w:id="14"/>
    </w:p>
    <w:p w14:paraId="010989DF" w14:textId="77777777" w:rsidR="0076358A" w:rsidRDefault="0076358A" w:rsidP="0076358A">
      <w:pPr>
        <w:rPr>
          <w:rFonts w:ascii="Palatino Linotype" w:hAnsi="Palatino Linotype"/>
        </w:rPr>
      </w:pPr>
      <w:r w:rsidRPr="001B531E">
        <w:rPr>
          <w:rFonts w:ascii="Palatino Linotype" w:hAnsi="Palatino Linotype"/>
        </w:rPr>
        <w:t>S</w:t>
      </w:r>
      <w:r>
        <w:rPr>
          <w:rFonts w:ascii="Palatino Linotype" w:hAnsi="Palatino Linotype"/>
        </w:rPr>
        <w:t xml:space="preserve">B </w:t>
      </w:r>
      <w:r w:rsidRPr="001B531E">
        <w:rPr>
          <w:rFonts w:ascii="Palatino Linotype" w:hAnsi="Palatino Linotype"/>
        </w:rPr>
        <w:t>840 was passed in September 2016</w:t>
      </w:r>
      <w:r>
        <w:rPr>
          <w:rFonts w:ascii="Palatino Linotype" w:hAnsi="Palatino Linotype"/>
        </w:rPr>
        <w:t xml:space="preserve"> following</w:t>
      </w:r>
      <w:r w:rsidRPr="001B531E">
        <w:rPr>
          <w:rFonts w:ascii="Palatino Linotype" w:hAnsi="Palatino Linotype"/>
        </w:rPr>
        <w:t xml:space="preserve"> the issuance of </w:t>
      </w:r>
      <w:r>
        <w:rPr>
          <w:rFonts w:ascii="Palatino Linotype" w:hAnsi="Palatino Linotype"/>
        </w:rPr>
        <w:t>the 2015 GTSR Decision</w:t>
      </w:r>
      <w:r w:rsidRPr="001B531E">
        <w:rPr>
          <w:rFonts w:ascii="Palatino Linotype" w:hAnsi="Palatino Linotype"/>
        </w:rPr>
        <w:t xml:space="preserve"> and </w:t>
      </w:r>
      <w:r>
        <w:rPr>
          <w:rFonts w:ascii="Palatino Linotype" w:hAnsi="Palatino Linotype"/>
        </w:rPr>
        <w:t>the 2016 Decision</w:t>
      </w:r>
      <w:r w:rsidRPr="001B531E">
        <w:rPr>
          <w:rFonts w:ascii="Palatino Linotype" w:hAnsi="Palatino Linotype"/>
        </w:rPr>
        <w:t xml:space="preserve">.  </w:t>
      </w:r>
      <w:r>
        <w:rPr>
          <w:rFonts w:ascii="Palatino Linotype" w:hAnsi="Palatino Linotype"/>
        </w:rPr>
        <w:t>S</w:t>
      </w:r>
      <w:r w:rsidRPr="001B531E">
        <w:rPr>
          <w:rFonts w:ascii="Palatino Linotype" w:hAnsi="Palatino Linotype"/>
        </w:rPr>
        <w:t xml:space="preserve">ection 12 </w:t>
      </w:r>
      <w:r>
        <w:rPr>
          <w:rFonts w:ascii="Palatino Linotype" w:hAnsi="Palatino Linotype"/>
        </w:rPr>
        <w:t xml:space="preserve">of SB 840 </w:t>
      </w:r>
      <w:r w:rsidRPr="001B531E">
        <w:rPr>
          <w:rFonts w:ascii="Palatino Linotype" w:hAnsi="Palatino Linotype"/>
        </w:rPr>
        <w:t>repealed PU Code Section 2834, removing the GTSR’s sunset date, and “would extend the operation of the program indefinitely.”</w:t>
      </w:r>
      <w:r w:rsidRPr="001B531E">
        <w:rPr>
          <w:rStyle w:val="FootnoteReference"/>
          <w:rFonts w:ascii="Palatino Linotype" w:hAnsi="Palatino Linotype"/>
        </w:rPr>
        <w:footnoteReference w:id="3"/>
      </w:r>
      <w:r w:rsidRPr="001B531E">
        <w:rPr>
          <w:rFonts w:ascii="Palatino Linotype" w:hAnsi="Palatino Linotype"/>
        </w:rPr>
        <w:t xml:space="preserve">  Neither </w:t>
      </w:r>
      <w:r>
        <w:rPr>
          <w:rFonts w:ascii="Palatino Linotype" w:hAnsi="Palatino Linotype"/>
        </w:rPr>
        <w:t xml:space="preserve">the 2015 GTSR Decision </w:t>
      </w:r>
      <w:r w:rsidRPr="001B531E">
        <w:rPr>
          <w:rFonts w:ascii="Palatino Linotype" w:hAnsi="Palatino Linotype"/>
        </w:rPr>
        <w:t xml:space="preserve"> nor </w:t>
      </w:r>
      <w:r>
        <w:rPr>
          <w:rFonts w:ascii="Palatino Linotype" w:hAnsi="Palatino Linotype"/>
        </w:rPr>
        <w:t xml:space="preserve">the 2016 </w:t>
      </w:r>
      <w:r>
        <w:rPr>
          <w:rFonts w:ascii="Palatino Linotype" w:hAnsi="Palatino Linotype"/>
        </w:rPr>
        <w:lastRenderedPageBreak/>
        <w:t xml:space="preserve">Decision </w:t>
      </w:r>
      <w:r w:rsidRPr="001B531E">
        <w:rPr>
          <w:rFonts w:ascii="Palatino Linotype" w:hAnsi="Palatino Linotype"/>
        </w:rPr>
        <w:t>w</w:t>
      </w:r>
      <w:r>
        <w:rPr>
          <w:rFonts w:ascii="Palatino Linotype" w:hAnsi="Palatino Linotype"/>
        </w:rPr>
        <w:t>as</w:t>
      </w:r>
      <w:r w:rsidRPr="001B531E">
        <w:rPr>
          <w:rFonts w:ascii="Palatino Linotype" w:hAnsi="Palatino Linotype"/>
        </w:rPr>
        <w:t xml:space="preserve"> modified to reflect the change in law that removed the sunset date from the GTSR Program, nor did any of the </w:t>
      </w:r>
      <w:r>
        <w:rPr>
          <w:rFonts w:ascii="Palatino Linotype" w:hAnsi="Palatino Linotype"/>
        </w:rPr>
        <w:t>AL</w:t>
      </w:r>
      <w:r w:rsidRPr="001B531E">
        <w:rPr>
          <w:rFonts w:ascii="Palatino Linotype" w:hAnsi="Palatino Linotype"/>
        </w:rPr>
        <w:t>s cite to this</w:t>
      </w:r>
      <w:r>
        <w:rPr>
          <w:rFonts w:ascii="Palatino Linotype" w:hAnsi="Palatino Linotype"/>
        </w:rPr>
        <w:t xml:space="preserve"> change.</w:t>
      </w:r>
    </w:p>
    <w:p w14:paraId="65FAE788" w14:textId="77777777" w:rsidR="0076358A" w:rsidRPr="001B531E" w:rsidRDefault="0076358A" w:rsidP="0076358A">
      <w:pPr>
        <w:rPr>
          <w:rFonts w:ascii="Palatino Linotype" w:hAnsi="Palatino Linotype"/>
        </w:rPr>
      </w:pPr>
      <w:r w:rsidRPr="001B531E">
        <w:rPr>
          <w:rFonts w:ascii="Palatino Linotype" w:hAnsi="Palatino Linotype"/>
        </w:rPr>
        <w:t xml:space="preserve"> </w:t>
      </w:r>
    </w:p>
    <w:p w14:paraId="65913D19" w14:textId="77777777" w:rsidR="0076358A" w:rsidRPr="00971AC6" w:rsidRDefault="0076358A" w:rsidP="0076358A">
      <w:pPr>
        <w:pStyle w:val="Heading2"/>
      </w:pPr>
      <w:bookmarkStart w:id="15" w:name="_Toc20145923"/>
      <w:r w:rsidRPr="00971AC6">
        <w:t>Current Program Status</w:t>
      </w:r>
      <w:bookmarkEnd w:id="15"/>
    </w:p>
    <w:p w14:paraId="0FE1D495" w14:textId="77777777" w:rsidR="0076358A" w:rsidRPr="0073174B" w:rsidRDefault="0076358A" w:rsidP="0076358A">
      <w:pPr>
        <w:pStyle w:val="DecisionText"/>
        <w:spacing w:line="240" w:lineRule="auto"/>
        <w:rPr>
          <w:rFonts w:ascii="Palatino Linotype" w:hAnsi="Palatino Linotype"/>
        </w:rPr>
      </w:pPr>
      <w:r w:rsidRPr="00E839A2">
        <w:rPr>
          <w:rFonts w:ascii="Palatino Linotype" w:hAnsi="Palatino Linotype"/>
          <w:lang w:val="en-US"/>
        </w:rPr>
        <w:t xml:space="preserve">The </w:t>
      </w:r>
      <w:r>
        <w:rPr>
          <w:rFonts w:ascii="Palatino Linotype" w:hAnsi="Palatino Linotype"/>
          <w:lang w:val="en-US"/>
        </w:rPr>
        <w:t xml:space="preserve">IOUs launched the </w:t>
      </w:r>
      <w:r w:rsidRPr="00E839A2">
        <w:rPr>
          <w:rFonts w:ascii="Palatino Linotype" w:hAnsi="Palatino Linotype"/>
          <w:lang w:val="en-US"/>
        </w:rPr>
        <w:t xml:space="preserve">first ECR solicitation in the </w:t>
      </w:r>
      <w:r>
        <w:rPr>
          <w:rFonts w:ascii="Palatino Linotype" w:hAnsi="Palatino Linotype"/>
          <w:lang w:val="en-US"/>
        </w:rPr>
        <w:t>f</w:t>
      </w:r>
      <w:r w:rsidRPr="00E839A2">
        <w:rPr>
          <w:rFonts w:ascii="Palatino Linotype" w:hAnsi="Palatino Linotype"/>
          <w:lang w:val="en-US"/>
        </w:rPr>
        <w:t xml:space="preserve">all of 2016, which yielded no participants, </w:t>
      </w:r>
      <w:r>
        <w:rPr>
          <w:rFonts w:ascii="Palatino Linotype" w:hAnsi="Palatino Linotype"/>
          <w:lang w:val="en-US"/>
        </w:rPr>
        <w:t>nor</w:t>
      </w:r>
      <w:r w:rsidRPr="00E839A2">
        <w:rPr>
          <w:rFonts w:ascii="Palatino Linotype" w:hAnsi="Palatino Linotype"/>
          <w:lang w:val="en-US"/>
        </w:rPr>
        <w:t xml:space="preserve"> did the </w:t>
      </w:r>
      <w:r>
        <w:rPr>
          <w:rFonts w:ascii="Palatino Linotype" w:hAnsi="Palatino Linotype"/>
          <w:lang w:val="en-US"/>
        </w:rPr>
        <w:t>s</w:t>
      </w:r>
      <w:r w:rsidRPr="00E839A2">
        <w:rPr>
          <w:rFonts w:ascii="Palatino Linotype" w:hAnsi="Palatino Linotype"/>
          <w:lang w:val="en-US"/>
        </w:rPr>
        <w:t>pring 2017 solicitation.</w:t>
      </w:r>
      <w:r>
        <w:rPr>
          <w:rFonts w:ascii="Palatino Linotype" w:hAnsi="Palatino Linotype"/>
          <w:lang w:val="en-US"/>
        </w:rPr>
        <w:t xml:space="preserve">  </w:t>
      </w:r>
      <w:r w:rsidRPr="0073174B">
        <w:rPr>
          <w:rFonts w:ascii="Palatino Linotype" w:hAnsi="Palatino Linotype"/>
        </w:rPr>
        <w:t xml:space="preserve">The </w:t>
      </w:r>
      <w:r>
        <w:rPr>
          <w:rFonts w:ascii="Palatino Linotype" w:hAnsi="Palatino Linotype"/>
        </w:rPr>
        <w:t>f</w:t>
      </w:r>
      <w:r w:rsidRPr="0073174B">
        <w:rPr>
          <w:rFonts w:ascii="Palatino Linotype" w:hAnsi="Palatino Linotype"/>
        </w:rPr>
        <w:t>all 2017 solicitations will result in up to three new</w:t>
      </w:r>
      <w:r>
        <w:rPr>
          <w:rFonts w:ascii="Palatino Linotype" w:hAnsi="Palatino Linotype"/>
        </w:rPr>
        <w:t xml:space="preserve"> </w:t>
      </w:r>
      <w:r w:rsidRPr="0073174B">
        <w:rPr>
          <w:rFonts w:ascii="Palatino Linotype" w:hAnsi="Palatino Linotype"/>
        </w:rPr>
        <w:t>Community Renewables Projects:</w:t>
      </w:r>
    </w:p>
    <w:p w14:paraId="65A50C34" w14:textId="77777777" w:rsidR="0076358A" w:rsidRPr="00F725F5" w:rsidRDefault="0076358A" w:rsidP="00661A6B">
      <w:pPr>
        <w:pStyle w:val="DecisionText"/>
        <w:numPr>
          <w:ilvl w:val="0"/>
          <w:numId w:val="11"/>
        </w:numPr>
        <w:spacing w:before="0" w:line="240" w:lineRule="auto"/>
        <w:rPr>
          <w:rFonts w:ascii="Palatino Linotype" w:hAnsi="Palatino Linotype"/>
          <w:lang w:val="en-US"/>
        </w:rPr>
      </w:pPr>
      <w:r w:rsidRPr="0073174B">
        <w:rPr>
          <w:rFonts w:ascii="Palatino Linotype" w:hAnsi="Palatino Linotype"/>
          <w:b/>
          <w:bCs/>
          <w:lang w:val="en-US"/>
        </w:rPr>
        <w:t>SCE</w:t>
      </w:r>
      <w:r w:rsidRPr="0073174B">
        <w:rPr>
          <w:rFonts w:ascii="Palatino Linotype" w:hAnsi="Palatino Linotype"/>
          <w:lang w:val="en-US"/>
        </w:rPr>
        <w:t xml:space="preserve">: 3.0 MW </w:t>
      </w:r>
      <w:r w:rsidRPr="00F725F5">
        <w:rPr>
          <w:rFonts w:ascii="Palatino Linotype" w:hAnsi="Palatino Linotype"/>
          <w:lang w:val="en-US"/>
        </w:rPr>
        <w:t xml:space="preserve">Community Solar Project, in </w:t>
      </w:r>
      <w:r w:rsidRPr="002E026C">
        <w:rPr>
          <w:rFonts w:ascii="Palatino Linotype" w:hAnsi="Palatino Linotype"/>
        </w:rPr>
        <w:t>Sheep Creek near Victorville</w:t>
      </w:r>
      <w:r w:rsidRPr="00F725F5">
        <w:rPr>
          <w:rFonts w:ascii="Palatino Linotype" w:hAnsi="Palatino Linotype"/>
          <w:lang w:val="en-US"/>
        </w:rPr>
        <w:t>.</w:t>
      </w:r>
      <w:r w:rsidRPr="00F725F5">
        <w:rPr>
          <w:rFonts w:ascii="Palatino Linotype" w:hAnsi="Palatino Linotype"/>
          <w:vertAlign w:val="superscript"/>
          <w:lang w:val="en-US"/>
        </w:rPr>
        <w:footnoteReference w:id="4"/>
      </w:r>
    </w:p>
    <w:p w14:paraId="07D209F3" w14:textId="77777777" w:rsidR="0076358A" w:rsidRPr="0073174B" w:rsidRDefault="0076358A" w:rsidP="00661A6B">
      <w:pPr>
        <w:pStyle w:val="DecisionText"/>
        <w:numPr>
          <w:ilvl w:val="0"/>
          <w:numId w:val="11"/>
        </w:numPr>
        <w:spacing w:before="0" w:line="240" w:lineRule="auto"/>
        <w:rPr>
          <w:rFonts w:ascii="Palatino Linotype" w:hAnsi="Palatino Linotype"/>
          <w:lang w:val="en-US"/>
        </w:rPr>
      </w:pPr>
      <w:r w:rsidRPr="0073174B">
        <w:rPr>
          <w:rFonts w:ascii="Palatino Linotype" w:hAnsi="Palatino Linotype"/>
          <w:b/>
          <w:bCs/>
          <w:lang w:val="en-US"/>
        </w:rPr>
        <w:t>SDG&amp;E</w:t>
      </w:r>
      <w:r w:rsidRPr="0073174B">
        <w:rPr>
          <w:rFonts w:ascii="Palatino Linotype" w:hAnsi="Palatino Linotype"/>
          <w:lang w:val="en-US"/>
        </w:rPr>
        <w:t>: 2.4 MW Community Solar Project near Campo (near the US-Mexico Border)</w:t>
      </w:r>
      <w:r>
        <w:rPr>
          <w:rFonts w:ascii="Palatino Linotype" w:hAnsi="Palatino Linotype"/>
          <w:lang w:val="en-US"/>
        </w:rPr>
        <w:t>.</w:t>
      </w:r>
      <w:r w:rsidRPr="0073174B">
        <w:rPr>
          <w:rFonts w:ascii="Palatino Linotype" w:hAnsi="Palatino Linotype"/>
          <w:vertAlign w:val="superscript"/>
          <w:lang w:val="en-US"/>
        </w:rPr>
        <w:footnoteReference w:id="5"/>
      </w:r>
    </w:p>
    <w:p w14:paraId="1FD467B3" w14:textId="77777777" w:rsidR="0076358A" w:rsidRPr="0073174B" w:rsidRDefault="0076358A" w:rsidP="00661A6B">
      <w:pPr>
        <w:pStyle w:val="DecisionText"/>
        <w:numPr>
          <w:ilvl w:val="0"/>
          <w:numId w:val="11"/>
        </w:numPr>
        <w:spacing w:before="0" w:line="240" w:lineRule="auto"/>
        <w:rPr>
          <w:rFonts w:ascii="Palatino Linotype" w:hAnsi="Palatino Linotype"/>
          <w:lang w:val="en-US"/>
        </w:rPr>
      </w:pPr>
      <w:r w:rsidRPr="0073174B">
        <w:rPr>
          <w:rFonts w:ascii="Palatino Linotype" w:hAnsi="Palatino Linotype"/>
          <w:b/>
          <w:bCs/>
          <w:lang w:val="en-US"/>
        </w:rPr>
        <w:t>PG&amp;E</w:t>
      </w:r>
      <w:r w:rsidRPr="0073174B">
        <w:rPr>
          <w:rFonts w:ascii="Palatino Linotype" w:hAnsi="Palatino Linotype"/>
          <w:lang w:val="en-US"/>
        </w:rPr>
        <w:t>: 1.656 MW Community Solar Project in Selma (Fresno County).</w:t>
      </w:r>
      <w:r w:rsidRPr="0073174B">
        <w:rPr>
          <w:rFonts w:ascii="Palatino Linotype" w:hAnsi="Palatino Linotype"/>
          <w:vertAlign w:val="superscript"/>
          <w:lang w:val="en-US"/>
        </w:rPr>
        <w:footnoteReference w:id="6"/>
      </w:r>
      <w:r w:rsidRPr="0073174B">
        <w:rPr>
          <w:rFonts w:ascii="Palatino Linotype" w:hAnsi="Palatino Linotype"/>
          <w:lang w:val="en-US"/>
        </w:rPr>
        <w:t xml:space="preserve">  </w:t>
      </w:r>
    </w:p>
    <w:p w14:paraId="329B0F40" w14:textId="77777777" w:rsidR="0076358A" w:rsidRDefault="0076358A" w:rsidP="0076358A">
      <w:pPr>
        <w:pStyle w:val="DecisionText"/>
        <w:spacing w:line="240" w:lineRule="auto"/>
        <w:rPr>
          <w:rFonts w:ascii="Palatino Linotype" w:hAnsi="Palatino Linotype"/>
        </w:rPr>
      </w:pPr>
      <w:r>
        <w:rPr>
          <w:rFonts w:ascii="Palatino Linotype" w:hAnsi="Palatino Linotype"/>
        </w:rPr>
        <w:t xml:space="preserve">Subsequent solicitations also indicate modest interest in continuation of the GTSR program, including the following highlights: </w:t>
      </w:r>
    </w:p>
    <w:p w14:paraId="01A4E032" w14:textId="77777777" w:rsidR="0076358A" w:rsidRDefault="0076358A" w:rsidP="00661A6B">
      <w:pPr>
        <w:pStyle w:val="DecisionText"/>
        <w:numPr>
          <w:ilvl w:val="0"/>
          <w:numId w:val="11"/>
        </w:numPr>
        <w:spacing w:before="0" w:line="240" w:lineRule="auto"/>
        <w:rPr>
          <w:rFonts w:ascii="Palatino Linotype" w:hAnsi="Palatino Linotype"/>
          <w:lang w:val="en-US"/>
        </w:rPr>
      </w:pPr>
      <w:r w:rsidRPr="0073174B">
        <w:rPr>
          <w:rFonts w:ascii="Palatino Linotype" w:hAnsi="Palatino Linotype"/>
          <w:b/>
          <w:bCs/>
          <w:lang w:val="en-US"/>
        </w:rPr>
        <w:t>SCE</w:t>
      </w:r>
      <w:r w:rsidRPr="0073174B">
        <w:rPr>
          <w:rFonts w:ascii="Palatino Linotype" w:hAnsi="Palatino Linotype"/>
          <w:lang w:val="en-US"/>
        </w:rPr>
        <w:t xml:space="preserve">: 3.0 MW Community Solar </w:t>
      </w:r>
      <w:r w:rsidRPr="00F725F5">
        <w:rPr>
          <w:rFonts w:ascii="Palatino Linotype" w:hAnsi="Palatino Linotype"/>
          <w:lang w:val="en-US"/>
        </w:rPr>
        <w:t xml:space="preserve">Project, in </w:t>
      </w:r>
      <w:r w:rsidRPr="002E026C">
        <w:rPr>
          <w:rFonts w:ascii="Palatino Linotype" w:hAnsi="Palatino Linotype"/>
        </w:rPr>
        <w:t>Lancaste</w:t>
      </w:r>
      <w:r w:rsidRPr="00F725F5">
        <w:rPr>
          <w:rFonts w:ascii="Palatino Linotype" w:hAnsi="Palatino Linotype"/>
          <w:lang w:val="en-US"/>
        </w:rPr>
        <w:t>r.</w:t>
      </w:r>
      <w:r w:rsidRPr="00F725F5">
        <w:rPr>
          <w:rFonts w:ascii="Palatino Linotype" w:hAnsi="Palatino Linotype"/>
          <w:vertAlign w:val="superscript"/>
          <w:lang w:val="en-US"/>
        </w:rPr>
        <w:footnoteReference w:id="7"/>
      </w:r>
    </w:p>
    <w:p w14:paraId="2D399EC1" w14:textId="77777777" w:rsidR="0076358A" w:rsidRDefault="0076358A" w:rsidP="00661A6B">
      <w:pPr>
        <w:pStyle w:val="DecisionText"/>
        <w:numPr>
          <w:ilvl w:val="0"/>
          <w:numId w:val="11"/>
        </w:numPr>
        <w:spacing w:before="0" w:line="240" w:lineRule="auto"/>
        <w:rPr>
          <w:rFonts w:ascii="Palatino Linotype" w:hAnsi="Palatino Linotype"/>
          <w:lang w:val="en-US"/>
        </w:rPr>
      </w:pPr>
      <w:r>
        <w:rPr>
          <w:rFonts w:ascii="Palatino Linotype" w:hAnsi="Palatino Linotype"/>
          <w:b/>
          <w:bCs/>
          <w:lang w:val="en-US"/>
        </w:rPr>
        <w:t>PG&amp;E</w:t>
      </w:r>
      <w:r w:rsidRPr="00266EE5">
        <w:rPr>
          <w:rFonts w:ascii="Palatino Linotype" w:hAnsi="Palatino Linotype"/>
          <w:lang w:val="en-US"/>
        </w:rPr>
        <w:t>:</w:t>
      </w:r>
      <w:r>
        <w:rPr>
          <w:rFonts w:ascii="Palatino Linotype" w:hAnsi="Palatino Linotype"/>
          <w:lang w:val="en-US"/>
        </w:rPr>
        <w:t xml:space="preserve"> In the current solicitation, which has been placed on hold pending this resolution, </w:t>
      </w:r>
      <w:r w:rsidRPr="007133A6">
        <w:rPr>
          <w:rFonts w:ascii="Palatino Linotype" w:hAnsi="Palatino Linotype"/>
          <w:lang w:val="en-US"/>
        </w:rPr>
        <w:t xml:space="preserve">one of the </w:t>
      </w:r>
      <w:r>
        <w:rPr>
          <w:rFonts w:ascii="Palatino Linotype" w:hAnsi="Palatino Linotype"/>
          <w:lang w:val="en-US"/>
        </w:rPr>
        <w:t xml:space="preserve">qualifying </w:t>
      </w:r>
      <w:r w:rsidRPr="007133A6">
        <w:rPr>
          <w:rFonts w:ascii="Palatino Linotype" w:hAnsi="Palatino Linotype"/>
          <w:lang w:val="en-US"/>
        </w:rPr>
        <w:t xml:space="preserve">ECR Developers, </w:t>
      </w:r>
      <w:r>
        <w:rPr>
          <w:rFonts w:ascii="Palatino Linotype" w:hAnsi="Palatino Linotype"/>
          <w:lang w:val="en-US"/>
        </w:rPr>
        <w:t xml:space="preserve">ForeFront Power, noted that it has 11 short-listed projects </w:t>
      </w:r>
      <w:r w:rsidR="00377926">
        <w:rPr>
          <w:rFonts w:ascii="Palatino Linotype" w:hAnsi="Palatino Linotype"/>
          <w:lang w:val="en-US"/>
        </w:rPr>
        <w:t>awaiting in the queue for a Power Purchase Agreement</w:t>
      </w:r>
      <w:r>
        <w:rPr>
          <w:rFonts w:ascii="Palatino Linotype" w:hAnsi="Palatino Linotype"/>
          <w:lang w:val="en-US"/>
        </w:rPr>
        <w:t>.</w:t>
      </w:r>
      <w:r>
        <w:rPr>
          <w:rStyle w:val="FootnoteReference"/>
          <w:rFonts w:ascii="Palatino Linotype" w:hAnsi="Palatino Linotype"/>
          <w:lang w:val="en-US"/>
        </w:rPr>
        <w:footnoteReference w:id="8"/>
      </w:r>
    </w:p>
    <w:p w14:paraId="180C6902" w14:textId="022DFD73" w:rsidR="002C125A" w:rsidRDefault="0076358A" w:rsidP="008216C0">
      <w:pPr>
        <w:pStyle w:val="DecisionText"/>
        <w:spacing w:line="240" w:lineRule="auto"/>
        <w:rPr>
          <w:rFonts w:ascii="Palatino Linotype" w:hAnsi="Palatino Linotype"/>
        </w:rPr>
      </w:pPr>
      <w:r>
        <w:rPr>
          <w:rFonts w:ascii="Palatino Linotype" w:hAnsi="Palatino Linotype"/>
        </w:rPr>
        <w:t>O</w:t>
      </w:r>
      <w:r w:rsidRPr="0073174B">
        <w:rPr>
          <w:rFonts w:ascii="Palatino Linotype" w:hAnsi="Palatino Linotype"/>
        </w:rPr>
        <w:t>f the potential 600 MW in new Shared Renewables contemplated for construction</w:t>
      </w:r>
      <w:r>
        <w:rPr>
          <w:rFonts w:ascii="Palatino Linotype" w:hAnsi="Palatino Linotype"/>
        </w:rPr>
        <w:t xml:space="preserve"> pursuant to</w:t>
      </w:r>
      <w:r w:rsidRPr="0073174B">
        <w:rPr>
          <w:rFonts w:ascii="Palatino Linotype" w:hAnsi="Palatino Linotype"/>
        </w:rPr>
        <w:t xml:space="preserve"> SB 43, 7</w:t>
      </w:r>
      <w:r>
        <w:rPr>
          <w:rFonts w:ascii="Palatino Linotype" w:hAnsi="Palatino Linotype"/>
        </w:rPr>
        <w:t>3</w:t>
      </w:r>
      <w:r w:rsidRPr="0073174B">
        <w:rPr>
          <w:rFonts w:ascii="Palatino Linotype" w:hAnsi="Palatino Linotype"/>
        </w:rPr>
        <w:t xml:space="preserve">% of the </w:t>
      </w:r>
      <w:r>
        <w:rPr>
          <w:rFonts w:ascii="Palatino Linotype" w:hAnsi="Palatino Linotype"/>
        </w:rPr>
        <w:t>generating capacity allowed</w:t>
      </w:r>
      <w:r w:rsidRPr="0073174B">
        <w:rPr>
          <w:rFonts w:ascii="Palatino Linotype" w:hAnsi="Palatino Linotype"/>
        </w:rPr>
        <w:t xml:space="preserve"> in th</w:t>
      </w:r>
      <w:r>
        <w:rPr>
          <w:rFonts w:ascii="Palatino Linotype" w:hAnsi="Palatino Linotype"/>
        </w:rPr>
        <w:t xml:space="preserve">e </w:t>
      </w:r>
      <w:r w:rsidRPr="0073174B">
        <w:rPr>
          <w:rFonts w:ascii="Palatino Linotype" w:hAnsi="Palatino Linotype"/>
        </w:rPr>
        <w:t>program remains unprocured</w:t>
      </w:r>
      <w:r>
        <w:rPr>
          <w:rFonts w:ascii="Palatino Linotype" w:hAnsi="Palatino Linotype"/>
        </w:rPr>
        <w:t>.  M</w:t>
      </w:r>
      <w:r w:rsidRPr="007133A6">
        <w:rPr>
          <w:rFonts w:ascii="Palatino Linotype" w:hAnsi="Palatino Linotype"/>
        </w:rPr>
        <w:t xml:space="preserve">ost </w:t>
      </w:r>
      <w:r>
        <w:rPr>
          <w:rFonts w:ascii="Palatino Linotype" w:hAnsi="Palatino Linotype"/>
        </w:rPr>
        <w:t xml:space="preserve">of the </w:t>
      </w:r>
      <w:r w:rsidRPr="007133A6">
        <w:rPr>
          <w:rFonts w:ascii="Palatino Linotype" w:hAnsi="Palatino Linotype"/>
        </w:rPr>
        <w:t xml:space="preserve">capacity procured </w:t>
      </w:r>
      <w:r>
        <w:rPr>
          <w:rFonts w:ascii="Palatino Linotype" w:hAnsi="Palatino Linotype"/>
        </w:rPr>
        <w:t xml:space="preserve">thus far has been for the </w:t>
      </w:r>
      <w:r w:rsidRPr="007133A6">
        <w:rPr>
          <w:rFonts w:ascii="Palatino Linotype" w:hAnsi="Palatino Linotype"/>
        </w:rPr>
        <w:t xml:space="preserve">Green Tariff </w:t>
      </w:r>
      <w:r>
        <w:rPr>
          <w:rFonts w:ascii="Palatino Linotype" w:hAnsi="Palatino Linotype"/>
        </w:rPr>
        <w:t xml:space="preserve">portion of the GTSR </w:t>
      </w:r>
      <w:r w:rsidRPr="007133A6">
        <w:rPr>
          <w:rFonts w:ascii="Palatino Linotype" w:hAnsi="Palatino Linotype"/>
        </w:rPr>
        <w:t>program</w:t>
      </w:r>
      <w:r>
        <w:rPr>
          <w:rFonts w:ascii="Palatino Linotype" w:hAnsi="Palatino Linotype"/>
        </w:rPr>
        <w:t>, as shown in tables 1 and 2 below, on a cumulative and per-utility basis.</w:t>
      </w:r>
      <w:r>
        <w:rPr>
          <w:rStyle w:val="FootnoteReference"/>
          <w:rFonts w:ascii="Palatino Linotype" w:hAnsi="Palatino Linotype"/>
        </w:rPr>
        <w:footnoteReference w:id="9"/>
      </w:r>
      <w:r w:rsidR="002C125A">
        <w:rPr>
          <w:rFonts w:ascii="Palatino Linotype" w:hAnsi="Palatino Linotype"/>
        </w:rPr>
        <w:br w:type="page"/>
      </w:r>
    </w:p>
    <w:p w14:paraId="2F254370" w14:textId="77777777" w:rsidR="0076358A" w:rsidRPr="00E27A05" w:rsidRDefault="0076358A" w:rsidP="0076358A">
      <w:pPr>
        <w:pStyle w:val="DecisionText"/>
        <w:spacing w:line="240" w:lineRule="auto"/>
        <w:rPr>
          <w:rFonts w:ascii="Palatino Linotype" w:hAnsi="Palatino Linotype"/>
        </w:rPr>
      </w:pPr>
      <w:r w:rsidRPr="00E27A05">
        <w:rPr>
          <w:rFonts w:ascii="Palatino Linotype" w:hAnsi="Palatino Linotype"/>
        </w:rPr>
        <w:lastRenderedPageBreak/>
        <w:fldChar w:fldCharType="begin"/>
      </w:r>
      <w:r w:rsidRPr="00E27A05">
        <w:rPr>
          <w:rFonts w:ascii="Palatino Linotype" w:hAnsi="Palatino Linotype"/>
        </w:rPr>
        <w:instrText xml:space="preserve"> LINK </w:instrText>
      </w:r>
      <w:r w:rsidR="005662BB">
        <w:rPr>
          <w:rFonts w:ascii="Palatino Linotype" w:hAnsi="Palatino Linotype"/>
        </w:rPr>
        <w:instrText xml:space="preserve">Excel.Sheet.12 "D:\\cyc\\My Documents\\GTSR\\GTSR_Website\\2019-05_GTSR_Stats.xlsx" "Table 1!R3C2:R8C6" </w:instrText>
      </w:r>
      <w:r w:rsidRPr="00E27A05">
        <w:rPr>
          <w:rFonts w:ascii="Palatino Linotype" w:hAnsi="Palatino Linotype"/>
        </w:rPr>
        <w:instrText xml:space="preserve">\a \f 4 \h  \* MERGEFORMAT </w:instrText>
      </w:r>
      <w:r w:rsidRPr="00E27A05">
        <w:rPr>
          <w:rFonts w:ascii="Palatino Linotype" w:hAnsi="Palatino Linotype"/>
        </w:rPr>
        <w:fldChar w:fldCharType="separate"/>
      </w:r>
    </w:p>
    <w:p w14:paraId="4398E961" w14:textId="7AB24DCA" w:rsidR="0076358A" w:rsidRPr="00E27A05" w:rsidRDefault="0076358A" w:rsidP="0076358A">
      <w:pPr>
        <w:pStyle w:val="Caption"/>
        <w:keepNext/>
        <w:rPr>
          <w:rFonts w:ascii="Palatino Linotype" w:hAnsi="Palatino Linotype"/>
          <w:sz w:val="26"/>
          <w:szCs w:val="26"/>
        </w:rPr>
      </w:pPr>
      <w:r w:rsidRPr="00E27A05">
        <w:rPr>
          <w:rFonts w:ascii="Palatino Linotype" w:hAnsi="Palatino Linotype"/>
          <w:sz w:val="26"/>
          <w:szCs w:val="26"/>
        </w:rPr>
        <w:t xml:space="preserve">Table </w:t>
      </w:r>
      <w:r w:rsidRPr="00E27A05">
        <w:rPr>
          <w:rFonts w:ascii="Palatino Linotype" w:hAnsi="Palatino Linotype"/>
          <w:sz w:val="26"/>
          <w:szCs w:val="26"/>
        </w:rPr>
        <w:fldChar w:fldCharType="begin"/>
      </w:r>
      <w:r w:rsidRPr="00E27A05">
        <w:rPr>
          <w:rFonts w:ascii="Palatino Linotype" w:hAnsi="Palatino Linotype"/>
          <w:sz w:val="26"/>
          <w:szCs w:val="26"/>
        </w:rPr>
        <w:instrText xml:space="preserve"> SEQ Table \* ARABIC </w:instrText>
      </w:r>
      <w:r w:rsidRPr="00E27A05">
        <w:rPr>
          <w:rFonts w:ascii="Palatino Linotype" w:hAnsi="Palatino Linotype"/>
          <w:sz w:val="26"/>
          <w:szCs w:val="26"/>
        </w:rPr>
        <w:fldChar w:fldCharType="separate"/>
      </w:r>
      <w:r w:rsidR="006667DA">
        <w:rPr>
          <w:rFonts w:ascii="Palatino Linotype" w:hAnsi="Palatino Linotype"/>
          <w:noProof/>
          <w:sz w:val="26"/>
          <w:szCs w:val="26"/>
        </w:rPr>
        <w:t>1</w:t>
      </w:r>
      <w:r w:rsidRPr="00E27A05">
        <w:rPr>
          <w:rFonts w:ascii="Palatino Linotype" w:hAnsi="Palatino Linotype"/>
          <w:sz w:val="26"/>
          <w:szCs w:val="26"/>
        </w:rPr>
        <w:fldChar w:fldCharType="end"/>
      </w:r>
      <w:r w:rsidRPr="00E27A05">
        <w:rPr>
          <w:rFonts w:ascii="Palatino Linotype" w:hAnsi="Palatino Linotype"/>
          <w:sz w:val="26"/>
          <w:szCs w:val="26"/>
        </w:rPr>
        <w:t>: Cumulative Procured GTSR Capacity (MW)</w:t>
      </w:r>
    </w:p>
    <w:tbl>
      <w:tblPr>
        <w:tblStyle w:val="GridTable41"/>
        <w:tblW w:w="9625" w:type="dxa"/>
        <w:tblLook w:val="04A0" w:firstRow="1" w:lastRow="0" w:firstColumn="1" w:lastColumn="0" w:noHBand="0" w:noVBand="1"/>
      </w:tblPr>
      <w:tblGrid>
        <w:gridCol w:w="2515"/>
        <w:gridCol w:w="1710"/>
        <w:gridCol w:w="1524"/>
        <w:gridCol w:w="1800"/>
        <w:gridCol w:w="2076"/>
      </w:tblGrid>
      <w:tr w:rsidR="00032E00" w14:paraId="2EFCC0D4" w14:textId="77777777" w:rsidTr="00032E00">
        <w:trPr>
          <w:cnfStyle w:val="100000000000" w:firstRow="1" w:lastRow="0" w:firstColumn="0" w:lastColumn="0" w:oddVBand="0" w:evenVBand="0" w:oddHBand="0"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2515" w:type="dxa"/>
            <w:tcBorders>
              <w:right w:val="single" w:sz="4" w:space="0" w:color="FFFFFF" w:themeColor="background1"/>
            </w:tcBorders>
            <w:hideMark/>
          </w:tcPr>
          <w:p w14:paraId="5C3E0D95" w14:textId="77777777" w:rsidR="0076358A" w:rsidRPr="00E27A05" w:rsidRDefault="0076358A" w:rsidP="002B6E34">
            <w:pPr>
              <w:rPr>
                <w:rFonts w:ascii="Palatino Linotype" w:hAnsi="Palatino Linotype"/>
                <w:sz w:val="22"/>
                <w:szCs w:val="22"/>
              </w:rPr>
            </w:pPr>
            <w:r w:rsidRPr="00E27A05">
              <w:rPr>
                <w:rFonts w:ascii="Palatino Linotype" w:hAnsi="Palatino Linotype"/>
                <w:sz w:val="22"/>
                <w:szCs w:val="22"/>
              </w:rPr>
              <w:t>Category</w:t>
            </w:r>
          </w:p>
        </w:tc>
        <w:tc>
          <w:tcPr>
            <w:tcW w:w="1710" w:type="dxa"/>
            <w:tcBorders>
              <w:left w:val="single" w:sz="4" w:space="0" w:color="FFFFFF" w:themeColor="background1"/>
              <w:right w:val="single" w:sz="4" w:space="0" w:color="FFFFFF" w:themeColor="background1"/>
            </w:tcBorders>
            <w:hideMark/>
          </w:tcPr>
          <w:p w14:paraId="539BFF78" w14:textId="77777777" w:rsidR="0076358A" w:rsidRPr="00E27A05" w:rsidRDefault="0076358A" w:rsidP="002B6E34">
            <w:pPr>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sz w:val="22"/>
                <w:szCs w:val="22"/>
              </w:rPr>
            </w:pPr>
            <w:r w:rsidRPr="00E27A05">
              <w:rPr>
                <w:rFonts w:ascii="Palatino Linotype" w:hAnsi="Palatino Linotype"/>
                <w:sz w:val="22"/>
                <w:szCs w:val="22"/>
              </w:rPr>
              <w:t>Available Capacity</w:t>
            </w:r>
          </w:p>
        </w:tc>
        <w:tc>
          <w:tcPr>
            <w:tcW w:w="1524" w:type="dxa"/>
            <w:tcBorders>
              <w:left w:val="single" w:sz="4" w:space="0" w:color="FFFFFF" w:themeColor="background1"/>
              <w:right w:val="single" w:sz="4" w:space="0" w:color="FFFFFF" w:themeColor="background1"/>
            </w:tcBorders>
            <w:hideMark/>
          </w:tcPr>
          <w:p w14:paraId="22A47F7A" w14:textId="77777777" w:rsidR="0076358A" w:rsidRPr="00E27A05" w:rsidRDefault="0076358A" w:rsidP="002B6E34">
            <w:pPr>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sz w:val="22"/>
                <w:szCs w:val="22"/>
              </w:rPr>
            </w:pPr>
            <w:r w:rsidRPr="00E27A05">
              <w:rPr>
                <w:rFonts w:ascii="Palatino Linotype" w:hAnsi="Palatino Linotype"/>
                <w:sz w:val="22"/>
                <w:szCs w:val="22"/>
              </w:rPr>
              <w:t xml:space="preserve">GT Procured </w:t>
            </w:r>
          </w:p>
        </w:tc>
        <w:tc>
          <w:tcPr>
            <w:tcW w:w="1800" w:type="dxa"/>
            <w:tcBorders>
              <w:left w:val="single" w:sz="4" w:space="0" w:color="FFFFFF" w:themeColor="background1"/>
              <w:right w:val="single" w:sz="4" w:space="0" w:color="FFFFFF" w:themeColor="background1"/>
            </w:tcBorders>
            <w:hideMark/>
          </w:tcPr>
          <w:p w14:paraId="1BBB3FD8" w14:textId="77777777" w:rsidR="0076358A" w:rsidRPr="00E27A05" w:rsidRDefault="0076358A" w:rsidP="002B6E34">
            <w:pPr>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sz w:val="22"/>
                <w:szCs w:val="22"/>
              </w:rPr>
            </w:pPr>
            <w:r w:rsidRPr="00E27A05">
              <w:rPr>
                <w:rFonts w:ascii="Palatino Linotype" w:hAnsi="Palatino Linotype"/>
                <w:sz w:val="22"/>
                <w:szCs w:val="22"/>
              </w:rPr>
              <w:t xml:space="preserve">ECR Procured </w:t>
            </w:r>
          </w:p>
        </w:tc>
        <w:tc>
          <w:tcPr>
            <w:tcW w:w="2076" w:type="dxa"/>
            <w:tcBorders>
              <w:left w:val="single" w:sz="4" w:space="0" w:color="FFFFFF" w:themeColor="background1"/>
            </w:tcBorders>
            <w:hideMark/>
          </w:tcPr>
          <w:p w14:paraId="798CF0BF" w14:textId="77777777" w:rsidR="0076358A" w:rsidRPr="00E27A05" w:rsidRDefault="0076358A" w:rsidP="002B6E34">
            <w:pPr>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sz w:val="22"/>
                <w:szCs w:val="22"/>
              </w:rPr>
            </w:pPr>
            <w:r w:rsidRPr="00E27A05">
              <w:rPr>
                <w:rFonts w:ascii="Palatino Linotype" w:hAnsi="Palatino Linotype"/>
                <w:sz w:val="22"/>
                <w:szCs w:val="22"/>
              </w:rPr>
              <w:t>Remaining Capacity</w:t>
            </w:r>
          </w:p>
        </w:tc>
      </w:tr>
      <w:tr w:rsidR="00032E00" w14:paraId="3275A561" w14:textId="77777777" w:rsidTr="00032E0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515" w:type="dxa"/>
            <w:shd w:val="clear" w:color="auto" w:fill="FFFFFF" w:themeFill="background1"/>
            <w:noWrap/>
            <w:hideMark/>
          </w:tcPr>
          <w:p w14:paraId="317E5F28" w14:textId="77777777" w:rsidR="0076358A" w:rsidRPr="00E27A05" w:rsidRDefault="0076358A" w:rsidP="002B6E34">
            <w:pPr>
              <w:rPr>
                <w:rFonts w:ascii="Palatino Linotype" w:hAnsi="Palatino Linotype"/>
                <w:b w:val="0"/>
                <w:bCs w:val="0"/>
                <w:color w:val="000000"/>
                <w:sz w:val="22"/>
                <w:szCs w:val="22"/>
              </w:rPr>
            </w:pPr>
            <w:r w:rsidRPr="00E27A05">
              <w:rPr>
                <w:rFonts w:ascii="Palatino Linotype" w:hAnsi="Palatino Linotype"/>
                <w:b w:val="0"/>
                <w:bCs w:val="0"/>
                <w:color w:val="000000"/>
                <w:sz w:val="22"/>
                <w:szCs w:val="22"/>
              </w:rPr>
              <w:t>Unrestricted</w:t>
            </w:r>
          </w:p>
        </w:tc>
        <w:tc>
          <w:tcPr>
            <w:tcW w:w="1710" w:type="dxa"/>
            <w:shd w:val="clear" w:color="auto" w:fill="FFFFFF" w:themeFill="background1"/>
            <w:noWrap/>
            <w:hideMark/>
          </w:tcPr>
          <w:p w14:paraId="581548B6" w14:textId="77777777" w:rsidR="0076358A" w:rsidRPr="00E27A05" w:rsidRDefault="0076358A" w:rsidP="002B6E34">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sz w:val="22"/>
                <w:szCs w:val="22"/>
              </w:rPr>
            </w:pPr>
            <w:r w:rsidRPr="00E27A05">
              <w:rPr>
                <w:rFonts w:ascii="Palatino Linotype" w:hAnsi="Palatino Linotype"/>
                <w:color w:val="000000"/>
                <w:sz w:val="22"/>
                <w:szCs w:val="22"/>
              </w:rPr>
              <w:t>480</w:t>
            </w:r>
          </w:p>
        </w:tc>
        <w:tc>
          <w:tcPr>
            <w:tcW w:w="1524" w:type="dxa"/>
            <w:shd w:val="clear" w:color="auto" w:fill="FFFFFF" w:themeFill="background1"/>
            <w:noWrap/>
            <w:hideMark/>
          </w:tcPr>
          <w:p w14:paraId="43935D63" w14:textId="77777777" w:rsidR="0076358A" w:rsidRPr="00E27A05" w:rsidRDefault="0076358A" w:rsidP="002B6E34">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sz w:val="22"/>
                <w:szCs w:val="22"/>
              </w:rPr>
            </w:pPr>
            <w:r w:rsidRPr="00E27A05">
              <w:rPr>
                <w:rFonts w:ascii="Palatino Linotype" w:hAnsi="Palatino Linotype"/>
                <w:color w:val="000000"/>
                <w:sz w:val="22"/>
                <w:szCs w:val="22"/>
              </w:rPr>
              <w:t>151</w:t>
            </w:r>
          </w:p>
        </w:tc>
        <w:tc>
          <w:tcPr>
            <w:tcW w:w="1800" w:type="dxa"/>
            <w:shd w:val="clear" w:color="auto" w:fill="FFFFFF" w:themeFill="background1"/>
            <w:noWrap/>
            <w:hideMark/>
          </w:tcPr>
          <w:p w14:paraId="07726EB1" w14:textId="77777777" w:rsidR="0076358A" w:rsidRPr="00E27A05" w:rsidRDefault="0076358A" w:rsidP="002B6E34">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sz w:val="22"/>
                <w:szCs w:val="22"/>
              </w:rPr>
            </w:pPr>
            <w:r w:rsidRPr="00E27A05">
              <w:rPr>
                <w:rFonts w:ascii="Palatino Linotype" w:hAnsi="Palatino Linotype"/>
                <w:color w:val="000000"/>
                <w:sz w:val="22"/>
                <w:szCs w:val="22"/>
              </w:rPr>
              <w:t>10</w:t>
            </w:r>
          </w:p>
        </w:tc>
        <w:tc>
          <w:tcPr>
            <w:tcW w:w="2076" w:type="dxa"/>
            <w:shd w:val="clear" w:color="auto" w:fill="FFFFFF" w:themeFill="background1"/>
            <w:noWrap/>
            <w:hideMark/>
          </w:tcPr>
          <w:p w14:paraId="4C0D39F7" w14:textId="77777777" w:rsidR="0076358A" w:rsidRPr="00E27A05" w:rsidRDefault="0076358A" w:rsidP="002B6E34">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sz w:val="22"/>
                <w:szCs w:val="22"/>
              </w:rPr>
            </w:pPr>
            <w:r w:rsidRPr="00E27A05">
              <w:rPr>
                <w:rFonts w:ascii="Palatino Linotype" w:hAnsi="Palatino Linotype"/>
                <w:color w:val="000000"/>
                <w:sz w:val="22"/>
                <w:szCs w:val="22"/>
              </w:rPr>
              <w:t>319</w:t>
            </w:r>
          </w:p>
        </w:tc>
      </w:tr>
      <w:tr w:rsidR="00032E00" w14:paraId="4B975F59" w14:textId="77777777" w:rsidTr="00032E00">
        <w:trPr>
          <w:trHeight w:val="255"/>
        </w:trPr>
        <w:tc>
          <w:tcPr>
            <w:cnfStyle w:val="001000000000" w:firstRow="0" w:lastRow="0" w:firstColumn="1" w:lastColumn="0" w:oddVBand="0" w:evenVBand="0" w:oddHBand="0" w:evenHBand="0" w:firstRowFirstColumn="0" w:firstRowLastColumn="0" w:lastRowFirstColumn="0" w:lastRowLastColumn="0"/>
            <w:tcW w:w="2515" w:type="dxa"/>
            <w:shd w:val="clear" w:color="auto" w:fill="FFFFFF" w:themeFill="background1"/>
            <w:noWrap/>
            <w:hideMark/>
          </w:tcPr>
          <w:p w14:paraId="66563C40" w14:textId="77777777" w:rsidR="0076358A" w:rsidRPr="00E27A05" w:rsidRDefault="0076358A" w:rsidP="002B6E34">
            <w:pPr>
              <w:rPr>
                <w:rFonts w:ascii="Palatino Linotype" w:hAnsi="Palatino Linotype"/>
                <w:b w:val="0"/>
                <w:bCs w:val="0"/>
                <w:color w:val="000000"/>
                <w:sz w:val="22"/>
                <w:szCs w:val="22"/>
              </w:rPr>
            </w:pPr>
            <w:r w:rsidRPr="00E27A05">
              <w:rPr>
                <w:rFonts w:ascii="Palatino Linotype" w:hAnsi="Palatino Linotype"/>
                <w:b w:val="0"/>
                <w:bCs w:val="0"/>
                <w:color w:val="000000"/>
                <w:sz w:val="22"/>
                <w:szCs w:val="22"/>
              </w:rPr>
              <w:t>Reserved for Environmental Justice</w:t>
            </w:r>
          </w:p>
        </w:tc>
        <w:tc>
          <w:tcPr>
            <w:tcW w:w="1710" w:type="dxa"/>
            <w:shd w:val="clear" w:color="auto" w:fill="FFFFFF" w:themeFill="background1"/>
            <w:noWrap/>
            <w:vAlign w:val="center"/>
            <w:hideMark/>
          </w:tcPr>
          <w:p w14:paraId="15523E11" w14:textId="77777777" w:rsidR="0076358A" w:rsidRPr="00E27A05" w:rsidRDefault="0076358A" w:rsidP="002B6E34">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sz w:val="22"/>
                <w:szCs w:val="22"/>
              </w:rPr>
            </w:pPr>
            <w:r w:rsidRPr="00E27A05">
              <w:rPr>
                <w:rFonts w:ascii="Palatino Linotype" w:hAnsi="Palatino Linotype"/>
                <w:color w:val="000000"/>
                <w:sz w:val="22"/>
                <w:szCs w:val="22"/>
              </w:rPr>
              <w:t>100</w:t>
            </w:r>
          </w:p>
        </w:tc>
        <w:tc>
          <w:tcPr>
            <w:tcW w:w="1524" w:type="dxa"/>
            <w:shd w:val="clear" w:color="auto" w:fill="FFFFFF" w:themeFill="background1"/>
            <w:noWrap/>
            <w:vAlign w:val="center"/>
            <w:hideMark/>
          </w:tcPr>
          <w:p w14:paraId="0F23CB59" w14:textId="77777777" w:rsidR="0076358A" w:rsidRPr="00E27A05" w:rsidRDefault="0076358A" w:rsidP="002B6E34">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sz w:val="22"/>
                <w:szCs w:val="22"/>
              </w:rPr>
            </w:pPr>
            <w:r w:rsidRPr="00E27A05">
              <w:rPr>
                <w:rFonts w:ascii="Palatino Linotype" w:hAnsi="Palatino Linotype"/>
                <w:color w:val="000000"/>
                <w:sz w:val="22"/>
                <w:szCs w:val="22"/>
              </w:rPr>
              <w:t>2</w:t>
            </w:r>
          </w:p>
        </w:tc>
        <w:tc>
          <w:tcPr>
            <w:tcW w:w="1800" w:type="dxa"/>
            <w:shd w:val="clear" w:color="auto" w:fill="FFFFFF" w:themeFill="background1"/>
            <w:noWrap/>
            <w:vAlign w:val="center"/>
            <w:hideMark/>
          </w:tcPr>
          <w:p w14:paraId="6B3CDF82" w14:textId="77777777" w:rsidR="0076358A" w:rsidRPr="00E27A05" w:rsidRDefault="0076358A" w:rsidP="002B6E34">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sz w:val="22"/>
                <w:szCs w:val="22"/>
              </w:rPr>
            </w:pPr>
            <w:r w:rsidRPr="00E27A05">
              <w:rPr>
                <w:rFonts w:ascii="Palatino Linotype" w:hAnsi="Palatino Linotype"/>
                <w:color w:val="000000"/>
                <w:sz w:val="22"/>
                <w:szCs w:val="22"/>
              </w:rPr>
              <w:t>0</w:t>
            </w:r>
          </w:p>
        </w:tc>
        <w:tc>
          <w:tcPr>
            <w:tcW w:w="2076" w:type="dxa"/>
            <w:shd w:val="clear" w:color="auto" w:fill="FFFFFF" w:themeFill="background1"/>
            <w:noWrap/>
            <w:vAlign w:val="center"/>
            <w:hideMark/>
          </w:tcPr>
          <w:p w14:paraId="195777B0" w14:textId="77777777" w:rsidR="0076358A" w:rsidRPr="00E27A05" w:rsidRDefault="0076358A" w:rsidP="002B6E34">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sz w:val="22"/>
                <w:szCs w:val="22"/>
              </w:rPr>
            </w:pPr>
            <w:r w:rsidRPr="00E27A05">
              <w:rPr>
                <w:rFonts w:ascii="Palatino Linotype" w:hAnsi="Palatino Linotype"/>
                <w:color w:val="000000"/>
                <w:sz w:val="22"/>
                <w:szCs w:val="22"/>
              </w:rPr>
              <w:t>98</w:t>
            </w:r>
          </w:p>
        </w:tc>
      </w:tr>
      <w:tr w:rsidR="00032E00" w14:paraId="5AB37381" w14:textId="77777777" w:rsidTr="00032E0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515" w:type="dxa"/>
            <w:shd w:val="clear" w:color="auto" w:fill="FFFFFF" w:themeFill="background1"/>
            <w:noWrap/>
            <w:hideMark/>
          </w:tcPr>
          <w:p w14:paraId="0931ACF5" w14:textId="77777777" w:rsidR="0076358A" w:rsidRPr="00E27A05" w:rsidRDefault="0076358A" w:rsidP="002B6E34">
            <w:pPr>
              <w:rPr>
                <w:rFonts w:ascii="Palatino Linotype" w:hAnsi="Palatino Linotype"/>
                <w:b w:val="0"/>
                <w:bCs w:val="0"/>
                <w:color w:val="000000"/>
                <w:sz w:val="22"/>
                <w:szCs w:val="22"/>
              </w:rPr>
            </w:pPr>
            <w:r w:rsidRPr="00E27A05">
              <w:rPr>
                <w:rFonts w:ascii="Palatino Linotype" w:hAnsi="Palatino Linotype"/>
                <w:b w:val="0"/>
                <w:bCs w:val="0"/>
                <w:color w:val="000000"/>
                <w:sz w:val="22"/>
                <w:szCs w:val="22"/>
              </w:rPr>
              <w:t>Totals</w:t>
            </w:r>
          </w:p>
        </w:tc>
        <w:tc>
          <w:tcPr>
            <w:tcW w:w="1710" w:type="dxa"/>
            <w:shd w:val="clear" w:color="auto" w:fill="FFFFFF" w:themeFill="background1"/>
            <w:noWrap/>
            <w:hideMark/>
          </w:tcPr>
          <w:p w14:paraId="51C4DB64" w14:textId="77777777" w:rsidR="0076358A" w:rsidRPr="00E27A05" w:rsidRDefault="0076358A" w:rsidP="002B6E34">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sz w:val="22"/>
                <w:szCs w:val="22"/>
              </w:rPr>
            </w:pPr>
            <w:r w:rsidRPr="00E27A05">
              <w:rPr>
                <w:rFonts w:ascii="Palatino Linotype" w:hAnsi="Palatino Linotype"/>
                <w:color w:val="000000"/>
                <w:sz w:val="22"/>
                <w:szCs w:val="22"/>
              </w:rPr>
              <w:t>600</w:t>
            </w:r>
          </w:p>
        </w:tc>
        <w:tc>
          <w:tcPr>
            <w:tcW w:w="1524" w:type="dxa"/>
            <w:shd w:val="clear" w:color="auto" w:fill="FFFFFF" w:themeFill="background1"/>
            <w:noWrap/>
            <w:hideMark/>
          </w:tcPr>
          <w:p w14:paraId="08216180" w14:textId="77777777" w:rsidR="0076358A" w:rsidRPr="00E27A05" w:rsidRDefault="0076358A" w:rsidP="002B6E34">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sz w:val="22"/>
                <w:szCs w:val="22"/>
              </w:rPr>
            </w:pPr>
            <w:r w:rsidRPr="00E27A05">
              <w:rPr>
                <w:rFonts w:ascii="Palatino Linotype" w:hAnsi="Palatino Linotype"/>
                <w:color w:val="000000"/>
                <w:sz w:val="22"/>
                <w:szCs w:val="22"/>
              </w:rPr>
              <w:t>153</w:t>
            </w:r>
          </w:p>
        </w:tc>
        <w:tc>
          <w:tcPr>
            <w:tcW w:w="1800" w:type="dxa"/>
            <w:shd w:val="clear" w:color="auto" w:fill="FFFFFF" w:themeFill="background1"/>
            <w:noWrap/>
            <w:hideMark/>
          </w:tcPr>
          <w:p w14:paraId="03A61AA2" w14:textId="77777777" w:rsidR="0076358A" w:rsidRPr="00E27A05" w:rsidRDefault="0076358A" w:rsidP="002B6E34">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sz w:val="22"/>
                <w:szCs w:val="22"/>
              </w:rPr>
            </w:pPr>
            <w:r w:rsidRPr="00E27A05">
              <w:rPr>
                <w:rFonts w:ascii="Palatino Linotype" w:hAnsi="Palatino Linotype"/>
                <w:color w:val="000000"/>
                <w:sz w:val="22"/>
                <w:szCs w:val="22"/>
              </w:rPr>
              <w:t>10</w:t>
            </w:r>
          </w:p>
        </w:tc>
        <w:tc>
          <w:tcPr>
            <w:tcW w:w="2076" w:type="dxa"/>
            <w:shd w:val="clear" w:color="auto" w:fill="FFFFFF" w:themeFill="background1"/>
            <w:noWrap/>
            <w:hideMark/>
          </w:tcPr>
          <w:p w14:paraId="165875FF" w14:textId="77777777" w:rsidR="0076358A" w:rsidRPr="00E27A05" w:rsidRDefault="0076358A" w:rsidP="002B6E34">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sz w:val="22"/>
                <w:szCs w:val="22"/>
              </w:rPr>
            </w:pPr>
            <w:r w:rsidRPr="00E27A05">
              <w:rPr>
                <w:rFonts w:ascii="Palatino Linotype" w:hAnsi="Palatino Linotype"/>
                <w:color w:val="000000"/>
                <w:sz w:val="22"/>
                <w:szCs w:val="22"/>
              </w:rPr>
              <w:t>437</w:t>
            </w:r>
          </w:p>
        </w:tc>
      </w:tr>
      <w:tr w:rsidR="00032E00" w14:paraId="69851F86" w14:textId="77777777" w:rsidTr="00032E00">
        <w:trPr>
          <w:trHeight w:val="255"/>
        </w:trPr>
        <w:tc>
          <w:tcPr>
            <w:cnfStyle w:val="001000000000" w:firstRow="0" w:lastRow="0" w:firstColumn="1" w:lastColumn="0" w:oddVBand="0" w:evenVBand="0" w:oddHBand="0" w:evenHBand="0" w:firstRowFirstColumn="0" w:firstRowLastColumn="0" w:lastRowFirstColumn="0" w:lastRowLastColumn="0"/>
            <w:tcW w:w="2515" w:type="dxa"/>
            <w:shd w:val="clear" w:color="auto" w:fill="FFFFFF" w:themeFill="background1"/>
            <w:noWrap/>
            <w:hideMark/>
          </w:tcPr>
          <w:p w14:paraId="3162FAB9" w14:textId="77777777" w:rsidR="0076358A" w:rsidRPr="00E27A05" w:rsidRDefault="0076358A" w:rsidP="002B6E34">
            <w:pPr>
              <w:ind w:firstLineChars="100" w:firstLine="220"/>
              <w:jc w:val="right"/>
              <w:rPr>
                <w:rFonts w:ascii="Palatino Linotype" w:hAnsi="Palatino Linotype"/>
                <w:b w:val="0"/>
                <w:bCs w:val="0"/>
                <w:color w:val="000000"/>
                <w:sz w:val="22"/>
                <w:szCs w:val="22"/>
              </w:rPr>
            </w:pPr>
            <w:r w:rsidRPr="00E27A05">
              <w:rPr>
                <w:rFonts w:ascii="Palatino Linotype" w:hAnsi="Palatino Linotype"/>
                <w:b w:val="0"/>
                <w:bCs w:val="0"/>
                <w:color w:val="000000"/>
                <w:sz w:val="22"/>
                <w:szCs w:val="22"/>
              </w:rPr>
              <w:t>Percentage</w:t>
            </w:r>
          </w:p>
        </w:tc>
        <w:tc>
          <w:tcPr>
            <w:tcW w:w="1710" w:type="dxa"/>
            <w:shd w:val="clear" w:color="auto" w:fill="FFFFFF" w:themeFill="background1"/>
            <w:noWrap/>
            <w:hideMark/>
          </w:tcPr>
          <w:p w14:paraId="3D396366" w14:textId="77777777" w:rsidR="0076358A" w:rsidRPr="00E27A05" w:rsidRDefault="0076358A" w:rsidP="002B6E34">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sz w:val="22"/>
                <w:szCs w:val="22"/>
              </w:rPr>
            </w:pPr>
            <w:r w:rsidRPr="00E27A05">
              <w:rPr>
                <w:rFonts w:ascii="Palatino Linotype" w:hAnsi="Palatino Linotype"/>
                <w:color w:val="000000"/>
                <w:sz w:val="22"/>
                <w:szCs w:val="22"/>
              </w:rPr>
              <w:t> </w:t>
            </w:r>
          </w:p>
        </w:tc>
        <w:tc>
          <w:tcPr>
            <w:tcW w:w="1524" w:type="dxa"/>
            <w:shd w:val="clear" w:color="auto" w:fill="FFFFFF" w:themeFill="background1"/>
            <w:noWrap/>
            <w:hideMark/>
          </w:tcPr>
          <w:p w14:paraId="5DA711E0" w14:textId="77777777" w:rsidR="0076358A" w:rsidRPr="00E27A05" w:rsidRDefault="0076358A" w:rsidP="002B6E34">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sz w:val="22"/>
                <w:szCs w:val="22"/>
              </w:rPr>
            </w:pPr>
            <w:r w:rsidRPr="00E27A05">
              <w:rPr>
                <w:rFonts w:ascii="Palatino Linotype" w:hAnsi="Palatino Linotype"/>
                <w:color w:val="000000"/>
                <w:sz w:val="22"/>
                <w:szCs w:val="22"/>
              </w:rPr>
              <w:t> </w:t>
            </w:r>
          </w:p>
        </w:tc>
        <w:tc>
          <w:tcPr>
            <w:tcW w:w="1800" w:type="dxa"/>
            <w:shd w:val="clear" w:color="auto" w:fill="FFFFFF" w:themeFill="background1"/>
            <w:noWrap/>
            <w:hideMark/>
          </w:tcPr>
          <w:p w14:paraId="6D65A5B3" w14:textId="77777777" w:rsidR="0076358A" w:rsidRPr="00E27A05" w:rsidRDefault="0076358A" w:rsidP="002B6E34">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sz w:val="22"/>
                <w:szCs w:val="22"/>
              </w:rPr>
            </w:pPr>
            <w:r w:rsidRPr="00E27A05">
              <w:rPr>
                <w:rFonts w:ascii="Palatino Linotype" w:hAnsi="Palatino Linotype"/>
                <w:color w:val="000000"/>
                <w:sz w:val="22"/>
                <w:szCs w:val="22"/>
              </w:rPr>
              <w:t> </w:t>
            </w:r>
          </w:p>
        </w:tc>
        <w:tc>
          <w:tcPr>
            <w:tcW w:w="2076" w:type="dxa"/>
            <w:shd w:val="clear" w:color="auto" w:fill="FFFFFF" w:themeFill="background1"/>
            <w:noWrap/>
            <w:vAlign w:val="center"/>
            <w:hideMark/>
          </w:tcPr>
          <w:p w14:paraId="6F92B05F" w14:textId="77777777" w:rsidR="0076358A" w:rsidRPr="00E27A05" w:rsidRDefault="0076358A" w:rsidP="002B6E34">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sz w:val="22"/>
                <w:szCs w:val="22"/>
              </w:rPr>
            </w:pPr>
            <w:r w:rsidRPr="00E27A05">
              <w:rPr>
                <w:rFonts w:ascii="Palatino Linotype" w:hAnsi="Palatino Linotype"/>
                <w:color w:val="000000"/>
                <w:sz w:val="22"/>
                <w:szCs w:val="22"/>
              </w:rPr>
              <w:t>73%</w:t>
            </w:r>
          </w:p>
        </w:tc>
      </w:tr>
    </w:tbl>
    <w:p w14:paraId="331750FD" w14:textId="77777777" w:rsidR="0076358A" w:rsidRPr="002C125A" w:rsidRDefault="0076358A" w:rsidP="002C125A">
      <w:pPr>
        <w:pStyle w:val="DecisionText"/>
        <w:tabs>
          <w:tab w:val="left" w:pos="3375"/>
        </w:tabs>
        <w:spacing w:before="0" w:line="240" w:lineRule="auto"/>
        <w:rPr>
          <w:rFonts w:ascii="Palatino Linotype" w:hAnsi="Palatino Linotype"/>
          <w:sz w:val="4"/>
          <w:szCs w:val="4"/>
          <w:lang w:val="en-US"/>
        </w:rPr>
      </w:pPr>
      <w:r w:rsidRPr="00E27A05">
        <w:rPr>
          <w:rFonts w:ascii="Palatino Linotype" w:hAnsi="Palatino Linotype"/>
        </w:rPr>
        <w:fldChar w:fldCharType="end"/>
      </w:r>
      <w:r w:rsidRPr="00E27A05">
        <w:rPr>
          <w:rFonts w:ascii="Palatino Linotype" w:hAnsi="Palatino Linotype"/>
          <w:lang w:val="en-US"/>
        </w:rPr>
        <w:fldChar w:fldCharType="begin"/>
      </w:r>
      <w:r w:rsidRPr="00E27A05">
        <w:rPr>
          <w:rFonts w:ascii="Palatino Linotype" w:hAnsi="Palatino Linotype"/>
          <w:lang w:val="en-US"/>
        </w:rPr>
        <w:instrText xml:space="preserve"> LINK </w:instrText>
      </w:r>
      <w:r w:rsidR="005662BB">
        <w:rPr>
          <w:rFonts w:ascii="Palatino Linotype" w:hAnsi="Palatino Linotype"/>
          <w:lang w:val="en-US"/>
        </w:rPr>
        <w:instrText xml:space="preserve">Excel.Sheet.12 "D:\\cyc\\My Documents\\GTSR\\GTSR_Website\\2019-05_GTSR_Stats.xlsx" "Table 1!R10C7:R18C19" </w:instrText>
      </w:r>
      <w:r w:rsidRPr="00E27A05">
        <w:rPr>
          <w:rFonts w:ascii="Palatino Linotype" w:hAnsi="Palatino Linotype"/>
          <w:lang w:val="en-US"/>
        </w:rPr>
        <w:instrText xml:space="preserve">\a \f 4 \h  \* MERGEFORMAT </w:instrText>
      </w:r>
      <w:r w:rsidRPr="00E27A05">
        <w:rPr>
          <w:rFonts w:ascii="Palatino Linotype" w:hAnsi="Palatino Linotype"/>
          <w:lang w:val="en-US"/>
        </w:rPr>
        <w:fldChar w:fldCharType="separate"/>
      </w:r>
      <w:r w:rsidR="002C125A">
        <w:rPr>
          <w:rFonts w:ascii="Palatino Linotype" w:hAnsi="Palatino Linotype"/>
          <w:lang w:val="en-US"/>
        </w:rPr>
        <w:tab/>
      </w:r>
    </w:p>
    <w:p w14:paraId="208AD6AC" w14:textId="77777777" w:rsidR="0076358A" w:rsidRPr="002C125A" w:rsidRDefault="002C125A" w:rsidP="002C125A">
      <w:pPr>
        <w:tabs>
          <w:tab w:val="left" w:pos="1290"/>
        </w:tabs>
        <w:rPr>
          <w:rFonts w:ascii="Palatino Linotype" w:hAnsi="Palatino Linotype"/>
          <w:b/>
          <w:bCs/>
          <w:sz w:val="4"/>
          <w:szCs w:val="4"/>
        </w:rPr>
      </w:pPr>
      <w:r w:rsidRPr="002C125A">
        <w:rPr>
          <w:rFonts w:ascii="Palatino Linotype" w:hAnsi="Palatino Linotype"/>
          <w:b/>
          <w:bCs/>
          <w:sz w:val="4"/>
          <w:szCs w:val="4"/>
        </w:rPr>
        <w:tab/>
      </w:r>
    </w:p>
    <w:p w14:paraId="095A5962" w14:textId="7CBD8E61" w:rsidR="0076358A" w:rsidRPr="00E27A05" w:rsidRDefault="0076358A" w:rsidP="0076358A">
      <w:pPr>
        <w:jc w:val="center"/>
        <w:rPr>
          <w:rFonts w:ascii="Palatino Linotype" w:hAnsi="Palatino Linotype"/>
          <w:bCs/>
        </w:rPr>
      </w:pPr>
      <w:r w:rsidRPr="00E27A05">
        <w:rPr>
          <w:rFonts w:ascii="Palatino Linotype" w:hAnsi="Palatino Linotype"/>
          <w:b/>
          <w:bCs/>
          <w:szCs w:val="26"/>
        </w:rPr>
        <w:t>Table</w:t>
      </w:r>
      <w:r w:rsidRPr="00E27A05">
        <w:rPr>
          <w:rFonts w:ascii="Palatino Linotype" w:hAnsi="Palatino Linotype"/>
          <w:b/>
          <w:bCs/>
        </w:rPr>
        <w:t xml:space="preserve"> </w:t>
      </w:r>
      <w:r w:rsidRPr="00E27A05">
        <w:rPr>
          <w:rFonts w:ascii="Palatino Linotype" w:hAnsi="Palatino Linotype"/>
          <w:b/>
          <w:bCs/>
        </w:rPr>
        <w:fldChar w:fldCharType="begin"/>
      </w:r>
      <w:r w:rsidRPr="00E27A05">
        <w:rPr>
          <w:rFonts w:ascii="Palatino Linotype" w:hAnsi="Palatino Linotype"/>
          <w:b/>
          <w:bCs/>
        </w:rPr>
        <w:instrText xml:space="preserve"> SEQ Table \* ARABIC </w:instrText>
      </w:r>
      <w:r w:rsidRPr="00E27A05">
        <w:rPr>
          <w:rFonts w:ascii="Palatino Linotype" w:hAnsi="Palatino Linotype"/>
          <w:b/>
          <w:bCs/>
        </w:rPr>
        <w:fldChar w:fldCharType="separate"/>
      </w:r>
      <w:r w:rsidR="006667DA">
        <w:rPr>
          <w:rFonts w:ascii="Palatino Linotype" w:hAnsi="Palatino Linotype"/>
          <w:b/>
          <w:bCs/>
          <w:noProof/>
        </w:rPr>
        <w:t>2</w:t>
      </w:r>
      <w:r w:rsidRPr="00E27A05">
        <w:rPr>
          <w:rFonts w:ascii="Palatino Linotype" w:hAnsi="Palatino Linotype"/>
          <w:b/>
          <w:bCs/>
          <w:noProof/>
        </w:rPr>
        <w:fldChar w:fldCharType="end"/>
      </w:r>
      <w:r w:rsidRPr="00E27A05">
        <w:rPr>
          <w:rFonts w:ascii="Palatino Linotype" w:hAnsi="Palatino Linotype"/>
          <w:b/>
          <w:bCs/>
        </w:rPr>
        <w:t>: Procured Solar Capacity by IOU</w:t>
      </w:r>
    </w:p>
    <w:p w14:paraId="6A23B05C" w14:textId="77777777" w:rsidR="0076358A" w:rsidRPr="00E27A05" w:rsidRDefault="0076358A" w:rsidP="0076358A">
      <w:pPr>
        <w:pStyle w:val="DecisionText"/>
        <w:spacing w:before="0" w:line="240" w:lineRule="auto"/>
        <w:rPr>
          <w:rFonts w:ascii="Palatino Linotype" w:hAnsi="Palatino Linotype"/>
          <w:sz w:val="2"/>
          <w:szCs w:val="2"/>
          <w:lang w:val="en-US"/>
        </w:rPr>
      </w:pPr>
      <w:r w:rsidRPr="00E27A05">
        <w:rPr>
          <w:rFonts w:ascii="Palatino Linotype" w:hAnsi="Palatino Linotype"/>
        </w:rPr>
        <w:fldChar w:fldCharType="end"/>
      </w:r>
      <w:r w:rsidRPr="00E27A05">
        <w:rPr>
          <w:rFonts w:ascii="Palatino Linotype" w:hAnsi="Palatino Linotype"/>
        </w:rPr>
        <w:fldChar w:fldCharType="begin"/>
      </w:r>
      <w:r w:rsidRPr="00E27A05">
        <w:rPr>
          <w:rFonts w:ascii="Palatino Linotype" w:hAnsi="Palatino Linotype"/>
        </w:rPr>
        <w:instrText xml:space="preserve"> LINK </w:instrText>
      </w:r>
      <w:r w:rsidR="005662BB">
        <w:rPr>
          <w:rFonts w:ascii="Palatino Linotype" w:hAnsi="Palatino Linotype"/>
        </w:rPr>
        <w:instrText xml:space="preserve">Excel.Sheet.12 "D:\\cyc\\My Documents\\GTSR\\GTSR_Website\\Copy of 2019-05a_GTSR_Stats.xlsx" "Table 1!R10C7:R18C19" </w:instrText>
      </w:r>
      <w:r w:rsidRPr="00E27A05">
        <w:rPr>
          <w:rFonts w:ascii="Palatino Linotype" w:hAnsi="Palatino Linotype"/>
        </w:rPr>
        <w:instrText xml:space="preserve">\a \f 4 \h  \* MERGEFORMAT </w:instrText>
      </w:r>
      <w:r w:rsidRPr="00E27A05">
        <w:rPr>
          <w:rFonts w:ascii="Palatino Linotype" w:hAnsi="Palatino Linotype"/>
        </w:rPr>
        <w:fldChar w:fldCharType="separate"/>
      </w:r>
    </w:p>
    <w:tbl>
      <w:tblPr>
        <w:tblStyle w:val="GridTable41"/>
        <w:tblW w:w="10056" w:type="dxa"/>
        <w:tblLook w:val="04A0" w:firstRow="1" w:lastRow="0" w:firstColumn="1" w:lastColumn="0" w:noHBand="0" w:noVBand="1"/>
      </w:tblPr>
      <w:tblGrid>
        <w:gridCol w:w="1567"/>
        <w:gridCol w:w="842"/>
        <w:gridCol w:w="585"/>
        <w:gridCol w:w="714"/>
        <w:gridCol w:w="728"/>
        <w:gridCol w:w="842"/>
        <w:gridCol w:w="585"/>
        <w:gridCol w:w="714"/>
        <w:gridCol w:w="728"/>
        <w:gridCol w:w="724"/>
        <w:gridCol w:w="585"/>
        <w:gridCol w:w="714"/>
        <w:gridCol w:w="728"/>
      </w:tblGrid>
      <w:tr w:rsidR="00032E00" w14:paraId="489BF7F0" w14:textId="77777777" w:rsidTr="00032E0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tcBorders>
              <w:right w:val="single" w:sz="4" w:space="0" w:color="FFFFFF" w:themeColor="background1"/>
            </w:tcBorders>
            <w:noWrap/>
            <w:hideMark/>
          </w:tcPr>
          <w:p w14:paraId="76319641" w14:textId="77777777" w:rsidR="0076358A" w:rsidRPr="00E27A05" w:rsidRDefault="0076358A" w:rsidP="002B6E34">
            <w:pPr>
              <w:rPr>
                <w:rFonts w:ascii="Palatino Linotype" w:hAnsi="Palatino Linotype"/>
                <w:sz w:val="22"/>
                <w:szCs w:val="22"/>
              </w:rPr>
            </w:pPr>
            <w:r w:rsidRPr="00E27A05">
              <w:rPr>
                <w:rFonts w:ascii="Palatino Linotype" w:hAnsi="Palatino Linotype"/>
                <w:sz w:val="22"/>
                <w:szCs w:val="22"/>
              </w:rPr>
              <w:t> </w:t>
            </w:r>
          </w:p>
        </w:tc>
        <w:tc>
          <w:tcPr>
            <w:tcW w:w="0" w:type="dxa"/>
            <w:gridSpan w:val="4"/>
            <w:tcBorders>
              <w:left w:val="single" w:sz="4" w:space="0" w:color="FFFFFF" w:themeColor="background1"/>
              <w:right w:val="single" w:sz="4" w:space="0" w:color="FFFFFF" w:themeColor="background1"/>
            </w:tcBorders>
            <w:noWrap/>
            <w:hideMark/>
          </w:tcPr>
          <w:p w14:paraId="675E3DD6" w14:textId="77777777" w:rsidR="0076358A" w:rsidRPr="00961E9E" w:rsidRDefault="0076358A" w:rsidP="002B6E34">
            <w:pPr>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sz w:val="22"/>
                <w:szCs w:val="22"/>
              </w:rPr>
            </w:pPr>
            <w:r w:rsidRPr="00961E9E">
              <w:rPr>
                <w:rFonts w:ascii="Palatino Linotype" w:hAnsi="Palatino Linotype"/>
                <w:color w:val="auto"/>
                <w:sz w:val="22"/>
                <w:szCs w:val="22"/>
              </w:rPr>
              <w:t>PG&amp;E</w:t>
            </w:r>
          </w:p>
        </w:tc>
        <w:tc>
          <w:tcPr>
            <w:tcW w:w="0" w:type="dxa"/>
            <w:gridSpan w:val="4"/>
            <w:tcBorders>
              <w:left w:val="single" w:sz="4" w:space="0" w:color="FFFFFF" w:themeColor="background1"/>
              <w:right w:val="single" w:sz="4" w:space="0" w:color="FFFFFF" w:themeColor="background1"/>
            </w:tcBorders>
            <w:noWrap/>
            <w:hideMark/>
          </w:tcPr>
          <w:p w14:paraId="25772F42" w14:textId="77777777" w:rsidR="0076358A" w:rsidRPr="00961E9E" w:rsidRDefault="006B2B67" w:rsidP="00961E9E">
            <w:pPr>
              <w:tabs>
                <w:tab w:val="left" w:pos="870"/>
                <w:tab w:val="center" w:pos="1326"/>
              </w:tabs>
              <w:cnfStyle w:val="100000000000" w:firstRow="1" w:lastRow="0" w:firstColumn="0" w:lastColumn="0" w:oddVBand="0" w:evenVBand="0" w:oddHBand="0" w:evenHBand="0" w:firstRowFirstColumn="0" w:firstRowLastColumn="0" w:lastRowFirstColumn="0" w:lastRowLastColumn="0"/>
              <w:rPr>
                <w:rFonts w:ascii="Palatino Linotype" w:hAnsi="Palatino Linotype"/>
                <w:sz w:val="22"/>
                <w:szCs w:val="22"/>
              </w:rPr>
            </w:pPr>
            <w:r w:rsidRPr="00961E9E">
              <w:rPr>
                <w:rFonts w:ascii="Palatino Linotype" w:hAnsi="Palatino Linotype"/>
                <w:color w:val="auto"/>
                <w:sz w:val="22"/>
                <w:szCs w:val="22"/>
              </w:rPr>
              <w:tab/>
            </w:r>
            <w:r w:rsidRPr="00961E9E">
              <w:rPr>
                <w:rFonts w:ascii="Palatino Linotype" w:hAnsi="Palatino Linotype"/>
                <w:color w:val="auto"/>
                <w:sz w:val="22"/>
                <w:szCs w:val="22"/>
              </w:rPr>
              <w:tab/>
            </w:r>
            <w:r w:rsidR="0076358A" w:rsidRPr="00961E9E">
              <w:rPr>
                <w:rFonts w:ascii="Palatino Linotype" w:hAnsi="Palatino Linotype"/>
                <w:color w:val="auto"/>
                <w:sz w:val="22"/>
                <w:szCs w:val="22"/>
              </w:rPr>
              <w:t>SCE</w:t>
            </w:r>
          </w:p>
        </w:tc>
        <w:tc>
          <w:tcPr>
            <w:tcW w:w="0" w:type="dxa"/>
            <w:gridSpan w:val="4"/>
            <w:tcBorders>
              <w:left w:val="single" w:sz="4" w:space="0" w:color="FFFFFF" w:themeColor="background1"/>
            </w:tcBorders>
            <w:noWrap/>
            <w:hideMark/>
          </w:tcPr>
          <w:p w14:paraId="685CBBC2" w14:textId="77777777" w:rsidR="0076358A" w:rsidRPr="00961E9E" w:rsidRDefault="0076358A" w:rsidP="002B6E34">
            <w:pPr>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sz w:val="22"/>
                <w:szCs w:val="22"/>
              </w:rPr>
            </w:pPr>
            <w:r w:rsidRPr="00961E9E">
              <w:rPr>
                <w:rFonts w:ascii="Palatino Linotype" w:hAnsi="Palatino Linotype"/>
                <w:color w:val="auto"/>
                <w:sz w:val="22"/>
                <w:szCs w:val="22"/>
              </w:rPr>
              <w:t>SDG&amp;E</w:t>
            </w:r>
          </w:p>
        </w:tc>
      </w:tr>
      <w:tr w:rsidR="00032E00" w14:paraId="0240436B" w14:textId="77777777" w:rsidTr="00032E0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dxa"/>
            <w:hideMark/>
          </w:tcPr>
          <w:p w14:paraId="228392B2" w14:textId="77777777" w:rsidR="0076358A" w:rsidRPr="00E27A05" w:rsidRDefault="0076358A" w:rsidP="002B6E34">
            <w:pPr>
              <w:rPr>
                <w:rFonts w:ascii="Palatino Linotype" w:hAnsi="Palatino Linotype"/>
                <w:color w:val="000000"/>
                <w:sz w:val="22"/>
                <w:szCs w:val="22"/>
              </w:rPr>
            </w:pPr>
            <w:r w:rsidRPr="00E27A05">
              <w:rPr>
                <w:rFonts w:ascii="Palatino Linotype" w:hAnsi="Palatino Linotype"/>
                <w:color w:val="000000"/>
                <w:sz w:val="22"/>
                <w:szCs w:val="22"/>
              </w:rPr>
              <w:t>Category</w:t>
            </w:r>
          </w:p>
        </w:tc>
        <w:tc>
          <w:tcPr>
            <w:tcW w:w="0" w:type="dxa"/>
            <w:hideMark/>
          </w:tcPr>
          <w:p w14:paraId="2C9F8EB5" w14:textId="77777777" w:rsidR="0076358A" w:rsidRPr="00E27A05" w:rsidRDefault="0076358A" w:rsidP="002B6E34">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bCs/>
                <w:color w:val="000000" w:themeColor="text1"/>
                <w:sz w:val="22"/>
                <w:szCs w:val="22"/>
              </w:rPr>
            </w:pPr>
            <w:r w:rsidRPr="00E27A05">
              <w:rPr>
                <w:rFonts w:ascii="Palatino Linotype" w:hAnsi="Palatino Linotype"/>
                <w:b/>
                <w:bCs/>
                <w:color w:val="000000" w:themeColor="text1"/>
                <w:sz w:val="22"/>
                <w:szCs w:val="22"/>
              </w:rPr>
              <w:t>Cap</w:t>
            </w:r>
          </w:p>
        </w:tc>
        <w:tc>
          <w:tcPr>
            <w:tcW w:w="0" w:type="dxa"/>
            <w:hideMark/>
          </w:tcPr>
          <w:p w14:paraId="003279A5" w14:textId="77777777" w:rsidR="0076358A" w:rsidRPr="00E27A05" w:rsidRDefault="0076358A" w:rsidP="002B6E34">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bCs/>
                <w:color w:val="000000" w:themeColor="text1"/>
                <w:sz w:val="22"/>
                <w:szCs w:val="22"/>
              </w:rPr>
            </w:pPr>
            <w:r w:rsidRPr="00E27A05">
              <w:rPr>
                <w:rFonts w:ascii="Palatino Linotype" w:hAnsi="Palatino Linotype"/>
                <w:b/>
                <w:bCs/>
                <w:color w:val="000000" w:themeColor="text1"/>
                <w:sz w:val="22"/>
                <w:szCs w:val="22"/>
              </w:rPr>
              <w:t>GT</w:t>
            </w:r>
          </w:p>
        </w:tc>
        <w:tc>
          <w:tcPr>
            <w:tcW w:w="0" w:type="dxa"/>
            <w:hideMark/>
          </w:tcPr>
          <w:p w14:paraId="2B7151C9" w14:textId="77777777" w:rsidR="0076358A" w:rsidRPr="00E27A05" w:rsidRDefault="0076358A" w:rsidP="002B6E34">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bCs/>
                <w:color w:val="000000" w:themeColor="text1"/>
                <w:sz w:val="22"/>
                <w:szCs w:val="22"/>
              </w:rPr>
            </w:pPr>
            <w:r w:rsidRPr="00E27A05">
              <w:rPr>
                <w:rFonts w:ascii="Palatino Linotype" w:hAnsi="Palatino Linotype"/>
                <w:b/>
                <w:bCs/>
                <w:color w:val="000000" w:themeColor="text1"/>
                <w:sz w:val="22"/>
                <w:szCs w:val="22"/>
              </w:rPr>
              <w:t>ECR</w:t>
            </w:r>
          </w:p>
        </w:tc>
        <w:tc>
          <w:tcPr>
            <w:tcW w:w="0" w:type="dxa"/>
            <w:hideMark/>
          </w:tcPr>
          <w:p w14:paraId="355B5141" w14:textId="77777777" w:rsidR="0076358A" w:rsidRPr="00E27A05" w:rsidRDefault="0076358A" w:rsidP="002B6E34">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bCs/>
                <w:color w:val="000000" w:themeColor="text1"/>
                <w:sz w:val="22"/>
                <w:szCs w:val="22"/>
              </w:rPr>
            </w:pPr>
            <w:r w:rsidRPr="00E27A05">
              <w:rPr>
                <w:rFonts w:ascii="Palatino Linotype" w:hAnsi="Palatino Linotype"/>
                <w:b/>
                <w:bCs/>
                <w:color w:val="000000" w:themeColor="text1"/>
                <w:sz w:val="22"/>
                <w:szCs w:val="22"/>
              </w:rPr>
              <w:t>Rem</w:t>
            </w:r>
          </w:p>
        </w:tc>
        <w:tc>
          <w:tcPr>
            <w:tcW w:w="0" w:type="dxa"/>
            <w:hideMark/>
          </w:tcPr>
          <w:p w14:paraId="0B490C8C" w14:textId="77777777" w:rsidR="0076358A" w:rsidRPr="00E27A05" w:rsidRDefault="0076358A" w:rsidP="002B6E34">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bCs/>
                <w:color w:val="000000" w:themeColor="text1"/>
                <w:sz w:val="22"/>
                <w:szCs w:val="22"/>
              </w:rPr>
            </w:pPr>
            <w:r w:rsidRPr="00E27A05">
              <w:rPr>
                <w:rFonts w:ascii="Palatino Linotype" w:hAnsi="Palatino Linotype"/>
                <w:b/>
                <w:bCs/>
                <w:color w:val="000000" w:themeColor="text1"/>
                <w:sz w:val="22"/>
                <w:szCs w:val="22"/>
              </w:rPr>
              <w:t>Cap</w:t>
            </w:r>
          </w:p>
        </w:tc>
        <w:tc>
          <w:tcPr>
            <w:tcW w:w="0" w:type="dxa"/>
            <w:hideMark/>
          </w:tcPr>
          <w:p w14:paraId="0C7319D9" w14:textId="77777777" w:rsidR="0076358A" w:rsidRPr="00E27A05" w:rsidRDefault="0076358A" w:rsidP="002B6E34">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bCs/>
                <w:color w:val="000000" w:themeColor="text1"/>
                <w:sz w:val="22"/>
                <w:szCs w:val="22"/>
              </w:rPr>
            </w:pPr>
            <w:r w:rsidRPr="00E27A05">
              <w:rPr>
                <w:rFonts w:ascii="Palatino Linotype" w:hAnsi="Palatino Linotype"/>
                <w:b/>
                <w:bCs/>
                <w:color w:val="000000" w:themeColor="text1"/>
                <w:sz w:val="22"/>
                <w:szCs w:val="22"/>
              </w:rPr>
              <w:t>GT</w:t>
            </w:r>
          </w:p>
        </w:tc>
        <w:tc>
          <w:tcPr>
            <w:tcW w:w="0" w:type="dxa"/>
            <w:hideMark/>
          </w:tcPr>
          <w:p w14:paraId="36B35C25" w14:textId="77777777" w:rsidR="0076358A" w:rsidRPr="00E27A05" w:rsidRDefault="0076358A" w:rsidP="002B6E34">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bCs/>
                <w:color w:val="000000" w:themeColor="text1"/>
                <w:sz w:val="22"/>
                <w:szCs w:val="22"/>
              </w:rPr>
            </w:pPr>
            <w:r w:rsidRPr="00E27A05">
              <w:rPr>
                <w:rFonts w:ascii="Palatino Linotype" w:hAnsi="Palatino Linotype"/>
                <w:b/>
                <w:bCs/>
                <w:color w:val="000000" w:themeColor="text1"/>
                <w:sz w:val="22"/>
                <w:szCs w:val="22"/>
              </w:rPr>
              <w:t>ECR</w:t>
            </w:r>
          </w:p>
        </w:tc>
        <w:tc>
          <w:tcPr>
            <w:tcW w:w="0" w:type="dxa"/>
            <w:hideMark/>
          </w:tcPr>
          <w:p w14:paraId="19E2C7C4" w14:textId="77777777" w:rsidR="0076358A" w:rsidRPr="00E27A05" w:rsidRDefault="0076358A" w:rsidP="002B6E34">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bCs/>
                <w:color w:val="000000" w:themeColor="text1"/>
                <w:sz w:val="22"/>
                <w:szCs w:val="22"/>
              </w:rPr>
            </w:pPr>
            <w:r w:rsidRPr="00E27A05">
              <w:rPr>
                <w:rFonts w:ascii="Palatino Linotype" w:hAnsi="Palatino Linotype"/>
                <w:b/>
                <w:bCs/>
                <w:color w:val="000000" w:themeColor="text1"/>
                <w:sz w:val="22"/>
                <w:szCs w:val="22"/>
              </w:rPr>
              <w:t>Rem</w:t>
            </w:r>
          </w:p>
        </w:tc>
        <w:tc>
          <w:tcPr>
            <w:tcW w:w="0" w:type="dxa"/>
            <w:hideMark/>
          </w:tcPr>
          <w:p w14:paraId="2C167941" w14:textId="77777777" w:rsidR="0076358A" w:rsidRPr="00E27A05" w:rsidRDefault="0076358A" w:rsidP="002B6E34">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bCs/>
                <w:color w:val="000000" w:themeColor="text1"/>
                <w:sz w:val="22"/>
                <w:szCs w:val="22"/>
              </w:rPr>
            </w:pPr>
            <w:r w:rsidRPr="00E27A05">
              <w:rPr>
                <w:rFonts w:ascii="Palatino Linotype" w:hAnsi="Palatino Linotype"/>
                <w:b/>
                <w:bCs/>
                <w:color w:val="000000" w:themeColor="text1"/>
                <w:sz w:val="22"/>
                <w:szCs w:val="22"/>
              </w:rPr>
              <w:t>Cap</w:t>
            </w:r>
          </w:p>
        </w:tc>
        <w:tc>
          <w:tcPr>
            <w:tcW w:w="0" w:type="dxa"/>
            <w:hideMark/>
          </w:tcPr>
          <w:p w14:paraId="75367E4A" w14:textId="77777777" w:rsidR="0076358A" w:rsidRPr="00E27A05" w:rsidRDefault="0076358A" w:rsidP="002B6E34">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bCs/>
                <w:color w:val="000000" w:themeColor="text1"/>
                <w:sz w:val="22"/>
                <w:szCs w:val="22"/>
              </w:rPr>
            </w:pPr>
            <w:r w:rsidRPr="00E27A05">
              <w:rPr>
                <w:rFonts w:ascii="Palatino Linotype" w:hAnsi="Palatino Linotype"/>
                <w:b/>
                <w:bCs/>
                <w:color w:val="000000" w:themeColor="text1"/>
                <w:sz w:val="22"/>
                <w:szCs w:val="22"/>
              </w:rPr>
              <w:t>GT</w:t>
            </w:r>
          </w:p>
        </w:tc>
        <w:tc>
          <w:tcPr>
            <w:tcW w:w="0" w:type="dxa"/>
            <w:hideMark/>
          </w:tcPr>
          <w:p w14:paraId="4697C841" w14:textId="77777777" w:rsidR="0076358A" w:rsidRPr="00E27A05" w:rsidRDefault="0076358A" w:rsidP="002B6E34">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bCs/>
                <w:color w:val="000000" w:themeColor="text1"/>
                <w:sz w:val="22"/>
                <w:szCs w:val="22"/>
              </w:rPr>
            </w:pPr>
            <w:r w:rsidRPr="00E27A05">
              <w:rPr>
                <w:rFonts w:ascii="Palatino Linotype" w:hAnsi="Palatino Linotype"/>
                <w:b/>
                <w:bCs/>
                <w:color w:val="000000" w:themeColor="text1"/>
                <w:sz w:val="22"/>
                <w:szCs w:val="22"/>
              </w:rPr>
              <w:t>ECR</w:t>
            </w:r>
          </w:p>
        </w:tc>
        <w:tc>
          <w:tcPr>
            <w:tcW w:w="0" w:type="dxa"/>
            <w:hideMark/>
          </w:tcPr>
          <w:p w14:paraId="47EA4AB1" w14:textId="77777777" w:rsidR="0076358A" w:rsidRPr="00E27A05" w:rsidRDefault="0076358A" w:rsidP="002B6E34">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bCs/>
                <w:color w:val="000000" w:themeColor="text1"/>
                <w:sz w:val="22"/>
                <w:szCs w:val="22"/>
              </w:rPr>
            </w:pPr>
            <w:r w:rsidRPr="00E27A05">
              <w:rPr>
                <w:rFonts w:ascii="Palatino Linotype" w:hAnsi="Palatino Linotype"/>
                <w:b/>
                <w:bCs/>
                <w:color w:val="000000" w:themeColor="text1"/>
                <w:sz w:val="22"/>
                <w:szCs w:val="22"/>
              </w:rPr>
              <w:t>Rem</w:t>
            </w:r>
          </w:p>
        </w:tc>
      </w:tr>
      <w:tr w:rsidR="00032E00" w14:paraId="2439E762" w14:textId="77777777" w:rsidTr="00032E00">
        <w:trPr>
          <w:trHeight w:val="300"/>
        </w:trPr>
        <w:tc>
          <w:tcPr>
            <w:cnfStyle w:val="001000000000" w:firstRow="0" w:lastRow="0" w:firstColumn="1" w:lastColumn="0" w:oddVBand="0" w:evenVBand="0" w:oddHBand="0" w:evenHBand="0" w:firstRowFirstColumn="0" w:firstRowLastColumn="0" w:lastRowFirstColumn="0" w:lastRowLastColumn="0"/>
            <w:tcW w:w="0" w:type="dxa"/>
            <w:shd w:val="clear" w:color="auto" w:fill="FFFFFF" w:themeFill="background1"/>
            <w:noWrap/>
            <w:hideMark/>
          </w:tcPr>
          <w:p w14:paraId="76670E8C" w14:textId="77777777" w:rsidR="0076358A" w:rsidRPr="00E27A05" w:rsidRDefault="0076358A" w:rsidP="002B6E34">
            <w:pPr>
              <w:rPr>
                <w:rFonts w:ascii="Palatino Linotype" w:hAnsi="Palatino Linotype"/>
                <w:color w:val="000000"/>
                <w:sz w:val="22"/>
                <w:szCs w:val="22"/>
              </w:rPr>
            </w:pPr>
            <w:r w:rsidRPr="00E27A05">
              <w:rPr>
                <w:rFonts w:ascii="Palatino Linotype" w:hAnsi="Palatino Linotype"/>
                <w:color w:val="000000"/>
                <w:sz w:val="22"/>
                <w:szCs w:val="22"/>
              </w:rPr>
              <w:t>Unrestricted</w:t>
            </w:r>
          </w:p>
        </w:tc>
        <w:tc>
          <w:tcPr>
            <w:tcW w:w="0" w:type="dxa"/>
            <w:shd w:val="clear" w:color="auto" w:fill="FFFFFF" w:themeFill="background1"/>
            <w:noWrap/>
            <w:hideMark/>
          </w:tcPr>
          <w:p w14:paraId="6AA61748" w14:textId="77777777" w:rsidR="0076358A" w:rsidRPr="00E27A05" w:rsidRDefault="0076358A" w:rsidP="002B6E34">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sz w:val="22"/>
                <w:szCs w:val="22"/>
              </w:rPr>
            </w:pPr>
            <w:r w:rsidRPr="00E27A05">
              <w:rPr>
                <w:rFonts w:ascii="Palatino Linotype" w:hAnsi="Palatino Linotype"/>
                <w:color w:val="000000"/>
                <w:sz w:val="22"/>
                <w:szCs w:val="22"/>
              </w:rPr>
              <w:t>207</w:t>
            </w:r>
          </w:p>
        </w:tc>
        <w:tc>
          <w:tcPr>
            <w:tcW w:w="0" w:type="dxa"/>
            <w:shd w:val="clear" w:color="auto" w:fill="FFFFFF" w:themeFill="background1"/>
            <w:noWrap/>
            <w:hideMark/>
          </w:tcPr>
          <w:p w14:paraId="00D810D5" w14:textId="77777777" w:rsidR="0076358A" w:rsidRPr="00E27A05" w:rsidRDefault="0076358A" w:rsidP="002B6E34">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sz w:val="22"/>
                <w:szCs w:val="22"/>
              </w:rPr>
            </w:pPr>
            <w:r w:rsidRPr="00E27A05">
              <w:rPr>
                <w:rFonts w:ascii="Palatino Linotype" w:hAnsi="Palatino Linotype"/>
                <w:color w:val="000000"/>
                <w:sz w:val="22"/>
                <w:szCs w:val="22"/>
              </w:rPr>
              <w:t>51</w:t>
            </w:r>
          </w:p>
        </w:tc>
        <w:tc>
          <w:tcPr>
            <w:tcW w:w="0" w:type="dxa"/>
            <w:shd w:val="clear" w:color="auto" w:fill="FFFFFF" w:themeFill="background1"/>
            <w:noWrap/>
            <w:hideMark/>
          </w:tcPr>
          <w:p w14:paraId="7C0A6F87" w14:textId="77777777" w:rsidR="0076358A" w:rsidRPr="00E27A05" w:rsidRDefault="0076358A" w:rsidP="002B6E34">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sz w:val="22"/>
                <w:szCs w:val="22"/>
              </w:rPr>
            </w:pPr>
            <w:r w:rsidRPr="00E27A05">
              <w:rPr>
                <w:rFonts w:ascii="Palatino Linotype" w:hAnsi="Palatino Linotype"/>
                <w:color w:val="000000"/>
                <w:sz w:val="22"/>
                <w:szCs w:val="22"/>
              </w:rPr>
              <w:t>2</w:t>
            </w:r>
          </w:p>
        </w:tc>
        <w:tc>
          <w:tcPr>
            <w:tcW w:w="0" w:type="dxa"/>
            <w:shd w:val="clear" w:color="auto" w:fill="FFFFFF" w:themeFill="background1"/>
            <w:noWrap/>
            <w:hideMark/>
          </w:tcPr>
          <w:p w14:paraId="37657812" w14:textId="77777777" w:rsidR="0076358A" w:rsidRPr="00E27A05" w:rsidRDefault="0076358A" w:rsidP="002B6E34">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sz w:val="22"/>
                <w:szCs w:val="22"/>
              </w:rPr>
            </w:pPr>
            <w:r w:rsidRPr="00E27A05">
              <w:rPr>
                <w:rFonts w:ascii="Palatino Linotype" w:hAnsi="Palatino Linotype"/>
                <w:color w:val="000000"/>
                <w:sz w:val="22"/>
                <w:szCs w:val="22"/>
              </w:rPr>
              <w:t>155</w:t>
            </w:r>
          </w:p>
        </w:tc>
        <w:tc>
          <w:tcPr>
            <w:tcW w:w="0" w:type="dxa"/>
            <w:shd w:val="clear" w:color="auto" w:fill="FFFFFF" w:themeFill="background1"/>
            <w:noWrap/>
            <w:hideMark/>
          </w:tcPr>
          <w:p w14:paraId="4ABC0A74" w14:textId="77777777" w:rsidR="0076358A" w:rsidRPr="00E27A05" w:rsidRDefault="0076358A" w:rsidP="002B6E34">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sz w:val="22"/>
                <w:szCs w:val="22"/>
              </w:rPr>
            </w:pPr>
            <w:r w:rsidRPr="00E27A05">
              <w:rPr>
                <w:rFonts w:ascii="Palatino Linotype" w:hAnsi="Palatino Linotype"/>
                <w:color w:val="000000"/>
                <w:sz w:val="22"/>
                <w:szCs w:val="22"/>
              </w:rPr>
              <w:t>224</w:t>
            </w:r>
          </w:p>
        </w:tc>
        <w:tc>
          <w:tcPr>
            <w:tcW w:w="0" w:type="dxa"/>
            <w:shd w:val="clear" w:color="auto" w:fill="FFFFFF" w:themeFill="background1"/>
            <w:noWrap/>
            <w:hideMark/>
          </w:tcPr>
          <w:p w14:paraId="2AE9DBA9" w14:textId="77777777" w:rsidR="0076358A" w:rsidRPr="00E27A05" w:rsidRDefault="0076358A" w:rsidP="002B6E34">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sz w:val="22"/>
                <w:szCs w:val="22"/>
              </w:rPr>
            </w:pPr>
            <w:r w:rsidRPr="00E27A05">
              <w:rPr>
                <w:rFonts w:ascii="Palatino Linotype" w:hAnsi="Palatino Linotype"/>
                <w:color w:val="000000"/>
                <w:sz w:val="22"/>
                <w:szCs w:val="22"/>
              </w:rPr>
              <w:t>60</w:t>
            </w:r>
          </w:p>
        </w:tc>
        <w:tc>
          <w:tcPr>
            <w:tcW w:w="0" w:type="dxa"/>
            <w:shd w:val="clear" w:color="auto" w:fill="FFFFFF" w:themeFill="background1"/>
            <w:noWrap/>
            <w:hideMark/>
          </w:tcPr>
          <w:p w14:paraId="689C9BDD" w14:textId="77777777" w:rsidR="0076358A" w:rsidRPr="00E27A05" w:rsidRDefault="0076358A" w:rsidP="002B6E34">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sz w:val="22"/>
                <w:szCs w:val="22"/>
              </w:rPr>
            </w:pPr>
            <w:r w:rsidRPr="00E27A05">
              <w:rPr>
                <w:rFonts w:ascii="Palatino Linotype" w:hAnsi="Palatino Linotype"/>
                <w:color w:val="000000"/>
                <w:sz w:val="22"/>
                <w:szCs w:val="22"/>
              </w:rPr>
              <w:t>6</w:t>
            </w:r>
          </w:p>
        </w:tc>
        <w:tc>
          <w:tcPr>
            <w:tcW w:w="0" w:type="dxa"/>
            <w:shd w:val="clear" w:color="auto" w:fill="FFFFFF" w:themeFill="background1"/>
            <w:noWrap/>
            <w:hideMark/>
          </w:tcPr>
          <w:p w14:paraId="5B145356" w14:textId="77777777" w:rsidR="0076358A" w:rsidRPr="00E27A05" w:rsidRDefault="0076358A" w:rsidP="002B6E34">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sz w:val="22"/>
                <w:szCs w:val="22"/>
              </w:rPr>
            </w:pPr>
            <w:r w:rsidRPr="00E27A05">
              <w:rPr>
                <w:rFonts w:ascii="Palatino Linotype" w:hAnsi="Palatino Linotype"/>
                <w:color w:val="000000"/>
                <w:sz w:val="22"/>
                <w:szCs w:val="22"/>
              </w:rPr>
              <w:t>158</w:t>
            </w:r>
          </w:p>
        </w:tc>
        <w:tc>
          <w:tcPr>
            <w:tcW w:w="0" w:type="dxa"/>
            <w:shd w:val="clear" w:color="auto" w:fill="FFFFFF" w:themeFill="background1"/>
            <w:noWrap/>
            <w:hideMark/>
          </w:tcPr>
          <w:p w14:paraId="35CDF338" w14:textId="77777777" w:rsidR="0076358A" w:rsidRPr="00E27A05" w:rsidRDefault="0076358A" w:rsidP="002B6E34">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sz w:val="22"/>
                <w:szCs w:val="22"/>
              </w:rPr>
            </w:pPr>
            <w:r w:rsidRPr="00E27A05">
              <w:rPr>
                <w:rFonts w:ascii="Palatino Linotype" w:hAnsi="Palatino Linotype"/>
                <w:color w:val="000000"/>
                <w:sz w:val="22"/>
                <w:szCs w:val="22"/>
              </w:rPr>
              <w:t>49</w:t>
            </w:r>
          </w:p>
        </w:tc>
        <w:tc>
          <w:tcPr>
            <w:tcW w:w="0" w:type="dxa"/>
            <w:shd w:val="clear" w:color="auto" w:fill="FFFFFF" w:themeFill="background1"/>
            <w:noWrap/>
            <w:hideMark/>
          </w:tcPr>
          <w:p w14:paraId="38F8712D" w14:textId="77777777" w:rsidR="0076358A" w:rsidRPr="00E27A05" w:rsidRDefault="0076358A" w:rsidP="002B6E34">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sz w:val="22"/>
                <w:szCs w:val="22"/>
              </w:rPr>
            </w:pPr>
            <w:r w:rsidRPr="00E27A05">
              <w:rPr>
                <w:rFonts w:ascii="Palatino Linotype" w:hAnsi="Palatino Linotype"/>
                <w:color w:val="000000"/>
                <w:sz w:val="22"/>
                <w:szCs w:val="22"/>
              </w:rPr>
              <w:t>40</w:t>
            </w:r>
          </w:p>
        </w:tc>
        <w:tc>
          <w:tcPr>
            <w:tcW w:w="0" w:type="dxa"/>
            <w:shd w:val="clear" w:color="auto" w:fill="FFFFFF" w:themeFill="background1"/>
            <w:noWrap/>
            <w:hideMark/>
          </w:tcPr>
          <w:p w14:paraId="2E1AB047" w14:textId="77777777" w:rsidR="0076358A" w:rsidRPr="00E27A05" w:rsidRDefault="0076358A" w:rsidP="002B6E34">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sz w:val="22"/>
                <w:szCs w:val="22"/>
              </w:rPr>
            </w:pPr>
            <w:r w:rsidRPr="00E27A05">
              <w:rPr>
                <w:rFonts w:ascii="Palatino Linotype" w:hAnsi="Palatino Linotype"/>
                <w:color w:val="000000"/>
                <w:sz w:val="22"/>
                <w:szCs w:val="22"/>
              </w:rPr>
              <w:t>2</w:t>
            </w:r>
          </w:p>
        </w:tc>
        <w:tc>
          <w:tcPr>
            <w:tcW w:w="0" w:type="dxa"/>
            <w:shd w:val="clear" w:color="auto" w:fill="FFFFFF" w:themeFill="background1"/>
            <w:noWrap/>
            <w:hideMark/>
          </w:tcPr>
          <w:p w14:paraId="50E960F8" w14:textId="77777777" w:rsidR="0076358A" w:rsidRPr="00E27A05" w:rsidRDefault="0076358A" w:rsidP="002B6E34">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sz w:val="22"/>
                <w:szCs w:val="22"/>
              </w:rPr>
            </w:pPr>
            <w:r w:rsidRPr="00E27A05">
              <w:rPr>
                <w:rFonts w:ascii="Palatino Linotype" w:hAnsi="Palatino Linotype"/>
                <w:color w:val="000000"/>
                <w:sz w:val="22"/>
                <w:szCs w:val="22"/>
              </w:rPr>
              <w:t>7</w:t>
            </w:r>
          </w:p>
        </w:tc>
      </w:tr>
      <w:tr w:rsidR="00032E00" w14:paraId="627676C1" w14:textId="77777777" w:rsidTr="00032E0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hideMark/>
          </w:tcPr>
          <w:p w14:paraId="5C6E538C" w14:textId="77777777" w:rsidR="0076358A" w:rsidRPr="00E27A05" w:rsidRDefault="0076358A" w:rsidP="002B6E34">
            <w:pPr>
              <w:rPr>
                <w:rFonts w:ascii="Palatino Linotype" w:hAnsi="Palatino Linotype"/>
                <w:color w:val="000000"/>
                <w:sz w:val="22"/>
                <w:szCs w:val="22"/>
              </w:rPr>
            </w:pPr>
            <w:r w:rsidRPr="00E27A05">
              <w:rPr>
                <w:rFonts w:ascii="Palatino Linotype" w:hAnsi="Palatino Linotype"/>
                <w:color w:val="000000"/>
                <w:sz w:val="22"/>
                <w:szCs w:val="22"/>
              </w:rPr>
              <w:t>EJ</w:t>
            </w:r>
          </w:p>
        </w:tc>
        <w:tc>
          <w:tcPr>
            <w:tcW w:w="0" w:type="dxa"/>
            <w:noWrap/>
            <w:hideMark/>
          </w:tcPr>
          <w:p w14:paraId="0F87FD80" w14:textId="77777777" w:rsidR="0076358A" w:rsidRPr="00E27A05" w:rsidRDefault="0076358A" w:rsidP="002B6E34">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sz w:val="22"/>
                <w:szCs w:val="22"/>
              </w:rPr>
            </w:pPr>
            <w:r w:rsidRPr="00E27A05">
              <w:rPr>
                <w:rFonts w:ascii="Palatino Linotype" w:hAnsi="Palatino Linotype"/>
                <w:color w:val="000000"/>
                <w:sz w:val="22"/>
                <w:szCs w:val="22"/>
              </w:rPr>
              <w:t>45</w:t>
            </w:r>
          </w:p>
        </w:tc>
        <w:tc>
          <w:tcPr>
            <w:tcW w:w="0" w:type="dxa"/>
            <w:noWrap/>
            <w:hideMark/>
          </w:tcPr>
          <w:p w14:paraId="6F14D098" w14:textId="77777777" w:rsidR="0076358A" w:rsidRPr="00E27A05" w:rsidRDefault="0076358A" w:rsidP="002B6E34">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sz w:val="22"/>
                <w:szCs w:val="22"/>
              </w:rPr>
            </w:pPr>
            <w:r w:rsidRPr="00E27A05">
              <w:rPr>
                <w:rFonts w:ascii="Palatino Linotype" w:hAnsi="Palatino Linotype"/>
                <w:color w:val="000000"/>
                <w:sz w:val="22"/>
                <w:szCs w:val="22"/>
              </w:rPr>
              <w:t>2</w:t>
            </w:r>
          </w:p>
        </w:tc>
        <w:tc>
          <w:tcPr>
            <w:tcW w:w="0" w:type="dxa"/>
            <w:noWrap/>
            <w:hideMark/>
          </w:tcPr>
          <w:p w14:paraId="0C9340CC" w14:textId="77777777" w:rsidR="0076358A" w:rsidRPr="00E27A05" w:rsidRDefault="0076358A" w:rsidP="002B6E34">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sz w:val="22"/>
                <w:szCs w:val="22"/>
              </w:rPr>
            </w:pPr>
            <w:r w:rsidRPr="00E27A05">
              <w:rPr>
                <w:rFonts w:ascii="Palatino Linotype" w:hAnsi="Palatino Linotype"/>
                <w:color w:val="000000"/>
                <w:sz w:val="22"/>
                <w:szCs w:val="22"/>
              </w:rPr>
              <w:t>0</w:t>
            </w:r>
          </w:p>
        </w:tc>
        <w:tc>
          <w:tcPr>
            <w:tcW w:w="0" w:type="dxa"/>
            <w:noWrap/>
            <w:hideMark/>
          </w:tcPr>
          <w:p w14:paraId="0829830B" w14:textId="77777777" w:rsidR="0076358A" w:rsidRPr="00E27A05" w:rsidRDefault="0076358A" w:rsidP="002B6E34">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sz w:val="22"/>
                <w:szCs w:val="22"/>
              </w:rPr>
            </w:pPr>
            <w:r w:rsidRPr="00E27A05">
              <w:rPr>
                <w:rFonts w:ascii="Palatino Linotype" w:hAnsi="Palatino Linotype"/>
                <w:color w:val="000000"/>
                <w:sz w:val="22"/>
                <w:szCs w:val="22"/>
              </w:rPr>
              <w:t>43</w:t>
            </w:r>
          </w:p>
        </w:tc>
        <w:tc>
          <w:tcPr>
            <w:tcW w:w="0" w:type="dxa"/>
            <w:noWrap/>
            <w:hideMark/>
          </w:tcPr>
          <w:p w14:paraId="3B94E190" w14:textId="77777777" w:rsidR="0076358A" w:rsidRPr="00E27A05" w:rsidRDefault="0076358A" w:rsidP="002B6E34">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sz w:val="22"/>
                <w:szCs w:val="22"/>
              </w:rPr>
            </w:pPr>
            <w:r w:rsidRPr="00E27A05">
              <w:rPr>
                <w:rFonts w:ascii="Palatino Linotype" w:hAnsi="Palatino Linotype"/>
                <w:color w:val="000000"/>
                <w:sz w:val="22"/>
                <w:szCs w:val="22"/>
              </w:rPr>
              <w:t>45</w:t>
            </w:r>
          </w:p>
        </w:tc>
        <w:tc>
          <w:tcPr>
            <w:tcW w:w="0" w:type="dxa"/>
            <w:noWrap/>
            <w:hideMark/>
          </w:tcPr>
          <w:p w14:paraId="599E1D5D" w14:textId="77777777" w:rsidR="0076358A" w:rsidRPr="00E27A05" w:rsidRDefault="0076358A" w:rsidP="002B6E34">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sz w:val="22"/>
                <w:szCs w:val="22"/>
              </w:rPr>
            </w:pPr>
            <w:r w:rsidRPr="00E27A05">
              <w:rPr>
                <w:rFonts w:ascii="Palatino Linotype" w:hAnsi="Palatino Linotype"/>
                <w:color w:val="000000"/>
                <w:sz w:val="22"/>
                <w:szCs w:val="22"/>
              </w:rPr>
              <w:t>0</w:t>
            </w:r>
          </w:p>
        </w:tc>
        <w:tc>
          <w:tcPr>
            <w:tcW w:w="0" w:type="dxa"/>
            <w:noWrap/>
            <w:hideMark/>
          </w:tcPr>
          <w:p w14:paraId="21D960A3" w14:textId="77777777" w:rsidR="0076358A" w:rsidRPr="00E27A05" w:rsidRDefault="0076358A" w:rsidP="002B6E34">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sz w:val="22"/>
                <w:szCs w:val="22"/>
              </w:rPr>
            </w:pPr>
            <w:r w:rsidRPr="00E27A05">
              <w:rPr>
                <w:rFonts w:ascii="Palatino Linotype" w:hAnsi="Palatino Linotype"/>
                <w:color w:val="000000"/>
                <w:sz w:val="22"/>
                <w:szCs w:val="22"/>
              </w:rPr>
              <w:t>0</w:t>
            </w:r>
          </w:p>
        </w:tc>
        <w:tc>
          <w:tcPr>
            <w:tcW w:w="0" w:type="dxa"/>
            <w:noWrap/>
            <w:hideMark/>
          </w:tcPr>
          <w:p w14:paraId="2B5D1D9D" w14:textId="77777777" w:rsidR="0076358A" w:rsidRPr="00E27A05" w:rsidRDefault="0076358A" w:rsidP="002B6E34">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sz w:val="22"/>
                <w:szCs w:val="22"/>
              </w:rPr>
            </w:pPr>
            <w:r w:rsidRPr="00E27A05">
              <w:rPr>
                <w:rFonts w:ascii="Palatino Linotype" w:hAnsi="Palatino Linotype"/>
                <w:color w:val="000000"/>
                <w:sz w:val="22"/>
                <w:szCs w:val="22"/>
              </w:rPr>
              <w:t>45</w:t>
            </w:r>
          </w:p>
        </w:tc>
        <w:tc>
          <w:tcPr>
            <w:tcW w:w="0" w:type="dxa"/>
            <w:noWrap/>
            <w:hideMark/>
          </w:tcPr>
          <w:p w14:paraId="2E45E60E" w14:textId="77777777" w:rsidR="0076358A" w:rsidRPr="00E27A05" w:rsidRDefault="0076358A" w:rsidP="002B6E34">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sz w:val="22"/>
                <w:szCs w:val="22"/>
              </w:rPr>
            </w:pPr>
            <w:r w:rsidRPr="00E27A05">
              <w:rPr>
                <w:rFonts w:ascii="Palatino Linotype" w:hAnsi="Palatino Linotype"/>
                <w:color w:val="000000"/>
                <w:sz w:val="22"/>
                <w:szCs w:val="22"/>
              </w:rPr>
              <w:t>10</w:t>
            </w:r>
          </w:p>
        </w:tc>
        <w:tc>
          <w:tcPr>
            <w:tcW w:w="0" w:type="dxa"/>
            <w:noWrap/>
            <w:hideMark/>
          </w:tcPr>
          <w:p w14:paraId="4A976EA4" w14:textId="77777777" w:rsidR="0076358A" w:rsidRPr="00E27A05" w:rsidRDefault="0076358A" w:rsidP="002B6E34">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sz w:val="22"/>
                <w:szCs w:val="22"/>
              </w:rPr>
            </w:pPr>
            <w:r w:rsidRPr="00E27A05">
              <w:rPr>
                <w:rFonts w:ascii="Palatino Linotype" w:hAnsi="Palatino Linotype"/>
                <w:color w:val="000000"/>
                <w:sz w:val="22"/>
                <w:szCs w:val="22"/>
              </w:rPr>
              <w:t>0</w:t>
            </w:r>
          </w:p>
        </w:tc>
        <w:tc>
          <w:tcPr>
            <w:tcW w:w="0" w:type="dxa"/>
            <w:noWrap/>
            <w:hideMark/>
          </w:tcPr>
          <w:p w14:paraId="2E7C7554" w14:textId="77777777" w:rsidR="0076358A" w:rsidRPr="00E27A05" w:rsidRDefault="0076358A" w:rsidP="002B6E34">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sz w:val="22"/>
                <w:szCs w:val="22"/>
              </w:rPr>
            </w:pPr>
            <w:r w:rsidRPr="00E27A05">
              <w:rPr>
                <w:rFonts w:ascii="Palatino Linotype" w:hAnsi="Palatino Linotype"/>
                <w:color w:val="000000"/>
                <w:sz w:val="22"/>
                <w:szCs w:val="22"/>
              </w:rPr>
              <w:t>0</w:t>
            </w:r>
          </w:p>
        </w:tc>
        <w:tc>
          <w:tcPr>
            <w:tcW w:w="0" w:type="dxa"/>
            <w:noWrap/>
            <w:hideMark/>
          </w:tcPr>
          <w:p w14:paraId="77ADD2A2" w14:textId="77777777" w:rsidR="0076358A" w:rsidRPr="00E27A05" w:rsidRDefault="0076358A" w:rsidP="002B6E34">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sz w:val="22"/>
                <w:szCs w:val="22"/>
              </w:rPr>
            </w:pPr>
            <w:r w:rsidRPr="00E27A05">
              <w:rPr>
                <w:rFonts w:ascii="Palatino Linotype" w:hAnsi="Palatino Linotype"/>
                <w:color w:val="000000"/>
                <w:sz w:val="22"/>
                <w:szCs w:val="22"/>
              </w:rPr>
              <w:t>10</w:t>
            </w:r>
          </w:p>
        </w:tc>
      </w:tr>
      <w:tr w:rsidR="00032E00" w14:paraId="7EA4E71E" w14:textId="77777777" w:rsidTr="00032E00">
        <w:trPr>
          <w:trHeight w:val="300"/>
        </w:trPr>
        <w:tc>
          <w:tcPr>
            <w:cnfStyle w:val="001000000000" w:firstRow="0" w:lastRow="0" w:firstColumn="1" w:lastColumn="0" w:oddVBand="0" w:evenVBand="0" w:oddHBand="0" w:evenHBand="0" w:firstRowFirstColumn="0" w:firstRowLastColumn="0" w:lastRowFirstColumn="0" w:lastRowLastColumn="0"/>
            <w:tcW w:w="0" w:type="dxa"/>
            <w:shd w:val="clear" w:color="auto" w:fill="FFFFFF" w:themeFill="background1"/>
            <w:noWrap/>
            <w:hideMark/>
          </w:tcPr>
          <w:p w14:paraId="75B6A526" w14:textId="77777777" w:rsidR="0076358A" w:rsidRPr="00E27A05" w:rsidRDefault="0076358A" w:rsidP="002B6E34">
            <w:pPr>
              <w:rPr>
                <w:rFonts w:ascii="Palatino Linotype" w:hAnsi="Palatino Linotype"/>
                <w:color w:val="000000"/>
                <w:sz w:val="22"/>
                <w:szCs w:val="22"/>
              </w:rPr>
            </w:pPr>
            <w:r w:rsidRPr="00E27A05">
              <w:rPr>
                <w:rFonts w:ascii="Palatino Linotype" w:hAnsi="Palatino Linotype"/>
                <w:color w:val="000000"/>
                <w:sz w:val="22"/>
                <w:szCs w:val="22"/>
              </w:rPr>
              <w:t xml:space="preserve">City of Davis </w:t>
            </w:r>
          </w:p>
        </w:tc>
        <w:tc>
          <w:tcPr>
            <w:tcW w:w="0" w:type="dxa"/>
            <w:shd w:val="clear" w:color="auto" w:fill="FFFFFF" w:themeFill="background1"/>
            <w:noWrap/>
            <w:hideMark/>
          </w:tcPr>
          <w:p w14:paraId="7AEA973D" w14:textId="77777777" w:rsidR="0076358A" w:rsidRPr="00E27A05" w:rsidRDefault="0076358A" w:rsidP="002B6E34">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sz w:val="22"/>
                <w:szCs w:val="22"/>
              </w:rPr>
            </w:pPr>
            <w:r w:rsidRPr="00E27A05">
              <w:rPr>
                <w:rFonts w:ascii="Palatino Linotype" w:hAnsi="Palatino Linotype"/>
                <w:color w:val="000000"/>
                <w:sz w:val="22"/>
                <w:szCs w:val="22"/>
              </w:rPr>
              <w:t>20</w:t>
            </w:r>
          </w:p>
        </w:tc>
        <w:tc>
          <w:tcPr>
            <w:tcW w:w="0" w:type="dxa"/>
            <w:shd w:val="clear" w:color="auto" w:fill="FFFFFF" w:themeFill="background1"/>
            <w:noWrap/>
            <w:hideMark/>
          </w:tcPr>
          <w:p w14:paraId="14B909DB" w14:textId="77777777" w:rsidR="0076358A" w:rsidRPr="00E27A05" w:rsidRDefault="0076358A" w:rsidP="002B6E34">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sz w:val="22"/>
                <w:szCs w:val="22"/>
              </w:rPr>
            </w:pPr>
            <w:r w:rsidRPr="00E27A05">
              <w:rPr>
                <w:rFonts w:ascii="Palatino Linotype" w:hAnsi="Palatino Linotype"/>
                <w:color w:val="000000"/>
                <w:sz w:val="22"/>
                <w:szCs w:val="22"/>
              </w:rPr>
              <w:t>0</w:t>
            </w:r>
          </w:p>
        </w:tc>
        <w:tc>
          <w:tcPr>
            <w:tcW w:w="0" w:type="dxa"/>
            <w:shd w:val="clear" w:color="auto" w:fill="FFFFFF" w:themeFill="background1"/>
            <w:noWrap/>
            <w:hideMark/>
          </w:tcPr>
          <w:p w14:paraId="19BBD26E" w14:textId="77777777" w:rsidR="0076358A" w:rsidRPr="00E27A05" w:rsidRDefault="0076358A" w:rsidP="002B6E34">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sz w:val="22"/>
                <w:szCs w:val="22"/>
              </w:rPr>
            </w:pPr>
            <w:r w:rsidRPr="00E27A05">
              <w:rPr>
                <w:rFonts w:ascii="Palatino Linotype" w:hAnsi="Palatino Linotype"/>
                <w:color w:val="000000"/>
                <w:sz w:val="22"/>
                <w:szCs w:val="22"/>
              </w:rPr>
              <w:t>0</w:t>
            </w:r>
          </w:p>
        </w:tc>
        <w:tc>
          <w:tcPr>
            <w:tcW w:w="0" w:type="dxa"/>
            <w:shd w:val="clear" w:color="auto" w:fill="FFFFFF" w:themeFill="background1"/>
            <w:noWrap/>
            <w:hideMark/>
          </w:tcPr>
          <w:p w14:paraId="55847E75" w14:textId="77777777" w:rsidR="0076358A" w:rsidRPr="00E27A05" w:rsidRDefault="0076358A" w:rsidP="002B6E34">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sz w:val="22"/>
                <w:szCs w:val="22"/>
              </w:rPr>
            </w:pPr>
            <w:r w:rsidRPr="00E27A05">
              <w:rPr>
                <w:rFonts w:ascii="Palatino Linotype" w:hAnsi="Palatino Linotype"/>
                <w:color w:val="000000"/>
                <w:sz w:val="22"/>
                <w:szCs w:val="22"/>
              </w:rPr>
              <w:t>20</w:t>
            </w:r>
          </w:p>
        </w:tc>
        <w:tc>
          <w:tcPr>
            <w:tcW w:w="0" w:type="dxa"/>
            <w:shd w:val="clear" w:color="auto" w:fill="FFFFFF" w:themeFill="background1"/>
            <w:noWrap/>
            <w:hideMark/>
          </w:tcPr>
          <w:p w14:paraId="56F426B2" w14:textId="77777777" w:rsidR="0076358A" w:rsidRPr="00E27A05" w:rsidRDefault="0076358A" w:rsidP="002B6E34">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sz w:val="22"/>
                <w:szCs w:val="22"/>
              </w:rPr>
            </w:pPr>
            <w:r w:rsidRPr="00E27A05">
              <w:rPr>
                <w:rFonts w:ascii="Palatino Linotype" w:hAnsi="Palatino Linotype"/>
                <w:color w:val="000000"/>
                <w:sz w:val="22"/>
                <w:szCs w:val="22"/>
              </w:rPr>
              <w:t> </w:t>
            </w:r>
          </w:p>
        </w:tc>
        <w:tc>
          <w:tcPr>
            <w:tcW w:w="0" w:type="dxa"/>
            <w:shd w:val="clear" w:color="auto" w:fill="FFFFFF" w:themeFill="background1"/>
            <w:noWrap/>
            <w:hideMark/>
          </w:tcPr>
          <w:p w14:paraId="6F7D4C7C" w14:textId="77777777" w:rsidR="0076358A" w:rsidRPr="00E27A05" w:rsidRDefault="0076358A" w:rsidP="002B6E34">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sz w:val="22"/>
                <w:szCs w:val="22"/>
              </w:rPr>
            </w:pPr>
            <w:r w:rsidRPr="00E27A05">
              <w:rPr>
                <w:rFonts w:ascii="Palatino Linotype" w:hAnsi="Palatino Linotype"/>
                <w:color w:val="000000"/>
                <w:sz w:val="22"/>
                <w:szCs w:val="22"/>
              </w:rPr>
              <w:t> </w:t>
            </w:r>
          </w:p>
        </w:tc>
        <w:tc>
          <w:tcPr>
            <w:tcW w:w="0" w:type="dxa"/>
            <w:shd w:val="clear" w:color="auto" w:fill="FFFFFF" w:themeFill="background1"/>
            <w:noWrap/>
            <w:hideMark/>
          </w:tcPr>
          <w:p w14:paraId="34EC1860" w14:textId="77777777" w:rsidR="0076358A" w:rsidRPr="00E27A05" w:rsidRDefault="0076358A" w:rsidP="002B6E34">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sz w:val="22"/>
                <w:szCs w:val="22"/>
              </w:rPr>
            </w:pPr>
            <w:r w:rsidRPr="00E27A05">
              <w:rPr>
                <w:rFonts w:ascii="Palatino Linotype" w:hAnsi="Palatino Linotype"/>
                <w:color w:val="000000"/>
                <w:sz w:val="22"/>
                <w:szCs w:val="22"/>
              </w:rPr>
              <w:t> </w:t>
            </w:r>
          </w:p>
        </w:tc>
        <w:tc>
          <w:tcPr>
            <w:tcW w:w="0" w:type="dxa"/>
            <w:shd w:val="clear" w:color="auto" w:fill="FFFFFF" w:themeFill="background1"/>
            <w:noWrap/>
            <w:hideMark/>
          </w:tcPr>
          <w:p w14:paraId="606FE0EE" w14:textId="77777777" w:rsidR="0076358A" w:rsidRPr="00E27A05" w:rsidRDefault="0076358A" w:rsidP="002B6E34">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sz w:val="22"/>
                <w:szCs w:val="22"/>
              </w:rPr>
            </w:pPr>
            <w:r w:rsidRPr="00E27A05">
              <w:rPr>
                <w:rFonts w:ascii="Palatino Linotype" w:hAnsi="Palatino Linotype"/>
                <w:color w:val="000000"/>
                <w:sz w:val="22"/>
                <w:szCs w:val="22"/>
              </w:rPr>
              <w:t> </w:t>
            </w:r>
          </w:p>
        </w:tc>
        <w:tc>
          <w:tcPr>
            <w:tcW w:w="0" w:type="dxa"/>
            <w:shd w:val="clear" w:color="auto" w:fill="FFFFFF" w:themeFill="background1"/>
            <w:noWrap/>
            <w:hideMark/>
          </w:tcPr>
          <w:p w14:paraId="3F15044B" w14:textId="77777777" w:rsidR="0076358A" w:rsidRPr="00E27A05" w:rsidRDefault="0076358A" w:rsidP="002B6E34">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sz w:val="22"/>
                <w:szCs w:val="22"/>
              </w:rPr>
            </w:pPr>
            <w:r w:rsidRPr="00E27A05">
              <w:rPr>
                <w:rFonts w:ascii="Palatino Linotype" w:hAnsi="Palatino Linotype"/>
                <w:color w:val="000000"/>
                <w:sz w:val="22"/>
                <w:szCs w:val="22"/>
              </w:rPr>
              <w:t> </w:t>
            </w:r>
          </w:p>
        </w:tc>
        <w:tc>
          <w:tcPr>
            <w:tcW w:w="0" w:type="dxa"/>
            <w:shd w:val="clear" w:color="auto" w:fill="FFFFFF" w:themeFill="background1"/>
            <w:noWrap/>
            <w:hideMark/>
          </w:tcPr>
          <w:p w14:paraId="2452986D" w14:textId="77777777" w:rsidR="0076358A" w:rsidRPr="00E27A05" w:rsidRDefault="0076358A" w:rsidP="002B6E34">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sz w:val="22"/>
                <w:szCs w:val="22"/>
              </w:rPr>
            </w:pPr>
          </w:p>
        </w:tc>
        <w:tc>
          <w:tcPr>
            <w:tcW w:w="0" w:type="dxa"/>
            <w:shd w:val="clear" w:color="auto" w:fill="FFFFFF" w:themeFill="background1"/>
            <w:noWrap/>
            <w:hideMark/>
          </w:tcPr>
          <w:p w14:paraId="0FAE45A6" w14:textId="77777777" w:rsidR="0076358A" w:rsidRPr="00E27A05" w:rsidRDefault="0076358A" w:rsidP="002B6E34">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2"/>
                <w:szCs w:val="22"/>
              </w:rPr>
            </w:pPr>
          </w:p>
        </w:tc>
        <w:tc>
          <w:tcPr>
            <w:tcW w:w="0" w:type="dxa"/>
            <w:shd w:val="clear" w:color="auto" w:fill="FFFFFF" w:themeFill="background1"/>
            <w:noWrap/>
            <w:hideMark/>
          </w:tcPr>
          <w:p w14:paraId="2BB29FB0" w14:textId="77777777" w:rsidR="0076358A" w:rsidRPr="00E27A05" w:rsidRDefault="0076358A" w:rsidP="002B6E34">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sz w:val="22"/>
                <w:szCs w:val="22"/>
              </w:rPr>
            </w:pPr>
            <w:r w:rsidRPr="00E27A05">
              <w:rPr>
                <w:rFonts w:ascii="Palatino Linotype" w:hAnsi="Palatino Linotype"/>
                <w:color w:val="000000"/>
                <w:sz w:val="22"/>
                <w:szCs w:val="22"/>
              </w:rPr>
              <w:t> </w:t>
            </w:r>
          </w:p>
        </w:tc>
      </w:tr>
      <w:tr w:rsidR="00032E00" w14:paraId="3E11BDBC" w14:textId="77777777" w:rsidTr="00032E0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hideMark/>
          </w:tcPr>
          <w:p w14:paraId="17437558" w14:textId="77777777" w:rsidR="0076358A" w:rsidRPr="00E27A05" w:rsidRDefault="0076358A" w:rsidP="002B6E34">
            <w:pPr>
              <w:rPr>
                <w:rFonts w:ascii="Palatino Linotype" w:hAnsi="Palatino Linotype"/>
                <w:color w:val="000000"/>
                <w:sz w:val="22"/>
                <w:szCs w:val="22"/>
              </w:rPr>
            </w:pPr>
            <w:r w:rsidRPr="00E27A05">
              <w:rPr>
                <w:rFonts w:ascii="Palatino Linotype" w:hAnsi="Palatino Linotype"/>
                <w:color w:val="000000"/>
                <w:sz w:val="22"/>
                <w:szCs w:val="22"/>
              </w:rPr>
              <w:t>Totals</w:t>
            </w:r>
          </w:p>
        </w:tc>
        <w:tc>
          <w:tcPr>
            <w:tcW w:w="0" w:type="dxa"/>
            <w:noWrap/>
            <w:hideMark/>
          </w:tcPr>
          <w:p w14:paraId="11F965CC" w14:textId="77777777" w:rsidR="0076358A" w:rsidRPr="00E27A05" w:rsidRDefault="0076358A" w:rsidP="002B6E34">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sz w:val="22"/>
                <w:szCs w:val="22"/>
              </w:rPr>
            </w:pPr>
            <w:r w:rsidRPr="00E27A05">
              <w:rPr>
                <w:rFonts w:ascii="Palatino Linotype" w:hAnsi="Palatino Linotype"/>
                <w:color w:val="000000"/>
                <w:sz w:val="22"/>
                <w:szCs w:val="22"/>
              </w:rPr>
              <w:t>272</w:t>
            </w:r>
          </w:p>
        </w:tc>
        <w:tc>
          <w:tcPr>
            <w:tcW w:w="0" w:type="dxa"/>
            <w:noWrap/>
            <w:hideMark/>
          </w:tcPr>
          <w:p w14:paraId="27C2F8C3" w14:textId="77777777" w:rsidR="0076358A" w:rsidRPr="00E27A05" w:rsidRDefault="0076358A" w:rsidP="002B6E34">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sz w:val="22"/>
                <w:szCs w:val="22"/>
              </w:rPr>
            </w:pPr>
            <w:r w:rsidRPr="00E27A05">
              <w:rPr>
                <w:rFonts w:ascii="Palatino Linotype" w:hAnsi="Palatino Linotype"/>
                <w:color w:val="000000"/>
                <w:sz w:val="22"/>
                <w:szCs w:val="22"/>
              </w:rPr>
              <w:t>53</w:t>
            </w:r>
          </w:p>
        </w:tc>
        <w:tc>
          <w:tcPr>
            <w:tcW w:w="0" w:type="dxa"/>
            <w:noWrap/>
            <w:hideMark/>
          </w:tcPr>
          <w:p w14:paraId="7DCE0669" w14:textId="77777777" w:rsidR="0076358A" w:rsidRPr="00E27A05" w:rsidRDefault="0076358A" w:rsidP="002B6E34">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sz w:val="22"/>
                <w:szCs w:val="22"/>
              </w:rPr>
            </w:pPr>
            <w:r w:rsidRPr="00E27A05">
              <w:rPr>
                <w:rFonts w:ascii="Palatino Linotype" w:hAnsi="Palatino Linotype"/>
                <w:color w:val="000000"/>
                <w:sz w:val="22"/>
                <w:szCs w:val="22"/>
              </w:rPr>
              <w:t>2</w:t>
            </w:r>
          </w:p>
        </w:tc>
        <w:tc>
          <w:tcPr>
            <w:tcW w:w="0" w:type="dxa"/>
            <w:noWrap/>
            <w:hideMark/>
          </w:tcPr>
          <w:p w14:paraId="63D8E57A" w14:textId="77777777" w:rsidR="0076358A" w:rsidRPr="00E27A05" w:rsidRDefault="0076358A" w:rsidP="002B6E34">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sz w:val="22"/>
                <w:szCs w:val="22"/>
              </w:rPr>
            </w:pPr>
            <w:r w:rsidRPr="00E27A05">
              <w:rPr>
                <w:rFonts w:ascii="Palatino Linotype" w:hAnsi="Palatino Linotype"/>
                <w:color w:val="000000"/>
                <w:sz w:val="22"/>
                <w:szCs w:val="22"/>
              </w:rPr>
              <w:t>218</w:t>
            </w:r>
          </w:p>
        </w:tc>
        <w:tc>
          <w:tcPr>
            <w:tcW w:w="0" w:type="dxa"/>
            <w:noWrap/>
            <w:hideMark/>
          </w:tcPr>
          <w:p w14:paraId="12E85290" w14:textId="77777777" w:rsidR="0076358A" w:rsidRPr="00E27A05" w:rsidRDefault="0076358A" w:rsidP="002B6E34">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sz w:val="22"/>
                <w:szCs w:val="22"/>
              </w:rPr>
            </w:pPr>
            <w:r w:rsidRPr="00E27A05">
              <w:rPr>
                <w:rFonts w:ascii="Palatino Linotype" w:hAnsi="Palatino Linotype"/>
                <w:color w:val="000000"/>
                <w:sz w:val="22"/>
                <w:szCs w:val="22"/>
              </w:rPr>
              <w:t>269</w:t>
            </w:r>
          </w:p>
        </w:tc>
        <w:tc>
          <w:tcPr>
            <w:tcW w:w="0" w:type="dxa"/>
            <w:noWrap/>
            <w:hideMark/>
          </w:tcPr>
          <w:p w14:paraId="75B41E99" w14:textId="77777777" w:rsidR="0076358A" w:rsidRPr="00E27A05" w:rsidRDefault="0076358A" w:rsidP="002B6E34">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sz w:val="22"/>
                <w:szCs w:val="22"/>
              </w:rPr>
            </w:pPr>
            <w:r w:rsidRPr="00E27A05">
              <w:rPr>
                <w:rFonts w:ascii="Palatino Linotype" w:hAnsi="Palatino Linotype"/>
                <w:color w:val="000000"/>
                <w:sz w:val="22"/>
                <w:szCs w:val="22"/>
              </w:rPr>
              <w:t>60</w:t>
            </w:r>
          </w:p>
        </w:tc>
        <w:tc>
          <w:tcPr>
            <w:tcW w:w="0" w:type="dxa"/>
            <w:noWrap/>
            <w:hideMark/>
          </w:tcPr>
          <w:p w14:paraId="1A06CDF1" w14:textId="77777777" w:rsidR="0076358A" w:rsidRPr="00E27A05" w:rsidRDefault="0076358A" w:rsidP="002B6E34">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sz w:val="22"/>
                <w:szCs w:val="22"/>
              </w:rPr>
            </w:pPr>
            <w:r w:rsidRPr="00E27A05">
              <w:rPr>
                <w:rFonts w:ascii="Palatino Linotype" w:hAnsi="Palatino Linotype"/>
                <w:color w:val="000000"/>
                <w:sz w:val="22"/>
                <w:szCs w:val="22"/>
              </w:rPr>
              <w:t>6</w:t>
            </w:r>
          </w:p>
        </w:tc>
        <w:tc>
          <w:tcPr>
            <w:tcW w:w="0" w:type="dxa"/>
            <w:noWrap/>
            <w:hideMark/>
          </w:tcPr>
          <w:p w14:paraId="121761DB" w14:textId="77777777" w:rsidR="0076358A" w:rsidRPr="00E27A05" w:rsidRDefault="0076358A" w:rsidP="002B6E34">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sz w:val="22"/>
                <w:szCs w:val="22"/>
              </w:rPr>
            </w:pPr>
            <w:r w:rsidRPr="00E27A05">
              <w:rPr>
                <w:rFonts w:ascii="Palatino Linotype" w:hAnsi="Palatino Linotype"/>
                <w:color w:val="000000"/>
                <w:sz w:val="22"/>
                <w:szCs w:val="22"/>
              </w:rPr>
              <w:t>203</w:t>
            </w:r>
          </w:p>
        </w:tc>
        <w:tc>
          <w:tcPr>
            <w:tcW w:w="0" w:type="dxa"/>
            <w:noWrap/>
            <w:hideMark/>
          </w:tcPr>
          <w:p w14:paraId="2611D717" w14:textId="77777777" w:rsidR="0076358A" w:rsidRPr="00E27A05" w:rsidRDefault="0076358A" w:rsidP="002B6E34">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sz w:val="22"/>
                <w:szCs w:val="22"/>
              </w:rPr>
            </w:pPr>
            <w:r w:rsidRPr="00E27A05">
              <w:rPr>
                <w:rFonts w:ascii="Palatino Linotype" w:hAnsi="Palatino Linotype"/>
                <w:color w:val="000000"/>
                <w:sz w:val="22"/>
                <w:szCs w:val="22"/>
              </w:rPr>
              <w:t>59</w:t>
            </w:r>
          </w:p>
        </w:tc>
        <w:tc>
          <w:tcPr>
            <w:tcW w:w="0" w:type="dxa"/>
            <w:noWrap/>
            <w:hideMark/>
          </w:tcPr>
          <w:p w14:paraId="1575609B" w14:textId="77777777" w:rsidR="0076358A" w:rsidRPr="00E27A05" w:rsidRDefault="0076358A" w:rsidP="002B6E34">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sz w:val="22"/>
                <w:szCs w:val="22"/>
              </w:rPr>
            </w:pPr>
            <w:r w:rsidRPr="00E27A05">
              <w:rPr>
                <w:rFonts w:ascii="Palatino Linotype" w:hAnsi="Palatino Linotype"/>
                <w:color w:val="000000"/>
                <w:sz w:val="22"/>
                <w:szCs w:val="22"/>
              </w:rPr>
              <w:t>40</w:t>
            </w:r>
          </w:p>
        </w:tc>
        <w:tc>
          <w:tcPr>
            <w:tcW w:w="0" w:type="dxa"/>
            <w:noWrap/>
            <w:hideMark/>
          </w:tcPr>
          <w:p w14:paraId="5307C637" w14:textId="77777777" w:rsidR="0076358A" w:rsidRPr="00E27A05" w:rsidRDefault="0076358A" w:rsidP="002B6E34">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sz w:val="22"/>
                <w:szCs w:val="22"/>
              </w:rPr>
            </w:pPr>
            <w:r w:rsidRPr="00E27A05">
              <w:rPr>
                <w:rFonts w:ascii="Palatino Linotype" w:hAnsi="Palatino Linotype"/>
                <w:color w:val="000000"/>
                <w:sz w:val="22"/>
                <w:szCs w:val="22"/>
              </w:rPr>
              <w:t>2</w:t>
            </w:r>
          </w:p>
        </w:tc>
        <w:tc>
          <w:tcPr>
            <w:tcW w:w="0" w:type="dxa"/>
            <w:noWrap/>
            <w:hideMark/>
          </w:tcPr>
          <w:p w14:paraId="6C4C16C0" w14:textId="77777777" w:rsidR="0076358A" w:rsidRPr="00E27A05" w:rsidRDefault="0076358A" w:rsidP="002B6E34">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sz w:val="22"/>
                <w:szCs w:val="22"/>
              </w:rPr>
            </w:pPr>
            <w:r w:rsidRPr="00E27A05">
              <w:rPr>
                <w:rFonts w:ascii="Palatino Linotype" w:hAnsi="Palatino Linotype"/>
                <w:color w:val="000000"/>
                <w:sz w:val="22"/>
                <w:szCs w:val="22"/>
              </w:rPr>
              <w:t>17</w:t>
            </w:r>
          </w:p>
        </w:tc>
      </w:tr>
      <w:tr w:rsidR="00032E00" w14:paraId="0461F171" w14:textId="77777777" w:rsidTr="00032E00">
        <w:trPr>
          <w:trHeight w:val="300"/>
        </w:trPr>
        <w:tc>
          <w:tcPr>
            <w:cnfStyle w:val="001000000000" w:firstRow="0" w:lastRow="0" w:firstColumn="1" w:lastColumn="0" w:oddVBand="0" w:evenVBand="0" w:oddHBand="0" w:evenHBand="0" w:firstRowFirstColumn="0" w:firstRowLastColumn="0" w:lastRowFirstColumn="0" w:lastRowLastColumn="0"/>
            <w:tcW w:w="0" w:type="dxa"/>
            <w:shd w:val="clear" w:color="auto" w:fill="FFFFFF" w:themeFill="background1"/>
            <w:noWrap/>
            <w:hideMark/>
          </w:tcPr>
          <w:p w14:paraId="49A8A40C" w14:textId="77777777" w:rsidR="0076358A" w:rsidRPr="00E27A05" w:rsidRDefault="0076358A" w:rsidP="002B6E34">
            <w:pPr>
              <w:ind w:firstLine="201"/>
              <w:jc w:val="right"/>
              <w:rPr>
                <w:rFonts w:ascii="Palatino Linotype" w:hAnsi="Palatino Linotype"/>
                <w:color w:val="000000"/>
                <w:sz w:val="22"/>
                <w:szCs w:val="22"/>
              </w:rPr>
            </w:pPr>
            <w:r w:rsidRPr="00E27A05">
              <w:rPr>
                <w:rFonts w:ascii="Palatino Linotype" w:hAnsi="Palatino Linotype"/>
                <w:color w:val="000000"/>
                <w:sz w:val="22"/>
                <w:szCs w:val="22"/>
              </w:rPr>
              <w:t>%</w:t>
            </w:r>
          </w:p>
        </w:tc>
        <w:tc>
          <w:tcPr>
            <w:tcW w:w="0" w:type="dxa"/>
            <w:shd w:val="clear" w:color="auto" w:fill="FFFFFF" w:themeFill="background1"/>
            <w:noWrap/>
            <w:hideMark/>
          </w:tcPr>
          <w:p w14:paraId="65AA3686" w14:textId="77777777" w:rsidR="0076358A" w:rsidRPr="00E27A05" w:rsidRDefault="0076358A" w:rsidP="002B6E34">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sz w:val="22"/>
                <w:szCs w:val="22"/>
              </w:rPr>
            </w:pPr>
            <w:r w:rsidRPr="00E27A05">
              <w:rPr>
                <w:rFonts w:ascii="Palatino Linotype" w:hAnsi="Palatino Linotype"/>
                <w:color w:val="000000"/>
                <w:sz w:val="22"/>
                <w:szCs w:val="22"/>
              </w:rPr>
              <w:t>45.3%</w:t>
            </w:r>
          </w:p>
        </w:tc>
        <w:tc>
          <w:tcPr>
            <w:tcW w:w="0" w:type="dxa"/>
            <w:shd w:val="clear" w:color="auto" w:fill="FFFFFF" w:themeFill="background1"/>
            <w:noWrap/>
            <w:hideMark/>
          </w:tcPr>
          <w:p w14:paraId="4DFAAE89" w14:textId="77777777" w:rsidR="0076358A" w:rsidRPr="00E27A05" w:rsidRDefault="0076358A" w:rsidP="002B6E34">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sz w:val="22"/>
                <w:szCs w:val="22"/>
              </w:rPr>
            </w:pPr>
            <w:r w:rsidRPr="00E27A05">
              <w:rPr>
                <w:rFonts w:ascii="Palatino Linotype" w:hAnsi="Palatino Linotype"/>
                <w:color w:val="000000"/>
                <w:sz w:val="22"/>
                <w:szCs w:val="22"/>
              </w:rPr>
              <w:t> </w:t>
            </w:r>
          </w:p>
        </w:tc>
        <w:tc>
          <w:tcPr>
            <w:tcW w:w="0" w:type="dxa"/>
            <w:shd w:val="clear" w:color="auto" w:fill="FFFFFF" w:themeFill="background1"/>
            <w:noWrap/>
            <w:hideMark/>
          </w:tcPr>
          <w:p w14:paraId="2506A147" w14:textId="77777777" w:rsidR="0076358A" w:rsidRPr="00E27A05" w:rsidRDefault="0076358A" w:rsidP="002B6E34">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sz w:val="22"/>
                <w:szCs w:val="22"/>
              </w:rPr>
            </w:pPr>
            <w:r w:rsidRPr="00E27A05">
              <w:rPr>
                <w:rFonts w:ascii="Palatino Linotype" w:hAnsi="Palatino Linotype"/>
                <w:color w:val="000000"/>
                <w:sz w:val="22"/>
                <w:szCs w:val="22"/>
              </w:rPr>
              <w:t> </w:t>
            </w:r>
          </w:p>
        </w:tc>
        <w:tc>
          <w:tcPr>
            <w:tcW w:w="0" w:type="dxa"/>
            <w:shd w:val="clear" w:color="auto" w:fill="FFFFFF" w:themeFill="background1"/>
            <w:noWrap/>
            <w:hideMark/>
          </w:tcPr>
          <w:p w14:paraId="0A65DCAA" w14:textId="77777777" w:rsidR="0076358A" w:rsidRPr="00E27A05" w:rsidRDefault="0076358A" w:rsidP="002B6E34">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sz w:val="22"/>
                <w:szCs w:val="22"/>
              </w:rPr>
            </w:pPr>
            <w:r w:rsidRPr="00E27A05">
              <w:rPr>
                <w:rFonts w:ascii="Palatino Linotype" w:hAnsi="Palatino Linotype"/>
                <w:color w:val="000000"/>
                <w:sz w:val="22"/>
                <w:szCs w:val="22"/>
              </w:rPr>
              <w:t>80%</w:t>
            </w:r>
          </w:p>
        </w:tc>
        <w:tc>
          <w:tcPr>
            <w:tcW w:w="0" w:type="dxa"/>
            <w:shd w:val="clear" w:color="auto" w:fill="FFFFFF" w:themeFill="background1"/>
            <w:noWrap/>
            <w:hideMark/>
          </w:tcPr>
          <w:p w14:paraId="00CF1E42" w14:textId="77777777" w:rsidR="0076358A" w:rsidRPr="00E27A05" w:rsidRDefault="0076358A" w:rsidP="002B6E34">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sz w:val="22"/>
                <w:szCs w:val="22"/>
              </w:rPr>
            </w:pPr>
            <w:r w:rsidRPr="00E27A05">
              <w:rPr>
                <w:rFonts w:ascii="Palatino Linotype" w:hAnsi="Palatino Linotype"/>
                <w:color w:val="000000"/>
                <w:sz w:val="22"/>
                <w:szCs w:val="22"/>
              </w:rPr>
              <w:t>44.8%</w:t>
            </w:r>
          </w:p>
        </w:tc>
        <w:tc>
          <w:tcPr>
            <w:tcW w:w="0" w:type="dxa"/>
            <w:shd w:val="clear" w:color="auto" w:fill="FFFFFF" w:themeFill="background1"/>
            <w:noWrap/>
            <w:hideMark/>
          </w:tcPr>
          <w:p w14:paraId="24C87BCE" w14:textId="77777777" w:rsidR="0076358A" w:rsidRPr="00E27A05" w:rsidRDefault="0076358A" w:rsidP="002B6E34">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sz w:val="22"/>
                <w:szCs w:val="22"/>
              </w:rPr>
            </w:pPr>
            <w:r w:rsidRPr="00E27A05">
              <w:rPr>
                <w:rFonts w:ascii="Palatino Linotype" w:hAnsi="Palatino Linotype"/>
                <w:color w:val="000000"/>
                <w:sz w:val="22"/>
                <w:szCs w:val="22"/>
              </w:rPr>
              <w:t> </w:t>
            </w:r>
          </w:p>
        </w:tc>
        <w:tc>
          <w:tcPr>
            <w:tcW w:w="0" w:type="dxa"/>
            <w:shd w:val="clear" w:color="auto" w:fill="FFFFFF" w:themeFill="background1"/>
            <w:noWrap/>
            <w:hideMark/>
          </w:tcPr>
          <w:p w14:paraId="3A425FA9" w14:textId="77777777" w:rsidR="0076358A" w:rsidRPr="00E27A05" w:rsidRDefault="0076358A" w:rsidP="002B6E34">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sz w:val="22"/>
                <w:szCs w:val="22"/>
              </w:rPr>
            </w:pPr>
            <w:r w:rsidRPr="00E27A05">
              <w:rPr>
                <w:rFonts w:ascii="Palatino Linotype" w:hAnsi="Palatino Linotype"/>
                <w:color w:val="000000"/>
                <w:sz w:val="22"/>
                <w:szCs w:val="22"/>
              </w:rPr>
              <w:t> </w:t>
            </w:r>
          </w:p>
        </w:tc>
        <w:tc>
          <w:tcPr>
            <w:tcW w:w="0" w:type="dxa"/>
            <w:shd w:val="clear" w:color="auto" w:fill="FFFFFF" w:themeFill="background1"/>
            <w:noWrap/>
            <w:hideMark/>
          </w:tcPr>
          <w:p w14:paraId="1F5CA2DC" w14:textId="77777777" w:rsidR="0076358A" w:rsidRPr="00E27A05" w:rsidRDefault="0076358A" w:rsidP="002B6E34">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sz w:val="22"/>
                <w:szCs w:val="22"/>
              </w:rPr>
            </w:pPr>
            <w:r w:rsidRPr="00E27A05">
              <w:rPr>
                <w:rFonts w:ascii="Palatino Linotype" w:hAnsi="Palatino Linotype"/>
                <w:color w:val="000000"/>
                <w:sz w:val="22"/>
                <w:szCs w:val="22"/>
              </w:rPr>
              <w:t>75%</w:t>
            </w:r>
          </w:p>
        </w:tc>
        <w:tc>
          <w:tcPr>
            <w:tcW w:w="0" w:type="dxa"/>
            <w:shd w:val="clear" w:color="auto" w:fill="FFFFFF" w:themeFill="background1"/>
            <w:noWrap/>
            <w:hideMark/>
          </w:tcPr>
          <w:p w14:paraId="3FE0A697" w14:textId="77777777" w:rsidR="0076358A" w:rsidRPr="00E27A05" w:rsidRDefault="0076358A" w:rsidP="002B6E34">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sz w:val="22"/>
                <w:szCs w:val="22"/>
              </w:rPr>
            </w:pPr>
            <w:r w:rsidRPr="00E27A05">
              <w:rPr>
                <w:rFonts w:ascii="Palatino Linotype" w:hAnsi="Palatino Linotype"/>
                <w:color w:val="000000"/>
                <w:sz w:val="22"/>
                <w:szCs w:val="22"/>
              </w:rPr>
              <w:t>9.8%</w:t>
            </w:r>
          </w:p>
        </w:tc>
        <w:tc>
          <w:tcPr>
            <w:tcW w:w="0" w:type="dxa"/>
            <w:shd w:val="clear" w:color="auto" w:fill="FFFFFF" w:themeFill="background1"/>
            <w:noWrap/>
            <w:hideMark/>
          </w:tcPr>
          <w:p w14:paraId="2863D270" w14:textId="77777777" w:rsidR="0076358A" w:rsidRPr="00E27A05" w:rsidRDefault="0076358A" w:rsidP="002B6E34">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sz w:val="22"/>
                <w:szCs w:val="22"/>
              </w:rPr>
            </w:pPr>
            <w:r w:rsidRPr="00E27A05">
              <w:rPr>
                <w:rFonts w:ascii="Palatino Linotype" w:hAnsi="Palatino Linotype"/>
                <w:color w:val="000000"/>
                <w:sz w:val="22"/>
                <w:szCs w:val="22"/>
              </w:rPr>
              <w:t> </w:t>
            </w:r>
          </w:p>
        </w:tc>
        <w:tc>
          <w:tcPr>
            <w:tcW w:w="0" w:type="dxa"/>
            <w:shd w:val="clear" w:color="auto" w:fill="FFFFFF" w:themeFill="background1"/>
            <w:noWrap/>
            <w:hideMark/>
          </w:tcPr>
          <w:p w14:paraId="188CD587" w14:textId="77777777" w:rsidR="0076358A" w:rsidRPr="00E27A05" w:rsidRDefault="0076358A" w:rsidP="002B6E34">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sz w:val="22"/>
                <w:szCs w:val="22"/>
              </w:rPr>
            </w:pPr>
            <w:r w:rsidRPr="00E27A05">
              <w:rPr>
                <w:rFonts w:ascii="Palatino Linotype" w:hAnsi="Palatino Linotype"/>
                <w:color w:val="000000"/>
                <w:sz w:val="22"/>
                <w:szCs w:val="22"/>
              </w:rPr>
              <w:t> </w:t>
            </w:r>
          </w:p>
        </w:tc>
        <w:tc>
          <w:tcPr>
            <w:tcW w:w="0" w:type="dxa"/>
            <w:shd w:val="clear" w:color="auto" w:fill="FFFFFF" w:themeFill="background1"/>
            <w:noWrap/>
            <w:hideMark/>
          </w:tcPr>
          <w:p w14:paraId="6DE8506A" w14:textId="77777777" w:rsidR="0076358A" w:rsidRPr="00E27A05" w:rsidRDefault="0076358A" w:rsidP="002B6E34">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sz w:val="22"/>
                <w:szCs w:val="22"/>
              </w:rPr>
            </w:pPr>
            <w:r w:rsidRPr="00E27A05">
              <w:rPr>
                <w:rFonts w:ascii="Palatino Linotype" w:hAnsi="Palatino Linotype"/>
                <w:color w:val="000000"/>
                <w:sz w:val="22"/>
                <w:szCs w:val="22"/>
              </w:rPr>
              <w:t>28%</w:t>
            </w:r>
          </w:p>
        </w:tc>
      </w:tr>
    </w:tbl>
    <w:p w14:paraId="3C782423" w14:textId="77777777" w:rsidR="0076358A" w:rsidRPr="00E27A05" w:rsidRDefault="0076358A" w:rsidP="0076358A">
      <w:pPr>
        <w:pStyle w:val="DecisionText"/>
        <w:spacing w:before="0" w:line="240" w:lineRule="auto"/>
        <w:rPr>
          <w:rFonts w:ascii="Palatino Linotype" w:hAnsi="Palatino Linotype"/>
        </w:rPr>
      </w:pPr>
    </w:p>
    <w:p w14:paraId="680F335F" w14:textId="77777777" w:rsidR="0076358A" w:rsidRPr="00E27A05" w:rsidRDefault="0076358A" w:rsidP="0076358A">
      <w:pPr>
        <w:pStyle w:val="DecisionText"/>
        <w:spacing w:before="0" w:line="240" w:lineRule="auto"/>
        <w:rPr>
          <w:rFonts w:ascii="Palatino Linotype" w:hAnsi="Palatino Linotype"/>
        </w:rPr>
      </w:pPr>
      <w:r w:rsidRPr="00E27A05">
        <w:rPr>
          <w:rFonts w:ascii="Palatino Linotype" w:hAnsi="Palatino Linotype"/>
        </w:rPr>
        <w:fldChar w:fldCharType="end"/>
      </w:r>
      <w:r w:rsidRPr="00E27A05">
        <w:rPr>
          <w:rFonts w:ascii="Palatino Linotype" w:hAnsi="Palatino Linotype"/>
        </w:rPr>
        <w:t>Of the 163 MW of power already procured on behalf of the GTSR program from Table 1, only 87.6 MW are enrolled,</w:t>
      </w:r>
      <w:r w:rsidRPr="00E27A05">
        <w:rPr>
          <w:rStyle w:val="FootnoteReference"/>
          <w:rFonts w:ascii="Palatino Linotype" w:hAnsi="Palatino Linotype"/>
        </w:rPr>
        <w:footnoteReference w:id="10"/>
      </w:r>
      <w:r w:rsidRPr="00E27A05">
        <w:rPr>
          <w:rFonts w:ascii="Palatino Linotype" w:hAnsi="Palatino Linotype"/>
        </w:rPr>
        <w:t xml:space="preserve"> leaving 75 MW unenrolled: only SDG&amp;E is close to full enrollment, and thus likely to procure additional renewables under the new, cheaper renewables contracts, as shown in the table below.  </w:t>
      </w:r>
    </w:p>
    <w:p w14:paraId="2A32A97E" w14:textId="77777777" w:rsidR="0076358A" w:rsidRPr="00E27A05" w:rsidRDefault="0076358A" w:rsidP="0076358A">
      <w:pPr>
        <w:rPr>
          <w:rFonts w:ascii="Palatino Linotype" w:hAnsi="Palatino Linotype"/>
          <w:sz w:val="20"/>
        </w:rPr>
      </w:pPr>
      <w:r w:rsidRPr="00E27A05">
        <w:rPr>
          <w:rFonts w:ascii="Palatino Linotype" w:hAnsi="Palatino Linotype"/>
        </w:rPr>
        <w:fldChar w:fldCharType="begin"/>
      </w:r>
      <w:r w:rsidRPr="00E27A05">
        <w:rPr>
          <w:rFonts w:ascii="Palatino Linotype" w:hAnsi="Palatino Linotype"/>
        </w:rPr>
        <w:instrText xml:space="preserve"> LINK </w:instrText>
      </w:r>
      <w:r w:rsidR="005662BB">
        <w:rPr>
          <w:rFonts w:ascii="Palatino Linotype" w:hAnsi="Palatino Linotype"/>
        </w:rPr>
        <w:instrText xml:space="preserve">Excel.Sheet.12 "D:\\cyc\\My Documents\\GTSR\\GTSR_Website\\2019-05_GTSR_Stats.xlsx" "Table 2!R15C2:R20C10" </w:instrText>
      </w:r>
      <w:r w:rsidRPr="00E27A05">
        <w:rPr>
          <w:rFonts w:ascii="Palatino Linotype" w:hAnsi="Palatino Linotype"/>
        </w:rPr>
        <w:instrText xml:space="preserve">\a \f 4 \h  \* MERGEFORMAT </w:instrText>
      </w:r>
      <w:r w:rsidRPr="00E27A05">
        <w:rPr>
          <w:rFonts w:ascii="Palatino Linotype" w:hAnsi="Palatino Linotype"/>
        </w:rPr>
        <w:fldChar w:fldCharType="separate"/>
      </w:r>
    </w:p>
    <w:p w14:paraId="749D026A" w14:textId="240573CC" w:rsidR="0076358A" w:rsidRPr="00E27A05" w:rsidRDefault="0076358A" w:rsidP="0076358A">
      <w:pPr>
        <w:pStyle w:val="Caption"/>
        <w:keepNext/>
        <w:rPr>
          <w:rFonts w:ascii="Palatino Linotype" w:hAnsi="Palatino Linotype"/>
          <w:sz w:val="26"/>
          <w:szCs w:val="26"/>
        </w:rPr>
      </w:pPr>
      <w:r w:rsidRPr="00E27A05">
        <w:rPr>
          <w:rFonts w:ascii="Palatino Linotype" w:hAnsi="Palatino Linotype"/>
          <w:sz w:val="26"/>
          <w:szCs w:val="26"/>
        </w:rPr>
        <w:t xml:space="preserve">Table </w:t>
      </w:r>
      <w:r w:rsidRPr="00E27A05">
        <w:rPr>
          <w:rFonts w:ascii="Palatino Linotype" w:hAnsi="Palatino Linotype"/>
          <w:sz w:val="26"/>
          <w:szCs w:val="26"/>
        </w:rPr>
        <w:fldChar w:fldCharType="begin"/>
      </w:r>
      <w:r w:rsidRPr="00E27A05">
        <w:rPr>
          <w:rFonts w:ascii="Palatino Linotype" w:hAnsi="Palatino Linotype"/>
          <w:sz w:val="26"/>
          <w:szCs w:val="26"/>
        </w:rPr>
        <w:instrText xml:space="preserve"> SEQ Table \* ARABIC </w:instrText>
      </w:r>
      <w:r w:rsidRPr="00E27A05">
        <w:rPr>
          <w:rFonts w:ascii="Palatino Linotype" w:hAnsi="Palatino Linotype"/>
          <w:sz w:val="26"/>
          <w:szCs w:val="26"/>
        </w:rPr>
        <w:fldChar w:fldCharType="separate"/>
      </w:r>
      <w:r w:rsidR="006667DA">
        <w:rPr>
          <w:rFonts w:ascii="Palatino Linotype" w:hAnsi="Palatino Linotype"/>
          <w:noProof/>
          <w:sz w:val="26"/>
          <w:szCs w:val="26"/>
        </w:rPr>
        <w:t>3</w:t>
      </w:r>
      <w:r w:rsidRPr="00E27A05">
        <w:rPr>
          <w:rFonts w:ascii="Palatino Linotype" w:hAnsi="Palatino Linotype"/>
          <w:noProof/>
          <w:sz w:val="26"/>
          <w:szCs w:val="26"/>
        </w:rPr>
        <w:fldChar w:fldCharType="end"/>
      </w:r>
      <w:r w:rsidRPr="00E27A05">
        <w:rPr>
          <w:rFonts w:ascii="Palatino Linotype" w:hAnsi="Palatino Linotype"/>
          <w:sz w:val="26"/>
          <w:szCs w:val="26"/>
        </w:rPr>
        <w:t>: Cumulative Estimated Megawatts (MW) of GT Customer Enrollment</w:t>
      </w:r>
    </w:p>
    <w:tbl>
      <w:tblPr>
        <w:tblStyle w:val="GridTable41"/>
        <w:tblW w:w="9350" w:type="dxa"/>
        <w:tblLayout w:type="fixed"/>
        <w:tblLook w:val="04A0" w:firstRow="1" w:lastRow="0" w:firstColumn="1" w:lastColumn="0" w:noHBand="0" w:noVBand="1"/>
      </w:tblPr>
      <w:tblGrid>
        <w:gridCol w:w="2515"/>
        <w:gridCol w:w="1708"/>
        <w:gridCol w:w="1709"/>
        <w:gridCol w:w="1709"/>
        <w:gridCol w:w="1709"/>
      </w:tblGrid>
      <w:tr w:rsidR="00032E00" w14:paraId="0C350093" w14:textId="77777777" w:rsidTr="00032E0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15" w:type="dxa"/>
            <w:tcBorders>
              <w:right w:val="single" w:sz="4" w:space="0" w:color="FFFFFF" w:themeColor="background1"/>
            </w:tcBorders>
            <w:noWrap/>
            <w:hideMark/>
          </w:tcPr>
          <w:p w14:paraId="46728CD3" w14:textId="77777777" w:rsidR="0076358A" w:rsidRPr="00E27A05" w:rsidRDefault="0076358A" w:rsidP="002B6E34">
            <w:pPr>
              <w:rPr>
                <w:rFonts w:ascii="Palatino Linotype" w:hAnsi="Palatino Linotype"/>
                <w:b w:val="0"/>
                <w:bCs w:val="0"/>
                <w:color w:val="000000"/>
                <w:sz w:val="22"/>
                <w:szCs w:val="22"/>
              </w:rPr>
            </w:pPr>
            <w:r w:rsidRPr="00E27A05">
              <w:rPr>
                <w:rFonts w:ascii="Palatino Linotype" w:hAnsi="Palatino Linotype"/>
                <w:b w:val="0"/>
                <w:bCs w:val="0"/>
                <w:color w:val="000000"/>
                <w:sz w:val="22"/>
                <w:szCs w:val="22"/>
              </w:rPr>
              <w:t> </w:t>
            </w:r>
          </w:p>
        </w:tc>
        <w:tc>
          <w:tcPr>
            <w:tcW w:w="1708" w:type="dxa"/>
            <w:tcBorders>
              <w:left w:val="single" w:sz="4" w:space="0" w:color="FFFFFF" w:themeColor="background1"/>
              <w:right w:val="single" w:sz="4" w:space="0" w:color="FFFFFF" w:themeColor="background1"/>
            </w:tcBorders>
            <w:noWrap/>
            <w:hideMark/>
          </w:tcPr>
          <w:p w14:paraId="33915F48" w14:textId="77777777" w:rsidR="0076358A" w:rsidRPr="00E27A05" w:rsidRDefault="0076358A" w:rsidP="002B6E34">
            <w:pPr>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b w:val="0"/>
                <w:bCs w:val="0"/>
                <w:color w:val="FFFFFF"/>
                <w:sz w:val="22"/>
                <w:szCs w:val="22"/>
              </w:rPr>
            </w:pPr>
            <w:r w:rsidRPr="00E27A05">
              <w:rPr>
                <w:rFonts w:ascii="Palatino Linotype" w:hAnsi="Palatino Linotype"/>
                <w:b w:val="0"/>
                <w:bCs w:val="0"/>
                <w:color w:val="FFFFFF"/>
                <w:sz w:val="22"/>
                <w:szCs w:val="22"/>
              </w:rPr>
              <w:t>Total</w:t>
            </w:r>
          </w:p>
        </w:tc>
        <w:tc>
          <w:tcPr>
            <w:tcW w:w="1709" w:type="dxa"/>
            <w:tcBorders>
              <w:left w:val="single" w:sz="4" w:space="0" w:color="FFFFFF" w:themeColor="background1"/>
              <w:right w:val="single" w:sz="4" w:space="0" w:color="FFFFFF" w:themeColor="background1"/>
            </w:tcBorders>
            <w:noWrap/>
            <w:hideMark/>
          </w:tcPr>
          <w:p w14:paraId="6B0124D2" w14:textId="77777777" w:rsidR="0076358A" w:rsidRPr="00E27A05" w:rsidRDefault="0076358A" w:rsidP="002B6E34">
            <w:pPr>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b w:val="0"/>
                <w:bCs w:val="0"/>
                <w:color w:val="FFFFFF"/>
                <w:sz w:val="22"/>
                <w:szCs w:val="22"/>
              </w:rPr>
            </w:pPr>
            <w:r w:rsidRPr="00E27A05">
              <w:rPr>
                <w:rFonts w:ascii="Palatino Linotype" w:hAnsi="Palatino Linotype"/>
                <w:b w:val="0"/>
                <w:bCs w:val="0"/>
                <w:color w:val="FFFFFF"/>
                <w:sz w:val="22"/>
                <w:szCs w:val="22"/>
              </w:rPr>
              <w:t>PG&amp;E</w:t>
            </w:r>
          </w:p>
        </w:tc>
        <w:tc>
          <w:tcPr>
            <w:tcW w:w="1709" w:type="dxa"/>
            <w:tcBorders>
              <w:left w:val="single" w:sz="4" w:space="0" w:color="FFFFFF" w:themeColor="background1"/>
              <w:right w:val="single" w:sz="4" w:space="0" w:color="FFFFFF" w:themeColor="background1"/>
            </w:tcBorders>
            <w:noWrap/>
            <w:hideMark/>
          </w:tcPr>
          <w:p w14:paraId="25EE7A10" w14:textId="77777777" w:rsidR="0076358A" w:rsidRPr="00E27A05" w:rsidRDefault="0076358A" w:rsidP="002B6E34">
            <w:pPr>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b w:val="0"/>
                <w:bCs w:val="0"/>
                <w:color w:val="FFFFFF"/>
                <w:sz w:val="22"/>
                <w:szCs w:val="22"/>
              </w:rPr>
            </w:pPr>
            <w:r w:rsidRPr="00E27A05">
              <w:rPr>
                <w:rFonts w:ascii="Palatino Linotype" w:hAnsi="Palatino Linotype"/>
                <w:b w:val="0"/>
                <w:bCs w:val="0"/>
                <w:color w:val="FFFFFF"/>
                <w:sz w:val="22"/>
                <w:szCs w:val="22"/>
              </w:rPr>
              <w:t>SCE</w:t>
            </w:r>
          </w:p>
        </w:tc>
        <w:tc>
          <w:tcPr>
            <w:tcW w:w="1709" w:type="dxa"/>
            <w:tcBorders>
              <w:left w:val="single" w:sz="4" w:space="0" w:color="FFFFFF" w:themeColor="background1"/>
            </w:tcBorders>
            <w:noWrap/>
            <w:hideMark/>
          </w:tcPr>
          <w:p w14:paraId="48CD6F56" w14:textId="77777777" w:rsidR="0076358A" w:rsidRPr="00E27A05" w:rsidRDefault="0076358A" w:rsidP="002B6E34">
            <w:pPr>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b w:val="0"/>
                <w:bCs w:val="0"/>
                <w:color w:val="FFFFFF"/>
                <w:sz w:val="22"/>
                <w:szCs w:val="22"/>
              </w:rPr>
            </w:pPr>
            <w:r w:rsidRPr="00E27A05">
              <w:rPr>
                <w:rFonts w:ascii="Palatino Linotype" w:hAnsi="Palatino Linotype"/>
                <w:b w:val="0"/>
                <w:bCs w:val="0"/>
                <w:color w:val="FFFFFF"/>
                <w:sz w:val="22"/>
                <w:szCs w:val="22"/>
              </w:rPr>
              <w:t>SDG&amp;E</w:t>
            </w:r>
          </w:p>
        </w:tc>
      </w:tr>
      <w:tr w:rsidR="00032E00" w14:paraId="0B344A54" w14:textId="77777777" w:rsidTr="00032E0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15" w:type="dxa"/>
            <w:shd w:val="clear" w:color="auto" w:fill="FFFFFF" w:themeFill="background1"/>
            <w:hideMark/>
          </w:tcPr>
          <w:p w14:paraId="6863C212" w14:textId="77777777" w:rsidR="0076358A" w:rsidRPr="00E27A05" w:rsidRDefault="0076358A" w:rsidP="002B6E34">
            <w:pPr>
              <w:rPr>
                <w:rFonts w:ascii="Palatino Linotype" w:hAnsi="Palatino Linotype"/>
                <w:b w:val="0"/>
                <w:bCs w:val="0"/>
                <w:color w:val="000000"/>
                <w:sz w:val="22"/>
                <w:szCs w:val="22"/>
              </w:rPr>
            </w:pPr>
            <w:r w:rsidRPr="00E27A05">
              <w:rPr>
                <w:rFonts w:ascii="Palatino Linotype" w:hAnsi="Palatino Linotype"/>
                <w:b w:val="0"/>
                <w:bCs w:val="0"/>
                <w:color w:val="000000"/>
                <w:sz w:val="22"/>
                <w:szCs w:val="22"/>
              </w:rPr>
              <w:t>Category</w:t>
            </w:r>
          </w:p>
        </w:tc>
        <w:tc>
          <w:tcPr>
            <w:tcW w:w="1708" w:type="dxa"/>
            <w:shd w:val="clear" w:color="auto" w:fill="FFFFFF" w:themeFill="background1"/>
            <w:hideMark/>
          </w:tcPr>
          <w:p w14:paraId="56190EFE" w14:textId="77777777" w:rsidR="0076358A" w:rsidRPr="00E27A05" w:rsidRDefault="0076358A" w:rsidP="002B6E34">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sz w:val="22"/>
                <w:szCs w:val="22"/>
              </w:rPr>
            </w:pPr>
            <w:r w:rsidRPr="00E27A05">
              <w:rPr>
                <w:rFonts w:ascii="Palatino Linotype" w:hAnsi="Palatino Linotype"/>
                <w:color w:val="000000"/>
                <w:sz w:val="22"/>
                <w:szCs w:val="22"/>
              </w:rPr>
              <w:t>GT</w:t>
            </w:r>
          </w:p>
        </w:tc>
        <w:tc>
          <w:tcPr>
            <w:tcW w:w="1709" w:type="dxa"/>
            <w:shd w:val="clear" w:color="auto" w:fill="FFFFFF" w:themeFill="background1"/>
            <w:hideMark/>
          </w:tcPr>
          <w:p w14:paraId="1A611A0A" w14:textId="77777777" w:rsidR="0076358A" w:rsidRPr="00E27A05" w:rsidRDefault="0076358A" w:rsidP="002B6E34">
            <w:pPr>
              <w:keepNext/>
              <w:keepLines/>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sz w:val="22"/>
                <w:szCs w:val="22"/>
              </w:rPr>
            </w:pPr>
            <w:r w:rsidRPr="00E27A05">
              <w:rPr>
                <w:rFonts w:ascii="Palatino Linotype" w:hAnsi="Palatino Linotype"/>
                <w:color w:val="000000"/>
                <w:sz w:val="22"/>
                <w:szCs w:val="22"/>
              </w:rPr>
              <w:t>GT</w:t>
            </w:r>
          </w:p>
        </w:tc>
        <w:tc>
          <w:tcPr>
            <w:tcW w:w="1709" w:type="dxa"/>
            <w:shd w:val="clear" w:color="auto" w:fill="FFFFFF" w:themeFill="background1"/>
            <w:hideMark/>
          </w:tcPr>
          <w:p w14:paraId="1A30BD76" w14:textId="77777777" w:rsidR="0076358A" w:rsidRPr="00E27A05" w:rsidRDefault="0076358A" w:rsidP="002B6E34">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sz w:val="22"/>
                <w:szCs w:val="22"/>
              </w:rPr>
            </w:pPr>
            <w:r w:rsidRPr="00E27A05">
              <w:rPr>
                <w:rFonts w:ascii="Palatino Linotype" w:hAnsi="Palatino Linotype"/>
                <w:color w:val="000000"/>
                <w:sz w:val="22"/>
                <w:szCs w:val="22"/>
              </w:rPr>
              <w:t>GT</w:t>
            </w:r>
          </w:p>
        </w:tc>
        <w:tc>
          <w:tcPr>
            <w:tcW w:w="1709" w:type="dxa"/>
            <w:shd w:val="clear" w:color="auto" w:fill="FFFFFF" w:themeFill="background1"/>
            <w:hideMark/>
          </w:tcPr>
          <w:p w14:paraId="5AE12AD0" w14:textId="77777777" w:rsidR="0076358A" w:rsidRPr="00E27A05" w:rsidRDefault="0076358A" w:rsidP="002B6E34">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sz w:val="22"/>
                <w:szCs w:val="22"/>
              </w:rPr>
            </w:pPr>
            <w:r w:rsidRPr="00E27A05">
              <w:rPr>
                <w:rFonts w:ascii="Palatino Linotype" w:hAnsi="Palatino Linotype"/>
                <w:color w:val="000000"/>
                <w:sz w:val="22"/>
                <w:szCs w:val="22"/>
              </w:rPr>
              <w:t>GT</w:t>
            </w:r>
          </w:p>
        </w:tc>
      </w:tr>
      <w:tr w:rsidR="00032E00" w14:paraId="2A9DF754" w14:textId="77777777" w:rsidTr="00032E00">
        <w:trPr>
          <w:trHeight w:val="300"/>
        </w:trPr>
        <w:tc>
          <w:tcPr>
            <w:cnfStyle w:val="001000000000" w:firstRow="0" w:lastRow="0" w:firstColumn="1" w:lastColumn="0" w:oddVBand="0" w:evenVBand="0" w:oddHBand="0" w:evenHBand="0" w:firstRowFirstColumn="0" w:firstRowLastColumn="0" w:lastRowFirstColumn="0" w:lastRowLastColumn="0"/>
            <w:tcW w:w="2515" w:type="dxa"/>
            <w:shd w:val="clear" w:color="auto" w:fill="FFFFFF" w:themeFill="background1"/>
            <w:noWrap/>
            <w:hideMark/>
          </w:tcPr>
          <w:p w14:paraId="7014270B" w14:textId="77777777" w:rsidR="0076358A" w:rsidRPr="00E27A05" w:rsidRDefault="0076358A" w:rsidP="002B6E34">
            <w:pPr>
              <w:rPr>
                <w:rFonts w:ascii="Palatino Linotype" w:hAnsi="Palatino Linotype"/>
                <w:b w:val="0"/>
                <w:bCs w:val="0"/>
                <w:color w:val="000000"/>
                <w:sz w:val="22"/>
                <w:szCs w:val="22"/>
              </w:rPr>
            </w:pPr>
            <w:r w:rsidRPr="00E27A05">
              <w:rPr>
                <w:rFonts w:ascii="Palatino Linotype" w:hAnsi="Palatino Linotype"/>
                <w:b w:val="0"/>
                <w:bCs w:val="0"/>
                <w:color w:val="000000"/>
                <w:sz w:val="22"/>
                <w:szCs w:val="22"/>
              </w:rPr>
              <w:t>Residential Customers</w:t>
            </w:r>
          </w:p>
        </w:tc>
        <w:tc>
          <w:tcPr>
            <w:tcW w:w="1708" w:type="dxa"/>
            <w:shd w:val="clear" w:color="auto" w:fill="FFFFFF" w:themeFill="background1"/>
            <w:noWrap/>
            <w:hideMark/>
          </w:tcPr>
          <w:p w14:paraId="502AC97B" w14:textId="77777777" w:rsidR="0076358A" w:rsidRPr="00E27A05" w:rsidRDefault="0076358A" w:rsidP="002B6E34">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sz w:val="22"/>
                <w:szCs w:val="22"/>
              </w:rPr>
            </w:pPr>
            <w:r w:rsidRPr="00E27A05">
              <w:rPr>
                <w:rFonts w:ascii="Palatino Linotype" w:hAnsi="Palatino Linotype"/>
                <w:color w:val="000000"/>
                <w:sz w:val="22"/>
                <w:szCs w:val="22"/>
              </w:rPr>
              <w:t>25.39</w:t>
            </w:r>
          </w:p>
        </w:tc>
        <w:tc>
          <w:tcPr>
            <w:tcW w:w="1709" w:type="dxa"/>
            <w:shd w:val="clear" w:color="auto" w:fill="FFFFFF" w:themeFill="background1"/>
            <w:noWrap/>
            <w:hideMark/>
          </w:tcPr>
          <w:p w14:paraId="14805086" w14:textId="77777777" w:rsidR="0076358A" w:rsidRPr="00E27A05" w:rsidRDefault="0076358A" w:rsidP="002B6E34">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sz w:val="22"/>
                <w:szCs w:val="22"/>
              </w:rPr>
            </w:pPr>
            <w:r w:rsidRPr="00E27A05">
              <w:rPr>
                <w:rFonts w:ascii="Palatino Linotype" w:hAnsi="Palatino Linotype"/>
                <w:color w:val="000000"/>
                <w:sz w:val="22"/>
                <w:szCs w:val="22"/>
              </w:rPr>
              <w:t>8.90</w:t>
            </w:r>
          </w:p>
        </w:tc>
        <w:tc>
          <w:tcPr>
            <w:tcW w:w="1709" w:type="dxa"/>
            <w:shd w:val="clear" w:color="auto" w:fill="FFFFFF" w:themeFill="background1"/>
            <w:noWrap/>
            <w:hideMark/>
          </w:tcPr>
          <w:p w14:paraId="199DDA2E" w14:textId="77777777" w:rsidR="0076358A" w:rsidRPr="00E27A05" w:rsidRDefault="0076358A" w:rsidP="002B6E34">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sz w:val="22"/>
                <w:szCs w:val="22"/>
              </w:rPr>
            </w:pPr>
            <w:r w:rsidRPr="00E27A05">
              <w:rPr>
                <w:rFonts w:ascii="Palatino Linotype" w:hAnsi="Palatino Linotype"/>
                <w:color w:val="000000"/>
                <w:sz w:val="22"/>
                <w:szCs w:val="22"/>
              </w:rPr>
              <w:t>13.42</w:t>
            </w:r>
          </w:p>
        </w:tc>
        <w:tc>
          <w:tcPr>
            <w:tcW w:w="1709" w:type="dxa"/>
            <w:shd w:val="clear" w:color="auto" w:fill="FFFFFF" w:themeFill="background1"/>
            <w:noWrap/>
            <w:hideMark/>
          </w:tcPr>
          <w:p w14:paraId="57C7E4B6" w14:textId="77777777" w:rsidR="0076358A" w:rsidRPr="00E27A05" w:rsidRDefault="0076358A" w:rsidP="002B6E34">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sz w:val="22"/>
                <w:szCs w:val="22"/>
              </w:rPr>
            </w:pPr>
            <w:r w:rsidRPr="00E27A05">
              <w:rPr>
                <w:rFonts w:ascii="Palatino Linotype" w:hAnsi="Palatino Linotype"/>
                <w:color w:val="000000"/>
                <w:sz w:val="22"/>
                <w:szCs w:val="22"/>
              </w:rPr>
              <w:t>3.07</w:t>
            </w:r>
          </w:p>
        </w:tc>
      </w:tr>
      <w:tr w:rsidR="00032E00" w14:paraId="4865B21F" w14:textId="77777777" w:rsidTr="00032E0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15" w:type="dxa"/>
            <w:shd w:val="clear" w:color="auto" w:fill="FFFFFF" w:themeFill="background1"/>
            <w:noWrap/>
            <w:hideMark/>
          </w:tcPr>
          <w:p w14:paraId="092629DC" w14:textId="77777777" w:rsidR="0076358A" w:rsidRPr="00E27A05" w:rsidRDefault="0076358A" w:rsidP="002B6E34">
            <w:pPr>
              <w:rPr>
                <w:rFonts w:ascii="Palatino Linotype" w:hAnsi="Palatino Linotype"/>
                <w:b w:val="0"/>
                <w:bCs w:val="0"/>
                <w:color w:val="000000"/>
                <w:sz w:val="22"/>
                <w:szCs w:val="22"/>
              </w:rPr>
            </w:pPr>
            <w:r w:rsidRPr="00E27A05">
              <w:rPr>
                <w:rFonts w:ascii="Palatino Linotype" w:hAnsi="Palatino Linotype"/>
                <w:b w:val="0"/>
                <w:bCs w:val="0"/>
                <w:color w:val="000000"/>
                <w:sz w:val="22"/>
                <w:szCs w:val="22"/>
              </w:rPr>
              <w:t>Non-Residential Customers</w:t>
            </w:r>
          </w:p>
        </w:tc>
        <w:tc>
          <w:tcPr>
            <w:tcW w:w="1708" w:type="dxa"/>
            <w:shd w:val="clear" w:color="auto" w:fill="FFFFFF" w:themeFill="background1"/>
            <w:noWrap/>
            <w:hideMark/>
          </w:tcPr>
          <w:p w14:paraId="18209652" w14:textId="77777777" w:rsidR="0076358A" w:rsidRPr="00E27A05" w:rsidRDefault="0076358A" w:rsidP="002B6E34">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sz w:val="22"/>
                <w:szCs w:val="22"/>
              </w:rPr>
            </w:pPr>
            <w:r w:rsidRPr="00E27A05">
              <w:rPr>
                <w:rFonts w:ascii="Palatino Linotype" w:hAnsi="Palatino Linotype"/>
                <w:color w:val="000000"/>
                <w:sz w:val="22"/>
                <w:szCs w:val="22"/>
              </w:rPr>
              <w:t>62.21</w:t>
            </w:r>
          </w:p>
        </w:tc>
        <w:tc>
          <w:tcPr>
            <w:tcW w:w="1709" w:type="dxa"/>
            <w:shd w:val="clear" w:color="auto" w:fill="FFFFFF" w:themeFill="background1"/>
            <w:noWrap/>
            <w:hideMark/>
          </w:tcPr>
          <w:p w14:paraId="35338083" w14:textId="77777777" w:rsidR="0076358A" w:rsidRPr="00E27A05" w:rsidRDefault="0076358A" w:rsidP="002B6E34">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sz w:val="22"/>
                <w:szCs w:val="22"/>
              </w:rPr>
            </w:pPr>
            <w:r w:rsidRPr="00E27A05">
              <w:rPr>
                <w:rFonts w:ascii="Palatino Linotype" w:hAnsi="Palatino Linotype"/>
                <w:color w:val="000000"/>
                <w:sz w:val="22"/>
                <w:szCs w:val="22"/>
              </w:rPr>
              <w:t>16.20</w:t>
            </w:r>
          </w:p>
        </w:tc>
        <w:tc>
          <w:tcPr>
            <w:tcW w:w="1709" w:type="dxa"/>
            <w:shd w:val="clear" w:color="auto" w:fill="FFFFFF" w:themeFill="background1"/>
            <w:noWrap/>
            <w:hideMark/>
          </w:tcPr>
          <w:p w14:paraId="13D5E853" w14:textId="77777777" w:rsidR="0076358A" w:rsidRPr="00E27A05" w:rsidRDefault="0076358A" w:rsidP="002B6E34">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sz w:val="22"/>
                <w:szCs w:val="22"/>
              </w:rPr>
            </w:pPr>
            <w:r w:rsidRPr="00E27A05">
              <w:rPr>
                <w:rFonts w:ascii="Palatino Linotype" w:hAnsi="Palatino Linotype"/>
                <w:color w:val="000000"/>
                <w:sz w:val="22"/>
                <w:szCs w:val="22"/>
              </w:rPr>
              <w:t>4.88</w:t>
            </w:r>
          </w:p>
        </w:tc>
        <w:tc>
          <w:tcPr>
            <w:tcW w:w="1709" w:type="dxa"/>
            <w:shd w:val="clear" w:color="auto" w:fill="FFFFFF" w:themeFill="background1"/>
            <w:noWrap/>
            <w:hideMark/>
          </w:tcPr>
          <w:p w14:paraId="103E7D9D" w14:textId="77777777" w:rsidR="0076358A" w:rsidRPr="00E27A05" w:rsidRDefault="0076358A" w:rsidP="002B6E34">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sz w:val="22"/>
                <w:szCs w:val="22"/>
              </w:rPr>
            </w:pPr>
            <w:r w:rsidRPr="00E27A05">
              <w:rPr>
                <w:rFonts w:ascii="Palatino Linotype" w:hAnsi="Palatino Linotype"/>
                <w:color w:val="000000"/>
                <w:sz w:val="22"/>
                <w:szCs w:val="22"/>
              </w:rPr>
              <w:t>41.13</w:t>
            </w:r>
          </w:p>
        </w:tc>
      </w:tr>
      <w:tr w:rsidR="00032E00" w14:paraId="528D176E" w14:textId="77777777" w:rsidTr="00032E00">
        <w:trPr>
          <w:trHeight w:val="300"/>
        </w:trPr>
        <w:tc>
          <w:tcPr>
            <w:cnfStyle w:val="001000000000" w:firstRow="0" w:lastRow="0" w:firstColumn="1" w:lastColumn="0" w:oddVBand="0" w:evenVBand="0" w:oddHBand="0" w:evenHBand="0" w:firstRowFirstColumn="0" w:firstRowLastColumn="0" w:lastRowFirstColumn="0" w:lastRowLastColumn="0"/>
            <w:tcW w:w="2515" w:type="dxa"/>
            <w:shd w:val="clear" w:color="auto" w:fill="FFFFFF" w:themeFill="background1"/>
            <w:noWrap/>
            <w:hideMark/>
          </w:tcPr>
          <w:p w14:paraId="006F310C" w14:textId="77777777" w:rsidR="0076358A" w:rsidRPr="00E27A05" w:rsidRDefault="0076358A" w:rsidP="002B6E34">
            <w:pPr>
              <w:jc w:val="right"/>
              <w:rPr>
                <w:rFonts w:ascii="Palatino Linotype" w:hAnsi="Palatino Linotype"/>
                <w:b w:val="0"/>
                <w:bCs w:val="0"/>
                <w:color w:val="000000"/>
                <w:sz w:val="22"/>
                <w:szCs w:val="22"/>
              </w:rPr>
            </w:pPr>
            <w:r w:rsidRPr="00E27A05">
              <w:rPr>
                <w:rFonts w:ascii="Palatino Linotype" w:hAnsi="Palatino Linotype"/>
                <w:b w:val="0"/>
                <w:bCs w:val="0"/>
                <w:color w:val="000000"/>
                <w:sz w:val="22"/>
                <w:szCs w:val="22"/>
              </w:rPr>
              <w:t>Total</w:t>
            </w:r>
          </w:p>
        </w:tc>
        <w:tc>
          <w:tcPr>
            <w:tcW w:w="1708" w:type="dxa"/>
            <w:shd w:val="clear" w:color="auto" w:fill="FFFFFF" w:themeFill="background1"/>
            <w:noWrap/>
            <w:hideMark/>
          </w:tcPr>
          <w:p w14:paraId="44B94E69" w14:textId="77777777" w:rsidR="0076358A" w:rsidRPr="00E27A05" w:rsidRDefault="0076358A" w:rsidP="002B6E34">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sz w:val="22"/>
                <w:szCs w:val="22"/>
              </w:rPr>
            </w:pPr>
            <w:r w:rsidRPr="00E27A05">
              <w:rPr>
                <w:rFonts w:ascii="Palatino Linotype" w:hAnsi="Palatino Linotype"/>
                <w:color w:val="000000"/>
                <w:sz w:val="22"/>
                <w:szCs w:val="22"/>
              </w:rPr>
              <w:t>87.60</w:t>
            </w:r>
          </w:p>
        </w:tc>
        <w:tc>
          <w:tcPr>
            <w:tcW w:w="1709" w:type="dxa"/>
            <w:shd w:val="clear" w:color="auto" w:fill="FFFFFF" w:themeFill="background1"/>
            <w:noWrap/>
            <w:hideMark/>
          </w:tcPr>
          <w:p w14:paraId="1401DCB4" w14:textId="77777777" w:rsidR="0076358A" w:rsidRPr="00E27A05" w:rsidRDefault="0076358A" w:rsidP="002B6E34">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sz w:val="22"/>
                <w:szCs w:val="22"/>
              </w:rPr>
            </w:pPr>
            <w:r w:rsidRPr="00E27A05">
              <w:rPr>
                <w:rFonts w:ascii="Palatino Linotype" w:hAnsi="Palatino Linotype"/>
                <w:color w:val="000000"/>
                <w:sz w:val="22"/>
                <w:szCs w:val="22"/>
              </w:rPr>
              <w:t>25.10</w:t>
            </w:r>
          </w:p>
        </w:tc>
        <w:tc>
          <w:tcPr>
            <w:tcW w:w="1709" w:type="dxa"/>
            <w:shd w:val="clear" w:color="auto" w:fill="FFFFFF" w:themeFill="background1"/>
            <w:noWrap/>
            <w:hideMark/>
          </w:tcPr>
          <w:p w14:paraId="267C9A11" w14:textId="77777777" w:rsidR="0076358A" w:rsidRPr="00E27A05" w:rsidRDefault="0076358A" w:rsidP="002B6E34">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sz w:val="22"/>
                <w:szCs w:val="22"/>
              </w:rPr>
            </w:pPr>
            <w:r w:rsidRPr="00E27A05">
              <w:rPr>
                <w:rFonts w:ascii="Palatino Linotype" w:hAnsi="Palatino Linotype"/>
                <w:color w:val="000000"/>
                <w:sz w:val="22"/>
                <w:szCs w:val="22"/>
              </w:rPr>
              <w:t>18.30</w:t>
            </w:r>
          </w:p>
        </w:tc>
        <w:tc>
          <w:tcPr>
            <w:tcW w:w="1709" w:type="dxa"/>
            <w:shd w:val="clear" w:color="auto" w:fill="FFFFFF" w:themeFill="background1"/>
            <w:noWrap/>
            <w:hideMark/>
          </w:tcPr>
          <w:p w14:paraId="152F4C41" w14:textId="77777777" w:rsidR="0076358A" w:rsidRPr="00E27A05" w:rsidRDefault="0076358A" w:rsidP="002B6E34">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sz w:val="22"/>
                <w:szCs w:val="22"/>
              </w:rPr>
            </w:pPr>
            <w:r w:rsidRPr="00E27A05">
              <w:rPr>
                <w:rFonts w:ascii="Palatino Linotype" w:hAnsi="Palatino Linotype"/>
                <w:color w:val="000000"/>
                <w:sz w:val="22"/>
                <w:szCs w:val="22"/>
              </w:rPr>
              <w:t>44.20</w:t>
            </w:r>
          </w:p>
        </w:tc>
      </w:tr>
      <w:tr w:rsidR="00032E00" w14:paraId="2CEB6897" w14:textId="77777777" w:rsidTr="00032E0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15" w:type="dxa"/>
            <w:shd w:val="clear" w:color="auto" w:fill="FFFFFF" w:themeFill="background1"/>
            <w:noWrap/>
            <w:hideMark/>
          </w:tcPr>
          <w:p w14:paraId="09C8AB2F" w14:textId="77777777" w:rsidR="0076358A" w:rsidRPr="00E27A05" w:rsidRDefault="0076358A" w:rsidP="002B6E34">
            <w:pPr>
              <w:ind w:firstLineChars="100" w:firstLine="220"/>
              <w:jc w:val="right"/>
              <w:rPr>
                <w:rFonts w:ascii="Palatino Linotype" w:hAnsi="Palatino Linotype"/>
                <w:b w:val="0"/>
                <w:bCs w:val="0"/>
                <w:color w:val="000000"/>
                <w:sz w:val="22"/>
                <w:szCs w:val="22"/>
              </w:rPr>
            </w:pPr>
            <w:r w:rsidRPr="00E27A05">
              <w:rPr>
                <w:rFonts w:ascii="Palatino Linotype" w:hAnsi="Palatino Linotype"/>
                <w:b w:val="0"/>
                <w:bCs w:val="0"/>
                <w:color w:val="000000"/>
                <w:sz w:val="22"/>
                <w:szCs w:val="22"/>
              </w:rPr>
              <w:t>Percentage in State</w:t>
            </w:r>
          </w:p>
        </w:tc>
        <w:tc>
          <w:tcPr>
            <w:tcW w:w="1708" w:type="dxa"/>
            <w:shd w:val="clear" w:color="auto" w:fill="FFFFFF" w:themeFill="background1"/>
            <w:noWrap/>
            <w:hideMark/>
          </w:tcPr>
          <w:p w14:paraId="725BE3D7" w14:textId="77777777" w:rsidR="0076358A" w:rsidRPr="00E27A05" w:rsidRDefault="0076358A" w:rsidP="002B6E34">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sz w:val="22"/>
                <w:szCs w:val="22"/>
              </w:rPr>
            </w:pPr>
            <w:r w:rsidRPr="00E27A05">
              <w:rPr>
                <w:rFonts w:ascii="Palatino Linotype" w:hAnsi="Palatino Linotype"/>
                <w:color w:val="000000"/>
                <w:sz w:val="22"/>
                <w:szCs w:val="22"/>
              </w:rPr>
              <w:t>100%</w:t>
            </w:r>
          </w:p>
        </w:tc>
        <w:tc>
          <w:tcPr>
            <w:tcW w:w="1709" w:type="dxa"/>
            <w:shd w:val="clear" w:color="auto" w:fill="FFFFFF" w:themeFill="background1"/>
            <w:noWrap/>
            <w:hideMark/>
          </w:tcPr>
          <w:p w14:paraId="4A40B108" w14:textId="77777777" w:rsidR="0076358A" w:rsidRPr="00E27A05" w:rsidRDefault="0076358A" w:rsidP="002B6E34">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sz w:val="22"/>
                <w:szCs w:val="22"/>
              </w:rPr>
            </w:pPr>
            <w:r w:rsidRPr="00E27A05">
              <w:rPr>
                <w:rFonts w:ascii="Palatino Linotype" w:hAnsi="Palatino Linotype"/>
                <w:color w:val="000000"/>
                <w:sz w:val="22"/>
                <w:szCs w:val="22"/>
              </w:rPr>
              <w:t>29%</w:t>
            </w:r>
          </w:p>
        </w:tc>
        <w:tc>
          <w:tcPr>
            <w:tcW w:w="1709" w:type="dxa"/>
            <w:shd w:val="clear" w:color="auto" w:fill="FFFFFF" w:themeFill="background1"/>
            <w:noWrap/>
            <w:hideMark/>
          </w:tcPr>
          <w:p w14:paraId="2ED4588C" w14:textId="77777777" w:rsidR="0076358A" w:rsidRPr="00E27A05" w:rsidRDefault="0076358A" w:rsidP="002B6E34">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sz w:val="22"/>
                <w:szCs w:val="22"/>
              </w:rPr>
            </w:pPr>
            <w:r w:rsidRPr="00E27A05">
              <w:rPr>
                <w:rFonts w:ascii="Palatino Linotype" w:hAnsi="Palatino Linotype"/>
                <w:color w:val="000000"/>
                <w:sz w:val="22"/>
                <w:szCs w:val="22"/>
              </w:rPr>
              <w:t>21%</w:t>
            </w:r>
          </w:p>
        </w:tc>
        <w:tc>
          <w:tcPr>
            <w:tcW w:w="1709" w:type="dxa"/>
            <w:shd w:val="clear" w:color="auto" w:fill="FFFFFF" w:themeFill="background1"/>
            <w:noWrap/>
            <w:hideMark/>
          </w:tcPr>
          <w:p w14:paraId="2355C821" w14:textId="77777777" w:rsidR="0076358A" w:rsidRPr="00E27A05" w:rsidRDefault="0076358A" w:rsidP="002B6E34">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sz w:val="22"/>
                <w:szCs w:val="22"/>
              </w:rPr>
            </w:pPr>
            <w:r w:rsidRPr="00E27A05">
              <w:rPr>
                <w:rFonts w:ascii="Palatino Linotype" w:hAnsi="Palatino Linotype"/>
                <w:color w:val="000000"/>
                <w:sz w:val="22"/>
                <w:szCs w:val="22"/>
              </w:rPr>
              <w:t>50%</w:t>
            </w:r>
          </w:p>
        </w:tc>
      </w:tr>
    </w:tbl>
    <w:p w14:paraId="5E183116" w14:textId="77777777" w:rsidR="0076358A" w:rsidRPr="00E27A05" w:rsidRDefault="0076358A" w:rsidP="0076358A">
      <w:pPr>
        <w:pStyle w:val="DecisionText"/>
        <w:rPr>
          <w:rFonts w:ascii="Palatino Linotype" w:hAnsi="Palatino Linotype"/>
          <w:b/>
        </w:rPr>
      </w:pPr>
      <w:r w:rsidRPr="00E27A05">
        <w:rPr>
          <w:rFonts w:ascii="Palatino Linotype" w:hAnsi="Palatino Linotype"/>
        </w:rPr>
        <w:fldChar w:fldCharType="end"/>
      </w:r>
      <w:r w:rsidRPr="00E27A05">
        <w:rPr>
          <w:rFonts w:ascii="Palatino Linotype" w:hAnsi="Palatino Linotype"/>
          <w:b/>
        </w:rPr>
        <w:t>IOU Advice Letters</w:t>
      </w:r>
    </w:p>
    <w:p w14:paraId="611FF6BA" w14:textId="77777777" w:rsidR="0076358A" w:rsidRPr="00E27A05" w:rsidRDefault="0076358A" w:rsidP="0076358A">
      <w:pPr>
        <w:pStyle w:val="DecisionText"/>
        <w:spacing w:line="240" w:lineRule="auto"/>
        <w:rPr>
          <w:rFonts w:ascii="Palatino Linotype" w:hAnsi="Palatino Linotype"/>
        </w:rPr>
      </w:pPr>
      <w:r w:rsidRPr="00E27A05">
        <w:rPr>
          <w:rFonts w:ascii="Palatino Linotype" w:hAnsi="Palatino Linotype"/>
        </w:rPr>
        <w:lastRenderedPageBreak/>
        <w:t>Pursuant to OP 13 of the 2015 GTSR Decision (which predated SB 793’s elimination of the program’s sunset date), SCE, SDG&amp;E, and PG&amp;E filed the following GTSR Tier 3 ALs in late December 2017:</w:t>
      </w:r>
    </w:p>
    <w:p w14:paraId="22492054" w14:textId="77777777" w:rsidR="0076358A" w:rsidRPr="00E27A05" w:rsidRDefault="0076358A" w:rsidP="00661A6B">
      <w:pPr>
        <w:pStyle w:val="DecisionText"/>
        <w:numPr>
          <w:ilvl w:val="0"/>
          <w:numId w:val="13"/>
        </w:numPr>
        <w:spacing w:line="240" w:lineRule="auto"/>
        <w:rPr>
          <w:rFonts w:ascii="Palatino Linotype" w:hAnsi="Palatino Linotype"/>
          <w:b/>
        </w:rPr>
      </w:pPr>
      <w:r w:rsidRPr="00E27A05">
        <w:rPr>
          <w:rFonts w:ascii="Palatino Linotype" w:hAnsi="Palatino Linotype"/>
          <w:b/>
        </w:rPr>
        <w:t>PG&amp;E AL 3920-G/5206-E:</w:t>
      </w:r>
    </w:p>
    <w:p w14:paraId="6A69F96D" w14:textId="77777777" w:rsidR="0076358A" w:rsidRPr="00E27A05" w:rsidRDefault="0076358A" w:rsidP="0076358A">
      <w:pPr>
        <w:pStyle w:val="DecisionText"/>
        <w:spacing w:line="240" w:lineRule="auto"/>
        <w:rPr>
          <w:rFonts w:ascii="Palatino Linotype" w:hAnsi="Palatino Linotype"/>
        </w:rPr>
      </w:pPr>
      <w:r w:rsidRPr="00E27A05">
        <w:rPr>
          <w:rFonts w:ascii="Palatino Linotype" w:hAnsi="Palatino Linotype"/>
        </w:rPr>
        <w:t>In its AL, PG&amp;E proposes to extend its GTSR program beyond January 1, 2019.  PG&amp;E also seeks the following modifications to the program:</w:t>
      </w:r>
    </w:p>
    <w:p w14:paraId="7E92AC4D" w14:textId="77777777" w:rsidR="0076358A" w:rsidRPr="00E27A05" w:rsidRDefault="0076358A" w:rsidP="00661A6B">
      <w:pPr>
        <w:pStyle w:val="DecisionText"/>
        <w:numPr>
          <w:ilvl w:val="0"/>
          <w:numId w:val="12"/>
        </w:numPr>
        <w:spacing w:line="240" w:lineRule="auto"/>
        <w:rPr>
          <w:rFonts w:ascii="Palatino Linotype" w:hAnsi="Palatino Linotype"/>
        </w:rPr>
      </w:pPr>
      <w:r w:rsidRPr="00E27A05">
        <w:rPr>
          <w:rFonts w:ascii="Palatino Linotype" w:hAnsi="Palatino Linotype"/>
        </w:rPr>
        <w:t>Allow information about Greenhouse Gas (GHG) emissions reduction from this program to be provided to customers in marketing materials.</w:t>
      </w:r>
    </w:p>
    <w:p w14:paraId="5BE900C7" w14:textId="77777777" w:rsidR="0076358A" w:rsidRPr="00E27A05" w:rsidRDefault="0076358A" w:rsidP="00661A6B">
      <w:pPr>
        <w:pStyle w:val="DecisionText"/>
        <w:numPr>
          <w:ilvl w:val="0"/>
          <w:numId w:val="12"/>
        </w:numPr>
        <w:spacing w:line="240" w:lineRule="auto"/>
        <w:rPr>
          <w:rFonts w:ascii="Palatino Linotype" w:hAnsi="Palatino Linotype"/>
        </w:rPr>
      </w:pPr>
      <w:r w:rsidRPr="00E27A05">
        <w:rPr>
          <w:rFonts w:ascii="Palatino Linotype" w:hAnsi="Palatino Linotype"/>
        </w:rPr>
        <w:t>Streamline and simplify the ECR program process, such as simplifying community interest requirements and the procurement process.</w:t>
      </w:r>
    </w:p>
    <w:p w14:paraId="14CFC769" w14:textId="77777777" w:rsidR="0076358A" w:rsidRPr="00E27A05" w:rsidRDefault="0076358A" w:rsidP="00661A6B">
      <w:pPr>
        <w:pStyle w:val="DecisionText"/>
        <w:numPr>
          <w:ilvl w:val="0"/>
          <w:numId w:val="12"/>
        </w:numPr>
        <w:spacing w:line="240" w:lineRule="auto"/>
        <w:rPr>
          <w:rFonts w:ascii="Palatino Linotype" w:hAnsi="Palatino Linotype"/>
        </w:rPr>
      </w:pPr>
      <w:r w:rsidRPr="00E27A05">
        <w:rPr>
          <w:rFonts w:ascii="Palatino Linotype" w:hAnsi="Palatino Linotype"/>
        </w:rPr>
        <w:t>Streamline reporting requirements to improve program effectiveness and efficiency.</w:t>
      </w:r>
    </w:p>
    <w:p w14:paraId="0221B6F4" w14:textId="77777777" w:rsidR="0076358A" w:rsidRPr="00E27A05" w:rsidRDefault="0076358A" w:rsidP="00661A6B">
      <w:pPr>
        <w:pStyle w:val="DecisionText"/>
        <w:numPr>
          <w:ilvl w:val="0"/>
          <w:numId w:val="13"/>
        </w:numPr>
        <w:spacing w:line="240" w:lineRule="auto"/>
        <w:rPr>
          <w:rFonts w:ascii="Palatino Linotype" w:hAnsi="Palatino Linotype"/>
          <w:b/>
        </w:rPr>
      </w:pPr>
      <w:r w:rsidRPr="00E27A05">
        <w:rPr>
          <w:rFonts w:ascii="Palatino Linotype" w:hAnsi="Palatino Linotype"/>
          <w:b/>
        </w:rPr>
        <w:t>SCE AL 3722-E:</w:t>
      </w:r>
    </w:p>
    <w:p w14:paraId="62745DC5" w14:textId="77777777" w:rsidR="0076358A" w:rsidRPr="00E27A05" w:rsidRDefault="0076358A" w:rsidP="0076358A">
      <w:pPr>
        <w:pStyle w:val="DecisionText"/>
        <w:spacing w:line="240" w:lineRule="auto"/>
        <w:rPr>
          <w:rFonts w:ascii="Palatino Linotype" w:hAnsi="Palatino Linotype"/>
        </w:rPr>
      </w:pPr>
      <w:r w:rsidRPr="00E27A05">
        <w:rPr>
          <w:rFonts w:ascii="Palatino Linotype" w:hAnsi="Palatino Linotype"/>
        </w:rPr>
        <w:t>In its AL, SCE proposes to terminate its GTSR program because it considers the program’s financial viability unsustainable.  SCE states that it will propose a replacement program to accomplish the goals of SB 43.</w:t>
      </w:r>
      <w:r w:rsidRPr="00E27A05">
        <w:rPr>
          <w:rStyle w:val="FootnoteReference"/>
          <w:rFonts w:ascii="Palatino Linotype" w:hAnsi="Palatino Linotype"/>
        </w:rPr>
        <w:footnoteReference w:id="11"/>
      </w:r>
      <w:r w:rsidRPr="00E27A05">
        <w:rPr>
          <w:rFonts w:ascii="Palatino Linotype" w:hAnsi="Palatino Linotype"/>
        </w:rPr>
        <w:t xml:space="preserve">  </w:t>
      </w:r>
    </w:p>
    <w:p w14:paraId="253E3213" w14:textId="77777777" w:rsidR="0076358A" w:rsidRPr="00E27A05" w:rsidRDefault="0076358A" w:rsidP="00661A6B">
      <w:pPr>
        <w:pStyle w:val="DecisionText"/>
        <w:numPr>
          <w:ilvl w:val="0"/>
          <w:numId w:val="13"/>
        </w:numPr>
        <w:spacing w:line="240" w:lineRule="auto"/>
        <w:rPr>
          <w:rFonts w:ascii="Palatino Linotype" w:hAnsi="Palatino Linotype"/>
          <w:b/>
        </w:rPr>
      </w:pPr>
      <w:r w:rsidRPr="00E27A05">
        <w:rPr>
          <w:rFonts w:ascii="Palatino Linotype" w:hAnsi="Palatino Linotype"/>
          <w:b/>
        </w:rPr>
        <w:t>SDG&amp;E AL 3168-E:</w:t>
      </w:r>
    </w:p>
    <w:p w14:paraId="5E13D5C6" w14:textId="77777777" w:rsidR="0076358A" w:rsidRPr="00E27A05" w:rsidRDefault="0076358A" w:rsidP="0076358A">
      <w:pPr>
        <w:pStyle w:val="DecisionText"/>
        <w:spacing w:line="240" w:lineRule="auto"/>
        <w:rPr>
          <w:rFonts w:ascii="Palatino Linotype" w:hAnsi="Palatino Linotype"/>
        </w:rPr>
      </w:pPr>
      <w:r w:rsidRPr="00E27A05">
        <w:rPr>
          <w:rFonts w:ascii="Palatino Linotype" w:hAnsi="Palatino Linotype"/>
        </w:rPr>
        <w:t xml:space="preserve">In its AL, SDG&amp;E proposes to extend its GTSR program for an additional 5 years, 2019-2023 with a proposed budget of $3.8 million.  SDG&amp;E also proposes several modifications to the program: </w:t>
      </w:r>
    </w:p>
    <w:p w14:paraId="39FCE2B9" w14:textId="77777777" w:rsidR="0076358A" w:rsidRPr="00E27A05" w:rsidRDefault="0076358A" w:rsidP="00661A6B">
      <w:pPr>
        <w:pStyle w:val="DecisionText"/>
        <w:numPr>
          <w:ilvl w:val="0"/>
          <w:numId w:val="14"/>
        </w:numPr>
        <w:spacing w:line="240" w:lineRule="auto"/>
        <w:rPr>
          <w:rFonts w:ascii="Palatino Linotype" w:hAnsi="Palatino Linotype"/>
        </w:rPr>
      </w:pPr>
      <w:r w:rsidRPr="00E27A05">
        <w:rPr>
          <w:rFonts w:ascii="Palatino Linotype" w:hAnsi="Palatino Linotype"/>
        </w:rPr>
        <w:t>Allow participants to modify their subscription percentages twice within a year.</w:t>
      </w:r>
    </w:p>
    <w:p w14:paraId="3592AC39" w14:textId="77777777" w:rsidR="0076358A" w:rsidRPr="00E27A05" w:rsidRDefault="0076358A" w:rsidP="00661A6B">
      <w:pPr>
        <w:pStyle w:val="DecisionText"/>
        <w:numPr>
          <w:ilvl w:val="0"/>
          <w:numId w:val="14"/>
        </w:numPr>
        <w:spacing w:line="240" w:lineRule="auto"/>
        <w:rPr>
          <w:rFonts w:ascii="Palatino Linotype" w:hAnsi="Palatino Linotype"/>
        </w:rPr>
      </w:pPr>
      <w:r w:rsidRPr="00E27A05">
        <w:rPr>
          <w:rFonts w:ascii="Palatino Linotype" w:hAnsi="Palatino Linotype"/>
        </w:rPr>
        <w:t>Allow NEM customers to participate in GTSR.</w:t>
      </w:r>
    </w:p>
    <w:p w14:paraId="56E5D874" w14:textId="77777777" w:rsidR="0076358A" w:rsidRPr="00E27A05" w:rsidRDefault="0076358A" w:rsidP="00661A6B">
      <w:pPr>
        <w:pStyle w:val="DecisionText"/>
        <w:numPr>
          <w:ilvl w:val="0"/>
          <w:numId w:val="14"/>
        </w:numPr>
        <w:spacing w:line="240" w:lineRule="auto"/>
        <w:rPr>
          <w:rFonts w:ascii="Palatino Linotype" w:hAnsi="Palatino Linotype"/>
        </w:rPr>
      </w:pPr>
      <w:r w:rsidRPr="00E27A05">
        <w:rPr>
          <w:rFonts w:ascii="Palatino Linotype" w:hAnsi="Palatino Linotype"/>
        </w:rPr>
        <w:t>Allow ECR solicitations to occur once per year.</w:t>
      </w:r>
    </w:p>
    <w:p w14:paraId="4AADBA80" w14:textId="77777777" w:rsidR="0076358A" w:rsidRPr="00E27A05" w:rsidRDefault="0076358A" w:rsidP="00661A6B">
      <w:pPr>
        <w:pStyle w:val="DecisionText"/>
        <w:numPr>
          <w:ilvl w:val="0"/>
          <w:numId w:val="14"/>
        </w:numPr>
        <w:spacing w:line="240" w:lineRule="auto"/>
        <w:rPr>
          <w:rFonts w:ascii="Palatino Linotype" w:hAnsi="Palatino Linotype"/>
        </w:rPr>
      </w:pPr>
      <w:r w:rsidRPr="00E27A05">
        <w:rPr>
          <w:rFonts w:ascii="Palatino Linotype" w:hAnsi="Palatino Linotype"/>
        </w:rPr>
        <w:lastRenderedPageBreak/>
        <w:t xml:space="preserve">Modify the 60-day community interest requirement. </w:t>
      </w:r>
    </w:p>
    <w:p w14:paraId="05D88A9C" w14:textId="77777777" w:rsidR="0076358A" w:rsidRPr="00E27A05" w:rsidRDefault="0076358A" w:rsidP="00661A6B">
      <w:pPr>
        <w:pStyle w:val="DecisionText"/>
        <w:numPr>
          <w:ilvl w:val="0"/>
          <w:numId w:val="14"/>
        </w:numPr>
        <w:spacing w:line="240" w:lineRule="auto"/>
        <w:rPr>
          <w:rFonts w:ascii="Palatino Linotype" w:hAnsi="Palatino Linotype"/>
        </w:rPr>
      </w:pPr>
      <w:r w:rsidRPr="00E27A05">
        <w:rPr>
          <w:rFonts w:ascii="Palatino Linotype" w:hAnsi="Palatino Linotype"/>
        </w:rPr>
        <w:t>Allow SDG&amp;E to include GHG emission reduction benefits in its GTSR marketing efforts.</w:t>
      </w:r>
    </w:p>
    <w:p w14:paraId="5F4A286F" w14:textId="77777777" w:rsidR="0076358A" w:rsidRPr="00E27A05" w:rsidRDefault="0076358A" w:rsidP="00661A6B">
      <w:pPr>
        <w:pStyle w:val="DecisionText"/>
        <w:numPr>
          <w:ilvl w:val="0"/>
          <w:numId w:val="14"/>
        </w:numPr>
        <w:spacing w:line="240" w:lineRule="auto"/>
        <w:rPr>
          <w:rFonts w:ascii="Palatino Linotype" w:hAnsi="Palatino Linotype"/>
        </w:rPr>
      </w:pPr>
      <w:r w:rsidRPr="00E27A05">
        <w:rPr>
          <w:rFonts w:ascii="Palatino Linotype" w:hAnsi="Palatino Linotype"/>
        </w:rPr>
        <w:t xml:space="preserve">Request approval of the rate components of the GT and ECR tariffs through ERRA forecast proceedings. </w:t>
      </w:r>
    </w:p>
    <w:p w14:paraId="3AFE1925" w14:textId="77777777" w:rsidR="0076358A" w:rsidRPr="00E27A05" w:rsidRDefault="0076358A" w:rsidP="00661A6B">
      <w:pPr>
        <w:pStyle w:val="DecisionText"/>
        <w:numPr>
          <w:ilvl w:val="0"/>
          <w:numId w:val="14"/>
        </w:numPr>
        <w:spacing w:line="240" w:lineRule="auto"/>
        <w:rPr>
          <w:rFonts w:ascii="Palatino Linotype" w:hAnsi="Palatino Linotype"/>
        </w:rPr>
      </w:pPr>
      <w:r w:rsidRPr="00E27A05">
        <w:rPr>
          <w:rFonts w:ascii="Palatino Linotype" w:hAnsi="Palatino Linotype"/>
        </w:rPr>
        <w:t>Remove Special Condition 12 (environmental justice reservation) from its GTSR tariff.</w:t>
      </w:r>
      <w:r w:rsidRPr="00E27A05">
        <w:rPr>
          <w:rStyle w:val="FootnoteReference"/>
          <w:rFonts w:ascii="Palatino Linotype" w:hAnsi="Palatino Linotype"/>
        </w:rPr>
        <w:footnoteReference w:id="12"/>
      </w:r>
    </w:p>
    <w:p w14:paraId="41176CB8" w14:textId="77777777" w:rsidR="0076358A" w:rsidRPr="00E27A05" w:rsidRDefault="0076358A" w:rsidP="0076358A">
      <w:pPr>
        <w:pStyle w:val="DecisionText"/>
        <w:spacing w:line="240" w:lineRule="auto"/>
        <w:rPr>
          <w:rFonts w:ascii="Palatino Linotype" w:hAnsi="Palatino Linotype"/>
        </w:rPr>
      </w:pPr>
      <w:r w:rsidRPr="00E27A05">
        <w:rPr>
          <w:rFonts w:ascii="Palatino Linotype" w:hAnsi="Palatino Linotype"/>
        </w:rPr>
        <w:t xml:space="preserve">Lastly, SDG&amp;E states that the 1 MW cap for environmental justice projects is too restrictive and encourages the Commission to seek a legislative solution to this problem.  </w:t>
      </w:r>
    </w:p>
    <w:p w14:paraId="3AB2A53D" w14:textId="77777777" w:rsidR="0076358A" w:rsidRPr="00E27A05" w:rsidRDefault="0076358A" w:rsidP="0076358A">
      <w:pPr>
        <w:pStyle w:val="DecisionText"/>
        <w:spacing w:line="240" w:lineRule="auto"/>
        <w:rPr>
          <w:rFonts w:ascii="Palatino Linotype" w:hAnsi="Palatino Linotype"/>
        </w:rPr>
      </w:pPr>
      <w:r w:rsidRPr="00E27A05">
        <w:rPr>
          <w:rFonts w:ascii="Palatino Linotype" w:hAnsi="Palatino Linotype"/>
        </w:rPr>
        <w:t>To encourage more robust participation and solicit additional feedback, the Commission hosted the annual GTSR Program Forum on February 21, 2018 with an expanded scope to include the items discussed in the ALs.  To consider the robust feedback from the forum, the Commission further suspended the ALs on June 6, 2018.</w:t>
      </w:r>
    </w:p>
    <w:p w14:paraId="7279D931" w14:textId="77777777" w:rsidR="0076358A" w:rsidRPr="00FA492E" w:rsidRDefault="0076358A" w:rsidP="0076358A">
      <w:pPr>
        <w:pStyle w:val="Heading1"/>
      </w:pPr>
      <w:bookmarkStart w:id="16" w:name="_Toc529915548"/>
      <w:bookmarkStart w:id="17" w:name="_Toc12442428"/>
      <w:bookmarkStart w:id="18" w:name="_Toc20145924"/>
      <w:r w:rsidRPr="00FA492E">
        <w:t>Notice</w:t>
      </w:r>
      <w:bookmarkEnd w:id="16"/>
      <w:bookmarkEnd w:id="17"/>
      <w:bookmarkEnd w:id="18"/>
    </w:p>
    <w:p w14:paraId="478E2A4E" w14:textId="77777777" w:rsidR="0076358A" w:rsidRPr="00FA492E" w:rsidRDefault="0076358A" w:rsidP="0076358A">
      <w:pPr>
        <w:pStyle w:val="DecisionText"/>
        <w:spacing w:line="240" w:lineRule="auto"/>
        <w:rPr>
          <w:rFonts w:ascii="Palatino Linotype" w:hAnsi="Palatino Linotype"/>
        </w:rPr>
      </w:pPr>
      <w:r w:rsidRPr="00FA492E">
        <w:rPr>
          <w:rFonts w:ascii="Palatino Linotype" w:hAnsi="Palatino Linotype"/>
        </w:rPr>
        <w:t xml:space="preserve">Notice of ALs PG&amp;E 3920-G/5206-E, SCE 3722-E, and SDG&amp;E 3168-E were made by publication in the Commission’s Daily Calendar.  PG&amp;E, SCE, and SDG&amp;E state that a copy of the </w:t>
      </w:r>
      <w:r>
        <w:rPr>
          <w:rFonts w:ascii="Palatino Linotype" w:hAnsi="Palatino Linotype"/>
        </w:rPr>
        <w:t>AL</w:t>
      </w:r>
      <w:r w:rsidRPr="00FA492E">
        <w:rPr>
          <w:rFonts w:ascii="Palatino Linotype" w:hAnsi="Palatino Linotype"/>
        </w:rPr>
        <w:t xml:space="preserve"> was mailed and distributed in accordance with Section 4 of General Order 96-B. </w:t>
      </w:r>
    </w:p>
    <w:p w14:paraId="33F9D5C4" w14:textId="77777777" w:rsidR="0076358A" w:rsidRPr="00FA492E" w:rsidRDefault="0076358A" w:rsidP="0076358A">
      <w:pPr>
        <w:pStyle w:val="Heading1"/>
      </w:pPr>
      <w:bookmarkStart w:id="19" w:name="_Toc529915549"/>
      <w:bookmarkStart w:id="20" w:name="_Toc12442429"/>
      <w:bookmarkStart w:id="21" w:name="_Toc20145925"/>
      <w:r w:rsidRPr="00FA492E">
        <w:t>Protests</w:t>
      </w:r>
      <w:bookmarkEnd w:id="19"/>
      <w:bookmarkEnd w:id="20"/>
      <w:bookmarkEnd w:id="21"/>
    </w:p>
    <w:p w14:paraId="128A9B78" w14:textId="77777777" w:rsidR="0076358A" w:rsidRPr="00FA492E" w:rsidRDefault="0076358A" w:rsidP="0076358A">
      <w:pPr>
        <w:pStyle w:val="DecisionText"/>
        <w:spacing w:line="240" w:lineRule="auto"/>
        <w:rPr>
          <w:rFonts w:ascii="Palatino Linotype" w:hAnsi="Palatino Linotype"/>
        </w:rPr>
      </w:pPr>
      <w:r w:rsidRPr="00FA492E">
        <w:rPr>
          <w:rFonts w:ascii="Palatino Linotype" w:hAnsi="Palatino Linotype"/>
        </w:rPr>
        <w:t>ALs PG&amp;E 3920-G/5206-E, SCE 3722-E, and SDG&amp;E 3168-E were protested by the following parties by February 2</w:t>
      </w:r>
      <w:r>
        <w:rPr>
          <w:rFonts w:ascii="Palatino Linotype" w:hAnsi="Palatino Linotype"/>
        </w:rPr>
        <w:t>, 2018</w:t>
      </w:r>
      <w:r w:rsidRPr="00FA492E">
        <w:rPr>
          <w:rFonts w:ascii="Palatino Linotype" w:hAnsi="Palatino Linotype"/>
        </w:rPr>
        <w:t xml:space="preserve"> in accordance with the extended protest period granted by E</w:t>
      </w:r>
      <w:r>
        <w:rPr>
          <w:rFonts w:ascii="Palatino Linotype" w:hAnsi="Palatino Linotype"/>
        </w:rPr>
        <w:t>D</w:t>
      </w:r>
      <w:r w:rsidRPr="00FA492E">
        <w:rPr>
          <w:rFonts w:ascii="Palatino Linotype" w:hAnsi="Palatino Linotype"/>
        </w:rPr>
        <w:t xml:space="preserve"> on January 10, 2018:</w:t>
      </w:r>
      <w:r>
        <w:rPr>
          <w:rFonts w:ascii="Palatino Linotype" w:hAnsi="Palatino Linotype"/>
        </w:rPr>
        <w:t xml:space="preserve">  </w:t>
      </w:r>
    </w:p>
    <w:p w14:paraId="6A7B0735" w14:textId="77777777" w:rsidR="0076358A" w:rsidRPr="00A90A03" w:rsidRDefault="0076358A" w:rsidP="00661A6B">
      <w:pPr>
        <w:numPr>
          <w:ilvl w:val="0"/>
          <w:numId w:val="9"/>
        </w:numPr>
        <w:contextualSpacing/>
        <w:rPr>
          <w:rFonts w:ascii="Palatino Linotype" w:hAnsi="Palatino Linotype"/>
          <w:szCs w:val="26"/>
        </w:rPr>
      </w:pPr>
      <w:r w:rsidRPr="009E4E8C">
        <w:rPr>
          <w:rFonts w:ascii="Palatino Linotype" w:hAnsi="Palatino Linotype"/>
          <w:szCs w:val="26"/>
        </w:rPr>
        <w:t>The Utility Reform Network (TURN)</w:t>
      </w:r>
    </w:p>
    <w:p w14:paraId="0CD07A70" w14:textId="77777777" w:rsidR="0076358A" w:rsidRPr="00FA492E" w:rsidRDefault="0076358A" w:rsidP="00661A6B">
      <w:pPr>
        <w:numPr>
          <w:ilvl w:val="0"/>
          <w:numId w:val="9"/>
        </w:numPr>
        <w:contextualSpacing/>
        <w:rPr>
          <w:rFonts w:ascii="Palatino Linotype" w:hAnsi="Palatino Linotype"/>
        </w:rPr>
      </w:pPr>
      <w:r w:rsidRPr="00FA492E">
        <w:rPr>
          <w:rFonts w:ascii="Palatino Linotype" w:hAnsi="Palatino Linotype"/>
        </w:rPr>
        <w:lastRenderedPageBreak/>
        <w:t>Solar Energy Industries Association (SEIA) and the Coalition for Community Solar Access (CCSA) (collectively, the Joint Solar Interests)</w:t>
      </w:r>
      <w:r w:rsidRPr="00FA492E">
        <w:rPr>
          <w:rStyle w:val="FootnoteReference"/>
          <w:rFonts w:ascii="Palatino Linotype" w:hAnsi="Palatino Linotype"/>
        </w:rPr>
        <w:footnoteReference w:id="13"/>
      </w:r>
    </w:p>
    <w:p w14:paraId="34F5C9AB" w14:textId="77777777" w:rsidR="0076358A" w:rsidRPr="00FA492E" w:rsidRDefault="0076358A" w:rsidP="00661A6B">
      <w:pPr>
        <w:numPr>
          <w:ilvl w:val="0"/>
          <w:numId w:val="9"/>
        </w:numPr>
        <w:contextualSpacing/>
        <w:rPr>
          <w:rFonts w:ascii="Palatino Linotype" w:hAnsi="Palatino Linotype"/>
        </w:rPr>
      </w:pPr>
      <w:r>
        <w:rPr>
          <w:rFonts w:ascii="Palatino Linotype" w:hAnsi="Palatino Linotype"/>
        </w:rPr>
        <w:t>ForeFront</w:t>
      </w:r>
      <w:r w:rsidRPr="00FA492E">
        <w:rPr>
          <w:rFonts w:ascii="Palatino Linotype" w:hAnsi="Palatino Linotype"/>
        </w:rPr>
        <w:t xml:space="preserve"> Power, LLC ("</w:t>
      </w:r>
      <w:r>
        <w:rPr>
          <w:rFonts w:ascii="Palatino Linotype" w:hAnsi="Palatino Linotype"/>
        </w:rPr>
        <w:t>ForeFront</w:t>
      </w:r>
      <w:r w:rsidRPr="00FA492E">
        <w:rPr>
          <w:rFonts w:ascii="Palatino Linotype" w:hAnsi="Palatino Linotype"/>
        </w:rPr>
        <w:t xml:space="preserve"> Power")</w:t>
      </w:r>
    </w:p>
    <w:p w14:paraId="54467AB0" w14:textId="77777777" w:rsidR="0076358A" w:rsidRPr="00FA492E" w:rsidRDefault="0076358A" w:rsidP="00661A6B">
      <w:pPr>
        <w:numPr>
          <w:ilvl w:val="0"/>
          <w:numId w:val="9"/>
        </w:numPr>
        <w:contextualSpacing/>
        <w:rPr>
          <w:rFonts w:ascii="Palatino Linotype" w:hAnsi="Palatino Linotype"/>
        </w:rPr>
      </w:pPr>
      <w:r w:rsidRPr="00FA492E">
        <w:rPr>
          <w:rFonts w:ascii="Palatino Linotype" w:hAnsi="Palatino Linotype"/>
        </w:rPr>
        <w:t>Marin Clean Energy, Peninsula Clean Energy, Redwood Coast Energy Authority, Silicon Valley Clean Energy Authority and Sonoma Clean Power Authority (collectively, CCA Parties)</w:t>
      </w:r>
    </w:p>
    <w:p w14:paraId="2EDD9C69" w14:textId="77777777" w:rsidR="0076358A" w:rsidRPr="00FA492E" w:rsidRDefault="0076358A" w:rsidP="00661A6B">
      <w:pPr>
        <w:numPr>
          <w:ilvl w:val="0"/>
          <w:numId w:val="9"/>
        </w:numPr>
        <w:contextualSpacing/>
        <w:rPr>
          <w:rFonts w:ascii="Palatino Linotype" w:hAnsi="Palatino Linotype"/>
        </w:rPr>
      </w:pPr>
      <w:r w:rsidRPr="00FA492E">
        <w:rPr>
          <w:rFonts w:ascii="Palatino Linotype" w:hAnsi="Palatino Linotype"/>
        </w:rPr>
        <w:t xml:space="preserve">The City and County of San Francisco </w:t>
      </w:r>
      <w:r>
        <w:rPr>
          <w:rFonts w:ascii="Palatino Linotype" w:hAnsi="Palatino Linotype"/>
        </w:rPr>
        <w:t>(CCSF</w:t>
      </w:r>
      <w:r w:rsidRPr="00FA492E">
        <w:rPr>
          <w:rFonts w:ascii="Palatino Linotype" w:hAnsi="Palatino Linotype"/>
        </w:rPr>
        <w:t>)</w:t>
      </w:r>
    </w:p>
    <w:p w14:paraId="06C64642" w14:textId="77777777" w:rsidR="0076358A" w:rsidRPr="00FA492E" w:rsidRDefault="0076358A" w:rsidP="00661A6B">
      <w:pPr>
        <w:numPr>
          <w:ilvl w:val="0"/>
          <w:numId w:val="9"/>
        </w:numPr>
        <w:contextualSpacing/>
        <w:rPr>
          <w:rFonts w:ascii="Palatino Linotype" w:hAnsi="Palatino Linotype"/>
        </w:rPr>
      </w:pPr>
      <w:bookmarkStart w:id="22" w:name="_Hlk12007934"/>
      <w:r w:rsidRPr="00FA492E">
        <w:rPr>
          <w:rFonts w:ascii="Palatino Linotype" w:hAnsi="Palatino Linotype"/>
        </w:rPr>
        <w:t>Shell Energy, the Direct Access Customer Coalition (DACC) and California Choice Energy Authority (“CCEA”) (together, the “Joint Direct Access Parties”)</w:t>
      </w:r>
    </w:p>
    <w:p w14:paraId="7F820AD8" w14:textId="77777777" w:rsidR="0076358A" w:rsidRPr="00FA492E" w:rsidRDefault="0076358A" w:rsidP="00661A6B">
      <w:pPr>
        <w:numPr>
          <w:ilvl w:val="0"/>
          <w:numId w:val="9"/>
        </w:numPr>
        <w:contextualSpacing/>
        <w:rPr>
          <w:rFonts w:ascii="Palatino Linotype" w:hAnsi="Palatino Linotype"/>
        </w:rPr>
      </w:pPr>
      <w:r w:rsidRPr="00FA492E">
        <w:rPr>
          <w:rFonts w:ascii="Palatino Linotype" w:hAnsi="Palatino Linotype"/>
        </w:rPr>
        <w:t>Coalition of California Utility Employees (CUE)</w:t>
      </w:r>
    </w:p>
    <w:p w14:paraId="3AE6FB80" w14:textId="77777777" w:rsidR="0076358A" w:rsidRPr="00FA492E" w:rsidRDefault="0076358A" w:rsidP="00661A6B">
      <w:pPr>
        <w:numPr>
          <w:ilvl w:val="0"/>
          <w:numId w:val="9"/>
        </w:numPr>
        <w:contextualSpacing/>
        <w:rPr>
          <w:rFonts w:ascii="Palatino Linotype" w:hAnsi="Palatino Linotype"/>
        </w:rPr>
      </w:pPr>
      <w:r w:rsidRPr="00FA492E">
        <w:rPr>
          <w:rFonts w:ascii="Palatino Linotype" w:hAnsi="Palatino Linotype"/>
        </w:rPr>
        <w:t>Office of Ratepayer Advocates (ORA)</w:t>
      </w:r>
      <w:r w:rsidRPr="00FA492E">
        <w:rPr>
          <w:rStyle w:val="FootnoteReference"/>
          <w:rFonts w:ascii="Palatino Linotype" w:hAnsi="Palatino Linotype"/>
        </w:rPr>
        <w:footnoteReference w:id="14"/>
      </w:r>
    </w:p>
    <w:p w14:paraId="4A4B413B" w14:textId="77777777" w:rsidR="0076358A" w:rsidRPr="00FA492E" w:rsidRDefault="0076358A" w:rsidP="00661A6B">
      <w:pPr>
        <w:numPr>
          <w:ilvl w:val="0"/>
          <w:numId w:val="9"/>
        </w:numPr>
        <w:contextualSpacing/>
        <w:rPr>
          <w:rFonts w:ascii="Palatino Linotype" w:hAnsi="Palatino Linotype"/>
        </w:rPr>
      </w:pPr>
      <w:r w:rsidRPr="00FA492E">
        <w:rPr>
          <w:rFonts w:ascii="Palatino Linotype" w:hAnsi="Palatino Linotype"/>
        </w:rPr>
        <w:t>Clean Coalition</w:t>
      </w:r>
      <w:bookmarkEnd w:id="22"/>
    </w:p>
    <w:p w14:paraId="44124535" w14:textId="77777777" w:rsidR="0076358A" w:rsidRPr="00FA492E" w:rsidRDefault="0076358A" w:rsidP="0076358A">
      <w:pPr>
        <w:pStyle w:val="DecisionText"/>
        <w:spacing w:line="240" w:lineRule="auto"/>
        <w:rPr>
          <w:rFonts w:ascii="Palatino Linotype" w:hAnsi="Palatino Linotype"/>
        </w:rPr>
      </w:pPr>
      <w:r w:rsidRPr="00FA492E">
        <w:rPr>
          <w:rFonts w:ascii="Palatino Linotype" w:hAnsi="Palatino Linotype"/>
        </w:rPr>
        <w:t>PG&amp;E, SCE and SDG&amp;E each filed timely replies to these protests on February 9, 2018.</w:t>
      </w:r>
      <w:r>
        <w:rPr>
          <w:rFonts w:ascii="Palatino Linotype" w:hAnsi="Palatino Linotype"/>
        </w:rPr>
        <w:t xml:space="preserve">  In some cases, the protests contain suggested programmatic changes to the GTSR programs.  </w:t>
      </w:r>
      <w:r w:rsidRPr="00FA492E">
        <w:rPr>
          <w:rFonts w:ascii="Palatino Linotype" w:hAnsi="Palatino Linotype"/>
        </w:rPr>
        <w:t>The protests and replies are</w:t>
      </w:r>
      <w:r>
        <w:rPr>
          <w:rFonts w:ascii="Palatino Linotype" w:hAnsi="Palatino Linotype"/>
        </w:rPr>
        <w:t xml:space="preserve"> described and</w:t>
      </w:r>
      <w:r w:rsidRPr="00FA492E">
        <w:rPr>
          <w:rFonts w:ascii="Palatino Linotype" w:hAnsi="Palatino Linotype"/>
        </w:rPr>
        <w:t xml:space="preserve"> considered in the </w:t>
      </w:r>
      <w:r>
        <w:rPr>
          <w:rFonts w:ascii="Palatino Linotype" w:hAnsi="Palatino Linotype"/>
        </w:rPr>
        <w:t>D</w:t>
      </w:r>
      <w:r w:rsidRPr="00FA492E">
        <w:rPr>
          <w:rFonts w:ascii="Palatino Linotype" w:hAnsi="Palatino Linotype"/>
        </w:rPr>
        <w:t xml:space="preserve">iscussion </w:t>
      </w:r>
      <w:r>
        <w:rPr>
          <w:rFonts w:ascii="Palatino Linotype" w:hAnsi="Palatino Linotype"/>
        </w:rPr>
        <w:t xml:space="preserve">section </w:t>
      </w:r>
      <w:r w:rsidRPr="00FA492E">
        <w:rPr>
          <w:rFonts w:ascii="Palatino Linotype" w:hAnsi="Palatino Linotype"/>
        </w:rPr>
        <w:t>below.</w:t>
      </w:r>
    </w:p>
    <w:p w14:paraId="0BF5D4C1" w14:textId="77777777" w:rsidR="0076358A" w:rsidRPr="00FA492E" w:rsidRDefault="0076358A" w:rsidP="0076358A">
      <w:pPr>
        <w:pStyle w:val="Heading1"/>
      </w:pPr>
      <w:bookmarkStart w:id="23" w:name="_Toc529915550"/>
      <w:bookmarkStart w:id="24" w:name="_Toc12442430"/>
      <w:bookmarkStart w:id="25" w:name="_Toc20145926"/>
      <w:r w:rsidRPr="00FA492E">
        <w:t>Discussion</w:t>
      </w:r>
      <w:bookmarkEnd w:id="23"/>
      <w:bookmarkEnd w:id="24"/>
      <w:bookmarkEnd w:id="25"/>
    </w:p>
    <w:p w14:paraId="70EFA310" w14:textId="77777777" w:rsidR="0076358A" w:rsidRPr="00EC489C" w:rsidRDefault="0076358A" w:rsidP="0076358A">
      <w:pPr>
        <w:pStyle w:val="Heading2"/>
      </w:pPr>
      <w:bookmarkStart w:id="26" w:name="_Toc529915552"/>
      <w:bookmarkStart w:id="27" w:name="_Toc12442431"/>
      <w:bookmarkStart w:id="28" w:name="_Toc20145927"/>
      <w:r w:rsidRPr="00EC489C">
        <w:t>Terminating or Extending the GTSR Program</w:t>
      </w:r>
      <w:bookmarkEnd w:id="26"/>
      <w:bookmarkEnd w:id="27"/>
      <w:bookmarkEnd w:id="28"/>
    </w:p>
    <w:p w14:paraId="344F8A6F" w14:textId="77777777" w:rsidR="0076358A" w:rsidRPr="00FA492E" w:rsidRDefault="0076358A" w:rsidP="0076358A">
      <w:pPr>
        <w:pStyle w:val="DecisionText"/>
        <w:spacing w:line="240" w:lineRule="auto"/>
        <w:rPr>
          <w:rFonts w:ascii="Palatino Linotype" w:hAnsi="Palatino Linotype"/>
        </w:rPr>
      </w:pPr>
      <w:r w:rsidRPr="00FA492E">
        <w:rPr>
          <w:rFonts w:ascii="Palatino Linotype" w:hAnsi="Palatino Linotype"/>
        </w:rPr>
        <w:t xml:space="preserve">In </w:t>
      </w:r>
      <w:r>
        <w:rPr>
          <w:rFonts w:ascii="Palatino Linotype" w:hAnsi="Palatino Linotype"/>
        </w:rPr>
        <w:t>its</w:t>
      </w:r>
      <w:r w:rsidRPr="00FA492E">
        <w:rPr>
          <w:rFonts w:ascii="Palatino Linotype" w:hAnsi="Palatino Linotype"/>
        </w:rPr>
        <w:t xml:space="preserve"> AL, SDG&amp;E seeks to extend both the GT and ECR components of the GTSR program for an additional five years, from January 1, 2019 to December 31, 2023.  PG&amp;E also proposes to extend the program but does not propose a specific end-date.</w:t>
      </w:r>
    </w:p>
    <w:p w14:paraId="6A7E9445" w14:textId="77777777" w:rsidR="0076358A" w:rsidRPr="00FA492E" w:rsidRDefault="0076358A" w:rsidP="0076358A">
      <w:pPr>
        <w:pStyle w:val="DecisionText"/>
        <w:spacing w:line="240" w:lineRule="auto"/>
        <w:rPr>
          <w:rFonts w:ascii="Palatino Linotype" w:hAnsi="Palatino Linotype"/>
        </w:rPr>
      </w:pPr>
      <w:r w:rsidRPr="00FA492E">
        <w:rPr>
          <w:rFonts w:ascii="Palatino Linotype" w:hAnsi="Palatino Linotype"/>
        </w:rPr>
        <w:t>Conversely, SCE has determined “the financial viability of the GTSR program is unsustainable and has chosen to terminate the GTSR program.”</w:t>
      </w:r>
      <w:r w:rsidRPr="00FA492E">
        <w:rPr>
          <w:rStyle w:val="FootnoteReference"/>
          <w:rFonts w:ascii="Palatino Linotype" w:hAnsi="Palatino Linotype"/>
          <w:szCs w:val="26"/>
        </w:rPr>
        <w:footnoteReference w:id="15"/>
      </w:r>
      <w:r w:rsidRPr="00FA492E">
        <w:rPr>
          <w:rFonts w:ascii="Palatino Linotype" w:hAnsi="Palatino Linotype"/>
        </w:rPr>
        <w:t xml:space="preserve">  SCE states its </w:t>
      </w:r>
      <w:r w:rsidRPr="00FA492E">
        <w:rPr>
          <w:rFonts w:ascii="Palatino Linotype" w:hAnsi="Palatino Linotype"/>
        </w:rPr>
        <w:lastRenderedPageBreak/>
        <w:t>plans to develop and propose an alternative program to achieve similar GHG reduction and solar participation goals “but without some of the constraints that limited the success of GTSR.</w:t>
      </w:r>
      <w:r>
        <w:rPr>
          <w:rFonts w:ascii="Palatino Linotype" w:hAnsi="Palatino Linotype"/>
        </w:rPr>
        <w:t>”</w:t>
      </w:r>
      <w:r w:rsidRPr="00FA492E">
        <w:rPr>
          <w:rStyle w:val="FootnoteReference"/>
          <w:rFonts w:ascii="Palatino Linotype" w:hAnsi="Palatino Linotype"/>
          <w:szCs w:val="26"/>
        </w:rPr>
        <w:footnoteReference w:id="16"/>
      </w:r>
      <w:r w:rsidRPr="00FA492E">
        <w:rPr>
          <w:rFonts w:ascii="Palatino Linotype" w:hAnsi="Palatino Linotype"/>
        </w:rPr>
        <w:t xml:space="preserve">  </w:t>
      </w:r>
    </w:p>
    <w:p w14:paraId="150B1401" w14:textId="77777777" w:rsidR="0076358A" w:rsidRPr="00FA492E" w:rsidRDefault="0076358A" w:rsidP="0076358A">
      <w:pPr>
        <w:pStyle w:val="DecisionText"/>
        <w:spacing w:line="240" w:lineRule="auto"/>
        <w:rPr>
          <w:rFonts w:ascii="Palatino Linotype" w:hAnsi="Palatino Linotype"/>
        </w:rPr>
      </w:pPr>
      <w:r>
        <w:rPr>
          <w:rFonts w:ascii="Palatino Linotype" w:hAnsi="Palatino Linotype"/>
        </w:rPr>
        <w:t>SCE states that</w:t>
      </w:r>
      <w:r w:rsidRPr="00FA492E">
        <w:rPr>
          <w:rFonts w:ascii="Palatino Linotype" w:hAnsi="Palatino Linotype"/>
        </w:rPr>
        <w:t xml:space="preserve"> the costs it has accrued thus far</w:t>
      </w:r>
      <w:r>
        <w:rPr>
          <w:rFonts w:ascii="Palatino Linotype" w:hAnsi="Palatino Linotype"/>
        </w:rPr>
        <w:t xml:space="preserve"> on GTSR is</w:t>
      </w:r>
      <w:r w:rsidRPr="00FA492E">
        <w:rPr>
          <w:rFonts w:ascii="Palatino Linotype" w:hAnsi="Palatino Linotype"/>
        </w:rPr>
        <w:t xml:space="preserve"> </w:t>
      </w:r>
      <w:r w:rsidRPr="00763EA3">
        <w:rPr>
          <w:rFonts w:ascii="Palatino Linotype" w:hAnsi="Palatino Linotype"/>
        </w:rPr>
        <w:t>$889,582</w:t>
      </w:r>
      <w:r>
        <w:rPr>
          <w:rFonts w:ascii="Palatino Linotype" w:hAnsi="Palatino Linotype"/>
        </w:rPr>
        <w:t>.  M</w:t>
      </w:r>
      <w:r w:rsidRPr="00FA492E">
        <w:rPr>
          <w:rFonts w:ascii="Palatino Linotype" w:hAnsi="Palatino Linotype"/>
        </w:rPr>
        <w:t>ost of these costs were accrued within the first year of the program on administrative and information technology costs;</w:t>
      </w:r>
      <w:r w:rsidRPr="00FA492E">
        <w:rPr>
          <w:rStyle w:val="FootnoteReference"/>
          <w:rFonts w:ascii="Palatino Linotype" w:hAnsi="Palatino Linotype"/>
          <w:szCs w:val="26"/>
        </w:rPr>
        <w:footnoteReference w:id="17"/>
      </w:r>
      <w:r w:rsidRPr="00FA492E">
        <w:rPr>
          <w:rFonts w:ascii="Palatino Linotype" w:hAnsi="Palatino Linotype"/>
        </w:rPr>
        <w:t xml:space="preserve"> however, even with a substantially tapered marketing and outreach plan each subsequent year, SCE anticipates costs will continue to outpace generated revenue.  SCE proposes to recover these costs through a future energy resource recovery account (ERRA).</w:t>
      </w:r>
    </w:p>
    <w:p w14:paraId="650B2448" w14:textId="77777777" w:rsidR="0076358A" w:rsidRPr="00FA492E" w:rsidRDefault="0076358A" w:rsidP="0076358A">
      <w:pPr>
        <w:pStyle w:val="DecisionText"/>
        <w:spacing w:line="240" w:lineRule="auto"/>
        <w:rPr>
          <w:rFonts w:ascii="Palatino Linotype" w:hAnsi="Palatino Linotype"/>
        </w:rPr>
      </w:pPr>
      <w:r>
        <w:rPr>
          <w:rFonts w:ascii="Palatino Linotype" w:hAnsi="Palatino Linotype"/>
        </w:rPr>
        <w:t>Several</w:t>
      </w:r>
      <w:r w:rsidRPr="00FA492E">
        <w:rPr>
          <w:rFonts w:ascii="Palatino Linotype" w:hAnsi="Palatino Linotype"/>
        </w:rPr>
        <w:t xml:space="preserve"> parties supported SDG&amp;E and PG&amp;E’s general extension proposals including TURN, </w:t>
      </w:r>
      <w:r>
        <w:rPr>
          <w:rFonts w:ascii="Palatino Linotype" w:hAnsi="Palatino Linotype"/>
        </w:rPr>
        <w:t>the Joint Solar Interests</w:t>
      </w:r>
      <w:r w:rsidRPr="00FA492E">
        <w:rPr>
          <w:rFonts w:ascii="Palatino Linotype" w:hAnsi="Palatino Linotype"/>
        </w:rPr>
        <w:t xml:space="preserve">, CUE, and Clean Coalition.  </w:t>
      </w:r>
      <w:r>
        <w:rPr>
          <w:rFonts w:ascii="Palatino Linotype" w:hAnsi="Palatino Linotype"/>
        </w:rPr>
        <w:t xml:space="preserve">ForeFront Power argued that PG&amp;E should be required to specify a sunset date.  CCSF </w:t>
      </w:r>
      <w:r w:rsidRPr="00FA492E">
        <w:rPr>
          <w:rFonts w:ascii="Palatino Linotype" w:hAnsi="Palatino Linotype"/>
        </w:rPr>
        <w:t xml:space="preserve">argued that at a maximum, the Commission should not extend PG&amp;E’s GTSR program for longer than </w:t>
      </w:r>
      <w:r>
        <w:rPr>
          <w:rFonts w:ascii="Palatino Linotype" w:hAnsi="Palatino Linotype"/>
        </w:rPr>
        <w:t>four</w:t>
      </w:r>
      <w:r w:rsidRPr="00FA492E">
        <w:rPr>
          <w:rFonts w:ascii="Palatino Linotype" w:hAnsi="Palatino Linotype"/>
        </w:rPr>
        <w:t xml:space="preserve"> years as proposed by SDG&amp;E.  The CCA Parties argued that most of the issues discussed in the </w:t>
      </w:r>
      <w:r>
        <w:rPr>
          <w:rFonts w:ascii="Palatino Linotype" w:hAnsi="Palatino Linotype"/>
        </w:rPr>
        <w:t>IOU ALs</w:t>
      </w:r>
      <w:r w:rsidRPr="00FA492E">
        <w:rPr>
          <w:rFonts w:ascii="Palatino Linotype" w:hAnsi="Palatino Linotype"/>
        </w:rPr>
        <w:t xml:space="preserve"> were beyond the scope of the </w:t>
      </w:r>
      <w:r>
        <w:rPr>
          <w:rFonts w:ascii="Palatino Linotype" w:hAnsi="Palatino Linotype"/>
        </w:rPr>
        <w:t>AL</w:t>
      </w:r>
      <w:r w:rsidRPr="00FA492E">
        <w:rPr>
          <w:rFonts w:ascii="Palatino Linotype" w:hAnsi="Palatino Linotype"/>
        </w:rPr>
        <w:t xml:space="preserve"> process </w:t>
      </w:r>
      <w:r>
        <w:rPr>
          <w:rFonts w:ascii="Palatino Linotype" w:hAnsi="Palatino Linotype"/>
        </w:rPr>
        <w:t>and</w:t>
      </w:r>
      <w:r w:rsidRPr="00FA492E">
        <w:rPr>
          <w:rFonts w:ascii="Palatino Linotype" w:hAnsi="Palatino Linotype"/>
        </w:rPr>
        <w:t xml:space="preserve"> </w:t>
      </w:r>
      <w:r>
        <w:rPr>
          <w:rFonts w:ascii="Palatino Linotype" w:hAnsi="Palatino Linotype"/>
        </w:rPr>
        <w:t>recommended PG&amp;E’s AL be rejected without prejudice</w:t>
      </w:r>
      <w:r w:rsidRPr="00FA492E">
        <w:rPr>
          <w:rFonts w:ascii="Palatino Linotype" w:hAnsi="Palatino Linotype"/>
        </w:rPr>
        <w:t xml:space="preserve">.  Additional </w:t>
      </w:r>
      <w:r>
        <w:rPr>
          <w:rFonts w:ascii="Palatino Linotype" w:hAnsi="Palatino Linotype"/>
        </w:rPr>
        <w:t>c</w:t>
      </w:r>
      <w:r w:rsidRPr="00FA492E">
        <w:rPr>
          <w:rFonts w:ascii="Palatino Linotype" w:hAnsi="Palatino Linotype"/>
        </w:rPr>
        <w:t xml:space="preserve">omments from the </w:t>
      </w:r>
      <w:r>
        <w:rPr>
          <w:rFonts w:ascii="Palatino Linotype" w:hAnsi="Palatino Linotype"/>
        </w:rPr>
        <w:t>GTSR Program</w:t>
      </w:r>
      <w:r w:rsidRPr="00FA492E">
        <w:rPr>
          <w:rFonts w:ascii="Palatino Linotype" w:hAnsi="Palatino Linotype"/>
        </w:rPr>
        <w:t xml:space="preserve"> Forum in support of continuing the program included the Sierra Club, </w:t>
      </w:r>
      <w:r>
        <w:rPr>
          <w:rFonts w:ascii="Palatino Linotype" w:hAnsi="Palatino Linotype"/>
        </w:rPr>
        <w:t xml:space="preserve">the </w:t>
      </w:r>
      <w:r w:rsidRPr="00763EA3">
        <w:rPr>
          <w:rFonts w:ascii="Palatino Linotype" w:hAnsi="Palatino Linotype"/>
        </w:rPr>
        <w:t>Solar Energy Industries Association</w:t>
      </w:r>
      <w:r w:rsidRPr="00FA492E">
        <w:rPr>
          <w:rFonts w:ascii="Palatino Linotype" w:hAnsi="Palatino Linotype"/>
        </w:rPr>
        <w:t xml:space="preserve">, and the Natural Resources Defense Council. </w:t>
      </w:r>
    </w:p>
    <w:p w14:paraId="777BC7A7" w14:textId="77777777" w:rsidR="0076358A" w:rsidRPr="00FA492E" w:rsidRDefault="0076358A" w:rsidP="0076358A">
      <w:pPr>
        <w:pStyle w:val="DecisionText"/>
        <w:spacing w:line="240" w:lineRule="auto"/>
        <w:rPr>
          <w:rFonts w:ascii="Palatino Linotype" w:hAnsi="Palatino Linotype"/>
        </w:rPr>
      </w:pPr>
      <w:r>
        <w:rPr>
          <w:rFonts w:ascii="Palatino Linotype" w:hAnsi="Palatino Linotype"/>
        </w:rPr>
        <w:t>None of</w:t>
      </w:r>
      <w:r w:rsidRPr="00FA492E">
        <w:rPr>
          <w:rFonts w:ascii="Palatino Linotype" w:hAnsi="Palatino Linotype"/>
        </w:rPr>
        <w:t xml:space="preserve"> the thirteen protest</w:t>
      </w:r>
      <w:r>
        <w:rPr>
          <w:rFonts w:ascii="Palatino Linotype" w:hAnsi="Palatino Linotype"/>
        </w:rPr>
        <w:t>ants</w:t>
      </w:r>
      <w:r w:rsidRPr="00FA492E">
        <w:rPr>
          <w:rFonts w:ascii="Palatino Linotype" w:hAnsi="Palatino Linotype"/>
        </w:rPr>
        <w:t xml:space="preserve"> supported SCE’s proposal to terminate the GTSR program.  </w:t>
      </w:r>
    </w:p>
    <w:p w14:paraId="62A74847" w14:textId="77777777" w:rsidR="0076358A" w:rsidRPr="00FA492E" w:rsidRDefault="0076358A" w:rsidP="0076358A">
      <w:pPr>
        <w:pStyle w:val="DecisionText"/>
        <w:spacing w:line="240" w:lineRule="auto"/>
        <w:rPr>
          <w:rFonts w:ascii="Palatino Linotype" w:hAnsi="Palatino Linotype"/>
        </w:rPr>
      </w:pPr>
      <w:r w:rsidRPr="00FA492E">
        <w:rPr>
          <w:rFonts w:ascii="Palatino Linotype" w:hAnsi="Palatino Linotype"/>
        </w:rPr>
        <w:t>In its protest to SCE’s Proposal to Terminate its GTSR program, the Clean Coalition noted:</w:t>
      </w:r>
    </w:p>
    <w:p w14:paraId="468CBA50" w14:textId="77777777" w:rsidR="0076358A" w:rsidRPr="00FA492E" w:rsidRDefault="0076358A" w:rsidP="0076358A">
      <w:pPr>
        <w:pStyle w:val="Quote"/>
        <w:rPr>
          <w:rFonts w:ascii="Palatino Linotype" w:hAnsi="Palatino Linotype"/>
        </w:rPr>
      </w:pPr>
      <w:r w:rsidRPr="00FA492E">
        <w:rPr>
          <w:rFonts w:ascii="Palatino Linotype" w:hAnsi="Palatino Linotype"/>
        </w:rPr>
        <w:t xml:space="preserve">Terminating the GTSR program would frustrate the direction of the California Legislature to promote renewables for local disadvantaged communities. The Legislature enacted SB 43 with clear intent to reflect the environmental concerns of utility customers and to maintain and create opportunity in an underdeveloped sector of renewable energy supply, with special consideration for local </w:t>
      </w:r>
      <w:r w:rsidRPr="00FA492E">
        <w:rPr>
          <w:rFonts w:ascii="Palatino Linotype" w:hAnsi="Palatino Linotype"/>
        </w:rPr>
        <w:lastRenderedPageBreak/>
        <w:t>development and disadvantaged communities, and recently amended the Public Utilities Code to remove the 2019 sunset</w:t>
      </w:r>
      <w:r>
        <w:rPr>
          <w:rFonts w:ascii="Palatino Linotype" w:hAnsi="Palatino Linotype"/>
        </w:rPr>
        <w:t xml:space="preserve"> </w:t>
      </w:r>
      <w:r w:rsidRPr="00FA492E">
        <w:rPr>
          <w:rFonts w:ascii="Palatino Linotype" w:hAnsi="Palatino Linotype"/>
        </w:rPr>
        <w:t>date previously applicable to the GTSR program.</w:t>
      </w:r>
      <w:r w:rsidRPr="00FA492E">
        <w:rPr>
          <w:rStyle w:val="FootnoteReference"/>
          <w:rFonts w:ascii="Palatino Linotype" w:hAnsi="Palatino Linotype"/>
        </w:rPr>
        <w:footnoteReference w:id="18"/>
      </w:r>
    </w:p>
    <w:p w14:paraId="1FD465D5" w14:textId="77777777" w:rsidR="0076358A" w:rsidRPr="00FA492E" w:rsidRDefault="0076358A" w:rsidP="0076358A">
      <w:pPr>
        <w:contextualSpacing/>
        <w:rPr>
          <w:rFonts w:ascii="Palatino Linotype" w:hAnsi="Palatino Linotype"/>
        </w:rPr>
      </w:pPr>
    </w:p>
    <w:p w14:paraId="32535CE5" w14:textId="77777777" w:rsidR="0076358A" w:rsidRPr="00FA492E" w:rsidRDefault="0076358A" w:rsidP="0076358A">
      <w:pPr>
        <w:pStyle w:val="DecisionText"/>
        <w:spacing w:line="240" w:lineRule="auto"/>
        <w:rPr>
          <w:rFonts w:ascii="Palatino Linotype" w:hAnsi="Palatino Linotype"/>
        </w:rPr>
      </w:pPr>
      <w:r w:rsidRPr="00FA492E">
        <w:rPr>
          <w:rFonts w:ascii="Palatino Linotype" w:hAnsi="Palatino Linotype"/>
        </w:rPr>
        <w:t xml:space="preserve">The </w:t>
      </w:r>
      <w:r>
        <w:rPr>
          <w:rFonts w:ascii="Palatino Linotype" w:hAnsi="Palatino Linotype"/>
        </w:rPr>
        <w:t xml:space="preserve">Joint </w:t>
      </w:r>
      <w:r w:rsidRPr="00FA492E">
        <w:rPr>
          <w:rFonts w:ascii="Palatino Linotype" w:hAnsi="Palatino Linotype"/>
        </w:rPr>
        <w:t xml:space="preserve">Direct Access Parties, TURN, and ORA all specifically protested SCE’s proposal to recover marketing and administrative costs for the GTSR program through its ERRA </w:t>
      </w:r>
      <w:r>
        <w:rPr>
          <w:rFonts w:ascii="Palatino Linotype" w:hAnsi="Palatino Linotype"/>
        </w:rPr>
        <w:t>process</w:t>
      </w:r>
      <w:r w:rsidRPr="00FA492E">
        <w:rPr>
          <w:rFonts w:ascii="Palatino Linotype" w:hAnsi="Palatino Linotype"/>
        </w:rPr>
        <w:t xml:space="preserve">.  These parties </w:t>
      </w:r>
      <w:r>
        <w:rPr>
          <w:rFonts w:ascii="Palatino Linotype" w:hAnsi="Palatino Linotype"/>
        </w:rPr>
        <w:t>stated that</w:t>
      </w:r>
      <w:r w:rsidRPr="00FA492E">
        <w:rPr>
          <w:rFonts w:ascii="Palatino Linotype" w:hAnsi="Palatino Linotype"/>
        </w:rPr>
        <w:t xml:space="preserve"> under SB 43</w:t>
      </w:r>
      <w:r>
        <w:rPr>
          <w:rFonts w:ascii="Palatino Linotype" w:hAnsi="Palatino Linotype"/>
        </w:rPr>
        <w:t>,</w:t>
      </w:r>
      <w:r w:rsidRPr="00FA492E">
        <w:rPr>
          <w:rStyle w:val="FootnoteReference"/>
          <w:rFonts w:ascii="Palatino Linotype" w:hAnsi="Palatino Linotype"/>
        </w:rPr>
        <w:footnoteReference w:id="19"/>
      </w:r>
      <w:r w:rsidRPr="00FA492E">
        <w:rPr>
          <w:rFonts w:ascii="Palatino Linotype" w:hAnsi="Palatino Linotype"/>
        </w:rPr>
        <w:t xml:space="preserve"> the Commission may not allow SCE to recover its GTSR marketing and administrative costs from nonparticipating ratepayers.  Recovery of such costs from nonparticipating ratepayers would violate other statutory cost-shifting prohibitions as well</w:t>
      </w:r>
      <w:r>
        <w:rPr>
          <w:rFonts w:ascii="Palatino Linotype" w:hAnsi="Palatino Linotype"/>
        </w:rPr>
        <w:t>,</w:t>
      </w:r>
      <w:r w:rsidRPr="00FA492E">
        <w:rPr>
          <w:rStyle w:val="FootnoteReference"/>
          <w:rFonts w:ascii="Palatino Linotype" w:hAnsi="Palatino Linotype"/>
        </w:rPr>
        <w:footnoteReference w:id="20"/>
      </w:r>
      <w:r w:rsidRPr="00FA492E">
        <w:rPr>
          <w:rFonts w:ascii="Palatino Linotype" w:hAnsi="Palatino Linotype"/>
        </w:rPr>
        <w:t xml:space="preserve"> and that its proposal to abandon its current GTSR program and institute a new GTSR program, should not enable SCE to avoid shareholder responsibility for GTSR program costs.</w:t>
      </w:r>
      <w:r w:rsidRPr="00FA492E">
        <w:rPr>
          <w:rStyle w:val="FootnoteReference"/>
          <w:rFonts w:ascii="Palatino Linotype" w:hAnsi="Palatino Linotype"/>
        </w:rPr>
        <w:footnoteReference w:id="21"/>
      </w:r>
      <w:r w:rsidRPr="00FA492E">
        <w:rPr>
          <w:rFonts w:ascii="Palatino Linotype" w:hAnsi="Palatino Linotype"/>
        </w:rPr>
        <w:t xml:space="preserve">  </w:t>
      </w:r>
    </w:p>
    <w:p w14:paraId="431F7FBA" w14:textId="77777777" w:rsidR="0076358A" w:rsidRDefault="0076358A" w:rsidP="0076358A">
      <w:pPr>
        <w:pStyle w:val="DecisionText"/>
        <w:spacing w:line="240" w:lineRule="auto"/>
        <w:rPr>
          <w:rFonts w:ascii="Palatino Linotype" w:hAnsi="Palatino Linotype"/>
        </w:rPr>
      </w:pPr>
      <w:r w:rsidRPr="00FA492E">
        <w:rPr>
          <w:rFonts w:ascii="Palatino Linotype" w:hAnsi="Palatino Linotype"/>
        </w:rPr>
        <w:t xml:space="preserve">Based on comments from the </w:t>
      </w:r>
      <w:r>
        <w:rPr>
          <w:rFonts w:ascii="Palatino Linotype" w:hAnsi="Palatino Linotype"/>
        </w:rPr>
        <w:t>GTSR Program</w:t>
      </w:r>
      <w:r w:rsidRPr="00FA492E">
        <w:rPr>
          <w:rFonts w:ascii="Palatino Linotype" w:hAnsi="Palatino Linotype"/>
        </w:rPr>
        <w:t xml:space="preserve"> Forum, SCE further clarified it would support the continuation of the GTSR program until a viable alternative </w:t>
      </w:r>
      <w:r>
        <w:rPr>
          <w:rFonts w:ascii="Palatino Linotype" w:hAnsi="Palatino Linotype"/>
        </w:rPr>
        <w:t>is</w:t>
      </w:r>
      <w:r w:rsidRPr="00FA492E">
        <w:rPr>
          <w:rFonts w:ascii="Palatino Linotype" w:hAnsi="Palatino Linotype"/>
        </w:rPr>
        <w:t xml:space="preserve"> implemented.</w:t>
      </w:r>
      <w:r w:rsidRPr="00FA492E">
        <w:rPr>
          <w:rStyle w:val="FootnoteReference"/>
          <w:rFonts w:ascii="Palatino Linotype" w:hAnsi="Palatino Linotype"/>
        </w:rPr>
        <w:footnoteReference w:id="22"/>
      </w:r>
      <w:r w:rsidRPr="00FA492E">
        <w:rPr>
          <w:rFonts w:ascii="Palatino Linotype" w:hAnsi="Palatino Linotype"/>
        </w:rPr>
        <w:t xml:space="preserve"> </w:t>
      </w:r>
    </w:p>
    <w:p w14:paraId="2A73E7CD" w14:textId="77777777" w:rsidR="0076358A" w:rsidRDefault="0076358A" w:rsidP="0076358A">
      <w:pPr>
        <w:pStyle w:val="DecisionText"/>
        <w:spacing w:line="240" w:lineRule="auto"/>
        <w:rPr>
          <w:rFonts w:ascii="Palatino Linotype" w:hAnsi="Palatino Linotype"/>
        </w:rPr>
      </w:pPr>
      <w:r>
        <w:rPr>
          <w:rFonts w:ascii="Palatino Linotype" w:hAnsi="Palatino Linotype"/>
        </w:rPr>
        <w:t>SB 840 (2016) removed the program’s January 1, 2019 sunset date.</w:t>
      </w:r>
      <w:r>
        <w:rPr>
          <w:rStyle w:val="FootnoteReference"/>
          <w:rFonts w:ascii="Palatino Linotype" w:hAnsi="Palatino Linotype"/>
        </w:rPr>
        <w:footnoteReference w:id="23"/>
      </w:r>
      <w:r>
        <w:rPr>
          <w:rFonts w:ascii="Palatino Linotype" w:hAnsi="Palatino Linotype"/>
        </w:rPr>
        <w:t xml:space="preserve">  Hence, SCE’s request to terminate its GTSR programs is rejected since the program no longer has a sunset date.  Additionally, SCE’s application to replace the current GTSR program with new green energy programs was recently rejected by the Commission in D.19-05-031 on the basis that current law requires the utilities to administer the GTSR program in accordance with sections 2830-2833 of the </w:t>
      </w:r>
      <w:r>
        <w:rPr>
          <w:rFonts w:ascii="Palatino Linotype" w:hAnsi="Palatino Linotype"/>
        </w:rPr>
        <w:lastRenderedPageBreak/>
        <w:t>Public Utilities Code.</w:t>
      </w:r>
      <w:r>
        <w:rPr>
          <w:rStyle w:val="FootnoteReference"/>
          <w:rFonts w:ascii="Palatino Linotype" w:hAnsi="Palatino Linotype"/>
        </w:rPr>
        <w:footnoteReference w:id="24"/>
      </w:r>
      <w:r>
        <w:rPr>
          <w:rFonts w:ascii="Palatino Linotype" w:hAnsi="Palatino Linotype"/>
        </w:rPr>
        <w:t xml:space="preserve">   We also reject SCE’s request to recover GTSR program costs from the ERRA process.  </w:t>
      </w:r>
    </w:p>
    <w:p w14:paraId="3B906629" w14:textId="77777777" w:rsidR="0076358A" w:rsidRDefault="0076358A" w:rsidP="0076358A">
      <w:pPr>
        <w:pStyle w:val="DecisionText"/>
        <w:spacing w:line="240" w:lineRule="auto"/>
        <w:rPr>
          <w:rFonts w:ascii="Palatino Linotype" w:hAnsi="Palatino Linotype"/>
        </w:rPr>
      </w:pPr>
      <w:r>
        <w:rPr>
          <w:rFonts w:ascii="Palatino Linotype" w:hAnsi="Palatino Linotype"/>
        </w:rPr>
        <w:t>CCSF’s and CCA Parties’ protests to limit or reject PG&amp;E’s request to extend its GTSR program are also rejected for the same reason.  SDG&amp;E’s request to extend its program 5 years is moot, as SDG&amp;E shall continue the program indefinitely until the program cap is reached, in compliance with the law.</w:t>
      </w:r>
    </w:p>
    <w:p w14:paraId="2DABFFB3" w14:textId="77777777" w:rsidR="0076358A" w:rsidRPr="00FA492E" w:rsidRDefault="0076358A" w:rsidP="0076358A">
      <w:pPr>
        <w:pStyle w:val="Heading3"/>
      </w:pPr>
      <w:bookmarkStart w:id="29" w:name="_Toc529915554"/>
      <w:bookmarkStart w:id="30" w:name="_Toc20145928"/>
      <w:r>
        <w:t>T</w:t>
      </w:r>
      <w:r w:rsidRPr="00FA492E">
        <w:t>ariff Modifications in Conjunction with a GTSR Extension</w:t>
      </w:r>
      <w:bookmarkEnd w:id="29"/>
      <w:bookmarkEnd w:id="30"/>
    </w:p>
    <w:p w14:paraId="3A7D3079" w14:textId="77777777" w:rsidR="0076358A" w:rsidRPr="00FA492E" w:rsidRDefault="0076358A" w:rsidP="0076358A">
      <w:pPr>
        <w:pStyle w:val="DecisionText"/>
        <w:spacing w:line="240" w:lineRule="auto"/>
        <w:rPr>
          <w:rFonts w:ascii="Palatino Linotype" w:hAnsi="Palatino Linotype"/>
        </w:rPr>
      </w:pPr>
      <w:r>
        <w:rPr>
          <w:rFonts w:ascii="Palatino Linotype" w:hAnsi="Palatino Linotype"/>
        </w:rPr>
        <w:t>ForeFront</w:t>
      </w:r>
      <w:r w:rsidRPr="00FA492E">
        <w:rPr>
          <w:rFonts w:ascii="Palatino Linotype" w:hAnsi="Palatino Linotype"/>
        </w:rPr>
        <w:t xml:space="preserve"> Power, in their support for PG&amp;E and SDG&amp;E’s </w:t>
      </w:r>
      <w:r>
        <w:rPr>
          <w:rFonts w:ascii="Palatino Linotype" w:hAnsi="Palatino Linotype"/>
        </w:rPr>
        <w:t>proposals</w:t>
      </w:r>
      <w:r w:rsidRPr="00FA492E">
        <w:rPr>
          <w:rFonts w:ascii="Palatino Linotype" w:hAnsi="Palatino Linotype"/>
        </w:rPr>
        <w:t xml:space="preserve"> to extend their GTSR programs, further requested that the </w:t>
      </w:r>
      <w:r>
        <w:rPr>
          <w:rFonts w:ascii="Palatino Linotype" w:hAnsi="Palatino Linotype"/>
        </w:rPr>
        <w:t xml:space="preserve">PG&amp;E and SDG&amp;E </w:t>
      </w:r>
      <w:r w:rsidRPr="00FA492E">
        <w:rPr>
          <w:rFonts w:ascii="Palatino Linotype" w:hAnsi="Palatino Linotype"/>
        </w:rPr>
        <w:t xml:space="preserve">be required to update </w:t>
      </w:r>
      <w:r>
        <w:rPr>
          <w:rFonts w:ascii="Palatino Linotype" w:hAnsi="Palatino Linotype"/>
        </w:rPr>
        <w:t>its</w:t>
      </w:r>
      <w:r w:rsidRPr="00FA492E">
        <w:rPr>
          <w:rFonts w:ascii="Palatino Linotype" w:hAnsi="Palatino Linotype"/>
        </w:rPr>
        <w:t xml:space="preserve"> tariffs to incorporate the extension and account for long-term resource planning</w:t>
      </w:r>
      <w:r>
        <w:rPr>
          <w:rFonts w:ascii="Palatino Linotype" w:hAnsi="Palatino Linotype"/>
        </w:rPr>
        <w:t xml:space="preserve">.  </w:t>
      </w:r>
      <w:r w:rsidRPr="00FA492E">
        <w:rPr>
          <w:rFonts w:ascii="Palatino Linotype" w:hAnsi="Palatino Linotype"/>
        </w:rPr>
        <w:t xml:space="preserve"> </w:t>
      </w:r>
      <w:bookmarkStart w:id="31" w:name="_Hlk525262069"/>
    </w:p>
    <w:p w14:paraId="6FB95F81" w14:textId="77777777" w:rsidR="0076358A" w:rsidRPr="00FA492E" w:rsidRDefault="0076358A" w:rsidP="0076358A">
      <w:pPr>
        <w:pStyle w:val="DecisionText"/>
        <w:spacing w:line="240" w:lineRule="auto"/>
        <w:rPr>
          <w:rFonts w:ascii="Palatino Linotype" w:hAnsi="Palatino Linotype"/>
        </w:rPr>
      </w:pPr>
      <w:r w:rsidRPr="00FA492E">
        <w:rPr>
          <w:rFonts w:ascii="Palatino Linotype" w:hAnsi="Palatino Linotype"/>
        </w:rPr>
        <w:t xml:space="preserve">Specifically, </w:t>
      </w:r>
      <w:r>
        <w:rPr>
          <w:rFonts w:ascii="Palatino Linotype" w:hAnsi="Palatino Linotype"/>
        </w:rPr>
        <w:t>ForeFront</w:t>
      </w:r>
      <w:r w:rsidRPr="00FA492E">
        <w:rPr>
          <w:rFonts w:ascii="Palatino Linotype" w:hAnsi="Palatino Linotype"/>
        </w:rPr>
        <w:t xml:space="preserve"> </w:t>
      </w:r>
      <w:r>
        <w:rPr>
          <w:rFonts w:ascii="Palatino Linotype" w:hAnsi="Palatino Linotype"/>
        </w:rPr>
        <w:t>requests</w:t>
      </w:r>
      <w:r w:rsidRPr="00FA492E">
        <w:rPr>
          <w:rFonts w:ascii="Palatino Linotype" w:hAnsi="Palatino Linotype"/>
        </w:rPr>
        <w:t xml:space="preserve"> </w:t>
      </w:r>
      <w:r>
        <w:rPr>
          <w:rFonts w:ascii="Palatino Linotype" w:hAnsi="Palatino Linotype"/>
        </w:rPr>
        <w:t xml:space="preserve">changes and </w:t>
      </w:r>
      <w:r w:rsidRPr="00FA492E">
        <w:rPr>
          <w:rFonts w:ascii="Palatino Linotype" w:hAnsi="Palatino Linotype"/>
        </w:rPr>
        <w:t>clarification</w:t>
      </w:r>
      <w:r>
        <w:rPr>
          <w:rFonts w:ascii="Palatino Linotype" w:hAnsi="Palatino Linotype"/>
        </w:rPr>
        <w:t>s, as</w:t>
      </w:r>
      <w:r w:rsidRPr="00FA492E">
        <w:rPr>
          <w:rFonts w:ascii="Palatino Linotype" w:hAnsi="Palatino Linotype"/>
        </w:rPr>
        <w:t xml:space="preserve"> follow</w:t>
      </w:r>
      <w:r>
        <w:rPr>
          <w:rFonts w:ascii="Palatino Linotype" w:hAnsi="Palatino Linotype"/>
        </w:rPr>
        <w:t>s</w:t>
      </w:r>
      <w:r w:rsidRPr="00FA492E">
        <w:rPr>
          <w:rFonts w:ascii="Palatino Linotype" w:hAnsi="Palatino Linotype"/>
        </w:rPr>
        <w:t>:</w:t>
      </w:r>
    </w:p>
    <w:p w14:paraId="3591D7FE" w14:textId="77777777" w:rsidR="0076358A" w:rsidRDefault="0076358A" w:rsidP="00661A6B">
      <w:pPr>
        <w:pStyle w:val="DecisionText"/>
        <w:numPr>
          <w:ilvl w:val="0"/>
          <w:numId w:val="22"/>
        </w:numPr>
        <w:spacing w:line="240" w:lineRule="auto"/>
        <w:rPr>
          <w:rFonts w:ascii="Palatino Linotype" w:hAnsi="Palatino Linotype"/>
        </w:rPr>
      </w:pPr>
      <w:r>
        <w:rPr>
          <w:rFonts w:ascii="Palatino Linotype" w:hAnsi="Palatino Linotype"/>
        </w:rPr>
        <w:t>SDG&amp;E remove the January 1, 2019 sunset date from its GTSR tariffs.</w:t>
      </w:r>
    </w:p>
    <w:p w14:paraId="3717F621" w14:textId="77777777" w:rsidR="0076358A" w:rsidRDefault="0076358A" w:rsidP="00661A6B">
      <w:pPr>
        <w:pStyle w:val="DecisionText"/>
        <w:numPr>
          <w:ilvl w:val="0"/>
          <w:numId w:val="22"/>
        </w:numPr>
        <w:spacing w:line="240" w:lineRule="auto"/>
        <w:rPr>
          <w:rFonts w:ascii="Palatino Linotype" w:hAnsi="Palatino Linotype"/>
        </w:rPr>
      </w:pPr>
      <w:r>
        <w:rPr>
          <w:rFonts w:ascii="Palatino Linotype" w:hAnsi="Palatino Linotype"/>
        </w:rPr>
        <w:t xml:space="preserve">PG&amp;E clarify its intent on a specific sunset date if it has one other than reaching the program cap.  </w:t>
      </w:r>
    </w:p>
    <w:p w14:paraId="2D4A1513" w14:textId="77777777" w:rsidR="0076358A" w:rsidRPr="00FA492E" w:rsidRDefault="0076358A" w:rsidP="00661A6B">
      <w:pPr>
        <w:pStyle w:val="DecisionText"/>
        <w:numPr>
          <w:ilvl w:val="0"/>
          <w:numId w:val="22"/>
        </w:numPr>
        <w:spacing w:line="240" w:lineRule="auto"/>
        <w:rPr>
          <w:rFonts w:ascii="Palatino Linotype" w:hAnsi="Palatino Linotype"/>
        </w:rPr>
      </w:pPr>
      <w:r>
        <w:rPr>
          <w:rFonts w:ascii="Palatino Linotype" w:hAnsi="Palatino Linotype"/>
        </w:rPr>
        <w:t xml:space="preserve">PG&amp;E clarify that </w:t>
      </w:r>
      <w:r w:rsidRPr="00FA492E">
        <w:rPr>
          <w:rFonts w:ascii="Palatino Linotype" w:hAnsi="Palatino Linotype"/>
        </w:rPr>
        <w:t>participating customers may continue to receive service under the program for a period of up to 20 years from their original subscription date.</w:t>
      </w:r>
    </w:p>
    <w:p w14:paraId="0E173F84" w14:textId="77777777" w:rsidR="0076358A" w:rsidRDefault="0076358A" w:rsidP="0076358A">
      <w:pPr>
        <w:pStyle w:val="DecisionText"/>
        <w:spacing w:line="240" w:lineRule="auto"/>
        <w:rPr>
          <w:rFonts w:ascii="Palatino Linotype" w:hAnsi="Palatino Linotype"/>
        </w:rPr>
      </w:pPr>
      <w:r>
        <w:rPr>
          <w:rFonts w:ascii="Palatino Linotype" w:hAnsi="Palatino Linotype"/>
        </w:rPr>
        <w:t>We</w:t>
      </w:r>
      <w:r w:rsidRPr="00FA492E">
        <w:rPr>
          <w:rFonts w:ascii="Palatino Linotype" w:hAnsi="Palatino Linotype"/>
        </w:rPr>
        <w:t xml:space="preserve"> agree with </w:t>
      </w:r>
      <w:r>
        <w:rPr>
          <w:rFonts w:ascii="Palatino Linotype" w:hAnsi="Palatino Linotype"/>
        </w:rPr>
        <w:t>ForeFront’s requests above except for PG&amp;E clarifying its intent on a specific sunset date if it has one.  As noted above, the program, by law, has no specific sunset date except for reaching the program cap</w:t>
      </w:r>
      <w:r w:rsidRPr="00FA492E">
        <w:rPr>
          <w:rFonts w:ascii="Palatino Linotype" w:hAnsi="Palatino Linotype"/>
        </w:rPr>
        <w:t xml:space="preserve">.  </w:t>
      </w:r>
      <w:r>
        <w:rPr>
          <w:rFonts w:ascii="Palatino Linotype" w:hAnsi="Palatino Linotype"/>
        </w:rPr>
        <w:t>ForeFront’s request for a specific sunset date is made moot by the law.  PG&amp;E and SDG&amp;E are hereby directed to make the other two clarifications in their tariffs.</w:t>
      </w:r>
    </w:p>
    <w:p w14:paraId="2CEC549D" w14:textId="77777777" w:rsidR="0076358A" w:rsidRPr="00FA492E" w:rsidRDefault="0076358A" w:rsidP="0076358A">
      <w:pPr>
        <w:pStyle w:val="Heading2"/>
      </w:pPr>
      <w:bookmarkStart w:id="32" w:name="_Toc12442432"/>
      <w:bookmarkStart w:id="33" w:name="_Toc20145929"/>
      <w:bookmarkEnd w:id="31"/>
      <w:r>
        <w:t>Programmatic Changes Recommended by the IOUs and Parties</w:t>
      </w:r>
      <w:bookmarkEnd w:id="32"/>
      <w:bookmarkEnd w:id="33"/>
    </w:p>
    <w:p w14:paraId="0176E494" w14:textId="77777777" w:rsidR="0076358A" w:rsidRDefault="0076358A" w:rsidP="0076358A">
      <w:pPr>
        <w:rPr>
          <w:rFonts w:ascii="Palatino Linotype" w:hAnsi="Palatino Linotype"/>
        </w:rPr>
      </w:pPr>
      <w:r>
        <w:rPr>
          <w:rFonts w:ascii="Palatino Linotype" w:hAnsi="Palatino Linotype"/>
        </w:rPr>
        <w:t xml:space="preserve">PG&amp;E and SDG&amp;E (and some parties) provide numerous suggestions to improve the GTSR program.  CCA Parties, CCSF and to some extent Cal PA, all argue that the IOUs’ ALs are procedurally improper because their recommended program changes would require modification to a prior Commission decision, such as </w:t>
      </w:r>
      <w:r>
        <w:rPr>
          <w:rFonts w:ascii="Palatino Linotype" w:hAnsi="Palatino Linotype"/>
        </w:rPr>
        <w:lastRenderedPageBreak/>
        <w:t>D.15-01-051.</w:t>
      </w:r>
      <w:r>
        <w:rPr>
          <w:rStyle w:val="FootnoteReference"/>
          <w:rFonts w:ascii="Palatino Linotype" w:hAnsi="Palatino Linotype"/>
        </w:rPr>
        <w:footnoteReference w:id="25"/>
      </w:r>
      <w:r>
        <w:rPr>
          <w:rFonts w:ascii="Palatino Linotype" w:hAnsi="Palatino Linotype"/>
        </w:rPr>
        <w:t xml:space="preserve">  These parties cite Rule 16.4 of the Commission’s Rules of Practice and Procedure which requires a Petition for Modification, rather than an AL, to modify a past Commission decision.  The same parties recommend that the Commission reject PG&amp;E’s AL (and by extension SDG&amp;E’s AL) and direct the IOUs to file a Petition for Modification for all program changes that they seek.  </w:t>
      </w:r>
    </w:p>
    <w:p w14:paraId="492BB790" w14:textId="77777777" w:rsidR="0076358A" w:rsidRDefault="0076358A" w:rsidP="0076358A">
      <w:pPr>
        <w:rPr>
          <w:rFonts w:ascii="Palatino Linotype" w:hAnsi="Palatino Linotype"/>
        </w:rPr>
      </w:pPr>
    </w:p>
    <w:p w14:paraId="2D2DF930" w14:textId="77777777" w:rsidR="0076358A" w:rsidRDefault="0076358A" w:rsidP="0076358A">
      <w:pPr>
        <w:rPr>
          <w:rFonts w:ascii="Palatino Linotype" w:hAnsi="Palatino Linotype"/>
        </w:rPr>
      </w:pPr>
      <w:r>
        <w:rPr>
          <w:rFonts w:ascii="Palatino Linotype" w:hAnsi="Palatino Linotype"/>
        </w:rPr>
        <w:t xml:space="preserve">In its reply, PG&amp;E argues that Ordering Paragraph (OP) 13 of D.15-05-051 provides the IOUs authority to propose program changes via a Tier 3 AL as long as the changes do not constitute a different structure or materially different capacity for the program.  </w:t>
      </w:r>
    </w:p>
    <w:p w14:paraId="57BD7EA1" w14:textId="77777777" w:rsidR="0076358A" w:rsidRDefault="0076358A" w:rsidP="0076358A">
      <w:pPr>
        <w:rPr>
          <w:rFonts w:ascii="Palatino Linotype" w:hAnsi="Palatino Linotype"/>
        </w:rPr>
      </w:pPr>
    </w:p>
    <w:p w14:paraId="1BAFB850" w14:textId="77777777" w:rsidR="0076358A" w:rsidRDefault="0076358A" w:rsidP="0076358A">
      <w:pPr>
        <w:rPr>
          <w:rFonts w:ascii="Palatino Linotype" w:hAnsi="Palatino Linotype"/>
        </w:rPr>
      </w:pPr>
      <w:r>
        <w:rPr>
          <w:rFonts w:ascii="Palatino Linotype" w:hAnsi="Palatino Linotype"/>
        </w:rPr>
        <w:t xml:space="preserve">We agree with PG&amp;E’s interpretation of OP 13 of D.15-05-051, which clearly permits the IOUs to file a Tier 3 AL for proposed changes to the GTSR program on the condition that the changes do not result in a different structure or materially different capacity.  We therefore reject the argument of CCA Parties, CCSF and Cal PA that PG&amp;E’s and SDG&amp;E’s ALs should be summarily dismissed simply because the IOUs have not filed a Petition for Modification.  In the following section, we will first assess each proposed program change to determine whether it results in different structure or a materially different capacity.  If we determine that it meets either criteria, the change should be pursued via an application as directed in OP 13.  The programmatic changes that are adopted in this resolution shall also apply to SCE’s GTSR program unless otherwise stated.   </w:t>
      </w:r>
      <w:bookmarkStart w:id="34" w:name="_Toc529915561"/>
    </w:p>
    <w:p w14:paraId="3F3E9607" w14:textId="77777777" w:rsidR="0076358A" w:rsidRPr="00ED2377" w:rsidRDefault="0076358A" w:rsidP="0076358A">
      <w:pPr>
        <w:pStyle w:val="Heading3"/>
      </w:pPr>
      <w:bookmarkStart w:id="35" w:name="_Toc20145930"/>
      <w:bookmarkEnd w:id="34"/>
      <w:r>
        <w:t>IOU Program Proposals</w:t>
      </w:r>
      <w:bookmarkEnd w:id="35"/>
    </w:p>
    <w:p w14:paraId="5F0E5086" w14:textId="77777777" w:rsidR="0076358A" w:rsidRPr="00FA492E" w:rsidRDefault="0076358A" w:rsidP="0076358A">
      <w:pPr>
        <w:pStyle w:val="Heading4"/>
      </w:pPr>
      <w:bookmarkStart w:id="36" w:name="_Toc529915562"/>
      <w:bookmarkStart w:id="37" w:name="_Toc12442433"/>
      <w:bookmarkStart w:id="38" w:name="_Toc20145931"/>
      <w:r>
        <w:t xml:space="preserve">The </w:t>
      </w:r>
      <w:r w:rsidRPr="00FA492E">
        <w:t>Community Interest Requirement</w:t>
      </w:r>
      <w:bookmarkEnd w:id="36"/>
      <w:bookmarkEnd w:id="37"/>
      <w:bookmarkEnd w:id="38"/>
    </w:p>
    <w:p w14:paraId="4334178B" w14:textId="77777777" w:rsidR="0076358A" w:rsidRPr="00FA492E" w:rsidRDefault="0076358A" w:rsidP="0076358A">
      <w:pPr>
        <w:pStyle w:val="DecisionText"/>
        <w:spacing w:line="240" w:lineRule="auto"/>
        <w:rPr>
          <w:rFonts w:ascii="Palatino Linotype" w:hAnsi="Palatino Linotype"/>
        </w:rPr>
      </w:pPr>
      <w:r w:rsidRPr="00FA492E">
        <w:rPr>
          <w:rFonts w:ascii="Palatino Linotype" w:hAnsi="Palatino Linotype"/>
        </w:rPr>
        <w:t xml:space="preserve">The 2015 GTSR Decision described the intent of the community interest requirement to give communities the flexibility to structure their projects in innovative ways that incentivize community participation and developer interest </w:t>
      </w:r>
      <w:r w:rsidRPr="00FA492E">
        <w:rPr>
          <w:rFonts w:ascii="Palatino Linotype" w:hAnsi="Palatino Linotype"/>
        </w:rPr>
        <w:lastRenderedPageBreak/>
        <w:t>in new projects. The ECR component must encourage, rather than discourage, efforts of municipalities to develop shared community renewables.</w:t>
      </w:r>
      <w:r w:rsidRPr="00FA492E">
        <w:rPr>
          <w:rStyle w:val="FootnoteReference"/>
          <w:rFonts w:ascii="Palatino Linotype" w:hAnsi="Palatino Linotype"/>
        </w:rPr>
        <w:footnoteReference w:id="26"/>
      </w:r>
      <w:r w:rsidRPr="00FA492E">
        <w:rPr>
          <w:rStyle w:val="FootnoteReference"/>
          <w:rFonts w:ascii="Palatino Linotype" w:hAnsi="Palatino Linotype"/>
        </w:rPr>
        <w:t xml:space="preserve"> </w:t>
      </w:r>
      <w:r w:rsidRPr="00FA492E">
        <w:rPr>
          <w:rFonts w:ascii="Palatino Linotype" w:hAnsi="Palatino Linotype"/>
        </w:rPr>
        <w:t xml:space="preserve"> </w:t>
      </w:r>
    </w:p>
    <w:p w14:paraId="40781ACB" w14:textId="77777777" w:rsidR="0076358A" w:rsidRPr="00FA492E" w:rsidRDefault="0076358A" w:rsidP="0076358A">
      <w:pPr>
        <w:pStyle w:val="DecisionText"/>
        <w:spacing w:line="240" w:lineRule="auto"/>
        <w:rPr>
          <w:rFonts w:ascii="Palatino Linotype" w:hAnsi="Palatino Linotype"/>
        </w:rPr>
      </w:pPr>
      <w:r w:rsidRPr="00FA492E">
        <w:rPr>
          <w:rFonts w:ascii="Palatino Linotype" w:hAnsi="Palatino Linotype"/>
        </w:rPr>
        <w:t xml:space="preserve">To meet these ends, the </w:t>
      </w:r>
      <w:r>
        <w:rPr>
          <w:rFonts w:ascii="Palatino Linotype" w:hAnsi="Palatino Linotype"/>
        </w:rPr>
        <w:t>2015 GTSR Decision</w:t>
      </w:r>
      <w:r w:rsidRPr="00FA492E">
        <w:rPr>
          <w:rFonts w:ascii="Palatino Linotype" w:hAnsi="Palatino Linotype"/>
        </w:rPr>
        <w:t xml:space="preserve"> set </w:t>
      </w:r>
      <w:r>
        <w:rPr>
          <w:rFonts w:ascii="Palatino Linotype" w:hAnsi="Palatino Linotype"/>
        </w:rPr>
        <w:t>forth a</w:t>
      </w:r>
      <w:r w:rsidRPr="00FA492E">
        <w:rPr>
          <w:rFonts w:ascii="Palatino Linotype" w:hAnsi="Palatino Linotype"/>
        </w:rPr>
        <w:t xml:space="preserve"> “framework for basic protections for customers and for preventing developers from gaming the program.”</w:t>
      </w:r>
      <w:r w:rsidRPr="00FA492E">
        <w:rPr>
          <w:rStyle w:val="FootnoteReference"/>
          <w:rFonts w:ascii="Palatino Linotype" w:hAnsi="Palatino Linotype"/>
        </w:rPr>
        <w:footnoteReference w:id="27"/>
      </w:r>
      <w:r w:rsidRPr="00FA492E">
        <w:rPr>
          <w:rFonts w:ascii="Palatino Linotype" w:hAnsi="Palatino Linotype"/>
        </w:rPr>
        <w:t xml:space="preserve">  The 2016 Decision further clarified that a developer seeking approval for an ECR project fulfill a community interest requirement before a Power Purchase Agreement (PPA) can be executed.</w:t>
      </w:r>
      <w:r w:rsidRPr="00FA492E">
        <w:rPr>
          <w:rFonts w:ascii="Palatino Linotype" w:hAnsi="Palatino Linotype"/>
          <w:sz w:val="14"/>
          <w:szCs w:val="14"/>
        </w:rPr>
        <w:t xml:space="preserve"> </w:t>
      </w:r>
    </w:p>
    <w:p w14:paraId="5AA8BBC8" w14:textId="77777777" w:rsidR="0076358A" w:rsidRPr="00FA492E" w:rsidRDefault="0076358A" w:rsidP="0076358A">
      <w:pPr>
        <w:pStyle w:val="DecisionText"/>
        <w:spacing w:line="240" w:lineRule="auto"/>
        <w:rPr>
          <w:rFonts w:ascii="Palatino Linotype" w:hAnsi="Palatino Linotype"/>
        </w:rPr>
      </w:pPr>
      <w:r w:rsidRPr="00FA492E">
        <w:rPr>
          <w:rFonts w:ascii="Palatino Linotype" w:hAnsi="Palatino Linotype"/>
        </w:rPr>
        <w:t>P</w:t>
      </w:r>
      <w:r>
        <w:rPr>
          <w:rFonts w:ascii="Palatino Linotype" w:hAnsi="Palatino Linotype"/>
        </w:rPr>
        <w:t>ursuant to</w:t>
      </w:r>
      <w:r w:rsidRPr="00FA492E">
        <w:rPr>
          <w:rFonts w:ascii="Palatino Linotype" w:hAnsi="Palatino Linotype"/>
        </w:rPr>
        <w:t xml:space="preserve"> the 2016 GTSR Decision, community interest requirements are interpreted as</w:t>
      </w:r>
      <w:r>
        <w:rPr>
          <w:rFonts w:ascii="Palatino Linotype" w:hAnsi="Palatino Linotype"/>
        </w:rPr>
        <w:t xml:space="preserve"> follows</w:t>
      </w:r>
      <w:r w:rsidRPr="00FA492E">
        <w:rPr>
          <w:rFonts w:ascii="Palatino Linotype" w:hAnsi="Palatino Linotype"/>
        </w:rPr>
        <w:t>:</w:t>
      </w:r>
      <w:r w:rsidRPr="00FA492E">
        <w:rPr>
          <w:rStyle w:val="FootnoteReference"/>
          <w:rFonts w:ascii="Palatino Linotype" w:hAnsi="Palatino Linotype"/>
        </w:rPr>
        <w:t xml:space="preserve"> </w:t>
      </w:r>
      <w:r w:rsidRPr="00FA492E">
        <w:rPr>
          <w:rStyle w:val="FootnoteReference"/>
          <w:rFonts w:ascii="Palatino Linotype" w:hAnsi="Palatino Linotype"/>
        </w:rPr>
        <w:footnoteReference w:id="28"/>
      </w:r>
    </w:p>
    <w:p w14:paraId="1638BFED" w14:textId="77777777" w:rsidR="0076358A" w:rsidRPr="00FA492E" w:rsidRDefault="0076358A" w:rsidP="00661A6B">
      <w:pPr>
        <w:pStyle w:val="ListParagraph"/>
        <w:numPr>
          <w:ilvl w:val="0"/>
          <w:numId w:val="21"/>
        </w:numPr>
        <w:rPr>
          <w:rFonts w:ascii="Palatino Linotype" w:hAnsi="Palatino Linotype"/>
        </w:rPr>
      </w:pPr>
      <w:r>
        <w:rPr>
          <w:rFonts w:ascii="Palatino Linotype" w:hAnsi="Palatino Linotype"/>
        </w:rPr>
        <w:t>A</w:t>
      </w:r>
      <w:r w:rsidRPr="00FA492E">
        <w:rPr>
          <w:rFonts w:ascii="Palatino Linotype" w:hAnsi="Palatino Linotype"/>
        </w:rPr>
        <w:t>n Enhanced Community Renewables project should demonstrate fulfillment of its community interest requirements within 60 days of notification of contract award</w:t>
      </w:r>
      <w:r>
        <w:rPr>
          <w:rFonts w:ascii="Palatino Linotype" w:hAnsi="Palatino Linotype"/>
        </w:rPr>
        <w:t>;</w:t>
      </w:r>
      <w:r w:rsidRPr="00FA492E">
        <w:rPr>
          <w:rFonts w:ascii="Palatino Linotype" w:hAnsi="Palatino Linotype"/>
        </w:rPr>
        <w:t xml:space="preserve"> </w:t>
      </w:r>
    </w:p>
    <w:p w14:paraId="1A279987" w14:textId="77777777" w:rsidR="0076358A" w:rsidRPr="00FA492E" w:rsidRDefault="0076358A" w:rsidP="00661A6B">
      <w:pPr>
        <w:pStyle w:val="ListParagraph"/>
        <w:numPr>
          <w:ilvl w:val="0"/>
          <w:numId w:val="21"/>
        </w:numPr>
        <w:rPr>
          <w:rFonts w:ascii="Palatino Linotype" w:hAnsi="Palatino Linotype"/>
        </w:rPr>
      </w:pPr>
      <w:r w:rsidRPr="00FA492E">
        <w:rPr>
          <w:rFonts w:ascii="Palatino Linotype" w:hAnsi="Palatino Linotype"/>
        </w:rPr>
        <w:t>At least 50% (by number of customers) and at least 1/6</w:t>
      </w:r>
      <w:r w:rsidRPr="00FA492E">
        <w:rPr>
          <w:rFonts w:ascii="Palatino Linotype" w:hAnsi="Palatino Linotype"/>
          <w:vertAlign w:val="superscript"/>
        </w:rPr>
        <w:t>th</w:t>
      </w:r>
      <w:r w:rsidRPr="00FA492E">
        <w:rPr>
          <w:rFonts w:ascii="Palatino Linotype" w:hAnsi="Palatino Linotype"/>
        </w:rPr>
        <w:t xml:space="preserve"> (by load) of the demonstrated community interest in the project </w:t>
      </w:r>
      <w:r w:rsidRPr="00A90A03">
        <w:rPr>
          <w:rFonts w:ascii="Palatino Linotype" w:hAnsi="Palatino Linotype"/>
          <w:iCs/>
        </w:rPr>
        <w:t>should</w:t>
      </w:r>
      <w:r w:rsidRPr="00FA492E">
        <w:rPr>
          <w:rFonts w:ascii="Palatino Linotype" w:hAnsi="Palatino Linotype"/>
        </w:rPr>
        <w:t xml:space="preserve"> come from residential customers</w:t>
      </w:r>
      <w:r>
        <w:rPr>
          <w:rFonts w:ascii="Palatino Linotype" w:hAnsi="Palatino Linotype"/>
        </w:rPr>
        <w:t>; and</w:t>
      </w:r>
      <w:r w:rsidRPr="00FA492E">
        <w:rPr>
          <w:rFonts w:ascii="Palatino Linotype" w:hAnsi="Palatino Linotype"/>
        </w:rPr>
        <w:t xml:space="preserve"> </w:t>
      </w:r>
    </w:p>
    <w:p w14:paraId="7C398CE2" w14:textId="77777777" w:rsidR="0076358A" w:rsidRPr="00FA492E" w:rsidRDefault="0076358A" w:rsidP="00661A6B">
      <w:pPr>
        <w:pStyle w:val="ListParagraph"/>
        <w:numPr>
          <w:ilvl w:val="0"/>
          <w:numId w:val="21"/>
        </w:numPr>
        <w:rPr>
          <w:rFonts w:ascii="Palatino Linotype" w:hAnsi="Palatino Linotype"/>
        </w:rPr>
      </w:pPr>
      <w:r w:rsidRPr="00FA492E">
        <w:rPr>
          <w:rFonts w:ascii="Palatino Linotype" w:hAnsi="Palatino Linotype"/>
        </w:rPr>
        <w:t xml:space="preserve">As required by § 2833(h), individual subscribers are limited to 2 MW of load.  </w:t>
      </w:r>
    </w:p>
    <w:p w14:paraId="46DEA6D3" w14:textId="77777777" w:rsidR="0076358A" w:rsidRPr="00FA492E" w:rsidRDefault="0076358A" w:rsidP="0076358A">
      <w:pPr>
        <w:pStyle w:val="DecisionText"/>
        <w:spacing w:line="240" w:lineRule="auto"/>
        <w:rPr>
          <w:rFonts w:ascii="Palatino Linotype" w:hAnsi="Palatino Linotype"/>
        </w:rPr>
      </w:pPr>
      <w:r>
        <w:rPr>
          <w:rFonts w:ascii="Palatino Linotype" w:hAnsi="Palatino Linotype"/>
        </w:rPr>
        <w:t>C</w:t>
      </w:r>
      <w:r w:rsidRPr="00FA492E">
        <w:rPr>
          <w:rFonts w:ascii="Palatino Linotype" w:hAnsi="Palatino Linotype"/>
        </w:rPr>
        <w:t>ustomers who have registered their community interest are not actually obligated to enroll.  When an ECR project is built and a Commercial Operation Date approaches</w:t>
      </w:r>
      <w:r>
        <w:rPr>
          <w:rFonts w:ascii="Palatino Linotype" w:hAnsi="Palatino Linotype"/>
        </w:rPr>
        <w:t xml:space="preserve"> – </w:t>
      </w:r>
      <w:r w:rsidRPr="00FA492E">
        <w:rPr>
          <w:rFonts w:ascii="Palatino Linotype" w:hAnsi="Palatino Linotype"/>
        </w:rPr>
        <w:t>as much as two to three years later</w:t>
      </w:r>
      <w:r>
        <w:rPr>
          <w:rFonts w:ascii="Palatino Linotype" w:hAnsi="Palatino Linotype"/>
        </w:rPr>
        <w:t xml:space="preserve"> – </w:t>
      </w:r>
      <w:r w:rsidRPr="00FA492E">
        <w:rPr>
          <w:rFonts w:ascii="Palatino Linotype" w:hAnsi="Palatino Linotype"/>
        </w:rPr>
        <w:t xml:space="preserve">the project developer must subsequently market and sell customer shares to the community renewable project at that time.  </w:t>
      </w:r>
    </w:p>
    <w:p w14:paraId="66B2B5B5" w14:textId="77777777" w:rsidR="0076358A" w:rsidRPr="00FA492E" w:rsidRDefault="0076358A" w:rsidP="0076358A">
      <w:pPr>
        <w:pStyle w:val="DecisionText"/>
        <w:spacing w:line="240" w:lineRule="auto"/>
        <w:rPr>
          <w:rFonts w:ascii="Palatino Linotype" w:hAnsi="Palatino Linotype"/>
        </w:rPr>
      </w:pPr>
      <w:r w:rsidRPr="00FA492E">
        <w:rPr>
          <w:rFonts w:ascii="Palatino Linotype" w:hAnsi="Palatino Linotype"/>
        </w:rPr>
        <w:lastRenderedPageBreak/>
        <w:t>The inaugural GTSR Program Forum</w:t>
      </w:r>
      <w:r>
        <w:rPr>
          <w:rFonts w:ascii="Palatino Linotype" w:hAnsi="Palatino Linotype"/>
        </w:rPr>
        <w:t>,</w:t>
      </w:r>
      <w:r w:rsidRPr="00FA492E">
        <w:rPr>
          <w:rFonts w:ascii="Palatino Linotype" w:hAnsi="Palatino Linotype"/>
        </w:rPr>
        <w:t xml:space="preserve"> held on April 5, 2017</w:t>
      </w:r>
      <w:r>
        <w:rPr>
          <w:rFonts w:ascii="Palatino Linotype" w:hAnsi="Palatino Linotype"/>
        </w:rPr>
        <w:t>,</w:t>
      </w:r>
      <w:r w:rsidRPr="00FA492E">
        <w:rPr>
          <w:rFonts w:ascii="Palatino Linotype" w:hAnsi="Palatino Linotype"/>
        </w:rPr>
        <w:t xml:space="preserve"> provided developers with an opportunity to evaluate ways to improve upon the developer experience and discuss how to improve the ECR program.  The participants universally agreed that steps for demonstrating community interest have proven to be onerous and difficult to overcome.</w:t>
      </w:r>
      <w:r w:rsidRPr="00FA492E">
        <w:rPr>
          <w:rStyle w:val="FootnoteReference"/>
          <w:rFonts w:ascii="Palatino Linotype" w:hAnsi="Palatino Linotype"/>
        </w:rPr>
        <w:footnoteReference w:id="29"/>
      </w:r>
      <w:r w:rsidRPr="00FA492E">
        <w:rPr>
          <w:rFonts w:ascii="Palatino Linotype" w:hAnsi="Palatino Linotype"/>
        </w:rPr>
        <w:t xml:space="preserve">  The Joint Solar Interests further elaborate that in sum, the community interest requirements serve as a barrier to the development of ECR projects and do not serve the intended purpose of ensuring that a project has community support.</w:t>
      </w:r>
      <w:r w:rsidRPr="00FA492E">
        <w:rPr>
          <w:rStyle w:val="FootnoteReference"/>
          <w:rFonts w:ascii="Palatino Linotype" w:hAnsi="Palatino Linotype"/>
        </w:rPr>
        <w:footnoteReference w:id="30"/>
      </w:r>
      <w:r w:rsidRPr="00FA492E">
        <w:rPr>
          <w:rFonts w:ascii="Palatino Linotype" w:hAnsi="Palatino Linotype"/>
        </w:rPr>
        <w:t xml:space="preserve"> In response to the feedback received at this forum and through other mechanisms</w:t>
      </w:r>
      <w:r>
        <w:rPr>
          <w:rFonts w:ascii="Palatino Linotype" w:hAnsi="Palatino Linotype"/>
        </w:rPr>
        <w:t>,</w:t>
      </w:r>
      <w:r w:rsidRPr="00FA492E">
        <w:rPr>
          <w:rStyle w:val="FootnoteReference"/>
          <w:rFonts w:ascii="Palatino Linotype" w:hAnsi="Palatino Linotype"/>
        </w:rPr>
        <w:footnoteReference w:id="31"/>
      </w:r>
      <w:r w:rsidRPr="00FA492E">
        <w:rPr>
          <w:rFonts w:ascii="Palatino Linotype" w:hAnsi="Palatino Linotype"/>
        </w:rPr>
        <w:t xml:space="preserve"> the IOUs filed the following recommendations in their </w:t>
      </w:r>
      <w:r>
        <w:rPr>
          <w:rFonts w:ascii="Palatino Linotype" w:hAnsi="Palatino Linotype"/>
        </w:rPr>
        <w:t>AL</w:t>
      </w:r>
      <w:r w:rsidRPr="00FA492E">
        <w:rPr>
          <w:rFonts w:ascii="Palatino Linotype" w:hAnsi="Palatino Linotype"/>
        </w:rPr>
        <w:t>s</w:t>
      </w:r>
      <w:r>
        <w:rPr>
          <w:rFonts w:ascii="Palatino Linotype" w:hAnsi="Palatino Linotype"/>
        </w:rPr>
        <w:t>:</w:t>
      </w:r>
    </w:p>
    <w:p w14:paraId="70F1BE69" w14:textId="77777777" w:rsidR="0076358A" w:rsidRPr="00FA492E" w:rsidRDefault="0076358A" w:rsidP="00661A6B">
      <w:pPr>
        <w:pStyle w:val="DecisionText"/>
        <w:numPr>
          <w:ilvl w:val="0"/>
          <w:numId w:val="23"/>
        </w:numPr>
        <w:spacing w:line="240" w:lineRule="auto"/>
        <w:rPr>
          <w:rFonts w:ascii="Palatino Linotype" w:hAnsi="Palatino Linotype"/>
        </w:rPr>
      </w:pPr>
      <w:r w:rsidRPr="00FA492E">
        <w:rPr>
          <w:rFonts w:ascii="Palatino Linotype" w:hAnsi="Palatino Linotype"/>
        </w:rPr>
        <w:t>PG&amp;E propose</w:t>
      </w:r>
      <w:r>
        <w:rPr>
          <w:rFonts w:ascii="Palatino Linotype" w:hAnsi="Palatino Linotype"/>
        </w:rPr>
        <w:t>s</w:t>
      </w:r>
      <w:r w:rsidRPr="00FA492E">
        <w:rPr>
          <w:rFonts w:ascii="Palatino Linotype" w:hAnsi="Palatino Linotype"/>
        </w:rPr>
        <w:t xml:space="preserve"> to eliminate completely the demonstration of community interest requirements at </w:t>
      </w:r>
      <w:r>
        <w:rPr>
          <w:rFonts w:ascii="Palatino Linotype" w:hAnsi="Palatino Linotype"/>
        </w:rPr>
        <w:t xml:space="preserve">60 </w:t>
      </w:r>
      <w:r w:rsidRPr="00FA492E">
        <w:rPr>
          <w:rFonts w:ascii="Palatino Linotype" w:hAnsi="Palatino Linotype"/>
        </w:rPr>
        <w:t>days post-award notification, and instead move the two most critical enrollment requirements (the % residential requirement and the customer size limitations) to the time of commercial operation</w:t>
      </w:r>
      <w:r>
        <w:rPr>
          <w:rFonts w:ascii="Palatino Linotype" w:hAnsi="Palatino Linotype"/>
        </w:rPr>
        <w:t>.</w:t>
      </w:r>
      <w:r w:rsidRPr="00FA492E">
        <w:rPr>
          <w:rStyle w:val="FootnoteReference"/>
          <w:rFonts w:ascii="Palatino Linotype" w:hAnsi="Palatino Linotype"/>
        </w:rPr>
        <w:footnoteReference w:id="32"/>
      </w:r>
      <w:r>
        <w:rPr>
          <w:rFonts w:ascii="Palatino Linotype" w:hAnsi="Palatino Linotype"/>
        </w:rPr>
        <w:t xml:space="preserve"> </w:t>
      </w:r>
      <w:r w:rsidRPr="00FA492E">
        <w:rPr>
          <w:rFonts w:ascii="Palatino Linotype" w:hAnsi="Palatino Linotype"/>
        </w:rPr>
        <w:t>SDG&amp;E proposes to move the community interest requirement to a point in the future, when a PPA is to be executed.</w:t>
      </w:r>
    </w:p>
    <w:p w14:paraId="0522C44D" w14:textId="77777777" w:rsidR="0076358A" w:rsidRPr="00FA492E" w:rsidRDefault="0076358A" w:rsidP="00661A6B">
      <w:pPr>
        <w:pStyle w:val="DecisionText"/>
        <w:numPr>
          <w:ilvl w:val="0"/>
          <w:numId w:val="23"/>
        </w:numPr>
        <w:spacing w:line="240" w:lineRule="auto"/>
        <w:rPr>
          <w:rFonts w:ascii="Palatino Linotype" w:hAnsi="Palatino Linotype"/>
        </w:rPr>
      </w:pPr>
      <w:r w:rsidRPr="00FA492E">
        <w:rPr>
          <w:rFonts w:ascii="Palatino Linotype" w:hAnsi="Palatino Linotype"/>
        </w:rPr>
        <w:t>TURN noted its support for SDG&amp;E and PG&amp;E’s proposals and urged the Commission to fix these current shortcomings rat</w:t>
      </w:r>
      <w:r>
        <w:rPr>
          <w:rFonts w:ascii="Palatino Linotype" w:hAnsi="Palatino Linotype"/>
        </w:rPr>
        <w:t>h</w:t>
      </w:r>
      <w:r w:rsidRPr="00FA492E">
        <w:rPr>
          <w:rFonts w:ascii="Palatino Linotype" w:hAnsi="Palatino Linotype"/>
        </w:rPr>
        <w:t>er than terminate the existing ECR program</w:t>
      </w:r>
      <w:r>
        <w:rPr>
          <w:rFonts w:ascii="Palatino Linotype" w:hAnsi="Palatino Linotype"/>
        </w:rPr>
        <w:t>:</w:t>
      </w:r>
    </w:p>
    <w:p w14:paraId="21D15EB8" w14:textId="77777777" w:rsidR="0076358A" w:rsidRPr="00FA492E" w:rsidRDefault="0076358A" w:rsidP="0076358A">
      <w:pPr>
        <w:pStyle w:val="Quote"/>
        <w:ind w:left="1440"/>
        <w:rPr>
          <w:rFonts w:ascii="Palatino Linotype" w:hAnsi="Palatino Linotype"/>
        </w:rPr>
      </w:pPr>
      <w:r w:rsidRPr="00FA492E">
        <w:rPr>
          <w:rFonts w:ascii="Palatino Linotype" w:hAnsi="Palatino Linotype"/>
        </w:rPr>
        <w:t xml:space="preserve">TURN also urges the Commission to eliminate the requirement that an ECR project demonstrate sufficient community interest prior to the execution of a PPA with the utility (as proposed by both PG&amp;E and SDG&amp;E). These two elements of the ECR program have proven fatal to project development in all three IOU programs. Developers simply cannot bid into a solicitation and demonstrate substantial </w:t>
      </w:r>
      <w:r w:rsidRPr="00FA492E">
        <w:rPr>
          <w:rFonts w:ascii="Palatino Linotype" w:hAnsi="Palatino Linotype"/>
        </w:rPr>
        <w:lastRenderedPageBreak/>
        <w:t>community interest without even knowing whether their project will be selected by the IOU and given the 1-2 year lead-time between the submission of a bid and the likely commercial operation date.</w:t>
      </w:r>
      <w:r w:rsidRPr="00FA492E">
        <w:rPr>
          <w:rStyle w:val="FootnoteReference"/>
          <w:rFonts w:ascii="Palatino Linotype" w:hAnsi="Palatino Linotype"/>
        </w:rPr>
        <w:footnoteReference w:id="33"/>
      </w:r>
    </w:p>
    <w:p w14:paraId="782B7AC7" w14:textId="77777777" w:rsidR="0076358A" w:rsidRPr="00FA492E" w:rsidRDefault="0076358A" w:rsidP="0076358A">
      <w:pPr>
        <w:pStyle w:val="DecisionText"/>
        <w:spacing w:line="240" w:lineRule="auto"/>
        <w:ind w:left="720"/>
        <w:rPr>
          <w:rFonts w:ascii="Palatino Linotype" w:hAnsi="Palatino Linotype"/>
        </w:rPr>
      </w:pPr>
      <w:bookmarkStart w:id="39" w:name="_Hlk516054065"/>
      <w:r w:rsidRPr="00FA492E">
        <w:rPr>
          <w:rFonts w:ascii="Palatino Linotype" w:hAnsi="Palatino Linotype"/>
        </w:rPr>
        <w:t xml:space="preserve">The </w:t>
      </w:r>
      <w:r>
        <w:rPr>
          <w:rFonts w:ascii="Palatino Linotype" w:hAnsi="Palatino Linotype"/>
        </w:rPr>
        <w:t>60</w:t>
      </w:r>
      <w:r w:rsidRPr="00FA492E">
        <w:rPr>
          <w:rFonts w:ascii="Palatino Linotype" w:hAnsi="Palatino Linotype"/>
        </w:rPr>
        <w:t xml:space="preserve">-day timeframe in which developers must meet the first GTSR program community interest requirement have been raised as problematic, while providing little actual protection to ratepayers, as was intended by the Commission.  </w:t>
      </w:r>
    </w:p>
    <w:p w14:paraId="37121E80" w14:textId="77777777" w:rsidR="0076358A" w:rsidRPr="00FA492E" w:rsidRDefault="0076358A" w:rsidP="00661A6B">
      <w:pPr>
        <w:pStyle w:val="DecisionText"/>
        <w:numPr>
          <w:ilvl w:val="0"/>
          <w:numId w:val="24"/>
        </w:numPr>
        <w:spacing w:line="240" w:lineRule="auto"/>
        <w:rPr>
          <w:rFonts w:ascii="Palatino Linotype" w:hAnsi="Palatino Linotype"/>
        </w:rPr>
      </w:pPr>
      <w:r w:rsidRPr="00FA492E">
        <w:rPr>
          <w:rFonts w:ascii="Palatino Linotype" w:hAnsi="Palatino Linotype"/>
        </w:rPr>
        <w:t xml:space="preserve">SDG&amp;E proposes to modify the </w:t>
      </w:r>
      <w:r>
        <w:rPr>
          <w:rFonts w:ascii="Palatino Linotype" w:hAnsi="Palatino Linotype"/>
        </w:rPr>
        <w:t>60</w:t>
      </w:r>
      <w:r w:rsidRPr="00FA492E">
        <w:rPr>
          <w:rFonts w:ascii="Palatino Linotype" w:hAnsi="Palatino Linotype"/>
        </w:rPr>
        <w:t>-day requirement</w:t>
      </w:r>
      <w:r>
        <w:rPr>
          <w:rFonts w:ascii="Palatino Linotype" w:hAnsi="Palatino Linotype"/>
        </w:rPr>
        <w:t xml:space="preserve"> </w:t>
      </w:r>
      <w:r w:rsidRPr="00FA492E">
        <w:rPr>
          <w:rFonts w:ascii="Palatino Linotype" w:hAnsi="Palatino Linotype"/>
        </w:rPr>
        <w:t>so it is no longer a prerequisite to PPA execution</w:t>
      </w:r>
      <w:r>
        <w:rPr>
          <w:rFonts w:ascii="Palatino Linotype" w:hAnsi="Palatino Linotype"/>
        </w:rPr>
        <w:t>.</w:t>
      </w:r>
      <w:r w:rsidRPr="00FA492E">
        <w:rPr>
          <w:rStyle w:val="FootnoteReference"/>
          <w:rFonts w:ascii="Palatino Linotype" w:hAnsi="Palatino Linotype"/>
        </w:rPr>
        <w:footnoteReference w:id="34"/>
      </w:r>
      <w:r w:rsidRPr="00FA492E">
        <w:rPr>
          <w:rFonts w:ascii="Palatino Linotype" w:hAnsi="Palatino Linotype"/>
        </w:rPr>
        <w:t xml:space="preserve"> </w:t>
      </w:r>
      <w:r>
        <w:rPr>
          <w:rFonts w:ascii="Palatino Linotype" w:hAnsi="Palatino Linotype"/>
        </w:rPr>
        <w:t>Instead,</w:t>
      </w:r>
      <w:r w:rsidRPr="00FA492E">
        <w:rPr>
          <w:rFonts w:ascii="Palatino Linotype" w:hAnsi="Palatino Linotype"/>
        </w:rPr>
        <w:t xml:space="preserve"> SDG&amp;E proposes that the condition precedent in the PPA be pushed back so that </w:t>
      </w:r>
      <w:r>
        <w:rPr>
          <w:rFonts w:ascii="Palatino Linotype" w:hAnsi="Palatino Linotype"/>
        </w:rPr>
        <w:t>it</w:t>
      </w:r>
      <w:r w:rsidRPr="00FA492E">
        <w:rPr>
          <w:rFonts w:ascii="Palatino Linotype" w:hAnsi="Palatino Linotype"/>
        </w:rPr>
        <w:t xml:space="preserve"> must be met before start of construction can commence</w:t>
      </w:r>
      <w:bookmarkEnd w:id="39"/>
      <w:r w:rsidRPr="00FA492E">
        <w:rPr>
          <w:rFonts w:ascii="Palatino Linotype" w:hAnsi="Palatino Linotype"/>
        </w:rPr>
        <w:t>.</w:t>
      </w:r>
      <w:r w:rsidRPr="00FA492E">
        <w:rPr>
          <w:rStyle w:val="FootnoteReference"/>
          <w:rFonts w:ascii="Palatino Linotype" w:hAnsi="Palatino Linotype"/>
        </w:rPr>
        <w:footnoteReference w:id="35"/>
      </w:r>
      <w:r w:rsidRPr="00FA492E">
        <w:rPr>
          <w:rFonts w:ascii="Palatino Linotype" w:hAnsi="Palatino Linotype"/>
        </w:rPr>
        <w:t xml:space="preserve"> </w:t>
      </w:r>
    </w:p>
    <w:p w14:paraId="4D28F83B" w14:textId="77777777" w:rsidR="0076358A" w:rsidRPr="00FA492E" w:rsidRDefault="0076358A" w:rsidP="0076358A">
      <w:pPr>
        <w:pStyle w:val="DecisionText"/>
        <w:spacing w:line="240" w:lineRule="auto"/>
        <w:rPr>
          <w:rFonts w:ascii="Palatino Linotype" w:hAnsi="Palatino Linotype"/>
        </w:rPr>
      </w:pPr>
      <w:r w:rsidRPr="00FA492E">
        <w:rPr>
          <w:rFonts w:ascii="Palatino Linotype" w:hAnsi="Palatino Linotype"/>
        </w:rPr>
        <w:t xml:space="preserve">As PG&amp;E discusses, customer expressions of interest at the point of PPA award have little relevance on the actual customer’s decision to enroll two or more years later.  </w:t>
      </w:r>
      <w:r>
        <w:rPr>
          <w:rFonts w:ascii="Palatino Linotype" w:hAnsi="Palatino Linotype"/>
        </w:rPr>
        <w:t xml:space="preserve">The </w:t>
      </w:r>
      <w:r w:rsidRPr="00FA492E">
        <w:rPr>
          <w:rFonts w:ascii="Palatino Linotype" w:hAnsi="Palatino Linotype"/>
        </w:rPr>
        <w:t xml:space="preserve">Joint Solar Interests, TURN, Clean Coalition, and </w:t>
      </w:r>
      <w:r>
        <w:rPr>
          <w:rFonts w:ascii="Palatino Linotype" w:hAnsi="Palatino Linotype"/>
        </w:rPr>
        <w:t>ForeFront</w:t>
      </w:r>
      <w:r w:rsidRPr="00FA492E">
        <w:rPr>
          <w:rFonts w:ascii="Palatino Linotype" w:hAnsi="Palatino Linotype"/>
        </w:rPr>
        <w:t xml:space="preserve"> Power support PG&amp;E’s more aggressive proposal to eliminate the community interest requirement from the GTSR program.  </w:t>
      </w:r>
    </w:p>
    <w:p w14:paraId="37C7C035" w14:textId="77777777" w:rsidR="0076358A" w:rsidRDefault="0076358A" w:rsidP="0076358A">
      <w:pPr>
        <w:pStyle w:val="sub4"/>
        <w:ind w:firstLine="0"/>
        <w:rPr>
          <w:rFonts w:ascii="Palatino Linotype" w:hAnsi="Palatino Linotype"/>
          <w:lang w:val="en"/>
        </w:rPr>
      </w:pPr>
    </w:p>
    <w:p w14:paraId="052583C1" w14:textId="77777777" w:rsidR="0076358A" w:rsidRPr="00C004EC" w:rsidRDefault="0076358A" w:rsidP="0076358A">
      <w:pPr>
        <w:pStyle w:val="sub4"/>
        <w:ind w:firstLine="0"/>
        <w:rPr>
          <w:rFonts w:ascii="Palatino Linotype" w:hAnsi="Palatino Linotype"/>
          <w:lang w:val="en"/>
        </w:rPr>
      </w:pPr>
      <w:r>
        <w:rPr>
          <w:rFonts w:ascii="Palatino Linotype" w:hAnsi="Palatino Linotype"/>
          <w:lang w:val="en"/>
        </w:rPr>
        <w:t xml:space="preserve">While the community interest requirement appears to present challenges to developers, we decline to remove it as proposed by PG&amp;E.  This requirement is a core feature of the original design of the program, and its removal would constitute a different structure to the program.  Therefore, removal of this feature is not appropriate for the AL process.  However, we are also convinced that modifying the timing requirement for this feature is a ministerial change, and therefore would not result in a fundamental change in structure to the program.   Specifically, we agree with SDG&amp;E that we should retain the community interest element of the program while providing the developer more time to obtain </w:t>
      </w:r>
      <w:r w:rsidR="00054688">
        <w:rPr>
          <w:rFonts w:ascii="Palatino Linotype" w:hAnsi="Palatino Linotype"/>
          <w:lang w:val="en"/>
        </w:rPr>
        <w:t xml:space="preserve">community </w:t>
      </w:r>
      <w:r>
        <w:rPr>
          <w:rFonts w:ascii="Palatino Linotype" w:hAnsi="Palatino Linotype"/>
          <w:lang w:val="en"/>
        </w:rPr>
        <w:t>interest.  Therefore, we approve the following change to the program</w:t>
      </w:r>
      <w:r w:rsidR="000F01FB">
        <w:rPr>
          <w:rFonts w:ascii="Palatino Linotype" w:hAnsi="Palatino Linotype"/>
          <w:lang w:val="en"/>
        </w:rPr>
        <w:t xml:space="preserve"> on a going-forward basis</w:t>
      </w:r>
      <w:r>
        <w:rPr>
          <w:rFonts w:ascii="Palatino Linotype" w:hAnsi="Palatino Linotype"/>
          <w:lang w:val="en"/>
        </w:rPr>
        <w:t xml:space="preserve">: the community interest requirement shall be a </w:t>
      </w:r>
      <w:r>
        <w:rPr>
          <w:rFonts w:ascii="Palatino Linotype" w:hAnsi="Palatino Linotype"/>
          <w:lang w:val="en"/>
        </w:rPr>
        <w:lastRenderedPageBreak/>
        <w:t xml:space="preserve">condition precedent in the PPA that must be met by the developer prior to the start of construction.  </w:t>
      </w:r>
    </w:p>
    <w:p w14:paraId="0B3C3611" w14:textId="77777777" w:rsidR="0076358A" w:rsidRPr="00FA492E" w:rsidRDefault="0076358A" w:rsidP="002F6F3A">
      <w:pPr>
        <w:pStyle w:val="Heading5"/>
      </w:pPr>
      <w:bookmarkStart w:id="40" w:name="_Toc529915564"/>
      <w:r w:rsidRPr="00FA492E">
        <w:t>The Locational Requirement</w:t>
      </w:r>
      <w:bookmarkEnd w:id="40"/>
    </w:p>
    <w:p w14:paraId="1FF2F16F" w14:textId="77777777" w:rsidR="0076358A" w:rsidRPr="00FA492E" w:rsidRDefault="0076358A" w:rsidP="0076358A">
      <w:pPr>
        <w:pStyle w:val="DecisionText"/>
        <w:spacing w:line="240" w:lineRule="auto"/>
        <w:rPr>
          <w:rFonts w:ascii="Palatino Linotype" w:hAnsi="Palatino Linotype" w:cs="TimesNewRoman,Bold"/>
          <w:b/>
          <w:bCs/>
          <w:sz w:val="16"/>
          <w:szCs w:val="16"/>
        </w:rPr>
      </w:pPr>
      <w:r w:rsidRPr="00FA492E">
        <w:rPr>
          <w:rFonts w:ascii="Palatino Linotype" w:hAnsi="Palatino Linotype"/>
        </w:rPr>
        <w:t xml:space="preserve">SB 43 required the IOUs to locate ECR projects “close to the source of demand.” PU Code section 2833(e) further </w:t>
      </w:r>
      <w:r>
        <w:rPr>
          <w:rFonts w:ascii="Palatino Linotype" w:hAnsi="Palatino Linotype"/>
        </w:rPr>
        <w:t>provides</w:t>
      </w:r>
      <w:r w:rsidRPr="00FA492E">
        <w:rPr>
          <w:rFonts w:ascii="Palatino Linotype" w:hAnsi="Palatino Linotype"/>
        </w:rPr>
        <w:t xml:space="preserve"> that “to the extent possible” the utility “</w:t>
      </w:r>
      <w:r w:rsidRPr="00F57023">
        <w:rPr>
          <w:rFonts w:ascii="Palatino Linotype" w:hAnsi="Palatino Linotype"/>
          <w:bCs/>
          <w:szCs w:val="26"/>
        </w:rPr>
        <w:t>shall</w:t>
      </w:r>
      <w:r w:rsidRPr="00FA492E">
        <w:rPr>
          <w:rFonts w:ascii="Palatino Linotype" w:hAnsi="Palatino Linotype"/>
        </w:rPr>
        <w:t xml:space="preserve"> seek” to procure eligible renewable energy resources “located in reasonable proximity to enrolled participants</w:t>
      </w:r>
      <w:r>
        <w:rPr>
          <w:rFonts w:ascii="Palatino Linotype" w:hAnsi="Palatino Linotype"/>
        </w:rPr>
        <w:t>.</w:t>
      </w:r>
      <w:r w:rsidRPr="00FA492E">
        <w:rPr>
          <w:rFonts w:ascii="Palatino Linotype" w:hAnsi="Palatino Linotype"/>
        </w:rPr>
        <w:t>”</w:t>
      </w:r>
      <w:r w:rsidRPr="00FA492E">
        <w:rPr>
          <w:rStyle w:val="FootnoteReference"/>
          <w:rFonts w:ascii="Palatino Linotype" w:hAnsi="Palatino Linotype"/>
        </w:rPr>
        <w:footnoteReference w:id="36"/>
      </w:r>
    </w:p>
    <w:p w14:paraId="4624FF33" w14:textId="77777777" w:rsidR="0076358A" w:rsidRPr="00FA492E" w:rsidRDefault="0076358A" w:rsidP="0076358A">
      <w:pPr>
        <w:pStyle w:val="DecisionText"/>
        <w:spacing w:line="240" w:lineRule="auto"/>
        <w:rPr>
          <w:rFonts w:ascii="Palatino Linotype" w:hAnsi="Palatino Linotype"/>
        </w:rPr>
      </w:pPr>
      <w:r w:rsidRPr="00FA492E">
        <w:rPr>
          <w:rFonts w:ascii="Palatino Linotype" w:hAnsi="Palatino Linotype"/>
        </w:rPr>
        <w:t>D.15-01-051 f</w:t>
      </w:r>
      <w:r>
        <w:rPr>
          <w:rFonts w:ascii="Palatino Linotype" w:hAnsi="Palatino Linotype"/>
        </w:rPr>
        <w:t>inds</w:t>
      </w:r>
      <w:r w:rsidRPr="00FA492E">
        <w:rPr>
          <w:rFonts w:ascii="Palatino Linotype" w:hAnsi="Palatino Linotype"/>
        </w:rPr>
        <w:t xml:space="preserve"> that “Community involvement with a specific local facility will increase community interest and participation in the GTSR program,”</w:t>
      </w:r>
      <w:r w:rsidRPr="00FA492E">
        <w:rPr>
          <w:rFonts w:ascii="Palatino Linotype" w:hAnsi="Palatino Linotype" w:cs="TimesNewRoman,Bold"/>
          <w:b/>
          <w:bCs/>
          <w:sz w:val="16"/>
          <w:szCs w:val="16"/>
        </w:rPr>
        <w:t xml:space="preserve"> </w:t>
      </w:r>
      <w:r w:rsidRPr="00FA492E">
        <w:rPr>
          <w:rFonts w:ascii="Palatino Linotype" w:hAnsi="Palatino Linotype"/>
        </w:rPr>
        <w:t>and</w:t>
      </w:r>
      <w:r w:rsidRPr="00FA492E">
        <w:rPr>
          <w:rFonts w:ascii="Palatino Linotype" w:hAnsi="Palatino Linotype" w:cs="TimesNewRoman,Bold"/>
          <w:b/>
          <w:bCs/>
          <w:sz w:val="16"/>
          <w:szCs w:val="16"/>
        </w:rPr>
        <w:t xml:space="preserve"> </w:t>
      </w:r>
      <w:r w:rsidRPr="00FA492E">
        <w:rPr>
          <w:rFonts w:ascii="Palatino Linotype" w:hAnsi="Palatino Linotype"/>
        </w:rPr>
        <w:t>went further to adopt PG&amp;E’s definition of “community” as customers within the same municipality or county, or within ten miles of the customer’s address.</w:t>
      </w:r>
      <w:r w:rsidRPr="00FA492E">
        <w:rPr>
          <w:rStyle w:val="FootnoteReference"/>
          <w:rFonts w:ascii="Palatino Linotype" w:hAnsi="Palatino Linotype"/>
        </w:rPr>
        <w:footnoteReference w:id="37"/>
      </w:r>
      <w:r w:rsidRPr="00FA492E">
        <w:rPr>
          <w:rFonts w:ascii="Palatino Linotype" w:hAnsi="Palatino Linotype"/>
        </w:rPr>
        <w:t xml:space="preserve"> </w:t>
      </w:r>
    </w:p>
    <w:p w14:paraId="145F1322" w14:textId="77777777" w:rsidR="0076358A" w:rsidRPr="00FA492E" w:rsidRDefault="0076358A" w:rsidP="0076358A">
      <w:pPr>
        <w:pStyle w:val="DecisionText"/>
        <w:spacing w:line="240" w:lineRule="auto"/>
        <w:rPr>
          <w:rFonts w:ascii="Palatino Linotype" w:hAnsi="Palatino Linotype"/>
        </w:rPr>
      </w:pPr>
      <w:r w:rsidRPr="00FA492E">
        <w:rPr>
          <w:rFonts w:ascii="Palatino Linotype" w:hAnsi="Palatino Linotype"/>
        </w:rPr>
        <w:t>In its proposal to eliminate its own community interest requirement, PG&amp;E seeks to remove the locational requirement for ECR projects. D. 15-01-051 requires that customers must be located within 10 miles of an ECR project to demonstrate community interest; however, after an ECR project is developed, subscriptions may come from anywhere in the IOU’s territory.</w:t>
      </w:r>
    </w:p>
    <w:p w14:paraId="1E6DBD65" w14:textId="77777777" w:rsidR="0076358A" w:rsidRPr="00FA492E" w:rsidRDefault="0076358A" w:rsidP="00C12E9B">
      <w:pPr>
        <w:pStyle w:val="DecisionText"/>
        <w:spacing w:line="240" w:lineRule="auto"/>
        <w:rPr>
          <w:rFonts w:ascii="Palatino Linotype" w:hAnsi="Palatino Linotype"/>
        </w:rPr>
      </w:pPr>
      <w:r w:rsidRPr="00FA492E">
        <w:rPr>
          <w:rFonts w:ascii="Palatino Linotype" w:hAnsi="Palatino Linotype"/>
        </w:rPr>
        <w:t>In its protest, ORA notes that while developers have highlighted the barriers associated with the community interest requirement, PG&amp;E has not identified any specific barriers to program procurement or enrollment associated with the locational requirement</w:t>
      </w:r>
      <w:r w:rsidR="001D6CFE">
        <w:rPr>
          <w:rFonts w:ascii="Palatino Linotype" w:hAnsi="Palatino Linotype"/>
        </w:rPr>
        <w:t xml:space="preserve">, and cautions that the </w:t>
      </w:r>
      <w:r w:rsidR="001D6CFE" w:rsidRPr="001D6CFE">
        <w:rPr>
          <w:rFonts w:ascii="Palatino Linotype" w:hAnsi="Palatino Linotype"/>
        </w:rPr>
        <w:t>Commission should not eliminate the locational requirement without first</w:t>
      </w:r>
      <w:r w:rsidR="001D6CFE">
        <w:rPr>
          <w:rFonts w:ascii="Palatino Linotype" w:hAnsi="Palatino Linotype"/>
        </w:rPr>
        <w:t xml:space="preserve"> </w:t>
      </w:r>
      <w:r w:rsidR="001D6CFE" w:rsidRPr="001D6CFE">
        <w:rPr>
          <w:rFonts w:ascii="Palatino Linotype" w:hAnsi="Palatino Linotype"/>
        </w:rPr>
        <w:t>assessing how effective a revised community interest requirement would be in conjunction with</w:t>
      </w:r>
      <w:r w:rsidRPr="00FA492E">
        <w:rPr>
          <w:rFonts w:ascii="Palatino Linotype" w:hAnsi="Palatino Linotype"/>
        </w:rPr>
        <w:t xml:space="preserve"> </w:t>
      </w:r>
      <w:r w:rsidR="001D6CFE" w:rsidRPr="001D6CFE">
        <w:rPr>
          <w:rFonts w:ascii="Palatino Linotype" w:hAnsi="Palatino Linotype"/>
        </w:rPr>
        <w:t>the locational requirement. The Commission could instead revise the locational requirement in</w:t>
      </w:r>
      <w:r w:rsidR="00C578CE">
        <w:rPr>
          <w:rFonts w:ascii="Palatino Linotype" w:hAnsi="Palatino Linotype"/>
        </w:rPr>
        <w:t xml:space="preserve"> </w:t>
      </w:r>
      <w:r w:rsidR="001D6CFE" w:rsidRPr="001D6CFE">
        <w:rPr>
          <w:rFonts w:ascii="Palatino Linotype" w:hAnsi="Palatino Linotype"/>
        </w:rPr>
        <w:t>light of these findings. For example, a proposed new requirement could be that PG&amp;E’s ECR</w:t>
      </w:r>
      <w:r w:rsidR="001D6CFE">
        <w:rPr>
          <w:rFonts w:ascii="Palatino Linotype" w:hAnsi="Palatino Linotype"/>
        </w:rPr>
        <w:t xml:space="preserve"> </w:t>
      </w:r>
      <w:r w:rsidR="001D6CFE" w:rsidRPr="001D6CFE">
        <w:rPr>
          <w:rFonts w:ascii="Palatino Linotype" w:hAnsi="Palatino Linotype"/>
        </w:rPr>
        <w:t>developers must meet the current community interest criteria from customers who reside within</w:t>
      </w:r>
      <w:r w:rsidR="00C12E9B">
        <w:rPr>
          <w:rFonts w:ascii="Palatino Linotype" w:hAnsi="Palatino Linotype"/>
        </w:rPr>
        <w:t xml:space="preserve"> </w:t>
      </w:r>
      <w:r w:rsidR="001D6CFE" w:rsidRPr="001D6CFE">
        <w:rPr>
          <w:rFonts w:ascii="Palatino Linotype" w:hAnsi="Palatino Linotype"/>
        </w:rPr>
        <w:t>the same county as the project or within 40 miles of the project, whichever is greater.</w:t>
      </w:r>
      <w:r w:rsidRPr="00FA492E">
        <w:rPr>
          <w:rFonts w:ascii="Palatino Linotype" w:hAnsi="Palatino Linotype"/>
        </w:rPr>
        <w:t xml:space="preserve"> </w:t>
      </w:r>
    </w:p>
    <w:p w14:paraId="73078E73" w14:textId="77777777" w:rsidR="0076358A" w:rsidRPr="00FA492E" w:rsidRDefault="0076358A" w:rsidP="0076358A">
      <w:pPr>
        <w:pStyle w:val="DecisionText"/>
        <w:spacing w:line="240" w:lineRule="auto"/>
        <w:rPr>
          <w:rFonts w:ascii="Palatino Linotype" w:hAnsi="Palatino Linotype"/>
        </w:rPr>
      </w:pPr>
      <w:r w:rsidRPr="00FA492E">
        <w:rPr>
          <w:rFonts w:ascii="Palatino Linotype" w:hAnsi="Palatino Linotype"/>
        </w:rPr>
        <w:lastRenderedPageBreak/>
        <w:t xml:space="preserve">At the 2018 </w:t>
      </w:r>
      <w:r>
        <w:rPr>
          <w:rFonts w:ascii="Palatino Linotype" w:hAnsi="Palatino Linotype"/>
        </w:rPr>
        <w:t>GTSR Program Forum</w:t>
      </w:r>
      <w:r w:rsidRPr="00FA492E">
        <w:rPr>
          <w:rFonts w:ascii="Palatino Linotype" w:hAnsi="Palatino Linotype"/>
        </w:rPr>
        <w:t>, APEN</w:t>
      </w:r>
      <w:r w:rsidRPr="00FA492E">
        <w:rPr>
          <w:rStyle w:val="FootnoteReference"/>
          <w:rFonts w:ascii="Palatino Linotype" w:hAnsi="Palatino Linotype"/>
        </w:rPr>
        <w:footnoteReference w:id="38"/>
      </w:r>
      <w:r w:rsidRPr="00FA492E">
        <w:rPr>
          <w:rFonts w:ascii="Palatino Linotype" w:hAnsi="Palatino Linotype"/>
        </w:rPr>
        <w:t xml:space="preserve"> also expressed its support of the locational requirements to ensure that the customers are coming from the community that the project serves and recommended that developers partner with </w:t>
      </w:r>
      <w:r>
        <w:rPr>
          <w:rFonts w:ascii="Palatino Linotype" w:hAnsi="Palatino Linotype"/>
        </w:rPr>
        <w:t xml:space="preserve">local </w:t>
      </w:r>
      <w:r w:rsidRPr="00FA492E">
        <w:rPr>
          <w:rFonts w:ascii="Palatino Linotype" w:hAnsi="Palatino Linotype"/>
        </w:rPr>
        <w:t>Community Based Organizations.  The Center for Resource Solutions</w:t>
      </w:r>
      <w:r w:rsidRPr="00FA492E">
        <w:rPr>
          <w:rStyle w:val="FootnoteReference"/>
          <w:rFonts w:ascii="Palatino Linotype" w:hAnsi="Palatino Linotype"/>
        </w:rPr>
        <w:footnoteReference w:id="39"/>
      </w:r>
      <w:bookmarkStart w:id="41" w:name="_Hlk10552666"/>
      <w:r w:rsidRPr="00FA492E">
        <w:rPr>
          <w:rFonts w:ascii="Palatino Linotype" w:hAnsi="Palatino Linotype"/>
        </w:rPr>
        <w:t xml:space="preserve"> </w:t>
      </w:r>
      <w:bookmarkEnd w:id="41"/>
      <w:r w:rsidRPr="00FA492E">
        <w:rPr>
          <w:rFonts w:ascii="Palatino Linotype" w:hAnsi="Palatino Linotype"/>
        </w:rPr>
        <w:t>further clarified that removal of the geographic conditions may trigger a new review of Green-E marketing requirements.</w:t>
      </w:r>
    </w:p>
    <w:p w14:paraId="03F0CBEA" w14:textId="77777777" w:rsidR="0076358A" w:rsidRDefault="0076358A" w:rsidP="0076358A">
      <w:pPr>
        <w:pStyle w:val="DecisionText"/>
        <w:spacing w:line="240" w:lineRule="auto"/>
        <w:rPr>
          <w:rFonts w:ascii="Palatino Linotype" w:hAnsi="Palatino Linotype"/>
        </w:rPr>
      </w:pPr>
      <w:r>
        <w:rPr>
          <w:rFonts w:ascii="Palatino Linotype" w:hAnsi="Palatino Linotype"/>
        </w:rPr>
        <w:t xml:space="preserve">We decline to change the locational requirement, as it is a core feature of the program based on our interpretation of the applicable code section.  Removing it would result in a different structure to the program and therefore is not appropriate for the AL process.  We anticipate that developers’ struggles to adhere to the locational requirement will be mitigated by our earlier change to the community interest requirement.  </w:t>
      </w:r>
    </w:p>
    <w:p w14:paraId="47CB867B" w14:textId="77777777" w:rsidR="002F6F3A" w:rsidRDefault="009E3DCE" w:rsidP="009E3DCE">
      <w:pPr>
        <w:pStyle w:val="DecisionText"/>
        <w:spacing w:line="240" w:lineRule="auto"/>
        <w:rPr>
          <w:rFonts w:ascii="Palatino Linotype" w:hAnsi="Palatino Linotype"/>
        </w:rPr>
      </w:pPr>
      <w:r>
        <w:rPr>
          <w:rFonts w:ascii="Palatino Linotype" w:hAnsi="Palatino Linotype"/>
        </w:rPr>
        <w:t xml:space="preserve">As raised in their comments, the Joint Solar Parties request </w:t>
      </w:r>
      <w:r w:rsidRPr="009E3DCE">
        <w:rPr>
          <w:rFonts w:ascii="Palatino Linotype" w:hAnsi="Palatino Linotype"/>
        </w:rPr>
        <w:t>that the annual GTSR forum be used as a venue to further discuss the</w:t>
      </w:r>
      <w:r>
        <w:rPr>
          <w:rFonts w:ascii="Palatino Linotype" w:hAnsi="Palatino Linotype"/>
        </w:rPr>
        <w:t xml:space="preserve"> </w:t>
      </w:r>
      <w:r w:rsidRPr="009E3DCE">
        <w:rPr>
          <w:rFonts w:ascii="Palatino Linotype" w:hAnsi="Palatino Linotype"/>
        </w:rPr>
        <w:t xml:space="preserve">ECR locational requirements, with </w:t>
      </w:r>
      <w:r w:rsidR="004D727B">
        <w:rPr>
          <w:rFonts w:ascii="Palatino Linotype" w:hAnsi="Palatino Linotype"/>
        </w:rPr>
        <w:t>the intention</w:t>
      </w:r>
      <w:r w:rsidRPr="009E3DCE">
        <w:rPr>
          <w:rFonts w:ascii="Palatino Linotype" w:hAnsi="Palatino Linotype"/>
        </w:rPr>
        <w:t xml:space="preserve"> of reaching a consensus proposal that would retain the</w:t>
      </w:r>
      <w:r>
        <w:rPr>
          <w:rFonts w:ascii="Palatino Linotype" w:hAnsi="Palatino Linotype"/>
        </w:rPr>
        <w:t xml:space="preserve"> </w:t>
      </w:r>
      <w:r w:rsidRPr="009E3DCE">
        <w:rPr>
          <w:rFonts w:ascii="Palatino Linotype" w:hAnsi="Palatino Linotype"/>
        </w:rPr>
        <w:t>requirement, but make it less restrictive. If such a consensus is reached</w:t>
      </w:r>
      <w:r>
        <w:rPr>
          <w:rFonts w:ascii="Palatino Linotype" w:hAnsi="Palatino Linotype"/>
        </w:rPr>
        <w:t xml:space="preserve"> which does not result in a different structure or a materially different capacity to the program that would run afoul of the intent of the GTSR legislation, it could be </w:t>
      </w:r>
      <w:r w:rsidRPr="009E3DCE">
        <w:rPr>
          <w:rFonts w:ascii="Palatino Linotype" w:hAnsi="Palatino Linotype"/>
        </w:rPr>
        <w:t xml:space="preserve">implemented through the IOUs' submission of a </w:t>
      </w:r>
      <w:r>
        <w:rPr>
          <w:rFonts w:ascii="Palatino Linotype" w:hAnsi="Palatino Linotype"/>
        </w:rPr>
        <w:t xml:space="preserve">joint Tier </w:t>
      </w:r>
      <w:r w:rsidR="00E13256">
        <w:rPr>
          <w:rFonts w:ascii="Palatino Linotype" w:hAnsi="Palatino Linotype"/>
        </w:rPr>
        <w:t>3</w:t>
      </w:r>
      <w:r>
        <w:rPr>
          <w:rFonts w:ascii="Palatino Linotype" w:hAnsi="Palatino Linotype"/>
        </w:rPr>
        <w:t xml:space="preserve"> </w:t>
      </w:r>
      <w:r w:rsidRPr="009E3DCE">
        <w:rPr>
          <w:rFonts w:ascii="Palatino Linotype" w:hAnsi="Palatino Linotype"/>
        </w:rPr>
        <w:t>Advice Letter.</w:t>
      </w:r>
      <w:r>
        <w:rPr>
          <w:rFonts w:ascii="Palatino Linotype" w:hAnsi="Palatino Linotype"/>
        </w:rPr>
        <w:t xml:space="preserve">  </w:t>
      </w:r>
    </w:p>
    <w:p w14:paraId="65F2F88B" w14:textId="77777777" w:rsidR="009E3DCE" w:rsidRDefault="00E13256" w:rsidP="009E3DCE">
      <w:pPr>
        <w:pStyle w:val="DecisionText"/>
        <w:spacing w:line="240" w:lineRule="auto"/>
        <w:rPr>
          <w:rFonts w:ascii="Palatino Linotype" w:hAnsi="Palatino Linotype"/>
        </w:rPr>
      </w:pPr>
      <w:r>
        <w:rPr>
          <w:rFonts w:ascii="Palatino Linotype" w:hAnsi="Palatino Linotype"/>
        </w:rPr>
        <w:t>The Commis</w:t>
      </w:r>
      <w:r w:rsidR="00C578CE">
        <w:rPr>
          <w:rFonts w:ascii="Palatino Linotype" w:hAnsi="Palatino Linotype"/>
        </w:rPr>
        <w:t>si</w:t>
      </w:r>
      <w:r>
        <w:rPr>
          <w:rFonts w:ascii="Palatino Linotype" w:hAnsi="Palatino Linotype"/>
        </w:rPr>
        <w:t>on</w:t>
      </w:r>
      <w:r w:rsidR="0068314D">
        <w:rPr>
          <w:rFonts w:ascii="Palatino Linotype" w:hAnsi="Palatino Linotype"/>
        </w:rPr>
        <w:t xml:space="preserve"> </w:t>
      </w:r>
      <w:r w:rsidR="002F6F3A">
        <w:rPr>
          <w:rFonts w:ascii="Palatino Linotype" w:hAnsi="Palatino Linotype"/>
        </w:rPr>
        <w:t>grants this request</w:t>
      </w:r>
      <w:r w:rsidR="0068314D">
        <w:rPr>
          <w:rFonts w:ascii="Palatino Linotype" w:hAnsi="Palatino Linotype"/>
        </w:rPr>
        <w:t xml:space="preserve"> but </w:t>
      </w:r>
      <w:r w:rsidR="009E3DCE">
        <w:rPr>
          <w:rFonts w:ascii="Palatino Linotype" w:hAnsi="Palatino Linotype"/>
        </w:rPr>
        <w:t xml:space="preserve">cautions that an overly broad geographical definition of </w:t>
      </w:r>
      <w:r w:rsidR="00C578CE">
        <w:rPr>
          <w:rFonts w:ascii="Palatino Linotype" w:hAnsi="Palatino Linotype"/>
        </w:rPr>
        <w:t>“c</w:t>
      </w:r>
      <w:r w:rsidR="009E3DCE">
        <w:rPr>
          <w:rFonts w:ascii="Palatino Linotype" w:hAnsi="Palatino Linotype"/>
        </w:rPr>
        <w:t>ommunity</w:t>
      </w:r>
      <w:r w:rsidR="00C578CE">
        <w:rPr>
          <w:rFonts w:ascii="Palatino Linotype" w:hAnsi="Palatino Linotype"/>
        </w:rPr>
        <w:t>”</w:t>
      </w:r>
      <w:r w:rsidR="009E3DCE">
        <w:rPr>
          <w:rFonts w:ascii="Palatino Linotype" w:hAnsi="Palatino Linotype"/>
        </w:rPr>
        <w:t xml:space="preserve"> could further erode the validity of </w:t>
      </w:r>
      <w:r w:rsidR="002F6F3A">
        <w:rPr>
          <w:rFonts w:ascii="Palatino Linotype" w:hAnsi="Palatino Linotype"/>
        </w:rPr>
        <w:t xml:space="preserve">a </w:t>
      </w:r>
      <w:r w:rsidR="009E3DCE">
        <w:rPr>
          <w:rFonts w:ascii="Palatino Linotype" w:hAnsi="Palatino Linotype"/>
        </w:rPr>
        <w:t xml:space="preserve">future </w:t>
      </w:r>
      <w:r w:rsidR="002F6F3A">
        <w:rPr>
          <w:rFonts w:ascii="Palatino Linotype" w:hAnsi="Palatino Linotype"/>
        </w:rPr>
        <w:t xml:space="preserve">Locational Grid Benefits </w:t>
      </w:r>
      <w:r w:rsidR="009E3DCE">
        <w:rPr>
          <w:rFonts w:ascii="Palatino Linotype" w:hAnsi="Palatino Linotype"/>
        </w:rPr>
        <w:t>value calculation.</w:t>
      </w:r>
      <w:r w:rsidR="0068314D">
        <w:rPr>
          <w:rFonts w:ascii="Palatino Linotype" w:hAnsi="Palatino Linotype"/>
        </w:rPr>
        <w:t xml:space="preserve">  </w:t>
      </w:r>
    </w:p>
    <w:p w14:paraId="3535E0DC" w14:textId="77777777" w:rsidR="0076358A" w:rsidRPr="00FA492E" w:rsidRDefault="0076358A" w:rsidP="002F6F3A">
      <w:pPr>
        <w:pStyle w:val="Heading5"/>
      </w:pPr>
      <w:bookmarkStart w:id="42" w:name="_Toc529915565"/>
      <w:r w:rsidRPr="00FA492E">
        <w:t>The</w:t>
      </w:r>
      <w:r>
        <w:t xml:space="preserve"> Number of Subscribers and the</w:t>
      </w:r>
      <w:r w:rsidRPr="00FA492E">
        <w:t xml:space="preserve"> 50% Residential Requirement</w:t>
      </w:r>
      <w:bookmarkEnd w:id="42"/>
    </w:p>
    <w:p w14:paraId="6F003521" w14:textId="77777777" w:rsidR="0076358A" w:rsidRDefault="0076358A" w:rsidP="0076358A">
      <w:pPr>
        <w:pStyle w:val="DecisionText"/>
        <w:spacing w:line="240" w:lineRule="auto"/>
        <w:rPr>
          <w:rFonts w:ascii="Palatino Linotype" w:hAnsi="Palatino Linotype"/>
        </w:rPr>
      </w:pPr>
      <w:bookmarkStart w:id="43" w:name="_Hlk10552405"/>
      <w:r>
        <w:rPr>
          <w:rFonts w:ascii="Palatino Linotype" w:hAnsi="Palatino Linotype"/>
        </w:rPr>
        <w:t xml:space="preserve">Currently, ECR developers must demonstrate that there are as many subscribers as there are MWs in a project (e.g., a 20 MW project must have at least 20 subscribers).  Also, within 60 days of award notification, ECR developers must </w:t>
      </w:r>
      <w:r>
        <w:rPr>
          <w:rFonts w:ascii="Palatino Linotype" w:hAnsi="Palatino Linotype"/>
        </w:rPr>
        <w:lastRenderedPageBreak/>
        <w:t>demonstrate that at least 50% of the number of customers and 1/6 of the load must be from residential customers.</w:t>
      </w:r>
      <w:r>
        <w:rPr>
          <w:rStyle w:val="FootnoteReference"/>
          <w:rFonts w:ascii="Palatino Linotype" w:hAnsi="Palatino Linotype"/>
        </w:rPr>
        <w:footnoteReference w:id="40"/>
      </w:r>
      <w:r>
        <w:rPr>
          <w:rFonts w:ascii="Palatino Linotype" w:hAnsi="Palatino Linotype"/>
        </w:rPr>
        <w:t xml:space="preserve">  </w:t>
      </w:r>
    </w:p>
    <w:p w14:paraId="760331B0" w14:textId="77777777" w:rsidR="0076358A" w:rsidRDefault="0076358A" w:rsidP="0076358A">
      <w:pPr>
        <w:pStyle w:val="DecisionText"/>
        <w:spacing w:line="240" w:lineRule="auto"/>
        <w:rPr>
          <w:rFonts w:ascii="Palatino Linotype" w:hAnsi="Palatino Linotype"/>
        </w:rPr>
      </w:pPr>
      <w:r>
        <w:rPr>
          <w:rFonts w:ascii="Palatino Linotype" w:hAnsi="Palatino Linotype"/>
        </w:rPr>
        <w:t>PG&amp;E proposes three changes: 1) eliminate the ‘number of subscribers’ requirement, 2) move the demonstration of the residential requirement to the time of commercial operation and 3) developers need only demonstrate the 1/6 load requirement.  PG&amp;E argues that demonstrating the number of subscribers is made superfluous by the residential requirement and hence is not necessary.  PG&amp;E also argues it is a virtual certainty that obtaining 1/6 of the load from residential customers will satisfy the 50% customer enrollment requirement.  Furthermore, PG&amp;E suggests that customer enrollments in the project will be calibrated to demonstrate that the 1/6 requirement has been met by residential customers.  If there are not enough residential customers to meet the 1/6 requirement, PG&amp;E proposes that non-residential enrollments would be curtailed until the requisite number of residential enrollments are obtained.  CUE supports PG&amp;E’s proposal on this matter.</w:t>
      </w:r>
    </w:p>
    <w:p w14:paraId="73963322" w14:textId="77777777" w:rsidR="0076358A" w:rsidRDefault="0076358A" w:rsidP="0076358A">
      <w:pPr>
        <w:pStyle w:val="DecisionText"/>
        <w:spacing w:line="240" w:lineRule="auto"/>
        <w:rPr>
          <w:rFonts w:ascii="Palatino Linotype" w:hAnsi="Palatino Linotype"/>
        </w:rPr>
      </w:pPr>
      <w:r>
        <w:rPr>
          <w:rFonts w:ascii="Palatino Linotype" w:hAnsi="Palatino Linotype"/>
        </w:rPr>
        <w:t xml:space="preserve">PG&amp;E’s proposal on this matter does not result in a different structure or a materially different capacity to the program that would run afoul of the intent of the GTSR legislation, hence it is appropriate for consideration through the AL process.  We conclude the ‘number of subscribers’ requirement is not necessary </w:t>
      </w:r>
      <w:r w:rsidR="000F01FB">
        <w:rPr>
          <w:rFonts w:ascii="Palatino Linotype" w:hAnsi="Palatino Linotype"/>
        </w:rPr>
        <w:t>on a</w:t>
      </w:r>
      <w:r w:rsidR="00E13256">
        <w:rPr>
          <w:rFonts w:ascii="Palatino Linotype" w:hAnsi="Palatino Linotype"/>
        </w:rPr>
        <w:t xml:space="preserve"> </w:t>
      </w:r>
      <w:r w:rsidR="000F01FB">
        <w:rPr>
          <w:rFonts w:ascii="Palatino Linotype" w:hAnsi="Palatino Linotype"/>
        </w:rPr>
        <w:t xml:space="preserve">going-forward basis </w:t>
      </w:r>
      <w:r>
        <w:rPr>
          <w:rFonts w:ascii="Palatino Linotype" w:hAnsi="Palatino Linotype"/>
        </w:rPr>
        <w:t>because the residential requirement ensures an appropriate mix of residential and non-residential participation.  We also conclude that moving the demonstration of the residential requirement from 60 days after award notification to the time of commercial operation is reasonable in that it adds more flexibility for developers.  We also approve PG&amp;E’s proposal that the demonstration of the residential requirement can be met by developers showing that 1/6 of the load will come from the residential sector at the time of operation.  Additionally, the developer may not enroll any more non-residential participants until the residential enrollment is sufficient to meet and maintain the 1/6 requirement.  These changes balance the need to retain key components of the program with a reasonable amount of flexibility for developers, and we approve them.</w:t>
      </w:r>
    </w:p>
    <w:p w14:paraId="6434857A" w14:textId="77777777" w:rsidR="0076358A" w:rsidRPr="00E63AC0" w:rsidRDefault="0076358A" w:rsidP="002F6F3A">
      <w:pPr>
        <w:pStyle w:val="Heading5"/>
      </w:pPr>
      <w:bookmarkStart w:id="44" w:name="_Toc529915568"/>
      <w:bookmarkStart w:id="45" w:name="_Toc12442434"/>
      <w:bookmarkEnd w:id="43"/>
      <w:r>
        <w:lastRenderedPageBreak/>
        <w:t>T</w:t>
      </w:r>
      <w:r w:rsidRPr="00E63AC0">
        <w:t>he EJ 1 MW Project Cap</w:t>
      </w:r>
      <w:bookmarkEnd w:id="44"/>
      <w:bookmarkEnd w:id="45"/>
    </w:p>
    <w:p w14:paraId="4DF18956" w14:textId="77777777" w:rsidR="0076358A" w:rsidRPr="00FA492E" w:rsidRDefault="0076358A" w:rsidP="0076358A">
      <w:pPr>
        <w:pStyle w:val="DecisionText"/>
        <w:spacing w:line="240" w:lineRule="auto"/>
        <w:rPr>
          <w:rFonts w:ascii="Palatino Linotype" w:hAnsi="Palatino Linotype"/>
        </w:rPr>
      </w:pPr>
      <w:r>
        <w:rPr>
          <w:rFonts w:ascii="Palatino Linotype" w:hAnsi="Palatino Linotype"/>
        </w:rPr>
        <w:t>Pursuant to PU Code Section 2833 (d)(1)(a)</w:t>
      </w:r>
      <w:r w:rsidRPr="00FA492E">
        <w:rPr>
          <w:rFonts w:ascii="Palatino Linotype" w:hAnsi="Palatino Linotype"/>
        </w:rPr>
        <w:t xml:space="preserve">, </w:t>
      </w:r>
      <w:r>
        <w:rPr>
          <w:rFonts w:ascii="Palatino Linotype" w:hAnsi="Palatino Linotype"/>
        </w:rPr>
        <w:t>environmental justice (</w:t>
      </w:r>
      <w:r w:rsidRPr="00FA492E">
        <w:rPr>
          <w:rFonts w:ascii="Palatino Linotype" w:hAnsi="Palatino Linotype"/>
        </w:rPr>
        <w:t>EJ</w:t>
      </w:r>
      <w:r>
        <w:rPr>
          <w:rFonts w:ascii="Palatino Linotype" w:hAnsi="Palatino Linotype"/>
        </w:rPr>
        <w:t>)</w:t>
      </w:r>
      <w:r w:rsidRPr="00FA492E">
        <w:rPr>
          <w:rFonts w:ascii="Palatino Linotype" w:hAnsi="Palatino Linotype"/>
        </w:rPr>
        <w:t xml:space="preserve"> projects</w:t>
      </w:r>
      <w:r>
        <w:rPr>
          <w:rFonts w:ascii="Palatino Linotype" w:hAnsi="Palatino Linotype"/>
        </w:rPr>
        <w:t xml:space="preserve"> may </w:t>
      </w:r>
      <w:r w:rsidRPr="00FA492E">
        <w:rPr>
          <w:rFonts w:ascii="Palatino Linotype" w:hAnsi="Palatino Linotype"/>
        </w:rPr>
        <w:t>be sited in the 2</w:t>
      </w:r>
      <w:r>
        <w:rPr>
          <w:rFonts w:ascii="Palatino Linotype" w:hAnsi="Palatino Linotype"/>
        </w:rPr>
        <w:t>0</w:t>
      </w:r>
      <w:r w:rsidRPr="00FA492E">
        <w:rPr>
          <w:rFonts w:ascii="Palatino Linotype" w:hAnsi="Palatino Linotype"/>
        </w:rPr>
        <w:t>% most impacted communities</w:t>
      </w:r>
      <w:r>
        <w:rPr>
          <w:rFonts w:ascii="Palatino Linotype" w:hAnsi="Palatino Linotype"/>
        </w:rPr>
        <w:t xml:space="preserve"> in each IOU territory [but not necessarily statewide],</w:t>
      </w:r>
      <w:r w:rsidRPr="00FA492E">
        <w:rPr>
          <w:rFonts w:ascii="Palatino Linotype" w:hAnsi="Palatino Linotype"/>
        </w:rPr>
        <w:t xml:space="preserve"> as designated by Cal EnviroScreen</w:t>
      </w:r>
      <w:r>
        <w:rPr>
          <w:rFonts w:ascii="Palatino Linotype" w:hAnsi="Palatino Linotype"/>
        </w:rPr>
        <w:t>, and</w:t>
      </w:r>
      <w:r w:rsidRPr="00FA492E">
        <w:rPr>
          <w:rFonts w:ascii="Palatino Linotype" w:hAnsi="Palatino Linotype"/>
        </w:rPr>
        <w:t xml:space="preserve"> “shall not exceed one megawatt nameplate rated generating capacity.”</w:t>
      </w:r>
    </w:p>
    <w:p w14:paraId="462E9749" w14:textId="77777777" w:rsidR="0076358A" w:rsidRDefault="0076358A" w:rsidP="0076358A">
      <w:pPr>
        <w:pStyle w:val="DecisionText"/>
        <w:spacing w:line="240" w:lineRule="auto"/>
        <w:rPr>
          <w:rFonts w:ascii="Palatino Linotype" w:hAnsi="Palatino Linotype"/>
        </w:rPr>
      </w:pPr>
      <w:r w:rsidRPr="00FA492E">
        <w:rPr>
          <w:rFonts w:ascii="Palatino Linotype" w:hAnsi="Palatino Linotype"/>
        </w:rPr>
        <w:t xml:space="preserve">These projects are to provide the benefits of renewable generation directly to the disadvantaged community </w:t>
      </w:r>
      <w:r>
        <w:rPr>
          <w:rFonts w:ascii="Palatino Linotype" w:hAnsi="Palatino Linotype"/>
        </w:rPr>
        <w:t xml:space="preserve">in which </w:t>
      </w:r>
      <w:r w:rsidRPr="00FA492E">
        <w:rPr>
          <w:rFonts w:ascii="Palatino Linotype" w:hAnsi="Palatino Linotype"/>
        </w:rPr>
        <w:t xml:space="preserve">they are sited, </w:t>
      </w:r>
      <w:r>
        <w:rPr>
          <w:rFonts w:ascii="Palatino Linotype" w:hAnsi="Palatino Linotype"/>
        </w:rPr>
        <w:t xml:space="preserve">and </w:t>
      </w:r>
      <w:r w:rsidRPr="00FA492E">
        <w:rPr>
          <w:rFonts w:ascii="Palatino Linotype" w:hAnsi="Palatino Linotype"/>
        </w:rPr>
        <w:t>the CPUC incent</w:t>
      </w:r>
      <w:r>
        <w:rPr>
          <w:rFonts w:ascii="Palatino Linotype" w:hAnsi="Palatino Linotype"/>
        </w:rPr>
        <w:t>s</w:t>
      </w:r>
      <w:r w:rsidRPr="00FA492E">
        <w:rPr>
          <w:rFonts w:ascii="Palatino Linotype" w:hAnsi="Palatino Linotype"/>
        </w:rPr>
        <w:t xml:space="preserve"> </w:t>
      </w:r>
      <w:r>
        <w:rPr>
          <w:rFonts w:ascii="Palatino Linotype" w:hAnsi="Palatino Linotype"/>
        </w:rPr>
        <w:t xml:space="preserve">these projects by </w:t>
      </w:r>
      <w:r w:rsidRPr="00FA492E">
        <w:rPr>
          <w:rFonts w:ascii="Palatino Linotype" w:hAnsi="Palatino Linotype"/>
        </w:rPr>
        <w:t xml:space="preserve">allowing for a higher price threshold within the competitive RAM </w:t>
      </w:r>
      <w:r>
        <w:rPr>
          <w:rFonts w:ascii="Palatino Linotype" w:hAnsi="Palatino Linotype"/>
        </w:rPr>
        <w:t xml:space="preserve">solicitation </w:t>
      </w:r>
      <w:r w:rsidRPr="00FA492E">
        <w:rPr>
          <w:rFonts w:ascii="Palatino Linotype" w:hAnsi="Palatino Linotype"/>
        </w:rPr>
        <w:t xml:space="preserve">process.  However, SDG&amp;E asserts that </w:t>
      </w:r>
      <w:r>
        <w:rPr>
          <w:rFonts w:ascii="Palatino Linotype" w:hAnsi="Palatino Linotype"/>
        </w:rPr>
        <w:t xml:space="preserve">the </w:t>
      </w:r>
      <w:r w:rsidRPr="00FA492E">
        <w:rPr>
          <w:rFonts w:ascii="Palatino Linotype" w:hAnsi="Palatino Linotype"/>
        </w:rPr>
        <w:t>1 MW</w:t>
      </w:r>
      <w:r>
        <w:rPr>
          <w:rFonts w:ascii="Palatino Linotype" w:hAnsi="Palatino Linotype"/>
        </w:rPr>
        <w:t xml:space="preserve"> cap</w:t>
      </w:r>
      <w:r w:rsidRPr="00FA492E">
        <w:rPr>
          <w:rFonts w:ascii="Palatino Linotype" w:hAnsi="Palatino Linotype"/>
        </w:rPr>
        <w:t xml:space="preserve"> is too restrictive and believes that expanding this cap slightly would continue to provide disadvantaged communities with the benefits of local renewable generation while providing SDG&amp;E, communities and developers with increased flexibility in identifying potential EJ projects.</w:t>
      </w:r>
    </w:p>
    <w:p w14:paraId="046EACB5" w14:textId="77777777" w:rsidR="0076358A" w:rsidRDefault="0076358A" w:rsidP="0076358A">
      <w:pPr>
        <w:pStyle w:val="DecisionText"/>
        <w:spacing w:before="0" w:line="240" w:lineRule="auto"/>
        <w:rPr>
          <w:rFonts w:ascii="Palatino Linotype" w:hAnsi="Palatino Linotype"/>
        </w:rPr>
      </w:pPr>
    </w:p>
    <w:p w14:paraId="24E43F6C" w14:textId="77777777" w:rsidR="0076358A" w:rsidRDefault="0076358A" w:rsidP="0076358A">
      <w:pPr>
        <w:pStyle w:val="DecisionText"/>
        <w:spacing w:before="0" w:line="240" w:lineRule="auto"/>
        <w:rPr>
          <w:rFonts w:ascii="Palatino Linotype" w:hAnsi="Palatino Linotype"/>
        </w:rPr>
      </w:pPr>
      <w:r w:rsidRPr="00FA492E">
        <w:rPr>
          <w:rFonts w:ascii="Palatino Linotype" w:hAnsi="Palatino Linotype"/>
        </w:rPr>
        <w:t xml:space="preserve">SDG&amp;E </w:t>
      </w:r>
      <w:r>
        <w:rPr>
          <w:rFonts w:ascii="Palatino Linotype" w:hAnsi="Palatino Linotype"/>
        </w:rPr>
        <w:t>state</w:t>
      </w:r>
      <w:r w:rsidRPr="00FA492E">
        <w:rPr>
          <w:rFonts w:ascii="Palatino Linotype" w:hAnsi="Palatino Linotype"/>
        </w:rPr>
        <w:t xml:space="preserve">s </w:t>
      </w:r>
      <w:r>
        <w:rPr>
          <w:rFonts w:ascii="Palatino Linotype" w:hAnsi="Palatino Linotype"/>
        </w:rPr>
        <w:t>it</w:t>
      </w:r>
      <w:r w:rsidRPr="00FA492E">
        <w:rPr>
          <w:rFonts w:ascii="Palatino Linotype" w:hAnsi="Palatino Linotype"/>
        </w:rPr>
        <w:t xml:space="preserve"> has received bids from ECR developers located in EJ areas that do not qualify because the project slightly exceeds the 1 MW cap. </w:t>
      </w:r>
      <w:r>
        <w:rPr>
          <w:rFonts w:ascii="Palatino Linotype" w:hAnsi="Palatino Linotype"/>
        </w:rPr>
        <w:t xml:space="preserve"> </w:t>
      </w:r>
      <w:r w:rsidRPr="00FA492E">
        <w:rPr>
          <w:rFonts w:ascii="Palatino Linotype" w:hAnsi="Palatino Linotype"/>
        </w:rPr>
        <w:t xml:space="preserve">SDG&amp;E </w:t>
      </w:r>
      <w:r>
        <w:rPr>
          <w:rFonts w:ascii="Palatino Linotype" w:hAnsi="Palatino Linotype"/>
        </w:rPr>
        <w:t xml:space="preserve">did not request a change to the cap via its AL, noting that such a change is needed in current law and </w:t>
      </w:r>
      <w:r w:rsidRPr="00FA492E">
        <w:rPr>
          <w:rFonts w:ascii="Palatino Linotype" w:hAnsi="Palatino Linotype"/>
        </w:rPr>
        <w:t>urg</w:t>
      </w:r>
      <w:r>
        <w:rPr>
          <w:rFonts w:ascii="Palatino Linotype" w:hAnsi="Palatino Linotype"/>
        </w:rPr>
        <w:t>ing</w:t>
      </w:r>
      <w:r w:rsidRPr="00FA492E">
        <w:rPr>
          <w:rFonts w:ascii="Palatino Linotype" w:hAnsi="Palatino Linotype"/>
        </w:rPr>
        <w:t xml:space="preserve"> the Commission</w:t>
      </w:r>
      <w:r>
        <w:rPr>
          <w:rFonts w:ascii="Palatino Linotype" w:hAnsi="Palatino Linotype"/>
        </w:rPr>
        <w:t xml:space="preserve"> to seek an amendment to statute. </w:t>
      </w:r>
    </w:p>
    <w:p w14:paraId="6361D764" w14:textId="77777777" w:rsidR="0076358A" w:rsidRDefault="0076358A" w:rsidP="0076358A">
      <w:pPr>
        <w:pStyle w:val="DecisionText"/>
        <w:spacing w:before="0" w:line="240" w:lineRule="auto"/>
        <w:rPr>
          <w:rFonts w:ascii="Palatino Linotype" w:hAnsi="Palatino Linotype"/>
        </w:rPr>
      </w:pPr>
    </w:p>
    <w:p w14:paraId="3B910A45" w14:textId="77777777" w:rsidR="0076358A" w:rsidRDefault="0076358A" w:rsidP="0076358A">
      <w:pPr>
        <w:rPr>
          <w:rFonts w:ascii="Palatino Linotype" w:hAnsi="Palatino Linotype"/>
        </w:rPr>
      </w:pPr>
      <w:r w:rsidRPr="00FA492E">
        <w:rPr>
          <w:rFonts w:ascii="Palatino Linotype" w:hAnsi="Palatino Linotype"/>
        </w:rPr>
        <w:t>Based on the latest data</w:t>
      </w:r>
      <w:r>
        <w:rPr>
          <w:rFonts w:ascii="Palatino Linotype" w:hAnsi="Palatino Linotype"/>
        </w:rPr>
        <w:t xml:space="preserve"> from the IOU’s monthly May 2019 GTSR Status Reports</w:t>
      </w:r>
      <w:r w:rsidRPr="00FA492E">
        <w:rPr>
          <w:rFonts w:ascii="Palatino Linotype" w:hAnsi="Palatino Linotype"/>
        </w:rPr>
        <w:t xml:space="preserve">, the </w:t>
      </w:r>
      <w:r>
        <w:rPr>
          <w:rFonts w:ascii="Palatino Linotype" w:hAnsi="Palatino Linotype"/>
        </w:rPr>
        <w:t>EJ</w:t>
      </w:r>
      <w:r w:rsidRPr="00FA492E">
        <w:rPr>
          <w:rFonts w:ascii="Palatino Linotype" w:hAnsi="Palatino Linotype"/>
        </w:rPr>
        <w:t xml:space="preserve"> reservation remains profoundly under-procured</w:t>
      </w:r>
      <w:r>
        <w:rPr>
          <w:rFonts w:ascii="Palatino Linotype" w:hAnsi="Palatino Linotype"/>
        </w:rPr>
        <w:t>:</w:t>
      </w:r>
    </w:p>
    <w:p w14:paraId="4643C4F8" w14:textId="77777777" w:rsidR="0076358A" w:rsidRPr="00266EE5" w:rsidRDefault="0076358A" w:rsidP="0076358A"/>
    <w:p w14:paraId="30E83802" w14:textId="18E3D898" w:rsidR="0076358A" w:rsidRPr="001B531E" w:rsidRDefault="0076358A" w:rsidP="0076358A">
      <w:pPr>
        <w:pStyle w:val="Caption"/>
        <w:keepNext/>
        <w:rPr>
          <w:rFonts w:ascii="Palatino Linotype" w:hAnsi="Palatino Linotype"/>
          <w:sz w:val="26"/>
          <w:szCs w:val="20"/>
        </w:rPr>
      </w:pPr>
      <w:r w:rsidRPr="001B531E">
        <w:rPr>
          <w:rFonts w:ascii="Palatino Linotype" w:hAnsi="Palatino Linotype"/>
          <w:sz w:val="26"/>
          <w:szCs w:val="20"/>
        </w:rPr>
        <w:t xml:space="preserve">Table </w:t>
      </w:r>
      <w:r w:rsidRPr="001B531E">
        <w:rPr>
          <w:rFonts w:ascii="Palatino Linotype" w:hAnsi="Palatino Linotype"/>
          <w:sz w:val="26"/>
          <w:szCs w:val="20"/>
        </w:rPr>
        <w:fldChar w:fldCharType="begin"/>
      </w:r>
      <w:r w:rsidRPr="001B531E">
        <w:rPr>
          <w:rFonts w:ascii="Palatino Linotype" w:hAnsi="Palatino Linotype"/>
          <w:sz w:val="26"/>
          <w:szCs w:val="20"/>
        </w:rPr>
        <w:instrText xml:space="preserve"> SEQ Table \* ARABIC </w:instrText>
      </w:r>
      <w:r w:rsidRPr="001B531E">
        <w:rPr>
          <w:rFonts w:ascii="Palatino Linotype" w:hAnsi="Palatino Linotype"/>
          <w:sz w:val="26"/>
          <w:szCs w:val="20"/>
        </w:rPr>
        <w:fldChar w:fldCharType="separate"/>
      </w:r>
      <w:r w:rsidR="006667DA">
        <w:rPr>
          <w:rFonts w:ascii="Palatino Linotype" w:hAnsi="Palatino Linotype"/>
          <w:noProof/>
          <w:sz w:val="26"/>
          <w:szCs w:val="20"/>
        </w:rPr>
        <w:t>4</w:t>
      </w:r>
      <w:r w:rsidRPr="001B531E">
        <w:rPr>
          <w:rFonts w:ascii="Palatino Linotype" w:hAnsi="Palatino Linotype"/>
          <w:noProof/>
          <w:sz w:val="26"/>
          <w:szCs w:val="20"/>
        </w:rPr>
        <w:fldChar w:fldCharType="end"/>
      </w:r>
      <w:r w:rsidRPr="001B531E">
        <w:rPr>
          <w:rFonts w:ascii="Palatino Linotype" w:hAnsi="Palatino Linotype"/>
          <w:sz w:val="26"/>
          <w:szCs w:val="20"/>
        </w:rPr>
        <w:t>:  Environmental Justice Reservation</w:t>
      </w:r>
    </w:p>
    <w:tbl>
      <w:tblPr>
        <w:tblStyle w:val="GridTable41"/>
        <w:tblW w:w="9445" w:type="dxa"/>
        <w:tblLook w:val="04A0" w:firstRow="1" w:lastRow="0" w:firstColumn="1" w:lastColumn="0" w:noHBand="0" w:noVBand="1"/>
      </w:tblPr>
      <w:tblGrid>
        <w:gridCol w:w="1274"/>
        <w:gridCol w:w="2039"/>
        <w:gridCol w:w="2041"/>
        <w:gridCol w:w="2041"/>
        <w:gridCol w:w="2050"/>
      </w:tblGrid>
      <w:tr w:rsidR="00032E00" w14:paraId="21A48B07" w14:textId="77777777" w:rsidTr="00032E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4" w:type="dxa"/>
            <w:tcBorders>
              <w:right w:val="single" w:sz="4" w:space="0" w:color="FFFFFF" w:themeColor="background1"/>
            </w:tcBorders>
            <w:vAlign w:val="center"/>
          </w:tcPr>
          <w:p w14:paraId="57B97D5E" w14:textId="77777777" w:rsidR="0076358A" w:rsidRPr="001B531E" w:rsidRDefault="0076358A" w:rsidP="002B6E34">
            <w:pPr>
              <w:keepNext/>
              <w:jc w:val="center"/>
              <w:rPr>
                <w:rFonts w:ascii="Palatino Linotype" w:hAnsi="Palatino Linotype"/>
                <w:b w:val="0"/>
                <w:bCs w:val="0"/>
              </w:rPr>
            </w:pPr>
            <w:r w:rsidRPr="001B531E">
              <w:rPr>
                <w:rFonts w:ascii="Palatino Linotype" w:hAnsi="Palatino Linotype"/>
                <w:b w:val="0"/>
                <w:bCs w:val="0"/>
              </w:rPr>
              <w:t>IOU</w:t>
            </w:r>
          </w:p>
        </w:tc>
        <w:tc>
          <w:tcPr>
            <w:tcW w:w="2039" w:type="dxa"/>
            <w:tcBorders>
              <w:left w:val="single" w:sz="4" w:space="0" w:color="FFFFFF" w:themeColor="background1"/>
              <w:right w:val="single" w:sz="4" w:space="0" w:color="FFFFFF" w:themeColor="background1"/>
            </w:tcBorders>
            <w:vAlign w:val="center"/>
          </w:tcPr>
          <w:p w14:paraId="020B546C" w14:textId="77777777" w:rsidR="0076358A" w:rsidRPr="001B531E" w:rsidRDefault="0076358A" w:rsidP="002B6E34">
            <w:pPr>
              <w:keepNext/>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b w:val="0"/>
                <w:bCs w:val="0"/>
              </w:rPr>
            </w:pPr>
            <w:r w:rsidRPr="001B531E">
              <w:rPr>
                <w:rFonts w:ascii="Palatino Linotype" w:hAnsi="Palatino Linotype"/>
                <w:b w:val="0"/>
                <w:bCs w:val="0"/>
              </w:rPr>
              <w:t>Target EJ Capacity</w:t>
            </w:r>
          </w:p>
        </w:tc>
        <w:tc>
          <w:tcPr>
            <w:tcW w:w="2041" w:type="dxa"/>
            <w:tcBorders>
              <w:left w:val="single" w:sz="4" w:space="0" w:color="FFFFFF" w:themeColor="background1"/>
              <w:right w:val="single" w:sz="4" w:space="0" w:color="FFFFFF" w:themeColor="background1"/>
            </w:tcBorders>
            <w:vAlign w:val="center"/>
          </w:tcPr>
          <w:p w14:paraId="07B25B7A" w14:textId="77777777" w:rsidR="0076358A" w:rsidRPr="001B531E" w:rsidRDefault="0076358A" w:rsidP="002B6E34">
            <w:pPr>
              <w:keepNext/>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b w:val="0"/>
                <w:bCs w:val="0"/>
              </w:rPr>
            </w:pPr>
            <w:r w:rsidRPr="001B531E">
              <w:rPr>
                <w:rFonts w:ascii="Palatino Linotype" w:hAnsi="Palatino Linotype"/>
                <w:b w:val="0"/>
                <w:bCs w:val="0"/>
              </w:rPr>
              <w:t>GT Procured to Date</w:t>
            </w:r>
          </w:p>
        </w:tc>
        <w:tc>
          <w:tcPr>
            <w:tcW w:w="2041" w:type="dxa"/>
            <w:tcBorders>
              <w:left w:val="single" w:sz="4" w:space="0" w:color="FFFFFF" w:themeColor="background1"/>
              <w:right w:val="single" w:sz="4" w:space="0" w:color="FFFFFF" w:themeColor="background1"/>
            </w:tcBorders>
            <w:vAlign w:val="center"/>
          </w:tcPr>
          <w:p w14:paraId="606BF930" w14:textId="77777777" w:rsidR="0076358A" w:rsidRPr="001B531E" w:rsidRDefault="0076358A" w:rsidP="002B6E34">
            <w:pPr>
              <w:keepNext/>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b w:val="0"/>
                <w:bCs w:val="0"/>
              </w:rPr>
            </w:pPr>
            <w:r w:rsidRPr="001B531E">
              <w:rPr>
                <w:rFonts w:ascii="Palatino Linotype" w:hAnsi="Palatino Linotype"/>
                <w:b w:val="0"/>
                <w:bCs w:val="0"/>
              </w:rPr>
              <w:t>ECR Procured to Date</w:t>
            </w:r>
          </w:p>
        </w:tc>
        <w:tc>
          <w:tcPr>
            <w:tcW w:w="2050" w:type="dxa"/>
            <w:tcBorders>
              <w:left w:val="single" w:sz="4" w:space="0" w:color="FFFFFF" w:themeColor="background1"/>
            </w:tcBorders>
            <w:vAlign w:val="center"/>
          </w:tcPr>
          <w:p w14:paraId="29439B2B" w14:textId="77777777" w:rsidR="0076358A" w:rsidRPr="001B531E" w:rsidRDefault="0076358A" w:rsidP="002B6E34">
            <w:pPr>
              <w:keepNext/>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b w:val="0"/>
                <w:bCs w:val="0"/>
              </w:rPr>
            </w:pPr>
            <w:r w:rsidRPr="001B531E">
              <w:rPr>
                <w:rFonts w:ascii="Palatino Linotype" w:hAnsi="Palatino Linotype"/>
                <w:b w:val="0"/>
                <w:bCs w:val="0"/>
              </w:rPr>
              <w:t>Capacity Remaining</w:t>
            </w:r>
          </w:p>
        </w:tc>
      </w:tr>
      <w:tr w:rsidR="00032E00" w14:paraId="6F015DF3" w14:textId="77777777" w:rsidTr="00032E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4" w:type="dxa"/>
            <w:shd w:val="clear" w:color="auto" w:fill="FFFFFF" w:themeFill="background1"/>
            <w:vAlign w:val="center"/>
          </w:tcPr>
          <w:p w14:paraId="40764D2E" w14:textId="77777777" w:rsidR="0076358A" w:rsidRPr="00FA492E" w:rsidRDefault="0076358A" w:rsidP="002B6E34">
            <w:pPr>
              <w:keepNext/>
              <w:jc w:val="center"/>
              <w:rPr>
                <w:rFonts w:ascii="Palatino Linotype" w:hAnsi="Palatino Linotype"/>
              </w:rPr>
            </w:pPr>
            <w:r w:rsidRPr="00FA492E">
              <w:rPr>
                <w:rFonts w:ascii="Palatino Linotype" w:hAnsi="Palatino Linotype"/>
              </w:rPr>
              <w:t>SDG&amp;E</w:t>
            </w:r>
          </w:p>
        </w:tc>
        <w:tc>
          <w:tcPr>
            <w:tcW w:w="2039" w:type="dxa"/>
            <w:shd w:val="clear" w:color="auto" w:fill="FFFFFF" w:themeFill="background1"/>
            <w:vAlign w:val="center"/>
          </w:tcPr>
          <w:p w14:paraId="157BBC0C" w14:textId="77777777" w:rsidR="0076358A" w:rsidRPr="00FA492E" w:rsidRDefault="0076358A" w:rsidP="002B6E34">
            <w:pPr>
              <w:keepNext/>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rPr>
            </w:pPr>
            <w:r w:rsidRPr="00FA492E">
              <w:rPr>
                <w:rFonts w:ascii="Palatino Linotype" w:hAnsi="Palatino Linotype"/>
              </w:rPr>
              <w:t>10</w:t>
            </w:r>
          </w:p>
        </w:tc>
        <w:tc>
          <w:tcPr>
            <w:tcW w:w="2041" w:type="dxa"/>
            <w:shd w:val="clear" w:color="auto" w:fill="FFFFFF" w:themeFill="background1"/>
            <w:vAlign w:val="center"/>
          </w:tcPr>
          <w:p w14:paraId="46E9E623" w14:textId="77777777" w:rsidR="0076358A" w:rsidRPr="00FA492E" w:rsidRDefault="0076358A" w:rsidP="002B6E34">
            <w:pPr>
              <w:keepNext/>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rPr>
            </w:pPr>
            <w:r w:rsidRPr="00FA492E">
              <w:rPr>
                <w:rFonts w:ascii="Palatino Linotype" w:hAnsi="Palatino Linotype"/>
              </w:rPr>
              <w:t>0</w:t>
            </w:r>
          </w:p>
        </w:tc>
        <w:tc>
          <w:tcPr>
            <w:tcW w:w="2041" w:type="dxa"/>
            <w:shd w:val="clear" w:color="auto" w:fill="FFFFFF" w:themeFill="background1"/>
            <w:vAlign w:val="center"/>
          </w:tcPr>
          <w:p w14:paraId="162E9506" w14:textId="77777777" w:rsidR="0076358A" w:rsidRPr="00FA492E" w:rsidRDefault="0076358A" w:rsidP="002B6E34">
            <w:pPr>
              <w:keepNext/>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rPr>
            </w:pPr>
            <w:r w:rsidRPr="00FA492E">
              <w:rPr>
                <w:rFonts w:ascii="Palatino Linotype" w:hAnsi="Palatino Linotype"/>
              </w:rPr>
              <w:t>0</w:t>
            </w:r>
          </w:p>
        </w:tc>
        <w:tc>
          <w:tcPr>
            <w:tcW w:w="2050" w:type="dxa"/>
            <w:shd w:val="clear" w:color="auto" w:fill="FFFFFF" w:themeFill="background1"/>
            <w:vAlign w:val="center"/>
          </w:tcPr>
          <w:p w14:paraId="1417C586" w14:textId="77777777" w:rsidR="0076358A" w:rsidRPr="00FA492E" w:rsidRDefault="0076358A" w:rsidP="002B6E34">
            <w:pPr>
              <w:keepNext/>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rPr>
            </w:pPr>
            <w:r w:rsidRPr="00FA492E">
              <w:rPr>
                <w:rFonts w:ascii="Palatino Linotype" w:hAnsi="Palatino Linotype"/>
              </w:rPr>
              <w:t>10</w:t>
            </w:r>
          </w:p>
        </w:tc>
      </w:tr>
      <w:tr w:rsidR="00032E00" w14:paraId="1F9EF5C7" w14:textId="77777777" w:rsidTr="00032E00">
        <w:tc>
          <w:tcPr>
            <w:cnfStyle w:val="001000000000" w:firstRow="0" w:lastRow="0" w:firstColumn="1" w:lastColumn="0" w:oddVBand="0" w:evenVBand="0" w:oddHBand="0" w:evenHBand="0" w:firstRowFirstColumn="0" w:firstRowLastColumn="0" w:lastRowFirstColumn="0" w:lastRowLastColumn="0"/>
            <w:tcW w:w="1274" w:type="dxa"/>
            <w:shd w:val="clear" w:color="auto" w:fill="FFFFFF" w:themeFill="background1"/>
            <w:vAlign w:val="center"/>
          </w:tcPr>
          <w:p w14:paraId="227E1CEE" w14:textId="77777777" w:rsidR="0076358A" w:rsidRPr="00FA492E" w:rsidRDefault="0076358A" w:rsidP="002B6E34">
            <w:pPr>
              <w:keepNext/>
              <w:jc w:val="center"/>
              <w:rPr>
                <w:rFonts w:ascii="Palatino Linotype" w:hAnsi="Palatino Linotype"/>
              </w:rPr>
            </w:pPr>
            <w:r w:rsidRPr="00FA492E">
              <w:rPr>
                <w:rFonts w:ascii="Palatino Linotype" w:hAnsi="Palatino Linotype"/>
              </w:rPr>
              <w:t>PG&amp;E</w:t>
            </w:r>
          </w:p>
        </w:tc>
        <w:tc>
          <w:tcPr>
            <w:tcW w:w="2039" w:type="dxa"/>
            <w:shd w:val="clear" w:color="auto" w:fill="FFFFFF" w:themeFill="background1"/>
            <w:vAlign w:val="center"/>
          </w:tcPr>
          <w:p w14:paraId="5B288E6E" w14:textId="77777777" w:rsidR="0076358A" w:rsidRPr="00FA492E" w:rsidRDefault="0076358A" w:rsidP="002B6E34">
            <w:pPr>
              <w:keepNext/>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rPr>
            </w:pPr>
            <w:r w:rsidRPr="00FA492E">
              <w:rPr>
                <w:rFonts w:ascii="Palatino Linotype" w:hAnsi="Palatino Linotype"/>
              </w:rPr>
              <w:t>45</w:t>
            </w:r>
          </w:p>
        </w:tc>
        <w:tc>
          <w:tcPr>
            <w:tcW w:w="2041" w:type="dxa"/>
            <w:shd w:val="clear" w:color="auto" w:fill="FFFFFF" w:themeFill="background1"/>
            <w:vAlign w:val="center"/>
          </w:tcPr>
          <w:p w14:paraId="3DED061A" w14:textId="77777777" w:rsidR="0076358A" w:rsidRPr="00FA492E" w:rsidRDefault="0076358A" w:rsidP="002B6E34">
            <w:pPr>
              <w:keepNext/>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rPr>
            </w:pPr>
            <w:r w:rsidRPr="00FA492E">
              <w:rPr>
                <w:rFonts w:ascii="Palatino Linotype" w:hAnsi="Palatino Linotype"/>
              </w:rPr>
              <w:t>2</w:t>
            </w:r>
          </w:p>
        </w:tc>
        <w:tc>
          <w:tcPr>
            <w:tcW w:w="2041" w:type="dxa"/>
            <w:shd w:val="clear" w:color="auto" w:fill="FFFFFF" w:themeFill="background1"/>
            <w:vAlign w:val="center"/>
          </w:tcPr>
          <w:p w14:paraId="490FDBC0" w14:textId="77777777" w:rsidR="0076358A" w:rsidRPr="00FA492E" w:rsidRDefault="0076358A" w:rsidP="002B6E34">
            <w:pPr>
              <w:keepNext/>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rPr>
            </w:pPr>
            <w:r w:rsidRPr="00FA492E">
              <w:rPr>
                <w:rFonts w:ascii="Palatino Linotype" w:hAnsi="Palatino Linotype"/>
              </w:rPr>
              <w:t>0</w:t>
            </w:r>
          </w:p>
        </w:tc>
        <w:tc>
          <w:tcPr>
            <w:tcW w:w="2050" w:type="dxa"/>
            <w:shd w:val="clear" w:color="auto" w:fill="FFFFFF" w:themeFill="background1"/>
            <w:vAlign w:val="center"/>
          </w:tcPr>
          <w:p w14:paraId="006E3975" w14:textId="77777777" w:rsidR="0076358A" w:rsidRPr="00FA492E" w:rsidRDefault="0076358A" w:rsidP="002B6E34">
            <w:pPr>
              <w:keepNext/>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rPr>
            </w:pPr>
            <w:r w:rsidRPr="00FA492E">
              <w:rPr>
                <w:rFonts w:ascii="Palatino Linotype" w:hAnsi="Palatino Linotype"/>
              </w:rPr>
              <w:t>43</w:t>
            </w:r>
          </w:p>
        </w:tc>
      </w:tr>
      <w:tr w:rsidR="00032E00" w14:paraId="240978D7" w14:textId="77777777" w:rsidTr="00032E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4" w:type="dxa"/>
            <w:shd w:val="clear" w:color="auto" w:fill="FFFFFF" w:themeFill="background1"/>
            <w:vAlign w:val="center"/>
          </w:tcPr>
          <w:p w14:paraId="30479695" w14:textId="77777777" w:rsidR="0076358A" w:rsidRPr="00FA492E" w:rsidRDefault="0076358A" w:rsidP="002B6E34">
            <w:pPr>
              <w:keepNext/>
              <w:jc w:val="center"/>
              <w:rPr>
                <w:rFonts w:ascii="Palatino Linotype" w:hAnsi="Palatino Linotype"/>
              </w:rPr>
            </w:pPr>
            <w:r w:rsidRPr="00FA492E">
              <w:rPr>
                <w:rFonts w:ascii="Palatino Linotype" w:hAnsi="Palatino Linotype"/>
              </w:rPr>
              <w:t>SCE</w:t>
            </w:r>
          </w:p>
        </w:tc>
        <w:tc>
          <w:tcPr>
            <w:tcW w:w="2039" w:type="dxa"/>
            <w:shd w:val="clear" w:color="auto" w:fill="FFFFFF" w:themeFill="background1"/>
            <w:vAlign w:val="center"/>
          </w:tcPr>
          <w:p w14:paraId="45689574" w14:textId="77777777" w:rsidR="0076358A" w:rsidRPr="00FA492E" w:rsidRDefault="0076358A" w:rsidP="002B6E34">
            <w:pPr>
              <w:keepNext/>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rPr>
            </w:pPr>
            <w:r w:rsidRPr="00FA492E">
              <w:rPr>
                <w:rFonts w:ascii="Palatino Linotype" w:hAnsi="Palatino Linotype"/>
              </w:rPr>
              <w:t>45</w:t>
            </w:r>
          </w:p>
        </w:tc>
        <w:tc>
          <w:tcPr>
            <w:tcW w:w="2041" w:type="dxa"/>
            <w:shd w:val="clear" w:color="auto" w:fill="FFFFFF" w:themeFill="background1"/>
            <w:vAlign w:val="center"/>
          </w:tcPr>
          <w:p w14:paraId="583A51A0" w14:textId="77777777" w:rsidR="0076358A" w:rsidRPr="00FA492E" w:rsidRDefault="0076358A" w:rsidP="002B6E34">
            <w:pPr>
              <w:keepNext/>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rPr>
            </w:pPr>
            <w:r w:rsidRPr="00FA492E">
              <w:rPr>
                <w:rFonts w:ascii="Palatino Linotype" w:hAnsi="Palatino Linotype"/>
              </w:rPr>
              <w:t>0</w:t>
            </w:r>
          </w:p>
        </w:tc>
        <w:tc>
          <w:tcPr>
            <w:tcW w:w="2041" w:type="dxa"/>
            <w:shd w:val="clear" w:color="auto" w:fill="FFFFFF" w:themeFill="background1"/>
            <w:vAlign w:val="center"/>
          </w:tcPr>
          <w:p w14:paraId="505A5E69" w14:textId="77777777" w:rsidR="0076358A" w:rsidRPr="00FA492E" w:rsidRDefault="0076358A" w:rsidP="002B6E34">
            <w:pPr>
              <w:keepNext/>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rPr>
            </w:pPr>
            <w:r w:rsidRPr="00FA492E">
              <w:rPr>
                <w:rFonts w:ascii="Palatino Linotype" w:hAnsi="Palatino Linotype"/>
              </w:rPr>
              <w:t>0</w:t>
            </w:r>
          </w:p>
        </w:tc>
        <w:tc>
          <w:tcPr>
            <w:tcW w:w="2050" w:type="dxa"/>
            <w:shd w:val="clear" w:color="auto" w:fill="FFFFFF" w:themeFill="background1"/>
            <w:vAlign w:val="center"/>
          </w:tcPr>
          <w:p w14:paraId="35E4C294" w14:textId="77777777" w:rsidR="0076358A" w:rsidRPr="00FA492E" w:rsidRDefault="0076358A" w:rsidP="002B6E34">
            <w:pPr>
              <w:keepNext/>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rPr>
            </w:pPr>
            <w:r w:rsidRPr="00FA492E">
              <w:rPr>
                <w:rFonts w:ascii="Palatino Linotype" w:hAnsi="Palatino Linotype"/>
              </w:rPr>
              <w:t>45</w:t>
            </w:r>
          </w:p>
        </w:tc>
      </w:tr>
    </w:tbl>
    <w:p w14:paraId="1A6D981D" w14:textId="77777777" w:rsidR="0076358A" w:rsidRPr="00FA492E" w:rsidRDefault="0076358A" w:rsidP="0076358A">
      <w:pPr>
        <w:rPr>
          <w:rFonts w:ascii="Palatino Linotype" w:hAnsi="Palatino Linotype"/>
        </w:rPr>
      </w:pPr>
    </w:p>
    <w:p w14:paraId="7971595D" w14:textId="77777777" w:rsidR="0076358A" w:rsidRPr="00FA492E" w:rsidRDefault="0076358A" w:rsidP="0076358A">
      <w:pPr>
        <w:pStyle w:val="DecisionText"/>
        <w:spacing w:line="240" w:lineRule="auto"/>
        <w:rPr>
          <w:rFonts w:ascii="Palatino Linotype" w:hAnsi="Palatino Linotype"/>
        </w:rPr>
      </w:pPr>
      <w:r w:rsidRPr="00FA492E">
        <w:rPr>
          <w:rFonts w:ascii="Palatino Linotype" w:hAnsi="Palatino Linotype"/>
        </w:rPr>
        <w:t xml:space="preserve">However, </w:t>
      </w:r>
      <w:r>
        <w:rPr>
          <w:rFonts w:ascii="Palatino Linotype" w:hAnsi="Palatino Linotype"/>
        </w:rPr>
        <w:t>upon</w:t>
      </w:r>
      <w:r w:rsidRPr="00FA492E">
        <w:rPr>
          <w:rFonts w:ascii="Palatino Linotype" w:hAnsi="Palatino Linotype"/>
        </w:rPr>
        <w:t xml:space="preserve"> further inspection</w:t>
      </w:r>
      <w:r>
        <w:rPr>
          <w:rFonts w:ascii="Palatino Linotype" w:hAnsi="Palatino Linotype"/>
        </w:rPr>
        <w:t>,</w:t>
      </w:r>
      <w:r w:rsidRPr="00FA492E">
        <w:rPr>
          <w:rFonts w:ascii="Palatino Linotype" w:hAnsi="Palatino Linotype"/>
        </w:rPr>
        <w:t xml:space="preserve"> most GTSR projects are actually sited within EJ communities; the developers simply did not request the additional price incentive </w:t>
      </w:r>
      <w:r>
        <w:rPr>
          <w:rFonts w:ascii="Palatino Linotype" w:hAnsi="Palatino Linotype"/>
        </w:rPr>
        <w:t>that come with the EJ reservation</w:t>
      </w:r>
      <w:r w:rsidRPr="00FA492E">
        <w:rPr>
          <w:rFonts w:ascii="Palatino Linotype" w:hAnsi="Palatino Linotype"/>
        </w:rPr>
        <w:t>.</w:t>
      </w:r>
      <w:r>
        <w:rPr>
          <w:rFonts w:ascii="Palatino Linotype" w:hAnsi="Palatino Linotype"/>
        </w:rPr>
        <w:t xml:space="preserve"> </w:t>
      </w:r>
      <w:r w:rsidRPr="00FA492E">
        <w:rPr>
          <w:rFonts w:ascii="Palatino Linotype" w:hAnsi="Palatino Linotype"/>
        </w:rPr>
        <w:t xml:space="preserve">  </w:t>
      </w:r>
      <w:r>
        <w:rPr>
          <w:rFonts w:ascii="Palatino Linotype" w:hAnsi="Palatino Linotype"/>
        </w:rPr>
        <w:t>Table 5 below displays</w:t>
      </w:r>
      <w:r w:rsidRPr="00FA492E">
        <w:rPr>
          <w:rFonts w:ascii="Palatino Linotype" w:hAnsi="Palatino Linotype"/>
        </w:rPr>
        <w:t xml:space="preserve"> recent </w:t>
      </w:r>
      <w:r>
        <w:rPr>
          <w:rFonts w:ascii="Palatino Linotype" w:hAnsi="Palatino Linotype"/>
        </w:rPr>
        <w:t xml:space="preserve">GTSR </w:t>
      </w:r>
      <w:r w:rsidRPr="00FA492E">
        <w:rPr>
          <w:rFonts w:ascii="Palatino Linotype" w:hAnsi="Palatino Linotype"/>
        </w:rPr>
        <w:lastRenderedPageBreak/>
        <w:t xml:space="preserve">projects which </w:t>
      </w:r>
      <w:r>
        <w:rPr>
          <w:rFonts w:ascii="Palatino Linotype" w:hAnsi="Palatino Linotype"/>
        </w:rPr>
        <w:t>are</w:t>
      </w:r>
      <w:r w:rsidRPr="00FA492E">
        <w:rPr>
          <w:rFonts w:ascii="Palatino Linotype" w:hAnsi="Palatino Linotype"/>
        </w:rPr>
        <w:t xml:space="preserve"> online or were projected to come online in 2018</w:t>
      </w:r>
      <w:r>
        <w:rPr>
          <w:rStyle w:val="CommentReference"/>
          <w:lang w:val="en-US"/>
        </w:rPr>
        <w:t>,</w:t>
      </w:r>
      <w:r w:rsidRPr="00FA492E">
        <w:rPr>
          <w:rStyle w:val="FootnoteReference"/>
          <w:rFonts w:ascii="Palatino Linotype" w:hAnsi="Palatino Linotype"/>
        </w:rPr>
        <w:footnoteReference w:id="41"/>
      </w:r>
      <w:r w:rsidRPr="00FA492E">
        <w:rPr>
          <w:rFonts w:ascii="Palatino Linotype" w:hAnsi="Palatino Linotype"/>
        </w:rPr>
        <w:t xml:space="preserve">  </w:t>
      </w:r>
      <w:r>
        <w:rPr>
          <w:rFonts w:ascii="Palatino Linotype" w:hAnsi="Palatino Linotype"/>
        </w:rPr>
        <w:t>which indicates that projects can be cost-effective in EJ communities.</w:t>
      </w:r>
    </w:p>
    <w:p w14:paraId="0C7E33E8" w14:textId="77777777" w:rsidR="0076358A" w:rsidRDefault="0076358A" w:rsidP="0076358A">
      <w:pPr>
        <w:pStyle w:val="sub4"/>
        <w:ind w:firstLine="0"/>
        <w:rPr>
          <w:rFonts w:ascii="Palatino Linotype" w:hAnsi="Palatino Linotype"/>
        </w:rPr>
      </w:pPr>
    </w:p>
    <w:p w14:paraId="609A0D24" w14:textId="775677C8" w:rsidR="0076358A" w:rsidRPr="001B531E" w:rsidRDefault="0076358A" w:rsidP="0076358A">
      <w:pPr>
        <w:pStyle w:val="Caption"/>
        <w:keepNext/>
        <w:rPr>
          <w:rFonts w:ascii="Palatino Linotype" w:hAnsi="Palatino Linotype"/>
          <w:sz w:val="26"/>
          <w:szCs w:val="26"/>
        </w:rPr>
      </w:pPr>
      <w:r w:rsidRPr="001B531E">
        <w:rPr>
          <w:rFonts w:ascii="Palatino Linotype" w:hAnsi="Palatino Linotype"/>
          <w:sz w:val="26"/>
          <w:szCs w:val="26"/>
        </w:rPr>
        <w:t xml:space="preserve">Table </w:t>
      </w:r>
      <w:r w:rsidRPr="001B531E">
        <w:rPr>
          <w:rFonts w:ascii="Palatino Linotype" w:hAnsi="Palatino Linotype"/>
          <w:sz w:val="26"/>
          <w:szCs w:val="26"/>
        </w:rPr>
        <w:fldChar w:fldCharType="begin"/>
      </w:r>
      <w:r w:rsidRPr="001B531E">
        <w:rPr>
          <w:rFonts w:ascii="Palatino Linotype" w:hAnsi="Palatino Linotype"/>
          <w:sz w:val="26"/>
          <w:szCs w:val="26"/>
        </w:rPr>
        <w:instrText xml:space="preserve"> SEQ Table \* ARABIC </w:instrText>
      </w:r>
      <w:r w:rsidRPr="001B531E">
        <w:rPr>
          <w:rFonts w:ascii="Palatino Linotype" w:hAnsi="Palatino Linotype"/>
          <w:sz w:val="26"/>
          <w:szCs w:val="26"/>
        </w:rPr>
        <w:fldChar w:fldCharType="separate"/>
      </w:r>
      <w:r w:rsidR="006667DA">
        <w:rPr>
          <w:rFonts w:ascii="Palatino Linotype" w:hAnsi="Palatino Linotype"/>
          <w:noProof/>
          <w:sz w:val="26"/>
          <w:szCs w:val="26"/>
        </w:rPr>
        <w:t>5</w:t>
      </w:r>
      <w:r w:rsidRPr="001B531E">
        <w:rPr>
          <w:rFonts w:ascii="Palatino Linotype" w:hAnsi="Palatino Linotype"/>
          <w:noProof/>
          <w:sz w:val="26"/>
          <w:szCs w:val="26"/>
        </w:rPr>
        <w:fldChar w:fldCharType="end"/>
      </w:r>
      <w:r w:rsidRPr="001B531E">
        <w:rPr>
          <w:rFonts w:ascii="Palatino Linotype" w:hAnsi="Palatino Linotype"/>
          <w:sz w:val="26"/>
          <w:szCs w:val="26"/>
        </w:rPr>
        <w:t>: GTSR Projects by EJ Reservation an</w:t>
      </w:r>
      <w:r>
        <w:rPr>
          <w:rFonts w:ascii="Palatino Linotype" w:hAnsi="Palatino Linotype"/>
          <w:sz w:val="26"/>
          <w:szCs w:val="26"/>
        </w:rPr>
        <w:t>d</w:t>
      </w:r>
      <w:r w:rsidRPr="001B531E">
        <w:rPr>
          <w:rFonts w:ascii="Palatino Linotype" w:hAnsi="Palatino Linotype"/>
          <w:sz w:val="26"/>
          <w:szCs w:val="26"/>
        </w:rPr>
        <w:t xml:space="preserve"> CES Value</w:t>
      </w:r>
    </w:p>
    <w:tbl>
      <w:tblPr>
        <w:tblStyle w:val="GridTable41"/>
        <w:tblW w:w="10085" w:type="dxa"/>
        <w:tblInd w:w="-185" w:type="dxa"/>
        <w:tblLayout w:type="fixed"/>
        <w:tblLook w:val="04A0" w:firstRow="1" w:lastRow="0" w:firstColumn="1" w:lastColumn="0" w:noHBand="0" w:noVBand="1"/>
      </w:tblPr>
      <w:tblGrid>
        <w:gridCol w:w="1289"/>
        <w:gridCol w:w="3410"/>
        <w:gridCol w:w="1331"/>
        <w:gridCol w:w="810"/>
        <w:gridCol w:w="1715"/>
        <w:gridCol w:w="1530"/>
      </w:tblGrid>
      <w:tr w:rsidR="00032E00" w14:paraId="0AF1A28F" w14:textId="77777777" w:rsidTr="00032E00">
        <w:trPr>
          <w:cnfStyle w:val="100000000000" w:firstRow="1" w:lastRow="0" w:firstColumn="0" w:lastColumn="0" w:oddVBand="0" w:evenVBand="0" w:oddHBand="0" w:evenHBand="0"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1289" w:type="dxa"/>
            <w:vAlign w:val="center"/>
            <w:hideMark/>
          </w:tcPr>
          <w:p w14:paraId="10F71152" w14:textId="77777777" w:rsidR="0076358A" w:rsidRPr="00A90A03" w:rsidRDefault="0076358A" w:rsidP="002B6E34">
            <w:pPr>
              <w:keepNext/>
              <w:jc w:val="center"/>
              <w:rPr>
                <w:rFonts w:ascii="Palatino Linotype" w:hAnsi="Palatino Linotype"/>
                <w:sz w:val="24"/>
                <w:szCs w:val="24"/>
              </w:rPr>
            </w:pPr>
            <w:r w:rsidRPr="00A90A03">
              <w:rPr>
                <w:rFonts w:ascii="Palatino Linotype" w:hAnsi="Palatino Linotype"/>
                <w:sz w:val="24"/>
                <w:szCs w:val="24"/>
              </w:rPr>
              <w:t>IOU</w:t>
            </w:r>
          </w:p>
        </w:tc>
        <w:tc>
          <w:tcPr>
            <w:tcW w:w="3410" w:type="dxa"/>
            <w:vAlign w:val="center"/>
            <w:hideMark/>
          </w:tcPr>
          <w:p w14:paraId="71603833" w14:textId="77777777" w:rsidR="0076358A" w:rsidRPr="00A90A03" w:rsidRDefault="0076358A" w:rsidP="002B6E34">
            <w:pPr>
              <w:keepNext/>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sz w:val="24"/>
                <w:szCs w:val="24"/>
              </w:rPr>
            </w:pPr>
            <w:r w:rsidRPr="00A90A03">
              <w:rPr>
                <w:rFonts w:ascii="Palatino Linotype" w:hAnsi="Palatino Linotype"/>
                <w:sz w:val="24"/>
                <w:szCs w:val="24"/>
              </w:rPr>
              <w:t>Name of Resource</w:t>
            </w:r>
          </w:p>
        </w:tc>
        <w:tc>
          <w:tcPr>
            <w:tcW w:w="1331" w:type="dxa"/>
            <w:vAlign w:val="center"/>
            <w:hideMark/>
          </w:tcPr>
          <w:p w14:paraId="1358EC53" w14:textId="77777777" w:rsidR="0076358A" w:rsidRPr="00A90A03" w:rsidRDefault="0076358A" w:rsidP="002B6E34">
            <w:pPr>
              <w:keepNext/>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sz w:val="24"/>
                <w:szCs w:val="24"/>
              </w:rPr>
            </w:pPr>
            <w:r w:rsidRPr="00A90A03">
              <w:rPr>
                <w:rFonts w:ascii="Palatino Linotype" w:hAnsi="Palatino Linotype"/>
                <w:sz w:val="24"/>
                <w:szCs w:val="24"/>
              </w:rPr>
              <w:t xml:space="preserve">ECR </w:t>
            </w:r>
            <w:r>
              <w:rPr>
                <w:rFonts w:ascii="Palatino Linotype" w:hAnsi="Palatino Linotype"/>
                <w:sz w:val="24"/>
                <w:szCs w:val="24"/>
              </w:rPr>
              <w:t xml:space="preserve"> </w:t>
            </w:r>
            <w:r w:rsidRPr="00A90A03">
              <w:rPr>
                <w:rFonts w:ascii="Palatino Linotype" w:hAnsi="Palatino Linotype"/>
                <w:sz w:val="24"/>
                <w:szCs w:val="24"/>
              </w:rPr>
              <w:t>or GT Program?</w:t>
            </w:r>
          </w:p>
        </w:tc>
        <w:tc>
          <w:tcPr>
            <w:tcW w:w="810" w:type="dxa"/>
            <w:vAlign w:val="center"/>
            <w:hideMark/>
          </w:tcPr>
          <w:p w14:paraId="556EDFED" w14:textId="77777777" w:rsidR="0076358A" w:rsidRPr="00A90A03" w:rsidRDefault="0076358A" w:rsidP="002B6E34">
            <w:pPr>
              <w:keepNext/>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sz w:val="24"/>
                <w:szCs w:val="24"/>
              </w:rPr>
            </w:pPr>
            <w:r w:rsidRPr="00A90A03">
              <w:rPr>
                <w:rFonts w:ascii="Palatino Linotype" w:hAnsi="Palatino Linotype"/>
                <w:sz w:val="24"/>
                <w:szCs w:val="24"/>
              </w:rPr>
              <w:t>MW</w:t>
            </w:r>
          </w:p>
        </w:tc>
        <w:tc>
          <w:tcPr>
            <w:tcW w:w="1715" w:type="dxa"/>
            <w:vAlign w:val="center"/>
            <w:hideMark/>
          </w:tcPr>
          <w:p w14:paraId="199174A5" w14:textId="77777777" w:rsidR="0076358A" w:rsidRPr="00A90A03" w:rsidRDefault="0076358A" w:rsidP="002B6E34">
            <w:pPr>
              <w:keepNext/>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sz w:val="24"/>
                <w:szCs w:val="24"/>
              </w:rPr>
            </w:pPr>
            <w:r w:rsidRPr="00A90A03">
              <w:rPr>
                <w:rFonts w:ascii="Palatino Linotype" w:hAnsi="Palatino Linotype"/>
                <w:sz w:val="24"/>
                <w:szCs w:val="24"/>
              </w:rPr>
              <w:t>EJ Reservation?</w:t>
            </w:r>
          </w:p>
        </w:tc>
        <w:tc>
          <w:tcPr>
            <w:tcW w:w="1530" w:type="dxa"/>
            <w:vAlign w:val="center"/>
            <w:hideMark/>
          </w:tcPr>
          <w:p w14:paraId="7C34A6D8" w14:textId="77777777" w:rsidR="0076358A" w:rsidRPr="00A90A03" w:rsidRDefault="0076358A" w:rsidP="002B6E34">
            <w:pPr>
              <w:keepNext/>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sz w:val="24"/>
                <w:szCs w:val="24"/>
              </w:rPr>
            </w:pPr>
            <w:r w:rsidRPr="00A90A03">
              <w:rPr>
                <w:rFonts w:ascii="Palatino Linotype" w:hAnsi="Palatino Linotype"/>
                <w:sz w:val="24"/>
                <w:szCs w:val="24"/>
              </w:rPr>
              <w:t>CES</w:t>
            </w:r>
            <w:r w:rsidRPr="00A90A03">
              <w:rPr>
                <w:rStyle w:val="FootnoteReference"/>
                <w:rFonts w:ascii="Palatino Linotype" w:hAnsi="Palatino Linotype"/>
                <w:sz w:val="24"/>
                <w:szCs w:val="24"/>
              </w:rPr>
              <w:footnoteReference w:id="42"/>
            </w:r>
            <w:r w:rsidRPr="00A90A03">
              <w:rPr>
                <w:rFonts w:ascii="Palatino Linotype" w:hAnsi="Palatino Linotype"/>
                <w:sz w:val="24"/>
                <w:szCs w:val="24"/>
              </w:rPr>
              <w:t xml:space="preserve"> Percentile Value</w:t>
            </w:r>
          </w:p>
        </w:tc>
      </w:tr>
      <w:tr w:rsidR="00032E00" w14:paraId="3031D0CE" w14:textId="77777777" w:rsidTr="00032E0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289" w:type="dxa"/>
            <w:shd w:val="clear" w:color="auto" w:fill="FFFFFF" w:themeFill="background1"/>
            <w:hideMark/>
          </w:tcPr>
          <w:p w14:paraId="72F6059D" w14:textId="77777777" w:rsidR="0076358A" w:rsidRPr="002E026C" w:rsidRDefault="0076358A" w:rsidP="002B6E34">
            <w:pPr>
              <w:keepNext/>
              <w:rPr>
                <w:rFonts w:ascii="Palatino Linotype" w:hAnsi="Palatino Linotype"/>
                <w:color w:val="000000"/>
                <w:sz w:val="24"/>
                <w:szCs w:val="24"/>
              </w:rPr>
            </w:pPr>
            <w:r w:rsidRPr="00F26848">
              <w:rPr>
                <w:rFonts w:ascii="Palatino Linotype" w:hAnsi="Palatino Linotype"/>
                <w:color w:val="000000"/>
                <w:sz w:val="24"/>
                <w:szCs w:val="24"/>
              </w:rPr>
              <w:t>PG&amp;E</w:t>
            </w:r>
          </w:p>
        </w:tc>
        <w:tc>
          <w:tcPr>
            <w:tcW w:w="3410" w:type="dxa"/>
            <w:shd w:val="clear" w:color="auto" w:fill="FFFFFF" w:themeFill="background1"/>
            <w:noWrap/>
            <w:hideMark/>
          </w:tcPr>
          <w:p w14:paraId="634244AE" w14:textId="77777777" w:rsidR="0076358A" w:rsidRPr="00CD5471" w:rsidRDefault="0076358A" w:rsidP="002B6E34">
            <w:pPr>
              <w:keepNext/>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sz w:val="24"/>
                <w:szCs w:val="24"/>
              </w:rPr>
            </w:pPr>
            <w:r w:rsidRPr="00CD5471">
              <w:rPr>
                <w:rFonts w:ascii="Palatino Linotype" w:hAnsi="Palatino Linotype"/>
                <w:color w:val="000000"/>
                <w:sz w:val="24"/>
                <w:szCs w:val="24"/>
              </w:rPr>
              <w:t>Bakersfield 1</w:t>
            </w:r>
          </w:p>
        </w:tc>
        <w:tc>
          <w:tcPr>
            <w:tcW w:w="1331" w:type="dxa"/>
            <w:shd w:val="clear" w:color="auto" w:fill="FFFFFF" w:themeFill="background1"/>
            <w:hideMark/>
          </w:tcPr>
          <w:p w14:paraId="0051AFBD" w14:textId="77777777" w:rsidR="0076358A" w:rsidRPr="00CD5471" w:rsidRDefault="0076358A" w:rsidP="002B6E34">
            <w:pPr>
              <w:keepNext/>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sz w:val="24"/>
                <w:szCs w:val="24"/>
              </w:rPr>
            </w:pPr>
            <w:r w:rsidRPr="00CD5471">
              <w:rPr>
                <w:rFonts w:ascii="Palatino Linotype" w:hAnsi="Palatino Linotype"/>
                <w:color w:val="000000"/>
                <w:sz w:val="24"/>
                <w:szCs w:val="24"/>
              </w:rPr>
              <w:t>GT</w:t>
            </w:r>
          </w:p>
        </w:tc>
        <w:tc>
          <w:tcPr>
            <w:tcW w:w="810" w:type="dxa"/>
            <w:shd w:val="clear" w:color="auto" w:fill="FFFFFF" w:themeFill="background1"/>
            <w:noWrap/>
            <w:hideMark/>
          </w:tcPr>
          <w:p w14:paraId="58CFA80C" w14:textId="77777777" w:rsidR="0076358A" w:rsidRPr="00CD5471" w:rsidRDefault="0076358A" w:rsidP="002B6E34">
            <w:pPr>
              <w:keepNext/>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sz w:val="24"/>
                <w:szCs w:val="24"/>
              </w:rPr>
            </w:pPr>
            <w:r w:rsidRPr="00CD5471">
              <w:rPr>
                <w:rFonts w:ascii="Palatino Linotype" w:hAnsi="Palatino Linotype"/>
                <w:color w:val="000000"/>
                <w:sz w:val="24"/>
                <w:szCs w:val="24"/>
              </w:rPr>
              <w:t>5.25</w:t>
            </w:r>
          </w:p>
        </w:tc>
        <w:tc>
          <w:tcPr>
            <w:tcW w:w="1715" w:type="dxa"/>
            <w:shd w:val="clear" w:color="auto" w:fill="FFFFFF" w:themeFill="background1"/>
            <w:noWrap/>
            <w:hideMark/>
          </w:tcPr>
          <w:p w14:paraId="316EABA7" w14:textId="77777777" w:rsidR="0076358A" w:rsidRPr="00CD5471" w:rsidRDefault="0076358A" w:rsidP="002B6E34">
            <w:pPr>
              <w:keepNext/>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sz w:val="24"/>
                <w:szCs w:val="24"/>
              </w:rPr>
            </w:pPr>
            <w:r w:rsidRPr="00CD5471">
              <w:rPr>
                <w:rFonts w:ascii="Palatino Linotype" w:hAnsi="Palatino Linotype"/>
                <w:color w:val="000000"/>
                <w:sz w:val="24"/>
                <w:szCs w:val="24"/>
              </w:rPr>
              <w:t>No</w:t>
            </w:r>
          </w:p>
        </w:tc>
        <w:tc>
          <w:tcPr>
            <w:tcW w:w="1530" w:type="dxa"/>
            <w:shd w:val="clear" w:color="auto" w:fill="FFFFFF" w:themeFill="background1"/>
            <w:noWrap/>
            <w:hideMark/>
          </w:tcPr>
          <w:p w14:paraId="7DBBFEFB" w14:textId="77777777" w:rsidR="0076358A" w:rsidRPr="00CD5471" w:rsidRDefault="0076358A" w:rsidP="002B6E34">
            <w:pPr>
              <w:keepNext/>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sz w:val="24"/>
                <w:szCs w:val="24"/>
              </w:rPr>
            </w:pPr>
            <w:r w:rsidRPr="00CD5471">
              <w:rPr>
                <w:rFonts w:ascii="Palatino Linotype" w:hAnsi="Palatino Linotype"/>
                <w:color w:val="000000"/>
                <w:sz w:val="24"/>
                <w:szCs w:val="24"/>
              </w:rPr>
              <w:t>99.86</w:t>
            </w:r>
          </w:p>
        </w:tc>
      </w:tr>
      <w:tr w:rsidR="00032E00" w14:paraId="781CCAFF" w14:textId="77777777" w:rsidTr="00032E00">
        <w:trPr>
          <w:trHeight w:val="255"/>
        </w:trPr>
        <w:tc>
          <w:tcPr>
            <w:cnfStyle w:val="001000000000" w:firstRow="0" w:lastRow="0" w:firstColumn="1" w:lastColumn="0" w:oddVBand="0" w:evenVBand="0" w:oddHBand="0" w:evenHBand="0" w:firstRowFirstColumn="0" w:firstRowLastColumn="0" w:lastRowFirstColumn="0" w:lastRowLastColumn="0"/>
            <w:tcW w:w="1289" w:type="dxa"/>
            <w:shd w:val="clear" w:color="auto" w:fill="FFFFFF" w:themeFill="background1"/>
            <w:hideMark/>
          </w:tcPr>
          <w:p w14:paraId="02243ECA" w14:textId="77777777" w:rsidR="0076358A" w:rsidRPr="002E026C" w:rsidRDefault="0076358A" w:rsidP="002B6E34">
            <w:pPr>
              <w:keepNext/>
              <w:rPr>
                <w:rFonts w:ascii="Palatino Linotype" w:hAnsi="Palatino Linotype"/>
                <w:color w:val="000000"/>
                <w:sz w:val="24"/>
                <w:szCs w:val="24"/>
              </w:rPr>
            </w:pPr>
            <w:r w:rsidRPr="00F26848">
              <w:rPr>
                <w:rFonts w:ascii="Palatino Linotype" w:hAnsi="Palatino Linotype"/>
                <w:color w:val="000000"/>
                <w:sz w:val="24"/>
                <w:szCs w:val="24"/>
              </w:rPr>
              <w:t>PG&amp;E</w:t>
            </w:r>
          </w:p>
        </w:tc>
        <w:tc>
          <w:tcPr>
            <w:tcW w:w="3410" w:type="dxa"/>
            <w:shd w:val="clear" w:color="auto" w:fill="FFFFFF" w:themeFill="background1"/>
            <w:noWrap/>
            <w:hideMark/>
          </w:tcPr>
          <w:p w14:paraId="43897797" w14:textId="77777777" w:rsidR="0076358A" w:rsidRPr="00CD5471" w:rsidRDefault="0076358A" w:rsidP="002B6E34">
            <w:pPr>
              <w:keepNext/>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sz w:val="24"/>
                <w:szCs w:val="24"/>
              </w:rPr>
            </w:pPr>
            <w:r w:rsidRPr="00CD5471">
              <w:rPr>
                <w:rFonts w:ascii="Palatino Linotype" w:hAnsi="Palatino Linotype"/>
                <w:color w:val="000000"/>
                <w:sz w:val="24"/>
                <w:szCs w:val="24"/>
              </w:rPr>
              <w:t>Bakersfield Industrial 1</w:t>
            </w:r>
          </w:p>
        </w:tc>
        <w:tc>
          <w:tcPr>
            <w:tcW w:w="1331" w:type="dxa"/>
            <w:shd w:val="clear" w:color="auto" w:fill="FFFFFF" w:themeFill="background1"/>
            <w:hideMark/>
          </w:tcPr>
          <w:p w14:paraId="0BBDBC25" w14:textId="77777777" w:rsidR="0076358A" w:rsidRPr="00CD5471" w:rsidRDefault="0076358A" w:rsidP="002B6E34">
            <w:pPr>
              <w:keepNext/>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sz w:val="24"/>
                <w:szCs w:val="24"/>
              </w:rPr>
            </w:pPr>
            <w:r w:rsidRPr="00CD5471">
              <w:rPr>
                <w:rFonts w:ascii="Palatino Linotype" w:hAnsi="Palatino Linotype"/>
                <w:color w:val="000000"/>
                <w:sz w:val="24"/>
                <w:szCs w:val="24"/>
              </w:rPr>
              <w:t>GT</w:t>
            </w:r>
          </w:p>
        </w:tc>
        <w:tc>
          <w:tcPr>
            <w:tcW w:w="810" w:type="dxa"/>
            <w:shd w:val="clear" w:color="auto" w:fill="FFFFFF" w:themeFill="background1"/>
            <w:hideMark/>
          </w:tcPr>
          <w:p w14:paraId="08E78B38" w14:textId="77777777" w:rsidR="0076358A" w:rsidRPr="00CD5471" w:rsidRDefault="0076358A" w:rsidP="002B6E34">
            <w:pPr>
              <w:keepNext/>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sz w:val="24"/>
                <w:szCs w:val="24"/>
              </w:rPr>
            </w:pPr>
            <w:r w:rsidRPr="00CD5471">
              <w:rPr>
                <w:rFonts w:ascii="Palatino Linotype" w:hAnsi="Palatino Linotype"/>
                <w:color w:val="000000"/>
                <w:sz w:val="24"/>
                <w:szCs w:val="24"/>
              </w:rPr>
              <w:t>1</w:t>
            </w:r>
          </w:p>
        </w:tc>
        <w:tc>
          <w:tcPr>
            <w:tcW w:w="1715" w:type="dxa"/>
            <w:shd w:val="clear" w:color="auto" w:fill="FFFFFF" w:themeFill="background1"/>
            <w:noWrap/>
            <w:hideMark/>
          </w:tcPr>
          <w:p w14:paraId="35D4AA87" w14:textId="77777777" w:rsidR="0076358A" w:rsidRPr="00CD5471" w:rsidRDefault="0076358A" w:rsidP="002B6E34">
            <w:pPr>
              <w:keepNext/>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sz w:val="24"/>
                <w:szCs w:val="24"/>
              </w:rPr>
            </w:pPr>
            <w:r w:rsidRPr="00CD5471">
              <w:rPr>
                <w:rFonts w:ascii="Palatino Linotype" w:hAnsi="Palatino Linotype"/>
                <w:color w:val="000000"/>
                <w:sz w:val="24"/>
                <w:szCs w:val="24"/>
              </w:rPr>
              <w:t>Yes</w:t>
            </w:r>
          </w:p>
        </w:tc>
        <w:tc>
          <w:tcPr>
            <w:tcW w:w="1530" w:type="dxa"/>
            <w:shd w:val="clear" w:color="auto" w:fill="FFFFFF" w:themeFill="background1"/>
            <w:noWrap/>
            <w:hideMark/>
          </w:tcPr>
          <w:p w14:paraId="3A9EC5F3" w14:textId="77777777" w:rsidR="0076358A" w:rsidRPr="00CD5471" w:rsidRDefault="0076358A" w:rsidP="002B6E34">
            <w:pPr>
              <w:keepNext/>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sz w:val="24"/>
                <w:szCs w:val="24"/>
              </w:rPr>
            </w:pPr>
            <w:r w:rsidRPr="00CD5471">
              <w:rPr>
                <w:rFonts w:ascii="Palatino Linotype" w:hAnsi="Palatino Linotype"/>
                <w:color w:val="000000"/>
                <w:sz w:val="24"/>
                <w:szCs w:val="24"/>
              </w:rPr>
              <w:t>98.36</w:t>
            </w:r>
          </w:p>
        </w:tc>
      </w:tr>
      <w:tr w:rsidR="00032E00" w14:paraId="2A33FD28" w14:textId="77777777" w:rsidTr="00032E0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289" w:type="dxa"/>
            <w:shd w:val="clear" w:color="auto" w:fill="FFFFFF" w:themeFill="background1"/>
            <w:hideMark/>
          </w:tcPr>
          <w:p w14:paraId="03A4A309" w14:textId="77777777" w:rsidR="0076358A" w:rsidRPr="002E026C" w:rsidRDefault="0076358A" w:rsidP="002B6E34">
            <w:pPr>
              <w:keepNext/>
              <w:rPr>
                <w:rFonts w:ascii="Palatino Linotype" w:hAnsi="Palatino Linotype"/>
                <w:color w:val="000000"/>
                <w:sz w:val="24"/>
                <w:szCs w:val="24"/>
              </w:rPr>
            </w:pPr>
            <w:r w:rsidRPr="00F26848">
              <w:rPr>
                <w:rFonts w:ascii="Palatino Linotype" w:hAnsi="Palatino Linotype"/>
                <w:color w:val="000000"/>
                <w:sz w:val="24"/>
                <w:szCs w:val="24"/>
              </w:rPr>
              <w:t>PG&amp;E</w:t>
            </w:r>
          </w:p>
        </w:tc>
        <w:tc>
          <w:tcPr>
            <w:tcW w:w="3410" w:type="dxa"/>
            <w:shd w:val="clear" w:color="auto" w:fill="FFFFFF" w:themeFill="background1"/>
            <w:hideMark/>
          </w:tcPr>
          <w:p w14:paraId="5E0F3043" w14:textId="77777777" w:rsidR="0076358A" w:rsidRPr="00CD5471" w:rsidRDefault="0076358A" w:rsidP="002B6E34">
            <w:pPr>
              <w:keepNext/>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sz w:val="24"/>
                <w:szCs w:val="24"/>
              </w:rPr>
            </w:pPr>
            <w:r w:rsidRPr="00CD5471">
              <w:rPr>
                <w:rFonts w:ascii="Palatino Linotype" w:hAnsi="Palatino Linotype"/>
                <w:color w:val="000000"/>
                <w:sz w:val="24"/>
                <w:szCs w:val="24"/>
              </w:rPr>
              <w:t>Merced 1</w:t>
            </w:r>
          </w:p>
        </w:tc>
        <w:tc>
          <w:tcPr>
            <w:tcW w:w="1331" w:type="dxa"/>
            <w:shd w:val="clear" w:color="auto" w:fill="FFFFFF" w:themeFill="background1"/>
            <w:hideMark/>
          </w:tcPr>
          <w:p w14:paraId="07BB69B0" w14:textId="77777777" w:rsidR="0076358A" w:rsidRPr="00CD5471" w:rsidRDefault="0076358A" w:rsidP="002B6E34">
            <w:pPr>
              <w:keepNext/>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sz w:val="24"/>
                <w:szCs w:val="24"/>
              </w:rPr>
            </w:pPr>
            <w:r w:rsidRPr="00CD5471">
              <w:rPr>
                <w:rFonts w:ascii="Palatino Linotype" w:hAnsi="Palatino Linotype"/>
                <w:color w:val="000000"/>
                <w:sz w:val="24"/>
                <w:szCs w:val="24"/>
              </w:rPr>
              <w:t>GT</w:t>
            </w:r>
          </w:p>
        </w:tc>
        <w:tc>
          <w:tcPr>
            <w:tcW w:w="810" w:type="dxa"/>
            <w:shd w:val="clear" w:color="auto" w:fill="FFFFFF" w:themeFill="background1"/>
            <w:hideMark/>
          </w:tcPr>
          <w:p w14:paraId="3BD23544" w14:textId="77777777" w:rsidR="0076358A" w:rsidRPr="00CD5471" w:rsidRDefault="0076358A" w:rsidP="002B6E34">
            <w:pPr>
              <w:keepNext/>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sz w:val="24"/>
                <w:szCs w:val="24"/>
              </w:rPr>
            </w:pPr>
            <w:r w:rsidRPr="00CD5471">
              <w:rPr>
                <w:rFonts w:ascii="Palatino Linotype" w:hAnsi="Palatino Linotype"/>
                <w:color w:val="000000"/>
                <w:sz w:val="24"/>
                <w:szCs w:val="24"/>
              </w:rPr>
              <w:t>3</w:t>
            </w:r>
          </w:p>
        </w:tc>
        <w:tc>
          <w:tcPr>
            <w:tcW w:w="1715" w:type="dxa"/>
            <w:shd w:val="clear" w:color="auto" w:fill="FFFFFF" w:themeFill="background1"/>
            <w:hideMark/>
          </w:tcPr>
          <w:p w14:paraId="0A52519D" w14:textId="77777777" w:rsidR="0076358A" w:rsidRPr="00CD5471" w:rsidRDefault="0076358A" w:rsidP="002B6E34">
            <w:pPr>
              <w:keepNext/>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sz w:val="24"/>
                <w:szCs w:val="24"/>
              </w:rPr>
            </w:pPr>
            <w:r w:rsidRPr="00CD5471">
              <w:rPr>
                <w:rFonts w:ascii="Palatino Linotype" w:hAnsi="Palatino Linotype"/>
                <w:color w:val="000000"/>
                <w:sz w:val="24"/>
                <w:szCs w:val="24"/>
              </w:rPr>
              <w:t>No</w:t>
            </w:r>
          </w:p>
        </w:tc>
        <w:tc>
          <w:tcPr>
            <w:tcW w:w="1530" w:type="dxa"/>
            <w:shd w:val="clear" w:color="auto" w:fill="FFFFFF" w:themeFill="background1"/>
            <w:noWrap/>
            <w:hideMark/>
          </w:tcPr>
          <w:p w14:paraId="1311BAB2" w14:textId="77777777" w:rsidR="0076358A" w:rsidRPr="00CD5471" w:rsidRDefault="0076358A" w:rsidP="002B6E34">
            <w:pPr>
              <w:keepNext/>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sz w:val="24"/>
                <w:szCs w:val="24"/>
              </w:rPr>
            </w:pPr>
            <w:r w:rsidRPr="00CD5471">
              <w:rPr>
                <w:rFonts w:ascii="Palatino Linotype" w:hAnsi="Palatino Linotype"/>
                <w:color w:val="000000"/>
                <w:sz w:val="24"/>
                <w:szCs w:val="24"/>
              </w:rPr>
              <w:t>95.43</w:t>
            </w:r>
          </w:p>
        </w:tc>
      </w:tr>
      <w:tr w:rsidR="00032E00" w14:paraId="065D7C5B" w14:textId="77777777" w:rsidTr="00032E00">
        <w:trPr>
          <w:trHeight w:val="255"/>
        </w:trPr>
        <w:tc>
          <w:tcPr>
            <w:cnfStyle w:val="001000000000" w:firstRow="0" w:lastRow="0" w:firstColumn="1" w:lastColumn="0" w:oddVBand="0" w:evenVBand="0" w:oddHBand="0" w:evenHBand="0" w:firstRowFirstColumn="0" w:firstRowLastColumn="0" w:lastRowFirstColumn="0" w:lastRowLastColumn="0"/>
            <w:tcW w:w="1289" w:type="dxa"/>
            <w:shd w:val="clear" w:color="auto" w:fill="FFFFFF" w:themeFill="background1"/>
            <w:hideMark/>
          </w:tcPr>
          <w:p w14:paraId="2783ADBE" w14:textId="77777777" w:rsidR="0076358A" w:rsidRPr="002E026C" w:rsidRDefault="0076358A" w:rsidP="002B6E34">
            <w:pPr>
              <w:keepNext/>
              <w:rPr>
                <w:rFonts w:ascii="Palatino Linotype" w:hAnsi="Palatino Linotype"/>
                <w:color w:val="000000"/>
                <w:sz w:val="24"/>
                <w:szCs w:val="24"/>
              </w:rPr>
            </w:pPr>
            <w:r w:rsidRPr="00F26848">
              <w:rPr>
                <w:rFonts w:ascii="Palatino Linotype" w:hAnsi="Palatino Linotype"/>
                <w:color w:val="000000"/>
                <w:sz w:val="24"/>
                <w:szCs w:val="24"/>
              </w:rPr>
              <w:t>PG&amp;E</w:t>
            </w:r>
          </w:p>
        </w:tc>
        <w:tc>
          <w:tcPr>
            <w:tcW w:w="3410" w:type="dxa"/>
            <w:shd w:val="clear" w:color="auto" w:fill="FFFFFF" w:themeFill="background1"/>
            <w:noWrap/>
            <w:hideMark/>
          </w:tcPr>
          <w:p w14:paraId="01AD0D12" w14:textId="77777777" w:rsidR="0076358A" w:rsidRPr="00CD5471" w:rsidRDefault="0076358A" w:rsidP="002B6E34">
            <w:pPr>
              <w:keepNext/>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sz w:val="24"/>
                <w:szCs w:val="24"/>
              </w:rPr>
            </w:pPr>
            <w:r w:rsidRPr="00CD5471">
              <w:rPr>
                <w:rFonts w:ascii="Palatino Linotype" w:hAnsi="Palatino Linotype"/>
                <w:color w:val="000000"/>
                <w:sz w:val="24"/>
                <w:szCs w:val="24"/>
              </w:rPr>
              <w:t>Tranquillity 8 Amarillo</w:t>
            </w:r>
          </w:p>
        </w:tc>
        <w:tc>
          <w:tcPr>
            <w:tcW w:w="1331" w:type="dxa"/>
            <w:shd w:val="clear" w:color="auto" w:fill="FFFFFF" w:themeFill="background1"/>
            <w:hideMark/>
          </w:tcPr>
          <w:p w14:paraId="66DB241C" w14:textId="77777777" w:rsidR="0076358A" w:rsidRPr="00CD5471" w:rsidRDefault="0076358A" w:rsidP="002B6E34">
            <w:pPr>
              <w:keepNext/>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sz w:val="24"/>
                <w:szCs w:val="24"/>
              </w:rPr>
            </w:pPr>
            <w:r w:rsidRPr="00CD5471">
              <w:rPr>
                <w:rFonts w:ascii="Palatino Linotype" w:hAnsi="Palatino Linotype"/>
                <w:color w:val="000000"/>
                <w:sz w:val="24"/>
                <w:szCs w:val="24"/>
              </w:rPr>
              <w:t>GT</w:t>
            </w:r>
          </w:p>
        </w:tc>
        <w:tc>
          <w:tcPr>
            <w:tcW w:w="810" w:type="dxa"/>
            <w:shd w:val="clear" w:color="auto" w:fill="FFFFFF" w:themeFill="background1"/>
            <w:hideMark/>
          </w:tcPr>
          <w:p w14:paraId="00052556" w14:textId="77777777" w:rsidR="0076358A" w:rsidRPr="00CD5471" w:rsidRDefault="0076358A" w:rsidP="002B6E34">
            <w:pPr>
              <w:keepNext/>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sz w:val="24"/>
                <w:szCs w:val="24"/>
              </w:rPr>
            </w:pPr>
            <w:r w:rsidRPr="00CD5471">
              <w:rPr>
                <w:rFonts w:ascii="Palatino Linotype" w:hAnsi="Palatino Linotype"/>
                <w:color w:val="000000"/>
                <w:sz w:val="24"/>
                <w:szCs w:val="24"/>
              </w:rPr>
              <w:t>20</w:t>
            </w:r>
          </w:p>
        </w:tc>
        <w:tc>
          <w:tcPr>
            <w:tcW w:w="1715" w:type="dxa"/>
            <w:shd w:val="clear" w:color="auto" w:fill="FFFFFF" w:themeFill="background1"/>
            <w:noWrap/>
            <w:hideMark/>
          </w:tcPr>
          <w:p w14:paraId="60761295" w14:textId="77777777" w:rsidR="0076358A" w:rsidRPr="00CD5471" w:rsidRDefault="0076358A" w:rsidP="002B6E34">
            <w:pPr>
              <w:keepNext/>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sz w:val="24"/>
                <w:szCs w:val="24"/>
              </w:rPr>
            </w:pPr>
            <w:r w:rsidRPr="00CD5471">
              <w:rPr>
                <w:rFonts w:ascii="Palatino Linotype" w:hAnsi="Palatino Linotype"/>
                <w:color w:val="000000"/>
                <w:sz w:val="24"/>
                <w:szCs w:val="24"/>
              </w:rPr>
              <w:t>No</w:t>
            </w:r>
          </w:p>
        </w:tc>
        <w:tc>
          <w:tcPr>
            <w:tcW w:w="1530" w:type="dxa"/>
            <w:shd w:val="clear" w:color="auto" w:fill="FFFFFF" w:themeFill="background1"/>
            <w:noWrap/>
            <w:hideMark/>
          </w:tcPr>
          <w:p w14:paraId="2CB3BCC4" w14:textId="77777777" w:rsidR="0076358A" w:rsidRPr="00CD5471" w:rsidRDefault="0076358A" w:rsidP="002B6E34">
            <w:pPr>
              <w:keepNext/>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sz w:val="24"/>
                <w:szCs w:val="24"/>
              </w:rPr>
            </w:pPr>
            <w:r w:rsidRPr="00CD5471">
              <w:rPr>
                <w:rFonts w:ascii="Palatino Linotype" w:hAnsi="Palatino Linotype"/>
                <w:color w:val="000000"/>
                <w:sz w:val="24"/>
                <w:szCs w:val="24"/>
              </w:rPr>
              <w:t>95.01</w:t>
            </w:r>
          </w:p>
        </w:tc>
      </w:tr>
      <w:tr w:rsidR="00032E00" w14:paraId="0110213B" w14:textId="77777777" w:rsidTr="00032E0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289" w:type="dxa"/>
            <w:shd w:val="clear" w:color="auto" w:fill="FFFFFF" w:themeFill="background1"/>
            <w:hideMark/>
          </w:tcPr>
          <w:p w14:paraId="4B7857AB" w14:textId="77777777" w:rsidR="0076358A" w:rsidRPr="002E026C" w:rsidRDefault="0076358A" w:rsidP="002B6E34">
            <w:pPr>
              <w:keepNext/>
              <w:rPr>
                <w:rFonts w:ascii="Palatino Linotype" w:hAnsi="Palatino Linotype"/>
                <w:color w:val="000000"/>
                <w:sz w:val="24"/>
                <w:szCs w:val="24"/>
              </w:rPr>
            </w:pPr>
            <w:r w:rsidRPr="00F26848">
              <w:rPr>
                <w:rFonts w:ascii="Palatino Linotype" w:hAnsi="Palatino Linotype"/>
                <w:color w:val="000000"/>
                <w:sz w:val="24"/>
                <w:szCs w:val="24"/>
              </w:rPr>
              <w:t>PG&amp;E</w:t>
            </w:r>
          </w:p>
        </w:tc>
        <w:tc>
          <w:tcPr>
            <w:tcW w:w="3410" w:type="dxa"/>
            <w:shd w:val="clear" w:color="auto" w:fill="FFFFFF" w:themeFill="background1"/>
            <w:noWrap/>
            <w:hideMark/>
          </w:tcPr>
          <w:p w14:paraId="62C82631" w14:textId="77777777" w:rsidR="0076358A" w:rsidRPr="00CD5471" w:rsidRDefault="0076358A" w:rsidP="002B6E34">
            <w:pPr>
              <w:keepNext/>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sz w:val="24"/>
                <w:szCs w:val="24"/>
              </w:rPr>
            </w:pPr>
            <w:r w:rsidRPr="00CD5471">
              <w:rPr>
                <w:rFonts w:ascii="Palatino Linotype" w:hAnsi="Palatino Linotype"/>
                <w:color w:val="000000"/>
                <w:sz w:val="24"/>
                <w:szCs w:val="24"/>
              </w:rPr>
              <w:t>Manteca Land 1</w:t>
            </w:r>
          </w:p>
        </w:tc>
        <w:tc>
          <w:tcPr>
            <w:tcW w:w="1331" w:type="dxa"/>
            <w:shd w:val="clear" w:color="auto" w:fill="FFFFFF" w:themeFill="background1"/>
            <w:hideMark/>
          </w:tcPr>
          <w:p w14:paraId="336E154C" w14:textId="77777777" w:rsidR="0076358A" w:rsidRPr="00CD5471" w:rsidRDefault="0076358A" w:rsidP="002B6E34">
            <w:pPr>
              <w:keepNext/>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sz w:val="24"/>
                <w:szCs w:val="24"/>
              </w:rPr>
            </w:pPr>
            <w:r w:rsidRPr="00CD5471">
              <w:rPr>
                <w:rFonts w:ascii="Palatino Linotype" w:hAnsi="Palatino Linotype"/>
                <w:color w:val="000000"/>
                <w:sz w:val="24"/>
                <w:szCs w:val="24"/>
              </w:rPr>
              <w:t>GT</w:t>
            </w:r>
          </w:p>
        </w:tc>
        <w:tc>
          <w:tcPr>
            <w:tcW w:w="810" w:type="dxa"/>
            <w:shd w:val="clear" w:color="auto" w:fill="FFFFFF" w:themeFill="background1"/>
            <w:hideMark/>
          </w:tcPr>
          <w:p w14:paraId="2133C2E1" w14:textId="77777777" w:rsidR="0076358A" w:rsidRPr="00CD5471" w:rsidRDefault="0076358A" w:rsidP="002B6E34">
            <w:pPr>
              <w:keepNext/>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sz w:val="24"/>
                <w:szCs w:val="24"/>
              </w:rPr>
            </w:pPr>
            <w:r w:rsidRPr="00CD5471">
              <w:rPr>
                <w:rFonts w:ascii="Palatino Linotype" w:hAnsi="Palatino Linotype"/>
                <w:color w:val="000000"/>
                <w:sz w:val="24"/>
                <w:szCs w:val="24"/>
              </w:rPr>
              <w:t>1</w:t>
            </w:r>
          </w:p>
        </w:tc>
        <w:tc>
          <w:tcPr>
            <w:tcW w:w="1715" w:type="dxa"/>
            <w:shd w:val="clear" w:color="auto" w:fill="FFFFFF" w:themeFill="background1"/>
            <w:hideMark/>
          </w:tcPr>
          <w:p w14:paraId="59C7E30A" w14:textId="77777777" w:rsidR="0076358A" w:rsidRPr="00CD5471" w:rsidRDefault="0076358A" w:rsidP="002B6E34">
            <w:pPr>
              <w:keepNext/>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sz w:val="24"/>
                <w:szCs w:val="24"/>
              </w:rPr>
            </w:pPr>
            <w:r w:rsidRPr="00CD5471">
              <w:rPr>
                <w:rFonts w:ascii="Palatino Linotype" w:hAnsi="Palatino Linotype"/>
                <w:color w:val="000000"/>
                <w:sz w:val="24"/>
                <w:szCs w:val="24"/>
              </w:rPr>
              <w:t>Yes</w:t>
            </w:r>
          </w:p>
        </w:tc>
        <w:tc>
          <w:tcPr>
            <w:tcW w:w="1530" w:type="dxa"/>
            <w:shd w:val="clear" w:color="auto" w:fill="FFFFFF" w:themeFill="background1"/>
            <w:noWrap/>
            <w:hideMark/>
          </w:tcPr>
          <w:p w14:paraId="645DE467" w14:textId="77777777" w:rsidR="0076358A" w:rsidRPr="00CD5471" w:rsidRDefault="0076358A" w:rsidP="002B6E34">
            <w:pPr>
              <w:keepNext/>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sz w:val="24"/>
                <w:szCs w:val="24"/>
              </w:rPr>
            </w:pPr>
            <w:r w:rsidRPr="00CD5471">
              <w:rPr>
                <w:rFonts w:ascii="Palatino Linotype" w:hAnsi="Palatino Linotype"/>
                <w:color w:val="000000"/>
                <w:sz w:val="24"/>
                <w:szCs w:val="24"/>
              </w:rPr>
              <w:t>93.37</w:t>
            </w:r>
          </w:p>
        </w:tc>
      </w:tr>
      <w:tr w:rsidR="00032E00" w14:paraId="1CA97634" w14:textId="77777777" w:rsidTr="00032E00">
        <w:trPr>
          <w:trHeight w:val="255"/>
        </w:trPr>
        <w:tc>
          <w:tcPr>
            <w:cnfStyle w:val="001000000000" w:firstRow="0" w:lastRow="0" w:firstColumn="1" w:lastColumn="0" w:oddVBand="0" w:evenVBand="0" w:oddHBand="0" w:evenHBand="0" w:firstRowFirstColumn="0" w:firstRowLastColumn="0" w:lastRowFirstColumn="0" w:lastRowLastColumn="0"/>
            <w:tcW w:w="1289" w:type="dxa"/>
            <w:shd w:val="clear" w:color="auto" w:fill="FFFFFF" w:themeFill="background1"/>
            <w:hideMark/>
          </w:tcPr>
          <w:p w14:paraId="62D797CB" w14:textId="77777777" w:rsidR="0076358A" w:rsidRPr="002E026C" w:rsidRDefault="0076358A" w:rsidP="002B6E34">
            <w:pPr>
              <w:keepNext/>
              <w:rPr>
                <w:rFonts w:ascii="Palatino Linotype" w:hAnsi="Palatino Linotype"/>
                <w:color w:val="000000"/>
                <w:sz w:val="24"/>
                <w:szCs w:val="24"/>
              </w:rPr>
            </w:pPr>
            <w:r w:rsidRPr="00F26848">
              <w:rPr>
                <w:rFonts w:ascii="Palatino Linotype" w:hAnsi="Palatino Linotype"/>
                <w:color w:val="000000"/>
                <w:sz w:val="24"/>
                <w:szCs w:val="24"/>
              </w:rPr>
              <w:t>PG&amp;E</w:t>
            </w:r>
          </w:p>
        </w:tc>
        <w:tc>
          <w:tcPr>
            <w:tcW w:w="3410" w:type="dxa"/>
            <w:shd w:val="clear" w:color="auto" w:fill="FFFFFF" w:themeFill="background1"/>
            <w:noWrap/>
            <w:hideMark/>
          </w:tcPr>
          <w:p w14:paraId="03E72BE8" w14:textId="77777777" w:rsidR="0076358A" w:rsidRPr="00CD5471" w:rsidRDefault="0076358A" w:rsidP="002B6E34">
            <w:pPr>
              <w:keepNext/>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sz w:val="24"/>
                <w:szCs w:val="24"/>
              </w:rPr>
            </w:pPr>
            <w:r w:rsidRPr="00CD5471">
              <w:rPr>
                <w:rFonts w:ascii="Palatino Linotype" w:hAnsi="Palatino Linotype"/>
                <w:color w:val="000000"/>
                <w:sz w:val="24"/>
                <w:szCs w:val="24"/>
              </w:rPr>
              <w:t>Mahal</w:t>
            </w:r>
          </w:p>
        </w:tc>
        <w:tc>
          <w:tcPr>
            <w:tcW w:w="1331" w:type="dxa"/>
            <w:shd w:val="clear" w:color="auto" w:fill="FFFFFF" w:themeFill="background1"/>
            <w:noWrap/>
            <w:hideMark/>
          </w:tcPr>
          <w:p w14:paraId="568C0419" w14:textId="77777777" w:rsidR="0076358A" w:rsidRPr="00CD5471" w:rsidRDefault="0076358A" w:rsidP="002B6E34">
            <w:pPr>
              <w:keepNext/>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sz w:val="24"/>
                <w:szCs w:val="24"/>
              </w:rPr>
            </w:pPr>
            <w:r w:rsidRPr="00CD5471">
              <w:rPr>
                <w:rFonts w:ascii="Palatino Linotype" w:hAnsi="Palatino Linotype"/>
                <w:color w:val="000000"/>
                <w:sz w:val="24"/>
                <w:szCs w:val="24"/>
              </w:rPr>
              <w:t>ECR</w:t>
            </w:r>
          </w:p>
        </w:tc>
        <w:tc>
          <w:tcPr>
            <w:tcW w:w="810" w:type="dxa"/>
            <w:shd w:val="clear" w:color="auto" w:fill="FFFFFF" w:themeFill="background1"/>
            <w:noWrap/>
            <w:hideMark/>
          </w:tcPr>
          <w:p w14:paraId="5486225A" w14:textId="77777777" w:rsidR="0076358A" w:rsidRPr="00CD5471" w:rsidRDefault="0076358A" w:rsidP="002B6E34">
            <w:pPr>
              <w:keepNext/>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sz w:val="24"/>
                <w:szCs w:val="24"/>
              </w:rPr>
            </w:pPr>
            <w:r w:rsidRPr="00CD5471">
              <w:rPr>
                <w:rFonts w:ascii="Palatino Linotype" w:hAnsi="Palatino Linotype"/>
                <w:color w:val="000000"/>
                <w:sz w:val="24"/>
                <w:szCs w:val="24"/>
              </w:rPr>
              <w:t>1.656</w:t>
            </w:r>
          </w:p>
        </w:tc>
        <w:tc>
          <w:tcPr>
            <w:tcW w:w="1715" w:type="dxa"/>
            <w:shd w:val="clear" w:color="auto" w:fill="FFFFFF" w:themeFill="background1"/>
            <w:noWrap/>
            <w:hideMark/>
          </w:tcPr>
          <w:p w14:paraId="38E0A66B" w14:textId="77777777" w:rsidR="0076358A" w:rsidRPr="00CD5471" w:rsidRDefault="0076358A" w:rsidP="002B6E34">
            <w:pPr>
              <w:keepNext/>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sz w:val="24"/>
                <w:szCs w:val="24"/>
              </w:rPr>
            </w:pPr>
            <w:r w:rsidRPr="00CD5471">
              <w:rPr>
                <w:rFonts w:ascii="Palatino Linotype" w:hAnsi="Palatino Linotype"/>
                <w:color w:val="000000"/>
                <w:sz w:val="24"/>
                <w:szCs w:val="24"/>
              </w:rPr>
              <w:t>No</w:t>
            </w:r>
          </w:p>
        </w:tc>
        <w:tc>
          <w:tcPr>
            <w:tcW w:w="1530" w:type="dxa"/>
            <w:shd w:val="clear" w:color="auto" w:fill="FFFFFF" w:themeFill="background1"/>
            <w:noWrap/>
            <w:hideMark/>
          </w:tcPr>
          <w:p w14:paraId="1D5D3AE7" w14:textId="77777777" w:rsidR="0076358A" w:rsidRPr="00CD5471" w:rsidRDefault="0076358A" w:rsidP="002B6E34">
            <w:pPr>
              <w:keepNext/>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sz w:val="24"/>
                <w:szCs w:val="24"/>
              </w:rPr>
            </w:pPr>
            <w:r w:rsidRPr="00CD5471">
              <w:rPr>
                <w:rFonts w:ascii="Palatino Linotype" w:hAnsi="Palatino Linotype"/>
                <w:color w:val="000000"/>
                <w:sz w:val="24"/>
                <w:szCs w:val="24"/>
              </w:rPr>
              <w:t>90.20</w:t>
            </w:r>
          </w:p>
        </w:tc>
      </w:tr>
      <w:tr w:rsidR="00032E00" w14:paraId="71600B63" w14:textId="77777777" w:rsidTr="00032E0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289" w:type="dxa"/>
            <w:shd w:val="clear" w:color="auto" w:fill="FFFFFF" w:themeFill="background1"/>
            <w:hideMark/>
          </w:tcPr>
          <w:p w14:paraId="2C286AE7" w14:textId="77777777" w:rsidR="0076358A" w:rsidRPr="002E026C" w:rsidRDefault="0076358A" w:rsidP="002B6E34">
            <w:pPr>
              <w:keepNext/>
              <w:rPr>
                <w:rFonts w:ascii="Palatino Linotype" w:hAnsi="Palatino Linotype"/>
                <w:color w:val="000000"/>
                <w:sz w:val="24"/>
                <w:szCs w:val="24"/>
              </w:rPr>
            </w:pPr>
            <w:r w:rsidRPr="00F26848">
              <w:rPr>
                <w:rFonts w:ascii="Palatino Linotype" w:hAnsi="Palatino Linotype"/>
                <w:color w:val="000000"/>
                <w:sz w:val="24"/>
                <w:szCs w:val="24"/>
              </w:rPr>
              <w:t>PG&amp;E</w:t>
            </w:r>
          </w:p>
        </w:tc>
        <w:tc>
          <w:tcPr>
            <w:tcW w:w="3410" w:type="dxa"/>
            <w:shd w:val="clear" w:color="auto" w:fill="FFFFFF" w:themeFill="background1"/>
            <w:noWrap/>
            <w:hideMark/>
          </w:tcPr>
          <w:p w14:paraId="2599FABC" w14:textId="77777777" w:rsidR="0076358A" w:rsidRPr="00CD5471" w:rsidRDefault="0076358A" w:rsidP="002B6E34">
            <w:pPr>
              <w:keepNext/>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sz w:val="24"/>
                <w:szCs w:val="24"/>
              </w:rPr>
            </w:pPr>
            <w:r w:rsidRPr="00CD5471">
              <w:rPr>
                <w:rFonts w:ascii="Palatino Linotype" w:hAnsi="Palatino Linotype"/>
                <w:color w:val="000000"/>
                <w:sz w:val="24"/>
                <w:szCs w:val="24"/>
              </w:rPr>
              <w:t>Delano Land 1</w:t>
            </w:r>
          </w:p>
        </w:tc>
        <w:tc>
          <w:tcPr>
            <w:tcW w:w="1331" w:type="dxa"/>
            <w:shd w:val="clear" w:color="auto" w:fill="FFFFFF" w:themeFill="background1"/>
            <w:hideMark/>
          </w:tcPr>
          <w:p w14:paraId="1F34B778" w14:textId="77777777" w:rsidR="0076358A" w:rsidRPr="00CD5471" w:rsidRDefault="0076358A" w:rsidP="002B6E34">
            <w:pPr>
              <w:keepNext/>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sz w:val="24"/>
                <w:szCs w:val="24"/>
              </w:rPr>
            </w:pPr>
            <w:r w:rsidRPr="00CD5471">
              <w:rPr>
                <w:rFonts w:ascii="Palatino Linotype" w:hAnsi="Palatino Linotype"/>
                <w:color w:val="000000"/>
                <w:sz w:val="24"/>
                <w:szCs w:val="24"/>
              </w:rPr>
              <w:t>GT</w:t>
            </w:r>
          </w:p>
        </w:tc>
        <w:tc>
          <w:tcPr>
            <w:tcW w:w="810" w:type="dxa"/>
            <w:shd w:val="clear" w:color="auto" w:fill="FFFFFF" w:themeFill="background1"/>
            <w:hideMark/>
          </w:tcPr>
          <w:p w14:paraId="446F40C6" w14:textId="77777777" w:rsidR="0076358A" w:rsidRPr="00CD5471" w:rsidRDefault="0076358A" w:rsidP="002B6E34">
            <w:pPr>
              <w:keepNext/>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sz w:val="24"/>
                <w:szCs w:val="24"/>
              </w:rPr>
            </w:pPr>
            <w:r w:rsidRPr="00CD5471">
              <w:rPr>
                <w:rFonts w:ascii="Palatino Linotype" w:hAnsi="Palatino Linotype"/>
                <w:color w:val="000000"/>
                <w:sz w:val="24"/>
                <w:szCs w:val="24"/>
              </w:rPr>
              <w:t>1</w:t>
            </w:r>
          </w:p>
        </w:tc>
        <w:tc>
          <w:tcPr>
            <w:tcW w:w="1715" w:type="dxa"/>
            <w:shd w:val="clear" w:color="auto" w:fill="FFFFFF" w:themeFill="background1"/>
            <w:hideMark/>
          </w:tcPr>
          <w:p w14:paraId="7B14BF06" w14:textId="77777777" w:rsidR="0076358A" w:rsidRPr="00CD5471" w:rsidRDefault="0076358A" w:rsidP="002B6E34">
            <w:pPr>
              <w:keepNext/>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sz w:val="24"/>
                <w:szCs w:val="24"/>
              </w:rPr>
            </w:pPr>
            <w:r w:rsidRPr="00CD5471">
              <w:rPr>
                <w:rFonts w:ascii="Palatino Linotype" w:hAnsi="Palatino Linotype"/>
                <w:color w:val="000000"/>
                <w:sz w:val="24"/>
                <w:szCs w:val="24"/>
              </w:rPr>
              <w:t>Yes</w:t>
            </w:r>
          </w:p>
        </w:tc>
        <w:tc>
          <w:tcPr>
            <w:tcW w:w="1530" w:type="dxa"/>
            <w:shd w:val="clear" w:color="auto" w:fill="FFFFFF" w:themeFill="background1"/>
            <w:noWrap/>
            <w:hideMark/>
          </w:tcPr>
          <w:p w14:paraId="65F133E0" w14:textId="77777777" w:rsidR="0076358A" w:rsidRPr="00CD5471" w:rsidRDefault="0076358A" w:rsidP="002B6E34">
            <w:pPr>
              <w:keepNext/>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sz w:val="24"/>
                <w:szCs w:val="24"/>
              </w:rPr>
            </w:pPr>
            <w:r w:rsidRPr="00CD5471">
              <w:rPr>
                <w:rFonts w:ascii="Palatino Linotype" w:hAnsi="Palatino Linotype"/>
                <w:color w:val="000000"/>
                <w:sz w:val="24"/>
                <w:szCs w:val="24"/>
              </w:rPr>
              <w:t>87.41</w:t>
            </w:r>
          </w:p>
        </w:tc>
      </w:tr>
      <w:tr w:rsidR="00032E00" w14:paraId="426D80F8" w14:textId="77777777" w:rsidTr="00032E00">
        <w:trPr>
          <w:trHeight w:val="510"/>
        </w:trPr>
        <w:tc>
          <w:tcPr>
            <w:cnfStyle w:val="001000000000" w:firstRow="0" w:lastRow="0" w:firstColumn="1" w:lastColumn="0" w:oddVBand="0" w:evenVBand="0" w:oddHBand="0" w:evenHBand="0" w:firstRowFirstColumn="0" w:firstRowLastColumn="0" w:lastRowFirstColumn="0" w:lastRowLastColumn="0"/>
            <w:tcW w:w="1289" w:type="dxa"/>
            <w:shd w:val="clear" w:color="auto" w:fill="FFFFFF" w:themeFill="background1"/>
            <w:hideMark/>
          </w:tcPr>
          <w:p w14:paraId="0CA1CE34" w14:textId="77777777" w:rsidR="0076358A" w:rsidRPr="002E026C" w:rsidRDefault="0076358A" w:rsidP="002B6E34">
            <w:pPr>
              <w:keepNext/>
              <w:rPr>
                <w:rFonts w:ascii="Palatino Linotype" w:hAnsi="Palatino Linotype"/>
                <w:color w:val="000000"/>
                <w:sz w:val="24"/>
                <w:szCs w:val="24"/>
              </w:rPr>
            </w:pPr>
            <w:r w:rsidRPr="00F26848">
              <w:rPr>
                <w:rFonts w:ascii="Palatino Linotype" w:hAnsi="Palatino Linotype"/>
                <w:color w:val="000000"/>
                <w:sz w:val="24"/>
                <w:szCs w:val="24"/>
              </w:rPr>
              <w:t>PG&amp;E</w:t>
            </w:r>
          </w:p>
        </w:tc>
        <w:tc>
          <w:tcPr>
            <w:tcW w:w="3410" w:type="dxa"/>
            <w:shd w:val="clear" w:color="auto" w:fill="FFFFFF" w:themeFill="background1"/>
            <w:hideMark/>
          </w:tcPr>
          <w:p w14:paraId="36705079" w14:textId="77777777" w:rsidR="0076358A" w:rsidRPr="00CD5471" w:rsidRDefault="0076358A" w:rsidP="002B6E34">
            <w:pPr>
              <w:keepNext/>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sz w:val="24"/>
                <w:szCs w:val="24"/>
              </w:rPr>
            </w:pPr>
            <w:r w:rsidRPr="00CD5471">
              <w:rPr>
                <w:rFonts w:ascii="Palatino Linotype" w:hAnsi="Palatino Linotype"/>
                <w:color w:val="000000"/>
                <w:sz w:val="24"/>
                <w:szCs w:val="24"/>
              </w:rPr>
              <w:t>GASNA 36P, LLC ("San Joaquin 1B FIT")</w:t>
            </w:r>
          </w:p>
        </w:tc>
        <w:tc>
          <w:tcPr>
            <w:tcW w:w="1331" w:type="dxa"/>
            <w:shd w:val="clear" w:color="auto" w:fill="FFFFFF" w:themeFill="background1"/>
            <w:hideMark/>
          </w:tcPr>
          <w:p w14:paraId="0DCBF28C" w14:textId="77777777" w:rsidR="0076358A" w:rsidRPr="00CD5471" w:rsidRDefault="0076358A" w:rsidP="002B6E34">
            <w:pPr>
              <w:keepNext/>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sz w:val="24"/>
                <w:szCs w:val="24"/>
              </w:rPr>
            </w:pPr>
            <w:r w:rsidRPr="00CD5471">
              <w:rPr>
                <w:rFonts w:ascii="Palatino Linotype" w:hAnsi="Palatino Linotype"/>
                <w:color w:val="000000"/>
                <w:sz w:val="24"/>
                <w:szCs w:val="24"/>
              </w:rPr>
              <w:t>GT</w:t>
            </w:r>
          </w:p>
        </w:tc>
        <w:tc>
          <w:tcPr>
            <w:tcW w:w="810" w:type="dxa"/>
            <w:shd w:val="clear" w:color="auto" w:fill="FFFFFF" w:themeFill="background1"/>
            <w:hideMark/>
          </w:tcPr>
          <w:p w14:paraId="6424AE5D" w14:textId="77777777" w:rsidR="0076358A" w:rsidRPr="00CD5471" w:rsidRDefault="0076358A" w:rsidP="002B6E34">
            <w:pPr>
              <w:keepNext/>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sz w:val="24"/>
                <w:szCs w:val="24"/>
              </w:rPr>
            </w:pPr>
            <w:r w:rsidRPr="00CD5471">
              <w:rPr>
                <w:rFonts w:ascii="Palatino Linotype" w:hAnsi="Palatino Linotype"/>
                <w:color w:val="000000"/>
                <w:sz w:val="24"/>
                <w:szCs w:val="24"/>
              </w:rPr>
              <w:t>1.5</w:t>
            </w:r>
          </w:p>
        </w:tc>
        <w:tc>
          <w:tcPr>
            <w:tcW w:w="1715" w:type="dxa"/>
            <w:shd w:val="clear" w:color="auto" w:fill="FFFFFF" w:themeFill="background1"/>
            <w:hideMark/>
          </w:tcPr>
          <w:p w14:paraId="6E4206E4" w14:textId="77777777" w:rsidR="0076358A" w:rsidRPr="00CD5471" w:rsidRDefault="0076358A" w:rsidP="002B6E34">
            <w:pPr>
              <w:keepNext/>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sz w:val="24"/>
                <w:szCs w:val="24"/>
              </w:rPr>
            </w:pPr>
            <w:r w:rsidRPr="00CD5471">
              <w:rPr>
                <w:rFonts w:ascii="Palatino Linotype" w:hAnsi="Palatino Linotype"/>
                <w:color w:val="000000"/>
                <w:sz w:val="24"/>
                <w:szCs w:val="24"/>
              </w:rPr>
              <w:t>No</w:t>
            </w:r>
          </w:p>
        </w:tc>
        <w:tc>
          <w:tcPr>
            <w:tcW w:w="1530" w:type="dxa"/>
            <w:shd w:val="clear" w:color="auto" w:fill="FFFFFF" w:themeFill="background1"/>
            <w:noWrap/>
            <w:hideMark/>
          </w:tcPr>
          <w:p w14:paraId="760F4240" w14:textId="77777777" w:rsidR="0076358A" w:rsidRPr="00CD5471" w:rsidRDefault="0076358A" w:rsidP="002B6E34">
            <w:pPr>
              <w:keepNext/>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sz w:val="24"/>
                <w:szCs w:val="24"/>
              </w:rPr>
            </w:pPr>
            <w:r w:rsidRPr="00CD5471">
              <w:rPr>
                <w:rFonts w:ascii="Palatino Linotype" w:hAnsi="Palatino Linotype"/>
                <w:color w:val="000000"/>
                <w:sz w:val="24"/>
                <w:szCs w:val="24"/>
              </w:rPr>
              <w:t>86.92</w:t>
            </w:r>
          </w:p>
        </w:tc>
      </w:tr>
      <w:tr w:rsidR="00032E00" w14:paraId="71ADBBBA" w14:textId="77777777" w:rsidTr="00032E00">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289" w:type="dxa"/>
            <w:shd w:val="clear" w:color="auto" w:fill="FFFFFF" w:themeFill="background1"/>
            <w:hideMark/>
          </w:tcPr>
          <w:p w14:paraId="7DF97D56" w14:textId="77777777" w:rsidR="0076358A" w:rsidRPr="002E026C" w:rsidRDefault="0076358A" w:rsidP="002B6E34">
            <w:pPr>
              <w:keepNext/>
              <w:rPr>
                <w:rFonts w:ascii="Palatino Linotype" w:hAnsi="Palatino Linotype"/>
                <w:color w:val="000000"/>
                <w:sz w:val="24"/>
                <w:szCs w:val="24"/>
              </w:rPr>
            </w:pPr>
            <w:r w:rsidRPr="00F26848">
              <w:rPr>
                <w:rFonts w:ascii="Palatino Linotype" w:hAnsi="Palatino Linotype"/>
                <w:color w:val="000000"/>
                <w:sz w:val="24"/>
                <w:szCs w:val="24"/>
              </w:rPr>
              <w:t>SDG&amp;E</w:t>
            </w:r>
          </w:p>
        </w:tc>
        <w:tc>
          <w:tcPr>
            <w:tcW w:w="3410" w:type="dxa"/>
            <w:shd w:val="clear" w:color="auto" w:fill="FFFFFF" w:themeFill="background1"/>
            <w:hideMark/>
          </w:tcPr>
          <w:p w14:paraId="674A44E0" w14:textId="77777777" w:rsidR="0076358A" w:rsidRPr="00CD5471" w:rsidRDefault="0076358A" w:rsidP="002B6E34">
            <w:pPr>
              <w:keepNext/>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sz w:val="24"/>
                <w:szCs w:val="24"/>
              </w:rPr>
            </w:pPr>
            <w:r w:rsidRPr="00CD5471">
              <w:rPr>
                <w:rFonts w:ascii="Palatino Linotype" w:hAnsi="Palatino Linotype"/>
                <w:color w:val="000000"/>
                <w:sz w:val="24"/>
                <w:szCs w:val="24"/>
              </w:rPr>
              <w:t>97WI 8ME LLC (Midway Solar Farm III)</w:t>
            </w:r>
          </w:p>
        </w:tc>
        <w:tc>
          <w:tcPr>
            <w:tcW w:w="1331" w:type="dxa"/>
            <w:shd w:val="clear" w:color="auto" w:fill="FFFFFF" w:themeFill="background1"/>
            <w:hideMark/>
          </w:tcPr>
          <w:p w14:paraId="2741304D" w14:textId="77777777" w:rsidR="0076358A" w:rsidRPr="00CD5471" w:rsidRDefault="0076358A" w:rsidP="002B6E34">
            <w:pPr>
              <w:keepNext/>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sz w:val="24"/>
                <w:szCs w:val="24"/>
              </w:rPr>
            </w:pPr>
            <w:r w:rsidRPr="00CD5471">
              <w:rPr>
                <w:rFonts w:ascii="Palatino Linotype" w:hAnsi="Palatino Linotype"/>
                <w:color w:val="000000"/>
                <w:sz w:val="24"/>
                <w:szCs w:val="24"/>
              </w:rPr>
              <w:t>GT</w:t>
            </w:r>
          </w:p>
        </w:tc>
        <w:tc>
          <w:tcPr>
            <w:tcW w:w="810" w:type="dxa"/>
            <w:shd w:val="clear" w:color="auto" w:fill="FFFFFF" w:themeFill="background1"/>
            <w:hideMark/>
          </w:tcPr>
          <w:p w14:paraId="0AE6B52B" w14:textId="77777777" w:rsidR="0076358A" w:rsidRPr="00CD5471" w:rsidRDefault="0076358A" w:rsidP="002B6E34">
            <w:pPr>
              <w:keepNext/>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sz w:val="24"/>
                <w:szCs w:val="24"/>
              </w:rPr>
            </w:pPr>
            <w:r w:rsidRPr="00CD5471">
              <w:rPr>
                <w:rFonts w:ascii="Palatino Linotype" w:hAnsi="Palatino Linotype"/>
                <w:color w:val="000000"/>
                <w:sz w:val="24"/>
                <w:szCs w:val="24"/>
              </w:rPr>
              <w:t>20</w:t>
            </w:r>
          </w:p>
        </w:tc>
        <w:tc>
          <w:tcPr>
            <w:tcW w:w="1715" w:type="dxa"/>
            <w:shd w:val="clear" w:color="auto" w:fill="FFFFFF" w:themeFill="background1"/>
            <w:hideMark/>
          </w:tcPr>
          <w:p w14:paraId="4FC0F921" w14:textId="77777777" w:rsidR="0076358A" w:rsidRPr="00CD5471" w:rsidRDefault="0076358A" w:rsidP="002B6E34">
            <w:pPr>
              <w:keepNext/>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sz w:val="24"/>
                <w:szCs w:val="24"/>
              </w:rPr>
            </w:pPr>
            <w:r w:rsidRPr="00CD5471">
              <w:rPr>
                <w:rFonts w:ascii="Palatino Linotype" w:hAnsi="Palatino Linotype"/>
                <w:color w:val="000000"/>
                <w:sz w:val="24"/>
                <w:szCs w:val="24"/>
              </w:rPr>
              <w:t>No</w:t>
            </w:r>
          </w:p>
        </w:tc>
        <w:tc>
          <w:tcPr>
            <w:tcW w:w="1530" w:type="dxa"/>
            <w:shd w:val="clear" w:color="auto" w:fill="FFFFFF" w:themeFill="background1"/>
            <w:hideMark/>
          </w:tcPr>
          <w:p w14:paraId="39223DE8" w14:textId="77777777" w:rsidR="0076358A" w:rsidRPr="00CD5471" w:rsidRDefault="0076358A" w:rsidP="002B6E34">
            <w:pPr>
              <w:keepNext/>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sz w:val="24"/>
                <w:szCs w:val="24"/>
              </w:rPr>
            </w:pPr>
            <w:r w:rsidRPr="00CD5471">
              <w:rPr>
                <w:rFonts w:ascii="Palatino Linotype" w:hAnsi="Palatino Linotype"/>
                <w:color w:val="000000"/>
                <w:sz w:val="24"/>
                <w:szCs w:val="24"/>
              </w:rPr>
              <w:t>82.08</w:t>
            </w:r>
          </w:p>
        </w:tc>
      </w:tr>
      <w:tr w:rsidR="00032E00" w14:paraId="41E85757" w14:textId="77777777" w:rsidTr="00032E00">
        <w:trPr>
          <w:trHeight w:val="255"/>
        </w:trPr>
        <w:tc>
          <w:tcPr>
            <w:cnfStyle w:val="001000000000" w:firstRow="0" w:lastRow="0" w:firstColumn="1" w:lastColumn="0" w:oddVBand="0" w:evenVBand="0" w:oddHBand="0" w:evenHBand="0" w:firstRowFirstColumn="0" w:firstRowLastColumn="0" w:lastRowFirstColumn="0" w:lastRowLastColumn="0"/>
            <w:tcW w:w="1289" w:type="dxa"/>
            <w:shd w:val="clear" w:color="auto" w:fill="FFFFFF" w:themeFill="background1"/>
            <w:hideMark/>
          </w:tcPr>
          <w:p w14:paraId="3107D598" w14:textId="77777777" w:rsidR="0076358A" w:rsidRPr="002E026C" w:rsidRDefault="0076358A" w:rsidP="002B6E34">
            <w:pPr>
              <w:keepNext/>
              <w:rPr>
                <w:rFonts w:ascii="Palatino Linotype" w:hAnsi="Palatino Linotype"/>
                <w:color w:val="000000"/>
                <w:sz w:val="24"/>
                <w:szCs w:val="24"/>
              </w:rPr>
            </w:pPr>
            <w:r w:rsidRPr="00F26848">
              <w:rPr>
                <w:rFonts w:ascii="Palatino Linotype" w:hAnsi="Palatino Linotype"/>
                <w:color w:val="000000"/>
                <w:sz w:val="24"/>
                <w:szCs w:val="24"/>
              </w:rPr>
              <w:t>PG&amp;E</w:t>
            </w:r>
          </w:p>
        </w:tc>
        <w:tc>
          <w:tcPr>
            <w:tcW w:w="3410" w:type="dxa"/>
            <w:shd w:val="clear" w:color="auto" w:fill="FFFFFF" w:themeFill="background1"/>
            <w:noWrap/>
            <w:hideMark/>
          </w:tcPr>
          <w:p w14:paraId="1499E7FC" w14:textId="77777777" w:rsidR="0076358A" w:rsidRPr="00CD5471" w:rsidRDefault="0076358A" w:rsidP="002B6E34">
            <w:pPr>
              <w:keepNext/>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sz w:val="24"/>
                <w:szCs w:val="24"/>
              </w:rPr>
            </w:pPr>
            <w:r w:rsidRPr="00CD5471">
              <w:rPr>
                <w:rFonts w:ascii="Palatino Linotype" w:hAnsi="Palatino Linotype"/>
                <w:color w:val="000000"/>
                <w:sz w:val="24"/>
                <w:szCs w:val="24"/>
              </w:rPr>
              <w:t>54KR</w:t>
            </w:r>
          </w:p>
        </w:tc>
        <w:tc>
          <w:tcPr>
            <w:tcW w:w="1331" w:type="dxa"/>
            <w:shd w:val="clear" w:color="auto" w:fill="FFFFFF" w:themeFill="background1"/>
            <w:hideMark/>
          </w:tcPr>
          <w:p w14:paraId="6F657820" w14:textId="77777777" w:rsidR="0076358A" w:rsidRPr="00CD5471" w:rsidRDefault="0076358A" w:rsidP="002B6E34">
            <w:pPr>
              <w:keepNext/>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sz w:val="24"/>
                <w:szCs w:val="24"/>
              </w:rPr>
            </w:pPr>
            <w:r w:rsidRPr="00CD5471">
              <w:rPr>
                <w:rFonts w:ascii="Palatino Linotype" w:hAnsi="Palatino Linotype"/>
                <w:color w:val="000000"/>
                <w:sz w:val="24"/>
                <w:szCs w:val="24"/>
              </w:rPr>
              <w:t>GT</w:t>
            </w:r>
          </w:p>
        </w:tc>
        <w:tc>
          <w:tcPr>
            <w:tcW w:w="810" w:type="dxa"/>
            <w:shd w:val="clear" w:color="auto" w:fill="FFFFFF" w:themeFill="background1"/>
            <w:hideMark/>
          </w:tcPr>
          <w:p w14:paraId="22BE4BB4" w14:textId="77777777" w:rsidR="0076358A" w:rsidRPr="00CD5471" w:rsidRDefault="0076358A" w:rsidP="002B6E34">
            <w:pPr>
              <w:keepNext/>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sz w:val="24"/>
                <w:szCs w:val="24"/>
              </w:rPr>
            </w:pPr>
            <w:r w:rsidRPr="00CD5471">
              <w:rPr>
                <w:rFonts w:ascii="Palatino Linotype" w:hAnsi="Palatino Linotype"/>
                <w:color w:val="000000"/>
                <w:sz w:val="24"/>
                <w:szCs w:val="24"/>
              </w:rPr>
              <w:t>20</w:t>
            </w:r>
          </w:p>
        </w:tc>
        <w:tc>
          <w:tcPr>
            <w:tcW w:w="1715" w:type="dxa"/>
            <w:shd w:val="clear" w:color="auto" w:fill="FFFFFF" w:themeFill="background1"/>
            <w:noWrap/>
            <w:hideMark/>
          </w:tcPr>
          <w:p w14:paraId="796AF767" w14:textId="77777777" w:rsidR="0076358A" w:rsidRPr="00CD5471" w:rsidRDefault="0076358A" w:rsidP="002B6E34">
            <w:pPr>
              <w:keepNext/>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sz w:val="24"/>
                <w:szCs w:val="24"/>
              </w:rPr>
            </w:pPr>
            <w:r w:rsidRPr="00CD5471">
              <w:rPr>
                <w:rFonts w:ascii="Palatino Linotype" w:hAnsi="Palatino Linotype"/>
                <w:color w:val="000000"/>
                <w:sz w:val="24"/>
                <w:szCs w:val="24"/>
              </w:rPr>
              <w:t>No</w:t>
            </w:r>
          </w:p>
        </w:tc>
        <w:tc>
          <w:tcPr>
            <w:tcW w:w="1530" w:type="dxa"/>
            <w:shd w:val="clear" w:color="auto" w:fill="FFFFFF" w:themeFill="background1"/>
            <w:noWrap/>
            <w:hideMark/>
          </w:tcPr>
          <w:p w14:paraId="17A22168" w14:textId="77777777" w:rsidR="0076358A" w:rsidRPr="00CD5471" w:rsidRDefault="0076358A" w:rsidP="002B6E34">
            <w:pPr>
              <w:keepNext/>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sz w:val="24"/>
                <w:szCs w:val="24"/>
              </w:rPr>
            </w:pPr>
            <w:r w:rsidRPr="00CD5471">
              <w:rPr>
                <w:rFonts w:ascii="Palatino Linotype" w:hAnsi="Palatino Linotype"/>
                <w:color w:val="000000"/>
                <w:sz w:val="24"/>
                <w:szCs w:val="24"/>
              </w:rPr>
              <w:t>78.95</w:t>
            </w:r>
          </w:p>
        </w:tc>
      </w:tr>
      <w:tr w:rsidR="00032E00" w14:paraId="7CA2515C" w14:textId="77777777" w:rsidTr="00032E00">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289" w:type="dxa"/>
            <w:shd w:val="clear" w:color="auto" w:fill="FFFFFF" w:themeFill="background1"/>
            <w:hideMark/>
          </w:tcPr>
          <w:p w14:paraId="096B862A" w14:textId="77777777" w:rsidR="0076358A" w:rsidRPr="002E026C" w:rsidRDefault="0076358A" w:rsidP="002B6E34">
            <w:pPr>
              <w:keepNext/>
              <w:rPr>
                <w:rFonts w:ascii="Palatino Linotype" w:hAnsi="Palatino Linotype"/>
                <w:color w:val="000000"/>
                <w:sz w:val="24"/>
                <w:szCs w:val="24"/>
              </w:rPr>
            </w:pPr>
            <w:r w:rsidRPr="00F26848">
              <w:rPr>
                <w:rFonts w:ascii="Palatino Linotype" w:hAnsi="Palatino Linotype"/>
                <w:color w:val="000000"/>
                <w:sz w:val="24"/>
                <w:szCs w:val="24"/>
              </w:rPr>
              <w:t>SDG&amp;E</w:t>
            </w:r>
          </w:p>
        </w:tc>
        <w:tc>
          <w:tcPr>
            <w:tcW w:w="3410" w:type="dxa"/>
            <w:shd w:val="clear" w:color="auto" w:fill="FFFFFF" w:themeFill="background1"/>
            <w:hideMark/>
          </w:tcPr>
          <w:p w14:paraId="7D06BFC3" w14:textId="77777777" w:rsidR="0076358A" w:rsidRPr="00CD5471" w:rsidRDefault="0076358A" w:rsidP="002B6E34">
            <w:pPr>
              <w:keepNext/>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sz w:val="24"/>
                <w:szCs w:val="24"/>
              </w:rPr>
            </w:pPr>
            <w:r w:rsidRPr="00CD5471">
              <w:rPr>
                <w:rFonts w:ascii="Palatino Linotype" w:hAnsi="Palatino Linotype"/>
                <w:color w:val="000000"/>
                <w:sz w:val="24"/>
                <w:szCs w:val="24"/>
              </w:rPr>
              <w:t>FFP CA Community Solar, LLC (Cameron SB43)</w:t>
            </w:r>
          </w:p>
        </w:tc>
        <w:tc>
          <w:tcPr>
            <w:tcW w:w="1331" w:type="dxa"/>
            <w:shd w:val="clear" w:color="auto" w:fill="FFFFFF" w:themeFill="background1"/>
            <w:hideMark/>
          </w:tcPr>
          <w:p w14:paraId="06F79920" w14:textId="77777777" w:rsidR="0076358A" w:rsidRPr="00CD5471" w:rsidRDefault="0076358A" w:rsidP="002B6E34">
            <w:pPr>
              <w:keepNext/>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sz w:val="24"/>
                <w:szCs w:val="24"/>
              </w:rPr>
            </w:pPr>
            <w:r w:rsidRPr="00CD5471">
              <w:rPr>
                <w:rFonts w:ascii="Palatino Linotype" w:hAnsi="Palatino Linotype"/>
                <w:color w:val="000000"/>
                <w:sz w:val="24"/>
                <w:szCs w:val="24"/>
              </w:rPr>
              <w:t>ECR</w:t>
            </w:r>
          </w:p>
        </w:tc>
        <w:tc>
          <w:tcPr>
            <w:tcW w:w="810" w:type="dxa"/>
            <w:shd w:val="clear" w:color="auto" w:fill="FFFFFF" w:themeFill="background1"/>
            <w:hideMark/>
          </w:tcPr>
          <w:p w14:paraId="63BA08B6" w14:textId="77777777" w:rsidR="0076358A" w:rsidRPr="00CD5471" w:rsidRDefault="0076358A" w:rsidP="002B6E34">
            <w:pPr>
              <w:keepNext/>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sz w:val="24"/>
                <w:szCs w:val="24"/>
              </w:rPr>
            </w:pPr>
            <w:r w:rsidRPr="00CD5471">
              <w:rPr>
                <w:rFonts w:ascii="Palatino Linotype" w:hAnsi="Palatino Linotype"/>
                <w:color w:val="000000"/>
                <w:sz w:val="24"/>
                <w:szCs w:val="24"/>
              </w:rPr>
              <w:t>2.4</w:t>
            </w:r>
          </w:p>
        </w:tc>
        <w:tc>
          <w:tcPr>
            <w:tcW w:w="1715" w:type="dxa"/>
            <w:shd w:val="clear" w:color="auto" w:fill="FFFFFF" w:themeFill="background1"/>
            <w:hideMark/>
          </w:tcPr>
          <w:p w14:paraId="72ED0EC6" w14:textId="77777777" w:rsidR="0076358A" w:rsidRPr="00CD5471" w:rsidRDefault="0076358A" w:rsidP="002B6E34">
            <w:pPr>
              <w:keepNext/>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sz w:val="24"/>
                <w:szCs w:val="24"/>
              </w:rPr>
            </w:pPr>
            <w:r w:rsidRPr="00CD5471">
              <w:rPr>
                <w:rFonts w:ascii="Palatino Linotype" w:hAnsi="Palatino Linotype"/>
                <w:color w:val="000000"/>
                <w:sz w:val="24"/>
                <w:szCs w:val="24"/>
              </w:rPr>
              <w:t xml:space="preserve">No </w:t>
            </w:r>
          </w:p>
        </w:tc>
        <w:tc>
          <w:tcPr>
            <w:tcW w:w="1530" w:type="dxa"/>
            <w:shd w:val="clear" w:color="auto" w:fill="FFFFFF" w:themeFill="background1"/>
            <w:noWrap/>
            <w:hideMark/>
          </w:tcPr>
          <w:p w14:paraId="0B5CA7E9" w14:textId="77777777" w:rsidR="0076358A" w:rsidRPr="00CD5471" w:rsidRDefault="0076358A" w:rsidP="002B6E34">
            <w:pPr>
              <w:keepNext/>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sz w:val="24"/>
                <w:szCs w:val="24"/>
              </w:rPr>
            </w:pPr>
            <w:r w:rsidRPr="00CD5471">
              <w:rPr>
                <w:rFonts w:ascii="Palatino Linotype" w:hAnsi="Palatino Linotype"/>
                <w:color w:val="000000"/>
                <w:sz w:val="24"/>
                <w:szCs w:val="24"/>
              </w:rPr>
              <w:t>55.4</w:t>
            </w:r>
          </w:p>
        </w:tc>
      </w:tr>
      <w:tr w:rsidR="00032E00" w14:paraId="75ADE2DB" w14:textId="77777777" w:rsidTr="00032E00">
        <w:trPr>
          <w:trHeight w:val="255"/>
        </w:trPr>
        <w:tc>
          <w:tcPr>
            <w:cnfStyle w:val="001000000000" w:firstRow="0" w:lastRow="0" w:firstColumn="1" w:lastColumn="0" w:oddVBand="0" w:evenVBand="0" w:oddHBand="0" w:evenHBand="0" w:firstRowFirstColumn="0" w:firstRowLastColumn="0" w:lastRowFirstColumn="0" w:lastRowLastColumn="0"/>
            <w:tcW w:w="1289" w:type="dxa"/>
            <w:shd w:val="clear" w:color="auto" w:fill="FFFFFF" w:themeFill="background1"/>
            <w:noWrap/>
            <w:hideMark/>
          </w:tcPr>
          <w:p w14:paraId="7A182DB4" w14:textId="77777777" w:rsidR="0076358A" w:rsidRPr="002E026C" w:rsidRDefault="0076358A" w:rsidP="002B6E34">
            <w:pPr>
              <w:keepNext/>
              <w:rPr>
                <w:rFonts w:ascii="Palatino Linotype" w:hAnsi="Palatino Linotype"/>
                <w:color w:val="000000"/>
                <w:sz w:val="24"/>
                <w:szCs w:val="24"/>
              </w:rPr>
            </w:pPr>
            <w:r w:rsidRPr="00F26848">
              <w:rPr>
                <w:rFonts w:ascii="Palatino Linotype" w:hAnsi="Palatino Linotype"/>
                <w:color w:val="000000"/>
                <w:sz w:val="24"/>
                <w:szCs w:val="24"/>
              </w:rPr>
              <w:t>SCE</w:t>
            </w:r>
          </w:p>
        </w:tc>
        <w:tc>
          <w:tcPr>
            <w:tcW w:w="3410" w:type="dxa"/>
            <w:shd w:val="clear" w:color="auto" w:fill="FFFFFF" w:themeFill="background1"/>
            <w:noWrap/>
            <w:hideMark/>
          </w:tcPr>
          <w:p w14:paraId="0C9E5931" w14:textId="77777777" w:rsidR="0076358A" w:rsidRPr="00CD5471" w:rsidRDefault="0076358A" w:rsidP="002B6E34">
            <w:pPr>
              <w:keepNext/>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sz w:val="24"/>
                <w:szCs w:val="24"/>
              </w:rPr>
            </w:pPr>
            <w:r w:rsidRPr="00CD5471">
              <w:rPr>
                <w:rFonts w:ascii="Palatino Linotype" w:hAnsi="Palatino Linotype"/>
                <w:color w:val="000000"/>
                <w:sz w:val="24"/>
                <w:szCs w:val="24"/>
              </w:rPr>
              <w:t>Antelope DSR 3, LLC</w:t>
            </w:r>
          </w:p>
        </w:tc>
        <w:tc>
          <w:tcPr>
            <w:tcW w:w="1331" w:type="dxa"/>
            <w:shd w:val="clear" w:color="auto" w:fill="FFFFFF" w:themeFill="background1"/>
            <w:noWrap/>
            <w:hideMark/>
          </w:tcPr>
          <w:p w14:paraId="31D05796" w14:textId="77777777" w:rsidR="0076358A" w:rsidRPr="00CD5471" w:rsidRDefault="0076358A" w:rsidP="002B6E34">
            <w:pPr>
              <w:keepNext/>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sz w:val="24"/>
                <w:szCs w:val="24"/>
              </w:rPr>
            </w:pPr>
            <w:r w:rsidRPr="00CD5471">
              <w:rPr>
                <w:rFonts w:ascii="Palatino Linotype" w:hAnsi="Palatino Linotype"/>
                <w:color w:val="000000"/>
                <w:sz w:val="24"/>
                <w:szCs w:val="24"/>
              </w:rPr>
              <w:t>GT</w:t>
            </w:r>
          </w:p>
        </w:tc>
        <w:tc>
          <w:tcPr>
            <w:tcW w:w="810" w:type="dxa"/>
            <w:shd w:val="clear" w:color="auto" w:fill="FFFFFF" w:themeFill="background1"/>
            <w:noWrap/>
            <w:hideMark/>
          </w:tcPr>
          <w:p w14:paraId="20BCE478" w14:textId="77777777" w:rsidR="0076358A" w:rsidRPr="00CD5471" w:rsidRDefault="0076358A" w:rsidP="002B6E34">
            <w:pPr>
              <w:keepNext/>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sz w:val="24"/>
                <w:szCs w:val="24"/>
              </w:rPr>
            </w:pPr>
            <w:r w:rsidRPr="00CD5471">
              <w:rPr>
                <w:rFonts w:ascii="Palatino Linotype" w:hAnsi="Palatino Linotype"/>
                <w:color w:val="000000"/>
                <w:sz w:val="24"/>
                <w:szCs w:val="24"/>
              </w:rPr>
              <w:t>20</w:t>
            </w:r>
          </w:p>
        </w:tc>
        <w:tc>
          <w:tcPr>
            <w:tcW w:w="1715" w:type="dxa"/>
            <w:shd w:val="clear" w:color="auto" w:fill="FFFFFF" w:themeFill="background1"/>
            <w:noWrap/>
            <w:hideMark/>
          </w:tcPr>
          <w:p w14:paraId="0995944F" w14:textId="77777777" w:rsidR="0076358A" w:rsidRPr="00CD5471" w:rsidRDefault="0076358A" w:rsidP="002B6E34">
            <w:pPr>
              <w:keepNext/>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sz w:val="24"/>
                <w:szCs w:val="24"/>
              </w:rPr>
            </w:pPr>
            <w:r w:rsidRPr="00CD5471">
              <w:rPr>
                <w:rFonts w:ascii="Palatino Linotype" w:hAnsi="Palatino Linotype"/>
                <w:color w:val="000000"/>
                <w:sz w:val="24"/>
                <w:szCs w:val="24"/>
              </w:rPr>
              <w:t>No</w:t>
            </w:r>
          </w:p>
        </w:tc>
        <w:tc>
          <w:tcPr>
            <w:tcW w:w="1530" w:type="dxa"/>
            <w:shd w:val="clear" w:color="auto" w:fill="FFFFFF" w:themeFill="background1"/>
            <w:noWrap/>
            <w:hideMark/>
          </w:tcPr>
          <w:p w14:paraId="4A673D77" w14:textId="77777777" w:rsidR="0076358A" w:rsidRPr="00CD5471" w:rsidRDefault="0076358A" w:rsidP="002B6E34">
            <w:pPr>
              <w:keepNext/>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sz w:val="24"/>
                <w:szCs w:val="24"/>
              </w:rPr>
            </w:pPr>
            <w:r w:rsidRPr="00CD5471">
              <w:rPr>
                <w:rFonts w:ascii="Palatino Linotype" w:hAnsi="Palatino Linotype"/>
                <w:color w:val="000000"/>
                <w:sz w:val="24"/>
                <w:szCs w:val="24"/>
              </w:rPr>
              <w:t>64.43</w:t>
            </w:r>
          </w:p>
        </w:tc>
      </w:tr>
      <w:tr w:rsidR="00032E00" w14:paraId="5B7E3F9F" w14:textId="77777777" w:rsidTr="00032E0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289" w:type="dxa"/>
            <w:shd w:val="clear" w:color="auto" w:fill="FFFFFF" w:themeFill="background1"/>
            <w:noWrap/>
            <w:hideMark/>
          </w:tcPr>
          <w:p w14:paraId="2AE4E997" w14:textId="77777777" w:rsidR="0076358A" w:rsidRPr="002E026C" w:rsidRDefault="0076358A" w:rsidP="002B6E34">
            <w:pPr>
              <w:keepNext/>
              <w:rPr>
                <w:rFonts w:ascii="Palatino Linotype" w:hAnsi="Palatino Linotype"/>
                <w:color w:val="000000"/>
                <w:sz w:val="24"/>
                <w:szCs w:val="24"/>
              </w:rPr>
            </w:pPr>
            <w:r w:rsidRPr="00F26848">
              <w:rPr>
                <w:rFonts w:ascii="Palatino Linotype" w:hAnsi="Palatino Linotype"/>
                <w:color w:val="000000"/>
                <w:sz w:val="24"/>
                <w:szCs w:val="24"/>
              </w:rPr>
              <w:t>SCE</w:t>
            </w:r>
          </w:p>
        </w:tc>
        <w:tc>
          <w:tcPr>
            <w:tcW w:w="3410" w:type="dxa"/>
            <w:shd w:val="clear" w:color="auto" w:fill="FFFFFF" w:themeFill="background1"/>
            <w:noWrap/>
            <w:hideMark/>
          </w:tcPr>
          <w:p w14:paraId="2AE20D6A" w14:textId="77777777" w:rsidR="0076358A" w:rsidRPr="00CD5471" w:rsidRDefault="0076358A" w:rsidP="002B6E34">
            <w:pPr>
              <w:keepNext/>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sz w:val="24"/>
                <w:szCs w:val="24"/>
              </w:rPr>
            </w:pPr>
            <w:r w:rsidRPr="00CD5471">
              <w:rPr>
                <w:rFonts w:ascii="Palatino Linotype" w:hAnsi="Palatino Linotype"/>
                <w:color w:val="000000"/>
                <w:sz w:val="24"/>
                <w:szCs w:val="24"/>
              </w:rPr>
              <w:t>RE Gaskell West 1</w:t>
            </w:r>
          </w:p>
        </w:tc>
        <w:tc>
          <w:tcPr>
            <w:tcW w:w="1331" w:type="dxa"/>
            <w:shd w:val="clear" w:color="auto" w:fill="FFFFFF" w:themeFill="background1"/>
            <w:noWrap/>
            <w:hideMark/>
          </w:tcPr>
          <w:p w14:paraId="3D2960E4" w14:textId="77777777" w:rsidR="0076358A" w:rsidRPr="00CD5471" w:rsidRDefault="0076358A" w:rsidP="002B6E34">
            <w:pPr>
              <w:keepNext/>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sz w:val="24"/>
                <w:szCs w:val="24"/>
              </w:rPr>
            </w:pPr>
            <w:r w:rsidRPr="00CD5471">
              <w:rPr>
                <w:rFonts w:ascii="Palatino Linotype" w:hAnsi="Palatino Linotype"/>
                <w:color w:val="000000"/>
                <w:sz w:val="24"/>
                <w:szCs w:val="24"/>
              </w:rPr>
              <w:t>GT</w:t>
            </w:r>
          </w:p>
        </w:tc>
        <w:tc>
          <w:tcPr>
            <w:tcW w:w="810" w:type="dxa"/>
            <w:shd w:val="clear" w:color="auto" w:fill="FFFFFF" w:themeFill="background1"/>
            <w:noWrap/>
            <w:hideMark/>
          </w:tcPr>
          <w:p w14:paraId="7776EC4F" w14:textId="77777777" w:rsidR="0076358A" w:rsidRPr="00CD5471" w:rsidRDefault="0076358A" w:rsidP="002B6E34">
            <w:pPr>
              <w:keepNext/>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sz w:val="24"/>
                <w:szCs w:val="24"/>
              </w:rPr>
            </w:pPr>
            <w:r w:rsidRPr="00CD5471">
              <w:rPr>
                <w:rFonts w:ascii="Palatino Linotype" w:hAnsi="Palatino Linotype"/>
                <w:color w:val="000000"/>
                <w:sz w:val="24"/>
                <w:szCs w:val="24"/>
              </w:rPr>
              <w:t>20</w:t>
            </w:r>
          </w:p>
        </w:tc>
        <w:tc>
          <w:tcPr>
            <w:tcW w:w="1715" w:type="dxa"/>
            <w:shd w:val="clear" w:color="auto" w:fill="FFFFFF" w:themeFill="background1"/>
            <w:noWrap/>
            <w:hideMark/>
          </w:tcPr>
          <w:p w14:paraId="2854789A" w14:textId="77777777" w:rsidR="0076358A" w:rsidRPr="00CD5471" w:rsidRDefault="0076358A" w:rsidP="002B6E34">
            <w:pPr>
              <w:keepNext/>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sz w:val="24"/>
                <w:szCs w:val="24"/>
              </w:rPr>
            </w:pPr>
            <w:r w:rsidRPr="00CD5471">
              <w:rPr>
                <w:rFonts w:ascii="Palatino Linotype" w:hAnsi="Palatino Linotype"/>
                <w:color w:val="000000"/>
                <w:sz w:val="24"/>
                <w:szCs w:val="24"/>
              </w:rPr>
              <w:t>No</w:t>
            </w:r>
          </w:p>
        </w:tc>
        <w:tc>
          <w:tcPr>
            <w:tcW w:w="1530" w:type="dxa"/>
            <w:shd w:val="clear" w:color="auto" w:fill="FFFFFF" w:themeFill="background1"/>
            <w:noWrap/>
            <w:hideMark/>
          </w:tcPr>
          <w:p w14:paraId="4BA386FC" w14:textId="77777777" w:rsidR="0076358A" w:rsidRPr="00CD5471" w:rsidRDefault="0076358A" w:rsidP="002B6E34">
            <w:pPr>
              <w:keepNext/>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sz w:val="24"/>
                <w:szCs w:val="24"/>
              </w:rPr>
            </w:pPr>
            <w:r w:rsidRPr="00CD5471">
              <w:rPr>
                <w:rFonts w:ascii="Palatino Linotype" w:hAnsi="Palatino Linotype"/>
                <w:color w:val="000000"/>
                <w:sz w:val="24"/>
                <w:szCs w:val="24"/>
              </w:rPr>
              <w:t>64.30</w:t>
            </w:r>
          </w:p>
        </w:tc>
      </w:tr>
      <w:tr w:rsidR="00032E00" w14:paraId="5BC4EC8B" w14:textId="77777777" w:rsidTr="00032E00">
        <w:trPr>
          <w:trHeight w:val="255"/>
        </w:trPr>
        <w:tc>
          <w:tcPr>
            <w:cnfStyle w:val="001000000000" w:firstRow="0" w:lastRow="0" w:firstColumn="1" w:lastColumn="0" w:oddVBand="0" w:evenVBand="0" w:oddHBand="0" w:evenHBand="0" w:firstRowFirstColumn="0" w:firstRowLastColumn="0" w:lastRowFirstColumn="0" w:lastRowLastColumn="0"/>
            <w:tcW w:w="1289" w:type="dxa"/>
            <w:shd w:val="clear" w:color="auto" w:fill="FFFFFF" w:themeFill="background1"/>
            <w:noWrap/>
            <w:hideMark/>
          </w:tcPr>
          <w:p w14:paraId="155B9AF2" w14:textId="77777777" w:rsidR="0076358A" w:rsidRPr="002E026C" w:rsidRDefault="0076358A" w:rsidP="002B6E34">
            <w:pPr>
              <w:keepNext/>
              <w:rPr>
                <w:rFonts w:ascii="Palatino Linotype" w:hAnsi="Palatino Linotype"/>
                <w:color w:val="000000"/>
                <w:sz w:val="24"/>
                <w:szCs w:val="24"/>
              </w:rPr>
            </w:pPr>
            <w:r w:rsidRPr="00F26848">
              <w:rPr>
                <w:rFonts w:ascii="Palatino Linotype" w:hAnsi="Palatino Linotype"/>
                <w:color w:val="000000"/>
                <w:sz w:val="24"/>
                <w:szCs w:val="24"/>
              </w:rPr>
              <w:t>SCE</w:t>
            </w:r>
          </w:p>
        </w:tc>
        <w:tc>
          <w:tcPr>
            <w:tcW w:w="3410" w:type="dxa"/>
            <w:shd w:val="clear" w:color="auto" w:fill="FFFFFF" w:themeFill="background1"/>
            <w:noWrap/>
            <w:hideMark/>
          </w:tcPr>
          <w:p w14:paraId="7653E3C4" w14:textId="77777777" w:rsidR="0076358A" w:rsidRPr="00CD5471" w:rsidRDefault="0076358A" w:rsidP="002B6E34">
            <w:pPr>
              <w:keepNext/>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sz w:val="24"/>
                <w:szCs w:val="24"/>
              </w:rPr>
            </w:pPr>
            <w:r w:rsidRPr="00CD5471">
              <w:rPr>
                <w:rFonts w:ascii="Palatino Linotype" w:hAnsi="Palatino Linotype"/>
                <w:color w:val="000000"/>
                <w:sz w:val="24"/>
                <w:szCs w:val="24"/>
              </w:rPr>
              <w:t>JATON, LLC</w:t>
            </w:r>
          </w:p>
        </w:tc>
        <w:tc>
          <w:tcPr>
            <w:tcW w:w="1331" w:type="dxa"/>
            <w:shd w:val="clear" w:color="auto" w:fill="FFFFFF" w:themeFill="background1"/>
            <w:noWrap/>
            <w:hideMark/>
          </w:tcPr>
          <w:p w14:paraId="0B55DCB4" w14:textId="77777777" w:rsidR="0076358A" w:rsidRPr="00CD5471" w:rsidRDefault="0076358A" w:rsidP="002B6E34">
            <w:pPr>
              <w:keepNext/>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sz w:val="24"/>
                <w:szCs w:val="24"/>
              </w:rPr>
            </w:pPr>
            <w:r w:rsidRPr="00CD5471">
              <w:rPr>
                <w:rFonts w:ascii="Palatino Linotype" w:hAnsi="Palatino Linotype"/>
                <w:color w:val="000000"/>
                <w:sz w:val="24"/>
                <w:szCs w:val="24"/>
              </w:rPr>
              <w:t>ECR</w:t>
            </w:r>
          </w:p>
        </w:tc>
        <w:tc>
          <w:tcPr>
            <w:tcW w:w="810" w:type="dxa"/>
            <w:shd w:val="clear" w:color="auto" w:fill="FFFFFF" w:themeFill="background1"/>
            <w:noWrap/>
            <w:hideMark/>
          </w:tcPr>
          <w:p w14:paraId="78009AA9" w14:textId="77777777" w:rsidR="0076358A" w:rsidRPr="00CD5471" w:rsidRDefault="0076358A" w:rsidP="002B6E34">
            <w:pPr>
              <w:keepNext/>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sz w:val="24"/>
                <w:szCs w:val="24"/>
              </w:rPr>
            </w:pPr>
            <w:r w:rsidRPr="00CD5471">
              <w:rPr>
                <w:rFonts w:ascii="Palatino Linotype" w:hAnsi="Palatino Linotype"/>
                <w:color w:val="000000"/>
                <w:sz w:val="24"/>
                <w:szCs w:val="24"/>
              </w:rPr>
              <w:t>3</w:t>
            </w:r>
          </w:p>
        </w:tc>
        <w:tc>
          <w:tcPr>
            <w:tcW w:w="1715" w:type="dxa"/>
            <w:shd w:val="clear" w:color="auto" w:fill="FFFFFF" w:themeFill="background1"/>
            <w:noWrap/>
            <w:hideMark/>
          </w:tcPr>
          <w:p w14:paraId="4A3A4B37" w14:textId="77777777" w:rsidR="0076358A" w:rsidRPr="00CD5471" w:rsidRDefault="0076358A" w:rsidP="002B6E34">
            <w:pPr>
              <w:keepNext/>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sz w:val="24"/>
                <w:szCs w:val="24"/>
              </w:rPr>
            </w:pPr>
            <w:r w:rsidRPr="00CD5471">
              <w:rPr>
                <w:rFonts w:ascii="Palatino Linotype" w:hAnsi="Palatino Linotype"/>
                <w:color w:val="000000"/>
                <w:sz w:val="24"/>
                <w:szCs w:val="24"/>
              </w:rPr>
              <w:t>No</w:t>
            </w:r>
          </w:p>
        </w:tc>
        <w:tc>
          <w:tcPr>
            <w:tcW w:w="1530" w:type="dxa"/>
            <w:shd w:val="clear" w:color="auto" w:fill="FFFFFF" w:themeFill="background1"/>
            <w:noWrap/>
            <w:hideMark/>
          </w:tcPr>
          <w:p w14:paraId="396466B4" w14:textId="77777777" w:rsidR="0076358A" w:rsidRPr="00CD5471" w:rsidRDefault="0076358A" w:rsidP="002B6E34">
            <w:pPr>
              <w:keepNext/>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sz w:val="24"/>
                <w:szCs w:val="24"/>
              </w:rPr>
            </w:pPr>
            <w:r w:rsidRPr="00CD5471">
              <w:rPr>
                <w:rFonts w:ascii="Palatino Linotype" w:hAnsi="Palatino Linotype"/>
                <w:color w:val="000000"/>
                <w:sz w:val="24"/>
                <w:szCs w:val="24"/>
              </w:rPr>
              <w:t>54.89</w:t>
            </w:r>
          </w:p>
        </w:tc>
      </w:tr>
      <w:tr w:rsidR="00032E00" w14:paraId="7CA8EB93" w14:textId="77777777" w:rsidTr="00032E0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289" w:type="dxa"/>
            <w:shd w:val="clear" w:color="auto" w:fill="FFFFFF" w:themeFill="background1"/>
            <w:noWrap/>
            <w:hideMark/>
          </w:tcPr>
          <w:p w14:paraId="2CB37294" w14:textId="77777777" w:rsidR="0076358A" w:rsidRPr="002E026C" w:rsidRDefault="0076358A" w:rsidP="002B6E34">
            <w:pPr>
              <w:keepNext/>
              <w:rPr>
                <w:rFonts w:ascii="Palatino Linotype" w:hAnsi="Palatino Linotype"/>
                <w:color w:val="000000"/>
                <w:sz w:val="24"/>
                <w:szCs w:val="24"/>
              </w:rPr>
            </w:pPr>
            <w:r w:rsidRPr="00F26848">
              <w:rPr>
                <w:rFonts w:ascii="Palatino Linotype" w:hAnsi="Palatino Linotype"/>
                <w:color w:val="000000"/>
                <w:sz w:val="24"/>
                <w:szCs w:val="24"/>
              </w:rPr>
              <w:t>SCE</w:t>
            </w:r>
          </w:p>
        </w:tc>
        <w:tc>
          <w:tcPr>
            <w:tcW w:w="3410" w:type="dxa"/>
            <w:shd w:val="clear" w:color="auto" w:fill="FFFFFF" w:themeFill="background1"/>
            <w:noWrap/>
            <w:hideMark/>
          </w:tcPr>
          <w:p w14:paraId="7B3F68AF" w14:textId="77777777" w:rsidR="0076358A" w:rsidRPr="00CD5471" w:rsidRDefault="0076358A" w:rsidP="002B6E34">
            <w:pPr>
              <w:keepNext/>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sz w:val="24"/>
                <w:szCs w:val="24"/>
              </w:rPr>
            </w:pPr>
            <w:r w:rsidRPr="00CD5471">
              <w:rPr>
                <w:rFonts w:ascii="Palatino Linotype" w:hAnsi="Palatino Linotype"/>
                <w:color w:val="000000"/>
                <w:sz w:val="24"/>
                <w:szCs w:val="24"/>
              </w:rPr>
              <w:t>Windhub Solar A, LLC</w:t>
            </w:r>
          </w:p>
        </w:tc>
        <w:tc>
          <w:tcPr>
            <w:tcW w:w="1331" w:type="dxa"/>
            <w:shd w:val="clear" w:color="auto" w:fill="FFFFFF" w:themeFill="background1"/>
            <w:noWrap/>
            <w:hideMark/>
          </w:tcPr>
          <w:p w14:paraId="4AA0085F" w14:textId="77777777" w:rsidR="0076358A" w:rsidRPr="00CD5471" w:rsidRDefault="0076358A" w:rsidP="002B6E34">
            <w:pPr>
              <w:keepNext/>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sz w:val="24"/>
                <w:szCs w:val="24"/>
              </w:rPr>
            </w:pPr>
            <w:r w:rsidRPr="00CD5471">
              <w:rPr>
                <w:rFonts w:ascii="Palatino Linotype" w:hAnsi="Palatino Linotype"/>
                <w:color w:val="000000"/>
                <w:sz w:val="24"/>
                <w:szCs w:val="24"/>
              </w:rPr>
              <w:t>GT</w:t>
            </w:r>
          </w:p>
        </w:tc>
        <w:tc>
          <w:tcPr>
            <w:tcW w:w="810" w:type="dxa"/>
            <w:shd w:val="clear" w:color="auto" w:fill="FFFFFF" w:themeFill="background1"/>
            <w:noWrap/>
            <w:hideMark/>
          </w:tcPr>
          <w:p w14:paraId="786DF5A8" w14:textId="77777777" w:rsidR="0076358A" w:rsidRPr="00CD5471" w:rsidRDefault="0076358A" w:rsidP="002B6E34">
            <w:pPr>
              <w:keepNext/>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sz w:val="24"/>
                <w:szCs w:val="24"/>
              </w:rPr>
            </w:pPr>
            <w:r w:rsidRPr="00CD5471">
              <w:rPr>
                <w:rFonts w:ascii="Palatino Linotype" w:hAnsi="Palatino Linotype"/>
                <w:color w:val="000000"/>
                <w:sz w:val="24"/>
                <w:szCs w:val="24"/>
              </w:rPr>
              <w:t>20</w:t>
            </w:r>
          </w:p>
        </w:tc>
        <w:tc>
          <w:tcPr>
            <w:tcW w:w="1715" w:type="dxa"/>
            <w:shd w:val="clear" w:color="auto" w:fill="FFFFFF" w:themeFill="background1"/>
            <w:noWrap/>
            <w:hideMark/>
          </w:tcPr>
          <w:p w14:paraId="2D76235F" w14:textId="77777777" w:rsidR="0076358A" w:rsidRPr="00CD5471" w:rsidRDefault="0076358A" w:rsidP="002B6E34">
            <w:pPr>
              <w:keepNext/>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sz w:val="24"/>
                <w:szCs w:val="24"/>
              </w:rPr>
            </w:pPr>
            <w:r w:rsidRPr="00CD5471">
              <w:rPr>
                <w:rFonts w:ascii="Palatino Linotype" w:hAnsi="Palatino Linotype"/>
                <w:color w:val="000000"/>
                <w:sz w:val="24"/>
                <w:szCs w:val="24"/>
              </w:rPr>
              <w:t>No</w:t>
            </w:r>
          </w:p>
        </w:tc>
        <w:tc>
          <w:tcPr>
            <w:tcW w:w="1530" w:type="dxa"/>
            <w:shd w:val="clear" w:color="auto" w:fill="FFFFFF" w:themeFill="background1"/>
            <w:noWrap/>
            <w:hideMark/>
          </w:tcPr>
          <w:p w14:paraId="2837B85F" w14:textId="77777777" w:rsidR="0076358A" w:rsidRPr="00CD5471" w:rsidRDefault="0076358A" w:rsidP="002B6E34">
            <w:pPr>
              <w:keepNext/>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sz w:val="24"/>
                <w:szCs w:val="24"/>
              </w:rPr>
            </w:pPr>
            <w:r w:rsidRPr="00CD5471">
              <w:rPr>
                <w:rFonts w:ascii="Palatino Linotype" w:hAnsi="Palatino Linotype"/>
                <w:color w:val="000000"/>
                <w:sz w:val="24"/>
                <w:szCs w:val="24"/>
              </w:rPr>
              <w:t>43.11</w:t>
            </w:r>
          </w:p>
        </w:tc>
      </w:tr>
      <w:tr w:rsidR="00032E00" w14:paraId="421C9CE9" w14:textId="77777777" w:rsidTr="00032E00">
        <w:trPr>
          <w:trHeight w:val="255"/>
        </w:trPr>
        <w:tc>
          <w:tcPr>
            <w:cnfStyle w:val="001000000000" w:firstRow="0" w:lastRow="0" w:firstColumn="1" w:lastColumn="0" w:oddVBand="0" w:evenVBand="0" w:oddHBand="0" w:evenHBand="0" w:firstRowFirstColumn="0" w:firstRowLastColumn="0" w:lastRowFirstColumn="0" w:lastRowLastColumn="0"/>
            <w:tcW w:w="1289" w:type="dxa"/>
            <w:shd w:val="clear" w:color="auto" w:fill="FFFFFF" w:themeFill="background1"/>
            <w:hideMark/>
          </w:tcPr>
          <w:p w14:paraId="77626926" w14:textId="77777777" w:rsidR="0076358A" w:rsidRPr="002E026C" w:rsidRDefault="0076358A" w:rsidP="002B6E34">
            <w:pPr>
              <w:keepNext/>
              <w:rPr>
                <w:rFonts w:ascii="Palatino Linotype" w:hAnsi="Palatino Linotype"/>
                <w:color w:val="000000"/>
                <w:sz w:val="24"/>
                <w:szCs w:val="24"/>
              </w:rPr>
            </w:pPr>
            <w:r w:rsidRPr="00F26848">
              <w:rPr>
                <w:rFonts w:ascii="Palatino Linotype" w:hAnsi="Palatino Linotype"/>
                <w:color w:val="000000"/>
                <w:sz w:val="24"/>
                <w:szCs w:val="24"/>
              </w:rPr>
              <w:t>SDG&amp;E</w:t>
            </w:r>
          </w:p>
        </w:tc>
        <w:tc>
          <w:tcPr>
            <w:tcW w:w="3410" w:type="dxa"/>
            <w:shd w:val="clear" w:color="auto" w:fill="FFFFFF" w:themeFill="background1"/>
            <w:hideMark/>
          </w:tcPr>
          <w:p w14:paraId="1568D5A9" w14:textId="77777777" w:rsidR="0076358A" w:rsidRPr="00CD5471" w:rsidRDefault="0076358A" w:rsidP="002B6E34">
            <w:pPr>
              <w:keepNext/>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sz w:val="24"/>
                <w:szCs w:val="24"/>
              </w:rPr>
            </w:pPr>
            <w:r w:rsidRPr="00CD5471">
              <w:rPr>
                <w:rFonts w:ascii="Palatino Linotype" w:hAnsi="Palatino Linotype"/>
                <w:color w:val="000000"/>
                <w:sz w:val="24"/>
                <w:szCs w:val="24"/>
              </w:rPr>
              <w:t>ORNI33 LLC (Wister Solar)</w:t>
            </w:r>
          </w:p>
        </w:tc>
        <w:tc>
          <w:tcPr>
            <w:tcW w:w="1331" w:type="dxa"/>
            <w:shd w:val="clear" w:color="auto" w:fill="FFFFFF" w:themeFill="background1"/>
            <w:hideMark/>
          </w:tcPr>
          <w:p w14:paraId="71D97BCC" w14:textId="77777777" w:rsidR="0076358A" w:rsidRPr="00CD5471" w:rsidRDefault="0076358A" w:rsidP="002B6E34">
            <w:pPr>
              <w:keepNext/>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sz w:val="24"/>
                <w:szCs w:val="24"/>
              </w:rPr>
            </w:pPr>
            <w:r w:rsidRPr="00CD5471">
              <w:rPr>
                <w:rFonts w:ascii="Palatino Linotype" w:hAnsi="Palatino Linotype"/>
                <w:color w:val="000000"/>
                <w:sz w:val="24"/>
                <w:szCs w:val="24"/>
              </w:rPr>
              <w:t>GT</w:t>
            </w:r>
          </w:p>
        </w:tc>
        <w:tc>
          <w:tcPr>
            <w:tcW w:w="810" w:type="dxa"/>
            <w:shd w:val="clear" w:color="auto" w:fill="FFFFFF" w:themeFill="background1"/>
            <w:hideMark/>
          </w:tcPr>
          <w:p w14:paraId="3F6F4549" w14:textId="77777777" w:rsidR="0076358A" w:rsidRPr="00CD5471" w:rsidRDefault="0076358A" w:rsidP="002B6E34">
            <w:pPr>
              <w:keepNext/>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sz w:val="24"/>
                <w:szCs w:val="24"/>
              </w:rPr>
            </w:pPr>
            <w:r w:rsidRPr="00CD5471">
              <w:rPr>
                <w:rFonts w:ascii="Palatino Linotype" w:hAnsi="Palatino Linotype"/>
                <w:color w:val="000000"/>
                <w:sz w:val="24"/>
                <w:szCs w:val="24"/>
              </w:rPr>
              <w:t>20</w:t>
            </w:r>
          </w:p>
        </w:tc>
        <w:tc>
          <w:tcPr>
            <w:tcW w:w="1715" w:type="dxa"/>
            <w:shd w:val="clear" w:color="auto" w:fill="FFFFFF" w:themeFill="background1"/>
            <w:hideMark/>
          </w:tcPr>
          <w:p w14:paraId="2AC1C4E2" w14:textId="77777777" w:rsidR="0076358A" w:rsidRPr="00CD5471" w:rsidRDefault="0076358A" w:rsidP="002B6E34">
            <w:pPr>
              <w:keepNext/>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sz w:val="24"/>
                <w:szCs w:val="24"/>
              </w:rPr>
            </w:pPr>
            <w:r w:rsidRPr="00CD5471">
              <w:rPr>
                <w:rFonts w:ascii="Palatino Linotype" w:hAnsi="Palatino Linotype"/>
                <w:color w:val="000000"/>
                <w:sz w:val="24"/>
                <w:szCs w:val="24"/>
              </w:rPr>
              <w:t>No</w:t>
            </w:r>
          </w:p>
        </w:tc>
        <w:tc>
          <w:tcPr>
            <w:tcW w:w="1530" w:type="dxa"/>
            <w:shd w:val="clear" w:color="auto" w:fill="FFFFFF" w:themeFill="background1"/>
            <w:hideMark/>
          </w:tcPr>
          <w:p w14:paraId="66AAD0E4" w14:textId="77777777" w:rsidR="0076358A" w:rsidRPr="00CD5471" w:rsidRDefault="0076358A" w:rsidP="002B6E34">
            <w:pPr>
              <w:keepNext/>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sz w:val="24"/>
                <w:szCs w:val="24"/>
              </w:rPr>
            </w:pPr>
            <w:r w:rsidRPr="00CD5471">
              <w:rPr>
                <w:rFonts w:ascii="Palatino Linotype" w:hAnsi="Palatino Linotype"/>
                <w:color w:val="000000"/>
                <w:sz w:val="24"/>
                <w:szCs w:val="24"/>
              </w:rPr>
              <w:t>N/A</w:t>
            </w:r>
          </w:p>
        </w:tc>
      </w:tr>
    </w:tbl>
    <w:p w14:paraId="5EBC6791" w14:textId="77777777" w:rsidR="0076358A" w:rsidRDefault="0076358A" w:rsidP="0076358A">
      <w:pPr>
        <w:pStyle w:val="DecisionText"/>
        <w:spacing w:line="240" w:lineRule="auto"/>
        <w:rPr>
          <w:rFonts w:ascii="Palatino Linotype" w:hAnsi="Palatino Linotype"/>
        </w:rPr>
      </w:pPr>
      <w:r w:rsidRPr="00FA492E">
        <w:rPr>
          <w:rFonts w:ascii="Palatino Linotype" w:hAnsi="Palatino Linotype"/>
        </w:rPr>
        <w:t>As shown through the data</w:t>
      </w:r>
      <w:r>
        <w:rPr>
          <w:rFonts w:ascii="Palatino Linotype" w:hAnsi="Palatino Linotype"/>
        </w:rPr>
        <w:t xml:space="preserve"> in Table 5</w:t>
      </w:r>
      <w:r w:rsidRPr="00FA492E">
        <w:rPr>
          <w:rFonts w:ascii="Palatino Linotype" w:hAnsi="Palatino Linotype"/>
        </w:rPr>
        <w:t>, four of the six projects in the most impacted EJ communities with a CES score above 90 did not qualify for the EJ reservation because they were too large</w:t>
      </w:r>
    </w:p>
    <w:p w14:paraId="7CDE061B" w14:textId="77777777" w:rsidR="0076358A" w:rsidRPr="00FA492E" w:rsidRDefault="0076358A" w:rsidP="0076358A">
      <w:pPr>
        <w:pStyle w:val="DecisionText"/>
        <w:spacing w:line="240" w:lineRule="auto"/>
        <w:rPr>
          <w:rFonts w:ascii="Palatino Linotype" w:hAnsi="Palatino Linotype"/>
          <w:i/>
        </w:rPr>
      </w:pPr>
      <w:r>
        <w:rPr>
          <w:rFonts w:ascii="Palatino Linotype" w:hAnsi="Palatino Linotype"/>
        </w:rPr>
        <w:lastRenderedPageBreak/>
        <w:t xml:space="preserve">Parties are encouraged to use the data above and any other relevant analysis, and present their case to the legislature to advocate for a modification to the 1 MW cap.  </w:t>
      </w:r>
    </w:p>
    <w:p w14:paraId="6C9D313E" w14:textId="77777777" w:rsidR="0076358A" w:rsidRPr="00FA492E" w:rsidRDefault="0076358A" w:rsidP="0076358A">
      <w:pPr>
        <w:pStyle w:val="Heading4"/>
      </w:pPr>
      <w:bookmarkStart w:id="46" w:name="_Toc20145932"/>
      <w:bookmarkStart w:id="47" w:name="_Toc529915569"/>
      <w:r w:rsidRPr="00FA492E">
        <w:t>Applying the Environmental Justice Reservation</w:t>
      </w:r>
      <w:bookmarkEnd w:id="46"/>
      <w:r w:rsidRPr="00FA492E">
        <w:t xml:space="preserve"> </w:t>
      </w:r>
      <w:bookmarkEnd w:id="47"/>
    </w:p>
    <w:p w14:paraId="6577060A" w14:textId="77777777" w:rsidR="0076358A" w:rsidRPr="00FA492E" w:rsidRDefault="0076358A" w:rsidP="0076358A">
      <w:pPr>
        <w:pStyle w:val="DecisionText"/>
        <w:spacing w:line="240" w:lineRule="auto"/>
        <w:rPr>
          <w:rFonts w:ascii="Palatino Linotype" w:hAnsi="Palatino Linotype"/>
        </w:rPr>
      </w:pPr>
      <w:r w:rsidRPr="00FA492E">
        <w:rPr>
          <w:rFonts w:ascii="Palatino Linotype" w:hAnsi="Palatino Linotype"/>
        </w:rPr>
        <w:t>SDG&amp;E is also proposing to remove Special Conditions Section 12, which addresses the GTSR EJ reservation, from its GT and ECR tariff</w:t>
      </w:r>
      <w:r>
        <w:rPr>
          <w:rFonts w:ascii="Palatino Linotype" w:hAnsi="Palatino Linotype"/>
        </w:rPr>
        <w:t>s:</w:t>
      </w:r>
    </w:p>
    <w:p w14:paraId="222FAAD7" w14:textId="77777777" w:rsidR="0076358A" w:rsidRPr="00FA492E" w:rsidRDefault="0076358A" w:rsidP="0076358A">
      <w:pPr>
        <w:pStyle w:val="Quote"/>
        <w:ind w:left="1440"/>
        <w:rPr>
          <w:rFonts w:ascii="Palatino Linotype" w:hAnsi="Palatino Linotype"/>
        </w:rPr>
      </w:pPr>
      <w:r w:rsidRPr="00FA492E">
        <w:rPr>
          <w:rFonts w:ascii="Palatino Linotype" w:hAnsi="Palatino Linotype"/>
        </w:rPr>
        <w:t xml:space="preserve">12. Environmental Justice Reservation: Pursuant to SB 43, 10 MW of Utility’s 59 MW GT capacity will be reserved for </w:t>
      </w:r>
      <w:r w:rsidRPr="00FA492E">
        <w:rPr>
          <w:rFonts w:ascii="Palatino Linotype" w:hAnsi="Palatino Linotype"/>
          <w:b/>
        </w:rPr>
        <w:t>Eligible Customers</w:t>
      </w:r>
      <w:r w:rsidRPr="00FA492E">
        <w:rPr>
          <w:rFonts w:ascii="Palatino Linotype" w:hAnsi="Palatino Linotype"/>
        </w:rPr>
        <w:t xml:space="preserve"> in Environmental Justice (EJ) Areas identified by the California Environmental Protection Agency (CalEPA) CalEnviroScreen Version 2.0, and its successors, as the 20% most impacted and disadvantaged communities in Utility’s service territory. Identified EJ communities will be listed at </w:t>
      </w:r>
      <w:hyperlink r:id="rId9" w:history="1">
        <w:r w:rsidRPr="004B6A89">
          <w:rPr>
            <w:rStyle w:val="Hyperlink"/>
            <w:rFonts w:ascii="Palatino Linotype" w:hAnsi="Palatino Linotype"/>
          </w:rPr>
          <w:t>www.sdge.com/ctts</w:t>
        </w:r>
      </w:hyperlink>
      <w:r w:rsidRPr="00FA492E">
        <w:rPr>
          <w:rFonts w:ascii="Palatino Linotype" w:hAnsi="Palatino Linotype"/>
        </w:rPr>
        <w:t>.</w:t>
      </w:r>
      <w:r>
        <w:rPr>
          <w:rFonts w:ascii="Palatino Linotype" w:hAnsi="Palatino Linotype"/>
        </w:rPr>
        <w:t xml:space="preserve"> </w:t>
      </w:r>
    </w:p>
    <w:p w14:paraId="19B9C197" w14:textId="77777777" w:rsidR="0076358A" w:rsidRPr="00FA492E" w:rsidRDefault="0076358A" w:rsidP="0076358A">
      <w:pPr>
        <w:pStyle w:val="DecisionText"/>
        <w:spacing w:line="240" w:lineRule="auto"/>
        <w:rPr>
          <w:rFonts w:ascii="Palatino Linotype" w:hAnsi="Palatino Linotype"/>
        </w:rPr>
      </w:pPr>
      <w:r w:rsidRPr="00FA492E">
        <w:rPr>
          <w:rFonts w:ascii="Palatino Linotype" w:hAnsi="Palatino Linotype"/>
        </w:rPr>
        <w:t xml:space="preserve">The EJ reservation is a mandated </w:t>
      </w:r>
      <w:r w:rsidRPr="00FA492E">
        <w:rPr>
          <w:rFonts w:ascii="Palatino Linotype" w:hAnsi="Palatino Linotype"/>
          <w:b/>
        </w:rPr>
        <w:t xml:space="preserve">procurement </w:t>
      </w:r>
      <w:r w:rsidRPr="00FA492E">
        <w:rPr>
          <w:rFonts w:ascii="Palatino Linotype" w:hAnsi="Palatino Linotype"/>
        </w:rPr>
        <w:t xml:space="preserve">element for GTSR that is not part of SDG&amp;E’s relationship with participating customers. Therefore, language addressing the EJ reservation is not needed in the customer-facing tariff.  </w:t>
      </w:r>
    </w:p>
    <w:p w14:paraId="06447C46" w14:textId="77777777" w:rsidR="0076358A" w:rsidRDefault="0076358A" w:rsidP="0076358A">
      <w:pPr>
        <w:pStyle w:val="DecisionText"/>
        <w:spacing w:line="240" w:lineRule="auto"/>
        <w:rPr>
          <w:rFonts w:ascii="Palatino Linotype" w:hAnsi="Palatino Linotype"/>
        </w:rPr>
      </w:pPr>
      <w:r w:rsidRPr="00FA492E">
        <w:rPr>
          <w:rFonts w:ascii="Palatino Linotype" w:hAnsi="Palatino Linotype"/>
        </w:rPr>
        <w:t>SDG&amp;E</w:t>
      </w:r>
      <w:r>
        <w:rPr>
          <w:rFonts w:ascii="Palatino Linotype" w:hAnsi="Palatino Linotype"/>
        </w:rPr>
        <w:t>’s request to remove Special Condition 12 from its GTSR tariffs is approved.</w:t>
      </w:r>
    </w:p>
    <w:p w14:paraId="0C6048AC" w14:textId="77777777" w:rsidR="0076358A" w:rsidRPr="00FA492E" w:rsidRDefault="0076358A" w:rsidP="0076358A">
      <w:pPr>
        <w:pStyle w:val="Heading4"/>
      </w:pPr>
      <w:bookmarkStart w:id="48" w:name="_Toc12442435"/>
      <w:bookmarkStart w:id="49" w:name="_Toc20145933"/>
      <w:bookmarkStart w:id="50" w:name="_Toc529915570"/>
      <w:r w:rsidRPr="00FA492E">
        <w:t xml:space="preserve">Greenhouse Gas </w:t>
      </w:r>
      <w:r>
        <w:t>Emissions Reductions Marketing</w:t>
      </w:r>
      <w:bookmarkEnd w:id="48"/>
      <w:bookmarkEnd w:id="49"/>
      <w:r>
        <w:t xml:space="preserve"> </w:t>
      </w:r>
      <w:bookmarkEnd w:id="50"/>
    </w:p>
    <w:p w14:paraId="64D0ADA6" w14:textId="77777777" w:rsidR="0076358A" w:rsidRDefault="0076358A" w:rsidP="0076358A">
      <w:pPr>
        <w:pStyle w:val="DecisionText"/>
        <w:spacing w:line="240" w:lineRule="auto"/>
        <w:rPr>
          <w:rFonts w:ascii="Palatino Linotype" w:hAnsi="Palatino Linotype"/>
        </w:rPr>
      </w:pPr>
      <w:r w:rsidRPr="00FA492E">
        <w:rPr>
          <w:rFonts w:ascii="Palatino Linotype" w:hAnsi="Palatino Linotype"/>
        </w:rPr>
        <w:t>Currently, the IOUs and ECR developers are prohibited from making claims about GHG emissions reductions when marketing the GTSR program until a statewide methodology is adopted for retail products</w:t>
      </w:r>
      <w:r>
        <w:rPr>
          <w:rFonts w:ascii="Palatino Linotype" w:hAnsi="Palatino Linotype"/>
        </w:rPr>
        <w:t xml:space="preserve">: </w:t>
      </w:r>
    </w:p>
    <w:p w14:paraId="34A297DD" w14:textId="77777777" w:rsidR="0076358A" w:rsidRDefault="0076358A" w:rsidP="0076358A">
      <w:pPr>
        <w:pStyle w:val="DecisionText"/>
        <w:spacing w:line="240" w:lineRule="auto"/>
        <w:ind w:left="720"/>
        <w:rPr>
          <w:rFonts w:ascii="Palatino Linotype" w:hAnsi="Palatino Linotype"/>
        </w:rPr>
      </w:pPr>
      <w:r w:rsidRPr="00FA492E">
        <w:rPr>
          <w:rFonts w:ascii="Palatino Linotype" w:hAnsi="Palatino Linotype"/>
        </w:rPr>
        <w:t>Until such a time as a statewide methodology is adopted for calculating greenhouse gas emissions associated with a retail product, the Green Tariff Shared Renewables program may not be marketed by any retail seller to potential subscribers by making specific claims about portfolio greenhouse gas emissions for specific products.</w:t>
      </w:r>
      <w:r w:rsidRPr="00FA492E">
        <w:rPr>
          <w:rStyle w:val="FootnoteReference"/>
          <w:rFonts w:ascii="Palatino Linotype" w:hAnsi="Palatino Linotype"/>
          <w:szCs w:val="26"/>
        </w:rPr>
        <w:footnoteReference w:id="43"/>
      </w:r>
      <w:r w:rsidRPr="00FA492E">
        <w:rPr>
          <w:rFonts w:ascii="Palatino Linotype" w:hAnsi="Palatino Linotype"/>
        </w:rPr>
        <w:t xml:space="preserve">   </w:t>
      </w:r>
    </w:p>
    <w:p w14:paraId="5CA8DBF7" w14:textId="77777777" w:rsidR="0076358A" w:rsidRDefault="0076358A" w:rsidP="0076358A">
      <w:pPr>
        <w:pStyle w:val="DecisionText"/>
        <w:spacing w:line="240" w:lineRule="auto"/>
        <w:rPr>
          <w:rFonts w:ascii="Palatino Linotype" w:hAnsi="Palatino Linotype"/>
        </w:rPr>
      </w:pPr>
      <w:r w:rsidRPr="00FA492E">
        <w:rPr>
          <w:rFonts w:ascii="Palatino Linotype" w:hAnsi="Palatino Linotype"/>
        </w:rPr>
        <w:lastRenderedPageBreak/>
        <w:t>Both PG&amp;E and SDG&amp;E make an argument that facts about GHG Emissions should be included as part of their marketing materials, and that such a statewide methodology now exists.</w:t>
      </w:r>
      <w:r>
        <w:rPr>
          <w:rFonts w:ascii="Palatino Linotype" w:hAnsi="Palatino Linotype"/>
        </w:rPr>
        <w:t xml:space="preserve">  </w:t>
      </w:r>
      <w:r w:rsidRPr="00FA492E">
        <w:rPr>
          <w:rFonts w:ascii="Palatino Linotype" w:hAnsi="Palatino Linotype"/>
        </w:rPr>
        <w:t xml:space="preserve">PG&amp;E argues that the prohibition on customer communications regarding the GHG emissions associated with </w:t>
      </w:r>
      <w:r w:rsidRPr="00FA492E">
        <w:rPr>
          <w:rFonts w:ascii="Palatino Linotype" w:hAnsi="Palatino Linotype"/>
          <w:i/>
          <w:iCs/>
        </w:rPr>
        <w:t xml:space="preserve">the Green Tariff Shared Renewables program exclusively </w:t>
      </w:r>
      <w:r w:rsidRPr="00FA492E">
        <w:rPr>
          <w:rFonts w:ascii="Palatino Linotype" w:hAnsi="Palatino Linotype"/>
        </w:rPr>
        <w:t>is neither fair nor necessary to achieve the Commission’s objectives of fair and accurate marketing communications across retail suppliers.  Similarly, SDG&amp;E notes that tools are currently in place to make this reporting easy for IOUs and ECR developers. As part of the GTSR program</w:t>
      </w:r>
      <w:r>
        <w:rPr>
          <w:rFonts w:ascii="Palatino Linotype" w:hAnsi="Palatino Linotype"/>
        </w:rPr>
        <w:t>,</w:t>
      </w:r>
      <w:r w:rsidRPr="00FA492E">
        <w:rPr>
          <w:rFonts w:ascii="Palatino Linotype" w:hAnsi="Palatino Linotype"/>
        </w:rPr>
        <w:t xml:space="preserve"> SDG&amp;E retires GHG eligible allowances associated with GTSR procurement on behalf of participating customers through California Air Resources Board’s (CARB) Voluntary Renewable Electricity Program (VREP)</w:t>
      </w:r>
      <w:r>
        <w:rPr>
          <w:rFonts w:ascii="Palatino Linotype" w:hAnsi="Palatino Linotype"/>
        </w:rPr>
        <w:t>,</w:t>
      </w:r>
      <w:r w:rsidRPr="00FA492E">
        <w:rPr>
          <w:rFonts w:ascii="Palatino Linotype" w:hAnsi="Palatino Linotype"/>
        </w:rPr>
        <w:t xml:space="preserve"> and is required to report on this.</w:t>
      </w:r>
      <w:r w:rsidRPr="00FA492E">
        <w:rPr>
          <w:rFonts w:ascii="Palatino Linotype" w:hAnsi="Palatino Linotype"/>
          <w:sz w:val="14"/>
          <w:szCs w:val="14"/>
        </w:rPr>
        <w:t xml:space="preserve">  </w:t>
      </w:r>
      <w:r w:rsidRPr="00FA492E">
        <w:rPr>
          <w:rFonts w:ascii="Palatino Linotype" w:hAnsi="Palatino Linotype"/>
        </w:rPr>
        <w:t xml:space="preserve">Additionally, </w:t>
      </w:r>
      <w:r>
        <w:rPr>
          <w:rFonts w:ascii="Palatino Linotype" w:hAnsi="Palatino Linotype"/>
        </w:rPr>
        <w:t xml:space="preserve">SDG&amp;E claims </w:t>
      </w:r>
      <w:r w:rsidRPr="00FA492E">
        <w:rPr>
          <w:rFonts w:ascii="Palatino Linotype" w:hAnsi="Palatino Linotype"/>
        </w:rPr>
        <w:t>it is possible to use CARB’s unspecified emissions factor, a commonly used statewide methodology, to calculate the metric tons of carbon dioxide reduced from each megawatt of incremental renewable resources within the GTSR program</w:t>
      </w:r>
      <w:r>
        <w:rPr>
          <w:rFonts w:ascii="Palatino Linotype" w:hAnsi="Palatino Linotype"/>
        </w:rPr>
        <w:t>.</w:t>
      </w:r>
      <w:r>
        <w:rPr>
          <w:rStyle w:val="FootnoteReference"/>
          <w:rFonts w:ascii="Palatino Linotype" w:hAnsi="Palatino Linotype"/>
        </w:rPr>
        <w:footnoteReference w:id="44"/>
      </w:r>
    </w:p>
    <w:p w14:paraId="550B7509" w14:textId="77777777" w:rsidR="0076358A" w:rsidRPr="00FA492E" w:rsidRDefault="0076358A" w:rsidP="0076358A">
      <w:pPr>
        <w:pStyle w:val="DecisionText"/>
        <w:spacing w:line="240" w:lineRule="auto"/>
        <w:rPr>
          <w:rFonts w:ascii="Palatino Linotype" w:hAnsi="Palatino Linotype"/>
        </w:rPr>
      </w:pPr>
      <w:r w:rsidRPr="00FA492E">
        <w:rPr>
          <w:rFonts w:ascii="Palatino Linotype" w:hAnsi="Palatino Linotype"/>
        </w:rPr>
        <w:t xml:space="preserve">Citing General Rule 5.1, the CCA parties argue that PG&amp;E’s proposal to eliminate the GHG Marketing Prohibition is inherently controversial and raises a number of important policy questions.  </w:t>
      </w:r>
      <w:r>
        <w:rPr>
          <w:rFonts w:ascii="Palatino Linotype" w:hAnsi="Palatino Linotype"/>
        </w:rPr>
        <w:t>The CCA parties state that r</w:t>
      </w:r>
      <w:r w:rsidRPr="00FA492E">
        <w:rPr>
          <w:rFonts w:ascii="Palatino Linotype" w:hAnsi="Palatino Linotype"/>
        </w:rPr>
        <w:t xml:space="preserve">atepayers have a clear interest in ensuring that PG&amp;E’s GTSR programs are marketed in a fair, honest, and transparent manner without exaggerated or unsupported claims regarding the programs’ GHG reduction benefits. </w:t>
      </w:r>
    </w:p>
    <w:p w14:paraId="3395C019" w14:textId="77777777" w:rsidR="0076358A" w:rsidRDefault="0076358A" w:rsidP="0076358A">
      <w:pPr>
        <w:pStyle w:val="DecisionText"/>
        <w:spacing w:line="240" w:lineRule="auto"/>
        <w:rPr>
          <w:rFonts w:ascii="Palatino Linotype" w:hAnsi="Palatino Linotype"/>
        </w:rPr>
      </w:pPr>
      <w:r w:rsidRPr="00FA492E">
        <w:rPr>
          <w:rFonts w:ascii="Palatino Linotype" w:hAnsi="Palatino Linotype"/>
        </w:rPr>
        <w:t xml:space="preserve">Additionally, </w:t>
      </w:r>
      <w:r>
        <w:rPr>
          <w:rFonts w:ascii="Palatino Linotype" w:hAnsi="Palatino Linotype"/>
        </w:rPr>
        <w:t>CCSF</w:t>
      </w:r>
      <w:r w:rsidRPr="00FA492E">
        <w:rPr>
          <w:rFonts w:ascii="Palatino Linotype" w:hAnsi="Palatino Linotype"/>
        </w:rPr>
        <w:t xml:space="preserve"> notes in its protest that Assembly Bill 1110 (2016) require</w:t>
      </w:r>
      <w:r>
        <w:rPr>
          <w:rFonts w:ascii="Palatino Linotype" w:hAnsi="Palatino Linotype"/>
        </w:rPr>
        <w:t>s</w:t>
      </w:r>
      <w:r w:rsidRPr="00FA492E">
        <w:rPr>
          <w:rFonts w:ascii="Palatino Linotype" w:hAnsi="Palatino Linotype"/>
        </w:rPr>
        <w:t xml:space="preserve"> the California Energy Commission (CEC)</w:t>
      </w:r>
      <w:r>
        <w:rPr>
          <w:rFonts w:ascii="Palatino Linotype" w:hAnsi="Palatino Linotype"/>
        </w:rPr>
        <w:t>,</w:t>
      </w:r>
      <w:r w:rsidRPr="00FA492E">
        <w:rPr>
          <w:rFonts w:ascii="Palatino Linotype" w:hAnsi="Palatino Linotype"/>
        </w:rPr>
        <w:t xml:space="preserve"> in consultation with the State Air Resources Board, to adopt a methodology for the calculation of </w:t>
      </w:r>
      <w:r>
        <w:rPr>
          <w:rFonts w:ascii="Palatino Linotype" w:hAnsi="Palatino Linotype"/>
        </w:rPr>
        <w:t>GHG</w:t>
      </w:r>
      <w:r w:rsidRPr="00FA492E">
        <w:rPr>
          <w:rFonts w:ascii="Palatino Linotype" w:hAnsi="Palatino Linotype"/>
        </w:rPr>
        <w:t xml:space="preserve"> emissions intensity for each purchase of electricity by a retail supplier to serve its retail customers.  The CEC has not yet adopted </w:t>
      </w:r>
      <w:r>
        <w:rPr>
          <w:rFonts w:ascii="Palatino Linotype" w:hAnsi="Palatino Linotype"/>
        </w:rPr>
        <w:t xml:space="preserve">a </w:t>
      </w:r>
      <w:r w:rsidRPr="00FA492E">
        <w:rPr>
          <w:rFonts w:ascii="Palatino Linotype" w:hAnsi="Palatino Linotype"/>
        </w:rPr>
        <w:t>statewide methodology</w:t>
      </w:r>
      <w:r>
        <w:rPr>
          <w:rFonts w:ascii="Palatino Linotype" w:hAnsi="Palatino Linotype"/>
        </w:rPr>
        <w:t xml:space="preserve"> pursuant to this bill</w:t>
      </w:r>
      <w:r w:rsidRPr="00FA492E">
        <w:rPr>
          <w:rFonts w:ascii="Palatino Linotype" w:hAnsi="Palatino Linotype"/>
        </w:rPr>
        <w:t xml:space="preserve">.  </w:t>
      </w:r>
    </w:p>
    <w:p w14:paraId="12F75328" w14:textId="77777777" w:rsidR="0076358A" w:rsidRPr="00FA492E" w:rsidRDefault="0076358A" w:rsidP="0076358A">
      <w:pPr>
        <w:pStyle w:val="DecisionText"/>
        <w:spacing w:line="240" w:lineRule="auto"/>
        <w:rPr>
          <w:rFonts w:ascii="Palatino Linotype" w:hAnsi="Palatino Linotype"/>
        </w:rPr>
      </w:pPr>
      <w:r w:rsidRPr="00FA492E">
        <w:rPr>
          <w:rFonts w:ascii="Palatino Linotype" w:hAnsi="Palatino Linotype"/>
        </w:rPr>
        <w:t xml:space="preserve">TURN </w:t>
      </w:r>
      <w:r>
        <w:rPr>
          <w:rFonts w:ascii="Palatino Linotype" w:hAnsi="Palatino Linotype"/>
        </w:rPr>
        <w:t xml:space="preserve">supports the IOUs’ request to provide GHG reductions information to prospective customers but </w:t>
      </w:r>
      <w:r w:rsidRPr="00FA492E">
        <w:rPr>
          <w:rFonts w:ascii="Palatino Linotype" w:hAnsi="Palatino Linotype"/>
        </w:rPr>
        <w:t>argues that the Clean Net Short methodology</w:t>
      </w:r>
      <w:r>
        <w:rPr>
          <w:rFonts w:ascii="Palatino Linotype" w:hAnsi="Palatino Linotype"/>
        </w:rPr>
        <w:t xml:space="preserve"> in the Integrated Resource Planning rulemaking (R.16-02-007)</w:t>
      </w:r>
      <w:r w:rsidRPr="00FA492E">
        <w:rPr>
          <w:rFonts w:ascii="Palatino Linotype" w:hAnsi="Palatino Linotype"/>
        </w:rPr>
        <w:t xml:space="preserve"> should be used instead of CARB’s VRE</w:t>
      </w:r>
      <w:r>
        <w:rPr>
          <w:rFonts w:ascii="Palatino Linotype" w:hAnsi="Palatino Linotype"/>
        </w:rPr>
        <w:t>P</w:t>
      </w:r>
      <w:r w:rsidRPr="00FA492E">
        <w:rPr>
          <w:rFonts w:ascii="Palatino Linotype" w:hAnsi="Palatino Linotype"/>
        </w:rPr>
        <w:t xml:space="preserve"> methodology.  </w:t>
      </w:r>
    </w:p>
    <w:p w14:paraId="353DD15E" w14:textId="77777777" w:rsidR="0076358A" w:rsidRDefault="0076358A" w:rsidP="0076358A">
      <w:pPr>
        <w:pStyle w:val="DecisionText"/>
        <w:spacing w:line="240" w:lineRule="auto"/>
        <w:rPr>
          <w:rFonts w:ascii="Palatino Linotype" w:hAnsi="Palatino Linotype"/>
        </w:rPr>
      </w:pPr>
      <w:bookmarkStart w:id="51" w:name="_Hlk15468863"/>
      <w:r>
        <w:rPr>
          <w:rFonts w:ascii="Palatino Linotype" w:hAnsi="Palatino Linotype"/>
        </w:rPr>
        <w:lastRenderedPageBreak/>
        <w:t>As described earlier in this resolution, proposed programmatic changes to the GTSR program are evaluated to determine whether they result in a structural or capacity change to the program.  For this particular proposal however, a different analysis is applied because it is subject to OP 11 in the 2016 Decision, which does not permit GHG emissions reduction claims to be made in any GTSR marketing materials until “a statewide methodology is adopted for calculating greenhouse gas emissions associated with a retail product.”  However, the 2016 Decision does not require that the methodology adopted for the GTSR program must conform to the methodology contemplated by AB 1110.</w:t>
      </w:r>
    </w:p>
    <w:p w14:paraId="1F95C098" w14:textId="77777777" w:rsidR="0076358A" w:rsidRDefault="0076358A" w:rsidP="0076358A">
      <w:pPr>
        <w:pStyle w:val="DecisionText"/>
        <w:spacing w:line="240" w:lineRule="auto"/>
        <w:rPr>
          <w:rFonts w:ascii="Palatino Linotype" w:hAnsi="Palatino Linotype"/>
        </w:rPr>
      </w:pPr>
      <w:r>
        <w:rPr>
          <w:rFonts w:ascii="Palatino Linotype" w:hAnsi="Palatino Linotype"/>
        </w:rPr>
        <w:t xml:space="preserve">Because both are intended to apply to </w:t>
      </w:r>
      <w:r w:rsidRPr="002E026C">
        <w:rPr>
          <w:rFonts w:ascii="Palatino Linotype" w:hAnsi="Palatino Linotype"/>
          <w:i/>
          <w:iCs/>
        </w:rPr>
        <w:t>portfolios</w:t>
      </w:r>
      <w:r>
        <w:rPr>
          <w:rFonts w:ascii="Palatino Linotype" w:hAnsi="Palatino Linotype"/>
        </w:rPr>
        <w:t xml:space="preserve"> of resources, it is not clear whether the method that AB 1110 requires the CEC to develop, or the Clean Net Short method, are appropriate specifically for characterizing the emissions associated with individual retail products, such as GTSR products.  Regardless, neither has been adopted for that purpose.  Moreover, the record on this matter is insufficient to determine whether CARB’s VREP methodology is appropriate and fulfills the requirements of OP 11 of the 2016 Decision. Therefore, the IOUs’ request to use the CARB’s VREP methodology is rejected, as is TURN’s proposal to use the Clean Net Short methodology.  </w:t>
      </w:r>
    </w:p>
    <w:p w14:paraId="4F0A3899" w14:textId="77777777" w:rsidR="0076358A" w:rsidRDefault="0076358A" w:rsidP="0076358A">
      <w:pPr>
        <w:pStyle w:val="DecisionText"/>
        <w:spacing w:line="240" w:lineRule="auto"/>
        <w:rPr>
          <w:rFonts w:ascii="Palatino Linotype" w:hAnsi="Palatino Linotype"/>
        </w:rPr>
      </w:pPr>
      <w:r>
        <w:rPr>
          <w:rFonts w:ascii="Palatino Linotype" w:hAnsi="Palatino Linotype"/>
        </w:rPr>
        <w:t xml:space="preserve">OP 11 of the 2015 GTSR Decision directed the IOUs to host an annual forum </w:t>
      </w:r>
      <w:r w:rsidRPr="002527CE">
        <w:rPr>
          <w:rFonts w:ascii="Palatino Linotype" w:hAnsi="Palatino Linotype"/>
        </w:rPr>
        <w:t>once per year in order to meet with project developers to discuss the</w:t>
      </w:r>
      <w:r>
        <w:rPr>
          <w:rFonts w:ascii="Palatino Linotype" w:hAnsi="Palatino Linotype"/>
        </w:rPr>
        <w:t xml:space="preserve">ir </w:t>
      </w:r>
      <w:r w:rsidRPr="002527CE">
        <w:rPr>
          <w:rFonts w:ascii="Palatino Linotype" w:hAnsi="Palatino Linotype"/>
        </w:rPr>
        <w:t xml:space="preserve">experience participating in the </w:t>
      </w:r>
      <w:r>
        <w:rPr>
          <w:rFonts w:ascii="Palatino Linotype" w:hAnsi="Palatino Linotype"/>
        </w:rPr>
        <w:t>GTSR</w:t>
      </w:r>
      <w:r w:rsidRPr="002527CE">
        <w:rPr>
          <w:rFonts w:ascii="Palatino Linotype" w:hAnsi="Palatino Linotype"/>
        </w:rPr>
        <w:t xml:space="preserve"> program.</w:t>
      </w:r>
      <w:r>
        <w:rPr>
          <w:rFonts w:ascii="Palatino Linotype" w:hAnsi="Palatino Linotype"/>
        </w:rPr>
        <w:t xml:space="preserve">  This is an ideal venue for s</w:t>
      </w:r>
      <w:r w:rsidRPr="00FA492E">
        <w:rPr>
          <w:rFonts w:ascii="Palatino Linotype" w:hAnsi="Palatino Linotype"/>
        </w:rPr>
        <w:t>takeholders</w:t>
      </w:r>
      <w:r>
        <w:rPr>
          <w:rFonts w:ascii="Palatino Linotype" w:hAnsi="Palatino Linotype"/>
        </w:rPr>
        <w:t xml:space="preserve"> to </w:t>
      </w:r>
      <w:r w:rsidR="00C36C2A">
        <w:rPr>
          <w:rFonts w:ascii="Palatino Linotype" w:hAnsi="Palatino Linotype"/>
        </w:rPr>
        <w:t xml:space="preserve">begin the process for </w:t>
      </w:r>
      <w:r>
        <w:rPr>
          <w:rFonts w:ascii="Palatino Linotype" w:hAnsi="Palatino Linotype"/>
        </w:rPr>
        <w:t>developing an acceptable GHG emissions reduction approach and value, and to achieve consensus on a single proposal that reflects a shared methodology and framework for calculating and marketing GHG emissions reductions.  Following this forum,</w:t>
      </w:r>
      <w:r w:rsidR="0060154B">
        <w:rPr>
          <w:rFonts w:ascii="Palatino Linotype" w:hAnsi="Palatino Linotype"/>
        </w:rPr>
        <w:t xml:space="preserve"> </w:t>
      </w:r>
      <w:r>
        <w:rPr>
          <w:rFonts w:ascii="Palatino Linotype" w:hAnsi="Palatino Linotype"/>
        </w:rPr>
        <w:t xml:space="preserve">the IOUs shall </w:t>
      </w:r>
      <w:r w:rsidR="00C36C2A">
        <w:rPr>
          <w:rFonts w:ascii="Palatino Linotype" w:hAnsi="Palatino Linotype"/>
        </w:rPr>
        <w:t xml:space="preserve">host </w:t>
      </w:r>
      <w:r w:rsidR="00F8273F">
        <w:rPr>
          <w:rFonts w:ascii="Palatino Linotype" w:hAnsi="Palatino Linotype"/>
        </w:rPr>
        <w:t xml:space="preserve">a </w:t>
      </w:r>
      <w:r w:rsidR="00C36C2A">
        <w:rPr>
          <w:rFonts w:ascii="Palatino Linotype" w:hAnsi="Palatino Linotype"/>
        </w:rPr>
        <w:t xml:space="preserve">workshop noticed to all parties in this proceeding, then </w:t>
      </w:r>
      <w:r>
        <w:rPr>
          <w:rFonts w:ascii="Palatino Linotype" w:hAnsi="Palatino Linotype"/>
        </w:rPr>
        <w:t xml:space="preserve">file a joint Tier </w:t>
      </w:r>
      <w:r w:rsidR="00C36C2A">
        <w:rPr>
          <w:rFonts w:ascii="Palatino Linotype" w:hAnsi="Palatino Linotype"/>
        </w:rPr>
        <w:t xml:space="preserve">3 </w:t>
      </w:r>
      <w:r>
        <w:rPr>
          <w:rFonts w:ascii="Palatino Linotype" w:hAnsi="Palatino Linotype"/>
        </w:rPr>
        <w:t xml:space="preserve">AL </w:t>
      </w:r>
      <w:r w:rsidR="00071357">
        <w:rPr>
          <w:rFonts w:ascii="Palatino Linotype" w:hAnsi="Palatino Linotype"/>
        </w:rPr>
        <w:t xml:space="preserve">which </w:t>
      </w:r>
      <w:r w:rsidR="00C578CE">
        <w:rPr>
          <w:rFonts w:ascii="Palatino Linotype" w:hAnsi="Palatino Linotype"/>
        </w:rPr>
        <w:t>addresses</w:t>
      </w:r>
      <w:r w:rsidR="00071357">
        <w:rPr>
          <w:rFonts w:ascii="Palatino Linotype" w:hAnsi="Palatino Linotype"/>
        </w:rPr>
        <w:t xml:space="preserve"> the pros and cons of each considered proposal </w:t>
      </w:r>
      <w:r>
        <w:rPr>
          <w:rFonts w:ascii="Palatino Linotype" w:hAnsi="Palatino Linotype"/>
        </w:rPr>
        <w:t xml:space="preserve">to implement this methodology and its results for incorporation into their respective GTSR product marketing materials. </w:t>
      </w:r>
      <w:r w:rsidR="00CE2ECE">
        <w:rPr>
          <w:rFonts w:ascii="Palatino Linotype" w:hAnsi="Palatino Linotype"/>
        </w:rPr>
        <w:t xml:space="preserve"> This AL must include consideration of the </w:t>
      </w:r>
      <w:r w:rsidR="00CE2ECE">
        <w:t>Power Source Disclosure Program and the Clean Net Short methodology as proposed by TURN in comments to this Resolution.</w:t>
      </w:r>
    </w:p>
    <w:p w14:paraId="562A13F5" w14:textId="77777777" w:rsidR="00032E00" w:rsidRDefault="00D977CF">
      <w:pPr>
        <w:pStyle w:val="Heading4"/>
      </w:pPr>
      <w:bookmarkStart w:id="52" w:name="_Toc529915571"/>
      <w:bookmarkStart w:id="53" w:name="_Toc12442436"/>
      <w:bookmarkStart w:id="54" w:name="_Toc20145934"/>
      <w:bookmarkEnd w:id="51"/>
      <w:r w:rsidRPr="00FA492E">
        <w:lastRenderedPageBreak/>
        <w:t>ECR Procurement Timeframe</w:t>
      </w:r>
      <w:bookmarkEnd w:id="52"/>
      <w:bookmarkEnd w:id="53"/>
      <w:bookmarkEnd w:id="54"/>
    </w:p>
    <w:p w14:paraId="274C77B2" w14:textId="77777777" w:rsidR="0076358A" w:rsidRPr="00FA492E" w:rsidRDefault="0076358A" w:rsidP="0076358A">
      <w:pPr>
        <w:pStyle w:val="DecisionText"/>
        <w:spacing w:line="240" w:lineRule="auto"/>
        <w:rPr>
          <w:rFonts w:ascii="Palatino Linotype" w:hAnsi="Palatino Linotype"/>
        </w:rPr>
      </w:pPr>
      <w:r>
        <w:rPr>
          <w:rFonts w:ascii="Palatino Linotype" w:hAnsi="Palatino Linotype"/>
        </w:rPr>
        <w:t>The 2016 Decision</w:t>
      </w:r>
      <w:r w:rsidRPr="00FA492E">
        <w:rPr>
          <w:rStyle w:val="FootnoteReference"/>
          <w:rFonts w:ascii="Palatino Linotype" w:hAnsi="Palatino Linotype"/>
        </w:rPr>
        <w:footnoteReference w:id="45"/>
      </w:r>
      <w:r w:rsidRPr="00FA492E">
        <w:rPr>
          <w:rFonts w:ascii="Palatino Linotype" w:hAnsi="Palatino Linotype"/>
        </w:rPr>
        <w:t xml:space="preserve"> compels the IOUs to hold two ECR solicitations a year through the end of 2018</w:t>
      </w:r>
      <w:r>
        <w:rPr>
          <w:rFonts w:ascii="Palatino Linotype" w:hAnsi="Palatino Linotype"/>
        </w:rPr>
        <w:t xml:space="preserve">, but </w:t>
      </w:r>
      <w:r w:rsidRPr="00FA492E">
        <w:rPr>
          <w:rFonts w:ascii="Palatino Linotype" w:hAnsi="Palatino Linotype"/>
        </w:rPr>
        <w:t xml:space="preserve">does not specify what should occur after 2018.  </w:t>
      </w:r>
    </w:p>
    <w:p w14:paraId="3B98AB66" w14:textId="77777777" w:rsidR="0076358A" w:rsidRPr="00FA492E" w:rsidRDefault="0076358A" w:rsidP="0076358A">
      <w:pPr>
        <w:pStyle w:val="DecisionText"/>
        <w:spacing w:line="240" w:lineRule="auto"/>
        <w:rPr>
          <w:rFonts w:ascii="Palatino Linotype" w:hAnsi="Palatino Linotype"/>
        </w:rPr>
      </w:pPr>
      <w:r w:rsidRPr="00FA492E">
        <w:rPr>
          <w:rFonts w:ascii="Palatino Linotype" w:hAnsi="Palatino Linotype"/>
        </w:rPr>
        <w:t xml:space="preserve">SDG&amp;E proposes to hold one solicitation in 2019 and one solicitation </w:t>
      </w:r>
      <w:r>
        <w:rPr>
          <w:rFonts w:ascii="Palatino Linotype" w:hAnsi="Palatino Linotype"/>
        </w:rPr>
        <w:t xml:space="preserve">per year </w:t>
      </w:r>
      <w:r w:rsidRPr="00FA492E">
        <w:rPr>
          <w:rFonts w:ascii="Palatino Linotype" w:hAnsi="Palatino Linotype"/>
        </w:rPr>
        <w:t>each year thereafter until capacity procured is equal to SDG&amp;E’s entire GTSR program 59 MW capacity target. Th</w:t>
      </w:r>
      <w:r>
        <w:rPr>
          <w:rFonts w:ascii="Palatino Linotype" w:hAnsi="Palatino Linotype"/>
        </w:rPr>
        <w:t>e</w:t>
      </w:r>
      <w:r w:rsidRPr="00FA492E">
        <w:rPr>
          <w:rFonts w:ascii="Palatino Linotype" w:hAnsi="Palatino Linotype"/>
        </w:rPr>
        <w:t xml:space="preserve"> annual solicitation will be for remaining GT, EJ or ECR capacity. SDG&amp;E believes that annual solicitations for remaining capacity will result in more robust and competitive solicitations, as SDG&amp;E has seen participant interest in its solicitations </w:t>
      </w:r>
      <w:r>
        <w:rPr>
          <w:rFonts w:ascii="Palatino Linotype" w:hAnsi="Palatino Linotype"/>
        </w:rPr>
        <w:t>decline</w:t>
      </w:r>
      <w:r w:rsidRPr="00FA492E">
        <w:rPr>
          <w:rFonts w:ascii="Palatino Linotype" w:hAnsi="Palatino Linotype"/>
        </w:rPr>
        <w:t xml:space="preserve"> with each solicitation.</w:t>
      </w:r>
    </w:p>
    <w:p w14:paraId="6AF449AF" w14:textId="77777777" w:rsidR="0076358A" w:rsidRPr="00FA492E" w:rsidRDefault="0076358A" w:rsidP="0076358A">
      <w:pPr>
        <w:pStyle w:val="DecisionText"/>
        <w:spacing w:line="240" w:lineRule="auto"/>
        <w:rPr>
          <w:rFonts w:ascii="Palatino Linotype" w:hAnsi="Palatino Linotype"/>
        </w:rPr>
      </w:pPr>
      <w:r>
        <w:rPr>
          <w:rFonts w:ascii="Palatino Linotype" w:hAnsi="Palatino Linotype"/>
        </w:rPr>
        <w:t xml:space="preserve">In contrast, </w:t>
      </w:r>
      <w:r w:rsidRPr="00FA492E">
        <w:rPr>
          <w:rFonts w:ascii="Palatino Linotype" w:hAnsi="Palatino Linotype"/>
        </w:rPr>
        <w:t xml:space="preserve">PG&amp;E </w:t>
      </w:r>
      <w:r>
        <w:rPr>
          <w:rFonts w:ascii="Palatino Linotype" w:hAnsi="Palatino Linotype"/>
        </w:rPr>
        <w:t>proposes</w:t>
      </w:r>
      <w:r w:rsidRPr="00FA492E">
        <w:rPr>
          <w:rFonts w:ascii="Palatino Linotype" w:hAnsi="Palatino Linotype"/>
        </w:rPr>
        <w:t xml:space="preserve"> a year-round procurement process that would give developers more control over the timing of their project development cycle.  PG&amp;E believes that a year-round accessible procurement process could allow developers to match the timing of their bids with their own project’s unique development cycles and constraints. The developer would not have to wait until an open solicitation period, but rather could offer a bid at any time while MWs remain under the program</w:t>
      </w:r>
      <w:r>
        <w:rPr>
          <w:rFonts w:ascii="Palatino Linotype" w:hAnsi="Palatino Linotype"/>
        </w:rPr>
        <w:t xml:space="preserve"> cap</w:t>
      </w:r>
      <w:r w:rsidRPr="00FA492E">
        <w:rPr>
          <w:rFonts w:ascii="Palatino Linotype" w:hAnsi="Palatino Linotype"/>
        </w:rPr>
        <w:t>.  All the existing project bid package and eligibility requirements would remain, and projects that meet the E</w:t>
      </w:r>
      <w:r>
        <w:rPr>
          <w:rFonts w:ascii="Palatino Linotype" w:hAnsi="Palatino Linotype"/>
        </w:rPr>
        <w:t xml:space="preserve">J </w:t>
      </w:r>
      <w:r w:rsidRPr="00FA492E">
        <w:rPr>
          <w:rFonts w:ascii="Palatino Linotype" w:hAnsi="Palatino Linotype"/>
        </w:rPr>
        <w:t>requirements would continue to have pr</w:t>
      </w:r>
      <w:r>
        <w:rPr>
          <w:rFonts w:ascii="Palatino Linotype" w:hAnsi="Palatino Linotype"/>
        </w:rPr>
        <w:t>iority</w:t>
      </w:r>
      <w:r w:rsidRPr="00FA492E">
        <w:rPr>
          <w:rFonts w:ascii="Palatino Linotype" w:hAnsi="Palatino Linotype"/>
        </w:rPr>
        <w:t xml:space="preserve"> as they do today.</w:t>
      </w:r>
      <w:r w:rsidRPr="00FA492E">
        <w:rPr>
          <w:rStyle w:val="FootnoteReference"/>
          <w:rFonts w:ascii="Palatino Linotype" w:hAnsi="Palatino Linotype"/>
        </w:rPr>
        <w:footnoteReference w:id="46"/>
      </w:r>
    </w:p>
    <w:p w14:paraId="38BBB26A" w14:textId="77777777" w:rsidR="0076358A" w:rsidRPr="00FA492E" w:rsidRDefault="0076358A" w:rsidP="0076358A">
      <w:pPr>
        <w:pStyle w:val="DecisionText"/>
        <w:spacing w:line="240" w:lineRule="auto"/>
        <w:rPr>
          <w:rFonts w:ascii="Palatino Linotype" w:hAnsi="Palatino Linotype"/>
        </w:rPr>
      </w:pPr>
      <w:r w:rsidRPr="00FA492E">
        <w:rPr>
          <w:rFonts w:ascii="Palatino Linotype" w:hAnsi="Palatino Linotype"/>
        </w:rPr>
        <w:t xml:space="preserve">PG&amp;E provided additional details at the </w:t>
      </w:r>
      <w:r>
        <w:rPr>
          <w:rFonts w:ascii="Palatino Linotype" w:hAnsi="Palatino Linotype"/>
        </w:rPr>
        <w:t>GTSR Program Forum</w:t>
      </w:r>
      <w:r w:rsidRPr="00FA492E">
        <w:rPr>
          <w:rFonts w:ascii="Palatino Linotype" w:hAnsi="Palatino Linotype"/>
        </w:rPr>
        <w:t xml:space="preserve"> and proposed streamlining the process with an annual filing to reduce the administrative burden on utility and regulatory staff, and to provide for more robust solicitations.  Initial thoughts discussed at the forum included an open window period such as during the first week of each quarter when developers could submit bids: this would allow the IOUs to batch-review the bids during specified windows to go through the evaluation process.</w:t>
      </w:r>
      <w:r>
        <w:rPr>
          <w:rFonts w:ascii="Palatino Linotype" w:hAnsi="Palatino Linotype"/>
        </w:rPr>
        <w:t xml:space="preserve">  In their protests, TURN and the </w:t>
      </w:r>
      <w:r w:rsidRPr="00FA492E">
        <w:rPr>
          <w:rFonts w:ascii="Palatino Linotype" w:hAnsi="Palatino Linotype"/>
        </w:rPr>
        <w:t>Joint Solar Interests support PG&amp;E’s proposal</w:t>
      </w:r>
      <w:r>
        <w:rPr>
          <w:rFonts w:ascii="Palatino Linotype" w:hAnsi="Palatino Linotype"/>
        </w:rPr>
        <w:t>.</w:t>
      </w:r>
      <w:r w:rsidRPr="00FA492E">
        <w:rPr>
          <w:rFonts w:ascii="Palatino Linotype" w:hAnsi="Palatino Linotype"/>
        </w:rPr>
        <w:t xml:space="preserve"> </w:t>
      </w:r>
    </w:p>
    <w:p w14:paraId="13B85F75" w14:textId="77777777" w:rsidR="0076358A" w:rsidRPr="00FA492E" w:rsidRDefault="0076358A" w:rsidP="0076358A">
      <w:pPr>
        <w:pStyle w:val="DecisionText"/>
        <w:spacing w:line="240" w:lineRule="auto"/>
        <w:rPr>
          <w:rFonts w:ascii="Palatino Linotype" w:hAnsi="Palatino Linotype"/>
        </w:rPr>
      </w:pPr>
      <w:r>
        <w:rPr>
          <w:rFonts w:ascii="Palatino Linotype" w:hAnsi="Palatino Linotype"/>
        </w:rPr>
        <w:t xml:space="preserve">In its reply, </w:t>
      </w:r>
      <w:r w:rsidRPr="00FA492E">
        <w:rPr>
          <w:rFonts w:ascii="Palatino Linotype" w:hAnsi="Palatino Linotype"/>
        </w:rPr>
        <w:t xml:space="preserve">SDG&amp;E indicated that it </w:t>
      </w:r>
      <w:r>
        <w:rPr>
          <w:rFonts w:ascii="Palatino Linotype" w:hAnsi="Palatino Linotype"/>
        </w:rPr>
        <w:t xml:space="preserve">is open to holding </w:t>
      </w:r>
      <w:r w:rsidRPr="00FA492E">
        <w:rPr>
          <w:rFonts w:ascii="Palatino Linotype" w:hAnsi="Palatino Linotype"/>
        </w:rPr>
        <w:t xml:space="preserve">year-round </w:t>
      </w:r>
      <w:r>
        <w:rPr>
          <w:rFonts w:ascii="Palatino Linotype" w:hAnsi="Palatino Linotype"/>
        </w:rPr>
        <w:t>solicitations</w:t>
      </w:r>
      <w:r w:rsidRPr="00FA492E">
        <w:rPr>
          <w:rFonts w:ascii="Palatino Linotype" w:hAnsi="Palatino Linotype"/>
        </w:rPr>
        <w:t xml:space="preserve"> as proposed by PG&amp;E, but noted that this process would take time </w:t>
      </w:r>
      <w:r>
        <w:rPr>
          <w:rFonts w:ascii="Palatino Linotype" w:hAnsi="Palatino Linotype"/>
        </w:rPr>
        <w:t xml:space="preserve">to </w:t>
      </w:r>
      <w:r w:rsidRPr="00FA492E">
        <w:rPr>
          <w:rFonts w:ascii="Palatino Linotype" w:hAnsi="Palatino Linotype"/>
        </w:rPr>
        <w:t>develop, as a Commission-approved year-round procurement program does not yet exist.</w:t>
      </w:r>
      <w:r w:rsidRPr="00FA492E">
        <w:rPr>
          <w:rStyle w:val="FootnoteReference"/>
          <w:rFonts w:ascii="Palatino Linotype" w:hAnsi="Palatino Linotype"/>
        </w:rPr>
        <w:footnoteReference w:id="47"/>
      </w:r>
      <w:r w:rsidRPr="00FA492E">
        <w:rPr>
          <w:rFonts w:ascii="Palatino Linotype" w:hAnsi="Palatino Linotype"/>
        </w:rPr>
        <w:t xml:space="preserve">  </w:t>
      </w:r>
      <w:r w:rsidRPr="00FA492E">
        <w:rPr>
          <w:rFonts w:ascii="Palatino Linotype" w:hAnsi="Palatino Linotype"/>
        </w:rPr>
        <w:lastRenderedPageBreak/>
        <w:t xml:space="preserve">If such a program were to be developed, SDG&amp;E believes it would be beneficial for EJ projects to participate in the year-round procurement process for </w:t>
      </w:r>
      <w:r>
        <w:rPr>
          <w:rFonts w:ascii="Palatino Linotype" w:hAnsi="Palatino Linotype"/>
        </w:rPr>
        <w:t>either</w:t>
      </w:r>
      <w:r w:rsidRPr="00FA492E">
        <w:rPr>
          <w:rFonts w:ascii="Palatino Linotype" w:hAnsi="Palatino Linotype"/>
        </w:rPr>
        <w:t xml:space="preserve"> GT or ECR projects.  For non-EJ-GT solicitations</w:t>
      </w:r>
      <w:r>
        <w:rPr>
          <w:rFonts w:ascii="Palatino Linotype" w:hAnsi="Palatino Linotype"/>
        </w:rPr>
        <w:t>,</w:t>
      </w:r>
      <w:r w:rsidRPr="00FA492E">
        <w:rPr>
          <w:rFonts w:ascii="Palatino Linotype" w:hAnsi="Palatino Linotype"/>
        </w:rPr>
        <w:t xml:space="preserve"> SDG&amp;E</w:t>
      </w:r>
      <w:r>
        <w:rPr>
          <w:rFonts w:ascii="Palatino Linotype" w:hAnsi="Palatino Linotype"/>
        </w:rPr>
        <w:t xml:space="preserve"> proposes</w:t>
      </w:r>
      <w:r w:rsidRPr="00FA492E">
        <w:rPr>
          <w:rFonts w:ascii="Palatino Linotype" w:hAnsi="Palatino Linotype"/>
        </w:rPr>
        <w:t xml:space="preserve"> to hold an annual competitive solicitation, w</w:t>
      </w:r>
      <w:r>
        <w:rPr>
          <w:rFonts w:ascii="Palatino Linotype" w:hAnsi="Palatino Linotype"/>
        </w:rPr>
        <w:t>ith authority to</w:t>
      </w:r>
      <w:r w:rsidRPr="00FA492E">
        <w:rPr>
          <w:rFonts w:ascii="Palatino Linotype" w:hAnsi="Palatino Linotype"/>
        </w:rPr>
        <w:t xml:space="preserve"> increase in frequency, if needed, to support customer demand for its GT program.</w:t>
      </w:r>
    </w:p>
    <w:p w14:paraId="2332C1E7" w14:textId="77777777" w:rsidR="0076358A" w:rsidRDefault="0076358A" w:rsidP="0076358A">
      <w:pPr>
        <w:pStyle w:val="DecisionText"/>
        <w:spacing w:line="240" w:lineRule="auto"/>
        <w:rPr>
          <w:rFonts w:ascii="Palatino Linotype" w:hAnsi="Palatino Linotype"/>
        </w:rPr>
      </w:pPr>
      <w:r>
        <w:rPr>
          <w:rFonts w:ascii="Palatino Linotype" w:hAnsi="Palatino Linotype"/>
        </w:rPr>
        <w:t>Developer</w:t>
      </w:r>
      <w:r w:rsidRPr="00FA492E">
        <w:rPr>
          <w:rFonts w:ascii="Palatino Linotype" w:hAnsi="Palatino Linotype"/>
        </w:rPr>
        <w:t xml:space="preserve"> burdens would be eased if PG&amp;E’s proposal to make procurement available year-round</w:t>
      </w:r>
      <w:r>
        <w:rPr>
          <w:rFonts w:ascii="Palatino Linotype" w:hAnsi="Palatino Linotype"/>
        </w:rPr>
        <w:t xml:space="preserve"> was implemented</w:t>
      </w:r>
      <w:r w:rsidRPr="00FA492E">
        <w:rPr>
          <w:rFonts w:ascii="Palatino Linotype" w:hAnsi="Palatino Linotype"/>
        </w:rPr>
        <w:t xml:space="preserve">; developers </w:t>
      </w:r>
      <w:r>
        <w:rPr>
          <w:rFonts w:ascii="Palatino Linotype" w:hAnsi="Palatino Linotype"/>
        </w:rPr>
        <w:t xml:space="preserve">would be </w:t>
      </w:r>
      <w:r w:rsidRPr="00FA492E">
        <w:rPr>
          <w:rFonts w:ascii="Palatino Linotype" w:hAnsi="Palatino Linotype"/>
        </w:rPr>
        <w:t>more confident in expending money to prepare bids without worrying about missing a 30-day window.</w:t>
      </w:r>
      <w:r w:rsidRPr="00FA492E">
        <w:rPr>
          <w:rStyle w:val="FootnoteReference"/>
          <w:rFonts w:ascii="Palatino Linotype" w:hAnsi="Palatino Linotype" w:cs="Garamond"/>
          <w:sz w:val="24"/>
          <w:szCs w:val="24"/>
        </w:rPr>
        <w:footnoteReference w:id="48"/>
      </w:r>
      <w:r w:rsidRPr="00FA492E">
        <w:rPr>
          <w:rFonts w:ascii="Palatino Linotype" w:hAnsi="Palatino Linotype"/>
        </w:rPr>
        <w:t xml:space="preserve"> </w:t>
      </w:r>
    </w:p>
    <w:p w14:paraId="6D458FCF" w14:textId="77777777" w:rsidR="0076358A" w:rsidRDefault="0076358A" w:rsidP="0076358A">
      <w:pPr>
        <w:pStyle w:val="DecisionText"/>
        <w:spacing w:line="240" w:lineRule="auto"/>
        <w:rPr>
          <w:rFonts w:ascii="Palatino Linotype" w:hAnsi="Palatino Linotype"/>
        </w:rPr>
      </w:pPr>
      <w:r>
        <w:rPr>
          <w:rFonts w:ascii="Palatino Linotype" w:hAnsi="Palatino Linotype"/>
        </w:rPr>
        <w:t xml:space="preserve">We conclude first that neither PG&amp;E’s nor SDG&amp;E’s proposed modifications would result in a different structure or a materially different capacity to the program: under either scenario, the program would still retain a competitive procurement process, the only change being the timing, availability and/or frequency of solicitations.  As a result, it is appropriate to consider these proposals in the AL process. </w:t>
      </w:r>
    </w:p>
    <w:p w14:paraId="20AAF0B0" w14:textId="77777777" w:rsidR="0076358A" w:rsidRDefault="0076358A" w:rsidP="0076358A">
      <w:pPr>
        <w:pStyle w:val="DecisionText"/>
        <w:spacing w:line="240" w:lineRule="auto"/>
        <w:rPr>
          <w:rFonts w:ascii="Palatino Linotype" w:hAnsi="Palatino Linotype"/>
        </w:rPr>
      </w:pPr>
      <w:r>
        <w:rPr>
          <w:rFonts w:ascii="Palatino Linotype" w:hAnsi="Palatino Linotype"/>
        </w:rPr>
        <w:t xml:space="preserve">We also conclude that PG&amp;E’s proposal for a year-round procurement process </w:t>
      </w:r>
      <w:r w:rsidR="00350E4F">
        <w:rPr>
          <w:rFonts w:ascii="Palatino Linotype" w:hAnsi="Palatino Linotype"/>
        </w:rPr>
        <w:t xml:space="preserve">could </w:t>
      </w:r>
      <w:r>
        <w:rPr>
          <w:rFonts w:ascii="Palatino Linotype" w:hAnsi="Palatino Linotype"/>
        </w:rPr>
        <w:t>encourage more developers to participate and b</w:t>
      </w:r>
      <w:r w:rsidRPr="00FA492E">
        <w:rPr>
          <w:rFonts w:ascii="Palatino Linotype" w:hAnsi="Palatino Linotype"/>
        </w:rPr>
        <w:t>e particularly helpful in promoting projects in EJ communities</w:t>
      </w:r>
      <w:r>
        <w:rPr>
          <w:rFonts w:ascii="Palatino Linotype" w:hAnsi="Palatino Linotype"/>
        </w:rPr>
        <w:t xml:space="preserve">.  We therefore approve it in concept since it still </w:t>
      </w:r>
      <w:r w:rsidRPr="00FA492E">
        <w:rPr>
          <w:rFonts w:ascii="Palatino Linotype" w:hAnsi="Palatino Linotype"/>
        </w:rPr>
        <w:t xml:space="preserve">lacks </w:t>
      </w:r>
      <w:r>
        <w:rPr>
          <w:rFonts w:ascii="Palatino Linotype" w:hAnsi="Palatino Linotype"/>
        </w:rPr>
        <w:t xml:space="preserve">specific details for us to adopt.  </w:t>
      </w:r>
      <w:r w:rsidRPr="00FA492E">
        <w:rPr>
          <w:rFonts w:ascii="Palatino Linotype" w:hAnsi="Palatino Linotype"/>
        </w:rPr>
        <w:t xml:space="preserve">  </w:t>
      </w:r>
    </w:p>
    <w:p w14:paraId="58E04669" w14:textId="77777777" w:rsidR="00032E00" w:rsidRDefault="00D977CF">
      <w:pPr>
        <w:pStyle w:val="DecisionText"/>
        <w:spacing w:line="240" w:lineRule="auto"/>
        <w:rPr>
          <w:rFonts w:ascii="Palatino Linotype" w:hAnsi="Palatino Linotype"/>
        </w:rPr>
      </w:pPr>
      <w:r>
        <w:rPr>
          <w:rFonts w:ascii="Palatino Linotype" w:hAnsi="Palatino Linotype"/>
        </w:rPr>
        <w:t xml:space="preserve">OP 11 of the 2015 GTSR Decision directed the IOUs to host an annual forum </w:t>
      </w:r>
      <w:r w:rsidRPr="002527CE">
        <w:rPr>
          <w:rFonts w:ascii="Palatino Linotype" w:hAnsi="Palatino Linotype"/>
        </w:rPr>
        <w:t>once per year in order to meet with project developers to discuss the</w:t>
      </w:r>
      <w:r>
        <w:rPr>
          <w:rFonts w:ascii="Palatino Linotype" w:hAnsi="Palatino Linotype"/>
        </w:rPr>
        <w:t xml:space="preserve">ir </w:t>
      </w:r>
      <w:r w:rsidRPr="002527CE">
        <w:rPr>
          <w:rFonts w:ascii="Palatino Linotype" w:hAnsi="Palatino Linotype"/>
        </w:rPr>
        <w:t xml:space="preserve">experience participating in the </w:t>
      </w:r>
      <w:r>
        <w:rPr>
          <w:rFonts w:ascii="Palatino Linotype" w:hAnsi="Palatino Linotype"/>
        </w:rPr>
        <w:t>GTSR</w:t>
      </w:r>
      <w:r w:rsidRPr="002527CE">
        <w:rPr>
          <w:rFonts w:ascii="Palatino Linotype" w:hAnsi="Palatino Linotype"/>
        </w:rPr>
        <w:t xml:space="preserve"> program.</w:t>
      </w:r>
      <w:r>
        <w:rPr>
          <w:rFonts w:ascii="Palatino Linotype" w:hAnsi="Palatino Linotype"/>
        </w:rPr>
        <w:t xml:space="preserve">  This would be an ideal forum by which PG&amp;E leads a discussion with </w:t>
      </w:r>
      <w:r w:rsidRPr="00FA492E">
        <w:rPr>
          <w:rFonts w:ascii="Palatino Linotype" w:hAnsi="Palatino Linotype"/>
        </w:rPr>
        <w:t>key stakeholders</w:t>
      </w:r>
      <w:r>
        <w:rPr>
          <w:rFonts w:ascii="Palatino Linotype" w:hAnsi="Palatino Linotype"/>
        </w:rPr>
        <w:t xml:space="preserve"> </w:t>
      </w:r>
      <w:r w:rsidRPr="00FA492E">
        <w:rPr>
          <w:rFonts w:ascii="Palatino Linotype" w:hAnsi="Palatino Linotype"/>
        </w:rPr>
        <w:t xml:space="preserve">to </w:t>
      </w:r>
      <w:r>
        <w:rPr>
          <w:rFonts w:ascii="Palatino Linotype" w:hAnsi="Palatino Linotype"/>
        </w:rPr>
        <w:t>develop the details of a year-round</w:t>
      </w:r>
      <w:r w:rsidRPr="00FA492E">
        <w:rPr>
          <w:rFonts w:ascii="Palatino Linotype" w:hAnsi="Palatino Linotype"/>
        </w:rPr>
        <w:t xml:space="preserve"> procurement process</w:t>
      </w:r>
      <w:r>
        <w:rPr>
          <w:rFonts w:ascii="Palatino Linotype" w:hAnsi="Palatino Linotype"/>
        </w:rPr>
        <w:t xml:space="preserve">.  Following that workshop, the IOUs shall submit a joint Tier </w:t>
      </w:r>
      <w:r w:rsidR="00E27A05">
        <w:rPr>
          <w:rFonts w:ascii="Palatino Linotype" w:hAnsi="Palatino Linotype"/>
        </w:rPr>
        <w:t xml:space="preserve">2 </w:t>
      </w:r>
      <w:r>
        <w:rPr>
          <w:rFonts w:ascii="Palatino Linotype" w:hAnsi="Palatino Linotype"/>
        </w:rPr>
        <w:t>AL seeking approval of the new process.  Until such a year-round process is approved, the IOUs are directed to hold at least one solicitation per 12-month period</w:t>
      </w:r>
      <w:r w:rsidR="00EF1875">
        <w:rPr>
          <w:rFonts w:ascii="Palatino Linotype" w:hAnsi="Palatino Linotype"/>
        </w:rPr>
        <w:t xml:space="preserve">. </w:t>
      </w:r>
    </w:p>
    <w:p w14:paraId="2EFA0602" w14:textId="77777777" w:rsidR="0076358A" w:rsidRPr="00FA492E" w:rsidRDefault="0076358A" w:rsidP="0076358A">
      <w:pPr>
        <w:pStyle w:val="Heading4"/>
      </w:pPr>
      <w:bookmarkStart w:id="55" w:name="_Toc529915573"/>
      <w:bookmarkStart w:id="56" w:name="_Toc12442437"/>
      <w:bookmarkStart w:id="57" w:name="_Toc20145935"/>
      <w:r w:rsidRPr="00FA492E">
        <w:lastRenderedPageBreak/>
        <w:t>Reducing the Number of Reports</w:t>
      </w:r>
      <w:bookmarkEnd w:id="55"/>
      <w:bookmarkEnd w:id="56"/>
      <w:bookmarkEnd w:id="57"/>
    </w:p>
    <w:p w14:paraId="48C548BA" w14:textId="77777777" w:rsidR="0076358A" w:rsidRPr="00FA492E" w:rsidRDefault="0076358A" w:rsidP="0076358A">
      <w:pPr>
        <w:pStyle w:val="DecisionText"/>
        <w:spacing w:line="240" w:lineRule="auto"/>
        <w:rPr>
          <w:rFonts w:ascii="Palatino Linotype" w:hAnsi="Palatino Linotype"/>
        </w:rPr>
      </w:pPr>
      <w:r w:rsidRPr="00FA492E">
        <w:rPr>
          <w:rFonts w:ascii="Palatino Linotype" w:hAnsi="Palatino Linotype"/>
        </w:rPr>
        <w:t xml:space="preserve">PG&amp;E </w:t>
      </w:r>
      <w:r>
        <w:rPr>
          <w:rFonts w:ascii="Palatino Linotype" w:hAnsi="Palatino Linotype"/>
        </w:rPr>
        <w:t>proposes to</w:t>
      </w:r>
      <w:r w:rsidRPr="00FA492E">
        <w:rPr>
          <w:rFonts w:ascii="Palatino Linotype" w:hAnsi="Palatino Linotype"/>
        </w:rPr>
        <w:t xml:space="preserve"> streamline its reporting requirements</w:t>
      </w:r>
      <w:r>
        <w:rPr>
          <w:rFonts w:ascii="Palatino Linotype" w:hAnsi="Palatino Linotype"/>
        </w:rPr>
        <w:t xml:space="preserve"> from 26</w:t>
      </w:r>
      <w:r w:rsidRPr="00FA492E">
        <w:rPr>
          <w:rFonts w:ascii="Palatino Linotype" w:hAnsi="Palatino Linotype"/>
        </w:rPr>
        <w:t xml:space="preserve"> GTSR reports or other filings </w:t>
      </w:r>
      <w:r>
        <w:rPr>
          <w:rFonts w:ascii="Palatino Linotype" w:hAnsi="Palatino Linotype"/>
        </w:rPr>
        <w:t>per</w:t>
      </w:r>
      <w:r w:rsidRPr="00FA492E">
        <w:rPr>
          <w:rFonts w:ascii="Palatino Linotype" w:hAnsi="Palatino Linotype"/>
        </w:rPr>
        <w:t xml:space="preserve"> year</w:t>
      </w:r>
      <w:r>
        <w:rPr>
          <w:rFonts w:ascii="Palatino Linotype" w:hAnsi="Palatino Linotype"/>
        </w:rPr>
        <w:t xml:space="preserve"> to </w:t>
      </w:r>
      <w:r w:rsidRPr="00FA492E">
        <w:rPr>
          <w:rFonts w:ascii="Palatino Linotype" w:hAnsi="Palatino Linotype"/>
        </w:rPr>
        <w:t xml:space="preserve">11 reports per year </w:t>
      </w:r>
      <w:r>
        <w:rPr>
          <w:rFonts w:ascii="Palatino Linotype" w:hAnsi="Palatino Linotype"/>
        </w:rPr>
        <w:t xml:space="preserve">by consolidating information.  PG&amp;E argues that a reduction in the annual reporting requirements will promote more efficient use of resources and reduce administrative costs borne by GTSR customers.  The specific reporting changes were described in Attachment C of its AL and is attached as Appendix 1 to this resolution.  </w:t>
      </w:r>
    </w:p>
    <w:p w14:paraId="5383E4C8" w14:textId="77777777" w:rsidR="0076358A" w:rsidRDefault="0076358A" w:rsidP="0076358A">
      <w:pPr>
        <w:pStyle w:val="DecisionText"/>
        <w:spacing w:line="240" w:lineRule="auto"/>
        <w:rPr>
          <w:rFonts w:ascii="Palatino Linotype" w:hAnsi="Palatino Linotype"/>
        </w:rPr>
      </w:pPr>
      <w:r w:rsidRPr="00FA492E">
        <w:rPr>
          <w:rFonts w:ascii="Palatino Linotype" w:hAnsi="Palatino Linotype"/>
        </w:rPr>
        <w:t xml:space="preserve">PG&amp;E’s reporting request was supported by TURN and CUE in their protests, and by SDG&amp;E and SCE in their comments at the </w:t>
      </w:r>
      <w:r>
        <w:rPr>
          <w:rFonts w:ascii="Palatino Linotype" w:hAnsi="Palatino Linotype"/>
        </w:rPr>
        <w:t>D</w:t>
      </w:r>
      <w:r w:rsidRPr="00FA492E">
        <w:rPr>
          <w:rFonts w:ascii="Palatino Linotype" w:hAnsi="Palatino Linotype"/>
        </w:rPr>
        <w:t xml:space="preserve">eveloper </w:t>
      </w:r>
      <w:r>
        <w:rPr>
          <w:rFonts w:ascii="Palatino Linotype" w:hAnsi="Palatino Linotype"/>
        </w:rPr>
        <w:t>F</w:t>
      </w:r>
      <w:r w:rsidRPr="00FA492E">
        <w:rPr>
          <w:rFonts w:ascii="Palatino Linotype" w:hAnsi="Palatino Linotype"/>
        </w:rPr>
        <w:t xml:space="preserve">orum.  </w:t>
      </w:r>
    </w:p>
    <w:p w14:paraId="05ECA500" w14:textId="77777777" w:rsidR="0076358A" w:rsidRPr="00FA492E" w:rsidRDefault="0076358A" w:rsidP="0076358A">
      <w:pPr>
        <w:pStyle w:val="DecisionText"/>
        <w:spacing w:line="240" w:lineRule="auto"/>
        <w:rPr>
          <w:rFonts w:ascii="Palatino Linotype" w:hAnsi="Palatino Linotype"/>
        </w:rPr>
      </w:pPr>
      <w:r>
        <w:rPr>
          <w:rFonts w:ascii="Palatino Linotype" w:hAnsi="Palatino Linotype"/>
        </w:rPr>
        <w:t xml:space="preserve">We find PG&amp;E’s request on this matter does not result in a different structure or materially different capacity to the program, and is therefore appropriate for consideration under the AL process.  We also agree with PG&amp;E’s assessment that reducing the number of annual reports by consolidating the information would likely result in more efficient use of resources and reduce administrative costs.  We therefore approve PG&amp;E’s request on this matter with one exception, the 20-year Forecast, which is discussed further below.  We hereby direct SCE and SDG&amp;E to implement the approved changes to their reporting requirements.  </w:t>
      </w:r>
    </w:p>
    <w:p w14:paraId="6282AA65" w14:textId="77777777" w:rsidR="0076358A" w:rsidRPr="00FA492E" w:rsidRDefault="0076358A" w:rsidP="0076358A">
      <w:pPr>
        <w:pStyle w:val="Heading4"/>
        <w:numPr>
          <w:ilvl w:val="0"/>
          <w:numId w:val="0"/>
        </w:numPr>
        <w:ind w:left="1080" w:hanging="360"/>
      </w:pPr>
      <w:bookmarkStart w:id="58" w:name="_Toc529915575"/>
      <w:bookmarkStart w:id="59" w:name="_Toc20145936"/>
      <w:r w:rsidRPr="00FA492E">
        <w:t>The 20-Year Forecast Advice Letter</w:t>
      </w:r>
      <w:bookmarkEnd w:id="58"/>
      <w:bookmarkEnd w:id="59"/>
    </w:p>
    <w:p w14:paraId="49CFC3C6" w14:textId="77777777" w:rsidR="0076358A" w:rsidRPr="00FA492E" w:rsidRDefault="0076358A" w:rsidP="0076358A">
      <w:pPr>
        <w:rPr>
          <w:rFonts w:ascii="Palatino Linotype" w:hAnsi="Palatino Linotype"/>
        </w:rPr>
      </w:pPr>
      <w:r>
        <w:rPr>
          <w:rFonts w:ascii="Palatino Linotype" w:hAnsi="Palatino Linotype"/>
        </w:rPr>
        <w:t>OP</w:t>
      </w:r>
      <w:r w:rsidRPr="00FA492E">
        <w:rPr>
          <w:rFonts w:ascii="Palatino Linotype" w:hAnsi="Palatino Linotype"/>
        </w:rPr>
        <w:t xml:space="preserve"> 7</w:t>
      </w:r>
      <w:r>
        <w:rPr>
          <w:rFonts w:ascii="Palatino Linotype" w:hAnsi="Palatino Linotype"/>
        </w:rPr>
        <w:t xml:space="preserve"> of the 2016 Decision</w:t>
      </w:r>
      <w:r w:rsidRPr="00FA492E">
        <w:rPr>
          <w:rFonts w:ascii="Palatino Linotype" w:hAnsi="Palatino Linotype"/>
        </w:rPr>
        <w:t xml:space="preserve"> states:</w:t>
      </w:r>
    </w:p>
    <w:p w14:paraId="42967007" w14:textId="77777777" w:rsidR="0076358A" w:rsidRPr="00FA492E" w:rsidRDefault="0076358A" w:rsidP="0076358A">
      <w:pPr>
        <w:pStyle w:val="Quote"/>
        <w:rPr>
          <w:rFonts w:ascii="Palatino Linotype" w:hAnsi="Palatino Linotype"/>
        </w:rPr>
      </w:pPr>
      <w:r w:rsidRPr="00FA492E">
        <w:rPr>
          <w:rFonts w:ascii="Palatino Linotype" w:hAnsi="Palatino Linotype"/>
        </w:rPr>
        <w:t>[the IOUs] must prepare and publicly file a 20-year forecast of bill credits and charges via Tier 1 Advice Letter, and upon approval by the Commission must publish the forecasts online within 60 days of the date of this Decision using the methodology described in Section 3.4.  Forecasts for 2017 and 2018 must be published no later than February each year.</w:t>
      </w:r>
    </w:p>
    <w:p w14:paraId="20548201" w14:textId="77777777" w:rsidR="0076358A" w:rsidRPr="00FA492E" w:rsidRDefault="0076358A" w:rsidP="0076358A">
      <w:pPr>
        <w:pStyle w:val="DecisionText"/>
        <w:spacing w:line="240" w:lineRule="auto"/>
        <w:rPr>
          <w:rFonts w:ascii="Palatino Linotype" w:hAnsi="Palatino Linotype"/>
        </w:rPr>
      </w:pPr>
      <w:r w:rsidRPr="00FA492E">
        <w:rPr>
          <w:rFonts w:ascii="Palatino Linotype" w:hAnsi="Palatino Linotype"/>
        </w:rPr>
        <w:t xml:space="preserve">The </w:t>
      </w:r>
      <w:r>
        <w:rPr>
          <w:rFonts w:ascii="Palatino Linotype" w:hAnsi="Palatino Linotype"/>
        </w:rPr>
        <w:t>2016 Decision</w:t>
      </w:r>
      <w:r w:rsidRPr="00FA492E">
        <w:rPr>
          <w:rFonts w:ascii="Palatino Linotype" w:hAnsi="Palatino Linotype"/>
        </w:rPr>
        <w:t xml:space="preserve"> does not </w:t>
      </w:r>
      <w:r>
        <w:rPr>
          <w:rFonts w:ascii="Palatino Linotype" w:hAnsi="Palatino Linotype"/>
        </w:rPr>
        <w:t xml:space="preserve">direct IOUs to submit forecasts of bill credits and charges </w:t>
      </w:r>
      <w:r w:rsidRPr="00FA492E">
        <w:rPr>
          <w:rFonts w:ascii="Palatino Linotype" w:hAnsi="Palatino Linotype"/>
        </w:rPr>
        <w:t>beyond 201</w:t>
      </w:r>
      <w:r>
        <w:rPr>
          <w:rFonts w:ascii="Palatino Linotype" w:hAnsi="Palatino Linotype"/>
        </w:rPr>
        <w:t xml:space="preserve">8. However, </w:t>
      </w:r>
      <w:r w:rsidRPr="00FA492E">
        <w:rPr>
          <w:rFonts w:ascii="Palatino Linotype" w:hAnsi="Palatino Linotype"/>
        </w:rPr>
        <w:t>PG&amp;E propose</w:t>
      </w:r>
      <w:r>
        <w:rPr>
          <w:rFonts w:ascii="Palatino Linotype" w:hAnsi="Palatino Linotype"/>
        </w:rPr>
        <w:t>s</w:t>
      </w:r>
      <w:r w:rsidRPr="00FA492E">
        <w:rPr>
          <w:rFonts w:ascii="Palatino Linotype" w:hAnsi="Palatino Linotype"/>
        </w:rPr>
        <w:t xml:space="preserve"> to</w:t>
      </w:r>
      <w:r>
        <w:rPr>
          <w:rFonts w:ascii="Palatino Linotype" w:hAnsi="Palatino Linotype"/>
        </w:rPr>
        <w:t xml:space="preserve"> submit the updated forecast in the Annual GTSR Program Progress Report as part of its effort to consolidate information, rather than continue to submit the information through an AL.  </w:t>
      </w:r>
      <w:r w:rsidRPr="00FA492E">
        <w:rPr>
          <w:rFonts w:ascii="Palatino Linotype" w:hAnsi="Palatino Linotype"/>
        </w:rPr>
        <w:t xml:space="preserve"> </w:t>
      </w:r>
    </w:p>
    <w:p w14:paraId="650C2273" w14:textId="77777777" w:rsidR="0076358A" w:rsidRPr="00FA492E" w:rsidRDefault="0076358A" w:rsidP="0076358A">
      <w:pPr>
        <w:pStyle w:val="DecisionText"/>
        <w:spacing w:line="240" w:lineRule="auto"/>
        <w:rPr>
          <w:rFonts w:ascii="Palatino Linotype" w:hAnsi="Palatino Linotype"/>
        </w:rPr>
      </w:pPr>
      <w:r>
        <w:rPr>
          <w:rFonts w:ascii="Palatino Linotype" w:hAnsi="Palatino Linotype"/>
        </w:rPr>
        <w:t xml:space="preserve">While we approve of PG&amp;E’s overall desire to consolidate information, we direct the IOUs to continue to file their 20-year forecasts via Tier 1 AL filings. Past 20-year forecasts have been of interest to the parties as reflected in their filed </w:t>
      </w:r>
      <w:r>
        <w:rPr>
          <w:rFonts w:ascii="Palatino Linotype" w:hAnsi="Palatino Linotype"/>
        </w:rPr>
        <w:lastRenderedPageBreak/>
        <w:t>protests to these ALs, and allowing PG&amp;E to move their forecasts from an AL to a report would preclude parties from filing comments or raising concerns in protests about the updated forecasts.</w:t>
      </w:r>
      <w:r w:rsidR="00E13256">
        <w:rPr>
          <w:rFonts w:ascii="Palatino Linotype" w:hAnsi="Palatino Linotype"/>
        </w:rPr>
        <w:t xml:space="preserve">  PG&amp;E’s request to submit the updated 20-year forecast of bill credits and charges as part of its Annual GTSR Program Progress Report is denied.  Rather, </w:t>
      </w:r>
      <w:r w:rsidR="00F8273F">
        <w:rPr>
          <w:rFonts w:ascii="Palatino Linotype" w:hAnsi="Palatino Linotype"/>
        </w:rPr>
        <w:t xml:space="preserve">this AL </w:t>
      </w:r>
      <w:r w:rsidR="00E13256">
        <w:rPr>
          <w:rFonts w:ascii="Palatino Linotype" w:hAnsi="Palatino Linotype"/>
        </w:rPr>
        <w:t xml:space="preserve">shall continue to be filed </w:t>
      </w:r>
      <w:r w:rsidR="00F8273F">
        <w:rPr>
          <w:rFonts w:ascii="Palatino Linotype" w:hAnsi="Palatino Linotype"/>
        </w:rPr>
        <w:t>separately.</w:t>
      </w:r>
    </w:p>
    <w:p w14:paraId="1D927790" w14:textId="77777777" w:rsidR="00032E00" w:rsidRDefault="00D977CF">
      <w:pPr>
        <w:pStyle w:val="Heading4"/>
      </w:pPr>
      <w:bookmarkStart w:id="60" w:name="_Toc529915579"/>
      <w:bookmarkStart w:id="61" w:name="_Toc20145937"/>
      <w:r w:rsidRPr="00FA492E">
        <w:t>Allowing NEM Customers to Participate in GT and ECR</w:t>
      </w:r>
      <w:bookmarkEnd w:id="60"/>
      <w:bookmarkEnd w:id="61"/>
    </w:p>
    <w:p w14:paraId="1701845D" w14:textId="77777777" w:rsidR="0076358A" w:rsidRPr="00FA492E" w:rsidRDefault="0076358A" w:rsidP="0076358A">
      <w:pPr>
        <w:pStyle w:val="DecisionText"/>
        <w:spacing w:line="240" w:lineRule="auto"/>
        <w:rPr>
          <w:rFonts w:ascii="Palatino Linotype" w:hAnsi="Palatino Linotype"/>
        </w:rPr>
      </w:pPr>
      <w:r w:rsidRPr="00FA492E">
        <w:rPr>
          <w:rFonts w:ascii="Palatino Linotype" w:hAnsi="Palatino Linotype"/>
        </w:rPr>
        <w:t xml:space="preserve">The GTSR program offers customers without the ability to install solar panels a way to increase their use of renewable energy. </w:t>
      </w:r>
      <w:r>
        <w:rPr>
          <w:rFonts w:ascii="Palatino Linotype" w:hAnsi="Palatino Linotype"/>
        </w:rPr>
        <w:t xml:space="preserve"> </w:t>
      </w:r>
      <w:r w:rsidRPr="00FA492E">
        <w:rPr>
          <w:rFonts w:ascii="Palatino Linotype" w:hAnsi="Palatino Linotype"/>
        </w:rPr>
        <w:t xml:space="preserve">However, not all solar photovoltaic (PV) systems generate enough electricity to offset all the energy consumed by a residence or business. In many cases, a NEM customer’s solar PV system does not offset 100% of the energy consumed on site, and therefore such customers </w:t>
      </w:r>
      <w:r>
        <w:rPr>
          <w:rFonts w:ascii="Palatino Linotype" w:hAnsi="Palatino Linotype"/>
        </w:rPr>
        <w:t>can still</w:t>
      </w:r>
      <w:r w:rsidRPr="00FA492E">
        <w:rPr>
          <w:rFonts w:ascii="Palatino Linotype" w:hAnsi="Palatino Linotype"/>
        </w:rPr>
        <w:t xml:space="preserve"> reduce </w:t>
      </w:r>
      <w:r>
        <w:rPr>
          <w:rFonts w:ascii="Palatino Linotype" w:hAnsi="Palatino Linotype"/>
        </w:rPr>
        <w:t>GHG</w:t>
      </w:r>
      <w:r w:rsidRPr="00FA492E">
        <w:rPr>
          <w:rFonts w:ascii="Palatino Linotype" w:hAnsi="Palatino Linotype"/>
        </w:rPr>
        <w:t xml:space="preserve"> emissions beyond reductions achieved by their on-site solar generation. </w:t>
      </w:r>
    </w:p>
    <w:p w14:paraId="303FAE57" w14:textId="77777777" w:rsidR="0076358A" w:rsidRPr="00FA492E" w:rsidRDefault="0076358A" w:rsidP="0076358A">
      <w:pPr>
        <w:pStyle w:val="DecisionText"/>
        <w:spacing w:line="240" w:lineRule="auto"/>
        <w:rPr>
          <w:rFonts w:ascii="Palatino Linotype" w:hAnsi="Palatino Linotype"/>
          <w:sz w:val="14"/>
          <w:szCs w:val="14"/>
        </w:rPr>
      </w:pPr>
      <w:r w:rsidRPr="00FA492E">
        <w:rPr>
          <w:rFonts w:ascii="Palatino Linotype" w:hAnsi="Palatino Linotype"/>
        </w:rPr>
        <w:t xml:space="preserve">SDG&amp;E notes that it routinely receives requests from NEM customers wishing to participate in the GTSR program looking to increase their reliance on renewables.  SDG&amp;E proposes to provide the same option to its customers that is currently available to Southern California Edison’s (SCE) customers by allowing NEM customers to participate in GTSR.  </w:t>
      </w:r>
      <w:r>
        <w:rPr>
          <w:rFonts w:ascii="Palatino Linotype" w:hAnsi="Palatino Linotype"/>
        </w:rPr>
        <w:t xml:space="preserve"> </w:t>
      </w:r>
    </w:p>
    <w:p w14:paraId="16100F2F" w14:textId="77777777" w:rsidR="0076358A" w:rsidRPr="00FA492E" w:rsidRDefault="0076358A" w:rsidP="0076358A">
      <w:pPr>
        <w:pStyle w:val="DecisionText"/>
        <w:spacing w:line="240" w:lineRule="auto"/>
        <w:rPr>
          <w:rFonts w:ascii="Palatino Linotype" w:hAnsi="Palatino Linotype"/>
        </w:rPr>
      </w:pPr>
      <w:r w:rsidRPr="00FA492E">
        <w:rPr>
          <w:rFonts w:ascii="Palatino Linotype" w:hAnsi="Palatino Linotype"/>
        </w:rPr>
        <w:t xml:space="preserve">SDG&amp;E proposes to cap the capacity taken up by NEM customers at 6 MW (or approximately 10% of the 59 MW cap), on a first-come, first served basis between both GT and ECR for the five-year extension period.  </w:t>
      </w:r>
      <w:r>
        <w:rPr>
          <w:rFonts w:ascii="Palatino Linotype" w:hAnsi="Palatino Linotype"/>
        </w:rPr>
        <w:t>SDG&amp;E argues that its proposed approach will continue to reserve the majority of the GTSR program for those who might not have access to solar.</w:t>
      </w:r>
      <w:r w:rsidRPr="00FA492E">
        <w:rPr>
          <w:rFonts w:ascii="Palatino Linotype" w:hAnsi="Palatino Linotype"/>
        </w:rPr>
        <w:t xml:space="preserve"> </w:t>
      </w:r>
      <w:r>
        <w:rPr>
          <w:rFonts w:ascii="Palatino Linotype" w:hAnsi="Palatino Linotype"/>
        </w:rPr>
        <w:t xml:space="preserve"> The Joint Solar Interests support SDG&amp;E’s proposal. </w:t>
      </w:r>
    </w:p>
    <w:p w14:paraId="01232DCF" w14:textId="77777777" w:rsidR="0076358A" w:rsidRPr="00FA492E" w:rsidRDefault="0076358A" w:rsidP="0076358A">
      <w:pPr>
        <w:pStyle w:val="DecisionText"/>
        <w:spacing w:line="240" w:lineRule="auto"/>
        <w:rPr>
          <w:rFonts w:ascii="Palatino Linotype" w:hAnsi="Palatino Linotype"/>
        </w:rPr>
      </w:pPr>
      <w:r w:rsidRPr="00FA492E">
        <w:rPr>
          <w:rFonts w:ascii="Palatino Linotype" w:hAnsi="Palatino Linotype"/>
        </w:rPr>
        <w:t xml:space="preserve">ORA </w:t>
      </w:r>
      <w:r>
        <w:rPr>
          <w:rFonts w:ascii="Palatino Linotype" w:hAnsi="Palatino Linotype"/>
        </w:rPr>
        <w:t xml:space="preserve">protested this issue </w:t>
      </w:r>
      <w:r w:rsidRPr="00FA492E">
        <w:rPr>
          <w:rFonts w:ascii="Palatino Linotype" w:hAnsi="Palatino Linotype"/>
        </w:rPr>
        <w:t>for two reasons: policy and cost.  With regards to policy, ORA noted</w:t>
      </w:r>
      <w:r>
        <w:rPr>
          <w:rFonts w:ascii="Palatino Linotype" w:hAnsi="Palatino Linotype"/>
        </w:rPr>
        <w:t>:</w:t>
      </w:r>
    </w:p>
    <w:p w14:paraId="3DA1065C" w14:textId="77777777" w:rsidR="0076358A" w:rsidRPr="00FA492E" w:rsidRDefault="0076358A" w:rsidP="0076358A">
      <w:pPr>
        <w:pStyle w:val="Quote"/>
        <w:rPr>
          <w:rFonts w:ascii="Palatino Linotype" w:hAnsi="Palatino Linotype"/>
        </w:rPr>
      </w:pPr>
      <w:r>
        <w:rPr>
          <w:rFonts w:ascii="Palatino Linotype" w:hAnsi="Palatino Linotype"/>
        </w:rPr>
        <w:t>…</w:t>
      </w:r>
      <w:r w:rsidRPr="00FA492E">
        <w:rPr>
          <w:rFonts w:ascii="Palatino Linotype" w:hAnsi="Palatino Linotype"/>
        </w:rPr>
        <w:t xml:space="preserve">allowing NEM customers to participate in the GTSR program would not only run counter to the program’s original intent to serve customers unable to invest in renewable energy onsite, but SDG&amp;E </w:t>
      </w:r>
      <w:r w:rsidRPr="00FA492E">
        <w:rPr>
          <w:rFonts w:ascii="Palatino Linotype" w:hAnsi="Palatino Linotype"/>
        </w:rPr>
        <w:lastRenderedPageBreak/>
        <w:t>does not need NEM customers to recruit more customers. SDG&amp;E is already in a good position to recruit customers</w:t>
      </w:r>
      <w:r>
        <w:rPr>
          <w:rFonts w:ascii="Palatino Linotype" w:hAnsi="Palatino Linotype"/>
        </w:rPr>
        <w:t>.</w:t>
      </w:r>
      <w:r w:rsidRPr="00FA492E">
        <w:rPr>
          <w:rStyle w:val="FootnoteReference"/>
          <w:rFonts w:ascii="Palatino Linotype" w:hAnsi="Palatino Linotype"/>
        </w:rPr>
        <w:footnoteReference w:id="49"/>
      </w:r>
      <w:r w:rsidRPr="00FA492E">
        <w:rPr>
          <w:rFonts w:ascii="Palatino Linotype" w:hAnsi="Palatino Linotype"/>
        </w:rPr>
        <w:t xml:space="preserve">  </w:t>
      </w:r>
    </w:p>
    <w:p w14:paraId="657DDF0C" w14:textId="77777777" w:rsidR="0076358A" w:rsidRDefault="0076358A" w:rsidP="0076358A">
      <w:pPr>
        <w:pStyle w:val="DecisionText"/>
        <w:spacing w:line="240" w:lineRule="auto"/>
        <w:rPr>
          <w:rFonts w:ascii="Palatino Linotype" w:hAnsi="Palatino Linotype"/>
        </w:rPr>
      </w:pPr>
      <w:r w:rsidRPr="00FA492E">
        <w:rPr>
          <w:rFonts w:ascii="Palatino Linotype" w:hAnsi="Palatino Linotype"/>
        </w:rPr>
        <w:t xml:space="preserve">In response to an ORA data request, SDG&amp;E </w:t>
      </w:r>
      <w:r>
        <w:rPr>
          <w:rFonts w:ascii="Palatino Linotype" w:hAnsi="Palatino Linotype"/>
        </w:rPr>
        <w:t>revealed that</w:t>
      </w:r>
      <w:r w:rsidRPr="00FA492E">
        <w:rPr>
          <w:rFonts w:ascii="Palatino Linotype" w:hAnsi="Palatino Linotype"/>
        </w:rPr>
        <w:t xml:space="preserve"> the cost to upgrade </w:t>
      </w:r>
      <w:r>
        <w:rPr>
          <w:rFonts w:ascii="Palatino Linotype" w:hAnsi="Palatino Linotype"/>
        </w:rPr>
        <w:t>its</w:t>
      </w:r>
      <w:r w:rsidRPr="00FA492E">
        <w:rPr>
          <w:rFonts w:ascii="Palatino Linotype" w:hAnsi="Palatino Linotype"/>
        </w:rPr>
        <w:t xml:space="preserve"> IT system to integrate NEM customers would be approximately $440,000. </w:t>
      </w:r>
      <w:r>
        <w:rPr>
          <w:rFonts w:ascii="Palatino Linotype" w:hAnsi="Palatino Linotype"/>
        </w:rPr>
        <w:t>SDG&amp;E acknowledged in its reply comments that its GT program subscriptions will likely be successful even if its proposal for NEM customers is denied</w:t>
      </w:r>
      <w:r w:rsidR="00F8273F">
        <w:rPr>
          <w:rFonts w:ascii="Palatino Linotype" w:hAnsi="Palatino Linotype"/>
        </w:rPr>
        <w:t xml:space="preserve">.  </w:t>
      </w:r>
      <w:r w:rsidR="004A5981">
        <w:rPr>
          <w:rFonts w:ascii="Palatino Linotype" w:hAnsi="Palatino Linotype"/>
        </w:rPr>
        <w:t xml:space="preserve">Furthermore, in its comments on the Draft Resolution, SDG&amp;E seeks to withdraw this request, citing </w:t>
      </w:r>
      <w:r w:rsidR="004A5981">
        <w:t xml:space="preserve">high IT costs and higher-than-projected customer enrollment. </w:t>
      </w:r>
      <w:r w:rsidR="00F8273F">
        <w:rPr>
          <w:rFonts w:ascii="Palatino Linotype" w:hAnsi="Palatino Linotype"/>
        </w:rPr>
        <w:t xml:space="preserve">We </w:t>
      </w:r>
      <w:r w:rsidR="004A5981">
        <w:rPr>
          <w:rFonts w:ascii="Palatino Linotype" w:hAnsi="Palatino Linotype"/>
        </w:rPr>
        <w:t xml:space="preserve">agree with this assessment and </w:t>
      </w:r>
      <w:r w:rsidR="00F8273F">
        <w:rPr>
          <w:rFonts w:ascii="Palatino Linotype" w:hAnsi="Palatino Linotype"/>
        </w:rPr>
        <w:t>therefore deny this request.</w:t>
      </w:r>
    </w:p>
    <w:p w14:paraId="28E2BCAE" w14:textId="77777777" w:rsidR="00032E00" w:rsidRDefault="00D977CF">
      <w:pPr>
        <w:pStyle w:val="Heading3"/>
      </w:pPr>
      <w:bookmarkStart w:id="62" w:name="_Toc529915580"/>
      <w:bookmarkStart w:id="63" w:name="_Toc20145938"/>
      <w:r>
        <w:t>IOU’s GTSR Program</w:t>
      </w:r>
      <w:r w:rsidRPr="00FA492E">
        <w:t xml:space="preserve"> </w:t>
      </w:r>
      <w:bookmarkEnd w:id="62"/>
      <w:r>
        <w:t>Budgets</w:t>
      </w:r>
      <w:bookmarkEnd w:id="63"/>
    </w:p>
    <w:p w14:paraId="1D6D3994" w14:textId="77777777" w:rsidR="0076358A" w:rsidRDefault="0076358A" w:rsidP="0076358A">
      <w:pPr>
        <w:pStyle w:val="DecisionText"/>
        <w:spacing w:line="240" w:lineRule="auto"/>
        <w:rPr>
          <w:rFonts w:ascii="Palatino Linotype" w:hAnsi="Palatino Linotype"/>
        </w:rPr>
      </w:pPr>
      <w:r w:rsidRPr="00FA492E">
        <w:rPr>
          <w:rFonts w:ascii="Palatino Linotype" w:hAnsi="Palatino Linotype"/>
        </w:rPr>
        <w:t xml:space="preserve">In </w:t>
      </w:r>
      <w:r>
        <w:rPr>
          <w:rFonts w:ascii="Palatino Linotype" w:hAnsi="Palatino Linotype"/>
        </w:rPr>
        <w:t>its AL filing,</w:t>
      </w:r>
      <w:r w:rsidRPr="00FA492E">
        <w:rPr>
          <w:rFonts w:ascii="Palatino Linotype" w:hAnsi="Palatino Linotype"/>
        </w:rPr>
        <w:t xml:space="preserve"> SDG&amp;E pro</w:t>
      </w:r>
      <w:r>
        <w:rPr>
          <w:rFonts w:ascii="Palatino Linotype" w:hAnsi="Palatino Linotype"/>
        </w:rPr>
        <w:t>posed</w:t>
      </w:r>
      <w:r w:rsidRPr="00FA492E">
        <w:rPr>
          <w:rFonts w:ascii="Palatino Linotype" w:hAnsi="Palatino Linotype"/>
        </w:rPr>
        <w:t xml:space="preserve"> a total estimated budget of </w:t>
      </w:r>
      <w:r>
        <w:rPr>
          <w:rFonts w:ascii="Palatino Linotype" w:hAnsi="Palatino Linotype"/>
        </w:rPr>
        <w:t>$</w:t>
      </w:r>
      <w:r w:rsidRPr="00FA492E">
        <w:rPr>
          <w:rFonts w:ascii="Palatino Linotype" w:hAnsi="Palatino Linotype"/>
        </w:rPr>
        <w:t>3,873,998 for the 2019 to 2023 program cycle</w:t>
      </w:r>
      <w:r>
        <w:rPr>
          <w:rFonts w:ascii="Palatino Linotype" w:hAnsi="Palatino Linotype"/>
        </w:rPr>
        <w:t xml:space="preserve"> to cover program management, IT upgrades, and marketing costs.  SDG&amp;E states that the proposed budget will improve the customer experience with GTSR and support higher enrollments and participation.  SDG&amp;E predicts that its GTSR program will be fully subscribed by 2020.  </w:t>
      </w:r>
    </w:p>
    <w:p w14:paraId="0246987E" w14:textId="77777777" w:rsidR="0076358A" w:rsidRDefault="0076358A" w:rsidP="0076358A">
      <w:pPr>
        <w:pStyle w:val="DecisionText"/>
        <w:spacing w:line="240" w:lineRule="auto"/>
        <w:rPr>
          <w:rFonts w:ascii="Palatino Linotype" w:hAnsi="Palatino Linotype"/>
        </w:rPr>
      </w:pPr>
      <w:r>
        <w:rPr>
          <w:rFonts w:ascii="Palatino Linotype" w:hAnsi="Palatino Linotype"/>
        </w:rPr>
        <w:t xml:space="preserve">PG&amp;E and SCE routinely provide their proposed GTSR budgets on an annual basis through ALs.  While we appreciate SDG&amp;E’s proactive thinking to plan for the next 5 years, the other IOUs may continue with one-year budgets if they so desire.  </w:t>
      </w:r>
      <w:r w:rsidRPr="00FA492E">
        <w:rPr>
          <w:rFonts w:ascii="Palatino Linotype" w:hAnsi="Palatino Linotype"/>
        </w:rPr>
        <w:t xml:space="preserve">Within </w:t>
      </w:r>
      <w:r>
        <w:rPr>
          <w:rFonts w:ascii="Palatino Linotype" w:hAnsi="Palatino Linotype"/>
        </w:rPr>
        <w:t>30</w:t>
      </w:r>
      <w:r w:rsidRPr="00FA492E">
        <w:rPr>
          <w:rFonts w:ascii="Palatino Linotype" w:hAnsi="Palatino Linotype"/>
        </w:rPr>
        <w:t xml:space="preserve"> days</w:t>
      </w:r>
      <w:r>
        <w:rPr>
          <w:rFonts w:ascii="Palatino Linotype" w:hAnsi="Palatino Linotype"/>
        </w:rPr>
        <w:t xml:space="preserve"> of the effective date of this resolution</w:t>
      </w:r>
      <w:r w:rsidRPr="00FA492E">
        <w:rPr>
          <w:rFonts w:ascii="Palatino Linotype" w:hAnsi="Palatino Linotype"/>
        </w:rPr>
        <w:t xml:space="preserve">, </w:t>
      </w:r>
      <w:r>
        <w:rPr>
          <w:rFonts w:ascii="Palatino Linotype" w:hAnsi="Palatino Linotype"/>
        </w:rPr>
        <w:t xml:space="preserve">PG&amp;E and SCE shall </w:t>
      </w:r>
      <w:r w:rsidRPr="00FA492E">
        <w:rPr>
          <w:rFonts w:ascii="Palatino Linotype" w:hAnsi="Palatino Linotype"/>
        </w:rPr>
        <w:t xml:space="preserve">submit Tier 2 </w:t>
      </w:r>
      <w:r>
        <w:rPr>
          <w:rFonts w:ascii="Palatino Linotype" w:hAnsi="Palatino Linotype"/>
        </w:rPr>
        <w:t>AL</w:t>
      </w:r>
      <w:r w:rsidRPr="00FA492E">
        <w:rPr>
          <w:rFonts w:ascii="Palatino Linotype" w:hAnsi="Palatino Linotype"/>
        </w:rPr>
        <w:t xml:space="preserve">s with projected expenses and rates </w:t>
      </w:r>
      <w:r>
        <w:rPr>
          <w:rFonts w:ascii="Palatino Linotype" w:hAnsi="Palatino Linotype"/>
        </w:rPr>
        <w:t>for at least 2019 or may present 5-year budgets through 2023.</w:t>
      </w:r>
    </w:p>
    <w:p w14:paraId="6954D650" w14:textId="77777777" w:rsidR="0076358A" w:rsidRPr="008A0FF1" w:rsidRDefault="0076358A" w:rsidP="0076358A">
      <w:pPr>
        <w:pStyle w:val="Heading4"/>
      </w:pPr>
      <w:bookmarkStart w:id="64" w:name="_Toc20145939"/>
      <w:r w:rsidRPr="008A0FF1">
        <w:t>GTSR Program Cost Recovery</w:t>
      </w:r>
      <w:bookmarkEnd w:id="64"/>
    </w:p>
    <w:p w14:paraId="76AEB246" w14:textId="77777777" w:rsidR="0076358A" w:rsidRDefault="0076358A" w:rsidP="0076358A">
      <w:pPr>
        <w:pStyle w:val="DecisionText"/>
        <w:spacing w:line="240" w:lineRule="auto"/>
        <w:rPr>
          <w:rFonts w:ascii="Palatino Linotype" w:hAnsi="Palatino Linotype"/>
        </w:rPr>
      </w:pPr>
      <w:r>
        <w:rPr>
          <w:rFonts w:ascii="Palatino Linotype" w:hAnsi="Palatino Linotype"/>
        </w:rPr>
        <w:t xml:space="preserve">SB 43 and the 2015 GTSR Decision require participating GTSR customers to pay for the administrative and marketing costs of the program.  Administrative and marketing costs are tracked in memorandum accounts, while procurement related expenses and revenues are recorded in balancing accounts.  SDG&amp;E proposes to continue these existing cost recovery practices for the GTSR program.  SDG&amp;E also states that it will continue to request approval of the rate </w:t>
      </w:r>
      <w:r>
        <w:rPr>
          <w:rFonts w:ascii="Palatino Linotype" w:hAnsi="Palatino Linotype"/>
        </w:rPr>
        <w:lastRenderedPageBreak/>
        <w:t xml:space="preserve">components of the GT and ECR tariffs through its ERRA forecast proceedings, consistent with D.16-12-053, OP 8.  This decision approved SDG&amp;E’s 2017 ERRA forecast, which included updated rates for the GT and ECR tariffs.  </w:t>
      </w:r>
    </w:p>
    <w:p w14:paraId="26FA17E6" w14:textId="77777777" w:rsidR="0076358A" w:rsidRDefault="0076358A" w:rsidP="0076358A">
      <w:pPr>
        <w:pStyle w:val="DecisionText"/>
        <w:spacing w:line="240" w:lineRule="auto"/>
        <w:rPr>
          <w:rFonts w:ascii="Palatino Linotype" w:hAnsi="Palatino Linotype"/>
        </w:rPr>
      </w:pPr>
      <w:r>
        <w:rPr>
          <w:rFonts w:ascii="Palatino Linotype" w:hAnsi="Palatino Linotype"/>
        </w:rPr>
        <w:t>Cal PA protested SDG&amp;E’s request to seek rate approval via the ERRA proceeding, asserting that because the ERRA proceeding has several accounts that undergo review, inappropriate GTSR costs may get overlooked.   Cal PA states that SDG&amp;E should seek GTSR rate changes via a Tier 2 AL as that is what is ordered in D.15-01-051.</w:t>
      </w:r>
      <w:r>
        <w:rPr>
          <w:rStyle w:val="FootnoteReference"/>
          <w:rFonts w:ascii="Palatino Linotype" w:hAnsi="Palatino Linotype"/>
        </w:rPr>
        <w:footnoteReference w:id="50"/>
      </w:r>
      <w:r>
        <w:rPr>
          <w:rFonts w:ascii="Palatino Linotype" w:hAnsi="Palatino Linotype"/>
        </w:rPr>
        <w:t xml:space="preserve">  CalPA states that if the CPUC approves SDG&amp;E’s request on this matter, it should direct SDG&amp;E to include its rate proposal in the June ERRA filing, rather than the November update, to allow for sufficient review.</w:t>
      </w:r>
    </w:p>
    <w:p w14:paraId="63739EC1" w14:textId="77777777" w:rsidR="0076358A" w:rsidRDefault="0076358A" w:rsidP="0076358A">
      <w:pPr>
        <w:pStyle w:val="DecisionText"/>
        <w:spacing w:line="240" w:lineRule="auto"/>
        <w:rPr>
          <w:rFonts w:ascii="Palatino Linotype" w:hAnsi="Palatino Linotype"/>
        </w:rPr>
      </w:pPr>
      <w:r>
        <w:rPr>
          <w:rFonts w:ascii="Palatino Linotype" w:hAnsi="Palatino Linotype"/>
        </w:rPr>
        <w:t>In its reply, SDG&amp;E states that the ERRA proceeding is the appropriate venue to consider GTSR rate changes because the GTSR rate design is comprised of various rate components that are routinely examined and approved in the ERRA Forecast proceeding.</w:t>
      </w:r>
      <w:r>
        <w:rPr>
          <w:rStyle w:val="FootnoteReference"/>
          <w:rFonts w:ascii="Palatino Linotype" w:hAnsi="Palatino Linotype"/>
        </w:rPr>
        <w:footnoteReference w:id="51"/>
      </w:r>
      <w:r>
        <w:rPr>
          <w:rFonts w:ascii="Palatino Linotype" w:hAnsi="Palatino Linotype"/>
        </w:rPr>
        <w:t xml:space="preserve">  Filing a Tier 2 AL, as suggested by CalPA, would result in a delay to updating the GTSR rate components because the Tier 2 filing would have to wait until the ERRA Forecast is approved by the CPUC.   </w:t>
      </w:r>
    </w:p>
    <w:p w14:paraId="659E47E6" w14:textId="77777777" w:rsidR="0076358A" w:rsidRDefault="0076358A" w:rsidP="0076358A">
      <w:pPr>
        <w:pStyle w:val="DecisionText"/>
        <w:spacing w:line="240" w:lineRule="auto"/>
        <w:rPr>
          <w:rFonts w:ascii="Palatino Linotype" w:hAnsi="Palatino Linotype"/>
        </w:rPr>
      </w:pPr>
      <w:r>
        <w:rPr>
          <w:rFonts w:ascii="Palatino Linotype" w:hAnsi="Palatino Linotype"/>
        </w:rPr>
        <w:t xml:space="preserve">SDG&amp;E’s proposal on this issue will not result in a structural change or materially different capacity to the program, and is therefore appropriate for consideration via the AL process.  </w:t>
      </w:r>
    </w:p>
    <w:p w14:paraId="04393114" w14:textId="77777777" w:rsidR="0076358A" w:rsidRDefault="0076358A" w:rsidP="0076358A">
      <w:pPr>
        <w:pStyle w:val="DecisionText"/>
        <w:spacing w:line="240" w:lineRule="auto"/>
        <w:rPr>
          <w:rFonts w:ascii="Palatino Linotype" w:hAnsi="Palatino Linotype"/>
        </w:rPr>
      </w:pPr>
      <w:r>
        <w:rPr>
          <w:rFonts w:ascii="Palatino Linotype" w:hAnsi="Palatino Linotype"/>
        </w:rPr>
        <w:t xml:space="preserve">We conclude that SDG&amp;E’s request to file GTSR rate changes as part of the ERRA Forecast proceeding, rather than a Tier 2 AL, is a reasonable and expeditious approach to future GTSR rate changes.  As SDG&amp;E states, a Tier 2 AL filing would have to wait until the ERRA Forecast is approved which could result in delays to implementation.  SDG&amp;E’s cost recovery request is approved, with the condition that the GTSR service list also be notified.  PG&amp;E and SCE are also </w:t>
      </w:r>
      <w:r>
        <w:rPr>
          <w:rFonts w:ascii="Palatino Linotype" w:hAnsi="Palatino Linotype"/>
        </w:rPr>
        <w:lastRenderedPageBreak/>
        <w:t xml:space="preserve">granted permission to use the </w:t>
      </w:r>
      <w:r w:rsidR="003C534E">
        <w:rPr>
          <w:rFonts w:ascii="Palatino Linotype" w:hAnsi="Palatino Linotype"/>
        </w:rPr>
        <w:t xml:space="preserve">ERRA </w:t>
      </w:r>
      <w:r>
        <w:rPr>
          <w:rFonts w:ascii="Palatino Linotype" w:hAnsi="Palatino Linotype"/>
        </w:rPr>
        <w:t xml:space="preserve">Forecast to seek changes to their GTSR rates going forward, with the same notification requirement. </w:t>
      </w:r>
      <w:r w:rsidRPr="004D727B">
        <w:rPr>
          <w:rFonts w:ascii="Palatino Linotype" w:hAnsi="Palatino Linotype"/>
        </w:rPr>
        <w:t xml:space="preserve"> </w:t>
      </w:r>
      <w:r w:rsidR="004D727B" w:rsidRPr="004D727B">
        <w:rPr>
          <w:rFonts w:ascii="Palatino Linotype" w:hAnsi="Palatino Linotype"/>
        </w:rPr>
        <w:t>Information and testimony regarding any GTSR rates proposals should be submitted as a separate chapter</w:t>
      </w:r>
      <w:r w:rsidR="004D727B">
        <w:rPr>
          <w:rFonts w:ascii="Palatino Linotype" w:hAnsi="Palatino Linotype"/>
          <w:u w:val="single"/>
        </w:rPr>
        <w:t xml:space="preserve">.  </w:t>
      </w:r>
      <w:r>
        <w:rPr>
          <w:rFonts w:ascii="Palatino Linotype" w:hAnsi="Palatino Linotype"/>
        </w:rPr>
        <w:t>SCE proposes to recover the costs of the GTSR program through an ERRA Review of Operations filing rather than an application as described in the 2015 GTSR Decision.  Because we are rejecting SCE’s proposal to terminate the program, this proposal is also rejected.</w:t>
      </w:r>
    </w:p>
    <w:p w14:paraId="211C7CAC" w14:textId="77777777" w:rsidR="00032E00" w:rsidRDefault="00D977CF">
      <w:pPr>
        <w:pStyle w:val="Heading2"/>
        <w:spacing w:before="0" w:after="0"/>
      </w:pPr>
      <w:bookmarkStart w:id="65" w:name="_Toc20145940"/>
      <w:r w:rsidRPr="00A4092D">
        <w:t>Other Party Proposals</w:t>
      </w:r>
      <w:bookmarkEnd w:id="65"/>
    </w:p>
    <w:p w14:paraId="5CE792FF" w14:textId="77777777" w:rsidR="0076358A" w:rsidRPr="00FA492E" w:rsidRDefault="0076358A" w:rsidP="0076358A">
      <w:pPr>
        <w:pStyle w:val="Heading3"/>
        <w:ind w:firstLine="720"/>
      </w:pPr>
      <w:bookmarkStart w:id="66" w:name="_Toc12442438"/>
      <w:bookmarkStart w:id="67" w:name="_Toc20145941"/>
      <w:bookmarkStart w:id="68" w:name="_Toc529915557"/>
      <w:r w:rsidRPr="00FA492E">
        <w:t>Power Charge Indifference Adjustment</w:t>
      </w:r>
      <w:bookmarkEnd w:id="66"/>
      <w:bookmarkEnd w:id="67"/>
      <w:r w:rsidRPr="00FA492E">
        <w:t xml:space="preserve"> </w:t>
      </w:r>
      <w:bookmarkEnd w:id="68"/>
    </w:p>
    <w:p w14:paraId="3AFF2989" w14:textId="77777777" w:rsidR="0076358A" w:rsidRPr="00FA492E" w:rsidRDefault="0076358A" w:rsidP="0076358A">
      <w:pPr>
        <w:pStyle w:val="DecisionText"/>
        <w:spacing w:line="240" w:lineRule="auto"/>
        <w:rPr>
          <w:rFonts w:ascii="Palatino Linotype" w:hAnsi="Palatino Linotype"/>
        </w:rPr>
      </w:pPr>
      <w:r w:rsidRPr="00FA492E">
        <w:rPr>
          <w:rFonts w:ascii="Palatino Linotype" w:hAnsi="Palatino Linotype"/>
        </w:rPr>
        <w:t>The Power Charge Indifference Adjustment (PCIA) is the mechanism to ensure that the customers who remain with the utility do not end up taking on the long-term financial obligations the utility incurred on behalf of now-departed customers. Examples of such financial obligations include utility expenditures to build power plants and, more commonly, long-term power purchase contracts with independent power producers.</w:t>
      </w:r>
    </w:p>
    <w:p w14:paraId="69E951FF" w14:textId="77777777" w:rsidR="0076358A" w:rsidRDefault="0076358A" w:rsidP="0076358A">
      <w:pPr>
        <w:pStyle w:val="DecisionText"/>
        <w:spacing w:line="240" w:lineRule="auto"/>
        <w:rPr>
          <w:rFonts w:ascii="Palatino Linotype" w:hAnsi="Palatino Linotype"/>
        </w:rPr>
      </w:pPr>
      <w:r w:rsidRPr="00FA492E">
        <w:rPr>
          <w:rFonts w:ascii="Palatino Linotype" w:hAnsi="Palatino Linotype"/>
        </w:rPr>
        <w:t>The 2015 GTSR Decision, while acknowledging that the methodology for calculating the PCI</w:t>
      </w:r>
      <w:r>
        <w:rPr>
          <w:rFonts w:ascii="Palatino Linotype" w:hAnsi="Palatino Linotype"/>
        </w:rPr>
        <w:t>A</w:t>
      </w:r>
      <w:r w:rsidRPr="00FA492E">
        <w:rPr>
          <w:rFonts w:ascii="Palatino Linotype" w:hAnsi="Palatino Linotype"/>
        </w:rPr>
        <w:t xml:space="preserve"> </w:t>
      </w:r>
      <w:r>
        <w:rPr>
          <w:rFonts w:ascii="Palatino Linotype" w:hAnsi="Palatino Linotype"/>
        </w:rPr>
        <w:t>was</w:t>
      </w:r>
      <w:r w:rsidRPr="00FA492E">
        <w:rPr>
          <w:rFonts w:ascii="Palatino Linotype" w:hAnsi="Palatino Linotype"/>
        </w:rPr>
        <w:t xml:space="preserve"> </w:t>
      </w:r>
      <w:r>
        <w:rPr>
          <w:rFonts w:ascii="Palatino Linotype" w:hAnsi="Palatino Linotype"/>
        </w:rPr>
        <w:t>previously</w:t>
      </w:r>
      <w:r w:rsidRPr="00FA492E">
        <w:rPr>
          <w:rFonts w:ascii="Palatino Linotype" w:hAnsi="Palatino Linotype"/>
        </w:rPr>
        <w:t xml:space="preserve"> set forth in D.11-12-018, directed the IOUs to use the PCIA calculated for DA and CCA customers as a </w:t>
      </w:r>
      <w:r>
        <w:rPr>
          <w:rFonts w:ascii="Palatino Linotype" w:hAnsi="Palatino Linotype"/>
        </w:rPr>
        <w:t>“</w:t>
      </w:r>
      <w:r w:rsidRPr="00FA492E">
        <w:rPr>
          <w:rFonts w:ascii="Palatino Linotype" w:hAnsi="Palatino Linotype"/>
        </w:rPr>
        <w:t>reasonable proxy for the GTSR customer indifference charge”</w:t>
      </w:r>
      <w:r w:rsidRPr="00FA492E">
        <w:rPr>
          <w:rStyle w:val="FootnoteReference"/>
          <w:rFonts w:ascii="Palatino Linotype" w:hAnsi="Palatino Linotype"/>
        </w:rPr>
        <w:footnoteReference w:id="52"/>
      </w:r>
      <w:r w:rsidRPr="00FA492E">
        <w:rPr>
          <w:rFonts w:ascii="Palatino Linotype" w:hAnsi="Palatino Linotype"/>
        </w:rPr>
        <w:t xml:space="preserve"> </w:t>
      </w:r>
      <w:r>
        <w:rPr>
          <w:rFonts w:ascii="Palatino Linotype" w:hAnsi="Palatino Linotype"/>
        </w:rPr>
        <w:t>since</w:t>
      </w:r>
      <w:r w:rsidRPr="00FA492E">
        <w:rPr>
          <w:rFonts w:ascii="Palatino Linotype" w:hAnsi="Palatino Linotype"/>
        </w:rPr>
        <w:t xml:space="preserve"> it is</w:t>
      </w:r>
      <w:r>
        <w:rPr>
          <w:rFonts w:ascii="Palatino Linotype" w:hAnsi="Palatino Linotype"/>
        </w:rPr>
        <w:t>:</w:t>
      </w:r>
      <w:r w:rsidRPr="00FA492E">
        <w:rPr>
          <w:rFonts w:ascii="Palatino Linotype" w:hAnsi="Palatino Linotype"/>
        </w:rPr>
        <w:t xml:space="preserve"> </w:t>
      </w:r>
      <w:r>
        <w:rPr>
          <w:rFonts w:ascii="Palatino Linotype" w:hAnsi="Palatino Linotype"/>
        </w:rPr>
        <w:t>(</w:t>
      </w:r>
      <w:r w:rsidRPr="00FA492E">
        <w:rPr>
          <w:rFonts w:ascii="Palatino Linotype" w:hAnsi="Palatino Linotype"/>
        </w:rPr>
        <w:t>1) already commission-approved</w:t>
      </w:r>
      <w:r>
        <w:rPr>
          <w:rFonts w:ascii="Palatino Linotype" w:hAnsi="Palatino Linotype"/>
        </w:rPr>
        <w:t>,</w:t>
      </w:r>
      <w:r w:rsidRPr="00FA492E">
        <w:rPr>
          <w:rFonts w:ascii="Palatino Linotype" w:hAnsi="Palatino Linotype"/>
        </w:rPr>
        <w:t xml:space="preserve"> </w:t>
      </w:r>
      <w:r>
        <w:rPr>
          <w:rFonts w:ascii="Palatino Linotype" w:hAnsi="Palatino Linotype"/>
        </w:rPr>
        <w:t>(</w:t>
      </w:r>
      <w:r w:rsidRPr="00FA492E">
        <w:rPr>
          <w:rFonts w:ascii="Palatino Linotype" w:hAnsi="Palatino Linotype"/>
        </w:rPr>
        <w:t>2) designed to take into account the cost of procurement from a customer who is no longer taking service from the same procurement sources as other ratepayers</w:t>
      </w:r>
      <w:r>
        <w:rPr>
          <w:rFonts w:ascii="Palatino Linotype" w:hAnsi="Palatino Linotype"/>
        </w:rPr>
        <w:t>, and</w:t>
      </w:r>
      <w:r w:rsidRPr="00FA492E">
        <w:rPr>
          <w:rFonts w:ascii="Palatino Linotype" w:hAnsi="Palatino Linotype"/>
        </w:rPr>
        <w:t xml:space="preserve"> </w:t>
      </w:r>
      <w:r>
        <w:rPr>
          <w:rFonts w:ascii="Palatino Linotype" w:hAnsi="Palatino Linotype"/>
        </w:rPr>
        <w:t>(</w:t>
      </w:r>
      <w:r w:rsidRPr="00FA492E">
        <w:rPr>
          <w:rFonts w:ascii="Palatino Linotype" w:hAnsi="Palatino Linotype"/>
        </w:rPr>
        <w:t>3) all stakeholders have experience with the calculation of the P</w:t>
      </w:r>
      <w:r>
        <w:rPr>
          <w:rFonts w:ascii="Palatino Linotype" w:hAnsi="Palatino Linotype"/>
        </w:rPr>
        <w:t>CIA</w:t>
      </w:r>
      <w:r w:rsidRPr="00FA492E">
        <w:rPr>
          <w:rFonts w:ascii="Palatino Linotype" w:hAnsi="Palatino Linotype"/>
        </w:rPr>
        <w:t xml:space="preserve">, which is subject to annual review and adjustment </w:t>
      </w:r>
      <w:r>
        <w:rPr>
          <w:rFonts w:ascii="Palatino Linotype" w:hAnsi="Palatino Linotype"/>
        </w:rPr>
        <w:t>as part of</w:t>
      </w:r>
      <w:r w:rsidRPr="00FA492E">
        <w:rPr>
          <w:rFonts w:ascii="Palatino Linotype" w:hAnsi="Palatino Linotype"/>
        </w:rPr>
        <w:t xml:space="preserve"> each IOU’s ERRA proceeding.</w:t>
      </w:r>
      <w:r>
        <w:rPr>
          <w:rFonts w:ascii="Palatino Linotype" w:hAnsi="Palatino Linotype"/>
        </w:rPr>
        <w:t xml:space="preserve">  </w:t>
      </w:r>
    </w:p>
    <w:p w14:paraId="36FB8CB0" w14:textId="77777777" w:rsidR="0076358A" w:rsidRPr="00FA492E" w:rsidRDefault="0076358A" w:rsidP="0076358A">
      <w:pPr>
        <w:pStyle w:val="DecisionText"/>
        <w:spacing w:line="240" w:lineRule="auto"/>
        <w:rPr>
          <w:rFonts w:ascii="Palatino Linotype" w:hAnsi="Palatino Linotype"/>
        </w:rPr>
      </w:pPr>
      <w:r w:rsidRPr="003B5009">
        <w:rPr>
          <w:rFonts w:ascii="Palatino Linotype" w:hAnsi="Palatino Linotype"/>
        </w:rPr>
        <w:t xml:space="preserve">The methodology, applicability, and inputs of the PCIA have recently been extensively re-examined, litigated and debated </w:t>
      </w:r>
      <w:r>
        <w:rPr>
          <w:rFonts w:ascii="Palatino Linotype" w:hAnsi="Palatino Linotype"/>
        </w:rPr>
        <w:t>in</w:t>
      </w:r>
      <w:r w:rsidRPr="003B5009">
        <w:rPr>
          <w:rFonts w:ascii="Palatino Linotype" w:hAnsi="Palatino Linotype"/>
        </w:rPr>
        <w:t xml:space="preserve"> Rulemaking </w:t>
      </w:r>
      <w:r>
        <w:rPr>
          <w:rFonts w:ascii="Palatino Linotype" w:hAnsi="Palatino Linotype"/>
        </w:rPr>
        <w:t>(R.)</w:t>
      </w:r>
      <w:r w:rsidRPr="003B5009">
        <w:rPr>
          <w:rFonts w:ascii="Palatino Linotype" w:hAnsi="Palatino Linotype"/>
        </w:rPr>
        <w:t>17-06-026</w:t>
      </w:r>
      <w:r>
        <w:rPr>
          <w:rFonts w:ascii="Palatino Linotype" w:hAnsi="Palatino Linotype"/>
        </w:rPr>
        <w:t>.</w:t>
      </w:r>
      <w:r w:rsidRPr="003B5009">
        <w:rPr>
          <w:rFonts w:ascii="Palatino Linotype" w:hAnsi="Palatino Linotype"/>
        </w:rPr>
        <w:t xml:space="preserve"> D.18-10-019</w:t>
      </w:r>
      <w:r>
        <w:rPr>
          <w:rFonts w:ascii="Palatino Linotype" w:hAnsi="Palatino Linotype"/>
        </w:rPr>
        <w:t xml:space="preserve"> </w:t>
      </w:r>
      <w:r w:rsidRPr="00FA492E">
        <w:rPr>
          <w:rFonts w:ascii="Palatino Linotype" w:hAnsi="Palatino Linotype"/>
        </w:rPr>
        <w:t xml:space="preserve">included a percent-based price collar, which limits changes to the PCIA to 25% in either direction over the prior year. This change will provide more price stability in the upcoming years as the GTSR market matures.  </w:t>
      </w:r>
    </w:p>
    <w:p w14:paraId="6B5108BD" w14:textId="77777777" w:rsidR="0076358A" w:rsidRPr="00FA492E" w:rsidRDefault="0076358A" w:rsidP="0076358A">
      <w:pPr>
        <w:pStyle w:val="DecisionText"/>
        <w:spacing w:line="240" w:lineRule="auto"/>
        <w:rPr>
          <w:rFonts w:ascii="Palatino Linotype" w:hAnsi="Palatino Linotype"/>
        </w:rPr>
      </w:pPr>
      <w:r w:rsidRPr="00FA492E">
        <w:rPr>
          <w:rFonts w:ascii="Palatino Linotype" w:hAnsi="Palatino Linotype"/>
        </w:rPr>
        <w:lastRenderedPageBreak/>
        <w:t xml:space="preserve">The </w:t>
      </w:r>
      <w:r>
        <w:rPr>
          <w:rFonts w:ascii="Palatino Linotype" w:hAnsi="Palatino Linotype"/>
        </w:rPr>
        <w:t xml:space="preserve">Joint </w:t>
      </w:r>
      <w:r w:rsidRPr="00FA492E">
        <w:rPr>
          <w:rFonts w:ascii="Palatino Linotype" w:hAnsi="Palatino Linotype"/>
        </w:rPr>
        <w:t xml:space="preserve">Solar </w:t>
      </w:r>
      <w:r>
        <w:rPr>
          <w:rFonts w:ascii="Palatino Linotype" w:hAnsi="Palatino Linotype"/>
        </w:rPr>
        <w:t xml:space="preserve">Interests </w:t>
      </w:r>
      <w:r w:rsidRPr="00FA492E">
        <w:rPr>
          <w:rFonts w:ascii="Palatino Linotype" w:hAnsi="Palatino Linotype"/>
        </w:rPr>
        <w:t>protest</w:t>
      </w:r>
      <w:r>
        <w:rPr>
          <w:rFonts w:ascii="Palatino Linotype" w:hAnsi="Palatino Linotype"/>
        </w:rPr>
        <w:t>ed</w:t>
      </w:r>
      <w:r w:rsidRPr="00FA492E">
        <w:rPr>
          <w:rFonts w:ascii="Palatino Linotype" w:hAnsi="Palatino Linotype"/>
        </w:rPr>
        <w:t xml:space="preserve"> </w:t>
      </w:r>
      <w:r>
        <w:rPr>
          <w:rFonts w:ascii="Palatino Linotype" w:hAnsi="Palatino Linotype"/>
        </w:rPr>
        <w:t xml:space="preserve">the PCIA mechanism as a program defect, asserting that its presence makes it unlikely for ECR project developers to offer an attractive value proposition for prospective customers.  Absent CPUC action to remedy the defect, the Joint Solar Interests claim there will continue to be minimal participation in GT and no participation in ECR.  The Joint Solar Interests provide no specific remedy, so it is assumed here from their comments that they seek to remove the PCIA mechanism from the GTSR program. </w:t>
      </w:r>
    </w:p>
    <w:p w14:paraId="1EC91B78" w14:textId="77777777" w:rsidR="0076358A" w:rsidRPr="00FA492E" w:rsidRDefault="0076358A" w:rsidP="0076358A">
      <w:pPr>
        <w:pStyle w:val="DecisionText"/>
        <w:spacing w:line="240" w:lineRule="auto"/>
        <w:rPr>
          <w:rFonts w:ascii="Palatino Linotype" w:hAnsi="Palatino Linotype"/>
        </w:rPr>
      </w:pPr>
      <w:r>
        <w:rPr>
          <w:rFonts w:ascii="Palatino Linotype" w:hAnsi="Palatino Linotype"/>
        </w:rPr>
        <w:t>T</w:t>
      </w:r>
      <w:r w:rsidRPr="00FA492E">
        <w:rPr>
          <w:rFonts w:ascii="Palatino Linotype" w:hAnsi="Palatino Linotype"/>
        </w:rPr>
        <w:t xml:space="preserve">he Clean Coalition also noted </w:t>
      </w:r>
      <w:r>
        <w:rPr>
          <w:rFonts w:ascii="Palatino Linotype" w:hAnsi="Palatino Linotype"/>
        </w:rPr>
        <w:t xml:space="preserve">in their protest </w:t>
      </w:r>
      <w:r w:rsidRPr="00FA492E">
        <w:rPr>
          <w:rFonts w:ascii="Palatino Linotype" w:hAnsi="Palatino Linotype"/>
        </w:rPr>
        <w:t xml:space="preserve">that the Commission adopted practices that create a very real price disincentive to customer enrollment in </w:t>
      </w:r>
      <w:r>
        <w:rPr>
          <w:rFonts w:ascii="Palatino Linotype" w:hAnsi="Palatino Linotype"/>
        </w:rPr>
        <w:t>the 2015 GTSR Decision</w:t>
      </w:r>
      <w:r w:rsidRPr="00FA492E">
        <w:rPr>
          <w:rFonts w:ascii="Palatino Linotype" w:hAnsi="Palatino Linotype"/>
        </w:rPr>
        <w:t xml:space="preserve">: GTSR participants are subject to the PCIA, but receive no credit for avoided costs associated with appropriate deployment of distributed generation. The Clean Coalition </w:t>
      </w:r>
      <w:r>
        <w:rPr>
          <w:rFonts w:ascii="Palatino Linotype" w:hAnsi="Palatino Linotype"/>
        </w:rPr>
        <w:t>asserts</w:t>
      </w:r>
      <w:r w:rsidRPr="00FA492E">
        <w:rPr>
          <w:rFonts w:ascii="Palatino Linotype" w:hAnsi="Palatino Linotype"/>
        </w:rPr>
        <w:t xml:space="preserve"> that the Commission erred in failing to account for ratepayer benefits associated with the program.  This sentiment was further echoed in a paper by the Community Solar Value Project</w:t>
      </w:r>
      <w:r>
        <w:rPr>
          <w:rFonts w:ascii="Palatino Linotype" w:hAnsi="Palatino Linotype"/>
        </w:rPr>
        <w:t>,</w:t>
      </w:r>
      <w:r w:rsidRPr="00FA492E">
        <w:rPr>
          <w:rStyle w:val="FootnoteReference"/>
          <w:rFonts w:ascii="Palatino Linotype" w:hAnsi="Palatino Linotype"/>
        </w:rPr>
        <w:footnoteReference w:id="53"/>
      </w:r>
      <w:r w:rsidRPr="00FA492E">
        <w:rPr>
          <w:rFonts w:ascii="Palatino Linotype" w:hAnsi="Palatino Linotype"/>
        </w:rPr>
        <w:t xml:space="preserve"> which was presented at the 2018 Developers Forum.</w:t>
      </w:r>
    </w:p>
    <w:p w14:paraId="242F9826" w14:textId="77777777" w:rsidR="0076358A" w:rsidRDefault="0076358A" w:rsidP="0076358A">
      <w:pPr>
        <w:pStyle w:val="DecisionText"/>
        <w:spacing w:line="240" w:lineRule="auto"/>
        <w:rPr>
          <w:rFonts w:ascii="Palatino Linotype" w:hAnsi="Palatino Linotype"/>
          <w:lang w:val="en-US"/>
        </w:rPr>
      </w:pPr>
      <w:r>
        <w:rPr>
          <w:rFonts w:ascii="Palatino Linotype" w:hAnsi="Palatino Linotype"/>
        </w:rPr>
        <w:t>The Joint Solar Interests’ proposal to remedy the PCIA mechanism would result in a different structure to the program and is therefore inappropriate for consideration in the AL process.  Additionally, SB 43 requires that the GTSR program “</w:t>
      </w:r>
      <w:r w:rsidRPr="007D39BF">
        <w:rPr>
          <w:rFonts w:ascii="Palatino Linotype" w:hAnsi="Palatino Linotype"/>
          <w:lang w:val="en-US"/>
        </w:rPr>
        <w:t>be implemented in a manner that ensures nonparticipating ratepayer indifference for the remaining bundled service, direct access, and community choice aggregation customers</w:t>
      </w:r>
      <w:r>
        <w:rPr>
          <w:rFonts w:ascii="Palatino Linotype" w:hAnsi="Palatino Linotype"/>
          <w:lang w:val="en-US"/>
        </w:rPr>
        <w:t xml:space="preserve">”.   To ‘remedy’ the PCIA mechanism by removing it, as suggested by the Joint Solar Interests, would put the program out of alignment with the law. </w:t>
      </w:r>
    </w:p>
    <w:p w14:paraId="50EC9D34" w14:textId="77777777" w:rsidR="0076358A" w:rsidRDefault="0076358A" w:rsidP="0076358A">
      <w:pPr>
        <w:pStyle w:val="DecisionText"/>
        <w:spacing w:line="240" w:lineRule="auto"/>
        <w:rPr>
          <w:rFonts w:ascii="Palatino Linotype" w:hAnsi="Palatino Linotype"/>
        </w:rPr>
      </w:pPr>
      <w:r>
        <w:rPr>
          <w:rFonts w:ascii="Palatino Linotype" w:hAnsi="Palatino Linotype"/>
        </w:rPr>
        <w:t xml:space="preserve">Furthermore, </w:t>
      </w:r>
      <w:r w:rsidR="004D727B">
        <w:rPr>
          <w:rFonts w:ascii="Palatino Linotype" w:hAnsi="Palatino Linotype"/>
        </w:rPr>
        <w:t>the PCIA mechanism</w:t>
      </w:r>
      <w:r>
        <w:rPr>
          <w:rFonts w:ascii="Palatino Linotype" w:hAnsi="Palatino Linotype"/>
        </w:rPr>
        <w:t xml:space="preserve"> re</w:t>
      </w:r>
      <w:r w:rsidRPr="00FA492E">
        <w:rPr>
          <w:rFonts w:ascii="Palatino Linotype" w:hAnsi="Palatino Linotype"/>
        </w:rPr>
        <w:t xml:space="preserve">mains a reasonable and best-available proxy to retain the ratepayer indifference mandated </w:t>
      </w:r>
      <w:r>
        <w:rPr>
          <w:rFonts w:ascii="Palatino Linotype" w:hAnsi="Palatino Linotype"/>
        </w:rPr>
        <w:t xml:space="preserve">by </w:t>
      </w:r>
      <w:r w:rsidRPr="00FA492E">
        <w:rPr>
          <w:rFonts w:ascii="Palatino Linotype" w:hAnsi="Palatino Linotype"/>
        </w:rPr>
        <w:t xml:space="preserve">SB 43.  The </w:t>
      </w:r>
      <w:r>
        <w:rPr>
          <w:rFonts w:ascii="Palatino Linotype" w:hAnsi="Palatino Linotype"/>
        </w:rPr>
        <w:t xml:space="preserve">Joint Solar Interests’ suggestion to remedy the PCIA mechanism for the GTSR program is therefore rejected.  </w:t>
      </w:r>
    </w:p>
    <w:p w14:paraId="2057C4F6" w14:textId="77777777" w:rsidR="00840F77" w:rsidRDefault="009676CE" w:rsidP="009676CE">
      <w:pPr>
        <w:pStyle w:val="DecisionText"/>
        <w:spacing w:line="240" w:lineRule="auto"/>
        <w:rPr>
          <w:rFonts w:ascii="Palatino Linotype" w:hAnsi="Palatino Linotype"/>
        </w:rPr>
      </w:pPr>
      <w:r>
        <w:rPr>
          <w:rFonts w:ascii="Palatino Linotype" w:hAnsi="Palatino Linotype"/>
        </w:rPr>
        <w:t>In their comments</w:t>
      </w:r>
      <w:r w:rsidR="00840F77">
        <w:rPr>
          <w:rFonts w:ascii="Palatino Linotype" w:hAnsi="Palatino Linotype"/>
        </w:rPr>
        <w:t xml:space="preserve"> to this draft resolution</w:t>
      </w:r>
      <w:r>
        <w:rPr>
          <w:rFonts w:ascii="Palatino Linotype" w:hAnsi="Palatino Linotype"/>
        </w:rPr>
        <w:t>, the Joint Solar Interests point to another possible solution</w:t>
      </w:r>
      <w:r w:rsidR="0098156F">
        <w:rPr>
          <w:rFonts w:ascii="Palatino Linotype" w:hAnsi="Palatino Linotype"/>
        </w:rPr>
        <w:t xml:space="preserve">: </w:t>
      </w:r>
      <w:r w:rsidR="006B3A59">
        <w:rPr>
          <w:rFonts w:ascii="Palatino Linotype" w:hAnsi="Palatino Linotype"/>
        </w:rPr>
        <w:t>t</w:t>
      </w:r>
      <w:r w:rsidRPr="009676CE">
        <w:rPr>
          <w:rFonts w:ascii="Palatino Linotype" w:hAnsi="Palatino Linotype"/>
        </w:rPr>
        <w:t xml:space="preserve">he Commission </w:t>
      </w:r>
      <w:r w:rsidR="0098156F">
        <w:rPr>
          <w:rFonts w:ascii="Palatino Linotype" w:hAnsi="Palatino Linotype"/>
        </w:rPr>
        <w:t>could</w:t>
      </w:r>
      <w:r w:rsidRPr="009676CE">
        <w:rPr>
          <w:rFonts w:ascii="Palatino Linotype" w:hAnsi="Palatino Linotype"/>
        </w:rPr>
        <w:t xml:space="preserve"> use the Distributed Energy </w:t>
      </w:r>
      <w:r w:rsidRPr="009676CE">
        <w:rPr>
          <w:rFonts w:ascii="Palatino Linotype" w:hAnsi="Palatino Linotype"/>
        </w:rPr>
        <w:lastRenderedPageBreak/>
        <w:t>Resources</w:t>
      </w:r>
      <w:r>
        <w:rPr>
          <w:rFonts w:ascii="Palatino Linotype" w:hAnsi="Palatino Linotype"/>
        </w:rPr>
        <w:t xml:space="preserve"> </w:t>
      </w:r>
      <w:r w:rsidRPr="009676CE">
        <w:rPr>
          <w:rFonts w:ascii="Palatino Linotype" w:hAnsi="Palatino Linotype"/>
        </w:rPr>
        <w:t>Avoided Cost Calculator</w:t>
      </w:r>
      <w:r w:rsidR="006B3A59">
        <w:rPr>
          <w:rFonts w:ascii="Palatino Linotype" w:hAnsi="Palatino Linotype"/>
        </w:rPr>
        <w:t xml:space="preserve">.  </w:t>
      </w:r>
      <w:r w:rsidR="009C64EA">
        <w:rPr>
          <w:rFonts w:ascii="Palatino Linotype" w:hAnsi="Palatino Linotype"/>
        </w:rPr>
        <w:t>Application of s</w:t>
      </w:r>
      <w:r w:rsidRPr="009676CE">
        <w:rPr>
          <w:rFonts w:ascii="Palatino Linotype" w:hAnsi="Palatino Linotype"/>
        </w:rPr>
        <w:t xml:space="preserve">uch a test </w:t>
      </w:r>
      <w:r w:rsidR="006B3A59">
        <w:rPr>
          <w:rFonts w:ascii="Palatino Linotype" w:hAnsi="Palatino Linotype"/>
        </w:rPr>
        <w:t xml:space="preserve">could </w:t>
      </w:r>
      <w:r w:rsidRPr="009676CE">
        <w:rPr>
          <w:rFonts w:ascii="Palatino Linotype" w:hAnsi="Palatino Linotype"/>
        </w:rPr>
        <w:t xml:space="preserve">provide a </w:t>
      </w:r>
      <w:r w:rsidR="004B373C">
        <w:rPr>
          <w:rFonts w:ascii="Palatino Linotype" w:hAnsi="Palatino Linotype"/>
        </w:rPr>
        <w:t xml:space="preserve">better </w:t>
      </w:r>
      <w:r w:rsidRPr="009676CE">
        <w:rPr>
          <w:rFonts w:ascii="Palatino Linotype" w:hAnsi="Palatino Linotype"/>
        </w:rPr>
        <w:t xml:space="preserve">cost-based </w:t>
      </w:r>
      <w:r w:rsidR="009C64EA">
        <w:rPr>
          <w:rFonts w:ascii="Palatino Linotype" w:hAnsi="Palatino Linotype"/>
        </w:rPr>
        <w:t xml:space="preserve">indifference </w:t>
      </w:r>
      <w:r w:rsidRPr="009676CE">
        <w:rPr>
          <w:rFonts w:ascii="Palatino Linotype" w:hAnsi="Palatino Linotype"/>
        </w:rPr>
        <w:t>charge</w:t>
      </w:r>
      <w:r>
        <w:rPr>
          <w:rFonts w:ascii="Palatino Linotype" w:hAnsi="Palatino Linotype"/>
        </w:rPr>
        <w:t xml:space="preserve"> </w:t>
      </w:r>
      <w:r w:rsidRPr="009676CE">
        <w:rPr>
          <w:rFonts w:ascii="Palatino Linotype" w:hAnsi="Palatino Linotype"/>
        </w:rPr>
        <w:t xml:space="preserve">rather than </w:t>
      </w:r>
      <w:r w:rsidR="004B373C">
        <w:rPr>
          <w:rFonts w:ascii="Palatino Linotype" w:hAnsi="Palatino Linotype"/>
        </w:rPr>
        <w:t>using the PCIA as a proxy</w:t>
      </w:r>
      <w:r w:rsidRPr="009676CE">
        <w:rPr>
          <w:rFonts w:ascii="Palatino Linotype" w:hAnsi="Palatino Linotype"/>
        </w:rPr>
        <w:t>.</w:t>
      </w:r>
      <w:r>
        <w:rPr>
          <w:rFonts w:ascii="Palatino Linotype" w:hAnsi="Palatino Linotype"/>
        </w:rPr>
        <w:t xml:space="preserve">   </w:t>
      </w:r>
    </w:p>
    <w:p w14:paraId="622BC883" w14:textId="77777777" w:rsidR="00032E00" w:rsidRDefault="00D977CF">
      <w:pPr>
        <w:pStyle w:val="DecisionText"/>
        <w:spacing w:line="240" w:lineRule="auto"/>
        <w:rPr>
          <w:rFonts w:ascii="Palatino Linotype" w:hAnsi="Palatino Linotype"/>
        </w:rPr>
      </w:pPr>
      <w:r>
        <w:rPr>
          <w:rFonts w:ascii="Palatino Linotype" w:hAnsi="Palatino Linotype"/>
        </w:rPr>
        <w:t xml:space="preserve">The Commission </w:t>
      </w:r>
      <w:r w:rsidR="00840F77">
        <w:rPr>
          <w:rFonts w:ascii="Palatino Linotype" w:hAnsi="Palatino Linotype"/>
        </w:rPr>
        <w:t xml:space="preserve">finds that considering the Avoided Cost Calculator method </w:t>
      </w:r>
      <w:r w:rsidR="000D46D5">
        <w:rPr>
          <w:rFonts w:ascii="Palatino Linotype" w:hAnsi="Palatino Linotype"/>
        </w:rPr>
        <w:t xml:space="preserve">could be </w:t>
      </w:r>
      <w:r w:rsidR="00840F77">
        <w:rPr>
          <w:rFonts w:ascii="Palatino Linotype" w:hAnsi="Palatino Linotype"/>
        </w:rPr>
        <w:t xml:space="preserve">a reasonable proxy </w:t>
      </w:r>
      <w:r w:rsidR="004B373C">
        <w:rPr>
          <w:rFonts w:ascii="Palatino Linotype" w:hAnsi="Palatino Linotype"/>
        </w:rPr>
        <w:t>for this cost component</w:t>
      </w:r>
      <w:r w:rsidR="000D46D5">
        <w:rPr>
          <w:rFonts w:ascii="Palatino Linotype" w:hAnsi="Palatino Linotype"/>
        </w:rPr>
        <w:t xml:space="preserve"> and</w:t>
      </w:r>
      <w:r w:rsidR="00840F77">
        <w:rPr>
          <w:rFonts w:ascii="Palatino Linotype" w:hAnsi="Palatino Linotype"/>
        </w:rPr>
        <w:t xml:space="preserve"> merits further discussion.  </w:t>
      </w:r>
      <w:r w:rsidR="004B3289" w:rsidRPr="004B3289">
        <w:rPr>
          <w:rFonts w:ascii="Palatino Linotype" w:hAnsi="Palatino Linotype"/>
        </w:rPr>
        <w:t>Updates to the Avoided Cost Calculator for 2020 are currently under review in the IDER proceeding</w:t>
      </w:r>
      <w:r w:rsidR="00FE4549">
        <w:rPr>
          <w:rFonts w:ascii="Palatino Linotype" w:hAnsi="Palatino Linotype"/>
        </w:rPr>
        <w:t>,</w:t>
      </w:r>
      <w:r w:rsidR="004B3289" w:rsidRPr="004B3289">
        <w:rPr>
          <w:rFonts w:ascii="Palatino Linotype" w:hAnsi="Palatino Linotype"/>
        </w:rPr>
        <w:t xml:space="preserve"> R.14-10-003.</w:t>
      </w:r>
      <w:r w:rsidR="004B3289">
        <w:rPr>
          <w:rFonts w:ascii="Palatino Linotype" w:hAnsi="Palatino Linotype"/>
        </w:rPr>
        <w:t xml:space="preserve">  </w:t>
      </w:r>
      <w:r w:rsidR="00FE4549">
        <w:rPr>
          <w:rFonts w:ascii="Palatino Linotype" w:hAnsi="Palatino Linotype"/>
        </w:rPr>
        <w:t>Once these methodologies are approved, the IOU</w:t>
      </w:r>
      <w:r w:rsidR="000D46D5">
        <w:rPr>
          <w:rFonts w:ascii="Palatino Linotype" w:hAnsi="Palatino Linotype"/>
        </w:rPr>
        <w:t>s</w:t>
      </w:r>
      <w:r w:rsidR="00FE4549">
        <w:rPr>
          <w:rFonts w:ascii="Palatino Linotype" w:hAnsi="Palatino Linotype"/>
        </w:rPr>
        <w:t xml:space="preserve"> may</w:t>
      </w:r>
      <w:r w:rsidR="006B3A59">
        <w:rPr>
          <w:rFonts w:ascii="Palatino Linotype" w:hAnsi="Palatino Linotype"/>
        </w:rPr>
        <w:t xml:space="preserve">, if applicable, </w:t>
      </w:r>
      <w:r w:rsidR="00F8273F">
        <w:rPr>
          <w:rFonts w:ascii="Palatino Linotype" w:hAnsi="Palatino Linotype"/>
        </w:rPr>
        <w:t xml:space="preserve">use this tool to propose additional avoided costs </w:t>
      </w:r>
      <w:r w:rsidR="00EF0402">
        <w:rPr>
          <w:rFonts w:ascii="Palatino Linotype" w:hAnsi="Palatino Linotype"/>
        </w:rPr>
        <w:t xml:space="preserve">which may have been overlooked, </w:t>
      </w:r>
      <w:r w:rsidR="00FE4549">
        <w:rPr>
          <w:rFonts w:ascii="Palatino Linotype" w:hAnsi="Palatino Linotype"/>
        </w:rPr>
        <w:t xml:space="preserve">through a </w:t>
      </w:r>
      <w:r w:rsidR="006B3A59">
        <w:rPr>
          <w:rFonts w:ascii="Palatino Linotype" w:hAnsi="Palatino Linotype"/>
        </w:rPr>
        <w:t xml:space="preserve">joint </w:t>
      </w:r>
      <w:r w:rsidR="00FE4549">
        <w:t>Tier 3 Advice Letter.</w:t>
      </w:r>
    </w:p>
    <w:p w14:paraId="44B83DCE" w14:textId="77777777" w:rsidR="00032E00" w:rsidRDefault="00D977CF">
      <w:pPr>
        <w:pStyle w:val="Heading3"/>
      </w:pPr>
      <w:bookmarkStart w:id="69" w:name="_Ref528590879"/>
      <w:bookmarkStart w:id="70" w:name="_Ref528590882"/>
      <w:bookmarkStart w:id="71" w:name="_Ref528590921"/>
      <w:bookmarkStart w:id="72" w:name="_Ref528590964"/>
      <w:bookmarkStart w:id="73" w:name="_Toc529915558"/>
      <w:bookmarkStart w:id="74" w:name="_Toc12442439"/>
      <w:bookmarkStart w:id="75" w:name="_Toc20145942"/>
      <w:r w:rsidRPr="00FA492E">
        <w:t>Locational Grid Benefits</w:t>
      </w:r>
      <w:bookmarkEnd w:id="69"/>
      <w:bookmarkEnd w:id="70"/>
      <w:bookmarkEnd w:id="71"/>
      <w:bookmarkEnd w:id="72"/>
      <w:bookmarkEnd w:id="73"/>
      <w:bookmarkEnd w:id="74"/>
      <w:bookmarkEnd w:id="75"/>
    </w:p>
    <w:p w14:paraId="6B27D71C" w14:textId="77777777" w:rsidR="0076358A" w:rsidRDefault="0076358A" w:rsidP="0076358A">
      <w:pPr>
        <w:pStyle w:val="DecisionText"/>
        <w:spacing w:line="240" w:lineRule="auto"/>
        <w:rPr>
          <w:rFonts w:ascii="Palatino Linotype" w:hAnsi="Palatino Linotype"/>
        </w:rPr>
      </w:pPr>
      <w:r>
        <w:rPr>
          <w:rFonts w:ascii="Palatino Linotype" w:hAnsi="Palatino Linotype"/>
        </w:rPr>
        <w:t xml:space="preserve">The Joint Solar Interests note that the GTSR program suffers because the full value of distributed solar are not reflected in the program bill credit calculations.  Even though the CPUC acknowledged in D.15-01-005 that locational values should be included in the GT and ECR bill credits, that has yet to happen.  The determination of locational values for distributed generation projects is occurring within the Distribution Resource Planning (DRP) proceeding (R.14-08-013) and, according to the Joint Solar Interests, there is no clear process for translating the values into bill credits once those values are available.   </w:t>
      </w:r>
    </w:p>
    <w:p w14:paraId="72742DC0" w14:textId="77777777" w:rsidR="0076358A" w:rsidRDefault="0076358A" w:rsidP="0076358A">
      <w:pPr>
        <w:pStyle w:val="DecisionText"/>
        <w:spacing w:line="240" w:lineRule="auto"/>
        <w:rPr>
          <w:rFonts w:ascii="Palatino Linotype" w:hAnsi="Palatino Linotype"/>
        </w:rPr>
      </w:pPr>
      <w:r>
        <w:rPr>
          <w:rFonts w:ascii="Palatino Linotype" w:hAnsi="Palatino Linotype"/>
        </w:rPr>
        <w:t xml:space="preserve">In its AL, </w:t>
      </w:r>
      <w:r w:rsidRPr="00FA492E">
        <w:rPr>
          <w:rFonts w:ascii="Palatino Linotype" w:hAnsi="Palatino Linotype"/>
        </w:rPr>
        <w:t xml:space="preserve">PG&amp;E proposes </w:t>
      </w:r>
      <w:r>
        <w:rPr>
          <w:rFonts w:ascii="Palatino Linotype" w:hAnsi="Palatino Linotype"/>
        </w:rPr>
        <w:t xml:space="preserve">flexibility as to when the IOUs will be required to incorporate locational grid benefits into the GTSR program via a Tier 2 AL.  Specifically, PG&amp;E seeks to file the AL within 60 days of a decision in the R.14-08-013 or within 60 days of an implementation deadline established by the decision.  </w:t>
      </w:r>
    </w:p>
    <w:p w14:paraId="6E0C2432" w14:textId="77777777" w:rsidR="0076358A" w:rsidRDefault="0076358A" w:rsidP="0076358A">
      <w:pPr>
        <w:pStyle w:val="DecisionText"/>
        <w:spacing w:line="240" w:lineRule="auto"/>
        <w:rPr>
          <w:rFonts w:ascii="Palatino Linotype" w:hAnsi="Palatino Linotype"/>
        </w:rPr>
      </w:pPr>
      <w:r>
        <w:rPr>
          <w:rFonts w:ascii="Palatino Linotype" w:hAnsi="Palatino Linotype"/>
        </w:rPr>
        <w:t xml:space="preserve">The Joint Solar Interests seek clarification on a process by which locational grid values can be incorporated into the GTSR program.  PG&amp;E seeks procedural flexibility on how to proceed when such values are ready for incorporation.  PG&amp;E’s specific proposal on this matter does not result in a different structure to the program but is simply a procedural clarification.  Therefore, PG&amp;E’s proposal on this matter is appropriate to be addressed in the AL process.  </w:t>
      </w:r>
    </w:p>
    <w:p w14:paraId="62D57F55" w14:textId="77777777" w:rsidR="0076358A" w:rsidRDefault="0076358A" w:rsidP="0076358A">
      <w:pPr>
        <w:pStyle w:val="DecisionText"/>
        <w:spacing w:line="240" w:lineRule="auto"/>
        <w:rPr>
          <w:rFonts w:ascii="Palatino Linotype" w:hAnsi="Palatino Linotype"/>
        </w:rPr>
      </w:pPr>
      <w:r>
        <w:rPr>
          <w:rFonts w:ascii="Palatino Linotype" w:hAnsi="Palatino Linotype"/>
        </w:rPr>
        <w:t xml:space="preserve">We approve PG&amp;E’s proposal for more flexibility on how to incorporate locational grid benefits into the GTSR program.  As noted earlier, reflecting locational grid benefits in GTSR bill credits had already been recognized by the </w:t>
      </w:r>
      <w:r>
        <w:rPr>
          <w:rFonts w:ascii="Palatino Linotype" w:hAnsi="Palatino Linotype"/>
        </w:rPr>
        <w:lastRenderedPageBreak/>
        <w:t xml:space="preserve">CPUC as an action that should be taken when such values have been developed and are ready for incorporation.  </w:t>
      </w:r>
    </w:p>
    <w:p w14:paraId="3382D2BF" w14:textId="77777777" w:rsidR="00032E00" w:rsidRDefault="00D977CF">
      <w:pPr>
        <w:pStyle w:val="DecisionText"/>
        <w:spacing w:line="240" w:lineRule="auto"/>
        <w:rPr>
          <w:rFonts w:ascii="Palatino Linotype" w:hAnsi="Palatino Linotype"/>
        </w:rPr>
      </w:pPr>
      <w:r w:rsidRPr="00F77E24">
        <w:rPr>
          <w:rFonts w:ascii="Palatino Linotype" w:hAnsi="Palatino Linotype"/>
        </w:rPr>
        <w:t xml:space="preserve">We </w:t>
      </w:r>
      <w:r w:rsidRPr="00F21F87">
        <w:rPr>
          <w:rFonts w:ascii="Palatino Linotype" w:hAnsi="Palatino Linotype"/>
        </w:rPr>
        <w:t xml:space="preserve">therefore direct the three IOUs to propose a </w:t>
      </w:r>
      <w:r>
        <w:rPr>
          <w:rFonts w:ascii="Palatino Linotype" w:hAnsi="Palatino Linotype"/>
        </w:rPr>
        <w:t xml:space="preserve">joint </w:t>
      </w:r>
      <w:r w:rsidRPr="00F21F87">
        <w:rPr>
          <w:rFonts w:ascii="Palatino Linotype" w:hAnsi="Palatino Linotype"/>
        </w:rPr>
        <w:t>methodology for incorporating loca</w:t>
      </w:r>
      <w:r w:rsidRPr="00F77E24">
        <w:rPr>
          <w:rFonts w:ascii="Palatino Linotype" w:hAnsi="Palatino Linotype"/>
        </w:rPr>
        <w:t xml:space="preserve">tional grid benefits into the GTSR program via a Tier </w:t>
      </w:r>
      <w:r w:rsidR="003C534E">
        <w:rPr>
          <w:rFonts w:ascii="Palatino Linotype" w:hAnsi="Palatino Linotype"/>
        </w:rPr>
        <w:t>3</w:t>
      </w:r>
      <w:r w:rsidR="003C534E" w:rsidRPr="00F77E24">
        <w:rPr>
          <w:rFonts w:ascii="Palatino Linotype" w:hAnsi="Palatino Linotype"/>
        </w:rPr>
        <w:t xml:space="preserve"> </w:t>
      </w:r>
      <w:r w:rsidRPr="00F77E24">
        <w:rPr>
          <w:rFonts w:ascii="Palatino Linotype" w:hAnsi="Palatino Linotype"/>
        </w:rPr>
        <w:t xml:space="preserve">AL within </w:t>
      </w:r>
      <w:r>
        <w:rPr>
          <w:rFonts w:ascii="Palatino Linotype" w:hAnsi="Palatino Linotype"/>
        </w:rPr>
        <w:t>6</w:t>
      </w:r>
      <w:r w:rsidRPr="00F77E24">
        <w:rPr>
          <w:rFonts w:ascii="Palatino Linotype" w:hAnsi="Palatino Linotype"/>
        </w:rPr>
        <w:t xml:space="preserve">0 days of a decision in R.14-08-013 or within 60 days of a deadline for LNBA implementation established by such a decision.  </w:t>
      </w:r>
      <w:r w:rsidR="00CE2ECE">
        <w:rPr>
          <w:rFonts w:ascii="Palatino Linotype" w:hAnsi="Palatino Linotype"/>
        </w:rPr>
        <w:t xml:space="preserve">This AL must address how the consensus methodology is consistent with other </w:t>
      </w:r>
      <w:r w:rsidR="00C43674">
        <w:rPr>
          <w:rFonts w:ascii="Palatino Linotype" w:hAnsi="Palatino Linotype"/>
        </w:rPr>
        <w:t xml:space="preserve">DRP-related ratemaking requests, as addressed in the CCA Parties’ comments. </w:t>
      </w:r>
      <w:r w:rsidR="00CE2ECE">
        <w:rPr>
          <w:rFonts w:ascii="Palatino Linotype" w:hAnsi="Palatino Linotype"/>
        </w:rPr>
        <w:t xml:space="preserve"> </w:t>
      </w:r>
      <w:r w:rsidRPr="001B531E">
        <w:rPr>
          <w:rFonts w:ascii="Palatino Linotype" w:hAnsi="Palatino Linotype"/>
          <w:bCs/>
        </w:rPr>
        <w:t>The intent is to use these LNBA values only for the purposes of implementing the GTSR program, which is limited in size: it is not intended to establish precedent or become a long-term statewide methodology, though data and lessons learned may be used to inform future discussions.</w:t>
      </w:r>
      <w:r w:rsidRPr="001B531E">
        <w:rPr>
          <w:rFonts w:ascii="Palatino Linotype" w:hAnsi="Palatino Linotype"/>
          <w:b/>
        </w:rPr>
        <w:t xml:space="preserve">  </w:t>
      </w:r>
      <w:r w:rsidRPr="00F77E24">
        <w:rPr>
          <w:rFonts w:ascii="Palatino Linotype" w:hAnsi="Palatino Linotype"/>
        </w:rPr>
        <w:t>Any additional bill credits should be vetted through the Tier 3 AL process</w:t>
      </w:r>
      <w:r>
        <w:rPr>
          <w:rFonts w:ascii="Palatino Linotype" w:hAnsi="Palatino Linotype"/>
        </w:rPr>
        <w:t>.</w:t>
      </w:r>
    </w:p>
    <w:p w14:paraId="3CDBAE52" w14:textId="77777777" w:rsidR="00032E00" w:rsidRDefault="00D977CF">
      <w:pPr>
        <w:pStyle w:val="Heading3"/>
      </w:pPr>
      <w:bookmarkStart w:id="76" w:name="_Toc529915572"/>
      <w:bookmarkStart w:id="77" w:name="_Toc12442440"/>
      <w:bookmarkStart w:id="78" w:name="_Toc20145943"/>
      <w:r w:rsidRPr="00FA492E">
        <w:t>Securities Op</w:t>
      </w:r>
      <w:bookmarkEnd w:id="76"/>
      <w:r>
        <w:t>inion</w:t>
      </w:r>
      <w:bookmarkEnd w:id="77"/>
      <w:bookmarkEnd w:id="78"/>
    </w:p>
    <w:p w14:paraId="52BB5DD3" w14:textId="77777777" w:rsidR="0076358A" w:rsidRPr="00FA492E" w:rsidRDefault="0076358A" w:rsidP="0076358A">
      <w:pPr>
        <w:pStyle w:val="DecisionText"/>
        <w:spacing w:line="240" w:lineRule="auto"/>
        <w:rPr>
          <w:rFonts w:ascii="Palatino Linotype" w:hAnsi="Palatino Linotype"/>
        </w:rPr>
      </w:pPr>
      <w:r>
        <w:rPr>
          <w:rFonts w:ascii="Palatino Linotype" w:hAnsi="Palatino Linotype"/>
        </w:rPr>
        <w:t>The original design of the GTSR program required a developer of an ECR project to hire an AmLaw 100</w:t>
      </w:r>
      <w:r>
        <w:rPr>
          <w:rStyle w:val="FootnoteReference"/>
          <w:rFonts w:ascii="Palatino Linotype" w:hAnsi="Palatino Linotype"/>
        </w:rPr>
        <w:footnoteReference w:id="54"/>
      </w:r>
      <w:r>
        <w:rPr>
          <w:rFonts w:ascii="Palatino Linotype" w:hAnsi="Palatino Linotype"/>
        </w:rPr>
        <w:t xml:space="preserve"> law firm to issue a securities opinion to address litigation risk related to unregistered securities transactions.  Developers identified this requirement as a major impediment to the development of ECR projects.  In response to a</w:t>
      </w:r>
      <w:r w:rsidRPr="00FA492E">
        <w:rPr>
          <w:rFonts w:ascii="Palatino Linotype" w:hAnsi="Palatino Linotype"/>
        </w:rPr>
        <w:t xml:space="preserve"> Joint</w:t>
      </w:r>
      <w:r>
        <w:rPr>
          <w:rFonts w:ascii="Palatino Linotype" w:hAnsi="Palatino Linotype"/>
        </w:rPr>
        <w:t xml:space="preserve"> Utilities</w:t>
      </w:r>
      <w:r w:rsidRPr="00FA492E">
        <w:rPr>
          <w:rFonts w:ascii="Palatino Linotype" w:hAnsi="Palatino Linotype"/>
        </w:rPr>
        <w:t xml:space="preserve"> Petition for Modification the Commission </w:t>
      </w:r>
      <w:r>
        <w:rPr>
          <w:rFonts w:ascii="Palatino Linotype" w:hAnsi="Palatino Linotype"/>
        </w:rPr>
        <w:t>adopted</w:t>
      </w:r>
      <w:r w:rsidRPr="00FA492E">
        <w:rPr>
          <w:rFonts w:ascii="Palatino Linotype" w:hAnsi="Palatino Linotype"/>
        </w:rPr>
        <w:t xml:space="preserve"> D.17-07-007</w:t>
      </w:r>
      <w:r>
        <w:rPr>
          <w:rFonts w:ascii="Palatino Linotype" w:hAnsi="Palatino Linotype"/>
        </w:rPr>
        <w:t xml:space="preserve">, which loosened the securities opinion component by eliminating the requirement that it be issued by an AmLaw 100 firm.  Instead, developers must still obtain a securities opinion, but it may be from an attorney who meets a </w:t>
      </w:r>
      <w:r w:rsidRPr="00092DFF">
        <w:rPr>
          <w:rFonts w:ascii="Palatino Linotype" w:hAnsi="Palatino Linotype"/>
        </w:rPr>
        <w:t xml:space="preserve">three-part standard which requires that securities opinions come from a lawyer or firm with </w:t>
      </w:r>
      <w:r>
        <w:rPr>
          <w:rFonts w:ascii="Palatino Linotype" w:hAnsi="Palatino Linotype"/>
        </w:rPr>
        <w:t>(</w:t>
      </w:r>
      <w:r w:rsidRPr="00092DFF">
        <w:rPr>
          <w:rFonts w:ascii="Palatino Linotype" w:hAnsi="Palatino Linotype"/>
        </w:rPr>
        <w:t xml:space="preserve">1) eight years of experience in securities law, </w:t>
      </w:r>
      <w:r>
        <w:rPr>
          <w:rFonts w:ascii="Palatino Linotype" w:hAnsi="Palatino Linotype"/>
        </w:rPr>
        <w:t>(</w:t>
      </w:r>
      <w:r w:rsidRPr="00092DFF">
        <w:rPr>
          <w:rFonts w:ascii="Palatino Linotype" w:hAnsi="Palatino Linotype"/>
        </w:rPr>
        <w:t xml:space="preserve">2) be currently licensed by the California Bar, and </w:t>
      </w:r>
      <w:r>
        <w:rPr>
          <w:rFonts w:ascii="Palatino Linotype" w:hAnsi="Palatino Linotype"/>
        </w:rPr>
        <w:t>(</w:t>
      </w:r>
      <w:r w:rsidRPr="00092DFF">
        <w:rPr>
          <w:rFonts w:ascii="Palatino Linotype" w:hAnsi="Palatino Linotype"/>
        </w:rPr>
        <w:t>3) carry a minimum of $10 million in professional liability coverage.</w:t>
      </w:r>
    </w:p>
    <w:p w14:paraId="790B3FEA" w14:textId="77777777" w:rsidR="0076358A" w:rsidRPr="00FA492E" w:rsidRDefault="0076358A" w:rsidP="0076358A">
      <w:pPr>
        <w:pStyle w:val="DecisionText"/>
        <w:spacing w:line="240" w:lineRule="auto"/>
        <w:rPr>
          <w:rFonts w:ascii="Palatino Linotype" w:hAnsi="Palatino Linotype"/>
        </w:rPr>
      </w:pPr>
      <w:r w:rsidRPr="00FA492E">
        <w:rPr>
          <w:rFonts w:ascii="Palatino Linotype" w:hAnsi="Palatino Linotype"/>
        </w:rPr>
        <w:t xml:space="preserve">The Joint Solar </w:t>
      </w:r>
      <w:r>
        <w:rPr>
          <w:rFonts w:ascii="Palatino Linotype" w:hAnsi="Palatino Linotype"/>
        </w:rPr>
        <w:t>Interests</w:t>
      </w:r>
      <w:r w:rsidRPr="00FA492E">
        <w:rPr>
          <w:rFonts w:ascii="Palatino Linotype" w:hAnsi="Palatino Linotype"/>
        </w:rPr>
        <w:t xml:space="preserve"> </w:t>
      </w:r>
      <w:r>
        <w:rPr>
          <w:rFonts w:ascii="Palatino Linotype" w:hAnsi="Palatino Linotype"/>
        </w:rPr>
        <w:t xml:space="preserve">state </w:t>
      </w:r>
      <w:r w:rsidRPr="00FA492E">
        <w:rPr>
          <w:rFonts w:ascii="Palatino Linotype" w:hAnsi="Palatino Linotype"/>
        </w:rPr>
        <w:t xml:space="preserve">in their protest </w:t>
      </w:r>
      <w:r>
        <w:rPr>
          <w:rFonts w:ascii="Palatino Linotype" w:hAnsi="Palatino Linotype"/>
        </w:rPr>
        <w:t>that the new</w:t>
      </w:r>
      <w:r w:rsidRPr="00FA492E">
        <w:rPr>
          <w:rFonts w:ascii="Palatino Linotype" w:hAnsi="Palatino Linotype"/>
        </w:rPr>
        <w:t xml:space="preserve"> requirement </w:t>
      </w:r>
      <w:r>
        <w:rPr>
          <w:rFonts w:ascii="Palatino Linotype" w:hAnsi="Palatino Linotype"/>
        </w:rPr>
        <w:t xml:space="preserve">adopted by the CPUC </w:t>
      </w:r>
      <w:r w:rsidRPr="00FA492E">
        <w:rPr>
          <w:rFonts w:ascii="Palatino Linotype" w:hAnsi="Palatino Linotype"/>
        </w:rPr>
        <w:t xml:space="preserve">did not address the chief concern raised by SEIA, that it is unreasonable to assume that </w:t>
      </w:r>
      <w:r>
        <w:rPr>
          <w:rFonts w:ascii="Palatino Linotype" w:hAnsi="Palatino Linotype"/>
        </w:rPr>
        <w:t xml:space="preserve">any </w:t>
      </w:r>
      <w:r w:rsidRPr="00FA492E">
        <w:rPr>
          <w:rFonts w:ascii="Palatino Linotype" w:hAnsi="Palatino Linotype"/>
        </w:rPr>
        <w:t xml:space="preserve">law firm would provide the </w:t>
      </w:r>
      <w:r>
        <w:rPr>
          <w:rFonts w:ascii="Palatino Linotype" w:hAnsi="Palatino Linotype"/>
        </w:rPr>
        <w:t>s</w:t>
      </w:r>
      <w:r w:rsidRPr="00FA492E">
        <w:rPr>
          <w:rFonts w:ascii="Palatino Linotype" w:hAnsi="Palatino Linotype"/>
        </w:rPr>
        <w:t xml:space="preserve">ecurities </w:t>
      </w:r>
      <w:r>
        <w:rPr>
          <w:rFonts w:ascii="Palatino Linotype" w:hAnsi="Palatino Linotype"/>
        </w:rPr>
        <w:t>o</w:t>
      </w:r>
      <w:r w:rsidRPr="00FA492E">
        <w:rPr>
          <w:rFonts w:ascii="Palatino Linotype" w:hAnsi="Palatino Linotype"/>
        </w:rPr>
        <w:t xml:space="preserve">pinion </w:t>
      </w:r>
      <w:r>
        <w:rPr>
          <w:rFonts w:ascii="Palatino Linotype" w:hAnsi="Palatino Linotype"/>
        </w:rPr>
        <w:lastRenderedPageBreak/>
        <w:t>that is required and that no project has progressed far enough to test whether the new requirement is achievable.</w:t>
      </w:r>
    </w:p>
    <w:p w14:paraId="3F9FF329" w14:textId="77777777" w:rsidR="0076358A" w:rsidRPr="00FA492E" w:rsidRDefault="0076358A" w:rsidP="0076358A">
      <w:pPr>
        <w:pStyle w:val="DecisionText"/>
        <w:spacing w:line="240" w:lineRule="auto"/>
        <w:rPr>
          <w:rFonts w:ascii="Palatino Linotype" w:hAnsi="Palatino Linotype"/>
        </w:rPr>
      </w:pPr>
      <w:r w:rsidRPr="00FA492E">
        <w:rPr>
          <w:rFonts w:ascii="Palatino Linotype" w:hAnsi="Palatino Linotype"/>
        </w:rPr>
        <w:t xml:space="preserve">In </w:t>
      </w:r>
      <w:r>
        <w:rPr>
          <w:rFonts w:ascii="Palatino Linotype" w:hAnsi="Palatino Linotype"/>
        </w:rPr>
        <w:t>its</w:t>
      </w:r>
      <w:r w:rsidRPr="00FA492E">
        <w:rPr>
          <w:rFonts w:ascii="Palatino Linotype" w:hAnsi="Palatino Linotype"/>
        </w:rPr>
        <w:t xml:space="preserve"> reply, SDG&amp;E </w:t>
      </w:r>
      <w:r>
        <w:rPr>
          <w:rFonts w:ascii="Palatino Linotype" w:hAnsi="Palatino Linotype"/>
        </w:rPr>
        <w:t xml:space="preserve">argues that the Joint Solar Interests’ request to revisit this issue is inappropriate because the new securities opinion requirement was recently resolved by the CPUC through a robust process set in motion by Joint Utilities Petition.  SDG&amp;E </w:t>
      </w:r>
      <w:r w:rsidRPr="00FA492E">
        <w:rPr>
          <w:rFonts w:ascii="Palatino Linotype" w:hAnsi="Palatino Linotype"/>
        </w:rPr>
        <w:t xml:space="preserve">notes that SEIA was </w:t>
      </w:r>
      <w:r>
        <w:rPr>
          <w:rFonts w:ascii="Palatino Linotype" w:hAnsi="Palatino Linotype"/>
        </w:rPr>
        <w:t xml:space="preserve">not only </w:t>
      </w:r>
      <w:r w:rsidRPr="00FA492E">
        <w:rPr>
          <w:rFonts w:ascii="Palatino Linotype" w:hAnsi="Palatino Linotype"/>
        </w:rPr>
        <w:t>an active participant to the negotiations which resulted in D.17-07-007</w:t>
      </w:r>
      <w:r>
        <w:rPr>
          <w:rFonts w:ascii="Palatino Linotype" w:hAnsi="Palatino Linotype"/>
        </w:rPr>
        <w:t xml:space="preserve">, </w:t>
      </w:r>
      <w:r w:rsidRPr="00FA492E">
        <w:rPr>
          <w:rFonts w:ascii="Palatino Linotype" w:hAnsi="Palatino Linotype"/>
        </w:rPr>
        <w:t xml:space="preserve">it did not object to the petition or the subsequent </w:t>
      </w:r>
      <w:r>
        <w:rPr>
          <w:rFonts w:ascii="Palatino Linotype" w:hAnsi="Palatino Linotype"/>
        </w:rPr>
        <w:t>AL</w:t>
      </w:r>
      <w:r w:rsidRPr="00FA492E">
        <w:rPr>
          <w:rFonts w:ascii="Palatino Linotype" w:hAnsi="Palatino Linotype"/>
        </w:rPr>
        <w:t xml:space="preserve">s implementing D.17-07-007.  </w:t>
      </w:r>
    </w:p>
    <w:p w14:paraId="76404F2C" w14:textId="77777777" w:rsidR="0076358A" w:rsidRPr="00FA492E" w:rsidRDefault="0076358A" w:rsidP="0076358A">
      <w:pPr>
        <w:pStyle w:val="DecisionText"/>
        <w:spacing w:line="240" w:lineRule="auto"/>
        <w:rPr>
          <w:rFonts w:ascii="Palatino Linotype" w:hAnsi="Palatino Linotype"/>
        </w:rPr>
      </w:pPr>
      <w:r>
        <w:rPr>
          <w:rFonts w:ascii="Palatino Linotype" w:hAnsi="Palatino Linotype"/>
        </w:rPr>
        <w:t>The Joint Parties do not provide a specific request for relief, so it is inferred from their comments that it</w:t>
      </w:r>
      <w:r w:rsidRPr="00FA492E">
        <w:rPr>
          <w:rFonts w:ascii="Palatino Linotype" w:hAnsi="Palatino Linotype"/>
        </w:rPr>
        <w:t xml:space="preserve"> </w:t>
      </w:r>
      <w:r>
        <w:rPr>
          <w:rFonts w:ascii="Palatino Linotype" w:hAnsi="Palatino Linotype"/>
        </w:rPr>
        <w:t xml:space="preserve">seeks to eliminate the securities opinion requirement altogether.  We find that the Joint Parties’ request on this matter would result in a different structure to the program and is therefore inappropriate for the AL process.  Additionally, we agree with SDG&amp;E that this issue was just recently taken up and resolved by the CPUC through a formal process and is therefore inappropriate to re-visit again through an AL process.  </w:t>
      </w:r>
      <w:r w:rsidRPr="00FA492E">
        <w:rPr>
          <w:rFonts w:ascii="Palatino Linotype" w:hAnsi="Palatino Linotype"/>
        </w:rPr>
        <w:t>Furthermore, ECR projects</w:t>
      </w:r>
      <w:r>
        <w:rPr>
          <w:rStyle w:val="FootnoteReference"/>
          <w:rFonts w:ascii="Palatino Linotype" w:hAnsi="Palatino Linotype"/>
        </w:rPr>
        <w:t xml:space="preserve"> </w:t>
      </w:r>
      <w:r>
        <w:rPr>
          <w:rFonts w:ascii="Palatino Linotype" w:hAnsi="Palatino Linotype"/>
        </w:rPr>
        <w:t xml:space="preserve">as described here in the Current Program Status section </w:t>
      </w:r>
      <w:r w:rsidRPr="00FA492E">
        <w:rPr>
          <w:rFonts w:ascii="Palatino Linotype" w:hAnsi="Palatino Linotype"/>
        </w:rPr>
        <w:t xml:space="preserve">with the requisite </w:t>
      </w:r>
      <w:r>
        <w:rPr>
          <w:rFonts w:ascii="Palatino Linotype" w:hAnsi="Palatino Linotype"/>
        </w:rPr>
        <w:t>se</w:t>
      </w:r>
      <w:r w:rsidRPr="00FA492E">
        <w:rPr>
          <w:rFonts w:ascii="Palatino Linotype" w:hAnsi="Palatino Linotype"/>
        </w:rPr>
        <w:t xml:space="preserve">curities </w:t>
      </w:r>
      <w:r>
        <w:rPr>
          <w:rFonts w:ascii="Palatino Linotype" w:hAnsi="Palatino Linotype"/>
        </w:rPr>
        <w:t>o</w:t>
      </w:r>
      <w:r w:rsidRPr="00FA492E">
        <w:rPr>
          <w:rFonts w:ascii="Palatino Linotype" w:hAnsi="Palatino Linotype"/>
        </w:rPr>
        <w:t>pinions have since been submitted</w:t>
      </w:r>
      <w:r>
        <w:rPr>
          <w:rFonts w:ascii="Palatino Linotype" w:hAnsi="Palatino Linotype"/>
        </w:rPr>
        <w:t>, so the Joint Parties Interests’ concern that the new requirement remains a barrier seems to be unfounded</w:t>
      </w:r>
      <w:r w:rsidRPr="00FA492E">
        <w:rPr>
          <w:rFonts w:ascii="Palatino Linotype" w:hAnsi="Palatino Linotype"/>
        </w:rPr>
        <w:t>.</w:t>
      </w:r>
      <w:r>
        <w:rPr>
          <w:rFonts w:ascii="Palatino Linotype" w:hAnsi="Palatino Linotype"/>
        </w:rPr>
        <w:t xml:space="preserve">  The Joint Solar Interests’ protest on this issue is therefore rejected.  </w:t>
      </w:r>
    </w:p>
    <w:p w14:paraId="1C2A3EAD" w14:textId="77777777" w:rsidR="0076358A" w:rsidRPr="00FA492E" w:rsidRDefault="0076358A">
      <w:pPr>
        <w:pStyle w:val="Heading3"/>
      </w:pPr>
      <w:bookmarkStart w:id="79" w:name="_Toc529915566"/>
      <w:bookmarkStart w:id="80" w:name="_Toc20145944"/>
      <w:r w:rsidRPr="00FA492E">
        <w:t>The 2 MW Cap on a Location-by-Location or Customer Basis</w:t>
      </w:r>
      <w:bookmarkEnd w:id="79"/>
      <w:bookmarkEnd w:id="80"/>
      <w:r w:rsidRPr="00FA492E">
        <w:t xml:space="preserve"> </w:t>
      </w:r>
    </w:p>
    <w:p w14:paraId="1BB337B6" w14:textId="77777777" w:rsidR="0076358A" w:rsidRDefault="0076358A" w:rsidP="0076358A">
      <w:pPr>
        <w:pStyle w:val="DecisionText"/>
        <w:spacing w:line="240" w:lineRule="auto"/>
        <w:rPr>
          <w:rFonts w:ascii="Palatino Linotype" w:hAnsi="Palatino Linotype"/>
        </w:rPr>
      </w:pPr>
      <w:bookmarkStart w:id="81" w:name="_Hlk520198169"/>
      <w:r>
        <w:rPr>
          <w:rFonts w:ascii="Palatino Linotype" w:hAnsi="Palatino Linotype"/>
        </w:rPr>
        <w:t>ForeFront</w:t>
      </w:r>
      <w:r w:rsidRPr="00FA492E">
        <w:rPr>
          <w:rFonts w:ascii="Palatino Linotype" w:hAnsi="Palatino Linotype"/>
        </w:rPr>
        <w:t xml:space="preserve"> requests that SDG&amp;E be required to revise its ECR </w:t>
      </w:r>
      <w:r>
        <w:rPr>
          <w:rFonts w:ascii="Palatino Linotype" w:hAnsi="Palatino Linotype"/>
        </w:rPr>
        <w:t>t</w:t>
      </w:r>
      <w:r w:rsidRPr="00FA492E">
        <w:rPr>
          <w:rFonts w:ascii="Palatino Linotype" w:hAnsi="Palatino Linotype"/>
        </w:rPr>
        <w:t xml:space="preserve">ariff to clarify that the 2 MW </w:t>
      </w:r>
      <w:r>
        <w:rPr>
          <w:rFonts w:ascii="Palatino Linotype" w:hAnsi="Palatino Linotype"/>
        </w:rPr>
        <w:t>c</w:t>
      </w:r>
      <w:r w:rsidRPr="00FA492E">
        <w:rPr>
          <w:rFonts w:ascii="Palatino Linotype" w:hAnsi="Palatino Linotype"/>
        </w:rPr>
        <w:t xml:space="preserve">apacity </w:t>
      </w:r>
      <w:r>
        <w:rPr>
          <w:rFonts w:ascii="Palatino Linotype" w:hAnsi="Palatino Linotype"/>
        </w:rPr>
        <w:t>c</w:t>
      </w:r>
      <w:r w:rsidRPr="00FA492E">
        <w:rPr>
          <w:rFonts w:ascii="Palatino Linotype" w:hAnsi="Palatino Linotype"/>
        </w:rPr>
        <w:t xml:space="preserve">ap </w:t>
      </w:r>
      <w:r>
        <w:rPr>
          <w:rFonts w:ascii="Palatino Linotype" w:hAnsi="Palatino Linotype"/>
        </w:rPr>
        <w:t xml:space="preserve">be </w:t>
      </w:r>
      <w:r w:rsidRPr="00FA492E">
        <w:rPr>
          <w:rFonts w:ascii="Palatino Linotype" w:hAnsi="Palatino Linotype"/>
        </w:rPr>
        <w:t xml:space="preserve">applied on a </w:t>
      </w:r>
      <w:r>
        <w:rPr>
          <w:rFonts w:ascii="Palatino Linotype" w:hAnsi="Palatino Linotype"/>
        </w:rPr>
        <w:t>l</w:t>
      </w:r>
      <w:r w:rsidRPr="00FA492E">
        <w:rPr>
          <w:rFonts w:ascii="Palatino Linotype" w:hAnsi="Palatino Linotype"/>
        </w:rPr>
        <w:t xml:space="preserve">ocation-by-location </w:t>
      </w:r>
      <w:r>
        <w:rPr>
          <w:rFonts w:ascii="Palatino Linotype" w:hAnsi="Palatino Linotype"/>
        </w:rPr>
        <w:t>b</w:t>
      </w:r>
      <w:r w:rsidRPr="00FA492E">
        <w:rPr>
          <w:rFonts w:ascii="Palatino Linotype" w:hAnsi="Palatino Linotype"/>
        </w:rPr>
        <w:t>asis</w:t>
      </w:r>
      <w:r>
        <w:rPr>
          <w:rFonts w:ascii="Palatino Linotype" w:hAnsi="Palatino Linotype"/>
        </w:rPr>
        <w:t xml:space="preserve"> rather than an enterprise-wide basis, as currently interpreted by SDG&amp;E.  </w:t>
      </w:r>
    </w:p>
    <w:p w14:paraId="456CF1D2" w14:textId="77777777" w:rsidR="0076358A" w:rsidRPr="00FA492E" w:rsidRDefault="0076358A" w:rsidP="0076358A">
      <w:pPr>
        <w:pStyle w:val="DecisionText"/>
        <w:spacing w:line="240" w:lineRule="auto"/>
        <w:rPr>
          <w:rFonts w:ascii="Palatino Linotype" w:hAnsi="Palatino Linotype"/>
          <w:szCs w:val="26"/>
        </w:rPr>
      </w:pPr>
      <w:bookmarkStart w:id="82" w:name="_Hlk11846597"/>
      <w:bookmarkEnd w:id="81"/>
      <w:r w:rsidRPr="00FA492E">
        <w:rPr>
          <w:rFonts w:ascii="Palatino Linotype" w:hAnsi="Palatino Linotype"/>
          <w:szCs w:val="26"/>
        </w:rPr>
        <w:t xml:space="preserve">PU Code §2833(h) </w:t>
      </w:r>
      <w:bookmarkEnd w:id="82"/>
      <w:r w:rsidRPr="00FA492E">
        <w:rPr>
          <w:rFonts w:ascii="Palatino Linotype" w:hAnsi="Palatino Linotype"/>
          <w:szCs w:val="26"/>
        </w:rPr>
        <w:t xml:space="preserve">provides that, with certain exceptions, "a participating utility's green tariff shared renewables program shall not allow a </w:t>
      </w:r>
      <w:r w:rsidRPr="004F6975">
        <w:rPr>
          <w:rFonts w:ascii="Palatino Linotype" w:hAnsi="Palatino Linotype"/>
          <w:bCs/>
          <w:szCs w:val="26"/>
        </w:rPr>
        <w:t>customer</w:t>
      </w:r>
      <w:r w:rsidRPr="00FA492E">
        <w:rPr>
          <w:rFonts w:ascii="Palatino Linotype" w:hAnsi="Palatino Linotype"/>
          <w:szCs w:val="26"/>
        </w:rPr>
        <w:t xml:space="preserve"> to subscribe to more than two megawatts of nameplate generating capacity."</w:t>
      </w:r>
      <w:r>
        <w:rPr>
          <w:rFonts w:ascii="Palatino Linotype" w:hAnsi="Palatino Linotype"/>
          <w:szCs w:val="26"/>
        </w:rPr>
        <w:t xml:space="preserve">  Through their tariffs, the IOUs interpret “customer” in different ways.  </w:t>
      </w:r>
    </w:p>
    <w:p w14:paraId="7F85E1AC" w14:textId="77777777" w:rsidR="0076358A" w:rsidRDefault="0076358A" w:rsidP="0076358A">
      <w:pPr>
        <w:pStyle w:val="DecisionText"/>
        <w:spacing w:line="240" w:lineRule="auto"/>
        <w:rPr>
          <w:rFonts w:ascii="Palatino Linotype" w:hAnsi="Palatino Linotype"/>
        </w:rPr>
      </w:pPr>
      <w:r>
        <w:rPr>
          <w:rFonts w:ascii="Palatino Linotype" w:hAnsi="Palatino Linotype"/>
        </w:rPr>
        <w:t xml:space="preserve">PG&amp;E’s current ECR tariff states: “The subscription level for a single service agreement may not exceed the equivalent of 2 MW of load per year.”  Using a large retailer with several chain stores as a hypothetical example, this means that the retailer cannot have any of its stores in PG&amp;E’s service territory exceed 2 MW </w:t>
      </w:r>
      <w:r>
        <w:rPr>
          <w:rFonts w:ascii="Palatino Linotype" w:hAnsi="Palatino Linotype"/>
        </w:rPr>
        <w:lastRenderedPageBreak/>
        <w:t>of capacity to be eligible to enroll in GTSR.  However, several of its stores could participate in GTSR with cumulative load exceeding 2 MW.</w:t>
      </w:r>
    </w:p>
    <w:p w14:paraId="4E2F8243" w14:textId="77777777" w:rsidR="0076358A" w:rsidRDefault="0076358A" w:rsidP="0076358A">
      <w:pPr>
        <w:pStyle w:val="DecisionText"/>
        <w:spacing w:line="240" w:lineRule="auto"/>
        <w:rPr>
          <w:rFonts w:ascii="Palatino Linotype" w:hAnsi="Palatino Linotype"/>
        </w:rPr>
      </w:pPr>
      <w:r>
        <w:rPr>
          <w:rFonts w:ascii="Palatino Linotype" w:hAnsi="Palatino Linotype"/>
        </w:rPr>
        <w:t>On the other hand</w:t>
      </w:r>
      <w:r w:rsidRPr="00FA492E">
        <w:rPr>
          <w:rFonts w:ascii="Palatino Linotype" w:hAnsi="Palatino Linotype"/>
        </w:rPr>
        <w:t>, SDG&amp;E's</w:t>
      </w:r>
      <w:r w:rsidRPr="00F57023">
        <w:rPr>
          <w:rStyle w:val="FootnoteReference"/>
          <w:rFonts w:ascii="Palatino Linotype" w:hAnsi="Palatino Linotype" w:cs="Arial"/>
        </w:rPr>
        <w:footnoteReference w:id="55"/>
      </w:r>
      <w:r w:rsidRPr="00FA492E">
        <w:rPr>
          <w:rFonts w:ascii="Palatino Linotype" w:hAnsi="Palatino Linotype"/>
        </w:rPr>
        <w:t xml:space="preserve"> and SCE’s</w:t>
      </w:r>
      <w:r w:rsidRPr="00FA492E">
        <w:rPr>
          <w:rStyle w:val="FootnoteReference"/>
          <w:rFonts w:ascii="Palatino Linotype" w:hAnsi="Palatino Linotype"/>
        </w:rPr>
        <w:footnoteReference w:id="56"/>
      </w:r>
      <w:r w:rsidRPr="00FA492E">
        <w:rPr>
          <w:rFonts w:ascii="Palatino Linotype" w:hAnsi="Palatino Linotype"/>
        </w:rPr>
        <w:t xml:space="preserve"> tariffs, as approved through Resolution E-4734, define the applicability of the 2 MW limitation on a</w:t>
      </w:r>
      <w:r>
        <w:rPr>
          <w:rFonts w:ascii="Palatino Linotype" w:hAnsi="Palatino Linotype"/>
        </w:rPr>
        <w:t>n</w:t>
      </w:r>
      <w:r w:rsidRPr="00FA492E">
        <w:rPr>
          <w:rFonts w:ascii="Palatino Linotype" w:hAnsi="Palatino Linotype"/>
        </w:rPr>
        <w:t xml:space="preserve"> </w:t>
      </w:r>
      <w:r>
        <w:rPr>
          <w:rFonts w:ascii="Palatino Linotype" w:hAnsi="Palatino Linotype"/>
        </w:rPr>
        <w:t xml:space="preserve">enterprise-wide </w:t>
      </w:r>
      <w:r w:rsidRPr="00FA492E">
        <w:rPr>
          <w:rFonts w:ascii="Palatino Linotype" w:hAnsi="Palatino Linotype"/>
        </w:rPr>
        <w:t>customer level</w:t>
      </w:r>
      <w:r>
        <w:rPr>
          <w:rFonts w:ascii="Palatino Linotype" w:hAnsi="Palatino Linotype"/>
        </w:rPr>
        <w:t>.  This means that the aggregated load of a major retailer with chain stores shall not exceed 2 MW across all stores with the same name (or corporate parent) in the SCE or SDG&amp;E service territories.</w:t>
      </w:r>
    </w:p>
    <w:p w14:paraId="0FA52B12" w14:textId="77777777" w:rsidR="0076358A" w:rsidRDefault="0076358A" w:rsidP="0076358A">
      <w:pPr>
        <w:pStyle w:val="DecisionText"/>
        <w:spacing w:line="240" w:lineRule="auto"/>
        <w:rPr>
          <w:rFonts w:ascii="Palatino Linotype" w:hAnsi="Palatino Linotype"/>
        </w:rPr>
      </w:pPr>
      <w:r>
        <w:rPr>
          <w:rFonts w:ascii="Palatino Linotype" w:hAnsi="Palatino Linotype"/>
        </w:rPr>
        <w:t xml:space="preserve">Thus, PG&amp;E interprets ‘single service agreement’ as equivalent to service at a single customer location, which ForeFront asserts is the correct interpretation of </w:t>
      </w:r>
      <w:r w:rsidRPr="00FA492E">
        <w:rPr>
          <w:rFonts w:ascii="Palatino Linotype" w:hAnsi="Palatino Linotype"/>
          <w:szCs w:val="26"/>
        </w:rPr>
        <w:t>PU Code §2833(h)</w:t>
      </w:r>
      <w:r>
        <w:rPr>
          <w:rFonts w:ascii="Palatino Linotype" w:hAnsi="Palatino Linotype"/>
          <w:szCs w:val="26"/>
        </w:rPr>
        <w:t xml:space="preserve">.  </w:t>
      </w:r>
      <w:r>
        <w:rPr>
          <w:rFonts w:ascii="Palatino Linotype" w:hAnsi="Palatino Linotype"/>
        </w:rPr>
        <w:t xml:space="preserve">ForeFront argues that limiting ECR subscription to a cumulative total of 2 MWs per customer irrespective of the number of the customer service locations does not serve any discernible purpose and discriminates against customers depending on how they organize their corporate structures. </w:t>
      </w:r>
    </w:p>
    <w:p w14:paraId="4E720623" w14:textId="77777777" w:rsidR="0076358A" w:rsidRPr="00FA492E" w:rsidRDefault="0076358A" w:rsidP="0076358A">
      <w:pPr>
        <w:pStyle w:val="DecisionText"/>
        <w:spacing w:line="240" w:lineRule="auto"/>
        <w:rPr>
          <w:rFonts w:ascii="Palatino Linotype" w:hAnsi="Palatino Linotype"/>
        </w:rPr>
      </w:pPr>
      <w:r>
        <w:rPr>
          <w:rFonts w:ascii="Palatino Linotype" w:hAnsi="Palatino Linotype"/>
        </w:rPr>
        <w:t xml:space="preserve">Forefront further asserts that the intent of the Legislature was to limit customer subscriptions based on a location-by-location basis.  ForeFront observes that </w:t>
      </w:r>
      <w:r w:rsidRPr="00FA492E">
        <w:rPr>
          <w:rFonts w:ascii="Palatino Linotype" w:hAnsi="Palatino Linotype"/>
        </w:rPr>
        <w:t>§2833(</w:t>
      </w:r>
      <w:r>
        <w:rPr>
          <w:rFonts w:ascii="Palatino Linotype" w:hAnsi="Palatino Linotype"/>
        </w:rPr>
        <w:t>i</w:t>
      </w:r>
      <w:r w:rsidRPr="00FA492E">
        <w:rPr>
          <w:rFonts w:ascii="Palatino Linotype" w:hAnsi="Palatino Linotype"/>
        </w:rPr>
        <w:t xml:space="preserve">) prohibits a participating utility's tariff from allowing "any single </w:t>
      </w:r>
      <w:r w:rsidRPr="00A90A03">
        <w:rPr>
          <w:rFonts w:ascii="Palatino Linotype" w:hAnsi="Palatino Linotype"/>
          <w:iCs/>
        </w:rPr>
        <w:t>entity</w:t>
      </w:r>
      <w:r w:rsidRPr="00FA492E">
        <w:rPr>
          <w:rFonts w:ascii="Palatino Linotype" w:hAnsi="Palatino Linotype"/>
        </w:rPr>
        <w:t xml:space="preserve"> or its affiliates or subsidiaries to subscribe to more than </w:t>
      </w:r>
      <w:r w:rsidRPr="00A90A03">
        <w:rPr>
          <w:rFonts w:ascii="Palatino Linotype" w:hAnsi="Palatino Linotype"/>
        </w:rPr>
        <w:t>20 percent of any single calendar year's total cumulative rated generating capacity.</w:t>
      </w:r>
      <w:r w:rsidRPr="00FA492E">
        <w:rPr>
          <w:rFonts w:ascii="Palatino Linotype" w:hAnsi="Palatino Linotype"/>
        </w:rPr>
        <w:t xml:space="preserve">" </w:t>
      </w:r>
      <w:r>
        <w:rPr>
          <w:rFonts w:ascii="Palatino Linotype" w:hAnsi="Palatino Linotype"/>
        </w:rPr>
        <w:t>In</w:t>
      </w:r>
      <w:r w:rsidRPr="00FA492E">
        <w:rPr>
          <w:rFonts w:ascii="Palatino Linotype" w:hAnsi="Palatino Linotype"/>
        </w:rPr>
        <w:t xml:space="preserve"> contrast, both </w:t>
      </w:r>
      <w:r w:rsidRPr="00FA492E">
        <w:rPr>
          <w:rFonts w:ascii="Palatino Linotype" w:hAnsi="Palatino Linotype"/>
          <w:u w:val="double"/>
        </w:rPr>
        <w:t>§</w:t>
      </w:r>
      <w:r w:rsidRPr="00FA492E">
        <w:rPr>
          <w:rFonts w:ascii="Palatino Linotype" w:hAnsi="Palatino Linotype"/>
        </w:rPr>
        <w:t>2833(</w:t>
      </w:r>
      <w:r>
        <w:rPr>
          <w:rFonts w:ascii="Palatino Linotype" w:hAnsi="Palatino Linotype"/>
        </w:rPr>
        <w:t>g</w:t>
      </w:r>
      <w:r w:rsidRPr="00FA492E">
        <w:rPr>
          <w:rFonts w:ascii="Palatino Linotype" w:hAnsi="Palatino Linotype"/>
        </w:rPr>
        <w:t xml:space="preserve">) and §2833(h) </w:t>
      </w:r>
      <w:r>
        <w:rPr>
          <w:rFonts w:ascii="Palatino Linotype" w:hAnsi="Palatino Linotype"/>
        </w:rPr>
        <w:t>establish</w:t>
      </w:r>
      <w:r w:rsidRPr="00FA492E">
        <w:rPr>
          <w:rFonts w:ascii="Palatino Linotype" w:hAnsi="Palatino Linotype"/>
        </w:rPr>
        <w:t xml:space="preserve"> "</w:t>
      </w:r>
      <w:r w:rsidRPr="00FA492E">
        <w:rPr>
          <w:rFonts w:ascii="Palatino Linotype" w:hAnsi="Palatino Linotype"/>
          <w:i/>
        </w:rPr>
        <w:t>customer</w:t>
      </w:r>
      <w:r w:rsidRPr="00FA492E">
        <w:rPr>
          <w:rFonts w:ascii="Palatino Linotype" w:hAnsi="Palatino Linotype"/>
        </w:rPr>
        <w:t>"</w:t>
      </w:r>
      <w:r>
        <w:rPr>
          <w:rFonts w:ascii="Palatino Linotype" w:hAnsi="Palatino Linotype"/>
        </w:rPr>
        <w:t xml:space="preserve"> limitations including the 2 MW limitation.  ForeFront reasons that </w:t>
      </w:r>
      <w:r w:rsidRPr="00FA492E">
        <w:rPr>
          <w:rFonts w:ascii="Palatino Linotype" w:hAnsi="Palatino Linotype"/>
        </w:rPr>
        <w:t xml:space="preserve">the Legislature intended that different meanings </w:t>
      </w:r>
      <w:r>
        <w:rPr>
          <w:rFonts w:ascii="Palatino Linotype" w:hAnsi="Palatino Linotype"/>
        </w:rPr>
        <w:t>sh</w:t>
      </w:r>
      <w:r w:rsidRPr="00FA492E">
        <w:rPr>
          <w:rFonts w:ascii="Palatino Linotype" w:hAnsi="Palatino Linotype"/>
        </w:rPr>
        <w:t>ould be ascribed to the two terms</w:t>
      </w:r>
      <w:r>
        <w:rPr>
          <w:rFonts w:ascii="Palatino Linotype" w:hAnsi="Palatino Linotype"/>
        </w:rPr>
        <w:t>; o</w:t>
      </w:r>
      <w:r w:rsidRPr="00FA492E">
        <w:rPr>
          <w:rFonts w:ascii="Palatino Linotype" w:hAnsi="Palatino Linotype"/>
        </w:rPr>
        <w:t>therwise, it would have used the same term, either “customer" or “entity</w:t>
      </w:r>
      <w:r>
        <w:rPr>
          <w:rFonts w:ascii="Palatino Linotype" w:hAnsi="Palatino Linotype"/>
        </w:rPr>
        <w:t>”</w:t>
      </w:r>
      <w:r w:rsidRPr="00FA492E">
        <w:rPr>
          <w:rFonts w:ascii="Palatino Linotype" w:hAnsi="Palatino Linotype"/>
        </w:rPr>
        <w:t xml:space="preserve">, in all three sections. </w:t>
      </w:r>
      <w:r>
        <w:rPr>
          <w:rFonts w:ascii="Palatino Linotype" w:hAnsi="Palatino Linotype"/>
        </w:rPr>
        <w:t xml:space="preserve"> </w:t>
      </w:r>
      <w:r w:rsidRPr="00FA492E">
        <w:rPr>
          <w:rFonts w:ascii="Palatino Linotype" w:hAnsi="Palatino Linotype"/>
        </w:rPr>
        <w:t xml:space="preserve">In </w:t>
      </w:r>
      <w:r>
        <w:rPr>
          <w:rFonts w:ascii="Palatino Linotype" w:hAnsi="Palatino Linotype"/>
        </w:rPr>
        <w:t>ForeFront’s</w:t>
      </w:r>
      <w:r w:rsidRPr="00FA492E">
        <w:rPr>
          <w:rFonts w:ascii="Palatino Linotype" w:hAnsi="Palatino Linotype"/>
        </w:rPr>
        <w:t xml:space="preserve"> </w:t>
      </w:r>
      <w:r>
        <w:rPr>
          <w:rFonts w:ascii="Palatino Linotype" w:hAnsi="Palatino Linotype"/>
        </w:rPr>
        <w:t>opinion</w:t>
      </w:r>
      <w:r w:rsidRPr="00FA492E">
        <w:rPr>
          <w:rFonts w:ascii="Palatino Linotype" w:hAnsi="Palatino Linotype"/>
        </w:rPr>
        <w:t>, the only logical conclusion is that the Legislature intended that the limitations imposed on “customer</w:t>
      </w:r>
      <w:r>
        <w:rPr>
          <w:rFonts w:ascii="Palatino Linotype" w:hAnsi="Palatino Linotype"/>
        </w:rPr>
        <w:t>”</w:t>
      </w:r>
      <w:r w:rsidRPr="00FA492E">
        <w:rPr>
          <w:rFonts w:ascii="Palatino Linotype" w:hAnsi="Palatino Linotype"/>
        </w:rPr>
        <w:t xml:space="preserve"> subscriptions would be imposed on a location-by-location (single service agreement) basis, while the limitation on entity (includ</w:t>
      </w:r>
      <w:r>
        <w:rPr>
          <w:rFonts w:ascii="Palatino Linotype" w:hAnsi="Palatino Linotype"/>
        </w:rPr>
        <w:t>ing</w:t>
      </w:r>
      <w:r w:rsidRPr="00FA492E">
        <w:rPr>
          <w:rFonts w:ascii="Palatino Linotype" w:hAnsi="Palatino Linotype"/>
        </w:rPr>
        <w:t xml:space="preserve"> </w:t>
      </w:r>
      <w:r>
        <w:rPr>
          <w:rFonts w:ascii="Palatino Linotype" w:hAnsi="Palatino Linotype"/>
        </w:rPr>
        <w:t>“</w:t>
      </w:r>
      <w:r w:rsidRPr="00FA492E">
        <w:rPr>
          <w:rFonts w:ascii="Palatino Linotype" w:hAnsi="Palatino Linotype"/>
        </w:rPr>
        <w:t>affiliate</w:t>
      </w:r>
      <w:r>
        <w:rPr>
          <w:rFonts w:ascii="Palatino Linotype" w:hAnsi="Palatino Linotype"/>
        </w:rPr>
        <w:t>” or “subsidiary”</w:t>
      </w:r>
      <w:r w:rsidRPr="00FA492E">
        <w:rPr>
          <w:rFonts w:ascii="Palatino Linotype" w:hAnsi="Palatino Linotype"/>
        </w:rPr>
        <w:t xml:space="preserve">) subscriptions would be imposed on an enterprise-wide basis, consistent with the approved terms of PG&amp;E's tariff.  </w:t>
      </w:r>
    </w:p>
    <w:p w14:paraId="07625A30" w14:textId="77777777" w:rsidR="0076358A" w:rsidRDefault="0076358A" w:rsidP="0076358A">
      <w:pPr>
        <w:pStyle w:val="DecisionText"/>
        <w:spacing w:line="240" w:lineRule="auto"/>
        <w:rPr>
          <w:rFonts w:ascii="Palatino Linotype" w:hAnsi="Palatino Linotype"/>
        </w:rPr>
      </w:pPr>
      <w:r>
        <w:rPr>
          <w:rFonts w:ascii="Palatino Linotype" w:hAnsi="Palatino Linotype"/>
        </w:rPr>
        <w:lastRenderedPageBreak/>
        <w:t xml:space="preserve">In its reply, </w:t>
      </w:r>
      <w:r w:rsidRPr="00FA492E">
        <w:rPr>
          <w:rFonts w:ascii="Palatino Linotype" w:hAnsi="Palatino Linotype"/>
        </w:rPr>
        <w:t xml:space="preserve">SDG&amp;E argues that </w:t>
      </w:r>
      <w:r>
        <w:rPr>
          <w:rFonts w:ascii="Palatino Linotype" w:hAnsi="Palatino Linotype"/>
        </w:rPr>
        <w:t>ForeFront</w:t>
      </w:r>
      <w:r w:rsidRPr="00FA492E">
        <w:rPr>
          <w:rFonts w:ascii="Palatino Linotype" w:hAnsi="Palatino Linotype"/>
        </w:rPr>
        <w:t xml:space="preserve">’s request to modify tariff language to specify that the single customer capacity is incorrect and would present inconsistencies between past and future enrollments.  </w:t>
      </w:r>
      <w:r>
        <w:rPr>
          <w:rFonts w:ascii="Palatino Linotype" w:hAnsi="Palatino Linotype"/>
        </w:rPr>
        <w:t>SDG&amp;E predicts that ForeFront’s</w:t>
      </w:r>
      <w:r w:rsidRPr="00FA492E">
        <w:rPr>
          <w:rFonts w:ascii="Palatino Linotype" w:hAnsi="Palatino Linotype"/>
        </w:rPr>
        <w:t xml:space="preserve"> proposed modification</w:t>
      </w:r>
      <w:r>
        <w:rPr>
          <w:rFonts w:ascii="Palatino Linotype" w:hAnsi="Palatino Linotype"/>
        </w:rPr>
        <w:t xml:space="preserve"> c</w:t>
      </w:r>
      <w:r w:rsidRPr="00FA492E">
        <w:rPr>
          <w:rFonts w:ascii="Palatino Linotype" w:hAnsi="Palatino Linotype"/>
        </w:rPr>
        <w:t>ould result in the available program capacity being consumed by a few very large customers given S</w:t>
      </w:r>
      <w:r>
        <w:rPr>
          <w:rFonts w:ascii="Palatino Linotype" w:hAnsi="Palatino Linotype"/>
        </w:rPr>
        <w:t>D</w:t>
      </w:r>
      <w:r w:rsidRPr="00FA492E">
        <w:rPr>
          <w:rFonts w:ascii="Palatino Linotype" w:hAnsi="Palatino Linotype"/>
        </w:rPr>
        <w:t>G&amp;E’s smaller GTSR authorization of 59 MW.</w:t>
      </w:r>
    </w:p>
    <w:p w14:paraId="632AA55F" w14:textId="77777777" w:rsidR="0076358A" w:rsidRDefault="0076358A" w:rsidP="0076358A">
      <w:pPr>
        <w:pStyle w:val="DecisionText"/>
        <w:spacing w:line="240" w:lineRule="auto"/>
        <w:rPr>
          <w:rFonts w:ascii="Palatino Linotype" w:hAnsi="Palatino Linotype"/>
        </w:rPr>
      </w:pPr>
      <w:r>
        <w:rPr>
          <w:rFonts w:ascii="Palatino Linotype" w:hAnsi="Palatino Linotype"/>
        </w:rPr>
        <w:t xml:space="preserve">ForeFront’s proposal sheds light on differences in how the IOUs operate their GTSR programs.  Addressing these differences in this resolution would result in more consistency among the IOUs, and would not result in a different structure to the program.  We are persuaded by ForeFront’s argument that the relevant statutory language in the relevant parts of PU Code </w:t>
      </w:r>
      <w:r w:rsidRPr="00FA492E">
        <w:rPr>
          <w:rFonts w:ascii="Palatino Linotype" w:hAnsi="Palatino Linotype"/>
        </w:rPr>
        <w:t>§2833</w:t>
      </w:r>
      <w:r>
        <w:rPr>
          <w:rFonts w:ascii="Palatino Linotype" w:hAnsi="Palatino Linotype"/>
        </w:rPr>
        <w:t xml:space="preserve"> draws critical distinctions to “entity”, “affiliate” or “subsidiary” versus “customer” that inform project size limitations and support a 2 MW cap on a location-by-location basis.</w:t>
      </w:r>
    </w:p>
    <w:p w14:paraId="761727B7" w14:textId="77777777" w:rsidR="0076358A" w:rsidRDefault="0076358A" w:rsidP="0076358A">
      <w:pPr>
        <w:pStyle w:val="DecisionText"/>
        <w:spacing w:line="240" w:lineRule="auto"/>
        <w:rPr>
          <w:rFonts w:ascii="Palatino Linotype" w:hAnsi="Palatino Linotype"/>
          <w:bdr w:val="none" w:sz="0" w:space="0" w:color="auto" w:frame="1"/>
        </w:rPr>
      </w:pPr>
      <w:r>
        <w:rPr>
          <w:rFonts w:ascii="Palatino Linotype" w:hAnsi="Palatino Linotype"/>
          <w:bdr w:val="none" w:sz="0" w:space="0" w:color="auto" w:frame="1"/>
        </w:rPr>
        <w:t xml:space="preserve">PG&amp;E’s implementation of the 2 MW cap is correct and consistent with what we interpret to be the intent of the Legislature on this matter.  We are not persuaded by SDG&amp;E’s concern that ForeFront’s proposed modification could result in some of the remaining program capacity being consumed by a few corporate entities.  As indicated in the Current Program Status section of this Resolution, of the 59 MW allocated to SDG&amp;E only 17 MW remains, of which 10 MW are subject to the 1 MW Environmental Justice cap.  The remaining 7 MW of SDG&amp;E’s unrestricted capacity is unlikely to be consumed by commercial ECR customers since we are retaining the existing residential and community interest requirements of the program.  </w:t>
      </w:r>
    </w:p>
    <w:p w14:paraId="715BA17F" w14:textId="77777777" w:rsidR="0076358A" w:rsidRDefault="0076358A" w:rsidP="0076358A">
      <w:pPr>
        <w:pStyle w:val="DecisionText"/>
        <w:spacing w:line="240" w:lineRule="auto"/>
        <w:rPr>
          <w:rFonts w:ascii="Palatino Linotype" w:hAnsi="Palatino Linotype"/>
          <w:bdr w:val="none" w:sz="0" w:space="0" w:color="auto" w:frame="1"/>
        </w:rPr>
      </w:pPr>
      <w:r>
        <w:rPr>
          <w:rFonts w:ascii="Palatino Linotype" w:hAnsi="Palatino Linotype"/>
          <w:bdr w:val="none" w:sz="0" w:space="0" w:color="auto" w:frame="1"/>
        </w:rPr>
        <w:t xml:space="preserve">ForeFront’s proposal to modify SDG&amp;E’s tariffs on this matter is approved.  We further direct SCE to modify their tariffs consistent with this understanding to eliminate any further confusion on this issue by developers.  To avoid disruption to existing participants, solicitations in progress are grandfathered under the original interpretation but should cease this current practice upon approval of revised tariffs. </w:t>
      </w:r>
    </w:p>
    <w:p w14:paraId="634F7574" w14:textId="77777777" w:rsidR="0076358A" w:rsidRPr="00FA492E" w:rsidRDefault="0076358A">
      <w:pPr>
        <w:pStyle w:val="Heading3"/>
      </w:pPr>
      <w:bookmarkStart w:id="83" w:name="_Toc529915560"/>
      <w:bookmarkStart w:id="84" w:name="_Toc12442441"/>
      <w:bookmarkStart w:id="85" w:name="_Toc20145945"/>
      <w:r w:rsidRPr="00FA492E">
        <w:t>Backfilling for Attrition</w:t>
      </w:r>
      <w:bookmarkEnd w:id="83"/>
      <w:bookmarkEnd w:id="84"/>
      <w:bookmarkEnd w:id="85"/>
    </w:p>
    <w:p w14:paraId="7A59C7C4" w14:textId="77777777" w:rsidR="0076358A" w:rsidRDefault="0076358A" w:rsidP="0076358A">
      <w:pPr>
        <w:pStyle w:val="DecisionText"/>
        <w:spacing w:line="240" w:lineRule="auto"/>
        <w:rPr>
          <w:rFonts w:ascii="Palatino Linotype" w:hAnsi="Palatino Linotype"/>
        </w:rPr>
      </w:pPr>
      <w:r>
        <w:rPr>
          <w:rFonts w:ascii="Palatino Linotype" w:hAnsi="Palatino Linotype"/>
        </w:rPr>
        <w:t xml:space="preserve">In its protest ForeFront states that the CPUC adopted a pricing rule that places substantial monetary risk on developers whose generating capacity is undersubscribed.  Under this rule, following a three year ramp up period, </w:t>
      </w:r>
      <w:r>
        <w:rPr>
          <w:rFonts w:ascii="Palatino Linotype" w:hAnsi="Palatino Linotype"/>
        </w:rPr>
        <w:lastRenderedPageBreak/>
        <w:t xml:space="preserve">unsubscribed power will be purchased by the IOUs at the lower of the Default Load Aggregation Point (DLAP) price or the price set forth in the developer’s PPA with the IOU.  </w:t>
      </w:r>
    </w:p>
    <w:p w14:paraId="6151A83B" w14:textId="77777777" w:rsidR="0076358A" w:rsidRDefault="0076358A" w:rsidP="0076358A">
      <w:pPr>
        <w:pStyle w:val="DecisionText"/>
        <w:spacing w:line="240" w:lineRule="auto"/>
        <w:rPr>
          <w:rFonts w:ascii="Palatino Linotype" w:hAnsi="Palatino Linotype"/>
        </w:rPr>
      </w:pPr>
      <w:r>
        <w:rPr>
          <w:rFonts w:ascii="Palatino Linotype" w:hAnsi="Palatino Linotype"/>
        </w:rPr>
        <w:t xml:space="preserve">ForeFront argues that this pricing scheme operates as a strong disincentive to developer participation in the ECR program if a project experiences customer attrition.  This is because current program rules preclude developers from replacing customers in such circumstances.  ForeFront argues that customer attrition happens as result of moving locations, discontinuing service, going bankrupt or ceasing operations.  </w:t>
      </w:r>
    </w:p>
    <w:p w14:paraId="14AFCD5B" w14:textId="77777777" w:rsidR="0076358A" w:rsidRDefault="0076358A" w:rsidP="0076358A">
      <w:pPr>
        <w:pStyle w:val="DecisionText"/>
        <w:spacing w:line="240" w:lineRule="auto"/>
        <w:rPr>
          <w:rFonts w:ascii="Palatino Linotype" w:hAnsi="Palatino Linotype"/>
        </w:rPr>
      </w:pPr>
      <w:r>
        <w:rPr>
          <w:rFonts w:ascii="Palatino Linotype" w:hAnsi="Palatino Linotype"/>
        </w:rPr>
        <w:t>ForeFront</w:t>
      </w:r>
      <w:r w:rsidRPr="00FA492E">
        <w:rPr>
          <w:rFonts w:ascii="Palatino Linotype" w:hAnsi="Palatino Linotype"/>
        </w:rPr>
        <w:t xml:space="preserve"> </w:t>
      </w:r>
      <w:r>
        <w:rPr>
          <w:rFonts w:ascii="Palatino Linotype" w:hAnsi="Palatino Linotype"/>
        </w:rPr>
        <w:t>requests</w:t>
      </w:r>
      <w:r w:rsidRPr="00FA492E">
        <w:rPr>
          <w:rFonts w:ascii="Palatino Linotype" w:hAnsi="Palatino Linotype"/>
        </w:rPr>
        <w:t xml:space="preserve"> that the IOUs </w:t>
      </w:r>
      <w:r>
        <w:rPr>
          <w:rFonts w:ascii="Palatino Linotype" w:hAnsi="Palatino Linotype"/>
        </w:rPr>
        <w:t>r</w:t>
      </w:r>
      <w:r w:rsidRPr="00FA492E">
        <w:rPr>
          <w:rFonts w:ascii="Palatino Linotype" w:hAnsi="Palatino Linotype"/>
        </w:rPr>
        <w:t>evise</w:t>
      </w:r>
      <w:r>
        <w:rPr>
          <w:rFonts w:ascii="Palatino Linotype" w:hAnsi="Palatino Linotype"/>
        </w:rPr>
        <w:t xml:space="preserve"> </w:t>
      </w:r>
      <w:r w:rsidRPr="00FA492E">
        <w:rPr>
          <w:rFonts w:ascii="Palatino Linotype" w:hAnsi="Palatino Linotype"/>
        </w:rPr>
        <w:t xml:space="preserve">their </w:t>
      </w:r>
      <w:r>
        <w:rPr>
          <w:rFonts w:ascii="Palatino Linotype" w:hAnsi="Palatino Linotype"/>
        </w:rPr>
        <w:t xml:space="preserve">ECR </w:t>
      </w:r>
      <w:r w:rsidRPr="00FA492E">
        <w:rPr>
          <w:rFonts w:ascii="Palatino Linotype" w:hAnsi="Palatino Linotype"/>
        </w:rPr>
        <w:t xml:space="preserve">tariffs to </w:t>
      </w:r>
      <w:r>
        <w:rPr>
          <w:rFonts w:ascii="Palatino Linotype" w:hAnsi="Palatino Linotype"/>
        </w:rPr>
        <w:t xml:space="preserve">allow new customer enrollments after the initial enrollment period sunset for the purpose of allowing developers to replace load lost due to attrition.  Finally, ForeFront also requests that replacement of lost load be permitted for 20 years from the date of the enrollment sunset.  In its reply, SDG&amp;E agreed that this issue should be addressed. </w:t>
      </w:r>
    </w:p>
    <w:p w14:paraId="3765E171" w14:textId="77777777" w:rsidR="0076358A" w:rsidRDefault="0076358A" w:rsidP="0076358A">
      <w:pPr>
        <w:pStyle w:val="DecisionText"/>
        <w:spacing w:line="240" w:lineRule="auto"/>
        <w:rPr>
          <w:rFonts w:ascii="Palatino Linotype" w:hAnsi="Palatino Linotype"/>
        </w:rPr>
      </w:pPr>
      <w:r>
        <w:rPr>
          <w:rFonts w:ascii="Palatino Linotype" w:hAnsi="Palatino Linotype"/>
        </w:rPr>
        <w:t xml:space="preserve">We find that ForeFront’s request on this matter would not result in a different structure to the program and is therefore appropriate to be considered in the AL process.  We agree that customer attrition can happen in any program, including GTSR, and that it is reasonable for the developer to be able to replace that lost load within a 20-year timeframe from the initial enrollment sunset date.  The IOUs are directed to make the requisite changes to their tariffs for this change. </w:t>
      </w:r>
    </w:p>
    <w:p w14:paraId="5A868D88" w14:textId="77777777" w:rsidR="0076358A" w:rsidRPr="00FA492E" w:rsidRDefault="0076358A" w:rsidP="0076358A">
      <w:pPr>
        <w:pStyle w:val="Heading1"/>
      </w:pPr>
      <w:bookmarkStart w:id="86" w:name="_Toc529915582"/>
      <w:bookmarkStart w:id="87" w:name="_Toc12442442"/>
      <w:bookmarkStart w:id="88" w:name="_Toc20145946"/>
      <w:r w:rsidRPr="00FA492E">
        <w:t>Comments</w:t>
      </w:r>
      <w:bookmarkEnd w:id="86"/>
      <w:bookmarkEnd w:id="87"/>
      <w:bookmarkEnd w:id="88"/>
    </w:p>
    <w:p w14:paraId="76F0804E" w14:textId="77777777" w:rsidR="00032E00" w:rsidRDefault="00D977CF">
      <w:pPr>
        <w:rPr>
          <w:rFonts w:ascii="Palatino Linotype" w:hAnsi="Palatino Linotype"/>
        </w:rPr>
      </w:pPr>
      <w:bookmarkStart w:id="89" w:name="_Toc529915583"/>
      <w:bookmarkStart w:id="90" w:name="_Toc12442443"/>
      <w:r w:rsidRPr="00EC0416">
        <w:rPr>
          <w:rFonts w:ascii="Palatino Linotype" w:hAnsi="Palatino Linotype"/>
        </w:rPr>
        <w:t xml:space="preserve">Public Utilities Code section 311(g)(1) provides that this resolution must be served on all parties and subject to at least 30 days public review.  Please note that comments are due 20 days from the mailing date of this resolution. Section 311(g)(2) provides that this 30-day review period and 20-day comment period may be reduced or waived upon the stipulation of all parties in the proceeding. </w:t>
      </w:r>
    </w:p>
    <w:p w14:paraId="037731BE" w14:textId="77777777" w:rsidR="00EC0416" w:rsidRPr="00EC0416" w:rsidRDefault="00EC0416" w:rsidP="00EC0416">
      <w:pPr>
        <w:rPr>
          <w:rFonts w:ascii="Palatino Linotype" w:hAnsi="Palatino Linotype"/>
        </w:rPr>
      </w:pPr>
    </w:p>
    <w:p w14:paraId="0EBBEDD0" w14:textId="77777777" w:rsidR="00EC0416" w:rsidRDefault="00EC0416" w:rsidP="00EC0416">
      <w:pPr>
        <w:rPr>
          <w:rFonts w:ascii="Palatino Linotype" w:hAnsi="Palatino Linotype"/>
        </w:rPr>
      </w:pPr>
      <w:r w:rsidRPr="00EC0416">
        <w:rPr>
          <w:rFonts w:ascii="Palatino Linotype" w:hAnsi="Palatino Linotype"/>
        </w:rPr>
        <w:t>The 30-day review and 20-day comment period for the draft of this resolution was neither waived nor reduced.  Accordingly, this draft resolution was mailed to parties for comments, and will be placed on the Commission's agenda no earlier than 30 days from today.</w:t>
      </w:r>
    </w:p>
    <w:p w14:paraId="5A9F0958" w14:textId="77777777" w:rsidR="00DD23B8" w:rsidRDefault="00DD23B8" w:rsidP="00EC0416">
      <w:pPr>
        <w:rPr>
          <w:rFonts w:ascii="Palatino Linotype" w:hAnsi="Palatino Linotype"/>
        </w:rPr>
      </w:pPr>
    </w:p>
    <w:p w14:paraId="22366B6F" w14:textId="77777777" w:rsidR="00DD23B8" w:rsidRDefault="00CB59E5" w:rsidP="00EC0416">
      <w:pPr>
        <w:rPr>
          <w:rFonts w:ascii="Palatino Linotype" w:hAnsi="Palatino Linotype"/>
        </w:rPr>
      </w:pPr>
      <w:r>
        <w:rPr>
          <w:rFonts w:ascii="Palatino Linotype" w:hAnsi="Palatino Linotype"/>
        </w:rPr>
        <w:lastRenderedPageBreak/>
        <w:t xml:space="preserve">On September 10, 2019, </w:t>
      </w:r>
      <w:r w:rsidR="00DD23B8">
        <w:rPr>
          <w:rFonts w:ascii="Palatino Linotype" w:hAnsi="Palatino Linotype"/>
        </w:rPr>
        <w:t xml:space="preserve">Comments were submitted by the </w:t>
      </w:r>
      <w:r w:rsidR="005614FF">
        <w:rPr>
          <w:rFonts w:ascii="Palatino Linotype" w:hAnsi="Palatino Linotype"/>
        </w:rPr>
        <w:t>seven</w:t>
      </w:r>
      <w:r w:rsidR="00F70353">
        <w:rPr>
          <w:rFonts w:ascii="Palatino Linotype" w:hAnsi="Palatino Linotype"/>
        </w:rPr>
        <w:t xml:space="preserve"> parties</w:t>
      </w:r>
      <w:r w:rsidR="002E791B">
        <w:rPr>
          <w:rFonts w:ascii="Palatino Linotype" w:hAnsi="Palatino Linotype"/>
        </w:rPr>
        <w:t>, as discussed below</w:t>
      </w:r>
      <w:r w:rsidR="00D5207E">
        <w:rPr>
          <w:rFonts w:ascii="Palatino Linotype" w:hAnsi="Palatino Linotype"/>
        </w:rPr>
        <w:t>.</w:t>
      </w:r>
      <w:r w:rsidR="008018C0">
        <w:rPr>
          <w:rFonts w:ascii="Palatino Linotype" w:hAnsi="Palatino Linotype"/>
        </w:rPr>
        <w:t xml:space="preserve">  Where </w:t>
      </w:r>
      <w:r w:rsidR="00EF0402">
        <w:rPr>
          <w:rFonts w:ascii="Palatino Linotype" w:hAnsi="Palatino Linotype"/>
        </w:rPr>
        <w:t>practical</w:t>
      </w:r>
      <w:r w:rsidR="008018C0">
        <w:rPr>
          <w:rFonts w:ascii="Palatino Linotype" w:hAnsi="Palatino Linotype"/>
        </w:rPr>
        <w:t>, the numbering in this section pertains to specific points outlined in party comments</w:t>
      </w:r>
      <w:r w:rsidR="00DC48BE">
        <w:rPr>
          <w:rFonts w:ascii="Palatino Linotype" w:hAnsi="Palatino Linotype"/>
        </w:rPr>
        <w:t>.</w:t>
      </w:r>
    </w:p>
    <w:p w14:paraId="1CC43B79" w14:textId="77777777" w:rsidR="001A328E" w:rsidRDefault="001A328E" w:rsidP="00EC0416">
      <w:pPr>
        <w:rPr>
          <w:rFonts w:ascii="Palatino Linotype" w:hAnsi="Palatino Linotype"/>
        </w:rPr>
      </w:pPr>
    </w:p>
    <w:p w14:paraId="2F2A42A3" w14:textId="77777777" w:rsidR="009265DA" w:rsidRPr="0068314D" w:rsidRDefault="009265DA">
      <w:pPr>
        <w:pStyle w:val="Heading2"/>
      </w:pPr>
      <w:bookmarkStart w:id="91" w:name="_Toc20145947"/>
      <w:r w:rsidRPr="0068314D">
        <w:t>TURN</w:t>
      </w:r>
      <w:bookmarkEnd w:id="91"/>
    </w:p>
    <w:p w14:paraId="034B2B1B" w14:textId="77777777" w:rsidR="00FC1471" w:rsidRDefault="00F43C6D">
      <w:r>
        <w:t>TURN</w:t>
      </w:r>
      <w:r w:rsidR="00FC1471">
        <w:t xml:space="preserve"> raises concerns about the proposed use of a </w:t>
      </w:r>
      <w:r w:rsidR="000D46D5">
        <w:t>T</w:t>
      </w:r>
      <w:r w:rsidR="00FC1471">
        <w:t xml:space="preserve">ier 2 </w:t>
      </w:r>
      <w:r w:rsidR="000D46D5">
        <w:t>AL</w:t>
      </w:r>
      <w:r w:rsidR="00FC1471">
        <w:t xml:space="preserve"> to </w:t>
      </w:r>
      <w:r w:rsidR="009265DA">
        <w:t xml:space="preserve">implement a consensus methodology to calculate GTSR </w:t>
      </w:r>
      <w:r w:rsidR="00FC1471">
        <w:t>e</w:t>
      </w:r>
      <w:r w:rsidR="009265DA">
        <w:t xml:space="preserve">missions associated with GTSR </w:t>
      </w:r>
      <w:r w:rsidR="00FC1471">
        <w:t>p</w:t>
      </w:r>
      <w:r w:rsidR="009265DA">
        <w:t>ortfolios.  TURN acknowledges that GHG accounting remains a moving target due to the evolution of the Power Source Disclosure Program in response to AB 1110</w:t>
      </w:r>
      <w:r w:rsidR="00FC1471">
        <w:t>: g</w:t>
      </w:r>
      <w:r w:rsidR="009265DA">
        <w:t xml:space="preserve">iven the importance of this issue, and ongoing efforts by the state to align on a unified approach, </w:t>
      </w:r>
      <w:r w:rsidR="00FC1471">
        <w:t>t</w:t>
      </w:r>
      <w:r w:rsidR="009265DA">
        <w:t xml:space="preserve">he </w:t>
      </w:r>
      <w:r w:rsidR="00FC1471">
        <w:t>d</w:t>
      </w:r>
      <w:r w:rsidR="009265DA">
        <w:t xml:space="preserve">raft </w:t>
      </w:r>
      <w:r w:rsidR="00FC1471">
        <w:t>r</w:t>
      </w:r>
      <w:r w:rsidR="009265DA">
        <w:t xml:space="preserve">esolution’s proposal would effectively deprive other stakeholders, such as TURN and environmental advocates, from participating in discussions relating to the methodology. </w:t>
      </w:r>
    </w:p>
    <w:p w14:paraId="75C14DA6" w14:textId="77777777" w:rsidR="000D46D5" w:rsidRDefault="000D46D5"/>
    <w:p w14:paraId="13CCC4E8" w14:textId="77777777" w:rsidR="009265DA" w:rsidRDefault="009265DA">
      <w:r>
        <w:t>These other stakeholders continue to be very active in both CEC and CPUC proceedings devoted to this topic. Any proposal submitted for review should therefore be vetted with a broad group of stakeholders rather than as a bilateral agreement between project developers and utilities.</w:t>
      </w:r>
    </w:p>
    <w:p w14:paraId="31AABC8B" w14:textId="77777777" w:rsidR="00CE2ECE" w:rsidRDefault="00CE2ECE"/>
    <w:p w14:paraId="7E0FE62D" w14:textId="77777777" w:rsidR="009265DA" w:rsidRPr="005B3116" w:rsidRDefault="009265DA">
      <w:r>
        <w:t>Instead of authorizing a bilateral discussion between two sets of stakeholders followed</w:t>
      </w:r>
      <w:r w:rsidR="009B5F75">
        <w:t xml:space="preserve"> </w:t>
      </w:r>
      <w:r>
        <w:t xml:space="preserve">by a Tier 2 </w:t>
      </w:r>
      <w:r w:rsidR="000D46D5">
        <w:t>AL</w:t>
      </w:r>
      <w:r>
        <w:t>, the Resolution should direct the IOUs to conduct outreach to</w:t>
      </w:r>
      <w:r w:rsidR="009B5F75">
        <w:t xml:space="preserve"> </w:t>
      </w:r>
      <w:r>
        <w:t>all interested stakeholders outside of the annual GTSR forum and file a Tier 3 AL for</w:t>
      </w:r>
      <w:r w:rsidR="009B5F75">
        <w:t xml:space="preserve"> </w:t>
      </w:r>
      <w:r>
        <w:t>Commission review and approval. The Tier 3 designation recognizes the sensitive and</w:t>
      </w:r>
      <w:r w:rsidR="009B5F75">
        <w:t xml:space="preserve"> </w:t>
      </w:r>
      <w:r>
        <w:t>important nature of this issue.</w:t>
      </w:r>
      <w:r w:rsidR="009B5F75">
        <w:t xml:space="preserve">  Finally, any GHG accounting approach proposed in a Tier 3 AL should comport with either the Power Source Disclosure Program</w:t>
      </w:r>
      <w:r w:rsidR="00EF0402">
        <w:t xml:space="preserve">, </w:t>
      </w:r>
      <w:r w:rsidR="009B5F75">
        <w:t>the Clean Net Short methodology</w:t>
      </w:r>
      <w:r w:rsidR="00EF0402">
        <w:t>, or the Avoided Cost Calculator</w:t>
      </w:r>
      <w:r w:rsidR="0096234C">
        <w:t>.</w:t>
      </w:r>
    </w:p>
    <w:p w14:paraId="42FE49B4" w14:textId="77777777" w:rsidR="00032E00" w:rsidRDefault="00D977CF">
      <w:pPr>
        <w:pStyle w:val="Heading2"/>
      </w:pPr>
      <w:bookmarkStart w:id="92" w:name="_Toc20145948"/>
      <w:r w:rsidRPr="0068314D">
        <w:t>CCA Parties</w:t>
      </w:r>
      <w:bookmarkEnd w:id="92"/>
    </w:p>
    <w:p w14:paraId="305E53E3" w14:textId="77777777" w:rsidR="00DD23B8" w:rsidRDefault="00DD23B8">
      <w:r w:rsidRPr="00737555">
        <w:rPr>
          <w:u w:val="single"/>
        </w:rPr>
        <w:t xml:space="preserve">Development of a </w:t>
      </w:r>
      <w:r w:rsidR="0050659E" w:rsidRPr="00737555">
        <w:rPr>
          <w:u w:val="single"/>
        </w:rPr>
        <w:t xml:space="preserve">Greenhouse Gas </w:t>
      </w:r>
      <w:r w:rsidRPr="00737555">
        <w:rPr>
          <w:u w:val="single"/>
        </w:rPr>
        <w:t xml:space="preserve">Reporting </w:t>
      </w:r>
      <w:r w:rsidR="00D5207E" w:rsidRPr="00737555">
        <w:rPr>
          <w:u w:val="single"/>
        </w:rPr>
        <w:t>M</w:t>
      </w:r>
      <w:r w:rsidRPr="00737555">
        <w:rPr>
          <w:u w:val="single"/>
        </w:rPr>
        <w:t>ethodology</w:t>
      </w:r>
      <w:r>
        <w:t xml:space="preserve"> </w:t>
      </w:r>
      <w:r w:rsidR="00C12E9B">
        <w:t>r</w:t>
      </w:r>
      <w:r>
        <w:t xml:space="preserve">aises </w:t>
      </w:r>
      <w:r w:rsidR="00C12E9B">
        <w:t>p</w:t>
      </w:r>
      <w:r>
        <w:t xml:space="preserve">olicy and </w:t>
      </w:r>
      <w:r w:rsidR="00C12E9B">
        <w:t>m</w:t>
      </w:r>
      <w:r>
        <w:t xml:space="preserve">ethodological </w:t>
      </w:r>
      <w:r w:rsidR="00C12E9B">
        <w:t>i</w:t>
      </w:r>
      <w:r>
        <w:t xml:space="preserve">ssues that </w:t>
      </w:r>
      <w:r w:rsidR="00C12E9B">
        <w:t>a</w:t>
      </w:r>
      <w:r>
        <w:t xml:space="preserve">re </w:t>
      </w:r>
      <w:r w:rsidR="00C12E9B">
        <w:t>a</w:t>
      </w:r>
      <w:r>
        <w:t xml:space="preserve">lready </w:t>
      </w:r>
      <w:r w:rsidR="00C12E9B">
        <w:t>b</w:t>
      </w:r>
      <w:r>
        <w:t xml:space="preserve">eing </w:t>
      </w:r>
      <w:r w:rsidR="00C12E9B">
        <w:t>a</w:t>
      </w:r>
      <w:r>
        <w:t xml:space="preserve">ddressed by the California Energy Commission </w:t>
      </w:r>
      <w:r w:rsidR="00C12E9B">
        <w:t>p</w:t>
      </w:r>
      <w:r>
        <w:t xml:space="preserve">ursuant to Assembly Bill 1110 </w:t>
      </w:r>
      <w:r w:rsidR="004D727B">
        <w:t>a</w:t>
      </w:r>
      <w:r>
        <w:t xml:space="preserve">nd </w:t>
      </w:r>
      <w:r w:rsidR="004D727B">
        <w:t>w</w:t>
      </w:r>
      <w:r>
        <w:t xml:space="preserve">ill </w:t>
      </w:r>
      <w:r w:rsidR="004D727B">
        <w:t>b</w:t>
      </w:r>
      <w:r>
        <w:t xml:space="preserve">e </w:t>
      </w:r>
      <w:r w:rsidR="004D727B">
        <w:t>d</w:t>
      </w:r>
      <w:r>
        <w:t xml:space="preserve">ecided in the </w:t>
      </w:r>
      <w:r w:rsidR="004D727B">
        <w:t>s</w:t>
      </w:r>
      <w:r>
        <w:t xml:space="preserve">hort </w:t>
      </w:r>
      <w:r w:rsidR="004D727B">
        <w:t>t</w:t>
      </w:r>
      <w:r>
        <w:t xml:space="preserve">erm.  Regardless of the final approach that the Commission pursues </w:t>
      </w:r>
      <w:r w:rsidR="00CE2ECE">
        <w:t xml:space="preserve">to </w:t>
      </w:r>
      <w:r w:rsidR="00FB00FC">
        <w:t xml:space="preserve">determine </w:t>
      </w:r>
      <w:r w:rsidR="0050659E">
        <w:t xml:space="preserve">Greenhouse Gas </w:t>
      </w:r>
      <w:r w:rsidR="00FB00FC">
        <w:t xml:space="preserve">marketing </w:t>
      </w:r>
      <w:r>
        <w:t xml:space="preserve">methodology, there is good reason to elevate this matter to a formal proceeding or Tier 3 </w:t>
      </w:r>
      <w:r w:rsidR="000D46D5">
        <w:t>AL</w:t>
      </w:r>
      <w:r>
        <w:t>.</w:t>
      </w:r>
    </w:p>
    <w:p w14:paraId="2DC4E89C" w14:textId="77777777" w:rsidR="00EF0402" w:rsidRDefault="00EF0402" w:rsidP="00737555">
      <w:pPr>
        <w:rPr>
          <w:u w:val="single"/>
        </w:rPr>
      </w:pPr>
    </w:p>
    <w:p w14:paraId="761C6489" w14:textId="77777777" w:rsidR="00CC764F" w:rsidRDefault="00D5207E">
      <w:r w:rsidRPr="00737555">
        <w:rPr>
          <w:u w:val="single"/>
        </w:rPr>
        <w:t>Locational Grid Benefits</w:t>
      </w:r>
      <w:r>
        <w:t xml:space="preserve"> </w:t>
      </w:r>
      <w:r w:rsidR="00DD23B8">
        <w:t xml:space="preserve">Rate </w:t>
      </w:r>
      <w:r w:rsidR="00C12E9B">
        <w:t>a</w:t>
      </w:r>
      <w:r w:rsidR="00DD23B8">
        <w:t xml:space="preserve">djustments for </w:t>
      </w:r>
      <w:r w:rsidR="00C12E9B">
        <w:t>l</w:t>
      </w:r>
      <w:r w:rsidR="00DD23B8">
        <w:t xml:space="preserve">ocational </w:t>
      </w:r>
      <w:r w:rsidR="00C12E9B">
        <w:t>g</w:t>
      </w:r>
      <w:r w:rsidR="00DD23B8">
        <w:t xml:space="preserve">rid </w:t>
      </w:r>
      <w:r w:rsidR="00C12E9B">
        <w:t>b</w:t>
      </w:r>
      <w:r w:rsidR="00DD23B8">
        <w:t xml:space="preserve">enefits </w:t>
      </w:r>
      <w:r w:rsidR="00C12E9B">
        <w:t>m</w:t>
      </w:r>
      <w:r w:rsidR="00DD23B8">
        <w:t xml:space="preserve">ust </w:t>
      </w:r>
      <w:r w:rsidR="00C12E9B">
        <w:t>b</w:t>
      </w:r>
      <w:r w:rsidR="00DD23B8">
        <w:t xml:space="preserve">e </w:t>
      </w:r>
      <w:r w:rsidR="00C12E9B">
        <w:t>c</w:t>
      </w:r>
      <w:r w:rsidR="00DD23B8">
        <w:t xml:space="preserve">onsistent with </w:t>
      </w:r>
      <w:r w:rsidR="00C12E9B">
        <w:t>e</w:t>
      </w:r>
      <w:r w:rsidR="00DD23B8">
        <w:t xml:space="preserve">xisting </w:t>
      </w:r>
      <w:r w:rsidR="00C12E9B">
        <w:t>l</w:t>
      </w:r>
      <w:r w:rsidR="00DD23B8">
        <w:t xml:space="preserve">aw and </w:t>
      </w:r>
      <w:r w:rsidR="00C12E9B">
        <w:t>o</w:t>
      </w:r>
      <w:r w:rsidR="00DD23B8">
        <w:t xml:space="preserve">therwise </w:t>
      </w:r>
      <w:r w:rsidR="00C12E9B">
        <w:t>n</w:t>
      </w:r>
      <w:r w:rsidR="00DD23B8">
        <w:t>on-</w:t>
      </w:r>
      <w:r w:rsidR="00C12E9B">
        <w:t>d</w:t>
      </w:r>
      <w:r w:rsidR="00DD23B8">
        <w:t xml:space="preserve">iscriminatory, and </w:t>
      </w:r>
      <w:r w:rsidR="00C12E9B">
        <w:t>s</w:t>
      </w:r>
      <w:r w:rsidR="00DD23B8">
        <w:t xml:space="preserve">hould </w:t>
      </w:r>
      <w:r w:rsidR="00C12E9B">
        <w:t>b</w:t>
      </w:r>
      <w:r w:rsidR="00DD23B8">
        <w:t xml:space="preserve">e </w:t>
      </w:r>
      <w:r w:rsidR="00C12E9B">
        <w:lastRenderedPageBreak/>
        <w:t>a</w:t>
      </w:r>
      <w:r w:rsidR="00DD23B8">
        <w:t xml:space="preserve">ddressed in </w:t>
      </w:r>
      <w:r w:rsidR="00C12E9B">
        <w:t>c</w:t>
      </w:r>
      <w:r w:rsidR="00DD23B8">
        <w:t xml:space="preserve">onjunction </w:t>
      </w:r>
      <w:r w:rsidR="00C12E9B">
        <w:t>w</w:t>
      </w:r>
      <w:r w:rsidR="00DD23B8">
        <w:t xml:space="preserve">ith </w:t>
      </w:r>
      <w:r w:rsidR="00C12E9B">
        <w:t>o</w:t>
      </w:r>
      <w:r w:rsidR="00DD23B8">
        <w:t xml:space="preserve">ther Distributed Resource Plan </w:t>
      </w:r>
      <w:r w:rsidR="00C12E9B">
        <w:t>r</w:t>
      </w:r>
      <w:r w:rsidR="00DD23B8">
        <w:t xml:space="preserve">equests.  </w:t>
      </w:r>
      <w:r w:rsidR="00C12E9B">
        <w:t>S</w:t>
      </w:r>
      <w:r w:rsidR="00DD23B8">
        <w:t>ome additional guidance needs to be added to the Draft Resolution to properly reflect and address locational grid benefits in the context of the GTSR program</w:t>
      </w:r>
      <w:r w:rsidR="00F70353">
        <w:t xml:space="preserve">.    </w:t>
      </w:r>
    </w:p>
    <w:p w14:paraId="3A49E0FE" w14:textId="77777777" w:rsidR="00CC764F" w:rsidRDefault="00CC764F"/>
    <w:p w14:paraId="3F49489D" w14:textId="77777777" w:rsidR="00DD23B8" w:rsidRDefault="00F70353">
      <w:r>
        <w:t xml:space="preserve">Development of rate proposals for locational values should be taken up in a formal rate proceeding, such as General Rate Cases, where closely related issues are already under consideration and parties can fully participate, develop an evidentiary record, and debate the merits of competing proposals.  Considering such requests in a phase of the GRC would be consistent with other DRP-related ratemaking </w:t>
      </w:r>
      <w:r w:rsidR="0050659E">
        <w:t>requests and</w:t>
      </w:r>
      <w:r>
        <w:t xml:space="preserve"> provide a better venue to ensure that any rate benefits can be enjoyed by all distribution customers on an equal footing.  At a minimum, such proposals should be taken up in a Tier 3 </w:t>
      </w:r>
      <w:r w:rsidR="000D46D5">
        <w:t>AL</w:t>
      </w:r>
      <w:r>
        <w:t>, where the parties can bring their research and perspectives to bear on the issues through submission of comments</w:t>
      </w:r>
      <w:r w:rsidR="00D5207E">
        <w:t xml:space="preserve"> which must be considered by the CPUC through a resolution</w:t>
      </w:r>
      <w:r>
        <w:t>.</w:t>
      </w:r>
    </w:p>
    <w:p w14:paraId="79738ECA" w14:textId="77777777" w:rsidR="00EF0402" w:rsidRDefault="00EF0402">
      <w:pPr>
        <w:pStyle w:val="ListParagraph"/>
        <w:ind w:left="1080"/>
      </w:pPr>
    </w:p>
    <w:p w14:paraId="6139E0D4" w14:textId="77777777" w:rsidR="00D5207E" w:rsidRPr="000C44BB" w:rsidRDefault="004A5981">
      <w:r>
        <w:t>We accept t</w:t>
      </w:r>
      <w:r w:rsidR="00D5207E">
        <w:t xml:space="preserve">his </w:t>
      </w:r>
      <w:r w:rsidR="002F7414">
        <w:t>recommendation</w:t>
      </w:r>
      <w:r w:rsidR="00D5207E">
        <w:t xml:space="preserve"> and </w:t>
      </w:r>
      <w:r w:rsidR="00C43674">
        <w:t>modif</w:t>
      </w:r>
      <w:r w:rsidR="00C07123">
        <w:t>y</w:t>
      </w:r>
      <w:r w:rsidR="00C43674">
        <w:t xml:space="preserve"> </w:t>
      </w:r>
      <w:r w:rsidR="00D5207E">
        <w:t>the requirement</w:t>
      </w:r>
      <w:r w:rsidR="00C07123">
        <w:t>, directing</w:t>
      </w:r>
      <w:r w:rsidR="00D5207E">
        <w:t xml:space="preserve"> </w:t>
      </w:r>
      <w:r w:rsidR="00C07123">
        <w:t xml:space="preserve">IOUs to propose any </w:t>
      </w:r>
      <w:r w:rsidR="00D5207E">
        <w:t>Locational Grid Benefit adjustment</w:t>
      </w:r>
      <w:r w:rsidR="00C07123">
        <w:t>s</w:t>
      </w:r>
      <w:r w:rsidR="00D5207E">
        <w:t xml:space="preserve"> </w:t>
      </w:r>
      <w:r w:rsidR="002F7414">
        <w:t xml:space="preserve">through a </w:t>
      </w:r>
      <w:r w:rsidR="00D5207E">
        <w:t xml:space="preserve">Tier 3 </w:t>
      </w:r>
      <w:r w:rsidR="000D46D5">
        <w:t>AL</w:t>
      </w:r>
      <w:r w:rsidR="00D5207E">
        <w:t>.</w:t>
      </w:r>
    </w:p>
    <w:p w14:paraId="04731231" w14:textId="77777777" w:rsidR="00032E00" w:rsidRDefault="00D977CF">
      <w:pPr>
        <w:pStyle w:val="Heading2"/>
      </w:pPr>
      <w:bookmarkStart w:id="93" w:name="_Toc20145949"/>
      <w:r w:rsidRPr="0068314D">
        <w:t>Joint Solar Interests</w:t>
      </w:r>
      <w:bookmarkEnd w:id="93"/>
    </w:p>
    <w:p w14:paraId="4D8D87DD" w14:textId="77777777" w:rsidR="00032E00" w:rsidRDefault="00D977CF">
      <w:r w:rsidRPr="000C44BB">
        <w:rPr>
          <w:u w:val="single"/>
        </w:rPr>
        <w:t>T</w:t>
      </w:r>
      <w:r w:rsidR="0050659E" w:rsidRPr="000C44BB">
        <w:rPr>
          <w:u w:val="single"/>
        </w:rPr>
        <w:t xml:space="preserve">he </w:t>
      </w:r>
      <w:r w:rsidR="00CC764F">
        <w:rPr>
          <w:u w:val="single"/>
        </w:rPr>
        <w:t>d</w:t>
      </w:r>
      <w:r w:rsidR="0050659E" w:rsidRPr="000C44BB">
        <w:rPr>
          <w:u w:val="single"/>
        </w:rPr>
        <w:t>efinition of "</w:t>
      </w:r>
      <w:r w:rsidR="00CC764F">
        <w:rPr>
          <w:u w:val="single"/>
        </w:rPr>
        <w:t>c</w:t>
      </w:r>
      <w:r w:rsidR="0050659E" w:rsidRPr="000C44BB">
        <w:rPr>
          <w:u w:val="single"/>
        </w:rPr>
        <w:t>ommunity</w:t>
      </w:r>
      <w:r w:rsidR="0050659E" w:rsidRPr="002F6F3A">
        <w:t>"</w:t>
      </w:r>
      <w:r w:rsidR="0050659E">
        <w:t xml:space="preserve"> adopted in D</w:t>
      </w:r>
      <w:r w:rsidR="00CC764F">
        <w:t>.</w:t>
      </w:r>
      <w:r w:rsidR="0050659E">
        <w:t>15-05-051 --</w:t>
      </w:r>
      <w:r w:rsidR="00CC764F">
        <w:t xml:space="preserve"> that</w:t>
      </w:r>
      <w:r w:rsidR="0050659E">
        <w:t xml:space="preserve"> customers either in the same municipality or county of the project or within ten miles of the customer's address –</w:t>
      </w:r>
      <w:r w:rsidR="00CC764F">
        <w:t xml:space="preserve"> </w:t>
      </w:r>
      <w:r w:rsidR="00877743">
        <w:t xml:space="preserve">is a </w:t>
      </w:r>
      <w:r w:rsidR="0050659E">
        <w:t xml:space="preserve">significant impairment to the success of the ECR program. </w:t>
      </w:r>
      <w:r w:rsidR="00D5207E">
        <w:t xml:space="preserve">The </w:t>
      </w:r>
      <w:r w:rsidR="0050659E">
        <w:t xml:space="preserve">Joint Solar Interests request that the annual GTSR forum be used as a venue to further discuss the ECR locational requirements, with an idea of reaching a consensus proposal that would retain the requirement, but make it less restrictive. If such a consensus is reached, then it can be implemented through the IOUs' submission of a joint Tier 2 </w:t>
      </w:r>
      <w:r w:rsidR="000D46D5">
        <w:t>AL</w:t>
      </w:r>
      <w:r w:rsidR="0050659E">
        <w:t>.</w:t>
      </w:r>
    </w:p>
    <w:p w14:paraId="49A20D9D" w14:textId="77777777" w:rsidR="00EF0402" w:rsidRDefault="00EF0402" w:rsidP="00737555"/>
    <w:p w14:paraId="68F12230" w14:textId="77777777" w:rsidR="001B31C8" w:rsidRDefault="00EF0402">
      <w:pPr>
        <w:rPr>
          <w:rFonts w:ascii="Calibri" w:hAnsi="Calibri"/>
          <w:sz w:val="22"/>
        </w:rPr>
      </w:pPr>
      <w:r>
        <w:t>The IOUs are directed to include this in the agenda of their next GTSR Forum.  If such a consensus is reached, then it can be implemented through the IOUs' submission of a joint Tier 2 AL.</w:t>
      </w:r>
      <w:r w:rsidR="001B31C8">
        <w:t xml:space="preserve">  </w:t>
      </w:r>
      <w:r w:rsidR="00B1018D">
        <w:rPr>
          <w:u w:val="single"/>
        </w:rPr>
        <w:t>I</w:t>
      </w:r>
      <w:r w:rsidR="001B31C8">
        <w:rPr>
          <w:u w:val="single"/>
        </w:rPr>
        <w:t>f no consensus is reached</w:t>
      </w:r>
      <w:r w:rsidR="00B1018D">
        <w:rPr>
          <w:u w:val="single"/>
        </w:rPr>
        <w:t>,</w:t>
      </w:r>
      <w:r w:rsidR="001B31C8">
        <w:rPr>
          <w:u w:val="single"/>
        </w:rPr>
        <w:t xml:space="preserve"> changes may be proposed through a Petition for Modification</w:t>
      </w:r>
      <w:r w:rsidR="001B31C8">
        <w:t>.</w:t>
      </w:r>
    </w:p>
    <w:p w14:paraId="05B989B2" w14:textId="77777777" w:rsidR="00EF0402" w:rsidRDefault="00EF0402"/>
    <w:p w14:paraId="39E4279D" w14:textId="77777777" w:rsidR="00EF0402" w:rsidRDefault="00EF0402">
      <w:pPr>
        <w:pStyle w:val="ListParagraph"/>
        <w:ind w:left="360"/>
      </w:pPr>
    </w:p>
    <w:p w14:paraId="00D0837D" w14:textId="77777777" w:rsidR="00877743" w:rsidRDefault="003C534E">
      <w:r w:rsidRPr="00737555">
        <w:rPr>
          <w:u w:val="single"/>
        </w:rPr>
        <w:t>Locational Grid Benefits</w:t>
      </w:r>
      <w:r w:rsidR="00CC764F">
        <w:rPr>
          <w:u w:val="single"/>
        </w:rPr>
        <w:t>:</w:t>
      </w:r>
      <w:r>
        <w:t xml:space="preserve"> </w:t>
      </w:r>
      <w:r w:rsidR="00877743">
        <w:t xml:space="preserve">D.15-01-051 directed the IOUs to propose a joint methodology for incorporating locational grid benefits into the GTSR program via a Tier 2 </w:t>
      </w:r>
      <w:r w:rsidR="000D46D5">
        <w:t>A</w:t>
      </w:r>
      <w:r w:rsidR="004D727B">
        <w:t>L</w:t>
      </w:r>
      <w:r w:rsidR="00877743">
        <w:t xml:space="preserve">.  Because a Decision has not </w:t>
      </w:r>
      <w:r w:rsidR="00B1018D">
        <w:t>issued</w:t>
      </w:r>
      <w:r w:rsidR="00877743">
        <w:t>, this Resolution grant</w:t>
      </w:r>
      <w:r w:rsidR="004D727B">
        <w:t>s</w:t>
      </w:r>
      <w:r w:rsidR="00877743">
        <w:t xml:space="preserve"> the IOUs the flexibility for an additional opportunity, through a joint Tier 2 </w:t>
      </w:r>
      <w:r w:rsidR="000D46D5">
        <w:t>AL</w:t>
      </w:r>
      <w:r w:rsidR="00877743">
        <w:t xml:space="preserve">, to work with parties to propose a </w:t>
      </w:r>
      <w:r w:rsidR="00A36BEC">
        <w:t xml:space="preserve">joint </w:t>
      </w:r>
      <w:r w:rsidR="00877743">
        <w:t>methodology.</w:t>
      </w:r>
      <w:r w:rsidR="00A36BEC">
        <w:t xml:space="preserve">  The Joint Solar Interest</w:t>
      </w:r>
      <w:r w:rsidR="00CC764F">
        <w:t>s</w:t>
      </w:r>
      <w:r w:rsidR="00A36BEC">
        <w:t xml:space="preserve"> </w:t>
      </w:r>
      <w:r w:rsidR="00A36BEC">
        <w:lastRenderedPageBreak/>
        <w:t xml:space="preserve">would like to mandate </w:t>
      </w:r>
      <w:r w:rsidR="00CC764F">
        <w:t xml:space="preserve">that </w:t>
      </w:r>
      <w:r w:rsidR="00A36BEC">
        <w:t xml:space="preserve">the IOUs to propose a unilateral methodology, despite the clear protests of the CCA parties and TURN.  </w:t>
      </w:r>
    </w:p>
    <w:p w14:paraId="5A50F088" w14:textId="77777777" w:rsidR="00EF0402" w:rsidRDefault="00EF0402" w:rsidP="00737555"/>
    <w:p w14:paraId="6E286BFE" w14:textId="77777777" w:rsidR="00EF0402" w:rsidRDefault="00EF0402">
      <w:r w:rsidRPr="00D921F2">
        <w:t>This p</w:t>
      </w:r>
      <w:r>
        <w:t>roposal is denied.  See comments from TURN and the CCA Parties.</w:t>
      </w:r>
    </w:p>
    <w:p w14:paraId="1FC3EBBB" w14:textId="77777777" w:rsidR="00EF0402" w:rsidRDefault="00EF0402">
      <w:pPr>
        <w:pStyle w:val="ListParagraph"/>
        <w:ind w:left="360"/>
      </w:pPr>
    </w:p>
    <w:p w14:paraId="3A373389" w14:textId="77777777" w:rsidR="00D5207E" w:rsidRDefault="004B3289" w:rsidP="00737555">
      <w:r w:rsidRPr="00737555">
        <w:rPr>
          <w:u w:val="single"/>
        </w:rPr>
        <w:t xml:space="preserve">The </w:t>
      </w:r>
      <w:r w:rsidR="00CC764F">
        <w:rPr>
          <w:u w:val="single"/>
        </w:rPr>
        <w:t>us</w:t>
      </w:r>
      <w:r w:rsidRPr="00737555">
        <w:rPr>
          <w:u w:val="single"/>
        </w:rPr>
        <w:t xml:space="preserve">e of PCIA as a </w:t>
      </w:r>
      <w:r w:rsidR="00CC764F">
        <w:rPr>
          <w:u w:val="single"/>
        </w:rPr>
        <w:t>p</w:t>
      </w:r>
      <w:r w:rsidR="00877743" w:rsidRPr="00737555">
        <w:rPr>
          <w:u w:val="single"/>
        </w:rPr>
        <w:t>roxy</w:t>
      </w:r>
      <w:r w:rsidR="00877743">
        <w:t xml:space="preserve"> for </w:t>
      </w:r>
      <w:r w:rsidR="00FE4549">
        <w:t>c</w:t>
      </w:r>
      <w:r w:rsidR="00877743">
        <w:t xml:space="preserve">ost </w:t>
      </w:r>
      <w:r w:rsidR="00FE4549">
        <w:t>i</w:t>
      </w:r>
      <w:r w:rsidR="00877743">
        <w:t xml:space="preserve">ndifference continues to be </w:t>
      </w:r>
      <w:r w:rsidR="00A36BEC">
        <w:t xml:space="preserve">an imperfect </w:t>
      </w:r>
      <w:r w:rsidR="00877743">
        <w:t>solution for the statutory requirement that</w:t>
      </w:r>
      <w:r w:rsidR="00877743" w:rsidRPr="00877743">
        <w:t xml:space="preserve"> the costs of GTSR may not be borne by customers who did not elect GTSR service</w:t>
      </w:r>
      <w:r w:rsidR="00877743">
        <w:t>.</w:t>
      </w:r>
      <w:r w:rsidR="009265DA">
        <w:t xml:space="preserve">  </w:t>
      </w:r>
    </w:p>
    <w:p w14:paraId="72C0D6FF" w14:textId="77777777" w:rsidR="00EF0402" w:rsidRDefault="00EF0402" w:rsidP="00737555"/>
    <w:p w14:paraId="6B04F8BC" w14:textId="77777777" w:rsidR="00EF0402" w:rsidRDefault="00EF0402">
      <w:r>
        <w:t>Since D.15-05-006, other tools have become available.  The Commission may also consider the Distributed Energy Resources Avoided Cost Calculator and the approved cost effectiveness tests in the Standard Practices and Procedures Manual to make such a determination of non-participant impact and a charge to make those customers indifferent.  Such a proposal must be considered through a Petition for Modification or a joint Tier 3 AL.</w:t>
      </w:r>
    </w:p>
    <w:p w14:paraId="38C72721" w14:textId="77777777" w:rsidR="00EF0402" w:rsidRDefault="00EF0402"/>
    <w:p w14:paraId="4B34E6F1" w14:textId="77777777" w:rsidR="00032E00" w:rsidRDefault="00D977CF">
      <w:pPr>
        <w:pStyle w:val="Heading2"/>
      </w:pPr>
      <w:bookmarkStart w:id="94" w:name="_Toc20145950"/>
      <w:r>
        <w:t>Fore</w:t>
      </w:r>
      <w:r w:rsidR="00B018A3">
        <w:t>F</w:t>
      </w:r>
      <w:r>
        <w:t>ront Power</w:t>
      </w:r>
      <w:bookmarkEnd w:id="94"/>
    </w:p>
    <w:p w14:paraId="478C901B" w14:textId="77777777" w:rsidR="00032E00" w:rsidRDefault="00D977CF">
      <w:r w:rsidRPr="000C44BB">
        <w:rPr>
          <w:u w:val="single"/>
        </w:rPr>
        <w:t>Updates to Utility Tariffs</w:t>
      </w:r>
      <w:r w:rsidRPr="003C534E">
        <w:t>:</w:t>
      </w:r>
      <w:r>
        <w:t xml:space="preserve"> The Draft Resolution includes several essential clarifications which resolve uncertainties that affect its and other developers' ability to confidently develop GTSR projects.  ForeFront Power urges the Commission to ensure that customers can understand these clarifications via clear and concise language in the tariff updates.  </w:t>
      </w:r>
    </w:p>
    <w:p w14:paraId="76812C81" w14:textId="77777777" w:rsidR="00EF0402" w:rsidRDefault="00EF0402" w:rsidP="00737555"/>
    <w:p w14:paraId="549542C1" w14:textId="77777777" w:rsidR="00EF0402" w:rsidRDefault="004A5981">
      <w:r>
        <w:t>S</w:t>
      </w:r>
      <w:r w:rsidR="00EF0402">
        <w:t>pecific tariff language updates are submitted to all members of the GTSR Service list through the AL process</w:t>
      </w:r>
      <w:r>
        <w:t>, and all input</w:t>
      </w:r>
      <w:r w:rsidR="001E12DE">
        <w:t xml:space="preserve"> </w:t>
      </w:r>
      <w:r w:rsidR="00EF0402">
        <w:t>will</w:t>
      </w:r>
      <w:r>
        <w:t xml:space="preserve"> be</w:t>
      </w:r>
      <w:r w:rsidR="00EF0402">
        <w:t xml:space="preserve"> consider</w:t>
      </w:r>
      <w:r>
        <w:t>ed</w:t>
      </w:r>
      <w:r w:rsidR="00EF0402">
        <w:t xml:space="preserve"> and address</w:t>
      </w:r>
      <w:r>
        <w:t>ed</w:t>
      </w:r>
      <w:r w:rsidR="00EF0402">
        <w:t xml:space="preserve"> during the 20-day comment period.</w:t>
      </w:r>
    </w:p>
    <w:p w14:paraId="7D2EC38C" w14:textId="77777777" w:rsidR="00EF0402" w:rsidRDefault="00EF0402">
      <w:pPr>
        <w:pStyle w:val="ListParagraph"/>
      </w:pPr>
    </w:p>
    <w:p w14:paraId="0610BF1C" w14:textId="77777777" w:rsidR="00EF0402" w:rsidRDefault="00EF0402">
      <w:pPr>
        <w:pStyle w:val="ListParagraph"/>
      </w:pPr>
    </w:p>
    <w:p w14:paraId="4B80425A" w14:textId="77777777" w:rsidR="00AF3D51" w:rsidRDefault="00AF3D51" w:rsidP="00737555">
      <w:r w:rsidRPr="00737555">
        <w:rPr>
          <w:u w:val="single"/>
        </w:rPr>
        <w:t xml:space="preserve">Residential Requirement: </w:t>
      </w:r>
      <w:r w:rsidRPr="000C44BB">
        <w:t>Forefront requests that the Commission</w:t>
      </w:r>
      <w:r>
        <w:t xml:space="preserve"> </w:t>
      </w:r>
      <w:r w:rsidRPr="000C44BB">
        <w:t xml:space="preserve">clarify that the change in the </w:t>
      </w:r>
      <w:r w:rsidR="00A971D3">
        <w:t>Expression of Interest (</w:t>
      </w:r>
      <w:r w:rsidRPr="000C44BB">
        <w:t>EOI</w:t>
      </w:r>
      <w:r w:rsidR="00A971D3">
        <w:t>)</w:t>
      </w:r>
      <w:r w:rsidRPr="000C44BB">
        <w:t xml:space="preserve"> submission deadline applies to all pending projects for</w:t>
      </w:r>
      <w:r>
        <w:t xml:space="preserve"> </w:t>
      </w:r>
      <w:r w:rsidRPr="000C44BB">
        <w:t>which the due date for EOI submissions has either not occurred or has been deferred, as well as</w:t>
      </w:r>
      <w:r>
        <w:t xml:space="preserve"> </w:t>
      </w:r>
      <w:r w:rsidRPr="000C44BB">
        <w:t>to future projects.</w:t>
      </w:r>
    </w:p>
    <w:p w14:paraId="127E64D8" w14:textId="77777777" w:rsidR="00CC764F" w:rsidRDefault="00CC764F" w:rsidP="00737555"/>
    <w:p w14:paraId="15EF6666" w14:textId="77777777" w:rsidR="00642C8A" w:rsidRDefault="00642C8A" w:rsidP="00737555">
      <w:r>
        <w:t xml:space="preserve">The changes proposed through this resolution are contemplated on a moving-forward basis, and do not apply to past solicitations with signed PPAs.  Likewise, in the interest of fairness, pending projects tied to solicitations in process </w:t>
      </w:r>
      <w:r w:rsidRPr="00E711CC">
        <w:t>for</w:t>
      </w:r>
      <w:r>
        <w:t xml:space="preserve"> </w:t>
      </w:r>
      <w:r w:rsidRPr="00E711CC">
        <w:t>which the due date for EOI submissions has either not occurred or has been deferred</w:t>
      </w:r>
      <w:r>
        <w:t xml:space="preserve"> are subject to the rules which were originally proposed at the </w:t>
      </w:r>
      <w:r>
        <w:lastRenderedPageBreak/>
        <w:t>launch of the competitive process.  Forefront’s request is denied; however, as was the case prior to this resolution, renewables developers may work with participating IOUs to request an additional Extension of Time to Comply per Rule 16.6. of the Commission’s Rules of Practice and Procedure.</w:t>
      </w:r>
    </w:p>
    <w:p w14:paraId="1C3805D0" w14:textId="77777777" w:rsidR="00642C8A" w:rsidRPr="000C44BB" w:rsidRDefault="00642C8A"/>
    <w:p w14:paraId="2C43BD3A" w14:textId="77777777" w:rsidR="001405CF" w:rsidRDefault="001405CF" w:rsidP="00737555">
      <w:r w:rsidRPr="00737555">
        <w:rPr>
          <w:u w:val="single"/>
        </w:rPr>
        <w:t>Expressions of Community Interest Requirement</w:t>
      </w:r>
      <w:r>
        <w:t xml:space="preserve">: Forefront </w:t>
      </w:r>
      <w:r w:rsidR="00CC764F">
        <w:t>s</w:t>
      </w:r>
      <w:r>
        <w:t xml:space="preserve">eeks </w:t>
      </w:r>
      <w:r w:rsidR="00CC764F">
        <w:t>c</w:t>
      </w:r>
      <w:r>
        <w:t xml:space="preserve">larification as to whether </w:t>
      </w:r>
      <w:r w:rsidR="00EE1731">
        <w:t xml:space="preserve">each individual GTSR project </w:t>
      </w:r>
      <w:r>
        <w:t xml:space="preserve">must maintain </w:t>
      </w:r>
      <w:r w:rsidR="00EE1731">
        <w:t xml:space="preserve">the </w:t>
      </w:r>
      <w:r>
        <w:t xml:space="preserve">1/6 </w:t>
      </w:r>
      <w:r w:rsidR="00EE1731">
        <w:t xml:space="preserve">residential </w:t>
      </w:r>
      <w:r>
        <w:t>requirement</w:t>
      </w:r>
      <w:r w:rsidR="00EE1731">
        <w:t xml:space="preserve"> following the initial expression of interest</w:t>
      </w:r>
      <w:r w:rsidR="00DA45A9">
        <w:t>.</w:t>
      </w:r>
      <w:r w:rsidR="00EE1731">
        <w:t xml:space="preserve">  </w:t>
      </w:r>
    </w:p>
    <w:p w14:paraId="3DBF2A8B" w14:textId="77777777" w:rsidR="00642C8A" w:rsidRDefault="00642C8A" w:rsidP="00737555"/>
    <w:p w14:paraId="69CFF37B" w14:textId="77777777" w:rsidR="00642C8A" w:rsidRDefault="00642C8A">
      <w:r>
        <w:t>By statute, “n</w:t>
      </w:r>
      <w:r w:rsidRPr="002F7414">
        <w:t>ot less than 100 megawatts shall be reserved for participation by residential class customers</w:t>
      </w:r>
      <w:r>
        <w:t xml:space="preserve">.”  So long as renewables developers manage enrollments for their community renewables customers, then it is incumbent on them to maintain the 1/6 requirement on an ongoing basis.  Developers, not IOUs, manage the relationship between the customer and their ECR contract.  If Developers only maintain commercial subscriptions and GT enrollments are also overwhelmingly subscribed from the non-residential sector, then the entire GTSR program would be </w:t>
      </w:r>
      <w:r w:rsidR="00B1018D">
        <w:t>inconsistent</w:t>
      </w:r>
      <w:r>
        <w:t xml:space="preserve"> with the intent and letter of SB 43. </w:t>
      </w:r>
    </w:p>
    <w:p w14:paraId="69BC9F7B" w14:textId="77777777" w:rsidR="00642C8A" w:rsidRDefault="00642C8A"/>
    <w:p w14:paraId="043F1DCF" w14:textId="77777777" w:rsidR="00C90CE6" w:rsidRDefault="00C90CE6" w:rsidP="00737555">
      <w:r w:rsidRPr="00737555">
        <w:rPr>
          <w:u w:val="single"/>
        </w:rPr>
        <w:t xml:space="preserve">Ensure that </w:t>
      </w:r>
      <w:r w:rsidR="00B1018D">
        <w:rPr>
          <w:u w:val="single"/>
        </w:rPr>
        <w:t>A</w:t>
      </w:r>
      <w:r w:rsidRPr="00737555">
        <w:rPr>
          <w:u w:val="single"/>
        </w:rPr>
        <w:t xml:space="preserve">ll </w:t>
      </w:r>
      <w:r w:rsidR="00B1018D">
        <w:rPr>
          <w:u w:val="single"/>
        </w:rPr>
        <w:t>P</w:t>
      </w:r>
      <w:r w:rsidRPr="00737555">
        <w:rPr>
          <w:u w:val="single"/>
        </w:rPr>
        <w:t xml:space="preserve">rojects </w:t>
      </w:r>
      <w:r w:rsidR="00B1018D">
        <w:rPr>
          <w:u w:val="single"/>
        </w:rPr>
        <w:t>B</w:t>
      </w:r>
      <w:r w:rsidRPr="00737555">
        <w:rPr>
          <w:u w:val="single"/>
        </w:rPr>
        <w:t xml:space="preserve">enefit from </w:t>
      </w:r>
      <w:r w:rsidR="00B1018D">
        <w:rPr>
          <w:u w:val="single"/>
        </w:rPr>
        <w:t>T</w:t>
      </w:r>
      <w:r w:rsidRPr="00737555">
        <w:rPr>
          <w:u w:val="single"/>
        </w:rPr>
        <w:t xml:space="preserve">hese </w:t>
      </w:r>
      <w:r w:rsidR="00B1018D">
        <w:rPr>
          <w:u w:val="single"/>
        </w:rPr>
        <w:t>C</w:t>
      </w:r>
      <w:r w:rsidRPr="00737555">
        <w:rPr>
          <w:u w:val="single"/>
        </w:rPr>
        <w:t>hanges</w:t>
      </w:r>
      <w:r w:rsidR="00B1018D">
        <w:rPr>
          <w:u w:val="single"/>
        </w:rPr>
        <w:t>:</w:t>
      </w:r>
      <w:r w:rsidRPr="00737555">
        <w:rPr>
          <w:u w:val="single"/>
        </w:rPr>
        <w:t xml:space="preserve"> </w:t>
      </w:r>
      <w:r w:rsidRPr="00E711CC">
        <w:t>ForeFront</w:t>
      </w:r>
      <w:r>
        <w:t xml:space="preserve"> </w:t>
      </w:r>
      <w:r w:rsidRPr="00E711CC">
        <w:t xml:space="preserve">Power </w:t>
      </w:r>
      <w:r w:rsidR="004A5981">
        <w:t>seeks</w:t>
      </w:r>
      <w:r w:rsidRPr="00E711CC">
        <w:t xml:space="preserve"> to clarify that the Draft Resolution applies to all projects and</w:t>
      </w:r>
      <w:r>
        <w:t xml:space="preserve"> </w:t>
      </w:r>
      <w:r w:rsidRPr="00E711CC">
        <w:t xml:space="preserve">asks that the </w:t>
      </w:r>
      <w:r w:rsidR="00CC764F">
        <w:t>u</w:t>
      </w:r>
      <w:r w:rsidRPr="00E711CC">
        <w:t>tilities be directed to update existing PPAs with any changes needed to</w:t>
      </w:r>
      <w:r>
        <w:t xml:space="preserve"> </w:t>
      </w:r>
      <w:r w:rsidRPr="00E711CC">
        <w:t>reflect these Program improvements.</w:t>
      </w:r>
    </w:p>
    <w:p w14:paraId="046745CD" w14:textId="77777777" w:rsidR="00642C8A" w:rsidRDefault="00642C8A" w:rsidP="00737555"/>
    <w:p w14:paraId="08ED7469" w14:textId="77777777" w:rsidR="00642C8A" w:rsidRDefault="00642C8A">
      <w:r>
        <w:t>The changes proposed through this resolution are contemplated on a going-forward basis, and do not apply to past solicitations with signed PPAs. Likewise, the Commission does not require that parties reach back to signed Power Purchase Agreements to mandate the 1/6 residential requirement on an ongoing basis, if that was not a mutual understanding at the time of the contract signing.</w:t>
      </w:r>
    </w:p>
    <w:p w14:paraId="189796B2" w14:textId="77777777" w:rsidR="000D46D5" w:rsidRPr="00E711CC" w:rsidRDefault="000D46D5">
      <w:pPr>
        <w:pStyle w:val="ListParagraph"/>
      </w:pPr>
    </w:p>
    <w:p w14:paraId="0A7CE723" w14:textId="77777777" w:rsidR="00032E00" w:rsidRDefault="00D977CF">
      <w:pPr>
        <w:pStyle w:val="Heading2"/>
      </w:pPr>
      <w:bookmarkStart w:id="95" w:name="_Toc20145951"/>
      <w:r>
        <w:t>SDG&amp;E</w:t>
      </w:r>
      <w:bookmarkEnd w:id="95"/>
    </w:p>
    <w:p w14:paraId="74BBCD3A" w14:textId="77777777" w:rsidR="00BD5CA4" w:rsidRPr="00737555" w:rsidRDefault="00BD5CA4">
      <w:pPr>
        <w:rPr>
          <w:b/>
          <w:bCs/>
        </w:rPr>
      </w:pPr>
      <w:r w:rsidRPr="00737555">
        <w:rPr>
          <w:u w:val="single"/>
        </w:rPr>
        <w:t>Program Budget Approval</w:t>
      </w:r>
      <w:r w:rsidR="00CC764F">
        <w:rPr>
          <w:b/>
          <w:bCs/>
        </w:rPr>
        <w:t>:</w:t>
      </w:r>
      <w:r w:rsidR="008018C0" w:rsidRPr="00737555">
        <w:rPr>
          <w:b/>
          <w:bCs/>
        </w:rPr>
        <w:t xml:space="preserve"> </w:t>
      </w:r>
      <w:r w:rsidR="00F451F7">
        <w:t>SDG&amp;E seeks clarification that the budget approved through AL 3168-E is not restricted to the 2019-2023</w:t>
      </w:r>
      <w:r w:rsidR="00CC764F">
        <w:t xml:space="preserve"> timeframe</w:t>
      </w:r>
      <w:r w:rsidR="00F451F7">
        <w:t>. Because the GTSR program is no longer expected to sunset in 2023, this request is granted.</w:t>
      </w:r>
    </w:p>
    <w:p w14:paraId="63BD2E04" w14:textId="77777777" w:rsidR="00642C8A" w:rsidRDefault="00642C8A" w:rsidP="00737555">
      <w:pPr>
        <w:rPr>
          <w:u w:val="single"/>
        </w:rPr>
      </w:pPr>
    </w:p>
    <w:p w14:paraId="6B9B4AB5" w14:textId="77777777" w:rsidR="00032E00" w:rsidRDefault="00D977CF">
      <w:pPr>
        <w:rPr>
          <w:b/>
          <w:bCs/>
        </w:rPr>
      </w:pPr>
      <w:r w:rsidRPr="00737555">
        <w:rPr>
          <w:u w:val="single"/>
        </w:rPr>
        <w:t>Expanding GTSR Eligibility to NEM Customers</w:t>
      </w:r>
      <w:r w:rsidR="00CC764F">
        <w:rPr>
          <w:b/>
          <w:bCs/>
        </w:rPr>
        <w:t>:</w:t>
      </w:r>
      <w:r w:rsidRPr="00737555">
        <w:rPr>
          <w:b/>
          <w:bCs/>
        </w:rPr>
        <w:t xml:space="preserve"> </w:t>
      </w:r>
      <w:r>
        <w:t>SDG&amp;E has withdrawn this request</w:t>
      </w:r>
      <w:r w:rsidR="006A0CAD">
        <w:t>, citing high IT costs and higher-than-projected customer enrollment</w:t>
      </w:r>
      <w:r>
        <w:t xml:space="preserve">. </w:t>
      </w:r>
    </w:p>
    <w:p w14:paraId="3F8DFA3D" w14:textId="77777777" w:rsidR="00642C8A" w:rsidRDefault="00642C8A" w:rsidP="00737555">
      <w:pPr>
        <w:rPr>
          <w:u w:val="single"/>
        </w:rPr>
      </w:pPr>
    </w:p>
    <w:p w14:paraId="44C5D2FF" w14:textId="77777777" w:rsidR="000B6682" w:rsidRDefault="00F451F7">
      <w:r w:rsidRPr="00737555">
        <w:rPr>
          <w:u w:val="single"/>
        </w:rPr>
        <w:lastRenderedPageBreak/>
        <w:t>Subscription Percentage Adjustment</w:t>
      </w:r>
      <w:r w:rsidR="00CC764F">
        <w:t>:</w:t>
      </w:r>
      <w:r>
        <w:t xml:space="preserve"> </w:t>
      </w:r>
      <w:r w:rsidR="006A0CAD">
        <w:t>SDG&amp;E has withdrawn this request, citing high IT costs and higher-than-projected customer enrollment. Accordingly, the Commission has modified the Resolution to reflect this change: if SDG&amp;E is able to and chooses to make this modification with the new Customer Information System</w:t>
      </w:r>
      <w:r w:rsidR="00BA656B">
        <w:t xml:space="preserve"> at a reasonable price</w:t>
      </w:r>
      <w:r w:rsidR="006A0CAD">
        <w:t xml:space="preserve">, it may do so via Tier 2 </w:t>
      </w:r>
      <w:r w:rsidR="000D46D5">
        <w:t>AL</w:t>
      </w:r>
      <w:r w:rsidR="00BA656B">
        <w:t>, where reasonableness can be determined</w:t>
      </w:r>
      <w:r w:rsidR="006A0CAD">
        <w:t>.</w:t>
      </w:r>
    </w:p>
    <w:p w14:paraId="743C5C7F" w14:textId="77777777" w:rsidR="00642C8A" w:rsidRDefault="00642C8A" w:rsidP="00737555">
      <w:pPr>
        <w:rPr>
          <w:u w:val="single"/>
        </w:rPr>
      </w:pPr>
    </w:p>
    <w:p w14:paraId="4AB56880" w14:textId="77777777" w:rsidR="00574D6D" w:rsidRDefault="00574D6D">
      <w:r w:rsidRPr="00737555">
        <w:rPr>
          <w:u w:val="single"/>
        </w:rPr>
        <w:t>ECR Introduction of 1/6th Residential Load Requirement</w:t>
      </w:r>
      <w:r w:rsidR="00CD00F3">
        <w:rPr>
          <w:u w:val="single"/>
        </w:rPr>
        <w:t>:</w:t>
      </w:r>
      <w:r w:rsidRPr="00737555">
        <w:rPr>
          <w:u w:val="single"/>
        </w:rPr>
        <w:t xml:space="preserve"> </w:t>
      </w:r>
      <w:r>
        <w:t xml:space="preserve">The Draft Resolution adopts a residential load requirement of one-sixth (1/6th), which previously only applied to community interest demonstration and makes it a requirement for ECR program operation. SDG&amp;E requests further clarification regarding residential load requirements for ECR projects. </w:t>
      </w:r>
    </w:p>
    <w:p w14:paraId="2C76D3CA" w14:textId="77777777" w:rsidR="00CD00F3" w:rsidRDefault="00CD00F3"/>
    <w:p w14:paraId="65A7A554" w14:textId="77777777" w:rsidR="00350E4F" w:rsidRDefault="004A5981">
      <w:r>
        <w:t>We</w:t>
      </w:r>
      <w:r w:rsidR="00642C8A">
        <w:t xml:space="preserve"> </w:t>
      </w:r>
      <w:r w:rsidR="00574D6D">
        <w:t>confirm and clarif</w:t>
      </w:r>
      <w:r>
        <w:t>y</w:t>
      </w:r>
      <w:r w:rsidR="00574D6D">
        <w:t xml:space="preserve"> the ongoing requirement in O</w:t>
      </w:r>
      <w:r w:rsidR="00CD00F3">
        <w:t>P</w:t>
      </w:r>
      <w:r w:rsidR="00574D6D">
        <w:t xml:space="preserve"> 4c of the Draft Resolution to indicate that moving forward, this demonstration of 1/6th residential load is an ongoing requirement, in alignment with the intent of SB 43.</w:t>
      </w:r>
      <w:r w:rsidR="00350E4F">
        <w:t xml:space="preserve">  SDG&amp;E’s request to modify the Resolution’s interpretation of the 1/6</w:t>
      </w:r>
      <w:r w:rsidR="00350E4F" w:rsidRPr="00737555">
        <w:rPr>
          <w:vertAlign w:val="superscript"/>
        </w:rPr>
        <w:t>th</w:t>
      </w:r>
      <w:r w:rsidR="00350E4F">
        <w:t xml:space="preserve"> residential load requirement is denied.</w:t>
      </w:r>
    </w:p>
    <w:p w14:paraId="6B7E6327" w14:textId="77777777" w:rsidR="00642C8A" w:rsidRDefault="00642C8A" w:rsidP="00737555">
      <w:pPr>
        <w:rPr>
          <w:u w:val="single"/>
        </w:rPr>
      </w:pPr>
    </w:p>
    <w:p w14:paraId="6AAEAEA0" w14:textId="77777777" w:rsidR="00350E4F" w:rsidRDefault="00350E4F">
      <w:r w:rsidRPr="00737555">
        <w:rPr>
          <w:u w:val="single"/>
        </w:rPr>
        <w:t>Year-Round ECR Procurement</w:t>
      </w:r>
      <w:r w:rsidR="00CD00F3">
        <w:rPr>
          <w:u w:val="single"/>
        </w:rPr>
        <w:t>:</w:t>
      </w:r>
      <w:r w:rsidR="00FB00FC" w:rsidRPr="005B3116">
        <w:t xml:space="preserve"> SDG&amp;E ex</w:t>
      </w:r>
      <w:r w:rsidR="00FB00FC">
        <w:t xml:space="preserve">presses reservations about the year-round ECR Procurement Timeframe proposals proposed by PG&amp;E.  </w:t>
      </w:r>
      <w:r w:rsidR="004A5981">
        <w:t xml:space="preserve">However, </w:t>
      </w:r>
      <w:r w:rsidR="00FB00FC">
        <w:t>th</w:t>
      </w:r>
      <w:r w:rsidR="00CD00F3">
        <w:t>is r</w:t>
      </w:r>
      <w:r w:rsidR="00FB00FC">
        <w:t xml:space="preserve">esolution does not necessarily change the ECR procurement </w:t>
      </w:r>
      <w:r w:rsidR="00CD00F3">
        <w:t>at this time</w:t>
      </w:r>
      <w:r w:rsidR="00FB00FC">
        <w:t>, but charts a procedural path forward for proposed changes.</w:t>
      </w:r>
    </w:p>
    <w:p w14:paraId="4A6E19D9" w14:textId="77777777" w:rsidR="00642C8A" w:rsidRDefault="00642C8A" w:rsidP="00737555">
      <w:pPr>
        <w:rPr>
          <w:u w:val="single"/>
        </w:rPr>
      </w:pPr>
    </w:p>
    <w:p w14:paraId="7CE27EFB" w14:textId="77777777" w:rsidR="00263AB3" w:rsidRDefault="00263AB3">
      <w:r w:rsidRPr="00737555">
        <w:rPr>
          <w:u w:val="single"/>
        </w:rPr>
        <w:t>Customer Capacity Limits</w:t>
      </w:r>
      <w:r w:rsidRPr="005B3116">
        <w:t>: SDG&amp;E agrees to modify their GTSR tariffs t</w:t>
      </w:r>
      <w:r>
        <w:t>o apply a 2 MW cap.</w:t>
      </w:r>
    </w:p>
    <w:p w14:paraId="182E6BA1" w14:textId="77777777" w:rsidR="00CD00F3" w:rsidRDefault="00CD00F3">
      <w:pPr>
        <w:rPr>
          <w:u w:val="single"/>
        </w:rPr>
      </w:pPr>
    </w:p>
    <w:p w14:paraId="47E3D07C" w14:textId="77777777" w:rsidR="00032E00" w:rsidRDefault="00D977CF">
      <w:r w:rsidRPr="00737555">
        <w:rPr>
          <w:u w:val="single"/>
        </w:rPr>
        <w:t>Locational Grid Benefits</w:t>
      </w:r>
      <w:r>
        <w:t>: SDG&amp;E’s request to clarify the timing of any implementation letter</w:t>
      </w:r>
      <w:r w:rsidR="00642C8A">
        <w:t xml:space="preserve"> </w:t>
      </w:r>
      <w:r w:rsidR="000D46D5">
        <w:t>AL</w:t>
      </w:r>
      <w:r>
        <w:t xml:space="preserve">s has been granted. </w:t>
      </w:r>
    </w:p>
    <w:p w14:paraId="09C20C74" w14:textId="77777777" w:rsidR="00032E00" w:rsidRDefault="00D977CF">
      <w:pPr>
        <w:pStyle w:val="Heading2"/>
      </w:pPr>
      <w:bookmarkStart w:id="96" w:name="_Toc20145952"/>
      <w:r>
        <w:t>PG&amp;E</w:t>
      </w:r>
      <w:bookmarkEnd w:id="96"/>
    </w:p>
    <w:p w14:paraId="746464BA" w14:textId="77777777" w:rsidR="00032E00" w:rsidRDefault="00D977CF">
      <w:r w:rsidRPr="00737555">
        <w:rPr>
          <w:u w:val="single"/>
        </w:rPr>
        <w:t>Subscription Percentage Adjustment</w:t>
      </w:r>
      <w:r w:rsidR="00CD00F3">
        <w:t>:</w:t>
      </w:r>
      <w:r>
        <w:t xml:space="preserve"> PG&amp;E is no longer required to conform to this SDG&amp;E-requested modification, which has been withdrawn.</w:t>
      </w:r>
    </w:p>
    <w:p w14:paraId="4A792250" w14:textId="77777777" w:rsidR="00642C8A" w:rsidRDefault="00642C8A" w:rsidP="00737555">
      <w:pPr>
        <w:rPr>
          <w:u w:val="single"/>
        </w:rPr>
      </w:pPr>
    </w:p>
    <w:p w14:paraId="242642E3" w14:textId="77777777" w:rsidR="00DC48BE" w:rsidRPr="00F95900" w:rsidRDefault="00DC48BE">
      <w:r w:rsidRPr="00737555">
        <w:rPr>
          <w:u w:val="single"/>
        </w:rPr>
        <w:t>Allowing NEM Participation in ECR</w:t>
      </w:r>
      <w:r w:rsidR="00CD00F3">
        <w:t>:</w:t>
      </w:r>
      <w:r>
        <w:t xml:space="preserve"> PG&amp;E is no longer required to conform to this SDG&amp;E-requested modification, which has been withdrawn.</w:t>
      </w:r>
    </w:p>
    <w:p w14:paraId="6AE0C08D" w14:textId="77777777" w:rsidR="00032E00" w:rsidRDefault="00032E00">
      <w:pPr>
        <w:rPr>
          <w:u w:val="single"/>
        </w:rPr>
      </w:pPr>
    </w:p>
    <w:p w14:paraId="4B47C301" w14:textId="77777777" w:rsidR="00DC48BE" w:rsidRDefault="00DC48BE">
      <w:r w:rsidRPr="00737555">
        <w:rPr>
          <w:u w:val="single"/>
        </w:rPr>
        <w:t>ECR Procurement Timeline</w:t>
      </w:r>
      <w:r w:rsidR="00CD00F3">
        <w:t>:</w:t>
      </w:r>
      <w:r>
        <w:t xml:space="preserve"> PG&amp;E’s understanding as described through comments is accurate.  </w:t>
      </w:r>
      <w:r w:rsidR="00F24DF9">
        <w:t xml:space="preserve">The Commission </w:t>
      </w:r>
      <w:r>
        <w:t xml:space="preserve">does clarify </w:t>
      </w:r>
      <w:r w:rsidR="00F95900">
        <w:t xml:space="preserve">that </w:t>
      </w:r>
      <w:r>
        <w:t xml:space="preserve">approval of an ECR </w:t>
      </w:r>
      <w:r>
        <w:lastRenderedPageBreak/>
        <w:t xml:space="preserve">procurement timeline is not a condition precedent for launching the next GTSR solicitation; rather, the year-long ECR procurement timeframe proposed by PG&amp;E is a potential long-term enhancement which may be pursued in parallel with a solicitation process.  </w:t>
      </w:r>
    </w:p>
    <w:p w14:paraId="1B10D8DA" w14:textId="77777777" w:rsidR="00642C8A" w:rsidRDefault="00642C8A" w:rsidP="00737555"/>
    <w:p w14:paraId="705BF4B7" w14:textId="77777777" w:rsidR="00532337" w:rsidRPr="0098156F" w:rsidRDefault="00642C8A">
      <w:r>
        <w:rPr>
          <w:u w:val="single"/>
        </w:rPr>
        <w:t>A</w:t>
      </w:r>
      <w:r w:rsidRPr="00737555">
        <w:rPr>
          <w:u w:val="single"/>
        </w:rPr>
        <w:t xml:space="preserve">dvisory </w:t>
      </w:r>
      <w:r>
        <w:rPr>
          <w:u w:val="single"/>
        </w:rPr>
        <w:t>G</w:t>
      </w:r>
      <w:r w:rsidRPr="00737555">
        <w:rPr>
          <w:u w:val="single"/>
        </w:rPr>
        <w:t>roup</w:t>
      </w:r>
      <w:r w:rsidRPr="00737555">
        <w:rPr>
          <w:bCs/>
          <w:u w:val="single"/>
        </w:rPr>
        <w:t xml:space="preserve"> </w:t>
      </w:r>
      <w:r>
        <w:rPr>
          <w:bCs/>
          <w:u w:val="single"/>
        </w:rPr>
        <w:t>C</w:t>
      </w:r>
      <w:r w:rsidRPr="00737555">
        <w:rPr>
          <w:bCs/>
          <w:u w:val="single"/>
        </w:rPr>
        <w:t>hanges</w:t>
      </w:r>
      <w:r w:rsidR="00CD00F3">
        <w:rPr>
          <w:bCs/>
          <w:u w:val="single"/>
        </w:rPr>
        <w:t>:</w:t>
      </w:r>
      <w:r w:rsidRPr="00737555">
        <w:rPr>
          <w:bCs/>
          <w:u w:val="single"/>
        </w:rPr>
        <w:t xml:space="preserve"> </w:t>
      </w:r>
      <w:r w:rsidR="00532337">
        <w:t>Lastly, PG&amp;E has noted that its advisory group</w:t>
      </w:r>
      <w:r w:rsidR="00532337" w:rsidRPr="00CC764F">
        <w:rPr>
          <w:bCs/>
        </w:rPr>
        <w:t xml:space="preserve"> has had limited participation</w:t>
      </w:r>
      <w:r w:rsidR="00532337" w:rsidRPr="00C07123">
        <w:rPr>
          <w:bCs/>
        </w:rPr>
        <w:t>, and requests to remove the requirement for PG&amp;E’s continuing quarterly advisory group meetings</w:t>
      </w:r>
      <w:r w:rsidR="00532337" w:rsidRPr="001B31C8">
        <w:rPr>
          <w:bCs/>
        </w:rPr>
        <w:t>.  This request is granted, with modifications</w:t>
      </w:r>
      <w:r w:rsidR="004104AD" w:rsidRPr="001B31C8">
        <w:rPr>
          <w:bCs/>
        </w:rPr>
        <w:t xml:space="preserve">, as discussed in </w:t>
      </w:r>
      <w:r w:rsidR="001B31C8">
        <w:rPr>
          <w:bCs/>
        </w:rPr>
        <w:t>OP 5</w:t>
      </w:r>
      <w:r w:rsidR="00532337" w:rsidRPr="001B31C8">
        <w:rPr>
          <w:bCs/>
        </w:rPr>
        <w:t xml:space="preserve">. </w:t>
      </w:r>
      <w:r w:rsidR="00FC1470" w:rsidRPr="001B31C8">
        <w:rPr>
          <w:bCs/>
        </w:rPr>
        <w:t xml:space="preserve"> Members of this advisory group represent community members with a broad set of responsibilities</w:t>
      </w:r>
      <w:r>
        <w:rPr>
          <w:bCs/>
        </w:rPr>
        <w:t xml:space="preserve"> with </w:t>
      </w:r>
      <w:r w:rsidR="00FC1470" w:rsidRPr="005662BB">
        <w:rPr>
          <w:bCs/>
        </w:rPr>
        <w:t xml:space="preserve">limited time and resources.  </w:t>
      </w:r>
      <w:r w:rsidR="00532337" w:rsidRPr="00C578CE">
        <w:rPr>
          <w:bCs/>
        </w:rPr>
        <w:t xml:space="preserve">This group shall now meet on an ad-hoc basis, but at least twice per year, to discuss potential changes over time, including subscription level options </w:t>
      </w:r>
      <w:r w:rsidR="00532337" w:rsidRPr="00CC764F">
        <w:rPr>
          <w:bCs/>
        </w:rPr>
        <w:t xml:space="preserve">and rate charges. </w:t>
      </w:r>
    </w:p>
    <w:p w14:paraId="12C8024D" w14:textId="77777777" w:rsidR="00532337" w:rsidRPr="00F95900" w:rsidRDefault="00532337">
      <w:pPr>
        <w:pStyle w:val="ListParagraph"/>
      </w:pPr>
    </w:p>
    <w:p w14:paraId="1E0CF427" w14:textId="77777777" w:rsidR="004811EA" w:rsidDel="00FB77CE" w:rsidRDefault="004811EA">
      <w:pPr>
        <w:pStyle w:val="ListParagraph"/>
        <w:numPr>
          <w:ilvl w:val="0"/>
          <w:numId w:val="39"/>
        </w:numPr>
      </w:pPr>
    </w:p>
    <w:p w14:paraId="71FF4E23" w14:textId="77777777" w:rsidR="004811EA" w:rsidRDefault="004811EA" w:rsidP="005B3116">
      <w:r>
        <w:t>SCE</w:t>
      </w:r>
    </w:p>
    <w:p w14:paraId="6A6589FA" w14:textId="77777777" w:rsidR="009A5D40" w:rsidRPr="005B3116" w:rsidRDefault="009A5D40">
      <w:pPr>
        <w:pStyle w:val="sub1"/>
        <w:spacing w:line="240" w:lineRule="auto"/>
        <w:ind w:firstLine="0"/>
      </w:pPr>
      <w:r>
        <w:t xml:space="preserve">SCE raises concerns about the Commission’s adoption of PG&amp;E’s </w:t>
      </w:r>
      <w:r w:rsidRPr="005B3116">
        <w:t>Year-Round ECR Procurement</w:t>
      </w:r>
      <w:r w:rsidRPr="00F84D2C">
        <w:t xml:space="preserve"> </w:t>
      </w:r>
      <w:r>
        <w:t xml:space="preserve">proposal and SDG&amp;E’s NEM Participation in GTSR proposals.  Both positions have been clarified and addressed </w:t>
      </w:r>
      <w:r w:rsidR="005B3116">
        <w:t>earlier in this Resolution.</w:t>
      </w:r>
    </w:p>
    <w:p w14:paraId="546B2000" w14:textId="77777777" w:rsidR="00032E00" w:rsidRDefault="00D977CF">
      <w:pPr>
        <w:pStyle w:val="Heading1"/>
      </w:pPr>
      <w:bookmarkStart w:id="97" w:name="_Toc20145954"/>
      <w:r w:rsidRPr="00FA492E">
        <w:t>Findings</w:t>
      </w:r>
      <w:bookmarkEnd w:id="89"/>
      <w:bookmarkEnd w:id="90"/>
      <w:bookmarkEnd w:id="97"/>
    </w:p>
    <w:p w14:paraId="2CB77439" w14:textId="77777777" w:rsidR="0076358A" w:rsidRDefault="0076358A" w:rsidP="0076358A">
      <w:pPr>
        <w:numPr>
          <w:ilvl w:val="0"/>
          <w:numId w:val="4"/>
        </w:numPr>
        <w:rPr>
          <w:rFonts w:ascii="Palatino Linotype" w:hAnsi="Palatino Linotype"/>
        </w:rPr>
      </w:pPr>
      <w:r>
        <w:rPr>
          <w:rFonts w:ascii="Palatino Linotype" w:hAnsi="Palatino Linotype"/>
        </w:rPr>
        <w:t>Ordering Paragraph (</w:t>
      </w:r>
      <w:r w:rsidRPr="00FA492E">
        <w:rPr>
          <w:rFonts w:ascii="Palatino Linotype" w:hAnsi="Palatino Linotype"/>
        </w:rPr>
        <w:t>OP</w:t>
      </w:r>
      <w:r>
        <w:rPr>
          <w:rFonts w:ascii="Palatino Linotype" w:hAnsi="Palatino Linotype"/>
        </w:rPr>
        <w:t>)</w:t>
      </w:r>
      <w:r w:rsidRPr="00FA492E">
        <w:rPr>
          <w:rFonts w:ascii="Palatino Linotype" w:hAnsi="Palatino Linotype"/>
        </w:rPr>
        <w:t xml:space="preserve"> 13 </w:t>
      </w:r>
      <w:r>
        <w:rPr>
          <w:rFonts w:ascii="Palatino Linotype" w:hAnsi="Palatino Linotype"/>
        </w:rPr>
        <w:t>of CPUC Decision D.15-01-051 (2015 GTSR Decision) allows</w:t>
      </w:r>
      <w:r w:rsidRPr="00FA492E">
        <w:rPr>
          <w:rFonts w:ascii="Palatino Linotype" w:hAnsi="Palatino Linotype"/>
        </w:rPr>
        <w:t xml:space="preserve"> Pacific Gas and Electric Company, San Diego Gas &amp; Electric Company, and Southern California Edison Company (IOUs) </w:t>
      </w:r>
      <w:r>
        <w:rPr>
          <w:rFonts w:ascii="Palatino Linotype" w:hAnsi="Palatino Linotype"/>
        </w:rPr>
        <w:t>to</w:t>
      </w:r>
      <w:r w:rsidRPr="00FA492E">
        <w:rPr>
          <w:rFonts w:ascii="Palatino Linotype" w:hAnsi="Palatino Linotype"/>
        </w:rPr>
        <w:t xml:space="preserve"> </w:t>
      </w:r>
      <w:r>
        <w:rPr>
          <w:rFonts w:ascii="Palatino Linotype" w:hAnsi="Palatino Linotype"/>
        </w:rPr>
        <w:t>file a</w:t>
      </w:r>
      <w:r w:rsidRPr="00FA492E">
        <w:rPr>
          <w:rFonts w:ascii="Palatino Linotype" w:hAnsi="Palatino Linotype"/>
        </w:rPr>
        <w:t xml:space="preserve"> Tier 3 </w:t>
      </w:r>
      <w:r>
        <w:rPr>
          <w:rFonts w:ascii="Palatino Linotype" w:hAnsi="Palatino Linotype"/>
        </w:rPr>
        <w:t>Advice Letter (AL)</w:t>
      </w:r>
      <w:r w:rsidRPr="00FA492E">
        <w:rPr>
          <w:rFonts w:ascii="Palatino Linotype" w:hAnsi="Palatino Linotype"/>
        </w:rPr>
        <w:t xml:space="preserve"> to</w:t>
      </w:r>
      <w:r>
        <w:rPr>
          <w:rFonts w:ascii="Palatino Linotype" w:hAnsi="Palatino Linotype"/>
        </w:rPr>
        <w:t xml:space="preserve"> propose changes to their</w:t>
      </w:r>
      <w:r w:rsidRPr="00FA492E">
        <w:rPr>
          <w:rFonts w:ascii="Palatino Linotype" w:hAnsi="Palatino Linotype"/>
        </w:rPr>
        <w:t xml:space="preserve"> Green Tariff Shared Renewables (GTSR) program </w:t>
      </w:r>
      <w:r>
        <w:rPr>
          <w:rFonts w:ascii="Palatino Linotype" w:hAnsi="Palatino Linotype"/>
        </w:rPr>
        <w:t>so long those changes are do not result in a different structure or a materially different capacity to the program.  Otherwise, an application or petition for modification must be filed by the utility.</w:t>
      </w:r>
    </w:p>
    <w:p w14:paraId="14F2687B" w14:textId="77777777" w:rsidR="0076358A" w:rsidRDefault="0076358A" w:rsidP="0076358A">
      <w:pPr>
        <w:numPr>
          <w:ilvl w:val="0"/>
          <w:numId w:val="4"/>
        </w:numPr>
        <w:rPr>
          <w:rFonts w:ascii="Palatino Linotype" w:hAnsi="Palatino Linotype"/>
        </w:rPr>
      </w:pPr>
      <w:r>
        <w:rPr>
          <w:rFonts w:ascii="Palatino Linotype" w:hAnsi="Palatino Linotype"/>
        </w:rPr>
        <w:t>PG&amp;E and SDG&amp;E filed Tier 3 ALs in December 2017 which (a) sought to extend the program beyond its original January 1, 2019 sunset date and (b) proposed changes to the program.</w:t>
      </w:r>
    </w:p>
    <w:p w14:paraId="329EEBE2" w14:textId="77777777" w:rsidR="0076358A" w:rsidRDefault="0076358A" w:rsidP="0076358A">
      <w:pPr>
        <w:numPr>
          <w:ilvl w:val="0"/>
          <w:numId w:val="4"/>
        </w:numPr>
        <w:rPr>
          <w:rFonts w:ascii="Palatino Linotype" w:hAnsi="Palatino Linotype"/>
        </w:rPr>
      </w:pPr>
      <w:r>
        <w:rPr>
          <w:rFonts w:ascii="Palatino Linotype" w:hAnsi="Palatino Linotype"/>
        </w:rPr>
        <w:t>SCE filed a Tier 3 AL in December 2017 which sought to terminate its GTSR program.</w:t>
      </w:r>
    </w:p>
    <w:p w14:paraId="15CC1598" w14:textId="77777777" w:rsidR="0076358A" w:rsidRPr="00276064" w:rsidRDefault="0076358A" w:rsidP="0076358A">
      <w:pPr>
        <w:pStyle w:val="ListParagraph"/>
        <w:numPr>
          <w:ilvl w:val="0"/>
          <w:numId w:val="4"/>
        </w:numPr>
        <w:rPr>
          <w:rFonts w:ascii="Palatino Linotype" w:hAnsi="Palatino Linotype"/>
        </w:rPr>
      </w:pPr>
      <w:r w:rsidRPr="00276064">
        <w:rPr>
          <w:rFonts w:ascii="Palatino Linotype" w:hAnsi="Palatino Linotype"/>
        </w:rPr>
        <w:t xml:space="preserve">The </w:t>
      </w:r>
      <w:r>
        <w:rPr>
          <w:rFonts w:ascii="Palatino Linotype" w:hAnsi="Palatino Linotype"/>
        </w:rPr>
        <w:t>IOU</w:t>
      </w:r>
      <w:r w:rsidRPr="00276064">
        <w:rPr>
          <w:rFonts w:ascii="Palatino Linotype" w:hAnsi="Palatino Linotype"/>
        </w:rPr>
        <w:t>s</w:t>
      </w:r>
      <w:r>
        <w:rPr>
          <w:rFonts w:ascii="Palatino Linotype" w:hAnsi="Palatino Linotype"/>
        </w:rPr>
        <w:t>’</w:t>
      </w:r>
      <w:r w:rsidRPr="00276064">
        <w:rPr>
          <w:rFonts w:ascii="Palatino Linotype" w:hAnsi="Palatino Linotype"/>
        </w:rPr>
        <w:t xml:space="preserve"> </w:t>
      </w:r>
      <w:r>
        <w:rPr>
          <w:rFonts w:ascii="Palatino Linotype" w:hAnsi="Palatino Linotype"/>
        </w:rPr>
        <w:t>AL</w:t>
      </w:r>
      <w:r w:rsidRPr="00276064">
        <w:rPr>
          <w:rFonts w:ascii="Palatino Linotype" w:hAnsi="Palatino Linotype"/>
        </w:rPr>
        <w:t xml:space="preserve">s were timely protested by TURN, the Solar Energy Industries Association and the Coalition for Community Solar (the Joint Solar Interests), </w:t>
      </w:r>
      <w:r>
        <w:rPr>
          <w:rFonts w:ascii="Palatino Linotype" w:hAnsi="Palatino Linotype"/>
        </w:rPr>
        <w:lastRenderedPageBreak/>
        <w:t>ForeFront</w:t>
      </w:r>
      <w:r w:rsidRPr="00276064">
        <w:rPr>
          <w:rFonts w:ascii="Palatino Linotype" w:hAnsi="Palatino Linotype"/>
        </w:rPr>
        <w:t xml:space="preserve"> Power, Marin Clean Energy, Peninsula Clean Energy, Redwood Coast Energy Authority, Silicon Valley Clean Energy Authority and Sonoma Clean Power Authority (collectively, the CCA Parties), the City and County of </w:t>
      </w:r>
      <w:r>
        <w:rPr>
          <w:rFonts w:ascii="Palatino Linotype" w:hAnsi="Palatino Linotype"/>
        </w:rPr>
        <w:t>CCSF</w:t>
      </w:r>
      <w:r w:rsidRPr="00276064">
        <w:rPr>
          <w:rFonts w:ascii="Palatino Linotype" w:hAnsi="Palatino Linotype"/>
        </w:rPr>
        <w:t xml:space="preserve">, Shell Energy, the Direct Access Customer Coalition (DACC) and California Choice Energy Authority (“CCEA”) (collectively, the “Joint Direct Access Parties”), the Coalition of California Utility Employees (CUE),  the Office of Ratepayer Advocates now named the California Public Advocates, </w:t>
      </w:r>
      <w:r>
        <w:rPr>
          <w:rFonts w:ascii="Palatino Linotype" w:hAnsi="Palatino Linotype"/>
        </w:rPr>
        <w:t>and C</w:t>
      </w:r>
      <w:r w:rsidRPr="00276064">
        <w:rPr>
          <w:rFonts w:ascii="Palatino Linotype" w:hAnsi="Palatino Linotype"/>
        </w:rPr>
        <w:t>lean Coalition</w:t>
      </w:r>
      <w:r>
        <w:rPr>
          <w:rFonts w:ascii="Palatino Linotype" w:hAnsi="Palatino Linotype"/>
        </w:rPr>
        <w:t>.</w:t>
      </w:r>
    </w:p>
    <w:p w14:paraId="51652F8D" w14:textId="77777777" w:rsidR="0076358A" w:rsidRDefault="0076358A" w:rsidP="0076358A">
      <w:pPr>
        <w:numPr>
          <w:ilvl w:val="0"/>
          <w:numId w:val="4"/>
        </w:numPr>
        <w:rPr>
          <w:rFonts w:ascii="Palatino Linotype" w:hAnsi="Palatino Linotype"/>
        </w:rPr>
      </w:pPr>
      <w:r>
        <w:rPr>
          <w:rFonts w:ascii="Palatino Linotype" w:hAnsi="Palatino Linotype"/>
        </w:rPr>
        <w:t>The IOUs filed timely replies to the protests.</w:t>
      </w:r>
    </w:p>
    <w:p w14:paraId="31DE0B11" w14:textId="77777777" w:rsidR="0076358A" w:rsidRDefault="0076358A" w:rsidP="0076358A">
      <w:pPr>
        <w:numPr>
          <w:ilvl w:val="0"/>
          <w:numId w:val="4"/>
        </w:numPr>
        <w:rPr>
          <w:rFonts w:ascii="Palatino Linotype" w:hAnsi="Palatino Linotype"/>
        </w:rPr>
      </w:pPr>
      <w:r>
        <w:rPr>
          <w:rFonts w:ascii="Palatino Linotype" w:hAnsi="Palatino Linotype"/>
        </w:rPr>
        <w:t xml:space="preserve">Senate Bill 840 removed the GTSR program’s January 1, 2019 sunset date.  </w:t>
      </w:r>
    </w:p>
    <w:p w14:paraId="2E5B52A9" w14:textId="77777777" w:rsidR="0076358A" w:rsidRDefault="0076358A" w:rsidP="0076358A">
      <w:pPr>
        <w:numPr>
          <w:ilvl w:val="0"/>
          <w:numId w:val="4"/>
        </w:numPr>
        <w:rPr>
          <w:rFonts w:ascii="Palatino Linotype" w:hAnsi="Palatino Linotype"/>
        </w:rPr>
      </w:pPr>
      <w:r>
        <w:rPr>
          <w:rFonts w:ascii="Palatino Linotype" w:hAnsi="Palatino Linotype"/>
        </w:rPr>
        <w:t>SCE’s proposal to terminate its GTSR program should be rejected since the program has no sunset date under state law.</w:t>
      </w:r>
    </w:p>
    <w:p w14:paraId="007EDBD0" w14:textId="77777777" w:rsidR="0076358A" w:rsidRPr="00FA492E" w:rsidRDefault="0076358A" w:rsidP="0076358A">
      <w:pPr>
        <w:numPr>
          <w:ilvl w:val="0"/>
          <w:numId w:val="4"/>
        </w:numPr>
        <w:rPr>
          <w:rFonts w:ascii="Palatino Linotype" w:hAnsi="Palatino Linotype"/>
        </w:rPr>
      </w:pPr>
      <w:r>
        <w:rPr>
          <w:rFonts w:ascii="Palatino Linotype" w:hAnsi="Palatino Linotype"/>
        </w:rPr>
        <w:t xml:space="preserve">PG&amp;E’s and SDG&amp;E’s proposals to extend their programs beyond the January 1, 2019 sunset date should be approved. </w:t>
      </w:r>
    </w:p>
    <w:p w14:paraId="1DC379CE" w14:textId="77777777" w:rsidR="0076358A" w:rsidRPr="00FA492E" w:rsidRDefault="0076358A" w:rsidP="0076358A">
      <w:pPr>
        <w:numPr>
          <w:ilvl w:val="0"/>
          <w:numId w:val="4"/>
        </w:numPr>
        <w:rPr>
          <w:rFonts w:ascii="Palatino Linotype" w:hAnsi="Palatino Linotype"/>
        </w:rPr>
      </w:pPr>
      <w:r>
        <w:rPr>
          <w:rFonts w:ascii="Palatino Linotype" w:hAnsi="Palatino Linotype"/>
        </w:rPr>
        <w:t>Consistent with OP 13 of the 2015 GTSR Decision, it is reasonable to assess whether each program change proposal results in a different structure or materially different capacity to determine if the change is appropriate for an AL process.</w:t>
      </w:r>
    </w:p>
    <w:p w14:paraId="6F249300" w14:textId="77777777" w:rsidR="0076358A" w:rsidRPr="005E0C37" w:rsidRDefault="0076358A" w:rsidP="0076358A">
      <w:pPr>
        <w:numPr>
          <w:ilvl w:val="0"/>
          <w:numId w:val="4"/>
        </w:numPr>
        <w:rPr>
          <w:rFonts w:ascii="Palatino Linotype" w:hAnsi="Palatino Linotype"/>
        </w:rPr>
      </w:pPr>
      <w:r>
        <w:rPr>
          <w:rFonts w:ascii="Palatino Linotype" w:hAnsi="Palatino Linotype"/>
        </w:rPr>
        <w:t xml:space="preserve">Eliminating the community interest requirement, a core feature of the GTSR program, would result in a different structure and is </w:t>
      </w:r>
      <w:r>
        <w:rPr>
          <w:rFonts w:ascii="Palatino Linotype" w:hAnsi="Palatino Linotype"/>
          <w:snapToGrid w:val="0"/>
        </w:rPr>
        <w:t>therefore inappropriate for consideration in the AL process.</w:t>
      </w:r>
    </w:p>
    <w:p w14:paraId="6928510F" w14:textId="77777777" w:rsidR="0076358A" w:rsidRDefault="0076358A" w:rsidP="0076358A">
      <w:pPr>
        <w:numPr>
          <w:ilvl w:val="0"/>
          <w:numId w:val="4"/>
        </w:numPr>
        <w:rPr>
          <w:rFonts w:ascii="Palatino Linotype" w:hAnsi="Palatino Linotype"/>
        </w:rPr>
      </w:pPr>
      <w:r>
        <w:rPr>
          <w:rFonts w:ascii="Palatino Linotype" w:hAnsi="Palatino Linotype"/>
        </w:rPr>
        <w:t xml:space="preserve">Modifying the community interest requirement as proposed by SDG&amp;E does not result in a different structure or a materially different capacity to the program.  </w:t>
      </w:r>
    </w:p>
    <w:p w14:paraId="4ABA9DD1" w14:textId="77777777" w:rsidR="0076358A" w:rsidRPr="005E0C37" w:rsidRDefault="0076358A" w:rsidP="0076358A">
      <w:pPr>
        <w:numPr>
          <w:ilvl w:val="0"/>
          <w:numId w:val="4"/>
        </w:numPr>
        <w:rPr>
          <w:rFonts w:ascii="Palatino Linotype" w:hAnsi="Palatino Linotype"/>
        </w:rPr>
      </w:pPr>
      <w:r>
        <w:rPr>
          <w:rFonts w:ascii="Palatino Linotype" w:hAnsi="Palatino Linotype"/>
        </w:rPr>
        <w:t xml:space="preserve">It is reasonable to make the community interest requirement a precedent in the developer Power Purchase Agreement that must be demonstrated prior to the start of construction, </w:t>
      </w:r>
      <w:r>
        <w:rPr>
          <w:rFonts w:ascii="Palatino Linotype" w:hAnsi="Palatino Linotype"/>
          <w:snapToGrid w:val="0"/>
        </w:rPr>
        <w:t>rather than being demonstrated within 60 days of notification of contract award.</w:t>
      </w:r>
    </w:p>
    <w:p w14:paraId="74452DF2" w14:textId="77777777" w:rsidR="0076358A" w:rsidRPr="005E0C37" w:rsidRDefault="0076358A" w:rsidP="0076358A">
      <w:pPr>
        <w:numPr>
          <w:ilvl w:val="0"/>
          <w:numId w:val="4"/>
        </w:numPr>
        <w:rPr>
          <w:rFonts w:ascii="Palatino Linotype" w:hAnsi="Palatino Linotype"/>
        </w:rPr>
      </w:pPr>
      <w:r>
        <w:rPr>
          <w:rFonts w:ascii="Palatino Linotype" w:hAnsi="Palatino Linotype"/>
          <w:snapToGrid w:val="0"/>
        </w:rPr>
        <w:t>Removing the locational requirement would result in a different structure to the program, and is therefore inappropriate for consideration in the AL process.</w:t>
      </w:r>
    </w:p>
    <w:p w14:paraId="1D0080A5" w14:textId="77777777" w:rsidR="0076358A" w:rsidRPr="005E0C37" w:rsidRDefault="0076358A" w:rsidP="0076358A">
      <w:pPr>
        <w:numPr>
          <w:ilvl w:val="0"/>
          <w:numId w:val="4"/>
        </w:numPr>
        <w:rPr>
          <w:rFonts w:ascii="Palatino Linotype" w:hAnsi="Palatino Linotype"/>
        </w:rPr>
      </w:pPr>
      <w:r>
        <w:rPr>
          <w:rFonts w:ascii="Palatino Linotype" w:hAnsi="Palatino Linotype"/>
          <w:snapToGrid w:val="0"/>
        </w:rPr>
        <w:t xml:space="preserve">Adjusting the ‘number of subscribers’ requirement and 50% residential requirement as proposed by PG&amp;E does not result in a different structure or a materially different capacity to the program. </w:t>
      </w:r>
    </w:p>
    <w:p w14:paraId="37540ACA" w14:textId="77777777" w:rsidR="0076358A" w:rsidRPr="005E0C37" w:rsidRDefault="0076358A" w:rsidP="0076358A">
      <w:pPr>
        <w:numPr>
          <w:ilvl w:val="0"/>
          <w:numId w:val="4"/>
        </w:numPr>
        <w:rPr>
          <w:rFonts w:ascii="Palatino Linotype" w:hAnsi="Palatino Linotype"/>
        </w:rPr>
      </w:pPr>
      <w:r>
        <w:rPr>
          <w:rFonts w:ascii="Palatino Linotype" w:hAnsi="Palatino Linotype"/>
          <w:snapToGrid w:val="0"/>
        </w:rPr>
        <w:lastRenderedPageBreak/>
        <w:t xml:space="preserve">The ‘number of subscribers’ requirement is not necessary because the residential requirement ensures an appropriate mix of residential and non-residential participation.  </w:t>
      </w:r>
    </w:p>
    <w:p w14:paraId="2E2EC0D9" w14:textId="77777777" w:rsidR="0076358A" w:rsidRPr="005E0C37" w:rsidRDefault="0076358A" w:rsidP="0076358A">
      <w:pPr>
        <w:numPr>
          <w:ilvl w:val="0"/>
          <w:numId w:val="4"/>
        </w:numPr>
        <w:rPr>
          <w:rFonts w:ascii="Palatino Linotype" w:hAnsi="Palatino Linotype"/>
        </w:rPr>
      </w:pPr>
      <w:r>
        <w:rPr>
          <w:rFonts w:ascii="Palatino Linotype" w:hAnsi="Palatino Linotype"/>
          <w:snapToGrid w:val="0"/>
        </w:rPr>
        <w:t>It is reasonable to modify the residential requirement by moving the date of demonstration from 60 days after award notification to the time of commercial operation.</w:t>
      </w:r>
    </w:p>
    <w:p w14:paraId="52A91A06" w14:textId="77777777" w:rsidR="0076358A" w:rsidRPr="005E0C37" w:rsidRDefault="0076358A" w:rsidP="0076358A">
      <w:pPr>
        <w:numPr>
          <w:ilvl w:val="0"/>
          <w:numId w:val="4"/>
        </w:numPr>
        <w:rPr>
          <w:rFonts w:ascii="Palatino Linotype" w:hAnsi="Palatino Linotype"/>
        </w:rPr>
      </w:pPr>
      <w:r>
        <w:rPr>
          <w:rFonts w:ascii="Palatino Linotype" w:hAnsi="Palatino Linotype"/>
          <w:snapToGrid w:val="0"/>
        </w:rPr>
        <w:t xml:space="preserve">It is reasonable to modify the residential requirement by allowing developers to only demonstrate 1/6 of the load will come from residential customers. </w:t>
      </w:r>
    </w:p>
    <w:p w14:paraId="3C58462D" w14:textId="77777777" w:rsidR="0076358A" w:rsidRPr="00C8106C" w:rsidRDefault="0076358A" w:rsidP="0076358A">
      <w:pPr>
        <w:numPr>
          <w:ilvl w:val="0"/>
          <w:numId w:val="4"/>
        </w:numPr>
        <w:rPr>
          <w:rFonts w:ascii="Palatino Linotype" w:hAnsi="Palatino Linotype"/>
        </w:rPr>
      </w:pPr>
      <w:r>
        <w:rPr>
          <w:rFonts w:ascii="Palatino Linotype" w:hAnsi="Palatino Linotype"/>
          <w:snapToGrid w:val="0"/>
        </w:rPr>
        <w:t xml:space="preserve">If there are insufficient residential customers to meet the 1/6 load residential requirement, the developer may not enroll non-residential customers until residential enrollment is sufficient to meet the 1/6 requirement.  </w:t>
      </w:r>
    </w:p>
    <w:p w14:paraId="2188F8B4" w14:textId="77777777" w:rsidR="0076358A" w:rsidRPr="00C8106C" w:rsidRDefault="0076358A" w:rsidP="0076358A">
      <w:pPr>
        <w:numPr>
          <w:ilvl w:val="0"/>
          <w:numId w:val="4"/>
        </w:numPr>
        <w:rPr>
          <w:rFonts w:ascii="Palatino Linotype" w:hAnsi="Palatino Linotype"/>
        </w:rPr>
      </w:pPr>
      <w:r>
        <w:rPr>
          <w:rFonts w:ascii="Palatino Linotype" w:hAnsi="Palatino Linotype"/>
          <w:snapToGrid w:val="0"/>
        </w:rPr>
        <w:t>Parties are encouraged to seek legislative solutions for the 1 MW cap on environmental justice projects.</w:t>
      </w:r>
    </w:p>
    <w:p w14:paraId="1EB9C864" w14:textId="77777777" w:rsidR="0076358A" w:rsidRPr="00C8106C" w:rsidRDefault="0076358A" w:rsidP="0076358A">
      <w:pPr>
        <w:numPr>
          <w:ilvl w:val="0"/>
          <w:numId w:val="4"/>
        </w:numPr>
        <w:rPr>
          <w:rFonts w:ascii="Palatino Linotype" w:hAnsi="Palatino Linotype"/>
        </w:rPr>
      </w:pPr>
      <w:r>
        <w:rPr>
          <w:rFonts w:ascii="Palatino Linotype" w:hAnsi="Palatino Linotype"/>
          <w:snapToGrid w:val="0"/>
        </w:rPr>
        <w:t>It is reasonable for SDG&amp;E to remove Special Condition 12 from its GTSR and ECR tariffs.</w:t>
      </w:r>
    </w:p>
    <w:p w14:paraId="5849643E" w14:textId="77777777" w:rsidR="0076358A" w:rsidRPr="00BF39E0" w:rsidRDefault="0076358A" w:rsidP="0076358A">
      <w:pPr>
        <w:numPr>
          <w:ilvl w:val="0"/>
          <w:numId w:val="4"/>
        </w:numPr>
        <w:rPr>
          <w:rFonts w:ascii="Palatino Linotype" w:hAnsi="Palatino Linotype"/>
        </w:rPr>
      </w:pPr>
      <w:r>
        <w:rPr>
          <w:rFonts w:ascii="Palatino Linotype" w:hAnsi="Palatino Linotype"/>
          <w:snapToGrid w:val="0"/>
        </w:rPr>
        <w:t>OP 11 of D.16-05-006 prohibits IOUs and ECR developers from making specific claims about portfolio greenhouse gas (GHG) emissions in their marketing activities until a statewide methodology is adopted for calculating GHG emissions associated with a retail product.</w:t>
      </w:r>
    </w:p>
    <w:p w14:paraId="1297760B" w14:textId="77777777" w:rsidR="0076358A" w:rsidRPr="002E026C" w:rsidRDefault="0076358A" w:rsidP="0076358A">
      <w:pPr>
        <w:numPr>
          <w:ilvl w:val="0"/>
          <w:numId w:val="4"/>
        </w:numPr>
        <w:rPr>
          <w:rFonts w:ascii="Palatino Linotype" w:hAnsi="Palatino Linotype"/>
        </w:rPr>
      </w:pPr>
      <w:r>
        <w:rPr>
          <w:rFonts w:ascii="Palatino Linotype" w:hAnsi="Palatino Linotype"/>
        </w:rPr>
        <w:t>There is insufficient record to grant the IOUs’ request to use the California Air Resource Board’s Voluntary Renewable Electricity Program (VREP) methodology for calculating GHG emissions</w:t>
      </w:r>
      <w:r>
        <w:rPr>
          <w:rFonts w:ascii="Palatino Linotype" w:hAnsi="Palatino Linotype"/>
          <w:snapToGrid w:val="0"/>
        </w:rPr>
        <w:t xml:space="preserve">. </w:t>
      </w:r>
    </w:p>
    <w:p w14:paraId="57983D77" w14:textId="77777777" w:rsidR="0076358A" w:rsidRDefault="0076358A" w:rsidP="0076358A">
      <w:pPr>
        <w:numPr>
          <w:ilvl w:val="0"/>
          <w:numId w:val="4"/>
        </w:numPr>
        <w:rPr>
          <w:rFonts w:ascii="Palatino Linotype" w:hAnsi="Palatino Linotype"/>
        </w:rPr>
      </w:pPr>
      <w:r>
        <w:rPr>
          <w:rFonts w:ascii="Palatino Linotype" w:hAnsi="Palatino Linotype"/>
        </w:rPr>
        <w:t xml:space="preserve">It is reasonable to adopt a year-round procurement process for the ECR portion of the GTSR program.  </w:t>
      </w:r>
    </w:p>
    <w:p w14:paraId="067AE449" w14:textId="77777777" w:rsidR="0076358A" w:rsidRDefault="0076358A" w:rsidP="0076358A">
      <w:pPr>
        <w:numPr>
          <w:ilvl w:val="0"/>
          <w:numId w:val="4"/>
        </w:numPr>
        <w:rPr>
          <w:rFonts w:ascii="Palatino Linotype" w:hAnsi="Palatino Linotype"/>
        </w:rPr>
      </w:pPr>
      <w:r>
        <w:rPr>
          <w:rFonts w:ascii="Palatino Linotype" w:hAnsi="Palatino Linotype"/>
        </w:rPr>
        <w:t xml:space="preserve">It is </w:t>
      </w:r>
      <w:r w:rsidR="00642C8A">
        <w:rPr>
          <w:rFonts w:ascii="Palatino Linotype" w:hAnsi="Palatino Linotype"/>
        </w:rPr>
        <w:t xml:space="preserve">not </w:t>
      </w:r>
      <w:r>
        <w:rPr>
          <w:rFonts w:ascii="Palatino Linotype" w:hAnsi="Palatino Linotype"/>
        </w:rPr>
        <w:t>reasonable to allow the IOUs to consolidate their GTSR reports and filings as proposed by PG&amp;E except for the 20-year forecast filing.</w:t>
      </w:r>
    </w:p>
    <w:p w14:paraId="33948722" w14:textId="77777777" w:rsidR="0076358A" w:rsidRDefault="0076358A" w:rsidP="0076358A">
      <w:pPr>
        <w:numPr>
          <w:ilvl w:val="0"/>
          <w:numId w:val="4"/>
        </w:numPr>
        <w:rPr>
          <w:rFonts w:ascii="Palatino Linotype" w:hAnsi="Palatino Linotype"/>
        </w:rPr>
      </w:pPr>
      <w:r>
        <w:rPr>
          <w:rFonts w:ascii="Palatino Linotype" w:hAnsi="Palatino Linotype"/>
        </w:rPr>
        <w:t xml:space="preserve">It </w:t>
      </w:r>
      <w:r w:rsidR="00642C8A">
        <w:rPr>
          <w:rFonts w:ascii="Palatino Linotype" w:hAnsi="Palatino Linotype"/>
        </w:rPr>
        <w:t xml:space="preserve">not </w:t>
      </w:r>
      <w:r>
        <w:rPr>
          <w:rFonts w:ascii="Palatino Linotype" w:hAnsi="Palatino Linotype"/>
        </w:rPr>
        <w:t>is reasonable to permit NEM customers to participate in the GTSR program</w:t>
      </w:r>
      <w:r w:rsidR="001B31C8">
        <w:rPr>
          <w:rFonts w:ascii="Palatino Linotype" w:hAnsi="Palatino Linotype"/>
        </w:rPr>
        <w:t>.</w:t>
      </w:r>
    </w:p>
    <w:p w14:paraId="6410E92F" w14:textId="77777777" w:rsidR="0076358A" w:rsidRDefault="0076358A" w:rsidP="0076358A">
      <w:pPr>
        <w:numPr>
          <w:ilvl w:val="0"/>
          <w:numId w:val="4"/>
        </w:numPr>
        <w:rPr>
          <w:rFonts w:ascii="Palatino Linotype" w:hAnsi="Palatino Linotype"/>
        </w:rPr>
      </w:pPr>
      <w:r>
        <w:rPr>
          <w:rFonts w:ascii="Palatino Linotype" w:hAnsi="Palatino Linotype"/>
        </w:rPr>
        <w:t>It is reasonable to approve a 5-year GTSR budget of $</w:t>
      </w:r>
      <w:r w:rsidR="00642C8A" w:rsidRPr="00642C8A">
        <w:rPr>
          <w:rFonts w:ascii="Palatino Linotype" w:hAnsi="Palatino Linotype"/>
        </w:rPr>
        <w:t>3</w:t>
      </w:r>
      <w:r w:rsidR="00642C8A">
        <w:rPr>
          <w:rFonts w:ascii="Palatino Linotype" w:hAnsi="Palatino Linotype"/>
        </w:rPr>
        <w:t>,</w:t>
      </w:r>
      <w:r w:rsidR="00642C8A" w:rsidRPr="00642C8A">
        <w:rPr>
          <w:rFonts w:ascii="Palatino Linotype" w:hAnsi="Palatino Linotype"/>
        </w:rPr>
        <w:t>433</w:t>
      </w:r>
      <w:r w:rsidR="00642C8A">
        <w:rPr>
          <w:rFonts w:ascii="Palatino Linotype" w:hAnsi="Palatino Linotype"/>
        </w:rPr>
        <w:t>,</w:t>
      </w:r>
      <w:r w:rsidR="00642C8A" w:rsidRPr="00642C8A">
        <w:rPr>
          <w:rFonts w:ascii="Palatino Linotype" w:hAnsi="Palatino Linotype"/>
        </w:rPr>
        <w:t>998</w:t>
      </w:r>
      <w:r w:rsidR="00642C8A">
        <w:rPr>
          <w:rFonts w:ascii="Palatino Linotype" w:hAnsi="Palatino Linotype"/>
        </w:rPr>
        <w:t xml:space="preserve"> </w:t>
      </w:r>
      <w:r>
        <w:rPr>
          <w:rFonts w:ascii="Palatino Linotype" w:hAnsi="Palatino Linotype"/>
        </w:rPr>
        <w:t>for SDG&amp;E</w:t>
      </w:r>
      <w:r w:rsidR="00737555">
        <w:rPr>
          <w:rFonts w:ascii="Palatino Linotype" w:hAnsi="Palatino Linotype"/>
        </w:rPr>
        <w:t>, which disallows the $440,000 in IT expenses required for NEM integration.</w:t>
      </w:r>
    </w:p>
    <w:p w14:paraId="77CE9500" w14:textId="77777777" w:rsidR="0076358A" w:rsidRDefault="0076358A" w:rsidP="0076358A">
      <w:pPr>
        <w:numPr>
          <w:ilvl w:val="0"/>
          <w:numId w:val="4"/>
        </w:numPr>
        <w:rPr>
          <w:rFonts w:ascii="Palatino Linotype" w:hAnsi="Palatino Linotype"/>
        </w:rPr>
      </w:pPr>
      <w:r>
        <w:rPr>
          <w:rFonts w:ascii="Palatino Linotype" w:hAnsi="Palatino Linotype"/>
        </w:rPr>
        <w:t>It is reasonable for the IOUs to file GTSR rate changes as part of the ERRA Forecast proceeding.</w:t>
      </w:r>
    </w:p>
    <w:p w14:paraId="4B37148A" w14:textId="77777777" w:rsidR="0076358A" w:rsidRDefault="0076358A" w:rsidP="0076358A">
      <w:pPr>
        <w:numPr>
          <w:ilvl w:val="0"/>
          <w:numId w:val="4"/>
        </w:numPr>
        <w:rPr>
          <w:rFonts w:ascii="Palatino Linotype" w:hAnsi="Palatino Linotype"/>
        </w:rPr>
      </w:pPr>
      <w:r>
        <w:rPr>
          <w:rFonts w:ascii="Palatino Linotype" w:hAnsi="Palatino Linotype"/>
        </w:rPr>
        <w:t xml:space="preserve">Removal of the PCIA mechanism from the GTSR program would result in a different structure to the program and is therefore inappropriate </w:t>
      </w:r>
      <w:r>
        <w:rPr>
          <w:rFonts w:ascii="Palatino Linotype" w:hAnsi="Palatino Linotype"/>
          <w:snapToGrid w:val="0"/>
        </w:rPr>
        <w:t>for consideration in the AL process</w:t>
      </w:r>
      <w:r>
        <w:rPr>
          <w:rFonts w:ascii="Palatino Linotype" w:hAnsi="Palatino Linotype"/>
        </w:rPr>
        <w:t xml:space="preserve">. </w:t>
      </w:r>
    </w:p>
    <w:p w14:paraId="1B1BCF92" w14:textId="77777777" w:rsidR="0076358A" w:rsidRDefault="0076358A" w:rsidP="0076358A">
      <w:pPr>
        <w:numPr>
          <w:ilvl w:val="0"/>
          <w:numId w:val="4"/>
        </w:numPr>
        <w:rPr>
          <w:rFonts w:ascii="Palatino Linotype" w:hAnsi="Palatino Linotype"/>
        </w:rPr>
      </w:pPr>
      <w:r>
        <w:rPr>
          <w:rFonts w:ascii="Palatino Linotype" w:hAnsi="Palatino Linotype"/>
        </w:rPr>
        <w:lastRenderedPageBreak/>
        <w:t>Removal of the PCIA mechanism from the GTSR program would also violate the statutory requirements of SB 43.</w:t>
      </w:r>
    </w:p>
    <w:p w14:paraId="14F6DAED" w14:textId="77777777" w:rsidR="0076358A" w:rsidRDefault="0076358A" w:rsidP="0076358A">
      <w:pPr>
        <w:numPr>
          <w:ilvl w:val="0"/>
          <w:numId w:val="4"/>
        </w:numPr>
        <w:rPr>
          <w:rFonts w:ascii="Palatino Linotype" w:hAnsi="Palatino Linotype"/>
        </w:rPr>
      </w:pPr>
      <w:r>
        <w:rPr>
          <w:rFonts w:ascii="Palatino Linotype" w:hAnsi="Palatino Linotype"/>
        </w:rPr>
        <w:t>PG&amp;E’s request for procedural flexibility on incorporating locational benefits would not result in a different structure or materially different capacity to the program, and is therefore appropriate for</w:t>
      </w:r>
      <w:r>
        <w:rPr>
          <w:rFonts w:ascii="Palatino Linotype" w:hAnsi="Palatino Linotype"/>
          <w:snapToGrid w:val="0"/>
        </w:rPr>
        <w:t xml:space="preserve"> consideration in the AL process</w:t>
      </w:r>
      <w:r>
        <w:rPr>
          <w:rFonts w:ascii="Palatino Linotype" w:hAnsi="Palatino Linotype"/>
        </w:rPr>
        <w:t>.</w:t>
      </w:r>
    </w:p>
    <w:p w14:paraId="5D396321" w14:textId="77777777" w:rsidR="0076358A" w:rsidRDefault="0076358A" w:rsidP="0076358A">
      <w:pPr>
        <w:numPr>
          <w:ilvl w:val="0"/>
          <w:numId w:val="4"/>
        </w:numPr>
        <w:rPr>
          <w:rFonts w:ascii="Palatino Linotype" w:hAnsi="Palatino Linotype"/>
        </w:rPr>
      </w:pPr>
      <w:r>
        <w:rPr>
          <w:rFonts w:ascii="Palatino Linotype" w:hAnsi="Palatino Linotype"/>
        </w:rPr>
        <w:t xml:space="preserve">The Joint Solar Interests’ proposal to remove the securities opinion requirement would result in a different structure to the program and is therefore inappropriate for consideration in an AL process. </w:t>
      </w:r>
    </w:p>
    <w:p w14:paraId="7D9CC931" w14:textId="77777777" w:rsidR="0076358A" w:rsidRPr="00A90A03" w:rsidRDefault="0076358A" w:rsidP="0076358A">
      <w:pPr>
        <w:numPr>
          <w:ilvl w:val="0"/>
          <w:numId w:val="4"/>
        </w:numPr>
        <w:rPr>
          <w:rFonts w:ascii="Palatino Linotype" w:hAnsi="Palatino Linotype"/>
        </w:rPr>
      </w:pPr>
      <w:r w:rsidRPr="00A90A03">
        <w:rPr>
          <w:rFonts w:ascii="Palatino Linotype" w:hAnsi="Palatino Linotype"/>
        </w:rPr>
        <w:t xml:space="preserve">SCE and SDG&amp;E shall modify their Tariffs to clarify that the 2 MW per-customer cap shall be applied </w:t>
      </w:r>
      <w:r>
        <w:rPr>
          <w:rFonts w:ascii="Palatino Linotype" w:hAnsi="Palatino Linotype"/>
        </w:rPr>
        <w:t xml:space="preserve">on a </w:t>
      </w:r>
      <w:r w:rsidRPr="00A90A03">
        <w:rPr>
          <w:rFonts w:ascii="Palatino Linotype" w:hAnsi="Palatino Linotype"/>
        </w:rPr>
        <w:t>per</w:t>
      </w:r>
      <w:r>
        <w:rPr>
          <w:rFonts w:ascii="Palatino Linotype" w:hAnsi="Palatino Linotype"/>
        </w:rPr>
        <w:t>-</w:t>
      </w:r>
      <w:r w:rsidRPr="00A90A03">
        <w:rPr>
          <w:rFonts w:ascii="Palatino Linotype" w:hAnsi="Palatino Linotype"/>
        </w:rPr>
        <w:t>site</w:t>
      </w:r>
      <w:r>
        <w:rPr>
          <w:rFonts w:ascii="Palatino Linotype" w:hAnsi="Palatino Linotype"/>
        </w:rPr>
        <w:t xml:space="preserve"> basis rather than</w:t>
      </w:r>
      <w:r w:rsidRPr="00A90A03">
        <w:rPr>
          <w:rFonts w:ascii="Palatino Linotype" w:hAnsi="Palatino Linotype"/>
        </w:rPr>
        <w:t xml:space="preserve"> an enterprise-wide basis.</w:t>
      </w:r>
    </w:p>
    <w:p w14:paraId="02DF65B3" w14:textId="77777777" w:rsidR="0076358A" w:rsidRPr="00266EE5" w:rsidRDefault="0076358A" w:rsidP="0076358A">
      <w:pPr>
        <w:numPr>
          <w:ilvl w:val="0"/>
          <w:numId w:val="4"/>
        </w:numPr>
        <w:rPr>
          <w:rFonts w:ascii="Palatino Linotype" w:hAnsi="Palatino Linotype"/>
        </w:rPr>
      </w:pPr>
      <w:r w:rsidRPr="008D06C5">
        <w:rPr>
          <w:rFonts w:ascii="Palatino Linotype" w:hAnsi="Palatino Linotype"/>
        </w:rPr>
        <w:t>Modifying tariffs to allow for Community Renewables projects to be</w:t>
      </w:r>
      <w:r w:rsidRPr="00D82BAB">
        <w:rPr>
          <w:rFonts w:ascii="Palatino Linotype" w:hAnsi="Palatino Linotype"/>
        </w:rPr>
        <w:t xml:space="preserve"> backfilled through </w:t>
      </w:r>
      <w:r>
        <w:rPr>
          <w:rFonts w:ascii="Palatino Linotype" w:hAnsi="Palatino Linotype"/>
        </w:rPr>
        <w:t>attrition as proposed by ForeFront does not result in a different structure or a materially different capacity to the program.</w:t>
      </w:r>
    </w:p>
    <w:p w14:paraId="4F4D321C" w14:textId="77777777" w:rsidR="0076358A" w:rsidRDefault="0076358A" w:rsidP="0076358A">
      <w:pPr>
        <w:numPr>
          <w:ilvl w:val="0"/>
          <w:numId w:val="4"/>
        </w:numPr>
        <w:rPr>
          <w:rFonts w:ascii="Palatino Linotype" w:hAnsi="Palatino Linotype"/>
        </w:rPr>
      </w:pPr>
      <w:r w:rsidRPr="00D82BAB">
        <w:rPr>
          <w:rFonts w:ascii="Palatino Linotype" w:hAnsi="Palatino Linotype"/>
        </w:rPr>
        <w:t>It is reasonable for the IOUs revise their ECR tariffs to allow new customer enrollments after the initial enrollment period for the purpose of allowing developers to replace load lost due to attrition</w:t>
      </w:r>
      <w:r>
        <w:rPr>
          <w:rFonts w:ascii="Palatino Linotype" w:hAnsi="Palatino Linotype"/>
        </w:rPr>
        <w:t>.</w:t>
      </w:r>
      <w:r w:rsidRPr="00266EE5">
        <w:rPr>
          <w:rFonts w:ascii="Palatino Linotype" w:hAnsi="Palatino Linotype"/>
        </w:rPr>
        <w:t xml:space="preserve"> </w:t>
      </w:r>
    </w:p>
    <w:p w14:paraId="5F882AD9" w14:textId="77777777" w:rsidR="004104AD" w:rsidRPr="00DE6307" w:rsidRDefault="001B31C8" w:rsidP="004104AD">
      <w:pPr>
        <w:pStyle w:val="ListParagraph"/>
        <w:numPr>
          <w:ilvl w:val="0"/>
          <w:numId w:val="4"/>
        </w:numPr>
      </w:pPr>
      <w:r>
        <w:t xml:space="preserve">It is reasonable to require </w:t>
      </w:r>
      <w:r w:rsidR="004104AD">
        <w:t>PG&amp;E’s GTSR advisory group to meet</w:t>
      </w:r>
      <w:r w:rsidR="00B1018D">
        <w:t xml:space="preserve"> at least twice per year</w:t>
      </w:r>
      <w:r>
        <w:t xml:space="preserve"> in light of its limited participation to date.</w:t>
      </w:r>
    </w:p>
    <w:p w14:paraId="05E0AD0A" w14:textId="77777777" w:rsidR="00FC1471" w:rsidRPr="00D82BAB" w:rsidRDefault="00FC1471">
      <w:pPr>
        <w:ind w:left="420"/>
        <w:rPr>
          <w:rFonts w:ascii="Palatino Linotype" w:hAnsi="Palatino Linotype"/>
        </w:rPr>
      </w:pPr>
    </w:p>
    <w:p w14:paraId="175B02D2" w14:textId="77777777" w:rsidR="0076358A" w:rsidRDefault="0076358A" w:rsidP="0076358A">
      <w:pPr>
        <w:pStyle w:val="Heading1"/>
      </w:pPr>
      <w:bookmarkStart w:id="98" w:name="_Toc20145955"/>
      <w:r w:rsidRPr="002163F5">
        <w:t>THEREFORE IT IS ORDERED THAT</w:t>
      </w:r>
      <w:r>
        <w:t>:</w:t>
      </w:r>
      <w:bookmarkEnd w:id="98"/>
      <w:r>
        <w:t xml:space="preserve"> </w:t>
      </w:r>
    </w:p>
    <w:p w14:paraId="1987EFE2" w14:textId="77777777" w:rsidR="0076358A" w:rsidRDefault="0076358A" w:rsidP="0076358A">
      <w:pPr>
        <w:numPr>
          <w:ilvl w:val="0"/>
          <w:numId w:val="5"/>
        </w:numPr>
        <w:spacing w:after="120"/>
        <w:rPr>
          <w:rFonts w:ascii="Palatino Linotype" w:hAnsi="Palatino Linotype"/>
          <w:snapToGrid w:val="0"/>
        </w:rPr>
      </w:pPr>
      <w:r>
        <w:rPr>
          <w:rFonts w:ascii="Palatino Linotype" w:hAnsi="Palatino Linotype"/>
          <w:snapToGrid w:val="0"/>
        </w:rPr>
        <w:t>SCE AL 3722-E proposes to terminate its GTSR program and is rejected on that basis.</w:t>
      </w:r>
    </w:p>
    <w:p w14:paraId="0F0A706B" w14:textId="77777777" w:rsidR="0076358A" w:rsidRDefault="0076358A" w:rsidP="0076358A">
      <w:pPr>
        <w:numPr>
          <w:ilvl w:val="0"/>
          <w:numId w:val="5"/>
        </w:numPr>
        <w:spacing w:after="120"/>
        <w:rPr>
          <w:rFonts w:ascii="Palatino Linotype" w:hAnsi="Palatino Linotype"/>
          <w:snapToGrid w:val="0"/>
        </w:rPr>
      </w:pPr>
      <w:r>
        <w:rPr>
          <w:rFonts w:ascii="Palatino Linotype" w:hAnsi="Palatino Linotype"/>
          <w:snapToGrid w:val="0"/>
        </w:rPr>
        <w:t>PG&amp;E AL 3902-G/5206-E and SDG&amp;E AL 3168-E propose to extend their program beyond January 1, 2019, and are approved with modifications as described in this resolution.</w:t>
      </w:r>
    </w:p>
    <w:p w14:paraId="1E877F02" w14:textId="77777777" w:rsidR="0076358A" w:rsidRDefault="0076358A" w:rsidP="0076358A">
      <w:pPr>
        <w:numPr>
          <w:ilvl w:val="0"/>
          <w:numId w:val="5"/>
        </w:numPr>
        <w:spacing w:after="120"/>
        <w:rPr>
          <w:rFonts w:ascii="Palatino Linotype" w:hAnsi="Palatino Linotype"/>
          <w:snapToGrid w:val="0"/>
        </w:rPr>
      </w:pPr>
      <w:r>
        <w:rPr>
          <w:rFonts w:ascii="Palatino Linotype" w:hAnsi="Palatino Linotype"/>
          <w:snapToGrid w:val="0"/>
        </w:rPr>
        <w:t>SDG&amp;E’s 5-year (2019-2023) GTSR budget of $</w:t>
      </w:r>
      <w:r w:rsidR="00737555" w:rsidRPr="00737555">
        <w:rPr>
          <w:rFonts w:ascii="Palatino Linotype" w:hAnsi="Palatino Linotype"/>
          <w:snapToGrid w:val="0"/>
        </w:rPr>
        <w:t>3</w:t>
      </w:r>
      <w:r w:rsidR="00737555">
        <w:rPr>
          <w:rFonts w:ascii="Palatino Linotype" w:hAnsi="Palatino Linotype"/>
          <w:snapToGrid w:val="0"/>
        </w:rPr>
        <w:t>,</w:t>
      </w:r>
      <w:r w:rsidR="00737555" w:rsidRPr="00737555">
        <w:rPr>
          <w:rFonts w:ascii="Palatino Linotype" w:hAnsi="Palatino Linotype"/>
          <w:snapToGrid w:val="0"/>
        </w:rPr>
        <w:t>433</w:t>
      </w:r>
      <w:r w:rsidR="00737555">
        <w:rPr>
          <w:rFonts w:ascii="Palatino Linotype" w:hAnsi="Palatino Linotype"/>
          <w:snapToGrid w:val="0"/>
        </w:rPr>
        <w:t>,</w:t>
      </w:r>
      <w:r w:rsidR="00737555" w:rsidRPr="00737555">
        <w:rPr>
          <w:rFonts w:ascii="Palatino Linotype" w:hAnsi="Palatino Linotype"/>
          <w:snapToGrid w:val="0"/>
        </w:rPr>
        <w:t>998</w:t>
      </w:r>
      <w:r w:rsidR="00737555">
        <w:rPr>
          <w:rFonts w:ascii="Palatino Linotype" w:hAnsi="Palatino Linotype"/>
          <w:snapToGrid w:val="0"/>
        </w:rPr>
        <w:t xml:space="preserve"> </w:t>
      </w:r>
      <w:r>
        <w:rPr>
          <w:rFonts w:ascii="Palatino Linotype" w:hAnsi="Palatino Linotype"/>
          <w:snapToGrid w:val="0"/>
        </w:rPr>
        <w:t>is approved</w:t>
      </w:r>
      <w:r w:rsidR="00737555">
        <w:rPr>
          <w:rFonts w:ascii="Palatino Linotype" w:hAnsi="Palatino Linotype"/>
          <w:snapToGrid w:val="0"/>
        </w:rPr>
        <w:t>.</w:t>
      </w:r>
    </w:p>
    <w:p w14:paraId="4F2023CD" w14:textId="77777777" w:rsidR="0076358A" w:rsidRDefault="0076358A" w:rsidP="0076358A">
      <w:pPr>
        <w:numPr>
          <w:ilvl w:val="0"/>
          <w:numId w:val="5"/>
        </w:numPr>
        <w:spacing w:after="120"/>
        <w:rPr>
          <w:rFonts w:ascii="Palatino Linotype" w:hAnsi="Palatino Linotype"/>
          <w:snapToGrid w:val="0"/>
        </w:rPr>
      </w:pPr>
      <w:r w:rsidRPr="00FA492E">
        <w:rPr>
          <w:rFonts w:ascii="Palatino Linotype" w:hAnsi="Palatino Linotype"/>
          <w:snapToGrid w:val="0"/>
        </w:rPr>
        <w:t>Within 30 days</w:t>
      </w:r>
      <w:r>
        <w:rPr>
          <w:rFonts w:ascii="Palatino Linotype" w:hAnsi="Palatino Linotype"/>
          <w:snapToGrid w:val="0"/>
        </w:rPr>
        <w:t xml:space="preserve"> of the effective date of this resolution</w:t>
      </w:r>
      <w:r w:rsidRPr="00FA492E">
        <w:rPr>
          <w:rFonts w:ascii="Palatino Linotype" w:hAnsi="Palatino Linotype"/>
          <w:snapToGrid w:val="0"/>
        </w:rPr>
        <w:t xml:space="preserve">, </w:t>
      </w:r>
      <w:r>
        <w:rPr>
          <w:rFonts w:ascii="Palatino Linotype" w:hAnsi="Palatino Linotype"/>
          <w:snapToGrid w:val="0"/>
        </w:rPr>
        <w:t>PG&amp;E, SCE and SDG&amp;E</w:t>
      </w:r>
      <w:r w:rsidRPr="00FA492E">
        <w:rPr>
          <w:rFonts w:ascii="Palatino Linotype" w:hAnsi="Palatino Linotype"/>
          <w:snapToGrid w:val="0"/>
        </w:rPr>
        <w:t xml:space="preserve"> shall file Tier 1 </w:t>
      </w:r>
      <w:r>
        <w:rPr>
          <w:rFonts w:ascii="Palatino Linotype" w:hAnsi="Palatino Linotype"/>
          <w:snapToGrid w:val="0"/>
        </w:rPr>
        <w:t>AL</w:t>
      </w:r>
      <w:r w:rsidRPr="00FA492E">
        <w:rPr>
          <w:rFonts w:ascii="Palatino Linotype" w:hAnsi="Palatino Linotype"/>
          <w:snapToGrid w:val="0"/>
        </w:rPr>
        <w:t xml:space="preserve">s </w:t>
      </w:r>
      <w:r>
        <w:rPr>
          <w:rFonts w:ascii="Palatino Linotype" w:hAnsi="Palatino Linotype"/>
          <w:snapToGrid w:val="0"/>
        </w:rPr>
        <w:t>that modify their GTSR program tariffs as follows:</w:t>
      </w:r>
    </w:p>
    <w:p w14:paraId="1F0A5288" w14:textId="77777777" w:rsidR="0076358A" w:rsidRDefault="0076358A" w:rsidP="00661A6B">
      <w:pPr>
        <w:pStyle w:val="ListParagraph"/>
        <w:numPr>
          <w:ilvl w:val="0"/>
          <w:numId w:val="15"/>
        </w:numPr>
        <w:spacing w:after="120"/>
        <w:rPr>
          <w:rFonts w:ascii="Palatino Linotype" w:hAnsi="Palatino Linotype"/>
          <w:snapToGrid w:val="0"/>
        </w:rPr>
      </w:pPr>
      <w:r>
        <w:rPr>
          <w:rFonts w:ascii="Palatino Linotype" w:hAnsi="Palatino Linotype"/>
          <w:snapToGrid w:val="0"/>
        </w:rPr>
        <w:t xml:space="preserve">PG&amp;E, SCE, and SDG&amp;E shall incorporate the community interest requirement for ECR projects as a precedent in the Power Purchase Agreement that must be met by the developer prior to the start of </w:t>
      </w:r>
      <w:r>
        <w:rPr>
          <w:rFonts w:ascii="Palatino Linotype" w:hAnsi="Palatino Linotype"/>
          <w:snapToGrid w:val="0"/>
        </w:rPr>
        <w:lastRenderedPageBreak/>
        <w:t>construction, rather than being demonstrated within 60 days of notification of contract award.</w:t>
      </w:r>
    </w:p>
    <w:p w14:paraId="6A0CE3D3" w14:textId="77777777" w:rsidR="0076358A" w:rsidRDefault="0076358A" w:rsidP="00661A6B">
      <w:pPr>
        <w:pStyle w:val="ListParagraph"/>
        <w:numPr>
          <w:ilvl w:val="0"/>
          <w:numId w:val="15"/>
        </w:numPr>
        <w:spacing w:after="120"/>
        <w:rPr>
          <w:rFonts w:ascii="Palatino Linotype" w:hAnsi="Palatino Linotype"/>
          <w:snapToGrid w:val="0"/>
        </w:rPr>
      </w:pPr>
      <w:r>
        <w:rPr>
          <w:rFonts w:ascii="Palatino Linotype" w:hAnsi="Palatino Linotype"/>
          <w:snapToGrid w:val="0"/>
        </w:rPr>
        <w:t>PG&amp;E, SCE, and SDG&amp;E shall remove the ‘number of subscribers’ requirement (number of subscribers must equal the number of MWs) for ECR projects from the program requirements.</w:t>
      </w:r>
    </w:p>
    <w:p w14:paraId="0B8D0D3E" w14:textId="77777777" w:rsidR="0076358A" w:rsidRDefault="0076358A" w:rsidP="00661A6B">
      <w:pPr>
        <w:pStyle w:val="ListParagraph"/>
        <w:numPr>
          <w:ilvl w:val="0"/>
          <w:numId w:val="15"/>
        </w:numPr>
        <w:spacing w:after="120"/>
        <w:rPr>
          <w:rFonts w:ascii="Palatino Linotype" w:hAnsi="Palatino Linotype"/>
          <w:snapToGrid w:val="0"/>
        </w:rPr>
      </w:pPr>
      <w:r>
        <w:rPr>
          <w:rFonts w:ascii="Palatino Linotype" w:hAnsi="Palatino Linotype"/>
          <w:snapToGrid w:val="0"/>
        </w:rPr>
        <w:t>PG&amp;E, SCE, and SDG&amp;E shall modify the residential requirement for ECR projects (50% of customers in an ECR project must be residential and 1/6 of the load of the project must come from residential customers) as follows: demonstration of this requirement is no longer at 60 days after award notification but shall be demonstrated at the time of commercial operation. Demonstration of this requirement can be met by developers showing 1/6 of the load will come from the residential sector.  If the developer does not have enough residential participants to meet the 1/6 load requirement, it shall cease enrolling non-residential participants until it has enough residential participants to meet the requirement.</w:t>
      </w:r>
    </w:p>
    <w:p w14:paraId="3D41B31A" w14:textId="77777777" w:rsidR="0076358A" w:rsidRDefault="0076358A" w:rsidP="00661A6B">
      <w:pPr>
        <w:pStyle w:val="ListParagraph"/>
        <w:numPr>
          <w:ilvl w:val="0"/>
          <w:numId w:val="15"/>
        </w:numPr>
        <w:spacing w:after="120"/>
        <w:rPr>
          <w:rFonts w:ascii="Palatino Linotype" w:hAnsi="Palatino Linotype"/>
          <w:snapToGrid w:val="0"/>
        </w:rPr>
      </w:pPr>
      <w:r>
        <w:rPr>
          <w:rFonts w:ascii="Palatino Linotype" w:hAnsi="Palatino Linotype"/>
          <w:snapToGrid w:val="0"/>
        </w:rPr>
        <w:t>PG&amp;E, SCE, and SDG&amp;E shall modify their ECR tariffs to allow developers to backfill for attrition within 20 years from the initial enrollment sunset date.</w:t>
      </w:r>
    </w:p>
    <w:p w14:paraId="1C80D366" w14:textId="77777777" w:rsidR="0076358A" w:rsidRDefault="0076358A" w:rsidP="00661A6B">
      <w:pPr>
        <w:pStyle w:val="ListParagraph"/>
        <w:numPr>
          <w:ilvl w:val="0"/>
          <w:numId w:val="15"/>
        </w:numPr>
        <w:spacing w:after="120"/>
        <w:rPr>
          <w:rFonts w:ascii="Palatino Linotype" w:hAnsi="Palatino Linotype"/>
          <w:snapToGrid w:val="0"/>
        </w:rPr>
      </w:pPr>
      <w:r>
        <w:rPr>
          <w:rFonts w:ascii="Palatino Linotype" w:hAnsi="Palatino Linotype"/>
          <w:snapToGrid w:val="0"/>
        </w:rPr>
        <w:t xml:space="preserve">PG&amp;E, SCE, and SDG&amp;E </w:t>
      </w:r>
      <w:r w:rsidR="00F451F7">
        <w:rPr>
          <w:rFonts w:ascii="Palatino Linotype" w:hAnsi="Palatino Linotype"/>
          <w:snapToGrid w:val="0"/>
        </w:rPr>
        <w:t xml:space="preserve">may </w:t>
      </w:r>
      <w:r>
        <w:rPr>
          <w:rFonts w:ascii="Palatino Linotype" w:hAnsi="Palatino Linotype"/>
          <w:snapToGrid w:val="0"/>
        </w:rPr>
        <w:t>modify their GT tariffs to allow participants to adjust their subscription percentages twice per year</w:t>
      </w:r>
      <w:r w:rsidR="00F451F7">
        <w:rPr>
          <w:rFonts w:ascii="Palatino Linotype" w:hAnsi="Palatino Linotype"/>
          <w:snapToGrid w:val="0"/>
        </w:rPr>
        <w:t>, if it can be done at a reasonable cost.</w:t>
      </w:r>
    </w:p>
    <w:p w14:paraId="153AB990" w14:textId="77777777" w:rsidR="0076358A" w:rsidRDefault="0076358A" w:rsidP="00661A6B">
      <w:pPr>
        <w:pStyle w:val="ListParagraph"/>
        <w:numPr>
          <w:ilvl w:val="0"/>
          <w:numId w:val="15"/>
        </w:numPr>
        <w:spacing w:after="120"/>
        <w:rPr>
          <w:rFonts w:ascii="Palatino Linotype" w:hAnsi="Palatino Linotype"/>
          <w:snapToGrid w:val="0"/>
        </w:rPr>
      </w:pPr>
      <w:r>
        <w:rPr>
          <w:rFonts w:ascii="Palatino Linotype" w:hAnsi="Palatino Linotype"/>
          <w:snapToGrid w:val="0"/>
        </w:rPr>
        <w:t>SDG&amp;E shall remove Special Condition 12 from its GTSR tariffs.</w:t>
      </w:r>
    </w:p>
    <w:p w14:paraId="08ED840F" w14:textId="77777777" w:rsidR="0076358A" w:rsidRDefault="0076358A" w:rsidP="00661A6B">
      <w:pPr>
        <w:pStyle w:val="ListParagraph"/>
        <w:numPr>
          <w:ilvl w:val="0"/>
          <w:numId w:val="15"/>
        </w:numPr>
        <w:spacing w:after="120"/>
        <w:rPr>
          <w:rFonts w:ascii="Palatino Linotype" w:hAnsi="Palatino Linotype"/>
          <w:snapToGrid w:val="0"/>
        </w:rPr>
      </w:pPr>
      <w:r>
        <w:rPr>
          <w:rFonts w:ascii="Palatino Linotype" w:hAnsi="Palatino Linotype"/>
          <w:snapToGrid w:val="0"/>
        </w:rPr>
        <w:t>SDG&amp;E shall remove the January 1, 2019 sunset date from its GTSR tariffs.</w:t>
      </w:r>
    </w:p>
    <w:p w14:paraId="1AEFF683" w14:textId="77777777" w:rsidR="0076358A" w:rsidRDefault="0076358A" w:rsidP="00661A6B">
      <w:pPr>
        <w:pStyle w:val="ListParagraph"/>
        <w:numPr>
          <w:ilvl w:val="0"/>
          <w:numId w:val="15"/>
        </w:numPr>
        <w:spacing w:after="120"/>
        <w:rPr>
          <w:rFonts w:ascii="Palatino Linotype" w:hAnsi="Palatino Linotype"/>
          <w:snapToGrid w:val="0"/>
        </w:rPr>
      </w:pPr>
      <w:bookmarkStart w:id="99" w:name="_Hlk15489987"/>
      <w:r>
        <w:rPr>
          <w:rFonts w:ascii="Palatino Linotype" w:hAnsi="Palatino Linotype"/>
          <w:snapToGrid w:val="0"/>
        </w:rPr>
        <w:t>SDG&amp;E</w:t>
      </w:r>
      <w:r w:rsidR="00737555">
        <w:rPr>
          <w:rFonts w:ascii="Palatino Linotype" w:hAnsi="Palatino Linotype"/>
          <w:snapToGrid w:val="0"/>
        </w:rPr>
        <w:t xml:space="preserve">’s proposal to </w:t>
      </w:r>
      <w:r>
        <w:rPr>
          <w:rFonts w:ascii="Palatino Linotype" w:hAnsi="Palatino Linotype"/>
          <w:snapToGrid w:val="0"/>
        </w:rPr>
        <w:t xml:space="preserve">allow NEM customers to participate in the GTSR program </w:t>
      </w:r>
      <w:r w:rsidR="00737555">
        <w:rPr>
          <w:rFonts w:ascii="Palatino Linotype" w:hAnsi="Palatino Linotype"/>
          <w:snapToGrid w:val="0"/>
        </w:rPr>
        <w:t>is denied</w:t>
      </w:r>
      <w:r>
        <w:rPr>
          <w:rFonts w:ascii="Palatino Linotype" w:hAnsi="Palatino Linotype"/>
          <w:snapToGrid w:val="0"/>
        </w:rPr>
        <w:t xml:space="preserve">.  </w:t>
      </w:r>
    </w:p>
    <w:p w14:paraId="02D0C8E0" w14:textId="77777777" w:rsidR="0076358A" w:rsidRDefault="0076358A" w:rsidP="00661A6B">
      <w:pPr>
        <w:pStyle w:val="ListParagraph"/>
        <w:numPr>
          <w:ilvl w:val="0"/>
          <w:numId w:val="15"/>
        </w:numPr>
        <w:spacing w:after="120"/>
        <w:rPr>
          <w:rFonts w:ascii="Palatino Linotype" w:hAnsi="Palatino Linotype"/>
          <w:snapToGrid w:val="0"/>
        </w:rPr>
      </w:pPr>
      <w:bookmarkStart w:id="100" w:name="_Hlk14884037"/>
      <w:bookmarkEnd w:id="99"/>
      <w:r>
        <w:rPr>
          <w:rFonts w:ascii="Palatino Linotype" w:hAnsi="Palatino Linotype"/>
          <w:snapToGrid w:val="0"/>
        </w:rPr>
        <w:t xml:space="preserve">SDG&amp;E and SCE shall modify their ECR tariffs by applying the 2 MW cap on a per-site basis rather than an enterprise-wide basis.  </w:t>
      </w:r>
      <w:bookmarkEnd w:id="100"/>
      <w:r>
        <w:rPr>
          <w:rFonts w:ascii="Palatino Linotype" w:hAnsi="Palatino Linotype"/>
          <w:snapToGrid w:val="0"/>
        </w:rPr>
        <w:t>This modification goes into effect upon approval of their AL filings.  ECR participants who entered the program under the service agreement construct prior to the effective date of the ALs may continue to participate as such.</w:t>
      </w:r>
    </w:p>
    <w:p w14:paraId="1EB6DF37" w14:textId="77777777" w:rsidR="0076358A" w:rsidRDefault="0076358A" w:rsidP="00661A6B">
      <w:pPr>
        <w:pStyle w:val="ListParagraph"/>
        <w:numPr>
          <w:ilvl w:val="0"/>
          <w:numId w:val="15"/>
        </w:numPr>
        <w:spacing w:after="120"/>
        <w:rPr>
          <w:rFonts w:ascii="Palatino Linotype" w:hAnsi="Palatino Linotype"/>
          <w:snapToGrid w:val="0"/>
        </w:rPr>
      </w:pPr>
      <w:r>
        <w:rPr>
          <w:rFonts w:ascii="Palatino Linotype" w:hAnsi="Palatino Linotype"/>
          <w:snapToGrid w:val="0"/>
        </w:rPr>
        <w:t>PG&amp;E shall modify its GTSR tariffs to clarify that participating customers may continue to receive service under the program for a period of up to 20 years from their original subscription date.</w:t>
      </w:r>
    </w:p>
    <w:p w14:paraId="689E1068" w14:textId="77777777" w:rsidR="002F6F3A" w:rsidRDefault="0076358A" w:rsidP="0076358A">
      <w:pPr>
        <w:numPr>
          <w:ilvl w:val="0"/>
          <w:numId w:val="5"/>
        </w:numPr>
        <w:spacing w:after="120"/>
        <w:rPr>
          <w:rFonts w:ascii="Palatino Linotype" w:hAnsi="Palatino Linotype"/>
          <w:snapToGrid w:val="0"/>
        </w:rPr>
      </w:pPr>
      <w:r>
        <w:rPr>
          <w:rFonts w:ascii="Palatino Linotype" w:hAnsi="Palatino Linotype"/>
          <w:snapToGrid w:val="0"/>
        </w:rPr>
        <w:t xml:space="preserve">Within 60 days of the effective date of this resolution, the IOUs shall provide notice of a hosted workshop with stakeholders to develop the details of a </w:t>
      </w:r>
      <w:r>
        <w:rPr>
          <w:rFonts w:ascii="Palatino Linotype" w:hAnsi="Palatino Linotype"/>
          <w:snapToGrid w:val="0"/>
        </w:rPr>
        <w:lastRenderedPageBreak/>
        <w:t>year-round procurement process</w:t>
      </w:r>
      <w:r w:rsidR="0068314D">
        <w:rPr>
          <w:rFonts w:ascii="Palatino Linotype" w:hAnsi="Palatino Linotype"/>
          <w:snapToGrid w:val="0"/>
        </w:rPr>
        <w:t xml:space="preserve"> and </w:t>
      </w:r>
      <w:r w:rsidR="00737555">
        <w:rPr>
          <w:rFonts w:ascii="Palatino Linotype" w:hAnsi="Palatino Linotype"/>
          <w:snapToGrid w:val="0"/>
        </w:rPr>
        <w:t xml:space="preserve">revised </w:t>
      </w:r>
      <w:r w:rsidR="0068314D">
        <w:rPr>
          <w:rFonts w:ascii="Palatino Linotype" w:hAnsi="Palatino Linotype"/>
          <w:snapToGrid w:val="0"/>
        </w:rPr>
        <w:t>Community Interest Requirement, and begin discussions for calculating GHG emission reductions associated with GTSR products</w:t>
      </w:r>
      <w:r w:rsidR="00AF5A94">
        <w:rPr>
          <w:rFonts w:ascii="Palatino Linotype" w:hAnsi="Palatino Linotype"/>
          <w:snapToGrid w:val="0"/>
        </w:rPr>
        <w:t xml:space="preserve">.  </w:t>
      </w:r>
      <w:r>
        <w:rPr>
          <w:rFonts w:ascii="Palatino Linotype" w:hAnsi="Palatino Linotype"/>
          <w:snapToGrid w:val="0"/>
        </w:rPr>
        <w:t xml:space="preserve">This workshop may be held in conjunction with the GTSR Program Forum.  Following that workshop, </w:t>
      </w:r>
      <w:r w:rsidR="009F584D">
        <w:rPr>
          <w:rFonts w:ascii="Palatino Linotype" w:hAnsi="Palatino Linotype"/>
          <w:snapToGrid w:val="0"/>
        </w:rPr>
        <w:t xml:space="preserve">if consensus is reached, </w:t>
      </w:r>
      <w:r>
        <w:rPr>
          <w:rFonts w:ascii="Palatino Linotype" w:hAnsi="Palatino Linotype"/>
          <w:snapToGrid w:val="0"/>
        </w:rPr>
        <w:t>utilities shall</w:t>
      </w:r>
      <w:r w:rsidR="002F6F3A">
        <w:rPr>
          <w:rFonts w:ascii="Palatino Linotype" w:hAnsi="Palatino Linotype"/>
          <w:snapToGrid w:val="0"/>
        </w:rPr>
        <w:t>:</w:t>
      </w:r>
    </w:p>
    <w:p w14:paraId="73A99F40" w14:textId="52E66F86" w:rsidR="0076358A" w:rsidRPr="00724E6A" w:rsidDel="00AF5A94" w:rsidRDefault="002F6F3A" w:rsidP="00724E6A">
      <w:pPr>
        <w:pStyle w:val="ListParagraph"/>
        <w:numPr>
          <w:ilvl w:val="0"/>
          <w:numId w:val="30"/>
        </w:numPr>
        <w:spacing w:after="120"/>
        <w:rPr>
          <w:rFonts w:ascii="Palatino Linotype" w:hAnsi="Palatino Linotype"/>
          <w:snapToGrid w:val="0"/>
        </w:rPr>
      </w:pPr>
      <w:r>
        <w:rPr>
          <w:rFonts w:ascii="Palatino Linotype" w:hAnsi="Palatino Linotype"/>
          <w:snapToGrid w:val="0"/>
        </w:rPr>
        <w:t>Fi</w:t>
      </w:r>
      <w:r w:rsidR="0076358A">
        <w:rPr>
          <w:rFonts w:ascii="Palatino Linotype" w:hAnsi="Palatino Linotype"/>
          <w:snapToGrid w:val="0"/>
        </w:rPr>
        <w:t xml:space="preserve">le a joint Tier 2 AL to implement the year-round procurement </w:t>
      </w:r>
      <w:r w:rsidR="00350E4F">
        <w:rPr>
          <w:rFonts w:ascii="Palatino Linotype" w:hAnsi="Palatino Linotype"/>
          <w:snapToGrid w:val="0"/>
        </w:rPr>
        <w:t>process.</w:t>
      </w:r>
    </w:p>
    <w:p w14:paraId="4D4F41F3" w14:textId="77777777" w:rsidR="002F6F3A" w:rsidRDefault="002F6F3A">
      <w:pPr>
        <w:pStyle w:val="ListParagraph"/>
        <w:numPr>
          <w:ilvl w:val="0"/>
          <w:numId w:val="30"/>
        </w:numPr>
        <w:spacing w:after="120"/>
        <w:rPr>
          <w:rFonts w:ascii="Palatino Linotype" w:hAnsi="Palatino Linotype"/>
          <w:snapToGrid w:val="0"/>
        </w:rPr>
      </w:pPr>
      <w:r>
        <w:rPr>
          <w:rFonts w:ascii="Palatino Linotype" w:hAnsi="Palatino Linotype"/>
          <w:snapToGrid w:val="0"/>
        </w:rPr>
        <w:t xml:space="preserve">File a joint Tier </w:t>
      </w:r>
      <w:r w:rsidR="00877743">
        <w:rPr>
          <w:rFonts w:ascii="Palatino Linotype" w:hAnsi="Palatino Linotype"/>
          <w:snapToGrid w:val="0"/>
        </w:rPr>
        <w:t>2</w:t>
      </w:r>
      <w:r>
        <w:rPr>
          <w:rFonts w:ascii="Palatino Linotype" w:hAnsi="Palatino Linotype"/>
          <w:snapToGrid w:val="0"/>
        </w:rPr>
        <w:t xml:space="preserve"> AL to implement </w:t>
      </w:r>
      <w:r w:rsidR="00146E4B">
        <w:rPr>
          <w:rFonts w:ascii="Palatino Linotype" w:hAnsi="Palatino Linotype"/>
          <w:snapToGrid w:val="0"/>
        </w:rPr>
        <w:t>the locational requirement embedded in the Community Interest requirement.</w:t>
      </w:r>
    </w:p>
    <w:p w14:paraId="74A1F019" w14:textId="77777777" w:rsidR="00AF5A94" w:rsidRDefault="00EF1875" w:rsidP="00AF5A94">
      <w:pPr>
        <w:pStyle w:val="ListParagraph"/>
        <w:numPr>
          <w:ilvl w:val="0"/>
          <w:numId w:val="30"/>
        </w:numPr>
        <w:spacing w:after="120"/>
        <w:rPr>
          <w:rFonts w:ascii="Palatino Linotype" w:hAnsi="Palatino Linotype"/>
          <w:snapToGrid w:val="0"/>
        </w:rPr>
      </w:pPr>
      <w:r>
        <w:rPr>
          <w:rFonts w:ascii="Palatino Linotype" w:hAnsi="Palatino Linotype"/>
          <w:snapToGrid w:val="0"/>
        </w:rPr>
        <w:t xml:space="preserve">Host </w:t>
      </w:r>
      <w:r w:rsidR="00F92C98">
        <w:rPr>
          <w:rFonts w:ascii="Palatino Linotype" w:hAnsi="Palatino Linotype"/>
          <w:snapToGrid w:val="0"/>
        </w:rPr>
        <w:t>a</w:t>
      </w:r>
      <w:r>
        <w:rPr>
          <w:rFonts w:ascii="Palatino Linotype" w:hAnsi="Palatino Linotype"/>
          <w:snapToGrid w:val="0"/>
        </w:rPr>
        <w:t xml:space="preserve"> workshop, then f</w:t>
      </w:r>
      <w:r w:rsidR="00AF5A94">
        <w:rPr>
          <w:rFonts w:ascii="Palatino Linotype" w:hAnsi="Palatino Linotype"/>
          <w:snapToGrid w:val="0"/>
        </w:rPr>
        <w:t xml:space="preserve">ile a joint Tier 3 AL </w:t>
      </w:r>
      <w:r>
        <w:rPr>
          <w:rFonts w:ascii="Palatino Linotype" w:hAnsi="Palatino Linotype"/>
          <w:snapToGrid w:val="0"/>
        </w:rPr>
        <w:t xml:space="preserve">with </w:t>
      </w:r>
      <w:r w:rsidR="00AF5A94">
        <w:rPr>
          <w:rFonts w:ascii="Palatino Linotype" w:hAnsi="Palatino Linotype"/>
          <w:snapToGrid w:val="0"/>
        </w:rPr>
        <w:t xml:space="preserve">a </w:t>
      </w:r>
      <w:r w:rsidR="004A5981">
        <w:rPr>
          <w:rFonts w:ascii="Palatino Linotype" w:hAnsi="Palatino Linotype"/>
          <w:snapToGrid w:val="0"/>
        </w:rPr>
        <w:t xml:space="preserve">consensus </w:t>
      </w:r>
      <w:r w:rsidR="00AF5A94">
        <w:rPr>
          <w:rFonts w:ascii="Palatino Linotype" w:hAnsi="Palatino Linotype"/>
          <w:snapToGrid w:val="0"/>
        </w:rPr>
        <w:t xml:space="preserve">methodology for calculating GHG emissions associated with their GTSR products.  </w:t>
      </w:r>
    </w:p>
    <w:p w14:paraId="0384F3B6" w14:textId="77777777" w:rsidR="00032E00" w:rsidRDefault="00D977CF">
      <w:pPr>
        <w:numPr>
          <w:ilvl w:val="0"/>
          <w:numId w:val="5"/>
        </w:numPr>
        <w:spacing w:after="120"/>
        <w:rPr>
          <w:rFonts w:ascii="Palatino Linotype" w:hAnsi="Palatino Linotype"/>
          <w:snapToGrid w:val="0"/>
        </w:rPr>
      </w:pPr>
      <w:r>
        <w:rPr>
          <w:rFonts w:ascii="Palatino Linotype" w:hAnsi="Palatino Linotype"/>
          <w:snapToGrid w:val="0"/>
        </w:rPr>
        <w:t xml:space="preserve">PG&amp;E’s request to consolidate its GTSR reports and filings as described in Appendix 1 to this resolution is approved except for its request to file the 20-year forecast in its Annual GTSR Program Progress Report.  SDG&amp;E and SCE are directed to also consolidate their GTSR reports and filings as approved in this resolution. </w:t>
      </w:r>
    </w:p>
    <w:p w14:paraId="1E862DB7" w14:textId="77777777" w:rsidR="0076358A" w:rsidRPr="00C14E2A" w:rsidRDefault="0076358A" w:rsidP="0076358A">
      <w:pPr>
        <w:numPr>
          <w:ilvl w:val="0"/>
          <w:numId w:val="5"/>
        </w:numPr>
        <w:spacing w:after="120"/>
        <w:rPr>
          <w:rFonts w:ascii="Palatino Linotype" w:hAnsi="Palatino Linotype"/>
          <w:snapToGrid w:val="0"/>
        </w:rPr>
      </w:pPr>
      <w:r>
        <w:rPr>
          <w:rFonts w:ascii="Palatino Linotype" w:hAnsi="Palatino Linotype"/>
          <w:snapToGrid w:val="0"/>
        </w:rPr>
        <w:t>Within 30 days of the effective date of this resolution, PG&amp;E and SCE shall file Tier 2 ALs with projected GTSR budgets for 2019 or 5-year budgets through 2023</w:t>
      </w:r>
      <w:r w:rsidRPr="00C14E2A">
        <w:rPr>
          <w:rFonts w:ascii="Palatino Linotype" w:hAnsi="Palatino Linotype"/>
          <w:snapToGrid w:val="0"/>
        </w:rPr>
        <w:t>.</w:t>
      </w:r>
    </w:p>
    <w:p w14:paraId="1C94797C" w14:textId="77777777" w:rsidR="0076358A" w:rsidRDefault="0076358A" w:rsidP="0076358A">
      <w:pPr>
        <w:numPr>
          <w:ilvl w:val="0"/>
          <w:numId w:val="5"/>
        </w:numPr>
        <w:spacing w:after="120"/>
        <w:rPr>
          <w:rFonts w:ascii="Palatino Linotype" w:hAnsi="Palatino Linotype"/>
          <w:snapToGrid w:val="0"/>
        </w:rPr>
      </w:pPr>
      <w:r>
        <w:rPr>
          <w:rFonts w:ascii="Palatino Linotype" w:hAnsi="Palatino Linotype"/>
          <w:snapToGrid w:val="0"/>
        </w:rPr>
        <w:t>PG&amp;E, SCE and SDG&amp;E may request GTSR rate changes as part of the ERRA Forecast proceeding instead of filing a Tier 2 AL.</w:t>
      </w:r>
    </w:p>
    <w:p w14:paraId="07053FC6" w14:textId="77777777" w:rsidR="0076358A" w:rsidRPr="001405CF" w:rsidRDefault="0076358A" w:rsidP="0076358A">
      <w:pPr>
        <w:numPr>
          <w:ilvl w:val="0"/>
          <w:numId w:val="5"/>
        </w:numPr>
        <w:spacing w:after="120"/>
        <w:rPr>
          <w:rFonts w:ascii="Palatino Linotype" w:hAnsi="Palatino Linotype"/>
          <w:snapToGrid w:val="0"/>
        </w:rPr>
      </w:pPr>
      <w:r>
        <w:rPr>
          <w:rFonts w:ascii="Palatino Linotype" w:hAnsi="Palatino Linotype"/>
          <w:snapToGrid w:val="0"/>
        </w:rPr>
        <w:t xml:space="preserve">PG&amp;E, SCE and SDG&amp;E shall propose a methodology for incorporating locational grid benefits into the GTSR program via a Tier </w:t>
      </w:r>
      <w:r w:rsidR="0060154B">
        <w:rPr>
          <w:rFonts w:ascii="Palatino Linotype" w:hAnsi="Palatino Linotype"/>
          <w:snapToGrid w:val="0"/>
        </w:rPr>
        <w:t xml:space="preserve">3 </w:t>
      </w:r>
      <w:r>
        <w:rPr>
          <w:rFonts w:ascii="Palatino Linotype" w:hAnsi="Palatino Linotype"/>
          <w:snapToGrid w:val="0"/>
        </w:rPr>
        <w:t xml:space="preserve">AL within </w:t>
      </w:r>
      <w:r w:rsidR="0060154B">
        <w:rPr>
          <w:rFonts w:ascii="Palatino Linotype" w:hAnsi="Palatino Linotype"/>
          <w:snapToGrid w:val="0"/>
        </w:rPr>
        <w:t xml:space="preserve">120 </w:t>
      </w:r>
      <w:r>
        <w:rPr>
          <w:rFonts w:ascii="Palatino Linotype" w:hAnsi="Palatino Linotype"/>
          <w:snapToGrid w:val="0"/>
        </w:rPr>
        <w:t xml:space="preserve">days of a decision in R.14-08-013 or within </w:t>
      </w:r>
      <w:r w:rsidR="0060154B">
        <w:rPr>
          <w:rFonts w:ascii="Palatino Linotype" w:hAnsi="Palatino Linotype"/>
          <w:snapToGrid w:val="0"/>
        </w:rPr>
        <w:t xml:space="preserve">120 </w:t>
      </w:r>
      <w:r>
        <w:rPr>
          <w:rFonts w:ascii="Palatino Linotype" w:hAnsi="Palatino Linotype"/>
          <w:snapToGrid w:val="0"/>
        </w:rPr>
        <w:t>days of a deadline for LNBA implementation established by such a decision.</w:t>
      </w:r>
      <w:r w:rsidRPr="00FA492E">
        <w:rPr>
          <w:rFonts w:ascii="Palatino Linotype" w:hAnsi="Palatino Linotype"/>
          <w:snapToGrid w:val="0"/>
        </w:rPr>
        <w:t xml:space="preserve">  </w:t>
      </w:r>
    </w:p>
    <w:p w14:paraId="6F6C4B78" w14:textId="77777777" w:rsidR="009B5F75" w:rsidRPr="00FC1470" w:rsidRDefault="002E791B">
      <w:pPr>
        <w:numPr>
          <w:ilvl w:val="0"/>
          <w:numId w:val="5"/>
        </w:numPr>
        <w:spacing w:after="120"/>
        <w:rPr>
          <w:rFonts w:ascii="Palatino Linotype" w:hAnsi="Palatino Linotype"/>
          <w:snapToGrid w:val="0"/>
        </w:rPr>
      </w:pPr>
      <w:r>
        <w:rPr>
          <w:rFonts w:ascii="Palatino Linotype" w:hAnsi="Palatino Linotype"/>
        </w:rPr>
        <w:t>SDG&amp;E’s request to hold a minimum of one, rather than two, solicitations per year is granted, though</w:t>
      </w:r>
      <w:r w:rsidR="00F92C98">
        <w:rPr>
          <w:rFonts w:ascii="Palatino Linotype" w:hAnsi="Palatino Linotype"/>
        </w:rPr>
        <w:t xml:space="preserve"> </w:t>
      </w:r>
      <w:r w:rsidR="003C1C02">
        <w:rPr>
          <w:rFonts w:ascii="Palatino Linotype" w:hAnsi="Palatino Linotype"/>
        </w:rPr>
        <w:t xml:space="preserve">the </w:t>
      </w:r>
      <w:r>
        <w:rPr>
          <w:rFonts w:ascii="Palatino Linotype" w:hAnsi="Palatino Linotype"/>
        </w:rPr>
        <w:t>IOUs may continue to hold more</w:t>
      </w:r>
      <w:r w:rsidR="003C1C02">
        <w:rPr>
          <w:rFonts w:ascii="Palatino Linotype" w:hAnsi="Palatino Linotype"/>
        </w:rPr>
        <w:t xml:space="preserve"> solicitations</w:t>
      </w:r>
      <w:r>
        <w:rPr>
          <w:rFonts w:ascii="Palatino Linotype" w:hAnsi="Palatino Linotype"/>
        </w:rPr>
        <w:t>.</w:t>
      </w:r>
    </w:p>
    <w:p w14:paraId="289831CE" w14:textId="77777777" w:rsidR="00FC1470" w:rsidRPr="00DE6307" w:rsidRDefault="00FC1470" w:rsidP="00FC1470">
      <w:pPr>
        <w:pStyle w:val="ListParagraph"/>
        <w:numPr>
          <w:ilvl w:val="0"/>
          <w:numId w:val="5"/>
        </w:numPr>
      </w:pPr>
      <w:r>
        <w:t xml:space="preserve">PG&amp;E’s advisory group shall no longer be required to meet </w:t>
      </w:r>
      <w:r w:rsidR="00F62182">
        <w:t>quarterly but</w:t>
      </w:r>
      <w:r>
        <w:t xml:space="preserve"> must meet at least twice per </w:t>
      </w:r>
      <w:r w:rsidR="00BF3097">
        <w:t>12</w:t>
      </w:r>
      <w:r w:rsidR="004104AD">
        <w:t xml:space="preserve">-month period </w:t>
      </w:r>
      <w:r>
        <w:t>on an as-needed basis</w:t>
      </w:r>
      <w:r w:rsidR="004104AD">
        <w:t xml:space="preserve"> when critical questions are to be raised</w:t>
      </w:r>
      <w:r>
        <w:t xml:space="preserve">.  Electronic copies of the </w:t>
      </w:r>
      <w:r w:rsidR="00BF3097">
        <w:t xml:space="preserve">agenda and slide deck </w:t>
      </w:r>
      <w:r>
        <w:t xml:space="preserve">must be circulated </w:t>
      </w:r>
      <w:r w:rsidR="00BF3097">
        <w:t>prior to the meeting, and n</w:t>
      </w:r>
      <w:r w:rsidR="004104AD">
        <w:rPr>
          <w:bCs/>
        </w:rPr>
        <w:t>otes and action items must be submitted to this group following the meeting.</w:t>
      </w:r>
    </w:p>
    <w:p w14:paraId="71BB855F" w14:textId="77777777" w:rsidR="00032E00" w:rsidRDefault="00032E00">
      <w:pPr>
        <w:ind w:left="360"/>
        <w:rPr>
          <w:rFonts w:ascii="Palatino Linotype" w:hAnsi="Palatino Linotype"/>
        </w:rPr>
      </w:pPr>
    </w:p>
    <w:p w14:paraId="41F89009" w14:textId="77777777" w:rsidR="0076358A" w:rsidRPr="00FA492E" w:rsidRDefault="0076358A">
      <w:pPr>
        <w:ind w:left="360"/>
        <w:rPr>
          <w:rFonts w:ascii="Palatino Linotype" w:hAnsi="Palatino Linotype"/>
        </w:rPr>
      </w:pPr>
      <w:r w:rsidRPr="00FA492E">
        <w:rPr>
          <w:rFonts w:ascii="Palatino Linotype" w:hAnsi="Palatino Linotype"/>
        </w:rPr>
        <w:t>This Resolution is effective today.</w:t>
      </w:r>
    </w:p>
    <w:p w14:paraId="77BA934A" w14:textId="77777777" w:rsidR="0076358A" w:rsidRPr="00FA492E" w:rsidRDefault="0076358A" w:rsidP="0076358A">
      <w:pPr>
        <w:tabs>
          <w:tab w:val="left" w:pos="720"/>
          <w:tab w:val="left" w:pos="1296"/>
          <w:tab w:val="left" w:pos="2016"/>
          <w:tab w:val="left" w:pos="2736"/>
          <w:tab w:val="left" w:pos="3456"/>
          <w:tab w:val="left" w:pos="4176"/>
          <w:tab w:val="left" w:pos="5760"/>
        </w:tabs>
        <w:rPr>
          <w:rFonts w:ascii="Palatino Linotype" w:hAnsi="Palatino Linotype"/>
        </w:rPr>
      </w:pPr>
    </w:p>
    <w:p w14:paraId="4BB17EE9" w14:textId="77777777" w:rsidR="0076358A" w:rsidRPr="00FA492E" w:rsidRDefault="0076358A" w:rsidP="0076358A">
      <w:pPr>
        <w:rPr>
          <w:rFonts w:ascii="Palatino Linotype" w:hAnsi="Palatino Linotype"/>
          <w:snapToGrid w:val="0"/>
        </w:rPr>
      </w:pPr>
      <w:r w:rsidRPr="00FA492E">
        <w:rPr>
          <w:rFonts w:ascii="Palatino Linotype" w:hAnsi="Palatino Linotype"/>
          <w:snapToGrid w:val="0"/>
        </w:rPr>
        <w:lastRenderedPageBreak/>
        <w:t xml:space="preserve">I certify that the foregoing resolution was duly introduced, passed and adopted at a conference of the Public Utilities Commission of the State of California held on </w:t>
      </w:r>
      <w:r>
        <w:rPr>
          <w:rFonts w:ascii="Palatino Linotype" w:hAnsi="Palatino Linotype"/>
          <w:snapToGrid w:val="0"/>
        </w:rPr>
        <w:t xml:space="preserve">September </w:t>
      </w:r>
      <w:r w:rsidR="002C125A">
        <w:rPr>
          <w:rFonts w:ascii="Palatino Linotype" w:hAnsi="Palatino Linotype"/>
          <w:snapToGrid w:val="0"/>
        </w:rPr>
        <w:t>26</w:t>
      </w:r>
      <w:r>
        <w:rPr>
          <w:rFonts w:ascii="Palatino Linotype" w:hAnsi="Palatino Linotype"/>
          <w:snapToGrid w:val="0"/>
        </w:rPr>
        <w:t>, 2019;</w:t>
      </w:r>
      <w:r w:rsidRPr="00FA492E">
        <w:rPr>
          <w:rFonts w:ascii="Palatino Linotype" w:hAnsi="Palatino Linotype"/>
          <w:snapToGrid w:val="0"/>
        </w:rPr>
        <w:t xml:space="preserve"> the following Commissioners voting favorably thereon:</w:t>
      </w:r>
    </w:p>
    <w:p w14:paraId="735E8263" w14:textId="77777777" w:rsidR="0076358A" w:rsidRPr="00FA492E" w:rsidRDefault="0076358A" w:rsidP="0076358A">
      <w:pPr>
        <w:tabs>
          <w:tab w:val="left" w:pos="720"/>
          <w:tab w:val="left" w:pos="1152"/>
          <w:tab w:val="left" w:pos="1728"/>
          <w:tab w:val="left" w:pos="3168"/>
          <w:tab w:val="left" w:pos="5040"/>
        </w:tabs>
        <w:ind w:right="144"/>
        <w:rPr>
          <w:rFonts w:ascii="Palatino Linotype" w:hAnsi="Palatino Linotype"/>
        </w:rPr>
      </w:pPr>
    </w:p>
    <w:p w14:paraId="0BBD16B0" w14:textId="4142DD43" w:rsidR="0076358A" w:rsidRDefault="0076358A" w:rsidP="0076358A">
      <w:pPr>
        <w:tabs>
          <w:tab w:val="left" w:pos="720"/>
          <w:tab w:val="left" w:pos="1152"/>
          <w:tab w:val="left" w:pos="1728"/>
          <w:tab w:val="left" w:pos="3168"/>
          <w:tab w:val="left" w:pos="5040"/>
        </w:tabs>
        <w:ind w:right="144"/>
        <w:rPr>
          <w:rFonts w:ascii="Palatino Linotype" w:hAnsi="Palatino Linotype"/>
        </w:rPr>
      </w:pPr>
    </w:p>
    <w:p w14:paraId="3D2F362C" w14:textId="573DFFDD" w:rsidR="008216C0" w:rsidRDefault="008216C0" w:rsidP="0076358A">
      <w:pPr>
        <w:tabs>
          <w:tab w:val="left" w:pos="720"/>
          <w:tab w:val="left" w:pos="1152"/>
          <w:tab w:val="left" w:pos="1728"/>
          <w:tab w:val="left" w:pos="3168"/>
          <w:tab w:val="left" w:pos="5040"/>
        </w:tabs>
        <w:ind w:right="144"/>
        <w:rPr>
          <w:rFonts w:ascii="Palatino Linotype" w:hAnsi="Palatino Linotype"/>
        </w:rPr>
      </w:pPr>
    </w:p>
    <w:p w14:paraId="008D9EE0" w14:textId="5414A5D4" w:rsidR="008216C0" w:rsidRDefault="008216C0" w:rsidP="0076358A">
      <w:pPr>
        <w:tabs>
          <w:tab w:val="left" w:pos="720"/>
          <w:tab w:val="left" w:pos="1152"/>
          <w:tab w:val="left" w:pos="1728"/>
          <w:tab w:val="left" w:pos="3168"/>
          <w:tab w:val="left" w:pos="5040"/>
        </w:tabs>
        <w:ind w:right="144"/>
        <w:rPr>
          <w:rFonts w:ascii="Palatino Linotype" w:hAnsi="Palatino Linotype"/>
        </w:rPr>
      </w:pPr>
    </w:p>
    <w:p w14:paraId="372AA789" w14:textId="77777777" w:rsidR="008216C0" w:rsidRPr="00FA492E" w:rsidRDefault="008216C0" w:rsidP="0076358A">
      <w:pPr>
        <w:tabs>
          <w:tab w:val="left" w:pos="720"/>
          <w:tab w:val="left" w:pos="1152"/>
          <w:tab w:val="left" w:pos="1728"/>
          <w:tab w:val="left" w:pos="3168"/>
          <w:tab w:val="left" w:pos="5040"/>
        </w:tabs>
        <w:ind w:right="144"/>
        <w:rPr>
          <w:rFonts w:ascii="Palatino Linotype" w:hAnsi="Palatino Linotype"/>
        </w:rPr>
      </w:pPr>
    </w:p>
    <w:p w14:paraId="4556031F" w14:textId="2E7E91A0" w:rsidR="001A2089" w:rsidRPr="00240447" w:rsidRDefault="001A2089" w:rsidP="001A2089">
      <w:pPr>
        <w:ind w:left="4320" w:firstLine="720"/>
        <w:rPr>
          <w:rFonts w:ascii="Palatino Linotype" w:hAnsi="Palatino Linotype"/>
          <w:i/>
          <w:iCs/>
          <w:u w:val="single"/>
        </w:rPr>
      </w:pPr>
      <w:r>
        <w:rPr>
          <w:rFonts w:ascii="Palatino Linotype" w:hAnsi="Palatino Linotype"/>
        </w:rPr>
        <w:t xml:space="preserve">          </w:t>
      </w:r>
      <w:r w:rsidR="00240447" w:rsidRPr="00240447">
        <w:rPr>
          <w:rFonts w:ascii="Palatino Linotype" w:hAnsi="Palatino Linotype"/>
          <w:i/>
          <w:iCs/>
          <w:u w:val="single"/>
        </w:rPr>
        <w:t>/s/Alice Stebbins</w:t>
      </w:r>
    </w:p>
    <w:p w14:paraId="0FC2A337" w14:textId="4879C4F5" w:rsidR="001A2089" w:rsidRDefault="001A2089" w:rsidP="001A2089">
      <w:pPr>
        <w:ind w:left="4320" w:firstLine="720"/>
        <w:rPr>
          <w:rFonts w:ascii="Palatino Linotype" w:hAnsi="Palatino Linotype"/>
        </w:rPr>
      </w:pPr>
      <w:r>
        <w:rPr>
          <w:rFonts w:ascii="Palatino Linotype" w:hAnsi="Palatino Linotype"/>
        </w:rPr>
        <w:t xml:space="preserve">          ALICE STEBBINS</w:t>
      </w:r>
      <w:r>
        <w:rPr>
          <w:rFonts w:ascii="Palatino Linotype" w:hAnsi="Palatino Linotype"/>
        </w:rPr>
        <w:br/>
        <w:t xml:space="preserve">                     </w:t>
      </w:r>
      <w:r w:rsidRPr="00321419">
        <w:rPr>
          <w:rFonts w:ascii="Palatino Linotype" w:hAnsi="Palatino Linotype"/>
        </w:rPr>
        <w:t>Executive Director</w:t>
      </w:r>
    </w:p>
    <w:p w14:paraId="38FC3E7C" w14:textId="77777777" w:rsidR="001A2089" w:rsidRDefault="001A2089" w:rsidP="001A2089">
      <w:pPr>
        <w:ind w:left="4320" w:firstLine="720"/>
        <w:rPr>
          <w:rFonts w:ascii="Palatino Linotype" w:hAnsi="Palatino Linotype"/>
        </w:rPr>
      </w:pPr>
    </w:p>
    <w:p w14:paraId="3FF5FC27" w14:textId="2EBE8DD0" w:rsidR="001A2089" w:rsidRDefault="001A2089" w:rsidP="001A2089">
      <w:pPr>
        <w:pStyle w:val="Body"/>
        <w:tabs>
          <w:tab w:val="left" w:pos="720"/>
          <w:tab w:val="left" w:pos="1152"/>
          <w:tab w:val="left" w:pos="1728"/>
          <w:tab w:val="left" w:pos="3168"/>
          <w:tab w:val="left" w:pos="5040"/>
        </w:tabs>
        <w:spacing w:after="0"/>
        <w:ind w:right="144"/>
        <w:rPr>
          <w:rFonts w:ascii="Palatino Linotype" w:eastAsia="Palatino Linotype" w:hAnsi="Palatino Linotype" w:cs="Palatino Linotype"/>
          <w:sz w:val="26"/>
          <w:szCs w:val="26"/>
        </w:rPr>
      </w:pP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t xml:space="preserve">            </w:t>
      </w:r>
      <w:r>
        <w:rPr>
          <w:rFonts w:ascii="Palatino Linotype" w:eastAsia="Palatino Linotype" w:hAnsi="Palatino Linotype" w:cs="Palatino Linotype"/>
          <w:sz w:val="26"/>
          <w:szCs w:val="26"/>
        </w:rPr>
        <w:t>MARYBEL BATJER</w:t>
      </w:r>
    </w:p>
    <w:p w14:paraId="5AD74D97" w14:textId="7E913894" w:rsidR="001A2089" w:rsidRDefault="001A2089" w:rsidP="001A2089">
      <w:pPr>
        <w:pStyle w:val="Body"/>
        <w:tabs>
          <w:tab w:val="left" w:pos="720"/>
          <w:tab w:val="left" w:pos="1152"/>
          <w:tab w:val="left" w:pos="1728"/>
          <w:tab w:val="left" w:pos="3168"/>
          <w:tab w:val="left" w:pos="5040"/>
        </w:tabs>
        <w:spacing w:after="0"/>
        <w:ind w:right="144"/>
        <w:rPr>
          <w:rFonts w:ascii="Palatino Linotype" w:eastAsia="Palatino Linotype" w:hAnsi="Palatino Linotype" w:cs="Palatino Linotype"/>
          <w:sz w:val="26"/>
          <w:szCs w:val="26"/>
        </w:rPr>
      </w:pPr>
      <w:r>
        <w:rPr>
          <w:rFonts w:ascii="Palatino Linotype" w:eastAsia="Palatino Linotype" w:hAnsi="Palatino Linotype" w:cs="Palatino Linotype"/>
          <w:sz w:val="26"/>
          <w:szCs w:val="26"/>
        </w:rPr>
        <w:tab/>
      </w:r>
      <w:r>
        <w:rPr>
          <w:rFonts w:ascii="Palatino Linotype" w:eastAsia="Palatino Linotype" w:hAnsi="Palatino Linotype" w:cs="Palatino Linotype"/>
          <w:sz w:val="26"/>
          <w:szCs w:val="26"/>
        </w:rPr>
        <w:tab/>
      </w:r>
      <w:r>
        <w:rPr>
          <w:rFonts w:ascii="Palatino Linotype" w:eastAsia="Palatino Linotype" w:hAnsi="Palatino Linotype" w:cs="Palatino Linotype"/>
          <w:sz w:val="26"/>
          <w:szCs w:val="26"/>
        </w:rPr>
        <w:tab/>
      </w:r>
      <w:r>
        <w:rPr>
          <w:rFonts w:ascii="Palatino Linotype" w:eastAsia="Palatino Linotype" w:hAnsi="Palatino Linotype" w:cs="Palatino Linotype"/>
          <w:sz w:val="26"/>
          <w:szCs w:val="26"/>
        </w:rPr>
        <w:tab/>
      </w:r>
      <w:r>
        <w:rPr>
          <w:rFonts w:ascii="Palatino Linotype" w:eastAsia="Palatino Linotype" w:hAnsi="Palatino Linotype" w:cs="Palatino Linotype"/>
          <w:sz w:val="26"/>
          <w:szCs w:val="26"/>
        </w:rPr>
        <w:tab/>
      </w:r>
      <w:r>
        <w:rPr>
          <w:rFonts w:ascii="Palatino Linotype" w:eastAsia="Palatino Linotype" w:hAnsi="Palatino Linotype" w:cs="Palatino Linotype"/>
          <w:sz w:val="26"/>
          <w:szCs w:val="26"/>
        </w:rPr>
        <w:tab/>
        <w:t xml:space="preserve">                        President</w:t>
      </w:r>
    </w:p>
    <w:p w14:paraId="10C88980" w14:textId="5F533FF9" w:rsidR="001A2089" w:rsidRDefault="001A2089" w:rsidP="001A2089">
      <w:pPr>
        <w:rPr>
          <w:rFonts w:ascii="Palatino Linotype" w:hAnsi="Palatino Linotype"/>
        </w:rPr>
      </w:pP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t xml:space="preserve">          </w:t>
      </w:r>
      <w:r w:rsidRPr="009F405F">
        <w:rPr>
          <w:rFonts w:ascii="Palatino Linotype" w:hAnsi="Palatino Linotype"/>
        </w:rPr>
        <w:t xml:space="preserve">LIANE </w:t>
      </w:r>
      <w:r>
        <w:rPr>
          <w:rFonts w:ascii="Palatino Linotype" w:hAnsi="Palatino Linotype"/>
        </w:rPr>
        <w:t xml:space="preserve">M. </w:t>
      </w:r>
      <w:r w:rsidRPr="009F405F">
        <w:rPr>
          <w:rFonts w:ascii="Palatino Linotype" w:hAnsi="Palatino Linotype"/>
        </w:rPr>
        <w:t>RANDOLPH</w:t>
      </w:r>
    </w:p>
    <w:p w14:paraId="784FBFB3" w14:textId="50FFE93D" w:rsidR="001A2089" w:rsidRPr="00096E68" w:rsidRDefault="001A2089" w:rsidP="001A2089">
      <w:pPr>
        <w:pStyle w:val="Default"/>
        <w:rPr>
          <w:rFonts w:ascii="Palatino Linotype" w:hAnsi="Palatino Linotype" w:cs="Palatino Linotype"/>
          <w:sz w:val="26"/>
          <w:szCs w:val="26"/>
        </w:rPr>
      </w:pP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t xml:space="preserve">           </w:t>
      </w:r>
      <w:r w:rsidRPr="00096E68">
        <w:rPr>
          <w:rFonts w:ascii="Palatino Linotype" w:hAnsi="Palatino Linotype" w:cs="Palatino Linotype"/>
          <w:sz w:val="26"/>
          <w:szCs w:val="26"/>
        </w:rPr>
        <w:t xml:space="preserve">MARTHA GUZMAN ACEVES </w:t>
      </w:r>
    </w:p>
    <w:p w14:paraId="267A2BD1" w14:textId="36B6FE9E" w:rsidR="001A2089" w:rsidRDefault="001A2089" w:rsidP="001A2089">
      <w:pPr>
        <w:ind w:left="4320" w:firstLine="720"/>
        <w:rPr>
          <w:rFonts w:ascii="Palatino Linotype" w:hAnsi="Palatino Linotype" w:cs="Palatino Linotype"/>
          <w:color w:val="000000"/>
          <w:szCs w:val="26"/>
        </w:rPr>
      </w:pPr>
      <w:r>
        <w:rPr>
          <w:rFonts w:ascii="Palatino Linotype" w:hAnsi="Palatino Linotype" w:cs="Palatino Linotype"/>
          <w:color w:val="000000"/>
          <w:szCs w:val="26"/>
        </w:rPr>
        <w:t xml:space="preserve">          </w:t>
      </w:r>
      <w:r w:rsidRPr="00096E68">
        <w:rPr>
          <w:rFonts w:ascii="Palatino Linotype" w:hAnsi="Palatino Linotype" w:cs="Palatino Linotype"/>
          <w:color w:val="000000"/>
          <w:szCs w:val="26"/>
        </w:rPr>
        <w:t>CLIFFORD RECHTSCHAFFEN</w:t>
      </w:r>
    </w:p>
    <w:p w14:paraId="37EFB915" w14:textId="2143DC78" w:rsidR="001A2089" w:rsidRPr="00353238" w:rsidRDefault="001A2089" w:rsidP="001A2089">
      <w:pPr>
        <w:ind w:left="4320" w:firstLine="720"/>
        <w:rPr>
          <w:rFonts w:ascii="Palatino Linotype" w:hAnsi="Palatino Linotype" w:cs="Palatino Linotype"/>
          <w:color w:val="000000"/>
          <w:szCs w:val="26"/>
        </w:rPr>
      </w:pPr>
      <w:r>
        <w:rPr>
          <w:rFonts w:ascii="Palatino Linotype" w:hAnsi="Palatino Linotype"/>
        </w:rPr>
        <w:t xml:space="preserve">          </w:t>
      </w:r>
      <w:r w:rsidRPr="0013208A">
        <w:rPr>
          <w:rFonts w:ascii="Palatino Linotype" w:hAnsi="Palatino Linotype"/>
        </w:rPr>
        <w:t>GENEVIEVE SHIROMA</w:t>
      </w:r>
    </w:p>
    <w:p w14:paraId="000CD733" w14:textId="64BB953E" w:rsidR="0076358A" w:rsidRDefault="001A2089" w:rsidP="001A2089">
      <w:pPr>
        <w:tabs>
          <w:tab w:val="left" w:pos="720"/>
          <w:tab w:val="left" w:pos="1152"/>
          <w:tab w:val="left" w:pos="1728"/>
          <w:tab w:val="left" w:pos="3168"/>
          <w:tab w:val="left" w:pos="5040"/>
        </w:tabs>
        <w:ind w:right="144"/>
        <w:rPr>
          <w:rFonts w:ascii="Palatino Linotype" w:hAnsi="Palatino Linotype"/>
        </w:rPr>
      </w:pPr>
      <w:r>
        <w:rPr>
          <w:rFonts w:ascii="Palatino Linotype" w:hAnsi="Palatino Linotype"/>
        </w:rPr>
        <w:t xml:space="preserve"> </w:t>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t xml:space="preserve">              Commissioners</w:t>
      </w:r>
    </w:p>
    <w:p w14:paraId="07A87867" w14:textId="77777777" w:rsidR="0076358A" w:rsidRDefault="0076358A" w:rsidP="0076358A">
      <w:pPr>
        <w:rPr>
          <w:rFonts w:ascii="Palatino Linotype" w:hAnsi="Palatino Linotype"/>
        </w:rPr>
      </w:pPr>
    </w:p>
    <w:p w14:paraId="651FB5B9" w14:textId="3CD1BB72" w:rsidR="0076358A" w:rsidRDefault="0076358A" w:rsidP="0076358A">
      <w:pPr>
        <w:rPr>
          <w:rFonts w:ascii="Palatino Linotype" w:hAnsi="Palatino Linotype"/>
        </w:rPr>
      </w:pPr>
      <w:r>
        <w:rPr>
          <w:rFonts w:ascii="Palatino Linotype" w:hAnsi="Palatino Linotype"/>
        </w:rPr>
        <w:br w:type="page"/>
      </w:r>
    </w:p>
    <w:p w14:paraId="52F34BAF" w14:textId="77777777" w:rsidR="008216C0" w:rsidRDefault="008216C0" w:rsidP="0076358A">
      <w:pPr>
        <w:pStyle w:val="Heading1"/>
      </w:pPr>
      <w:bookmarkStart w:id="101" w:name="_Toc20145956"/>
    </w:p>
    <w:p w14:paraId="7AE70E45" w14:textId="77777777" w:rsidR="008216C0" w:rsidRDefault="008216C0" w:rsidP="0076358A">
      <w:pPr>
        <w:pStyle w:val="Heading1"/>
      </w:pPr>
    </w:p>
    <w:p w14:paraId="6EF1309C" w14:textId="77777777" w:rsidR="008216C0" w:rsidRDefault="008216C0" w:rsidP="0076358A">
      <w:pPr>
        <w:pStyle w:val="Heading1"/>
      </w:pPr>
    </w:p>
    <w:p w14:paraId="55AB3EC7" w14:textId="77777777" w:rsidR="008216C0" w:rsidRDefault="008216C0" w:rsidP="0076358A">
      <w:pPr>
        <w:pStyle w:val="Heading1"/>
      </w:pPr>
    </w:p>
    <w:p w14:paraId="44818F6D" w14:textId="77777777" w:rsidR="008216C0" w:rsidRDefault="008216C0" w:rsidP="0076358A">
      <w:pPr>
        <w:pStyle w:val="Heading1"/>
      </w:pPr>
    </w:p>
    <w:p w14:paraId="689F6FA5" w14:textId="77777777" w:rsidR="008216C0" w:rsidRDefault="008216C0" w:rsidP="0076358A">
      <w:pPr>
        <w:pStyle w:val="Heading1"/>
      </w:pPr>
    </w:p>
    <w:p w14:paraId="3A874D01" w14:textId="77777777" w:rsidR="008216C0" w:rsidRDefault="008216C0" w:rsidP="0076358A">
      <w:pPr>
        <w:pStyle w:val="Heading1"/>
      </w:pPr>
    </w:p>
    <w:p w14:paraId="27E4F16F" w14:textId="77777777" w:rsidR="008216C0" w:rsidRDefault="008216C0" w:rsidP="0076358A">
      <w:pPr>
        <w:pStyle w:val="Heading1"/>
      </w:pPr>
    </w:p>
    <w:p w14:paraId="7C32E9B0" w14:textId="77777777" w:rsidR="008216C0" w:rsidRDefault="008216C0" w:rsidP="0076358A">
      <w:pPr>
        <w:pStyle w:val="Heading1"/>
      </w:pPr>
    </w:p>
    <w:p w14:paraId="3E5C6D54" w14:textId="77777777" w:rsidR="008216C0" w:rsidRDefault="008216C0" w:rsidP="0076358A">
      <w:pPr>
        <w:pStyle w:val="Heading1"/>
      </w:pPr>
    </w:p>
    <w:p w14:paraId="41DD0464" w14:textId="77777777" w:rsidR="008216C0" w:rsidRDefault="008216C0" w:rsidP="0076358A">
      <w:pPr>
        <w:pStyle w:val="Heading1"/>
      </w:pPr>
    </w:p>
    <w:p w14:paraId="75F713B4" w14:textId="77777777" w:rsidR="008216C0" w:rsidRDefault="008216C0" w:rsidP="0076358A">
      <w:pPr>
        <w:pStyle w:val="Heading1"/>
      </w:pPr>
    </w:p>
    <w:p w14:paraId="1911E218" w14:textId="77777777" w:rsidR="008216C0" w:rsidRDefault="008216C0" w:rsidP="0076358A">
      <w:pPr>
        <w:pStyle w:val="Heading1"/>
      </w:pPr>
    </w:p>
    <w:p w14:paraId="5E1227FA" w14:textId="77777777" w:rsidR="008216C0" w:rsidRDefault="008216C0" w:rsidP="0076358A">
      <w:pPr>
        <w:pStyle w:val="Heading1"/>
      </w:pPr>
    </w:p>
    <w:p w14:paraId="55243CD8" w14:textId="77777777" w:rsidR="008216C0" w:rsidRDefault="008216C0" w:rsidP="0076358A">
      <w:pPr>
        <w:pStyle w:val="Heading1"/>
      </w:pPr>
    </w:p>
    <w:p w14:paraId="0F47545B" w14:textId="77777777" w:rsidR="008216C0" w:rsidRDefault="008216C0" w:rsidP="0076358A">
      <w:pPr>
        <w:pStyle w:val="Heading1"/>
      </w:pPr>
    </w:p>
    <w:p w14:paraId="325E75B7" w14:textId="77777777" w:rsidR="008216C0" w:rsidRDefault="008216C0" w:rsidP="0076358A">
      <w:pPr>
        <w:pStyle w:val="Heading1"/>
      </w:pPr>
    </w:p>
    <w:p w14:paraId="06532A58" w14:textId="77777777" w:rsidR="008216C0" w:rsidRDefault="008216C0" w:rsidP="0076358A">
      <w:pPr>
        <w:pStyle w:val="Heading1"/>
      </w:pPr>
    </w:p>
    <w:p w14:paraId="7FBBCA1D" w14:textId="77777777" w:rsidR="008216C0" w:rsidRDefault="008216C0" w:rsidP="0076358A">
      <w:pPr>
        <w:pStyle w:val="Heading1"/>
      </w:pPr>
    </w:p>
    <w:p w14:paraId="0C8B6B72" w14:textId="07057603" w:rsidR="0076358A" w:rsidRDefault="0076358A" w:rsidP="0076358A">
      <w:pPr>
        <w:pStyle w:val="Heading1"/>
      </w:pPr>
      <w:r>
        <w:lastRenderedPageBreak/>
        <w:t>Appendix</w:t>
      </w:r>
      <w:bookmarkEnd w:id="101"/>
    </w:p>
    <w:tbl>
      <w:tblPr>
        <w:tblStyle w:val="TableGrid"/>
        <w:tblW w:w="10350" w:type="dxa"/>
        <w:tblInd w:w="-455" w:type="dxa"/>
        <w:tblLook w:val="04A0" w:firstRow="1" w:lastRow="0" w:firstColumn="1" w:lastColumn="0" w:noHBand="0" w:noVBand="1"/>
      </w:tblPr>
      <w:tblGrid>
        <w:gridCol w:w="1851"/>
        <w:gridCol w:w="1379"/>
        <w:gridCol w:w="1353"/>
        <w:gridCol w:w="3359"/>
        <w:gridCol w:w="2408"/>
      </w:tblGrid>
      <w:tr w:rsidR="00032E00" w14:paraId="4EB678AD" w14:textId="77777777">
        <w:trPr>
          <w:trHeight w:val="440"/>
        </w:trPr>
        <w:tc>
          <w:tcPr>
            <w:tcW w:w="4523" w:type="dxa"/>
            <w:gridSpan w:val="3"/>
            <w:shd w:val="clear" w:color="auto" w:fill="C5E0B3" w:themeFill="accent6" w:themeFillTint="66"/>
            <w:vAlign w:val="center"/>
          </w:tcPr>
          <w:p w14:paraId="5BA5B1A1" w14:textId="77777777" w:rsidR="0076358A" w:rsidRPr="0076358A" w:rsidRDefault="0076358A" w:rsidP="002B6E34">
            <w:pPr>
              <w:jc w:val="center"/>
              <w:rPr>
                <w:rFonts w:ascii="Palatino Linotype" w:hAnsi="Palatino Linotype" w:cs="Arial"/>
                <w:b/>
                <w:bCs/>
                <w:sz w:val="23"/>
                <w:szCs w:val="23"/>
              </w:rPr>
            </w:pPr>
            <w:r w:rsidRPr="0076358A">
              <w:rPr>
                <w:rFonts w:ascii="Palatino Linotype" w:hAnsi="Palatino Linotype" w:cs="Arial"/>
                <w:b/>
                <w:bCs/>
                <w:sz w:val="23"/>
                <w:szCs w:val="23"/>
              </w:rPr>
              <w:t>Reports</w:t>
            </w:r>
          </w:p>
        </w:tc>
        <w:tc>
          <w:tcPr>
            <w:tcW w:w="5827" w:type="dxa"/>
            <w:gridSpan w:val="2"/>
            <w:shd w:val="clear" w:color="auto" w:fill="C5E0B3" w:themeFill="accent6" w:themeFillTint="66"/>
            <w:vAlign w:val="center"/>
          </w:tcPr>
          <w:p w14:paraId="7E9C56AF" w14:textId="77777777" w:rsidR="0076358A" w:rsidRPr="0076358A" w:rsidRDefault="0076358A" w:rsidP="002B6E34">
            <w:pPr>
              <w:jc w:val="center"/>
              <w:rPr>
                <w:rFonts w:ascii="Palatino Linotype" w:hAnsi="Palatino Linotype" w:cs="Arial"/>
                <w:b/>
                <w:bCs/>
                <w:sz w:val="23"/>
                <w:szCs w:val="23"/>
              </w:rPr>
            </w:pPr>
            <w:r w:rsidRPr="0076358A">
              <w:rPr>
                <w:rFonts w:ascii="Palatino Linotype" w:hAnsi="Palatino Linotype" w:cs="Arial"/>
                <w:b/>
                <w:bCs/>
                <w:sz w:val="23"/>
                <w:szCs w:val="23"/>
              </w:rPr>
              <w:t>Contents</w:t>
            </w:r>
          </w:p>
        </w:tc>
      </w:tr>
      <w:tr w:rsidR="00032E00" w14:paraId="10757327" w14:textId="77777777">
        <w:trPr>
          <w:trHeight w:val="739"/>
        </w:trPr>
        <w:tc>
          <w:tcPr>
            <w:tcW w:w="1789" w:type="dxa"/>
            <w:shd w:val="clear" w:color="auto" w:fill="D9D9D9" w:themeFill="background1" w:themeFillShade="D9"/>
            <w:vAlign w:val="center"/>
            <w:hideMark/>
          </w:tcPr>
          <w:p w14:paraId="49405D7D" w14:textId="77777777" w:rsidR="0076358A" w:rsidRPr="0076358A" w:rsidRDefault="0076358A" w:rsidP="002B6E34">
            <w:pPr>
              <w:jc w:val="center"/>
              <w:rPr>
                <w:rFonts w:ascii="Palatino Linotype" w:hAnsi="Palatino Linotype" w:cs="Arial"/>
                <w:b/>
                <w:bCs/>
                <w:sz w:val="23"/>
                <w:szCs w:val="23"/>
              </w:rPr>
            </w:pPr>
            <w:r w:rsidRPr="0076358A">
              <w:rPr>
                <w:rFonts w:ascii="Palatino Linotype" w:hAnsi="Palatino Linotype" w:cs="Arial"/>
                <w:b/>
                <w:bCs/>
                <w:sz w:val="23"/>
                <w:szCs w:val="23"/>
              </w:rPr>
              <w:t xml:space="preserve">Current </w:t>
            </w:r>
          </w:p>
          <w:p w14:paraId="454F59AE" w14:textId="77777777" w:rsidR="0076358A" w:rsidRPr="0076358A" w:rsidRDefault="0076358A" w:rsidP="002B6E34">
            <w:pPr>
              <w:jc w:val="center"/>
              <w:rPr>
                <w:rFonts w:ascii="Palatino Linotype" w:hAnsi="Palatino Linotype" w:cs="Arial"/>
                <w:b/>
                <w:bCs/>
                <w:sz w:val="23"/>
                <w:szCs w:val="23"/>
              </w:rPr>
            </w:pPr>
            <w:r w:rsidRPr="0076358A">
              <w:rPr>
                <w:rFonts w:ascii="Palatino Linotype" w:hAnsi="Palatino Linotype" w:cs="Arial"/>
                <w:b/>
                <w:bCs/>
                <w:sz w:val="23"/>
                <w:szCs w:val="23"/>
              </w:rPr>
              <w:t>Name</w:t>
            </w:r>
          </w:p>
        </w:tc>
        <w:tc>
          <w:tcPr>
            <w:tcW w:w="1380" w:type="dxa"/>
            <w:shd w:val="clear" w:color="auto" w:fill="D9D9D9" w:themeFill="background1" w:themeFillShade="D9"/>
            <w:vAlign w:val="center"/>
          </w:tcPr>
          <w:p w14:paraId="103036D0" w14:textId="77777777" w:rsidR="0076358A" w:rsidRPr="0076358A" w:rsidRDefault="0076358A" w:rsidP="002B6E34">
            <w:pPr>
              <w:jc w:val="center"/>
              <w:rPr>
                <w:rFonts w:ascii="Palatino Linotype" w:hAnsi="Palatino Linotype" w:cs="Arial"/>
                <w:b/>
                <w:bCs/>
                <w:sz w:val="23"/>
                <w:szCs w:val="23"/>
              </w:rPr>
            </w:pPr>
            <w:r w:rsidRPr="0076358A">
              <w:rPr>
                <w:rFonts w:ascii="Palatino Linotype" w:hAnsi="Palatino Linotype" w:cs="Arial"/>
                <w:b/>
                <w:bCs/>
                <w:sz w:val="23"/>
                <w:szCs w:val="23"/>
              </w:rPr>
              <w:t>Proposed Name</w:t>
            </w:r>
          </w:p>
        </w:tc>
        <w:tc>
          <w:tcPr>
            <w:tcW w:w="1354" w:type="dxa"/>
            <w:shd w:val="clear" w:color="auto" w:fill="D9D9D9" w:themeFill="background1" w:themeFillShade="D9"/>
            <w:vAlign w:val="center"/>
            <w:hideMark/>
          </w:tcPr>
          <w:p w14:paraId="24B391CC" w14:textId="77777777" w:rsidR="0076358A" w:rsidRPr="0076358A" w:rsidRDefault="0076358A" w:rsidP="002B6E34">
            <w:pPr>
              <w:jc w:val="center"/>
              <w:rPr>
                <w:rFonts w:ascii="Palatino Linotype" w:hAnsi="Palatino Linotype" w:cs="Arial"/>
                <w:b/>
                <w:bCs/>
                <w:sz w:val="23"/>
                <w:szCs w:val="23"/>
              </w:rPr>
            </w:pPr>
            <w:r w:rsidRPr="0076358A">
              <w:rPr>
                <w:rFonts w:ascii="Palatino Linotype" w:hAnsi="Palatino Linotype" w:cs="Arial"/>
                <w:b/>
                <w:bCs/>
                <w:sz w:val="23"/>
                <w:szCs w:val="23"/>
              </w:rPr>
              <w:t>Decision</w:t>
            </w:r>
          </w:p>
          <w:p w14:paraId="17ECF67C" w14:textId="77777777" w:rsidR="0076358A" w:rsidRPr="0076358A" w:rsidRDefault="0076358A" w:rsidP="002B6E34">
            <w:pPr>
              <w:jc w:val="center"/>
              <w:rPr>
                <w:rFonts w:ascii="Palatino Linotype" w:hAnsi="Palatino Linotype" w:cs="Arial"/>
                <w:b/>
                <w:bCs/>
                <w:sz w:val="23"/>
                <w:szCs w:val="23"/>
              </w:rPr>
            </w:pPr>
            <w:r w:rsidRPr="0076358A">
              <w:rPr>
                <w:rFonts w:ascii="Palatino Linotype" w:hAnsi="Palatino Linotype" w:cs="Arial"/>
                <w:b/>
                <w:bCs/>
                <w:sz w:val="23"/>
                <w:szCs w:val="23"/>
              </w:rPr>
              <w:t>Location</w:t>
            </w:r>
          </w:p>
        </w:tc>
        <w:tc>
          <w:tcPr>
            <w:tcW w:w="3397" w:type="dxa"/>
            <w:shd w:val="clear" w:color="auto" w:fill="D9D9D9" w:themeFill="background1" w:themeFillShade="D9"/>
            <w:vAlign w:val="center"/>
            <w:hideMark/>
          </w:tcPr>
          <w:p w14:paraId="78B8AF70" w14:textId="77777777" w:rsidR="0076358A" w:rsidRPr="0076358A" w:rsidRDefault="0076358A" w:rsidP="002B6E34">
            <w:pPr>
              <w:jc w:val="center"/>
              <w:rPr>
                <w:rFonts w:ascii="Palatino Linotype" w:hAnsi="Palatino Linotype" w:cs="Arial"/>
                <w:b/>
                <w:bCs/>
                <w:sz w:val="23"/>
                <w:szCs w:val="23"/>
              </w:rPr>
            </w:pPr>
            <w:r w:rsidRPr="0076358A">
              <w:rPr>
                <w:rFonts w:ascii="Palatino Linotype" w:hAnsi="Palatino Linotype" w:cs="Arial"/>
                <w:b/>
                <w:bCs/>
                <w:sz w:val="23"/>
                <w:szCs w:val="23"/>
              </w:rPr>
              <w:t>Current Report Information</w:t>
            </w:r>
          </w:p>
        </w:tc>
        <w:tc>
          <w:tcPr>
            <w:tcW w:w="2430" w:type="dxa"/>
            <w:shd w:val="clear" w:color="auto" w:fill="D9D9D9" w:themeFill="background1" w:themeFillShade="D9"/>
            <w:vAlign w:val="center"/>
          </w:tcPr>
          <w:p w14:paraId="602F44F6" w14:textId="77777777" w:rsidR="0076358A" w:rsidRPr="0076358A" w:rsidRDefault="0076358A" w:rsidP="002B6E34">
            <w:pPr>
              <w:jc w:val="center"/>
              <w:rPr>
                <w:rFonts w:ascii="Palatino Linotype" w:hAnsi="Palatino Linotype" w:cs="Arial"/>
                <w:b/>
                <w:bCs/>
                <w:sz w:val="23"/>
                <w:szCs w:val="23"/>
              </w:rPr>
            </w:pPr>
            <w:r w:rsidRPr="0076358A">
              <w:rPr>
                <w:rFonts w:ascii="Palatino Linotype" w:hAnsi="Palatino Linotype" w:cs="Arial"/>
                <w:b/>
                <w:bCs/>
                <w:sz w:val="23"/>
                <w:szCs w:val="23"/>
              </w:rPr>
              <w:t>Proposed Report Changes</w:t>
            </w:r>
          </w:p>
        </w:tc>
      </w:tr>
      <w:tr w:rsidR="00032E00" w14:paraId="1A11A46C" w14:textId="77777777">
        <w:trPr>
          <w:trHeight w:val="1313"/>
        </w:trPr>
        <w:tc>
          <w:tcPr>
            <w:tcW w:w="1789" w:type="dxa"/>
            <w:hideMark/>
          </w:tcPr>
          <w:p w14:paraId="04CF5439" w14:textId="77777777" w:rsidR="0076358A" w:rsidRPr="0076358A" w:rsidRDefault="0076358A" w:rsidP="002B6E34">
            <w:pPr>
              <w:rPr>
                <w:rFonts w:ascii="Palatino Linotype" w:hAnsi="Palatino Linotype" w:cs="Arial"/>
                <w:sz w:val="23"/>
                <w:szCs w:val="23"/>
              </w:rPr>
            </w:pPr>
            <w:r w:rsidRPr="0076358A">
              <w:rPr>
                <w:rFonts w:ascii="Palatino Linotype" w:hAnsi="Palatino Linotype" w:cs="Arial"/>
                <w:sz w:val="23"/>
                <w:szCs w:val="23"/>
              </w:rPr>
              <w:t xml:space="preserve">Monthly </w:t>
            </w:r>
          </w:p>
          <w:p w14:paraId="20DEB2E6" w14:textId="77777777" w:rsidR="0076358A" w:rsidRPr="0076358A" w:rsidRDefault="0076358A" w:rsidP="002B6E34">
            <w:pPr>
              <w:rPr>
                <w:rFonts w:ascii="Palatino Linotype" w:hAnsi="Palatino Linotype" w:cs="Arial"/>
                <w:sz w:val="23"/>
                <w:szCs w:val="23"/>
              </w:rPr>
            </w:pPr>
            <w:r w:rsidRPr="0076358A">
              <w:rPr>
                <w:rFonts w:ascii="Palatino Linotype" w:hAnsi="Palatino Linotype" w:cs="Arial"/>
                <w:sz w:val="23"/>
                <w:szCs w:val="23"/>
              </w:rPr>
              <w:t>GTSR Program Progress Report</w:t>
            </w:r>
          </w:p>
          <w:p w14:paraId="1A81F122" w14:textId="77777777" w:rsidR="0076358A" w:rsidRPr="0076358A" w:rsidRDefault="0076358A" w:rsidP="002B6E34">
            <w:pPr>
              <w:rPr>
                <w:rFonts w:ascii="Palatino Linotype" w:hAnsi="Palatino Linotype" w:cs="Arial"/>
                <w:sz w:val="23"/>
                <w:szCs w:val="23"/>
              </w:rPr>
            </w:pPr>
          </w:p>
        </w:tc>
        <w:tc>
          <w:tcPr>
            <w:tcW w:w="1380" w:type="dxa"/>
            <w:vMerge w:val="restart"/>
          </w:tcPr>
          <w:p w14:paraId="060C5516" w14:textId="77777777" w:rsidR="0076358A" w:rsidRPr="0076358A" w:rsidRDefault="0076358A" w:rsidP="002B6E34">
            <w:pPr>
              <w:rPr>
                <w:rFonts w:ascii="Palatino Linotype" w:hAnsi="Palatino Linotype" w:cs="Arial"/>
                <w:sz w:val="23"/>
                <w:szCs w:val="23"/>
              </w:rPr>
            </w:pPr>
            <w:r w:rsidRPr="0076358A">
              <w:rPr>
                <w:rFonts w:ascii="Palatino Linotype" w:hAnsi="Palatino Linotype" w:cs="Arial"/>
                <w:sz w:val="23"/>
                <w:szCs w:val="23"/>
              </w:rPr>
              <w:t>Quarterly GTSR Program Progress Report</w:t>
            </w:r>
          </w:p>
          <w:p w14:paraId="2228D528" w14:textId="77777777" w:rsidR="0076358A" w:rsidRPr="0076358A" w:rsidRDefault="0076358A" w:rsidP="002B6E34">
            <w:pPr>
              <w:rPr>
                <w:rFonts w:ascii="Palatino Linotype" w:hAnsi="Palatino Linotype" w:cs="Arial"/>
                <w:sz w:val="23"/>
                <w:szCs w:val="23"/>
              </w:rPr>
            </w:pPr>
          </w:p>
          <w:p w14:paraId="138620CC" w14:textId="77777777" w:rsidR="0076358A" w:rsidRPr="0076358A" w:rsidRDefault="0076358A" w:rsidP="002B6E34">
            <w:pPr>
              <w:rPr>
                <w:rFonts w:ascii="Palatino Linotype" w:hAnsi="Palatino Linotype" w:cs="Arial"/>
                <w:sz w:val="23"/>
                <w:szCs w:val="23"/>
              </w:rPr>
            </w:pPr>
          </w:p>
          <w:p w14:paraId="1BA4ED9B" w14:textId="77777777" w:rsidR="0076358A" w:rsidRPr="0076358A" w:rsidRDefault="0076358A" w:rsidP="002B6E34">
            <w:pPr>
              <w:rPr>
                <w:rFonts w:ascii="Palatino Linotype" w:hAnsi="Palatino Linotype" w:cs="Arial"/>
                <w:sz w:val="23"/>
                <w:szCs w:val="23"/>
              </w:rPr>
            </w:pPr>
          </w:p>
        </w:tc>
        <w:tc>
          <w:tcPr>
            <w:tcW w:w="1354" w:type="dxa"/>
            <w:hideMark/>
          </w:tcPr>
          <w:p w14:paraId="213C0F54" w14:textId="77777777" w:rsidR="0076358A" w:rsidRPr="0076358A" w:rsidRDefault="0076358A" w:rsidP="002B6E34">
            <w:pPr>
              <w:rPr>
                <w:rFonts w:ascii="Palatino Linotype" w:hAnsi="Palatino Linotype" w:cs="Arial"/>
                <w:sz w:val="23"/>
                <w:szCs w:val="23"/>
              </w:rPr>
            </w:pPr>
            <w:r w:rsidRPr="0076358A">
              <w:rPr>
                <w:rFonts w:ascii="Palatino Linotype" w:hAnsi="Palatino Linotype" w:cs="Arial"/>
                <w:sz w:val="23"/>
                <w:szCs w:val="23"/>
              </w:rPr>
              <w:t xml:space="preserve">D.15-01-051 at 140 and 182, OP 10 </w:t>
            </w:r>
          </w:p>
        </w:tc>
        <w:tc>
          <w:tcPr>
            <w:tcW w:w="3397" w:type="dxa"/>
            <w:hideMark/>
          </w:tcPr>
          <w:p w14:paraId="1824CFF3" w14:textId="77777777" w:rsidR="0076358A" w:rsidRPr="0076358A" w:rsidRDefault="0076358A" w:rsidP="00661A6B">
            <w:pPr>
              <w:pStyle w:val="ListParagraph"/>
              <w:numPr>
                <w:ilvl w:val="0"/>
                <w:numId w:val="17"/>
              </w:numPr>
              <w:rPr>
                <w:rFonts w:ascii="Palatino Linotype" w:hAnsi="Palatino Linotype" w:cs="Arial"/>
                <w:sz w:val="23"/>
                <w:szCs w:val="23"/>
              </w:rPr>
            </w:pPr>
            <w:r w:rsidRPr="0076358A">
              <w:rPr>
                <w:rFonts w:ascii="Palatino Linotype" w:hAnsi="Palatino Linotype" w:cs="Arial"/>
                <w:sz w:val="23"/>
                <w:szCs w:val="23"/>
              </w:rPr>
              <w:t>Available capacity data and summary of advisory group activities, if any</w:t>
            </w:r>
          </w:p>
        </w:tc>
        <w:tc>
          <w:tcPr>
            <w:tcW w:w="2430" w:type="dxa"/>
          </w:tcPr>
          <w:p w14:paraId="574A6D3A" w14:textId="77777777" w:rsidR="0076358A" w:rsidRPr="0076358A" w:rsidRDefault="0076358A" w:rsidP="00661A6B">
            <w:pPr>
              <w:pStyle w:val="ListParagraph"/>
              <w:numPr>
                <w:ilvl w:val="0"/>
                <w:numId w:val="17"/>
              </w:numPr>
              <w:rPr>
                <w:rFonts w:ascii="Palatino Linotype" w:hAnsi="Palatino Linotype" w:cs="Arial"/>
                <w:sz w:val="23"/>
                <w:szCs w:val="23"/>
              </w:rPr>
            </w:pPr>
            <w:r w:rsidRPr="0076358A">
              <w:rPr>
                <w:rFonts w:ascii="Palatino Linotype" w:hAnsi="Palatino Linotype" w:cs="Arial"/>
                <w:sz w:val="23"/>
                <w:szCs w:val="23"/>
              </w:rPr>
              <w:t xml:space="preserve">Change cadence to quarterly </w:t>
            </w:r>
          </w:p>
          <w:p w14:paraId="5D4D1CA4" w14:textId="77777777" w:rsidR="0076358A" w:rsidRPr="0076358A" w:rsidRDefault="0076358A" w:rsidP="00661A6B">
            <w:pPr>
              <w:pStyle w:val="ListParagraph"/>
              <w:numPr>
                <w:ilvl w:val="0"/>
                <w:numId w:val="17"/>
              </w:numPr>
              <w:rPr>
                <w:rFonts w:ascii="Palatino Linotype" w:hAnsi="Palatino Linotype" w:cs="Arial"/>
                <w:sz w:val="23"/>
                <w:szCs w:val="23"/>
              </w:rPr>
            </w:pPr>
            <w:r w:rsidRPr="0076358A">
              <w:rPr>
                <w:rFonts w:ascii="Palatino Linotype" w:hAnsi="Palatino Linotype" w:cs="Arial"/>
                <w:sz w:val="23"/>
                <w:szCs w:val="23"/>
              </w:rPr>
              <w:t>Attach ECR Contract Report</w:t>
            </w:r>
          </w:p>
          <w:p w14:paraId="72509FDC" w14:textId="77777777" w:rsidR="0076358A" w:rsidRPr="0076358A" w:rsidRDefault="0076358A" w:rsidP="00661A6B">
            <w:pPr>
              <w:pStyle w:val="ListParagraph"/>
              <w:numPr>
                <w:ilvl w:val="0"/>
                <w:numId w:val="17"/>
              </w:numPr>
              <w:rPr>
                <w:rFonts w:ascii="Palatino Linotype" w:hAnsi="Palatino Linotype" w:cs="Arial"/>
                <w:sz w:val="23"/>
                <w:szCs w:val="23"/>
              </w:rPr>
            </w:pPr>
            <w:r w:rsidRPr="0076358A">
              <w:rPr>
                <w:rFonts w:ascii="Palatino Linotype" w:hAnsi="Palatino Linotype" w:cs="Arial"/>
                <w:sz w:val="23"/>
                <w:szCs w:val="23"/>
              </w:rPr>
              <w:t>Attach Generation Transfer Report</w:t>
            </w:r>
          </w:p>
        </w:tc>
      </w:tr>
      <w:tr w:rsidR="00032E00" w14:paraId="614076CE" w14:textId="77777777">
        <w:trPr>
          <w:trHeight w:val="600"/>
        </w:trPr>
        <w:tc>
          <w:tcPr>
            <w:tcW w:w="1789" w:type="dxa"/>
          </w:tcPr>
          <w:p w14:paraId="31DD937C" w14:textId="77777777" w:rsidR="0076358A" w:rsidRPr="0076358A" w:rsidRDefault="0076358A" w:rsidP="002B6E34">
            <w:pPr>
              <w:rPr>
                <w:rFonts w:ascii="Palatino Linotype" w:hAnsi="Palatino Linotype" w:cs="Arial"/>
                <w:sz w:val="23"/>
                <w:szCs w:val="23"/>
              </w:rPr>
            </w:pPr>
            <w:r w:rsidRPr="0076358A">
              <w:rPr>
                <w:rFonts w:ascii="Palatino Linotype" w:hAnsi="Palatino Linotype" w:cs="Arial"/>
                <w:sz w:val="23"/>
                <w:szCs w:val="23"/>
              </w:rPr>
              <w:t>Quarterly ECR Contract Report</w:t>
            </w:r>
          </w:p>
        </w:tc>
        <w:tc>
          <w:tcPr>
            <w:tcW w:w="1380" w:type="dxa"/>
            <w:vMerge/>
          </w:tcPr>
          <w:p w14:paraId="1C6FC421" w14:textId="77777777" w:rsidR="0076358A" w:rsidRPr="0076358A" w:rsidRDefault="0076358A" w:rsidP="002B6E34">
            <w:pPr>
              <w:rPr>
                <w:rFonts w:ascii="Palatino Linotype" w:hAnsi="Palatino Linotype" w:cs="Arial"/>
                <w:sz w:val="23"/>
                <w:szCs w:val="23"/>
              </w:rPr>
            </w:pPr>
          </w:p>
        </w:tc>
        <w:tc>
          <w:tcPr>
            <w:tcW w:w="1354" w:type="dxa"/>
          </w:tcPr>
          <w:p w14:paraId="06C3F5CA" w14:textId="77777777" w:rsidR="0076358A" w:rsidRPr="0076358A" w:rsidRDefault="0076358A" w:rsidP="002B6E34">
            <w:pPr>
              <w:rPr>
                <w:rFonts w:ascii="Palatino Linotype" w:hAnsi="Palatino Linotype" w:cs="Arial"/>
                <w:sz w:val="23"/>
                <w:szCs w:val="23"/>
              </w:rPr>
            </w:pPr>
            <w:r w:rsidRPr="0076358A">
              <w:rPr>
                <w:rFonts w:ascii="Palatino Linotype" w:hAnsi="Palatino Linotype" w:cs="Arial"/>
                <w:sz w:val="23"/>
                <w:szCs w:val="23"/>
              </w:rPr>
              <w:t>D.15-01-051 at 142-143</w:t>
            </w:r>
          </w:p>
        </w:tc>
        <w:tc>
          <w:tcPr>
            <w:tcW w:w="3397" w:type="dxa"/>
          </w:tcPr>
          <w:p w14:paraId="26B90B05" w14:textId="77777777" w:rsidR="0076358A" w:rsidRPr="0076358A" w:rsidRDefault="0076358A" w:rsidP="00661A6B">
            <w:pPr>
              <w:pStyle w:val="ListParagraph"/>
              <w:numPr>
                <w:ilvl w:val="0"/>
                <w:numId w:val="18"/>
              </w:numPr>
              <w:rPr>
                <w:rFonts w:ascii="Palatino Linotype" w:hAnsi="Palatino Linotype" w:cs="Arial"/>
                <w:sz w:val="23"/>
                <w:szCs w:val="23"/>
              </w:rPr>
            </w:pPr>
            <w:r w:rsidRPr="0076358A">
              <w:rPr>
                <w:rFonts w:ascii="Palatino Linotype" w:hAnsi="Palatino Linotype" w:cs="Arial"/>
                <w:sz w:val="23"/>
                <w:szCs w:val="23"/>
              </w:rPr>
              <w:t xml:space="preserve">Summary of ECR contracts to date and required documentation for new PPAs. </w:t>
            </w:r>
          </w:p>
          <w:p w14:paraId="23E880FB" w14:textId="77777777" w:rsidR="0076358A" w:rsidRPr="0076358A" w:rsidRDefault="0076358A" w:rsidP="002B6E34">
            <w:pPr>
              <w:pStyle w:val="ListParagraph"/>
              <w:ind w:left="1104"/>
              <w:rPr>
                <w:rFonts w:ascii="Palatino Linotype" w:hAnsi="Palatino Linotype" w:cs="Arial"/>
                <w:sz w:val="23"/>
                <w:szCs w:val="23"/>
              </w:rPr>
            </w:pPr>
          </w:p>
          <w:p w14:paraId="29A8DF92" w14:textId="77777777" w:rsidR="0076358A" w:rsidRPr="0076358A" w:rsidRDefault="0076358A" w:rsidP="002B6E34">
            <w:pPr>
              <w:pStyle w:val="ListParagraph"/>
              <w:ind w:left="367"/>
              <w:rPr>
                <w:rFonts w:ascii="Palatino Linotype" w:hAnsi="Palatino Linotype" w:cs="Arial"/>
                <w:sz w:val="23"/>
                <w:szCs w:val="23"/>
              </w:rPr>
            </w:pPr>
          </w:p>
        </w:tc>
        <w:tc>
          <w:tcPr>
            <w:tcW w:w="2430" w:type="dxa"/>
          </w:tcPr>
          <w:p w14:paraId="4E95BB54" w14:textId="77777777" w:rsidR="0076358A" w:rsidRPr="0076358A" w:rsidRDefault="0076358A" w:rsidP="00661A6B">
            <w:pPr>
              <w:pStyle w:val="ListParagraph"/>
              <w:numPr>
                <w:ilvl w:val="0"/>
                <w:numId w:val="17"/>
              </w:numPr>
              <w:rPr>
                <w:rFonts w:ascii="Palatino Linotype" w:hAnsi="Palatino Linotype" w:cs="Arial"/>
                <w:sz w:val="23"/>
                <w:szCs w:val="23"/>
              </w:rPr>
            </w:pPr>
            <w:r w:rsidRPr="0076358A">
              <w:rPr>
                <w:rFonts w:ascii="Palatino Linotype" w:hAnsi="Palatino Linotype" w:cs="Arial"/>
                <w:sz w:val="23"/>
                <w:szCs w:val="23"/>
              </w:rPr>
              <w:t xml:space="preserve">Attach to Quarterly GTSR Program Progress Report </w:t>
            </w:r>
          </w:p>
        </w:tc>
      </w:tr>
      <w:tr w:rsidR="00032E00" w14:paraId="25CA7B20" w14:textId="77777777">
        <w:trPr>
          <w:trHeight w:val="600"/>
        </w:trPr>
        <w:tc>
          <w:tcPr>
            <w:tcW w:w="1789" w:type="dxa"/>
          </w:tcPr>
          <w:p w14:paraId="011AAF41" w14:textId="77777777" w:rsidR="0076358A" w:rsidRPr="0076358A" w:rsidRDefault="0076358A" w:rsidP="002B6E34">
            <w:pPr>
              <w:rPr>
                <w:rFonts w:ascii="Palatino Linotype" w:hAnsi="Palatino Linotype" w:cs="Arial"/>
                <w:sz w:val="23"/>
                <w:szCs w:val="23"/>
              </w:rPr>
            </w:pPr>
            <w:r w:rsidRPr="0076358A">
              <w:rPr>
                <w:rFonts w:ascii="Palatino Linotype" w:hAnsi="Palatino Linotype" w:cs="Arial"/>
                <w:sz w:val="23"/>
                <w:szCs w:val="23"/>
              </w:rPr>
              <w:t>Generation Transfer Report</w:t>
            </w:r>
          </w:p>
        </w:tc>
        <w:tc>
          <w:tcPr>
            <w:tcW w:w="1380" w:type="dxa"/>
            <w:vMerge/>
          </w:tcPr>
          <w:p w14:paraId="77C21219" w14:textId="77777777" w:rsidR="0076358A" w:rsidRPr="0076358A" w:rsidRDefault="0076358A" w:rsidP="002B6E34">
            <w:pPr>
              <w:rPr>
                <w:rFonts w:ascii="Palatino Linotype" w:hAnsi="Palatino Linotype" w:cs="Arial"/>
                <w:sz w:val="23"/>
                <w:szCs w:val="23"/>
              </w:rPr>
            </w:pPr>
          </w:p>
        </w:tc>
        <w:tc>
          <w:tcPr>
            <w:tcW w:w="1354" w:type="dxa"/>
          </w:tcPr>
          <w:p w14:paraId="6B3D3FD8" w14:textId="77777777" w:rsidR="0076358A" w:rsidRPr="0076358A" w:rsidRDefault="0076358A" w:rsidP="002B6E34">
            <w:pPr>
              <w:rPr>
                <w:rFonts w:ascii="Palatino Linotype" w:hAnsi="Palatino Linotype" w:cs="Arial"/>
                <w:sz w:val="23"/>
                <w:szCs w:val="23"/>
              </w:rPr>
            </w:pPr>
            <w:r w:rsidRPr="0076358A">
              <w:rPr>
                <w:rFonts w:ascii="Palatino Linotype" w:hAnsi="Palatino Linotype" w:cs="Arial"/>
                <w:sz w:val="23"/>
                <w:szCs w:val="23"/>
              </w:rPr>
              <w:t>D.15-01-051 at 141</w:t>
            </w:r>
          </w:p>
          <w:p w14:paraId="27C7231A" w14:textId="77777777" w:rsidR="0076358A" w:rsidRPr="0076358A" w:rsidRDefault="0076358A" w:rsidP="002B6E34">
            <w:pPr>
              <w:rPr>
                <w:rFonts w:ascii="Palatino Linotype" w:hAnsi="Palatino Linotype" w:cs="Arial"/>
                <w:sz w:val="23"/>
                <w:szCs w:val="23"/>
              </w:rPr>
            </w:pPr>
            <w:r w:rsidRPr="0076358A">
              <w:rPr>
                <w:rFonts w:ascii="Palatino Linotype" w:hAnsi="Palatino Linotype" w:cs="Arial"/>
                <w:sz w:val="23"/>
                <w:szCs w:val="23"/>
              </w:rPr>
              <w:t>AL 4637-E-A at 24</w:t>
            </w:r>
          </w:p>
        </w:tc>
        <w:tc>
          <w:tcPr>
            <w:tcW w:w="3397" w:type="dxa"/>
          </w:tcPr>
          <w:p w14:paraId="1D9A6A00" w14:textId="77777777" w:rsidR="0076358A" w:rsidRPr="0076358A" w:rsidRDefault="0076358A" w:rsidP="00661A6B">
            <w:pPr>
              <w:pStyle w:val="ListParagraph"/>
              <w:numPr>
                <w:ilvl w:val="0"/>
                <w:numId w:val="17"/>
              </w:numPr>
              <w:rPr>
                <w:rFonts w:ascii="Palatino Linotype" w:hAnsi="Palatino Linotype" w:cs="Arial"/>
                <w:sz w:val="23"/>
                <w:szCs w:val="23"/>
              </w:rPr>
            </w:pPr>
            <w:r w:rsidRPr="0076358A">
              <w:rPr>
                <w:rFonts w:ascii="Palatino Linotype" w:hAnsi="Palatino Linotype" w:cs="Arial"/>
                <w:sz w:val="23"/>
                <w:szCs w:val="23"/>
              </w:rPr>
              <w:t>A summary of the transfer of RECs between RPS and GTSR.</w:t>
            </w:r>
          </w:p>
        </w:tc>
        <w:tc>
          <w:tcPr>
            <w:tcW w:w="2430" w:type="dxa"/>
          </w:tcPr>
          <w:p w14:paraId="47E13567" w14:textId="77777777" w:rsidR="0076358A" w:rsidRPr="0076358A" w:rsidRDefault="0076358A" w:rsidP="00661A6B">
            <w:pPr>
              <w:pStyle w:val="ListParagraph"/>
              <w:numPr>
                <w:ilvl w:val="0"/>
                <w:numId w:val="17"/>
              </w:numPr>
              <w:rPr>
                <w:rFonts w:ascii="Palatino Linotype" w:hAnsi="Palatino Linotype" w:cs="Arial"/>
                <w:sz w:val="23"/>
                <w:szCs w:val="23"/>
              </w:rPr>
            </w:pPr>
            <w:r w:rsidRPr="0076358A">
              <w:rPr>
                <w:rFonts w:ascii="Palatino Linotype" w:hAnsi="Palatino Linotype" w:cs="Arial"/>
                <w:sz w:val="23"/>
                <w:szCs w:val="23"/>
              </w:rPr>
              <w:t>Attach to Quarterly GTSR Program Progress Report</w:t>
            </w:r>
          </w:p>
        </w:tc>
      </w:tr>
      <w:tr w:rsidR="00032E00" w14:paraId="6F23B058" w14:textId="77777777">
        <w:trPr>
          <w:trHeight w:val="600"/>
        </w:trPr>
        <w:tc>
          <w:tcPr>
            <w:tcW w:w="1789" w:type="dxa"/>
            <w:hideMark/>
          </w:tcPr>
          <w:p w14:paraId="63E231C5" w14:textId="77777777" w:rsidR="0076358A" w:rsidRPr="0076358A" w:rsidRDefault="0076358A" w:rsidP="002B6E34">
            <w:pPr>
              <w:rPr>
                <w:rFonts w:ascii="Palatino Linotype" w:hAnsi="Palatino Linotype" w:cs="Arial"/>
                <w:sz w:val="23"/>
                <w:szCs w:val="23"/>
              </w:rPr>
            </w:pPr>
            <w:r w:rsidRPr="0076358A">
              <w:rPr>
                <w:rFonts w:ascii="Palatino Linotype" w:hAnsi="Palatino Linotype" w:cs="Arial"/>
                <w:sz w:val="23"/>
                <w:szCs w:val="23"/>
              </w:rPr>
              <w:t>Annual GTSR Program Progress Report</w:t>
            </w:r>
          </w:p>
          <w:p w14:paraId="779C46C7" w14:textId="77777777" w:rsidR="0076358A" w:rsidRPr="0076358A" w:rsidRDefault="0076358A" w:rsidP="002B6E34">
            <w:pPr>
              <w:rPr>
                <w:rFonts w:ascii="Palatino Linotype" w:hAnsi="Palatino Linotype" w:cs="Arial"/>
                <w:sz w:val="23"/>
                <w:szCs w:val="23"/>
              </w:rPr>
            </w:pPr>
          </w:p>
          <w:p w14:paraId="415435EE" w14:textId="77777777" w:rsidR="0076358A" w:rsidRPr="0076358A" w:rsidRDefault="0076358A" w:rsidP="002B6E34">
            <w:pPr>
              <w:rPr>
                <w:rFonts w:ascii="Palatino Linotype" w:hAnsi="Palatino Linotype" w:cs="Arial"/>
                <w:sz w:val="23"/>
                <w:szCs w:val="23"/>
              </w:rPr>
            </w:pPr>
          </w:p>
          <w:p w14:paraId="56A5CC31" w14:textId="77777777" w:rsidR="0076358A" w:rsidRPr="0076358A" w:rsidRDefault="0076358A" w:rsidP="002B6E34">
            <w:pPr>
              <w:rPr>
                <w:rFonts w:ascii="Palatino Linotype" w:hAnsi="Palatino Linotype" w:cs="Arial"/>
                <w:sz w:val="23"/>
                <w:szCs w:val="23"/>
              </w:rPr>
            </w:pPr>
          </w:p>
          <w:p w14:paraId="319760BF" w14:textId="77777777" w:rsidR="0076358A" w:rsidRPr="0076358A" w:rsidRDefault="0076358A" w:rsidP="002B6E34">
            <w:pPr>
              <w:rPr>
                <w:rFonts w:ascii="Palatino Linotype" w:hAnsi="Palatino Linotype" w:cs="Arial"/>
                <w:sz w:val="23"/>
                <w:szCs w:val="23"/>
              </w:rPr>
            </w:pPr>
          </w:p>
          <w:p w14:paraId="17675D46" w14:textId="77777777" w:rsidR="0076358A" w:rsidRPr="0076358A" w:rsidRDefault="0076358A" w:rsidP="002B6E34">
            <w:pPr>
              <w:rPr>
                <w:rFonts w:ascii="Palatino Linotype" w:hAnsi="Palatino Linotype" w:cs="Arial"/>
                <w:sz w:val="23"/>
                <w:szCs w:val="23"/>
              </w:rPr>
            </w:pPr>
          </w:p>
          <w:p w14:paraId="737210C1" w14:textId="77777777" w:rsidR="0076358A" w:rsidRPr="0076358A" w:rsidRDefault="0076358A" w:rsidP="002B6E34">
            <w:pPr>
              <w:rPr>
                <w:rFonts w:ascii="Palatino Linotype" w:hAnsi="Palatino Linotype" w:cs="Arial"/>
                <w:sz w:val="23"/>
                <w:szCs w:val="23"/>
              </w:rPr>
            </w:pPr>
          </w:p>
          <w:p w14:paraId="79F9C381" w14:textId="77777777" w:rsidR="0076358A" w:rsidRPr="0076358A" w:rsidRDefault="0076358A" w:rsidP="002B6E34">
            <w:pPr>
              <w:rPr>
                <w:rFonts w:ascii="Palatino Linotype" w:hAnsi="Palatino Linotype" w:cs="Arial"/>
                <w:sz w:val="23"/>
                <w:szCs w:val="23"/>
              </w:rPr>
            </w:pPr>
          </w:p>
          <w:p w14:paraId="7DCE34C1" w14:textId="77777777" w:rsidR="0076358A" w:rsidRPr="0076358A" w:rsidRDefault="0076358A" w:rsidP="002B6E34">
            <w:pPr>
              <w:rPr>
                <w:rFonts w:ascii="Palatino Linotype" w:hAnsi="Palatino Linotype" w:cs="Arial"/>
                <w:sz w:val="23"/>
                <w:szCs w:val="23"/>
              </w:rPr>
            </w:pPr>
          </w:p>
          <w:p w14:paraId="6ACACAEB" w14:textId="77777777" w:rsidR="0076358A" w:rsidRPr="0076358A" w:rsidRDefault="0076358A" w:rsidP="002B6E34">
            <w:pPr>
              <w:rPr>
                <w:rFonts w:ascii="Palatino Linotype" w:hAnsi="Palatino Linotype" w:cs="Arial"/>
                <w:sz w:val="23"/>
                <w:szCs w:val="23"/>
              </w:rPr>
            </w:pPr>
          </w:p>
          <w:p w14:paraId="00D78E7D" w14:textId="77777777" w:rsidR="0076358A" w:rsidRPr="0076358A" w:rsidRDefault="0076358A" w:rsidP="002B6E34">
            <w:pPr>
              <w:rPr>
                <w:rFonts w:ascii="Palatino Linotype" w:hAnsi="Palatino Linotype" w:cs="Arial"/>
                <w:sz w:val="23"/>
                <w:szCs w:val="23"/>
              </w:rPr>
            </w:pPr>
          </w:p>
        </w:tc>
        <w:tc>
          <w:tcPr>
            <w:tcW w:w="1380" w:type="dxa"/>
          </w:tcPr>
          <w:p w14:paraId="6882014A" w14:textId="77777777" w:rsidR="0076358A" w:rsidRPr="0076358A" w:rsidRDefault="0076358A" w:rsidP="002B6E34">
            <w:pPr>
              <w:rPr>
                <w:rFonts w:ascii="Palatino Linotype" w:hAnsi="Palatino Linotype" w:cs="Arial"/>
                <w:sz w:val="23"/>
                <w:szCs w:val="23"/>
              </w:rPr>
            </w:pPr>
            <w:r w:rsidRPr="0076358A">
              <w:rPr>
                <w:rFonts w:ascii="Palatino Linotype" w:hAnsi="Palatino Linotype" w:cs="Arial"/>
                <w:sz w:val="23"/>
                <w:szCs w:val="23"/>
              </w:rPr>
              <w:t>No change</w:t>
            </w:r>
          </w:p>
        </w:tc>
        <w:tc>
          <w:tcPr>
            <w:tcW w:w="1354" w:type="dxa"/>
            <w:hideMark/>
          </w:tcPr>
          <w:p w14:paraId="5E785058" w14:textId="77777777" w:rsidR="0076358A" w:rsidRPr="0076358A" w:rsidRDefault="0076358A" w:rsidP="002B6E34">
            <w:pPr>
              <w:rPr>
                <w:rFonts w:ascii="Palatino Linotype" w:hAnsi="Palatino Linotype" w:cs="Arial"/>
                <w:sz w:val="23"/>
                <w:szCs w:val="23"/>
              </w:rPr>
            </w:pPr>
            <w:r w:rsidRPr="0076358A">
              <w:rPr>
                <w:rFonts w:ascii="Palatino Linotype" w:hAnsi="Palatino Linotype" w:cs="Arial"/>
                <w:sz w:val="23"/>
                <w:szCs w:val="23"/>
              </w:rPr>
              <w:t>D.15-01-051 at 141 and 182, OP 10</w:t>
            </w:r>
          </w:p>
        </w:tc>
        <w:tc>
          <w:tcPr>
            <w:tcW w:w="3397" w:type="dxa"/>
            <w:hideMark/>
          </w:tcPr>
          <w:p w14:paraId="48AF2AD1" w14:textId="77777777" w:rsidR="0076358A" w:rsidRPr="0076358A" w:rsidRDefault="0076358A" w:rsidP="00661A6B">
            <w:pPr>
              <w:pStyle w:val="ListParagraph"/>
              <w:numPr>
                <w:ilvl w:val="0"/>
                <w:numId w:val="17"/>
              </w:numPr>
              <w:rPr>
                <w:rFonts w:ascii="Palatino Linotype" w:hAnsi="Palatino Linotype" w:cs="Arial"/>
                <w:sz w:val="23"/>
                <w:szCs w:val="23"/>
              </w:rPr>
            </w:pPr>
            <w:r w:rsidRPr="0076358A">
              <w:rPr>
                <w:rFonts w:ascii="Palatino Linotype" w:hAnsi="Palatino Linotype" w:cs="Arial"/>
                <w:sz w:val="23"/>
                <w:szCs w:val="23"/>
              </w:rPr>
              <w:t>Enrollment Reporting</w:t>
            </w:r>
          </w:p>
          <w:p w14:paraId="030A6E85" w14:textId="77777777" w:rsidR="0076358A" w:rsidRPr="0076358A" w:rsidRDefault="0076358A" w:rsidP="00661A6B">
            <w:pPr>
              <w:pStyle w:val="ListParagraph"/>
              <w:numPr>
                <w:ilvl w:val="0"/>
                <w:numId w:val="17"/>
              </w:numPr>
              <w:rPr>
                <w:rFonts w:ascii="Palatino Linotype" w:hAnsi="Palatino Linotype" w:cs="Arial"/>
                <w:sz w:val="23"/>
                <w:szCs w:val="23"/>
              </w:rPr>
            </w:pPr>
            <w:r w:rsidRPr="0076358A">
              <w:rPr>
                <w:rFonts w:ascii="Palatino Linotype" w:hAnsi="Palatino Linotype" w:cs="Arial"/>
                <w:sz w:val="23"/>
                <w:szCs w:val="23"/>
              </w:rPr>
              <w:t>Cost of generation transferred between the RPS and GTSR Program</w:t>
            </w:r>
          </w:p>
          <w:p w14:paraId="423E8895" w14:textId="77777777" w:rsidR="0076358A" w:rsidRPr="0076358A" w:rsidRDefault="0076358A" w:rsidP="00661A6B">
            <w:pPr>
              <w:pStyle w:val="ListParagraph"/>
              <w:numPr>
                <w:ilvl w:val="0"/>
                <w:numId w:val="17"/>
              </w:numPr>
              <w:rPr>
                <w:rFonts w:ascii="Palatino Linotype" w:hAnsi="Palatino Linotype" w:cs="Arial"/>
                <w:sz w:val="23"/>
                <w:szCs w:val="23"/>
              </w:rPr>
            </w:pPr>
            <w:r w:rsidRPr="0076358A">
              <w:rPr>
                <w:rFonts w:ascii="Palatino Linotype" w:hAnsi="Palatino Linotype" w:cs="Arial"/>
                <w:sz w:val="23"/>
                <w:szCs w:val="23"/>
              </w:rPr>
              <w:t xml:space="preserve">GTSR Revenue and Cost Reporting </w:t>
            </w:r>
          </w:p>
          <w:p w14:paraId="740A92AC" w14:textId="77777777" w:rsidR="0076358A" w:rsidRPr="0076358A" w:rsidRDefault="0076358A" w:rsidP="00661A6B">
            <w:pPr>
              <w:pStyle w:val="ListParagraph"/>
              <w:numPr>
                <w:ilvl w:val="0"/>
                <w:numId w:val="17"/>
              </w:numPr>
              <w:rPr>
                <w:rFonts w:ascii="Palatino Linotype" w:hAnsi="Palatino Linotype" w:cs="Arial"/>
                <w:sz w:val="23"/>
                <w:szCs w:val="23"/>
              </w:rPr>
            </w:pPr>
            <w:r w:rsidRPr="0076358A">
              <w:rPr>
                <w:rFonts w:ascii="Palatino Linotype" w:hAnsi="Palatino Linotype" w:cs="Arial"/>
                <w:sz w:val="23"/>
                <w:szCs w:val="23"/>
              </w:rPr>
              <w:t>Advisory Group Activities</w:t>
            </w:r>
          </w:p>
          <w:p w14:paraId="54A9B975" w14:textId="77777777" w:rsidR="0076358A" w:rsidRPr="0076358A" w:rsidRDefault="0076358A" w:rsidP="00661A6B">
            <w:pPr>
              <w:pStyle w:val="ListParagraph"/>
              <w:numPr>
                <w:ilvl w:val="0"/>
                <w:numId w:val="17"/>
              </w:numPr>
              <w:rPr>
                <w:rFonts w:ascii="Palatino Linotype" w:hAnsi="Palatino Linotype" w:cs="Arial"/>
                <w:sz w:val="23"/>
                <w:szCs w:val="23"/>
              </w:rPr>
            </w:pPr>
            <w:r w:rsidRPr="0076358A">
              <w:rPr>
                <w:rFonts w:ascii="Palatino Linotype" w:hAnsi="Palatino Linotype" w:cs="Arial"/>
                <w:sz w:val="23"/>
                <w:szCs w:val="23"/>
              </w:rPr>
              <w:t>Marketing Report</w:t>
            </w:r>
          </w:p>
          <w:p w14:paraId="0E3CA9C7" w14:textId="77777777" w:rsidR="0076358A" w:rsidRPr="0076358A" w:rsidRDefault="0076358A" w:rsidP="00661A6B">
            <w:pPr>
              <w:pStyle w:val="ListParagraph"/>
              <w:numPr>
                <w:ilvl w:val="0"/>
                <w:numId w:val="17"/>
              </w:numPr>
              <w:rPr>
                <w:rFonts w:ascii="Palatino Linotype" w:hAnsi="Palatino Linotype" w:cs="Arial"/>
                <w:sz w:val="23"/>
                <w:szCs w:val="23"/>
              </w:rPr>
            </w:pPr>
            <w:r w:rsidRPr="0076358A">
              <w:rPr>
                <w:rFonts w:ascii="Palatino Linotype" w:hAnsi="Palatino Linotype" w:cs="Arial"/>
                <w:sz w:val="23"/>
                <w:szCs w:val="23"/>
              </w:rPr>
              <w:t>CCA Code of Conduct Report</w:t>
            </w:r>
          </w:p>
          <w:p w14:paraId="4849FCD4" w14:textId="77777777" w:rsidR="0076358A" w:rsidRPr="0076358A" w:rsidRDefault="0076358A" w:rsidP="00661A6B">
            <w:pPr>
              <w:pStyle w:val="ListParagraph"/>
              <w:numPr>
                <w:ilvl w:val="0"/>
                <w:numId w:val="17"/>
              </w:numPr>
              <w:rPr>
                <w:rFonts w:ascii="Palatino Linotype" w:hAnsi="Palatino Linotype" w:cs="Arial"/>
                <w:sz w:val="23"/>
                <w:szCs w:val="23"/>
              </w:rPr>
            </w:pPr>
            <w:r w:rsidRPr="0076358A">
              <w:rPr>
                <w:rFonts w:ascii="Palatino Linotype" w:hAnsi="Palatino Linotype" w:cs="Arial"/>
                <w:sz w:val="23"/>
                <w:szCs w:val="23"/>
              </w:rPr>
              <w:t>Supplier diversity</w:t>
            </w:r>
          </w:p>
          <w:p w14:paraId="59751A12" w14:textId="77777777" w:rsidR="0076358A" w:rsidRPr="0076358A" w:rsidRDefault="0076358A" w:rsidP="00661A6B">
            <w:pPr>
              <w:pStyle w:val="ListParagraph"/>
              <w:numPr>
                <w:ilvl w:val="0"/>
                <w:numId w:val="17"/>
              </w:numPr>
              <w:rPr>
                <w:rFonts w:ascii="Palatino Linotype" w:hAnsi="Palatino Linotype" w:cs="Arial"/>
                <w:sz w:val="23"/>
                <w:szCs w:val="23"/>
              </w:rPr>
            </w:pPr>
            <w:r w:rsidRPr="0076358A">
              <w:rPr>
                <w:rFonts w:ascii="Palatino Linotype" w:hAnsi="Palatino Linotype" w:cs="Arial"/>
                <w:sz w:val="23"/>
                <w:szCs w:val="23"/>
              </w:rPr>
              <w:t xml:space="preserve">CARE Enrollment </w:t>
            </w:r>
          </w:p>
          <w:p w14:paraId="7C760232" w14:textId="77777777" w:rsidR="0076358A" w:rsidRPr="0076358A" w:rsidRDefault="0076358A" w:rsidP="00661A6B">
            <w:pPr>
              <w:pStyle w:val="ListParagraph"/>
              <w:numPr>
                <w:ilvl w:val="0"/>
                <w:numId w:val="17"/>
              </w:numPr>
              <w:rPr>
                <w:rFonts w:ascii="Palatino Linotype" w:hAnsi="Palatino Linotype" w:cs="Arial"/>
                <w:sz w:val="23"/>
                <w:szCs w:val="23"/>
              </w:rPr>
            </w:pPr>
            <w:r w:rsidRPr="0076358A">
              <w:rPr>
                <w:rFonts w:ascii="Palatino Linotype" w:hAnsi="Palatino Linotype" w:cs="Arial"/>
                <w:sz w:val="23"/>
                <w:szCs w:val="23"/>
              </w:rPr>
              <w:t>Reports of fraud or misleading ads</w:t>
            </w:r>
          </w:p>
          <w:p w14:paraId="563F3A50" w14:textId="77777777" w:rsidR="0076358A" w:rsidRPr="0076358A" w:rsidRDefault="0076358A" w:rsidP="00661A6B">
            <w:pPr>
              <w:pStyle w:val="ListParagraph"/>
              <w:numPr>
                <w:ilvl w:val="0"/>
                <w:numId w:val="17"/>
              </w:numPr>
              <w:rPr>
                <w:rFonts w:ascii="Palatino Linotype" w:hAnsi="Palatino Linotype" w:cs="Arial"/>
                <w:sz w:val="23"/>
                <w:szCs w:val="23"/>
              </w:rPr>
            </w:pPr>
            <w:r w:rsidRPr="0076358A">
              <w:rPr>
                <w:rFonts w:ascii="Palatino Linotype" w:hAnsi="Palatino Linotype" w:cs="Arial"/>
                <w:sz w:val="23"/>
                <w:szCs w:val="23"/>
              </w:rPr>
              <w:t xml:space="preserve">Enrollment figures for low-income customers and subscribers who speak a </w:t>
            </w:r>
            <w:r w:rsidRPr="0076358A">
              <w:rPr>
                <w:rFonts w:ascii="Palatino Linotype" w:hAnsi="Palatino Linotype" w:cs="Arial"/>
                <w:sz w:val="23"/>
                <w:szCs w:val="23"/>
              </w:rPr>
              <w:lastRenderedPageBreak/>
              <w:t>language other than English at home.</w:t>
            </w:r>
          </w:p>
          <w:p w14:paraId="52ACFC88" w14:textId="77777777" w:rsidR="0076358A" w:rsidRPr="0076358A" w:rsidRDefault="0076358A" w:rsidP="002B6E34">
            <w:pPr>
              <w:rPr>
                <w:rFonts w:ascii="Palatino Linotype" w:hAnsi="Palatino Linotype" w:cs="Arial"/>
                <w:sz w:val="23"/>
                <w:szCs w:val="23"/>
              </w:rPr>
            </w:pPr>
          </w:p>
          <w:p w14:paraId="5160D5B5" w14:textId="77777777" w:rsidR="0076358A" w:rsidRPr="0076358A" w:rsidRDefault="0076358A" w:rsidP="002B6E34">
            <w:pPr>
              <w:rPr>
                <w:rFonts w:ascii="Palatino Linotype" w:hAnsi="Palatino Linotype" w:cs="Arial"/>
                <w:sz w:val="23"/>
                <w:szCs w:val="23"/>
              </w:rPr>
            </w:pPr>
          </w:p>
          <w:p w14:paraId="0AF3549A" w14:textId="77777777" w:rsidR="0076358A" w:rsidRPr="0076358A" w:rsidRDefault="0076358A" w:rsidP="002B6E34">
            <w:pPr>
              <w:rPr>
                <w:rFonts w:ascii="Palatino Linotype" w:hAnsi="Palatino Linotype" w:cs="Arial"/>
                <w:sz w:val="23"/>
                <w:szCs w:val="23"/>
              </w:rPr>
            </w:pPr>
          </w:p>
        </w:tc>
        <w:tc>
          <w:tcPr>
            <w:tcW w:w="2430" w:type="dxa"/>
          </w:tcPr>
          <w:p w14:paraId="3401553D" w14:textId="77777777" w:rsidR="0076358A" w:rsidRPr="0076358A" w:rsidRDefault="0076358A" w:rsidP="00661A6B">
            <w:pPr>
              <w:pStyle w:val="ListParagraph"/>
              <w:numPr>
                <w:ilvl w:val="0"/>
                <w:numId w:val="17"/>
              </w:numPr>
              <w:rPr>
                <w:rFonts w:ascii="Palatino Linotype" w:hAnsi="Palatino Linotype" w:cs="Arial"/>
                <w:sz w:val="23"/>
                <w:szCs w:val="23"/>
              </w:rPr>
            </w:pPr>
            <w:r w:rsidRPr="0076358A">
              <w:rPr>
                <w:rFonts w:ascii="Palatino Linotype" w:hAnsi="Palatino Linotype" w:cs="Arial"/>
                <w:sz w:val="23"/>
                <w:szCs w:val="23"/>
              </w:rPr>
              <w:lastRenderedPageBreak/>
              <w:t>Remove Marketing Report (move to MIAL)</w:t>
            </w:r>
          </w:p>
          <w:p w14:paraId="322FCEF7" w14:textId="77777777" w:rsidR="0076358A" w:rsidRPr="0076358A" w:rsidRDefault="0076358A" w:rsidP="00661A6B">
            <w:pPr>
              <w:pStyle w:val="ListParagraph"/>
              <w:numPr>
                <w:ilvl w:val="0"/>
                <w:numId w:val="17"/>
              </w:numPr>
              <w:rPr>
                <w:rFonts w:ascii="Palatino Linotype" w:hAnsi="Palatino Linotype" w:cs="Arial"/>
                <w:sz w:val="23"/>
                <w:szCs w:val="23"/>
              </w:rPr>
            </w:pPr>
            <w:r w:rsidRPr="0076358A">
              <w:rPr>
                <w:rFonts w:ascii="Palatino Linotype" w:hAnsi="Palatino Linotype" w:cs="Arial"/>
                <w:sz w:val="23"/>
                <w:szCs w:val="23"/>
              </w:rPr>
              <w:t xml:space="preserve">Attach Annual GTSR 20-Year Forecast </w:t>
            </w:r>
          </w:p>
        </w:tc>
      </w:tr>
      <w:tr w:rsidR="00032E00" w14:paraId="31B1349B" w14:textId="77777777">
        <w:trPr>
          <w:trHeight w:val="530"/>
        </w:trPr>
        <w:tc>
          <w:tcPr>
            <w:tcW w:w="4523" w:type="dxa"/>
            <w:gridSpan w:val="3"/>
            <w:shd w:val="clear" w:color="auto" w:fill="C5E0B3" w:themeFill="accent6" w:themeFillTint="66"/>
            <w:vAlign w:val="center"/>
          </w:tcPr>
          <w:p w14:paraId="47311F46" w14:textId="77777777" w:rsidR="0076358A" w:rsidRPr="0076358A" w:rsidRDefault="0076358A" w:rsidP="002B6E34">
            <w:pPr>
              <w:jc w:val="center"/>
              <w:rPr>
                <w:rFonts w:ascii="Palatino Linotype" w:hAnsi="Palatino Linotype" w:cs="Arial"/>
                <w:b/>
                <w:bCs/>
                <w:sz w:val="23"/>
                <w:szCs w:val="23"/>
              </w:rPr>
            </w:pPr>
            <w:r w:rsidRPr="0076358A">
              <w:rPr>
                <w:rFonts w:ascii="Palatino Linotype" w:hAnsi="Palatino Linotype" w:cs="Arial"/>
                <w:b/>
                <w:bCs/>
                <w:sz w:val="23"/>
                <w:szCs w:val="23"/>
              </w:rPr>
              <w:lastRenderedPageBreak/>
              <w:t>Reports</w:t>
            </w:r>
          </w:p>
        </w:tc>
        <w:tc>
          <w:tcPr>
            <w:tcW w:w="5827" w:type="dxa"/>
            <w:gridSpan w:val="2"/>
            <w:shd w:val="clear" w:color="auto" w:fill="C5E0B3" w:themeFill="accent6" w:themeFillTint="66"/>
            <w:vAlign w:val="center"/>
          </w:tcPr>
          <w:p w14:paraId="42898B49" w14:textId="77777777" w:rsidR="0076358A" w:rsidRPr="0076358A" w:rsidRDefault="0076358A" w:rsidP="002B6E34">
            <w:pPr>
              <w:pStyle w:val="ListParagraph"/>
              <w:ind w:left="360"/>
              <w:jc w:val="center"/>
              <w:rPr>
                <w:rFonts w:ascii="Palatino Linotype" w:hAnsi="Palatino Linotype" w:cs="Arial"/>
                <w:b/>
                <w:bCs/>
                <w:sz w:val="23"/>
                <w:szCs w:val="23"/>
              </w:rPr>
            </w:pPr>
            <w:r w:rsidRPr="0076358A">
              <w:rPr>
                <w:rFonts w:ascii="Palatino Linotype" w:hAnsi="Palatino Linotype" w:cs="Arial"/>
                <w:b/>
                <w:bCs/>
                <w:sz w:val="23"/>
                <w:szCs w:val="23"/>
              </w:rPr>
              <w:t>Contents</w:t>
            </w:r>
          </w:p>
        </w:tc>
      </w:tr>
      <w:tr w:rsidR="00032E00" w14:paraId="138A9887" w14:textId="77777777">
        <w:trPr>
          <w:trHeight w:val="800"/>
        </w:trPr>
        <w:tc>
          <w:tcPr>
            <w:tcW w:w="1789" w:type="dxa"/>
            <w:shd w:val="clear" w:color="auto" w:fill="D9D9D9" w:themeFill="background1" w:themeFillShade="D9"/>
            <w:vAlign w:val="center"/>
          </w:tcPr>
          <w:p w14:paraId="763BE3EA" w14:textId="77777777" w:rsidR="0076358A" w:rsidRPr="0076358A" w:rsidRDefault="0076358A" w:rsidP="002B6E34">
            <w:pPr>
              <w:jc w:val="center"/>
              <w:rPr>
                <w:rFonts w:ascii="Palatino Linotype" w:hAnsi="Palatino Linotype" w:cs="Arial"/>
                <w:b/>
                <w:bCs/>
                <w:sz w:val="23"/>
                <w:szCs w:val="23"/>
              </w:rPr>
            </w:pPr>
            <w:r w:rsidRPr="0076358A">
              <w:rPr>
                <w:rFonts w:ascii="Palatino Linotype" w:hAnsi="Palatino Linotype" w:cs="Arial"/>
                <w:b/>
                <w:bCs/>
                <w:sz w:val="23"/>
                <w:szCs w:val="23"/>
              </w:rPr>
              <w:t>Current</w:t>
            </w:r>
          </w:p>
          <w:p w14:paraId="72A37E64" w14:textId="77777777" w:rsidR="0076358A" w:rsidRPr="0076358A" w:rsidRDefault="0076358A" w:rsidP="002B6E34">
            <w:pPr>
              <w:jc w:val="center"/>
              <w:rPr>
                <w:rFonts w:ascii="Palatino Linotype" w:hAnsi="Palatino Linotype" w:cs="Arial"/>
                <w:sz w:val="23"/>
                <w:szCs w:val="23"/>
              </w:rPr>
            </w:pPr>
            <w:r w:rsidRPr="0076358A">
              <w:rPr>
                <w:rFonts w:ascii="Palatino Linotype" w:hAnsi="Palatino Linotype" w:cs="Arial"/>
                <w:b/>
                <w:bCs/>
                <w:sz w:val="23"/>
                <w:szCs w:val="23"/>
              </w:rPr>
              <w:t>Name</w:t>
            </w:r>
          </w:p>
        </w:tc>
        <w:tc>
          <w:tcPr>
            <w:tcW w:w="1380" w:type="dxa"/>
            <w:shd w:val="clear" w:color="auto" w:fill="D9D9D9" w:themeFill="background1" w:themeFillShade="D9"/>
            <w:vAlign w:val="center"/>
          </w:tcPr>
          <w:p w14:paraId="0534C23C" w14:textId="77777777" w:rsidR="0076358A" w:rsidRPr="0076358A" w:rsidRDefault="0076358A" w:rsidP="002B6E34">
            <w:pPr>
              <w:jc w:val="center"/>
              <w:rPr>
                <w:rFonts w:ascii="Palatino Linotype" w:hAnsi="Palatino Linotype" w:cs="Arial"/>
                <w:sz w:val="23"/>
                <w:szCs w:val="23"/>
              </w:rPr>
            </w:pPr>
            <w:r w:rsidRPr="0076358A">
              <w:rPr>
                <w:rFonts w:ascii="Palatino Linotype" w:hAnsi="Palatino Linotype" w:cs="Arial"/>
                <w:b/>
                <w:bCs/>
                <w:sz w:val="23"/>
                <w:szCs w:val="23"/>
              </w:rPr>
              <w:t>Proposed Name</w:t>
            </w:r>
          </w:p>
        </w:tc>
        <w:tc>
          <w:tcPr>
            <w:tcW w:w="1354" w:type="dxa"/>
            <w:shd w:val="clear" w:color="auto" w:fill="D9D9D9" w:themeFill="background1" w:themeFillShade="D9"/>
            <w:vAlign w:val="center"/>
          </w:tcPr>
          <w:p w14:paraId="540C2DAB" w14:textId="77777777" w:rsidR="0076358A" w:rsidRPr="0076358A" w:rsidRDefault="0076358A" w:rsidP="002B6E34">
            <w:pPr>
              <w:jc w:val="center"/>
              <w:rPr>
                <w:rFonts w:ascii="Palatino Linotype" w:hAnsi="Palatino Linotype" w:cs="Arial"/>
                <w:b/>
                <w:bCs/>
                <w:sz w:val="23"/>
                <w:szCs w:val="23"/>
              </w:rPr>
            </w:pPr>
            <w:r w:rsidRPr="0076358A">
              <w:rPr>
                <w:rFonts w:ascii="Palatino Linotype" w:hAnsi="Palatino Linotype" w:cs="Arial"/>
                <w:b/>
                <w:bCs/>
                <w:sz w:val="23"/>
                <w:szCs w:val="23"/>
              </w:rPr>
              <w:t>Decision</w:t>
            </w:r>
          </w:p>
          <w:p w14:paraId="7240E9F6" w14:textId="77777777" w:rsidR="0076358A" w:rsidRPr="0076358A" w:rsidRDefault="0076358A" w:rsidP="002B6E34">
            <w:pPr>
              <w:jc w:val="center"/>
              <w:rPr>
                <w:rFonts w:ascii="Palatino Linotype" w:hAnsi="Palatino Linotype" w:cs="Arial"/>
                <w:sz w:val="23"/>
                <w:szCs w:val="23"/>
              </w:rPr>
            </w:pPr>
            <w:r w:rsidRPr="0076358A">
              <w:rPr>
                <w:rFonts w:ascii="Palatino Linotype" w:hAnsi="Palatino Linotype" w:cs="Arial"/>
                <w:b/>
                <w:bCs/>
                <w:sz w:val="23"/>
                <w:szCs w:val="23"/>
              </w:rPr>
              <w:t>Location</w:t>
            </w:r>
          </w:p>
        </w:tc>
        <w:tc>
          <w:tcPr>
            <w:tcW w:w="3397" w:type="dxa"/>
            <w:shd w:val="clear" w:color="auto" w:fill="D9D9D9" w:themeFill="background1" w:themeFillShade="D9"/>
            <w:vAlign w:val="center"/>
          </w:tcPr>
          <w:p w14:paraId="3F5C7156" w14:textId="77777777" w:rsidR="0076358A" w:rsidRPr="0076358A" w:rsidRDefault="0076358A" w:rsidP="002B6E34">
            <w:pPr>
              <w:pStyle w:val="ListParagraph"/>
              <w:ind w:left="360"/>
              <w:jc w:val="center"/>
              <w:rPr>
                <w:rFonts w:ascii="Palatino Linotype" w:hAnsi="Palatino Linotype" w:cs="Arial"/>
                <w:sz w:val="23"/>
                <w:szCs w:val="23"/>
              </w:rPr>
            </w:pPr>
            <w:r w:rsidRPr="0076358A">
              <w:rPr>
                <w:rFonts w:ascii="Palatino Linotype" w:hAnsi="Palatino Linotype" w:cs="Arial"/>
                <w:b/>
                <w:bCs/>
                <w:sz w:val="23"/>
                <w:szCs w:val="23"/>
              </w:rPr>
              <w:t>Current Report Information</w:t>
            </w:r>
          </w:p>
        </w:tc>
        <w:tc>
          <w:tcPr>
            <w:tcW w:w="2430" w:type="dxa"/>
            <w:shd w:val="clear" w:color="auto" w:fill="D9D9D9" w:themeFill="background1" w:themeFillShade="D9"/>
            <w:vAlign w:val="center"/>
          </w:tcPr>
          <w:p w14:paraId="5874CA88" w14:textId="77777777" w:rsidR="0076358A" w:rsidRPr="0076358A" w:rsidRDefault="0076358A" w:rsidP="002B6E34">
            <w:pPr>
              <w:pStyle w:val="ListParagraph"/>
              <w:ind w:left="360"/>
              <w:jc w:val="center"/>
              <w:rPr>
                <w:rFonts w:ascii="Palatino Linotype" w:hAnsi="Palatino Linotype" w:cs="Arial"/>
                <w:sz w:val="23"/>
                <w:szCs w:val="23"/>
              </w:rPr>
            </w:pPr>
            <w:r w:rsidRPr="0076358A">
              <w:rPr>
                <w:rFonts w:ascii="Palatino Linotype" w:hAnsi="Palatino Linotype" w:cs="Arial"/>
                <w:b/>
                <w:bCs/>
                <w:sz w:val="23"/>
                <w:szCs w:val="23"/>
              </w:rPr>
              <w:t>Proposed Report Changes</w:t>
            </w:r>
          </w:p>
        </w:tc>
      </w:tr>
      <w:tr w:rsidR="00032E00" w14:paraId="7BC6469E" w14:textId="77777777">
        <w:trPr>
          <w:trHeight w:val="900"/>
        </w:trPr>
        <w:tc>
          <w:tcPr>
            <w:tcW w:w="1789" w:type="dxa"/>
          </w:tcPr>
          <w:p w14:paraId="470A33B5" w14:textId="77777777" w:rsidR="0076358A" w:rsidRPr="0076358A" w:rsidRDefault="0076358A" w:rsidP="002B6E34">
            <w:pPr>
              <w:rPr>
                <w:rFonts w:ascii="Palatino Linotype" w:hAnsi="Palatino Linotype" w:cs="Arial"/>
                <w:sz w:val="23"/>
                <w:szCs w:val="23"/>
              </w:rPr>
            </w:pPr>
            <w:r w:rsidRPr="0076358A">
              <w:rPr>
                <w:rFonts w:ascii="Palatino Linotype" w:hAnsi="Palatino Linotype" w:cs="Arial"/>
                <w:sz w:val="23"/>
                <w:szCs w:val="23"/>
              </w:rPr>
              <w:t xml:space="preserve">Annual GTSR 20-year Forecast </w:t>
            </w:r>
          </w:p>
        </w:tc>
        <w:tc>
          <w:tcPr>
            <w:tcW w:w="1380" w:type="dxa"/>
          </w:tcPr>
          <w:p w14:paraId="6D6E7739" w14:textId="77777777" w:rsidR="0076358A" w:rsidRPr="0076358A" w:rsidRDefault="0076358A" w:rsidP="002B6E34">
            <w:pPr>
              <w:rPr>
                <w:rFonts w:ascii="Palatino Linotype" w:hAnsi="Palatino Linotype" w:cs="Arial"/>
                <w:sz w:val="23"/>
                <w:szCs w:val="23"/>
              </w:rPr>
            </w:pPr>
            <w:r w:rsidRPr="0076358A">
              <w:rPr>
                <w:rFonts w:ascii="Palatino Linotype" w:hAnsi="Palatino Linotype" w:cs="Arial"/>
                <w:sz w:val="23"/>
                <w:szCs w:val="23"/>
              </w:rPr>
              <w:t>Annual GTSR Program Progress Report</w:t>
            </w:r>
          </w:p>
        </w:tc>
        <w:tc>
          <w:tcPr>
            <w:tcW w:w="1354" w:type="dxa"/>
          </w:tcPr>
          <w:p w14:paraId="41E0C90E" w14:textId="77777777" w:rsidR="0076358A" w:rsidRPr="0076358A" w:rsidRDefault="0076358A" w:rsidP="002B6E34">
            <w:pPr>
              <w:rPr>
                <w:rFonts w:ascii="Palatino Linotype" w:hAnsi="Palatino Linotype" w:cs="Arial"/>
                <w:sz w:val="23"/>
                <w:szCs w:val="23"/>
              </w:rPr>
            </w:pPr>
            <w:r w:rsidRPr="0076358A">
              <w:rPr>
                <w:rFonts w:ascii="Palatino Linotype" w:hAnsi="Palatino Linotype" w:cs="Arial"/>
                <w:sz w:val="23"/>
                <w:szCs w:val="23"/>
              </w:rPr>
              <w:t>D.16-05-006 at 27-28 and 43, OP 7</w:t>
            </w:r>
          </w:p>
        </w:tc>
        <w:tc>
          <w:tcPr>
            <w:tcW w:w="3397" w:type="dxa"/>
          </w:tcPr>
          <w:p w14:paraId="678E07F5" w14:textId="77777777" w:rsidR="0076358A" w:rsidRPr="0076358A" w:rsidRDefault="0076358A" w:rsidP="00661A6B">
            <w:pPr>
              <w:pStyle w:val="ListParagraph"/>
              <w:numPr>
                <w:ilvl w:val="0"/>
                <w:numId w:val="18"/>
              </w:numPr>
              <w:rPr>
                <w:rFonts w:ascii="Palatino Linotype" w:hAnsi="Palatino Linotype" w:cs="Arial"/>
                <w:sz w:val="23"/>
                <w:szCs w:val="23"/>
              </w:rPr>
            </w:pPr>
            <w:r w:rsidRPr="0076358A">
              <w:rPr>
                <w:rFonts w:ascii="Palatino Linotype" w:hAnsi="Palatino Linotype" w:cs="Arial"/>
                <w:sz w:val="23"/>
                <w:szCs w:val="23"/>
              </w:rPr>
              <w:t>20-year forecast of GT and ECR bill credits and charges, required through 2018</w:t>
            </w:r>
          </w:p>
        </w:tc>
        <w:tc>
          <w:tcPr>
            <w:tcW w:w="2430" w:type="dxa"/>
          </w:tcPr>
          <w:p w14:paraId="4ED43518" w14:textId="77777777" w:rsidR="0076358A" w:rsidRPr="0076358A" w:rsidRDefault="0076358A" w:rsidP="00661A6B">
            <w:pPr>
              <w:pStyle w:val="ListParagraph"/>
              <w:numPr>
                <w:ilvl w:val="0"/>
                <w:numId w:val="18"/>
              </w:numPr>
              <w:rPr>
                <w:rFonts w:ascii="Palatino Linotype" w:hAnsi="Palatino Linotype" w:cs="Arial"/>
                <w:sz w:val="23"/>
                <w:szCs w:val="23"/>
              </w:rPr>
            </w:pPr>
            <w:r w:rsidRPr="0076358A">
              <w:rPr>
                <w:rFonts w:ascii="Palatino Linotype" w:hAnsi="Palatino Linotype" w:cs="Arial"/>
                <w:sz w:val="23"/>
                <w:szCs w:val="23"/>
              </w:rPr>
              <w:t>Continue to publish after 2018</w:t>
            </w:r>
          </w:p>
          <w:p w14:paraId="3E05B38F" w14:textId="77777777" w:rsidR="0076358A" w:rsidRPr="0076358A" w:rsidRDefault="0076358A" w:rsidP="00661A6B">
            <w:pPr>
              <w:pStyle w:val="ListParagraph"/>
              <w:numPr>
                <w:ilvl w:val="0"/>
                <w:numId w:val="18"/>
              </w:numPr>
              <w:rPr>
                <w:rFonts w:ascii="Palatino Linotype" w:hAnsi="Palatino Linotype" w:cs="Arial"/>
                <w:sz w:val="23"/>
                <w:szCs w:val="23"/>
              </w:rPr>
            </w:pPr>
            <w:r w:rsidRPr="0076358A">
              <w:rPr>
                <w:rFonts w:ascii="Palatino Linotype" w:hAnsi="Palatino Linotype" w:cs="Arial"/>
                <w:sz w:val="23"/>
                <w:szCs w:val="23"/>
              </w:rPr>
              <w:t>Attach to Annual GTSR Program Progress Report</w:t>
            </w:r>
          </w:p>
        </w:tc>
      </w:tr>
      <w:tr w:rsidR="00032E00" w14:paraId="7F7F4373" w14:textId="77777777">
        <w:trPr>
          <w:trHeight w:val="300"/>
        </w:trPr>
        <w:tc>
          <w:tcPr>
            <w:tcW w:w="1789" w:type="dxa"/>
          </w:tcPr>
          <w:p w14:paraId="00901B28" w14:textId="77777777" w:rsidR="0076358A" w:rsidRPr="0076358A" w:rsidRDefault="0076358A" w:rsidP="002B6E34">
            <w:pPr>
              <w:rPr>
                <w:rFonts w:ascii="Palatino Linotype" w:hAnsi="Palatino Linotype" w:cs="Arial"/>
                <w:sz w:val="23"/>
                <w:szCs w:val="23"/>
              </w:rPr>
            </w:pPr>
            <w:r w:rsidRPr="0076358A">
              <w:rPr>
                <w:rFonts w:ascii="Palatino Linotype" w:hAnsi="Palatino Linotype" w:cs="Arial"/>
                <w:sz w:val="23"/>
                <w:szCs w:val="23"/>
              </w:rPr>
              <w:t>Marketing Implementation Advice Letter (MIAL)</w:t>
            </w:r>
          </w:p>
          <w:p w14:paraId="336E7578" w14:textId="77777777" w:rsidR="0076358A" w:rsidRPr="0076358A" w:rsidRDefault="0076358A" w:rsidP="002B6E34">
            <w:pPr>
              <w:rPr>
                <w:rFonts w:ascii="Palatino Linotype" w:hAnsi="Palatino Linotype" w:cs="Arial"/>
                <w:sz w:val="23"/>
                <w:szCs w:val="23"/>
              </w:rPr>
            </w:pPr>
          </w:p>
        </w:tc>
        <w:tc>
          <w:tcPr>
            <w:tcW w:w="1380" w:type="dxa"/>
          </w:tcPr>
          <w:p w14:paraId="2F9D4F51" w14:textId="77777777" w:rsidR="0076358A" w:rsidRPr="0076358A" w:rsidRDefault="0076358A" w:rsidP="002B6E34">
            <w:pPr>
              <w:rPr>
                <w:rFonts w:ascii="Palatino Linotype" w:hAnsi="Palatino Linotype" w:cs="Arial"/>
                <w:sz w:val="23"/>
                <w:szCs w:val="23"/>
              </w:rPr>
            </w:pPr>
            <w:r w:rsidRPr="0076358A">
              <w:rPr>
                <w:rFonts w:ascii="Palatino Linotype" w:hAnsi="Palatino Linotype" w:cs="Arial"/>
                <w:sz w:val="23"/>
                <w:szCs w:val="23"/>
              </w:rPr>
              <w:t>No change</w:t>
            </w:r>
          </w:p>
        </w:tc>
        <w:tc>
          <w:tcPr>
            <w:tcW w:w="1354" w:type="dxa"/>
          </w:tcPr>
          <w:p w14:paraId="40F8A9C9" w14:textId="77777777" w:rsidR="0076358A" w:rsidRPr="0076358A" w:rsidRDefault="0076358A" w:rsidP="002B6E34">
            <w:pPr>
              <w:rPr>
                <w:rFonts w:ascii="Palatino Linotype" w:hAnsi="Palatino Linotype" w:cs="Arial"/>
                <w:sz w:val="23"/>
                <w:szCs w:val="23"/>
              </w:rPr>
            </w:pPr>
            <w:r w:rsidRPr="0076358A">
              <w:rPr>
                <w:rFonts w:ascii="Palatino Linotype" w:hAnsi="Palatino Linotype" w:cs="Arial"/>
                <w:sz w:val="23"/>
                <w:szCs w:val="23"/>
              </w:rPr>
              <w:t>D.15-01-051 at 180, OP 6</w:t>
            </w:r>
          </w:p>
        </w:tc>
        <w:tc>
          <w:tcPr>
            <w:tcW w:w="3397" w:type="dxa"/>
          </w:tcPr>
          <w:p w14:paraId="1E964D90" w14:textId="77777777" w:rsidR="0076358A" w:rsidRPr="0076358A" w:rsidRDefault="0076358A" w:rsidP="00661A6B">
            <w:pPr>
              <w:pStyle w:val="ListParagraph"/>
              <w:numPr>
                <w:ilvl w:val="0"/>
                <w:numId w:val="19"/>
              </w:numPr>
              <w:rPr>
                <w:rFonts w:ascii="Palatino Linotype" w:hAnsi="Palatino Linotype" w:cs="Arial"/>
                <w:sz w:val="23"/>
                <w:szCs w:val="23"/>
              </w:rPr>
            </w:pPr>
            <w:r w:rsidRPr="0076358A">
              <w:rPr>
                <w:rFonts w:ascii="Palatino Linotype" w:hAnsi="Palatino Linotype" w:cs="Arial"/>
                <w:sz w:val="23"/>
                <w:szCs w:val="23"/>
              </w:rPr>
              <w:t>Assessment of the effectiveness of the prior year’s marketing campaign</w:t>
            </w:r>
          </w:p>
        </w:tc>
        <w:tc>
          <w:tcPr>
            <w:tcW w:w="2430" w:type="dxa"/>
          </w:tcPr>
          <w:p w14:paraId="072A5EB0" w14:textId="77777777" w:rsidR="0076358A" w:rsidRPr="0076358A" w:rsidRDefault="0076358A" w:rsidP="00661A6B">
            <w:pPr>
              <w:pStyle w:val="ListParagraph"/>
              <w:numPr>
                <w:ilvl w:val="0"/>
                <w:numId w:val="19"/>
              </w:numPr>
              <w:rPr>
                <w:rFonts w:ascii="Palatino Linotype" w:hAnsi="Palatino Linotype" w:cs="Arial"/>
                <w:sz w:val="23"/>
                <w:szCs w:val="23"/>
              </w:rPr>
            </w:pPr>
            <w:r w:rsidRPr="0076358A">
              <w:rPr>
                <w:rFonts w:ascii="Palatino Linotype" w:hAnsi="Palatino Linotype" w:cs="Arial"/>
                <w:sz w:val="23"/>
                <w:szCs w:val="23"/>
              </w:rPr>
              <w:t>Include Marketing Report to assess effectiveness of current year’s marketing campaign</w:t>
            </w:r>
          </w:p>
        </w:tc>
      </w:tr>
      <w:tr w:rsidR="00032E00" w14:paraId="11E4BD35" w14:textId="77777777">
        <w:trPr>
          <w:trHeight w:val="600"/>
        </w:trPr>
        <w:tc>
          <w:tcPr>
            <w:tcW w:w="1789" w:type="dxa"/>
          </w:tcPr>
          <w:p w14:paraId="504B97D9" w14:textId="77777777" w:rsidR="0076358A" w:rsidRPr="0076358A" w:rsidRDefault="0076358A" w:rsidP="002B6E34">
            <w:pPr>
              <w:rPr>
                <w:rFonts w:ascii="Palatino Linotype" w:hAnsi="Palatino Linotype" w:cs="Arial"/>
                <w:sz w:val="23"/>
                <w:szCs w:val="23"/>
              </w:rPr>
            </w:pPr>
            <w:r w:rsidRPr="0076358A">
              <w:rPr>
                <w:rFonts w:ascii="Palatino Linotype" w:hAnsi="Palatino Linotype" w:cs="Arial"/>
                <w:sz w:val="23"/>
                <w:szCs w:val="23"/>
              </w:rPr>
              <w:t>Annual Tier 2 Advice Letter Regarding Rate Design</w:t>
            </w:r>
          </w:p>
          <w:p w14:paraId="7F0D5072" w14:textId="77777777" w:rsidR="0076358A" w:rsidRPr="0076358A" w:rsidRDefault="0076358A" w:rsidP="002B6E34">
            <w:pPr>
              <w:rPr>
                <w:rFonts w:ascii="Palatino Linotype" w:hAnsi="Palatino Linotype" w:cs="Arial"/>
                <w:sz w:val="23"/>
                <w:szCs w:val="23"/>
              </w:rPr>
            </w:pPr>
          </w:p>
        </w:tc>
        <w:tc>
          <w:tcPr>
            <w:tcW w:w="1380" w:type="dxa"/>
          </w:tcPr>
          <w:p w14:paraId="3CD425D7" w14:textId="77777777" w:rsidR="0076358A" w:rsidRPr="0076358A" w:rsidRDefault="0076358A" w:rsidP="002B6E34">
            <w:pPr>
              <w:rPr>
                <w:rFonts w:ascii="Palatino Linotype" w:hAnsi="Palatino Linotype" w:cs="Arial"/>
                <w:sz w:val="23"/>
                <w:szCs w:val="23"/>
              </w:rPr>
            </w:pPr>
            <w:r w:rsidRPr="0076358A">
              <w:rPr>
                <w:rFonts w:ascii="Palatino Linotype" w:hAnsi="Palatino Linotype" w:cs="Arial"/>
                <w:sz w:val="23"/>
                <w:szCs w:val="23"/>
              </w:rPr>
              <w:t>ERRA Forecast Proceeding</w:t>
            </w:r>
          </w:p>
        </w:tc>
        <w:tc>
          <w:tcPr>
            <w:tcW w:w="1354" w:type="dxa"/>
          </w:tcPr>
          <w:p w14:paraId="31BC8FD5" w14:textId="77777777" w:rsidR="0076358A" w:rsidRPr="0076358A" w:rsidRDefault="0076358A" w:rsidP="002B6E34">
            <w:pPr>
              <w:rPr>
                <w:rFonts w:ascii="Palatino Linotype" w:hAnsi="Palatino Linotype" w:cs="Arial"/>
                <w:sz w:val="23"/>
                <w:szCs w:val="23"/>
              </w:rPr>
            </w:pPr>
            <w:r w:rsidRPr="0076358A">
              <w:rPr>
                <w:rFonts w:ascii="Palatino Linotype" w:hAnsi="Palatino Linotype" w:cs="Arial"/>
                <w:sz w:val="23"/>
                <w:szCs w:val="23"/>
              </w:rPr>
              <w:t>D.15-01-051 at 141</w:t>
            </w:r>
          </w:p>
        </w:tc>
        <w:tc>
          <w:tcPr>
            <w:tcW w:w="3397" w:type="dxa"/>
          </w:tcPr>
          <w:p w14:paraId="29E6B958" w14:textId="77777777" w:rsidR="0076358A" w:rsidRPr="0076358A" w:rsidRDefault="0076358A" w:rsidP="00661A6B">
            <w:pPr>
              <w:pStyle w:val="ListParagraph"/>
              <w:numPr>
                <w:ilvl w:val="0"/>
                <w:numId w:val="19"/>
              </w:numPr>
              <w:rPr>
                <w:rFonts w:ascii="Palatino Linotype" w:hAnsi="Palatino Linotype" w:cs="Arial"/>
                <w:sz w:val="23"/>
                <w:szCs w:val="23"/>
              </w:rPr>
            </w:pPr>
            <w:r w:rsidRPr="0076358A">
              <w:rPr>
                <w:rFonts w:ascii="Palatino Linotype" w:hAnsi="Palatino Linotype" w:cs="Arial"/>
                <w:sz w:val="23"/>
                <w:szCs w:val="23"/>
              </w:rPr>
              <w:t xml:space="preserve">Summarize true-up of costs and revenue against charges and credits </w:t>
            </w:r>
          </w:p>
        </w:tc>
        <w:tc>
          <w:tcPr>
            <w:tcW w:w="2430" w:type="dxa"/>
          </w:tcPr>
          <w:p w14:paraId="13612C14" w14:textId="77777777" w:rsidR="0076358A" w:rsidRPr="0076358A" w:rsidRDefault="0076358A" w:rsidP="00661A6B">
            <w:pPr>
              <w:pStyle w:val="Default"/>
              <w:numPr>
                <w:ilvl w:val="0"/>
                <w:numId w:val="19"/>
              </w:numPr>
              <w:rPr>
                <w:rFonts w:ascii="Palatino Linotype" w:hAnsi="Palatino Linotype" w:cs="Arial"/>
                <w:sz w:val="23"/>
                <w:szCs w:val="23"/>
              </w:rPr>
            </w:pPr>
            <w:r w:rsidRPr="0076358A">
              <w:rPr>
                <w:rFonts w:ascii="Palatino Linotype" w:hAnsi="Palatino Linotype" w:cs="Arial"/>
                <w:sz w:val="23"/>
                <w:szCs w:val="23"/>
              </w:rPr>
              <w:t>Remove Annual Tier 2 Advice Letter Regarding Rate Design (Incorporate into ERRA Forecast Proceeding)</w:t>
            </w:r>
          </w:p>
        </w:tc>
      </w:tr>
      <w:tr w:rsidR="00032E00" w14:paraId="22C3C081" w14:textId="77777777">
        <w:trPr>
          <w:trHeight w:val="600"/>
        </w:trPr>
        <w:tc>
          <w:tcPr>
            <w:tcW w:w="1789" w:type="dxa"/>
          </w:tcPr>
          <w:p w14:paraId="0F3B47BD" w14:textId="77777777" w:rsidR="0076358A" w:rsidRPr="0076358A" w:rsidRDefault="0076358A" w:rsidP="002B6E34">
            <w:pPr>
              <w:rPr>
                <w:rFonts w:ascii="Palatino Linotype" w:hAnsi="Palatino Linotype" w:cs="Arial"/>
                <w:sz w:val="23"/>
                <w:szCs w:val="23"/>
              </w:rPr>
            </w:pPr>
            <w:r w:rsidRPr="0076358A">
              <w:rPr>
                <w:rFonts w:ascii="Palatino Linotype" w:hAnsi="Palatino Linotype" w:cs="Arial"/>
                <w:sz w:val="23"/>
                <w:szCs w:val="23"/>
              </w:rPr>
              <w:t>GTSR Chapter of ERRA Forecast Proceeding</w:t>
            </w:r>
          </w:p>
        </w:tc>
        <w:tc>
          <w:tcPr>
            <w:tcW w:w="1380" w:type="dxa"/>
          </w:tcPr>
          <w:p w14:paraId="703BDAF3" w14:textId="77777777" w:rsidR="0076358A" w:rsidRPr="0076358A" w:rsidRDefault="0076358A" w:rsidP="002B6E34">
            <w:pPr>
              <w:rPr>
                <w:rFonts w:ascii="Palatino Linotype" w:hAnsi="Palatino Linotype" w:cs="Arial"/>
                <w:sz w:val="23"/>
                <w:szCs w:val="23"/>
              </w:rPr>
            </w:pPr>
            <w:r w:rsidRPr="0076358A">
              <w:rPr>
                <w:rFonts w:ascii="Palatino Linotype" w:hAnsi="Palatino Linotype" w:cs="Arial"/>
                <w:sz w:val="23"/>
                <w:szCs w:val="23"/>
              </w:rPr>
              <w:t>No change</w:t>
            </w:r>
          </w:p>
        </w:tc>
        <w:tc>
          <w:tcPr>
            <w:tcW w:w="1354" w:type="dxa"/>
          </w:tcPr>
          <w:p w14:paraId="434B8C72" w14:textId="77777777" w:rsidR="0076358A" w:rsidRPr="0076358A" w:rsidRDefault="0076358A" w:rsidP="002B6E34">
            <w:pPr>
              <w:rPr>
                <w:rFonts w:ascii="Palatino Linotype" w:hAnsi="Palatino Linotype" w:cs="Arial"/>
                <w:sz w:val="23"/>
                <w:szCs w:val="23"/>
              </w:rPr>
            </w:pPr>
            <w:r w:rsidRPr="0076358A">
              <w:rPr>
                <w:rFonts w:ascii="Palatino Linotype" w:hAnsi="Palatino Linotype" w:cs="Arial"/>
                <w:sz w:val="23"/>
                <w:szCs w:val="23"/>
              </w:rPr>
              <w:t>Pub. Util. Code 454.5(d)(3)</w:t>
            </w:r>
          </w:p>
        </w:tc>
        <w:tc>
          <w:tcPr>
            <w:tcW w:w="3397" w:type="dxa"/>
          </w:tcPr>
          <w:p w14:paraId="4457C81B" w14:textId="77777777" w:rsidR="0076358A" w:rsidRPr="0076358A" w:rsidRDefault="0076358A" w:rsidP="00661A6B">
            <w:pPr>
              <w:pStyle w:val="ListParagraph"/>
              <w:numPr>
                <w:ilvl w:val="0"/>
                <w:numId w:val="19"/>
              </w:numPr>
              <w:rPr>
                <w:rFonts w:ascii="Palatino Linotype" w:hAnsi="Palatino Linotype" w:cs="Arial"/>
                <w:sz w:val="23"/>
                <w:szCs w:val="23"/>
              </w:rPr>
            </w:pPr>
            <w:r w:rsidRPr="0076358A">
              <w:rPr>
                <w:rFonts w:ascii="Palatino Linotype" w:hAnsi="Palatino Linotype" w:cs="Arial"/>
                <w:sz w:val="23"/>
                <w:szCs w:val="23"/>
              </w:rPr>
              <w:t>Requests approval for electric procurement cost forecast and Non-Bypassable Charges for departing load customers</w:t>
            </w:r>
          </w:p>
        </w:tc>
        <w:tc>
          <w:tcPr>
            <w:tcW w:w="2430" w:type="dxa"/>
          </w:tcPr>
          <w:p w14:paraId="76A493B7" w14:textId="77777777" w:rsidR="0076358A" w:rsidRPr="0076358A" w:rsidRDefault="0076358A" w:rsidP="00661A6B">
            <w:pPr>
              <w:pStyle w:val="Default"/>
              <w:numPr>
                <w:ilvl w:val="0"/>
                <w:numId w:val="19"/>
              </w:numPr>
              <w:rPr>
                <w:rFonts w:ascii="Palatino Linotype" w:hAnsi="Palatino Linotype" w:cs="Arial"/>
                <w:sz w:val="23"/>
                <w:szCs w:val="23"/>
              </w:rPr>
            </w:pPr>
            <w:r w:rsidRPr="0076358A">
              <w:rPr>
                <w:rFonts w:ascii="Palatino Linotype" w:hAnsi="Palatino Linotype" w:cs="Arial"/>
                <w:sz w:val="23"/>
                <w:szCs w:val="23"/>
              </w:rPr>
              <w:t xml:space="preserve">Add Annual GTSR Rate Design request </w:t>
            </w:r>
          </w:p>
        </w:tc>
      </w:tr>
    </w:tbl>
    <w:p w14:paraId="4ABCD36E" w14:textId="77777777" w:rsidR="0076358A" w:rsidRDefault="0076358A" w:rsidP="0076358A">
      <w:pPr>
        <w:jc w:val="center"/>
        <w:rPr>
          <w:rFonts w:ascii="Palatino Linotype" w:hAnsi="Palatino Linotype"/>
        </w:rPr>
      </w:pPr>
    </w:p>
    <w:p w14:paraId="4907F023" w14:textId="77777777" w:rsidR="0076358A" w:rsidRDefault="0076358A" w:rsidP="0076358A">
      <w:pPr>
        <w:rPr>
          <w:rFonts w:ascii="Palatino Linotype" w:hAnsi="Palatino Linotype"/>
        </w:rPr>
      </w:pPr>
      <w:r>
        <w:rPr>
          <w:rFonts w:ascii="Palatino Linotype" w:hAnsi="Palatino Linotype"/>
        </w:rPr>
        <w:br w:type="page"/>
      </w:r>
    </w:p>
    <w:p w14:paraId="50944C00" w14:textId="77777777" w:rsidR="0076358A" w:rsidRPr="0076358A" w:rsidRDefault="0076358A" w:rsidP="0076358A">
      <w:pPr>
        <w:rPr>
          <w:rFonts w:ascii="Palatino Linotype" w:hAnsi="Palatino Linotype" w:cs="Arial"/>
        </w:rPr>
      </w:pPr>
      <w:r w:rsidRPr="0076358A">
        <w:rPr>
          <w:rFonts w:ascii="Palatino Linotype" w:hAnsi="Palatino Linotype" w:cs="Arial"/>
        </w:rPr>
        <w:lastRenderedPageBreak/>
        <w:t>Other filings with no requested changes:</w:t>
      </w:r>
    </w:p>
    <w:tbl>
      <w:tblPr>
        <w:tblStyle w:val="TableGrid"/>
        <w:tblW w:w="9630" w:type="dxa"/>
        <w:tblInd w:w="-5" w:type="dxa"/>
        <w:tblLook w:val="04A0" w:firstRow="1" w:lastRow="0" w:firstColumn="1" w:lastColumn="0" w:noHBand="0" w:noVBand="1"/>
      </w:tblPr>
      <w:tblGrid>
        <w:gridCol w:w="1388"/>
        <w:gridCol w:w="1677"/>
        <w:gridCol w:w="6565"/>
      </w:tblGrid>
      <w:tr w:rsidR="00032E00" w14:paraId="4E81FFB3" w14:textId="77777777">
        <w:trPr>
          <w:trHeight w:val="557"/>
        </w:trPr>
        <w:tc>
          <w:tcPr>
            <w:tcW w:w="2790" w:type="dxa"/>
            <w:gridSpan w:val="2"/>
            <w:shd w:val="clear" w:color="auto" w:fill="C5E0B3" w:themeFill="accent6" w:themeFillTint="66"/>
            <w:vAlign w:val="center"/>
          </w:tcPr>
          <w:p w14:paraId="64347B4F" w14:textId="77777777" w:rsidR="0076358A" w:rsidRPr="0076358A" w:rsidRDefault="0076358A" w:rsidP="002B6E34">
            <w:pPr>
              <w:jc w:val="center"/>
              <w:rPr>
                <w:rFonts w:ascii="Palatino Linotype" w:hAnsi="Palatino Linotype" w:cs="Arial"/>
                <w:b/>
                <w:bCs/>
                <w:sz w:val="22"/>
                <w:szCs w:val="22"/>
              </w:rPr>
            </w:pPr>
            <w:r w:rsidRPr="0076358A">
              <w:rPr>
                <w:rFonts w:ascii="Palatino Linotype" w:hAnsi="Palatino Linotype" w:cs="Arial"/>
                <w:b/>
                <w:bCs/>
                <w:sz w:val="22"/>
                <w:szCs w:val="22"/>
              </w:rPr>
              <w:t>Reports</w:t>
            </w:r>
          </w:p>
        </w:tc>
        <w:tc>
          <w:tcPr>
            <w:tcW w:w="6840" w:type="dxa"/>
            <w:shd w:val="clear" w:color="auto" w:fill="C5E0B3" w:themeFill="accent6" w:themeFillTint="66"/>
            <w:vAlign w:val="center"/>
          </w:tcPr>
          <w:p w14:paraId="4C6B6156" w14:textId="77777777" w:rsidR="0076358A" w:rsidRPr="0076358A" w:rsidRDefault="0076358A" w:rsidP="002B6E34">
            <w:pPr>
              <w:pStyle w:val="ListParagraph"/>
              <w:ind w:left="360"/>
              <w:jc w:val="center"/>
              <w:rPr>
                <w:rFonts w:ascii="Palatino Linotype" w:hAnsi="Palatino Linotype" w:cs="Arial"/>
                <w:b/>
                <w:bCs/>
                <w:sz w:val="22"/>
                <w:szCs w:val="22"/>
              </w:rPr>
            </w:pPr>
            <w:r w:rsidRPr="0076358A">
              <w:rPr>
                <w:rFonts w:ascii="Palatino Linotype" w:hAnsi="Palatino Linotype" w:cs="Arial"/>
                <w:b/>
                <w:bCs/>
                <w:sz w:val="22"/>
                <w:szCs w:val="22"/>
              </w:rPr>
              <w:t>Contents</w:t>
            </w:r>
          </w:p>
        </w:tc>
      </w:tr>
      <w:tr w:rsidR="00032E00" w14:paraId="04938095" w14:textId="77777777">
        <w:trPr>
          <w:trHeight w:val="800"/>
        </w:trPr>
        <w:tc>
          <w:tcPr>
            <w:tcW w:w="1080" w:type="dxa"/>
            <w:shd w:val="clear" w:color="auto" w:fill="D9D9D9" w:themeFill="background1" w:themeFillShade="D9"/>
            <w:vAlign w:val="center"/>
          </w:tcPr>
          <w:p w14:paraId="6C3B5F99" w14:textId="77777777" w:rsidR="0076358A" w:rsidRPr="0076358A" w:rsidRDefault="0076358A" w:rsidP="002B6E34">
            <w:pPr>
              <w:jc w:val="center"/>
              <w:rPr>
                <w:rFonts w:ascii="Palatino Linotype" w:hAnsi="Palatino Linotype" w:cs="Arial"/>
                <w:sz w:val="22"/>
                <w:szCs w:val="22"/>
              </w:rPr>
            </w:pPr>
            <w:r w:rsidRPr="0076358A">
              <w:rPr>
                <w:rFonts w:ascii="Palatino Linotype" w:hAnsi="Palatino Linotype" w:cs="Arial"/>
                <w:b/>
                <w:bCs/>
                <w:sz w:val="22"/>
                <w:szCs w:val="22"/>
              </w:rPr>
              <w:t>Name</w:t>
            </w:r>
          </w:p>
        </w:tc>
        <w:tc>
          <w:tcPr>
            <w:tcW w:w="1710" w:type="dxa"/>
            <w:shd w:val="clear" w:color="auto" w:fill="D9D9D9" w:themeFill="background1" w:themeFillShade="D9"/>
            <w:vAlign w:val="center"/>
          </w:tcPr>
          <w:p w14:paraId="3CCF6E2A" w14:textId="77777777" w:rsidR="0076358A" w:rsidRPr="0076358A" w:rsidRDefault="0076358A" w:rsidP="002B6E34">
            <w:pPr>
              <w:jc w:val="center"/>
              <w:rPr>
                <w:rFonts w:ascii="Palatino Linotype" w:hAnsi="Palatino Linotype" w:cs="Arial"/>
                <w:b/>
                <w:bCs/>
                <w:sz w:val="22"/>
                <w:szCs w:val="22"/>
              </w:rPr>
            </w:pPr>
            <w:r w:rsidRPr="0076358A">
              <w:rPr>
                <w:rFonts w:ascii="Palatino Linotype" w:hAnsi="Palatino Linotype" w:cs="Arial"/>
                <w:b/>
                <w:bCs/>
                <w:sz w:val="22"/>
                <w:szCs w:val="22"/>
              </w:rPr>
              <w:t>Decision</w:t>
            </w:r>
          </w:p>
          <w:p w14:paraId="7CC20537" w14:textId="77777777" w:rsidR="0076358A" w:rsidRPr="0076358A" w:rsidRDefault="0076358A" w:rsidP="002B6E34">
            <w:pPr>
              <w:jc w:val="center"/>
              <w:rPr>
                <w:rFonts w:ascii="Palatino Linotype" w:hAnsi="Palatino Linotype" w:cs="Arial"/>
                <w:sz w:val="22"/>
                <w:szCs w:val="22"/>
              </w:rPr>
            </w:pPr>
            <w:r w:rsidRPr="0076358A">
              <w:rPr>
                <w:rFonts w:ascii="Palatino Linotype" w:hAnsi="Palatino Linotype" w:cs="Arial"/>
                <w:b/>
                <w:bCs/>
                <w:sz w:val="22"/>
                <w:szCs w:val="22"/>
              </w:rPr>
              <w:t>Location</w:t>
            </w:r>
          </w:p>
        </w:tc>
        <w:tc>
          <w:tcPr>
            <w:tcW w:w="6840" w:type="dxa"/>
            <w:shd w:val="clear" w:color="auto" w:fill="D9D9D9" w:themeFill="background1" w:themeFillShade="D9"/>
            <w:vAlign w:val="center"/>
          </w:tcPr>
          <w:p w14:paraId="3A4F0585" w14:textId="77777777" w:rsidR="0076358A" w:rsidRPr="0076358A" w:rsidRDefault="0076358A" w:rsidP="002B6E34">
            <w:pPr>
              <w:pStyle w:val="ListParagraph"/>
              <w:ind w:left="360"/>
              <w:jc w:val="center"/>
              <w:rPr>
                <w:rFonts w:ascii="Palatino Linotype" w:hAnsi="Palatino Linotype" w:cs="Arial"/>
                <w:sz w:val="22"/>
                <w:szCs w:val="22"/>
              </w:rPr>
            </w:pPr>
            <w:r w:rsidRPr="0076358A">
              <w:rPr>
                <w:rFonts w:ascii="Palatino Linotype" w:hAnsi="Palatino Linotype" w:cs="Arial"/>
                <w:b/>
                <w:bCs/>
                <w:sz w:val="22"/>
                <w:szCs w:val="22"/>
              </w:rPr>
              <w:t>Report Information</w:t>
            </w:r>
          </w:p>
        </w:tc>
      </w:tr>
      <w:tr w:rsidR="00032E00" w14:paraId="7CA465B8" w14:textId="77777777">
        <w:trPr>
          <w:trHeight w:val="701"/>
        </w:trPr>
        <w:tc>
          <w:tcPr>
            <w:tcW w:w="1080" w:type="dxa"/>
            <w:shd w:val="clear" w:color="auto" w:fill="auto"/>
          </w:tcPr>
          <w:p w14:paraId="29B88FA0" w14:textId="77777777" w:rsidR="0076358A" w:rsidRPr="0076358A" w:rsidRDefault="0076358A" w:rsidP="002B6E34">
            <w:pPr>
              <w:rPr>
                <w:rFonts w:ascii="Palatino Linotype" w:hAnsi="Palatino Linotype" w:cs="Arial"/>
                <w:b/>
                <w:bCs/>
                <w:sz w:val="22"/>
                <w:szCs w:val="22"/>
              </w:rPr>
            </w:pPr>
            <w:r w:rsidRPr="0076358A">
              <w:rPr>
                <w:rFonts w:ascii="Palatino Linotype" w:hAnsi="Palatino Linotype" w:cs="Arial"/>
                <w:sz w:val="22"/>
                <w:szCs w:val="22"/>
              </w:rPr>
              <w:t>CARE Report</w:t>
            </w:r>
          </w:p>
        </w:tc>
        <w:tc>
          <w:tcPr>
            <w:tcW w:w="1710" w:type="dxa"/>
            <w:shd w:val="clear" w:color="auto" w:fill="auto"/>
          </w:tcPr>
          <w:p w14:paraId="286AA925" w14:textId="77777777" w:rsidR="0076358A" w:rsidRPr="0076358A" w:rsidRDefault="0076358A" w:rsidP="002B6E34">
            <w:pPr>
              <w:rPr>
                <w:rFonts w:ascii="Palatino Linotype" w:hAnsi="Palatino Linotype" w:cs="Arial"/>
                <w:bCs/>
                <w:sz w:val="22"/>
                <w:szCs w:val="22"/>
              </w:rPr>
            </w:pPr>
            <w:r w:rsidRPr="0076358A">
              <w:rPr>
                <w:rFonts w:ascii="Palatino Linotype" w:hAnsi="Palatino Linotype" w:cs="Arial"/>
                <w:bCs/>
                <w:sz w:val="22"/>
                <w:szCs w:val="22"/>
              </w:rPr>
              <w:t>D. 15-01-051 at 132</w:t>
            </w:r>
          </w:p>
        </w:tc>
        <w:tc>
          <w:tcPr>
            <w:tcW w:w="6840" w:type="dxa"/>
            <w:shd w:val="clear" w:color="auto" w:fill="auto"/>
          </w:tcPr>
          <w:p w14:paraId="1EE7B6E0" w14:textId="77777777" w:rsidR="0076358A" w:rsidRPr="0076358A" w:rsidRDefault="0076358A" w:rsidP="00661A6B">
            <w:pPr>
              <w:pStyle w:val="ListParagraph"/>
              <w:numPr>
                <w:ilvl w:val="0"/>
                <w:numId w:val="20"/>
              </w:numPr>
              <w:rPr>
                <w:rFonts w:ascii="Palatino Linotype" w:hAnsi="Palatino Linotype" w:cs="Arial"/>
                <w:b/>
                <w:bCs/>
                <w:sz w:val="22"/>
                <w:szCs w:val="22"/>
              </w:rPr>
            </w:pPr>
            <w:r w:rsidRPr="0076358A">
              <w:rPr>
                <w:rFonts w:ascii="Palatino Linotype" w:hAnsi="Palatino Linotype" w:cs="Arial"/>
                <w:sz w:val="22"/>
                <w:szCs w:val="22"/>
              </w:rPr>
              <w:t>Summary of average bill discounts (in percentage terms) of CARE-enrolled GTSR customers in annual CARE/ESA program reports.</w:t>
            </w:r>
          </w:p>
          <w:p w14:paraId="3A5F7F53" w14:textId="77777777" w:rsidR="0076358A" w:rsidRPr="0076358A" w:rsidRDefault="0076358A" w:rsidP="002B6E34">
            <w:pPr>
              <w:pStyle w:val="ListParagraph"/>
              <w:ind w:left="360"/>
              <w:rPr>
                <w:rFonts w:ascii="Palatino Linotype" w:hAnsi="Palatino Linotype" w:cs="Arial"/>
                <w:b/>
                <w:bCs/>
                <w:sz w:val="22"/>
                <w:szCs w:val="22"/>
              </w:rPr>
            </w:pPr>
          </w:p>
        </w:tc>
      </w:tr>
      <w:tr w:rsidR="00032E00" w14:paraId="28D05A6F" w14:textId="77777777">
        <w:trPr>
          <w:trHeight w:val="710"/>
        </w:trPr>
        <w:tc>
          <w:tcPr>
            <w:tcW w:w="1080" w:type="dxa"/>
            <w:shd w:val="clear" w:color="auto" w:fill="auto"/>
          </w:tcPr>
          <w:p w14:paraId="49DF4A7D" w14:textId="77777777" w:rsidR="0076358A" w:rsidRPr="0076358A" w:rsidRDefault="0076358A" w:rsidP="002B6E34">
            <w:pPr>
              <w:rPr>
                <w:rFonts w:ascii="Palatino Linotype" w:hAnsi="Palatino Linotype" w:cs="Arial"/>
                <w:sz w:val="22"/>
                <w:szCs w:val="22"/>
              </w:rPr>
            </w:pPr>
            <w:r w:rsidRPr="0076358A">
              <w:rPr>
                <w:rFonts w:ascii="Palatino Linotype" w:hAnsi="Palatino Linotype" w:cs="Arial"/>
                <w:sz w:val="22"/>
                <w:szCs w:val="22"/>
              </w:rPr>
              <w:t>RPS Plan</w:t>
            </w:r>
          </w:p>
        </w:tc>
        <w:tc>
          <w:tcPr>
            <w:tcW w:w="1710" w:type="dxa"/>
            <w:shd w:val="clear" w:color="auto" w:fill="auto"/>
          </w:tcPr>
          <w:p w14:paraId="163986FD" w14:textId="77777777" w:rsidR="0076358A" w:rsidRPr="0076358A" w:rsidRDefault="0076358A" w:rsidP="002B6E34">
            <w:pPr>
              <w:rPr>
                <w:rFonts w:ascii="Palatino Linotype" w:hAnsi="Palatino Linotype" w:cs="Arial"/>
                <w:bCs/>
                <w:sz w:val="22"/>
                <w:szCs w:val="22"/>
              </w:rPr>
            </w:pPr>
            <w:r w:rsidRPr="0076358A">
              <w:rPr>
                <w:rFonts w:ascii="Palatino Linotype" w:hAnsi="Palatino Linotype" w:cs="Arial"/>
                <w:bCs/>
                <w:sz w:val="22"/>
                <w:szCs w:val="22"/>
              </w:rPr>
              <w:t>D.15-01-051, OP 9</w:t>
            </w:r>
          </w:p>
        </w:tc>
        <w:tc>
          <w:tcPr>
            <w:tcW w:w="6840" w:type="dxa"/>
            <w:shd w:val="clear" w:color="auto" w:fill="auto"/>
          </w:tcPr>
          <w:p w14:paraId="37FC48C4" w14:textId="77777777" w:rsidR="0076358A" w:rsidRPr="0076358A" w:rsidRDefault="0076358A" w:rsidP="00661A6B">
            <w:pPr>
              <w:pStyle w:val="ListParagraph"/>
              <w:numPr>
                <w:ilvl w:val="0"/>
                <w:numId w:val="20"/>
              </w:numPr>
              <w:rPr>
                <w:rFonts w:ascii="Palatino Linotype" w:hAnsi="Palatino Linotype" w:cs="Arial"/>
                <w:sz w:val="22"/>
                <w:szCs w:val="22"/>
              </w:rPr>
            </w:pPr>
            <w:r w:rsidRPr="0076358A">
              <w:rPr>
                <w:rFonts w:ascii="Palatino Linotype" w:hAnsi="Palatino Linotype" w:cs="Arial"/>
                <w:sz w:val="22"/>
                <w:szCs w:val="22"/>
              </w:rPr>
              <w:t>Each IOU shall use its annual Renewables Portfolio Standard Procurement Plan filing to update its progress toward its Green Tariff Shared Renewables goal.</w:t>
            </w:r>
          </w:p>
          <w:p w14:paraId="64804B29" w14:textId="77777777" w:rsidR="0076358A" w:rsidRPr="0076358A" w:rsidRDefault="0076358A" w:rsidP="002B6E34">
            <w:pPr>
              <w:pStyle w:val="ListParagraph"/>
              <w:ind w:left="360"/>
              <w:rPr>
                <w:rFonts w:ascii="Palatino Linotype" w:hAnsi="Palatino Linotype" w:cs="Arial"/>
                <w:sz w:val="22"/>
                <w:szCs w:val="22"/>
              </w:rPr>
            </w:pPr>
          </w:p>
        </w:tc>
      </w:tr>
      <w:tr w:rsidR="00032E00" w14:paraId="1641455F" w14:textId="77777777">
        <w:trPr>
          <w:trHeight w:val="800"/>
        </w:trPr>
        <w:tc>
          <w:tcPr>
            <w:tcW w:w="1080" w:type="dxa"/>
            <w:shd w:val="clear" w:color="auto" w:fill="auto"/>
          </w:tcPr>
          <w:p w14:paraId="5C2A156F" w14:textId="77777777" w:rsidR="0076358A" w:rsidRPr="0076358A" w:rsidRDefault="0076358A" w:rsidP="002B6E34">
            <w:pPr>
              <w:rPr>
                <w:rFonts w:ascii="Palatino Linotype" w:hAnsi="Palatino Linotype" w:cs="Arial"/>
                <w:sz w:val="22"/>
                <w:szCs w:val="22"/>
              </w:rPr>
            </w:pPr>
            <w:r w:rsidRPr="0076358A">
              <w:rPr>
                <w:rFonts w:ascii="Palatino Linotype" w:hAnsi="Palatino Linotype" w:cs="Arial"/>
                <w:sz w:val="22"/>
                <w:szCs w:val="22"/>
              </w:rPr>
              <w:t>RPS Compliance Report</w:t>
            </w:r>
          </w:p>
        </w:tc>
        <w:tc>
          <w:tcPr>
            <w:tcW w:w="1710" w:type="dxa"/>
            <w:shd w:val="clear" w:color="auto" w:fill="auto"/>
          </w:tcPr>
          <w:p w14:paraId="55853D9B" w14:textId="77777777" w:rsidR="0076358A" w:rsidRPr="0076358A" w:rsidRDefault="0076358A" w:rsidP="002B6E34">
            <w:pPr>
              <w:rPr>
                <w:rFonts w:ascii="Palatino Linotype" w:hAnsi="Palatino Linotype" w:cs="Arial"/>
                <w:b/>
                <w:bCs/>
                <w:sz w:val="22"/>
                <w:szCs w:val="22"/>
              </w:rPr>
            </w:pPr>
            <w:r w:rsidRPr="0076358A">
              <w:rPr>
                <w:rFonts w:ascii="Palatino Linotype" w:hAnsi="Palatino Linotype" w:cs="Arial"/>
                <w:sz w:val="22"/>
                <w:szCs w:val="22"/>
              </w:rPr>
              <w:t>D. 12-06-038, OP 34</w:t>
            </w:r>
          </w:p>
        </w:tc>
        <w:tc>
          <w:tcPr>
            <w:tcW w:w="6840" w:type="dxa"/>
            <w:shd w:val="clear" w:color="auto" w:fill="auto"/>
          </w:tcPr>
          <w:p w14:paraId="73994DEE" w14:textId="77777777" w:rsidR="0076358A" w:rsidRPr="0076358A" w:rsidRDefault="0076358A" w:rsidP="00661A6B">
            <w:pPr>
              <w:pStyle w:val="ListParagraph"/>
              <w:numPr>
                <w:ilvl w:val="0"/>
                <w:numId w:val="20"/>
              </w:numPr>
              <w:rPr>
                <w:rFonts w:ascii="Palatino Linotype" w:hAnsi="Palatino Linotype" w:cs="Arial"/>
                <w:sz w:val="22"/>
                <w:szCs w:val="22"/>
              </w:rPr>
            </w:pPr>
            <w:r w:rsidRPr="0076358A">
              <w:rPr>
                <w:rFonts w:ascii="Palatino Linotype" w:hAnsi="Palatino Linotype" w:cs="Arial"/>
                <w:sz w:val="22"/>
                <w:szCs w:val="22"/>
              </w:rPr>
              <w:t>PG&amp;E’s progress towards achieving the statutory RPS compliance targets, as implemented by the Commission. Provide an update on the RPS-eligible projects designated for the GTSR Program.</w:t>
            </w:r>
          </w:p>
          <w:p w14:paraId="5B4F8F82" w14:textId="77777777" w:rsidR="0076358A" w:rsidRPr="0076358A" w:rsidRDefault="0076358A" w:rsidP="002B6E34">
            <w:pPr>
              <w:pStyle w:val="ListParagraph"/>
              <w:ind w:left="360"/>
              <w:rPr>
                <w:rFonts w:ascii="Palatino Linotype" w:hAnsi="Palatino Linotype" w:cs="Arial"/>
                <w:sz w:val="22"/>
                <w:szCs w:val="22"/>
              </w:rPr>
            </w:pPr>
          </w:p>
        </w:tc>
      </w:tr>
      <w:tr w:rsidR="00032E00" w14:paraId="06E4C01E" w14:textId="77777777">
        <w:trPr>
          <w:trHeight w:val="800"/>
        </w:trPr>
        <w:tc>
          <w:tcPr>
            <w:tcW w:w="1080" w:type="dxa"/>
            <w:shd w:val="clear" w:color="auto" w:fill="auto"/>
          </w:tcPr>
          <w:p w14:paraId="610F0A80" w14:textId="77777777" w:rsidR="0076358A" w:rsidRPr="0076358A" w:rsidRDefault="0076358A" w:rsidP="002B6E34">
            <w:pPr>
              <w:rPr>
                <w:rFonts w:ascii="Palatino Linotype" w:hAnsi="Palatino Linotype" w:cs="Arial"/>
                <w:sz w:val="22"/>
                <w:szCs w:val="22"/>
              </w:rPr>
            </w:pPr>
            <w:r w:rsidRPr="0076358A">
              <w:rPr>
                <w:rFonts w:ascii="Palatino Linotype" w:hAnsi="Palatino Linotype" w:cs="Arial"/>
                <w:sz w:val="22"/>
                <w:szCs w:val="22"/>
              </w:rPr>
              <w:t>VRE Allowance Filing</w:t>
            </w:r>
          </w:p>
        </w:tc>
        <w:tc>
          <w:tcPr>
            <w:tcW w:w="1710" w:type="dxa"/>
            <w:shd w:val="clear" w:color="auto" w:fill="auto"/>
          </w:tcPr>
          <w:p w14:paraId="1912CB29" w14:textId="77777777" w:rsidR="0076358A" w:rsidRPr="0076358A" w:rsidRDefault="0076358A" w:rsidP="002B6E34">
            <w:pPr>
              <w:rPr>
                <w:rFonts w:ascii="Palatino Linotype" w:hAnsi="Palatino Linotype" w:cs="Arial"/>
                <w:b/>
                <w:bCs/>
                <w:sz w:val="22"/>
                <w:szCs w:val="22"/>
              </w:rPr>
            </w:pPr>
            <w:r w:rsidRPr="0076358A">
              <w:rPr>
                <w:rFonts w:ascii="Palatino Linotype" w:hAnsi="Palatino Linotype" w:cs="Arial"/>
                <w:sz w:val="22"/>
                <w:szCs w:val="22"/>
              </w:rPr>
              <w:t>D. 15-01-051 at 51</w:t>
            </w:r>
          </w:p>
        </w:tc>
        <w:tc>
          <w:tcPr>
            <w:tcW w:w="6840" w:type="dxa"/>
            <w:shd w:val="clear" w:color="auto" w:fill="auto"/>
          </w:tcPr>
          <w:p w14:paraId="0108A4A3" w14:textId="77777777" w:rsidR="0076358A" w:rsidRPr="0076358A" w:rsidRDefault="0076358A" w:rsidP="00661A6B">
            <w:pPr>
              <w:pStyle w:val="ListParagraph"/>
              <w:numPr>
                <w:ilvl w:val="0"/>
                <w:numId w:val="20"/>
              </w:numPr>
              <w:rPr>
                <w:rFonts w:ascii="Palatino Linotype" w:hAnsi="Palatino Linotype" w:cs="Arial"/>
                <w:sz w:val="22"/>
                <w:szCs w:val="22"/>
              </w:rPr>
            </w:pPr>
            <w:r w:rsidRPr="0076358A">
              <w:rPr>
                <w:rFonts w:ascii="Palatino Linotype" w:hAnsi="Palatino Linotype" w:cs="Arial"/>
                <w:sz w:val="22"/>
                <w:szCs w:val="22"/>
              </w:rPr>
              <w:t>Application to the California Air Resources Board for retirement of Cap-and-Trade Program greenhouse gas emissions allowances through the Voluntary Renewable Electricity (VRE) program.</w:t>
            </w:r>
          </w:p>
          <w:p w14:paraId="43A0B24B" w14:textId="77777777" w:rsidR="0076358A" w:rsidRPr="0076358A" w:rsidRDefault="0076358A" w:rsidP="002B6E34">
            <w:pPr>
              <w:pStyle w:val="ListParagraph"/>
              <w:ind w:left="360"/>
              <w:rPr>
                <w:rFonts w:ascii="Palatino Linotype" w:hAnsi="Palatino Linotype" w:cs="Arial"/>
                <w:sz w:val="22"/>
                <w:szCs w:val="22"/>
              </w:rPr>
            </w:pPr>
          </w:p>
        </w:tc>
      </w:tr>
    </w:tbl>
    <w:p w14:paraId="10AAE7D0" w14:textId="77777777" w:rsidR="0076358A" w:rsidRDefault="0076358A" w:rsidP="0076358A">
      <w:pPr>
        <w:rPr>
          <w:rFonts w:ascii="Arial" w:hAnsi="Arial" w:cs="Arial"/>
        </w:rPr>
      </w:pPr>
    </w:p>
    <w:p w14:paraId="078BD0C9" w14:textId="77777777" w:rsidR="0076358A" w:rsidRPr="0006584C" w:rsidRDefault="0076358A" w:rsidP="0076358A">
      <w:pPr>
        <w:pStyle w:val="ListParagraph"/>
        <w:rPr>
          <w:rFonts w:ascii="Arial" w:hAnsi="Arial" w:cs="Arial"/>
        </w:rPr>
      </w:pPr>
    </w:p>
    <w:p w14:paraId="19D567AB" w14:textId="77777777" w:rsidR="0076358A" w:rsidRPr="00FA492E" w:rsidRDefault="0076358A" w:rsidP="0076358A">
      <w:pPr>
        <w:jc w:val="center"/>
        <w:rPr>
          <w:rFonts w:ascii="Palatino Linotype" w:hAnsi="Palatino Linotype"/>
        </w:rPr>
      </w:pPr>
    </w:p>
    <w:p w14:paraId="2AF6CAE3" w14:textId="77777777" w:rsidR="00586129" w:rsidRDefault="00586129"/>
    <w:sectPr w:rsidR="00586129" w:rsidSect="00310C9E">
      <w:headerReference w:type="default" r:id="rId10"/>
      <w:footerReference w:type="default" r:id="rId11"/>
      <w:headerReference w:type="first" r:id="rId12"/>
      <w:footerReference w:type="first" r:id="rId13"/>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661535" w14:textId="77777777" w:rsidR="00892E0B" w:rsidRDefault="00892E0B" w:rsidP="0076358A">
      <w:r>
        <w:separator/>
      </w:r>
    </w:p>
  </w:endnote>
  <w:endnote w:type="continuationSeparator" w:id="0">
    <w:p w14:paraId="575C26E8" w14:textId="77777777" w:rsidR="00892E0B" w:rsidRDefault="00892E0B" w:rsidP="0076358A">
      <w:r>
        <w:continuationSeparator/>
      </w:r>
    </w:p>
  </w:endnote>
  <w:endnote w:type="continuationNotice" w:id="1">
    <w:p w14:paraId="08A0D743" w14:textId="77777777" w:rsidR="00892E0B" w:rsidRDefault="00892E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D0505" w14:textId="77777777" w:rsidR="00886FAE" w:rsidRDefault="00886FAE">
    <w:pPr>
      <w:pStyle w:val="Footer"/>
    </w:pPr>
    <w:r>
      <w:rPr>
        <w:rStyle w:val="PageNumber"/>
      </w:rPr>
      <w:fldChar w:fldCharType="begin"/>
    </w:r>
    <w:r>
      <w:rPr>
        <w:rStyle w:val="PageNumber"/>
      </w:rPr>
      <w:instrText xml:space="preserve"> PAGE </w:instrText>
    </w:r>
    <w:r>
      <w:rPr>
        <w:rStyle w:val="PageNumber"/>
      </w:rPr>
      <w:fldChar w:fldCharType="separate"/>
    </w:r>
    <w:r w:rsidR="006667DA">
      <w:rPr>
        <w:rStyle w:val="PageNumber"/>
        <w:noProof/>
      </w:rPr>
      <w:t>55</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2A3D82" w14:textId="40C2A77D" w:rsidR="00886FAE" w:rsidRDefault="002E1D85" w:rsidP="008C5FB8">
    <w:pPr>
      <w:pStyle w:val="Footer"/>
      <w:tabs>
        <w:tab w:val="clear" w:pos="4320"/>
        <w:tab w:val="center" w:pos="4680"/>
      </w:tabs>
      <w:jc w:val="left"/>
    </w:pPr>
    <w:r w:rsidRPr="002E1D85">
      <w:rPr>
        <w:rFonts w:ascii="Tahoma" w:hAnsi="Tahoma" w:cs="Tahoma"/>
        <w:sz w:val="24"/>
        <w:szCs w:val="17"/>
      </w:rPr>
      <w:t>316479825</w:t>
    </w:r>
    <w:r w:rsidR="00886FAE" w:rsidRPr="002E1D85">
      <w:rPr>
        <w:rStyle w:val="PageNumber"/>
        <w:sz w:val="24"/>
      </w:rPr>
      <w:t xml:space="preserve">  </w:t>
    </w:r>
    <w:r w:rsidR="00886FAE">
      <w:rPr>
        <w:rStyle w:val="PageNumber"/>
      </w:rPr>
      <w:t xml:space="preserve">                                            </w:t>
    </w:r>
    <w:r w:rsidR="00886FAE">
      <w:rPr>
        <w:rStyle w:val="PageNumber"/>
      </w:rPr>
      <w:fldChar w:fldCharType="begin"/>
    </w:r>
    <w:r w:rsidR="00886FAE">
      <w:rPr>
        <w:rStyle w:val="PageNumber"/>
      </w:rPr>
      <w:instrText xml:space="preserve"> PAGE </w:instrText>
    </w:r>
    <w:r w:rsidR="00886FAE">
      <w:rPr>
        <w:rStyle w:val="PageNumber"/>
      </w:rPr>
      <w:fldChar w:fldCharType="separate"/>
    </w:r>
    <w:r w:rsidR="006667DA">
      <w:rPr>
        <w:rStyle w:val="PageNumber"/>
        <w:noProof/>
      </w:rPr>
      <w:t>1</w:t>
    </w:r>
    <w:r w:rsidR="00886FAE">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7743BE" w14:textId="77777777" w:rsidR="00892E0B" w:rsidRDefault="00892E0B" w:rsidP="0076358A">
      <w:r>
        <w:separator/>
      </w:r>
    </w:p>
  </w:footnote>
  <w:footnote w:type="continuationSeparator" w:id="0">
    <w:p w14:paraId="1E97CD16" w14:textId="77777777" w:rsidR="00892E0B" w:rsidRDefault="00892E0B" w:rsidP="0076358A">
      <w:r>
        <w:continuationSeparator/>
      </w:r>
    </w:p>
  </w:footnote>
  <w:footnote w:type="continuationNotice" w:id="1">
    <w:p w14:paraId="5DD23CEA" w14:textId="77777777" w:rsidR="00892E0B" w:rsidRDefault="00892E0B"/>
  </w:footnote>
  <w:footnote w:id="2">
    <w:p w14:paraId="18562094" w14:textId="77777777" w:rsidR="00886FAE" w:rsidRPr="002E026C" w:rsidRDefault="00886FAE" w:rsidP="0076358A">
      <w:pPr>
        <w:pStyle w:val="FootnoteText"/>
        <w:rPr>
          <w:rFonts w:ascii="Palatino Linotype" w:hAnsi="Palatino Linotype"/>
          <w:sz w:val="22"/>
          <w:szCs w:val="22"/>
        </w:rPr>
      </w:pPr>
      <w:r w:rsidRPr="002E026C">
        <w:rPr>
          <w:rFonts w:ascii="Palatino Linotype" w:hAnsi="Palatino Linotype"/>
          <w:sz w:val="22"/>
          <w:szCs w:val="18"/>
        </w:rPr>
        <w:t>SB 840 repealed Section 2834, removing the GTSR sunset date.</w:t>
      </w:r>
    </w:p>
  </w:footnote>
  <w:footnote w:id="3">
    <w:p w14:paraId="3B2C90FA" w14:textId="77777777" w:rsidR="00886FAE" w:rsidRPr="00A90A03" w:rsidRDefault="00886FAE" w:rsidP="0076358A">
      <w:pPr>
        <w:pStyle w:val="FootnoteText"/>
        <w:spacing w:after="0"/>
        <w:rPr>
          <w:rFonts w:ascii="Palatino Linotype" w:hAnsi="Palatino Linotype"/>
          <w:sz w:val="22"/>
          <w:szCs w:val="18"/>
        </w:rPr>
      </w:pPr>
      <w:r w:rsidRPr="00A90A03">
        <w:rPr>
          <w:rFonts w:ascii="Palatino Linotype" w:hAnsi="Palatino Linotype"/>
          <w:i/>
          <w:iCs/>
          <w:sz w:val="22"/>
          <w:szCs w:val="18"/>
        </w:rPr>
        <w:t>See</w:t>
      </w:r>
      <w:r w:rsidRPr="00A90A03">
        <w:rPr>
          <w:rFonts w:ascii="Palatino Linotype" w:hAnsi="Palatino Linotype"/>
          <w:sz w:val="22"/>
          <w:szCs w:val="18"/>
        </w:rPr>
        <w:t xml:space="preserve"> SB 840 Legislative Counsel’s Digest at</w:t>
      </w:r>
      <w:r>
        <w:rPr>
          <w:rFonts w:ascii="Palatino Linotype" w:hAnsi="Palatino Linotype"/>
          <w:sz w:val="22"/>
          <w:szCs w:val="18"/>
        </w:rPr>
        <w:t>:</w:t>
      </w:r>
      <w:r w:rsidRPr="00A90A03">
        <w:rPr>
          <w:rFonts w:ascii="Palatino Linotype" w:hAnsi="Palatino Linotype"/>
          <w:sz w:val="22"/>
          <w:szCs w:val="18"/>
        </w:rPr>
        <w:t xml:space="preserve"> </w:t>
      </w:r>
      <w:hyperlink r:id="rId1" w:history="1">
        <w:r w:rsidRPr="00A90A03">
          <w:rPr>
            <w:rStyle w:val="Hyperlink"/>
            <w:rFonts w:ascii="Palatino Linotype" w:hAnsi="Palatino Linotype"/>
            <w:sz w:val="22"/>
            <w:szCs w:val="18"/>
          </w:rPr>
          <w:t>https://leginfo.legislature.ca.gov/faces/billTextClient.xhtml?bill_id=201720180SB840</w:t>
        </w:r>
      </w:hyperlink>
      <w:r>
        <w:rPr>
          <w:rStyle w:val="Hyperlink"/>
          <w:rFonts w:ascii="Palatino Linotype" w:hAnsi="Palatino Linotype"/>
          <w:sz w:val="22"/>
          <w:szCs w:val="18"/>
        </w:rPr>
        <w:t>.</w:t>
      </w:r>
      <w:r>
        <w:rPr>
          <w:rFonts w:ascii="Palatino Linotype" w:hAnsi="Palatino Linotype"/>
          <w:sz w:val="22"/>
          <w:szCs w:val="18"/>
        </w:rPr>
        <w:t xml:space="preserve"> </w:t>
      </w:r>
    </w:p>
  </w:footnote>
  <w:footnote w:id="4">
    <w:p w14:paraId="37C29E0A" w14:textId="77777777" w:rsidR="00886FAE" w:rsidRPr="001B531E" w:rsidRDefault="00886FAE" w:rsidP="0076358A">
      <w:pPr>
        <w:pStyle w:val="FootnoteText"/>
        <w:spacing w:after="0"/>
        <w:rPr>
          <w:rFonts w:ascii="Palatino Linotype" w:hAnsi="Palatino Linotype"/>
          <w:sz w:val="22"/>
          <w:szCs w:val="22"/>
        </w:rPr>
      </w:pPr>
      <w:r w:rsidRPr="001B531E">
        <w:rPr>
          <w:rFonts w:ascii="Palatino Linotype" w:hAnsi="Palatino Linotype"/>
          <w:sz w:val="22"/>
          <w:szCs w:val="22"/>
        </w:rPr>
        <w:t>Approved by</w:t>
      </w:r>
      <w:r>
        <w:rPr>
          <w:rFonts w:ascii="Palatino Linotype" w:hAnsi="Palatino Linotype"/>
          <w:sz w:val="22"/>
          <w:szCs w:val="22"/>
        </w:rPr>
        <w:t xml:space="preserve"> Energy Division</w:t>
      </w:r>
      <w:r w:rsidRPr="001B531E">
        <w:rPr>
          <w:rFonts w:ascii="Palatino Linotype" w:hAnsi="Palatino Linotype"/>
          <w:sz w:val="22"/>
          <w:szCs w:val="22"/>
        </w:rPr>
        <w:t xml:space="preserve"> </w:t>
      </w:r>
      <w:r>
        <w:rPr>
          <w:rFonts w:ascii="Palatino Linotype" w:hAnsi="Palatino Linotype"/>
          <w:sz w:val="22"/>
          <w:szCs w:val="22"/>
        </w:rPr>
        <w:t xml:space="preserve">(ED) </w:t>
      </w:r>
      <w:r w:rsidRPr="001B531E">
        <w:rPr>
          <w:rFonts w:ascii="Palatino Linotype" w:hAnsi="Palatino Linotype"/>
          <w:sz w:val="22"/>
          <w:szCs w:val="22"/>
        </w:rPr>
        <w:t xml:space="preserve">through the </w:t>
      </w:r>
      <w:r>
        <w:rPr>
          <w:rFonts w:ascii="Palatino Linotype" w:hAnsi="Palatino Linotype"/>
          <w:sz w:val="22"/>
          <w:szCs w:val="22"/>
        </w:rPr>
        <w:t>d</w:t>
      </w:r>
      <w:r w:rsidRPr="001B531E">
        <w:rPr>
          <w:rFonts w:ascii="Palatino Linotype" w:hAnsi="Palatino Linotype"/>
          <w:sz w:val="22"/>
          <w:szCs w:val="22"/>
        </w:rPr>
        <w:t xml:space="preserve">isposition of </w:t>
      </w:r>
      <w:r>
        <w:rPr>
          <w:rFonts w:ascii="Palatino Linotype" w:hAnsi="Palatino Linotype"/>
          <w:sz w:val="22"/>
          <w:szCs w:val="22"/>
        </w:rPr>
        <w:t>AL</w:t>
      </w:r>
      <w:r w:rsidRPr="001B531E">
        <w:rPr>
          <w:rFonts w:ascii="Palatino Linotype" w:hAnsi="Palatino Linotype"/>
          <w:sz w:val="22"/>
          <w:szCs w:val="22"/>
        </w:rPr>
        <w:t xml:space="preserve"> 3878</w:t>
      </w:r>
      <w:r>
        <w:rPr>
          <w:rFonts w:ascii="Palatino Linotype" w:hAnsi="Palatino Linotype"/>
          <w:sz w:val="22"/>
          <w:szCs w:val="22"/>
        </w:rPr>
        <w:t>-E, effective July 9</w:t>
      </w:r>
      <w:r w:rsidRPr="001B531E">
        <w:rPr>
          <w:rFonts w:ascii="Palatino Linotype" w:hAnsi="Palatino Linotype"/>
          <w:sz w:val="22"/>
          <w:szCs w:val="22"/>
        </w:rPr>
        <w:t>, 201</w:t>
      </w:r>
      <w:r>
        <w:rPr>
          <w:rFonts w:ascii="Palatino Linotype" w:hAnsi="Palatino Linotype"/>
          <w:sz w:val="22"/>
          <w:szCs w:val="22"/>
        </w:rPr>
        <w:t>9</w:t>
      </w:r>
      <w:r w:rsidRPr="001B531E">
        <w:rPr>
          <w:rFonts w:ascii="Palatino Linotype" w:hAnsi="Palatino Linotype"/>
          <w:sz w:val="22"/>
          <w:szCs w:val="22"/>
        </w:rPr>
        <w:t xml:space="preserve">. </w:t>
      </w:r>
    </w:p>
  </w:footnote>
  <w:footnote w:id="5">
    <w:p w14:paraId="4035A998" w14:textId="77777777" w:rsidR="00886FAE" w:rsidRPr="002E026C" w:rsidRDefault="00886FAE" w:rsidP="0076358A">
      <w:pPr>
        <w:pStyle w:val="FootnoteText"/>
        <w:spacing w:after="0"/>
        <w:rPr>
          <w:rFonts w:ascii="Palatino Linotype" w:hAnsi="Palatino Linotype"/>
          <w:sz w:val="22"/>
          <w:szCs w:val="22"/>
        </w:rPr>
      </w:pPr>
      <w:r w:rsidRPr="002E026C">
        <w:rPr>
          <w:rFonts w:ascii="Palatino Linotype" w:hAnsi="Palatino Linotype"/>
          <w:sz w:val="22"/>
          <w:szCs w:val="22"/>
        </w:rPr>
        <w:t xml:space="preserve">Approved by ED through the disposition of AL </w:t>
      </w:r>
      <w:hyperlink r:id="rId2" w:history="1">
        <w:r w:rsidRPr="002E026C">
          <w:rPr>
            <w:rStyle w:val="Hyperlink"/>
            <w:rFonts w:ascii="Palatino Linotype" w:hAnsi="Palatino Linotype"/>
            <w:sz w:val="22"/>
            <w:szCs w:val="22"/>
          </w:rPr>
          <w:t>SDG&amp;E 3214-E</w:t>
        </w:r>
      </w:hyperlink>
      <w:r w:rsidRPr="002E026C">
        <w:rPr>
          <w:rFonts w:ascii="Palatino Linotype" w:hAnsi="Palatino Linotype"/>
          <w:sz w:val="22"/>
          <w:szCs w:val="22"/>
        </w:rPr>
        <w:t>, effective June 17, 2018.</w:t>
      </w:r>
    </w:p>
  </w:footnote>
  <w:footnote w:id="6">
    <w:p w14:paraId="65B7FC64" w14:textId="77777777" w:rsidR="00886FAE" w:rsidRPr="002E026C" w:rsidRDefault="00886FAE" w:rsidP="0076358A">
      <w:pPr>
        <w:pStyle w:val="FootnoteText"/>
        <w:spacing w:after="0"/>
        <w:rPr>
          <w:rFonts w:ascii="Palatino Linotype" w:hAnsi="Palatino Linotype"/>
          <w:sz w:val="22"/>
          <w:szCs w:val="22"/>
        </w:rPr>
      </w:pPr>
      <w:r w:rsidRPr="002E026C">
        <w:rPr>
          <w:rFonts w:ascii="Palatino Linotype" w:hAnsi="Palatino Linotype"/>
          <w:sz w:val="22"/>
          <w:szCs w:val="22"/>
        </w:rPr>
        <w:t xml:space="preserve">Approved by ED through the disposition of AL </w:t>
      </w:r>
      <w:hyperlink r:id="rId3" w:history="1">
        <w:r w:rsidRPr="002E026C">
          <w:rPr>
            <w:rStyle w:val="Hyperlink"/>
            <w:rFonts w:ascii="Palatino Linotype" w:hAnsi="Palatino Linotype"/>
            <w:sz w:val="22"/>
            <w:szCs w:val="22"/>
          </w:rPr>
          <w:t>PG&amp;E 5288-E</w:t>
        </w:r>
      </w:hyperlink>
      <w:r w:rsidRPr="002E026C">
        <w:rPr>
          <w:rFonts w:ascii="Palatino Linotype" w:hAnsi="Palatino Linotype"/>
          <w:sz w:val="22"/>
          <w:szCs w:val="22"/>
        </w:rPr>
        <w:t>, effective June 7, 2018.</w:t>
      </w:r>
    </w:p>
  </w:footnote>
  <w:footnote w:id="7">
    <w:p w14:paraId="5E5A6FCD" w14:textId="77777777" w:rsidR="00886FAE" w:rsidRPr="002E026C" w:rsidRDefault="00886FAE" w:rsidP="0076358A">
      <w:pPr>
        <w:pStyle w:val="FootnoteText"/>
        <w:spacing w:after="0"/>
        <w:rPr>
          <w:rFonts w:ascii="Palatino Linotype" w:hAnsi="Palatino Linotype"/>
          <w:sz w:val="22"/>
          <w:szCs w:val="22"/>
        </w:rPr>
      </w:pPr>
      <w:r w:rsidRPr="002E026C">
        <w:rPr>
          <w:rFonts w:ascii="Palatino Linotype" w:hAnsi="Palatino Linotype"/>
          <w:sz w:val="22"/>
          <w:szCs w:val="22"/>
        </w:rPr>
        <w:t xml:space="preserve">Approved by ED through the disposition of AL </w:t>
      </w:r>
      <w:r w:rsidRPr="002E026C">
        <w:rPr>
          <w:rFonts w:ascii="Palatino Linotype" w:hAnsi="Palatino Linotype"/>
          <w:sz w:val="22"/>
          <w:szCs w:val="18"/>
        </w:rPr>
        <w:t>SCE 3976-E</w:t>
      </w:r>
      <w:r w:rsidRPr="002E026C">
        <w:rPr>
          <w:rFonts w:ascii="Palatino Linotype" w:hAnsi="Palatino Linotype"/>
          <w:sz w:val="22"/>
          <w:szCs w:val="22"/>
        </w:rPr>
        <w:t>, effective April 29, 2019.</w:t>
      </w:r>
    </w:p>
  </w:footnote>
  <w:footnote w:id="8">
    <w:p w14:paraId="4E8005C1" w14:textId="77777777" w:rsidR="00886FAE" w:rsidRPr="002E026C" w:rsidRDefault="00886FAE" w:rsidP="0076358A">
      <w:pPr>
        <w:pStyle w:val="FootnoteText"/>
        <w:spacing w:after="0"/>
        <w:rPr>
          <w:rFonts w:ascii="Palatino Linotype" w:hAnsi="Palatino Linotype"/>
          <w:sz w:val="22"/>
          <w:szCs w:val="18"/>
        </w:rPr>
      </w:pPr>
      <w:r w:rsidRPr="002E026C">
        <w:rPr>
          <w:rFonts w:ascii="Palatino Linotype" w:hAnsi="Palatino Linotype"/>
          <w:i/>
          <w:iCs/>
          <w:sz w:val="22"/>
          <w:szCs w:val="22"/>
        </w:rPr>
        <w:t>See</w:t>
      </w:r>
      <w:r w:rsidRPr="002E026C">
        <w:rPr>
          <w:rFonts w:ascii="Palatino Linotype" w:hAnsi="Palatino Linotype"/>
          <w:sz w:val="22"/>
          <w:szCs w:val="22"/>
        </w:rPr>
        <w:t xml:space="preserve"> Letter to CPUC Executive Director Alice Stebbins, dated February 27, 2019. In this letter, Forefront seeks an extension to the 60-day Community Interest Requirement until resolutions relating to the PG&amp;E bankruptcy and this GTSR Extension Request be addressed.</w:t>
      </w:r>
    </w:p>
  </w:footnote>
  <w:footnote w:id="9">
    <w:p w14:paraId="2069A7BD" w14:textId="77777777" w:rsidR="00886FAE" w:rsidRPr="001B531E" w:rsidRDefault="00886FAE" w:rsidP="0076358A">
      <w:pPr>
        <w:pStyle w:val="FootnoteText"/>
        <w:rPr>
          <w:sz w:val="22"/>
          <w:szCs w:val="18"/>
        </w:rPr>
      </w:pPr>
      <w:r w:rsidRPr="002E026C">
        <w:rPr>
          <w:rFonts w:ascii="Palatino Linotype" w:hAnsi="Palatino Linotype"/>
          <w:sz w:val="22"/>
          <w:szCs w:val="18"/>
        </w:rPr>
        <w:t>The 2015 GTSR Decision requires participating utilities to file a monthly Green Tariff Shared Renewables (“GTSR”) Program Progress Report.  (at pages 140-141) The numbers in Tables 1—3 reflect the latest May, 2019 report, served to the Service List of A.12-01-008 in late June, with a correction from SCE.</w:t>
      </w:r>
    </w:p>
  </w:footnote>
  <w:footnote w:id="10">
    <w:p w14:paraId="1054C359" w14:textId="77777777" w:rsidR="00886FAE" w:rsidRPr="002E026C" w:rsidRDefault="00886FAE" w:rsidP="0076358A">
      <w:pPr>
        <w:pStyle w:val="FootnoteText"/>
        <w:rPr>
          <w:rFonts w:ascii="Palatino Linotype" w:hAnsi="Palatino Linotype"/>
        </w:rPr>
      </w:pPr>
      <w:r w:rsidRPr="002E026C">
        <w:rPr>
          <w:rFonts w:ascii="Palatino Linotype" w:hAnsi="Palatino Linotype"/>
          <w:sz w:val="22"/>
          <w:szCs w:val="18"/>
        </w:rPr>
        <w:t>See results from Table 3.</w:t>
      </w:r>
    </w:p>
  </w:footnote>
  <w:footnote w:id="11">
    <w:p w14:paraId="1ED6DDF6" w14:textId="77777777" w:rsidR="00886FAE" w:rsidRPr="001B531E" w:rsidRDefault="00886FAE" w:rsidP="0076358A">
      <w:pPr>
        <w:pStyle w:val="FootnoteText"/>
        <w:rPr>
          <w:rFonts w:ascii="Palatino Linotype" w:hAnsi="Palatino Linotype"/>
        </w:rPr>
      </w:pPr>
      <w:r w:rsidRPr="001B531E">
        <w:rPr>
          <w:rFonts w:ascii="Palatino Linotype" w:hAnsi="Palatino Linotype"/>
          <w:sz w:val="22"/>
          <w:szCs w:val="18"/>
        </w:rPr>
        <w:t xml:space="preserve">On September 26, 2018, SCE filed Application (A.) 18-09-015 which proposes five new green energy programs to replace its GTSR program.  The Commission rejected this Application in D.19-05-031.   </w:t>
      </w:r>
    </w:p>
  </w:footnote>
  <w:footnote w:id="12">
    <w:p w14:paraId="340DFBC9" w14:textId="77777777" w:rsidR="00886FAE" w:rsidRPr="001B531E" w:rsidRDefault="00886FAE" w:rsidP="0076358A">
      <w:pPr>
        <w:pStyle w:val="FootnoteText"/>
        <w:spacing w:after="0"/>
        <w:rPr>
          <w:rFonts w:ascii="Palatino Linotype" w:hAnsi="Palatino Linotype"/>
          <w:sz w:val="22"/>
          <w:szCs w:val="18"/>
        </w:rPr>
      </w:pPr>
      <w:r w:rsidRPr="001B531E">
        <w:rPr>
          <w:rFonts w:ascii="Palatino Linotype" w:hAnsi="Palatino Linotype"/>
          <w:sz w:val="22"/>
          <w:szCs w:val="18"/>
        </w:rPr>
        <w:t>SDG&amp;E is not proposing to no longer implement the environmental justice reservation</w:t>
      </w:r>
      <w:r>
        <w:rPr>
          <w:rFonts w:ascii="Palatino Linotype" w:hAnsi="Palatino Linotype"/>
          <w:sz w:val="22"/>
          <w:szCs w:val="18"/>
        </w:rPr>
        <w:t xml:space="preserve">, but rather </w:t>
      </w:r>
      <w:r w:rsidRPr="001B531E">
        <w:rPr>
          <w:rFonts w:ascii="Palatino Linotype" w:hAnsi="Palatino Linotype"/>
          <w:sz w:val="22"/>
          <w:szCs w:val="18"/>
        </w:rPr>
        <w:t>to remove this requirement from the tariff because it</w:t>
      </w:r>
      <w:r>
        <w:rPr>
          <w:rFonts w:ascii="Palatino Linotype" w:hAnsi="Palatino Linotype"/>
          <w:sz w:val="22"/>
          <w:szCs w:val="18"/>
        </w:rPr>
        <w:t xml:space="preserve"> is</w:t>
      </w:r>
      <w:r w:rsidRPr="001B531E">
        <w:rPr>
          <w:rFonts w:ascii="Palatino Linotype" w:hAnsi="Palatino Linotype"/>
          <w:sz w:val="22"/>
          <w:szCs w:val="18"/>
        </w:rPr>
        <w:t xml:space="preserve"> not part of SDG&amp;E’s relationship with participating customers.</w:t>
      </w:r>
    </w:p>
  </w:footnote>
  <w:footnote w:id="13">
    <w:p w14:paraId="17812A8F" w14:textId="77777777" w:rsidR="00886FAE" w:rsidRPr="001B531E" w:rsidRDefault="00886FAE" w:rsidP="0076358A">
      <w:pPr>
        <w:pStyle w:val="FootnoteText"/>
        <w:spacing w:after="0"/>
        <w:rPr>
          <w:rFonts w:ascii="Palatino Linotype" w:hAnsi="Palatino Linotype"/>
          <w:sz w:val="22"/>
          <w:szCs w:val="22"/>
        </w:rPr>
      </w:pPr>
      <w:r w:rsidRPr="001B531E">
        <w:rPr>
          <w:rFonts w:ascii="Palatino Linotype" w:hAnsi="Palatino Linotype"/>
          <w:sz w:val="22"/>
          <w:szCs w:val="22"/>
        </w:rPr>
        <w:t xml:space="preserve">By statute, GTSR is open to all renewable resources; in practice, all resources procured for the GTSR program through the competitive </w:t>
      </w:r>
      <w:r>
        <w:rPr>
          <w:rFonts w:ascii="Palatino Linotype" w:hAnsi="Palatino Linotype"/>
          <w:sz w:val="22"/>
          <w:szCs w:val="22"/>
        </w:rPr>
        <w:t>RAM solicitation</w:t>
      </w:r>
      <w:r w:rsidRPr="001B531E">
        <w:rPr>
          <w:rFonts w:ascii="Palatino Linotype" w:hAnsi="Palatino Linotype"/>
          <w:sz w:val="22"/>
          <w:szCs w:val="22"/>
        </w:rPr>
        <w:t xml:space="preserve"> thus far have been solar resources.  For this reason, Community Solar and Community Renewables are frequently used interchangeably.</w:t>
      </w:r>
    </w:p>
  </w:footnote>
  <w:footnote w:id="14">
    <w:p w14:paraId="514A6FF0" w14:textId="77777777" w:rsidR="00886FAE" w:rsidRPr="00D73F61" w:rsidRDefault="00886FAE" w:rsidP="0076358A">
      <w:pPr>
        <w:pStyle w:val="FootnoteText"/>
        <w:spacing w:after="0"/>
        <w:rPr>
          <w:rFonts w:ascii="Palatino Linotype" w:hAnsi="Palatino Linotype"/>
          <w:szCs w:val="24"/>
        </w:rPr>
      </w:pPr>
      <w:r w:rsidRPr="001B531E">
        <w:rPr>
          <w:rFonts w:ascii="Palatino Linotype" w:hAnsi="Palatino Linotype"/>
          <w:sz w:val="22"/>
          <w:szCs w:val="22"/>
        </w:rPr>
        <w:t>On or around August 31, 2018, the Office of Ratepayer Advocates was renamed the “Public Advocates Office at the California Public Utilities Commission.” Its preferred acronym is Cal PA, so the entity is referred to as Cal PA in this document.</w:t>
      </w:r>
    </w:p>
  </w:footnote>
  <w:footnote w:id="15">
    <w:p w14:paraId="2FB528AC" w14:textId="77777777" w:rsidR="00886FAE" w:rsidRPr="001B531E" w:rsidRDefault="00886FAE" w:rsidP="0076358A">
      <w:pPr>
        <w:pStyle w:val="FootnoteText"/>
        <w:spacing w:after="0"/>
        <w:rPr>
          <w:rFonts w:ascii="Palatino Linotype" w:hAnsi="Palatino Linotype"/>
          <w:sz w:val="22"/>
          <w:szCs w:val="22"/>
        </w:rPr>
      </w:pPr>
      <w:r w:rsidRPr="001B531E">
        <w:rPr>
          <w:rFonts w:ascii="Palatino Linotype" w:hAnsi="Palatino Linotype"/>
          <w:sz w:val="22"/>
          <w:szCs w:val="22"/>
        </w:rPr>
        <w:t>SCE AL 2722-E, at page 4.</w:t>
      </w:r>
    </w:p>
  </w:footnote>
  <w:footnote w:id="16">
    <w:p w14:paraId="53E62A32" w14:textId="77777777" w:rsidR="00886FAE" w:rsidRPr="001B531E" w:rsidRDefault="00886FAE" w:rsidP="0076358A">
      <w:pPr>
        <w:pStyle w:val="FootnoteText"/>
        <w:spacing w:after="0"/>
        <w:rPr>
          <w:rFonts w:ascii="Palatino Linotype" w:hAnsi="Palatino Linotype"/>
          <w:sz w:val="22"/>
          <w:szCs w:val="22"/>
        </w:rPr>
      </w:pPr>
      <w:r w:rsidRPr="001B531E">
        <w:rPr>
          <w:rFonts w:ascii="Palatino Linotype" w:hAnsi="Palatino Linotype"/>
          <w:sz w:val="22"/>
          <w:szCs w:val="22"/>
        </w:rPr>
        <w:t>SCE AL at 4.</w:t>
      </w:r>
    </w:p>
  </w:footnote>
  <w:footnote w:id="17">
    <w:p w14:paraId="3FEDA697" w14:textId="77777777" w:rsidR="00886FAE" w:rsidRPr="00D73F61" w:rsidRDefault="00886FAE" w:rsidP="0076358A">
      <w:pPr>
        <w:pStyle w:val="FootnoteText"/>
        <w:spacing w:after="0"/>
        <w:rPr>
          <w:rFonts w:ascii="Palatino Linotype" w:hAnsi="Palatino Linotype"/>
          <w:szCs w:val="24"/>
        </w:rPr>
      </w:pPr>
      <w:r w:rsidRPr="001B531E">
        <w:rPr>
          <w:rFonts w:ascii="Palatino Linotype" w:hAnsi="Palatino Linotype"/>
          <w:sz w:val="22"/>
          <w:szCs w:val="22"/>
        </w:rPr>
        <w:t>SCE AL at 5, totaling $889,582 dollars.</w:t>
      </w:r>
    </w:p>
  </w:footnote>
  <w:footnote w:id="18">
    <w:p w14:paraId="1B1CD450" w14:textId="77777777" w:rsidR="00886FAE" w:rsidRPr="001B531E" w:rsidRDefault="00886FAE" w:rsidP="0076358A">
      <w:pPr>
        <w:pStyle w:val="FootnoteText"/>
        <w:spacing w:after="0"/>
        <w:rPr>
          <w:rFonts w:ascii="Palatino Linotype" w:hAnsi="Palatino Linotype"/>
          <w:sz w:val="22"/>
          <w:szCs w:val="22"/>
        </w:rPr>
      </w:pPr>
      <w:r w:rsidRPr="001B531E">
        <w:rPr>
          <w:rFonts w:ascii="Palatino Linotype" w:hAnsi="Palatino Linotype"/>
          <w:sz w:val="22"/>
          <w:szCs w:val="22"/>
        </w:rPr>
        <w:t>Comments of the Clean Coalition, February 2</w:t>
      </w:r>
      <w:r w:rsidRPr="001B531E">
        <w:rPr>
          <w:rFonts w:ascii="Palatino Linotype" w:hAnsi="Palatino Linotype"/>
          <w:sz w:val="22"/>
          <w:szCs w:val="22"/>
          <w:vertAlign w:val="superscript"/>
        </w:rPr>
        <w:t>nd</w:t>
      </w:r>
      <w:r w:rsidRPr="001B531E">
        <w:rPr>
          <w:rFonts w:ascii="Palatino Linotype" w:hAnsi="Palatino Linotype"/>
          <w:sz w:val="22"/>
          <w:szCs w:val="22"/>
        </w:rPr>
        <w:t>, 2018 at page 2.</w:t>
      </w:r>
    </w:p>
  </w:footnote>
  <w:footnote w:id="19">
    <w:p w14:paraId="3C09B24A" w14:textId="77777777" w:rsidR="00886FAE" w:rsidRPr="001B531E" w:rsidRDefault="00886FAE" w:rsidP="0076358A">
      <w:pPr>
        <w:pStyle w:val="FootnoteText"/>
        <w:spacing w:after="0"/>
        <w:rPr>
          <w:rFonts w:ascii="Palatino Linotype" w:hAnsi="Palatino Linotype"/>
          <w:sz w:val="22"/>
          <w:szCs w:val="22"/>
        </w:rPr>
      </w:pPr>
      <w:r w:rsidRPr="001B531E">
        <w:rPr>
          <w:rFonts w:ascii="Palatino Linotype" w:hAnsi="Palatino Linotype"/>
          <w:sz w:val="22"/>
          <w:szCs w:val="22"/>
        </w:rPr>
        <w:t xml:space="preserve">And codified through </w:t>
      </w:r>
      <w:r w:rsidRPr="001B531E">
        <w:rPr>
          <w:rFonts w:ascii="Palatino Linotype" w:hAnsi="Palatino Linotype" w:cs="TimesNewRomanPSMT"/>
          <w:sz w:val="22"/>
          <w:szCs w:val="22"/>
        </w:rPr>
        <w:t>P.U. Code Section 2833 (p)</w:t>
      </w:r>
      <w:r>
        <w:rPr>
          <w:rFonts w:ascii="Palatino Linotype" w:hAnsi="Palatino Linotype" w:cs="TimesNewRomanPSMT"/>
          <w:sz w:val="22"/>
          <w:szCs w:val="22"/>
        </w:rPr>
        <w:t>.</w:t>
      </w:r>
    </w:p>
  </w:footnote>
  <w:footnote w:id="20">
    <w:p w14:paraId="5B09A7AF" w14:textId="77777777" w:rsidR="00886FAE" w:rsidRPr="001B531E" w:rsidRDefault="00886FAE" w:rsidP="0076358A">
      <w:pPr>
        <w:pStyle w:val="FootnoteText"/>
        <w:spacing w:after="0"/>
        <w:rPr>
          <w:rFonts w:ascii="Palatino Linotype" w:hAnsi="Palatino Linotype"/>
          <w:sz w:val="22"/>
          <w:szCs w:val="22"/>
        </w:rPr>
      </w:pPr>
      <w:r w:rsidRPr="001B531E">
        <w:rPr>
          <w:rFonts w:ascii="Palatino Linotype" w:hAnsi="Palatino Linotype"/>
          <w:sz w:val="22"/>
          <w:szCs w:val="22"/>
        </w:rPr>
        <w:t>Southern California Edison Company Advice No. 3722-E: Protest of the Joint Parties.  February 2, 2018.</w:t>
      </w:r>
    </w:p>
  </w:footnote>
  <w:footnote w:id="21">
    <w:p w14:paraId="1C72C682" w14:textId="77777777" w:rsidR="00886FAE" w:rsidRPr="001B531E" w:rsidRDefault="00886FAE" w:rsidP="0076358A">
      <w:pPr>
        <w:pStyle w:val="FootnoteText"/>
        <w:spacing w:after="0"/>
        <w:rPr>
          <w:rFonts w:ascii="Palatino Linotype" w:hAnsi="Palatino Linotype"/>
          <w:sz w:val="22"/>
          <w:szCs w:val="22"/>
        </w:rPr>
      </w:pPr>
      <w:r w:rsidRPr="001B531E">
        <w:rPr>
          <w:rFonts w:ascii="Palatino Linotype" w:hAnsi="Palatino Linotype"/>
          <w:sz w:val="22"/>
          <w:szCs w:val="22"/>
        </w:rPr>
        <w:t>ORA’s Protest of Southern California Edison Company (SCE)’s Request to Terminate Southern California Edison Company’s Green Tariff Shared Renewables Program in AL No. 3722-E., dated February 2, 2018.</w:t>
      </w:r>
    </w:p>
  </w:footnote>
  <w:footnote w:id="22">
    <w:p w14:paraId="7A362C36" w14:textId="77777777" w:rsidR="00886FAE" w:rsidRPr="001B531E" w:rsidRDefault="00886FAE" w:rsidP="0076358A">
      <w:pPr>
        <w:pStyle w:val="FootnoteText"/>
        <w:spacing w:after="0"/>
        <w:rPr>
          <w:rFonts w:ascii="Palatino Linotype" w:hAnsi="Palatino Linotype"/>
          <w:sz w:val="22"/>
          <w:szCs w:val="22"/>
        </w:rPr>
      </w:pPr>
      <w:r w:rsidRPr="001B531E">
        <w:rPr>
          <w:rFonts w:ascii="Palatino Linotype" w:hAnsi="Palatino Linotype"/>
          <w:sz w:val="22"/>
          <w:szCs w:val="22"/>
        </w:rPr>
        <w:t>An Audio recording of this Forum is available at the CPUC GTSR Website.</w:t>
      </w:r>
    </w:p>
  </w:footnote>
  <w:footnote w:id="23">
    <w:p w14:paraId="0B4AFC4C" w14:textId="77777777" w:rsidR="00886FAE" w:rsidRPr="0076358A" w:rsidRDefault="00886FAE" w:rsidP="0076358A">
      <w:pPr>
        <w:pStyle w:val="FootnoteText"/>
        <w:spacing w:after="0"/>
        <w:rPr>
          <w:rFonts w:ascii="Palatino Linotype" w:hAnsi="Palatino Linotype"/>
        </w:rPr>
      </w:pPr>
      <w:r w:rsidRPr="0076358A">
        <w:rPr>
          <w:rFonts w:ascii="Palatino Linotype" w:hAnsi="Palatino Linotype"/>
          <w:sz w:val="22"/>
          <w:szCs w:val="22"/>
        </w:rPr>
        <w:t>SB 840 repealed Section 2834 of the Public Utilities Code, which established the January 1, 2019 sunset date for the GTSR program</w:t>
      </w:r>
      <w:r w:rsidRPr="0076358A">
        <w:rPr>
          <w:rFonts w:ascii="Palatino Linotype" w:hAnsi="Palatino Linotype"/>
          <w:sz w:val="22"/>
          <w:szCs w:val="18"/>
        </w:rPr>
        <w:t xml:space="preserve">. </w:t>
      </w:r>
    </w:p>
  </w:footnote>
  <w:footnote w:id="24">
    <w:p w14:paraId="56BD99A5" w14:textId="77777777" w:rsidR="00886FAE" w:rsidRDefault="00886FAE" w:rsidP="0076358A">
      <w:pPr>
        <w:pStyle w:val="FootnoteText"/>
      </w:pPr>
      <w:r w:rsidRPr="0076358A">
        <w:rPr>
          <w:rFonts w:ascii="Palatino Linotype" w:hAnsi="Palatino Linotype"/>
          <w:sz w:val="22"/>
          <w:szCs w:val="18"/>
        </w:rPr>
        <w:t>D.19-05-031, Conclusion of Law #2.</w:t>
      </w:r>
      <w:r w:rsidRPr="00A90A03">
        <w:rPr>
          <w:sz w:val="22"/>
          <w:szCs w:val="18"/>
        </w:rPr>
        <w:t xml:space="preserve"> </w:t>
      </w:r>
    </w:p>
  </w:footnote>
  <w:footnote w:id="25">
    <w:p w14:paraId="42BC24F6" w14:textId="77777777" w:rsidR="00886FAE" w:rsidRPr="002E026C" w:rsidRDefault="00886FAE" w:rsidP="0076358A">
      <w:pPr>
        <w:pStyle w:val="FootnoteText"/>
        <w:rPr>
          <w:rFonts w:ascii="Palatino Linotype" w:hAnsi="Palatino Linotype"/>
        </w:rPr>
      </w:pPr>
      <w:r w:rsidRPr="002E026C">
        <w:rPr>
          <w:rFonts w:ascii="Palatino Linotype" w:hAnsi="Palatino Linotype"/>
          <w:sz w:val="22"/>
          <w:szCs w:val="18"/>
        </w:rPr>
        <w:t xml:space="preserve">This resolution presumes that parties raising this procedural objection would argue the same for any recommended program changes made by non-IOUs in response to the ALs.  </w:t>
      </w:r>
    </w:p>
  </w:footnote>
  <w:footnote w:id="26">
    <w:p w14:paraId="46E2B8EC" w14:textId="77777777" w:rsidR="00886FAE" w:rsidRPr="00FA492E" w:rsidRDefault="00886FAE" w:rsidP="0076358A">
      <w:pPr>
        <w:pStyle w:val="FootnoteText"/>
        <w:spacing w:after="0"/>
        <w:rPr>
          <w:rFonts w:ascii="Palatino Linotype" w:hAnsi="Palatino Linotype"/>
          <w:sz w:val="22"/>
          <w:szCs w:val="24"/>
        </w:rPr>
      </w:pPr>
      <w:r w:rsidRPr="00FA492E">
        <w:rPr>
          <w:rFonts w:ascii="Palatino Linotype" w:hAnsi="Palatino Linotype"/>
          <w:sz w:val="22"/>
          <w:szCs w:val="24"/>
        </w:rPr>
        <w:t>Sierra Club/California Clean Energy Committee (May 5, 2014 Opening Brief at 27.), City of Davis, and CCSF all highlighted this aspect of ECR in their testimony and briefs.</w:t>
      </w:r>
    </w:p>
  </w:footnote>
  <w:footnote w:id="27">
    <w:p w14:paraId="02DD217C" w14:textId="77777777" w:rsidR="00886FAE" w:rsidRPr="00FA492E" w:rsidRDefault="00886FAE" w:rsidP="0076358A">
      <w:pPr>
        <w:pStyle w:val="FootnoteText"/>
        <w:rPr>
          <w:rFonts w:ascii="Palatino Linotype" w:hAnsi="Palatino Linotype"/>
          <w:sz w:val="22"/>
          <w:szCs w:val="24"/>
        </w:rPr>
      </w:pPr>
      <w:r w:rsidRPr="00FA492E">
        <w:rPr>
          <w:rFonts w:ascii="Palatino Linotype" w:hAnsi="Palatino Linotype"/>
          <w:sz w:val="22"/>
          <w:szCs w:val="24"/>
        </w:rPr>
        <w:t>D.15-01-051 at 61.  “We direct the IOUs to base their assessment of community interest on the following criteria:  (a) documentation that community members have committed to enroll in 30% of the project’s capacity or documentation that community members have provided expressions of interest in the project sufficient to reach 51% subscription rate; and (b) a minimum of three separate subscribers to reflect the “shared” aspect of the program.   We agree with CCSF that allowing third-party institutional customers to guarantee subscription levels for new projects may be sufficient to establish community interest.  In particular, if the guarantee is from a municipality working to develop ECR projects in its community, then this guarantee is a sufficient demonstration of community interest.”</w:t>
      </w:r>
    </w:p>
  </w:footnote>
  <w:footnote w:id="28">
    <w:p w14:paraId="785A4D2A" w14:textId="77777777" w:rsidR="00886FAE" w:rsidRPr="00D73F61" w:rsidRDefault="00886FAE" w:rsidP="0076358A">
      <w:pPr>
        <w:pStyle w:val="FootnoteText"/>
        <w:rPr>
          <w:rFonts w:ascii="Palatino Linotype" w:hAnsi="Palatino Linotype"/>
          <w:szCs w:val="24"/>
        </w:rPr>
      </w:pPr>
      <w:r w:rsidRPr="00FA492E">
        <w:rPr>
          <w:rFonts w:ascii="Palatino Linotype" w:hAnsi="Palatino Linotype"/>
          <w:sz w:val="22"/>
          <w:szCs w:val="24"/>
        </w:rPr>
        <w:t xml:space="preserve">2016 GTSR Decision at 17. </w:t>
      </w:r>
    </w:p>
  </w:footnote>
  <w:footnote w:id="29">
    <w:p w14:paraId="3B4F2A2A" w14:textId="77777777" w:rsidR="00886FAE" w:rsidRPr="00FA492E" w:rsidRDefault="00886FAE" w:rsidP="0076358A">
      <w:pPr>
        <w:pStyle w:val="FootnoteText"/>
        <w:spacing w:after="0"/>
        <w:rPr>
          <w:rFonts w:ascii="Palatino Linotype" w:hAnsi="Palatino Linotype"/>
          <w:sz w:val="22"/>
          <w:szCs w:val="24"/>
        </w:rPr>
      </w:pPr>
      <w:r w:rsidRPr="00FA492E">
        <w:rPr>
          <w:rFonts w:ascii="Palatino Linotype" w:hAnsi="Palatino Linotype"/>
          <w:sz w:val="22"/>
          <w:szCs w:val="24"/>
        </w:rPr>
        <w:t>Brian Orion</w:t>
      </w:r>
      <w:r>
        <w:rPr>
          <w:rFonts w:ascii="Palatino Linotype" w:hAnsi="Palatino Linotype"/>
          <w:sz w:val="22"/>
          <w:szCs w:val="24"/>
        </w:rPr>
        <w:t>,</w:t>
      </w:r>
      <w:r w:rsidRPr="00FA492E">
        <w:rPr>
          <w:rFonts w:ascii="Palatino Linotype" w:hAnsi="Palatino Linotype"/>
          <w:sz w:val="22"/>
          <w:szCs w:val="24"/>
        </w:rPr>
        <w:t xml:space="preserve"> April 18, 2017.  Greentech Media, Industry Perspective</w:t>
      </w:r>
      <w:r>
        <w:rPr>
          <w:rFonts w:ascii="Palatino Linotype" w:hAnsi="Palatino Linotype"/>
          <w:sz w:val="22"/>
          <w:szCs w:val="24"/>
        </w:rPr>
        <w:t>.</w:t>
      </w:r>
      <w:r w:rsidRPr="00FA492E">
        <w:rPr>
          <w:rFonts w:ascii="Palatino Linotype" w:hAnsi="Palatino Linotype"/>
          <w:sz w:val="22"/>
          <w:szCs w:val="24"/>
        </w:rPr>
        <w:t xml:space="preserve"> </w:t>
      </w:r>
      <w:hyperlink r:id="rId4" w:history="1">
        <w:r w:rsidRPr="00DC7E13">
          <w:rPr>
            <w:rStyle w:val="Hyperlink"/>
            <w:rFonts w:ascii="Palatino Linotype" w:hAnsi="Palatino Linotype"/>
            <w:sz w:val="22"/>
            <w:szCs w:val="24"/>
          </w:rPr>
          <w:t>www.greent</w:t>
        </w:r>
        <w:r w:rsidRPr="00895677">
          <w:rPr>
            <w:rStyle w:val="Hyperlink"/>
            <w:rFonts w:ascii="Palatino Linotype" w:hAnsi="Palatino Linotype"/>
            <w:sz w:val="22"/>
            <w:szCs w:val="24"/>
          </w:rPr>
          <w:t>echmedia.com/articles/read/a-rough-start-possible-reforms-for-californias-community-so</w:t>
        </w:r>
        <w:r w:rsidRPr="005C030D">
          <w:rPr>
            <w:rStyle w:val="Hyperlink"/>
            <w:rFonts w:ascii="Palatino Linotype" w:hAnsi="Palatino Linotype"/>
            <w:sz w:val="22"/>
            <w:szCs w:val="24"/>
          </w:rPr>
          <w:t>lar-program</w:t>
        </w:r>
      </w:hyperlink>
      <w:r>
        <w:rPr>
          <w:rStyle w:val="Hyperlink"/>
          <w:rFonts w:ascii="Palatino Linotype" w:hAnsi="Palatino Linotype"/>
          <w:sz w:val="22"/>
          <w:szCs w:val="24"/>
        </w:rPr>
        <w:t>.</w:t>
      </w:r>
      <w:r>
        <w:rPr>
          <w:rFonts w:ascii="Palatino Linotype" w:hAnsi="Palatino Linotype"/>
          <w:sz w:val="22"/>
          <w:szCs w:val="24"/>
        </w:rPr>
        <w:t xml:space="preserve"> </w:t>
      </w:r>
    </w:p>
  </w:footnote>
  <w:footnote w:id="30">
    <w:p w14:paraId="67115902" w14:textId="77777777" w:rsidR="00886FAE" w:rsidRPr="00FA492E" w:rsidRDefault="00886FAE" w:rsidP="0076358A">
      <w:pPr>
        <w:pStyle w:val="FootnoteText"/>
        <w:rPr>
          <w:rFonts w:ascii="Palatino Linotype" w:hAnsi="Palatino Linotype"/>
          <w:sz w:val="22"/>
          <w:szCs w:val="24"/>
        </w:rPr>
      </w:pPr>
      <w:r w:rsidRPr="00FA492E">
        <w:rPr>
          <w:rFonts w:ascii="Palatino Linotype" w:hAnsi="Palatino Linotype"/>
          <w:sz w:val="22"/>
          <w:szCs w:val="24"/>
        </w:rPr>
        <w:t>Protest of the Joint Solar Parties.</w:t>
      </w:r>
    </w:p>
  </w:footnote>
  <w:footnote w:id="31">
    <w:p w14:paraId="1F909412" w14:textId="77777777" w:rsidR="00886FAE" w:rsidRPr="0076358A" w:rsidRDefault="00886FAE" w:rsidP="0076358A">
      <w:pPr>
        <w:pStyle w:val="FootnoteText"/>
        <w:spacing w:after="0"/>
        <w:rPr>
          <w:rFonts w:ascii="Palatino Linotype" w:hAnsi="Palatino Linotype"/>
          <w:sz w:val="22"/>
          <w:szCs w:val="24"/>
        </w:rPr>
      </w:pPr>
      <w:r w:rsidRPr="00FA492E">
        <w:rPr>
          <w:rFonts w:ascii="Palatino Linotype" w:hAnsi="Palatino Linotype"/>
          <w:sz w:val="22"/>
          <w:szCs w:val="24"/>
        </w:rPr>
        <w:t xml:space="preserve">Further locational specificity can be developed in Phase IV, along with adders or credits for </w:t>
      </w:r>
      <w:r w:rsidRPr="0076358A">
        <w:rPr>
          <w:rFonts w:ascii="Palatino Linotype" w:hAnsi="Palatino Linotype"/>
          <w:sz w:val="22"/>
          <w:szCs w:val="24"/>
        </w:rPr>
        <w:t>avoiding increased distribution costs.</w:t>
      </w:r>
    </w:p>
  </w:footnote>
  <w:footnote w:id="32">
    <w:p w14:paraId="088D3110" w14:textId="77777777" w:rsidR="00886FAE" w:rsidRPr="0076358A" w:rsidRDefault="00886FAE" w:rsidP="0076358A">
      <w:pPr>
        <w:pStyle w:val="FootnoteText"/>
        <w:rPr>
          <w:rFonts w:ascii="Palatino Linotype" w:hAnsi="Palatino Linotype"/>
        </w:rPr>
      </w:pPr>
      <w:r w:rsidRPr="0076358A">
        <w:rPr>
          <w:rFonts w:ascii="Palatino Linotype" w:hAnsi="Palatino Linotype"/>
          <w:sz w:val="22"/>
        </w:rPr>
        <w:t xml:space="preserve">PG&amp;E AL 3920-G/5206-E at 7. </w:t>
      </w:r>
    </w:p>
  </w:footnote>
  <w:footnote w:id="33">
    <w:p w14:paraId="2B9FE0F8" w14:textId="77777777" w:rsidR="00886FAE" w:rsidRPr="0076358A" w:rsidRDefault="00886FAE" w:rsidP="0076358A">
      <w:pPr>
        <w:pStyle w:val="FootnoteText"/>
        <w:spacing w:after="0"/>
        <w:rPr>
          <w:rFonts w:ascii="Palatino Linotype" w:hAnsi="Palatino Linotype"/>
          <w:sz w:val="22"/>
        </w:rPr>
      </w:pPr>
      <w:r w:rsidRPr="0076358A">
        <w:rPr>
          <w:rFonts w:ascii="Palatino Linotype" w:hAnsi="Palatino Linotype"/>
          <w:sz w:val="22"/>
        </w:rPr>
        <w:t>Protest of TURN to SCE AL 3722-E, February 1, 2018.</w:t>
      </w:r>
    </w:p>
  </w:footnote>
  <w:footnote w:id="34">
    <w:p w14:paraId="2F865FBD" w14:textId="77777777" w:rsidR="00886FAE" w:rsidRPr="002E026C" w:rsidRDefault="00886FAE" w:rsidP="0076358A">
      <w:pPr>
        <w:pStyle w:val="FootnoteText"/>
        <w:spacing w:after="0"/>
        <w:rPr>
          <w:rFonts w:ascii="Palatino Linotype" w:hAnsi="Palatino Linotype"/>
          <w:sz w:val="22"/>
          <w:szCs w:val="24"/>
        </w:rPr>
      </w:pPr>
      <w:r w:rsidRPr="0076358A">
        <w:rPr>
          <w:rFonts w:ascii="Palatino Linotype" w:hAnsi="Palatino Linotype"/>
          <w:sz w:val="22"/>
          <w:szCs w:val="24"/>
        </w:rPr>
        <w:t>D.15-01-051 at 67.</w:t>
      </w:r>
    </w:p>
  </w:footnote>
  <w:footnote w:id="35">
    <w:p w14:paraId="5113A0BD" w14:textId="77777777" w:rsidR="00886FAE" w:rsidRPr="00D73F61" w:rsidRDefault="00886FAE" w:rsidP="0076358A">
      <w:pPr>
        <w:pStyle w:val="FootnoteText"/>
        <w:spacing w:after="0"/>
      </w:pPr>
      <w:r w:rsidRPr="002E026C">
        <w:rPr>
          <w:rFonts w:ascii="Palatino Linotype" w:hAnsi="Palatino Linotype"/>
          <w:sz w:val="22"/>
        </w:rPr>
        <w:t>SDG&amp;E AL at 7, section 2</w:t>
      </w:r>
      <w:r w:rsidRPr="00FA492E">
        <w:rPr>
          <w:sz w:val="22"/>
        </w:rPr>
        <w:t>.</w:t>
      </w:r>
    </w:p>
  </w:footnote>
  <w:footnote w:id="36">
    <w:p w14:paraId="790A4CA5" w14:textId="77777777" w:rsidR="00886FAE" w:rsidRPr="001B531E" w:rsidRDefault="00886FAE" w:rsidP="0076358A">
      <w:pPr>
        <w:pStyle w:val="FootnoteText"/>
        <w:rPr>
          <w:rFonts w:ascii="Palatino Linotype" w:hAnsi="Palatino Linotype"/>
          <w:sz w:val="22"/>
          <w:szCs w:val="22"/>
        </w:rPr>
      </w:pPr>
      <w:r w:rsidRPr="001B531E">
        <w:rPr>
          <w:rFonts w:ascii="Palatino Linotype" w:hAnsi="Palatino Linotype"/>
          <w:sz w:val="22"/>
          <w:szCs w:val="22"/>
        </w:rPr>
        <w:t>In addition, the EJ Reservation must locate capacity in areas identified as the most impacted and disadvantaged communities in California.  The EJ Reservation location requirements are discussed in Section 4.9 below.</w:t>
      </w:r>
    </w:p>
  </w:footnote>
  <w:footnote w:id="37">
    <w:p w14:paraId="1B2B5BEA" w14:textId="77777777" w:rsidR="00886FAE" w:rsidRPr="001B531E" w:rsidRDefault="00886FAE" w:rsidP="0076358A">
      <w:pPr>
        <w:pStyle w:val="FootnoteText"/>
        <w:rPr>
          <w:rFonts w:ascii="Palatino Linotype" w:hAnsi="Palatino Linotype"/>
          <w:sz w:val="22"/>
          <w:szCs w:val="22"/>
        </w:rPr>
      </w:pPr>
      <w:r w:rsidRPr="001B531E">
        <w:rPr>
          <w:rFonts w:ascii="Palatino Linotype" w:hAnsi="Palatino Linotype"/>
          <w:sz w:val="22"/>
          <w:szCs w:val="22"/>
        </w:rPr>
        <w:t xml:space="preserve">2015 GTSR Decision </w:t>
      </w:r>
      <w:r>
        <w:rPr>
          <w:rFonts w:ascii="Palatino Linotype" w:hAnsi="Palatino Linotype"/>
          <w:sz w:val="22"/>
          <w:szCs w:val="22"/>
        </w:rPr>
        <w:t>at</w:t>
      </w:r>
      <w:r w:rsidRPr="001B531E">
        <w:rPr>
          <w:rFonts w:ascii="Palatino Linotype" w:hAnsi="Palatino Linotype"/>
          <w:sz w:val="22"/>
          <w:szCs w:val="22"/>
        </w:rPr>
        <w:t xml:space="preserve"> 67.  </w:t>
      </w:r>
    </w:p>
  </w:footnote>
  <w:footnote w:id="38">
    <w:p w14:paraId="6971F127" w14:textId="77777777" w:rsidR="00886FAE" w:rsidRPr="001B531E" w:rsidRDefault="00886FAE" w:rsidP="0076358A">
      <w:pPr>
        <w:pStyle w:val="FootnoteText"/>
        <w:rPr>
          <w:rFonts w:ascii="Palatino Linotype" w:hAnsi="Palatino Linotype"/>
          <w:sz w:val="22"/>
          <w:szCs w:val="22"/>
        </w:rPr>
      </w:pPr>
      <w:r w:rsidRPr="001B531E">
        <w:rPr>
          <w:rFonts w:ascii="Palatino Linotype" w:hAnsi="Palatino Linotype"/>
          <w:sz w:val="22"/>
          <w:szCs w:val="22"/>
        </w:rPr>
        <w:t xml:space="preserve">The Asian Pacific Environmental Network, represented by Amee Raval, </w:t>
      </w:r>
      <w:r w:rsidRPr="001B531E">
        <w:rPr>
          <w:rFonts w:ascii="Palatino Linotype" w:hAnsi="Palatino Linotype"/>
          <w:sz w:val="22"/>
          <w:szCs w:val="22"/>
          <w:lang w:val="en"/>
        </w:rPr>
        <w:t>Policy and Research Associate</w:t>
      </w:r>
      <w:r w:rsidRPr="001B531E">
        <w:rPr>
          <w:rFonts w:ascii="Palatino Linotype" w:hAnsi="Palatino Linotype"/>
          <w:sz w:val="22"/>
          <w:szCs w:val="22"/>
        </w:rPr>
        <w:t xml:space="preserve">.  </w:t>
      </w:r>
    </w:p>
  </w:footnote>
  <w:footnote w:id="39">
    <w:p w14:paraId="533D5A81" w14:textId="77777777" w:rsidR="00886FAE" w:rsidRPr="001B531E" w:rsidRDefault="00886FAE" w:rsidP="0076358A">
      <w:pPr>
        <w:pStyle w:val="FootnoteText"/>
        <w:rPr>
          <w:rFonts w:ascii="Palatino Linotype" w:hAnsi="Palatino Linotype"/>
          <w:sz w:val="22"/>
          <w:szCs w:val="22"/>
        </w:rPr>
      </w:pPr>
      <w:r>
        <w:rPr>
          <w:rFonts w:ascii="Palatino Linotype" w:hAnsi="Palatino Linotype"/>
          <w:sz w:val="22"/>
          <w:szCs w:val="22"/>
        </w:rPr>
        <w:t xml:space="preserve">CRS </w:t>
      </w:r>
      <w:r w:rsidRPr="001B531E">
        <w:rPr>
          <w:rFonts w:ascii="Palatino Linotype" w:hAnsi="Palatino Linotype"/>
          <w:sz w:val="22"/>
          <w:szCs w:val="22"/>
        </w:rPr>
        <w:t xml:space="preserve">manages Green-e certification accounts for large investor-owned utilities and competitive electricity suppliers, including the GTSR program.  </w:t>
      </w:r>
    </w:p>
  </w:footnote>
  <w:footnote w:id="40">
    <w:p w14:paraId="73C5F1EF" w14:textId="77777777" w:rsidR="00886FAE" w:rsidRPr="002E026C" w:rsidRDefault="00886FAE" w:rsidP="0076358A">
      <w:pPr>
        <w:pStyle w:val="FootnoteText"/>
        <w:rPr>
          <w:rFonts w:ascii="Palatino Linotype" w:hAnsi="Palatino Linotype"/>
        </w:rPr>
      </w:pPr>
      <w:r w:rsidRPr="002E026C">
        <w:rPr>
          <w:rFonts w:ascii="Palatino Linotype" w:hAnsi="Palatino Linotype"/>
          <w:sz w:val="22"/>
          <w:szCs w:val="18"/>
        </w:rPr>
        <w:t>D.16-05-006 at 17.</w:t>
      </w:r>
    </w:p>
  </w:footnote>
  <w:footnote w:id="41">
    <w:p w14:paraId="0BDF4D52" w14:textId="77777777" w:rsidR="00886FAE" w:rsidRPr="002E026C" w:rsidRDefault="00886FAE" w:rsidP="0076358A">
      <w:pPr>
        <w:pStyle w:val="FootnoteText"/>
        <w:rPr>
          <w:rFonts w:ascii="Palatino Linotype" w:hAnsi="Palatino Linotype"/>
        </w:rPr>
      </w:pPr>
      <w:r w:rsidRPr="002E026C">
        <w:rPr>
          <w:rFonts w:ascii="Palatino Linotype" w:hAnsi="Palatino Linotype"/>
          <w:sz w:val="22"/>
        </w:rPr>
        <w:t>Complied from Data Responses received individually from each IOU on October 12, 2018.</w:t>
      </w:r>
    </w:p>
  </w:footnote>
  <w:footnote w:id="42">
    <w:p w14:paraId="10A6010F" w14:textId="77777777" w:rsidR="00886FAE" w:rsidRPr="00FA492E" w:rsidRDefault="00886FAE" w:rsidP="0076358A">
      <w:pPr>
        <w:pStyle w:val="FootnoteText"/>
        <w:rPr>
          <w:sz w:val="22"/>
        </w:rPr>
      </w:pPr>
      <w:r w:rsidRPr="002E026C">
        <w:rPr>
          <w:rFonts w:ascii="Palatino Linotype" w:hAnsi="Palatino Linotype"/>
          <w:sz w:val="22"/>
        </w:rPr>
        <w:t>CES = Cal EnviroScreen 3.0. The higher the percentile value in Table 5, the more impacted the location.</w:t>
      </w:r>
      <w:r>
        <w:rPr>
          <w:sz w:val="22"/>
        </w:rPr>
        <w:t xml:space="preserve"> </w:t>
      </w:r>
    </w:p>
  </w:footnote>
  <w:footnote w:id="43">
    <w:p w14:paraId="4B834DC0" w14:textId="77777777" w:rsidR="00886FAE" w:rsidRPr="00FA492E" w:rsidRDefault="00886FAE" w:rsidP="0076358A">
      <w:pPr>
        <w:pStyle w:val="FootnoteText"/>
        <w:spacing w:after="0"/>
        <w:rPr>
          <w:rFonts w:ascii="Palatino Linotype" w:hAnsi="Palatino Linotype"/>
          <w:sz w:val="22"/>
          <w:szCs w:val="24"/>
        </w:rPr>
      </w:pPr>
      <w:r w:rsidRPr="00FA492E">
        <w:rPr>
          <w:rFonts w:ascii="Palatino Linotype" w:hAnsi="Palatino Linotype"/>
          <w:sz w:val="22"/>
          <w:szCs w:val="24"/>
        </w:rPr>
        <w:t>D.16-05-006 at OP 11.</w:t>
      </w:r>
    </w:p>
  </w:footnote>
  <w:footnote w:id="44">
    <w:p w14:paraId="074AAC86" w14:textId="77777777" w:rsidR="00886FAE" w:rsidRDefault="00886FAE" w:rsidP="0076358A">
      <w:pPr>
        <w:pStyle w:val="FootnoteText"/>
      </w:pPr>
      <w:r>
        <w:rPr>
          <w:rFonts w:ascii="Palatino Linotype" w:hAnsi="Palatino Linotype"/>
          <w:sz w:val="22"/>
          <w:szCs w:val="24"/>
        </w:rPr>
        <w:t>S</w:t>
      </w:r>
      <w:r w:rsidRPr="00FA492E">
        <w:rPr>
          <w:rFonts w:ascii="Palatino Linotype" w:hAnsi="Palatino Linotype"/>
          <w:sz w:val="22"/>
          <w:szCs w:val="24"/>
        </w:rPr>
        <w:t>DG&amp;E AL at 9.</w:t>
      </w:r>
    </w:p>
  </w:footnote>
  <w:footnote w:id="45">
    <w:p w14:paraId="56C94820" w14:textId="77777777" w:rsidR="00886FAE" w:rsidRPr="00FA492E" w:rsidRDefault="00886FAE" w:rsidP="0076358A">
      <w:pPr>
        <w:pStyle w:val="FootnoteText"/>
        <w:spacing w:after="0"/>
        <w:rPr>
          <w:rFonts w:ascii="Palatino Linotype" w:hAnsi="Palatino Linotype"/>
          <w:sz w:val="22"/>
          <w:szCs w:val="24"/>
        </w:rPr>
      </w:pPr>
      <w:r w:rsidRPr="00FA492E">
        <w:rPr>
          <w:rFonts w:ascii="Palatino Linotype" w:hAnsi="Palatino Linotype"/>
          <w:i/>
          <w:sz w:val="22"/>
          <w:szCs w:val="24"/>
        </w:rPr>
        <w:t>Id</w:t>
      </w:r>
      <w:r w:rsidRPr="00FA492E">
        <w:rPr>
          <w:rFonts w:ascii="Palatino Linotype" w:hAnsi="Palatino Linotype"/>
          <w:sz w:val="22"/>
          <w:szCs w:val="24"/>
        </w:rPr>
        <w:t>. at 16.</w:t>
      </w:r>
    </w:p>
  </w:footnote>
  <w:footnote w:id="46">
    <w:p w14:paraId="02E0DD5A" w14:textId="77777777" w:rsidR="00886FAE" w:rsidRPr="00FA492E" w:rsidRDefault="00886FAE" w:rsidP="0076358A">
      <w:pPr>
        <w:pStyle w:val="FootnoteText"/>
        <w:spacing w:after="0"/>
        <w:rPr>
          <w:rFonts w:ascii="Palatino Linotype" w:hAnsi="Palatino Linotype"/>
          <w:sz w:val="22"/>
          <w:szCs w:val="24"/>
        </w:rPr>
      </w:pPr>
      <w:r w:rsidRPr="00FA492E">
        <w:rPr>
          <w:rFonts w:ascii="Palatino Linotype" w:hAnsi="Palatino Linotype"/>
          <w:sz w:val="22"/>
          <w:szCs w:val="24"/>
        </w:rPr>
        <w:t>PG&amp;E</w:t>
      </w:r>
      <w:r w:rsidRPr="00FA492E">
        <w:rPr>
          <w:rStyle w:val="FootnoteReference"/>
          <w:rFonts w:ascii="Palatino Linotype" w:hAnsi="Palatino Linotype"/>
          <w:sz w:val="22"/>
          <w:szCs w:val="24"/>
        </w:rPr>
        <w:t xml:space="preserve"> </w:t>
      </w:r>
      <w:r>
        <w:rPr>
          <w:rFonts w:ascii="Palatino Linotype" w:hAnsi="Palatino Linotype"/>
          <w:sz w:val="22"/>
          <w:szCs w:val="24"/>
        </w:rPr>
        <w:t>AL</w:t>
      </w:r>
      <w:r w:rsidRPr="00FA492E">
        <w:rPr>
          <w:rFonts w:ascii="Palatino Linotype" w:hAnsi="Palatino Linotype"/>
          <w:sz w:val="22"/>
          <w:szCs w:val="24"/>
        </w:rPr>
        <w:t xml:space="preserve"> Advice 3920-G/5206-E at 11.</w:t>
      </w:r>
    </w:p>
  </w:footnote>
  <w:footnote w:id="47">
    <w:p w14:paraId="0798847D" w14:textId="77777777" w:rsidR="00886FAE" w:rsidRPr="00FA492E" w:rsidRDefault="00886FAE" w:rsidP="0076358A">
      <w:pPr>
        <w:pStyle w:val="FootnoteText"/>
        <w:spacing w:after="0"/>
        <w:rPr>
          <w:rFonts w:ascii="Palatino Linotype" w:hAnsi="Palatino Linotype"/>
          <w:sz w:val="22"/>
          <w:szCs w:val="24"/>
        </w:rPr>
      </w:pPr>
      <w:r w:rsidRPr="00FA492E">
        <w:rPr>
          <w:rFonts w:ascii="Palatino Linotype" w:hAnsi="Palatino Linotype"/>
          <w:sz w:val="22"/>
          <w:szCs w:val="24"/>
        </w:rPr>
        <w:t>Reply Comments of SDG&amp;E February 9, 2018.</w:t>
      </w:r>
    </w:p>
  </w:footnote>
  <w:footnote w:id="48">
    <w:p w14:paraId="011F6B22" w14:textId="77777777" w:rsidR="00886FAE" w:rsidRPr="00D73F61" w:rsidRDefault="00886FAE" w:rsidP="0076358A">
      <w:pPr>
        <w:pStyle w:val="FootnoteText"/>
        <w:spacing w:after="0"/>
        <w:rPr>
          <w:rFonts w:ascii="Palatino Linotype" w:hAnsi="Palatino Linotype"/>
          <w:szCs w:val="24"/>
        </w:rPr>
      </w:pPr>
      <w:r w:rsidRPr="00A90A03">
        <w:rPr>
          <w:rFonts w:ascii="Palatino Linotype" w:hAnsi="Palatino Linotype"/>
          <w:i/>
          <w:iCs/>
          <w:sz w:val="22"/>
          <w:szCs w:val="24"/>
        </w:rPr>
        <w:t>See</w:t>
      </w:r>
      <w:r>
        <w:rPr>
          <w:rFonts w:ascii="Palatino Linotype" w:hAnsi="Palatino Linotype"/>
          <w:sz w:val="22"/>
          <w:szCs w:val="24"/>
        </w:rPr>
        <w:t xml:space="preserve"> “</w:t>
      </w:r>
      <w:r w:rsidRPr="00FA492E">
        <w:rPr>
          <w:rFonts w:ascii="Palatino Linotype" w:hAnsi="Palatino Linotype"/>
          <w:sz w:val="22"/>
          <w:szCs w:val="24"/>
        </w:rPr>
        <w:t xml:space="preserve">Report of the Independent Evaluator on the Offer Evaluation and Selection Process, and on the Merit for Approval of </w:t>
      </w:r>
      <w:r>
        <w:rPr>
          <w:rFonts w:ascii="Palatino Linotype" w:hAnsi="Palatino Linotype"/>
          <w:sz w:val="22"/>
          <w:szCs w:val="24"/>
        </w:rPr>
        <w:t>a</w:t>
      </w:r>
      <w:r w:rsidRPr="00FA492E">
        <w:rPr>
          <w:rFonts w:ascii="Palatino Linotype" w:hAnsi="Palatino Linotype"/>
          <w:sz w:val="22"/>
          <w:szCs w:val="24"/>
        </w:rPr>
        <w:t xml:space="preserve"> Renewable Energy Contract </w:t>
      </w:r>
      <w:r>
        <w:rPr>
          <w:rFonts w:ascii="Palatino Linotype" w:hAnsi="Palatino Linotype"/>
          <w:sz w:val="22"/>
          <w:szCs w:val="24"/>
        </w:rPr>
        <w:t>w</w:t>
      </w:r>
      <w:r w:rsidRPr="00FA492E">
        <w:rPr>
          <w:rFonts w:ascii="Palatino Linotype" w:hAnsi="Palatino Linotype"/>
          <w:sz w:val="22"/>
          <w:szCs w:val="24"/>
        </w:rPr>
        <w:t>ith FFP Ca Community Solar, LLC</w:t>
      </w:r>
      <w:r>
        <w:rPr>
          <w:rFonts w:ascii="Palatino Linotype" w:hAnsi="Palatino Linotype"/>
          <w:sz w:val="22"/>
          <w:szCs w:val="24"/>
        </w:rPr>
        <w:t>”</w:t>
      </w:r>
      <w:r w:rsidRPr="00FA492E">
        <w:rPr>
          <w:rFonts w:ascii="Palatino Linotype" w:hAnsi="Palatino Linotype"/>
          <w:sz w:val="22"/>
          <w:szCs w:val="24"/>
        </w:rPr>
        <w:t xml:space="preserve">, Arroyo Seco Consulting, April 12, 2018, </w:t>
      </w:r>
      <w:r>
        <w:rPr>
          <w:rFonts w:ascii="Palatino Linotype" w:hAnsi="Palatino Linotype"/>
          <w:sz w:val="22"/>
          <w:szCs w:val="24"/>
        </w:rPr>
        <w:t>(</w:t>
      </w:r>
      <w:r w:rsidRPr="00FA492E">
        <w:rPr>
          <w:rFonts w:ascii="Palatino Linotype" w:hAnsi="Palatino Linotype"/>
          <w:sz w:val="22"/>
          <w:szCs w:val="24"/>
        </w:rPr>
        <w:t>IE Report</w:t>
      </w:r>
      <w:r>
        <w:rPr>
          <w:rFonts w:ascii="Palatino Linotype" w:hAnsi="Palatino Linotype"/>
          <w:sz w:val="22"/>
          <w:szCs w:val="24"/>
        </w:rPr>
        <w:t>)</w:t>
      </w:r>
      <w:r w:rsidRPr="00FA492E">
        <w:rPr>
          <w:rFonts w:ascii="Palatino Linotype" w:hAnsi="Palatino Linotype"/>
          <w:sz w:val="22"/>
          <w:szCs w:val="24"/>
        </w:rPr>
        <w:t xml:space="preserve">, </w:t>
      </w:r>
      <w:r>
        <w:rPr>
          <w:rFonts w:ascii="Palatino Linotype" w:hAnsi="Palatino Linotype"/>
          <w:sz w:val="22"/>
          <w:szCs w:val="24"/>
        </w:rPr>
        <w:t>at</w:t>
      </w:r>
      <w:r w:rsidRPr="00FA492E">
        <w:rPr>
          <w:rFonts w:ascii="Palatino Linotype" w:hAnsi="Palatino Linotype"/>
          <w:sz w:val="22"/>
          <w:szCs w:val="24"/>
        </w:rPr>
        <w:t xml:space="preserve"> 11.</w:t>
      </w:r>
    </w:p>
  </w:footnote>
  <w:footnote w:id="49">
    <w:p w14:paraId="2D5DB8E8" w14:textId="77777777" w:rsidR="00886FAE" w:rsidRPr="001B531E" w:rsidRDefault="00886FAE" w:rsidP="0076358A">
      <w:pPr>
        <w:pStyle w:val="FootnoteText"/>
        <w:rPr>
          <w:rFonts w:ascii="Palatino Linotype" w:hAnsi="Palatino Linotype"/>
          <w:sz w:val="22"/>
          <w:szCs w:val="18"/>
        </w:rPr>
      </w:pPr>
      <w:r w:rsidRPr="001B531E">
        <w:rPr>
          <w:rFonts w:ascii="Palatino Linotype" w:hAnsi="Palatino Linotype"/>
          <w:sz w:val="22"/>
          <w:szCs w:val="18"/>
        </w:rPr>
        <w:t>Protest of ORA at 2</w:t>
      </w:r>
      <w:r>
        <w:rPr>
          <w:rFonts w:ascii="Palatino Linotype" w:hAnsi="Palatino Linotype"/>
          <w:sz w:val="22"/>
          <w:szCs w:val="18"/>
        </w:rPr>
        <w:t>.</w:t>
      </w:r>
      <w:r w:rsidRPr="001B531E">
        <w:rPr>
          <w:rFonts w:ascii="Palatino Linotype" w:hAnsi="Palatino Linotype"/>
          <w:sz w:val="22"/>
          <w:szCs w:val="18"/>
        </w:rPr>
        <w:t xml:space="preserve"> </w:t>
      </w:r>
    </w:p>
  </w:footnote>
  <w:footnote w:id="50">
    <w:p w14:paraId="7F8B6463" w14:textId="77777777" w:rsidR="00886FAE" w:rsidRPr="001B531E" w:rsidRDefault="00886FAE" w:rsidP="0076358A">
      <w:pPr>
        <w:pStyle w:val="FootnoteText"/>
        <w:rPr>
          <w:rFonts w:ascii="Palatino Linotype" w:hAnsi="Palatino Linotype"/>
          <w:sz w:val="22"/>
          <w:szCs w:val="18"/>
        </w:rPr>
      </w:pPr>
      <w:r w:rsidRPr="001B531E">
        <w:rPr>
          <w:rFonts w:ascii="Palatino Linotype" w:hAnsi="Palatino Linotype"/>
          <w:sz w:val="22"/>
          <w:szCs w:val="18"/>
        </w:rPr>
        <w:t>D.15-01-051, p. 130 states</w:t>
      </w:r>
      <w:r>
        <w:rPr>
          <w:rFonts w:ascii="Palatino Linotype" w:hAnsi="Palatino Linotype"/>
          <w:sz w:val="22"/>
          <w:szCs w:val="18"/>
        </w:rPr>
        <w:t>:</w:t>
      </w:r>
      <w:r w:rsidRPr="001B531E">
        <w:rPr>
          <w:rFonts w:ascii="Palatino Linotype" w:hAnsi="Palatino Linotype"/>
          <w:sz w:val="22"/>
          <w:szCs w:val="18"/>
        </w:rPr>
        <w:t xml:space="preserve"> “Any subsequent modifications to the rate credits or charges approved in this decision shall be proposed by the IOU in a Tier 2 advice letter.” </w:t>
      </w:r>
    </w:p>
  </w:footnote>
  <w:footnote w:id="51">
    <w:p w14:paraId="2197330C" w14:textId="77777777" w:rsidR="00886FAE" w:rsidRPr="001B531E" w:rsidRDefault="00886FAE" w:rsidP="0076358A">
      <w:pPr>
        <w:pStyle w:val="FootnoteText"/>
        <w:rPr>
          <w:rFonts w:ascii="Palatino Linotype" w:hAnsi="Palatino Linotype"/>
        </w:rPr>
      </w:pPr>
      <w:r w:rsidRPr="001B531E">
        <w:rPr>
          <w:rFonts w:ascii="Palatino Linotype" w:hAnsi="Palatino Linotype"/>
          <w:sz w:val="22"/>
          <w:szCs w:val="18"/>
        </w:rPr>
        <w:t xml:space="preserve">According to SDG&amp;E, the GTSR program consists of the Renewable Power Rate, the Renewable Energy Value Adjustment, Average Commodity Cost Adjustment, WREGIS, CAISO GMC, Renewable Integration Cost and Power Charge Indifference Amount (PCIA) which are all reviewed and approved through the ERRA Forecast proceeding.  </w:t>
      </w:r>
      <w:r w:rsidRPr="001B531E">
        <w:rPr>
          <w:rFonts w:ascii="Palatino Linotype" w:hAnsi="Palatino Linotype"/>
          <w:i/>
          <w:iCs/>
          <w:sz w:val="22"/>
          <w:szCs w:val="18"/>
        </w:rPr>
        <w:t xml:space="preserve">See </w:t>
      </w:r>
      <w:r w:rsidRPr="001B531E">
        <w:rPr>
          <w:rFonts w:ascii="Palatino Linotype" w:hAnsi="Palatino Linotype"/>
          <w:sz w:val="22"/>
          <w:szCs w:val="18"/>
        </w:rPr>
        <w:t>SDG&amp;E Reply to Protests on AL 3168-E, at 5.</w:t>
      </w:r>
    </w:p>
  </w:footnote>
  <w:footnote w:id="52">
    <w:p w14:paraId="408E2601" w14:textId="77777777" w:rsidR="00886FAE" w:rsidRPr="001B531E" w:rsidRDefault="00886FAE" w:rsidP="0076358A">
      <w:pPr>
        <w:pStyle w:val="FootnoteText"/>
        <w:rPr>
          <w:rFonts w:ascii="Palatino Linotype" w:hAnsi="Palatino Linotype"/>
          <w:color w:val="000000" w:themeColor="text1"/>
          <w:sz w:val="22"/>
          <w:szCs w:val="22"/>
        </w:rPr>
      </w:pPr>
      <w:r w:rsidRPr="001B531E">
        <w:rPr>
          <w:rFonts w:ascii="Palatino Linotype" w:hAnsi="Palatino Linotype"/>
          <w:color w:val="000000" w:themeColor="text1"/>
          <w:sz w:val="22"/>
          <w:szCs w:val="22"/>
        </w:rPr>
        <w:t>2015 GTSR Decision, F</w:t>
      </w:r>
      <w:r>
        <w:rPr>
          <w:rFonts w:ascii="Palatino Linotype" w:hAnsi="Palatino Linotype"/>
          <w:color w:val="000000" w:themeColor="text1"/>
          <w:sz w:val="22"/>
          <w:szCs w:val="22"/>
        </w:rPr>
        <w:t>inding of</w:t>
      </w:r>
      <w:r w:rsidRPr="001B531E">
        <w:rPr>
          <w:rFonts w:ascii="Palatino Linotype" w:hAnsi="Palatino Linotype"/>
          <w:color w:val="000000" w:themeColor="text1"/>
          <w:sz w:val="22"/>
          <w:szCs w:val="22"/>
        </w:rPr>
        <w:t xml:space="preserve"> </w:t>
      </w:r>
      <w:r>
        <w:rPr>
          <w:rFonts w:ascii="Palatino Linotype" w:hAnsi="Palatino Linotype"/>
          <w:color w:val="000000" w:themeColor="text1"/>
          <w:sz w:val="22"/>
          <w:szCs w:val="22"/>
        </w:rPr>
        <w:t xml:space="preserve">Fact </w:t>
      </w:r>
      <w:r w:rsidRPr="001B531E">
        <w:rPr>
          <w:rFonts w:ascii="Palatino Linotype" w:hAnsi="Palatino Linotype"/>
          <w:color w:val="000000" w:themeColor="text1"/>
          <w:sz w:val="22"/>
          <w:szCs w:val="22"/>
        </w:rPr>
        <w:t>100</w:t>
      </w:r>
      <w:r>
        <w:rPr>
          <w:rFonts w:ascii="Palatino Linotype" w:hAnsi="Palatino Linotype"/>
          <w:color w:val="000000" w:themeColor="text1"/>
          <w:sz w:val="22"/>
          <w:szCs w:val="22"/>
        </w:rPr>
        <w:t>,</w:t>
      </w:r>
      <w:r w:rsidRPr="001B531E">
        <w:rPr>
          <w:rFonts w:ascii="Palatino Linotype" w:hAnsi="Palatino Linotype"/>
          <w:color w:val="000000" w:themeColor="text1"/>
          <w:sz w:val="22"/>
          <w:szCs w:val="22"/>
        </w:rPr>
        <w:t xml:space="preserve"> at 169.</w:t>
      </w:r>
    </w:p>
  </w:footnote>
  <w:footnote w:id="53">
    <w:p w14:paraId="2854DB9E" w14:textId="77777777" w:rsidR="00886FAE" w:rsidRPr="00D73F61" w:rsidRDefault="00886FAE" w:rsidP="0076358A">
      <w:pPr>
        <w:pStyle w:val="FootnoteText"/>
        <w:rPr>
          <w:rFonts w:ascii="Palatino Linotype" w:hAnsi="Palatino Linotype"/>
          <w:szCs w:val="24"/>
        </w:rPr>
      </w:pPr>
      <w:r w:rsidRPr="001B531E">
        <w:rPr>
          <w:rFonts w:ascii="Palatino Linotype" w:hAnsi="Palatino Linotype"/>
          <w:i/>
          <w:sz w:val="22"/>
          <w:szCs w:val="22"/>
        </w:rPr>
        <w:t>Community Solar: California’s Shared Renewables at a Crossroads.</w:t>
      </w:r>
      <w:r w:rsidRPr="001B531E">
        <w:rPr>
          <w:rFonts w:ascii="Palatino Linotype" w:hAnsi="Palatino Linotype"/>
          <w:sz w:val="22"/>
          <w:szCs w:val="22"/>
        </w:rPr>
        <w:t xml:space="preserve">  Corfee, Powers, and Romano.  October 2017. </w:t>
      </w:r>
      <w:r w:rsidRPr="00AB432C">
        <w:rPr>
          <w:rFonts w:ascii="Palatino Linotype" w:hAnsi="Palatino Linotype"/>
          <w:sz w:val="22"/>
          <w:szCs w:val="22"/>
        </w:rPr>
        <w:t xml:space="preserve">Available at: </w:t>
      </w:r>
      <w:hyperlink r:id="rId5" w:history="1">
        <w:r w:rsidRPr="00AB432C">
          <w:rPr>
            <w:rStyle w:val="Hyperlink"/>
            <w:rFonts w:ascii="Palatino Linotype" w:hAnsi="Palatino Linotype"/>
            <w:sz w:val="22"/>
            <w:szCs w:val="22"/>
          </w:rPr>
          <w:t>www.renewableenergyworld.com/articles/2017/10/community-solar-california-s-shared-renewables-at-a-crossroads.html</w:t>
        </w:r>
      </w:hyperlink>
      <w:r>
        <w:rPr>
          <w:rFonts w:ascii="Palatino Linotype" w:hAnsi="Palatino Linotype"/>
          <w:sz w:val="22"/>
          <w:szCs w:val="22"/>
        </w:rPr>
        <w:t xml:space="preserve"> </w:t>
      </w:r>
      <w:r w:rsidRPr="001B531E">
        <w:rPr>
          <w:rFonts w:ascii="Palatino Linotype" w:hAnsi="Palatino Linotype"/>
          <w:sz w:val="22"/>
          <w:szCs w:val="22"/>
        </w:rPr>
        <w:t xml:space="preserve"> </w:t>
      </w:r>
    </w:p>
  </w:footnote>
  <w:footnote w:id="54">
    <w:p w14:paraId="5A79FB69" w14:textId="77777777" w:rsidR="00886FAE" w:rsidRPr="002E026C" w:rsidRDefault="00886FAE" w:rsidP="0076358A">
      <w:pPr>
        <w:pStyle w:val="FootnoteText"/>
        <w:rPr>
          <w:rFonts w:ascii="Palatino Linotype" w:hAnsi="Palatino Linotype"/>
        </w:rPr>
      </w:pPr>
      <w:r w:rsidRPr="006C14F1">
        <w:rPr>
          <w:rFonts w:ascii="Palatino Linotype" w:hAnsi="Palatino Linotype"/>
          <w:sz w:val="22"/>
          <w:szCs w:val="18"/>
        </w:rPr>
        <w:t>“AmLaw 100" refers to the American Lawyer Magazine’s annual ranking of the 100 top-grossing U.S. law firms.</w:t>
      </w:r>
    </w:p>
  </w:footnote>
  <w:footnote w:id="55">
    <w:p w14:paraId="14AEE222" w14:textId="77777777" w:rsidR="00886FAE" w:rsidRPr="006C14F1" w:rsidRDefault="00886FAE" w:rsidP="0076358A">
      <w:pPr>
        <w:pStyle w:val="FootnoteText"/>
        <w:rPr>
          <w:rFonts w:ascii="Palatino Linotype" w:hAnsi="Palatino Linotype"/>
          <w:sz w:val="22"/>
          <w:szCs w:val="22"/>
        </w:rPr>
      </w:pPr>
      <w:r w:rsidRPr="006C14F1">
        <w:rPr>
          <w:rFonts w:ascii="Palatino Linotype" w:hAnsi="Palatino Linotype" w:cs="Arial"/>
          <w:sz w:val="22"/>
          <w:szCs w:val="22"/>
        </w:rPr>
        <w:t xml:space="preserve">SDG&amp;E Schedule ECR, Revised Cal. P.U.C. Sheet No. 28269-E.  “A single </w:t>
      </w:r>
      <w:r w:rsidRPr="006C14F1">
        <w:rPr>
          <w:rFonts w:ascii="Palatino Linotype" w:hAnsi="Palatino Linotype" w:cs="Arial"/>
          <w:b/>
          <w:sz w:val="22"/>
          <w:szCs w:val="22"/>
        </w:rPr>
        <w:t>customer</w:t>
      </w:r>
      <w:r w:rsidRPr="006C14F1">
        <w:rPr>
          <w:rFonts w:ascii="Palatino Linotype" w:hAnsi="Palatino Linotype" w:cs="Arial"/>
          <w:sz w:val="22"/>
          <w:szCs w:val="22"/>
        </w:rPr>
        <w:t xml:space="preserve"> cannot subscribe to more than 2 MW of nameplate generating capacity for a calendar year.”</w:t>
      </w:r>
    </w:p>
  </w:footnote>
  <w:footnote w:id="56">
    <w:p w14:paraId="1425F6EA" w14:textId="77777777" w:rsidR="00886FAE" w:rsidRPr="001B531E" w:rsidRDefault="00886FAE" w:rsidP="0076358A">
      <w:pPr>
        <w:pStyle w:val="FootnoteText"/>
        <w:rPr>
          <w:sz w:val="22"/>
          <w:szCs w:val="18"/>
        </w:rPr>
      </w:pPr>
      <w:r w:rsidRPr="006C14F1">
        <w:rPr>
          <w:rFonts w:ascii="Palatino Linotype" w:hAnsi="Palatino Linotype"/>
          <w:i/>
          <w:iCs/>
          <w:sz w:val="22"/>
          <w:szCs w:val="18"/>
        </w:rPr>
        <w:t xml:space="preserve">See </w:t>
      </w:r>
      <w:r w:rsidRPr="006C14F1">
        <w:rPr>
          <w:rFonts w:ascii="Palatino Linotype" w:hAnsi="Palatino Linotype"/>
          <w:sz w:val="22"/>
          <w:szCs w:val="18"/>
        </w:rPr>
        <w:t xml:space="preserve">Schedule GTSR-CR: “The maximum Customer Subscription served under this Schedule cannot exceed an amount equivalent to more than 2 MW of nameplate rated generating capacity from a CR Facility.” Available at: </w:t>
      </w:r>
      <w:hyperlink r:id="rId6" w:history="1">
        <w:r w:rsidRPr="006C14F1">
          <w:rPr>
            <w:rStyle w:val="Hyperlink"/>
            <w:rFonts w:ascii="Palatino Linotype" w:hAnsi="Palatino Linotype"/>
            <w:sz w:val="22"/>
            <w:szCs w:val="18"/>
          </w:rPr>
          <w:t>www.sce.com/NR/sc3/tm2/pdf/ce370.pdf</w:t>
        </w:r>
      </w:hyperlink>
      <w:r>
        <w:rPr>
          <w:sz w:val="22"/>
          <w:szCs w:val="18"/>
        </w:rPr>
        <w:t xml:space="preserve"> </w:t>
      </w:r>
      <w:r w:rsidRPr="001B531E">
        <w:rPr>
          <w:sz w:val="22"/>
          <w:szCs w:val="18"/>
        </w:rPr>
        <w:t xml:space="preserve"> </w:t>
      </w:r>
      <w:r>
        <w:rPr>
          <w:sz w:val="22"/>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7D990" w14:textId="77777777" w:rsidR="00886FAE" w:rsidRPr="002E026C" w:rsidRDefault="00886FAE" w:rsidP="002B6E34">
    <w:pPr>
      <w:pStyle w:val="Header"/>
      <w:tabs>
        <w:tab w:val="clear" w:pos="4320"/>
        <w:tab w:val="clear" w:pos="8640"/>
        <w:tab w:val="left" w:pos="3399"/>
        <w:tab w:val="center" w:pos="4680"/>
        <w:tab w:val="right" w:pos="9180"/>
      </w:tabs>
      <w:rPr>
        <w:rFonts w:ascii="Palatino Linotype" w:hAnsi="Palatino Linotype"/>
      </w:rPr>
    </w:pPr>
    <w:r w:rsidRPr="002E026C">
      <w:rPr>
        <w:rFonts w:ascii="Palatino Linotype" w:hAnsi="Palatino Linotype"/>
      </w:rPr>
      <w:t>Resolution E-</w:t>
    </w:r>
    <w:r>
      <w:rPr>
        <w:rFonts w:ascii="Palatino Linotype" w:hAnsi="Palatino Linotype"/>
      </w:rPr>
      <w:t>5028</w:t>
    </w:r>
    <w:r w:rsidRPr="002E026C">
      <w:rPr>
        <w:rFonts w:ascii="Palatino Linotype" w:hAnsi="Palatino Linotype"/>
      </w:rPr>
      <w:tab/>
      <w:t xml:space="preserve">                 </w:t>
    </w:r>
    <w:r w:rsidRPr="002E026C">
      <w:rPr>
        <w:rFonts w:ascii="Palatino Linotype" w:hAnsi="Palatino Linotype"/>
      </w:rPr>
      <w:tab/>
      <w:t xml:space="preserve">DRAFT </w:t>
    </w:r>
    <w:r w:rsidRPr="002E026C">
      <w:rPr>
        <w:rFonts w:ascii="Palatino Linotype" w:hAnsi="Palatino Linotype"/>
        <w:bCs/>
        <w:color w:val="000000" w:themeColor="text1"/>
        <w:sz w:val="28"/>
        <w:szCs w:val="28"/>
      </w:rPr>
      <w:t xml:space="preserve">                   September </w:t>
    </w:r>
    <w:r>
      <w:rPr>
        <w:rFonts w:ascii="Palatino Linotype" w:hAnsi="Palatino Linotype"/>
        <w:bCs/>
        <w:color w:val="000000" w:themeColor="text1"/>
        <w:sz w:val="28"/>
        <w:szCs w:val="28"/>
      </w:rPr>
      <w:t>26</w:t>
    </w:r>
    <w:r w:rsidRPr="002E026C">
      <w:rPr>
        <w:rFonts w:ascii="Palatino Linotype" w:hAnsi="Palatino Linotype"/>
        <w:bCs/>
        <w:color w:val="000000" w:themeColor="text1"/>
        <w:sz w:val="28"/>
        <w:szCs w:val="28"/>
      </w:rPr>
      <w:t>, 2019</w:t>
    </w:r>
  </w:p>
  <w:p w14:paraId="16E237EA" w14:textId="77777777" w:rsidR="00886FAE" w:rsidRPr="002E026C" w:rsidRDefault="00886FAE" w:rsidP="002B6E34">
    <w:pPr>
      <w:rPr>
        <w:rFonts w:ascii="Palatino Linotype" w:hAnsi="Palatino Linotype"/>
      </w:rPr>
    </w:pPr>
    <w:r w:rsidRPr="002E026C">
      <w:rPr>
        <w:rFonts w:ascii="Palatino Linotype" w:hAnsi="Palatino Linotype"/>
      </w:rPr>
      <w:t>PG&amp;E 3920-G/5206-E, SCE 3722-E, and SDG&amp;E 3168-E/CYC</w:t>
    </w:r>
  </w:p>
  <w:p w14:paraId="7F87D43C" w14:textId="77777777" w:rsidR="00886FAE" w:rsidRDefault="00886F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01FA09" w14:textId="682BE69D" w:rsidR="00886FAE" w:rsidRPr="001A2089" w:rsidRDefault="001A2089" w:rsidP="002B6E34">
    <w:pPr>
      <w:pStyle w:val="Header"/>
      <w:jc w:val="center"/>
      <w:rPr>
        <w:rFonts w:ascii="Palatino Linotype" w:hAnsi="Palatino Linotype"/>
        <w:sz w:val="24"/>
      </w:rPr>
    </w:pPr>
    <w:r w:rsidRPr="001A2089">
      <w:rPr>
        <w:rFonts w:ascii="Helvetica" w:hAnsi="Helvetica"/>
        <w:sz w:val="24"/>
      </w:rPr>
      <w:t xml:space="preserve">                                                </w:t>
    </w:r>
    <w:r>
      <w:rPr>
        <w:rFonts w:ascii="Helvetica" w:hAnsi="Helvetica"/>
        <w:sz w:val="24"/>
      </w:rPr>
      <w:t xml:space="preserve">               </w:t>
    </w:r>
    <w:r w:rsidRPr="001A2089">
      <w:rPr>
        <w:rFonts w:ascii="Palatino Linotype" w:hAnsi="Palatino Linotype"/>
        <w:sz w:val="24"/>
      </w:rPr>
      <w:t>Date of Issuance</w:t>
    </w:r>
    <w:r>
      <w:rPr>
        <w:rFonts w:ascii="Palatino Linotype" w:hAnsi="Palatino Linotype"/>
        <w:sz w:val="24"/>
      </w:rPr>
      <w:t xml:space="preserve"> -</w:t>
    </w:r>
    <w:r w:rsidRPr="001A2089">
      <w:rPr>
        <w:rFonts w:ascii="Palatino Linotype" w:hAnsi="Palatino Linotype"/>
        <w:sz w:val="24"/>
      </w:rPr>
      <w:t xml:space="preserve"> September </w:t>
    </w:r>
    <w:r w:rsidR="00724E6A">
      <w:rPr>
        <w:rFonts w:ascii="Palatino Linotype" w:hAnsi="Palatino Linotype"/>
        <w:sz w:val="24"/>
      </w:rPr>
      <w:t>30</w:t>
    </w:r>
    <w:r w:rsidRPr="001A2089">
      <w:rPr>
        <w:rFonts w:ascii="Palatino Linotype" w:hAnsi="Palatino Linotype"/>
        <w:sz w:val="24"/>
      </w:rPr>
      <w:t>,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41553"/>
    <w:multiLevelType w:val="hybridMultilevel"/>
    <w:tmpl w:val="88803214"/>
    <w:lvl w:ilvl="0" w:tplc="04090001">
      <w:start w:val="1"/>
      <w:numFmt w:val="bullet"/>
      <w:lvlText w:val=""/>
      <w:lvlJc w:val="left"/>
      <w:pPr>
        <w:ind w:left="367" w:hanging="360"/>
      </w:pPr>
      <w:rPr>
        <w:rFonts w:ascii="Symbol" w:hAnsi="Symbol" w:hint="default"/>
      </w:rPr>
    </w:lvl>
    <w:lvl w:ilvl="1" w:tplc="04090003">
      <w:start w:val="1"/>
      <w:numFmt w:val="bullet"/>
      <w:lvlText w:val="o"/>
      <w:lvlJc w:val="left"/>
      <w:pPr>
        <w:ind w:left="1087" w:hanging="360"/>
      </w:pPr>
      <w:rPr>
        <w:rFonts w:ascii="Courier New" w:hAnsi="Courier New" w:cs="Courier New" w:hint="default"/>
      </w:rPr>
    </w:lvl>
    <w:lvl w:ilvl="2" w:tplc="04090005" w:tentative="1">
      <w:start w:val="1"/>
      <w:numFmt w:val="bullet"/>
      <w:lvlText w:val=""/>
      <w:lvlJc w:val="left"/>
      <w:pPr>
        <w:ind w:left="1807" w:hanging="360"/>
      </w:pPr>
      <w:rPr>
        <w:rFonts w:ascii="Wingdings" w:hAnsi="Wingdings" w:hint="default"/>
      </w:rPr>
    </w:lvl>
    <w:lvl w:ilvl="3" w:tplc="04090001" w:tentative="1">
      <w:start w:val="1"/>
      <w:numFmt w:val="bullet"/>
      <w:lvlText w:val=""/>
      <w:lvlJc w:val="left"/>
      <w:pPr>
        <w:ind w:left="2527" w:hanging="360"/>
      </w:pPr>
      <w:rPr>
        <w:rFonts w:ascii="Symbol" w:hAnsi="Symbol" w:hint="default"/>
      </w:rPr>
    </w:lvl>
    <w:lvl w:ilvl="4" w:tplc="04090003" w:tentative="1">
      <w:start w:val="1"/>
      <w:numFmt w:val="bullet"/>
      <w:lvlText w:val="o"/>
      <w:lvlJc w:val="left"/>
      <w:pPr>
        <w:ind w:left="3247" w:hanging="360"/>
      </w:pPr>
      <w:rPr>
        <w:rFonts w:ascii="Courier New" w:hAnsi="Courier New" w:cs="Courier New" w:hint="default"/>
      </w:rPr>
    </w:lvl>
    <w:lvl w:ilvl="5" w:tplc="04090005" w:tentative="1">
      <w:start w:val="1"/>
      <w:numFmt w:val="bullet"/>
      <w:lvlText w:val=""/>
      <w:lvlJc w:val="left"/>
      <w:pPr>
        <w:ind w:left="3967" w:hanging="360"/>
      </w:pPr>
      <w:rPr>
        <w:rFonts w:ascii="Wingdings" w:hAnsi="Wingdings" w:hint="default"/>
      </w:rPr>
    </w:lvl>
    <w:lvl w:ilvl="6" w:tplc="04090001" w:tentative="1">
      <w:start w:val="1"/>
      <w:numFmt w:val="bullet"/>
      <w:lvlText w:val=""/>
      <w:lvlJc w:val="left"/>
      <w:pPr>
        <w:ind w:left="4687" w:hanging="360"/>
      </w:pPr>
      <w:rPr>
        <w:rFonts w:ascii="Symbol" w:hAnsi="Symbol" w:hint="default"/>
      </w:rPr>
    </w:lvl>
    <w:lvl w:ilvl="7" w:tplc="04090003" w:tentative="1">
      <w:start w:val="1"/>
      <w:numFmt w:val="bullet"/>
      <w:lvlText w:val="o"/>
      <w:lvlJc w:val="left"/>
      <w:pPr>
        <w:ind w:left="5407" w:hanging="360"/>
      </w:pPr>
      <w:rPr>
        <w:rFonts w:ascii="Courier New" w:hAnsi="Courier New" w:cs="Courier New" w:hint="default"/>
      </w:rPr>
    </w:lvl>
    <w:lvl w:ilvl="8" w:tplc="04090005" w:tentative="1">
      <w:start w:val="1"/>
      <w:numFmt w:val="bullet"/>
      <w:lvlText w:val=""/>
      <w:lvlJc w:val="left"/>
      <w:pPr>
        <w:ind w:left="6127" w:hanging="360"/>
      </w:pPr>
      <w:rPr>
        <w:rFonts w:ascii="Wingdings" w:hAnsi="Wingdings" w:hint="default"/>
      </w:rPr>
    </w:lvl>
  </w:abstractNum>
  <w:abstractNum w:abstractNumId="1">
    <w:nsid w:val="0AAE5E0A"/>
    <w:multiLevelType w:val="singleLevel"/>
    <w:tmpl w:val="81622C8A"/>
    <w:lvl w:ilvl="0">
      <w:start w:val="1"/>
      <w:numFmt w:val="upperLetter"/>
      <w:pStyle w:val="AListIndent"/>
      <w:lvlText w:val="%1. "/>
      <w:lvlJc w:val="left"/>
      <w:pPr>
        <w:tabs>
          <w:tab w:val="num" w:pos="1152"/>
        </w:tabs>
        <w:ind w:left="1152" w:hanging="432"/>
      </w:pPr>
      <w:rPr>
        <w:rFonts w:ascii="Courier" w:hAnsi="Courier" w:hint="default"/>
        <w:b w:val="0"/>
        <w:i w:val="0"/>
        <w:sz w:val="24"/>
      </w:rPr>
    </w:lvl>
  </w:abstractNum>
  <w:abstractNum w:abstractNumId="2">
    <w:nsid w:val="0B351827"/>
    <w:multiLevelType w:val="hybridMultilevel"/>
    <w:tmpl w:val="6AC804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DB7819"/>
    <w:multiLevelType w:val="singleLevel"/>
    <w:tmpl w:val="0409000F"/>
    <w:lvl w:ilvl="0">
      <w:start w:val="1"/>
      <w:numFmt w:val="decimal"/>
      <w:lvlText w:val="%1."/>
      <w:lvlJc w:val="left"/>
      <w:pPr>
        <w:tabs>
          <w:tab w:val="num" w:pos="360"/>
        </w:tabs>
        <w:ind w:left="360" w:hanging="360"/>
      </w:pPr>
    </w:lvl>
  </w:abstractNum>
  <w:abstractNum w:abstractNumId="4">
    <w:nsid w:val="0C1C413D"/>
    <w:multiLevelType w:val="hybridMultilevel"/>
    <w:tmpl w:val="24344FFC"/>
    <w:lvl w:ilvl="0" w:tplc="8034AAC6">
      <w:start w:val="6"/>
      <w:numFmt w:val="lowerRoman"/>
      <w:lvlText w:val="%1."/>
      <w:lvlJc w:val="right"/>
      <w:pPr>
        <w:ind w:left="180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C06250"/>
    <w:multiLevelType w:val="hybridMultilevel"/>
    <w:tmpl w:val="C2DC24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DC8603E"/>
    <w:multiLevelType w:val="hybridMultilevel"/>
    <w:tmpl w:val="DEEA3072"/>
    <w:lvl w:ilvl="0" w:tplc="3F1A1B9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D48CC0B4">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1480B1D"/>
    <w:multiLevelType w:val="multilevel"/>
    <w:tmpl w:val="918E89E0"/>
    <w:lvl w:ilvl="0">
      <w:start w:val="1"/>
      <w:numFmt w:val="decimal"/>
      <w:pStyle w:val="FootnoteText"/>
      <w:lvlText w:val="%1"/>
      <w:lvlJc w:val="left"/>
      <w:pPr>
        <w:tabs>
          <w:tab w:val="num" w:pos="4230"/>
        </w:tabs>
        <w:ind w:left="4086" w:hanging="216"/>
      </w:pPr>
      <w:rPr>
        <w:rFonts w:hint="default"/>
        <w:sz w:val="22"/>
        <w:vertAlign w:val="superscript"/>
      </w:rPr>
    </w:lvl>
    <w:lvl w:ilvl="1">
      <w:start w:val="1"/>
      <w:numFmt w:val="decimal"/>
      <w:isLgl/>
      <w:lvlText w:val="%1.%2"/>
      <w:lvlJc w:val="left"/>
      <w:pPr>
        <w:tabs>
          <w:tab w:val="num" w:pos="1080"/>
        </w:tabs>
        <w:ind w:left="936" w:hanging="216"/>
      </w:pPr>
      <w:rPr>
        <w:rFonts w:hint="default"/>
      </w:rPr>
    </w:lvl>
    <w:lvl w:ilvl="2">
      <w:start w:val="1"/>
      <w:numFmt w:val="decimal"/>
      <w:isLgl/>
      <w:lvlText w:val="%1.%2.%3"/>
      <w:lvlJc w:val="left"/>
      <w:pPr>
        <w:tabs>
          <w:tab w:val="num" w:pos="1800"/>
        </w:tabs>
        <w:ind w:left="1656" w:hanging="216"/>
      </w:pPr>
      <w:rPr>
        <w:rFonts w:hint="default"/>
      </w:rPr>
    </w:lvl>
    <w:lvl w:ilvl="3">
      <w:start w:val="1"/>
      <w:numFmt w:val="decimalZero"/>
      <w:isLgl/>
      <w:lvlText w:val="%1.%2.%3.%4"/>
      <w:lvlJc w:val="left"/>
      <w:pPr>
        <w:tabs>
          <w:tab w:val="num" w:pos="2520"/>
        </w:tabs>
        <w:ind w:left="2376" w:hanging="216"/>
      </w:pPr>
      <w:rPr>
        <w:rFonts w:hint="default"/>
      </w:rPr>
    </w:lvl>
    <w:lvl w:ilvl="4">
      <w:start w:val="1"/>
      <w:numFmt w:val="decimal"/>
      <w:isLgl/>
      <w:lvlText w:val="%1.%2.%3.%4.%5"/>
      <w:lvlJc w:val="left"/>
      <w:pPr>
        <w:tabs>
          <w:tab w:val="num" w:pos="3240"/>
        </w:tabs>
        <w:ind w:left="3096" w:hanging="216"/>
      </w:pPr>
      <w:rPr>
        <w:rFonts w:hint="default"/>
      </w:rPr>
    </w:lvl>
    <w:lvl w:ilvl="5">
      <w:start w:val="1"/>
      <w:numFmt w:val="decimal"/>
      <w:isLgl/>
      <w:lvlText w:val="%1.%2.%3.%4.%5.%6"/>
      <w:lvlJc w:val="left"/>
      <w:pPr>
        <w:tabs>
          <w:tab w:val="num" w:pos="3960"/>
        </w:tabs>
        <w:ind w:left="3816" w:hanging="216"/>
      </w:pPr>
      <w:rPr>
        <w:rFonts w:hint="default"/>
      </w:rPr>
    </w:lvl>
    <w:lvl w:ilvl="6">
      <w:start w:val="1"/>
      <w:numFmt w:val="decimal"/>
      <w:isLgl/>
      <w:lvlText w:val="%1.%2.%3.%4.%5.%6.%7"/>
      <w:lvlJc w:val="left"/>
      <w:pPr>
        <w:tabs>
          <w:tab w:val="num" w:pos="4680"/>
        </w:tabs>
        <w:ind w:left="4536" w:hanging="216"/>
      </w:pPr>
      <w:rPr>
        <w:rFonts w:hint="default"/>
      </w:rPr>
    </w:lvl>
    <w:lvl w:ilvl="7">
      <w:start w:val="1"/>
      <w:numFmt w:val="decimal"/>
      <w:isLgl/>
      <w:lvlText w:val="%1.%2.%3.%4.%5.%6.%7.%8"/>
      <w:lvlJc w:val="left"/>
      <w:pPr>
        <w:tabs>
          <w:tab w:val="num" w:pos="5400"/>
        </w:tabs>
        <w:ind w:left="5256" w:hanging="216"/>
      </w:pPr>
      <w:rPr>
        <w:rFonts w:hint="default"/>
      </w:rPr>
    </w:lvl>
    <w:lvl w:ilvl="8">
      <w:start w:val="1"/>
      <w:numFmt w:val="decimal"/>
      <w:isLgl/>
      <w:lvlText w:val="%1.%2.%3.%4.%5.%6.%7.%8.%9"/>
      <w:lvlJc w:val="left"/>
      <w:pPr>
        <w:tabs>
          <w:tab w:val="num" w:pos="6120"/>
        </w:tabs>
        <w:ind w:left="5976" w:hanging="216"/>
      </w:pPr>
      <w:rPr>
        <w:rFonts w:hint="default"/>
      </w:rPr>
    </w:lvl>
  </w:abstractNum>
  <w:abstractNum w:abstractNumId="8">
    <w:nsid w:val="219A372A"/>
    <w:multiLevelType w:val="hybridMultilevel"/>
    <w:tmpl w:val="EA1E0214"/>
    <w:lvl w:ilvl="0" w:tplc="4E06A4B6">
      <w:start w:val="6"/>
      <w:numFmt w:val="lowerRoman"/>
      <w:lvlText w:val="%1."/>
      <w:lvlJc w:val="right"/>
      <w:pPr>
        <w:ind w:left="180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512FE3"/>
    <w:multiLevelType w:val="hybridMultilevel"/>
    <w:tmpl w:val="909066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nsid w:val="229036AA"/>
    <w:multiLevelType w:val="hybridMultilevel"/>
    <w:tmpl w:val="0884E89E"/>
    <w:lvl w:ilvl="0" w:tplc="E49CC30A">
      <w:numFmt w:val="bullet"/>
      <w:lvlText w:val="-"/>
      <w:lvlJc w:val="left"/>
      <w:pPr>
        <w:ind w:left="720" w:hanging="360"/>
      </w:pPr>
      <w:rPr>
        <w:rFonts w:ascii="Palatino" w:eastAsia="Times New Roman" w:hAnsi="Palatin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F8414F"/>
    <w:multiLevelType w:val="hybridMultilevel"/>
    <w:tmpl w:val="4BF691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3394DA9"/>
    <w:multiLevelType w:val="hybridMultilevel"/>
    <w:tmpl w:val="301275F8"/>
    <w:lvl w:ilvl="0" w:tplc="2468F054">
      <w:start w:val="1"/>
      <w:numFmt w:val="bullet"/>
      <w:pStyle w:val="bullets"/>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34427343"/>
    <w:multiLevelType w:val="hybridMultilevel"/>
    <w:tmpl w:val="4B18552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577CFC"/>
    <w:multiLevelType w:val="hybridMultilevel"/>
    <w:tmpl w:val="3AF4F9B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3BD10C91"/>
    <w:multiLevelType w:val="hybridMultilevel"/>
    <w:tmpl w:val="D9CE565C"/>
    <w:lvl w:ilvl="0" w:tplc="D6868CCC">
      <w:start w:val="13"/>
      <w:numFmt w:val="decimal"/>
      <w:lvlText w:val="%1."/>
      <w:lvlJc w:val="left"/>
      <w:pPr>
        <w:ind w:left="864"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4D6693"/>
    <w:multiLevelType w:val="hybridMultilevel"/>
    <w:tmpl w:val="6D943452"/>
    <w:lvl w:ilvl="0" w:tplc="A6F230B4">
      <w:start w:val="1"/>
      <w:numFmt w:val="decimal"/>
      <w:lvlText w:val="%1"/>
      <w:lvlJc w:val="left"/>
      <w:pPr>
        <w:ind w:left="360" w:hanging="360"/>
      </w:pPr>
      <w:rPr>
        <w:rFonts w:hint="default"/>
        <w:b w:val="0"/>
        <w:b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D48CC0B4">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3D34417"/>
    <w:multiLevelType w:val="multilevel"/>
    <w:tmpl w:val="C28E5C40"/>
    <w:lvl w:ilvl="0">
      <w:start w:val="1"/>
      <w:numFmt w:val="decimal"/>
      <w:pStyle w:val="1ListIndent"/>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nsid w:val="45DC439E"/>
    <w:multiLevelType w:val="hybridMultilevel"/>
    <w:tmpl w:val="DC38D2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9340E6F"/>
    <w:multiLevelType w:val="hybridMultilevel"/>
    <w:tmpl w:val="EB2230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7B130F"/>
    <w:multiLevelType w:val="hybridMultilevel"/>
    <w:tmpl w:val="C77C6AB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B8D23B3"/>
    <w:multiLevelType w:val="hybridMultilevel"/>
    <w:tmpl w:val="AB008D6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2">
    <w:nsid w:val="50FF0B70"/>
    <w:multiLevelType w:val="hybridMultilevel"/>
    <w:tmpl w:val="DC2C30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2B41C00"/>
    <w:multiLevelType w:val="hybridMultilevel"/>
    <w:tmpl w:val="63808E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3856763"/>
    <w:multiLevelType w:val="hybridMultilevel"/>
    <w:tmpl w:val="3DAAFC5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4E473D"/>
    <w:multiLevelType w:val="hybridMultilevel"/>
    <w:tmpl w:val="4B6020A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72565C7"/>
    <w:multiLevelType w:val="singleLevel"/>
    <w:tmpl w:val="B4D29030"/>
    <w:lvl w:ilvl="0">
      <w:start w:val="1"/>
      <w:numFmt w:val="decimal"/>
      <w:lvlText w:val="%1."/>
      <w:lvlJc w:val="left"/>
      <w:pPr>
        <w:tabs>
          <w:tab w:val="num" w:pos="420"/>
        </w:tabs>
        <w:ind w:left="420" w:hanging="420"/>
      </w:pPr>
      <w:rPr>
        <w:rFonts w:hint="default"/>
      </w:rPr>
    </w:lvl>
  </w:abstractNum>
  <w:abstractNum w:abstractNumId="27">
    <w:nsid w:val="573A1877"/>
    <w:multiLevelType w:val="hybridMultilevel"/>
    <w:tmpl w:val="6AC804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0E579C"/>
    <w:multiLevelType w:val="hybridMultilevel"/>
    <w:tmpl w:val="626674CE"/>
    <w:lvl w:ilvl="0" w:tplc="36B054D4">
      <w:start w:val="6"/>
      <w:numFmt w:val="lowerRoman"/>
      <w:lvlText w:val="%1."/>
      <w:lvlJc w:val="right"/>
      <w:pPr>
        <w:ind w:left="180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8783092"/>
    <w:multiLevelType w:val="hybridMultilevel"/>
    <w:tmpl w:val="2A7E9C5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89C22CD"/>
    <w:multiLevelType w:val="hybridMultilevel"/>
    <w:tmpl w:val="E52C6A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CFD30F8"/>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2">
    <w:nsid w:val="5EC57EEB"/>
    <w:multiLevelType w:val="hybridMultilevel"/>
    <w:tmpl w:val="BF9C73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07B1D56"/>
    <w:multiLevelType w:val="hybridMultilevel"/>
    <w:tmpl w:val="4B6020A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2035594"/>
    <w:multiLevelType w:val="hybridMultilevel"/>
    <w:tmpl w:val="C5C244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B84711"/>
    <w:multiLevelType w:val="hybridMultilevel"/>
    <w:tmpl w:val="3CA611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E9F29D6"/>
    <w:multiLevelType w:val="hybridMultilevel"/>
    <w:tmpl w:val="53B23EF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0431A00"/>
    <w:multiLevelType w:val="hybridMultilevel"/>
    <w:tmpl w:val="3E3CE39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780D6FBF"/>
    <w:multiLevelType w:val="hybridMultilevel"/>
    <w:tmpl w:val="5EC66134"/>
    <w:lvl w:ilvl="0" w:tplc="3F1A1B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7A887686"/>
    <w:multiLevelType w:val="hybridMultilevel"/>
    <w:tmpl w:val="AA0E4A6E"/>
    <w:lvl w:ilvl="0" w:tplc="3F1A1B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D0A355B"/>
    <w:multiLevelType w:val="hybridMultilevel"/>
    <w:tmpl w:val="91AE493A"/>
    <w:lvl w:ilvl="0" w:tplc="94A88440">
      <w:start w:val="1"/>
      <w:numFmt w:val="decimal"/>
      <w:pStyle w:val="FindingofFAct"/>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17"/>
  </w:num>
  <w:num w:numId="3">
    <w:abstractNumId w:val="7"/>
  </w:num>
  <w:num w:numId="4">
    <w:abstractNumId w:val="26"/>
  </w:num>
  <w:num w:numId="5">
    <w:abstractNumId w:val="3"/>
  </w:num>
  <w:num w:numId="6">
    <w:abstractNumId w:val="11"/>
  </w:num>
  <w:num w:numId="7">
    <w:abstractNumId w:val="35"/>
  </w:num>
  <w:num w:numId="8">
    <w:abstractNumId w:val="12"/>
  </w:num>
  <w:num w:numId="9">
    <w:abstractNumId w:val="14"/>
  </w:num>
  <w:num w:numId="10">
    <w:abstractNumId w:val="15"/>
  </w:num>
  <w:num w:numId="11">
    <w:abstractNumId w:val="37"/>
  </w:num>
  <w:num w:numId="12">
    <w:abstractNumId w:val="22"/>
  </w:num>
  <w:num w:numId="13">
    <w:abstractNumId w:val="5"/>
  </w:num>
  <w:num w:numId="14">
    <w:abstractNumId w:val="21"/>
  </w:num>
  <w:num w:numId="15">
    <w:abstractNumId w:val="27"/>
  </w:num>
  <w:num w:numId="16">
    <w:abstractNumId w:val="40"/>
  </w:num>
  <w:num w:numId="17">
    <w:abstractNumId w:val="0"/>
  </w:num>
  <w:num w:numId="18">
    <w:abstractNumId w:val="18"/>
  </w:num>
  <w:num w:numId="19">
    <w:abstractNumId w:val="23"/>
  </w:num>
  <w:num w:numId="20">
    <w:abstractNumId w:val="30"/>
  </w:num>
  <w:num w:numId="21">
    <w:abstractNumId w:val="24"/>
  </w:num>
  <w:num w:numId="22">
    <w:abstractNumId w:val="29"/>
  </w:num>
  <w:num w:numId="23">
    <w:abstractNumId w:val="19"/>
  </w:num>
  <w:num w:numId="24">
    <w:abstractNumId w:val="34"/>
  </w:num>
  <w:num w:numId="25">
    <w:abstractNumId w:val="32"/>
  </w:num>
  <w:num w:numId="26">
    <w:abstractNumId w:val="39"/>
  </w:num>
  <w:num w:numId="27">
    <w:abstractNumId w:val="38"/>
  </w:num>
  <w:num w:numId="28">
    <w:abstractNumId w:val="6"/>
  </w:num>
  <w:num w:numId="29">
    <w:abstractNumId w:val="31"/>
  </w:num>
  <w:num w:numId="30">
    <w:abstractNumId w:val="2"/>
  </w:num>
  <w:num w:numId="31">
    <w:abstractNumId w:val="9"/>
  </w:num>
  <w:num w:numId="32">
    <w:abstractNumId w:val="4"/>
  </w:num>
  <w:num w:numId="33">
    <w:abstractNumId w:val="28"/>
  </w:num>
  <w:num w:numId="34">
    <w:abstractNumId w:val="8"/>
  </w:num>
  <w:num w:numId="35">
    <w:abstractNumId w:val="36"/>
  </w:num>
  <w:num w:numId="36">
    <w:abstractNumId w:val="25"/>
  </w:num>
  <w:num w:numId="37">
    <w:abstractNumId w:val="20"/>
  </w:num>
  <w:num w:numId="38">
    <w:abstractNumId w:val="13"/>
  </w:num>
  <w:num w:numId="39">
    <w:abstractNumId w:val="16"/>
  </w:num>
  <w:num w:numId="40">
    <w:abstractNumId w:val="10"/>
  </w:num>
  <w:num w:numId="41">
    <w:abstractNumId w:val="3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58A"/>
    <w:rsid w:val="00032E00"/>
    <w:rsid w:val="000441D4"/>
    <w:rsid w:val="000469A4"/>
    <w:rsid w:val="00054688"/>
    <w:rsid w:val="00071357"/>
    <w:rsid w:val="00072F7A"/>
    <w:rsid w:val="000942F7"/>
    <w:rsid w:val="000B6682"/>
    <w:rsid w:val="000C44BB"/>
    <w:rsid w:val="000C7CEA"/>
    <w:rsid w:val="000D46D5"/>
    <w:rsid w:val="000E2E80"/>
    <w:rsid w:val="000E3AA2"/>
    <w:rsid w:val="000F01FB"/>
    <w:rsid w:val="00101DA4"/>
    <w:rsid w:val="00124067"/>
    <w:rsid w:val="001405CF"/>
    <w:rsid w:val="001406F0"/>
    <w:rsid w:val="00146E4B"/>
    <w:rsid w:val="00156293"/>
    <w:rsid w:val="00166E42"/>
    <w:rsid w:val="001A2089"/>
    <w:rsid w:val="001A328E"/>
    <w:rsid w:val="001B31C8"/>
    <w:rsid w:val="001B503A"/>
    <w:rsid w:val="001D6CFE"/>
    <w:rsid w:val="001E12DE"/>
    <w:rsid w:val="00240447"/>
    <w:rsid w:val="00241EAF"/>
    <w:rsid w:val="002501B0"/>
    <w:rsid w:val="00261CA1"/>
    <w:rsid w:val="00263AB3"/>
    <w:rsid w:val="002942E2"/>
    <w:rsid w:val="002B6E34"/>
    <w:rsid w:val="002C125A"/>
    <w:rsid w:val="002E1D85"/>
    <w:rsid w:val="002E791B"/>
    <w:rsid w:val="002F39BD"/>
    <w:rsid w:val="002F6F3A"/>
    <w:rsid w:val="002F7414"/>
    <w:rsid w:val="00310C9E"/>
    <w:rsid w:val="003508E8"/>
    <w:rsid w:val="00350E4F"/>
    <w:rsid w:val="003651F2"/>
    <w:rsid w:val="00375ED6"/>
    <w:rsid w:val="00377926"/>
    <w:rsid w:val="003816CE"/>
    <w:rsid w:val="003C1C02"/>
    <w:rsid w:val="003C534E"/>
    <w:rsid w:val="003D4191"/>
    <w:rsid w:val="003F2CF9"/>
    <w:rsid w:val="004104AD"/>
    <w:rsid w:val="00445A8F"/>
    <w:rsid w:val="00447E17"/>
    <w:rsid w:val="004711CB"/>
    <w:rsid w:val="00475EBE"/>
    <w:rsid w:val="004811EA"/>
    <w:rsid w:val="004A5981"/>
    <w:rsid w:val="004B3289"/>
    <w:rsid w:val="004B373C"/>
    <w:rsid w:val="004C3EA4"/>
    <w:rsid w:val="004D00B3"/>
    <w:rsid w:val="004D4497"/>
    <w:rsid w:val="004D727B"/>
    <w:rsid w:val="0050659E"/>
    <w:rsid w:val="00532337"/>
    <w:rsid w:val="005614FF"/>
    <w:rsid w:val="005662BB"/>
    <w:rsid w:val="00574D6D"/>
    <w:rsid w:val="005776A9"/>
    <w:rsid w:val="00586129"/>
    <w:rsid w:val="005A0444"/>
    <w:rsid w:val="005A3592"/>
    <w:rsid w:val="005A48F9"/>
    <w:rsid w:val="005B3116"/>
    <w:rsid w:val="005C38BF"/>
    <w:rsid w:val="005E199A"/>
    <w:rsid w:val="0060154B"/>
    <w:rsid w:val="00634D5D"/>
    <w:rsid w:val="00642C8A"/>
    <w:rsid w:val="00661A6B"/>
    <w:rsid w:val="006667DA"/>
    <w:rsid w:val="0068314D"/>
    <w:rsid w:val="006A0CAD"/>
    <w:rsid w:val="006B2B67"/>
    <w:rsid w:val="006B3A59"/>
    <w:rsid w:val="006F29E1"/>
    <w:rsid w:val="00721AF1"/>
    <w:rsid w:val="00724E6A"/>
    <w:rsid w:val="007369ED"/>
    <w:rsid w:val="00737555"/>
    <w:rsid w:val="0076358A"/>
    <w:rsid w:val="007823B6"/>
    <w:rsid w:val="007906C8"/>
    <w:rsid w:val="007D795F"/>
    <w:rsid w:val="007F7BF4"/>
    <w:rsid w:val="008018C0"/>
    <w:rsid w:val="008216C0"/>
    <w:rsid w:val="008353C0"/>
    <w:rsid w:val="00840F77"/>
    <w:rsid w:val="00852DE5"/>
    <w:rsid w:val="00877743"/>
    <w:rsid w:val="00886FAE"/>
    <w:rsid w:val="00890D89"/>
    <w:rsid w:val="00892E0B"/>
    <w:rsid w:val="008B286C"/>
    <w:rsid w:val="008C5FB8"/>
    <w:rsid w:val="008C6194"/>
    <w:rsid w:val="008F1AAE"/>
    <w:rsid w:val="008F4011"/>
    <w:rsid w:val="008F44BD"/>
    <w:rsid w:val="009265DA"/>
    <w:rsid w:val="00930216"/>
    <w:rsid w:val="00957615"/>
    <w:rsid w:val="00961E9E"/>
    <w:rsid w:val="0096234C"/>
    <w:rsid w:val="009676CE"/>
    <w:rsid w:val="0097140E"/>
    <w:rsid w:val="0098156F"/>
    <w:rsid w:val="009A5D40"/>
    <w:rsid w:val="009B5F75"/>
    <w:rsid w:val="009C3251"/>
    <w:rsid w:val="009C3AA8"/>
    <w:rsid w:val="009C64EA"/>
    <w:rsid w:val="009E3DCE"/>
    <w:rsid w:val="009F4F9A"/>
    <w:rsid w:val="009F584D"/>
    <w:rsid w:val="00A07CE4"/>
    <w:rsid w:val="00A20A37"/>
    <w:rsid w:val="00A3206D"/>
    <w:rsid w:val="00A36BEC"/>
    <w:rsid w:val="00A5460C"/>
    <w:rsid w:val="00A61746"/>
    <w:rsid w:val="00A678E2"/>
    <w:rsid w:val="00A971D3"/>
    <w:rsid w:val="00AA5BA6"/>
    <w:rsid w:val="00AB432C"/>
    <w:rsid w:val="00AD5258"/>
    <w:rsid w:val="00AF3D51"/>
    <w:rsid w:val="00AF5A94"/>
    <w:rsid w:val="00B018A3"/>
    <w:rsid w:val="00B1018D"/>
    <w:rsid w:val="00B74454"/>
    <w:rsid w:val="00B819C7"/>
    <w:rsid w:val="00BA4860"/>
    <w:rsid w:val="00BA656B"/>
    <w:rsid w:val="00BC50B6"/>
    <w:rsid w:val="00BD5CA4"/>
    <w:rsid w:val="00BF3097"/>
    <w:rsid w:val="00C07123"/>
    <w:rsid w:val="00C12E9B"/>
    <w:rsid w:val="00C315B2"/>
    <w:rsid w:val="00C36C2A"/>
    <w:rsid w:val="00C43674"/>
    <w:rsid w:val="00C578CE"/>
    <w:rsid w:val="00C90CE6"/>
    <w:rsid w:val="00CA095D"/>
    <w:rsid w:val="00CB262F"/>
    <w:rsid w:val="00CB59E5"/>
    <w:rsid w:val="00CC764F"/>
    <w:rsid w:val="00CD00F3"/>
    <w:rsid w:val="00CE2ECE"/>
    <w:rsid w:val="00CE6170"/>
    <w:rsid w:val="00D3253E"/>
    <w:rsid w:val="00D33664"/>
    <w:rsid w:val="00D33849"/>
    <w:rsid w:val="00D5207E"/>
    <w:rsid w:val="00D729F8"/>
    <w:rsid w:val="00D74063"/>
    <w:rsid w:val="00D977CF"/>
    <w:rsid w:val="00DA45A9"/>
    <w:rsid w:val="00DA57ED"/>
    <w:rsid w:val="00DC48BE"/>
    <w:rsid w:val="00DD23B8"/>
    <w:rsid w:val="00DD3306"/>
    <w:rsid w:val="00E00273"/>
    <w:rsid w:val="00E07F94"/>
    <w:rsid w:val="00E12D0A"/>
    <w:rsid w:val="00E13256"/>
    <w:rsid w:val="00E27A05"/>
    <w:rsid w:val="00E51B04"/>
    <w:rsid w:val="00E73443"/>
    <w:rsid w:val="00E84E1F"/>
    <w:rsid w:val="00EC0416"/>
    <w:rsid w:val="00ED7A48"/>
    <w:rsid w:val="00EE1731"/>
    <w:rsid w:val="00EE6EB1"/>
    <w:rsid w:val="00EF0402"/>
    <w:rsid w:val="00EF1875"/>
    <w:rsid w:val="00F24DF9"/>
    <w:rsid w:val="00F43C6D"/>
    <w:rsid w:val="00F451F7"/>
    <w:rsid w:val="00F552E7"/>
    <w:rsid w:val="00F574D8"/>
    <w:rsid w:val="00F62182"/>
    <w:rsid w:val="00F70353"/>
    <w:rsid w:val="00F70769"/>
    <w:rsid w:val="00F8273F"/>
    <w:rsid w:val="00F92C98"/>
    <w:rsid w:val="00F95900"/>
    <w:rsid w:val="00FB00FC"/>
    <w:rsid w:val="00FB77CE"/>
    <w:rsid w:val="00FC1470"/>
    <w:rsid w:val="00FC1471"/>
    <w:rsid w:val="00FE4549"/>
    <w:rsid w:val="00FF1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2BC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58A"/>
    <w:pPr>
      <w:spacing w:after="0" w:line="240" w:lineRule="auto"/>
    </w:pPr>
    <w:rPr>
      <w:rFonts w:ascii="Palatino" w:eastAsia="Times New Roman" w:hAnsi="Palatino" w:cs="Times New Roman"/>
      <w:sz w:val="26"/>
      <w:szCs w:val="20"/>
    </w:rPr>
  </w:style>
  <w:style w:type="paragraph" w:styleId="Heading1">
    <w:name w:val="heading 1"/>
    <w:basedOn w:val="Normal"/>
    <w:next w:val="standard"/>
    <w:link w:val="Heading1Char"/>
    <w:qFormat/>
    <w:rsid w:val="0076358A"/>
    <w:pPr>
      <w:keepNext/>
      <w:spacing w:before="320" w:after="240"/>
      <w:outlineLvl w:val="0"/>
    </w:pPr>
    <w:rPr>
      <w:rFonts w:ascii="Palatino Linotype" w:hAnsi="Palatino Linotype"/>
      <w:b/>
      <w:caps/>
      <w:kern w:val="28"/>
      <w:u w:val="single"/>
    </w:rPr>
  </w:style>
  <w:style w:type="paragraph" w:styleId="Heading2">
    <w:name w:val="heading 2"/>
    <w:basedOn w:val="Normal"/>
    <w:next w:val="sub1"/>
    <w:link w:val="Heading2Char"/>
    <w:qFormat/>
    <w:rsid w:val="0076358A"/>
    <w:pPr>
      <w:keepNext/>
      <w:spacing w:before="120" w:after="120"/>
      <w:outlineLvl w:val="1"/>
    </w:pPr>
    <w:rPr>
      <w:rFonts w:ascii="Palatino Linotype" w:hAnsi="Palatino Linotype"/>
      <w:b/>
    </w:rPr>
  </w:style>
  <w:style w:type="paragraph" w:styleId="Heading3">
    <w:name w:val="heading 3"/>
    <w:basedOn w:val="Normal"/>
    <w:next w:val="Normal"/>
    <w:link w:val="Heading3Char"/>
    <w:qFormat/>
    <w:rsid w:val="0076358A"/>
    <w:pPr>
      <w:keepNext/>
      <w:spacing w:before="280" w:after="120"/>
      <w:outlineLvl w:val="2"/>
    </w:pPr>
    <w:rPr>
      <w:rFonts w:ascii="Palatino Linotype" w:hAnsi="Palatino Linotype"/>
      <w:b/>
    </w:rPr>
  </w:style>
  <w:style w:type="paragraph" w:styleId="Heading4">
    <w:name w:val="heading 4"/>
    <w:basedOn w:val="Heading3"/>
    <w:next w:val="Normal"/>
    <w:link w:val="Heading4Char"/>
    <w:qFormat/>
    <w:rsid w:val="0076358A"/>
    <w:pPr>
      <w:numPr>
        <w:ilvl w:val="2"/>
      </w:numPr>
      <w:ind w:left="1080"/>
      <w:outlineLvl w:val="3"/>
    </w:pPr>
  </w:style>
  <w:style w:type="paragraph" w:styleId="Heading5">
    <w:name w:val="heading 5"/>
    <w:basedOn w:val="Heading4"/>
    <w:next w:val="sub4"/>
    <w:link w:val="Heading5Char"/>
    <w:qFormat/>
    <w:rsid w:val="0076358A"/>
    <w:pPr>
      <w:numPr>
        <w:ilvl w:val="0"/>
      </w:numPr>
      <w:ind w:left="1080"/>
      <w:outlineLvl w:val="4"/>
    </w:pPr>
  </w:style>
  <w:style w:type="paragraph" w:styleId="Heading6">
    <w:name w:val="heading 6"/>
    <w:basedOn w:val="Normal"/>
    <w:next w:val="Normal"/>
    <w:link w:val="Heading6Char"/>
    <w:qFormat/>
    <w:rsid w:val="0076358A"/>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358A"/>
    <w:rPr>
      <w:rFonts w:ascii="Palatino Linotype" w:eastAsia="Times New Roman" w:hAnsi="Palatino Linotype" w:cs="Times New Roman"/>
      <w:b/>
      <w:caps/>
      <w:kern w:val="28"/>
      <w:sz w:val="26"/>
      <w:szCs w:val="20"/>
      <w:u w:val="single"/>
    </w:rPr>
  </w:style>
  <w:style w:type="character" w:customStyle="1" w:styleId="Heading2Char">
    <w:name w:val="Heading 2 Char"/>
    <w:basedOn w:val="DefaultParagraphFont"/>
    <w:link w:val="Heading2"/>
    <w:rsid w:val="0076358A"/>
    <w:rPr>
      <w:rFonts w:ascii="Palatino Linotype" w:eastAsia="Times New Roman" w:hAnsi="Palatino Linotype" w:cs="Times New Roman"/>
      <w:b/>
      <w:sz w:val="26"/>
      <w:szCs w:val="20"/>
    </w:rPr>
  </w:style>
  <w:style w:type="character" w:customStyle="1" w:styleId="Heading3Char">
    <w:name w:val="Heading 3 Char"/>
    <w:basedOn w:val="DefaultParagraphFont"/>
    <w:link w:val="Heading3"/>
    <w:rsid w:val="0076358A"/>
    <w:rPr>
      <w:rFonts w:ascii="Palatino Linotype" w:eastAsia="Times New Roman" w:hAnsi="Palatino Linotype" w:cs="Times New Roman"/>
      <w:b/>
      <w:sz w:val="26"/>
      <w:szCs w:val="20"/>
    </w:rPr>
  </w:style>
  <w:style w:type="character" w:customStyle="1" w:styleId="Heading4Char">
    <w:name w:val="Heading 4 Char"/>
    <w:basedOn w:val="DefaultParagraphFont"/>
    <w:link w:val="Heading4"/>
    <w:rsid w:val="0076358A"/>
    <w:rPr>
      <w:rFonts w:ascii="Palatino Linotype" w:eastAsia="Times New Roman" w:hAnsi="Palatino Linotype" w:cs="Times New Roman"/>
      <w:b/>
      <w:sz w:val="26"/>
      <w:szCs w:val="20"/>
    </w:rPr>
  </w:style>
  <w:style w:type="character" w:customStyle="1" w:styleId="Heading5Char">
    <w:name w:val="Heading 5 Char"/>
    <w:basedOn w:val="DefaultParagraphFont"/>
    <w:link w:val="Heading5"/>
    <w:rsid w:val="0076358A"/>
    <w:rPr>
      <w:rFonts w:ascii="Palatino Linotype" w:eastAsia="Times New Roman" w:hAnsi="Palatino Linotype" w:cs="Times New Roman"/>
      <w:b/>
      <w:sz w:val="26"/>
      <w:szCs w:val="20"/>
    </w:rPr>
  </w:style>
  <w:style w:type="character" w:customStyle="1" w:styleId="Heading6Char">
    <w:name w:val="Heading 6 Char"/>
    <w:basedOn w:val="DefaultParagraphFont"/>
    <w:link w:val="Heading6"/>
    <w:rsid w:val="0076358A"/>
    <w:rPr>
      <w:rFonts w:ascii="Palatino" w:eastAsia="Times New Roman" w:hAnsi="Palatino" w:cs="Times New Roman"/>
      <w:b/>
      <w:sz w:val="26"/>
      <w:szCs w:val="20"/>
    </w:rPr>
  </w:style>
  <w:style w:type="paragraph" w:styleId="FootnoteText">
    <w:name w:val="footnote text"/>
    <w:aliases w:val="Footnote Text Char2 Char,Footnote Text Char1 Char Char,Footnote Text Char Char Char Char,Footnote Text Char2 Char Char Char Char,Footnote Text Char1 Char1 Char1 Char Char Char"/>
    <w:basedOn w:val="Normal"/>
    <w:link w:val="FootnoteTextChar"/>
    <w:uiPriority w:val="99"/>
    <w:rsid w:val="0076358A"/>
    <w:pPr>
      <w:numPr>
        <w:numId w:val="3"/>
      </w:numPr>
      <w:tabs>
        <w:tab w:val="clear" w:pos="4230"/>
        <w:tab w:val="num" w:pos="360"/>
      </w:tabs>
      <w:spacing w:after="40"/>
      <w:ind w:left="216"/>
    </w:pPr>
    <w:rPr>
      <w:sz w:val="24"/>
    </w:rPr>
  </w:style>
  <w:style w:type="character" w:customStyle="1" w:styleId="FootnoteTextChar">
    <w:name w:val="Footnote Text Char"/>
    <w:aliases w:val="Footnote Text Char2 Char Char,Footnote Text Char1 Char Char Char,Footnote Text Char Char Char Char Char,Footnote Text Char2 Char Char Char Char Char,Footnote Text Char1 Char1 Char1 Char Char Char Char"/>
    <w:basedOn w:val="DefaultParagraphFont"/>
    <w:link w:val="FootnoteText"/>
    <w:uiPriority w:val="99"/>
    <w:rsid w:val="0076358A"/>
    <w:rPr>
      <w:rFonts w:ascii="Palatino" w:eastAsia="Times New Roman" w:hAnsi="Palatino" w:cs="Times New Roman"/>
      <w:sz w:val="24"/>
      <w:szCs w:val="20"/>
    </w:rPr>
  </w:style>
  <w:style w:type="paragraph" w:styleId="EndnoteText">
    <w:name w:val="endnote text"/>
    <w:basedOn w:val="Normal"/>
    <w:link w:val="EndnoteTextChar"/>
    <w:semiHidden/>
    <w:rsid w:val="0076358A"/>
    <w:rPr>
      <w:sz w:val="20"/>
    </w:rPr>
  </w:style>
  <w:style w:type="character" w:customStyle="1" w:styleId="EndnoteTextChar">
    <w:name w:val="Endnote Text Char"/>
    <w:basedOn w:val="DefaultParagraphFont"/>
    <w:link w:val="EndnoteText"/>
    <w:semiHidden/>
    <w:rsid w:val="0076358A"/>
    <w:rPr>
      <w:rFonts w:ascii="Palatino" w:eastAsia="Times New Roman" w:hAnsi="Palatino" w:cs="Times New Roman"/>
      <w:sz w:val="20"/>
      <w:szCs w:val="20"/>
    </w:rPr>
  </w:style>
  <w:style w:type="paragraph" w:customStyle="1" w:styleId="standard">
    <w:name w:val="standard"/>
    <w:basedOn w:val="Normal"/>
    <w:link w:val="standardChar"/>
    <w:rsid w:val="0076358A"/>
    <w:pPr>
      <w:spacing w:line="360" w:lineRule="auto"/>
      <w:ind w:firstLine="720"/>
    </w:pPr>
  </w:style>
  <w:style w:type="paragraph" w:styleId="Subtitle">
    <w:name w:val="Subtitle"/>
    <w:basedOn w:val="Normal"/>
    <w:link w:val="SubtitleChar"/>
    <w:qFormat/>
    <w:rsid w:val="0076358A"/>
    <w:pPr>
      <w:spacing w:after="60"/>
      <w:jc w:val="center"/>
    </w:pPr>
    <w:rPr>
      <w:rFonts w:ascii="Arial" w:hAnsi="Arial"/>
    </w:rPr>
  </w:style>
  <w:style w:type="character" w:customStyle="1" w:styleId="SubtitleChar">
    <w:name w:val="Subtitle Char"/>
    <w:basedOn w:val="DefaultParagraphFont"/>
    <w:link w:val="Subtitle"/>
    <w:rsid w:val="0076358A"/>
    <w:rPr>
      <w:rFonts w:ascii="Arial" w:eastAsia="Times New Roman" w:hAnsi="Arial" w:cs="Times New Roman"/>
      <w:sz w:val="26"/>
      <w:szCs w:val="20"/>
    </w:rPr>
  </w:style>
  <w:style w:type="paragraph" w:customStyle="1" w:styleId="Quote1">
    <w:name w:val="Quote1"/>
    <w:basedOn w:val="standard"/>
    <w:next w:val="standard"/>
    <w:rsid w:val="0076358A"/>
    <w:pPr>
      <w:spacing w:before="120" w:after="240" w:line="240" w:lineRule="auto"/>
      <w:ind w:left="720" w:right="720" w:firstLine="0"/>
    </w:pPr>
  </w:style>
  <w:style w:type="paragraph" w:customStyle="1" w:styleId="Style1">
    <w:name w:val="Style1"/>
    <w:basedOn w:val="1ListIndent"/>
    <w:rsid w:val="0076358A"/>
    <w:pPr>
      <w:numPr>
        <w:numId w:val="0"/>
      </w:numPr>
    </w:pPr>
  </w:style>
  <w:style w:type="paragraph" w:styleId="TOC4">
    <w:name w:val="toc 4"/>
    <w:basedOn w:val="Normal"/>
    <w:next w:val="Normal"/>
    <w:uiPriority w:val="39"/>
    <w:rsid w:val="0076358A"/>
    <w:pPr>
      <w:tabs>
        <w:tab w:val="right" w:leader="dot" w:pos="9360"/>
      </w:tabs>
      <w:ind w:left="720"/>
    </w:pPr>
  </w:style>
  <w:style w:type="paragraph" w:customStyle="1" w:styleId="main">
    <w:name w:val="main"/>
    <w:basedOn w:val="Normal"/>
    <w:rsid w:val="0076358A"/>
    <w:pPr>
      <w:jc w:val="center"/>
    </w:pPr>
    <w:rPr>
      <w:rFonts w:ascii="Helvetica" w:hAnsi="Helvetica"/>
      <w:b/>
    </w:rPr>
  </w:style>
  <w:style w:type="paragraph" w:customStyle="1" w:styleId="mainex">
    <w:name w:val="mainex"/>
    <w:basedOn w:val="main"/>
    <w:rsid w:val="0076358A"/>
    <w:pPr>
      <w:keepNext/>
    </w:pPr>
    <w:rPr>
      <w:spacing w:val="120"/>
    </w:rPr>
  </w:style>
  <w:style w:type="paragraph" w:customStyle="1" w:styleId="num1">
    <w:name w:val="num1"/>
    <w:basedOn w:val="Normal"/>
    <w:rsid w:val="0076358A"/>
    <w:pPr>
      <w:tabs>
        <w:tab w:val="left" w:pos="-720"/>
      </w:tabs>
      <w:suppressAutoHyphens/>
      <w:spacing w:after="240"/>
    </w:pPr>
  </w:style>
  <w:style w:type="paragraph" w:styleId="Header">
    <w:name w:val="header"/>
    <w:basedOn w:val="Normal"/>
    <w:link w:val="HeaderChar"/>
    <w:rsid w:val="0076358A"/>
    <w:pPr>
      <w:widowControl w:val="0"/>
      <w:tabs>
        <w:tab w:val="center" w:pos="4320"/>
        <w:tab w:val="right" w:pos="8640"/>
      </w:tabs>
    </w:pPr>
  </w:style>
  <w:style w:type="character" w:customStyle="1" w:styleId="HeaderChar">
    <w:name w:val="Header Char"/>
    <w:basedOn w:val="DefaultParagraphFont"/>
    <w:link w:val="Header"/>
    <w:rsid w:val="0076358A"/>
    <w:rPr>
      <w:rFonts w:ascii="Palatino" w:eastAsia="Times New Roman" w:hAnsi="Palatino" w:cs="Times New Roman"/>
      <w:sz w:val="26"/>
      <w:szCs w:val="20"/>
    </w:rPr>
  </w:style>
  <w:style w:type="paragraph" w:customStyle="1" w:styleId="num2">
    <w:name w:val="num2"/>
    <w:basedOn w:val="num1"/>
    <w:rsid w:val="0076358A"/>
    <w:pPr>
      <w:ind w:firstLine="270"/>
    </w:pPr>
  </w:style>
  <w:style w:type="paragraph" w:styleId="Footer">
    <w:name w:val="footer"/>
    <w:basedOn w:val="Normal"/>
    <w:link w:val="FooterChar"/>
    <w:rsid w:val="0076358A"/>
    <w:pPr>
      <w:tabs>
        <w:tab w:val="center" w:pos="4320"/>
        <w:tab w:val="right" w:pos="8640"/>
      </w:tabs>
      <w:jc w:val="center"/>
    </w:pPr>
  </w:style>
  <w:style w:type="character" w:customStyle="1" w:styleId="FooterChar">
    <w:name w:val="Footer Char"/>
    <w:basedOn w:val="DefaultParagraphFont"/>
    <w:link w:val="Footer"/>
    <w:rsid w:val="0076358A"/>
    <w:rPr>
      <w:rFonts w:ascii="Palatino" w:eastAsia="Times New Roman" w:hAnsi="Palatino" w:cs="Times New Roman"/>
      <w:sz w:val="26"/>
      <w:szCs w:val="20"/>
    </w:rPr>
  </w:style>
  <w:style w:type="paragraph" w:customStyle="1" w:styleId="sub1">
    <w:name w:val="sub1"/>
    <w:basedOn w:val="Normal"/>
    <w:rsid w:val="0076358A"/>
    <w:pPr>
      <w:spacing w:line="360" w:lineRule="auto"/>
      <w:ind w:firstLine="1440"/>
    </w:pPr>
  </w:style>
  <w:style w:type="paragraph" w:customStyle="1" w:styleId="titlebar">
    <w:name w:val="title bar"/>
    <w:basedOn w:val="main"/>
    <w:rsid w:val="0076358A"/>
    <w:pPr>
      <w:keepNext/>
      <w:suppressAutoHyphens/>
    </w:pPr>
  </w:style>
  <w:style w:type="character" w:styleId="PageNumber">
    <w:name w:val="page number"/>
    <w:basedOn w:val="DefaultParagraphFont"/>
    <w:rsid w:val="0076358A"/>
  </w:style>
  <w:style w:type="paragraph" w:customStyle="1" w:styleId="sub2">
    <w:name w:val="sub2"/>
    <w:basedOn w:val="Normal"/>
    <w:rsid w:val="0076358A"/>
    <w:pPr>
      <w:spacing w:line="360" w:lineRule="auto"/>
      <w:ind w:firstLine="2160"/>
    </w:pPr>
  </w:style>
  <w:style w:type="paragraph" w:customStyle="1" w:styleId="sub3">
    <w:name w:val="sub3"/>
    <w:basedOn w:val="Normal"/>
    <w:rsid w:val="0076358A"/>
    <w:pPr>
      <w:spacing w:line="360" w:lineRule="auto"/>
      <w:ind w:firstLine="2880"/>
    </w:pPr>
  </w:style>
  <w:style w:type="paragraph" w:customStyle="1" w:styleId="sub4">
    <w:name w:val="sub4"/>
    <w:basedOn w:val="Normal"/>
    <w:rsid w:val="0076358A"/>
    <w:pPr>
      <w:ind w:firstLine="3600"/>
    </w:pPr>
  </w:style>
  <w:style w:type="paragraph" w:customStyle="1" w:styleId="dummy">
    <w:name w:val="dummy"/>
    <w:basedOn w:val="Heading1"/>
    <w:rsid w:val="0076358A"/>
    <w:pPr>
      <w:outlineLvl w:val="9"/>
    </w:pPr>
  </w:style>
  <w:style w:type="paragraph" w:customStyle="1" w:styleId="AListIndent">
    <w:name w:val="A. List Indent"/>
    <w:basedOn w:val="1ListIndent"/>
    <w:rsid w:val="0076358A"/>
    <w:pPr>
      <w:numPr>
        <w:numId w:val="1"/>
      </w:numPr>
      <w:ind w:left="1440" w:hanging="720"/>
    </w:pPr>
  </w:style>
  <w:style w:type="character" w:styleId="EndnoteReference">
    <w:name w:val="endnote reference"/>
    <w:semiHidden/>
    <w:rsid w:val="0076358A"/>
    <w:rPr>
      <w:vertAlign w:val="superscript"/>
    </w:rPr>
  </w:style>
  <w:style w:type="paragraph" w:customStyle="1" w:styleId="1ListIndent">
    <w:name w:val="1. List Indent"/>
    <w:basedOn w:val="num2"/>
    <w:rsid w:val="0076358A"/>
    <w:pPr>
      <w:numPr>
        <w:numId w:val="2"/>
      </w:numPr>
      <w:ind w:left="1080"/>
    </w:pPr>
  </w:style>
  <w:style w:type="character" w:styleId="FootnoteReference">
    <w:name w:val="footnote reference"/>
    <w:aliases w:val="o,fr,o1,o2,o3,o4,o5,o6,o11,o21,o7,Style 3,Footnote,Style 8"/>
    <w:uiPriority w:val="99"/>
    <w:rsid w:val="0076358A"/>
    <w:rPr>
      <w:vertAlign w:val="superscript"/>
    </w:rPr>
  </w:style>
  <w:style w:type="paragraph" w:styleId="List">
    <w:name w:val="List"/>
    <w:basedOn w:val="Normal"/>
    <w:rsid w:val="0076358A"/>
    <w:pPr>
      <w:ind w:left="360" w:hanging="360"/>
    </w:pPr>
    <w:rPr>
      <w:rFonts w:ascii="Times New Roman" w:hAnsi="Times New Roman"/>
      <w:sz w:val="24"/>
    </w:rPr>
  </w:style>
  <w:style w:type="paragraph" w:customStyle="1" w:styleId="Res-Caption">
    <w:name w:val="Res-Caption"/>
    <w:basedOn w:val="Normal"/>
    <w:rsid w:val="0076358A"/>
    <w:pPr>
      <w:ind w:left="720" w:right="720"/>
    </w:pPr>
  </w:style>
  <w:style w:type="paragraph" w:customStyle="1" w:styleId="Res-TitleResolution">
    <w:name w:val="Res-Title (Resolution)"/>
    <w:basedOn w:val="main"/>
    <w:rsid w:val="0076358A"/>
  </w:style>
  <w:style w:type="paragraph" w:customStyle="1" w:styleId="ALs">
    <w:name w:val="ALs"/>
    <w:basedOn w:val="Normal"/>
    <w:rsid w:val="0076358A"/>
    <w:rPr>
      <w:rFonts w:ascii="Times New Roman" w:hAnsi="Times New Roman"/>
      <w:sz w:val="24"/>
    </w:rPr>
  </w:style>
  <w:style w:type="paragraph" w:styleId="ListParagraph">
    <w:name w:val="List Paragraph"/>
    <w:basedOn w:val="Normal"/>
    <w:uiPriority w:val="34"/>
    <w:qFormat/>
    <w:rsid w:val="0076358A"/>
    <w:pPr>
      <w:ind w:left="720"/>
      <w:contextualSpacing/>
    </w:pPr>
  </w:style>
  <w:style w:type="paragraph" w:styleId="TOCHeading">
    <w:name w:val="TOC Heading"/>
    <w:basedOn w:val="Heading1"/>
    <w:next w:val="Normal"/>
    <w:uiPriority w:val="39"/>
    <w:unhideWhenUsed/>
    <w:qFormat/>
    <w:rsid w:val="0076358A"/>
    <w:pPr>
      <w:keepLines/>
      <w:spacing w:before="480" w:after="0" w:line="276" w:lineRule="auto"/>
      <w:outlineLvl w:val="9"/>
    </w:pPr>
    <w:rPr>
      <w:rFonts w:asciiTheme="majorHAnsi" w:eastAsiaTheme="majorEastAsia" w:hAnsiTheme="majorHAnsi" w:cstheme="majorBidi"/>
      <w:bCs/>
      <w:caps w:val="0"/>
      <w:color w:val="2F5496" w:themeColor="accent1" w:themeShade="BF"/>
      <w:kern w:val="0"/>
      <w:sz w:val="28"/>
      <w:szCs w:val="28"/>
      <w:u w:val="none"/>
      <w:lang w:eastAsia="ja-JP"/>
    </w:rPr>
  </w:style>
  <w:style w:type="paragraph" w:styleId="TOC1">
    <w:name w:val="toc 1"/>
    <w:basedOn w:val="Normal"/>
    <w:next w:val="Normal"/>
    <w:autoRedefine/>
    <w:uiPriority w:val="39"/>
    <w:rsid w:val="0076358A"/>
    <w:pPr>
      <w:tabs>
        <w:tab w:val="right" w:leader="dot" w:pos="9350"/>
      </w:tabs>
    </w:pPr>
  </w:style>
  <w:style w:type="character" w:styleId="Hyperlink">
    <w:name w:val="Hyperlink"/>
    <w:basedOn w:val="DefaultParagraphFont"/>
    <w:uiPriority w:val="99"/>
    <w:unhideWhenUsed/>
    <w:rsid w:val="0076358A"/>
    <w:rPr>
      <w:color w:val="0563C1" w:themeColor="hyperlink"/>
      <w:u w:val="single"/>
    </w:rPr>
  </w:style>
  <w:style w:type="paragraph" w:styleId="BalloonText">
    <w:name w:val="Balloon Text"/>
    <w:basedOn w:val="Normal"/>
    <w:link w:val="BalloonTextChar"/>
    <w:rsid w:val="0076358A"/>
    <w:rPr>
      <w:rFonts w:ascii="Tahoma" w:hAnsi="Tahoma" w:cs="Tahoma"/>
      <w:sz w:val="16"/>
      <w:szCs w:val="16"/>
    </w:rPr>
  </w:style>
  <w:style w:type="character" w:customStyle="1" w:styleId="BalloonTextChar">
    <w:name w:val="Balloon Text Char"/>
    <w:basedOn w:val="DefaultParagraphFont"/>
    <w:link w:val="BalloonText"/>
    <w:rsid w:val="0076358A"/>
    <w:rPr>
      <w:rFonts w:ascii="Tahoma" w:eastAsia="Times New Roman" w:hAnsi="Tahoma" w:cs="Tahoma"/>
      <w:sz w:val="16"/>
      <w:szCs w:val="16"/>
    </w:rPr>
  </w:style>
  <w:style w:type="paragraph" w:customStyle="1" w:styleId="bullets">
    <w:name w:val="bullets"/>
    <w:basedOn w:val="sub1"/>
    <w:rsid w:val="0076358A"/>
    <w:pPr>
      <w:numPr>
        <w:numId w:val="8"/>
      </w:numPr>
      <w:spacing w:after="120" w:line="240" w:lineRule="auto"/>
      <w:ind w:right="720"/>
    </w:pPr>
  </w:style>
  <w:style w:type="character" w:customStyle="1" w:styleId="standardChar">
    <w:name w:val="standard Char"/>
    <w:link w:val="standard"/>
    <w:rsid w:val="0076358A"/>
    <w:rPr>
      <w:rFonts w:ascii="Palatino" w:eastAsia="Times New Roman" w:hAnsi="Palatino" w:cs="Times New Roman"/>
      <w:sz w:val="26"/>
      <w:szCs w:val="20"/>
    </w:rPr>
  </w:style>
  <w:style w:type="table" w:styleId="TableGrid">
    <w:name w:val="Table Grid"/>
    <w:basedOn w:val="TableNormal"/>
    <w:uiPriority w:val="39"/>
    <w:rsid w:val="0076358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76358A"/>
    <w:pPr>
      <w:tabs>
        <w:tab w:val="left" w:pos="720"/>
        <w:tab w:val="right" w:leader="dot" w:pos="9350"/>
      </w:tabs>
      <w:ind w:left="259"/>
    </w:pPr>
  </w:style>
  <w:style w:type="paragraph" w:styleId="TOC3">
    <w:name w:val="toc 3"/>
    <w:basedOn w:val="Normal"/>
    <w:next w:val="Normal"/>
    <w:autoRedefine/>
    <w:uiPriority w:val="39"/>
    <w:unhideWhenUsed/>
    <w:rsid w:val="0076358A"/>
    <w:pPr>
      <w:tabs>
        <w:tab w:val="right" w:leader="dot" w:pos="9350"/>
      </w:tabs>
      <w:ind w:left="518"/>
    </w:pPr>
  </w:style>
  <w:style w:type="paragraph" w:styleId="Quote">
    <w:name w:val="Quote"/>
    <w:basedOn w:val="Normal"/>
    <w:next w:val="Normal"/>
    <w:link w:val="QuoteChar"/>
    <w:uiPriority w:val="29"/>
    <w:qFormat/>
    <w:rsid w:val="0076358A"/>
    <w:pPr>
      <w:spacing w:before="160"/>
      <w:ind w:left="720" w:right="720"/>
    </w:pPr>
  </w:style>
  <w:style w:type="character" w:customStyle="1" w:styleId="QuoteChar">
    <w:name w:val="Quote Char"/>
    <w:basedOn w:val="DefaultParagraphFont"/>
    <w:link w:val="Quote"/>
    <w:uiPriority w:val="29"/>
    <w:rsid w:val="0076358A"/>
    <w:rPr>
      <w:rFonts w:ascii="Palatino" w:eastAsia="Times New Roman" w:hAnsi="Palatino" w:cs="Times New Roman"/>
      <w:sz w:val="26"/>
      <w:szCs w:val="20"/>
    </w:rPr>
  </w:style>
  <w:style w:type="character" w:customStyle="1" w:styleId="UnresolvedMention1">
    <w:name w:val="Unresolved Mention1"/>
    <w:basedOn w:val="DefaultParagraphFont"/>
    <w:uiPriority w:val="99"/>
    <w:semiHidden/>
    <w:unhideWhenUsed/>
    <w:rsid w:val="0076358A"/>
    <w:rPr>
      <w:color w:val="808080"/>
      <w:shd w:val="clear" w:color="auto" w:fill="E6E6E6"/>
    </w:rPr>
  </w:style>
  <w:style w:type="character" w:customStyle="1" w:styleId="label6">
    <w:name w:val="label6"/>
    <w:basedOn w:val="DefaultParagraphFont"/>
    <w:rsid w:val="0076358A"/>
    <w:rPr>
      <w:b/>
      <w:bCs/>
      <w:vanish w:val="0"/>
      <w:webHidden w:val="0"/>
      <w:color w:val="FFFFFF"/>
      <w:sz w:val="18"/>
      <w:szCs w:val="18"/>
      <w:vertAlign w:val="baseline"/>
      <w:specVanish w:val="0"/>
    </w:rPr>
  </w:style>
  <w:style w:type="paragraph" w:customStyle="1" w:styleId="Default">
    <w:name w:val="Default"/>
    <w:rsid w:val="0076358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ForumNotes">
    <w:name w:val="Forum Notes"/>
    <w:basedOn w:val="Normal"/>
    <w:link w:val="ForumNotesChar"/>
    <w:qFormat/>
    <w:rsid w:val="0076358A"/>
    <w:rPr>
      <w:rFonts w:ascii="Arial" w:hAnsi="Arial"/>
      <w:i/>
      <w:color w:val="669900"/>
    </w:rPr>
  </w:style>
  <w:style w:type="character" w:customStyle="1" w:styleId="ForumNotesChar">
    <w:name w:val="Forum Notes Char"/>
    <w:basedOn w:val="DefaultParagraphFont"/>
    <w:link w:val="ForumNotes"/>
    <w:rsid w:val="0076358A"/>
    <w:rPr>
      <w:rFonts w:ascii="Arial" w:eastAsia="Times New Roman" w:hAnsi="Arial" w:cs="Times New Roman"/>
      <w:i/>
      <w:color w:val="669900"/>
      <w:sz w:val="26"/>
      <w:szCs w:val="20"/>
    </w:rPr>
  </w:style>
  <w:style w:type="character" w:styleId="FollowedHyperlink">
    <w:name w:val="FollowedHyperlink"/>
    <w:basedOn w:val="DefaultParagraphFont"/>
    <w:semiHidden/>
    <w:unhideWhenUsed/>
    <w:rsid w:val="0076358A"/>
    <w:rPr>
      <w:color w:val="954F72" w:themeColor="followedHyperlink"/>
      <w:u w:val="single"/>
    </w:rPr>
  </w:style>
  <w:style w:type="character" w:styleId="CommentReference">
    <w:name w:val="annotation reference"/>
    <w:basedOn w:val="DefaultParagraphFont"/>
    <w:semiHidden/>
    <w:unhideWhenUsed/>
    <w:rsid w:val="0076358A"/>
    <w:rPr>
      <w:sz w:val="16"/>
      <w:szCs w:val="16"/>
    </w:rPr>
  </w:style>
  <w:style w:type="paragraph" w:styleId="CommentText">
    <w:name w:val="annotation text"/>
    <w:basedOn w:val="Normal"/>
    <w:link w:val="CommentTextChar"/>
    <w:unhideWhenUsed/>
    <w:rsid w:val="0076358A"/>
    <w:rPr>
      <w:sz w:val="20"/>
    </w:rPr>
  </w:style>
  <w:style w:type="character" w:customStyle="1" w:styleId="CommentTextChar">
    <w:name w:val="Comment Text Char"/>
    <w:basedOn w:val="DefaultParagraphFont"/>
    <w:link w:val="CommentText"/>
    <w:rsid w:val="0076358A"/>
    <w:rPr>
      <w:rFonts w:ascii="Palatino" w:eastAsia="Times New Roman" w:hAnsi="Palatino" w:cs="Times New Roman"/>
      <w:sz w:val="20"/>
      <w:szCs w:val="20"/>
    </w:rPr>
  </w:style>
  <w:style w:type="paragraph" w:styleId="CommentSubject">
    <w:name w:val="annotation subject"/>
    <w:basedOn w:val="CommentText"/>
    <w:next w:val="CommentText"/>
    <w:link w:val="CommentSubjectChar"/>
    <w:semiHidden/>
    <w:unhideWhenUsed/>
    <w:rsid w:val="0076358A"/>
    <w:rPr>
      <w:b/>
      <w:bCs/>
    </w:rPr>
  </w:style>
  <w:style w:type="character" w:customStyle="1" w:styleId="CommentSubjectChar">
    <w:name w:val="Comment Subject Char"/>
    <w:basedOn w:val="CommentTextChar"/>
    <w:link w:val="CommentSubject"/>
    <w:semiHidden/>
    <w:rsid w:val="0076358A"/>
    <w:rPr>
      <w:rFonts w:ascii="Palatino" w:eastAsia="Times New Roman" w:hAnsi="Palatino" w:cs="Times New Roman"/>
      <w:b/>
      <w:bCs/>
      <w:sz w:val="20"/>
      <w:szCs w:val="20"/>
    </w:rPr>
  </w:style>
  <w:style w:type="paragraph" w:styleId="NormalWeb">
    <w:name w:val="Normal (Web)"/>
    <w:basedOn w:val="Normal"/>
    <w:uiPriority w:val="99"/>
    <w:semiHidden/>
    <w:unhideWhenUsed/>
    <w:rsid w:val="0076358A"/>
    <w:pPr>
      <w:spacing w:after="158"/>
    </w:pPr>
    <w:rPr>
      <w:rFonts w:ascii="Times New Roman" w:hAnsi="Times New Roman"/>
      <w:sz w:val="24"/>
      <w:szCs w:val="24"/>
    </w:rPr>
  </w:style>
  <w:style w:type="paragraph" w:customStyle="1" w:styleId="DecisionText">
    <w:name w:val="DecisionText"/>
    <w:basedOn w:val="Normal"/>
    <w:qFormat/>
    <w:rsid w:val="0076358A"/>
    <w:pPr>
      <w:spacing w:before="160" w:line="288" w:lineRule="auto"/>
    </w:pPr>
    <w:rPr>
      <w:lang w:val="en"/>
    </w:rPr>
  </w:style>
  <w:style w:type="paragraph" w:styleId="Revision">
    <w:name w:val="Revision"/>
    <w:hidden/>
    <w:uiPriority w:val="99"/>
    <w:semiHidden/>
    <w:rsid w:val="0076358A"/>
    <w:pPr>
      <w:spacing w:after="0" w:line="240" w:lineRule="auto"/>
    </w:pPr>
    <w:rPr>
      <w:rFonts w:ascii="Palatino" w:eastAsia="Times New Roman" w:hAnsi="Palatino" w:cs="Times New Roman"/>
      <w:sz w:val="26"/>
      <w:szCs w:val="20"/>
    </w:rPr>
  </w:style>
  <w:style w:type="paragraph" w:customStyle="1" w:styleId="ALJBodyText">
    <w:name w:val="ALJ Body Text"/>
    <w:basedOn w:val="Normal"/>
    <w:link w:val="ALJBodyTextChar"/>
    <w:qFormat/>
    <w:rsid w:val="0076358A"/>
    <w:pPr>
      <w:spacing w:line="360" w:lineRule="auto"/>
      <w:ind w:firstLine="720"/>
    </w:pPr>
    <w:rPr>
      <w:rFonts w:ascii="Book Antiqua" w:eastAsiaTheme="minorHAnsi" w:hAnsi="Book Antiqua"/>
    </w:rPr>
  </w:style>
  <w:style w:type="character" w:customStyle="1" w:styleId="ALJBodyTextChar">
    <w:name w:val="ALJ Body Text Char"/>
    <w:basedOn w:val="DefaultParagraphFont"/>
    <w:link w:val="ALJBodyText"/>
    <w:rsid w:val="0076358A"/>
    <w:rPr>
      <w:rFonts w:ascii="Book Antiqua" w:hAnsi="Book Antiqua" w:cs="Times New Roman"/>
      <w:sz w:val="26"/>
      <w:szCs w:val="20"/>
    </w:rPr>
  </w:style>
  <w:style w:type="paragraph" w:customStyle="1" w:styleId="FindingofFAct">
    <w:name w:val="Finding of FAct"/>
    <w:basedOn w:val="ALJBodyText"/>
    <w:qFormat/>
    <w:rsid w:val="0076358A"/>
    <w:pPr>
      <w:numPr>
        <w:numId w:val="16"/>
      </w:numPr>
      <w:tabs>
        <w:tab w:val="num" w:pos="360"/>
        <w:tab w:val="num" w:pos="4230"/>
      </w:tabs>
      <w:ind w:left="4086" w:hanging="216"/>
    </w:pPr>
  </w:style>
  <w:style w:type="paragraph" w:styleId="Caption">
    <w:name w:val="caption"/>
    <w:basedOn w:val="Normal"/>
    <w:next w:val="Normal"/>
    <w:unhideWhenUsed/>
    <w:qFormat/>
    <w:rsid w:val="0076358A"/>
    <w:pPr>
      <w:jc w:val="center"/>
    </w:pPr>
    <w:rPr>
      <w:b/>
      <w:iCs/>
      <w:color w:val="000000" w:themeColor="text1"/>
      <w:sz w:val="24"/>
      <w:szCs w:val="18"/>
    </w:rPr>
  </w:style>
  <w:style w:type="table" w:customStyle="1" w:styleId="ListTable41">
    <w:name w:val="List Table 41"/>
    <w:basedOn w:val="TableNormal"/>
    <w:uiPriority w:val="49"/>
    <w:rsid w:val="0076358A"/>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
    <w:name w:val="Grid Table 41"/>
    <w:basedOn w:val="TableNormal"/>
    <w:uiPriority w:val="49"/>
    <w:rsid w:val="0076358A"/>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Body">
    <w:name w:val="Body"/>
    <w:rsid w:val="001A2089"/>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58A"/>
    <w:pPr>
      <w:spacing w:after="0" w:line="240" w:lineRule="auto"/>
    </w:pPr>
    <w:rPr>
      <w:rFonts w:ascii="Palatino" w:eastAsia="Times New Roman" w:hAnsi="Palatino" w:cs="Times New Roman"/>
      <w:sz w:val="26"/>
      <w:szCs w:val="20"/>
    </w:rPr>
  </w:style>
  <w:style w:type="paragraph" w:styleId="Heading1">
    <w:name w:val="heading 1"/>
    <w:basedOn w:val="Normal"/>
    <w:next w:val="standard"/>
    <w:link w:val="Heading1Char"/>
    <w:qFormat/>
    <w:rsid w:val="0076358A"/>
    <w:pPr>
      <w:keepNext/>
      <w:spacing w:before="320" w:after="240"/>
      <w:outlineLvl w:val="0"/>
    </w:pPr>
    <w:rPr>
      <w:rFonts w:ascii="Palatino Linotype" w:hAnsi="Palatino Linotype"/>
      <w:b/>
      <w:caps/>
      <w:kern w:val="28"/>
      <w:u w:val="single"/>
    </w:rPr>
  </w:style>
  <w:style w:type="paragraph" w:styleId="Heading2">
    <w:name w:val="heading 2"/>
    <w:basedOn w:val="Normal"/>
    <w:next w:val="sub1"/>
    <w:link w:val="Heading2Char"/>
    <w:qFormat/>
    <w:rsid w:val="0076358A"/>
    <w:pPr>
      <w:keepNext/>
      <w:spacing w:before="120" w:after="120"/>
      <w:outlineLvl w:val="1"/>
    </w:pPr>
    <w:rPr>
      <w:rFonts w:ascii="Palatino Linotype" w:hAnsi="Palatino Linotype"/>
      <w:b/>
    </w:rPr>
  </w:style>
  <w:style w:type="paragraph" w:styleId="Heading3">
    <w:name w:val="heading 3"/>
    <w:basedOn w:val="Normal"/>
    <w:next w:val="Normal"/>
    <w:link w:val="Heading3Char"/>
    <w:qFormat/>
    <w:rsid w:val="0076358A"/>
    <w:pPr>
      <w:keepNext/>
      <w:spacing w:before="280" w:after="120"/>
      <w:outlineLvl w:val="2"/>
    </w:pPr>
    <w:rPr>
      <w:rFonts w:ascii="Palatino Linotype" w:hAnsi="Palatino Linotype"/>
      <w:b/>
    </w:rPr>
  </w:style>
  <w:style w:type="paragraph" w:styleId="Heading4">
    <w:name w:val="heading 4"/>
    <w:basedOn w:val="Heading3"/>
    <w:next w:val="Normal"/>
    <w:link w:val="Heading4Char"/>
    <w:qFormat/>
    <w:rsid w:val="0076358A"/>
    <w:pPr>
      <w:numPr>
        <w:ilvl w:val="2"/>
      </w:numPr>
      <w:ind w:left="1080"/>
      <w:outlineLvl w:val="3"/>
    </w:pPr>
  </w:style>
  <w:style w:type="paragraph" w:styleId="Heading5">
    <w:name w:val="heading 5"/>
    <w:basedOn w:val="Heading4"/>
    <w:next w:val="sub4"/>
    <w:link w:val="Heading5Char"/>
    <w:qFormat/>
    <w:rsid w:val="0076358A"/>
    <w:pPr>
      <w:numPr>
        <w:ilvl w:val="0"/>
      </w:numPr>
      <w:ind w:left="1080"/>
      <w:outlineLvl w:val="4"/>
    </w:pPr>
  </w:style>
  <w:style w:type="paragraph" w:styleId="Heading6">
    <w:name w:val="heading 6"/>
    <w:basedOn w:val="Normal"/>
    <w:next w:val="Normal"/>
    <w:link w:val="Heading6Char"/>
    <w:qFormat/>
    <w:rsid w:val="0076358A"/>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358A"/>
    <w:rPr>
      <w:rFonts w:ascii="Palatino Linotype" w:eastAsia="Times New Roman" w:hAnsi="Palatino Linotype" w:cs="Times New Roman"/>
      <w:b/>
      <w:caps/>
      <w:kern w:val="28"/>
      <w:sz w:val="26"/>
      <w:szCs w:val="20"/>
      <w:u w:val="single"/>
    </w:rPr>
  </w:style>
  <w:style w:type="character" w:customStyle="1" w:styleId="Heading2Char">
    <w:name w:val="Heading 2 Char"/>
    <w:basedOn w:val="DefaultParagraphFont"/>
    <w:link w:val="Heading2"/>
    <w:rsid w:val="0076358A"/>
    <w:rPr>
      <w:rFonts w:ascii="Palatino Linotype" w:eastAsia="Times New Roman" w:hAnsi="Palatino Linotype" w:cs="Times New Roman"/>
      <w:b/>
      <w:sz w:val="26"/>
      <w:szCs w:val="20"/>
    </w:rPr>
  </w:style>
  <w:style w:type="character" w:customStyle="1" w:styleId="Heading3Char">
    <w:name w:val="Heading 3 Char"/>
    <w:basedOn w:val="DefaultParagraphFont"/>
    <w:link w:val="Heading3"/>
    <w:rsid w:val="0076358A"/>
    <w:rPr>
      <w:rFonts w:ascii="Palatino Linotype" w:eastAsia="Times New Roman" w:hAnsi="Palatino Linotype" w:cs="Times New Roman"/>
      <w:b/>
      <w:sz w:val="26"/>
      <w:szCs w:val="20"/>
    </w:rPr>
  </w:style>
  <w:style w:type="character" w:customStyle="1" w:styleId="Heading4Char">
    <w:name w:val="Heading 4 Char"/>
    <w:basedOn w:val="DefaultParagraphFont"/>
    <w:link w:val="Heading4"/>
    <w:rsid w:val="0076358A"/>
    <w:rPr>
      <w:rFonts w:ascii="Palatino Linotype" w:eastAsia="Times New Roman" w:hAnsi="Palatino Linotype" w:cs="Times New Roman"/>
      <w:b/>
      <w:sz w:val="26"/>
      <w:szCs w:val="20"/>
    </w:rPr>
  </w:style>
  <w:style w:type="character" w:customStyle="1" w:styleId="Heading5Char">
    <w:name w:val="Heading 5 Char"/>
    <w:basedOn w:val="DefaultParagraphFont"/>
    <w:link w:val="Heading5"/>
    <w:rsid w:val="0076358A"/>
    <w:rPr>
      <w:rFonts w:ascii="Palatino Linotype" w:eastAsia="Times New Roman" w:hAnsi="Palatino Linotype" w:cs="Times New Roman"/>
      <w:b/>
      <w:sz w:val="26"/>
      <w:szCs w:val="20"/>
    </w:rPr>
  </w:style>
  <w:style w:type="character" w:customStyle="1" w:styleId="Heading6Char">
    <w:name w:val="Heading 6 Char"/>
    <w:basedOn w:val="DefaultParagraphFont"/>
    <w:link w:val="Heading6"/>
    <w:rsid w:val="0076358A"/>
    <w:rPr>
      <w:rFonts w:ascii="Palatino" w:eastAsia="Times New Roman" w:hAnsi="Palatino" w:cs="Times New Roman"/>
      <w:b/>
      <w:sz w:val="26"/>
      <w:szCs w:val="20"/>
    </w:rPr>
  </w:style>
  <w:style w:type="paragraph" w:styleId="FootnoteText">
    <w:name w:val="footnote text"/>
    <w:aliases w:val="Footnote Text Char2 Char,Footnote Text Char1 Char Char,Footnote Text Char Char Char Char,Footnote Text Char2 Char Char Char Char,Footnote Text Char1 Char1 Char1 Char Char Char"/>
    <w:basedOn w:val="Normal"/>
    <w:link w:val="FootnoteTextChar"/>
    <w:uiPriority w:val="99"/>
    <w:rsid w:val="0076358A"/>
    <w:pPr>
      <w:numPr>
        <w:numId w:val="3"/>
      </w:numPr>
      <w:tabs>
        <w:tab w:val="clear" w:pos="4230"/>
        <w:tab w:val="num" w:pos="360"/>
      </w:tabs>
      <w:spacing w:after="40"/>
      <w:ind w:left="216"/>
    </w:pPr>
    <w:rPr>
      <w:sz w:val="24"/>
    </w:rPr>
  </w:style>
  <w:style w:type="character" w:customStyle="1" w:styleId="FootnoteTextChar">
    <w:name w:val="Footnote Text Char"/>
    <w:aliases w:val="Footnote Text Char2 Char Char,Footnote Text Char1 Char Char Char,Footnote Text Char Char Char Char Char,Footnote Text Char2 Char Char Char Char Char,Footnote Text Char1 Char1 Char1 Char Char Char Char"/>
    <w:basedOn w:val="DefaultParagraphFont"/>
    <w:link w:val="FootnoteText"/>
    <w:uiPriority w:val="99"/>
    <w:rsid w:val="0076358A"/>
    <w:rPr>
      <w:rFonts w:ascii="Palatino" w:eastAsia="Times New Roman" w:hAnsi="Palatino" w:cs="Times New Roman"/>
      <w:sz w:val="24"/>
      <w:szCs w:val="20"/>
    </w:rPr>
  </w:style>
  <w:style w:type="paragraph" w:styleId="EndnoteText">
    <w:name w:val="endnote text"/>
    <w:basedOn w:val="Normal"/>
    <w:link w:val="EndnoteTextChar"/>
    <w:semiHidden/>
    <w:rsid w:val="0076358A"/>
    <w:rPr>
      <w:sz w:val="20"/>
    </w:rPr>
  </w:style>
  <w:style w:type="character" w:customStyle="1" w:styleId="EndnoteTextChar">
    <w:name w:val="Endnote Text Char"/>
    <w:basedOn w:val="DefaultParagraphFont"/>
    <w:link w:val="EndnoteText"/>
    <w:semiHidden/>
    <w:rsid w:val="0076358A"/>
    <w:rPr>
      <w:rFonts w:ascii="Palatino" w:eastAsia="Times New Roman" w:hAnsi="Palatino" w:cs="Times New Roman"/>
      <w:sz w:val="20"/>
      <w:szCs w:val="20"/>
    </w:rPr>
  </w:style>
  <w:style w:type="paragraph" w:customStyle="1" w:styleId="standard">
    <w:name w:val="standard"/>
    <w:basedOn w:val="Normal"/>
    <w:link w:val="standardChar"/>
    <w:rsid w:val="0076358A"/>
    <w:pPr>
      <w:spacing w:line="360" w:lineRule="auto"/>
      <w:ind w:firstLine="720"/>
    </w:pPr>
  </w:style>
  <w:style w:type="paragraph" w:styleId="Subtitle">
    <w:name w:val="Subtitle"/>
    <w:basedOn w:val="Normal"/>
    <w:link w:val="SubtitleChar"/>
    <w:qFormat/>
    <w:rsid w:val="0076358A"/>
    <w:pPr>
      <w:spacing w:after="60"/>
      <w:jc w:val="center"/>
    </w:pPr>
    <w:rPr>
      <w:rFonts w:ascii="Arial" w:hAnsi="Arial"/>
    </w:rPr>
  </w:style>
  <w:style w:type="character" w:customStyle="1" w:styleId="SubtitleChar">
    <w:name w:val="Subtitle Char"/>
    <w:basedOn w:val="DefaultParagraphFont"/>
    <w:link w:val="Subtitle"/>
    <w:rsid w:val="0076358A"/>
    <w:rPr>
      <w:rFonts w:ascii="Arial" w:eastAsia="Times New Roman" w:hAnsi="Arial" w:cs="Times New Roman"/>
      <w:sz w:val="26"/>
      <w:szCs w:val="20"/>
    </w:rPr>
  </w:style>
  <w:style w:type="paragraph" w:customStyle="1" w:styleId="Quote1">
    <w:name w:val="Quote1"/>
    <w:basedOn w:val="standard"/>
    <w:next w:val="standard"/>
    <w:rsid w:val="0076358A"/>
    <w:pPr>
      <w:spacing w:before="120" w:after="240" w:line="240" w:lineRule="auto"/>
      <w:ind w:left="720" w:right="720" w:firstLine="0"/>
    </w:pPr>
  </w:style>
  <w:style w:type="paragraph" w:customStyle="1" w:styleId="Style1">
    <w:name w:val="Style1"/>
    <w:basedOn w:val="1ListIndent"/>
    <w:rsid w:val="0076358A"/>
    <w:pPr>
      <w:numPr>
        <w:numId w:val="0"/>
      </w:numPr>
    </w:pPr>
  </w:style>
  <w:style w:type="paragraph" w:styleId="TOC4">
    <w:name w:val="toc 4"/>
    <w:basedOn w:val="Normal"/>
    <w:next w:val="Normal"/>
    <w:uiPriority w:val="39"/>
    <w:rsid w:val="0076358A"/>
    <w:pPr>
      <w:tabs>
        <w:tab w:val="right" w:leader="dot" w:pos="9360"/>
      </w:tabs>
      <w:ind w:left="720"/>
    </w:pPr>
  </w:style>
  <w:style w:type="paragraph" w:customStyle="1" w:styleId="main">
    <w:name w:val="main"/>
    <w:basedOn w:val="Normal"/>
    <w:rsid w:val="0076358A"/>
    <w:pPr>
      <w:jc w:val="center"/>
    </w:pPr>
    <w:rPr>
      <w:rFonts w:ascii="Helvetica" w:hAnsi="Helvetica"/>
      <w:b/>
    </w:rPr>
  </w:style>
  <w:style w:type="paragraph" w:customStyle="1" w:styleId="mainex">
    <w:name w:val="mainex"/>
    <w:basedOn w:val="main"/>
    <w:rsid w:val="0076358A"/>
    <w:pPr>
      <w:keepNext/>
    </w:pPr>
    <w:rPr>
      <w:spacing w:val="120"/>
    </w:rPr>
  </w:style>
  <w:style w:type="paragraph" w:customStyle="1" w:styleId="num1">
    <w:name w:val="num1"/>
    <w:basedOn w:val="Normal"/>
    <w:rsid w:val="0076358A"/>
    <w:pPr>
      <w:tabs>
        <w:tab w:val="left" w:pos="-720"/>
      </w:tabs>
      <w:suppressAutoHyphens/>
      <w:spacing w:after="240"/>
    </w:pPr>
  </w:style>
  <w:style w:type="paragraph" w:styleId="Header">
    <w:name w:val="header"/>
    <w:basedOn w:val="Normal"/>
    <w:link w:val="HeaderChar"/>
    <w:rsid w:val="0076358A"/>
    <w:pPr>
      <w:widowControl w:val="0"/>
      <w:tabs>
        <w:tab w:val="center" w:pos="4320"/>
        <w:tab w:val="right" w:pos="8640"/>
      </w:tabs>
    </w:pPr>
  </w:style>
  <w:style w:type="character" w:customStyle="1" w:styleId="HeaderChar">
    <w:name w:val="Header Char"/>
    <w:basedOn w:val="DefaultParagraphFont"/>
    <w:link w:val="Header"/>
    <w:rsid w:val="0076358A"/>
    <w:rPr>
      <w:rFonts w:ascii="Palatino" w:eastAsia="Times New Roman" w:hAnsi="Palatino" w:cs="Times New Roman"/>
      <w:sz w:val="26"/>
      <w:szCs w:val="20"/>
    </w:rPr>
  </w:style>
  <w:style w:type="paragraph" w:customStyle="1" w:styleId="num2">
    <w:name w:val="num2"/>
    <w:basedOn w:val="num1"/>
    <w:rsid w:val="0076358A"/>
    <w:pPr>
      <w:ind w:firstLine="270"/>
    </w:pPr>
  </w:style>
  <w:style w:type="paragraph" w:styleId="Footer">
    <w:name w:val="footer"/>
    <w:basedOn w:val="Normal"/>
    <w:link w:val="FooterChar"/>
    <w:rsid w:val="0076358A"/>
    <w:pPr>
      <w:tabs>
        <w:tab w:val="center" w:pos="4320"/>
        <w:tab w:val="right" w:pos="8640"/>
      </w:tabs>
      <w:jc w:val="center"/>
    </w:pPr>
  </w:style>
  <w:style w:type="character" w:customStyle="1" w:styleId="FooterChar">
    <w:name w:val="Footer Char"/>
    <w:basedOn w:val="DefaultParagraphFont"/>
    <w:link w:val="Footer"/>
    <w:rsid w:val="0076358A"/>
    <w:rPr>
      <w:rFonts w:ascii="Palatino" w:eastAsia="Times New Roman" w:hAnsi="Palatino" w:cs="Times New Roman"/>
      <w:sz w:val="26"/>
      <w:szCs w:val="20"/>
    </w:rPr>
  </w:style>
  <w:style w:type="paragraph" w:customStyle="1" w:styleId="sub1">
    <w:name w:val="sub1"/>
    <w:basedOn w:val="Normal"/>
    <w:rsid w:val="0076358A"/>
    <w:pPr>
      <w:spacing w:line="360" w:lineRule="auto"/>
      <w:ind w:firstLine="1440"/>
    </w:pPr>
  </w:style>
  <w:style w:type="paragraph" w:customStyle="1" w:styleId="titlebar">
    <w:name w:val="title bar"/>
    <w:basedOn w:val="main"/>
    <w:rsid w:val="0076358A"/>
    <w:pPr>
      <w:keepNext/>
      <w:suppressAutoHyphens/>
    </w:pPr>
  </w:style>
  <w:style w:type="character" w:styleId="PageNumber">
    <w:name w:val="page number"/>
    <w:basedOn w:val="DefaultParagraphFont"/>
    <w:rsid w:val="0076358A"/>
  </w:style>
  <w:style w:type="paragraph" w:customStyle="1" w:styleId="sub2">
    <w:name w:val="sub2"/>
    <w:basedOn w:val="Normal"/>
    <w:rsid w:val="0076358A"/>
    <w:pPr>
      <w:spacing w:line="360" w:lineRule="auto"/>
      <w:ind w:firstLine="2160"/>
    </w:pPr>
  </w:style>
  <w:style w:type="paragraph" w:customStyle="1" w:styleId="sub3">
    <w:name w:val="sub3"/>
    <w:basedOn w:val="Normal"/>
    <w:rsid w:val="0076358A"/>
    <w:pPr>
      <w:spacing w:line="360" w:lineRule="auto"/>
      <w:ind w:firstLine="2880"/>
    </w:pPr>
  </w:style>
  <w:style w:type="paragraph" w:customStyle="1" w:styleId="sub4">
    <w:name w:val="sub4"/>
    <w:basedOn w:val="Normal"/>
    <w:rsid w:val="0076358A"/>
    <w:pPr>
      <w:ind w:firstLine="3600"/>
    </w:pPr>
  </w:style>
  <w:style w:type="paragraph" w:customStyle="1" w:styleId="dummy">
    <w:name w:val="dummy"/>
    <w:basedOn w:val="Heading1"/>
    <w:rsid w:val="0076358A"/>
    <w:pPr>
      <w:outlineLvl w:val="9"/>
    </w:pPr>
  </w:style>
  <w:style w:type="paragraph" w:customStyle="1" w:styleId="AListIndent">
    <w:name w:val="A. List Indent"/>
    <w:basedOn w:val="1ListIndent"/>
    <w:rsid w:val="0076358A"/>
    <w:pPr>
      <w:numPr>
        <w:numId w:val="1"/>
      </w:numPr>
      <w:ind w:left="1440" w:hanging="720"/>
    </w:pPr>
  </w:style>
  <w:style w:type="character" w:styleId="EndnoteReference">
    <w:name w:val="endnote reference"/>
    <w:semiHidden/>
    <w:rsid w:val="0076358A"/>
    <w:rPr>
      <w:vertAlign w:val="superscript"/>
    </w:rPr>
  </w:style>
  <w:style w:type="paragraph" w:customStyle="1" w:styleId="1ListIndent">
    <w:name w:val="1. List Indent"/>
    <w:basedOn w:val="num2"/>
    <w:rsid w:val="0076358A"/>
    <w:pPr>
      <w:numPr>
        <w:numId w:val="2"/>
      </w:numPr>
      <w:ind w:left="1080"/>
    </w:pPr>
  </w:style>
  <w:style w:type="character" w:styleId="FootnoteReference">
    <w:name w:val="footnote reference"/>
    <w:aliases w:val="o,fr,o1,o2,o3,o4,o5,o6,o11,o21,o7,Style 3,Footnote,Style 8"/>
    <w:uiPriority w:val="99"/>
    <w:rsid w:val="0076358A"/>
    <w:rPr>
      <w:vertAlign w:val="superscript"/>
    </w:rPr>
  </w:style>
  <w:style w:type="paragraph" w:styleId="List">
    <w:name w:val="List"/>
    <w:basedOn w:val="Normal"/>
    <w:rsid w:val="0076358A"/>
    <w:pPr>
      <w:ind w:left="360" w:hanging="360"/>
    </w:pPr>
    <w:rPr>
      <w:rFonts w:ascii="Times New Roman" w:hAnsi="Times New Roman"/>
      <w:sz w:val="24"/>
    </w:rPr>
  </w:style>
  <w:style w:type="paragraph" w:customStyle="1" w:styleId="Res-Caption">
    <w:name w:val="Res-Caption"/>
    <w:basedOn w:val="Normal"/>
    <w:rsid w:val="0076358A"/>
    <w:pPr>
      <w:ind w:left="720" w:right="720"/>
    </w:pPr>
  </w:style>
  <w:style w:type="paragraph" w:customStyle="1" w:styleId="Res-TitleResolution">
    <w:name w:val="Res-Title (Resolution)"/>
    <w:basedOn w:val="main"/>
    <w:rsid w:val="0076358A"/>
  </w:style>
  <w:style w:type="paragraph" w:customStyle="1" w:styleId="ALs">
    <w:name w:val="ALs"/>
    <w:basedOn w:val="Normal"/>
    <w:rsid w:val="0076358A"/>
    <w:rPr>
      <w:rFonts w:ascii="Times New Roman" w:hAnsi="Times New Roman"/>
      <w:sz w:val="24"/>
    </w:rPr>
  </w:style>
  <w:style w:type="paragraph" w:styleId="ListParagraph">
    <w:name w:val="List Paragraph"/>
    <w:basedOn w:val="Normal"/>
    <w:uiPriority w:val="34"/>
    <w:qFormat/>
    <w:rsid w:val="0076358A"/>
    <w:pPr>
      <w:ind w:left="720"/>
      <w:contextualSpacing/>
    </w:pPr>
  </w:style>
  <w:style w:type="paragraph" w:styleId="TOCHeading">
    <w:name w:val="TOC Heading"/>
    <w:basedOn w:val="Heading1"/>
    <w:next w:val="Normal"/>
    <w:uiPriority w:val="39"/>
    <w:unhideWhenUsed/>
    <w:qFormat/>
    <w:rsid w:val="0076358A"/>
    <w:pPr>
      <w:keepLines/>
      <w:spacing w:before="480" w:after="0" w:line="276" w:lineRule="auto"/>
      <w:outlineLvl w:val="9"/>
    </w:pPr>
    <w:rPr>
      <w:rFonts w:asciiTheme="majorHAnsi" w:eastAsiaTheme="majorEastAsia" w:hAnsiTheme="majorHAnsi" w:cstheme="majorBidi"/>
      <w:bCs/>
      <w:caps w:val="0"/>
      <w:color w:val="2F5496" w:themeColor="accent1" w:themeShade="BF"/>
      <w:kern w:val="0"/>
      <w:sz w:val="28"/>
      <w:szCs w:val="28"/>
      <w:u w:val="none"/>
      <w:lang w:eastAsia="ja-JP"/>
    </w:rPr>
  </w:style>
  <w:style w:type="paragraph" w:styleId="TOC1">
    <w:name w:val="toc 1"/>
    <w:basedOn w:val="Normal"/>
    <w:next w:val="Normal"/>
    <w:autoRedefine/>
    <w:uiPriority w:val="39"/>
    <w:rsid w:val="0076358A"/>
    <w:pPr>
      <w:tabs>
        <w:tab w:val="right" w:leader="dot" w:pos="9350"/>
      </w:tabs>
    </w:pPr>
  </w:style>
  <w:style w:type="character" w:styleId="Hyperlink">
    <w:name w:val="Hyperlink"/>
    <w:basedOn w:val="DefaultParagraphFont"/>
    <w:uiPriority w:val="99"/>
    <w:unhideWhenUsed/>
    <w:rsid w:val="0076358A"/>
    <w:rPr>
      <w:color w:val="0563C1" w:themeColor="hyperlink"/>
      <w:u w:val="single"/>
    </w:rPr>
  </w:style>
  <w:style w:type="paragraph" w:styleId="BalloonText">
    <w:name w:val="Balloon Text"/>
    <w:basedOn w:val="Normal"/>
    <w:link w:val="BalloonTextChar"/>
    <w:rsid w:val="0076358A"/>
    <w:rPr>
      <w:rFonts w:ascii="Tahoma" w:hAnsi="Tahoma" w:cs="Tahoma"/>
      <w:sz w:val="16"/>
      <w:szCs w:val="16"/>
    </w:rPr>
  </w:style>
  <w:style w:type="character" w:customStyle="1" w:styleId="BalloonTextChar">
    <w:name w:val="Balloon Text Char"/>
    <w:basedOn w:val="DefaultParagraphFont"/>
    <w:link w:val="BalloonText"/>
    <w:rsid w:val="0076358A"/>
    <w:rPr>
      <w:rFonts w:ascii="Tahoma" w:eastAsia="Times New Roman" w:hAnsi="Tahoma" w:cs="Tahoma"/>
      <w:sz w:val="16"/>
      <w:szCs w:val="16"/>
    </w:rPr>
  </w:style>
  <w:style w:type="paragraph" w:customStyle="1" w:styleId="bullets">
    <w:name w:val="bullets"/>
    <w:basedOn w:val="sub1"/>
    <w:rsid w:val="0076358A"/>
    <w:pPr>
      <w:numPr>
        <w:numId w:val="8"/>
      </w:numPr>
      <w:spacing w:after="120" w:line="240" w:lineRule="auto"/>
      <w:ind w:right="720"/>
    </w:pPr>
  </w:style>
  <w:style w:type="character" w:customStyle="1" w:styleId="standardChar">
    <w:name w:val="standard Char"/>
    <w:link w:val="standard"/>
    <w:rsid w:val="0076358A"/>
    <w:rPr>
      <w:rFonts w:ascii="Palatino" w:eastAsia="Times New Roman" w:hAnsi="Palatino" w:cs="Times New Roman"/>
      <w:sz w:val="26"/>
      <w:szCs w:val="20"/>
    </w:rPr>
  </w:style>
  <w:style w:type="table" w:styleId="TableGrid">
    <w:name w:val="Table Grid"/>
    <w:basedOn w:val="TableNormal"/>
    <w:uiPriority w:val="39"/>
    <w:rsid w:val="0076358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76358A"/>
    <w:pPr>
      <w:tabs>
        <w:tab w:val="left" w:pos="720"/>
        <w:tab w:val="right" w:leader="dot" w:pos="9350"/>
      </w:tabs>
      <w:ind w:left="259"/>
    </w:pPr>
  </w:style>
  <w:style w:type="paragraph" w:styleId="TOC3">
    <w:name w:val="toc 3"/>
    <w:basedOn w:val="Normal"/>
    <w:next w:val="Normal"/>
    <w:autoRedefine/>
    <w:uiPriority w:val="39"/>
    <w:unhideWhenUsed/>
    <w:rsid w:val="0076358A"/>
    <w:pPr>
      <w:tabs>
        <w:tab w:val="right" w:leader="dot" w:pos="9350"/>
      </w:tabs>
      <w:ind w:left="518"/>
    </w:pPr>
  </w:style>
  <w:style w:type="paragraph" w:styleId="Quote">
    <w:name w:val="Quote"/>
    <w:basedOn w:val="Normal"/>
    <w:next w:val="Normal"/>
    <w:link w:val="QuoteChar"/>
    <w:uiPriority w:val="29"/>
    <w:qFormat/>
    <w:rsid w:val="0076358A"/>
    <w:pPr>
      <w:spacing w:before="160"/>
      <w:ind w:left="720" w:right="720"/>
    </w:pPr>
  </w:style>
  <w:style w:type="character" w:customStyle="1" w:styleId="QuoteChar">
    <w:name w:val="Quote Char"/>
    <w:basedOn w:val="DefaultParagraphFont"/>
    <w:link w:val="Quote"/>
    <w:uiPriority w:val="29"/>
    <w:rsid w:val="0076358A"/>
    <w:rPr>
      <w:rFonts w:ascii="Palatino" w:eastAsia="Times New Roman" w:hAnsi="Palatino" w:cs="Times New Roman"/>
      <w:sz w:val="26"/>
      <w:szCs w:val="20"/>
    </w:rPr>
  </w:style>
  <w:style w:type="character" w:customStyle="1" w:styleId="UnresolvedMention1">
    <w:name w:val="Unresolved Mention1"/>
    <w:basedOn w:val="DefaultParagraphFont"/>
    <w:uiPriority w:val="99"/>
    <w:semiHidden/>
    <w:unhideWhenUsed/>
    <w:rsid w:val="0076358A"/>
    <w:rPr>
      <w:color w:val="808080"/>
      <w:shd w:val="clear" w:color="auto" w:fill="E6E6E6"/>
    </w:rPr>
  </w:style>
  <w:style w:type="character" w:customStyle="1" w:styleId="label6">
    <w:name w:val="label6"/>
    <w:basedOn w:val="DefaultParagraphFont"/>
    <w:rsid w:val="0076358A"/>
    <w:rPr>
      <w:b/>
      <w:bCs/>
      <w:vanish w:val="0"/>
      <w:webHidden w:val="0"/>
      <w:color w:val="FFFFFF"/>
      <w:sz w:val="18"/>
      <w:szCs w:val="18"/>
      <w:vertAlign w:val="baseline"/>
      <w:specVanish w:val="0"/>
    </w:rPr>
  </w:style>
  <w:style w:type="paragraph" w:customStyle="1" w:styleId="Default">
    <w:name w:val="Default"/>
    <w:rsid w:val="0076358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ForumNotes">
    <w:name w:val="Forum Notes"/>
    <w:basedOn w:val="Normal"/>
    <w:link w:val="ForumNotesChar"/>
    <w:qFormat/>
    <w:rsid w:val="0076358A"/>
    <w:rPr>
      <w:rFonts w:ascii="Arial" w:hAnsi="Arial"/>
      <w:i/>
      <w:color w:val="669900"/>
    </w:rPr>
  </w:style>
  <w:style w:type="character" w:customStyle="1" w:styleId="ForumNotesChar">
    <w:name w:val="Forum Notes Char"/>
    <w:basedOn w:val="DefaultParagraphFont"/>
    <w:link w:val="ForumNotes"/>
    <w:rsid w:val="0076358A"/>
    <w:rPr>
      <w:rFonts w:ascii="Arial" w:eastAsia="Times New Roman" w:hAnsi="Arial" w:cs="Times New Roman"/>
      <w:i/>
      <w:color w:val="669900"/>
      <w:sz w:val="26"/>
      <w:szCs w:val="20"/>
    </w:rPr>
  </w:style>
  <w:style w:type="character" w:styleId="FollowedHyperlink">
    <w:name w:val="FollowedHyperlink"/>
    <w:basedOn w:val="DefaultParagraphFont"/>
    <w:semiHidden/>
    <w:unhideWhenUsed/>
    <w:rsid w:val="0076358A"/>
    <w:rPr>
      <w:color w:val="954F72" w:themeColor="followedHyperlink"/>
      <w:u w:val="single"/>
    </w:rPr>
  </w:style>
  <w:style w:type="character" w:styleId="CommentReference">
    <w:name w:val="annotation reference"/>
    <w:basedOn w:val="DefaultParagraphFont"/>
    <w:semiHidden/>
    <w:unhideWhenUsed/>
    <w:rsid w:val="0076358A"/>
    <w:rPr>
      <w:sz w:val="16"/>
      <w:szCs w:val="16"/>
    </w:rPr>
  </w:style>
  <w:style w:type="paragraph" w:styleId="CommentText">
    <w:name w:val="annotation text"/>
    <w:basedOn w:val="Normal"/>
    <w:link w:val="CommentTextChar"/>
    <w:unhideWhenUsed/>
    <w:rsid w:val="0076358A"/>
    <w:rPr>
      <w:sz w:val="20"/>
    </w:rPr>
  </w:style>
  <w:style w:type="character" w:customStyle="1" w:styleId="CommentTextChar">
    <w:name w:val="Comment Text Char"/>
    <w:basedOn w:val="DefaultParagraphFont"/>
    <w:link w:val="CommentText"/>
    <w:rsid w:val="0076358A"/>
    <w:rPr>
      <w:rFonts w:ascii="Palatino" w:eastAsia="Times New Roman" w:hAnsi="Palatino" w:cs="Times New Roman"/>
      <w:sz w:val="20"/>
      <w:szCs w:val="20"/>
    </w:rPr>
  </w:style>
  <w:style w:type="paragraph" w:styleId="CommentSubject">
    <w:name w:val="annotation subject"/>
    <w:basedOn w:val="CommentText"/>
    <w:next w:val="CommentText"/>
    <w:link w:val="CommentSubjectChar"/>
    <w:semiHidden/>
    <w:unhideWhenUsed/>
    <w:rsid w:val="0076358A"/>
    <w:rPr>
      <w:b/>
      <w:bCs/>
    </w:rPr>
  </w:style>
  <w:style w:type="character" w:customStyle="1" w:styleId="CommentSubjectChar">
    <w:name w:val="Comment Subject Char"/>
    <w:basedOn w:val="CommentTextChar"/>
    <w:link w:val="CommentSubject"/>
    <w:semiHidden/>
    <w:rsid w:val="0076358A"/>
    <w:rPr>
      <w:rFonts w:ascii="Palatino" w:eastAsia="Times New Roman" w:hAnsi="Palatino" w:cs="Times New Roman"/>
      <w:b/>
      <w:bCs/>
      <w:sz w:val="20"/>
      <w:szCs w:val="20"/>
    </w:rPr>
  </w:style>
  <w:style w:type="paragraph" w:styleId="NormalWeb">
    <w:name w:val="Normal (Web)"/>
    <w:basedOn w:val="Normal"/>
    <w:uiPriority w:val="99"/>
    <w:semiHidden/>
    <w:unhideWhenUsed/>
    <w:rsid w:val="0076358A"/>
    <w:pPr>
      <w:spacing w:after="158"/>
    </w:pPr>
    <w:rPr>
      <w:rFonts w:ascii="Times New Roman" w:hAnsi="Times New Roman"/>
      <w:sz w:val="24"/>
      <w:szCs w:val="24"/>
    </w:rPr>
  </w:style>
  <w:style w:type="paragraph" w:customStyle="1" w:styleId="DecisionText">
    <w:name w:val="DecisionText"/>
    <w:basedOn w:val="Normal"/>
    <w:qFormat/>
    <w:rsid w:val="0076358A"/>
    <w:pPr>
      <w:spacing w:before="160" w:line="288" w:lineRule="auto"/>
    </w:pPr>
    <w:rPr>
      <w:lang w:val="en"/>
    </w:rPr>
  </w:style>
  <w:style w:type="paragraph" w:styleId="Revision">
    <w:name w:val="Revision"/>
    <w:hidden/>
    <w:uiPriority w:val="99"/>
    <w:semiHidden/>
    <w:rsid w:val="0076358A"/>
    <w:pPr>
      <w:spacing w:after="0" w:line="240" w:lineRule="auto"/>
    </w:pPr>
    <w:rPr>
      <w:rFonts w:ascii="Palatino" w:eastAsia="Times New Roman" w:hAnsi="Palatino" w:cs="Times New Roman"/>
      <w:sz w:val="26"/>
      <w:szCs w:val="20"/>
    </w:rPr>
  </w:style>
  <w:style w:type="paragraph" w:customStyle="1" w:styleId="ALJBodyText">
    <w:name w:val="ALJ Body Text"/>
    <w:basedOn w:val="Normal"/>
    <w:link w:val="ALJBodyTextChar"/>
    <w:qFormat/>
    <w:rsid w:val="0076358A"/>
    <w:pPr>
      <w:spacing w:line="360" w:lineRule="auto"/>
      <w:ind w:firstLine="720"/>
    </w:pPr>
    <w:rPr>
      <w:rFonts w:ascii="Book Antiqua" w:eastAsiaTheme="minorHAnsi" w:hAnsi="Book Antiqua"/>
    </w:rPr>
  </w:style>
  <w:style w:type="character" w:customStyle="1" w:styleId="ALJBodyTextChar">
    <w:name w:val="ALJ Body Text Char"/>
    <w:basedOn w:val="DefaultParagraphFont"/>
    <w:link w:val="ALJBodyText"/>
    <w:rsid w:val="0076358A"/>
    <w:rPr>
      <w:rFonts w:ascii="Book Antiqua" w:hAnsi="Book Antiqua" w:cs="Times New Roman"/>
      <w:sz w:val="26"/>
      <w:szCs w:val="20"/>
    </w:rPr>
  </w:style>
  <w:style w:type="paragraph" w:customStyle="1" w:styleId="FindingofFAct">
    <w:name w:val="Finding of FAct"/>
    <w:basedOn w:val="ALJBodyText"/>
    <w:qFormat/>
    <w:rsid w:val="0076358A"/>
    <w:pPr>
      <w:numPr>
        <w:numId w:val="16"/>
      </w:numPr>
      <w:tabs>
        <w:tab w:val="num" w:pos="360"/>
        <w:tab w:val="num" w:pos="4230"/>
      </w:tabs>
      <w:ind w:left="4086" w:hanging="216"/>
    </w:pPr>
  </w:style>
  <w:style w:type="paragraph" w:styleId="Caption">
    <w:name w:val="caption"/>
    <w:basedOn w:val="Normal"/>
    <w:next w:val="Normal"/>
    <w:unhideWhenUsed/>
    <w:qFormat/>
    <w:rsid w:val="0076358A"/>
    <w:pPr>
      <w:jc w:val="center"/>
    </w:pPr>
    <w:rPr>
      <w:b/>
      <w:iCs/>
      <w:color w:val="000000" w:themeColor="text1"/>
      <w:sz w:val="24"/>
      <w:szCs w:val="18"/>
    </w:rPr>
  </w:style>
  <w:style w:type="table" w:customStyle="1" w:styleId="ListTable41">
    <w:name w:val="List Table 41"/>
    <w:basedOn w:val="TableNormal"/>
    <w:uiPriority w:val="49"/>
    <w:rsid w:val="0076358A"/>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
    <w:name w:val="Grid Table 41"/>
    <w:basedOn w:val="TableNormal"/>
    <w:uiPriority w:val="49"/>
    <w:rsid w:val="0076358A"/>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Body">
    <w:name w:val="Body"/>
    <w:rsid w:val="001A2089"/>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946374">
      <w:bodyDiv w:val="1"/>
      <w:marLeft w:val="0"/>
      <w:marRight w:val="0"/>
      <w:marTop w:val="0"/>
      <w:marBottom w:val="0"/>
      <w:divBdr>
        <w:top w:val="none" w:sz="0" w:space="0" w:color="auto"/>
        <w:left w:val="none" w:sz="0" w:space="0" w:color="auto"/>
        <w:bottom w:val="none" w:sz="0" w:space="0" w:color="auto"/>
        <w:right w:val="none" w:sz="0" w:space="0" w:color="auto"/>
      </w:divBdr>
    </w:div>
    <w:div w:id="950863925">
      <w:bodyDiv w:val="1"/>
      <w:marLeft w:val="0"/>
      <w:marRight w:val="0"/>
      <w:marTop w:val="0"/>
      <w:marBottom w:val="0"/>
      <w:divBdr>
        <w:top w:val="none" w:sz="0" w:space="0" w:color="auto"/>
        <w:left w:val="none" w:sz="0" w:space="0" w:color="auto"/>
        <w:bottom w:val="none" w:sz="0" w:space="0" w:color="auto"/>
        <w:right w:val="none" w:sz="0" w:space="0" w:color="auto"/>
      </w:divBdr>
    </w:div>
    <w:div w:id="1440025677">
      <w:bodyDiv w:val="1"/>
      <w:marLeft w:val="0"/>
      <w:marRight w:val="0"/>
      <w:marTop w:val="0"/>
      <w:marBottom w:val="0"/>
      <w:divBdr>
        <w:top w:val="none" w:sz="0" w:space="0" w:color="auto"/>
        <w:left w:val="none" w:sz="0" w:space="0" w:color="auto"/>
        <w:bottom w:val="none" w:sz="0" w:space="0" w:color="auto"/>
        <w:right w:val="none" w:sz="0" w:space="0" w:color="auto"/>
      </w:divBdr>
    </w:div>
    <w:div w:id="1659311688">
      <w:bodyDiv w:val="1"/>
      <w:marLeft w:val="0"/>
      <w:marRight w:val="0"/>
      <w:marTop w:val="0"/>
      <w:marBottom w:val="0"/>
      <w:divBdr>
        <w:top w:val="none" w:sz="0" w:space="0" w:color="auto"/>
        <w:left w:val="none" w:sz="0" w:space="0" w:color="auto"/>
        <w:bottom w:val="none" w:sz="0" w:space="0" w:color="auto"/>
        <w:right w:val="none" w:sz="0" w:space="0" w:color="auto"/>
      </w:divBdr>
    </w:div>
    <w:div w:id="1776293483">
      <w:bodyDiv w:val="1"/>
      <w:marLeft w:val="0"/>
      <w:marRight w:val="0"/>
      <w:marTop w:val="0"/>
      <w:marBottom w:val="0"/>
      <w:divBdr>
        <w:top w:val="none" w:sz="0" w:space="0" w:color="auto"/>
        <w:left w:val="none" w:sz="0" w:space="0" w:color="auto"/>
        <w:bottom w:val="none" w:sz="0" w:space="0" w:color="auto"/>
        <w:right w:val="none" w:sz="0" w:space="0" w:color="auto"/>
      </w:divBdr>
    </w:div>
    <w:div w:id="1795756869">
      <w:bodyDiv w:val="1"/>
      <w:marLeft w:val="0"/>
      <w:marRight w:val="0"/>
      <w:marTop w:val="0"/>
      <w:marBottom w:val="0"/>
      <w:divBdr>
        <w:top w:val="none" w:sz="0" w:space="0" w:color="auto"/>
        <w:left w:val="none" w:sz="0" w:space="0" w:color="auto"/>
        <w:bottom w:val="none" w:sz="0" w:space="0" w:color="auto"/>
        <w:right w:val="none" w:sz="0" w:space="0" w:color="auto"/>
      </w:divBdr>
    </w:div>
    <w:div w:id="190074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dge.com/ctts"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pge.com/tariffs/assets/pdf/adviceletter/ELEC_5288-E.pdf" TargetMode="External"/><Relationship Id="rId2" Type="http://schemas.openxmlformats.org/officeDocument/2006/relationships/hyperlink" Target="http://regarchive.sdge.com/tm2/pdf/3214-E.pdf" TargetMode="External"/><Relationship Id="rId1" Type="http://schemas.openxmlformats.org/officeDocument/2006/relationships/hyperlink" Target="https://leginfo.legislature.ca.gov/faces/billTextClient.xhtml?bill_id=201720180SB840" TargetMode="External"/><Relationship Id="rId6" Type="http://schemas.openxmlformats.org/officeDocument/2006/relationships/hyperlink" Target="http://www.sce.com/NR/sc3/tm2/pdf/ce370.pdf" TargetMode="External"/><Relationship Id="rId5" Type="http://schemas.openxmlformats.org/officeDocument/2006/relationships/hyperlink" Target="https://www.renewableenergyworld.com/articles/2017/10/community-solar-california-s-shared-renewables-at-a-crossroads.html" TargetMode="External"/><Relationship Id="rId4" Type="http://schemas.openxmlformats.org/officeDocument/2006/relationships/hyperlink" Target="https://cs.cpuc.ca.gov/otcsdav/nodes/313044780/a-rough-start-possible-reforms-for-californias-community-solar-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DDEF22-E23E-42E0-8F88-17757C2C1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14914</Words>
  <Characters>85010</Characters>
  <Application>Microsoft Office Word</Application>
  <DocSecurity>0</DocSecurity>
  <Lines>708</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2019-08-07T18:49:00Z</cp:lastPrinted>
  <dcterms:created xsi:type="dcterms:W3CDTF">2019-09-30T11:06:00Z</dcterms:created>
  <dcterms:modified xsi:type="dcterms:W3CDTF">2019-09-30T18:06:00Z</dcterms:modified>
</cp:coreProperties>
</file>