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8ABFA" w14:textId="011B8082" w:rsidR="00C0080E" w:rsidRDefault="001164FC" w:rsidP="00301A6B">
      <w:pPr>
        <w:tabs>
          <w:tab w:val="center" w:pos="4320"/>
          <w:tab w:val="right" w:pos="9360"/>
        </w:tabs>
      </w:pPr>
      <w:bookmarkStart w:id="0" w:name="_GoBack"/>
      <w:bookmarkEnd w:id="0"/>
      <w:r>
        <w:t>ALJ</w:t>
      </w:r>
      <w:r w:rsidR="00C0080E">
        <w:t>/</w:t>
      </w:r>
      <w:r>
        <w:t>AA6/mph</w:t>
      </w:r>
      <w:r w:rsidR="00C0080E">
        <w:tab/>
      </w:r>
      <w:r w:rsidR="00C0080E" w:rsidRPr="00C0080E">
        <w:rPr>
          <w:rFonts w:ascii="Arial" w:hAnsi="Arial" w:cs="Arial"/>
          <w:b/>
          <w:sz w:val="32"/>
          <w:szCs w:val="32"/>
        </w:rPr>
        <w:t>PROPOSED DECISION</w:t>
      </w:r>
      <w:r w:rsidR="00C0080E">
        <w:tab/>
      </w:r>
      <w:r w:rsidR="00C0080E" w:rsidRPr="00784D44">
        <w:rPr>
          <w:b/>
          <w:bCs/>
        </w:rPr>
        <w:t>Agenda ID #</w:t>
      </w:r>
      <w:r w:rsidR="00784D44" w:rsidRPr="00784D44">
        <w:rPr>
          <w:b/>
          <w:bCs/>
        </w:rPr>
        <w:t>17649</w:t>
      </w:r>
      <w:r w:rsidR="00301A6B">
        <w:rPr>
          <w:b/>
          <w:bCs/>
        </w:rPr>
        <w:t xml:space="preserve"> (REV. 1)</w:t>
      </w:r>
    </w:p>
    <w:p w14:paraId="5D0A78B9" w14:textId="4C0FCF80" w:rsidR="00C0080E" w:rsidRPr="000105A3" w:rsidRDefault="001164FC" w:rsidP="00D860EE">
      <w:pPr>
        <w:jc w:val="right"/>
        <w:rPr>
          <w:b/>
          <w:bCs/>
        </w:rPr>
      </w:pPr>
      <w:r w:rsidRPr="000105A3">
        <w:rPr>
          <w:b/>
          <w:bCs/>
        </w:rPr>
        <w:t>Ratesetting</w:t>
      </w:r>
    </w:p>
    <w:p w14:paraId="15985139" w14:textId="672CACFE" w:rsidR="006924ED" w:rsidRPr="000105A3" w:rsidRDefault="00F50934" w:rsidP="00D860EE">
      <w:pPr>
        <w:jc w:val="right"/>
        <w:rPr>
          <w:b/>
          <w:bCs/>
        </w:rPr>
      </w:pPr>
      <w:r>
        <w:rPr>
          <w:b/>
          <w:bCs/>
        </w:rPr>
        <w:t>10/</w:t>
      </w:r>
      <w:r w:rsidR="0002088B">
        <w:rPr>
          <w:b/>
          <w:bCs/>
        </w:rPr>
        <w:t>24</w:t>
      </w:r>
      <w:r>
        <w:rPr>
          <w:b/>
          <w:bCs/>
        </w:rPr>
        <w:t>/2019 Item #</w:t>
      </w:r>
      <w:r w:rsidR="0002088B">
        <w:rPr>
          <w:b/>
          <w:bCs/>
        </w:rPr>
        <w:t>5</w:t>
      </w:r>
    </w:p>
    <w:p w14:paraId="1383138C" w14:textId="2691A299" w:rsidR="00F75F43" w:rsidRDefault="00F75F43" w:rsidP="00D860EE">
      <w:pPr>
        <w:jc w:val="right"/>
      </w:pPr>
    </w:p>
    <w:p w14:paraId="3C179F06" w14:textId="77777777" w:rsidR="00F75F43" w:rsidRDefault="00F75F43" w:rsidP="00D860EE">
      <w:pPr>
        <w:jc w:val="right"/>
      </w:pPr>
    </w:p>
    <w:p w14:paraId="75C6486A" w14:textId="052B9C9F" w:rsidR="00C0080E" w:rsidRDefault="00C0080E" w:rsidP="00E25554">
      <w:r>
        <w:t xml:space="preserve">Decision </w:t>
      </w:r>
      <w:r w:rsidR="00971A9D" w:rsidRPr="00971A9D">
        <w:rPr>
          <w:b/>
          <w:bCs/>
          <w:u w:val="single"/>
        </w:rPr>
        <w:t>PROPOSED DECISION OF ALJ AYOADE</w:t>
      </w:r>
      <w:r w:rsidR="00971A9D" w:rsidRPr="00971A9D">
        <w:rPr>
          <w:b/>
          <w:bCs/>
        </w:rPr>
        <w:t xml:space="preserve"> (Mailed </w:t>
      </w:r>
      <w:r w:rsidR="00784D44">
        <w:rPr>
          <w:b/>
          <w:bCs/>
        </w:rPr>
        <w:t>8/12/2019</w:t>
      </w:r>
      <w:r w:rsidR="00971A9D" w:rsidRPr="00971A9D">
        <w:rPr>
          <w:b/>
          <w:bCs/>
        </w:rPr>
        <w:t>)</w:t>
      </w:r>
    </w:p>
    <w:p w14:paraId="52D50A56" w14:textId="77777777" w:rsidR="00C0080E" w:rsidRDefault="00C0080E" w:rsidP="00E25554"/>
    <w:p w14:paraId="51FA5A96" w14:textId="77777777" w:rsidR="00E25554" w:rsidRPr="00BC79F1" w:rsidRDefault="00E25554" w:rsidP="00BC79F1">
      <w:pPr>
        <w:keepNext/>
        <w:jc w:val="center"/>
        <w:rPr>
          <w:rFonts w:ascii="Arial" w:hAnsi="Arial" w:cs="Arial"/>
          <w:b/>
          <w:bCs/>
          <w:spacing w:val="-8"/>
          <w:szCs w:val="26"/>
        </w:rPr>
      </w:pPr>
      <w:r w:rsidRPr="00D860EE">
        <w:rPr>
          <w:rFonts w:ascii="Arial" w:hAnsi="Arial" w:cs="Arial"/>
          <w:b/>
          <w:bCs/>
          <w:spacing w:val="-8"/>
          <w:szCs w:val="26"/>
        </w:rPr>
        <w:t>BEFORE THE PUBLIC UTILITIES COMMISSION OF THE STATE OF CALIFORNIA</w:t>
      </w:r>
    </w:p>
    <w:p w14:paraId="0C720210" w14:textId="77777777" w:rsidR="00E25554" w:rsidRDefault="00E25554" w:rsidP="00E25554">
      <w:pPr>
        <w:suppressAutoHyphens/>
        <w:jc w:val="center"/>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4680"/>
        <w:gridCol w:w="4680"/>
      </w:tblGrid>
      <w:tr w:rsidR="00E25554" w14:paraId="08F64D69" w14:textId="77777777" w:rsidTr="001164FC">
        <w:tc>
          <w:tcPr>
            <w:tcW w:w="4680" w:type="dxa"/>
            <w:tcBorders>
              <w:bottom w:val="single" w:sz="4" w:space="0" w:color="auto"/>
              <w:right w:val="single" w:sz="4" w:space="0" w:color="auto"/>
            </w:tcBorders>
          </w:tcPr>
          <w:p w14:paraId="0CC5E3ED" w14:textId="77777777" w:rsidR="00BC79F1" w:rsidRDefault="00BC79F1" w:rsidP="00BC79F1">
            <w:pPr>
              <w:pStyle w:val="ALJBodyText"/>
              <w:spacing w:line="240" w:lineRule="auto"/>
              <w:ind w:firstLine="0"/>
            </w:pPr>
          </w:p>
          <w:p w14:paraId="1EC5B2D9" w14:textId="77777777" w:rsidR="001164FC" w:rsidRPr="000578C8" w:rsidRDefault="001164FC" w:rsidP="001164FC">
            <w:pPr>
              <w:autoSpaceDE w:val="0"/>
              <w:autoSpaceDN w:val="0"/>
              <w:adjustRightInd w:val="0"/>
              <w:rPr>
                <w:rFonts w:cs="TimesNewRoman"/>
                <w:szCs w:val="26"/>
              </w:rPr>
            </w:pPr>
            <w:r w:rsidRPr="000578C8">
              <w:rPr>
                <w:rFonts w:cs="TimesNewRoman"/>
                <w:szCs w:val="26"/>
              </w:rPr>
              <w:t>Application of Pacific Gas and Electric</w:t>
            </w:r>
          </w:p>
          <w:p w14:paraId="216AE7B4" w14:textId="77777777" w:rsidR="001164FC" w:rsidRDefault="001164FC" w:rsidP="001164FC">
            <w:pPr>
              <w:pStyle w:val="ALJBodyText"/>
              <w:spacing w:line="240" w:lineRule="auto"/>
              <w:ind w:firstLine="0"/>
            </w:pPr>
            <w:r w:rsidRPr="000578C8">
              <w:rPr>
                <w:rFonts w:cs="TimesNewRoman"/>
                <w:szCs w:val="26"/>
              </w:rPr>
              <w:t>Company to Revise its Gas Rates and Tariffs to be Effective October 1, 2018.  (U39G)</w:t>
            </w:r>
            <w:r w:rsidRPr="000578C8">
              <w:rPr>
                <w:szCs w:val="26"/>
              </w:rPr>
              <w:t>.</w:t>
            </w:r>
          </w:p>
          <w:p w14:paraId="1D47B910" w14:textId="77777777" w:rsidR="00C0080E" w:rsidRDefault="00C0080E" w:rsidP="00BC79F1">
            <w:pPr>
              <w:pStyle w:val="ALJBodyText"/>
              <w:spacing w:line="240" w:lineRule="auto"/>
              <w:ind w:firstLine="0"/>
            </w:pPr>
          </w:p>
        </w:tc>
        <w:tc>
          <w:tcPr>
            <w:tcW w:w="4680" w:type="dxa"/>
            <w:tcBorders>
              <w:left w:val="single" w:sz="4" w:space="0" w:color="auto"/>
              <w:bottom w:val="nil"/>
            </w:tcBorders>
          </w:tcPr>
          <w:p w14:paraId="63935807" w14:textId="77777777" w:rsidR="00E25554" w:rsidRDefault="00E25554" w:rsidP="00BC79F1">
            <w:pPr>
              <w:pStyle w:val="ALJBodyText"/>
              <w:spacing w:line="240" w:lineRule="auto"/>
              <w:ind w:firstLine="0"/>
            </w:pPr>
          </w:p>
          <w:p w14:paraId="26A4EDBF" w14:textId="77777777" w:rsidR="00C0080E" w:rsidRDefault="001164FC" w:rsidP="00BC79F1">
            <w:pPr>
              <w:pStyle w:val="ALJBodyText"/>
              <w:spacing w:line="240" w:lineRule="auto"/>
              <w:ind w:firstLine="0"/>
              <w:jc w:val="center"/>
            </w:pPr>
            <w:r w:rsidRPr="000578C8">
              <w:rPr>
                <w:szCs w:val="26"/>
              </w:rPr>
              <w:t>Application 17-09-006</w:t>
            </w:r>
          </w:p>
          <w:p w14:paraId="20416CC4" w14:textId="77777777" w:rsidR="001164FC" w:rsidRDefault="001164FC" w:rsidP="00BC79F1">
            <w:pPr>
              <w:pStyle w:val="ALJBodyText"/>
              <w:spacing w:line="240" w:lineRule="auto"/>
              <w:ind w:firstLine="0"/>
              <w:jc w:val="center"/>
            </w:pPr>
          </w:p>
        </w:tc>
      </w:tr>
    </w:tbl>
    <w:p w14:paraId="6C045D14" w14:textId="77777777" w:rsidR="00C0080E" w:rsidRDefault="00C0080E" w:rsidP="008F5856">
      <w:pPr>
        <w:pStyle w:val="ALJBodyText"/>
      </w:pPr>
    </w:p>
    <w:p w14:paraId="7E73C159" w14:textId="77777777" w:rsidR="001164FC" w:rsidRPr="000578C8" w:rsidRDefault="001164FC" w:rsidP="001164FC">
      <w:pPr>
        <w:jc w:val="center"/>
        <w:rPr>
          <w:rFonts w:ascii="Helvetica" w:hAnsi="Helvetica" w:cs="Helvetica"/>
          <w:b/>
          <w:szCs w:val="26"/>
        </w:rPr>
      </w:pPr>
      <w:bookmarkStart w:id="1" w:name="_Toc400872424"/>
      <w:r w:rsidRPr="000578C8">
        <w:rPr>
          <w:rFonts w:ascii="Helvetica" w:hAnsi="Helvetica" w:cs="Helvetica"/>
          <w:b/>
          <w:szCs w:val="26"/>
        </w:rPr>
        <w:t>DECISION APPROVING PACIFIC GAS AND ELECTRIC COMPANY’S APPLICATION TO REVISE ITS GAS RATES AND TARIFFS EFFECTIVE OCTOBER 1, 2018</w:t>
      </w:r>
    </w:p>
    <w:bookmarkEnd w:id="1"/>
    <w:p w14:paraId="39CD618D" w14:textId="77777777" w:rsidR="00F10CDE" w:rsidRDefault="00F10CDE" w:rsidP="00D648ED">
      <w:pPr>
        <w:pStyle w:val="ALJTitle"/>
        <w:sectPr w:rsidR="00F10CDE" w:rsidSect="008F5856">
          <w:headerReference w:type="default" r:id="rId12"/>
          <w:footerReference w:type="default" r:id="rId13"/>
          <w:footerReference w:type="first" r:id="rId14"/>
          <w:pgSz w:w="12240" w:h="15840" w:code="1"/>
          <w:pgMar w:top="1440" w:right="1440" w:bottom="1440" w:left="1440" w:header="720" w:footer="720" w:gutter="0"/>
          <w:cols w:space="720"/>
          <w:titlePg/>
          <w:docGrid w:linePitch="360"/>
        </w:sectPr>
      </w:pPr>
    </w:p>
    <w:p w14:paraId="17243F8F" w14:textId="77777777" w:rsidR="00E368A2" w:rsidRDefault="001215AD" w:rsidP="00423132">
      <w:pPr>
        <w:pStyle w:val="ALJTitle"/>
        <w:spacing w:after="120"/>
      </w:pPr>
      <w:bookmarkStart w:id="2" w:name="_Toc20144529"/>
      <w:r>
        <w:lastRenderedPageBreak/>
        <w:t>Table of Contents</w:t>
      </w:r>
      <w:bookmarkEnd w:id="2"/>
    </w:p>
    <w:p w14:paraId="64A7028D" w14:textId="77777777" w:rsidR="00801FEC" w:rsidRDefault="00801FEC" w:rsidP="00423132">
      <w:pPr>
        <w:pStyle w:val="ALJBodyText"/>
        <w:spacing w:after="120" w:line="240" w:lineRule="auto"/>
        <w:ind w:firstLine="0"/>
      </w:pPr>
      <w:r w:rsidRPr="00801FEC">
        <w:rPr>
          <w:b/>
          <w:bCs/>
        </w:rPr>
        <w:t>Title</w:t>
      </w:r>
      <w:r>
        <w:tab/>
      </w:r>
      <w:r>
        <w:tab/>
      </w:r>
      <w:r>
        <w:tab/>
      </w:r>
      <w:r>
        <w:tab/>
      </w:r>
      <w:r>
        <w:tab/>
      </w:r>
      <w:r>
        <w:tab/>
      </w:r>
      <w:r>
        <w:tab/>
      </w:r>
      <w:r>
        <w:tab/>
      </w:r>
      <w:r>
        <w:tab/>
      </w:r>
      <w:r>
        <w:tab/>
      </w:r>
      <w:r>
        <w:tab/>
      </w:r>
      <w:r>
        <w:tab/>
      </w:r>
      <w:r w:rsidRPr="00801FEC">
        <w:rPr>
          <w:b/>
          <w:bCs/>
        </w:rPr>
        <w:t>Page</w:t>
      </w:r>
    </w:p>
    <w:p w14:paraId="44124D8A" w14:textId="6333BE42" w:rsidR="00423132" w:rsidRDefault="00B42435" w:rsidP="00423132">
      <w:pPr>
        <w:pStyle w:val="TOC1"/>
        <w:tabs>
          <w:tab w:val="right" w:leader="dot" w:pos="9350"/>
        </w:tabs>
        <w:spacing w:after="120"/>
        <w:rPr>
          <w:rFonts w:asciiTheme="minorHAnsi" w:eastAsiaTheme="minorEastAsia" w:hAnsiTheme="minorHAnsi" w:cstheme="minorBidi"/>
          <w:noProof/>
          <w:sz w:val="22"/>
          <w:szCs w:val="22"/>
        </w:rPr>
      </w:pPr>
      <w:r>
        <w:fldChar w:fldCharType="begin"/>
      </w:r>
      <w:r w:rsidR="00370456">
        <w:instrText xml:space="preserve"> TOC \h \z \t "Heading 1,1,Heading 2,2,Heading 3,3,Heading 4,4,ALJ Title,1,mainex,1,Pleading1_L1,1,Pleading1_L2,2,Pleading1_L3,3,Pleading1_L4,4,dummy,1" </w:instrText>
      </w:r>
      <w:r>
        <w:fldChar w:fldCharType="separate"/>
      </w:r>
      <w:hyperlink w:anchor="_Toc20144529" w:history="1">
        <w:r w:rsidR="00423132" w:rsidRPr="009062B5">
          <w:rPr>
            <w:rStyle w:val="Hyperlink"/>
            <w:noProof/>
          </w:rPr>
          <w:t>Table of Contents</w:t>
        </w:r>
        <w:r w:rsidR="00423132">
          <w:rPr>
            <w:noProof/>
            <w:webHidden/>
          </w:rPr>
          <w:tab/>
        </w:r>
        <w:r w:rsidR="00423132">
          <w:rPr>
            <w:noProof/>
            <w:webHidden/>
          </w:rPr>
          <w:fldChar w:fldCharType="begin"/>
        </w:r>
        <w:r w:rsidR="00423132">
          <w:rPr>
            <w:noProof/>
            <w:webHidden/>
          </w:rPr>
          <w:instrText xml:space="preserve"> PAGEREF _Toc20144529 \h </w:instrText>
        </w:r>
        <w:r w:rsidR="00423132">
          <w:rPr>
            <w:noProof/>
            <w:webHidden/>
          </w:rPr>
        </w:r>
        <w:r w:rsidR="00423132">
          <w:rPr>
            <w:noProof/>
            <w:webHidden/>
          </w:rPr>
          <w:fldChar w:fldCharType="separate"/>
        </w:r>
        <w:r w:rsidR="0077278C">
          <w:rPr>
            <w:noProof/>
            <w:webHidden/>
          </w:rPr>
          <w:t>i</w:t>
        </w:r>
        <w:r w:rsidR="00423132">
          <w:rPr>
            <w:noProof/>
            <w:webHidden/>
          </w:rPr>
          <w:fldChar w:fldCharType="end"/>
        </w:r>
      </w:hyperlink>
    </w:p>
    <w:p w14:paraId="0D357DE7" w14:textId="4F4E3F41" w:rsidR="00423132" w:rsidRDefault="0077278C" w:rsidP="00423132">
      <w:pPr>
        <w:pStyle w:val="TOC1"/>
        <w:tabs>
          <w:tab w:val="right" w:leader="dot" w:pos="9350"/>
        </w:tabs>
        <w:spacing w:after="120"/>
        <w:rPr>
          <w:rFonts w:asciiTheme="minorHAnsi" w:eastAsiaTheme="minorEastAsia" w:hAnsiTheme="minorHAnsi" w:cstheme="minorBidi"/>
          <w:noProof/>
          <w:sz w:val="22"/>
          <w:szCs w:val="22"/>
        </w:rPr>
      </w:pPr>
      <w:hyperlink w:anchor="_Toc20144530" w:history="1">
        <w:r w:rsidR="00423132" w:rsidRPr="009062B5">
          <w:rPr>
            <w:rStyle w:val="Hyperlink"/>
            <w:noProof/>
          </w:rPr>
          <w:t>DECISION APPROVING PACIFIC GAS AND ELECTRIC COMPANY’S APPLICATION TO REVISE ITS GAS RATES AND TARIFFS EFFECTIVE OCTOBER 1, 2018</w:t>
        </w:r>
        <w:r w:rsidR="00423132">
          <w:rPr>
            <w:noProof/>
            <w:webHidden/>
          </w:rPr>
          <w:tab/>
        </w:r>
        <w:r w:rsidR="00423132">
          <w:rPr>
            <w:noProof/>
            <w:webHidden/>
          </w:rPr>
          <w:fldChar w:fldCharType="begin"/>
        </w:r>
        <w:r w:rsidR="00423132">
          <w:rPr>
            <w:noProof/>
            <w:webHidden/>
          </w:rPr>
          <w:instrText xml:space="preserve"> PAGEREF _Toc20144530 \h </w:instrText>
        </w:r>
        <w:r w:rsidR="00423132">
          <w:rPr>
            <w:noProof/>
            <w:webHidden/>
          </w:rPr>
        </w:r>
        <w:r w:rsidR="00423132">
          <w:rPr>
            <w:noProof/>
            <w:webHidden/>
          </w:rPr>
          <w:fldChar w:fldCharType="separate"/>
        </w:r>
        <w:r>
          <w:rPr>
            <w:noProof/>
            <w:webHidden/>
          </w:rPr>
          <w:t>2</w:t>
        </w:r>
        <w:r w:rsidR="00423132">
          <w:rPr>
            <w:noProof/>
            <w:webHidden/>
          </w:rPr>
          <w:fldChar w:fldCharType="end"/>
        </w:r>
      </w:hyperlink>
    </w:p>
    <w:p w14:paraId="582BC76E" w14:textId="6F3C583D" w:rsidR="00423132" w:rsidRDefault="0077278C" w:rsidP="00423132">
      <w:pPr>
        <w:pStyle w:val="TOC1"/>
        <w:tabs>
          <w:tab w:val="right" w:leader="dot" w:pos="9350"/>
        </w:tabs>
        <w:spacing w:after="120"/>
        <w:rPr>
          <w:rFonts w:asciiTheme="minorHAnsi" w:eastAsiaTheme="minorEastAsia" w:hAnsiTheme="minorHAnsi" w:cstheme="minorBidi"/>
          <w:noProof/>
          <w:sz w:val="22"/>
          <w:szCs w:val="22"/>
        </w:rPr>
      </w:pPr>
      <w:hyperlink w:anchor="_Toc20144531" w:history="1">
        <w:r w:rsidR="00423132" w:rsidRPr="009062B5">
          <w:rPr>
            <w:rStyle w:val="Hyperlink"/>
            <w:noProof/>
          </w:rPr>
          <w:t>Summary</w:t>
        </w:r>
        <w:r w:rsidR="00423132">
          <w:rPr>
            <w:noProof/>
            <w:webHidden/>
          </w:rPr>
          <w:tab/>
        </w:r>
        <w:r w:rsidR="00423132">
          <w:rPr>
            <w:noProof/>
            <w:webHidden/>
          </w:rPr>
          <w:fldChar w:fldCharType="begin"/>
        </w:r>
        <w:r w:rsidR="00423132">
          <w:rPr>
            <w:noProof/>
            <w:webHidden/>
          </w:rPr>
          <w:instrText xml:space="preserve"> PAGEREF _Toc20144531 \h </w:instrText>
        </w:r>
        <w:r w:rsidR="00423132">
          <w:rPr>
            <w:noProof/>
            <w:webHidden/>
          </w:rPr>
        </w:r>
        <w:r w:rsidR="00423132">
          <w:rPr>
            <w:noProof/>
            <w:webHidden/>
          </w:rPr>
          <w:fldChar w:fldCharType="separate"/>
        </w:r>
        <w:r>
          <w:rPr>
            <w:noProof/>
            <w:webHidden/>
          </w:rPr>
          <w:t>2</w:t>
        </w:r>
        <w:r w:rsidR="00423132">
          <w:rPr>
            <w:noProof/>
            <w:webHidden/>
          </w:rPr>
          <w:fldChar w:fldCharType="end"/>
        </w:r>
      </w:hyperlink>
    </w:p>
    <w:p w14:paraId="228EAFDD" w14:textId="4AE7990E" w:rsidR="00423132" w:rsidRDefault="0077278C" w:rsidP="00423132">
      <w:pPr>
        <w:pStyle w:val="TOC1"/>
        <w:tabs>
          <w:tab w:val="left" w:pos="450"/>
          <w:tab w:val="right" w:leader="dot" w:pos="9350"/>
        </w:tabs>
        <w:spacing w:after="120"/>
        <w:rPr>
          <w:rFonts w:asciiTheme="minorHAnsi" w:eastAsiaTheme="minorEastAsia" w:hAnsiTheme="minorHAnsi" w:cstheme="minorBidi"/>
          <w:noProof/>
          <w:sz w:val="22"/>
          <w:szCs w:val="22"/>
        </w:rPr>
      </w:pPr>
      <w:hyperlink w:anchor="_Toc20144532" w:history="1">
        <w:r w:rsidR="00423132" w:rsidRPr="009062B5">
          <w:rPr>
            <w:rStyle w:val="Hyperlink"/>
            <w:noProof/>
          </w:rPr>
          <w:t>1.</w:t>
        </w:r>
        <w:r w:rsidR="00423132">
          <w:rPr>
            <w:rFonts w:asciiTheme="minorHAnsi" w:eastAsiaTheme="minorEastAsia" w:hAnsiTheme="minorHAnsi" w:cstheme="minorBidi"/>
            <w:noProof/>
            <w:sz w:val="22"/>
            <w:szCs w:val="22"/>
          </w:rPr>
          <w:tab/>
        </w:r>
        <w:r w:rsidR="00423132" w:rsidRPr="009062B5">
          <w:rPr>
            <w:rStyle w:val="Hyperlink"/>
            <w:noProof/>
          </w:rPr>
          <w:t>Background</w:t>
        </w:r>
        <w:r w:rsidR="00423132">
          <w:rPr>
            <w:noProof/>
            <w:webHidden/>
          </w:rPr>
          <w:tab/>
        </w:r>
        <w:r w:rsidR="00423132">
          <w:rPr>
            <w:noProof/>
            <w:webHidden/>
          </w:rPr>
          <w:fldChar w:fldCharType="begin"/>
        </w:r>
        <w:r w:rsidR="00423132">
          <w:rPr>
            <w:noProof/>
            <w:webHidden/>
          </w:rPr>
          <w:instrText xml:space="preserve"> PAGEREF _Toc20144532 \h </w:instrText>
        </w:r>
        <w:r w:rsidR="00423132">
          <w:rPr>
            <w:noProof/>
            <w:webHidden/>
          </w:rPr>
        </w:r>
        <w:r w:rsidR="00423132">
          <w:rPr>
            <w:noProof/>
            <w:webHidden/>
          </w:rPr>
          <w:fldChar w:fldCharType="separate"/>
        </w:r>
        <w:r>
          <w:rPr>
            <w:noProof/>
            <w:webHidden/>
          </w:rPr>
          <w:t>2</w:t>
        </w:r>
        <w:r w:rsidR="00423132">
          <w:rPr>
            <w:noProof/>
            <w:webHidden/>
          </w:rPr>
          <w:fldChar w:fldCharType="end"/>
        </w:r>
      </w:hyperlink>
    </w:p>
    <w:p w14:paraId="56FD7026" w14:textId="59521191" w:rsidR="00423132" w:rsidRDefault="0077278C" w:rsidP="00423132">
      <w:pPr>
        <w:pStyle w:val="TOC1"/>
        <w:tabs>
          <w:tab w:val="left" w:pos="450"/>
          <w:tab w:val="right" w:leader="dot" w:pos="9350"/>
        </w:tabs>
        <w:spacing w:after="120"/>
        <w:rPr>
          <w:rFonts w:asciiTheme="minorHAnsi" w:eastAsiaTheme="minorEastAsia" w:hAnsiTheme="minorHAnsi" w:cstheme="minorBidi"/>
          <w:noProof/>
          <w:sz w:val="22"/>
          <w:szCs w:val="22"/>
        </w:rPr>
      </w:pPr>
      <w:hyperlink w:anchor="_Toc20144533" w:history="1">
        <w:r w:rsidR="00423132" w:rsidRPr="009062B5">
          <w:rPr>
            <w:rStyle w:val="Hyperlink"/>
            <w:noProof/>
          </w:rPr>
          <w:t>2.</w:t>
        </w:r>
        <w:r w:rsidR="00423132">
          <w:rPr>
            <w:rFonts w:asciiTheme="minorHAnsi" w:eastAsiaTheme="minorEastAsia" w:hAnsiTheme="minorHAnsi" w:cstheme="minorBidi"/>
            <w:noProof/>
            <w:sz w:val="22"/>
            <w:szCs w:val="22"/>
          </w:rPr>
          <w:tab/>
        </w:r>
        <w:r w:rsidR="00423132" w:rsidRPr="009062B5">
          <w:rPr>
            <w:rStyle w:val="Hyperlink"/>
            <w:noProof/>
          </w:rPr>
          <w:t>Jurisdiction; Legal and Policy Framework</w:t>
        </w:r>
        <w:r w:rsidR="00423132">
          <w:rPr>
            <w:noProof/>
            <w:webHidden/>
          </w:rPr>
          <w:tab/>
        </w:r>
        <w:r w:rsidR="00423132">
          <w:rPr>
            <w:noProof/>
            <w:webHidden/>
          </w:rPr>
          <w:fldChar w:fldCharType="begin"/>
        </w:r>
        <w:r w:rsidR="00423132">
          <w:rPr>
            <w:noProof/>
            <w:webHidden/>
          </w:rPr>
          <w:instrText xml:space="preserve"> PAGEREF _Toc20144533 \h </w:instrText>
        </w:r>
        <w:r w:rsidR="00423132">
          <w:rPr>
            <w:noProof/>
            <w:webHidden/>
          </w:rPr>
        </w:r>
        <w:r w:rsidR="00423132">
          <w:rPr>
            <w:noProof/>
            <w:webHidden/>
          </w:rPr>
          <w:fldChar w:fldCharType="separate"/>
        </w:r>
        <w:r>
          <w:rPr>
            <w:noProof/>
            <w:webHidden/>
          </w:rPr>
          <w:t>5</w:t>
        </w:r>
        <w:r w:rsidR="00423132">
          <w:rPr>
            <w:noProof/>
            <w:webHidden/>
          </w:rPr>
          <w:fldChar w:fldCharType="end"/>
        </w:r>
      </w:hyperlink>
    </w:p>
    <w:p w14:paraId="53C44ADA" w14:textId="6CFEF183" w:rsidR="00423132" w:rsidRDefault="0077278C" w:rsidP="00423132">
      <w:pPr>
        <w:pStyle w:val="TOC1"/>
        <w:tabs>
          <w:tab w:val="left" w:pos="450"/>
          <w:tab w:val="right" w:leader="dot" w:pos="9350"/>
        </w:tabs>
        <w:spacing w:after="120"/>
        <w:rPr>
          <w:rFonts w:asciiTheme="minorHAnsi" w:eastAsiaTheme="minorEastAsia" w:hAnsiTheme="minorHAnsi" w:cstheme="minorBidi"/>
          <w:noProof/>
          <w:sz w:val="22"/>
          <w:szCs w:val="22"/>
        </w:rPr>
      </w:pPr>
      <w:hyperlink w:anchor="_Toc20144534" w:history="1">
        <w:r w:rsidR="00423132" w:rsidRPr="009062B5">
          <w:rPr>
            <w:rStyle w:val="Hyperlink"/>
            <w:noProof/>
          </w:rPr>
          <w:t>3.</w:t>
        </w:r>
        <w:r w:rsidR="00423132">
          <w:rPr>
            <w:rFonts w:asciiTheme="minorHAnsi" w:eastAsiaTheme="minorEastAsia" w:hAnsiTheme="minorHAnsi" w:cstheme="minorBidi"/>
            <w:noProof/>
            <w:sz w:val="22"/>
            <w:szCs w:val="22"/>
          </w:rPr>
          <w:tab/>
        </w:r>
        <w:r w:rsidR="00423132" w:rsidRPr="009062B5">
          <w:rPr>
            <w:rStyle w:val="Hyperlink"/>
            <w:noProof/>
          </w:rPr>
          <w:t>Issues before the Commission</w:t>
        </w:r>
        <w:r w:rsidR="00423132">
          <w:rPr>
            <w:noProof/>
            <w:webHidden/>
          </w:rPr>
          <w:tab/>
        </w:r>
        <w:r w:rsidR="00423132">
          <w:rPr>
            <w:noProof/>
            <w:webHidden/>
          </w:rPr>
          <w:fldChar w:fldCharType="begin"/>
        </w:r>
        <w:r w:rsidR="00423132">
          <w:rPr>
            <w:noProof/>
            <w:webHidden/>
          </w:rPr>
          <w:instrText xml:space="preserve"> PAGEREF _Toc20144534 \h </w:instrText>
        </w:r>
        <w:r w:rsidR="00423132">
          <w:rPr>
            <w:noProof/>
            <w:webHidden/>
          </w:rPr>
        </w:r>
        <w:r w:rsidR="00423132">
          <w:rPr>
            <w:noProof/>
            <w:webHidden/>
          </w:rPr>
          <w:fldChar w:fldCharType="separate"/>
        </w:r>
        <w:r>
          <w:rPr>
            <w:noProof/>
            <w:webHidden/>
          </w:rPr>
          <w:t>5</w:t>
        </w:r>
        <w:r w:rsidR="00423132">
          <w:rPr>
            <w:noProof/>
            <w:webHidden/>
          </w:rPr>
          <w:fldChar w:fldCharType="end"/>
        </w:r>
      </w:hyperlink>
    </w:p>
    <w:p w14:paraId="2C78805D" w14:textId="014555F9" w:rsidR="00423132" w:rsidRDefault="0077278C" w:rsidP="00423132">
      <w:pPr>
        <w:pStyle w:val="TOC2"/>
        <w:tabs>
          <w:tab w:val="left" w:pos="2160"/>
        </w:tabs>
        <w:spacing w:after="120"/>
        <w:rPr>
          <w:rFonts w:asciiTheme="minorHAnsi" w:eastAsiaTheme="minorEastAsia" w:hAnsiTheme="minorHAnsi" w:cstheme="minorBidi"/>
          <w:noProof/>
          <w:sz w:val="22"/>
          <w:szCs w:val="22"/>
        </w:rPr>
      </w:pPr>
      <w:hyperlink w:anchor="_Toc20144535" w:history="1">
        <w:r w:rsidR="00423132" w:rsidRPr="009062B5">
          <w:rPr>
            <w:rStyle w:val="Hyperlink"/>
            <w:rFonts w:ascii="Helvetica" w:hAnsi="Helvetica" w:cs="Helvetica"/>
            <w:noProof/>
          </w:rPr>
          <w:t>3.1.</w:t>
        </w:r>
        <w:r w:rsidR="00423132">
          <w:rPr>
            <w:rStyle w:val="Hyperlink"/>
            <w:rFonts w:ascii="Helvetica" w:hAnsi="Helvetica" w:cs="Helvetica"/>
            <w:noProof/>
          </w:rPr>
          <w:t xml:space="preserve">  </w:t>
        </w:r>
        <w:r w:rsidR="00423132" w:rsidRPr="009062B5">
          <w:rPr>
            <w:rStyle w:val="Hyperlink"/>
            <w:rFonts w:ascii="Helvetica" w:hAnsi="Helvetica" w:cs="Helvetica"/>
            <w:noProof/>
          </w:rPr>
          <w:t>Position of the Parties</w:t>
        </w:r>
        <w:r w:rsidR="00423132">
          <w:rPr>
            <w:noProof/>
            <w:webHidden/>
          </w:rPr>
          <w:tab/>
        </w:r>
        <w:r w:rsidR="00423132">
          <w:rPr>
            <w:noProof/>
            <w:webHidden/>
          </w:rPr>
          <w:fldChar w:fldCharType="begin"/>
        </w:r>
        <w:r w:rsidR="00423132">
          <w:rPr>
            <w:noProof/>
            <w:webHidden/>
          </w:rPr>
          <w:instrText xml:space="preserve"> PAGEREF _Toc20144535 \h </w:instrText>
        </w:r>
        <w:r w:rsidR="00423132">
          <w:rPr>
            <w:noProof/>
            <w:webHidden/>
          </w:rPr>
        </w:r>
        <w:r w:rsidR="00423132">
          <w:rPr>
            <w:noProof/>
            <w:webHidden/>
          </w:rPr>
          <w:fldChar w:fldCharType="separate"/>
        </w:r>
        <w:r>
          <w:rPr>
            <w:noProof/>
            <w:webHidden/>
          </w:rPr>
          <w:t>6</w:t>
        </w:r>
        <w:r w:rsidR="00423132">
          <w:rPr>
            <w:noProof/>
            <w:webHidden/>
          </w:rPr>
          <w:fldChar w:fldCharType="end"/>
        </w:r>
      </w:hyperlink>
    </w:p>
    <w:p w14:paraId="25E12A3B" w14:textId="6B2EFE2D" w:rsidR="00423132" w:rsidRDefault="0077278C" w:rsidP="00423132">
      <w:pPr>
        <w:pStyle w:val="TOC3"/>
        <w:tabs>
          <w:tab w:val="left" w:pos="2160"/>
          <w:tab w:val="right" w:leader="dot" w:pos="9350"/>
        </w:tabs>
        <w:spacing w:after="120"/>
        <w:rPr>
          <w:rFonts w:asciiTheme="minorHAnsi" w:eastAsiaTheme="minorEastAsia" w:hAnsiTheme="minorHAnsi" w:cstheme="minorBidi"/>
          <w:noProof/>
          <w:sz w:val="22"/>
          <w:szCs w:val="22"/>
        </w:rPr>
      </w:pPr>
      <w:hyperlink w:anchor="_Toc20144536" w:history="1">
        <w:r w:rsidR="00423132" w:rsidRPr="009062B5">
          <w:rPr>
            <w:rStyle w:val="Hyperlink"/>
            <w:noProof/>
          </w:rPr>
          <w:t>3.1.1.</w:t>
        </w:r>
        <w:r w:rsidR="00423132">
          <w:rPr>
            <w:rStyle w:val="Hyperlink"/>
            <w:noProof/>
          </w:rPr>
          <w:t xml:space="preserve">  </w:t>
        </w:r>
        <w:r w:rsidR="00423132" w:rsidRPr="009062B5">
          <w:rPr>
            <w:rStyle w:val="Hyperlink"/>
            <w:noProof/>
          </w:rPr>
          <w:t>PG&amp;E</w:t>
        </w:r>
        <w:r w:rsidR="00423132">
          <w:rPr>
            <w:noProof/>
            <w:webHidden/>
          </w:rPr>
          <w:tab/>
        </w:r>
        <w:r w:rsidR="00423132">
          <w:rPr>
            <w:noProof/>
            <w:webHidden/>
          </w:rPr>
          <w:tab/>
        </w:r>
        <w:r w:rsidR="00423132">
          <w:rPr>
            <w:noProof/>
            <w:webHidden/>
          </w:rPr>
          <w:fldChar w:fldCharType="begin"/>
        </w:r>
        <w:r w:rsidR="00423132">
          <w:rPr>
            <w:noProof/>
            <w:webHidden/>
          </w:rPr>
          <w:instrText xml:space="preserve"> PAGEREF _Toc20144536 \h </w:instrText>
        </w:r>
        <w:r w:rsidR="00423132">
          <w:rPr>
            <w:noProof/>
            <w:webHidden/>
          </w:rPr>
        </w:r>
        <w:r w:rsidR="00423132">
          <w:rPr>
            <w:noProof/>
            <w:webHidden/>
          </w:rPr>
          <w:fldChar w:fldCharType="separate"/>
        </w:r>
        <w:r>
          <w:rPr>
            <w:noProof/>
            <w:webHidden/>
          </w:rPr>
          <w:t>6</w:t>
        </w:r>
        <w:r w:rsidR="00423132">
          <w:rPr>
            <w:noProof/>
            <w:webHidden/>
          </w:rPr>
          <w:fldChar w:fldCharType="end"/>
        </w:r>
      </w:hyperlink>
    </w:p>
    <w:p w14:paraId="4A1DE6FC" w14:textId="2906B90C" w:rsidR="00423132" w:rsidRDefault="0077278C" w:rsidP="00423132">
      <w:pPr>
        <w:pStyle w:val="TOC3"/>
        <w:tabs>
          <w:tab w:val="left" w:pos="2160"/>
          <w:tab w:val="right" w:leader="dot" w:pos="9350"/>
        </w:tabs>
        <w:spacing w:after="120"/>
        <w:rPr>
          <w:rFonts w:asciiTheme="minorHAnsi" w:eastAsiaTheme="minorEastAsia" w:hAnsiTheme="minorHAnsi" w:cstheme="minorBidi"/>
          <w:noProof/>
          <w:sz w:val="22"/>
          <w:szCs w:val="22"/>
        </w:rPr>
      </w:pPr>
      <w:hyperlink w:anchor="_Toc20144537" w:history="1">
        <w:r w:rsidR="00423132" w:rsidRPr="009062B5">
          <w:rPr>
            <w:rStyle w:val="Hyperlink"/>
            <w:noProof/>
          </w:rPr>
          <w:t>3.1.2.</w:t>
        </w:r>
        <w:r w:rsidR="00423132">
          <w:rPr>
            <w:rStyle w:val="Hyperlink"/>
            <w:noProof/>
          </w:rPr>
          <w:t xml:space="preserve">  </w:t>
        </w:r>
        <w:r w:rsidR="00423132" w:rsidRPr="009062B5">
          <w:rPr>
            <w:rStyle w:val="Hyperlink"/>
            <w:noProof/>
          </w:rPr>
          <w:t>Cal Advocates</w:t>
        </w:r>
        <w:r w:rsidR="00423132">
          <w:rPr>
            <w:noProof/>
            <w:webHidden/>
          </w:rPr>
          <w:tab/>
        </w:r>
        <w:r w:rsidR="00423132">
          <w:rPr>
            <w:noProof/>
            <w:webHidden/>
          </w:rPr>
          <w:fldChar w:fldCharType="begin"/>
        </w:r>
        <w:r w:rsidR="00423132">
          <w:rPr>
            <w:noProof/>
            <w:webHidden/>
          </w:rPr>
          <w:instrText xml:space="preserve"> PAGEREF _Toc20144537 \h </w:instrText>
        </w:r>
        <w:r w:rsidR="00423132">
          <w:rPr>
            <w:noProof/>
            <w:webHidden/>
          </w:rPr>
        </w:r>
        <w:r w:rsidR="00423132">
          <w:rPr>
            <w:noProof/>
            <w:webHidden/>
          </w:rPr>
          <w:fldChar w:fldCharType="separate"/>
        </w:r>
        <w:r>
          <w:rPr>
            <w:noProof/>
            <w:webHidden/>
          </w:rPr>
          <w:t>8</w:t>
        </w:r>
        <w:r w:rsidR="00423132">
          <w:rPr>
            <w:noProof/>
            <w:webHidden/>
          </w:rPr>
          <w:fldChar w:fldCharType="end"/>
        </w:r>
      </w:hyperlink>
    </w:p>
    <w:p w14:paraId="78332B4F" w14:textId="013994D8" w:rsidR="00423132" w:rsidRDefault="0077278C" w:rsidP="00423132">
      <w:pPr>
        <w:pStyle w:val="TOC3"/>
        <w:tabs>
          <w:tab w:val="left" w:pos="2160"/>
          <w:tab w:val="right" w:leader="dot" w:pos="9350"/>
        </w:tabs>
        <w:spacing w:after="120"/>
        <w:rPr>
          <w:rFonts w:asciiTheme="minorHAnsi" w:eastAsiaTheme="minorEastAsia" w:hAnsiTheme="minorHAnsi" w:cstheme="minorBidi"/>
          <w:noProof/>
          <w:sz w:val="22"/>
          <w:szCs w:val="22"/>
        </w:rPr>
      </w:pPr>
      <w:hyperlink w:anchor="_Toc20144538" w:history="1">
        <w:r w:rsidR="00423132" w:rsidRPr="009062B5">
          <w:rPr>
            <w:rStyle w:val="Hyperlink"/>
            <w:noProof/>
          </w:rPr>
          <w:t>3.1.3.</w:t>
        </w:r>
        <w:r w:rsidR="00423132">
          <w:rPr>
            <w:rStyle w:val="Hyperlink"/>
            <w:noProof/>
          </w:rPr>
          <w:t xml:space="preserve">  </w:t>
        </w:r>
        <w:r w:rsidR="00423132" w:rsidRPr="009062B5">
          <w:rPr>
            <w:rStyle w:val="Hyperlink"/>
            <w:noProof/>
          </w:rPr>
          <w:t>TURN</w:t>
        </w:r>
        <w:r w:rsidR="00423132">
          <w:rPr>
            <w:noProof/>
            <w:webHidden/>
          </w:rPr>
          <w:tab/>
        </w:r>
        <w:r w:rsidR="00423132">
          <w:rPr>
            <w:noProof/>
            <w:webHidden/>
          </w:rPr>
          <w:tab/>
        </w:r>
        <w:r w:rsidR="00423132">
          <w:rPr>
            <w:noProof/>
            <w:webHidden/>
          </w:rPr>
          <w:fldChar w:fldCharType="begin"/>
        </w:r>
        <w:r w:rsidR="00423132">
          <w:rPr>
            <w:noProof/>
            <w:webHidden/>
          </w:rPr>
          <w:instrText xml:space="preserve"> PAGEREF _Toc20144538 \h </w:instrText>
        </w:r>
        <w:r w:rsidR="00423132">
          <w:rPr>
            <w:noProof/>
            <w:webHidden/>
          </w:rPr>
        </w:r>
        <w:r w:rsidR="00423132">
          <w:rPr>
            <w:noProof/>
            <w:webHidden/>
          </w:rPr>
          <w:fldChar w:fldCharType="separate"/>
        </w:r>
        <w:r>
          <w:rPr>
            <w:noProof/>
            <w:webHidden/>
          </w:rPr>
          <w:t>10</w:t>
        </w:r>
        <w:r w:rsidR="00423132">
          <w:rPr>
            <w:noProof/>
            <w:webHidden/>
          </w:rPr>
          <w:fldChar w:fldCharType="end"/>
        </w:r>
      </w:hyperlink>
    </w:p>
    <w:p w14:paraId="5E1166C4" w14:textId="21469A74" w:rsidR="00423132" w:rsidRDefault="0077278C" w:rsidP="00423132">
      <w:pPr>
        <w:pStyle w:val="TOC3"/>
        <w:tabs>
          <w:tab w:val="left" w:pos="2160"/>
          <w:tab w:val="right" w:leader="dot" w:pos="9350"/>
        </w:tabs>
        <w:spacing w:after="120"/>
        <w:rPr>
          <w:rFonts w:asciiTheme="minorHAnsi" w:eastAsiaTheme="minorEastAsia" w:hAnsiTheme="minorHAnsi" w:cstheme="minorBidi"/>
          <w:noProof/>
          <w:sz w:val="22"/>
          <w:szCs w:val="22"/>
        </w:rPr>
      </w:pPr>
      <w:hyperlink w:anchor="_Toc20144539" w:history="1">
        <w:r w:rsidR="00423132" w:rsidRPr="009062B5">
          <w:rPr>
            <w:rStyle w:val="Hyperlink"/>
            <w:noProof/>
          </w:rPr>
          <w:t>3.1.4.</w:t>
        </w:r>
        <w:r w:rsidR="00423132">
          <w:rPr>
            <w:rStyle w:val="Hyperlink"/>
            <w:noProof/>
          </w:rPr>
          <w:t xml:space="preserve">  </w:t>
        </w:r>
        <w:r w:rsidR="00423132" w:rsidRPr="009062B5">
          <w:rPr>
            <w:rStyle w:val="Hyperlink"/>
            <w:noProof/>
          </w:rPr>
          <w:t>WMA</w:t>
        </w:r>
        <w:r w:rsidR="00423132">
          <w:rPr>
            <w:rStyle w:val="Hyperlink"/>
            <w:noProof/>
          </w:rPr>
          <w:tab/>
        </w:r>
        <w:r w:rsidR="00423132">
          <w:rPr>
            <w:noProof/>
            <w:webHidden/>
          </w:rPr>
          <w:tab/>
        </w:r>
        <w:r w:rsidR="00423132">
          <w:rPr>
            <w:noProof/>
            <w:webHidden/>
          </w:rPr>
          <w:fldChar w:fldCharType="begin"/>
        </w:r>
        <w:r w:rsidR="00423132">
          <w:rPr>
            <w:noProof/>
            <w:webHidden/>
          </w:rPr>
          <w:instrText xml:space="preserve"> PAGEREF _Toc20144539 \h </w:instrText>
        </w:r>
        <w:r w:rsidR="00423132">
          <w:rPr>
            <w:noProof/>
            <w:webHidden/>
          </w:rPr>
        </w:r>
        <w:r w:rsidR="00423132">
          <w:rPr>
            <w:noProof/>
            <w:webHidden/>
          </w:rPr>
          <w:fldChar w:fldCharType="separate"/>
        </w:r>
        <w:r>
          <w:rPr>
            <w:noProof/>
            <w:webHidden/>
          </w:rPr>
          <w:t>11</w:t>
        </w:r>
        <w:r w:rsidR="00423132">
          <w:rPr>
            <w:noProof/>
            <w:webHidden/>
          </w:rPr>
          <w:fldChar w:fldCharType="end"/>
        </w:r>
      </w:hyperlink>
    </w:p>
    <w:p w14:paraId="5CA04ACA" w14:textId="10D2F7D1" w:rsidR="00423132" w:rsidRDefault="0077278C" w:rsidP="00423132">
      <w:pPr>
        <w:pStyle w:val="TOC3"/>
        <w:tabs>
          <w:tab w:val="left" w:pos="2160"/>
          <w:tab w:val="right" w:leader="dot" w:pos="9350"/>
        </w:tabs>
        <w:spacing w:after="120"/>
        <w:rPr>
          <w:rFonts w:asciiTheme="minorHAnsi" w:eastAsiaTheme="minorEastAsia" w:hAnsiTheme="minorHAnsi" w:cstheme="minorBidi"/>
          <w:noProof/>
          <w:sz w:val="22"/>
          <w:szCs w:val="22"/>
        </w:rPr>
      </w:pPr>
      <w:hyperlink w:anchor="_Toc20144540" w:history="1">
        <w:r w:rsidR="00423132" w:rsidRPr="009062B5">
          <w:rPr>
            <w:rStyle w:val="Hyperlink"/>
            <w:noProof/>
          </w:rPr>
          <w:t>3.1.5.</w:t>
        </w:r>
        <w:r w:rsidR="00423132">
          <w:rPr>
            <w:rStyle w:val="Hyperlink"/>
            <w:noProof/>
          </w:rPr>
          <w:t xml:space="preserve">  </w:t>
        </w:r>
        <w:r w:rsidR="00423132" w:rsidRPr="009062B5">
          <w:rPr>
            <w:rStyle w:val="Hyperlink"/>
            <w:noProof/>
          </w:rPr>
          <w:t>SPURR</w:t>
        </w:r>
        <w:r w:rsidR="00423132">
          <w:rPr>
            <w:noProof/>
            <w:webHidden/>
          </w:rPr>
          <w:tab/>
        </w:r>
        <w:r w:rsidR="00423132">
          <w:rPr>
            <w:noProof/>
            <w:webHidden/>
          </w:rPr>
          <w:tab/>
        </w:r>
        <w:r w:rsidR="00423132">
          <w:rPr>
            <w:noProof/>
            <w:webHidden/>
          </w:rPr>
          <w:fldChar w:fldCharType="begin"/>
        </w:r>
        <w:r w:rsidR="00423132">
          <w:rPr>
            <w:noProof/>
            <w:webHidden/>
          </w:rPr>
          <w:instrText xml:space="preserve"> PAGEREF _Toc20144540 \h </w:instrText>
        </w:r>
        <w:r w:rsidR="00423132">
          <w:rPr>
            <w:noProof/>
            <w:webHidden/>
          </w:rPr>
        </w:r>
        <w:r w:rsidR="00423132">
          <w:rPr>
            <w:noProof/>
            <w:webHidden/>
          </w:rPr>
          <w:fldChar w:fldCharType="separate"/>
        </w:r>
        <w:r>
          <w:rPr>
            <w:noProof/>
            <w:webHidden/>
          </w:rPr>
          <w:t>12</w:t>
        </w:r>
        <w:r w:rsidR="00423132">
          <w:rPr>
            <w:noProof/>
            <w:webHidden/>
          </w:rPr>
          <w:fldChar w:fldCharType="end"/>
        </w:r>
      </w:hyperlink>
    </w:p>
    <w:p w14:paraId="0C61FC35" w14:textId="0DE17D1D" w:rsidR="00423132" w:rsidRDefault="0077278C" w:rsidP="00423132">
      <w:pPr>
        <w:pStyle w:val="TOC3"/>
        <w:tabs>
          <w:tab w:val="left" w:pos="2160"/>
          <w:tab w:val="right" w:leader="dot" w:pos="9350"/>
        </w:tabs>
        <w:spacing w:after="120"/>
        <w:rPr>
          <w:rFonts w:asciiTheme="minorHAnsi" w:eastAsiaTheme="minorEastAsia" w:hAnsiTheme="minorHAnsi" w:cstheme="minorBidi"/>
          <w:noProof/>
          <w:sz w:val="22"/>
          <w:szCs w:val="22"/>
        </w:rPr>
      </w:pPr>
      <w:hyperlink w:anchor="_Toc20144541" w:history="1">
        <w:r w:rsidR="00423132" w:rsidRPr="009062B5">
          <w:rPr>
            <w:rStyle w:val="Hyperlink"/>
            <w:noProof/>
          </w:rPr>
          <w:t>3.1.6.</w:t>
        </w:r>
        <w:r w:rsidR="00423132">
          <w:rPr>
            <w:rStyle w:val="Hyperlink"/>
            <w:noProof/>
          </w:rPr>
          <w:t xml:space="preserve">  </w:t>
        </w:r>
        <w:r w:rsidR="00423132" w:rsidRPr="009062B5">
          <w:rPr>
            <w:rStyle w:val="Hyperlink"/>
            <w:noProof/>
          </w:rPr>
          <w:t>SBUA</w:t>
        </w:r>
        <w:r w:rsidR="00423132">
          <w:rPr>
            <w:rStyle w:val="Hyperlink"/>
            <w:noProof/>
          </w:rPr>
          <w:tab/>
        </w:r>
        <w:r w:rsidR="00423132">
          <w:rPr>
            <w:noProof/>
            <w:webHidden/>
          </w:rPr>
          <w:tab/>
        </w:r>
        <w:r w:rsidR="00423132">
          <w:rPr>
            <w:noProof/>
            <w:webHidden/>
          </w:rPr>
          <w:fldChar w:fldCharType="begin"/>
        </w:r>
        <w:r w:rsidR="00423132">
          <w:rPr>
            <w:noProof/>
            <w:webHidden/>
          </w:rPr>
          <w:instrText xml:space="preserve"> PAGEREF _Toc20144541 \h </w:instrText>
        </w:r>
        <w:r w:rsidR="00423132">
          <w:rPr>
            <w:noProof/>
            <w:webHidden/>
          </w:rPr>
        </w:r>
        <w:r w:rsidR="00423132">
          <w:rPr>
            <w:noProof/>
            <w:webHidden/>
          </w:rPr>
          <w:fldChar w:fldCharType="separate"/>
        </w:r>
        <w:r>
          <w:rPr>
            <w:noProof/>
            <w:webHidden/>
          </w:rPr>
          <w:t>12</w:t>
        </w:r>
        <w:r w:rsidR="00423132">
          <w:rPr>
            <w:noProof/>
            <w:webHidden/>
          </w:rPr>
          <w:fldChar w:fldCharType="end"/>
        </w:r>
      </w:hyperlink>
    </w:p>
    <w:p w14:paraId="2615220C" w14:textId="3A85A8FA" w:rsidR="00423132" w:rsidRDefault="0077278C" w:rsidP="00423132">
      <w:pPr>
        <w:pStyle w:val="TOC3"/>
        <w:tabs>
          <w:tab w:val="left" w:pos="2160"/>
          <w:tab w:val="right" w:leader="dot" w:pos="9350"/>
        </w:tabs>
        <w:spacing w:after="120"/>
        <w:rPr>
          <w:rFonts w:asciiTheme="minorHAnsi" w:eastAsiaTheme="minorEastAsia" w:hAnsiTheme="minorHAnsi" w:cstheme="minorBidi"/>
          <w:noProof/>
          <w:sz w:val="22"/>
          <w:szCs w:val="22"/>
        </w:rPr>
      </w:pPr>
      <w:hyperlink w:anchor="_Toc20144542" w:history="1">
        <w:r w:rsidR="00423132" w:rsidRPr="009062B5">
          <w:rPr>
            <w:rStyle w:val="Hyperlink"/>
            <w:noProof/>
          </w:rPr>
          <w:t>3.1.7.</w:t>
        </w:r>
        <w:r w:rsidR="00423132">
          <w:rPr>
            <w:rStyle w:val="Hyperlink"/>
            <w:noProof/>
          </w:rPr>
          <w:t xml:space="preserve">  </w:t>
        </w:r>
        <w:r w:rsidR="00423132" w:rsidRPr="009062B5">
          <w:rPr>
            <w:rStyle w:val="Hyperlink"/>
            <w:noProof/>
          </w:rPr>
          <w:t>Indicated Shippers</w:t>
        </w:r>
        <w:r w:rsidR="00423132">
          <w:rPr>
            <w:noProof/>
            <w:webHidden/>
          </w:rPr>
          <w:tab/>
        </w:r>
        <w:r w:rsidR="00423132">
          <w:rPr>
            <w:noProof/>
            <w:webHidden/>
          </w:rPr>
          <w:fldChar w:fldCharType="begin"/>
        </w:r>
        <w:r w:rsidR="00423132">
          <w:rPr>
            <w:noProof/>
            <w:webHidden/>
          </w:rPr>
          <w:instrText xml:space="preserve"> PAGEREF _Toc20144542 \h </w:instrText>
        </w:r>
        <w:r w:rsidR="00423132">
          <w:rPr>
            <w:noProof/>
            <w:webHidden/>
          </w:rPr>
        </w:r>
        <w:r w:rsidR="00423132">
          <w:rPr>
            <w:noProof/>
            <w:webHidden/>
          </w:rPr>
          <w:fldChar w:fldCharType="separate"/>
        </w:r>
        <w:r>
          <w:rPr>
            <w:noProof/>
            <w:webHidden/>
          </w:rPr>
          <w:t>14</w:t>
        </w:r>
        <w:r w:rsidR="00423132">
          <w:rPr>
            <w:noProof/>
            <w:webHidden/>
          </w:rPr>
          <w:fldChar w:fldCharType="end"/>
        </w:r>
      </w:hyperlink>
    </w:p>
    <w:p w14:paraId="13C7E0F5" w14:textId="4D6C962E" w:rsidR="00423132" w:rsidRDefault="0077278C" w:rsidP="00423132">
      <w:pPr>
        <w:pStyle w:val="TOC1"/>
        <w:tabs>
          <w:tab w:val="left" w:pos="450"/>
          <w:tab w:val="right" w:leader="dot" w:pos="9350"/>
        </w:tabs>
        <w:spacing w:after="120"/>
        <w:rPr>
          <w:rFonts w:asciiTheme="minorHAnsi" w:eastAsiaTheme="minorEastAsia" w:hAnsiTheme="minorHAnsi" w:cstheme="minorBidi"/>
          <w:noProof/>
          <w:sz w:val="22"/>
          <w:szCs w:val="22"/>
        </w:rPr>
      </w:pPr>
      <w:hyperlink w:anchor="_Toc20144543" w:history="1">
        <w:r w:rsidR="00423132" w:rsidRPr="009062B5">
          <w:rPr>
            <w:rStyle w:val="Hyperlink"/>
            <w:noProof/>
          </w:rPr>
          <w:t>4.</w:t>
        </w:r>
        <w:r w:rsidR="00423132">
          <w:rPr>
            <w:rFonts w:asciiTheme="minorHAnsi" w:eastAsiaTheme="minorEastAsia" w:hAnsiTheme="minorHAnsi" w:cstheme="minorBidi"/>
            <w:noProof/>
            <w:sz w:val="22"/>
            <w:szCs w:val="22"/>
          </w:rPr>
          <w:tab/>
        </w:r>
        <w:r w:rsidR="00423132" w:rsidRPr="009062B5">
          <w:rPr>
            <w:rStyle w:val="Hyperlink"/>
            <w:noProof/>
          </w:rPr>
          <w:t>Resolution of the Issues</w:t>
        </w:r>
        <w:r w:rsidR="00423132">
          <w:rPr>
            <w:noProof/>
            <w:webHidden/>
          </w:rPr>
          <w:tab/>
        </w:r>
        <w:r w:rsidR="00423132">
          <w:rPr>
            <w:noProof/>
            <w:webHidden/>
          </w:rPr>
          <w:fldChar w:fldCharType="begin"/>
        </w:r>
        <w:r w:rsidR="00423132">
          <w:rPr>
            <w:noProof/>
            <w:webHidden/>
          </w:rPr>
          <w:instrText xml:space="preserve"> PAGEREF _Toc20144543 \h </w:instrText>
        </w:r>
        <w:r w:rsidR="00423132">
          <w:rPr>
            <w:noProof/>
            <w:webHidden/>
          </w:rPr>
        </w:r>
        <w:r w:rsidR="00423132">
          <w:rPr>
            <w:noProof/>
            <w:webHidden/>
          </w:rPr>
          <w:fldChar w:fldCharType="separate"/>
        </w:r>
        <w:r>
          <w:rPr>
            <w:noProof/>
            <w:webHidden/>
          </w:rPr>
          <w:t>15</w:t>
        </w:r>
        <w:r w:rsidR="00423132">
          <w:rPr>
            <w:noProof/>
            <w:webHidden/>
          </w:rPr>
          <w:fldChar w:fldCharType="end"/>
        </w:r>
      </w:hyperlink>
    </w:p>
    <w:p w14:paraId="760DCC20" w14:textId="3B4FB1AC" w:rsidR="00423132" w:rsidRDefault="0077278C" w:rsidP="00423132">
      <w:pPr>
        <w:pStyle w:val="TOC2"/>
        <w:tabs>
          <w:tab w:val="left" w:pos="2160"/>
        </w:tabs>
        <w:spacing w:after="120"/>
        <w:ind w:left="540" w:firstLine="0"/>
        <w:rPr>
          <w:rFonts w:asciiTheme="minorHAnsi" w:eastAsiaTheme="minorEastAsia" w:hAnsiTheme="minorHAnsi" w:cstheme="minorBidi"/>
          <w:noProof/>
          <w:sz w:val="22"/>
          <w:szCs w:val="22"/>
        </w:rPr>
      </w:pPr>
      <w:hyperlink w:anchor="_Toc20144544" w:history="1">
        <w:r w:rsidR="00423132" w:rsidRPr="009062B5">
          <w:rPr>
            <w:rStyle w:val="Hyperlink"/>
            <w:rFonts w:ascii="Helvetica" w:hAnsi="Helvetica" w:cs="Helvetica"/>
            <w:noProof/>
          </w:rPr>
          <w:t>4.1.</w:t>
        </w:r>
        <w:r w:rsidR="00423132">
          <w:rPr>
            <w:rStyle w:val="Hyperlink"/>
            <w:rFonts w:ascii="Helvetica" w:hAnsi="Helvetica" w:cs="Helvetica"/>
            <w:noProof/>
          </w:rPr>
          <w:t xml:space="preserve">  </w:t>
        </w:r>
        <w:r w:rsidR="00423132" w:rsidRPr="009062B5">
          <w:rPr>
            <w:rStyle w:val="Hyperlink"/>
            <w:rFonts w:ascii="Helvetica" w:hAnsi="Helvetica" w:cs="Helvetica"/>
            <w:noProof/>
          </w:rPr>
          <w:t>Issue 1 - Should PG&amp;E's proposal to adopt the 2015 GT&amp;S gas throughput forecast be adopted for this GCAP?</w:t>
        </w:r>
        <w:r w:rsidR="00423132">
          <w:rPr>
            <w:noProof/>
            <w:webHidden/>
          </w:rPr>
          <w:tab/>
        </w:r>
        <w:r w:rsidR="00423132">
          <w:rPr>
            <w:noProof/>
            <w:webHidden/>
          </w:rPr>
          <w:fldChar w:fldCharType="begin"/>
        </w:r>
        <w:r w:rsidR="00423132">
          <w:rPr>
            <w:noProof/>
            <w:webHidden/>
          </w:rPr>
          <w:instrText xml:space="preserve"> PAGEREF _Toc20144544 \h </w:instrText>
        </w:r>
        <w:r w:rsidR="00423132">
          <w:rPr>
            <w:noProof/>
            <w:webHidden/>
          </w:rPr>
        </w:r>
        <w:r w:rsidR="00423132">
          <w:rPr>
            <w:noProof/>
            <w:webHidden/>
          </w:rPr>
          <w:fldChar w:fldCharType="separate"/>
        </w:r>
        <w:r>
          <w:rPr>
            <w:noProof/>
            <w:webHidden/>
          </w:rPr>
          <w:t>15</w:t>
        </w:r>
        <w:r w:rsidR="00423132">
          <w:rPr>
            <w:noProof/>
            <w:webHidden/>
          </w:rPr>
          <w:fldChar w:fldCharType="end"/>
        </w:r>
      </w:hyperlink>
    </w:p>
    <w:p w14:paraId="0A5CDF84" w14:textId="17203A62" w:rsidR="00423132" w:rsidRDefault="0077278C" w:rsidP="00423132">
      <w:pPr>
        <w:pStyle w:val="TOC2"/>
        <w:tabs>
          <w:tab w:val="left" w:pos="2160"/>
        </w:tabs>
        <w:spacing w:after="120"/>
        <w:rPr>
          <w:rFonts w:asciiTheme="minorHAnsi" w:eastAsiaTheme="minorEastAsia" w:hAnsiTheme="minorHAnsi" w:cstheme="minorBidi"/>
          <w:noProof/>
          <w:sz w:val="22"/>
          <w:szCs w:val="22"/>
        </w:rPr>
      </w:pPr>
      <w:hyperlink w:anchor="_Toc20144545" w:history="1">
        <w:r w:rsidR="00423132" w:rsidRPr="009062B5">
          <w:rPr>
            <w:rStyle w:val="Hyperlink"/>
            <w:rFonts w:ascii="Helvetica" w:hAnsi="Helvetica" w:cs="Helvetica"/>
            <w:noProof/>
          </w:rPr>
          <w:t>4.2.</w:t>
        </w:r>
        <w:r w:rsidR="00423132">
          <w:rPr>
            <w:rStyle w:val="Hyperlink"/>
            <w:rFonts w:ascii="Helvetica" w:hAnsi="Helvetica" w:cs="Helvetica"/>
            <w:noProof/>
          </w:rPr>
          <w:t xml:space="preserve">  </w:t>
        </w:r>
        <w:r w:rsidR="00423132" w:rsidRPr="009062B5">
          <w:rPr>
            <w:rStyle w:val="Hyperlink"/>
            <w:rFonts w:ascii="Helvetica" w:hAnsi="Helvetica" w:cs="Helvetica"/>
            <w:noProof/>
          </w:rPr>
          <w:t>Issue 2 - Should PG&amp;E be authorized to update its gas distribution throughput forecasts approved in future GT&amp;S cases, on an ongoing basis, via a Tier 2 advice letter filing?</w:t>
        </w:r>
        <w:r w:rsidR="00423132">
          <w:rPr>
            <w:noProof/>
            <w:webHidden/>
          </w:rPr>
          <w:tab/>
        </w:r>
        <w:r w:rsidR="00423132">
          <w:rPr>
            <w:noProof/>
            <w:webHidden/>
          </w:rPr>
          <w:fldChar w:fldCharType="begin"/>
        </w:r>
        <w:r w:rsidR="00423132">
          <w:rPr>
            <w:noProof/>
            <w:webHidden/>
          </w:rPr>
          <w:instrText xml:space="preserve"> PAGEREF _Toc20144545 \h </w:instrText>
        </w:r>
        <w:r w:rsidR="00423132">
          <w:rPr>
            <w:noProof/>
            <w:webHidden/>
          </w:rPr>
        </w:r>
        <w:r w:rsidR="00423132">
          <w:rPr>
            <w:noProof/>
            <w:webHidden/>
          </w:rPr>
          <w:fldChar w:fldCharType="separate"/>
        </w:r>
        <w:r>
          <w:rPr>
            <w:noProof/>
            <w:webHidden/>
          </w:rPr>
          <w:t>17</w:t>
        </w:r>
        <w:r w:rsidR="00423132">
          <w:rPr>
            <w:noProof/>
            <w:webHidden/>
          </w:rPr>
          <w:fldChar w:fldCharType="end"/>
        </w:r>
      </w:hyperlink>
    </w:p>
    <w:p w14:paraId="27F7700B" w14:textId="4E91023F" w:rsidR="00423132" w:rsidRDefault="0077278C" w:rsidP="00423132">
      <w:pPr>
        <w:pStyle w:val="TOC2"/>
        <w:tabs>
          <w:tab w:val="left" w:pos="2160"/>
        </w:tabs>
        <w:spacing w:after="120"/>
        <w:rPr>
          <w:rFonts w:asciiTheme="minorHAnsi" w:eastAsiaTheme="minorEastAsia" w:hAnsiTheme="minorHAnsi" w:cstheme="minorBidi"/>
          <w:noProof/>
          <w:sz w:val="22"/>
          <w:szCs w:val="22"/>
        </w:rPr>
      </w:pPr>
      <w:hyperlink w:anchor="_Toc20144546" w:history="1">
        <w:r w:rsidR="00423132" w:rsidRPr="009062B5">
          <w:rPr>
            <w:rStyle w:val="Hyperlink"/>
            <w:rFonts w:ascii="Helvetica" w:hAnsi="Helvetica" w:cs="Helvetica"/>
            <w:noProof/>
          </w:rPr>
          <w:t>4.3.</w:t>
        </w:r>
        <w:r w:rsidR="00423132">
          <w:rPr>
            <w:rStyle w:val="Hyperlink"/>
            <w:rFonts w:ascii="Helvetica" w:hAnsi="Helvetica" w:cs="Helvetica"/>
            <w:noProof/>
          </w:rPr>
          <w:t xml:space="preserve">  </w:t>
        </w:r>
        <w:r w:rsidR="00423132" w:rsidRPr="009062B5">
          <w:rPr>
            <w:rStyle w:val="Hyperlink"/>
            <w:rFonts w:ascii="Helvetica" w:hAnsi="Helvetica" w:cs="Helvetica"/>
            <w:noProof/>
          </w:rPr>
          <w:t>Issue 3 - Should PG&amp;E be authorized to implement the cost allocation proposal set forth in its testimony, using embedded costs, or should another methodology be used to determine cost allocation?</w:t>
        </w:r>
        <w:r w:rsidR="00423132">
          <w:rPr>
            <w:noProof/>
            <w:webHidden/>
          </w:rPr>
          <w:tab/>
        </w:r>
        <w:r w:rsidR="00423132">
          <w:rPr>
            <w:noProof/>
            <w:webHidden/>
          </w:rPr>
          <w:fldChar w:fldCharType="begin"/>
        </w:r>
        <w:r w:rsidR="00423132">
          <w:rPr>
            <w:noProof/>
            <w:webHidden/>
          </w:rPr>
          <w:instrText xml:space="preserve"> PAGEREF _Toc20144546 \h </w:instrText>
        </w:r>
        <w:r w:rsidR="00423132">
          <w:rPr>
            <w:noProof/>
            <w:webHidden/>
          </w:rPr>
        </w:r>
        <w:r w:rsidR="00423132">
          <w:rPr>
            <w:noProof/>
            <w:webHidden/>
          </w:rPr>
          <w:fldChar w:fldCharType="separate"/>
        </w:r>
        <w:r>
          <w:rPr>
            <w:noProof/>
            <w:webHidden/>
          </w:rPr>
          <w:t>19</w:t>
        </w:r>
        <w:r w:rsidR="00423132">
          <w:rPr>
            <w:noProof/>
            <w:webHidden/>
          </w:rPr>
          <w:fldChar w:fldCharType="end"/>
        </w:r>
      </w:hyperlink>
    </w:p>
    <w:p w14:paraId="5A922C76" w14:textId="50F9173A" w:rsidR="00423132" w:rsidRDefault="0077278C" w:rsidP="00423132">
      <w:pPr>
        <w:pStyle w:val="TOC2"/>
        <w:tabs>
          <w:tab w:val="left" w:pos="2160"/>
        </w:tabs>
        <w:spacing w:after="120"/>
        <w:rPr>
          <w:rFonts w:asciiTheme="minorHAnsi" w:eastAsiaTheme="minorEastAsia" w:hAnsiTheme="minorHAnsi" w:cstheme="minorBidi"/>
          <w:noProof/>
          <w:sz w:val="22"/>
          <w:szCs w:val="22"/>
        </w:rPr>
      </w:pPr>
      <w:hyperlink w:anchor="_Toc20144547" w:history="1">
        <w:r w:rsidR="00423132" w:rsidRPr="009062B5">
          <w:rPr>
            <w:rStyle w:val="Hyperlink"/>
            <w:rFonts w:ascii="Helvetica" w:hAnsi="Helvetica" w:cs="Helvetica"/>
            <w:noProof/>
          </w:rPr>
          <w:t>4.4.</w:t>
        </w:r>
        <w:r w:rsidR="00423132">
          <w:rPr>
            <w:rStyle w:val="Hyperlink"/>
            <w:rFonts w:ascii="Helvetica" w:hAnsi="Helvetica" w:cs="Helvetica"/>
            <w:noProof/>
          </w:rPr>
          <w:t xml:space="preserve">  </w:t>
        </w:r>
        <w:r w:rsidR="00423132" w:rsidRPr="009062B5">
          <w:rPr>
            <w:rStyle w:val="Hyperlink"/>
            <w:rFonts w:ascii="Helvetica" w:hAnsi="Helvetica" w:cs="Helvetica"/>
            <w:noProof/>
          </w:rPr>
          <w:t>Issue 5 - Should PG&amp;E's proposal to reduce the residential Tier 1 and Tier 2 bundled rate differential to 1.2 over four years be approved?</w:t>
        </w:r>
        <w:r w:rsidR="00423132">
          <w:rPr>
            <w:noProof/>
            <w:webHidden/>
          </w:rPr>
          <w:tab/>
        </w:r>
        <w:r w:rsidR="00423132">
          <w:rPr>
            <w:noProof/>
            <w:webHidden/>
          </w:rPr>
          <w:fldChar w:fldCharType="begin"/>
        </w:r>
        <w:r w:rsidR="00423132">
          <w:rPr>
            <w:noProof/>
            <w:webHidden/>
          </w:rPr>
          <w:instrText xml:space="preserve"> PAGEREF _Toc20144547 \h </w:instrText>
        </w:r>
        <w:r w:rsidR="00423132">
          <w:rPr>
            <w:noProof/>
            <w:webHidden/>
          </w:rPr>
        </w:r>
        <w:r w:rsidR="00423132">
          <w:rPr>
            <w:noProof/>
            <w:webHidden/>
          </w:rPr>
          <w:fldChar w:fldCharType="separate"/>
        </w:r>
        <w:r>
          <w:rPr>
            <w:noProof/>
            <w:webHidden/>
          </w:rPr>
          <w:t>32</w:t>
        </w:r>
        <w:r w:rsidR="00423132">
          <w:rPr>
            <w:noProof/>
            <w:webHidden/>
          </w:rPr>
          <w:fldChar w:fldCharType="end"/>
        </w:r>
      </w:hyperlink>
    </w:p>
    <w:p w14:paraId="34C09C3C" w14:textId="7F20EE39" w:rsidR="00423132" w:rsidRDefault="0077278C" w:rsidP="00423132">
      <w:pPr>
        <w:pStyle w:val="TOC2"/>
        <w:tabs>
          <w:tab w:val="left" w:pos="2160"/>
        </w:tabs>
        <w:spacing w:after="120"/>
        <w:rPr>
          <w:rFonts w:asciiTheme="minorHAnsi" w:eastAsiaTheme="minorEastAsia" w:hAnsiTheme="minorHAnsi" w:cstheme="minorBidi"/>
          <w:noProof/>
          <w:sz w:val="22"/>
          <w:szCs w:val="22"/>
        </w:rPr>
      </w:pPr>
      <w:hyperlink w:anchor="_Toc20144548" w:history="1">
        <w:r w:rsidR="00423132" w:rsidRPr="009062B5">
          <w:rPr>
            <w:rStyle w:val="Hyperlink"/>
            <w:rFonts w:ascii="Helvetica" w:hAnsi="Helvetica" w:cs="Helvetica"/>
            <w:noProof/>
          </w:rPr>
          <w:t>4.5.</w:t>
        </w:r>
        <w:r w:rsidR="00423132">
          <w:rPr>
            <w:rStyle w:val="Hyperlink"/>
            <w:rFonts w:ascii="Helvetica" w:hAnsi="Helvetica" w:cs="Helvetica"/>
            <w:noProof/>
          </w:rPr>
          <w:t xml:space="preserve">  </w:t>
        </w:r>
        <w:r w:rsidR="00423132" w:rsidRPr="009062B5">
          <w:rPr>
            <w:rStyle w:val="Hyperlink"/>
            <w:rFonts w:ascii="Helvetica" w:hAnsi="Helvetica" w:cs="Helvetica"/>
            <w:noProof/>
          </w:rPr>
          <w:t xml:space="preserve">Issue 6 - Should PG&amp;E's proposals regarding residential minimum transportation charges be adopted as follows:  (i) a residential minimum transportation charge of $15 dollars for non-CARE customer basic service; </w:t>
        </w:r>
        <w:r w:rsidR="00423132" w:rsidRPr="009062B5">
          <w:rPr>
            <w:rStyle w:val="Hyperlink"/>
            <w:rFonts w:ascii="Helvetica" w:hAnsi="Helvetica" w:cs="Helvetica"/>
            <w:noProof/>
          </w:rPr>
          <w:lastRenderedPageBreak/>
          <w:t>and, (ii) a higher super-peak minimum transportation charge of $45 for non-CARE residential customers with daily peak usage of at least 15 therms?</w:t>
        </w:r>
        <w:r w:rsidR="00423132">
          <w:rPr>
            <w:noProof/>
            <w:webHidden/>
          </w:rPr>
          <w:tab/>
        </w:r>
        <w:r w:rsidR="00423132">
          <w:rPr>
            <w:noProof/>
            <w:webHidden/>
          </w:rPr>
          <w:fldChar w:fldCharType="begin"/>
        </w:r>
        <w:r w:rsidR="00423132">
          <w:rPr>
            <w:noProof/>
            <w:webHidden/>
          </w:rPr>
          <w:instrText xml:space="preserve"> PAGEREF _Toc20144548 \h </w:instrText>
        </w:r>
        <w:r w:rsidR="00423132">
          <w:rPr>
            <w:noProof/>
            <w:webHidden/>
          </w:rPr>
        </w:r>
        <w:r w:rsidR="00423132">
          <w:rPr>
            <w:noProof/>
            <w:webHidden/>
          </w:rPr>
          <w:fldChar w:fldCharType="separate"/>
        </w:r>
        <w:r>
          <w:rPr>
            <w:noProof/>
            <w:webHidden/>
          </w:rPr>
          <w:t>35</w:t>
        </w:r>
        <w:r w:rsidR="00423132">
          <w:rPr>
            <w:noProof/>
            <w:webHidden/>
          </w:rPr>
          <w:fldChar w:fldCharType="end"/>
        </w:r>
      </w:hyperlink>
    </w:p>
    <w:p w14:paraId="5C367CD1" w14:textId="0E0F5D8A" w:rsidR="00423132" w:rsidRDefault="0077278C" w:rsidP="00423132">
      <w:pPr>
        <w:pStyle w:val="TOC2"/>
        <w:tabs>
          <w:tab w:val="left" w:pos="2160"/>
        </w:tabs>
        <w:spacing w:after="120"/>
        <w:rPr>
          <w:rFonts w:asciiTheme="minorHAnsi" w:eastAsiaTheme="minorEastAsia" w:hAnsiTheme="minorHAnsi" w:cstheme="minorBidi"/>
          <w:noProof/>
          <w:sz w:val="22"/>
          <w:szCs w:val="22"/>
        </w:rPr>
      </w:pPr>
      <w:hyperlink w:anchor="_Toc20144549" w:history="1">
        <w:r w:rsidR="00423132" w:rsidRPr="009062B5">
          <w:rPr>
            <w:rStyle w:val="Hyperlink"/>
            <w:rFonts w:ascii="Helvetica" w:hAnsi="Helvetica" w:cs="Helvetica"/>
            <w:noProof/>
          </w:rPr>
          <w:t>4.6.</w:t>
        </w:r>
        <w:r w:rsidR="00423132">
          <w:rPr>
            <w:rStyle w:val="Hyperlink"/>
            <w:rFonts w:ascii="Helvetica" w:hAnsi="Helvetica" w:cs="Helvetica"/>
            <w:noProof/>
          </w:rPr>
          <w:t xml:space="preserve">  </w:t>
        </w:r>
        <w:r w:rsidR="00423132" w:rsidRPr="009062B5">
          <w:rPr>
            <w:rStyle w:val="Hyperlink"/>
            <w:rFonts w:ascii="Helvetica" w:hAnsi="Helvetica" w:cs="Helvetica"/>
            <w:noProof/>
          </w:rPr>
          <w:t>Issue 7 - Are the residential and non-residential gas rates proposed and the expected rate and bill impacts that result from the implementation of PG&amp;E’s cost allocation and rate design proposals, and the cost allocation methodology itself, just and reasonable, and if so, should they be adopted?</w:t>
        </w:r>
        <w:r w:rsidR="00423132">
          <w:rPr>
            <w:noProof/>
            <w:webHidden/>
          </w:rPr>
          <w:tab/>
        </w:r>
        <w:r w:rsidR="00423132">
          <w:rPr>
            <w:noProof/>
            <w:webHidden/>
          </w:rPr>
          <w:fldChar w:fldCharType="begin"/>
        </w:r>
        <w:r w:rsidR="00423132">
          <w:rPr>
            <w:noProof/>
            <w:webHidden/>
          </w:rPr>
          <w:instrText xml:space="preserve"> PAGEREF _Toc20144549 \h </w:instrText>
        </w:r>
        <w:r w:rsidR="00423132">
          <w:rPr>
            <w:noProof/>
            <w:webHidden/>
          </w:rPr>
        </w:r>
        <w:r w:rsidR="00423132">
          <w:rPr>
            <w:noProof/>
            <w:webHidden/>
          </w:rPr>
          <w:fldChar w:fldCharType="separate"/>
        </w:r>
        <w:r>
          <w:rPr>
            <w:noProof/>
            <w:webHidden/>
          </w:rPr>
          <w:t>48</w:t>
        </w:r>
        <w:r w:rsidR="00423132">
          <w:rPr>
            <w:noProof/>
            <w:webHidden/>
          </w:rPr>
          <w:fldChar w:fldCharType="end"/>
        </w:r>
      </w:hyperlink>
    </w:p>
    <w:p w14:paraId="315F41A8" w14:textId="75CDC944" w:rsidR="00423132" w:rsidRDefault="0077278C" w:rsidP="00423132">
      <w:pPr>
        <w:pStyle w:val="TOC2"/>
        <w:tabs>
          <w:tab w:val="left" w:pos="2160"/>
        </w:tabs>
        <w:spacing w:after="120"/>
        <w:rPr>
          <w:rFonts w:asciiTheme="minorHAnsi" w:eastAsiaTheme="minorEastAsia" w:hAnsiTheme="minorHAnsi" w:cstheme="minorBidi"/>
          <w:noProof/>
          <w:sz w:val="22"/>
          <w:szCs w:val="22"/>
        </w:rPr>
      </w:pPr>
      <w:hyperlink w:anchor="_Toc20144550" w:history="1">
        <w:r w:rsidR="00423132" w:rsidRPr="009062B5">
          <w:rPr>
            <w:rStyle w:val="Hyperlink"/>
            <w:rFonts w:ascii="Helvetica" w:hAnsi="Helvetica" w:cs="Helvetica"/>
            <w:noProof/>
          </w:rPr>
          <w:t>4.7.</w:t>
        </w:r>
        <w:r w:rsidR="00423132">
          <w:rPr>
            <w:rStyle w:val="Hyperlink"/>
            <w:rFonts w:ascii="Helvetica" w:hAnsi="Helvetica" w:cs="Helvetica"/>
            <w:noProof/>
          </w:rPr>
          <w:t xml:space="preserve">  </w:t>
        </w:r>
        <w:r w:rsidR="00423132" w:rsidRPr="009062B5">
          <w:rPr>
            <w:rStyle w:val="Hyperlink"/>
            <w:rFonts w:ascii="Helvetica" w:hAnsi="Helvetica" w:cs="Helvetica"/>
            <w:noProof/>
          </w:rPr>
          <w:t>Issue 8 - Should PG&amp;E's proposal for the update to the Core Brokerage Fee be approved?</w:t>
        </w:r>
        <w:r w:rsidR="00423132">
          <w:rPr>
            <w:noProof/>
            <w:webHidden/>
          </w:rPr>
          <w:tab/>
        </w:r>
        <w:r w:rsidR="00423132">
          <w:rPr>
            <w:noProof/>
            <w:webHidden/>
          </w:rPr>
          <w:fldChar w:fldCharType="begin"/>
        </w:r>
        <w:r w:rsidR="00423132">
          <w:rPr>
            <w:noProof/>
            <w:webHidden/>
          </w:rPr>
          <w:instrText xml:space="preserve"> PAGEREF _Toc20144550 \h </w:instrText>
        </w:r>
        <w:r w:rsidR="00423132">
          <w:rPr>
            <w:noProof/>
            <w:webHidden/>
          </w:rPr>
        </w:r>
        <w:r w:rsidR="00423132">
          <w:rPr>
            <w:noProof/>
            <w:webHidden/>
          </w:rPr>
          <w:fldChar w:fldCharType="separate"/>
        </w:r>
        <w:r>
          <w:rPr>
            <w:noProof/>
            <w:webHidden/>
          </w:rPr>
          <w:t>49</w:t>
        </w:r>
        <w:r w:rsidR="00423132">
          <w:rPr>
            <w:noProof/>
            <w:webHidden/>
          </w:rPr>
          <w:fldChar w:fldCharType="end"/>
        </w:r>
      </w:hyperlink>
    </w:p>
    <w:p w14:paraId="2E669ACE" w14:textId="0C9F0E53" w:rsidR="00423132" w:rsidRDefault="0077278C" w:rsidP="00423132">
      <w:pPr>
        <w:pStyle w:val="TOC2"/>
        <w:tabs>
          <w:tab w:val="left" w:pos="2160"/>
        </w:tabs>
        <w:spacing w:after="120"/>
        <w:rPr>
          <w:rFonts w:asciiTheme="minorHAnsi" w:eastAsiaTheme="minorEastAsia" w:hAnsiTheme="minorHAnsi" w:cstheme="minorBidi"/>
          <w:noProof/>
          <w:sz w:val="22"/>
          <w:szCs w:val="22"/>
        </w:rPr>
      </w:pPr>
      <w:hyperlink w:anchor="_Toc20144551" w:history="1">
        <w:r w:rsidR="00423132" w:rsidRPr="009062B5">
          <w:rPr>
            <w:rStyle w:val="Hyperlink"/>
            <w:rFonts w:ascii="Helvetica" w:hAnsi="Helvetica" w:cs="Helvetica"/>
            <w:noProof/>
          </w:rPr>
          <w:t>4.8.</w:t>
        </w:r>
        <w:r w:rsidR="00423132">
          <w:rPr>
            <w:rStyle w:val="Hyperlink"/>
            <w:rFonts w:ascii="Helvetica" w:hAnsi="Helvetica" w:cs="Helvetica"/>
            <w:noProof/>
          </w:rPr>
          <w:t xml:space="preserve">  </w:t>
        </w:r>
        <w:r w:rsidR="00423132" w:rsidRPr="009062B5">
          <w:rPr>
            <w:rStyle w:val="Hyperlink"/>
            <w:rFonts w:ascii="Helvetica" w:hAnsi="Helvetica" w:cs="Helvetica"/>
            <w:noProof/>
          </w:rPr>
          <w:t>Issue 9 - Should PG&amp;E's proposal to update the master meter discount and the master meter discount diversity benefit adjustment be approved?</w:t>
        </w:r>
        <w:r w:rsidR="00423132">
          <w:rPr>
            <w:noProof/>
            <w:webHidden/>
          </w:rPr>
          <w:tab/>
        </w:r>
        <w:r w:rsidR="00423132">
          <w:rPr>
            <w:noProof/>
            <w:webHidden/>
          </w:rPr>
          <w:fldChar w:fldCharType="begin"/>
        </w:r>
        <w:r w:rsidR="00423132">
          <w:rPr>
            <w:noProof/>
            <w:webHidden/>
          </w:rPr>
          <w:instrText xml:space="preserve"> PAGEREF _Toc20144551 \h </w:instrText>
        </w:r>
        <w:r w:rsidR="00423132">
          <w:rPr>
            <w:noProof/>
            <w:webHidden/>
          </w:rPr>
        </w:r>
        <w:r w:rsidR="00423132">
          <w:rPr>
            <w:noProof/>
            <w:webHidden/>
          </w:rPr>
          <w:fldChar w:fldCharType="separate"/>
        </w:r>
        <w:r>
          <w:rPr>
            <w:noProof/>
            <w:webHidden/>
          </w:rPr>
          <w:t>51</w:t>
        </w:r>
        <w:r w:rsidR="00423132">
          <w:rPr>
            <w:noProof/>
            <w:webHidden/>
          </w:rPr>
          <w:fldChar w:fldCharType="end"/>
        </w:r>
      </w:hyperlink>
    </w:p>
    <w:p w14:paraId="314DA355" w14:textId="52C19C83" w:rsidR="00423132" w:rsidRDefault="0077278C" w:rsidP="00423132">
      <w:pPr>
        <w:pStyle w:val="TOC2"/>
        <w:tabs>
          <w:tab w:val="left" w:pos="2160"/>
        </w:tabs>
        <w:spacing w:after="120"/>
        <w:rPr>
          <w:rFonts w:asciiTheme="minorHAnsi" w:eastAsiaTheme="minorEastAsia" w:hAnsiTheme="minorHAnsi" w:cstheme="minorBidi"/>
          <w:noProof/>
          <w:sz w:val="22"/>
          <w:szCs w:val="22"/>
        </w:rPr>
      </w:pPr>
      <w:hyperlink w:anchor="_Toc20144552" w:history="1">
        <w:r w:rsidR="00423132" w:rsidRPr="009062B5">
          <w:rPr>
            <w:rStyle w:val="Hyperlink"/>
            <w:rFonts w:ascii="Helvetica" w:hAnsi="Helvetica" w:cs="Helvetica"/>
            <w:noProof/>
          </w:rPr>
          <w:t>4.9.</w:t>
        </w:r>
        <w:r w:rsidR="00423132">
          <w:rPr>
            <w:rStyle w:val="Hyperlink"/>
            <w:rFonts w:ascii="Helvetica" w:hAnsi="Helvetica" w:cs="Helvetica"/>
            <w:noProof/>
          </w:rPr>
          <w:t xml:space="preserve">  </w:t>
        </w:r>
        <w:r w:rsidR="00423132" w:rsidRPr="009062B5">
          <w:rPr>
            <w:rStyle w:val="Hyperlink"/>
            <w:rFonts w:ascii="Helvetica" w:hAnsi="Helvetica" w:cs="Helvetica"/>
            <w:noProof/>
          </w:rPr>
          <w:t>Issue 10 - Should PG&amp;E's proposed natural gas vehicle compression rate be approved?</w:t>
        </w:r>
        <w:r w:rsidR="00423132">
          <w:rPr>
            <w:noProof/>
            <w:webHidden/>
          </w:rPr>
          <w:tab/>
        </w:r>
        <w:r w:rsidR="00423132">
          <w:rPr>
            <w:noProof/>
            <w:webHidden/>
          </w:rPr>
          <w:fldChar w:fldCharType="begin"/>
        </w:r>
        <w:r w:rsidR="00423132">
          <w:rPr>
            <w:noProof/>
            <w:webHidden/>
          </w:rPr>
          <w:instrText xml:space="preserve"> PAGEREF _Toc20144552 \h </w:instrText>
        </w:r>
        <w:r w:rsidR="00423132">
          <w:rPr>
            <w:noProof/>
            <w:webHidden/>
          </w:rPr>
        </w:r>
        <w:r w:rsidR="00423132">
          <w:rPr>
            <w:noProof/>
            <w:webHidden/>
          </w:rPr>
          <w:fldChar w:fldCharType="separate"/>
        </w:r>
        <w:r>
          <w:rPr>
            <w:noProof/>
            <w:webHidden/>
          </w:rPr>
          <w:t>58</w:t>
        </w:r>
        <w:r w:rsidR="00423132">
          <w:rPr>
            <w:noProof/>
            <w:webHidden/>
          </w:rPr>
          <w:fldChar w:fldCharType="end"/>
        </w:r>
      </w:hyperlink>
    </w:p>
    <w:p w14:paraId="0A7FCD32" w14:textId="06CCEB61" w:rsidR="00423132" w:rsidRDefault="0077278C" w:rsidP="00423132">
      <w:pPr>
        <w:pStyle w:val="TOC2"/>
        <w:tabs>
          <w:tab w:val="left" w:pos="2160"/>
        </w:tabs>
        <w:spacing w:after="120"/>
        <w:rPr>
          <w:rFonts w:asciiTheme="minorHAnsi" w:eastAsiaTheme="minorEastAsia" w:hAnsiTheme="minorHAnsi" w:cstheme="minorBidi"/>
          <w:noProof/>
          <w:sz w:val="22"/>
          <w:szCs w:val="22"/>
        </w:rPr>
      </w:pPr>
      <w:hyperlink w:anchor="_Toc20144553" w:history="1">
        <w:r w:rsidR="00423132" w:rsidRPr="009062B5">
          <w:rPr>
            <w:rStyle w:val="Hyperlink"/>
            <w:rFonts w:ascii="Helvetica" w:hAnsi="Helvetica" w:cs="Helvetica"/>
            <w:noProof/>
          </w:rPr>
          <w:t>4.10.</w:t>
        </w:r>
        <w:r w:rsidR="00423132">
          <w:rPr>
            <w:rStyle w:val="Hyperlink"/>
            <w:rFonts w:ascii="Helvetica" w:hAnsi="Helvetica" w:cs="Helvetica"/>
            <w:noProof/>
          </w:rPr>
          <w:t xml:space="preserve">  </w:t>
        </w:r>
        <w:r w:rsidR="00423132" w:rsidRPr="009062B5">
          <w:rPr>
            <w:rStyle w:val="Hyperlink"/>
            <w:rFonts w:ascii="Helvetica" w:hAnsi="Helvetica" w:cs="Helvetica"/>
            <w:noProof/>
          </w:rPr>
          <w:t>Issues 11 and 12 - Energy Efficiency (EE) and Energy Savings Assistance (ESA) Programs</w:t>
        </w:r>
        <w:r w:rsidR="00423132">
          <w:rPr>
            <w:noProof/>
            <w:webHidden/>
          </w:rPr>
          <w:tab/>
        </w:r>
        <w:r w:rsidR="00423132">
          <w:rPr>
            <w:noProof/>
            <w:webHidden/>
          </w:rPr>
          <w:fldChar w:fldCharType="begin"/>
        </w:r>
        <w:r w:rsidR="00423132">
          <w:rPr>
            <w:noProof/>
            <w:webHidden/>
          </w:rPr>
          <w:instrText xml:space="preserve"> PAGEREF _Toc20144553 \h </w:instrText>
        </w:r>
        <w:r w:rsidR="00423132">
          <w:rPr>
            <w:noProof/>
            <w:webHidden/>
          </w:rPr>
        </w:r>
        <w:r w:rsidR="00423132">
          <w:rPr>
            <w:noProof/>
            <w:webHidden/>
          </w:rPr>
          <w:fldChar w:fldCharType="separate"/>
        </w:r>
        <w:r>
          <w:rPr>
            <w:noProof/>
            <w:webHidden/>
          </w:rPr>
          <w:t>60</w:t>
        </w:r>
        <w:r w:rsidR="00423132">
          <w:rPr>
            <w:noProof/>
            <w:webHidden/>
          </w:rPr>
          <w:fldChar w:fldCharType="end"/>
        </w:r>
      </w:hyperlink>
    </w:p>
    <w:p w14:paraId="63EFBE6B" w14:textId="40F43D37" w:rsidR="00423132" w:rsidRDefault="0077278C" w:rsidP="00423132">
      <w:pPr>
        <w:pStyle w:val="TOC2"/>
        <w:tabs>
          <w:tab w:val="left" w:pos="2160"/>
        </w:tabs>
        <w:spacing w:after="120"/>
        <w:rPr>
          <w:rFonts w:asciiTheme="minorHAnsi" w:eastAsiaTheme="minorEastAsia" w:hAnsiTheme="minorHAnsi" w:cstheme="minorBidi"/>
          <w:noProof/>
          <w:sz w:val="22"/>
          <w:szCs w:val="22"/>
        </w:rPr>
      </w:pPr>
      <w:hyperlink w:anchor="_Toc20144554" w:history="1">
        <w:r w:rsidR="00423132" w:rsidRPr="009062B5">
          <w:rPr>
            <w:rStyle w:val="Hyperlink"/>
            <w:rFonts w:ascii="Helvetica" w:hAnsi="Helvetica" w:cs="Helvetica"/>
            <w:noProof/>
          </w:rPr>
          <w:t>4.11.</w:t>
        </w:r>
        <w:r w:rsidR="00423132">
          <w:rPr>
            <w:rStyle w:val="Hyperlink"/>
            <w:rFonts w:ascii="Helvetica" w:hAnsi="Helvetica" w:cs="Helvetica"/>
            <w:noProof/>
          </w:rPr>
          <w:t xml:space="preserve">  </w:t>
        </w:r>
        <w:r w:rsidR="00423132" w:rsidRPr="009062B5">
          <w:rPr>
            <w:rStyle w:val="Hyperlink"/>
            <w:rFonts w:ascii="Helvetica" w:hAnsi="Helvetica" w:cs="Helvetica"/>
            <w:noProof/>
          </w:rPr>
          <w:t>Issue 13 - Should the Commission adopt PG&amp;E’s proposed schedule for submission of future GCAP applications?</w:t>
        </w:r>
        <w:r w:rsidR="00423132">
          <w:rPr>
            <w:noProof/>
            <w:webHidden/>
          </w:rPr>
          <w:tab/>
        </w:r>
        <w:r w:rsidR="00423132">
          <w:rPr>
            <w:noProof/>
            <w:webHidden/>
          </w:rPr>
          <w:fldChar w:fldCharType="begin"/>
        </w:r>
        <w:r w:rsidR="00423132">
          <w:rPr>
            <w:noProof/>
            <w:webHidden/>
          </w:rPr>
          <w:instrText xml:space="preserve"> PAGEREF _Toc20144554 \h </w:instrText>
        </w:r>
        <w:r w:rsidR="00423132">
          <w:rPr>
            <w:noProof/>
            <w:webHidden/>
          </w:rPr>
        </w:r>
        <w:r w:rsidR="00423132">
          <w:rPr>
            <w:noProof/>
            <w:webHidden/>
          </w:rPr>
          <w:fldChar w:fldCharType="separate"/>
        </w:r>
        <w:r>
          <w:rPr>
            <w:noProof/>
            <w:webHidden/>
          </w:rPr>
          <w:t>71</w:t>
        </w:r>
        <w:r w:rsidR="00423132">
          <w:rPr>
            <w:noProof/>
            <w:webHidden/>
          </w:rPr>
          <w:fldChar w:fldCharType="end"/>
        </w:r>
      </w:hyperlink>
    </w:p>
    <w:p w14:paraId="7F69051B" w14:textId="43641579" w:rsidR="00423132" w:rsidRDefault="0077278C" w:rsidP="00423132">
      <w:pPr>
        <w:pStyle w:val="TOC2"/>
        <w:tabs>
          <w:tab w:val="left" w:pos="2160"/>
        </w:tabs>
        <w:spacing w:after="120"/>
        <w:rPr>
          <w:rFonts w:asciiTheme="minorHAnsi" w:eastAsiaTheme="minorEastAsia" w:hAnsiTheme="minorHAnsi" w:cstheme="minorBidi"/>
          <w:noProof/>
          <w:sz w:val="22"/>
          <w:szCs w:val="22"/>
        </w:rPr>
      </w:pPr>
      <w:hyperlink w:anchor="_Toc20144555" w:history="1">
        <w:r w:rsidR="00423132" w:rsidRPr="009062B5">
          <w:rPr>
            <w:rStyle w:val="Hyperlink"/>
            <w:rFonts w:ascii="Helvetica" w:hAnsi="Helvetica" w:cs="Helvetica"/>
            <w:noProof/>
          </w:rPr>
          <w:t>4.12.</w:t>
        </w:r>
        <w:r w:rsidR="00423132">
          <w:rPr>
            <w:rStyle w:val="Hyperlink"/>
            <w:rFonts w:ascii="Helvetica" w:hAnsi="Helvetica" w:cs="Helvetica"/>
            <w:noProof/>
          </w:rPr>
          <w:t xml:space="preserve">  </w:t>
        </w:r>
        <w:r w:rsidR="00423132" w:rsidRPr="009062B5">
          <w:rPr>
            <w:rStyle w:val="Hyperlink"/>
            <w:rFonts w:ascii="Helvetica" w:hAnsi="Helvetica" w:cs="Helvetica"/>
            <w:noProof/>
          </w:rPr>
          <w:t>Summary of Outcomes</w:t>
        </w:r>
        <w:r w:rsidR="00423132">
          <w:rPr>
            <w:noProof/>
            <w:webHidden/>
          </w:rPr>
          <w:tab/>
        </w:r>
        <w:r w:rsidR="00423132">
          <w:rPr>
            <w:noProof/>
            <w:webHidden/>
          </w:rPr>
          <w:fldChar w:fldCharType="begin"/>
        </w:r>
        <w:r w:rsidR="00423132">
          <w:rPr>
            <w:noProof/>
            <w:webHidden/>
          </w:rPr>
          <w:instrText xml:space="preserve"> PAGEREF _Toc20144555 \h </w:instrText>
        </w:r>
        <w:r w:rsidR="00423132">
          <w:rPr>
            <w:noProof/>
            <w:webHidden/>
          </w:rPr>
        </w:r>
        <w:r w:rsidR="00423132">
          <w:rPr>
            <w:noProof/>
            <w:webHidden/>
          </w:rPr>
          <w:fldChar w:fldCharType="separate"/>
        </w:r>
        <w:r>
          <w:rPr>
            <w:noProof/>
            <w:webHidden/>
          </w:rPr>
          <w:t>72</w:t>
        </w:r>
        <w:r w:rsidR="00423132">
          <w:rPr>
            <w:noProof/>
            <w:webHidden/>
          </w:rPr>
          <w:fldChar w:fldCharType="end"/>
        </w:r>
      </w:hyperlink>
    </w:p>
    <w:p w14:paraId="7AF5CEC5" w14:textId="45DA4F8D" w:rsidR="00423132" w:rsidRDefault="0077278C" w:rsidP="00423132">
      <w:pPr>
        <w:pStyle w:val="TOC1"/>
        <w:tabs>
          <w:tab w:val="left" w:pos="450"/>
          <w:tab w:val="right" w:leader="dot" w:pos="9350"/>
        </w:tabs>
        <w:spacing w:after="120"/>
        <w:rPr>
          <w:rFonts w:asciiTheme="minorHAnsi" w:eastAsiaTheme="minorEastAsia" w:hAnsiTheme="minorHAnsi" w:cstheme="minorBidi"/>
          <w:noProof/>
          <w:sz w:val="22"/>
          <w:szCs w:val="22"/>
        </w:rPr>
      </w:pPr>
      <w:hyperlink w:anchor="_Toc20144556" w:history="1">
        <w:r w:rsidR="00423132" w:rsidRPr="009062B5">
          <w:rPr>
            <w:rStyle w:val="Hyperlink"/>
            <w:noProof/>
          </w:rPr>
          <w:t>5.</w:t>
        </w:r>
        <w:r w:rsidR="00423132">
          <w:rPr>
            <w:rFonts w:asciiTheme="minorHAnsi" w:eastAsiaTheme="minorEastAsia" w:hAnsiTheme="minorHAnsi" w:cstheme="minorBidi"/>
            <w:noProof/>
            <w:sz w:val="22"/>
            <w:szCs w:val="22"/>
          </w:rPr>
          <w:tab/>
        </w:r>
        <w:r w:rsidR="00423132" w:rsidRPr="009062B5">
          <w:rPr>
            <w:rStyle w:val="Hyperlink"/>
            <w:noProof/>
          </w:rPr>
          <w:t>Comments on Proposed Decision</w:t>
        </w:r>
        <w:r w:rsidR="00423132">
          <w:rPr>
            <w:noProof/>
            <w:webHidden/>
          </w:rPr>
          <w:tab/>
        </w:r>
        <w:r w:rsidR="00423132">
          <w:rPr>
            <w:noProof/>
            <w:webHidden/>
          </w:rPr>
          <w:fldChar w:fldCharType="begin"/>
        </w:r>
        <w:r w:rsidR="00423132">
          <w:rPr>
            <w:noProof/>
            <w:webHidden/>
          </w:rPr>
          <w:instrText xml:space="preserve"> PAGEREF _Toc20144556 \h </w:instrText>
        </w:r>
        <w:r w:rsidR="00423132">
          <w:rPr>
            <w:noProof/>
            <w:webHidden/>
          </w:rPr>
        </w:r>
        <w:r w:rsidR="00423132">
          <w:rPr>
            <w:noProof/>
            <w:webHidden/>
          </w:rPr>
          <w:fldChar w:fldCharType="separate"/>
        </w:r>
        <w:r>
          <w:rPr>
            <w:noProof/>
            <w:webHidden/>
          </w:rPr>
          <w:t>73</w:t>
        </w:r>
        <w:r w:rsidR="00423132">
          <w:rPr>
            <w:noProof/>
            <w:webHidden/>
          </w:rPr>
          <w:fldChar w:fldCharType="end"/>
        </w:r>
      </w:hyperlink>
    </w:p>
    <w:p w14:paraId="430A6669" w14:textId="1C400652" w:rsidR="00423132" w:rsidRDefault="0077278C" w:rsidP="00423132">
      <w:pPr>
        <w:pStyle w:val="TOC1"/>
        <w:tabs>
          <w:tab w:val="left" w:pos="450"/>
          <w:tab w:val="right" w:leader="dot" w:pos="9350"/>
        </w:tabs>
        <w:spacing w:after="120"/>
        <w:rPr>
          <w:rFonts w:asciiTheme="minorHAnsi" w:eastAsiaTheme="minorEastAsia" w:hAnsiTheme="minorHAnsi" w:cstheme="minorBidi"/>
          <w:noProof/>
          <w:sz w:val="22"/>
          <w:szCs w:val="22"/>
        </w:rPr>
      </w:pPr>
      <w:hyperlink w:anchor="_Toc20144557" w:history="1">
        <w:r w:rsidR="00423132" w:rsidRPr="009062B5">
          <w:rPr>
            <w:rStyle w:val="Hyperlink"/>
            <w:noProof/>
          </w:rPr>
          <w:t>6.</w:t>
        </w:r>
        <w:r w:rsidR="00423132">
          <w:rPr>
            <w:rFonts w:asciiTheme="minorHAnsi" w:eastAsiaTheme="minorEastAsia" w:hAnsiTheme="minorHAnsi" w:cstheme="minorBidi"/>
            <w:noProof/>
            <w:sz w:val="22"/>
            <w:szCs w:val="22"/>
          </w:rPr>
          <w:tab/>
        </w:r>
        <w:r w:rsidR="00423132" w:rsidRPr="009062B5">
          <w:rPr>
            <w:rStyle w:val="Hyperlink"/>
            <w:noProof/>
          </w:rPr>
          <w:t>Assignment of Proceeding</w:t>
        </w:r>
        <w:r w:rsidR="00423132">
          <w:rPr>
            <w:noProof/>
            <w:webHidden/>
          </w:rPr>
          <w:tab/>
        </w:r>
        <w:r w:rsidR="00423132">
          <w:rPr>
            <w:noProof/>
            <w:webHidden/>
          </w:rPr>
          <w:fldChar w:fldCharType="begin"/>
        </w:r>
        <w:r w:rsidR="00423132">
          <w:rPr>
            <w:noProof/>
            <w:webHidden/>
          </w:rPr>
          <w:instrText xml:space="preserve"> PAGEREF _Toc20144557 \h </w:instrText>
        </w:r>
        <w:r w:rsidR="00423132">
          <w:rPr>
            <w:noProof/>
            <w:webHidden/>
          </w:rPr>
        </w:r>
        <w:r w:rsidR="00423132">
          <w:rPr>
            <w:noProof/>
            <w:webHidden/>
          </w:rPr>
          <w:fldChar w:fldCharType="separate"/>
        </w:r>
        <w:r>
          <w:rPr>
            <w:noProof/>
            <w:webHidden/>
          </w:rPr>
          <w:t>74</w:t>
        </w:r>
        <w:r w:rsidR="00423132">
          <w:rPr>
            <w:noProof/>
            <w:webHidden/>
          </w:rPr>
          <w:fldChar w:fldCharType="end"/>
        </w:r>
      </w:hyperlink>
    </w:p>
    <w:p w14:paraId="010793F4" w14:textId="3AD3C278" w:rsidR="00423132" w:rsidRDefault="0077278C" w:rsidP="00423132">
      <w:pPr>
        <w:pStyle w:val="TOC1"/>
        <w:tabs>
          <w:tab w:val="right" w:leader="dot" w:pos="9350"/>
        </w:tabs>
        <w:spacing w:after="120"/>
        <w:rPr>
          <w:rFonts w:asciiTheme="minorHAnsi" w:eastAsiaTheme="minorEastAsia" w:hAnsiTheme="minorHAnsi" w:cstheme="minorBidi"/>
          <w:noProof/>
          <w:sz w:val="22"/>
          <w:szCs w:val="22"/>
        </w:rPr>
      </w:pPr>
      <w:hyperlink w:anchor="_Toc20144558" w:history="1">
        <w:r w:rsidR="00423132" w:rsidRPr="009062B5">
          <w:rPr>
            <w:rStyle w:val="Hyperlink"/>
            <w:rFonts w:cs="Helvetica"/>
            <w:noProof/>
          </w:rPr>
          <w:t>Findings of Fact</w:t>
        </w:r>
        <w:r w:rsidR="00423132">
          <w:rPr>
            <w:noProof/>
            <w:webHidden/>
          </w:rPr>
          <w:tab/>
        </w:r>
        <w:r w:rsidR="00423132">
          <w:rPr>
            <w:noProof/>
            <w:webHidden/>
          </w:rPr>
          <w:fldChar w:fldCharType="begin"/>
        </w:r>
        <w:r w:rsidR="00423132">
          <w:rPr>
            <w:noProof/>
            <w:webHidden/>
          </w:rPr>
          <w:instrText xml:space="preserve"> PAGEREF _Toc20144558 \h </w:instrText>
        </w:r>
        <w:r w:rsidR="00423132">
          <w:rPr>
            <w:noProof/>
            <w:webHidden/>
          </w:rPr>
        </w:r>
        <w:r w:rsidR="00423132">
          <w:rPr>
            <w:noProof/>
            <w:webHidden/>
          </w:rPr>
          <w:fldChar w:fldCharType="separate"/>
        </w:r>
        <w:r>
          <w:rPr>
            <w:noProof/>
            <w:webHidden/>
          </w:rPr>
          <w:t>74</w:t>
        </w:r>
        <w:r w:rsidR="00423132">
          <w:rPr>
            <w:noProof/>
            <w:webHidden/>
          </w:rPr>
          <w:fldChar w:fldCharType="end"/>
        </w:r>
      </w:hyperlink>
    </w:p>
    <w:p w14:paraId="1AC3A7E6" w14:textId="25CCCEEB" w:rsidR="00423132" w:rsidRDefault="0077278C" w:rsidP="00423132">
      <w:pPr>
        <w:pStyle w:val="TOC1"/>
        <w:tabs>
          <w:tab w:val="right" w:leader="dot" w:pos="9350"/>
        </w:tabs>
        <w:spacing w:after="120"/>
        <w:rPr>
          <w:rFonts w:asciiTheme="minorHAnsi" w:eastAsiaTheme="minorEastAsia" w:hAnsiTheme="minorHAnsi" w:cstheme="minorBidi"/>
          <w:noProof/>
          <w:sz w:val="22"/>
          <w:szCs w:val="22"/>
        </w:rPr>
      </w:pPr>
      <w:hyperlink w:anchor="_Toc20144559" w:history="1">
        <w:r w:rsidR="00423132" w:rsidRPr="009062B5">
          <w:rPr>
            <w:rStyle w:val="Hyperlink"/>
            <w:rFonts w:cs="Helvetica"/>
            <w:noProof/>
          </w:rPr>
          <w:t>Conclusions of Law</w:t>
        </w:r>
        <w:r w:rsidR="00423132">
          <w:rPr>
            <w:noProof/>
            <w:webHidden/>
          </w:rPr>
          <w:tab/>
        </w:r>
        <w:r w:rsidR="00423132">
          <w:rPr>
            <w:noProof/>
            <w:webHidden/>
          </w:rPr>
          <w:fldChar w:fldCharType="begin"/>
        </w:r>
        <w:r w:rsidR="00423132">
          <w:rPr>
            <w:noProof/>
            <w:webHidden/>
          </w:rPr>
          <w:instrText xml:space="preserve"> PAGEREF _Toc20144559 \h </w:instrText>
        </w:r>
        <w:r w:rsidR="00423132">
          <w:rPr>
            <w:noProof/>
            <w:webHidden/>
          </w:rPr>
        </w:r>
        <w:r w:rsidR="00423132">
          <w:rPr>
            <w:noProof/>
            <w:webHidden/>
          </w:rPr>
          <w:fldChar w:fldCharType="separate"/>
        </w:r>
        <w:r>
          <w:rPr>
            <w:noProof/>
            <w:webHidden/>
          </w:rPr>
          <w:t>77</w:t>
        </w:r>
        <w:r w:rsidR="00423132">
          <w:rPr>
            <w:noProof/>
            <w:webHidden/>
          </w:rPr>
          <w:fldChar w:fldCharType="end"/>
        </w:r>
      </w:hyperlink>
    </w:p>
    <w:p w14:paraId="5F0CD522" w14:textId="233A8BAA" w:rsidR="00423132" w:rsidRDefault="0077278C" w:rsidP="00423132">
      <w:pPr>
        <w:pStyle w:val="TOC1"/>
        <w:tabs>
          <w:tab w:val="right" w:leader="dot" w:pos="9350"/>
        </w:tabs>
        <w:spacing w:after="120"/>
        <w:rPr>
          <w:rFonts w:asciiTheme="minorHAnsi" w:eastAsiaTheme="minorEastAsia" w:hAnsiTheme="minorHAnsi" w:cstheme="minorBidi"/>
          <w:noProof/>
          <w:sz w:val="22"/>
          <w:szCs w:val="22"/>
        </w:rPr>
      </w:pPr>
      <w:hyperlink w:anchor="_Toc20144560" w:history="1">
        <w:r w:rsidR="00423132" w:rsidRPr="009062B5">
          <w:rPr>
            <w:rStyle w:val="Hyperlink"/>
            <w:noProof/>
          </w:rPr>
          <w:t>ORDER</w:t>
        </w:r>
        <w:r w:rsidR="00423132">
          <w:rPr>
            <w:noProof/>
            <w:webHidden/>
          </w:rPr>
          <w:tab/>
        </w:r>
        <w:r w:rsidR="00423132">
          <w:rPr>
            <w:noProof/>
            <w:webHidden/>
          </w:rPr>
          <w:fldChar w:fldCharType="begin"/>
        </w:r>
        <w:r w:rsidR="00423132">
          <w:rPr>
            <w:noProof/>
            <w:webHidden/>
          </w:rPr>
          <w:instrText xml:space="preserve"> PAGEREF _Toc20144560 \h </w:instrText>
        </w:r>
        <w:r w:rsidR="00423132">
          <w:rPr>
            <w:noProof/>
            <w:webHidden/>
          </w:rPr>
        </w:r>
        <w:r w:rsidR="00423132">
          <w:rPr>
            <w:noProof/>
            <w:webHidden/>
          </w:rPr>
          <w:fldChar w:fldCharType="separate"/>
        </w:r>
        <w:r>
          <w:rPr>
            <w:noProof/>
            <w:webHidden/>
          </w:rPr>
          <w:t>80</w:t>
        </w:r>
        <w:r w:rsidR="00423132">
          <w:rPr>
            <w:noProof/>
            <w:webHidden/>
          </w:rPr>
          <w:fldChar w:fldCharType="end"/>
        </w:r>
      </w:hyperlink>
    </w:p>
    <w:p w14:paraId="3A77C9AE" w14:textId="079040CB" w:rsidR="00801FEC" w:rsidRPr="00801FEC" w:rsidRDefault="00B42435" w:rsidP="00423132">
      <w:pPr>
        <w:pStyle w:val="ALJBodyText"/>
        <w:spacing w:after="120" w:line="240" w:lineRule="auto"/>
        <w:ind w:firstLine="0"/>
      </w:pPr>
      <w:r>
        <w:fldChar w:fldCharType="end"/>
      </w:r>
    </w:p>
    <w:p w14:paraId="2080DF2C" w14:textId="77777777" w:rsidR="00F10CDE" w:rsidRDefault="00F10CDE" w:rsidP="003871CE">
      <w:pPr>
        <w:pStyle w:val="ALJHeadingNo"/>
        <w:sectPr w:rsidR="00F10CDE" w:rsidSect="001B701E">
          <w:headerReference w:type="first" r:id="rId15"/>
          <w:footerReference w:type="first" r:id="rId16"/>
          <w:pgSz w:w="12240" w:h="15840" w:code="1"/>
          <w:pgMar w:top="1440" w:right="1440" w:bottom="1440" w:left="1440" w:header="720" w:footer="720" w:gutter="0"/>
          <w:pgNumType w:fmt="lowerRoman" w:start="1"/>
          <w:cols w:space="720"/>
          <w:titlePg/>
          <w:docGrid w:linePitch="360"/>
        </w:sectPr>
      </w:pPr>
      <w:bookmarkStart w:id="3" w:name="_Toc2523435"/>
    </w:p>
    <w:p w14:paraId="0AFE4EFD" w14:textId="77777777" w:rsidR="00A46A1D" w:rsidRPr="000578C8" w:rsidRDefault="00A46A1D" w:rsidP="00614AC3">
      <w:pPr>
        <w:pStyle w:val="ALJTitle"/>
      </w:pPr>
      <w:bookmarkStart w:id="4" w:name="_Toc20144530"/>
      <w:r w:rsidRPr="000578C8">
        <w:lastRenderedPageBreak/>
        <w:t>DECISION APPROVING PACIFIC GAS AND ELECTRIC COMPANY’S APPLICATION TO REVISE ITS GAS RATES AND TARIFFS EFFECTIVE OCTOBER 1, 2018</w:t>
      </w:r>
      <w:bookmarkEnd w:id="4"/>
    </w:p>
    <w:p w14:paraId="5928F5A2" w14:textId="77777777" w:rsidR="00A46A1D" w:rsidRDefault="00A46A1D" w:rsidP="00A46A1D">
      <w:pPr>
        <w:pStyle w:val="ALJHeadingNo"/>
        <w:jc w:val="center"/>
      </w:pPr>
    </w:p>
    <w:p w14:paraId="13642AC3" w14:textId="77777777" w:rsidR="00E25554" w:rsidRPr="003871CE" w:rsidRDefault="00E83810" w:rsidP="00431F1E">
      <w:pPr>
        <w:pStyle w:val="Heading1"/>
        <w:numPr>
          <w:ilvl w:val="0"/>
          <w:numId w:val="0"/>
        </w:numPr>
      </w:pPr>
      <w:bookmarkStart w:id="5" w:name="_Toc20144531"/>
      <w:r>
        <w:t>Summary</w:t>
      </w:r>
      <w:bookmarkEnd w:id="3"/>
      <w:bookmarkEnd w:id="5"/>
    </w:p>
    <w:p w14:paraId="25BDF539" w14:textId="22EAA763" w:rsidR="001164FC" w:rsidRPr="008550CD" w:rsidRDefault="001164FC" w:rsidP="008550CD">
      <w:pPr>
        <w:pStyle w:val="num1"/>
        <w:numPr>
          <w:ilvl w:val="0"/>
          <w:numId w:val="0"/>
        </w:numPr>
        <w:tabs>
          <w:tab w:val="clear" w:pos="-720"/>
          <w:tab w:val="left" w:pos="0"/>
        </w:tabs>
        <w:ind w:firstLine="720"/>
        <w:rPr>
          <w:rFonts w:ascii="Book Antiqua" w:hAnsi="Book Antiqua"/>
          <w:color w:val="000000" w:themeColor="text1"/>
          <w:szCs w:val="26"/>
        </w:rPr>
      </w:pPr>
      <w:r w:rsidRPr="00561FEE">
        <w:rPr>
          <w:rFonts w:ascii="Book Antiqua" w:hAnsi="Book Antiqua"/>
          <w:color w:val="000000" w:themeColor="text1"/>
          <w:szCs w:val="26"/>
        </w:rPr>
        <w:t xml:space="preserve">This decision resolves </w:t>
      </w:r>
      <w:r w:rsidR="000123AB">
        <w:rPr>
          <w:rFonts w:ascii="Book Antiqua" w:hAnsi="Book Antiqua"/>
          <w:color w:val="000000" w:themeColor="text1"/>
          <w:szCs w:val="26"/>
        </w:rPr>
        <w:t>Pacific Gas and Electric Company’s (</w:t>
      </w:r>
      <w:r w:rsidRPr="00561FEE">
        <w:rPr>
          <w:rFonts w:ascii="Book Antiqua" w:hAnsi="Book Antiqua"/>
          <w:color w:val="000000" w:themeColor="text1"/>
          <w:szCs w:val="26"/>
        </w:rPr>
        <w:t>PG&amp;E’s</w:t>
      </w:r>
      <w:r w:rsidR="000123AB">
        <w:rPr>
          <w:rFonts w:ascii="Book Antiqua" w:hAnsi="Book Antiqua"/>
          <w:color w:val="000000" w:themeColor="text1"/>
          <w:szCs w:val="26"/>
        </w:rPr>
        <w:t>)</w:t>
      </w:r>
      <w:r w:rsidRPr="00561FEE">
        <w:rPr>
          <w:rFonts w:ascii="Book Antiqua" w:hAnsi="Book Antiqua"/>
          <w:color w:val="000000" w:themeColor="text1"/>
          <w:szCs w:val="26"/>
        </w:rPr>
        <w:t xml:space="preserve"> </w:t>
      </w:r>
      <w:r w:rsidRPr="00561FEE">
        <w:rPr>
          <w:rFonts w:ascii="Book Antiqua" w:hAnsi="Book Antiqua"/>
          <w:szCs w:val="26"/>
        </w:rPr>
        <w:t xml:space="preserve">gas cost allocation and rate design application; authorizes certain revisions to PG&amp;E’s gas rates and tariffs; and addresses revenue requirement allocation and rate design for PG&amp;E’s gas customers that are not decided in PG&amp;E’s separate Gas Transmission and Storage proceeding.  </w:t>
      </w:r>
      <w:r w:rsidR="00DB2E35">
        <w:rPr>
          <w:rFonts w:ascii="Book Antiqua" w:hAnsi="Book Antiqua"/>
          <w:szCs w:val="26"/>
        </w:rPr>
        <w:t>Of most importance to residential customers</w:t>
      </w:r>
      <w:r w:rsidRPr="00561FEE">
        <w:rPr>
          <w:rFonts w:ascii="Book Antiqua" w:hAnsi="Book Antiqua"/>
          <w:szCs w:val="26"/>
        </w:rPr>
        <w:t>, this decision</w:t>
      </w:r>
      <w:r w:rsidR="00DB2E35">
        <w:rPr>
          <w:rFonts w:ascii="Book Antiqua" w:hAnsi="Book Antiqua" w:cs="Arial"/>
          <w:szCs w:val="26"/>
        </w:rPr>
        <w:t xml:space="preserve"> </w:t>
      </w:r>
      <w:r w:rsidRPr="00196B50">
        <w:rPr>
          <w:rFonts w:ascii="Book Antiqua" w:hAnsi="Book Antiqua"/>
          <w:color w:val="000000" w:themeColor="text1"/>
          <w:szCs w:val="26"/>
        </w:rPr>
        <w:t xml:space="preserve">authorizes PG&amp;E to </w:t>
      </w:r>
      <w:r w:rsidR="0093696B">
        <w:rPr>
          <w:rFonts w:ascii="Book Antiqua" w:hAnsi="Book Antiqua"/>
          <w:color w:val="000000" w:themeColor="text1"/>
          <w:szCs w:val="26"/>
        </w:rPr>
        <w:t xml:space="preserve">1) </w:t>
      </w:r>
      <w:r w:rsidRPr="00196B50">
        <w:rPr>
          <w:rFonts w:ascii="Book Antiqua" w:hAnsi="Book Antiqua"/>
          <w:color w:val="000000" w:themeColor="text1"/>
          <w:szCs w:val="26"/>
        </w:rPr>
        <w:t>reduce the residential Tier 1 and Tier 2 bundled rate differential over four years beginning with implementation of this decision</w:t>
      </w:r>
      <w:r w:rsidR="0093696B">
        <w:rPr>
          <w:rFonts w:ascii="Book Antiqua" w:hAnsi="Book Antiqua"/>
          <w:color w:val="000000" w:themeColor="text1"/>
          <w:szCs w:val="26"/>
        </w:rPr>
        <w:t xml:space="preserve">, 2) </w:t>
      </w:r>
      <w:r w:rsidRPr="008550CD">
        <w:rPr>
          <w:rFonts w:ascii="Book Antiqua" w:hAnsi="Book Antiqua"/>
          <w:color w:val="000000" w:themeColor="text1"/>
          <w:szCs w:val="26"/>
        </w:rPr>
        <w:t>implement a $1 increase in the residential minimum transportation charges</w:t>
      </w:r>
      <w:r w:rsidR="0093696B" w:rsidRPr="0093696B">
        <w:rPr>
          <w:rFonts w:ascii="Book Antiqua" w:hAnsi="Book Antiqua"/>
          <w:color w:val="000000" w:themeColor="text1"/>
          <w:szCs w:val="26"/>
        </w:rPr>
        <w:t xml:space="preserve"> </w:t>
      </w:r>
      <w:r w:rsidR="0093696B" w:rsidRPr="00D24398">
        <w:rPr>
          <w:rFonts w:ascii="Book Antiqua" w:hAnsi="Book Antiqua"/>
          <w:color w:val="000000" w:themeColor="text1"/>
          <w:szCs w:val="26"/>
        </w:rPr>
        <w:t>for non-CARE customer basic service</w:t>
      </w:r>
      <w:r w:rsidRPr="008550CD">
        <w:rPr>
          <w:rFonts w:ascii="Book Antiqua" w:hAnsi="Book Antiqua"/>
          <w:color w:val="000000" w:themeColor="text1"/>
          <w:szCs w:val="26"/>
        </w:rPr>
        <w:t xml:space="preserve"> from the current $3 to $4 per month</w:t>
      </w:r>
      <w:r w:rsidR="0093696B">
        <w:rPr>
          <w:rFonts w:ascii="Book Antiqua" w:hAnsi="Book Antiqua"/>
          <w:color w:val="000000" w:themeColor="text1"/>
          <w:szCs w:val="26"/>
        </w:rPr>
        <w:t>, and 3)</w:t>
      </w:r>
      <w:r w:rsidRPr="008550CD">
        <w:rPr>
          <w:rFonts w:ascii="Book Antiqua" w:hAnsi="Book Antiqua"/>
          <w:color w:val="000000" w:themeColor="text1"/>
          <w:szCs w:val="26"/>
        </w:rPr>
        <w:t xml:space="preserve"> establish a higher super-peak minimum transportation charge of $12 for non-CARE residential customers with daily peak usage of at least 15 therms</w:t>
      </w:r>
      <w:r w:rsidR="0093696B">
        <w:rPr>
          <w:rFonts w:ascii="Book Antiqua" w:hAnsi="Book Antiqua"/>
          <w:color w:val="000000" w:themeColor="text1"/>
          <w:szCs w:val="26"/>
        </w:rPr>
        <w:t xml:space="preserve"> </w:t>
      </w:r>
      <w:r w:rsidRPr="008550CD">
        <w:rPr>
          <w:rFonts w:ascii="Book Antiqua" w:hAnsi="Book Antiqua"/>
          <w:color w:val="000000" w:themeColor="text1"/>
          <w:szCs w:val="26"/>
        </w:rPr>
        <w:t>in order to aid conservation</w:t>
      </w:r>
      <w:r w:rsidR="0093696B">
        <w:rPr>
          <w:rFonts w:ascii="Book Antiqua" w:hAnsi="Book Antiqua"/>
          <w:color w:val="000000" w:themeColor="text1"/>
          <w:szCs w:val="26"/>
        </w:rPr>
        <w:t>.</w:t>
      </w:r>
      <w:r w:rsidRPr="008550CD">
        <w:rPr>
          <w:rFonts w:ascii="Book Antiqua" w:hAnsi="Book Antiqua"/>
          <w:color w:val="000000" w:themeColor="text1"/>
          <w:szCs w:val="26"/>
        </w:rPr>
        <w:t xml:space="preserve">  </w:t>
      </w:r>
    </w:p>
    <w:p w14:paraId="3F3E7178" w14:textId="28FAC8BB" w:rsidR="000123AB" w:rsidRPr="008550CD" w:rsidRDefault="00DB2E35" w:rsidP="008550CD">
      <w:pPr>
        <w:pStyle w:val="num1"/>
        <w:numPr>
          <w:ilvl w:val="0"/>
          <w:numId w:val="0"/>
        </w:numPr>
        <w:tabs>
          <w:tab w:val="clear" w:pos="-720"/>
          <w:tab w:val="left" w:pos="0"/>
        </w:tabs>
        <w:ind w:firstLine="720"/>
        <w:rPr>
          <w:rFonts w:ascii="Book Antiqua" w:hAnsi="Book Antiqua"/>
          <w:color w:val="000000" w:themeColor="text1"/>
          <w:szCs w:val="26"/>
        </w:rPr>
      </w:pPr>
      <w:bookmarkStart w:id="6" w:name="_Hlk13663893"/>
      <w:bookmarkStart w:id="7" w:name="_Hlk13660530"/>
      <w:r>
        <w:rPr>
          <w:rFonts w:ascii="Book Antiqua" w:hAnsi="Book Antiqua"/>
          <w:color w:val="000000" w:themeColor="text1"/>
          <w:szCs w:val="26"/>
        </w:rPr>
        <w:t>T</w:t>
      </w:r>
      <w:r w:rsidR="00B42435" w:rsidRPr="008550CD">
        <w:rPr>
          <w:rFonts w:ascii="Book Antiqua" w:hAnsi="Book Antiqua"/>
          <w:color w:val="000000" w:themeColor="text1"/>
          <w:szCs w:val="26"/>
        </w:rPr>
        <w:t xml:space="preserve">he Commission </w:t>
      </w:r>
      <w:r w:rsidR="00EA5180">
        <w:rPr>
          <w:rFonts w:ascii="Book Antiqua" w:hAnsi="Book Antiqua"/>
          <w:color w:val="000000" w:themeColor="text1"/>
          <w:szCs w:val="26"/>
        </w:rPr>
        <w:t xml:space="preserve">may </w:t>
      </w:r>
      <w:r>
        <w:rPr>
          <w:rFonts w:ascii="Book Antiqua" w:hAnsi="Book Antiqua"/>
          <w:color w:val="000000" w:themeColor="text1"/>
          <w:szCs w:val="26"/>
        </w:rPr>
        <w:t>consider</w:t>
      </w:r>
      <w:r w:rsidRPr="008550CD">
        <w:rPr>
          <w:rFonts w:ascii="Book Antiqua" w:hAnsi="Book Antiqua"/>
          <w:color w:val="000000" w:themeColor="text1"/>
          <w:szCs w:val="26"/>
        </w:rPr>
        <w:t xml:space="preserve"> </w:t>
      </w:r>
      <w:r w:rsidR="00B42435" w:rsidRPr="008550CD">
        <w:rPr>
          <w:rFonts w:ascii="Book Antiqua" w:hAnsi="Book Antiqua"/>
          <w:color w:val="000000" w:themeColor="text1"/>
          <w:szCs w:val="26"/>
        </w:rPr>
        <w:t>open</w:t>
      </w:r>
      <w:r>
        <w:rPr>
          <w:rFonts w:ascii="Book Antiqua" w:hAnsi="Book Antiqua"/>
          <w:color w:val="000000" w:themeColor="text1"/>
          <w:szCs w:val="26"/>
        </w:rPr>
        <w:t>ing</w:t>
      </w:r>
      <w:r w:rsidR="00B42435" w:rsidRPr="008550CD">
        <w:rPr>
          <w:rFonts w:ascii="Book Antiqua" w:hAnsi="Book Antiqua"/>
          <w:color w:val="000000" w:themeColor="text1"/>
          <w:szCs w:val="26"/>
        </w:rPr>
        <w:t xml:space="preserve"> a rulemaking in the future to </w:t>
      </w:r>
      <w:r w:rsidR="00825662" w:rsidRPr="008550CD">
        <w:rPr>
          <w:rFonts w:ascii="Book Antiqua" w:hAnsi="Book Antiqua"/>
          <w:color w:val="000000" w:themeColor="text1"/>
          <w:szCs w:val="26"/>
        </w:rPr>
        <w:t xml:space="preserve">examine </w:t>
      </w:r>
      <w:r w:rsidR="00033C26" w:rsidRPr="008550CD">
        <w:rPr>
          <w:rFonts w:ascii="Book Antiqua" w:hAnsi="Book Antiqua"/>
          <w:color w:val="000000" w:themeColor="text1"/>
          <w:szCs w:val="26"/>
        </w:rPr>
        <w:t xml:space="preserve">rate design </w:t>
      </w:r>
      <w:r w:rsidR="00E360CA" w:rsidRPr="008550CD">
        <w:rPr>
          <w:rFonts w:ascii="Book Antiqua" w:hAnsi="Book Antiqua"/>
          <w:color w:val="000000" w:themeColor="text1"/>
          <w:szCs w:val="26"/>
        </w:rPr>
        <w:t xml:space="preserve">issues </w:t>
      </w:r>
      <w:r w:rsidR="00033C26" w:rsidRPr="008550CD">
        <w:rPr>
          <w:rFonts w:ascii="Book Antiqua" w:hAnsi="Book Antiqua"/>
          <w:color w:val="000000" w:themeColor="text1"/>
          <w:szCs w:val="26"/>
        </w:rPr>
        <w:t xml:space="preserve">that may </w:t>
      </w:r>
      <w:r w:rsidR="00E360CA" w:rsidRPr="008550CD">
        <w:rPr>
          <w:rFonts w:ascii="Book Antiqua" w:hAnsi="Book Antiqua"/>
          <w:color w:val="000000" w:themeColor="text1"/>
          <w:szCs w:val="26"/>
        </w:rPr>
        <w:t xml:space="preserve">arise with continued investment in </w:t>
      </w:r>
      <w:r w:rsidR="00CB01EA" w:rsidRPr="008550CD">
        <w:rPr>
          <w:rFonts w:ascii="Book Antiqua" w:hAnsi="Book Antiqua"/>
          <w:color w:val="000000" w:themeColor="text1"/>
          <w:szCs w:val="26"/>
        </w:rPr>
        <w:t xml:space="preserve">gas </w:t>
      </w:r>
      <w:r w:rsidR="0064393B" w:rsidRPr="008550CD">
        <w:rPr>
          <w:rFonts w:ascii="Book Antiqua" w:hAnsi="Book Antiqua"/>
          <w:color w:val="000000" w:themeColor="text1"/>
          <w:szCs w:val="26"/>
        </w:rPr>
        <w:t xml:space="preserve">infrastructure </w:t>
      </w:r>
      <w:r w:rsidR="00E360CA" w:rsidRPr="008550CD">
        <w:rPr>
          <w:rFonts w:ascii="Book Antiqua" w:hAnsi="Book Antiqua"/>
          <w:color w:val="000000" w:themeColor="text1"/>
          <w:szCs w:val="26"/>
        </w:rPr>
        <w:t>amidst</w:t>
      </w:r>
      <w:r w:rsidR="00CB01EA" w:rsidRPr="008550CD">
        <w:rPr>
          <w:rFonts w:ascii="Book Antiqua" w:hAnsi="Book Antiqua"/>
          <w:color w:val="000000" w:themeColor="text1"/>
          <w:szCs w:val="26"/>
        </w:rPr>
        <w:t xml:space="preserve"> declining </w:t>
      </w:r>
      <w:bookmarkStart w:id="8" w:name="_Toc525555597"/>
      <w:bookmarkStart w:id="9" w:name="_Toc526159297"/>
      <w:bookmarkStart w:id="10" w:name="_Toc526424335"/>
      <w:bookmarkStart w:id="11" w:name="_Toc11407846"/>
      <w:bookmarkEnd w:id="6"/>
      <w:bookmarkEnd w:id="7"/>
      <w:r w:rsidR="00E360CA" w:rsidRPr="008550CD">
        <w:rPr>
          <w:rFonts w:ascii="Book Antiqua" w:hAnsi="Book Antiqua"/>
          <w:color w:val="000000" w:themeColor="text1"/>
          <w:szCs w:val="26"/>
        </w:rPr>
        <w:t xml:space="preserve">natural gas </w:t>
      </w:r>
      <w:r w:rsidR="00825662" w:rsidRPr="008550CD">
        <w:rPr>
          <w:rFonts w:ascii="Book Antiqua" w:hAnsi="Book Antiqua"/>
          <w:color w:val="000000" w:themeColor="text1"/>
          <w:szCs w:val="26"/>
        </w:rPr>
        <w:t>demand and corresponding throughput</w:t>
      </w:r>
      <w:r>
        <w:rPr>
          <w:rFonts w:ascii="Book Antiqua" w:hAnsi="Book Antiqua"/>
          <w:color w:val="000000" w:themeColor="text1"/>
          <w:szCs w:val="26"/>
        </w:rPr>
        <w:t>. This proceeding is closed.</w:t>
      </w:r>
      <w:r w:rsidR="00825662" w:rsidRPr="008550CD">
        <w:rPr>
          <w:rFonts w:ascii="Book Antiqua" w:hAnsi="Book Antiqua"/>
          <w:color w:val="000000" w:themeColor="text1"/>
          <w:szCs w:val="26"/>
        </w:rPr>
        <w:t xml:space="preserve"> </w:t>
      </w:r>
    </w:p>
    <w:p w14:paraId="5C7EDD58" w14:textId="4A80836B" w:rsidR="001164FC" w:rsidRPr="00561FEE" w:rsidRDefault="001164FC" w:rsidP="008550CD">
      <w:pPr>
        <w:pStyle w:val="Heading1"/>
      </w:pPr>
      <w:bookmarkStart w:id="12" w:name="_Toc20144532"/>
      <w:r w:rsidRPr="006E7A72">
        <w:t>Background</w:t>
      </w:r>
      <w:bookmarkEnd w:id="8"/>
      <w:bookmarkEnd w:id="9"/>
      <w:bookmarkEnd w:id="10"/>
      <w:bookmarkEnd w:id="11"/>
      <w:bookmarkEnd w:id="12"/>
    </w:p>
    <w:p w14:paraId="09FE6864" w14:textId="1EEBB212" w:rsidR="001164FC" w:rsidRPr="00431F1E" w:rsidRDefault="001164FC" w:rsidP="006E7A72">
      <w:pPr>
        <w:pStyle w:val="standard"/>
        <w:rPr>
          <w:rFonts w:ascii="Book Antiqua" w:hAnsi="Book Antiqua" w:cs="TimesNewRomanPSMT"/>
        </w:rPr>
      </w:pPr>
      <w:r w:rsidRPr="00431F1E">
        <w:rPr>
          <w:rFonts w:ascii="Book Antiqua" w:hAnsi="Book Antiqua"/>
        </w:rPr>
        <w:t>On September 14, 2017, Pacific Gas and Electric Company (PG&amp;E) submitted Application (A.) 17-09-006, a gas cost allocation and rate design application</w:t>
      </w:r>
      <w:r w:rsidR="00CD6C5F">
        <w:rPr>
          <w:rFonts w:ascii="Book Antiqua" w:hAnsi="Book Antiqua"/>
        </w:rPr>
        <w:t xml:space="preserve"> (GCAP)</w:t>
      </w:r>
      <w:r w:rsidRPr="00431F1E">
        <w:rPr>
          <w:rFonts w:ascii="Book Antiqua" w:hAnsi="Book Antiqua"/>
        </w:rPr>
        <w:t xml:space="preserve"> to the California Public Utilities Commission (Commission), in order to revise its gas rates and tariffs.  Specifically, PG&amp;E’s application, </w:t>
      </w:r>
      <w:r w:rsidRPr="00431F1E">
        <w:rPr>
          <w:rFonts w:ascii="Book Antiqua" w:hAnsi="Book Antiqua"/>
        </w:rPr>
        <w:lastRenderedPageBreak/>
        <w:t>submitted pursuant to California Public Utilities Code § 454</w:t>
      </w:r>
      <w:r w:rsidRPr="000572AF">
        <w:rPr>
          <w:rStyle w:val="FootnoteReference"/>
          <w:rFonts w:ascii="Book Antiqua" w:hAnsi="Book Antiqua"/>
          <w:szCs w:val="26"/>
        </w:rPr>
        <w:footnoteReference w:id="1"/>
      </w:r>
      <w:r w:rsidRPr="00431F1E">
        <w:rPr>
          <w:rFonts w:ascii="Book Antiqua" w:hAnsi="Book Antiqua"/>
        </w:rPr>
        <w:t xml:space="preserve"> and Rule 3.2 of the Rules of Practice and Procedure (Rules), addresses revenue requirement allocation and rate design </w:t>
      </w:r>
      <w:r w:rsidR="000F57B1">
        <w:rPr>
          <w:rFonts w:ascii="Book Antiqua" w:hAnsi="Book Antiqua"/>
        </w:rPr>
        <w:t xml:space="preserve">issues </w:t>
      </w:r>
      <w:r w:rsidRPr="00431F1E">
        <w:rPr>
          <w:rFonts w:ascii="Book Antiqua" w:hAnsi="Book Antiqua"/>
        </w:rPr>
        <w:t xml:space="preserve">for PG&amp;E’s gas customers that are not decided in PG&amp;E’s separate Gas Transmission and Storage (GT&amp;S) proceeding.  </w:t>
      </w:r>
      <w:r w:rsidRPr="00431F1E">
        <w:rPr>
          <w:rFonts w:ascii="Book Antiqua" w:hAnsi="Book Antiqua" w:cs="TimesNewRomanPSMT"/>
        </w:rPr>
        <w:t>PG&amp;E requests new GCAP rates effective October 1, 2018 for the 36-month period from October 1, 2018 through September 30, 2021.</w:t>
      </w:r>
    </w:p>
    <w:p w14:paraId="7FF77B9F" w14:textId="3B14F585" w:rsidR="001164FC" w:rsidRPr="00196B50" w:rsidRDefault="001164FC" w:rsidP="006E7A72">
      <w:pPr>
        <w:pStyle w:val="standard"/>
        <w:rPr>
          <w:rFonts w:ascii="Book Antiqua" w:hAnsi="Book Antiqua"/>
        </w:rPr>
      </w:pPr>
      <w:r w:rsidRPr="00431F1E">
        <w:rPr>
          <w:rFonts w:ascii="Book Antiqua" w:hAnsi="Book Antiqua"/>
        </w:rPr>
        <w:t>The Public Advocates Office of the Commission (Cal Advocates),</w:t>
      </w:r>
      <w:r w:rsidRPr="000572AF">
        <w:rPr>
          <w:rStyle w:val="FootnoteReference"/>
          <w:rFonts w:ascii="Book Antiqua" w:hAnsi="Book Antiqua"/>
          <w:color w:val="000000" w:themeColor="text1"/>
          <w:szCs w:val="26"/>
        </w:rPr>
        <w:footnoteReference w:id="2"/>
      </w:r>
      <w:r w:rsidRPr="00431F1E">
        <w:rPr>
          <w:rFonts w:ascii="Book Antiqua" w:hAnsi="Book Antiqua"/>
        </w:rPr>
        <w:t xml:space="preserve"> The Utility Reform Network (TURN), and Western Manufactured Housing Communities Association (WMA) timely protested PG&amp;E’s application</w:t>
      </w:r>
      <w:r w:rsidR="000F57B1">
        <w:rPr>
          <w:rFonts w:ascii="Book Antiqua" w:hAnsi="Book Antiqua"/>
        </w:rPr>
        <w:t>.</w:t>
      </w:r>
      <w:r w:rsidR="0093696B">
        <w:rPr>
          <w:rFonts w:ascii="Book Antiqua" w:hAnsi="Book Antiqua"/>
        </w:rPr>
        <w:t xml:space="preserve"> </w:t>
      </w:r>
      <w:r w:rsidR="0093696B" w:rsidRPr="0093696B">
        <w:rPr>
          <w:rFonts w:ascii="Book Antiqua" w:hAnsi="Book Antiqua"/>
        </w:rPr>
        <w:t>PG&amp;E replied to the protests on November 6, 2017.</w:t>
      </w:r>
      <w:r w:rsidR="0093696B">
        <w:rPr>
          <w:rFonts w:ascii="Book Antiqua" w:hAnsi="Book Antiqua"/>
        </w:rPr>
        <w:t xml:space="preserve"> </w:t>
      </w:r>
      <w:r w:rsidR="000F57B1">
        <w:rPr>
          <w:rFonts w:ascii="Book Antiqua" w:hAnsi="Book Antiqua"/>
        </w:rPr>
        <w:t>The</w:t>
      </w:r>
      <w:r w:rsidRPr="00431F1E">
        <w:rPr>
          <w:rFonts w:ascii="Book Antiqua" w:hAnsi="Book Antiqua"/>
        </w:rPr>
        <w:t xml:space="preserve"> Small Business Utility Advocates (SBUA); the School Project for Utility Rate Reduction (SPURR) and Indicated Shippers all requested and were granted party status in this proceeding.  Each of PG&amp;E, Cal Advocates</w:t>
      </w:r>
      <w:r w:rsidRPr="00431F1E">
        <w:rPr>
          <w:rFonts w:ascii="Book Antiqua" w:hAnsi="Book Antiqua" w:cs="BookAntiqua"/>
        </w:rPr>
        <w:t xml:space="preserve">, TURN, </w:t>
      </w:r>
      <w:r w:rsidRPr="00431F1E">
        <w:rPr>
          <w:rFonts w:ascii="Book Antiqua" w:hAnsi="Book Antiqua"/>
        </w:rPr>
        <w:t xml:space="preserve">WMA, SBUA, SPURR and Indicated Shippers, on behalf of </w:t>
      </w:r>
      <w:r w:rsidRPr="00431F1E">
        <w:rPr>
          <w:rFonts w:ascii="Book Antiqua" w:hAnsi="Book Antiqua" w:cs="ArialMT"/>
        </w:rPr>
        <w:t xml:space="preserve">Chevron U.S.A., and CRC Marketing, Inc. </w:t>
      </w:r>
      <w:r w:rsidRPr="00431F1E">
        <w:rPr>
          <w:rFonts w:ascii="Book Antiqua" w:hAnsi="Book Antiqua"/>
        </w:rPr>
        <w:t>is a party in this proceeding.</w:t>
      </w:r>
    </w:p>
    <w:p w14:paraId="634DCC1D" w14:textId="7947CFEC" w:rsidR="001164FC" w:rsidRPr="00431F1E" w:rsidRDefault="001164FC" w:rsidP="00D63A22">
      <w:pPr>
        <w:pStyle w:val="standard"/>
        <w:rPr>
          <w:rFonts w:ascii="Book Antiqua" w:hAnsi="Book Antiqua"/>
        </w:rPr>
      </w:pPr>
      <w:r w:rsidRPr="00431F1E">
        <w:rPr>
          <w:rFonts w:ascii="Book Antiqua" w:hAnsi="Book Antiqua"/>
        </w:rPr>
        <w:t xml:space="preserve">On November 20, 2017 Administrative Law Judges (ALJ) Adeniyi A. Ayoade and ALJ Stephen C. Roscow held a prehearing conference </w:t>
      </w:r>
      <w:r w:rsidR="00412D77">
        <w:rPr>
          <w:rFonts w:ascii="Book Antiqua" w:hAnsi="Book Antiqua"/>
        </w:rPr>
        <w:t xml:space="preserve">(PHC) </w:t>
      </w:r>
      <w:r w:rsidRPr="00431F1E">
        <w:rPr>
          <w:rFonts w:ascii="Book Antiqua" w:hAnsi="Book Antiqua"/>
        </w:rPr>
        <w:t xml:space="preserve">in this proceeding.  On January 26, 2018, the Commission issued the Scoping Memo and Ruling of Assigned Commissioner and the ALJs </w:t>
      </w:r>
      <w:r w:rsidR="00E04AA6">
        <w:rPr>
          <w:rFonts w:ascii="Book Antiqua" w:hAnsi="Book Antiqua"/>
        </w:rPr>
        <w:br/>
      </w:r>
      <w:r w:rsidRPr="00431F1E">
        <w:rPr>
          <w:rFonts w:ascii="Book Antiqua" w:hAnsi="Book Antiqua"/>
        </w:rPr>
        <w:t>(Scoping Memo), which identified the scope for the proceeding, and identified issues to be briefed and decided in this proceeding.</w:t>
      </w:r>
    </w:p>
    <w:p w14:paraId="3A9C5CD6" w14:textId="77777777" w:rsidR="001164FC" w:rsidRPr="00431F1E" w:rsidRDefault="001164FC" w:rsidP="00D63A22">
      <w:pPr>
        <w:pStyle w:val="standard"/>
        <w:rPr>
          <w:rFonts w:ascii="Book Antiqua" w:hAnsi="Book Antiqua"/>
        </w:rPr>
      </w:pPr>
      <w:r w:rsidRPr="00431F1E">
        <w:rPr>
          <w:rFonts w:ascii="Book Antiqua" w:hAnsi="Book Antiqua" w:cs="TimesNewRomanPSMT"/>
        </w:rPr>
        <w:lastRenderedPageBreak/>
        <w:t xml:space="preserve">On </w:t>
      </w:r>
      <w:r w:rsidRPr="00431F1E">
        <w:rPr>
          <w:rFonts w:ascii="Book Antiqua" w:hAnsi="Book Antiqua"/>
        </w:rPr>
        <w:t>February 7, 2018, a</w:t>
      </w:r>
      <w:r w:rsidRPr="00431F1E">
        <w:rPr>
          <w:rFonts w:ascii="Book Antiqua" w:hAnsi="Book Antiqua" w:cs="TimesNewRomanPSMT"/>
        </w:rPr>
        <w:t xml:space="preserve"> second </w:t>
      </w:r>
      <w:r w:rsidRPr="00431F1E">
        <w:rPr>
          <w:rFonts w:ascii="Book Antiqua" w:eastAsia="Book Antiqua" w:hAnsi="Book Antiqua"/>
          <w:color w:val="000000" w:themeColor="text1"/>
        </w:rPr>
        <w:t xml:space="preserve">PHC </w:t>
      </w:r>
      <w:r w:rsidRPr="00431F1E">
        <w:rPr>
          <w:rFonts w:ascii="Book Antiqua" w:hAnsi="Book Antiqua" w:cs="TimesNewRomanPSMT"/>
        </w:rPr>
        <w:t>was held in this proceeding i</w:t>
      </w:r>
      <w:r w:rsidRPr="00431F1E">
        <w:rPr>
          <w:rFonts w:ascii="Book Antiqua" w:hAnsi="Book Antiqua"/>
        </w:rPr>
        <w:t>n order “to discuss whether any issues may be resolved by the Commission on an expedited basis so that the outcome may be implemented by PG&amp;E prior to the 2018 winter heating season.”</w:t>
      </w:r>
      <w:r w:rsidRPr="000572AF">
        <w:rPr>
          <w:rStyle w:val="FootnoteReference"/>
          <w:rFonts w:ascii="Book Antiqua" w:hAnsi="Book Antiqua" w:cs="Book Antiqua"/>
          <w:szCs w:val="26"/>
        </w:rPr>
        <w:footnoteReference w:id="3"/>
      </w:r>
      <w:r w:rsidR="0099612F">
        <w:rPr>
          <w:rFonts w:ascii="Book Antiqua" w:hAnsi="Book Antiqua"/>
        </w:rPr>
        <w:t xml:space="preserve"> </w:t>
      </w:r>
      <w:r w:rsidRPr="00431F1E">
        <w:rPr>
          <w:rFonts w:ascii="Book Antiqua" w:hAnsi="Book Antiqua" w:cs="TimesNewRomanPSMT"/>
        </w:rPr>
        <w:t xml:space="preserve">On March 19, 2018, the </w:t>
      </w:r>
      <w:r w:rsidRPr="00431F1E">
        <w:rPr>
          <w:rFonts w:ascii="Book Antiqua" w:hAnsi="Book Antiqua"/>
        </w:rPr>
        <w:t>Amended Scoping Memo and Ruling of the assigned Commissioner and the ALJs (Amended Scoping Memo) was issued, which adopted a new procedural schedule</w:t>
      </w:r>
      <w:r w:rsidR="00412D77">
        <w:rPr>
          <w:rFonts w:ascii="Book Antiqua" w:hAnsi="Book Antiqua"/>
        </w:rPr>
        <w:t>.</w:t>
      </w:r>
    </w:p>
    <w:p w14:paraId="1BA25197" w14:textId="77777777" w:rsidR="001164FC" w:rsidRPr="00431F1E" w:rsidRDefault="001164FC" w:rsidP="00334364">
      <w:pPr>
        <w:pStyle w:val="standard"/>
        <w:rPr>
          <w:rFonts w:ascii="Book Antiqua" w:hAnsi="Book Antiqua"/>
        </w:rPr>
      </w:pPr>
      <w:r w:rsidRPr="00431F1E">
        <w:rPr>
          <w:rFonts w:ascii="Book Antiqua" w:hAnsi="Book Antiqua"/>
        </w:rPr>
        <w:t xml:space="preserve">As adopted in the </w:t>
      </w:r>
      <w:r w:rsidRPr="00431F1E">
        <w:rPr>
          <w:rFonts w:ascii="Book Antiqua" w:hAnsi="Book Antiqua" w:cs="TimesNewRomanPSMT"/>
        </w:rPr>
        <w:t xml:space="preserve">March 19, 2018 </w:t>
      </w:r>
      <w:r w:rsidRPr="00431F1E">
        <w:rPr>
          <w:rFonts w:ascii="Book Antiqua" w:hAnsi="Book Antiqua"/>
        </w:rPr>
        <w:t xml:space="preserve">Amended Scoping Memo, a public workshop was noticed and held in the proceeding on March 14, 2018 in San Francisco, CA. </w:t>
      </w:r>
    </w:p>
    <w:p w14:paraId="3D20CB26" w14:textId="47F337DD" w:rsidR="001164FC" w:rsidRPr="00431F1E" w:rsidRDefault="001164FC" w:rsidP="00334364">
      <w:pPr>
        <w:pStyle w:val="standard"/>
        <w:rPr>
          <w:rFonts w:ascii="Book Antiqua" w:hAnsi="Book Antiqua"/>
        </w:rPr>
      </w:pPr>
      <w:r w:rsidRPr="00431F1E">
        <w:rPr>
          <w:rFonts w:ascii="Book Antiqua" w:hAnsi="Book Antiqua"/>
        </w:rPr>
        <w:t>On June 26, 27</w:t>
      </w:r>
      <w:r w:rsidR="0093696B">
        <w:rPr>
          <w:rFonts w:ascii="Book Antiqua" w:hAnsi="Book Antiqua"/>
        </w:rPr>
        <w:t>,</w:t>
      </w:r>
      <w:r w:rsidRPr="00431F1E">
        <w:rPr>
          <w:rFonts w:ascii="Book Antiqua" w:hAnsi="Book Antiqua"/>
        </w:rPr>
        <w:t xml:space="preserve"> and 28, and July 10, 11, 16</w:t>
      </w:r>
      <w:r w:rsidR="0093696B">
        <w:rPr>
          <w:rFonts w:ascii="Book Antiqua" w:hAnsi="Book Antiqua"/>
        </w:rPr>
        <w:t>,</w:t>
      </w:r>
      <w:r w:rsidRPr="00431F1E">
        <w:rPr>
          <w:rFonts w:ascii="Book Antiqua" w:hAnsi="Book Antiqua"/>
        </w:rPr>
        <w:t xml:space="preserve"> and 17, 2018, Public Participation Hearings and Information Sessions were held in in the cities of Sacramento, Fresno, Bakersfield, Chico, San Francisco, San Jose, and Oakland, respectively, in order to </w:t>
      </w:r>
      <w:r w:rsidRPr="00431F1E">
        <w:rPr>
          <w:rFonts w:ascii="Book Antiqua" w:hAnsi="Book Antiqua"/>
          <w:color w:val="000000" w:themeColor="text1"/>
        </w:rPr>
        <w:t xml:space="preserve">obtain comments and </w:t>
      </w:r>
      <w:r w:rsidRPr="00431F1E">
        <w:rPr>
          <w:rFonts w:ascii="Book Antiqua" w:hAnsi="Book Antiqua"/>
        </w:rPr>
        <w:t>feedback</w:t>
      </w:r>
      <w:r w:rsidRPr="00431F1E">
        <w:rPr>
          <w:rFonts w:ascii="Book Antiqua" w:hAnsi="Book Antiqua"/>
          <w:color w:val="000000" w:themeColor="text1"/>
        </w:rPr>
        <w:t xml:space="preserve"> on the Application from PG&amp;E’s customers.</w:t>
      </w:r>
    </w:p>
    <w:p w14:paraId="2E1E3A9C" w14:textId="58B2EE54" w:rsidR="00BA6A2D" w:rsidRDefault="001164FC" w:rsidP="00334364">
      <w:pPr>
        <w:pStyle w:val="standard"/>
        <w:rPr>
          <w:rFonts w:ascii="Book Antiqua" w:hAnsi="Book Antiqua"/>
        </w:rPr>
      </w:pPr>
      <w:r w:rsidRPr="00431F1E">
        <w:rPr>
          <w:rFonts w:ascii="Book Antiqua" w:hAnsi="Book Antiqua" w:cs="BookAntiqua"/>
        </w:rPr>
        <w:t>E</w:t>
      </w:r>
      <w:r w:rsidRPr="00431F1E">
        <w:rPr>
          <w:rFonts w:ascii="Book Antiqua" w:hAnsi="Book Antiqua"/>
        </w:rPr>
        <w:t>videntiary hearings were held on July 23-26, 2018, in San Francisco, CA, and Testimony from PG&amp;E, Cal Advocates</w:t>
      </w:r>
      <w:r w:rsidRPr="00431F1E">
        <w:rPr>
          <w:rFonts w:ascii="Book Antiqua" w:hAnsi="Book Antiqua" w:cs="BookAntiqua"/>
        </w:rPr>
        <w:t xml:space="preserve">, TURN, </w:t>
      </w:r>
      <w:r w:rsidRPr="00431F1E">
        <w:rPr>
          <w:rFonts w:ascii="Book Antiqua" w:hAnsi="Book Antiqua"/>
        </w:rPr>
        <w:t xml:space="preserve">WMA, SBUA, and Indicated Shippers was received into the evidentiary record.  On August 22, 2018, post hearing briefs were filed WMA, SPURR, Cal Advocates, SBUA, TURN, PG&amp;E and Indicated </w:t>
      </w:r>
      <w:r w:rsidR="0093696B">
        <w:rPr>
          <w:rFonts w:ascii="Book Antiqua" w:hAnsi="Book Antiqua"/>
        </w:rPr>
        <w:t>S</w:t>
      </w:r>
      <w:r w:rsidRPr="00431F1E">
        <w:rPr>
          <w:rFonts w:ascii="Book Antiqua" w:hAnsi="Book Antiqua"/>
        </w:rPr>
        <w:t>hippers</w:t>
      </w:r>
      <w:r w:rsidR="006F6B80">
        <w:rPr>
          <w:rFonts w:ascii="Book Antiqua" w:hAnsi="Book Antiqua"/>
        </w:rPr>
        <w:t xml:space="preserve">.  On </w:t>
      </w:r>
      <w:r w:rsidRPr="00431F1E">
        <w:rPr>
          <w:rFonts w:ascii="Book Antiqua" w:hAnsi="Book Antiqua"/>
        </w:rPr>
        <w:t xml:space="preserve">September 12, 2018, reply briefs were filed by </w:t>
      </w:r>
    </w:p>
    <w:p w14:paraId="58BB494A" w14:textId="77777777" w:rsidR="001164FC" w:rsidRPr="00431F1E" w:rsidRDefault="001164FC" w:rsidP="00BA6A2D">
      <w:pPr>
        <w:pStyle w:val="standard"/>
        <w:ind w:firstLine="0"/>
        <w:rPr>
          <w:rFonts w:ascii="Book Antiqua" w:hAnsi="Book Antiqua"/>
        </w:rPr>
      </w:pPr>
      <w:r w:rsidRPr="00431F1E">
        <w:rPr>
          <w:rFonts w:ascii="Book Antiqua" w:hAnsi="Book Antiqua"/>
        </w:rPr>
        <w:t xml:space="preserve">Cal Advocates, WMA, SBUA, PG&amp;E and TURN.  </w:t>
      </w:r>
    </w:p>
    <w:p w14:paraId="1A7736F0" w14:textId="77777777" w:rsidR="00236981" w:rsidRDefault="001164FC" w:rsidP="00334364">
      <w:pPr>
        <w:pStyle w:val="standard"/>
        <w:rPr>
          <w:rFonts w:ascii="Book Antiqua" w:hAnsi="Book Antiqua"/>
        </w:rPr>
      </w:pPr>
      <w:r w:rsidRPr="00431F1E">
        <w:rPr>
          <w:rFonts w:ascii="Book Antiqua" w:hAnsi="Book Antiqua"/>
        </w:rPr>
        <w:t>On October 25, 2018 this Commission adopted Decision (D.)</w:t>
      </w:r>
      <w:r w:rsidR="0099612F">
        <w:rPr>
          <w:rFonts w:ascii="Book Antiqua" w:hAnsi="Book Antiqua"/>
        </w:rPr>
        <w:t xml:space="preserve"> </w:t>
      </w:r>
      <w:r w:rsidRPr="00431F1E">
        <w:rPr>
          <w:rFonts w:ascii="Book Antiqua" w:hAnsi="Book Antiqua"/>
        </w:rPr>
        <w:t xml:space="preserve">18-10-040 (approving Settlement Agreement regarding “Residential Baseline Season Restructuring” </w:t>
      </w:r>
      <w:r w:rsidR="006F6B80" w:rsidRPr="00A5534B">
        <w:rPr>
          <w:rFonts w:ascii="Book Antiqua" w:hAnsi="Book Antiqua"/>
        </w:rPr>
        <w:t>in</w:t>
      </w:r>
      <w:r w:rsidRPr="00431F1E">
        <w:rPr>
          <w:rFonts w:ascii="Book Antiqua" w:hAnsi="Book Antiqua"/>
        </w:rPr>
        <w:t xml:space="preserve"> PG&amp;E’s service territory)</w:t>
      </w:r>
      <w:r w:rsidR="00E87D6D">
        <w:rPr>
          <w:rFonts w:ascii="Book Antiqua" w:hAnsi="Book Antiqua"/>
        </w:rPr>
        <w:t xml:space="preserve"> </w:t>
      </w:r>
      <w:r w:rsidR="006F6B80" w:rsidRPr="00E84F33">
        <w:rPr>
          <w:rFonts w:ascii="Book Antiqua" w:hAnsi="Book Antiqua"/>
        </w:rPr>
        <w:t xml:space="preserve">which resolved </w:t>
      </w:r>
      <w:r w:rsidR="006F6B80" w:rsidRPr="00431F1E">
        <w:rPr>
          <w:rFonts w:ascii="Book Antiqua" w:hAnsi="Book Antiqua"/>
        </w:rPr>
        <w:t>PG&amp;E's proposal</w:t>
      </w:r>
      <w:r w:rsidR="00E84F33">
        <w:rPr>
          <w:rFonts w:ascii="Book Antiqua" w:hAnsi="Book Antiqua"/>
        </w:rPr>
        <w:t xml:space="preserve"> in the GCAP Application </w:t>
      </w:r>
      <w:r w:rsidR="006F6B80" w:rsidRPr="00431F1E">
        <w:rPr>
          <w:rFonts w:ascii="Book Antiqua" w:hAnsi="Book Antiqua"/>
        </w:rPr>
        <w:t xml:space="preserve">to change the residential winter baseline months </w:t>
      </w:r>
      <w:r w:rsidR="009E0E94" w:rsidRPr="00431F1E">
        <w:rPr>
          <w:rFonts w:ascii="Book Antiqua" w:hAnsi="Book Antiqua"/>
        </w:rPr>
        <w:t xml:space="preserve">in order </w:t>
      </w:r>
      <w:r w:rsidR="009E0E94" w:rsidRPr="00431F1E">
        <w:rPr>
          <w:rFonts w:ascii="Book Antiqua" w:hAnsi="Book Antiqua"/>
        </w:rPr>
        <w:lastRenderedPageBreak/>
        <w:t xml:space="preserve">to address </w:t>
      </w:r>
      <w:r w:rsidR="009E0E94" w:rsidRPr="00431F1E">
        <w:rPr>
          <w:rFonts w:ascii="Book Antiqua" w:hAnsi="Book Antiqua"/>
          <w:szCs w:val="26"/>
        </w:rPr>
        <w:t>residential bill volatility</w:t>
      </w:r>
      <w:r w:rsidR="009E0E94" w:rsidRPr="00431F1E">
        <w:rPr>
          <w:rFonts w:ascii="Book Antiqua" w:hAnsi="Book Antiqua"/>
        </w:rPr>
        <w:t xml:space="preserve"> issues pursuant to </w:t>
      </w:r>
      <w:r w:rsidR="00A5534B" w:rsidRPr="00431F1E">
        <w:rPr>
          <w:rFonts w:ascii="Book Antiqua" w:hAnsi="Book Antiqua"/>
          <w:szCs w:val="26"/>
        </w:rPr>
        <w:t xml:space="preserve">Senate Bill (SB) </w:t>
      </w:r>
      <w:r w:rsidR="009E0E94" w:rsidRPr="00431F1E">
        <w:rPr>
          <w:rFonts w:ascii="Book Antiqua" w:hAnsi="Book Antiqua"/>
        </w:rPr>
        <w:t>711</w:t>
      </w:r>
      <w:r w:rsidRPr="00431F1E">
        <w:rPr>
          <w:rFonts w:ascii="Book Antiqua" w:hAnsi="Book Antiqua"/>
        </w:rPr>
        <w:t>.</w:t>
      </w:r>
      <w:r w:rsidR="00A5534B" w:rsidRPr="00A5534B">
        <w:rPr>
          <w:rStyle w:val="FootnoteReference"/>
          <w:rFonts w:ascii="Book Antiqua" w:hAnsi="Book Antiqua"/>
        </w:rPr>
        <w:footnoteReference w:id="4"/>
      </w:r>
      <w:r w:rsidRPr="00431F1E">
        <w:rPr>
          <w:rFonts w:ascii="Book Antiqua" w:hAnsi="Book Antiqua"/>
        </w:rPr>
        <w:t xml:space="preserve">  On February 21, 2019, this Commission adopted D.19-02-028 </w:t>
      </w:r>
      <w:r w:rsidR="0093696B">
        <w:rPr>
          <w:rFonts w:ascii="Book Antiqua" w:hAnsi="Book Antiqua"/>
        </w:rPr>
        <w:t xml:space="preserve">, which </w:t>
      </w:r>
      <w:r w:rsidRPr="00431F1E">
        <w:rPr>
          <w:rFonts w:ascii="Book Antiqua" w:hAnsi="Book Antiqua"/>
        </w:rPr>
        <w:t>extended the statutory deadline in this proceeding to September 14, 2019.</w:t>
      </w:r>
      <w:r w:rsidR="00B70EDC">
        <w:rPr>
          <w:rFonts w:ascii="Book Antiqua" w:hAnsi="Book Antiqua"/>
        </w:rPr>
        <w:t xml:space="preserve">  </w:t>
      </w:r>
    </w:p>
    <w:p w14:paraId="23F774D3" w14:textId="4AA0EB7F" w:rsidR="001164FC" w:rsidRPr="00431F1E" w:rsidRDefault="00B70EDC" w:rsidP="00334364">
      <w:pPr>
        <w:pStyle w:val="standard"/>
        <w:rPr>
          <w:rFonts w:ascii="Book Antiqua" w:hAnsi="Book Antiqua"/>
        </w:rPr>
      </w:pPr>
      <w:r w:rsidRPr="00431F1E">
        <w:rPr>
          <w:rFonts w:ascii="Book Antiqua" w:hAnsi="Book Antiqua"/>
        </w:rPr>
        <w:t>D.19-0</w:t>
      </w:r>
      <w:r>
        <w:rPr>
          <w:rFonts w:ascii="Book Antiqua" w:hAnsi="Book Antiqua"/>
        </w:rPr>
        <w:t>9-030, issued on September 9, 2019, further extended the s</w:t>
      </w:r>
      <w:r w:rsidRPr="00431F1E">
        <w:rPr>
          <w:rFonts w:ascii="Book Antiqua" w:hAnsi="Book Antiqua"/>
        </w:rPr>
        <w:t xml:space="preserve">tatutory deadline in this proceeding to </w:t>
      </w:r>
      <w:r>
        <w:rPr>
          <w:rFonts w:ascii="Book Antiqua" w:hAnsi="Book Antiqua"/>
        </w:rPr>
        <w:t xml:space="preserve">March 14, 2020 in order to have needed time to address issues raised in the parties’ comments to the proposed decision. </w:t>
      </w:r>
    </w:p>
    <w:p w14:paraId="67498D6E" w14:textId="77777777" w:rsidR="001164FC" w:rsidRPr="00561FEE" w:rsidRDefault="001164FC" w:rsidP="001B68E1">
      <w:pPr>
        <w:pStyle w:val="Heading1"/>
      </w:pPr>
      <w:bookmarkStart w:id="13" w:name="_Toc459300605"/>
      <w:bookmarkStart w:id="14" w:name="_Toc494700984"/>
      <w:bookmarkStart w:id="15" w:name="_Toc525555603"/>
      <w:bookmarkStart w:id="16" w:name="_Toc526159303"/>
      <w:bookmarkStart w:id="17" w:name="_Toc526424341"/>
      <w:bookmarkStart w:id="18" w:name="_Toc11407848"/>
      <w:bookmarkStart w:id="19" w:name="_Toc20144533"/>
      <w:r w:rsidRPr="001B68E1">
        <w:t>Jurisdiction</w:t>
      </w:r>
      <w:r w:rsidRPr="00561FEE">
        <w:t>; Legal and Policy Framework</w:t>
      </w:r>
      <w:bookmarkEnd w:id="13"/>
      <w:bookmarkEnd w:id="14"/>
      <w:bookmarkEnd w:id="15"/>
      <w:bookmarkEnd w:id="16"/>
      <w:bookmarkEnd w:id="17"/>
      <w:bookmarkEnd w:id="18"/>
      <w:bookmarkEnd w:id="19"/>
    </w:p>
    <w:p w14:paraId="0BC39971" w14:textId="6FE8EE3F" w:rsidR="001164FC" w:rsidRPr="00431F1E" w:rsidRDefault="001164FC" w:rsidP="001B68E1">
      <w:pPr>
        <w:pStyle w:val="standard"/>
        <w:rPr>
          <w:rFonts w:ascii="Book Antiqua" w:hAnsi="Book Antiqua"/>
        </w:rPr>
      </w:pPr>
      <w:r w:rsidRPr="00431F1E">
        <w:rPr>
          <w:rFonts w:ascii="Book Antiqua" w:hAnsi="Book Antiqua"/>
        </w:rPr>
        <w:t xml:space="preserve">Section 451 provides that public utilities may only demand and receive just and reasonable </w:t>
      </w:r>
      <w:r w:rsidR="005707E3">
        <w:rPr>
          <w:rFonts w:ascii="Book Antiqua" w:hAnsi="Book Antiqua"/>
        </w:rPr>
        <w:t>rates</w:t>
      </w:r>
      <w:r w:rsidRPr="00431F1E">
        <w:rPr>
          <w:rFonts w:ascii="Book Antiqua" w:hAnsi="Book Antiqua"/>
        </w:rPr>
        <w:t xml:space="preserve">.  Section 451 further states that the utilities must provide “adequate, efficient, just and reasonable service” in a way that promotes the “safety, health, comfort, and convenience of [their] patrons, employees, and the public.”  Section 454 requires the Commission to review proposed rates changes, make a finding of whether they are justified, and – once justified – authorize the proposed rates changes before they can take effect.  </w:t>
      </w:r>
    </w:p>
    <w:p w14:paraId="69E24DC7" w14:textId="77777777" w:rsidR="001164FC" w:rsidRPr="00561FEE" w:rsidRDefault="001164FC" w:rsidP="001B68E1">
      <w:pPr>
        <w:pStyle w:val="Heading1"/>
      </w:pPr>
      <w:bookmarkStart w:id="20" w:name="_Toc11407849"/>
      <w:bookmarkStart w:id="21" w:name="_Toc20144534"/>
      <w:bookmarkStart w:id="22" w:name="_Toc525555604"/>
      <w:bookmarkStart w:id="23" w:name="_Toc526159304"/>
      <w:bookmarkStart w:id="24" w:name="_Toc526424342"/>
      <w:r w:rsidRPr="001B68E1">
        <w:t>Issues</w:t>
      </w:r>
      <w:r w:rsidRPr="00561FEE">
        <w:t xml:space="preserve"> before the Commission</w:t>
      </w:r>
      <w:bookmarkEnd w:id="20"/>
      <w:bookmarkEnd w:id="21"/>
    </w:p>
    <w:p w14:paraId="29CEC14F" w14:textId="7C3BF9C2" w:rsidR="001164FC" w:rsidRPr="00431F1E" w:rsidRDefault="00E87D6D" w:rsidP="001B68E1">
      <w:pPr>
        <w:pStyle w:val="standard"/>
        <w:rPr>
          <w:rFonts w:ascii="Book Antiqua" w:hAnsi="Book Antiqua"/>
        </w:rPr>
      </w:pPr>
      <w:r>
        <w:rPr>
          <w:rFonts w:ascii="Book Antiqua" w:hAnsi="Book Antiqua"/>
        </w:rPr>
        <w:t>T</w:t>
      </w:r>
      <w:r w:rsidR="001164FC" w:rsidRPr="00431F1E">
        <w:rPr>
          <w:rFonts w:ascii="Book Antiqua" w:hAnsi="Book Antiqua"/>
        </w:rPr>
        <w:t>he January 26, 2018 Scoping Memo</w:t>
      </w:r>
      <w:r>
        <w:rPr>
          <w:rFonts w:ascii="Book Antiqua" w:hAnsi="Book Antiqua"/>
        </w:rPr>
        <w:t xml:space="preserve"> set forth 13</w:t>
      </w:r>
      <w:r w:rsidR="001164FC" w:rsidRPr="00431F1E">
        <w:rPr>
          <w:rFonts w:ascii="Book Antiqua" w:hAnsi="Book Antiqua"/>
        </w:rPr>
        <w:t xml:space="preserve"> issues </w:t>
      </w:r>
      <w:r>
        <w:rPr>
          <w:rFonts w:ascii="Book Antiqua" w:hAnsi="Book Antiqua"/>
        </w:rPr>
        <w:t>for</w:t>
      </w:r>
      <w:r w:rsidRPr="00431F1E">
        <w:rPr>
          <w:rFonts w:ascii="Book Antiqua" w:hAnsi="Book Antiqua"/>
        </w:rPr>
        <w:t xml:space="preserve"> </w:t>
      </w:r>
      <w:r w:rsidR="001164FC" w:rsidRPr="00431F1E">
        <w:rPr>
          <w:rFonts w:ascii="Book Antiqua" w:hAnsi="Book Antiqua"/>
        </w:rPr>
        <w:t>resolution in this proceeding</w:t>
      </w:r>
      <w:r>
        <w:rPr>
          <w:rFonts w:ascii="Book Antiqua" w:hAnsi="Book Antiqua"/>
        </w:rPr>
        <w:t>. Issue 4 (</w:t>
      </w:r>
      <w:r w:rsidRPr="00E87D6D">
        <w:rPr>
          <w:rFonts w:ascii="Book Antiqua" w:hAnsi="Book Antiqua"/>
        </w:rPr>
        <w:t>Should PG&amp;E's proposals changing the residential winter baseline months to December, January and February, and placing the remaining months of the year in a non-peak baseline season be approved?</w:t>
      </w:r>
      <w:r>
        <w:rPr>
          <w:rFonts w:ascii="Book Antiqua" w:hAnsi="Book Antiqua"/>
        </w:rPr>
        <w:t>) was resolved by D.</w:t>
      </w:r>
      <w:r w:rsidRPr="00E87D6D">
        <w:rPr>
          <w:rFonts w:ascii="Book Antiqua" w:hAnsi="Book Antiqua"/>
        </w:rPr>
        <w:t>18-10-040</w:t>
      </w:r>
      <w:r>
        <w:rPr>
          <w:rFonts w:ascii="Book Antiqua" w:hAnsi="Book Antiqua"/>
        </w:rPr>
        <w:t>.</w:t>
      </w:r>
      <w:r w:rsidRPr="00E87D6D">
        <w:rPr>
          <w:rFonts w:ascii="Book Antiqua" w:hAnsi="Book Antiqua"/>
        </w:rPr>
        <w:t xml:space="preserve"> </w:t>
      </w:r>
      <w:r w:rsidR="001164FC" w:rsidRPr="00431F1E">
        <w:rPr>
          <w:rFonts w:ascii="Book Antiqua" w:hAnsi="Book Antiqua"/>
        </w:rPr>
        <w:t xml:space="preserve"> </w:t>
      </w:r>
      <w:r>
        <w:rPr>
          <w:rFonts w:ascii="Book Antiqua" w:hAnsi="Book Antiqua"/>
        </w:rPr>
        <w:t xml:space="preserve">Section 4 of this decision lists and resolves each issue that remains. </w:t>
      </w:r>
    </w:p>
    <w:p w14:paraId="7EC64B45" w14:textId="77777777" w:rsidR="001164FC" w:rsidRPr="00431F1E" w:rsidRDefault="001164FC" w:rsidP="001B68E1">
      <w:pPr>
        <w:pStyle w:val="Heading2"/>
        <w:rPr>
          <w:rFonts w:ascii="Helvetica" w:hAnsi="Helvetica" w:cs="Helvetica"/>
        </w:rPr>
      </w:pPr>
      <w:bookmarkStart w:id="25" w:name="_Toc11407850"/>
      <w:bookmarkStart w:id="26" w:name="_Toc20144535"/>
      <w:r w:rsidRPr="00431F1E">
        <w:rPr>
          <w:rFonts w:ascii="Helvetica" w:hAnsi="Helvetica" w:cs="Helvetica"/>
        </w:rPr>
        <w:lastRenderedPageBreak/>
        <w:t>Position of the Parties</w:t>
      </w:r>
      <w:bookmarkEnd w:id="25"/>
      <w:bookmarkEnd w:id="26"/>
    </w:p>
    <w:p w14:paraId="184283C4" w14:textId="77777777" w:rsidR="001164FC" w:rsidRPr="00561FEE" w:rsidRDefault="001164FC" w:rsidP="001B68E1">
      <w:pPr>
        <w:pStyle w:val="Heading3"/>
      </w:pPr>
      <w:bookmarkStart w:id="27" w:name="_Toc11407851"/>
      <w:bookmarkStart w:id="28" w:name="_Toc20144536"/>
      <w:r w:rsidRPr="00561FEE">
        <w:t>PG&amp;E</w:t>
      </w:r>
      <w:bookmarkEnd w:id="27"/>
      <w:bookmarkEnd w:id="28"/>
    </w:p>
    <w:p w14:paraId="4AC5A6AE" w14:textId="77777777" w:rsidR="001164FC" w:rsidRPr="00227B97" w:rsidRDefault="001164FC" w:rsidP="00AD0B4B">
      <w:pPr>
        <w:widowControl w:val="0"/>
        <w:spacing w:line="360" w:lineRule="auto"/>
        <w:ind w:firstLine="720"/>
        <w:rPr>
          <w:szCs w:val="26"/>
        </w:rPr>
      </w:pPr>
      <w:r w:rsidRPr="00227B97">
        <w:rPr>
          <w:szCs w:val="26"/>
        </w:rPr>
        <w:t xml:space="preserve">PG&amp;E argues that, after litigating many of the issues in this GCAP Application and based on the prepared testimony it submitted, the record in this proceeding supports the adoption of its proposals.  PG&amp;E contends that its proposals in this GCAP Application are just and reasonable.  PG&amp;E believes its proposals fairly balance individual customer class interests and consider the interests of all customers in a fashion that is more equitable than any other proposal in this proceeding.  Accordingly, PG&amp;E asserts that the Commission should approve its GCAP Application requests and proposals, as further discussed below. </w:t>
      </w:r>
    </w:p>
    <w:p w14:paraId="1B984F0F" w14:textId="77777777" w:rsidR="001164FC" w:rsidRPr="00561FEE" w:rsidRDefault="001164FC" w:rsidP="00AD0B4B">
      <w:pPr>
        <w:widowControl w:val="0"/>
        <w:spacing w:line="360" w:lineRule="auto"/>
        <w:ind w:firstLine="720"/>
        <w:rPr>
          <w:szCs w:val="26"/>
        </w:rPr>
      </w:pPr>
      <w:bookmarkStart w:id="29" w:name="_Hlk8055379"/>
      <w:r w:rsidRPr="00561FEE">
        <w:rPr>
          <w:szCs w:val="26"/>
        </w:rPr>
        <w:t>PG&amp;E contends that the Commission should approve the use of the throughput forecast submitted by Cal Advocates in PG&amp;E’s GT&amp;S proceeding</w:t>
      </w:r>
      <w:r w:rsidR="000F3194">
        <w:rPr>
          <w:szCs w:val="26"/>
        </w:rPr>
        <w:t>,</w:t>
      </w:r>
      <w:r w:rsidRPr="00561FEE">
        <w:rPr>
          <w:szCs w:val="26"/>
        </w:rPr>
        <w:t xml:space="preserve"> A.17-11-009 on an interim basis for gas distribution rate purposes until the Commission issues a final decision in the GT&amp;S proceeding deciding </w:t>
      </w:r>
      <w:r>
        <w:rPr>
          <w:szCs w:val="26"/>
        </w:rPr>
        <w:t xml:space="preserve">the </w:t>
      </w:r>
      <w:r w:rsidRPr="00561FEE">
        <w:rPr>
          <w:szCs w:val="26"/>
        </w:rPr>
        <w:t xml:space="preserve">throughput issue. </w:t>
      </w:r>
      <w:bookmarkEnd w:id="29"/>
      <w:r w:rsidRPr="00561FEE">
        <w:rPr>
          <w:szCs w:val="26"/>
        </w:rPr>
        <w:t xml:space="preserve">Thereafter, PG&amp;E contends that it should be authorized to use the throughput approved in the most recent GT&amp;S case. </w:t>
      </w:r>
    </w:p>
    <w:p w14:paraId="3D1DB0DD" w14:textId="4BF931D1" w:rsidR="00B30C1D" w:rsidRDefault="001164FC" w:rsidP="00F76951">
      <w:pPr>
        <w:widowControl w:val="0"/>
        <w:spacing w:line="360" w:lineRule="auto"/>
        <w:ind w:firstLine="720"/>
        <w:rPr>
          <w:szCs w:val="26"/>
        </w:rPr>
      </w:pPr>
      <w:r w:rsidRPr="00AD0B4B">
        <w:rPr>
          <w:szCs w:val="26"/>
        </w:rPr>
        <w:t>Regarding cost allocation, PG&amp;E argues that its proposal to use the embedded cost methodology to allocate gas distribution costs to customer classes should be approved “in light of the changed circumstances on its gas distribution system where drivers of additional cost are different from the Peak throughput factor in the past.”</w:t>
      </w:r>
      <w:r w:rsidRPr="00561FEE">
        <w:rPr>
          <w:rStyle w:val="FootnoteReference"/>
          <w:szCs w:val="26"/>
        </w:rPr>
        <w:footnoteReference w:id="5"/>
      </w:r>
      <w:r w:rsidRPr="00AD0B4B">
        <w:rPr>
          <w:szCs w:val="26"/>
        </w:rPr>
        <w:t xml:space="preserve">  Moreover, PG&amp;E requests that the Commission approve its proposal to allocate </w:t>
      </w:r>
      <w:r w:rsidR="00EC0C24">
        <w:rPr>
          <w:szCs w:val="26"/>
        </w:rPr>
        <w:t>energy efficiency</w:t>
      </w:r>
      <w:r w:rsidR="00EC0C24" w:rsidRPr="00AD0B4B">
        <w:rPr>
          <w:szCs w:val="26"/>
        </w:rPr>
        <w:t xml:space="preserve"> </w:t>
      </w:r>
      <w:r w:rsidRPr="00AD0B4B">
        <w:rPr>
          <w:szCs w:val="26"/>
        </w:rPr>
        <w:t xml:space="preserve">costs based on an updated study of benefits received by each class as presented in Exhibit PGE-1, chapter 4A; PG&amp;E also proposes to continue allocating the </w:t>
      </w:r>
      <w:r w:rsidR="000F3194" w:rsidRPr="00AD0B4B">
        <w:rPr>
          <w:szCs w:val="26"/>
        </w:rPr>
        <w:t>E</w:t>
      </w:r>
      <w:r w:rsidR="0062448A">
        <w:rPr>
          <w:szCs w:val="26"/>
        </w:rPr>
        <w:t>nergy Savings Assistance</w:t>
      </w:r>
      <w:r w:rsidR="00CF1C80">
        <w:rPr>
          <w:szCs w:val="26"/>
        </w:rPr>
        <w:t xml:space="preserve"> </w:t>
      </w:r>
      <w:r w:rsidRPr="00AD0B4B">
        <w:rPr>
          <w:szCs w:val="26"/>
        </w:rPr>
        <w:t xml:space="preserve">Program gas costs </w:t>
      </w:r>
      <w:r w:rsidRPr="00AD0B4B">
        <w:rPr>
          <w:szCs w:val="26"/>
        </w:rPr>
        <w:lastRenderedPageBreak/>
        <w:t xml:space="preserve">entirely to the residential customer class. </w:t>
      </w:r>
    </w:p>
    <w:p w14:paraId="3716F3E4" w14:textId="710EC1F8" w:rsidR="00B30C1D" w:rsidRDefault="001164FC" w:rsidP="00F76951">
      <w:pPr>
        <w:widowControl w:val="0"/>
        <w:spacing w:line="360" w:lineRule="auto"/>
        <w:ind w:firstLine="720"/>
        <w:rPr>
          <w:szCs w:val="26"/>
        </w:rPr>
      </w:pPr>
      <w:r w:rsidRPr="00A939B4">
        <w:rPr>
          <w:szCs w:val="26"/>
        </w:rPr>
        <w:t>Regarding the master meter discount, PG&amp;E argues that the Commission should continue calcul</w:t>
      </w:r>
      <w:r w:rsidRPr="003211E9">
        <w:rPr>
          <w:szCs w:val="26"/>
        </w:rPr>
        <w:t xml:space="preserve">ating the allowance provided to master-meter customers based on the principles and methodologies approved by the Commission in PG&amp;E’s 2017 </w:t>
      </w:r>
      <w:r w:rsidR="00EC0C24">
        <w:rPr>
          <w:szCs w:val="26"/>
        </w:rPr>
        <w:t>General Rate Case (</w:t>
      </w:r>
      <w:r w:rsidRPr="003211E9">
        <w:rPr>
          <w:szCs w:val="26"/>
        </w:rPr>
        <w:t>GRC</w:t>
      </w:r>
      <w:r w:rsidR="00EC0C24">
        <w:rPr>
          <w:szCs w:val="26"/>
        </w:rPr>
        <w:t>)</w:t>
      </w:r>
      <w:r w:rsidRPr="003211E9">
        <w:rPr>
          <w:szCs w:val="26"/>
        </w:rPr>
        <w:t xml:space="preserve"> II decision, D.18-08-013.  PG&amp;E contends there is no reason to change these principles and methodologies in this proceeding.</w:t>
      </w:r>
    </w:p>
    <w:p w14:paraId="069730FF" w14:textId="02B2B4B7" w:rsidR="00B30C1D" w:rsidRDefault="001164FC" w:rsidP="00F76951">
      <w:pPr>
        <w:widowControl w:val="0"/>
        <w:spacing w:line="360" w:lineRule="auto"/>
        <w:ind w:firstLine="720"/>
        <w:rPr>
          <w:szCs w:val="26"/>
        </w:rPr>
      </w:pPr>
      <w:r w:rsidRPr="005C2BF3">
        <w:rPr>
          <w:szCs w:val="26"/>
        </w:rPr>
        <w:t>PG&amp;E requests that the Commission accept its Natural Gas Vehicle</w:t>
      </w:r>
      <w:r w:rsidR="00EC0C24">
        <w:rPr>
          <w:szCs w:val="26"/>
        </w:rPr>
        <w:t xml:space="preserve"> (NGV)</w:t>
      </w:r>
      <w:r w:rsidRPr="005C2BF3">
        <w:rPr>
          <w:szCs w:val="26"/>
        </w:rPr>
        <w:t xml:space="preserve"> Compression Cost study and that the Commission authorizes PG&amp;E’s proposed NGV compression rate of $0.96 per therm.  The new rate will reflect PG&amp;E’s updated operations &amp; maintenance (O&amp;M) expenses, overhead expenses and updated throughput data.  Additionally</w:t>
      </w:r>
      <w:r w:rsidR="002C0A89">
        <w:rPr>
          <w:szCs w:val="26"/>
        </w:rPr>
        <w:t>,</w:t>
      </w:r>
      <w:r w:rsidRPr="005C2BF3">
        <w:rPr>
          <w:szCs w:val="26"/>
        </w:rPr>
        <w:t xml:space="preserve"> the new NGV compression rate will reflect PG&amp;E’s proposed</w:t>
      </w:r>
      <w:r w:rsidR="0099612F">
        <w:rPr>
          <w:szCs w:val="26"/>
        </w:rPr>
        <w:t xml:space="preserve"> </w:t>
      </w:r>
      <w:r w:rsidR="00A235C7" w:rsidRPr="00A939B4">
        <w:rPr>
          <w:szCs w:val="26"/>
        </w:rPr>
        <w:t>Core Brokerage Fee</w:t>
      </w:r>
      <w:r w:rsidRPr="003211E9">
        <w:rPr>
          <w:szCs w:val="26"/>
        </w:rPr>
        <w:t xml:space="preserve">.  </w:t>
      </w:r>
    </w:p>
    <w:p w14:paraId="713F5ED5" w14:textId="77777777" w:rsidR="00B30C1D" w:rsidRDefault="001164FC" w:rsidP="00F76951">
      <w:pPr>
        <w:widowControl w:val="0"/>
        <w:spacing w:line="360" w:lineRule="auto"/>
        <w:ind w:firstLine="720"/>
        <w:rPr>
          <w:szCs w:val="26"/>
        </w:rPr>
      </w:pPr>
      <w:r w:rsidRPr="003211E9">
        <w:rPr>
          <w:szCs w:val="26"/>
        </w:rPr>
        <w:t>Expand</w:t>
      </w:r>
      <w:r w:rsidRPr="009E23DA">
        <w:rPr>
          <w:szCs w:val="26"/>
        </w:rPr>
        <w:t xml:space="preserve">ing further on the brokerage fee issues raised by parties in this proceeding, PG&amp;E urges the Commission to reject TURN’s proposal to add a working cash component to the Core Brokerage fee.  PG&amp;E argues that working cash for </w:t>
      </w:r>
      <w:r w:rsidR="007F6B1C" w:rsidRPr="005C2BF3">
        <w:rPr>
          <w:szCs w:val="26"/>
        </w:rPr>
        <w:t xml:space="preserve">the </w:t>
      </w:r>
      <w:r w:rsidRPr="00CE1C91">
        <w:rPr>
          <w:szCs w:val="26"/>
        </w:rPr>
        <w:t>gas commodity should be dealt with in the 2020 GRC I case.</w:t>
      </w:r>
      <w:r w:rsidRPr="00561FEE">
        <w:rPr>
          <w:rStyle w:val="FootnoteReference"/>
          <w:szCs w:val="26"/>
        </w:rPr>
        <w:footnoteReference w:id="6"/>
      </w:r>
    </w:p>
    <w:p w14:paraId="2725F410" w14:textId="77777777" w:rsidR="00B30C1D" w:rsidRDefault="001164FC" w:rsidP="00F76951">
      <w:pPr>
        <w:widowControl w:val="0"/>
        <w:spacing w:line="360" w:lineRule="auto"/>
        <w:ind w:firstLine="720"/>
        <w:rPr>
          <w:szCs w:val="26"/>
        </w:rPr>
      </w:pPr>
      <w:r w:rsidRPr="00AD0B4B">
        <w:rPr>
          <w:szCs w:val="26"/>
        </w:rPr>
        <w:t xml:space="preserve">PG&amp;E further urges that the Commission approve the proposed gradual reduction to the residential tiers differential to 1.2 – which would occur over the course </w:t>
      </w:r>
      <w:r w:rsidR="007F6B1C" w:rsidRPr="00AD0B4B">
        <w:rPr>
          <w:szCs w:val="26"/>
        </w:rPr>
        <w:t xml:space="preserve">of </w:t>
      </w:r>
      <w:r w:rsidRPr="00AD0B4B">
        <w:rPr>
          <w:szCs w:val="26"/>
        </w:rPr>
        <w:t xml:space="preserve">four years – as doing so would produce a more desirable tier differential.  PG&amp;E contends that the current differential has been impacted by unforeseen developments in the relationship of commodity and transportation costs over the years.  </w:t>
      </w:r>
    </w:p>
    <w:p w14:paraId="7610C5D4" w14:textId="77777777" w:rsidR="00B30C1D" w:rsidRDefault="001164FC" w:rsidP="00F76951">
      <w:pPr>
        <w:widowControl w:val="0"/>
        <w:spacing w:line="360" w:lineRule="auto"/>
        <w:ind w:firstLine="720"/>
        <w:rPr>
          <w:szCs w:val="26"/>
        </w:rPr>
      </w:pPr>
      <w:r w:rsidRPr="00A939B4">
        <w:rPr>
          <w:szCs w:val="26"/>
        </w:rPr>
        <w:t xml:space="preserve">PG&amp;E requests approval of its proposed minimum non-CARE monthly </w:t>
      </w:r>
      <w:r w:rsidRPr="00A939B4">
        <w:rPr>
          <w:szCs w:val="26"/>
        </w:rPr>
        <w:lastRenderedPageBreak/>
        <w:t xml:space="preserve">transportation charge of $15, and a Super Peak minimum monthly transportation charge equal to $45; and </w:t>
      </w:r>
      <w:r w:rsidRPr="003211E9">
        <w:rPr>
          <w:szCs w:val="26"/>
        </w:rPr>
        <w:t>the approval of its proposed update to the CPUC fee applicable to the electric generation customer class (Schedules G-EB and G-EGBB).</w:t>
      </w:r>
    </w:p>
    <w:p w14:paraId="200737D2" w14:textId="212F59EA" w:rsidR="00E323D9" w:rsidRDefault="001164FC" w:rsidP="008550CD">
      <w:pPr>
        <w:widowControl w:val="0"/>
        <w:spacing w:line="360" w:lineRule="auto"/>
        <w:ind w:firstLine="720"/>
        <w:rPr>
          <w:szCs w:val="26"/>
        </w:rPr>
      </w:pPr>
      <w:r w:rsidRPr="005C2BF3">
        <w:rPr>
          <w:szCs w:val="26"/>
        </w:rPr>
        <w:t xml:space="preserve">PG&amp;E requests that the Commission </w:t>
      </w:r>
      <w:r w:rsidR="00684215" w:rsidRPr="005C2BF3">
        <w:rPr>
          <w:szCs w:val="26"/>
        </w:rPr>
        <w:t>approve</w:t>
      </w:r>
      <w:r w:rsidRPr="00CE1C91">
        <w:rPr>
          <w:szCs w:val="26"/>
        </w:rPr>
        <w:t xml:space="preserve"> its recommendations for a </w:t>
      </w:r>
      <w:r w:rsidR="00684215" w:rsidRPr="00CE1C91">
        <w:rPr>
          <w:szCs w:val="26"/>
        </w:rPr>
        <w:t xml:space="preserve">three to five-year </w:t>
      </w:r>
      <w:r w:rsidRPr="00CE1C91">
        <w:rPr>
          <w:szCs w:val="26"/>
        </w:rPr>
        <w:t>cycle for filing future GCAP applications</w:t>
      </w:r>
      <w:r w:rsidR="00684215" w:rsidRPr="00CE1C91">
        <w:rPr>
          <w:szCs w:val="26"/>
        </w:rPr>
        <w:t xml:space="preserve">, and establishes </w:t>
      </w:r>
      <w:r w:rsidRPr="002A289D">
        <w:rPr>
          <w:szCs w:val="26"/>
        </w:rPr>
        <w:t>GT&amp;S cases as the appropriate venues for litigating and deciding</w:t>
      </w:r>
      <w:r w:rsidRPr="00D94B6A">
        <w:rPr>
          <w:szCs w:val="26"/>
        </w:rPr>
        <w:t xml:space="preserve"> gas throughput forecasts that will be implemented for future GCAP rate changes as well as GT&amp;S rate changes</w:t>
      </w:r>
      <w:r w:rsidR="008659A6" w:rsidRPr="00D94B6A">
        <w:rPr>
          <w:szCs w:val="26"/>
        </w:rPr>
        <w:t>.  Further, PG&amp;E requests</w:t>
      </w:r>
      <w:r w:rsidRPr="00D94B6A">
        <w:rPr>
          <w:szCs w:val="26"/>
        </w:rPr>
        <w:t xml:space="preserve"> that the Commission adopt the outcome of Cal Advocates’ audit of PG&amp;E’s GCAP accounts</w:t>
      </w:r>
      <w:r w:rsidR="007A59EB" w:rsidRPr="00D94B6A">
        <w:rPr>
          <w:szCs w:val="26"/>
        </w:rPr>
        <w:t xml:space="preserve"> (</w:t>
      </w:r>
      <w:r w:rsidRPr="00D94B6A">
        <w:rPr>
          <w:szCs w:val="26"/>
        </w:rPr>
        <w:t>which indicated that Cal Advocates’ auditors had “no concerns” with these accounts</w:t>
      </w:r>
      <w:r w:rsidR="007A59EB" w:rsidRPr="00D94B6A">
        <w:rPr>
          <w:szCs w:val="26"/>
        </w:rPr>
        <w:t>)</w:t>
      </w:r>
      <w:r w:rsidRPr="00547EFD">
        <w:rPr>
          <w:szCs w:val="26"/>
        </w:rPr>
        <w:t xml:space="preserve">; and approve the gas implementation proposal in PG&amp;E’s </w:t>
      </w:r>
      <w:r w:rsidR="007A59EB" w:rsidRPr="00EE029B">
        <w:rPr>
          <w:szCs w:val="26"/>
        </w:rPr>
        <w:t>Self-Generation Incentive Program (SGIP)</w:t>
      </w:r>
      <w:r w:rsidR="0099612F">
        <w:rPr>
          <w:szCs w:val="26"/>
        </w:rPr>
        <w:t xml:space="preserve"> </w:t>
      </w:r>
      <w:r w:rsidRPr="00715760">
        <w:rPr>
          <w:szCs w:val="26"/>
        </w:rPr>
        <w:t>May 31, 2018 compliance</w:t>
      </w:r>
      <w:r w:rsidRPr="00941C13">
        <w:rPr>
          <w:szCs w:val="26"/>
        </w:rPr>
        <w:t xml:space="preserve"> filing, including the SGIP Gas Cost Allocation Percentages for the gas rate schedules.</w:t>
      </w:r>
      <w:r w:rsidR="00C10696">
        <w:rPr>
          <w:rStyle w:val="FootnoteReference"/>
          <w:szCs w:val="26"/>
        </w:rPr>
        <w:footnoteReference w:id="7"/>
      </w:r>
      <w:bookmarkStart w:id="30" w:name="_Hlk520464887"/>
    </w:p>
    <w:p w14:paraId="2C5C753D" w14:textId="0403777D" w:rsidR="001164FC" w:rsidRPr="00561FEE" w:rsidRDefault="0093696B" w:rsidP="00A25EC8">
      <w:pPr>
        <w:pStyle w:val="Heading3"/>
      </w:pPr>
      <w:bookmarkStart w:id="31" w:name="_Toc20144537"/>
      <w:bookmarkEnd w:id="30"/>
      <w:r>
        <w:t>Cal Advocates</w:t>
      </w:r>
      <w:bookmarkEnd w:id="31"/>
    </w:p>
    <w:p w14:paraId="720A660C" w14:textId="1E4A9D99" w:rsidR="001164FC" w:rsidRPr="00196B50" w:rsidRDefault="001164FC" w:rsidP="00A25EC8">
      <w:pPr>
        <w:pStyle w:val="standard"/>
        <w:rPr>
          <w:rFonts w:ascii="Book Antiqua" w:hAnsi="Book Antiqua"/>
        </w:rPr>
      </w:pPr>
      <w:r w:rsidRPr="00196B50">
        <w:rPr>
          <w:rFonts w:ascii="Book Antiqua" w:hAnsi="Book Antiqua"/>
        </w:rPr>
        <w:t xml:space="preserve">Cal Advocates opposes certain proposals made by PG&amp;E to change its gas distribution rates </w:t>
      </w:r>
      <w:r w:rsidR="00CE2F2F" w:rsidRPr="00196B50">
        <w:rPr>
          <w:rFonts w:ascii="Book Antiqua" w:hAnsi="Book Antiqua"/>
        </w:rPr>
        <w:t>and their allocations</w:t>
      </w:r>
      <w:r w:rsidR="00E323D9" w:rsidRPr="00196B50">
        <w:rPr>
          <w:rFonts w:ascii="Book Antiqua" w:hAnsi="Book Antiqua"/>
        </w:rPr>
        <w:t xml:space="preserve"> </w:t>
      </w:r>
      <w:r w:rsidRPr="00196B50">
        <w:rPr>
          <w:rFonts w:ascii="Book Antiqua" w:hAnsi="Book Antiqua"/>
        </w:rPr>
        <w:t>to PG&amp;E’s various customer classes.</w:t>
      </w:r>
      <w:r w:rsidRPr="00561FEE">
        <w:rPr>
          <w:rStyle w:val="FootnoteReference"/>
          <w:rFonts w:ascii="Book Antiqua" w:hAnsi="Book Antiqua"/>
          <w:szCs w:val="26"/>
        </w:rPr>
        <w:footnoteReference w:id="8"/>
      </w:r>
      <w:bookmarkStart w:id="32" w:name="_Toc522719772"/>
      <w:r w:rsidR="00E323D9" w:rsidRPr="00196B50">
        <w:rPr>
          <w:rFonts w:ascii="Book Antiqua" w:hAnsi="Book Antiqua"/>
        </w:rPr>
        <w:t xml:space="preserve"> </w:t>
      </w:r>
      <w:r w:rsidRPr="00196B50">
        <w:rPr>
          <w:rFonts w:ascii="Book Antiqua" w:hAnsi="Book Antiqua"/>
        </w:rPr>
        <w:t xml:space="preserve">Cal Advocates recommends that the </w:t>
      </w:r>
      <w:bookmarkStart w:id="33" w:name="_Toc508899756"/>
      <w:r w:rsidRPr="00196B50">
        <w:rPr>
          <w:rFonts w:ascii="Book Antiqua" w:hAnsi="Book Antiqua"/>
        </w:rPr>
        <w:t xml:space="preserve">Commission adopt its </w:t>
      </w:r>
      <w:bookmarkEnd w:id="33"/>
      <w:r w:rsidRPr="00196B50">
        <w:rPr>
          <w:rFonts w:ascii="Book Antiqua" w:hAnsi="Book Antiqua"/>
        </w:rPr>
        <w:t xml:space="preserve">gas cost allocation </w:t>
      </w:r>
      <w:bookmarkEnd w:id="32"/>
      <w:r w:rsidRPr="00196B50">
        <w:rPr>
          <w:rFonts w:ascii="Book Antiqua" w:hAnsi="Book Antiqua"/>
        </w:rPr>
        <w:t xml:space="preserve">proposals </w:t>
      </w:r>
      <w:r w:rsidR="00CE2F2F" w:rsidRPr="00196B50">
        <w:rPr>
          <w:rFonts w:ascii="Book Antiqua" w:hAnsi="Book Antiqua"/>
        </w:rPr>
        <w:t xml:space="preserve">presented </w:t>
      </w:r>
      <w:r w:rsidRPr="00196B50">
        <w:rPr>
          <w:rFonts w:ascii="Book Antiqua" w:hAnsi="Book Antiqua"/>
        </w:rPr>
        <w:t xml:space="preserve">in this </w:t>
      </w:r>
      <w:r w:rsidR="00CE2F2F" w:rsidRPr="00196B50">
        <w:rPr>
          <w:rFonts w:ascii="Book Antiqua" w:hAnsi="Book Antiqua"/>
        </w:rPr>
        <w:t>proceeding</w:t>
      </w:r>
      <w:r w:rsidRPr="00196B50">
        <w:rPr>
          <w:rFonts w:ascii="Book Antiqua" w:hAnsi="Book Antiqua"/>
        </w:rPr>
        <w:t>.  Cal Advocates argue</w:t>
      </w:r>
      <w:r w:rsidR="00CE2F2F" w:rsidRPr="00196B50">
        <w:rPr>
          <w:rFonts w:ascii="Book Antiqua" w:hAnsi="Book Antiqua"/>
        </w:rPr>
        <w:t>s</w:t>
      </w:r>
      <w:r w:rsidRPr="00196B50">
        <w:rPr>
          <w:rFonts w:ascii="Book Antiqua" w:hAnsi="Book Antiqua"/>
        </w:rPr>
        <w:t xml:space="preserve"> that the Commission </w:t>
      </w:r>
      <w:r w:rsidR="00F908F9" w:rsidRPr="00196B50">
        <w:rPr>
          <w:rFonts w:ascii="Book Antiqua" w:hAnsi="Book Antiqua"/>
        </w:rPr>
        <w:t>rejects</w:t>
      </w:r>
      <w:r w:rsidR="00F76951" w:rsidRPr="00196B50">
        <w:rPr>
          <w:rFonts w:ascii="Book Antiqua" w:hAnsi="Book Antiqua"/>
        </w:rPr>
        <w:t xml:space="preserve"> </w:t>
      </w:r>
      <w:r w:rsidR="00F908F9" w:rsidRPr="00196B50">
        <w:rPr>
          <w:rFonts w:ascii="Book Antiqua" w:hAnsi="Book Antiqua"/>
        </w:rPr>
        <w:t xml:space="preserve">various </w:t>
      </w:r>
      <w:r w:rsidRPr="00196B50">
        <w:rPr>
          <w:rFonts w:ascii="Book Antiqua" w:hAnsi="Book Antiqua"/>
        </w:rPr>
        <w:t xml:space="preserve">PG&amp;E’s proposed changes to the average residential </w:t>
      </w:r>
      <w:r w:rsidR="00DD7A4F" w:rsidRPr="00196B50">
        <w:rPr>
          <w:rFonts w:ascii="Book Antiqua" w:hAnsi="Book Antiqua"/>
        </w:rPr>
        <w:t>customer</w:t>
      </w:r>
      <w:r w:rsidR="00D05AAE" w:rsidRPr="00196B50">
        <w:rPr>
          <w:rFonts w:ascii="Book Antiqua" w:hAnsi="Book Antiqua"/>
        </w:rPr>
        <w:t>'</w:t>
      </w:r>
      <w:r w:rsidR="00DD7A4F" w:rsidRPr="00196B50">
        <w:rPr>
          <w:rFonts w:ascii="Book Antiqua" w:hAnsi="Book Antiqua"/>
        </w:rPr>
        <w:t>s</w:t>
      </w:r>
      <w:r w:rsidR="00D05AAE" w:rsidRPr="00196B50">
        <w:rPr>
          <w:rFonts w:ascii="Book Antiqua" w:hAnsi="Book Antiqua"/>
        </w:rPr>
        <w:t xml:space="preserve"> </w:t>
      </w:r>
      <w:r w:rsidR="00DD7A4F" w:rsidRPr="00196B50">
        <w:rPr>
          <w:rFonts w:ascii="Book Antiqua" w:hAnsi="Book Antiqua"/>
        </w:rPr>
        <w:t>gas rate</w:t>
      </w:r>
      <w:r w:rsidRPr="00196B50">
        <w:rPr>
          <w:rFonts w:ascii="Book Antiqua" w:hAnsi="Book Antiqua"/>
        </w:rPr>
        <w:t xml:space="preserve">, and </w:t>
      </w:r>
      <w:r w:rsidR="00DD7A4F" w:rsidRPr="00196B50">
        <w:rPr>
          <w:rFonts w:ascii="Book Antiqua" w:hAnsi="Book Antiqua"/>
        </w:rPr>
        <w:t xml:space="preserve">instead </w:t>
      </w:r>
      <w:r w:rsidRPr="00196B50">
        <w:rPr>
          <w:rFonts w:ascii="Book Antiqua" w:hAnsi="Book Antiqua"/>
        </w:rPr>
        <w:t xml:space="preserve">essentially </w:t>
      </w:r>
      <w:r w:rsidR="00DD7A4F" w:rsidRPr="00196B50">
        <w:rPr>
          <w:rFonts w:ascii="Book Antiqua" w:hAnsi="Book Antiqua"/>
        </w:rPr>
        <w:t>adopts</w:t>
      </w:r>
      <w:r w:rsidRPr="00196B50">
        <w:rPr>
          <w:rFonts w:ascii="Book Antiqua" w:hAnsi="Book Antiqua"/>
        </w:rPr>
        <w:t xml:space="preserve"> no change</w:t>
      </w:r>
      <w:r w:rsidR="00D05AAE" w:rsidRPr="00196B50">
        <w:rPr>
          <w:rFonts w:ascii="Book Antiqua" w:hAnsi="Book Antiqua"/>
        </w:rPr>
        <w:t xml:space="preserve"> </w:t>
      </w:r>
      <w:r w:rsidR="004A133E" w:rsidRPr="00196B50">
        <w:rPr>
          <w:rFonts w:ascii="Book Antiqua" w:hAnsi="Book Antiqua"/>
        </w:rPr>
        <w:t xml:space="preserve">to the average </w:t>
      </w:r>
      <w:r w:rsidR="004A133E" w:rsidRPr="00196B50">
        <w:rPr>
          <w:rFonts w:ascii="Book Antiqua" w:hAnsi="Book Antiqua"/>
        </w:rPr>
        <w:lastRenderedPageBreak/>
        <w:t>bundled gas rate for residential customers</w:t>
      </w:r>
      <w:r w:rsidR="00DD7A4F" w:rsidRPr="00196B50">
        <w:rPr>
          <w:rFonts w:ascii="Book Antiqua" w:hAnsi="Book Antiqua"/>
        </w:rPr>
        <w:t>, as proposed in its testimony</w:t>
      </w:r>
      <w:r w:rsidRPr="00196B50">
        <w:rPr>
          <w:rFonts w:ascii="Book Antiqua" w:hAnsi="Book Antiqua"/>
        </w:rPr>
        <w:t xml:space="preserve">.  </w:t>
      </w:r>
      <w:r w:rsidR="00D05AAE" w:rsidRPr="00196B50">
        <w:rPr>
          <w:rFonts w:ascii="Book Antiqua" w:hAnsi="Book Antiqua"/>
        </w:rPr>
        <w:t>M</w:t>
      </w:r>
      <w:r w:rsidR="00DD7A4F" w:rsidRPr="00196B50">
        <w:rPr>
          <w:rFonts w:ascii="Book Antiqua" w:hAnsi="Book Antiqua"/>
        </w:rPr>
        <w:t xml:space="preserve">ore specifically, </w:t>
      </w:r>
      <w:r w:rsidRPr="00196B50">
        <w:rPr>
          <w:rFonts w:ascii="Book Antiqua" w:hAnsi="Book Antiqua"/>
        </w:rPr>
        <w:t>Cal Advocates recommends</w:t>
      </w:r>
      <w:r w:rsidR="00DD7A4F" w:rsidRPr="00196B50">
        <w:rPr>
          <w:rFonts w:ascii="Book Antiqua" w:hAnsi="Book Antiqua"/>
        </w:rPr>
        <w:t>:</w:t>
      </w:r>
      <w:r w:rsidRPr="00196B50">
        <w:rPr>
          <w:rFonts w:ascii="Book Antiqua" w:hAnsi="Book Antiqua"/>
        </w:rPr>
        <w:t xml:space="preserve"> an increase of 8% for small commercial customers; an increase (by varying amounts) to the average transport-only, retail noncore rate for industrial customers at the distribution, backbone and service levels; and a decrease of 0.7% for electric generation customers at the distribution and transmission service levels.  </w:t>
      </w:r>
    </w:p>
    <w:p w14:paraId="13F9BFBE" w14:textId="77777777" w:rsidR="001164FC" w:rsidRPr="00196B50" w:rsidRDefault="001164FC" w:rsidP="005E1092">
      <w:pPr>
        <w:pStyle w:val="standard"/>
        <w:rPr>
          <w:rFonts w:ascii="Book Antiqua" w:hAnsi="Book Antiqua"/>
        </w:rPr>
      </w:pPr>
      <w:r w:rsidRPr="00196B50">
        <w:rPr>
          <w:rFonts w:ascii="Book Antiqua" w:hAnsi="Book Antiqua"/>
        </w:rPr>
        <w:t xml:space="preserve">Cal Advocates </w:t>
      </w:r>
      <w:r w:rsidR="0039597D" w:rsidRPr="00196B50">
        <w:rPr>
          <w:rFonts w:ascii="Book Antiqua" w:hAnsi="Book Antiqua"/>
        </w:rPr>
        <w:t xml:space="preserve">believes </w:t>
      </w:r>
      <w:r w:rsidRPr="00196B50">
        <w:rPr>
          <w:rFonts w:ascii="Book Antiqua" w:hAnsi="Book Antiqua"/>
        </w:rPr>
        <w:t>that an average weather total core throughput of 751 Mdth/D</w:t>
      </w:r>
      <w:r w:rsidRPr="008550CD">
        <w:rPr>
          <w:rStyle w:val="FootnoteReference"/>
          <w:rFonts w:ascii="Book Antiqua" w:hAnsi="Book Antiqua"/>
          <w:szCs w:val="26"/>
        </w:rPr>
        <w:footnoteReference w:id="9"/>
      </w:r>
      <w:r w:rsidRPr="00196B50">
        <w:rPr>
          <w:rFonts w:ascii="Book Antiqua" w:hAnsi="Book Antiqua"/>
        </w:rPr>
        <w:t xml:space="preserve">  and an average weather total noncore throughput of 973 Mdth/D should be adopted by the Commission.  By contrast, PG&amp;E proposed a total core throughput of 754 Mdth/D (a difference of -0.40%) and average weather total noncore throughput of 1,183 Mdth/D (a difference of -17.75%), respectively.</w:t>
      </w:r>
    </w:p>
    <w:p w14:paraId="6F3D865B" w14:textId="2F8CAB2F" w:rsidR="001164FC" w:rsidRPr="00196B50" w:rsidRDefault="001164FC" w:rsidP="005E1092">
      <w:pPr>
        <w:pStyle w:val="standard"/>
        <w:rPr>
          <w:rFonts w:ascii="Book Antiqua" w:hAnsi="Book Antiqua"/>
        </w:rPr>
      </w:pPr>
      <w:r w:rsidRPr="00196B50">
        <w:rPr>
          <w:rFonts w:ascii="Book Antiqua" w:hAnsi="Book Antiqua"/>
        </w:rPr>
        <w:t xml:space="preserve">Regarding cost allocation, Cal Advocates </w:t>
      </w:r>
      <w:r w:rsidR="0039597D" w:rsidRPr="00C633A3">
        <w:rPr>
          <w:rFonts w:ascii="Book Antiqua" w:hAnsi="Book Antiqua"/>
          <w:szCs w:val="26"/>
        </w:rPr>
        <w:t>argue</w:t>
      </w:r>
      <w:r w:rsidR="0039597D">
        <w:rPr>
          <w:rFonts w:ascii="Book Antiqua" w:hAnsi="Book Antiqua"/>
          <w:szCs w:val="26"/>
        </w:rPr>
        <w:t>s</w:t>
      </w:r>
      <w:r w:rsidR="00D05AAE">
        <w:rPr>
          <w:rFonts w:ascii="Book Antiqua" w:hAnsi="Book Antiqua"/>
          <w:szCs w:val="26"/>
        </w:rPr>
        <w:t xml:space="preserve"> </w:t>
      </w:r>
      <w:r w:rsidRPr="00196B50">
        <w:rPr>
          <w:rFonts w:ascii="Book Antiqua" w:hAnsi="Book Antiqua"/>
        </w:rPr>
        <w:t xml:space="preserve">that the ESA program costs should be allocated using an “equal cents per therm” (ECPT) methodology while exempting the program beneficiaries.  Cal Advocates also </w:t>
      </w:r>
      <w:r w:rsidR="0039597D" w:rsidRPr="00C633A3">
        <w:rPr>
          <w:rFonts w:ascii="Book Antiqua" w:hAnsi="Book Antiqua"/>
          <w:szCs w:val="26"/>
        </w:rPr>
        <w:t>argue</w:t>
      </w:r>
      <w:r w:rsidR="0039597D">
        <w:rPr>
          <w:rFonts w:ascii="Book Antiqua" w:hAnsi="Book Antiqua"/>
          <w:szCs w:val="26"/>
        </w:rPr>
        <w:t>s</w:t>
      </w:r>
      <w:r w:rsidR="00D05AAE">
        <w:rPr>
          <w:rFonts w:ascii="Book Antiqua" w:hAnsi="Book Antiqua"/>
          <w:szCs w:val="26"/>
        </w:rPr>
        <w:t xml:space="preserve"> </w:t>
      </w:r>
      <w:r w:rsidRPr="00196B50">
        <w:rPr>
          <w:rFonts w:ascii="Book Antiqua" w:hAnsi="Book Antiqua"/>
        </w:rPr>
        <w:t>that PG&amp;E’s master meter discount should be applied using the “rental method” on a marginal costs approach in order to determine the access-related costs for Schedules GS and GT,</w:t>
      </w:r>
      <w:r w:rsidRPr="00561FEE">
        <w:rPr>
          <w:rStyle w:val="FootnoteReference"/>
          <w:rFonts w:ascii="Book Antiqua" w:hAnsi="Book Antiqua"/>
          <w:szCs w:val="26"/>
        </w:rPr>
        <w:footnoteReference w:id="10"/>
      </w:r>
      <w:r w:rsidRPr="00196B50">
        <w:rPr>
          <w:rFonts w:ascii="Book Antiqua" w:hAnsi="Book Antiqua"/>
        </w:rPr>
        <w:t xml:space="preserve"> and to determine the distribution line-related avoided costs applicable to only Schedule GT.</w:t>
      </w:r>
    </w:p>
    <w:p w14:paraId="265842F4" w14:textId="77777777" w:rsidR="001164FC" w:rsidRPr="00196B50" w:rsidRDefault="001164FC" w:rsidP="005E1092">
      <w:pPr>
        <w:pStyle w:val="standard"/>
        <w:rPr>
          <w:rFonts w:ascii="Book Antiqua" w:hAnsi="Book Antiqua"/>
        </w:rPr>
      </w:pPr>
      <w:r w:rsidRPr="00196B50">
        <w:rPr>
          <w:rFonts w:ascii="Book Antiqua" w:hAnsi="Book Antiqua"/>
        </w:rPr>
        <w:t xml:space="preserve">Furthermore, Cal Advocates </w:t>
      </w:r>
      <w:r w:rsidR="00C41402" w:rsidRPr="00196B50">
        <w:rPr>
          <w:rFonts w:ascii="Book Antiqua" w:hAnsi="Book Antiqua"/>
        </w:rPr>
        <w:t xml:space="preserve">recommends </w:t>
      </w:r>
      <w:r w:rsidRPr="00196B50">
        <w:rPr>
          <w:rFonts w:ascii="Book Antiqua" w:hAnsi="Book Antiqua"/>
        </w:rPr>
        <w:t>phasing in the reduction to the residential Tier 1 and Tier 2 bundled rate differential (resulting in a 1.2 differential) over the course of four years; an increase to the existing non-CARE</w:t>
      </w:r>
      <w:r w:rsidRPr="00561FEE">
        <w:rPr>
          <w:rStyle w:val="FootnoteReference"/>
          <w:rFonts w:ascii="Book Antiqua" w:hAnsi="Book Antiqua"/>
          <w:szCs w:val="26"/>
        </w:rPr>
        <w:footnoteReference w:id="11"/>
      </w:r>
      <w:r w:rsidRPr="00196B50">
        <w:rPr>
          <w:rFonts w:ascii="Book Antiqua" w:hAnsi="Book Antiqua"/>
        </w:rPr>
        <w:t xml:space="preserve"> </w:t>
      </w:r>
      <w:r w:rsidRPr="00196B50">
        <w:rPr>
          <w:rFonts w:ascii="Book Antiqua" w:hAnsi="Book Antiqua"/>
        </w:rPr>
        <w:lastRenderedPageBreak/>
        <w:t>residential minimum gas transportation charge from $3 a month to $4</w:t>
      </w:r>
      <w:r>
        <w:rPr>
          <w:rStyle w:val="FootnoteReference"/>
          <w:rFonts w:ascii="Book Antiqua" w:hAnsi="Book Antiqua"/>
          <w:szCs w:val="26"/>
        </w:rPr>
        <w:footnoteReference w:id="12"/>
      </w:r>
      <w:r w:rsidRPr="00196B50">
        <w:rPr>
          <w:rFonts w:ascii="Book Antiqua" w:hAnsi="Book Antiqua"/>
        </w:rPr>
        <w:t xml:space="preserve"> a month (in contrast to PG&amp;E’s proposed increase to $15 a month); a $12 a month Super-Peak User </w:t>
      </w:r>
      <w:r w:rsidR="00132E0D" w:rsidRPr="00196B50">
        <w:rPr>
          <w:rFonts w:ascii="Book Antiqua" w:hAnsi="Book Antiqua"/>
        </w:rPr>
        <w:t>charge</w:t>
      </w:r>
      <w:r w:rsidRPr="00196B50">
        <w:rPr>
          <w:rFonts w:ascii="Book Antiqua" w:hAnsi="Book Antiqua"/>
        </w:rPr>
        <w:t xml:space="preserve"> (in contrast to PG&amp;E’s proposed $45 a month Super-Peak User </w:t>
      </w:r>
      <w:r w:rsidR="00132E0D" w:rsidRPr="00196B50">
        <w:rPr>
          <w:rFonts w:ascii="Book Antiqua" w:hAnsi="Book Antiqua"/>
        </w:rPr>
        <w:t>charge</w:t>
      </w:r>
      <w:r w:rsidRPr="00196B50">
        <w:rPr>
          <w:rFonts w:ascii="Book Antiqua" w:hAnsi="Book Antiqua"/>
        </w:rPr>
        <w:t>); and a continuation of the use of the “marginal cost methodology” to allocate gas distribution revenue requirements to customer classes, instead of PG&amp;E’s proposed migration to the “embedded cost methodology</w:t>
      </w:r>
      <w:r w:rsidR="0099612F" w:rsidRPr="00196B50">
        <w:rPr>
          <w:rFonts w:ascii="Book Antiqua" w:hAnsi="Book Antiqua"/>
        </w:rPr>
        <w:t>.</w:t>
      </w:r>
      <w:r w:rsidRPr="00196B50">
        <w:rPr>
          <w:rFonts w:ascii="Book Antiqua" w:hAnsi="Book Antiqua"/>
        </w:rPr>
        <w:t xml:space="preserve">” </w:t>
      </w:r>
    </w:p>
    <w:p w14:paraId="230D41B7" w14:textId="27245A03" w:rsidR="001164FC" w:rsidRPr="00561FEE" w:rsidRDefault="001164FC" w:rsidP="001164FC">
      <w:pPr>
        <w:pStyle w:val="standard"/>
        <w:widowControl w:val="0"/>
        <w:rPr>
          <w:rFonts w:ascii="Book Antiqua" w:hAnsi="Book Antiqua"/>
          <w:szCs w:val="26"/>
        </w:rPr>
      </w:pPr>
      <w:r w:rsidRPr="00561FEE">
        <w:rPr>
          <w:rFonts w:ascii="Book Antiqua" w:hAnsi="Book Antiqua"/>
          <w:szCs w:val="26"/>
        </w:rPr>
        <w:t xml:space="preserve">Finally, Cal Advocates </w:t>
      </w:r>
      <w:r w:rsidR="00D05AAE">
        <w:rPr>
          <w:rFonts w:ascii="Book Antiqua" w:hAnsi="Book Antiqua"/>
          <w:szCs w:val="26"/>
        </w:rPr>
        <w:t>supports</w:t>
      </w:r>
      <w:r w:rsidRPr="00561FEE">
        <w:rPr>
          <w:rFonts w:ascii="Book Antiqua" w:hAnsi="Book Antiqua"/>
          <w:szCs w:val="26"/>
        </w:rPr>
        <w:t xml:space="preserve"> PG&amp;E’s proposal regarding the submission of future GCAP applications; and </w:t>
      </w:r>
      <w:r w:rsidR="00D05AAE">
        <w:rPr>
          <w:rFonts w:ascii="Book Antiqua" w:hAnsi="Book Antiqua"/>
          <w:szCs w:val="26"/>
        </w:rPr>
        <w:t xml:space="preserve">recommends </w:t>
      </w:r>
      <w:r w:rsidRPr="00561FEE">
        <w:rPr>
          <w:rFonts w:ascii="Book Antiqua" w:hAnsi="Book Antiqua"/>
          <w:szCs w:val="26"/>
        </w:rPr>
        <w:t xml:space="preserve">that PG&amp;E’s recorded Core Brokerage Fee Account (CBFA) and Core Fixed Cost Account (CFCA) accounting entries sampled by Cal Advocates in this proceeding be found to be correctly stated through December 31, 2017.  </w:t>
      </w:r>
      <w:r w:rsidRPr="00561FEE">
        <w:rPr>
          <w:rFonts w:ascii="Book Antiqua" w:hAnsi="Book Antiqua"/>
          <w:szCs w:val="26"/>
        </w:rPr>
        <w:tab/>
      </w:r>
    </w:p>
    <w:p w14:paraId="4E9ED05D" w14:textId="77777777" w:rsidR="001164FC" w:rsidRPr="00561FEE" w:rsidRDefault="001164FC" w:rsidP="00E04D3C">
      <w:pPr>
        <w:pStyle w:val="Heading3"/>
      </w:pPr>
      <w:bookmarkStart w:id="34" w:name="_Toc11407853"/>
      <w:bookmarkStart w:id="35" w:name="_Toc20144538"/>
      <w:r w:rsidRPr="00561FEE">
        <w:t>TURN</w:t>
      </w:r>
      <w:bookmarkEnd w:id="34"/>
      <w:bookmarkEnd w:id="35"/>
    </w:p>
    <w:p w14:paraId="3DAC532E" w14:textId="77777777" w:rsidR="001164FC" w:rsidRPr="00196B50" w:rsidRDefault="001164FC" w:rsidP="00E04D3C">
      <w:pPr>
        <w:pStyle w:val="standard"/>
        <w:rPr>
          <w:rFonts w:ascii="Book Antiqua" w:hAnsi="Book Antiqua"/>
        </w:rPr>
      </w:pPr>
      <w:r w:rsidRPr="00196B50">
        <w:rPr>
          <w:rFonts w:ascii="Book Antiqua" w:hAnsi="Book Antiqua"/>
        </w:rPr>
        <w:t xml:space="preserve">Like Cal Advocates, TURN opposes a number of proposals put forth by PG&amp;E in this GCAP Application and recommends that the Commission adopt TURN’s gas cost allocation proposals rather than those </w:t>
      </w:r>
      <w:r w:rsidR="0084247D" w:rsidRPr="00196B50">
        <w:rPr>
          <w:rFonts w:ascii="Book Antiqua" w:hAnsi="Book Antiqua"/>
        </w:rPr>
        <w:t>of</w:t>
      </w:r>
      <w:r w:rsidRPr="00196B50">
        <w:rPr>
          <w:rFonts w:ascii="Book Antiqua" w:hAnsi="Book Antiqua"/>
        </w:rPr>
        <w:t xml:space="preserve"> PG&amp;E. TURN argues for a rejection of PG&amp;E’s embedded cost of service methodology due to “affordability concerns and drastic rate impacts and because PG&amp;E’s methodology still needs to be refined prior to adoption.”</w:t>
      </w:r>
      <w:r w:rsidRPr="00196B50">
        <w:rPr>
          <w:rStyle w:val="FootnoteReference"/>
          <w:rFonts w:ascii="Book Antiqua" w:hAnsi="Book Antiqua"/>
          <w:szCs w:val="26"/>
        </w:rPr>
        <w:footnoteReference w:id="13"/>
      </w:r>
      <w:r w:rsidRPr="00196B50">
        <w:rPr>
          <w:rFonts w:ascii="Book Antiqua" w:hAnsi="Book Antiqua"/>
        </w:rPr>
        <w:t xml:space="preserve"> Moreover, TURN argues for the following:  the adoption of Cal Advocates’ marginal cost study based on the new customer only (NCO) method; an update for the new tax law and cost of capital; and the removal of the smart-meter opt-out costs from revenue cycle services costs.  TURN contends that if the embedded cost of service methodology is adopted, the Commission should also adopt TURN’s </w:t>
      </w:r>
      <w:r w:rsidRPr="00196B50">
        <w:rPr>
          <w:rFonts w:ascii="Book Antiqua" w:hAnsi="Book Antiqua"/>
        </w:rPr>
        <w:lastRenderedPageBreak/>
        <w:t xml:space="preserve">adjustments to PG&amp;E’s proposal which reduce the residential class allocation by $23 million.  </w:t>
      </w:r>
    </w:p>
    <w:p w14:paraId="16FFEBEC" w14:textId="0C336DAD" w:rsidR="001164FC" w:rsidRPr="00196B50" w:rsidRDefault="001164FC" w:rsidP="00E04D3C">
      <w:pPr>
        <w:pStyle w:val="standard"/>
        <w:rPr>
          <w:rFonts w:ascii="Book Antiqua" w:hAnsi="Book Antiqua"/>
        </w:rPr>
      </w:pPr>
      <w:r w:rsidRPr="00196B50">
        <w:rPr>
          <w:rFonts w:ascii="Book Antiqua" w:hAnsi="Book Antiqua"/>
        </w:rPr>
        <w:t xml:space="preserve">TURN </w:t>
      </w:r>
      <w:r w:rsidR="0084247D" w:rsidRPr="00196B50">
        <w:rPr>
          <w:rFonts w:ascii="Book Antiqua" w:hAnsi="Book Antiqua"/>
        </w:rPr>
        <w:t>indicates</w:t>
      </w:r>
      <w:r w:rsidRPr="00196B50">
        <w:rPr>
          <w:rFonts w:ascii="Book Antiqua" w:hAnsi="Book Antiqua"/>
        </w:rPr>
        <w:t xml:space="preserve"> its opposition to PG&amp;E’s proposal to continue the allocation of EE gas costs based on the benefits to gas customer classes, but supports Cal Advocates’ proposal to allocate </w:t>
      </w:r>
      <w:r w:rsidR="0086427E" w:rsidRPr="00196B50">
        <w:rPr>
          <w:rFonts w:ascii="Book Antiqua" w:hAnsi="Book Antiqua"/>
        </w:rPr>
        <w:t>ESA</w:t>
      </w:r>
      <w:r w:rsidRPr="00196B50">
        <w:rPr>
          <w:rFonts w:ascii="Book Antiqua" w:hAnsi="Book Antiqua"/>
        </w:rPr>
        <w:t xml:space="preserve"> costs by a broad allocator such as ECPT, rather than assigning those costs entirely to residential customers.  Regarding the </w:t>
      </w:r>
      <w:r w:rsidR="00A235C7" w:rsidRPr="00196B50">
        <w:rPr>
          <w:rFonts w:ascii="Book Antiqua" w:hAnsi="Book Antiqua"/>
        </w:rPr>
        <w:t>Core Brokerage Fee</w:t>
      </w:r>
      <w:r w:rsidRPr="00196B50">
        <w:rPr>
          <w:rFonts w:ascii="Book Antiqua" w:hAnsi="Book Antiqua"/>
        </w:rPr>
        <w:t xml:space="preserve">, TURN recommends an increase in the </w:t>
      </w:r>
      <w:r w:rsidR="00A235C7" w:rsidRPr="00196B50">
        <w:rPr>
          <w:rFonts w:ascii="Book Antiqua" w:hAnsi="Book Antiqua"/>
        </w:rPr>
        <w:t>Core Brokerage Fee</w:t>
      </w:r>
      <w:r w:rsidRPr="00196B50">
        <w:rPr>
          <w:rFonts w:ascii="Book Antiqua" w:hAnsi="Book Antiqua"/>
        </w:rPr>
        <w:t xml:space="preserve"> from 0.249 cents per therm to 0.287 cents per therm; this increase would reflect the inclusion of working capital for gas commodity purchases.  TURN also recommends an update to the mobile home park </w:t>
      </w:r>
      <w:r w:rsidR="003F5240" w:rsidRPr="00196B50">
        <w:rPr>
          <w:rFonts w:ascii="Book Antiqua" w:hAnsi="Book Antiqua"/>
          <w:szCs w:val="26"/>
        </w:rPr>
        <w:t>master meter</w:t>
      </w:r>
      <w:r w:rsidR="004C50C5" w:rsidRPr="00196B50">
        <w:rPr>
          <w:rFonts w:ascii="Book Antiqua" w:hAnsi="Book Antiqua"/>
          <w:szCs w:val="26"/>
        </w:rPr>
        <w:t xml:space="preserve"> </w:t>
      </w:r>
      <w:r w:rsidRPr="00196B50">
        <w:rPr>
          <w:rFonts w:ascii="Book Antiqua" w:hAnsi="Book Antiqua"/>
        </w:rPr>
        <w:t xml:space="preserve">discount for the new cost of capital and tax law, and a rejection of WMA’s proposed increase to </w:t>
      </w:r>
      <w:r w:rsidR="00A77F3F" w:rsidRPr="00196B50">
        <w:rPr>
          <w:rFonts w:ascii="Book Antiqua" w:hAnsi="Book Antiqua"/>
        </w:rPr>
        <w:t xml:space="preserve">the </w:t>
      </w:r>
      <w:r w:rsidRPr="00196B50">
        <w:rPr>
          <w:rFonts w:ascii="Book Antiqua" w:hAnsi="Book Antiqua"/>
        </w:rPr>
        <w:t>m</w:t>
      </w:r>
      <w:r w:rsidRPr="00196B50">
        <w:rPr>
          <w:rFonts w:ascii="Book Antiqua" w:hAnsi="Book Antiqua" w:cs="Arial"/>
        </w:rPr>
        <w:t>aster meter discount for mobilehome parks.</w:t>
      </w:r>
      <w:r w:rsidRPr="00196B50">
        <w:rPr>
          <w:rFonts w:ascii="Book Antiqua" w:hAnsi="Book Antiqua"/>
        </w:rPr>
        <w:t xml:space="preserve">  Finally, TURN argues that the Commission reject PG&amp;E’s remaining residential rate design proposals, including the proposal of a $15 Minimum Bill, because they discourage conservation and create affordability concerns.</w:t>
      </w:r>
    </w:p>
    <w:p w14:paraId="730A78E6" w14:textId="77777777" w:rsidR="001164FC" w:rsidRPr="00561FEE" w:rsidRDefault="001164FC" w:rsidP="00E04D3C">
      <w:pPr>
        <w:pStyle w:val="Heading3"/>
      </w:pPr>
      <w:bookmarkStart w:id="36" w:name="_Toc11407854"/>
      <w:bookmarkStart w:id="37" w:name="_Toc20144539"/>
      <w:r w:rsidRPr="00561FEE">
        <w:t>WMA</w:t>
      </w:r>
      <w:bookmarkEnd w:id="36"/>
      <w:bookmarkEnd w:id="37"/>
    </w:p>
    <w:p w14:paraId="73CD0A49" w14:textId="77777777" w:rsidR="001164FC" w:rsidRPr="00196B50" w:rsidRDefault="001164FC" w:rsidP="00E04D3C">
      <w:pPr>
        <w:pStyle w:val="standard"/>
        <w:rPr>
          <w:rFonts w:ascii="Book Antiqua" w:hAnsi="Book Antiqua"/>
        </w:rPr>
      </w:pPr>
      <w:r w:rsidRPr="00196B50">
        <w:rPr>
          <w:rFonts w:ascii="Book Antiqua" w:hAnsi="Book Antiqua"/>
        </w:rPr>
        <w:t>WMA objects to PG&amp;E’s proposed master meter discount for mobilehome parks using illustrative values for the d</w:t>
      </w:r>
      <w:r w:rsidRPr="00196B50">
        <w:rPr>
          <w:rFonts w:ascii="Book Antiqua" w:hAnsi="Book Antiqua" w:cs="Arial-BoldMT"/>
          <w:bCs/>
        </w:rPr>
        <w:t xml:space="preserve">iversity benefit adjustment (DBA) </w:t>
      </w:r>
      <w:r w:rsidRPr="00196B50">
        <w:rPr>
          <w:rFonts w:ascii="Book Antiqua" w:hAnsi="Book Antiqua"/>
        </w:rPr>
        <w:t xml:space="preserve">and </w:t>
      </w:r>
      <w:r w:rsidR="00A77F3F" w:rsidRPr="00196B50">
        <w:rPr>
          <w:rFonts w:ascii="Book Antiqua" w:hAnsi="Book Antiqua"/>
        </w:rPr>
        <w:t xml:space="preserve">a </w:t>
      </w:r>
      <w:r w:rsidRPr="00196B50">
        <w:rPr>
          <w:rFonts w:ascii="Book Antiqua" w:hAnsi="Book Antiqua"/>
        </w:rPr>
        <w:t>gas loss adjustment of $10.35 per space per month or $0.33997 per space per day.  WMA contends that the proposed value is about 30 percent lower than the current rate of $0.48200 per space per day</w:t>
      </w:r>
      <w:r w:rsidRPr="00196B50">
        <w:rPr>
          <w:rStyle w:val="FootnoteReference"/>
          <w:rFonts w:ascii="Book Antiqua" w:hAnsi="Book Antiqua" w:cs="Arial"/>
          <w:szCs w:val="26"/>
        </w:rPr>
        <w:footnoteReference w:id="14"/>
      </w:r>
      <w:r w:rsidRPr="00196B50">
        <w:rPr>
          <w:rFonts w:ascii="Book Antiqua" w:hAnsi="Book Antiqua"/>
        </w:rPr>
        <w:t xml:space="preserve"> because PG&amp;E’s proposal underestimates the credit attributable to PG&amp;E’s average costs that is the basis of the master meter discount.  WMA argues that PG&amp;E used incorrect data, had flaws in the development of its DBA, and that there are errors and flaws in </w:t>
      </w:r>
      <w:r w:rsidRPr="00196B50">
        <w:rPr>
          <w:rFonts w:ascii="Book Antiqua" w:hAnsi="Book Antiqua"/>
        </w:rPr>
        <w:lastRenderedPageBreak/>
        <w:t>PG&amp;E’s calculations.  As such, WMA urges the Commission to reject PG&amp;E’s proposed DBA and instead direct PG&amp;E to implement a net master meter discount of $17.83/mobile home space/month, which translates to $0.58559/mobile home space/day as supported by detailed arguments in WMA’s Opening Brief.</w:t>
      </w:r>
      <w:r w:rsidRPr="00196B50">
        <w:rPr>
          <w:rStyle w:val="FootnoteReference"/>
          <w:rFonts w:ascii="Book Antiqua" w:hAnsi="Book Antiqua" w:cs="Arial"/>
          <w:szCs w:val="26"/>
        </w:rPr>
        <w:footnoteReference w:id="15"/>
      </w:r>
    </w:p>
    <w:p w14:paraId="1C1080BE" w14:textId="77777777" w:rsidR="001164FC" w:rsidRPr="00561FEE" w:rsidRDefault="001164FC" w:rsidP="00A25913">
      <w:pPr>
        <w:pStyle w:val="Heading3"/>
        <w:rPr>
          <w:rFonts w:ascii="Book Antiqua" w:hAnsi="Book Antiqua"/>
        </w:rPr>
      </w:pPr>
      <w:bookmarkStart w:id="38" w:name="_Toc11407855"/>
      <w:bookmarkStart w:id="39" w:name="_Toc20144540"/>
      <w:r w:rsidRPr="00561FEE">
        <w:t>SPURR</w:t>
      </w:r>
      <w:r w:rsidRPr="00561FEE">
        <w:rPr>
          <w:rStyle w:val="FootnoteReference"/>
          <w:rFonts w:ascii="Book Antiqua" w:hAnsi="Book Antiqua"/>
          <w:b w:val="0"/>
        </w:rPr>
        <w:footnoteReference w:id="16"/>
      </w:r>
      <w:bookmarkEnd w:id="38"/>
      <w:bookmarkEnd w:id="39"/>
    </w:p>
    <w:p w14:paraId="4027B3FE" w14:textId="42538A85" w:rsidR="001164FC" w:rsidRPr="00196B50" w:rsidRDefault="001164FC" w:rsidP="00A25913">
      <w:pPr>
        <w:pStyle w:val="standard"/>
        <w:rPr>
          <w:rFonts w:ascii="Book Antiqua" w:hAnsi="Book Antiqua"/>
        </w:rPr>
      </w:pPr>
      <w:r w:rsidRPr="00196B50">
        <w:rPr>
          <w:rFonts w:ascii="Book Antiqua" w:hAnsi="Book Antiqua"/>
        </w:rPr>
        <w:t xml:space="preserve">SPURR submitted an </w:t>
      </w:r>
      <w:r w:rsidR="005C6F04" w:rsidRPr="003D2091">
        <w:t xml:space="preserve">Opening Brief </w:t>
      </w:r>
      <w:r w:rsidRPr="00196B50">
        <w:rPr>
          <w:rFonts w:ascii="Book Antiqua" w:hAnsi="Book Antiqua"/>
        </w:rPr>
        <w:t xml:space="preserve">solely on the issue of PG&amp;E's proposal to update the </w:t>
      </w:r>
      <w:r w:rsidR="00A235C7" w:rsidRPr="00196B50">
        <w:rPr>
          <w:rFonts w:ascii="Book Antiqua" w:hAnsi="Book Antiqua"/>
        </w:rPr>
        <w:t>Core Brokerage Fee</w:t>
      </w:r>
      <w:r w:rsidRPr="00196B50">
        <w:rPr>
          <w:rFonts w:ascii="Book Antiqua" w:hAnsi="Book Antiqua"/>
        </w:rPr>
        <w:t xml:space="preserve"> in this Application.</w:t>
      </w:r>
      <w:r w:rsidR="00060B9C" w:rsidRPr="00196B50">
        <w:rPr>
          <w:rStyle w:val="FootnoteReference"/>
          <w:rFonts w:ascii="Book Antiqua" w:hAnsi="Book Antiqua"/>
        </w:rPr>
        <w:footnoteReference w:id="17"/>
      </w:r>
      <w:r w:rsidRPr="00196B50">
        <w:rPr>
          <w:rFonts w:ascii="Book Antiqua" w:hAnsi="Book Antiqua"/>
        </w:rPr>
        <w:t xml:space="preserve">  SPURR noted </w:t>
      </w:r>
      <w:r w:rsidR="00B45E6E" w:rsidRPr="00196B50">
        <w:rPr>
          <w:rFonts w:ascii="Book Antiqua" w:hAnsi="Book Antiqua"/>
        </w:rPr>
        <w:t>that</w:t>
      </w:r>
      <w:r w:rsidR="0099612F" w:rsidRPr="00196B50">
        <w:rPr>
          <w:rFonts w:ascii="Book Antiqua" w:hAnsi="Book Antiqua"/>
        </w:rPr>
        <w:t xml:space="preserve"> </w:t>
      </w:r>
      <w:r w:rsidRPr="00196B50">
        <w:rPr>
          <w:rFonts w:ascii="Book Antiqua" w:hAnsi="Book Antiqua"/>
        </w:rPr>
        <w:t xml:space="preserve">it is willing to accept PG&amp;E’s </w:t>
      </w:r>
      <w:r w:rsidR="00A235C7" w:rsidRPr="00196B50">
        <w:rPr>
          <w:rFonts w:ascii="Book Antiqua" w:hAnsi="Book Antiqua"/>
        </w:rPr>
        <w:t>Core Brokerage Fee</w:t>
      </w:r>
      <w:r w:rsidRPr="00196B50">
        <w:rPr>
          <w:rFonts w:ascii="Book Antiqua" w:hAnsi="Book Antiqua"/>
        </w:rPr>
        <w:t xml:space="preserve"> proposal in this Application – for now</w:t>
      </w:r>
      <w:r w:rsidR="00B45E6E" w:rsidRPr="00196B50">
        <w:rPr>
          <w:rFonts w:ascii="Book Antiqua" w:hAnsi="Book Antiqua"/>
        </w:rPr>
        <w:t xml:space="preserve">. However, </w:t>
      </w:r>
      <w:r w:rsidRPr="00196B50">
        <w:rPr>
          <w:rFonts w:ascii="Book Antiqua" w:hAnsi="Book Antiqua"/>
        </w:rPr>
        <w:t xml:space="preserve">it continues to </w:t>
      </w:r>
      <w:r w:rsidR="00B45E6E" w:rsidRPr="00196B50">
        <w:rPr>
          <w:rFonts w:ascii="Book Antiqua" w:hAnsi="Book Antiqua"/>
        </w:rPr>
        <w:t>believe</w:t>
      </w:r>
      <w:r w:rsidRPr="00196B50">
        <w:rPr>
          <w:rFonts w:ascii="Book Antiqua" w:hAnsi="Book Antiqua"/>
        </w:rPr>
        <w:t xml:space="preserve"> that the </w:t>
      </w:r>
      <w:r w:rsidR="00A235C7" w:rsidRPr="00196B50">
        <w:rPr>
          <w:rFonts w:ascii="Book Antiqua" w:hAnsi="Book Antiqua"/>
        </w:rPr>
        <w:t>Core Brokerage Fee</w:t>
      </w:r>
      <w:r w:rsidRPr="00196B50">
        <w:rPr>
          <w:rFonts w:ascii="Book Antiqua" w:hAnsi="Book Antiqua"/>
        </w:rPr>
        <w:t xml:space="preserve"> approved for PG&amp;E in D.10-12-032 provides an unfair subsidy to PG&amp;E because the fee includes cost recovery for PG&amp;E’s billing and transportation services and commodity supply as </w:t>
      </w:r>
      <w:r w:rsidR="00060B9C" w:rsidRPr="00196B50">
        <w:rPr>
          <w:rFonts w:ascii="Book Antiqua" w:hAnsi="Book Antiqua"/>
        </w:rPr>
        <w:t xml:space="preserve">presented </w:t>
      </w:r>
      <w:r w:rsidRPr="00196B50">
        <w:rPr>
          <w:rFonts w:ascii="Book Antiqua" w:hAnsi="Book Antiqua"/>
        </w:rPr>
        <w:t xml:space="preserve">in </w:t>
      </w:r>
      <w:r w:rsidR="00715760" w:rsidRPr="00196B50">
        <w:rPr>
          <w:rFonts w:ascii="Book Antiqua" w:hAnsi="Book Antiqua"/>
        </w:rPr>
        <w:t>SPUR</w:t>
      </w:r>
      <w:r w:rsidR="00033C26" w:rsidRPr="00196B50">
        <w:rPr>
          <w:rFonts w:ascii="Book Antiqua" w:hAnsi="Book Antiqua"/>
        </w:rPr>
        <w:t>R</w:t>
      </w:r>
      <w:r w:rsidR="00715760" w:rsidRPr="00196B50">
        <w:rPr>
          <w:rFonts w:ascii="Book Antiqua" w:hAnsi="Book Antiqua"/>
        </w:rPr>
        <w:t>’s</w:t>
      </w:r>
      <w:r w:rsidR="0099612F" w:rsidRPr="00196B50">
        <w:rPr>
          <w:rFonts w:ascii="Book Antiqua" w:hAnsi="Book Antiqua"/>
        </w:rPr>
        <w:t xml:space="preserve"> </w:t>
      </w:r>
      <w:r w:rsidRPr="00196B50">
        <w:rPr>
          <w:rFonts w:ascii="Book Antiqua" w:hAnsi="Book Antiqua"/>
        </w:rPr>
        <w:t xml:space="preserve">testimony submitted in A.09-05-026.  SPURR urges the Commission to state (in the decision issued in this proceeding) that it intends to revisit the question of the costs that should be included in the </w:t>
      </w:r>
      <w:r w:rsidR="00A235C7" w:rsidRPr="00196B50">
        <w:rPr>
          <w:rFonts w:ascii="Book Antiqua" w:hAnsi="Book Antiqua"/>
        </w:rPr>
        <w:t>Core Brokerage Fee</w:t>
      </w:r>
      <w:r w:rsidRPr="00196B50">
        <w:rPr>
          <w:rFonts w:ascii="Book Antiqua" w:hAnsi="Book Antiqua"/>
        </w:rPr>
        <w:t xml:space="preserve"> in PG&amp;E’s next </w:t>
      </w:r>
      <w:r w:rsidR="00B45E6E" w:rsidRPr="00196B50">
        <w:rPr>
          <w:rFonts w:ascii="Book Antiqua" w:hAnsi="Book Antiqua"/>
        </w:rPr>
        <w:t>GCAP</w:t>
      </w:r>
      <w:r w:rsidRPr="00196B50">
        <w:rPr>
          <w:rFonts w:ascii="Book Antiqua" w:hAnsi="Book Antiqua"/>
        </w:rPr>
        <w:t xml:space="preserve"> proceeding.</w:t>
      </w:r>
    </w:p>
    <w:p w14:paraId="4E30EF3D" w14:textId="77777777" w:rsidR="001164FC" w:rsidRPr="00561FEE" w:rsidRDefault="001164FC" w:rsidP="00742600">
      <w:pPr>
        <w:pStyle w:val="Heading3"/>
      </w:pPr>
      <w:bookmarkStart w:id="40" w:name="_Toc11407856"/>
      <w:bookmarkStart w:id="41" w:name="_Toc20144541"/>
      <w:r w:rsidRPr="00561FEE">
        <w:t>SBUA</w:t>
      </w:r>
      <w:bookmarkEnd w:id="40"/>
      <w:bookmarkEnd w:id="41"/>
    </w:p>
    <w:p w14:paraId="4656DA71" w14:textId="19F5D5DA" w:rsidR="001164FC" w:rsidRPr="00196B50" w:rsidRDefault="001164FC" w:rsidP="00742600">
      <w:pPr>
        <w:pStyle w:val="standard"/>
        <w:rPr>
          <w:rFonts w:ascii="Book Antiqua" w:hAnsi="Book Antiqua"/>
        </w:rPr>
      </w:pPr>
      <w:r w:rsidRPr="00196B50">
        <w:rPr>
          <w:rFonts w:ascii="Book Antiqua" w:hAnsi="Book Antiqua"/>
        </w:rPr>
        <w:t xml:space="preserve">In its </w:t>
      </w:r>
      <w:r w:rsidR="005C6F04" w:rsidRPr="003D2091">
        <w:t>Opening Brief</w:t>
      </w:r>
      <w:r w:rsidRPr="00196B50">
        <w:rPr>
          <w:rFonts w:ascii="Book Antiqua" w:hAnsi="Book Antiqua"/>
        </w:rPr>
        <w:t xml:space="preserve">, </w:t>
      </w:r>
      <w:r w:rsidRPr="00196B50">
        <w:rPr>
          <w:rFonts w:ascii="Book Antiqua" w:hAnsi="Book Antiqua"/>
          <w:color w:val="000000" w:themeColor="text1"/>
        </w:rPr>
        <w:t xml:space="preserve">SBUA </w:t>
      </w:r>
      <w:r w:rsidRPr="00196B50">
        <w:rPr>
          <w:rFonts w:ascii="Book Antiqua" w:hAnsi="Book Antiqua"/>
        </w:rPr>
        <w:t xml:space="preserve">argues that:  (1) PG&amp;E’s proposed embedded cost allocation methodology should be adopted by the Commission because it most accurately reflects the principle of cost causation, and that it is the most </w:t>
      </w:r>
      <w:r w:rsidRPr="00196B50">
        <w:rPr>
          <w:rFonts w:ascii="Book Antiqua" w:hAnsi="Book Antiqua"/>
        </w:rPr>
        <w:lastRenderedPageBreak/>
        <w:t>reasonable cost allocation methodology when assigning costs to ratepayers</w:t>
      </w:r>
      <w:r w:rsidR="008122AD" w:rsidRPr="00196B50">
        <w:rPr>
          <w:rFonts w:ascii="Book Antiqua" w:hAnsi="Book Antiqua"/>
        </w:rPr>
        <w:t>; and</w:t>
      </w:r>
      <w:r w:rsidRPr="00196B50">
        <w:rPr>
          <w:rFonts w:ascii="Book Antiqua" w:hAnsi="Book Antiqua"/>
        </w:rPr>
        <w:t xml:space="preserve"> (2) PG&amp;E’s proposed EE allocation should be rejected as it does not accurately reflect the benefits accrued to various customer classes.  More specifically, SBUA contends that EE </w:t>
      </w:r>
      <w:r w:rsidR="008122AD" w:rsidRPr="00196B50">
        <w:rPr>
          <w:rFonts w:ascii="Book Antiqua" w:hAnsi="Book Antiqua"/>
        </w:rPr>
        <w:t xml:space="preserve">resource </w:t>
      </w:r>
      <w:r w:rsidRPr="00196B50">
        <w:rPr>
          <w:rFonts w:ascii="Book Antiqua" w:hAnsi="Book Antiqua"/>
        </w:rPr>
        <w:t xml:space="preserve">program costs are not directly allocated to a customer class as directed by D.95-12-053 and should therefore be revised.  Further, SBUA notes that as EE </w:t>
      </w:r>
      <w:r w:rsidR="0061271E" w:rsidRPr="00196B50">
        <w:rPr>
          <w:rFonts w:ascii="Book Antiqua" w:hAnsi="Book Antiqua"/>
        </w:rPr>
        <w:t xml:space="preserve">non-resource </w:t>
      </w:r>
      <w:r w:rsidRPr="00196B50">
        <w:rPr>
          <w:rFonts w:ascii="Book Antiqua" w:hAnsi="Book Antiqua"/>
        </w:rPr>
        <w:t xml:space="preserve">program costs and other EE program costs are, in part, modeled around EE </w:t>
      </w:r>
      <w:r w:rsidR="0061271E" w:rsidRPr="00196B50">
        <w:rPr>
          <w:rFonts w:ascii="Book Antiqua" w:hAnsi="Book Antiqua"/>
        </w:rPr>
        <w:t>resource</w:t>
      </w:r>
      <w:r w:rsidRPr="00196B50">
        <w:rPr>
          <w:rFonts w:ascii="Book Antiqua" w:hAnsi="Book Antiqua"/>
        </w:rPr>
        <w:t xml:space="preserve"> cost allocation, those costs should be revised as well in order to fairly distribute costs across customer classes.  Also, SBUA asserts that PG&amp;E should “evaluate demand load” instead of “normal load” in determining demand related distribution costs.</w:t>
      </w:r>
      <w:r w:rsidR="00236BF4" w:rsidRPr="00196B50">
        <w:rPr>
          <w:rStyle w:val="FootnoteReference"/>
          <w:rFonts w:ascii="Book Antiqua" w:hAnsi="Book Antiqua"/>
        </w:rPr>
        <w:footnoteReference w:id="18"/>
      </w:r>
      <w:r w:rsidR="0099612F" w:rsidRPr="00196B50">
        <w:rPr>
          <w:rFonts w:ascii="Book Antiqua" w:hAnsi="Book Antiqua"/>
        </w:rPr>
        <w:t xml:space="preserve"> </w:t>
      </w:r>
      <w:r w:rsidRPr="00196B50">
        <w:rPr>
          <w:rFonts w:ascii="Book Antiqua" w:hAnsi="Book Antiqua"/>
        </w:rPr>
        <w:t>SBUA supports TURN’s recommendations that PG&amp;E revise its allocation of EE shareholder incentives based on EE allocation.</w:t>
      </w:r>
    </w:p>
    <w:p w14:paraId="0D06EE61" w14:textId="77777777" w:rsidR="001164FC" w:rsidRPr="00196B50" w:rsidRDefault="001164FC" w:rsidP="00742600">
      <w:pPr>
        <w:pStyle w:val="standard"/>
        <w:rPr>
          <w:rFonts w:ascii="Book Antiqua" w:hAnsi="Book Antiqua"/>
        </w:rPr>
      </w:pPr>
      <w:r w:rsidRPr="00196B50">
        <w:rPr>
          <w:rFonts w:ascii="Book Antiqua" w:hAnsi="Book Antiqua"/>
        </w:rPr>
        <w:t xml:space="preserve">SBUA recommends that PG&amp;E be directed to treat all small commercial customers as customers that will potentially face unforeseen bill impacts given the significant rate increases affecting the entire class.  SBUA further recommends that PG&amp;E should be directed to implement targeted educational and outreach measures regarding EE programs, especially those programs that can help lower small commercial customers bills in the long run.  SBUA argues that targeted EE programs should consider small commercial customers’ gas use, geographic region, and type of business; and that PG&amp;E begin tracking small commercial customers’ awareness of EE programs in order to assist PG&amp;E in refining its outreach efforts. </w:t>
      </w:r>
    </w:p>
    <w:p w14:paraId="5DF3C419" w14:textId="77777777" w:rsidR="001164FC" w:rsidRPr="00196B50" w:rsidRDefault="001164FC" w:rsidP="00742600">
      <w:pPr>
        <w:pStyle w:val="standard"/>
        <w:rPr>
          <w:rFonts w:ascii="Book Antiqua" w:hAnsi="Book Antiqua" w:cs="TimesNewRomanPSMT"/>
        </w:rPr>
      </w:pPr>
      <w:r w:rsidRPr="00196B50">
        <w:rPr>
          <w:rFonts w:ascii="Book Antiqua" w:hAnsi="Book Antiqua" w:cs="TimesNewRomanPSMT"/>
        </w:rPr>
        <w:lastRenderedPageBreak/>
        <w:t xml:space="preserve">Lastly, </w:t>
      </w:r>
      <w:r w:rsidRPr="00196B50">
        <w:rPr>
          <w:rFonts w:ascii="Book Antiqua" w:hAnsi="Book Antiqua"/>
          <w:color w:val="000000" w:themeColor="text1"/>
        </w:rPr>
        <w:t xml:space="preserve">SBUA argues that </w:t>
      </w:r>
      <w:r w:rsidRPr="00196B50">
        <w:rPr>
          <w:rFonts w:ascii="Book Antiqua" w:hAnsi="Book Antiqua"/>
        </w:rPr>
        <w:t xml:space="preserve">the rate reform proposals put forth in this GCAP Application are skewed against </w:t>
      </w:r>
      <w:r w:rsidR="00E76C3F" w:rsidRPr="00196B50">
        <w:rPr>
          <w:rFonts w:ascii="Book Antiqua" w:hAnsi="Book Antiqua"/>
        </w:rPr>
        <w:t xml:space="preserve">the </w:t>
      </w:r>
      <w:r w:rsidRPr="00196B50">
        <w:rPr>
          <w:rFonts w:ascii="Book Antiqua" w:hAnsi="Book Antiqua"/>
          <w:color w:val="000000" w:themeColor="text1"/>
        </w:rPr>
        <w:t xml:space="preserve">commercial customers’ class </w:t>
      </w:r>
      <w:r w:rsidRPr="00196B50">
        <w:rPr>
          <w:rFonts w:ascii="Book Antiqua" w:hAnsi="Book Antiqua"/>
        </w:rPr>
        <w:t>in favor of other ratepayer classes.</w:t>
      </w:r>
      <w:r w:rsidRPr="00196B50">
        <w:rPr>
          <w:rStyle w:val="FootnoteReference"/>
          <w:rFonts w:ascii="Book Antiqua" w:hAnsi="Book Antiqua"/>
          <w:szCs w:val="26"/>
        </w:rPr>
        <w:footnoteReference w:id="19"/>
      </w:r>
    </w:p>
    <w:p w14:paraId="6BB6CA25" w14:textId="1EBE1608" w:rsidR="001164FC" w:rsidRPr="00561FEE" w:rsidRDefault="0093696B" w:rsidP="00742600">
      <w:pPr>
        <w:pStyle w:val="Heading3"/>
      </w:pPr>
      <w:bookmarkStart w:id="42" w:name="_Toc20144542"/>
      <w:r>
        <w:t>Indicated Shippers</w:t>
      </w:r>
      <w:bookmarkEnd w:id="42"/>
    </w:p>
    <w:p w14:paraId="5E75F031" w14:textId="77777777" w:rsidR="001164FC" w:rsidRPr="00196B50" w:rsidRDefault="001164FC" w:rsidP="00742600">
      <w:pPr>
        <w:pStyle w:val="standard"/>
        <w:rPr>
          <w:rFonts w:ascii="Book Antiqua" w:hAnsi="Book Antiqua"/>
        </w:rPr>
      </w:pPr>
      <w:r w:rsidRPr="00196B50">
        <w:rPr>
          <w:rFonts w:ascii="Book Antiqua" w:hAnsi="Book Antiqua"/>
        </w:rPr>
        <w:t>Indicated Shippers submitted its Opening Brief to address the ESA program allocation proposal presented in this Application.  As argued by Indicated Shippers, PG&amp;E plans to separate the ESA program costs from the costs of other EE programs based on new benefits data, but continue the practice of allocating ESA program expenditures to residential customers using the “direct benefit” approach.</w:t>
      </w:r>
      <w:r w:rsidRPr="00561FEE">
        <w:rPr>
          <w:rStyle w:val="FootnoteReference"/>
          <w:rFonts w:ascii="Book Antiqua" w:hAnsi="Book Antiqua"/>
          <w:szCs w:val="26"/>
        </w:rPr>
        <w:footnoteReference w:id="20"/>
      </w:r>
      <w:r w:rsidRPr="00196B50">
        <w:rPr>
          <w:rFonts w:ascii="Book Antiqua" w:hAnsi="Book Antiqua"/>
        </w:rPr>
        <w:t xml:space="preserve">  Indicated Shippers noted that Cal Advocates and TURN oppose PG&amp;E’s allocation practice, proposing instead to allocate these costs consistent with the allocation methodology for CARE program costs. </w:t>
      </w:r>
    </w:p>
    <w:p w14:paraId="6D8C604A" w14:textId="62A6D6D3" w:rsidR="001164FC" w:rsidRPr="00196B50" w:rsidRDefault="001164FC" w:rsidP="00601A93">
      <w:pPr>
        <w:pStyle w:val="standard"/>
        <w:rPr>
          <w:rFonts w:ascii="Book Antiqua" w:hAnsi="Book Antiqua"/>
          <w:b/>
        </w:rPr>
      </w:pPr>
      <w:r w:rsidRPr="00196B50">
        <w:rPr>
          <w:rFonts w:ascii="Book Antiqua" w:hAnsi="Book Antiqua"/>
        </w:rPr>
        <w:t>Indicated Shippers agree</w:t>
      </w:r>
      <w:r w:rsidR="00BB04AF" w:rsidRPr="00196B50">
        <w:rPr>
          <w:rFonts w:ascii="Book Antiqua" w:hAnsi="Book Antiqua"/>
        </w:rPr>
        <w:t>s</w:t>
      </w:r>
      <w:r w:rsidRPr="00196B50">
        <w:rPr>
          <w:rFonts w:ascii="Book Antiqua" w:hAnsi="Book Antiqua"/>
        </w:rPr>
        <w:t xml:space="preserve"> with PG&amp;E’s conclusion and proposal in this Application, contending that PG&amp;E’s proposal more accurately reflects the nature of the ESA program as an EE program, rather than a low-income program. Further, Indicated Shippers </w:t>
      </w:r>
      <w:r w:rsidR="0039597D" w:rsidRPr="00C633A3">
        <w:rPr>
          <w:rFonts w:ascii="Book Antiqua" w:hAnsi="Book Antiqua"/>
          <w:szCs w:val="26"/>
        </w:rPr>
        <w:t>argue</w:t>
      </w:r>
      <w:r w:rsidR="0039597D">
        <w:rPr>
          <w:rFonts w:ascii="Book Antiqua" w:hAnsi="Book Antiqua"/>
          <w:szCs w:val="26"/>
        </w:rPr>
        <w:t>s</w:t>
      </w:r>
      <w:r w:rsidR="00BB04AF">
        <w:rPr>
          <w:rFonts w:ascii="Book Antiqua" w:hAnsi="Book Antiqua"/>
          <w:szCs w:val="26"/>
        </w:rPr>
        <w:t xml:space="preserve"> </w:t>
      </w:r>
      <w:r w:rsidRPr="00196B50">
        <w:rPr>
          <w:rFonts w:ascii="Book Antiqua" w:hAnsi="Book Antiqua"/>
        </w:rPr>
        <w:t xml:space="preserve">that PG&amp;E’s approach best addresses statutory requirements and long-standing Commission policy regarding EE.  Accordingly, Indicated Shippers request Commission approval of PG&amp;E’s continuing ESA allocation methodology, which it argues “is in line with previous Commission decisions regarding [Demand Side Management] DSM costs” in </w:t>
      </w:r>
      <w:r w:rsidR="00D73554" w:rsidRPr="00196B50">
        <w:rPr>
          <w:rFonts w:ascii="Book Antiqua" w:hAnsi="Book Antiqua"/>
        </w:rPr>
        <w:t>D.</w:t>
      </w:r>
      <w:r w:rsidRPr="00196B50">
        <w:rPr>
          <w:rFonts w:ascii="Book Antiqua" w:hAnsi="Book Antiqua"/>
        </w:rPr>
        <w:t>95-12-053,</w:t>
      </w:r>
      <w:r w:rsidRPr="00561FEE">
        <w:rPr>
          <w:rStyle w:val="FootnoteReference"/>
          <w:rFonts w:ascii="Book Antiqua" w:hAnsi="Book Antiqua"/>
          <w:szCs w:val="26"/>
        </w:rPr>
        <w:footnoteReference w:id="21"/>
      </w:r>
      <w:r w:rsidRPr="00196B50">
        <w:rPr>
          <w:rFonts w:ascii="Book Antiqua" w:hAnsi="Book Antiqua"/>
        </w:rPr>
        <w:t xml:space="preserve"> and “PG&amp;E has continued to use the current direct benefits cost allocation methodology since the original decision in D.95-12-053</w:t>
      </w:r>
      <w:r w:rsidR="0099612F" w:rsidRPr="00196B50">
        <w:rPr>
          <w:rFonts w:ascii="Book Antiqua" w:hAnsi="Book Antiqua"/>
        </w:rPr>
        <w:t>.</w:t>
      </w:r>
      <w:r w:rsidRPr="00196B50">
        <w:rPr>
          <w:rFonts w:ascii="Book Antiqua" w:hAnsi="Book Antiqua"/>
        </w:rPr>
        <w:t>”</w:t>
      </w:r>
      <w:r w:rsidRPr="00561FEE">
        <w:rPr>
          <w:rStyle w:val="FootnoteReference"/>
          <w:rFonts w:ascii="Book Antiqua" w:hAnsi="Book Antiqua"/>
          <w:szCs w:val="26"/>
        </w:rPr>
        <w:footnoteReference w:id="22"/>
      </w:r>
      <w:r w:rsidRPr="00196B50">
        <w:rPr>
          <w:rFonts w:ascii="Book Antiqua" w:hAnsi="Book Antiqua"/>
        </w:rPr>
        <w:t xml:space="preserve">  </w:t>
      </w:r>
      <w:r w:rsidRPr="00196B50">
        <w:rPr>
          <w:rFonts w:ascii="Book Antiqua" w:hAnsi="Book Antiqua"/>
        </w:rPr>
        <w:lastRenderedPageBreak/>
        <w:t>Accordingly, Indicated Shippers concluded that it strongly support</w:t>
      </w:r>
      <w:r w:rsidR="0099612F" w:rsidRPr="00196B50">
        <w:rPr>
          <w:rFonts w:ascii="Book Antiqua" w:hAnsi="Book Antiqua"/>
        </w:rPr>
        <w:t>s</w:t>
      </w:r>
      <w:r w:rsidRPr="00196B50">
        <w:rPr>
          <w:rFonts w:ascii="Book Antiqua" w:hAnsi="Book Antiqua"/>
        </w:rPr>
        <w:t xml:space="preserve"> PG&amp;E’s proposed separation and allocation of ESA program costs to the residential customer class, in conformance with long-standing Commission policy. </w:t>
      </w:r>
    </w:p>
    <w:p w14:paraId="3D56E494" w14:textId="358C4122" w:rsidR="001164FC" w:rsidRPr="00561FEE" w:rsidRDefault="001164FC" w:rsidP="00677615">
      <w:pPr>
        <w:pStyle w:val="Heading1"/>
      </w:pPr>
      <w:bookmarkStart w:id="43" w:name="_Toc11407858"/>
      <w:bookmarkStart w:id="44" w:name="_Toc20144543"/>
      <w:bookmarkEnd w:id="22"/>
      <w:bookmarkEnd w:id="23"/>
      <w:bookmarkEnd w:id="24"/>
      <w:r w:rsidRPr="00561FEE">
        <w:t>Resolution of the Issues</w:t>
      </w:r>
      <w:bookmarkEnd w:id="43"/>
      <w:bookmarkEnd w:id="44"/>
    </w:p>
    <w:p w14:paraId="498BD89B" w14:textId="77777777" w:rsidR="001164FC" w:rsidRPr="00431F1E" w:rsidRDefault="001164FC" w:rsidP="00677615">
      <w:pPr>
        <w:pStyle w:val="Heading2"/>
        <w:rPr>
          <w:rFonts w:ascii="Helvetica" w:hAnsi="Helvetica" w:cs="Helvetica"/>
        </w:rPr>
      </w:pPr>
      <w:bookmarkStart w:id="45" w:name="_Toc11407859"/>
      <w:bookmarkStart w:id="46" w:name="_Toc20144544"/>
      <w:r w:rsidRPr="00431F1E">
        <w:rPr>
          <w:rFonts w:ascii="Helvetica" w:hAnsi="Helvetica" w:cs="Helvetica"/>
        </w:rPr>
        <w:t>Issue 1 - Should PG&amp;E's proposal to adopt the 2015 GT&amp;S gas throughput forecast be adopted for this GCAP?</w:t>
      </w:r>
      <w:bookmarkEnd w:id="45"/>
      <w:bookmarkEnd w:id="46"/>
    </w:p>
    <w:p w14:paraId="1501A028" w14:textId="77777777" w:rsidR="001164FC" w:rsidRPr="00196B50" w:rsidRDefault="001164FC" w:rsidP="009916EC">
      <w:pPr>
        <w:pStyle w:val="standard"/>
        <w:rPr>
          <w:rFonts w:ascii="Book Antiqua" w:hAnsi="Book Antiqua"/>
        </w:rPr>
      </w:pPr>
      <w:r w:rsidRPr="00196B50">
        <w:rPr>
          <w:rFonts w:ascii="Book Antiqua" w:hAnsi="Book Antiqua"/>
        </w:rPr>
        <w:t>Throughput for the gas distribution system is in the scope of this GCAP proceeding and PG&amp;E’s 2019 GT&amp;S proceeding (A.17-11-009).  Rather than litigate the throughput issue simultaneously in the two proceedings, PG&amp;E agrees with Cal Advocates’ proposal to use Cal Advocates’ throughput forecast submitted in A.17-11-009 on an interim basis while throughput is litigated and decided in A.17-11-009, and the Commission issues its final decision in A.17-11-009.</w:t>
      </w:r>
      <w:r w:rsidRPr="00431F1E">
        <w:rPr>
          <w:rStyle w:val="FootnoteReference"/>
          <w:rFonts w:ascii="Book Antiqua" w:hAnsi="Book Antiqua"/>
          <w:szCs w:val="26"/>
        </w:rPr>
        <w:footnoteReference w:id="23"/>
      </w:r>
      <w:r w:rsidR="0099612F" w:rsidRPr="00196B50">
        <w:rPr>
          <w:rFonts w:ascii="Book Antiqua" w:hAnsi="Book Antiqua"/>
        </w:rPr>
        <w:t xml:space="preserve"> </w:t>
      </w:r>
      <w:r w:rsidRPr="00196B50">
        <w:rPr>
          <w:rFonts w:ascii="Book Antiqua" w:hAnsi="Book Antiqua"/>
        </w:rPr>
        <w:t>PG&amp;E and Cal Advocates further agree that once the final 2019 GT&amp;S decision is approved in A.17-11-009, the final/adopted 2019 GT&amp;S throughput forecast would be used to implement GCAP rates in the future.  Accordingly, there appears to be no current dispute between PG&amp;E and Cal Advocates in this proceeding regarding which throughput forecast should be adopted.</w:t>
      </w:r>
    </w:p>
    <w:p w14:paraId="7A69DCF1" w14:textId="77777777" w:rsidR="001164FC" w:rsidRPr="00196B50" w:rsidRDefault="001164FC" w:rsidP="009916EC">
      <w:pPr>
        <w:pStyle w:val="standard"/>
        <w:rPr>
          <w:rFonts w:ascii="Book Antiqua" w:hAnsi="Book Antiqua"/>
        </w:rPr>
      </w:pPr>
      <w:r w:rsidRPr="00196B50">
        <w:rPr>
          <w:rFonts w:ascii="Book Antiqua" w:hAnsi="Book Antiqua"/>
        </w:rPr>
        <w:t xml:space="preserve">Other than Cal Advocates and PG&amp;E, SBUA is the only other party that addressed the throughput forecasting issue in this proceeding.  SBUA criticized PG&amp;E’s use of peak day factors in a normal year as an outdated approach for use in cost allocation of a gas distribution system since such a system may be unable to meet loads in years “with a day colder than normal,” which according to </w:t>
      </w:r>
      <w:r w:rsidRPr="00196B50">
        <w:rPr>
          <w:rFonts w:ascii="Book Antiqua" w:hAnsi="Book Antiqua"/>
        </w:rPr>
        <w:lastRenderedPageBreak/>
        <w:t>SBUA could be roughly half the years. SBUA believes that the better system is to use “design load” rather than normal load for cost allocation.</w:t>
      </w:r>
      <w:r w:rsidRPr="00431F1E">
        <w:rPr>
          <w:rStyle w:val="FootnoteReference"/>
          <w:rFonts w:ascii="Book Antiqua" w:hAnsi="Book Antiqua"/>
          <w:szCs w:val="26"/>
        </w:rPr>
        <w:footnoteReference w:id="24"/>
      </w:r>
    </w:p>
    <w:p w14:paraId="4A4E1584" w14:textId="01AD9422" w:rsidR="001164FC" w:rsidRPr="00196B50" w:rsidRDefault="001164FC" w:rsidP="009916EC">
      <w:pPr>
        <w:pStyle w:val="standard"/>
        <w:rPr>
          <w:rFonts w:ascii="Book Antiqua" w:hAnsi="Book Antiqua"/>
        </w:rPr>
      </w:pPr>
      <w:r w:rsidRPr="00196B50">
        <w:rPr>
          <w:rFonts w:ascii="Book Antiqua" w:hAnsi="Book Antiqua"/>
        </w:rPr>
        <w:t>PG&amp;E explains SBUA’s use of “design load” to mean the studies performed by the gas engineers for physical gas distribution system planning, in which one of two primary design days: (1)  the abnormal peak design day (APD), defined as the coldest temperature that may be exceeded once every 90 years (APD 1-day-in-90 year); or (2) the coldest winter day (CWD), defined as the coldest temperature that may be exceeded once every two years, on average.  According to PG&amp;E, these particular engineering studies do not have the level of granular details that would be needed to calculate the class classifications for cost allocation.</w:t>
      </w:r>
      <w:r w:rsidRPr="00431F1E">
        <w:rPr>
          <w:rStyle w:val="FootnoteReference"/>
          <w:rFonts w:ascii="Book Antiqua" w:hAnsi="Book Antiqua"/>
          <w:szCs w:val="26"/>
        </w:rPr>
        <w:footnoteReference w:id="25"/>
      </w:r>
      <w:r w:rsidRPr="00196B50">
        <w:rPr>
          <w:rFonts w:ascii="Book Antiqua" w:hAnsi="Book Antiqua"/>
        </w:rPr>
        <w:t xml:space="preserve"> Thus, PG&amp;E argues that the design load system, particularly the APD 1-day-in-90 year recurrence interval studies would unfairly allocate more costs to the core customer class for being highly sensitive to weather, as the studies assume 100 percent curtailment </w:t>
      </w:r>
      <w:r w:rsidR="00D06324" w:rsidRPr="00196B50">
        <w:rPr>
          <w:rFonts w:ascii="Book Antiqua" w:hAnsi="Book Antiqua"/>
        </w:rPr>
        <w:t>of</w:t>
      </w:r>
      <w:r w:rsidR="00BB04AF" w:rsidRPr="00196B50">
        <w:rPr>
          <w:rFonts w:ascii="Book Antiqua" w:hAnsi="Book Antiqua"/>
        </w:rPr>
        <w:t xml:space="preserve"> </w:t>
      </w:r>
      <w:r w:rsidRPr="00196B50">
        <w:rPr>
          <w:rFonts w:ascii="Book Antiqua" w:hAnsi="Book Antiqua"/>
        </w:rPr>
        <w:t>non-core customer classes.</w:t>
      </w:r>
      <w:r w:rsidRPr="00431F1E">
        <w:rPr>
          <w:rStyle w:val="FootnoteReference"/>
          <w:rFonts w:ascii="Book Antiqua" w:hAnsi="Book Antiqua"/>
          <w:szCs w:val="26"/>
        </w:rPr>
        <w:footnoteReference w:id="26"/>
      </w:r>
      <w:r w:rsidRPr="00196B50">
        <w:rPr>
          <w:rFonts w:ascii="Book Antiqua" w:hAnsi="Book Antiqua"/>
        </w:rPr>
        <w:t xml:space="preserve"> Accordingly, PG&amp;E concludes that the Average Temperature Cold Day or Cold Temperature Cold Day allocations it used in its proposal are reasonable methods for allocating the distribution function costs since neither is an extreme planning criteria.</w:t>
      </w:r>
      <w:r w:rsidRPr="00431F1E">
        <w:rPr>
          <w:rStyle w:val="FootnoteReference"/>
          <w:rFonts w:ascii="Book Antiqua" w:hAnsi="Book Antiqua"/>
          <w:szCs w:val="26"/>
        </w:rPr>
        <w:footnoteReference w:id="27"/>
      </w:r>
    </w:p>
    <w:p w14:paraId="309C4E7B" w14:textId="60AB7F14" w:rsidR="001164FC" w:rsidRPr="00196B50" w:rsidRDefault="001164FC" w:rsidP="00601A93">
      <w:pPr>
        <w:pStyle w:val="standard"/>
        <w:rPr>
          <w:rFonts w:ascii="Book Antiqua" w:hAnsi="Book Antiqua"/>
        </w:rPr>
      </w:pPr>
      <w:r w:rsidRPr="00196B50">
        <w:rPr>
          <w:rFonts w:ascii="Book Antiqua" w:hAnsi="Book Antiqua"/>
        </w:rPr>
        <w:t xml:space="preserve">Lastly, PG&amp;E pointed out that the 2015 GT&amp;S decision, </w:t>
      </w:r>
      <w:r w:rsidR="00D06324" w:rsidRPr="00196B50">
        <w:rPr>
          <w:rFonts w:ascii="Book Antiqua" w:hAnsi="Book Antiqua"/>
        </w:rPr>
        <w:t>D.</w:t>
      </w:r>
      <w:r w:rsidRPr="00196B50">
        <w:rPr>
          <w:rFonts w:ascii="Book Antiqua" w:hAnsi="Book Antiqua"/>
        </w:rPr>
        <w:t xml:space="preserve">16-06-056, Conclusion of Law 236, found that design criteria “does not reasonably reflect the costs imposed by core and noncore customers for this shared resource.”  For </w:t>
      </w:r>
      <w:r w:rsidRPr="00196B50">
        <w:rPr>
          <w:rFonts w:ascii="Book Antiqua" w:hAnsi="Book Antiqua"/>
        </w:rPr>
        <w:lastRenderedPageBreak/>
        <w:t>these reasons, PG&amp;E urges the Commission to reject SBUA’s position opposing the use of peak day factors based on a normal year.</w:t>
      </w:r>
    </w:p>
    <w:p w14:paraId="777BA33D" w14:textId="77777777" w:rsidR="001164FC" w:rsidRPr="00196B50" w:rsidRDefault="001164FC" w:rsidP="00601A93">
      <w:pPr>
        <w:pStyle w:val="standard"/>
        <w:rPr>
          <w:rFonts w:ascii="Book Antiqua" w:hAnsi="Book Antiqua"/>
        </w:rPr>
      </w:pPr>
      <w:r w:rsidRPr="00196B50">
        <w:rPr>
          <w:rFonts w:ascii="Book Antiqua" w:hAnsi="Book Antiqua"/>
        </w:rPr>
        <w:t xml:space="preserve">Pursuant to the procedural record, we do not find adequate support for developing a throughput forecast for PG&amp;E’s gas distribution system as proposed by SBUA in this GCAP rate Application proceeding. </w:t>
      </w:r>
    </w:p>
    <w:p w14:paraId="5D326434" w14:textId="77777777" w:rsidR="001164FC" w:rsidRPr="00196B50" w:rsidRDefault="001164FC" w:rsidP="00601A93">
      <w:pPr>
        <w:pStyle w:val="standard"/>
        <w:rPr>
          <w:rFonts w:ascii="Book Antiqua" w:hAnsi="Book Antiqua"/>
        </w:rPr>
      </w:pPr>
      <w:r w:rsidRPr="00196B50">
        <w:rPr>
          <w:rFonts w:ascii="Book Antiqua" w:hAnsi="Book Antiqua"/>
        </w:rPr>
        <w:t xml:space="preserve">As provided above, we find that PG&amp;E and Cal Advocates’ proposal not to litigate the issue of whether the 2015 GT&amp;S gas throughput forecast should be adopted for this GCAP proceeding but defer the issue to be addressed in A.17-11-009, is reasonable and adopted herein.  </w:t>
      </w:r>
    </w:p>
    <w:p w14:paraId="713B0145" w14:textId="4FC3507C" w:rsidR="001164FC" w:rsidRPr="00196B50" w:rsidRDefault="001164FC" w:rsidP="00601A93">
      <w:pPr>
        <w:pStyle w:val="standard"/>
        <w:rPr>
          <w:rFonts w:ascii="Book Antiqua" w:hAnsi="Book Antiqua"/>
        </w:rPr>
      </w:pPr>
      <w:r w:rsidRPr="00196B50">
        <w:rPr>
          <w:rFonts w:ascii="Book Antiqua" w:hAnsi="Book Antiqua"/>
        </w:rPr>
        <w:t xml:space="preserve">Accordingly, the </w:t>
      </w:r>
      <w:r w:rsidR="00BB04AF" w:rsidRPr="00196B50">
        <w:rPr>
          <w:rFonts w:ascii="Book Antiqua" w:hAnsi="Book Antiqua"/>
        </w:rPr>
        <w:t xml:space="preserve">throughput forecast adopted in the </w:t>
      </w:r>
      <w:r w:rsidRPr="00196B50">
        <w:rPr>
          <w:rFonts w:ascii="Book Antiqua" w:hAnsi="Book Antiqua"/>
        </w:rPr>
        <w:t xml:space="preserve">final 2019 GT&amp;S decision </w:t>
      </w:r>
      <w:r w:rsidR="00BB04AF" w:rsidRPr="00196B50">
        <w:rPr>
          <w:rFonts w:ascii="Book Antiqua" w:hAnsi="Book Antiqua"/>
        </w:rPr>
        <w:t>(</w:t>
      </w:r>
      <w:r w:rsidRPr="00196B50">
        <w:rPr>
          <w:rFonts w:ascii="Book Antiqua" w:hAnsi="Book Antiqua"/>
        </w:rPr>
        <w:t xml:space="preserve">A.17-11-009), shall be used to implement the GCAP rates presented in this Application in the future.  </w:t>
      </w:r>
      <w:r w:rsidR="00BB04AF" w:rsidRPr="00196B50">
        <w:rPr>
          <w:rFonts w:ascii="Book Antiqua" w:hAnsi="Book Antiqua"/>
        </w:rPr>
        <w:t xml:space="preserve">If </w:t>
      </w:r>
      <w:r w:rsidRPr="00196B50">
        <w:rPr>
          <w:rFonts w:ascii="Book Antiqua" w:hAnsi="Book Antiqua"/>
        </w:rPr>
        <w:t>A.17-11-009</w:t>
      </w:r>
      <w:r w:rsidR="00BB04AF" w:rsidRPr="00196B50">
        <w:rPr>
          <w:rFonts w:ascii="Book Antiqua" w:hAnsi="Book Antiqua"/>
        </w:rPr>
        <w:t xml:space="preserve"> remains pending when this decision </w:t>
      </w:r>
      <w:r w:rsidR="0018027F" w:rsidRPr="00196B50">
        <w:rPr>
          <w:rFonts w:ascii="Book Antiqua" w:hAnsi="Book Antiqua"/>
        </w:rPr>
        <w:t>is</w:t>
      </w:r>
      <w:r w:rsidR="00BB04AF" w:rsidRPr="00196B50">
        <w:rPr>
          <w:rFonts w:ascii="Book Antiqua" w:hAnsi="Book Antiqua"/>
        </w:rPr>
        <w:t xml:space="preserve"> adopted</w:t>
      </w:r>
      <w:r w:rsidRPr="00196B50">
        <w:rPr>
          <w:rFonts w:ascii="Book Antiqua" w:hAnsi="Book Antiqua"/>
        </w:rPr>
        <w:t>, PG&amp;E shall use Cal Advocates’ throughput forecast that was submitted in A.17-11-009 to implement the GCAP rates for its gas distribution system in the scope of this GCAP proceeding, on an interim basis.</w:t>
      </w:r>
    </w:p>
    <w:p w14:paraId="7FACA0DC" w14:textId="77777777" w:rsidR="001164FC" w:rsidRPr="00431F1E" w:rsidRDefault="001164FC" w:rsidP="00535DC5">
      <w:pPr>
        <w:pStyle w:val="Heading2"/>
        <w:rPr>
          <w:rFonts w:ascii="Helvetica" w:hAnsi="Helvetica" w:cs="Helvetica"/>
        </w:rPr>
      </w:pPr>
      <w:bookmarkStart w:id="47" w:name="_Toc11407860"/>
      <w:bookmarkStart w:id="48" w:name="_Toc20144545"/>
      <w:r w:rsidRPr="00431F1E">
        <w:rPr>
          <w:rFonts w:ascii="Helvetica" w:hAnsi="Helvetica" w:cs="Helvetica"/>
        </w:rPr>
        <w:t>Issue 2 - Should PG&amp;E be authorized to update its gas distribution throughput forecasts approved in future GT&amp;S cases, on an ongoing basis, via a Tier 2 advice letter filing?</w:t>
      </w:r>
      <w:bookmarkEnd w:id="47"/>
      <w:bookmarkEnd w:id="48"/>
    </w:p>
    <w:p w14:paraId="1CA40E3C" w14:textId="77777777" w:rsidR="001164FC" w:rsidRPr="00196B50" w:rsidRDefault="001164FC" w:rsidP="00601A93">
      <w:pPr>
        <w:pStyle w:val="standard"/>
        <w:rPr>
          <w:rFonts w:ascii="Book Antiqua" w:hAnsi="Book Antiqua"/>
        </w:rPr>
      </w:pPr>
      <w:r w:rsidRPr="00196B50">
        <w:rPr>
          <w:rFonts w:ascii="Book Antiqua" w:hAnsi="Book Antiqua"/>
        </w:rPr>
        <w:t>PG&amp;E requests authority to incorporate, on an ongoing basis, the most recently approved GT&amp;S throughput forecasts in future GT&amp;S cases into the then effective GCAP allocations via a Tier 2 advice filing.</w:t>
      </w:r>
      <w:r w:rsidRPr="008550CD">
        <w:rPr>
          <w:rStyle w:val="FootnoteReference"/>
          <w:rFonts w:ascii="Book Antiqua" w:hAnsi="Book Antiqua"/>
          <w:szCs w:val="26"/>
        </w:rPr>
        <w:footnoteReference w:id="28"/>
      </w:r>
      <w:r w:rsidRPr="00196B50">
        <w:rPr>
          <w:rFonts w:ascii="Book Antiqua" w:hAnsi="Book Antiqua"/>
        </w:rPr>
        <w:t xml:space="preserve">  According to PG&amp;E, “PG&amp;E’s proposal to adopt the throughput forecasts in its GT&amp;S rate cases for future GCAP allocations [will prevent] the throughput used in GCAP ratemaking from becoming stale.”</w:t>
      </w:r>
      <w:r w:rsidRPr="00431F1E">
        <w:rPr>
          <w:rStyle w:val="FootnoteReference"/>
          <w:rFonts w:ascii="Book Antiqua" w:hAnsi="Book Antiqua"/>
          <w:szCs w:val="26"/>
        </w:rPr>
        <w:footnoteReference w:id="29"/>
      </w:r>
    </w:p>
    <w:p w14:paraId="5CC2E671" w14:textId="12F372D3" w:rsidR="001164FC" w:rsidRPr="00196B50" w:rsidRDefault="001164FC" w:rsidP="00601A93">
      <w:pPr>
        <w:pStyle w:val="standard"/>
        <w:rPr>
          <w:rFonts w:ascii="Book Antiqua" w:hAnsi="Book Antiqua"/>
        </w:rPr>
      </w:pPr>
      <w:r w:rsidRPr="00196B50">
        <w:rPr>
          <w:rFonts w:ascii="Book Antiqua" w:hAnsi="Book Antiqua"/>
        </w:rPr>
        <w:lastRenderedPageBreak/>
        <w:t>In its Opening Brief, PG&amp;E states that its GT&amp;S throughput forecast proposal “has several benefits,”</w:t>
      </w:r>
      <w:r w:rsidRPr="00431F1E">
        <w:rPr>
          <w:rStyle w:val="FootnoteReference"/>
          <w:rFonts w:ascii="Book Antiqua" w:hAnsi="Book Antiqua"/>
          <w:szCs w:val="26"/>
        </w:rPr>
        <w:footnoteReference w:id="30"/>
      </w:r>
      <w:r w:rsidR="0099612F" w:rsidRPr="00196B50">
        <w:rPr>
          <w:rFonts w:ascii="Book Antiqua" w:hAnsi="Book Antiqua"/>
        </w:rPr>
        <w:t xml:space="preserve"> </w:t>
      </w:r>
      <w:r w:rsidRPr="00196B50">
        <w:rPr>
          <w:rFonts w:ascii="Book Antiqua" w:hAnsi="Book Antiqua"/>
        </w:rPr>
        <w:t>including:  (1) placing litigation of gas throughput in the GT&amp;S cases, rather than the GCAP case, as “the GT&amp;S Rate Cases are the superior proceeding to litigate forecasts due to the impact of the proposed GT&amp;S revenue requirement on the throughput forecast;”</w:t>
      </w:r>
      <w:r w:rsidRPr="00431F1E">
        <w:rPr>
          <w:rStyle w:val="FootnoteReference"/>
          <w:rFonts w:ascii="Book Antiqua" w:hAnsi="Book Antiqua"/>
          <w:szCs w:val="26"/>
        </w:rPr>
        <w:footnoteReference w:id="31"/>
      </w:r>
      <w:r w:rsidR="0099612F" w:rsidRPr="00196B50">
        <w:rPr>
          <w:rFonts w:ascii="Book Antiqua" w:hAnsi="Book Antiqua"/>
        </w:rPr>
        <w:t xml:space="preserve"> </w:t>
      </w:r>
      <w:r w:rsidRPr="00196B50">
        <w:rPr>
          <w:rFonts w:ascii="Book Antiqua" w:hAnsi="Book Antiqua"/>
        </w:rPr>
        <w:t>and (2) preventing stale throughput forecasts from increasing balancing account volatility (beyond that caused by weather or economic conditions).  Thus, PG&amp;E proposes to file a Tier 2 advice letter within 60 days of a GT&amp;S decision adopting a new throughput forecast to update its gas distribution throughput forecasts.  According to PG&amp;E, the advice letter would provide the impacts of incorporating the new adopted GT&amp;S throughput and billings forecast on the GCAP adopted rates, and the process would include an update to the Cold Win</w:t>
      </w:r>
      <w:r w:rsidR="00684966" w:rsidRPr="00196B50">
        <w:rPr>
          <w:rFonts w:ascii="Book Antiqua" w:hAnsi="Book Antiqua"/>
        </w:rPr>
        <w:t>t</w:t>
      </w:r>
      <w:r w:rsidRPr="00196B50">
        <w:rPr>
          <w:rFonts w:ascii="Book Antiqua" w:hAnsi="Book Antiqua"/>
        </w:rPr>
        <w:t xml:space="preserve">er Day Measure study based on the input </w:t>
      </w:r>
      <w:r w:rsidR="005B0ED3" w:rsidRPr="00196B50">
        <w:rPr>
          <w:rFonts w:ascii="Book Antiqua" w:hAnsi="Book Antiqua"/>
        </w:rPr>
        <w:t>of</w:t>
      </w:r>
      <w:r w:rsidR="00684966" w:rsidRPr="00196B50">
        <w:rPr>
          <w:rFonts w:ascii="Book Antiqua" w:hAnsi="Book Antiqua"/>
        </w:rPr>
        <w:t xml:space="preserve"> </w:t>
      </w:r>
      <w:r w:rsidRPr="00196B50">
        <w:rPr>
          <w:rFonts w:ascii="Book Antiqua" w:hAnsi="Book Antiqua"/>
        </w:rPr>
        <w:t>the newly calculated forecast.</w:t>
      </w:r>
      <w:r w:rsidRPr="00431F1E">
        <w:rPr>
          <w:rStyle w:val="FootnoteReference"/>
          <w:rFonts w:ascii="Book Antiqua" w:hAnsi="Book Antiqua"/>
          <w:szCs w:val="26"/>
        </w:rPr>
        <w:footnoteReference w:id="32"/>
      </w:r>
      <w:r w:rsidRPr="00196B50">
        <w:rPr>
          <w:rFonts w:ascii="Book Antiqua" w:hAnsi="Book Antiqua"/>
        </w:rPr>
        <w:t xml:space="preserve"> The most recently approved GT&amp;S forecast could be used for each January 1 annual gas true-up (AGT) to allocate the gas distribution revenue requirement and to revise gas distribution rates.  </w:t>
      </w:r>
    </w:p>
    <w:p w14:paraId="3C0F644D" w14:textId="2088D0F6" w:rsidR="001164FC" w:rsidRPr="00196B50" w:rsidRDefault="001164FC" w:rsidP="00601A93">
      <w:pPr>
        <w:pStyle w:val="standard"/>
        <w:rPr>
          <w:rFonts w:ascii="Book Antiqua" w:hAnsi="Book Antiqua"/>
        </w:rPr>
      </w:pPr>
      <w:r w:rsidRPr="00196B50">
        <w:rPr>
          <w:rFonts w:ascii="Book Antiqua" w:hAnsi="Book Antiqua"/>
        </w:rPr>
        <w:t xml:space="preserve">We are persuaded by PG&amp;E’s arguments in support of this proposal.  </w:t>
      </w:r>
      <w:r w:rsidR="00941C13" w:rsidRPr="00196B50">
        <w:rPr>
          <w:rFonts w:ascii="Book Antiqua" w:hAnsi="Book Antiqua"/>
        </w:rPr>
        <w:t>Additionally, neither</w:t>
      </w:r>
      <w:r w:rsidRPr="00196B50">
        <w:rPr>
          <w:rFonts w:ascii="Book Antiqua" w:hAnsi="Book Antiqua"/>
        </w:rPr>
        <w:t xml:space="preserve"> Cal Advocates</w:t>
      </w:r>
      <w:r w:rsidRPr="00431F1E">
        <w:rPr>
          <w:rStyle w:val="FootnoteReference"/>
          <w:rFonts w:ascii="Book Antiqua" w:hAnsi="Book Antiqua"/>
          <w:szCs w:val="26"/>
        </w:rPr>
        <w:footnoteReference w:id="33"/>
      </w:r>
      <w:r w:rsidR="0099612F" w:rsidRPr="00196B50">
        <w:rPr>
          <w:rFonts w:ascii="Book Antiqua" w:hAnsi="Book Antiqua"/>
        </w:rPr>
        <w:t xml:space="preserve"> </w:t>
      </w:r>
      <w:r w:rsidRPr="00196B50">
        <w:rPr>
          <w:rFonts w:ascii="Book Antiqua" w:hAnsi="Book Antiqua"/>
        </w:rPr>
        <w:t xml:space="preserve">nor any other party in this proceeding opposes PG&amp;E’s proposal to use future approved GT&amp;S throughputs for GCAP cost allocation and rate revision purposes in the future.  Accordingly, PG&amp;E’s proposal to utilize and/or incorporate the most recently approved GT&amp;S </w:t>
      </w:r>
      <w:r w:rsidRPr="00196B50">
        <w:rPr>
          <w:rFonts w:ascii="Book Antiqua" w:hAnsi="Book Antiqua"/>
        </w:rPr>
        <w:lastRenderedPageBreak/>
        <w:t xml:space="preserve">throughput forecasts into the then effective GCAP allocations via a Tier 2 advice filing is adopted. </w:t>
      </w:r>
    </w:p>
    <w:p w14:paraId="3587C35A" w14:textId="77777777" w:rsidR="001164FC" w:rsidRPr="00431F1E" w:rsidRDefault="001164FC" w:rsidP="00431F1E">
      <w:pPr>
        <w:pStyle w:val="Heading2"/>
        <w:rPr>
          <w:rFonts w:ascii="Helvetica" w:hAnsi="Helvetica" w:cs="Helvetica"/>
        </w:rPr>
      </w:pPr>
      <w:bookmarkStart w:id="49" w:name="_Toc11407861"/>
      <w:bookmarkStart w:id="50" w:name="_Toc20144546"/>
      <w:r w:rsidRPr="00431F1E">
        <w:rPr>
          <w:rFonts w:ascii="Helvetica" w:hAnsi="Helvetica" w:cs="Helvetica"/>
        </w:rPr>
        <w:t>Issue 3 - Should PG&amp;E be authorized to implement the cost allocation proposal set forth in its testimony, using embedded costs, or should another methodology be used to determine cost allocation?</w:t>
      </w:r>
      <w:bookmarkEnd w:id="49"/>
      <w:bookmarkEnd w:id="50"/>
    </w:p>
    <w:p w14:paraId="345E2452" w14:textId="77777777" w:rsidR="001164FC" w:rsidRPr="00196B50" w:rsidRDefault="001164FC" w:rsidP="00601A93">
      <w:pPr>
        <w:pStyle w:val="standard"/>
        <w:rPr>
          <w:rFonts w:ascii="Book Antiqua" w:hAnsi="Book Antiqua"/>
        </w:rPr>
      </w:pPr>
      <w:r w:rsidRPr="00196B50">
        <w:rPr>
          <w:rFonts w:ascii="Book Antiqua" w:hAnsi="Book Antiqua"/>
        </w:rPr>
        <w:t xml:space="preserve">This is a major issue of interest to the parties in this proceeding.  TURN, SBUA, Cal Advocates and PG&amp;E submitted testimony addressing this issue; they also addressed this issue in their respective Briefs. </w:t>
      </w:r>
    </w:p>
    <w:p w14:paraId="1AA4225A" w14:textId="7509BD26" w:rsidR="001164FC" w:rsidRPr="00196B50" w:rsidRDefault="001164FC" w:rsidP="00601A93">
      <w:pPr>
        <w:pStyle w:val="standard"/>
        <w:rPr>
          <w:rFonts w:ascii="Book Antiqua" w:hAnsi="Book Antiqua"/>
        </w:rPr>
      </w:pPr>
      <w:r w:rsidRPr="00196B50">
        <w:rPr>
          <w:rFonts w:ascii="Book Antiqua" w:hAnsi="Book Antiqua"/>
        </w:rPr>
        <w:t>SBUA argues in favor of PG&amp;E’s proposed embedded cost allocation methodology</w:t>
      </w:r>
      <w:r w:rsidR="00587519" w:rsidRPr="00196B50">
        <w:rPr>
          <w:rFonts w:ascii="Book Antiqua" w:hAnsi="Book Antiqua"/>
        </w:rPr>
        <w:t>, and contends that PG&amp;E’s proposed embedded cost allocation methodology be approved by the Commission -</w:t>
      </w:r>
      <w:r w:rsidRPr="00196B50">
        <w:rPr>
          <w:rFonts w:ascii="Book Antiqua" w:hAnsi="Book Antiqua"/>
        </w:rPr>
        <w:t xml:space="preserve"> because it most accurately reflects cost causation principles, and is thus the most reasonable cost allocation methodology, applicable to all ratepayers.  SBUA argues that the embedded cost allocation methodology “is the most common approach to cost-allocation in North America,” and is thus appropriate in this case.</w:t>
      </w:r>
      <w:r w:rsidRPr="00431F1E">
        <w:rPr>
          <w:rStyle w:val="FootnoteReference"/>
          <w:rFonts w:ascii="Book Antiqua" w:hAnsi="Book Antiqua"/>
          <w:szCs w:val="26"/>
        </w:rPr>
        <w:footnoteReference w:id="34"/>
      </w:r>
      <w:r w:rsidR="00684966" w:rsidRPr="00196B50">
        <w:rPr>
          <w:rFonts w:ascii="Book Antiqua" w:hAnsi="Book Antiqua"/>
        </w:rPr>
        <w:t xml:space="preserve"> </w:t>
      </w:r>
      <w:r w:rsidR="004D3FDD" w:rsidRPr="00196B50">
        <w:rPr>
          <w:rFonts w:ascii="Book Antiqua" w:hAnsi="Book Antiqua"/>
        </w:rPr>
        <w:t xml:space="preserve">At the hearing, </w:t>
      </w:r>
      <w:r w:rsidRPr="00196B50">
        <w:rPr>
          <w:rFonts w:ascii="Book Antiqua" w:hAnsi="Book Antiqua"/>
        </w:rPr>
        <w:t xml:space="preserve">SBUA witness, Paul Chernick, </w:t>
      </w:r>
      <w:r w:rsidR="0035445D" w:rsidRPr="00196B50">
        <w:rPr>
          <w:rFonts w:ascii="Book Antiqua" w:hAnsi="Book Antiqua"/>
        </w:rPr>
        <w:t>testified</w:t>
      </w:r>
      <w:r w:rsidR="0099612F" w:rsidRPr="00196B50">
        <w:rPr>
          <w:rFonts w:ascii="Book Antiqua" w:hAnsi="Book Antiqua"/>
        </w:rPr>
        <w:t xml:space="preserve"> </w:t>
      </w:r>
      <w:r w:rsidRPr="00196B50">
        <w:rPr>
          <w:rFonts w:ascii="Book Antiqua" w:hAnsi="Book Antiqua"/>
        </w:rPr>
        <w:t>that the Commission should move towards the embedded cost methodology due to rate fairness considerations to its members.</w:t>
      </w:r>
      <w:r w:rsidR="000905E3">
        <w:rPr>
          <w:rStyle w:val="FootnoteReference"/>
          <w:rFonts w:ascii="Book Antiqua" w:hAnsi="Book Antiqua"/>
          <w:szCs w:val="26"/>
        </w:rPr>
        <w:footnoteReference w:id="35"/>
      </w:r>
    </w:p>
    <w:p w14:paraId="25C691E4" w14:textId="77777777" w:rsidR="004065FE" w:rsidRPr="00C633A3" w:rsidRDefault="004065FE" w:rsidP="00601A93">
      <w:pPr>
        <w:pStyle w:val="standard"/>
        <w:rPr>
          <w:rStyle w:val="FootnoteReference"/>
          <w:rFonts w:ascii="Book Antiqua" w:hAnsi="Book Antiqua"/>
          <w:szCs w:val="26"/>
        </w:rPr>
      </w:pPr>
      <w:r w:rsidRPr="00196B50">
        <w:rPr>
          <w:rFonts w:ascii="Book Antiqua" w:hAnsi="Book Antiqua"/>
        </w:rPr>
        <w:t>SBUA opposes the alternative marginal cost methodologies proposed by Cal Advocates and TURN, in that they do not directly address the issues of fairness in cost recovery.</w:t>
      </w:r>
      <w:r w:rsidR="00C06731" w:rsidRPr="00C633A3" w:rsidDel="00C06731">
        <w:rPr>
          <w:rStyle w:val="FootnoteReference"/>
          <w:rFonts w:ascii="Book Antiqua" w:hAnsi="Book Antiqua"/>
          <w:szCs w:val="26"/>
        </w:rPr>
        <w:t xml:space="preserve"> </w:t>
      </w:r>
      <w:r w:rsidR="00F848ED" w:rsidRPr="00196B50">
        <w:rPr>
          <w:rFonts w:ascii="Book Antiqua" w:hAnsi="Book Antiqua"/>
        </w:rPr>
        <w:t xml:space="preserve">Accordingly, SBUA argues that </w:t>
      </w:r>
      <w:r w:rsidRPr="00196B50">
        <w:rPr>
          <w:rFonts w:ascii="Book Antiqua" w:hAnsi="Book Antiqua"/>
        </w:rPr>
        <w:t xml:space="preserve">Cal Advocates’ proposed marginal cost methodology </w:t>
      </w:r>
      <w:r w:rsidR="002E4AD1" w:rsidRPr="00196B50">
        <w:rPr>
          <w:rFonts w:ascii="Book Antiqua" w:hAnsi="Book Antiqua"/>
        </w:rPr>
        <w:t xml:space="preserve">should be rejected </w:t>
      </w:r>
      <w:r w:rsidRPr="00196B50">
        <w:rPr>
          <w:rFonts w:ascii="Book Antiqua" w:hAnsi="Book Antiqua"/>
        </w:rPr>
        <w:t xml:space="preserve">due to the resulting increase in cost allocation that would result for small commercial customers:  a </w:t>
      </w:r>
      <w:r w:rsidRPr="00196B50">
        <w:rPr>
          <w:rFonts w:ascii="Book Antiqua" w:hAnsi="Book Antiqua"/>
        </w:rPr>
        <w:lastRenderedPageBreak/>
        <w:t>7.9% increase to their bundled rate, and a 9.4% increase for those small commercial customers who purchase gas from a third party</w:t>
      </w:r>
      <w:r w:rsidR="002E4AD1" w:rsidRPr="00196B50">
        <w:rPr>
          <w:rFonts w:ascii="Book Antiqua" w:hAnsi="Book Antiqua"/>
        </w:rPr>
        <w:t>.</w:t>
      </w:r>
      <w:r w:rsidRPr="00C633A3">
        <w:rPr>
          <w:rStyle w:val="FootnoteReference"/>
          <w:rFonts w:ascii="Book Antiqua" w:hAnsi="Book Antiqua"/>
          <w:szCs w:val="26"/>
        </w:rPr>
        <w:footnoteReference w:id="36"/>
      </w:r>
    </w:p>
    <w:p w14:paraId="4DD79E56" w14:textId="48A0C80D" w:rsidR="001164FC" w:rsidRPr="00431F1E" w:rsidRDefault="006F39B4" w:rsidP="00601A93">
      <w:pPr>
        <w:pStyle w:val="standard"/>
        <w:rPr>
          <w:rStyle w:val="FootnoteReference"/>
          <w:rFonts w:ascii="Book Antiqua" w:hAnsi="Book Antiqua"/>
          <w:szCs w:val="26"/>
        </w:rPr>
      </w:pPr>
      <w:r w:rsidRPr="00196B50">
        <w:rPr>
          <w:rFonts w:ascii="Book Antiqua" w:hAnsi="Book Antiqua"/>
        </w:rPr>
        <w:t xml:space="preserve">Nonetheless, </w:t>
      </w:r>
      <w:r w:rsidR="001164FC" w:rsidRPr="00196B50">
        <w:rPr>
          <w:rFonts w:ascii="Book Antiqua" w:hAnsi="Book Antiqua"/>
        </w:rPr>
        <w:t>SBUA argues that if the Commission decided to adopt a marginal cost allocation methodology in this proceeding, the methodology proposed by Cal Advocates in its testimony should be adopted</w:t>
      </w:r>
      <w:r w:rsidR="006668EC" w:rsidRPr="00196B50">
        <w:rPr>
          <w:rFonts w:ascii="Book Antiqua" w:hAnsi="Book Antiqua"/>
        </w:rPr>
        <w:t xml:space="preserve"> rather than TURN’s “cherry-picked marginal cost recommendation”</w:t>
      </w:r>
      <w:r w:rsidR="00083DA2">
        <w:rPr>
          <w:rFonts w:ascii="Book Antiqua" w:hAnsi="Book Antiqua"/>
        </w:rPr>
        <w:t xml:space="preserve"> </w:t>
      </w:r>
      <w:r w:rsidR="006668EC" w:rsidRPr="00196B50">
        <w:rPr>
          <w:rFonts w:ascii="Book Antiqua" w:hAnsi="Book Antiqua"/>
        </w:rPr>
        <w:t>designed to benefit residential ratepayers at the expense of small commercial customers</w:t>
      </w:r>
      <w:r w:rsidR="00684966" w:rsidRPr="00196B50">
        <w:rPr>
          <w:rFonts w:ascii="Book Antiqua" w:hAnsi="Book Antiqua"/>
        </w:rPr>
        <w:t>.</w:t>
      </w:r>
      <w:r w:rsidR="006668EC" w:rsidRPr="00196B50">
        <w:rPr>
          <w:rFonts w:ascii="Book Antiqua" w:hAnsi="Book Antiqua"/>
        </w:rPr>
        <w:t>”</w:t>
      </w:r>
      <w:r w:rsidR="006668EC" w:rsidRPr="006668EC">
        <w:rPr>
          <w:rStyle w:val="FootnoteReference"/>
          <w:rFonts w:ascii="Book Antiqua" w:hAnsi="Book Antiqua"/>
        </w:rPr>
        <w:footnoteReference w:id="37"/>
      </w:r>
      <w:r w:rsidR="0099612F" w:rsidRPr="00196B50">
        <w:rPr>
          <w:rFonts w:ascii="Book Antiqua" w:hAnsi="Book Antiqua"/>
        </w:rPr>
        <w:t xml:space="preserve"> </w:t>
      </w:r>
      <w:r w:rsidR="001164FC" w:rsidRPr="00196B50">
        <w:rPr>
          <w:rFonts w:ascii="Book Antiqua" w:hAnsi="Book Antiqua"/>
        </w:rPr>
        <w:t>SBUA argues that Cal Advocates’ proposal results in an allocation of costs to small business customers that is similar to the PG&amp;E embedded allocation, whereas the TURN approach results in rate shock to small commercial customers.  SBUA contends that the avoidance of rate shocks is a well-established Commission ratemaking goal</w:t>
      </w:r>
      <w:r w:rsidR="001164FC" w:rsidRPr="00431F1E">
        <w:rPr>
          <w:rStyle w:val="FootnoteReference"/>
          <w:rFonts w:ascii="Book Antiqua" w:hAnsi="Book Antiqua"/>
          <w:szCs w:val="26"/>
        </w:rPr>
        <w:t>.</w:t>
      </w:r>
      <w:r w:rsidR="001164FC" w:rsidRPr="00431F1E">
        <w:rPr>
          <w:rStyle w:val="FootnoteReference"/>
          <w:rFonts w:ascii="Book Antiqua" w:hAnsi="Book Antiqua"/>
          <w:szCs w:val="26"/>
        </w:rPr>
        <w:footnoteReference w:id="38"/>
      </w:r>
    </w:p>
    <w:p w14:paraId="63E22028" w14:textId="205A5BAD" w:rsidR="001164FC" w:rsidRPr="00196B50" w:rsidRDefault="001164FC" w:rsidP="00601A93">
      <w:pPr>
        <w:pStyle w:val="standard"/>
        <w:rPr>
          <w:rFonts w:ascii="Book Antiqua" w:hAnsi="Book Antiqua"/>
        </w:rPr>
      </w:pPr>
      <w:r w:rsidRPr="00196B50">
        <w:rPr>
          <w:rFonts w:ascii="Book Antiqua" w:hAnsi="Book Antiqua"/>
        </w:rPr>
        <w:t>On this issue, Cal Advocates argues that the Commission should continue to use the marginal cost methodology to allocate gas distribution revenue requirements to customer classes, instead of PG&amp;E’s proposed migration to the embedded cost methodology.  Specifically, Cal Advocates recommends that the Commission should adopt a DTIM-based MDCC estimate and NCO MCAC</w:t>
      </w:r>
      <w:r w:rsidRPr="00431F1E">
        <w:rPr>
          <w:rStyle w:val="FootnoteReference"/>
          <w:rFonts w:ascii="Book Antiqua" w:hAnsi="Book Antiqua"/>
          <w:szCs w:val="26"/>
        </w:rPr>
        <w:footnoteReference w:id="39"/>
      </w:r>
      <w:r w:rsidR="0099612F" w:rsidRPr="00196B50">
        <w:rPr>
          <w:rFonts w:ascii="Book Antiqua" w:hAnsi="Book Antiqua"/>
        </w:rPr>
        <w:t xml:space="preserve"> </w:t>
      </w:r>
      <w:r w:rsidRPr="00196B50">
        <w:rPr>
          <w:rFonts w:ascii="Book Antiqua" w:hAnsi="Book Antiqua"/>
        </w:rPr>
        <w:t xml:space="preserve">marginal costs contending that doing so would result in the most reasonable </w:t>
      </w:r>
      <w:r w:rsidRPr="00196B50">
        <w:rPr>
          <w:rFonts w:ascii="Book Antiqua" w:hAnsi="Book Antiqua"/>
        </w:rPr>
        <w:lastRenderedPageBreak/>
        <w:t>revenue allocation for PG&amp;E’s customers and the lowest, reasonable, cost-based rates for residential customers.</w:t>
      </w:r>
      <w:r w:rsidRPr="00431F1E">
        <w:rPr>
          <w:rStyle w:val="FootnoteReference"/>
          <w:rFonts w:ascii="Book Antiqua" w:hAnsi="Book Antiqua"/>
          <w:szCs w:val="26"/>
        </w:rPr>
        <w:footnoteReference w:id="40"/>
      </w:r>
      <w:r w:rsidRPr="00196B50">
        <w:rPr>
          <w:rFonts w:ascii="Book Antiqua" w:hAnsi="Book Antiqua"/>
        </w:rPr>
        <w:t xml:space="preserve"> Furthermore, Cal Advocates recommends the Commission adopt </w:t>
      </w:r>
      <w:r w:rsidR="00327F7C" w:rsidRPr="00196B50">
        <w:rPr>
          <w:rFonts w:ascii="Book Antiqua" w:hAnsi="Book Antiqua"/>
        </w:rPr>
        <w:t>its</w:t>
      </w:r>
      <w:r w:rsidR="00684966" w:rsidRPr="00196B50">
        <w:rPr>
          <w:rFonts w:ascii="Book Antiqua" w:hAnsi="Book Antiqua"/>
        </w:rPr>
        <w:t xml:space="preserve"> </w:t>
      </w:r>
      <w:r w:rsidRPr="00196B50">
        <w:rPr>
          <w:rFonts w:ascii="Book Antiqua" w:hAnsi="Book Antiqua"/>
        </w:rPr>
        <w:t>residential and non-residential gas rates, revenue allocation and rate design proposals.</w:t>
      </w:r>
      <w:r w:rsidRPr="00431F1E">
        <w:rPr>
          <w:rStyle w:val="FootnoteReference"/>
          <w:rFonts w:ascii="Book Antiqua" w:hAnsi="Book Antiqua"/>
          <w:szCs w:val="26"/>
        </w:rPr>
        <w:footnoteReference w:id="41"/>
      </w:r>
    </w:p>
    <w:p w14:paraId="74F89357" w14:textId="441E060E" w:rsidR="001164FC" w:rsidRPr="00431F1E" w:rsidRDefault="001164FC" w:rsidP="00601A93">
      <w:pPr>
        <w:pStyle w:val="standard"/>
        <w:rPr>
          <w:rStyle w:val="FootnoteReference"/>
          <w:rFonts w:ascii="Book Antiqua" w:hAnsi="Book Antiqua"/>
          <w:szCs w:val="26"/>
        </w:rPr>
      </w:pPr>
      <w:r w:rsidRPr="00196B50">
        <w:rPr>
          <w:rFonts w:ascii="Book Antiqua" w:hAnsi="Book Antiqua"/>
        </w:rPr>
        <w:t xml:space="preserve">Cal Advocates </w:t>
      </w:r>
      <w:r w:rsidR="00327F7C" w:rsidRPr="00196B50">
        <w:rPr>
          <w:rFonts w:ascii="Book Antiqua" w:hAnsi="Book Antiqua"/>
        </w:rPr>
        <w:t xml:space="preserve">takes </w:t>
      </w:r>
      <w:r w:rsidRPr="00196B50">
        <w:rPr>
          <w:rFonts w:ascii="Book Antiqua" w:hAnsi="Book Antiqua"/>
        </w:rPr>
        <w:t xml:space="preserve">issue with PG&amp;E’s use of an alternative MDCC value, because PG&amp;E’s MDCC estimate using the </w:t>
      </w:r>
      <w:r w:rsidR="006F2FA1" w:rsidRPr="00196B50">
        <w:rPr>
          <w:rFonts w:ascii="Book Antiqua" w:hAnsi="Book Antiqua"/>
        </w:rPr>
        <w:t>National Economic Research Associates, Inc. (NERA)</w:t>
      </w:r>
      <w:r w:rsidR="00FA6288" w:rsidRPr="00C633A3">
        <w:rPr>
          <w:rStyle w:val="FootnoteReference"/>
          <w:rFonts w:ascii="Book Antiqua" w:hAnsi="Book Antiqua"/>
          <w:szCs w:val="26"/>
        </w:rPr>
        <w:footnoteReference w:id="42"/>
      </w:r>
      <w:r w:rsidRPr="00196B50">
        <w:rPr>
          <w:rFonts w:ascii="Book Antiqua" w:hAnsi="Book Antiqua"/>
        </w:rPr>
        <w:t xml:space="preserve"> regression approach is negative.</w:t>
      </w:r>
      <w:r w:rsidRPr="00431F1E">
        <w:rPr>
          <w:rStyle w:val="FootnoteReference"/>
          <w:rFonts w:ascii="Book Antiqua" w:hAnsi="Book Antiqua"/>
          <w:szCs w:val="26"/>
        </w:rPr>
        <w:footnoteReference w:id="43"/>
      </w:r>
      <w:r w:rsidR="0099612F" w:rsidRPr="00196B50">
        <w:rPr>
          <w:rFonts w:ascii="Book Antiqua" w:hAnsi="Book Antiqua"/>
        </w:rPr>
        <w:t xml:space="preserve"> </w:t>
      </w:r>
      <w:r w:rsidRPr="00196B50">
        <w:rPr>
          <w:rFonts w:ascii="Book Antiqua" w:hAnsi="Book Antiqua"/>
        </w:rPr>
        <w:t xml:space="preserve">Cal Advocates </w:t>
      </w:r>
      <w:r w:rsidR="00BF1E72" w:rsidRPr="00196B50">
        <w:rPr>
          <w:rFonts w:ascii="Book Antiqua" w:hAnsi="Book Antiqua"/>
        </w:rPr>
        <w:t>disagrees</w:t>
      </w:r>
      <w:r w:rsidR="0099612F" w:rsidRPr="00196B50">
        <w:rPr>
          <w:rFonts w:ascii="Book Antiqua" w:hAnsi="Book Antiqua"/>
        </w:rPr>
        <w:t xml:space="preserve"> </w:t>
      </w:r>
      <w:r w:rsidRPr="00196B50">
        <w:rPr>
          <w:rFonts w:ascii="Book Antiqua" w:hAnsi="Book Antiqua"/>
        </w:rPr>
        <w:t xml:space="preserve">with PG&amp;E’s proposal to use the marginal cost-based methodology </w:t>
      </w:r>
      <w:r w:rsidR="00BF1E72" w:rsidRPr="00196B50">
        <w:rPr>
          <w:rFonts w:ascii="Book Antiqua" w:hAnsi="Book Antiqua"/>
        </w:rPr>
        <w:t>because it obtains</w:t>
      </w:r>
      <w:r w:rsidRPr="00196B50">
        <w:rPr>
          <w:rFonts w:ascii="Book Antiqua" w:hAnsi="Book Antiqua"/>
        </w:rPr>
        <w:t xml:space="preserve"> a negative coefficient when using the NERA regression method for the MDCC estimate.</w:t>
      </w:r>
      <w:r w:rsidRPr="00431F1E">
        <w:rPr>
          <w:rStyle w:val="FootnoteReference"/>
          <w:rFonts w:ascii="Book Antiqua" w:hAnsi="Book Antiqua"/>
          <w:szCs w:val="26"/>
        </w:rPr>
        <w:footnoteReference w:id="44"/>
      </w:r>
      <w:r w:rsidR="0099612F" w:rsidRPr="00196B50">
        <w:rPr>
          <w:rFonts w:ascii="Book Antiqua" w:hAnsi="Book Antiqua"/>
        </w:rPr>
        <w:t xml:space="preserve"> </w:t>
      </w:r>
      <w:r w:rsidRPr="00196B50">
        <w:rPr>
          <w:rFonts w:ascii="Book Antiqua" w:hAnsi="Book Antiqua"/>
        </w:rPr>
        <w:t>Cal Advocates note</w:t>
      </w:r>
      <w:r w:rsidR="00684966" w:rsidRPr="00196B50">
        <w:rPr>
          <w:rFonts w:ascii="Book Antiqua" w:hAnsi="Book Antiqua"/>
        </w:rPr>
        <w:t>s</w:t>
      </w:r>
      <w:r w:rsidRPr="00196B50">
        <w:rPr>
          <w:rFonts w:ascii="Book Antiqua" w:hAnsi="Book Antiqua"/>
        </w:rPr>
        <w:t xml:space="preserve"> that in D.92-12-058, the Commission adopted the Long Run Marginal Cost (LRMC) methodology for the gas distribution cost allocation of California’s gas utilities.  Cal Advocates </w:t>
      </w:r>
      <w:r w:rsidR="0039597D" w:rsidRPr="00196B50">
        <w:rPr>
          <w:rFonts w:ascii="Book Antiqua" w:hAnsi="Book Antiqua"/>
        </w:rPr>
        <w:t>argues</w:t>
      </w:r>
      <w:r w:rsidR="00083DA2">
        <w:rPr>
          <w:rFonts w:ascii="Book Antiqua" w:hAnsi="Book Antiqua"/>
        </w:rPr>
        <w:t xml:space="preserve"> </w:t>
      </w:r>
      <w:r w:rsidRPr="00196B50">
        <w:rPr>
          <w:rFonts w:ascii="Book Antiqua" w:hAnsi="Book Antiqua"/>
        </w:rPr>
        <w:lastRenderedPageBreak/>
        <w:t xml:space="preserve">that the Commission adopted the NERA regression method of analysis in order to estimate the MDCC component of the </w:t>
      </w:r>
      <w:r w:rsidR="00CF1BEC" w:rsidRPr="00196B50">
        <w:rPr>
          <w:rFonts w:ascii="Book Antiqua" w:hAnsi="Book Antiqua"/>
        </w:rPr>
        <w:t>LRMC</w:t>
      </w:r>
      <w:r w:rsidR="0099612F" w:rsidRPr="00196B50">
        <w:rPr>
          <w:rFonts w:ascii="Book Antiqua" w:hAnsi="Book Antiqua"/>
        </w:rPr>
        <w:t>.</w:t>
      </w:r>
      <w:r w:rsidRPr="00431F1E">
        <w:rPr>
          <w:rStyle w:val="FootnoteReference"/>
          <w:rFonts w:ascii="Book Antiqua" w:hAnsi="Book Antiqua"/>
          <w:szCs w:val="26"/>
        </w:rPr>
        <w:footnoteReference w:id="45"/>
      </w:r>
    </w:p>
    <w:p w14:paraId="7F39779F" w14:textId="77777777" w:rsidR="001164FC" w:rsidRPr="00196B50" w:rsidRDefault="001164FC" w:rsidP="00601A93">
      <w:pPr>
        <w:pStyle w:val="standard"/>
        <w:rPr>
          <w:rFonts w:ascii="Book Antiqua" w:hAnsi="Book Antiqua"/>
        </w:rPr>
      </w:pPr>
      <w:r w:rsidRPr="00196B50">
        <w:rPr>
          <w:rFonts w:ascii="Book Antiqua" w:hAnsi="Book Antiqua"/>
        </w:rPr>
        <w:t xml:space="preserve">Cal Advocates </w:t>
      </w:r>
      <w:r w:rsidR="00C41402" w:rsidRPr="00196B50">
        <w:rPr>
          <w:rFonts w:ascii="Book Antiqua" w:hAnsi="Book Antiqua"/>
        </w:rPr>
        <w:t>contends</w:t>
      </w:r>
      <w:r w:rsidR="00033C26" w:rsidRPr="00196B50">
        <w:rPr>
          <w:rFonts w:ascii="Book Antiqua" w:hAnsi="Book Antiqua"/>
        </w:rPr>
        <w:t xml:space="preserve"> </w:t>
      </w:r>
      <w:r w:rsidRPr="00196B50">
        <w:rPr>
          <w:rFonts w:ascii="Book Antiqua" w:hAnsi="Book Antiqua"/>
        </w:rPr>
        <w:t>that the Commission has found that other marginal cost methods could be considered, such as the Discounted Total Investment Method (DTIM).</w:t>
      </w:r>
      <w:r w:rsidRPr="00431F1E">
        <w:rPr>
          <w:rStyle w:val="FootnoteReference"/>
          <w:rFonts w:ascii="Book Antiqua" w:hAnsi="Book Antiqua"/>
          <w:szCs w:val="26"/>
        </w:rPr>
        <w:footnoteReference w:id="46"/>
      </w:r>
      <w:r w:rsidRPr="00196B50">
        <w:rPr>
          <w:rFonts w:ascii="Book Antiqua" w:hAnsi="Book Antiqua"/>
        </w:rPr>
        <w:t xml:space="preserve"> Cal Advocates note that although the NERA regression method was ultimately the approved method for estimating gas distribution marginal costs in D.92-12-058, there were several other marginal cost methods considered by the Commission in the same decision.</w:t>
      </w:r>
      <w:r w:rsidRPr="00431F1E">
        <w:rPr>
          <w:rStyle w:val="FootnoteReference"/>
          <w:rFonts w:ascii="Book Antiqua" w:hAnsi="Book Antiqua"/>
          <w:szCs w:val="26"/>
        </w:rPr>
        <w:footnoteReference w:id="47"/>
      </w:r>
    </w:p>
    <w:p w14:paraId="5AAF1B40" w14:textId="77777777" w:rsidR="001164FC" w:rsidRPr="00196B50" w:rsidRDefault="001164FC" w:rsidP="00601A93">
      <w:pPr>
        <w:pStyle w:val="standard"/>
        <w:rPr>
          <w:rFonts w:ascii="Book Antiqua" w:hAnsi="Book Antiqua"/>
        </w:rPr>
      </w:pPr>
      <w:r w:rsidRPr="00196B50">
        <w:rPr>
          <w:rFonts w:ascii="Book Antiqua" w:hAnsi="Book Antiqua"/>
        </w:rPr>
        <w:t>In addition, Cal Advocates note that PG&amp;E was able to calculate and provide an MDCC value based on a DTIM analysis on a system-level basis, and that it (Cal Advocates) now recommends the DTIM-based marginal costs analysis for PG&amp;E’s MDCC marginal cost allocation.</w:t>
      </w:r>
      <w:r w:rsidRPr="00431F1E">
        <w:rPr>
          <w:rStyle w:val="FootnoteReference"/>
          <w:rFonts w:ascii="Book Antiqua" w:hAnsi="Book Antiqua"/>
          <w:szCs w:val="26"/>
        </w:rPr>
        <w:footnoteReference w:id="48"/>
      </w:r>
    </w:p>
    <w:p w14:paraId="0AB55645" w14:textId="3E7815A7" w:rsidR="001164FC" w:rsidRPr="00196B50" w:rsidRDefault="001164FC" w:rsidP="00601A93">
      <w:pPr>
        <w:pStyle w:val="standard"/>
        <w:rPr>
          <w:rFonts w:ascii="Book Antiqua" w:hAnsi="Book Antiqua"/>
        </w:rPr>
      </w:pPr>
      <w:r w:rsidRPr="00196B50">
        <w:rPr>
          <w:rFonts w:ascii="Book Antiqua" w:hAnsi="Book Antiqua"/>
        </w:rPr>
        <w:t>Cal Advocates conclude</w:t>
      </w:r>
      <w:r w:rsidR="00203F08" w:rsidRPr="00196B50">
        <w:rPr>
          <w:rFonts w:ascii="Book Antiqua" w:hAnsi="Book Antiqua"/>
        </w:rPr>
        <w:t>s</w:t>
      </w:r>
      <w:r w:rsidRPr="00196B50">
        <w:rPr>
          <w:rFonts w:ascii="Book Antiqua" w:hAnsi="Book Antiqua"/>
        </w:rPr>
        <w:t xml:space="preserve"> that PG&amp;E has not presented a sufficient basis in this record to abandon the principles of economic efficiency and cost causation behind the Commission’s long-standing adoption of the marginal cost approach in favor of the embedded cost method.</w:t>
      </w:r>
      <w:r w:rsidRPr="00431F1E">
        <w:rPr>
          <w:rStyle w:val="FootnoteReference"/>
          <w:rFonts w:ascii="Book Antiqua" w:hAnsi="Book Antiqua"/>
          <w:szCs w:val="26"/>
        </w:rPr>
        <w:footnoteReference w:id="49"/>
      </w:r>
      <w:r w:rsidR="0099612F" w:rsidRPr="00196B50">
        <w:rPr>
          <w:rFonts w:ascii="Book Antiqua" w:hAnsi="Book Antiqua"/>
        </w:rPr>
        <w:t xml:space="preserve"> </w:t>
      </w:r>
      <w:r w:rsidRPr="00196B50">
        <w:rPr>
          <w:rFonts w:ascii="Book Antiqua" w:hAnsi="Book Antiqua"/>
        </w:rPr>
        <w:t xml:space="preserve">Thus, Cal Advocates </w:t>
      </w:r>
      <w:r w:rsidR="0039597D" w:rsidRPr="00196B50">
        <w:rPr>
          <w:rFonts w:ascii="Book Antiqua" w:hAnsi="Book Antiqua"/>
        </w:rPr>
        <w:t>argues</w:t>
      </w:r>
      <w:r w:rsidR="0099612F" w:rsidRPr="00196B50">
        <w:rPr>
          <w:rFonts w:ascii="Book Antiqua" w:hAnsi="Book Antiqua"/>
        </w:rPr>
        <w:t xml:space="preserve"> </w:t>
      </w:r>
      <w:r w:rsidRPr="00196B50">
        <w:rPr>
          <w:rFonts w:ascii="Book Antiqua" w:hAnsi="Book Antiqua"/>
        </w:rPr>
        <w:t xml:space="preserve">that the Commission should adopt Cal Advocates’ recommended DTIM-based MDCC </w:t>
      </w:r>
      <w:r w:rsidRPr="00196B50">
        <w:rPr>
          <w:rFonts w:ascii="Book Antiqua" w:hAnsi="Book Antiqua"/>
        </w:rPr>
        <w:lastRenderedPageBreak/>
        <w:t>estimate and NCO MCAC marginal costs as the reasonable revenue allocation method for PG&amp;E’s customers, and reject PG&amp;E’s embedded cost proposal.</w:t>
      </w:r>
    </w:p>
    <w:p w14:paraId="69BB5DBF" w14:textId="77777777" w:rsidR="001164FC" w:rsidRPr="00196B50" w:rsidRDefault="001164FC" w:rsidP="00601A93">
      <w:pPr>
        <w:pStyle w:val="standard"/>
        <w:rPr>
          <w:rFonts w:ascii="Book Antiqua" w:hAnsi="Book Antiqua"/>
        </w:rPr>
      </w:pPr>
      <w:r w:rsidRPr="00196B50">
        <w:rPr>
          <w:rFonts w:ascii="Book Antiqua" w:hAnsi="Book Antiqua"/>
        </w:rPr>
        <w:t>In support of its arguments, Cal Advocates presented four tables (in its Opening Brief at 13, 14, 15 and 16) comparing the resulting numbers for its marginal cost-based recommendation using the DTIM and PG&amp;E’s embedded cost-based recommendation.</w:t>
      </w:r>
    </w:p>
    <w:p w14:paraId="54084991" w14:textId="77777777" w:rsidR="001164FC" w:rsidRPr="00196B50" w:rsidRDefault="001164FC" w:rsidP="00601A93">
      <w:pPr>
        <w:pStyle w:val="standard"/>
        <w:rPr>
          <w:rFonts w:ascii="Book Antiqua" w:hAnsi="Book Antiqua"/>
        </w:rPr>
      </w:pPr>
      <w:r w:rsidRPr="00196B50">
        <w:rPr>
          <w:rFonts w:ascii="Book Antiqua" w:hAnsi="Book Antiqua"/>
        </w:rPr>
        <w:t xml:space="preserve">In regards to this issue, TURN argues PG&amp;E’s embedded cost of service methodology should be rejected.  Instead, TURN believes Cal Advocates’ marginal cost study based on the NCO method should be adopted, as updated for the new tax law and cost of capital (while removing smart-meter opt-out costs from revenue cycle services costs).  TURN contends that if the embedded cost of service methodology is adopted – contrary to its recommendations – the Commission should adopt TURN’s adjustments (to PG&amp;E’s proposal) which reduce the residential class allocation by $23 million.  </w:t>
      </w:r>
    </w:p>
    <w:p w14:paraId="5CFB3011" w14:textId="77777777" w:rsidR="001164FC" w:rsidRPr="00196B50" w:rsidRDefault="001164FC" w:rsidP="00601A93">
      <w:pPr>
        <w:pStyle w:val="standard"/>
        <w:rPr>
          <w:rFonts w:ascii="Book Antiqua" w:hAnsi="Book Antiqua"/>
        </w:rPr>
      </w:pPr>
      <w:r w:rsidRPr="00196B50">
        <w:rPr>
          <w:rFonts w:ascii="Book Antiqua" w:hAnsi="Book Antiqua"/>
        </w:rPr>
        <w:t>In its Opening Brief, PG&amp;E sets forth its proposal to implement a new cost allocation methodology using the embedded cost method.</w:t>
      </w:r>
      <w:r w:rsidRPr="00431F1E">
        <w:rPr>
          <w:rStyle w:val="FootnoteReference"/>
          <w:rFonts w:ascii="Book Antiqua" w:hAnsi="Book Antiqua"/>
          <w:szCs w:val="26"/>
        </w:rPr>
        <w:footnoteReference w:id="50"/>
      </w:r>
      <w:r w:rsidRPr="00196B50">
        <w:rPr>
          <w:rFonts w:ascii="Book Antiqua" w:hAnsi="Book Antiqua"/>
        </w:rPr>
        <w:t xml:space="preserve"> PG&amp;E contends that:  (1) both the embedded cost and marginal cost models are acceptable as a matter of principle for gas distribution system cost allocation, if appropriate data are available; (2) the </w:t>
      </w:r>
      <w:r w:rsidR="00FA6288" w:rsidRPr="00196B50">
        <w:rPr>
          <w:rFonts w:ascii="Book Antiqua" w:hAnsi="Book Antiqua"/>
        </w:rPr>
        <w:t xml:space="preserve">NERA </w:t>
      </w:r>
      <w:r w:rsidRPr="00196B50">
        <w:rPr>
          <w:rFonts w:ascii="Book Antiqua" w:hAnsi="Book Antiqua"/>
        </w:rPr>
        <w:t xml:space="preserve">regression marginal costs method produces negative results with current data and is therefore not usable; and (3) PG&amp;E’s embedded cost model uses more granular data to identify cost drivers and, as such, should be adopted in this proceeding.  </w:t>
      </w:r>
    </w:p>
    <w:p w14:paraId="2B6FE7B3" w14:textId="031967CD" w:rsidR="001164FC" w:rsidRPr="00196B50" w:rsidRDefault="001164FC" w:rsidP="00601A93">
      <w:pPr>
        <w:pStyle w:val="standard"/>
        <w:rPr>
          <w:rFonts w:ascii="Book Antiqua" w:hAnsi="Book Antiqua"/>
        </w:rPr>
      </w:pPr>
      <w:r w:rsidRPr="00196B50">
        <w:rPr>
          <w:rFonts w:ascii="Book Antiqua" w:hAnsi="Book Antiqua"/>
        </w:rPr>
        <w:t>PG&amp;E argues that the method to allocate cost</w:t>
      </w:r>
      <w:r w:rsidR="00203F08" w:rsidRPr="00196B50">
        <w:rPr>
          <w:rFonts w:ascii="Book Antiqua" w:hAnsi="Book Antiqua"/>
        </w:rPr>
        <w:t>s</w:t>
      </w:r>
      <w:r w:rsidRPr="00196B50">
        <w:rPr>
          <w:rFonts w:ascii="Book Antiqua" w:hAnsi="Book Antiqua"/>
        </w:rPr>
        <w:t xml:space="preserve"> to customer classes depends on the assumptions and data inputs used in the model.  There are generally two types of models: (a) models that develop marginal costs; and (b) models that take </w:t>
      </w:r>
      <w:r w:rsidRPr="00196B50">
        <w:rPr>
          <w:rFonts w:ascii="Book Antiqua" w:hAnsi="Book Antiqua"/>
        </w:rPr>
        <w:lastRenderedPageBreak/>
        <w:t>an embedded cost approach.  PG&amp;E contends that, to be useful, both types of models must be supported by relevant input data that is not stale.  PG&amp;E concedes that either of the models</w:t>
      </w:r>
      <w:r w:rsidR="00F4214F" w:rsidRPr="00196B50">
        <w:rPr>
          <w:rFonts w:ascii="Book Antiqua" w:hAnsi="Book Antiqua"/>
        </w:rPr>
        <w:t xml:space="preserve"> types</w:t>
      </w:r>
      <w:r w:rsidRPr="00196B50">
        <w:rPr>
          <w:rFonts w:ascii="Book Antiqua" w:hAnsi="Book Antiqua"/>
        </w:rPr>
        <w:t xml:space="preserve"> is acceptable for purposes of gas distribution cost allocation.  </w:t>
      </w:r>
    </w:p>
    <w:p w14:paraId="7F188A9A" w14:textId="4F9491EC" w:rsidR="001164FC" w:rsidRPr="00196B50" w:rsidRDefault="001164FC" w:rsidP="00601A93">
      <w:pPr>
        <w:pStyle w:val="standard"/>
        <w:rPr>
          <w:rFonts w:ascii="Book Antiqua" w:hAnsi="Book Antiqua"/>
        </w:rPr>
      </w:pPr>
      <w:r w:rsidRPr="00196B50">
        <w:rPr>
          <w:rFonts w:ascii="Book Antiqua" w:hAnsi="Book Antiqua"/>
        </w:rPr>
        <w:t xml:space="preserve">PG&amp;E argues that Cal Advocates' proposal to use the DTIM marginal cost modeling relies on an unreasonably high DTIM value and data inputs that are not appropriate.  PG&amp;E claims that Cal Advocates' 2009 regression “check” analysis relies on stale data that predates the sustained throughput reductions seen since </w:t>
      </w:r>
      <w:r w:rsidR="00690CB1" w:rsidRPr="00196B50">
        <w:rPr>
          <w:rFonts w:ascii="Book Antiqua" w:hAnsi="Book Antiqua"/>
        </w:rPr>
        <w:t>2014</w:t>
      </w:r>
      <w:r w:rsidRPr="00196B50">
        <w:rPr>
          <w:rFonts w:ascii="Book Antiqua" w:hAnsi="Book Antiqua"/>
        </w:rPr>
        <w:t xml:space="preserve"> and that Cal Advocates' </w:t>
      </w:r>
      <w:r w:rsidR="00690CB1" w:rsidRPr="00196B50">
        <w:rPr>
          <w:rFonts w:ascii="Book Antiqua" w:hAnsi="Book Antiqua"/>
        </w:rPr>
        <w:t>argument</w:t>
      </w:r>
      <w:r w:rsidR="00203F08" w:rsidRPr="00196B50">
        <w:rPr>
          <w:rFonts w:ascii="Book Antiqua" w:hAnsi="Book Antiqua"/>
        </w:rPr>
        <w:t xml:space="preserve"> </w:t>
      </w:r>
      <w:r w:rsidRPr="00196B50">
        <w:rPr>
          <w:rFonts w:ascii="Book Antiqua" w:hAnsi="Book Antiqua"/>
        </w:rPr>
        <w:t>that safety and capacity replacement costs for existing capacity belong in marginal cost analysis, is incorrect.</w:t>
      </w:r>
    </w:p>
    <w:p w14:paraId="6B8A2835" w14:textId="77777777" w:rsidR="001164FC" w:rsidRPr="00196B50" w:rsidRDefault="001164FC" w:rsidP="00601A93">
      <w:pPr>
        <w:pStyle w:val="standard"/>
        <w:rPr>
          <w:rFonts w:ascii="Book Antiqua" w:hAnsi="Book Antiqua"/>
        </w:rPr>
      </w:pPr>
      <w:r w:rsidRPr="00196B50">
        <w:rPr>
          <w:rFonts w:ascii="Book Antiqua" w:hAnsi="Book Antiqua"/>
        </w:rPr>
        <w:t>Likewise, PG&amp;E criticizes TURN’s proposal, arguing that TURN’s analysis is deficient because TURN “based its written testimony on [Cal Advocates'] marginal cost study solely on methodology, without information about the numbers or results</w:t>
      </w:r>
      <w:r w:rsidR="0099612F" w:rsidRPr="00196B50">
        <w:rPr>
          <w:rFonts w:ascii="Book Antiqua" w:hAnsi="Book Antiqua"/>
        </w:rPr>
        <w:t>.</w:t>
      </w:r>
      <w:r w:rsidRPr="00196B50">
        <w:rPr>
          <w:rFonts w:ascii="Book Antiqua" w:hAnsi="Book Antiqua"/>
        </w:rPr>
        <w:t>”</w:t>
      </w:r>
      <w:r w:rsidRPr="00431F1E">
        <w:rPr>
          <w:rStyle w:val="FootnoteReference"/>
          <w:rFonts w:ascii="Book Antiqua" w:hAnsi="Book Antiqua"/>
          <w:szCs w:val="26"/>
        </w:rPr>
        <w:footnoteReference w:id="51"/>
      </w:r>
      <w:r w:rsidRPr="00196B50">
        <w:rPr>
          <w:rFonts w:ascii="Book Antiqua" w:hAnsi="Book Antiqua"/>
        </w:rPr>
        <w:t xml:space="preserve"> PG&amp;E further disagrees with TURN’s proposal regarding:  the adjustments it made related to PG&amp;E’s embedded costs for FERC accounts; TURN’s other adjustments to the embedded cost proposal, and </w:t>
      </w:r>
      <w:bookmarkStart w:id="51" w:name="_Toc522703415"/>
      <w:r w:rsidRPr="00196B50">
        <w:rPr>
          <w:rFonts w:ascii="Book Antiqua" w:hAnsi="Book Antiqua"/>
        </w:rPr>
        <w:t>TURN’s proposed adjustments to PG&amp;E illustrative marginal costs</w:t>
      </w:r>
      <w:bookmarkEnd w:id="51"/>
      <w:r w:rsidRPr="00196B50">
        <w:rPr>
          <w:rFonts w:ascii="Book Antiqua" w:hAnsi="Book Antiqua"/>
        </w:rPr>
        <w:t>.</w:t>
      </w:r>
    </w:p>
    <w:p w14:paraId="2E35799C" w14:textId="77777777" w:rsidR="001164FC" w:rsidRPr="00196B50" w:rsidRDefault="001164FC" w:rsidP="00601A93">
      <w:pPr>
        <w:pStyle w:val="standard"/>
        <w:rPr>
          <w:rFonts w:ascii="Book Antiqua" w:hAnsi="Book Antiqua"/>
        </w:rPr>
      </w:pPr>
      <w:r w:rsidRPr="00196B50">
        <w:rPr>
          <w:rFonts w:ascii="Book Antiqua" w:hAnsi="Book Antiqua"/>
        </w:rPr>
        <w:t>PG&amp;E concludes that Cal Advocates’ and TURN’s marginal cost proposals shift costs to the distribution line function and produce unbalanced result; as such, neither Cal Advocates’ nor TURN’s marginal cost recommendations are reasonable.  PG&amp;E urges the Commission to reject Cal Advocates’ and TURN’s cost allocation proposals and for the Commission to adopt PG&amp;E’s embedded cost allocation proposal in this GCAP.</w:t>
      </w:r>
    </w:p>
    <w:p w14:paraId="54870EFE" w14:textId="6EF1C23E" w:rsidR="001164FC" w:rsidRPr="00196B50" w:rsidRDefault="001164FC" w:rsidP="00601A93">
      <w:pPr>
        <w:pStyle w:val="standard"/>
        <w:rPr>
          <w:rFonts w:ascii="Book Antiqua" w:hAnsi="Book Antiqua"/>
        </w:rPr>
      </w:pPr>
      <w:r w:rsidRPr="00196B50">
        <w:rPr>
          <w:rFonts w:ascii="Book Antiqua" w:hAnsi="Book Antiqua"/>
        </w:rPr>
        <w:lastRenderedPageBreak/>
        <w:t>The expert witnesses that testified on behalf of TURN and SBUA in this proceeding acknowledged that the marginal cost and embedded cost models are both appropriate.</w:t>
      </w:r>
      <w:r w:rsidRPr="00431F1E">
        <w:rPr>
          <w:rStyle w:val="FootnoteReference"/>
          <w:rFonts w:ascii="Book Antiqua" w:hAnsi="Book Antiqua"/>
          <w:szCs w:val="26"/>
        </w:rPr>
        <w:footnoteReference w:id="52"/>
      </w:r>
      <w:r w:rsidR="0099612F" w:rsidRPr="00196B50">
        <w:rPr>
          <w:rFonts w:ascii="Book Antiqua" w:hAnsi="Book Antiqua"/>
        </w:rPr>
        <w:t xml:space="preserve"> </w:t>
      </w:r>
      <w:r w:rsidRPr="00196B50">
        <w:rPr>
          <w:rFonts w:ascii="Book Antiqua" w:hAnsi="Book Antiqua"/>
        </w:rPr>
        <w:t>PG&amp;E also indicated that “for purposes of gas distribution cost allocation, both types of models, purely on the question of model type, are acceptable</w:t>
      </w:r>
      <w:r w:rsidR="0099612F" w:rsidRPr="00196B50">
        <w:rPr>
          <w:rFonts w:ascii="Book Antiqua" w:hAnsi="Book Antiqua"/>
        </w:rPr>
        <w:t>.</w:t>
      </w:r>
      <w:r w:rsidRPr="00196B50">
        <w:rPr>
          <w:rFonts w:ascii="Book Antiqua" w:hAnsi="Book Antiqua"/>
        </w:rPr>
        <w:t>”</w:t>
      </w:r>
      <w:r w:rsidRPr="00431F1E">
        <w:rPr>
          <w:rStyle w:val="FootnoteReference"/>
          <w:rFonts w:ascii="Book Antiqua" w:hAnsi="Book Antiqua"/>
          <w:szCs w:val="26"/>
        </w:rPr>
        <w:footnoteReference w:id="53"/>
      </w:r>
      <w:r w:rsidRPr="00196B50">
        <w:rPr>
          <w:rFonts w:ascii="Book Antiqua" w:hAnsi="Book Antiqua"/>
        </w:rPr>
        <w:t xml:space="preserve"> We agree with the parties and therefore </w:t>
      </w:r>
      <w:r w:rsidR="00E5207C" w:rsidRPr="00196B50">
        <w:rPr>
          <w:rFonts w:ascii="Book Antiqua" w:hAnsi="Book Antiqua"/>
        </w:rPr>
        <w:t xml:space="preserve">concludes that </w:t>
      </w:r>
      <w:r w:rsidRPr="00196B50">
        <w:rPr>
          <w:rFonts w:ascii="Book Antiqua" w:hAnsi="Book Antiqua"/>
        </w:rPr>
        <w:t xml:space="preserve">the record in this proceeding established that both the marginal cost and embedded cost methodologies </w:t>
      </w:r>
      <w:r w:rsidR="0039597D" w:rsidRPr="00196B50">
        <w:rPr>
          <w:rFonts w:ascii="Book Antiqua" w:hAnsi="Book Antiqua"/>
        </w:rPr>
        <w:t>are</w:t>
      </w:r>
      <w:r w:rsidRPr="00196B50">
        <w:rPr>
          <w:rFonts w:ascii="Book Antiqua" w:hAnsi="Book Antiqua"/>
        </w:rPr>
        <w:t xml:space="preserve"> acceptable for purposes of cost allocation.  Determining which methodology is “better” </w:t>
      </w:r>
      <w:r w:rsidR="00B30544" w:rsidRPr="00196B50">
        <w:rPr>
          <w:rFonts w:ascii="Book Antiqua" w:hAnsi="Book Antiqua"/>
        </w:rPr>
        <w:t>depends</w:t>
      </w:r>
      <w:r w:rsidR="00203F08" w:rsidRPr="00196B50">
        <w:rPr>
          <w:rFonts w:ascii="Book Antiqua" w:hAnsi="Book Antiqua"/>
        </w:rPr>
        <w:t xml:space="preserve"> </w:t>
      </w:r>
      <w:r w:rsidRPr="00196B50">
        <w:rPr>
          <w:rFonts w:ascii="Book Antiqua" w:hAnsi="Book Antiqua"/>
        </w:rPr>
        <w:t>on the circumstances involved in each case.</w:t>
      </w:r>
      <w:r w:rsidRPr="007E4247">
        <w:rPr>
          <w:rStyle w:val="FootnoteReference"/>
          <w:rFonts w:ascii="Book Antiqua" w:hAnsi="Book Antiqua"/>
          <w:szCs w:val="26"/>
        </w:rPr>
        <w:footnoteReference w:id="54"/>
      </w:r>
    </w:p>
    <w:p w14:paraId="5C56FE63" w14:textId="77777777" w:rsidR="001164FC" w:rsidRPr="00196B50" w:rsidRDefault="001164FC" w:rsidP="00601A93">
      <w:pPr>
        <w:pStyle w:val="standard"/>
        <w:rPr>
          <w:rFonts w:ascii="Book Antiqua" w:hAnsi="Book Antiqua"/>
        </w:rPr>
      </w:pPr>
      <w:r w:rsidRPr="00196B50">
        <w:rPr>
          <w:rFonts w:ascii="Book Antiqua" w:hAnsi="Book Antiqua"/>
        </w:rPr>
        <w:t>We have considered the circumstances involved in this GCAP proceeding and have evaluated the testimony submitted by the parties.  We note the concerns raised by TURN’s expert that PG&amp;E’s embedded cost methodology proposal in this proceeding “lacks extensive documentation which (is) typically found in embedded cost models adopted in other states.”</w:t>
      </w:r>
      <w:r w:rsidRPr="00221128">
        <w:rPr>
          <w:rStyle w:val="FootnoteReference"/>
          <w:rFonts w:ascii="Book Antiqua" w:hAnsi="Book Antiqua"/>
          <w:szCs w:val="26"/>
        </w:rPr>
        <w:footnoteReference w:id="55"/>
      </w:r>
      <w:r w:rsidRPr="00196B50">
        <w:rPr>
          <w:rFonts w:ascii="Book Antiqua" w:hAnsi="Book Antiqua"/>
        </w:rPr>
        <w:t xml:space="preserve"> We agree with TURN’s assessment of the record herein.  The record in this proceeding has insufficient support for us to adopt PG&amp;E’s embedded cost allocation proposal.   </w:t>
      </w:r>
      <w:r w:rsidRPr="00196B50">
        <w:rPr>
          <w:rFonts w:ascii="Book Antiqua" w:hAnsi="Book Antiqua"/>
        </w:rPr>
        <w:lastRenderedPageBreak/>
        <w:t xml:space="preserve">Accordingly, PG&amp;E’s embedded cost proposal is rejected, as further discussed below. </w:t>
      </w:r>
    </w:p>
    <w:p w14:paraId="106A0D2F" w14:textId="12F10D39" w:rsidR="001A23AD" w:rsidRPr="00196B50" w:rsidRDefault="00763D90" w:rsidP="00601A93">
      <w:pPr>
        <w:pStyle w:val="standard"/>
        <w:rPr>
          <w:rFonts w:ascii="Book Antiqua" w:hAnsi="Book Antiqua"/>
        </w:rPr>
      </w:pPr>
      <w:r w:rsidRPr="00196B50">
        <w:rPr>
          <w:rFonts w:ascii="Book Antiqua" w:hAnsi="Book Antiqua"/>
          <w:szCs w:val="26"/>
        </w:rPr>
        <w:t>As pointed out by TURN</w:t>
      </w:r>
      <w:r w:rsidR="00BB0335" w:rsidRPr="00196B50">
        <w:rPr>
          <w:rFonts w:ascii="Book Antiqua" w:hAnsi="Book Antiqua"/>
          <w:szCs w:val="26"/>
        </w:rPr>
        <w:t>,</w:t>
      </w:r>
      <w:r w:rsidR="0099612F" w:rsidRPr="00196B50">
        <w:rPr>
          <w:rFonts w:ascii="Book Antiqua" w:hAnsi="Book Antiqua"/>
          <w:szCs w:val="26"/>
        </w:rPr>
        <w:t xml:space="preserve"> </w:t>
      </w:r>
      <w:r w:rsidR="00D322AD" w:rsidRPr="00196B50">
        <w:rPr>
          <w:rFonts w:ascii="Book Antiqua" w:hAnsi="Book Antiqua"/>
        </w:rPr>
        <w:t>some customers are conserving du</w:t>
      </w:r>
      <w:r w:rsidR="00557D0D" w:rsidRPr="00196B50">
        <w:rPr>
          <w:rFonts w:ascii="Book Antiqua" w:hAnsi="Book Antiqua"/>
        </w:rPr>
        <w:t xml:space="preserve">e to necessity and affordability, </w:t>
      </w:r>
      <w:r w:rsidR="00BB0335" w:rsidRPr="00196B50">
        <w:rPr>
          <w:rFonts w:ascii="Book Antiqua" w:hAnsi="Book Antiqua"/>
        </w:rPr>
        <w:t xml:space="preserve">and </w:t>
      </w:r>
      <w:r w:rsidR="00557D0D" w:rsidRPr="00196B50">
        <w:rPr>
          <w:rFonts w:ascii="Book Antiqua" w:hAnsi="Book Antiqua"/>
          <w:szCs w:val="26"/>
        </w:rPr>
        <w:t xml:space="preserve">if PG&amp;E’s minimum bill proposals are adopted, </w:t>
      </w:r>
      <w:r w:rsidR="00557D0D" w:rsidRPr="00196B50">
        <w:rPr>
          <w:rFonts w:ascii="Book Antiqua" w:hAnsi="Book Antiqua"/>
        </w:rPr>
        <w:t>th</w:t>
      </w:r>
      <w:r w:rsidR="00BB0335" w:rsidRPr="00196B50">
        <w:rPr>
          <w:rFonts w:ascii="Book Antiqua" w:hAnsi="Book Antiqua"/>
        </w:rPr>
        <w:t>ose</w:t>
      </w:r>
      <w:r w:rsidR="00203F08" w:rsidRPr="00196B50">
        <w:rPr>
          <w:rFonts w:ascii="Book Antiqua" w:hAnsi="Book Antiqua"/>
        </w:rPr>
        <w:t xml:space="preserve"> </w:t>
      </w:r>
      <w:r w:rsidR="00D322AD" w:rsidRPr="00196B50">
        <w:rPr>
          <w:rFonts w:ascii="Book Antiqua" w:hAnsi="Book Antiqua"/>
        </w:rPr>
        <w:t xml:space="preserve">customers </w:t>
      </w:r>
      <w:r w:rsidR="00557D0D" w:rsidRPr="00196B50">
        <w:rPr>
          <w:rFonts w:ascii="Book Antiqua" w:hAnsi="Book Antiqua"/>
        </w:rPr>
        <w:t xml:space="preserve">who </w:t>
      </w:r>
      <w:r w:rsidR="00D322AD" w:rsidRPr="00196B50">
        <w:rPr>
          <w:rFonts w:ascii="Book Antiqua" w:hAnsi="Book Antiqua"/>
        </w:rPr>
        <w:t>were conserving due to affordability</w:t>
      </w:r>
      <w:r w:rsidR="001A23AD" w:rsidRPr="00196B50">
        <w:rPr>
          <w:rFonts w:ascii="Book Antiqua" w:hAnsi="Book Antiqua"/>
        </w:rPr>
        <w:t xml:space="preserve"> - who, for example, are </w:t>
      </w:r>
      <w:r w:rsidR="00D322AD" w:rsidRPr="00196B50">
        <w:rPr>
          <w:rFonts w:ascii="Book Antiqua" w:hAnsi="Book Antiqua"/>
        </w:rPr>
        <w:t>using only 50% of average</w:t>
      </w:r>
      <w:r w:rsidR="001A23AD" w:rsidRPr="00196B50">
        <w:rPr>
          <w:rFonts w:ascii="Book Antiqua" w:hAnsi="Book Antiqua"/>
        </w:rPr>
        <w:t>,</w:t>
      </w:r>
      <w:r w:rsidR="00203F08" w:rsidRPr="00196B50">
        <w:rPr>
          <w:rFonts w:ascii="Book Antiqua" w:hAnsi="Book Antiqua"/>
        </w:rPr>
        <w:t xml:space="preserve"> </w:t>
      </w:r>
      <w:r w:rsidR="00557D0D" w:rsidRPr="00196B50">
        <w:rPr>
          <w:rFonts w:ascii="Book Antiqua" w:hAnsi="Book Antiqua"/>
        </w:rPr>
        <w:t>will</w:t>
      </w:r>
      <w:r w:rsidR="00D322AD" w:rsidRPr="00196B50">
        <w:rPr>
          <w:rFonts w:ascii="Book Antiqua" w:hAnsi="Book Antiqua"/>
        </w:rPr>
        <w:t xml:space="preserve"> experience a 17.3% increa</w:t>
      </w:r>
      <w:r w:rsidR="00557D0D" w:rsidRPr="00196B50">
        <w:rPr>
          <w:rFonts w:ascii="Book Antiqua" w:hAnsi="Book Antiqua"/>
        </w:rPr>
        <w:t>se in monthly bills</w:t>
      </w:r>
      <w:r w:rsidR="001A23AD" w:rsidRPr="00196B50">
        <w:rPr>
          <w:rFonts w:ascii="Book Antiqua" w:hAnsi="Book Antiqua"/>
        </w:rPr>
        <w:t xml:space="preserve">, “an </w:t>
      </w:r>
      <w:r w:rsidR="00D322AD" w:rsidRPr="00196B50">
        <w:rPr>
          <w:rFonts w:ascii="Book Antiqua" w:hAnsi="Book Antiqua"/>
        </w:rPr>
        <w:t>extremely large increase for residential customers, especially those who are at risk of disconnection</w:t>
      </w:r>
      <w:r w:rsidR="0099612F" w:rsidRPr="00196B50">
        <w:rPr>
          <w:rFonts w:ascii="Book Antiqua" w:hAnsi="Book Antiqua"/>
        </w:rPr>
        <w:t>.</w:t>
      </w:r>
      <w:r w:rsidR="001A23AD" w:rsidRPr="00196B50">
        <w:rPr>
          <w:rFonts w:ascii="Book Antiqua" w:hAnsi="Book Antiqua"/>
        </w:rPr>
        <w:t>”</w:t>
      </w:r>
      <w:r w:rsidR="0099612F" w:rsidRPr="00196B50">
        <w:rPr>
          <w:rStyle w:val="FootnoteReference"/>
          <w:rFonts w:ascii="Book Antiqua" w:hAnsi="Book Antiqua"/>
        </w:rPr>
        <w:footnoteReference w:id="56"/>
      </w:r>
      <w:r w:rsidR="00BB0335" w:rsidRPr="00196B50">
        <w:rPr>
          <w:rFonts w:ascii="Book Antiqua" w:hAnsi="Book Antiqua"/>
        </w:rPr>
        <w:t xml:space="preserve"> </w:t>
      </w:r>
      <w:r w:rsidR="00BB0335" w:rsidRPr="00196B50">
        <w:rPr>
          <w:rFonts w:ascii="Book Antiqua" w:hAnsi="Book Antiqua"/>
          <w:szCs w:val="26"/>
        </w:rPr>
        <w:t xml:space="preserve">  </w:t>
      </w:r>
      <w:r w:rsidR="00D51721" w:rsidRPr="00196B50">
        <w:rPr>
          <w:rFonts w:ascii="Book Antiqua" w:hAnsi="Book Antiqua"/>
          <w:szCs w:val="26"/>
        </w:rPr>
        <w:t xml:space="preserve"> In addition, TURN contends, and the </w:t>
      </w:r>
      <w:r w:rsidR="00D51721" w:rsidRPr="00196B50">
        <w:rPr>
          <w:rFonts w:ascii="Book Antiqua" w:hAnsi="Book Antiqua"/>
        </w:rPr>
        <w:t>Commission finds, that PG&amp;E’s proposal for a $15 minimum bill</w:t>
      </w:r>
      <w:r w:rsidR="00203F08" w:rsidRPr="00196B50">
        <w:rPr>
          <w:rFonts w:ascii="Book Antiqua" w:hAnsi="Book Antiqua"/>
        </w:rPr>
        <w:t xml:space="preserve"> </w:t>
      </w:r>
      <w:r w:rsidR="00D51721" w:rsidRPr="00196B50">
        <w:rPr>
          <w:rFonts w:ascii="Book Antiqua" w:hAnsi="Book Antiqua"/>
        </w:rPr>
        <w:t xml:space="preserve">raises costs </w:t>
      </w:r>
      <w:r w:rsidR="00203F08" w:rsidRPr="00196B50">
        <w:rPr>
          <w:rFonts w:ascii="Book Antiqua" w:hAnsi="Book Antiqua"/>
        </w:rPr>
        <w:t>for approximately</w:t>
      </w:r>
      <w:r w:rsidR="00D51721" w:rsidRPr="00196B50">
        <w:rPr>
          <w:rFonts w:ascii="Book Antiqua" w:hAnsi="Book Antiqua"/>
        </w:rPr>
        <w:t xml:space="preserve"> 73% of non-CARE residential customers and therefore creates concerns of affordability. </w:t>
      </w:r>
    </w:p>
    <w:p w14:paraId="4F888928" w14:textId="77777777" w:rsidR="00D322AD" w:rsidRPr="00196B50" w:rsidRDefault="001A23AD" w:rsidP="00601A93">
      <w:pPr>
        <w:pStyle w:val="standard"/>
        <w:rPr>
          <w:rFonts w:ascii="Book Antiqua" w:hAnsi="Book Antiqua"/>
        </w:rPr>
      </w:pPr>
      <w:r w:rsidRPr="00196B50">
        <w:rPr>
          <w:rFonts w:ascii="Book Antiqua" w:hAnsi="Book Antiqua"/>
        </w:rPr>
        <w:t>Accordingly, w</w:t>
      </w:r>
      <w:r w:rsidR="00BB0335" w:rsidRPr="00196B50">
        <w:rPr>
          <w:rFonts w:ascii="Book Antiqua" w:hAnsi="Book Antiqua"/>
        </w:rPr>
        <w:t>e reject the embedded cost methodology proposed by PG&amp;E in this proceeding, “given the drastic rate impacts on the residential customers during a time when affordability is increasingly a concern, and given that PG&amp;E’s embedded cost methodology still needs further refinement and lacks sufficient documentation</w:t>
      </w:r>
      <w:r w:rsidR="00D51721" w:rsidRPr="00196B50">
        <w:rPr>
          <w:rFonts w:ascii="Book Antiqua" w:hAnsi="Book Antiqua"/>
        </w:rPr>
        <w:t>.</w:t>
      </w:r>
      <w:r w:rsidR="00BB0335" w:rsidRPr="00196B50">
        <w:rPr>
          <w:rFonts w:ascii="Book Antiqua" w:hAnsi="Book Antiqua"/>
        </w:rPr>
        <w:t>”</w:t>
      </w:r>
      <w:r w:rsidR="00BB0335" w:rsidRPr="00221128">
        <w:rPr>
          <w:rStyle w:val="FootnoteReference"/>
          <w:rFonts w:ascii="Book Antiqua" w:hAnsi="Book Antiqua"/>
          <w:szCs w:val="26"/>
        </w:rPr>
        <w:footnoteReference w:id="57"/>
      </w:r>
    </w:p>
    <w:p w14:paraId="4402AF81" w14:textId="77777777" w:rsidR="00BB0335" w:rsidRPr="00196B50" w:rsidRDefault="00BB0335" w:rsidP="00601A93">
      <w:pPr>
        <w:pStyle w:val="standard"/>
        <w:rPr>
          <w:rFonts w:ascii="Book Antiqua" w:hAnsi="Book Antiqua"/>
        </w:rPr>
      </w:pPr>
      <w:r w:rsidRPr="00196B50">
        <w:rPr>
          <w:rFonts w:ascii="Book Antiqua" w:hAnsi="Book Antiqua"/>
        </w:rPr>
        <w:t xml:space="preserve">Based on the procedural record, we agree with Cal Advocates’ and TURN’s position indicating that the Commission should continue to use the marginal cost allocation methodology that was initially adopted in D.92-12-058.  We find that the marginal cost allocation methodology should continue to be utilized to allocate revenue requirements to customer classes in this GCAP. </w:t>
      </w:r>
    </w:p>
    <w:p w14:paraId="3613B7E3" w14:textId="77777777" w:rsidR="001164FC" w:rsidRPr="00196B50" w:rsidRDefault="001164FC" w:rsidP="00601A93">
      <w:pPr>
        <w:pStyle w:val="standard"/>
        <w:rPr>
          <w:rFonts w:ascii="Book Antiqua" w:hAnsi="Book Antiqua"/>
        </w:rPr>
      </w:pPr>
      <w:r w:rsidRPr="00196B50">
        <w:rPr>
          <w:rFonts w:ascii="Book Antiqua" w:hAnsi="Book Antiqua"/>
        </w:rPr>
        <w:t xml:space="preserve">We accept Cal Advocates’ recommendation that the Commission adopt its marginal cost study based on the </w:t>
      </w:r>
      <w:r w:rsidR="00647514" w:rsidRPr="00196B50">
        <w:rPr>
          <w:rFonts w:ascii="Book Antiqua" w:hAnsi="Book Antiqua"/>
        </w:rPr>
        <w:t>NCO</w:t>
      </w:r>
      <w:r w:rsidRPr="00196B50">
        <w:rPr>
          <w:rFonts w:ascii="Book Antiqua" w:hAnsi="Book Antiqua"/>
        </w:rPr>
        <w:t xml:space="preserve"> method, updated for the new tax law and the cost of capital, while removing smart-meter opt-out costs.  We adopt the </w:t>
      </w:r>
      <w:r w:rsidRPr="00196B50">
        <w:rPr>
          <w:rFonts w:ascii="Book Antiqua" w:hAnsi="Book Antiqua"/>
        </w:rPr>
        <w:lastRenderedPageBreak/>
        <w:t xml:space="preserve">analysis and recommendations set forth in Cal Advocates’ Opening Brief, as further discussed below.  </w:t>
      </w:r>
    </w:p>
    <w:p w14:paraId="2D825901" w14:textId="77777777" w:rsidR="001164FC" w:rsidRPr="00196B50" w:rsidRDefault="001164FC" w:rsidP="00601A93">
      <w:pPr>
        <w:pStyle w:val="standard"/>
        <w:rPr>
          <w:rFonts w:ascii="Book Antiqua" w:hAnsi="Book Antiqua"/>
        </w:rPr>
      </w:pPr>
      <w:r w:rsidRPr="00196B50">
        <w:rPr>
          <w:rFonts w:ascii="Book Antiqua" w:hAnsi="Book Antiqua"/>
        </w:rPr>
        <w:t>We rely on Cal Advocates’ final numbers from its DTIM-based marginal cost study and/or recommendations, reproduced in Tables 3 and 4 in its Opening Brief (from Exhibit ORA-5A</w:t>
      </w:r>
      <w:r w:rsidR="0081788E" w:rsidRPr="00196B50">
        <w:rPr>
          <w:rFonts w:ascii="Book Antiqua" w:hAnsi="Book Antiqua"/>
        </w:rPr>
        <w:t xml:space="preserve"> at</w:t>
      </w:r>
      <w:r w:rsidRPr="00196B50">
        <w:rPr>
          <w:rFonts w:ascii="Book Antiqua" w:hAnsi="Book Antiqua"/>
        </w:rPr>
        <w:t xml:space="preserve"> 8, Table 5-1a; and Exhibit ORA-5A</w:t>
      </w:r>
      <w:r w:rsidR="0081788E" w:rsidRPr="00196B50">
        <w:rPr>
          <w:rFonts w:ascii="Book Antiqua" w:hAnsi="Book Antiqua"/>
        </w:rPr>
        <w:t xml:space="preserve"> at</w:t>
      </w:r>
      <w:r w:rsidRPr="00196B50">
        <w:rPr>
          <w:rFonts w:ascii="Book Antiqua" w:hAnsi="Book Antiqua"/>
        </w:rPr>
        <w:t xml:space="preserve"> 9, Table 5-1b, respectively).</w:t>
      </w:r>
      <w:r w:rsidRPr="000D0357">
        <w:rPr>
          <w:rStyle w:val="FootnoteReference"/>
          <w:rFonts w:ascii="Book Antiqua" w:eastAsiaTheme="minorHAnsi" w:hAnsi="Book Antiqua"/>
          <w:sz w:val="24"/>
          <w:szCs w:val="24"/>
        </w:rPr>
        <w:footnoteReference w:id="58"/>
      </w:r>
      <w:r w:rsidRPr="00196B50">
        <w:rPr>
          <w:rFonts w:ascii="Book Antiqua" w:hAnsi="Book Antiqua"/>
        </w:rPr>
        <w:t xml:space="preserve">  These tables are represented herein as Table 1 and Table 2, below.</w:t>
      </w:r>
    </w:p>
    <w:p w14:paraId="7C9D5786" w14:textId="77777777" w:rsidR="00F63979" w:rsidRDefault="00F63979">
      <w:r>
        <w:br w:type="page"/>
      </w:r>
    </w:p>
    <w:tbl>
      <w:tblPr>
        <w:tblpPr w:leftFromText="180" w:rightFromText="180" w:vertAnchor="text" w:horzAnchor="margin" w:tblpXSpec="center" w:tblpY="187"/>
        <w:tblW w:w="9000" w:type="dxa"/>
        <w:tblLayout w:type="fixed"/>
        <w:tblLook w:val="04A0" w:firstRow="1" w:lastRow="0" w:firstColumn="1" w:lastColumn="0" w:noHBand="0" w:noVBand="1"/>
      </w:tblPr>
      <w:tblGrid>
        <w:gridCol w:w="743"/>
        <w:gridCol w:w="3235"/>
        <w:gridCol w:w="1692"/>
        <w:gridCol w:w="1350"/>
        <w:gridCol w:w="1980"/>
      </w:tblGrid>
      <w:tr w:rsidR="001164FC" w:rsidRPr="00F63979" w14:paraId="2A9C7073" w14:textId="77777777" w:rsidTr="00031C40">
        <w:trPr>
          <w:trHeight w:val="1023"/>
        </w:trPr>
        <w:tc>
          <w:tcPr>
            <w:tcW w:w="9000" w:type="dxa"/>
            <w:gridSpan w:val="5"/>
            <w:tcBorders>
              <w:bottom w:val="single" w:sz="4" w:space="0" w:color="auto"/>
            </w:tcBorders>
          </w:tcPr>
          <w:p w14:paraId="3B33998E" w14:textId="77777777" w:rsidR="001164FC" w:rsidRPr="00F63979" w:rsidRDefault="001164FC" w:rsidP="00031C40">
            <w:pPr>
              <w:jc w:val="center"/>
              <w:rPr>
                <w:b/>
                <w:sz w:val="24"/>
                <w:szCs w:val="24"/>
              </w:rPr>
            </w:pPr>
            <w:r w:rsidRPr="00F63979">
              <w:rPr>
                <w:b/>
                <w:sz w:val="24"/>
                <w:szCs w:val="24"/>
              </w:rPr>
              <w:lastRenderedPageBreak/>
              <w:t>Table 1</w:t>
            </w:r>
            <w:r w:rsidRPr="00431F1E">
              <w:rPr>
                <w:rStyle w:val="FootnoteReference"/>
                <w:sz w:val="24"/>
                <w:szCs w:val="24"/>
              </w:rPr>
              <w:footnoteReference w:id="59"/>
            </w:r>
          </w:p>
          <w:p w14:paraId="4596A963" w14:textId="77777777" w:rsidR="001164FC" w:rsidRPr="00D322AD" w:rsidRDefault="00EA1804" w:rsidP="00031C40">
            <w:pPr>
              <w:pStyle w:val="BodyText"/>
              <w:widowControl w:val="0"/>
              <w:numPr>
                <w:ilvl w:val="12"/>
                <w:numId w:val="0"/>
              </w:numPr>
              <w:spacing w:after="0"/>
              <w:jc w:val="center"/>
              <w:rPr>
                <w:rFonts w:ascii="Book Antiqua" w:hAnsi="Book Antiqua"/>
                <w:b/>
                <w:sz w:val="24"/>
                <w:szCs w:val="24"/>
              </w:rPr>
            </w:pPr>
            <w:r w:rsidRPr="00F63979">
              <w:rPr>
                <w:rFonts w:ascii="Book Antiqua" w:hAnsi="Book Antiqua"/>
                <w:b/>
                <w:sz w:val="24"/>
                <w:szCs w:val="24"/>
              </w:rPr>
              <w:t xml:space="preserve">Cal Advocates </w:t>
            </w:r>
            <w:r>
              <w:rPr>
                <w:rFonts w:ascii="Book Antiqua" w:hAnsi="Book Antiqua"/>
                <w:b/>
                <w:sz w:val="24"/>
                <w:szCs w:val="24"/>
              </w:rPr>
              <w:t xml:space="preserve">Table - </w:t>
            </w:r>
            <w:r w:rsidR="001164FC" w:rsidRPr="00D322AD">
              <w:rPr>
                <w:rFonts w:ascii="Book Antiqua" w:hAnsi="Book Antiqua"/>
                <w:b/>
                <w:sz w:val="24"/>
                <w:szCs w:val="24"/>
              </w:rPr>
              <w:t>Updated for Errata</w:t>
            </w:r>
          </w:p>
          <w:p w14:paraId="3FED1BC6" w14:textId="77777777" w:rsidR="001164FC" w:rsidRPr="00BB0335" w:rsidRDefault="001164FC" w:rsidP="00031C40">
            <w:pPr>
              <w:pStyle w:val="BodyText"/>
              <w:widowControl w:val="0"/>
              <w:numPr>
                <w:ilvl w:val="12"/>
                <w:numId w:val="0"/>
              </w:numPr>
              <w:spacing w:after="0"/>
              <w:jc w:val="center"/>
              <w:rPr>
                <w:rFonts w:ascii="Book Antiqua" w:hAnsi="Book Antiqua"/>
                <w:b/>
                <w:sz w:val="24"/>
                <w:szCs w:val="24"/>
              </w:rPr>
            </w:pPr>
            <w:r w:rsidRPr="00BB0335">
              <w:rPr>
                <w:rFonts w:ascii="Book Antiqua" w:hAnsi="Book Antiqua"/>
                <w:b/>
                <w:sz w:val="24"/>
                <w:szCs w:val="24"/>
              </w:rPr>
              <w:t>Results of Cost Allocation: Gas Distribution Revenue Requirement</w:t>
            </w:r>
          </w:p>
          <w:p w14:paraId="064F487C" w14:textId="77777777" w:rsidR="001164FC" w:rsidRPr="00BB0335" w:rsidRDefault="001164FC" w:rsidP="00031C40">
            <w:pPr>
              <w:pStyle w:val="BodyText"/>
              <w:widowControl w:val="0"/>
              <w:numPr>
                <w:ilvl w:val="12"/>
                <w:numId w:val="0"/>
              </w:numPr>
              <w:spacing w:after="0"/>
              <w:jc w:val="center"/>
              <w:rPr>
                <w:rFonts w:ascii="Book Antiqua" w:hAnsi="Book Antiqua"/>
                <w:b/>
                <w:sz w:val="24"/>
                <w:szCs w:val="24"/>
              </w:rPr>
            </w:pPr>
            <w:r w:rsidRPr="00BB0335">
              <w:rPr>
                <w:rFonts w:ascii="Book Antiqua" w:hAnsi="Book Antiqua"/>
                <w:b/>
                <w:sz w:val="24"/>
                <w:szCs w:val="24"/>
              </w:rPr>
              <w:t>(in $ Thousands)</w:t>
            </w:r>
          </w:p>
        </w:tc>
      </w:tr>
      <w:tr w:rsidR="001164FC" w:rsidRPr="00F63979" w14:paraId="4936C46D" w14:textId="77777777" w:rsidTr="00031C40">
        <w:trPr>
          <w:trHeight w:val="1023"/>
        </w:trPr>
        <w:tc>
          <w:tcPr>
            <w:tcW w:w="743" w:type="dxa"/>
            <w:tcBorders>
              <w:top w:val="single" w:sz="4" w:space="0" w:color="auto"/>
              <w:left w:val="single" w:sz="4" w:space="0" w:color="auto"/>
              <w:bottom w:val="single" w:sz="4" w:space="0" w:color="auto"/>
              <w:right w:val="single" w:sz="4" w:space="0" w:color="auto"/>
            </w:tcBorders>
          </w:tcPr>
          <w:p w14:paraId="4E92B67B" w14:textId="77777777" w:rsidR="001164FC" w:rsidRPr="00F63979" w:rsidRDefault="001164FC" w:rsidP="00031C40">
            <w:pPr>
              <w:pStyle w:val="BodyText"/>
              <w:widowControl w:val="0"/>
              <w:numPr>
                <w:ilvl w:val="12"/>
                <w:numId w:val="0"/>
              </w:numPr>
              <w:spacing w:after="0"/>
              <w:jc w:val="center"/>
              <w:rPr>
                <w:rFonts w:ascii="Book Antiqua" w:hAnsi="Book Antiqua"/>
                <w:b/>
                <w:sz w:val="24"/>
                <w:szCs w:val="24"/>
              </w:rPr>
            </w:pPr>
          </w:p>
          <w:p w14:paraId="6D6F6A31" w14:textId="77777777" w:rsidR="001164FC" w:rsidRPr="00D322AD" w:rsidRDefault="001164FC" w:rsidP="00031C40">
            <w:pPr>
              <w:pStyle w:val="BodyText"/>
              <w:widowControl w:val="0"/>
              <w:numPr>
                <w:ilvl w:val="12"/>
                <w:numId w:val="0"/>
              </w:numPr>
              <w:spacing w:after="0"/>
              <w:jc w:val="center"/>
              <w:rPr>
                <w:rFonts w:ascii="Book Antiqua" w:hAnsi="Book Antiqua"/>
                <w:b/>
                <w:sz w:val="24"/>
                <w:szCs w:val="24"/>
              </w:rPr>
            </w:pPr>
            <w:r w:rsidRPr="00D322AD">
              <w:rPr>
                <w:rFonts w:ascii="Book Antiqua" w:hAnsi="Book Antiqua"/>
                <w:b/>
                <w:sz w:val="24"/>
                <w:szCs w:val="24"/>
              </w:rPr>
              <w:t>Ln No.</w:t>
            </w:r>
          </w:p>
        </w:tc>
        <w:tc>
          <w:tcPr>
            <w:tcW w:w="3235" w:type="dxa"/>
            <w:tcBorders>
              <w:top w:val="single" w:sz="4" w:space="0" w:color="auto"/>
              <w:left w:val="single" w:sz="4" w:space="0" w:color="auto"/>
              <w:bottom w:val="single" w:sz="4" w:space="0" w:color="auto"/>
              <w:right w:val="single" w:sz="4" w:space="0" w:color="auto"/>
            </w:tcBorders>
          </w:tcPr>
          <w:p w14:paraId="6649CE03" w14:textId="77777777" w:rsidR="001164FC" w:rsidRPr="00BB0335" w:rsidRDefault="001164FC" w:rsidP="00031C40">
            <w:pPr>
              <w:pStyle w:val="BodyText"/>
              <w:widowControl w:val="0"/>
              <w:numPr>
                <w:ilvl w:val="12"/>
                <w:numId w:val="0"/>
              </w:numPr>
              <w:spacing w:after="0"/>
              <w:jc w:val="center"/>
              <w:rPr>
                <w:rFonts w:ascii="Book Antiqua" w:hAnsi="Book Antiqua"/>
                <w:b/>
                <w:sz w:val="24"/>
                <w:szCs w:val="24"/>
              </w:rPr>
            </w:pPr>
          </w:p>
          <w:p w14:paraId="38713ECE" w14:textId="77777777" w:rsidR="001164FC" w:rsidRPr="00BB0335" w:rsidRDefault="001164FC" w:rsidP="00031C40">
            <w:pPr>
              <w:pStyle w:val="BodyText"/>
              <w:widowControl w:val="0"/>
              <w:numPr>
                <w:ilvl w:val="12"/>
                <w:numId w:val="0"/>
              </w:numPr>
              <w:spacing w:after="0"/>
              <w:jc w:val="center"/>
              <w:rPr>
                <w:rFonts w:ascii="Book Antiqua" w:hAnsi="Book Antiqua"/>
                <w:b/>
                <w:sz w:val="24"/>
                <w:szCs w:val="24"/>
              </w:rPr>
            </w:pPr>
            <w:r w:rsidRPr="00BB0335">
              <w:rPr>
                <w:rFonts w:ascii="Book Antiqua" w:hAnsi="Book Antiqua"/>
                <w:b/>
                <w:sz w:val="24"/>
                <w:szCs w:val="24"/>
              </w:rPr>
              <w:t>Description</w:t>
            </w:r>
          </w:p>
          <w:p w14:paraId="6B832605" w14:textId="77777777" w:rsidR="001164FC" w:rsidRPr="00BB0335" w:rsidRDefault="001164FC" w:rsidP="00031C40">
            <w:pPr>
              <w:pStyle w:val="BodyText"/>
              <w:widowControl w:val="0"/>
              <w:numPr>
                <w:ilvl w:val="12"/>
                <w:numId w:val="0"/>
              </w:numPr>
              <w:spacing w:after="0"/>
              <w:jc w:val="center"/>
              <w:rPr>
                <w:rFonts w:ascii="Book Antiqua" w:hAnsi="Book Antiqua"/>
                <w:b/>
                <w:sz w:val="24"/>
                <w:szCs w:val="24"/>
              </w:rPr>
            </w:pPr>
            <w:r w:rsidRPr="00BB0335">
              <w:rPr>
                <w:rFonts w:ascii="Book Antiqua" w:hAnsi="Book Antiqua"/>
                <w:b/>
                <w:sz w:val="24"/>
                <w:szCs w:val="24"/>
              </w:rPr>
              <w:t>(a)</w:t>
            </w:r>
          </w:p>
        </w:tc>
        <w:tc>
          <w:tcPr>
            <w:tcW w:w="1692" w:type="dxa"/>
            <w:tcBorders>
              <w:top w:val="single" w:sz="4" w:space="0" w:color="auto"/>
              <w:left w:val="single" w:sz="4" w:space="0" w:color="auto"/>
              <w:bottom w:val="single" w:sz="4" w:space="0" w:color="auto"/>
              <w:right w:val="single" w:sz="4" w:space="0" w:color="auto"/>
            </w:tcBorders>
          </w:tcPr>
          <w:p w14:paraId="21568F12" w14:textId="23B8C248" w:rsidR="001164FC" w:rsidRPr="00F63979" w:rsidRDefault="001164FC" w:rsidP="00031C40">
            <w:pPr>
              <w:pStyle w:val="BodyText"/>
              <w:widowControl w:val="0"/>
              <w:numPr>
                <w:ilvl w:val="12"/>
                <w:numId w:val="0"/>
              </w:numPr>
              <w:spacing w:after="0"/>
              <w:jc w:val="center"/>
              <w:rPr>
                <w:rFonts w:ascii="Book Antiqua" w:hAnsi="Book Antiqua"/>
                <w:b/>
                <w:sz w:val="24"/>
                <w:szCs w:val="24"/>
              </w:rPr>
            </w:pPr>
            <w:r w:rsidRPr="00F63979">
              <w:rPr>
                <w:rFonts w:ascii="Book Antiqua" w:hAnsi="Book Antiqua"/>
                <w:b/>
                <w:sz w:val="24"/>
                <w:szCs w:val="24"/>
              </w:rPr>
              <w:t xml:space="preserve">Cal Advocates </w:t>
            </w:r>
            <w:r w:rsidR="00602F4E">
              <w:rPr>
                <w:rFonts w:ascii="Book Antiqua" w:hAnsi="Book Antiqua"/>
                <w:b/>
                <w:sz w:val="24"/>
                <w:szCs w:val="24"/>
              </w:rPr>
              <w:t>Proposal</w:t>
            </w:r>
            <w:r w:rsidR="00602F4E" w:rsidRPr="00F63979">
              <w:rPr>
                <w:rFonts w:ascii="Book Antiqua" w:hAnsi="Book Antiqua"/>
                <w:b/>
                <w:sz w:val="24"/>
                <w:szCs w:val="24"/>
              </w:rPr>
              <w:t xml:space="preserve"> </w:t>
            </w:r>
          </w:p>
          <w:p w14:paraId="10BB65C1" w14:textId="77777777" w:rsidR="001164FC" w:rsidRPr="00F63979" w:rsidRDefault="001164FC" w:rsidP="00031C40">
            <w:pPr>
              <w:pStyle w:val="BodyText"/>
              <w:widowControl w:val="0"/>
              <w:numPr>
                <w:ilvl w:val="12"/>
                <w:numId w:val="0"/>
              </w:numPr>
              <w:spacing w:after="0"/>
              <w:jc w:val="center"/>
              <w:rPr>
                <w:rFonts w:ascii="Book Antiqua" w:hAnsi="Book Antiqua"/>
                <w:b/>
                <w:sz w:val="24"/>
                <w:szCs w:val="24"/>
              </w:rPr>
            </w:pPr>
            <w:r w:rsidRPr="00F63979">
              <w:rPr>
                <w:rFonts w:ascii="Book Antiqua" w:hAnsi="Book Antiqua"/>
                <w:b/>
                <w:sz w:val="24"/>
                <w:szCs w:val="24"/>
              </w:rPr>
              <w:t>(b)</w:t>
            </w:r>
          </w:p>
        </w:tc>
        <w:tc>
          <w:tcPr>
            <w:tcW w:w="1350" w:type="dxa"/>
            <w:tcBorders>
              <w:top w:val="single" w:sz="4" w:space="0" w:color="auto"/>
              <w:left w:val="single" w:sz="4" w:space="0" w:color="auto"/>
              <w:bottom w:val="single" w:sz="4" w:space="0" w:color="auto"/>
              <w:right w:val="single" w:sz="4" w:space="0" w:color="auto"/>
            </w:tcBorders>
          </w:tcPr>
          <w:p w14:paraId="003B6A25" w14:textId="77777777" w:rsidR="001164FC" w:rsidRPr="00F63979" w:rsidRDefault="001164FC" w:rsidP="00031C40">
            <w:pPr>
              <w:pStyle w:val="BodyText"/>
              <w:widowControl w:val="0"/>
              <w:numPr>
                <w:ilvl w:val="12"/>
                <w:numId w:val="0"/>
              </w:numPr>
              <w:spacing w:after="0"/>
              <w:jc w:val="center"/>
              <w:rPr>
                <w:rFonts w:ascii="Book Antiqua" w:hAnsi="Book Antiqua"/>
                <w:b/>
                <w:sz w:val="24"/>
                <w:szCs w:val="24"/>
              </w:rPr>
            </w:pPr>
            <w:r w:rsidRPr="00F63979">
              <w:rPr>
                <w:rFonts w:ascii="Book Antiqua" w:hAnsi="Book Antiqua"/>
                <w:b/>
                <w:sz w:val="24"/>
                <w:szCs w:val="24"/>
              </w:rPr>
              <w:t>PG&amp;E</w:t>
            </w:r>
          </w:p>
          <w:p w14:paraId="0263B66E" w14:textId="77777777" w:rsidR="001164FC" w:rsidRPr="00EA1804" w:rsidRDefault="001164FC" w:rsidP="00031C40">
            <w:pPr>
              <w:pStyle w:val="BodyText"/>
              <w:widowControl w:val="0"/>
              <w:numPr>
                <w:ilvl w:val="12"/>
                <w:numId w:val="0"/>
              </w:numPr>
              <w:spacing w:after="0"/>
              <w:jc w:val="center"/>
              <w:rPr>
                <w:rFonts w:ascii="Book Antiqua" w:hAnsi="Book Antiqua"/>
                <w:b/>
                <w:sz w:val="24"/>
                <w:szCs w:val="24"/>
              </w:rPr>
            </w:pPr>
            <w:r w:rsidRPr="00F63979">
              <w:rPr>
                <w:rFonts w:ascii="Book Antiqua" w:hAnsi="Book Antiqua"/>
                <w:b/>
                <w:sz w:val="24"/>
                <w:szCs w:val="24"/>
              </w:rPr>
              <w:t>Propos</w:t>
            </w:r>
            <w:r w:rsidR="00EA1804">
              <w:rPr>
                <w:rFonts w:ascii="Book Antiqua" w:hAnsi="Book Antiqua"/>
                <w:b/>
                <w:sz w:val="24"/>
                <w:szCs w:val="24"/>
              </w:rPr>
              <w:t>al</w:t>
            </w:r>
          </w:p>
          <w:p w14:paraId="465A5B26" w14:textId="77777777" w:rsidR="001164FC" w:rsidRPr="00F63979" w:rsidRDefault="001164FC" w:rsidP="00031C40">
            <w:pPr>
              <w:pStyle w:val="BodyText"/>
              <w:widowControl w:val="0"/>
              <w:numPr>
                <w:ilvl w:val="12"/>
                <w:numId w:val="0"/>
              </w:numPr>
              <w:spacing w:after="0"/>
              <w:jc w:val="center"/>
              <w:rPr>
                <w:rFonts w:ascii="Book Antiqua" w:hAnsi="Book Antiqua"/>
                <w:b/>
                <w:sz w:val="24"/>
                <w:szCs w:val="24"/>
              </w:rPr>
            </w:pPr>
            <w:r w:rsidRPr="00F63979">
              <w:rPr>
                <w:rFonts w:ascii="Book Antiqua" w:hAnsi="Book Antiqua"/>
                <w:b/>
                <w:sz w:val="24"/>
                <w:szCs w:val="24"/>
              </w:rPr>
              <w:t xml:space="preserve"> (c)</w:t>
            </w:r>
          </w:p>
        </w:tc>
        <w:tc>
          <w:tcPr>
            <w:tcW w:w="1980" w:type="dxa"/>
            <w:tcBorders>
              <w:top w:val="single" w:sz="4" w:space="0" w:color="auto"/>
              <w:left w:val="single" w:sz="4" w:space="0" w:color="auto"/>
              <w:bottom w:val="single" w:sz="4" w:space="0" w:color="auto"/>
              <w:right w:val="single" w:sz="4" w:space="0" w:color="auto"/>
            </w:tcBorders>
          </w:tcPr>
          <w:p w14:paraId="1367AA12" w14:textId="77777777" w:rsidR="001164FC" w:rsidRPr="00F63979" w:rsidRDefault="001164FC" w:rsidP="00031C40">
            <w:pPr>
              <w:pStyle w:val="BodyText"/>
              <w:widowControl w:val="0"/>
              <w:numPr>
                <w:ilvl w:val="12"/>
                <w:numId w:val="0"/>
              </w:numPr>
              <w:spacing w:after="0"/>
              <w:jc w:val="center"/>
              <w:rPr>
                <w:rFonts w:ascii="Book Antiqua" w:hAnsi="Book Antiqua"/>
                <w:b/>
                <w:sz w:val="24"/>
                <w:szCs w:val="24"/>
              </w:rPr>
            </w:pPr>
            <w:r w:rsidRPr="00F63979">
              <w:rPr>
                <w:rFonts w:ascii="Book Antiqua" w:hAnsi="Book Antiqua"/>
                <w:b/>
                <w:sz w:val="24"/>
                <w:szCs w:val="24"/>
              </w:rPr>
              <w:t>Amount</w:t>
            </w:r>
          </w:p>
          <w:p w14:paraId="0AF42FF6" w14:textId="77777777" w:rsidR="001164FC" w:rsidRPr="00F63979" w:rsidRDefault="001164FC" w:rsidP="00031C40">
            <w:pPr>
              <w:pStyle w:val="BodyText"/>
              <w:widowControl w:val="0"/>
              <w:numPr>
                <w:ilvl w:val="12"/>
                <w:numId w:val="0"/>
              </w:numPr>
              <w:spacing w:after="0"/>
              <w:jc w:val="center"/>
              <w:rPr>
                <w:rFonts w:ascii="Book Antiqua" w:hAnsi="Book Antiqua"/>
                <w:b/>
                <w:sz w:val="24"/>
                <w:szCs w:val="24"/>
              </w:rPr>
            </w:pPr>
            <w:r w:rsidRPr="00F63979">
              <w:rPr>
                <w:rFonts w:ascii="Book Antiqua" w:hAnsi="Book Antiqua"/>
                <w:b/>
                <w:sz w:val="24"/>
                <w:szCs w:val="24"/>
              </w:rPr>
              <w:t xml:space="preserve"> PG&amp;E &gt; Cal Advocates</w:t>
            </w:r>
          </w:p>
          <w:p w14:paraId="54E0A56A" w14:textId="77777777" w:rsidR="001164FC" w:rsidRPr="00F63979" w:rsidRDefault="001164FC" w:rsidP="00031C40">
            <w:pPr>
              <w:pStyle w:val="BodyText"/>
              <w:widowControl w:val="0"/>
              <w:numPr>
                <w:ilvl w:val="12"/>
                <w:numId w:val="0"/>
              </w:numPr>
              <w:spacing w:after="0"/>
              <w:jc w:val="center"/>
              <w:rPr>
                <w:rFonts w:ascii="Book Antiqua" w:hAnsi="Book Antiqua"/>
                <w:b/>
                <w:sz w:val="24"/>
                <w:szCs w:val="24"/>
              </w:rPr>
            </w:pPr>
            <w:r w:rsidRPr="00F63979">
              <w:rPr>
                <w:rFonts w:ascii="Book Antiqua" w:hAnsi="Book Antiqua"/>
                <w:b/>
                <w:sz w:val="24"/>
                <w:szCs w:val="24"/>
              </w:rPr>
              <w:t>(d = c - b)</w:t>
            </w:r>
          </w:p>
        </w:tc>
      </w:tr>
      <w:tr w:rsidR="001164FC" w:rsidRPr="00F63979" w14:paraId="4F395561" w14:textId="77777777" w:rsidTr="00031C40">
        <w:trPr>
          <w:trHeight w:val="249"/>
        </w:trPr>
        <w:tc>
          <w:tcPr>
            <w:tcW w:w="743" w:type="dxa"/>
            <w:tcBorders>
              <w:top w:val="single" w:sz="4" w:space="0" w:color="auto"/>
              <w:left w:val="single" w:sz="4" w:space="0" w:color="auto"/>
              <w:bottom w:val="single" w:sz="4" w:space="0" w:color="auto"/>
              <w:right w:val="single" w:sz="4" w:space="0" w:color="auto"/>
            </w:tcBorders>
          </w:tcPr>
          <w:p w14:paraId="551A592C" w14:textId="77777777" w:rsidR="001164FC" w:rsidRPr="00F63979" w:rsidRDefault="001164FC" w:rsidP="00031C40">
            <w:pPr>
              <w:pStyle w:val="BodyText"/>
              <w:widowControl w:val="0"/>
              <w:numPr>
                <w:ilvl w:val="12"/>
                <w:numId w:val="0"/>
              </w:numPr>
              <w:spacing w:after="0"/>
              <w:jc w:val="center"/>
              <w:rPr>
                <w:rFonts w:ascii="Book Antiqua" w:hAnsi="Book Antiqua"/>
                <w:sz w:val="24"/>
                <w:szCs w:val="24"/>
              </w:rPr>
            </w:pPr>
            <w:r w:rsidRPr="00F63979">
              <w:rPr>
                <w:rFonts w:ascii="Book Antiqua" w:hAnsi="Book Antiqua"/>
                <w:sz w:val="24"/>
                <w:szCs w:val="24"/>
              </w:rPr>
              <w:t>1</w:t>
            </w:r>
          </w:p>
        </w:tc>
        <w:tc>
          <w:tcPr>
            <w:tcW w:w="3235" w:type="dxa"/>
            <w:tcBorders>
              <w:top w:val="single" w:sz="4" w:space="0" w:color="auto"/>
              <w:left w:val="single" w:sz="4" w:space="0" w:color="auto"/>
              <w:bottom w:val="single" w:sz="4" w:space="0" w:color="auto"/>
              <w:right w:val="single" w:sz="4" w:space="0" w:color="auto"/>
            </w:tcBorders>
          </w:tcPr>
          <w:p w14:paraId="6EDBC313" w14:textId="77777777" w:rsidR="001164FC" w:rsidRPr="00D322AD" w:rsidRDefault="001164FC" w:rsidP="00031C40">
            <w:pPr>
              <w:pStyle w:val="BodyText"/>
              <w:widowControl w:val="0"/>
              <w:numPr>
                <w:ilvl w:val="12"/>
                <w:numId w:val="0"/>
              </w:numPr>
              <w:spacing w:after="0"/>
              <w:rPr>
                <w:rFonts w:ascii="Book Antiqua" w:hAnsi="Book Antiqua"/>
                <w:sz w:val="24"/>
                <w:szCs w:val="24"/>
              </w:rPr>
            </w:pPr>
            <w:r w:rsidRPr="00D322AD">
              <w:rPr>
                <w:rFonts w:ascii="Book Antiqua" w:hAnsi="Book Antiqua"/>
                <w:color w:val="000000"/>
                <w:sz w:val="24"/>
                <w:szCs w:val="24"/>
              </w:rPr>
              <w:t>Residential</w:t>
            </w:r>
          </w:p>
        </w:tc>
        <w:tc>
          <w:tcPr>
            <w:tcW w:w="1692" w:type="dxa"/>
            <w:tcBorders>
              <w:top w:val="single" w:sz="4" w:space="0" w:color="auto"/>
              <w:left w:val="single" w:sz="4" w:space="0" w:color="auto"/>
              <w:bottom w:val="single" w:sz="4" w:space="0" w:color="auto"/>
              <w:right w:val="single" w:sz="4" w:space="0" w:color="auto"/>
            </w:tcBorders>
          </w:tcPr>
          <w:p w14:paraId="7FD7A4C9" w14:textId="77777777" w:rsidR="001164FC" w:rsidRPr="00BB0335" w:rsidRDefault="001164FC" w:rsidP="008550CD">
            <w:pPr>
              <w:widowControl w:val="0"/>
              <w:jc w:val="center"/>
              <w:rPr>
                <w:color w:val="000000"/>
                <w:sz w:val="24"/>
                <w:szCs w:val="24"/>
              </w:rPr>
            </w:pPr>
            <w:r w:rsidRPr="00BB0335">
              <w:rPr>
                <w:color w:val="000000"/>
                <w:sz w:val="24"/>
                <w:szCs w:val="24"/>
              </w:rPr>
              <w:t>$1,338,922</w:t>
            </w:r>
          </w:p>
        </w:tc>
        <w:tc>
          <w:tcPr>
            <w:tcW w:w="1350" w:type="dxa"/>
            <w:tcBorders>
              <w:top w:val="single" w:sz="4" w:space="0" w:color="auto"/>
              <w:left w:val="single" w:sz="4" w:space="0" w:color="auto"/>
              <w:bottom w:val="single" w:sz="4" w:space="0" w:color="auto"/>
              <w:right w:val="single" w:sz="4" w:space="0" w:color="auto"/>
            </w:tcBorders>
          </w:tcPr>
          <w:p w14:paraId="0ED9C103" w14:textId="77777777" w:rsidR="001164FC" w:rsidRPr="00BB0335" w:rsidRDefault="001164FC" w:rsidP="008550CD">
            <w:pPr>
              <w:widowControl w:val="0"/>
              <w:jc w:val="center"/>
              <w:rPr>
                <w:color w:val="000000"/>
                <w:sz w:val="24"/>
                <w:szCs w:val="24"/>
              </w:rPr>
            </w:pPr>
            <w:r w:rsidRPr="00BB0335">
              <w:rPr>
                <w:color w:val="000000"/>
                <w:sz w:val="24"/>
                <w:szCs w:val="24"/>
              </w:rPr>
              <w:t>$1,391,558</w:t>
            </w:r>
          </w:p>
        </w:tc>
        <w:tc>
          <w:tcPr>
            <w:tcW w:w="1980" w:type="dxa"/>
            <w:tcBorders>
              <w:top w:val="single" w:sz="4" w:space="0" w:color="auto"/>
              <w:left w:val="single" w:sz="4" w:space="0" w:color="auto"/>
              <w:bottom w:val="single" w:sz="4" w:space="0" w:color="auto"/>
              <w:right w:val="single" w:sz="4" w:space="0" w:color="auto"/>
            </w:tcBorders>
          </w:tcPr>
          <w:p w14:paraId="52CE4BA8" w14:textId="77777777" w:rsidR="001164FC" w:rsidRPr="00647514" w:rsidRDefault="001164FC" w:rsidP="008550CD">
            <w:pPr>
              <w:pStyle w:val="BodyText"/>
              <w:widowControl w:val="0"/>
              <w:numPr>
                <w:ilvl w:val="12"/>
                <w:numId w:val="0"/>
              </w:numPr>
              <w:spacing w:after="0"/>
              <w:jc w:val="center"/>
              <w:rPr>
                <w:rFonts w:ascii="Book Antiqua" w:hAnsi="Book Antiqua"/>
                <w:b/>
                <w:sz w:val="24"/>
                <w:szCs w:val="24"/>
              </w:rPr>
            </w:pPr>
            <w:r w:rsidRPr="00BB0335">
              <w:rPr>
                <w:rFonts w:ascii="Book Antiqua" w:hAnsi="Book Antiqua"/>
                <w:b/>
                <w:sz w:val="24"/>
                <w:szCs w:val="24"/>
              </w:rPr>
              <w:t>$52,63</w:t>
            </w:r>
            <w:r w:rsidRPr="00647514">
              <w:rPr>
                <w:rFonts w:ascii="Book Antiqua" w:hAnsi="Book Antiqua"/>
                <w:b/>
                <w:sz w:val="24"/>
                <w:szCs w:val="24"/>
              </w:rPr>
              <w:t>5</w:t>
            </w:r>
          </w:p>
        </w:tc>
      </w:tr>
      <w:tr w:rsidR="001164FC" w:rsidRPr="00F63979" w14:paraId="6618D4E2" w14:textId="77777777" w:rsidTr="00031C40">
        <w:trPr>
          <w:trHeight w:val="249"/>
        </w:trPr>
        <w:tc>
          <w:tcPr>
            <w:tcW w:w="743" w:type="dxa"/>
            <w:tcBorders>
              <w:top w:val="single" w:sz="4" w:space="0" w:color="auto"/>
              <w:left w:val="single" w:sz="4" w:space="0" w:color="auto"/>
              <w:bottom w:val="single" w:sz="4" w:space="0" w:color="auto"/>
              <w:right w:val="single" w:sz="4" w:space="0" w:color="auto"/>
            </w:tcBorders>
          </w:tcPr>
          <w:p w14:paraId="658D52E9" w14:textId="77777777" w:rsidR="001164FC" w:rsidRPr="00F63979" w:rsidRDefault="001164FC" w:rsidP="00031C40">
            <w:pPr>
              <w:pStyle w:val="BodyText"/>
              <w:widowControl w:val="0"/>
              <w:numPr>
                <w:ilvl w:val="12"/>
                <w:numId w:val="0"/>
              </w:numPr>
              <w:spacing w:after="0"/>
              <w:jc w:val="center"/>
              <w:rPr>
                <w:rFonts w:ascii="Book Antiqua" w:hAnsi="Book Antiqua"/>
                <w:sz w:val="24"/>
                <w:szCs w:val="24"/>
              </w:rPr>
            </w:pPr>
            <w:r w:rsidRPr="00F63979">
              <w:rPr>
                <w:rFonts w:ascii="Book Antiqua" w:hAnsi="Book Antiqua"/>
                <w:sz w:val="24"/>
                <w:szCs w:val="24"/>
              </w:rPr>
              <w:t>2</w:t>
            </w:r>
          </w:p>
        </w:tc>
        <w:tc>
          <w:tcPr>
            <w:tcW w:w="3235" w:type="dxa"/>
            <w:tcBorders>
              <w:top w:val="single" w:sz="4" w:space="0" w:color="auto"/>
              <w:left w:val="single" w:sz="4" w:space="0" w:color="auto"/>
              <w:bottom w:val="single" w:sz="4" w:space="0" w:color="auto"/>
              <w:right w:val="single" w:sz="4" w:space="0" w:color="auto"/>
            </w:tcBorders>
          </w:tcPr>
          <w:p w14:paraId="79B2AB54" w14:textId="77777777" w:rsidR="001164FC" w:rsidRPr="00D322AD" w:rsidRDefault="001164FC" w:rsidP="00031C40">
            <w:pPr>
              <w:pStyle w:val="BodyText"/>
              <w:widowControl w:val="0"/>
              <w:numPr>
                <w:ilvl w:val="12"/>
                <w:numId w:val="0"/>
              </w:numPr>
              <w:spacing w:after="0"/>
              <w:rPr>
                <w:rFonts w:ascii="Book Antiqua" w:hAnsi="Book Antiqua"/>
                <w:sz w:val="24"/>
                <w:szCs w:val="24"/>
              </w:rPr>
            </w:pPr>
            <w:r w:rsidRPr="00D322AD">
              <w:rPr>
                <w:rFonts w:ascii="Book Antiqua" w:hAnsi="Book Antiqua"/>
                <w:color w:val="000000"/>
                <w:sz w:val="24"/>
                <w:szCs w:val="24"/>
              </w:rPr>
              <w:t>Small Commercial</w:t>
            </w:r>
          </w:p>
        </w:tc>
        <w:tc>
          <w:tcPr>
            <w:tcW w:w="1692" w:type="dxa"/>
            <w:tcBorders>
              <w:top w:val="single" w:sz="4" w:space="0" w:color="auto"/>
              <w:left w:val="single" w:sz="4" w:space="0" w:color="auto"/>
              <w:bottom w:val="single" w:sz="4" w:space="0" w:color="auto"/>
              <w:right w:val="single" w:sz="4" w:space="0" w:color="auto"/>
            </w:tcBorders>
          </w:tcPr>
          <w:p w14:paraId="5663AAED" w14:textId="77777777" w:rsidR="001164FC" w:rsidRPr="00BB0335" w:rsidRDefault="001164FC" w:rsidP="008550CD">
            <w:pPr>
              <w:widowControl w:val="0"/>
              <w:ind w:firstLine="216"/>
              <w:jc w:val="center"/>
              <w:rPr>
                <w:color w:val="000000"/>
                <w:sz w:val="24"/>
                <w:szCs w:val="24"/>
              </w:rPr>
            </w:pPr>
            <w:r w:rsidRPr="00BB0335">
              <w:rPr>
                <w:color w:val="000000"/>
                <w:sz w:val="24"/>
                <w:szCs w:val="24"/>
              </w:rPr>
              <w:t>316,329</w:t>
            </w:r>
          </w:p>
        </w:tc>
        <w:tc>
          <w:tcPr>
            <w:tcW w:w="1350" w:type="dxa"/>
            <w:tcBorders>
              <w:top w:val="single" w:sz="4" w:space="0" w:color="auto"/>
              <w:left w:val="single" w:sz="4" w:space="0" w:color="auto"/>
              <w:bottom w:val="single" w:sz="4" w:space="0" w:color="auto"/>
              <w:right w:val="single" w:sz="4" w:space="0" w:color="auto"/>
            </w:tcBorders>
          </w:tcPr>
          <w:p w14:paraId="48A13837" w14:textId="77777777" w:rsidR="001164FC" w:rsidRPr="00BB0335" w:rsidRDefault="001164FC" w:rsidP="008550CD">
            <w:pPr>
              <w:widowControl w:val="0"/>
              <w:ind w:firstLine="252"/>
              <w:jc w:val="center"/>
              <w:rPr>
                <w:color w:val="000000"/>
                <w:sz w:val="24"/>
                <w:szCs w:val="24"/>
              </w:rPr>
            </w:pPr>
            <w:r w:rsidRPr="00BB0335">
              <w:rPr>
                <w:color w:val="000000"/>
                <w:sz w:val="24"/>
                <w:szCs w:val="24"/>
              </w:rPr>
              <w:t>316,329</w:t>
            </w:r>
          </w:p>
        </w:tc>
        <w:tc>
          <w:tcPr>
            <w:tcW w:w="1980" w:type="dxa"/>
            <w:tcBorders>
              <w:top w:val="single" w:sz="4" w:space="0" w:color="auto"/>
              <w:left w:val="single" w:sz="4" w:space="0" w:color="auto"/>
              <w:bottom w:val="single" w:sz="4" w:space="0" w:color="auto"/>
              <w:right w:val="single" w:sz="4" w:space="0" w:color="auto"/>
            </w:tcBorders>
          </w:tcPr>
          <w:p w14:paraId="6BF661F5" w14:textId="77777777" w:rsidR="001164FC" w:rsidRPr="00BB0335" w:rsidRDefault="001164FC" w:rsidP="008550CD">
            <w:pPr>
              <w:pStyle w:val="BodyText"/>
              <w:widowControl w:val="0"/>
              <w:numPr>
                <w:ilvl w:val="12"/>
                <w:numId w:val="0"/>
              </w:numPr>
              <w:spacing w:after="0"/>
              <w:jc w:val="center"/>
              <w:rPr>
                <w:rFonts w:ascii="Book Antiqua" w:hAnsi="Book Antiqua"/>
                <w:sz w:val="24"/>
                <w:szCs w:val="24"/>
              </w:rPr>
            </w:pPr>
            <w:r w:rsidRPr="00BB0335">
              <w:rPr>
                <w:rFonts w:ascii="Book Antiqua" w:hAnsi="Book Antiqua"/>
                <w:sz w:val="24"/>
                <w:szCs w:val="24"/>
              </w:rPr>
              <w:t>$1</w:t>
            </w:r>
          </w:p>
        </w:tc>
      </w:tr>
      <w:tr w:rsidR="001164FC" w:rsidRPr="00F63979" w14:paraId="712FFB39" w14:textId="77777777" w:rsidTr="00031C40">
        <w:trPr>
          <w:trHeight w:val="396"/>
        </w:trPr>
        <w:tc>
          <w:tcPr>
            <w:tcW w:w="743" w:type="dxa"/>
            <w:tcBorders>
              <w:top w:val="single" w:sz="4" w:space="0" w:color="auto"/>
              <w:left w:val="single" w:sz="4" w:space="0" w:color="auto"/>
              <w:bottom w:val="single" w:sz="4" w:space="0" w:color="auto"/>
              <w:right w:val="single" w:sz="4" w:space="0" w:color="auto"/>
            </w:tcBorders>
          </w:tcPr>
          <w:p w14:paraId="61ABDD0F" w14:textId="77777777" w:rsidR="001164FC" w:rsidRPr="00F63979" w:rsidRDefault="001164FC" w:rsidP="00031C40">
            <w:pPr>
              <w:pStyle w:val="BodyText"/>
              <w:widowControl w:val="0"/>
              <w:numPr>
                <w:ilvl w:val="12"/>
                <w:numId w:val="0"/>
              </w:numPr>
              <w:spacing w:after="0"/>
              <w:ind w:left="360" w:hanging="360"/>
              <w:jc w:val="center"/>
              <w:rPr>
                <w:rFonts w:ascii="Book Antiqua" w:hAnsi="Book Antiqua"/>
                <w:color w:val="000000"/>
                <w:sz w:val="24"/>
                <w:szCs w:val="24"/>
              </w:rPr>
            </w:pPr>
          </w:p>
          <w:p w14:paraId="194C6510" w14:textId="77777777" w:rsidR="001164FC" w:rsidRPr="00D322AD" w:rsidRDefault="001164FC" w:rsidP="00031C40">
            <w:pPr>
              <w:pStyle w:val="BodyText"/>
              <w:widowControl w:val="0"/>
              <w:numPr>
                <w:ilvl w:val="12"/>
                <w:numId w:val="0"/>
              </w:numPr>
              <w:spacing w:after="0"/>
              <w:ind w:left="360" w:hanging="360"/>
              <w:jc w:val="center"/>
              <w:rPr>
                <w:rFonts w:ascii="Book Antiqua" w:hAnsi="Book Antiqua"/>
                <w:sz w:val="24"/>
                <w:szCs w:val="24"/>
              </w:rPr>
            </w:pPr>
            <w:r w:rsidRPr="00D322AD">
              <w:rPr>
                <w:rFonts w:ascii="Book Antiqua" w:hAnsi="Book Antiqua"/>
                <w:color w:val="000000"/>
                <w:sz w:val="24"/>
                <w:szCs w:val="24"/>
              </w:rPr>
              <w:t>3</w:t>
            </w:r>
          </w:p>
        </w:tc>
        <w:tc>
          <w:tcPr>
            <w:tcW w:w="3235" w:type="dxa"/>
            <w:tcBorders>
              <w:top w:val="single" w:sz="4" w:space="0" w:color="auto"/>
              <w:left w:val="single" w:sz="4" w:space="0" w:color="auto"/>
              <w:bottom w:val="single" w:sz="4" w:space="0" w:color="auto"/>
              <w:right w:val="single" w:sz="4" w:space="0" w:color="auto"/>
            </w:tcBorders>
          </w:tcPr>
          <w:p w14:paraId="22CDDDC6" w14:textId="77777777" w:rsidR="001164FC" w:rsidRPr="00BB0335" w:rsidRDefault="001164FC" w:rsidP="00031C40">
            <w:pPr>
              <w:pStyle w:val="BodyText"/>
              <w:widowControl w:val="0"/>
              <w:numPr>
                <w:ilvl w:val="12"/>
                <w:numId w:val="0"/>
              </w:numPr>
              <w:spacing w:after="0"/>
              <w:rPr>
                <w:rFonts w:ascii="Book Antiqua" w:hAnsi="Book Antiqua"/>
                <w:color w:val="000000"/>
                <w:sz w:val="24"/>
                <w:szCs w:val="24"/>
              </w:rPr>
            </w:pPr>
            <w:r w:rsidRPr="00BB0335">
              <w:rPr>
                <w:rFonts w:ascii="Book Antiqua" w:hAnsi="Book Antiqua"/>
                <w:color w:val="000000"/>
                <w:sz w:val="24"/>
                <w:szCs w:val="24"/>
              </w:rPr>
              <w:t>Large Commercial:</w:t>
            </w:r>
          </w:p>
          <w:p w14:paraId="4EC1A8EE" w14:textId="77777777" w:rsidR="001164FC" w:rsidRPr="00BB0335" w:rsidRDefault="001164FC" w:rsidP="00031C40">
            <w:pPr>
              <w:pStyle w:val="BodyText"/>
              <w:widowControl w:val="0"/>
              <w:numPr>
                <w:ilvl w:val="12"/>
                <w:numId w:val="0"/>
              </w:numPr>
              <w:spacing w:after="0"/>
              <w:rPr>
                <w:rFonts w:ascii="Book Antiqua" w:hAnsi="Book Antiqua"/>
                <w:color w:val="000000"/>
                <w:sz w:val="24"/>
                <w:szCs w:val="24"/>
              </w:rPr>
            </w:pPr>
            <w:r w:rsidRPr="00BB0335">
              <w:rPr>
                <w:rFonts w:ascii="Book Antiqua" w:hAnsi="Book Antiqua"/>
                <w:color w:val="000000"/>
                <w:sz w:val="24"/>
                <w:szCs w:val="24"/>
              </w:rPr>
              <w:t>Distribution</w:t>
            </w:r>
          </w:p>
        </w:tc>
        <w:tc>
          <w:tcPr>
            <w:tcW w:w="1692" w:type="dxa"/>
            <w:tcBorders>
              <w:top w:val="single" w:sz="4" w:space="0" w:color="auto"/>
              <w:left w:val="single" w:sz="4" w:space="0" w:color="auto"/>
              <w:bottom w:val="single" w:sz="4" w:space="0" w:color="auto"/>
              <w:right w:val="single" w:sz="4" w:space="0" w:color="auto"/>
            </w:tcBorders>
          </w:tcPr>
          <w:p w14:paraId="767A8E8B" w14:textId="77777777" w:rsidR="001164FC" w:rsidRPr="00BB0335" w:rsidRDefault="001164FC" w:rsidP="008550CD">
            <w:pPr>
              <w:widowControl w:val="0"/>
              <w:jc w:val="center"/>
              <w:rPr>
                <w:color w:val="000000"/>
                <w:sz w:val="24"/>
                <w:szCs w:val="24"/>
              </w:rPr>
            </w:pPr>
          </w:p>
          <w:p w14:paraId="56BB73C3" w14:textId="77777777" w:rsidR="001164FC" w:rsidRPr="00F63979" w:rsidRDefault="001164FC" w:rsidP="008550CD">
            <w:pPr>
              <w:widowControl w:val="0"/>
              <w:jc w:val="center"/>
              <w:rPr>
                <w:color w:val="000000"/>
                <w:sz w:val="24"/>
                <w:szCs w:val="24"/>
              </w:rPr>
            </w:pPr>
            <w:r w:rsidRPr="00F63979">
              <w:rPr>
                <w:color w:val="000000"/>
                <w:sz w:val="24"/>
                <w:szCs w:val="24"/>
              </w:rPr>
              <w:t>17,318</w:t>
            </w:r>
          </w:p>
        </w:tc>
        <w:tc>
          <w:tcPr>
            <w:tcW w:w="1350" w:type="dxa"/>
            <w:tcBorders>
              <w:top w:val="single" w:sz="4" w:space="0" w:color="auto"/>
              <w:left w:val="single" w:sz="4" w:space="0" w:color="auto"/>
              <w:bottom w:val="single" w:sz="4" w:space="0" w:color="auto"/>
              <w:right w:val="single" w:sz="4" w:space="0" w:color="auto"/>
            </w:tcBorders>
          </w:tcPr>
          <w:p w14:paraId="7054F70C" w14:textId="77777777" w:rsidR="001164FC" w:rsidRPr="00F63979" w:rsidRDefault="001164FC" w:rsidP="008550CD">
            <w:pPr>
              <w:widowControl w:val="0"/>
              <w:jc w:val="center"/>
              <w:rPr>
                <w:color w:val="000000"/>
                <w:sz w:val="24"/>
                <w:szCs w:val="24"/>
              </w:rPr>
            </w:pPr>
          </w:p>
          <w:p w14:paraId="06968731" w14:textId="77777777" w:rsidR="001164FC" w:rsidRPr="00F63979" w:rsidRDefault="001164FC" w:rsidP="008550CD">
            <w:pPr>
              <w:widowControl w:val="0"/>
              <w:jc w:val="center"/>
              <w:rPr>
                <w:color w:val="000000"/>
                <w:sz w:val="24"/>
                <w:szCs w:val="24"/>
              </w:rPr>
            </w:pPr>
            <w:r w:rsidRPr="00F63979">
              <w:rPr>
                <w:color w:val="000000"/>
                <w:sz w:val="24"/>
                <w:szCs w:val="24"/>
              </w:rPr>
              <w:t>10,768</w:t>
            </w:r>
          </w:p>
        </w:tc>
        <w:tc>
          <w:tcPr>
            <w:tcW w:w="1980" w:type="dxa"/>
            <w:tcBorders>
              <w:top w:val="single" w:sz="4" w:space="0" w:color="auto"/>
              <w:left w:val="single" w:sz="4" w:space="0" w:color="auto"/>
              <w:bottom w:val="single" w:sz="4" w:space="0" w:color="auto"/>
              <w:right w:val="single" w:sz="4" w:space="0" w:color="auto"/>
            </w:tcBorders>
          </w:tcPr>
          <w:p w14:paraId="57CD11C8" w14:textId="77777777" w:rsidR="001164FC" w:rsidRPr="00F63979" w:rsidRDefault="001164FC" w:rsidP="008550CD">
            <w:pPr>
              <w:pStyle w:val="BodyText"/>
              <w:widowControl w:val="0"/>
              <w:numPr>
                <w:ilvl w:val="12"/>
                <w:numId w:val="0"/>
              </w:numPr>
              <w:spacing w:after="0"/>
              <w:jc w:val="center"/>
              <w:rPr>
                <w:rFonts w:ascii="Book Antiqua" w:hAnsi="Book Antiqua"/>
                <w:sz w:val="24"/>
                <w:szCs w:val="24"/>
              </w:rPr>
            </w:pPr>
            <w:r w:rsidRPr="00F63979">
              <w:rPr>
                <w:rFonts w:ascii="Book Antiqua" w:hAnsi="Book Antiqua"/>
                <w:sz w:val="24"/>
                <w:szCs w:val="24"/>
              </w:rPr>
              <w:t>($6,550)</w:t>
            </w:r>
          </w:p>
        </w:tc>
      </w:tr>
      <w:tr w:rsidR="001164FC" w:rsidRPr="00F63979" w14:paraId="49173A36" w14:textId="77777777" w:rsidTr="00031C40">
        <w:trPr>
          <w:trHeight w:val="63"/>
        </w:trPr>
        <w:tc>
          <w:tcPr>
            <w:tcW w:w="743" w:type="dxa"/>
            <w:tcBorders>
              <w:top w:val="single" w:sz="4" w:space="0" w:color="auto"/>
              <w:left w:val="single" w:sz="4" w:space="0" w:color="auto"/>
              <w:bottom w:val="single" w:sz="4" w:space="0" w:color="auto"/>
              <w:right w:val="single" w:sz="4" w:space="0" w:color="auto"/>
            </w:tcBorders>
          </w:tcPr>
          <w:p w14:paraId="58C5A42E" w14:textId="77777777" w:rsidR="001164FC" w:rsidRPr="00F63979" w:rsidRDefault="001164FC" w:rsidP="00031C40">
            <w:pPr>
              <w:pStyle w:val="BodyText"/>
              <w:widowControl w:val="0"/>
              <w:numPr>
                <w:ilvl w:val="12"/>
                <w:numId w:val="0"/>
              </w:numPr>
              <w:spacing w:after="0"/>
              <w:jc w:val="center"/>
              <w:rPr>
                <w:rFonts w:ascii="Book Antiqua" w:hAnsi="Book Antiqua"/>
                <w:sz w:val="24"/>
                <w:szCs w:val="24"/>
              </w:rPr>
            </w:pPr>
            <w:r w:rsidRPr="00F63979">
              <w:rPr>
                <w:rFonts w:ascii="Book Antiqua" w:hAnsi="Book Antiqua"/>
                <w:sz w:val="24"/>
                <w:szCs w:val="24"/>
              </w:rPr>
              <w:t>4</w:t>
            </w:r>
          </w:p>
        </w:tc>
        <w:tc>
          <w:tcPr>
            <w:tcW w:w="3235" w:type="dxa"/>
            <w:tcBorders>
              <w:top w:val="single" w:sz="4" w:space="0" w:color="auto"/>
              <w:left w:val="single" w:sz="4" w:space="0" w:color="auto"/>
              <w:bottom w:val="single" w:sz="4" w:space="0" w:color="auto"/>
              <w:right w:val="single" w:sz="4" w:space="0" w:color="auto"/>
            </w:tcBorders>
          </w:tcPr>
          <w:p w14:paraId="313856E6" w14:textId="77777777" w:rsidR="001164FC" w:rsidRPr="00D322AD" w:rsidRDefault="001164FC" w:rsidP="00031C40">
            <w:pPr>
              <w:pStyle w:val="BodyText"/>
              <w:widowControl w:val="0"/>
              <w:numPr>
                <w:ilvl w:val="12"/>
                <w:numId w:val="0"/>
              </w:numPr>
              <w:spacing w:after="0"/>
              <w:rPr>
                <w:rFonts w:ascii="Book Antiqua" w:hAnsi="Book Antiqua"/>
                <w:sz w:val="24"/>
                <w:szCs w:val="24"/>
              </w:rPr>
            </w:pPr>
            <w:r w:rsidRPr="00D322AD">
              <w:rPr>
                <w:rFonts w:ascii="Book Antiqua" w:hAnsi="Book Antiqua"/>
                <w:color w:val="000000"/>
                <w:sz w:val="24"/>
                <w:szCs w:val="24"/>
              </w:rPr>
              <w:t>Uncompressed NGV1</w:t>
            </w:r>
          </w:p>
        </w:tc>
        <w:tc>
          <w:tcPr>
            <w:tcW w:w="1692" w:type="dxa"/>
            <w:tcBorders>
              <w:top w:val="single" w:sz="4" w:space="0" w:color="auto"/>
              <w:left w:val="single" w:sz="4" w:space="0" w:color="auto"/>
              <w:bottom w:val="single" w:sz="4" w:space="0" w:color="auto"/>
              <w:right w:val="single" w:sz="4" w:space="0" w:color="auto"/>
            </w:tcBorders>
          </w:tcPr>
          <w:p w14:paraId="596A7564" w14:textId="77777777" w:rsidR="001164FC" w:rsidRPr="00BB0335" w:rsidRDefault="001164FC" w:rsidP="008550CD">
            <w:pPr>
              <w:widowControl w:val="0"/>
              <w:ind w:firstLine="166"/>
              <w:jc w:val="center"/>
              <w:rPr>
                <w:color w:val="000000"/>
                <w:sz w:val="24"/>
                <w:szCs w:val="24"/>
              </w:rPr>
            </w:pPr>
            <w:r w:rsidRPr="00BB0335">
              <w:rPr>
                <w:color w:val="000000"/>
                <w:sz w:val="24"/>
                <w:szCs w:val="24"/>
              </w:rPr>
              <w:t>7,984</w:t>
            </w:r>
          </w:p>
        </w:tc>
        <w:tc>
          <w:tcPr>
            <w:tcW w:w="1350" w:type="dxa"/>
            <w:tcBorders>
              <w:top w:val="single" w:sz="4" w:space="0" w:color="auto"/>
              <w:left w:val="single" w:sz="4" w:space="0" w:color="auto"/>
              <w:bottom w:val="single" w:sz="4" w:space="0" w:color="auto"/>
              <w:right w:val="single" w:sz="4" w:space="0" w:color="auto"/>
            </w:tcBorders>
          </w:tcPr>
          <w:p w14:paraId="6426743D" w14:textId="77777777" w:rsidR="001164FC" w:rsidRPr="00BB0335" w:rsidRDefault="001164FC" w:rsidP="008550CD">
            <w:pPr>
              <w:widowControl w:val="0"/>
              <w:jc w:val="center"/>
              <w:rPr>
                <w:color w:val="000000"/>
                <w:sz w:val="24"/>
                <w:szCs w:val="24"/>
              </w:rPr>
            </w:pPr>
            <w:r w:rsidRPr="00BB0335">
              <w:rPr>
                <w:color w:val="000000"/>
                <w:sz w:val="24"/>
                <w:szCs w:val="24"/>
              </w:rPr>
              <w:t>4,793</w:t>
            </w:r>
          </w:p>
        </w:tc>
        <w:tc>
          <w:tcPr>
            <w:tcW w:w="1980" w:type="dxa"/>
            <w:tcBorders>
              <w:top w:val="single" w:sz="4" w:space="0" w:color="auto"/>
              <w:left w:val="single" w:sz="4" w:space="0" w:color="auto"/>
              <w:bottom w:val="single" w:sz="4" w:space="0" w:color="auto"/>
              <w:right w:val="single" w:sz="4" w:space="0" w:color="auto"/>
            </w:tcBorders>
          </w:tcPr>
          <w:p w14:paraId="32462C1E" w14:textId="77777777" w:rsidR="001164FC" w:rsidRPr="00BB0335" w:rsidRDefault="001164FC" w:rsidP="008550CD">
            <w:pPr>
              <w:pStyle w:val="BodyText"/>
              <w:widowControl w:val="0"/>
              <w:numPr>
                <w:ilvl w:val="12"/>
                <w:numId w:val="0"/>
              </w:numPr>
              <w:spacing w:after="0"/>
              <w:jc w:val="center"/>
              <w:rPr>
                <w:rFonts w:ascii="Book Antiqua" w:hAnsi="Book Antiqua"/>
                <w:sz w:val="24"/>
                <w:szCs w:val="24"/>
              </w:rPr>
            </w:pPr>
            <w:r w:rsidRPr="00BB0335">
              <w:rPr>
                <w:rFonts w:ascii="Book Antiqua" w:hAnsi="Book Antiqua"/>
                <w:sz w:val="24"/>
                <w:szCs w:val="24"/>
              </w:rPr>
              <w:t>($3,190)</w:t>
            </w:r>
          </w:p>
        </w:tc>
      </w:tr>
      <w:tr w:rsidR="001164FC" w:rsidRPr="00F63979" w14:paraId="33732807" w14:textId="77777777" w:rsidTr="00031C40">
        <w:trPr>
          <w:trHeight w:val="134"/>
        </w:trPr>
        <w:tc>
          <w:tcPr>
            <w:tcW w:w="743" w:type="dxa"/>
            <w:tcBorders>
              <w:top w:val="single" w:sz="4" w:space="0" w:color="auto"/>
              <w:left w:val="single" w:sz="4" w:space="0" w:color="auto"/>
              <w:bottom w:val="single" w:sz="4" w:space="0" w:color="auto"/>
              <w:right w:val="single" w:sz="4" w:space="0" w:color="auto"/>
            </w:tcBorders>
          </w:tcPr>
          <w:p w14:paraId="1B21161E" w14:textId="77777777" w:rsidR="001164FC" w:rsidRPr="00F63979" w:rsidRDefault="001164FC" w:rsidP="00031C40">
            <w:pPr>
              <w:pStyle w:val="BodyText"/>
              <w:widowControl w:val="0"/>
              <w:numPr>
                <w:ilvl w:val="12"/>
                <w:numId w:val="0"/>
              </w:numPr>
              <w:spacing w:after="0"/>
              <w:jc w:val="center"/>
              <w:rPr>
                <w:rFonts w:ascii="Book Antiqua" w:hAnsi="Book Antiqua"/>
                <w:color w:val="000000"/>
                <w:sz w:val="24"/>
                <w:szCs w:val="24"/>
              </w:rPr>
            </w:pPr>
            <w:r w:rsidRPr="00F63979">
              <w:rPr>
                <w:rFonts w:ascii="Book Antiqua" w:hAnsi="Book Antiqua"/>
                <w:color w:val="000000"/>
                <w:sz w:val="24"/>
                <w:szCs w:val="24"/>
              </w:rPr>
              <w:t>5</w:t>
            </w:r>
          </w:p>
        </w:tc>
        <w:tc>
          <w:tcPr>
            <w:tcW w:w="3235" w:type="dxa"/>
            <w:tcBorders>
              <w:top w:val="single" w:sz="4" w:space="0" w:color="auto"/>
              <w:left w:val="single" w:sz="4" w:space="0" w:color="auto"/>
              <w:bottom w:val="single" w:sz="4" w:space="0" w:color="auto"/>
              <w:right w:val="single" w:sz="4" w:space="0" w:color="auto"/>
            </w:tcBorders>
          </w:tcPr>
          <w:p w14:paraId="5F5A30F9" w14:textId="77777777" w:rsidR="001164FC" w:rsidRPr="00D322AD" w:rsidRDefault="001164FC" w:rsidP="00031C40">
            <w:pPr>
              <w:pStyle w:val="BodyText"/>
              <w:widowControl w:val="0"/>
              <w:numPr>
                <w:ilvl w:val="12"/>
                <w:numId w:val="0"/>
              </w:numPr>
              <w:spacing w:after="0"/>
              <w:rPr>
                <w:rFonts w:ascii="Book Antiqua" w:hAnsi="Book Antiqua"/>
                <w:color w:val="000000"/>
                <w:sz w:val="24"/>
                <w:szCs w:val="24"/>
              </w:rPr>
            </w:pPr>
            <w:r w:rsidRPr="00D322AD">
              <w:rPr>
                <w:rFonts w:ascii="Book Antiqua" w:hAnsi="Book Antiqua"/>
                <w:color w:val="000000"/>
                <w:sz w:val="24"/>
                <w:szCs w:val="24"/>
              </w:rPr>
              <w:t>Compression Cost  G</w:t>
            </w:r>
            <w:r w:rsidR="00CE5578">
              <w:rPr>
                <w:rFonts w:ascii="Book Antiqua" w:hAnsi="Book Antiqua"/>
                <w:color w:val="000000"/>
                <w:sz w:val="24"/>
                <w:szCs w:val="24"/>
              </w:rPr>
              <w:t>-</w:t>
            </w:r>
            <w:r w:rsidRPr="00D322AD">
              <w:rPr>
                <w:rFonts w:ascii="Book Antiqua" w:hAnsi="Book Antiqua"/>
                <w:color w:val="000000"/>
                <w:sz w:val="24"/>
                <w:szCs w:val="24"/>
              </w:rPr>
              <w:t>NGV2</w:t>
            </w:r>
          </w:p>
        </w:tc>
        <w:tc>
          <w:tcPr>
            <w:tcW w:w="1692" w:type="dxa"/>
            <w:tcBorders>
              <w:top w:val="single" w:sz="4" w:space="0" w:color="auto"/>
              <w:left w:val="single" w:sz="4" w:space="0" w:color="auto"/>
              <w:bottom w:val="single" w:sz="4" w:space="0" w:color="auto"/>
              <w:right w:val="single" w:sz="4" w:space="0" w:color="auto"/>
            </w:tcBorders>
          </w:tcPr>
          <w:p w14:paraId="2215A384" w14:textId="77777777" w:rsidR="001164FC" w:rsidRPr="00BB0335" w:rsidRDefault="001164FC" w:rsidP="008550CD">
            <w:pPr>
              <w:widowControl w:val="0"/>
              <w:jc w:val="center"/>
              <w:rPr>
                <w:color w:val="000000"/>
                <w:sz w:val="24"/>
                <w:szCs w:val="24"/>
              </w:rPr>
            </w:pPr>
            <w:r w:rsidRPr="00BB0335">
              <w:rPr>
                <w:color w:val="000000"/>
                <w:sz w:val="24"/>
                <w:szCs w:val="24"/>
              </w:rPr>
              <w:t>4,705</w:t>
            </w:r>
          </w:p>
        </w:tc>
        <w:tc>
          <w:tcPr>
            <w:tcW w:w="1350" w:type="dxa"/>
            <w:tcBorders>
              <w:top w:val="single" w:sz="4" w:space="0" w:color="auto"/>
              <w:left w:val="single" w:sz="4" w:space="0" w:color="auto"/>
              <w:bottom w:val="single" w:sz="4" w:space="0" w:color="auto"/>
              <w:right w:val="single" w:sz="4" w:space="0" w:color="auto"/>
            </w:tcBorders>
          </w:tcPr>
          <w:p w14:paraId="332EB760" w14:textId="77777777" w:rsidR="001164FC" w:rsidRPr="00BB0335" w:rsidRDefault="001164FC" w:rsidP="008550CD">
            <w:pPr>
              <w:widowControl w:val="0"/>
              <w:jc w:val="center"/>
              <w:rPr>
                <w:color w:val="000000"/>
                <w:sz w:val="24"/>
                <w:szCs w:val="24"/>
              </w:rPr>
            </w:pPr>
            <w:r w:rsidRPr="00BB0335">
              <w:rPr>
                <w:color w:val="000000"/>
                <w:sz w:val="24"/>
                <w:szCs w:val="24"/>
              </w:rPr>
              <w:t>3,914</w:t>
            </w:r>
          </w:p>
        </w:tc>
        <w:tc>
          <w:tcPr>
            <w:tcW w:w="1980" w:type="dxa"/>
            <w:tcBorders>
              <w:top w:val="single" w:sz="4" w:space="0" w:color="auto"/>
              <w:left w:val="single" w:sz="4" w:space="0" w:color="auto"/>
              <w:bottom w:val="single" w:sz="4" w:space="0" w:color="auto"/>
              <w:right w:val="single" w:sz="4" w:space="0" w:color="auto"/>
            </w:tcBorders>
          </w:tcPr>
          <w:p w14:paraId="223DAF19" w14:textId="77777777" w:rsidR="001164FC" w:rsidRPr="00BB0335" w:rsidRDefault="001164FC" w:rsidP="008550CD">
            <w:pPr>
              <w:pStyle w:val="BodyText"/>
              <w:widowControl w:val="0"/>
              <w:numPr>
                <w:ilvl w:val="12"/>
                <w:numId w:val="0"/>
              </w:numPr>
              <w:spacing w:after="0"/>
              <w:jc w:val="center"/>
              <w:rPr>
                <w:rFonts w:ascii="Book Antiqua" w:hAnsi="Book Antiqua"/>
                <w:sz w:val="24"/>
                <w:szCs w:val="24"/>
              </w:rPr>
            </w:pPr>
            <w:r w:rsidRPr="00BB0335">
              <w:rPr>
                <w:rFonts w:ascii="Book Antiqua" w:hAnsi="Book Antiqua"/>
                <w:sz w:val="24"/>
                <w:szCs w:val="24"/>
              </w:rPr>
              <w:t>($791)</w:t>
            </w:r>
          </w:p>
        </w:tc>
      </w:tr>
      <w:tr w:rsidR="001164FC" w:rsidRPr="00F63979" w14:paraId="27270A43" w14:textId="77777777" w:rsidTr="00031C40">
        <w:trPr>
          <w:trHeight w:val="134"/>
        </w:trPr>
        <w:tc>
          <w:tcPr>
            <w:tcW w:w="743" w:type="dxa"/>
            <w:tcBorders>
              <w:top w:val="single" w:sz="4" w:space="0" w:color="auto"/>
              <w:left w:val="single" w:sz="4" w:space="0" w:color="auto"/>
              <w:bottom w:val="single" w:sz="4" w:space="0" w:color="auto"/>
              <w:right w:val="single" w:sz="4" w:space="0" w:color="auto"/>
            </w:tcBorders>
          </w:tcPr>
          <w:p w14:paraId="63D35521" w14:textId="77777777" w:rsidR="001164FC" w:rsidRPr="00F63979" w:rsidRDefault="001164FC" w:rsidP="00031C40">
            <w:pPr>
              <w:pStyle w:val="BodyText"/>
              <w:widowControl w:val="0"/>
              <w:numPr>
                <w:ilvl w:val="12"/>
                <w:numId w:val="0"/>
              </w:numPr>
              <w:spacing w:after="0"/>
              <w:jc w:val="center"/>
              <w:rPr>
                <w:rFonts w:ascii="Book Antiqua" w:hAnsi="Book Antiqua"/>
                <w:sz w:val="24"/>
                <w:szCs w:val="24"/>
              </w:rPr>
            </w:pPr>
            <w:r w:rsidRPr="00F63979">
              <w:rPr>
                <w:rFonts w:ascii="Book Antiqua" w:hAnsi="Book Antiqua"/>
                <w:sz w:val="24"/>
                <w:szCs w:val="24"/>
              </w:rPr>
              <w:t>6</w:t>
            </w:r>
          </w:p>
        </w:tc>
        <w:tc>
          <w:tcPr>
            <w:tcW w:w="3235" w:type="dxa"/>
            <w:tcBorders>
              <w:top w:val="single" w:sz="4" w:space="0" w:color="auto"/>
              <w:left w:val="single" w:sz="4" w:space="0" w:color="auto"/>
              <w:bottom w:val="single" w:sz="4" w:space="0" w:color="auto"/>
              <w:right w:val="single" w:sz="4" w:space="0" w:color="auto"/>
            </w:tcBorders>
          </w:tcPr>
          <w:p w14:paraId="3D75C2DB" w14:textId="77777777" w:rsidR="001164FC" w:rsidRPr="00D322AD" w:rsidRDefault="001164FC" w:rsidP="00031C40">
            <w:pPr>
              <w:pStyle w:val="BodyText"/>
              <w:widowControl w:val="0"/>
              <w:numPr>
                <w:ilvl w:val="12"/>
                <w:numId w:val="0"/>
              </w:numPr>
              <w:spacing w:after="0"/>
              <w:jc w:val="right"/>
              <w:rPr>
                <w:rFonts w:ascii="Book Antiqua" w:hAnsi="Book Antiqua"/>
                <w:b/>
                <w:sz w:val="24"/>
                <w:szCs w:val="24"/>
              </w:rPr>
            </w:pPr>
            <w:r w:rsidRPr="00D322AD">
              <w:rPr>
                <w:rFonts w:ascii="Book Antiqua" w:hAnsi="Book Antiqua"/>
                <w:b/>
                <w:sz w:val="24"/>
                <w:szCs w:val="24"/>
              </w:rPr>
              <w:t>Total Core</w:t>
            </w:r>
          </w:p>
        </w:tc>
        <w:tc>
          <w:tcPr>
            <w:tcW w:w="1692" w:type="dxa"/>
            <w:tcBorders>
              <w:top w:val="single" w:sz="4" w:space="0" w:color="auto"/>
              <w:left w:val="single" w:sz="4" w:space="0" w:color="auto"/>
              <w:bottom w:val="single" w:sz="4" w:space="0" w:color="auto"/>
              <w:right w:val="single" w:sz="4" w:space="0" w:color="auto"/>
            </w:tcBorders>
          </w:tcPr>
          <w:p w14:paraId="69C12CAA" w14:textId="77777777" w:rsidR="001164FC" w:rsidRPr="00BB0335" w:rsidRDefault="001164FC" w:rsidP="008550CD">
            <w:pPr>
              <w:pStyle w:val="BodyText"/>
              <w:widowControl w:val="0"/>
              <w:numPr>
                <w:ilvl w:val="12"/>
                <w:numId w:val="0"/>
              </w:numPr>
              <w:spacing w:after="0"/>
              <w:jc w:val="center"/>
              <w:rPr>
                <w:rFonts w:ascii="Book Antiqua" w:hAnsi="Book Antiqua"/>
                <w:b/>
                <w:sz w:val="24"/>
                <w:szCs w:val="24"/>
              </w:rPr>
            </w:pPr>
            <w:r w:rsidRPr="00BB0335">
              <w:rPr>
                <w:rFonts w:ascii="Book Antiqua" w:hAnsi="Book Antiqua"/>
                <w:b/>
                <w:color w:val="000000"/>
                <w:sz w:val="24"/>
                <w:szCs w:val="24"/>
              </w:rPr>
              <w:t>1,685,258</w:t>
            </w:r>
          </w:p>
        </w:tc>
        <w:tc>
          <w:tcPr>
            <w:tcW w:w="1350" w:type="dxa"/>
            <w:tcBorders>
              <w:top w:val="single" w:sz="4" w:space="0" w:color="auto"/>
              <w:left w:val="single" w:sz="4" w:space="0" w:color="auto"/>
              <w:bottom w:val="single" w:sz="4" w:space="0" w:color="auto"/>
              <w:right w:val="single" w:sz="4" w:space="0" w:color="auto"/>
            </w:tcBorders>
          </w:tcPr>
          <w:p w14:paraId="32DB5F2F" w14:textId="77777777" w:rsidR="001164FC" w:rsidRPr="00BB0335" w:rsidRDefault="001164FC" w:rsidP="008550CD">
            <w:pPr>
              <w:widowControl w:val="0"/>
              <w:jc w:val="center"/>
              <w:rPr>
                <w:b/>
                <w:color w:val="000000"/>
                <w:sz w:val="24"/>
                <w:szCs w:val="24"/>
              </w:rPr>
            </w:pPr>
            <w:r w:rsidRPr="00BB0335">
              <w:rPr>
                <w:b/>
                <w:color w:val="000000"/>
                <w:sz w:val="24"/>
                <w:szCs w:val="24"/>
              </w:rPr>
              <w:t>1,727,363</w:t>
            </w:r>
          </w:p>
        </w:tc>
        <w:tc>
          <w:tcPr>
            <w:tcW w:w="1980" w:type="dxa"/>
            <w:tcBorders>
              <w:top w:val="single" w:sz="4" w:space="0" w:color="auto"/>
              <w:left w:val="single" w:sz="4" w:space="0" w:color="auto"/>
              <w:bottom w:val="single" w:sz="4" w:space="0" w:color="auto"/>
              <w:right w:val="single" w:sz="4" w:space="0" w:color="auto"/>
            </w:tcBorders>
          </w:tcPr>
          <w:p w14:paraId="24DF575B" w14:textId="77777777" w:rsidR="001164FC" w:rsidRPr="00F63979" w:rsidRDefault="001164FC" w:rsidP="008550CD">
            <w:pPr>
              <w:pStyle w:val="BodyText"/>
              <w:widowControl w:val="0"/>
              <w:numPr>
                <w:ilvl w:val="12"/>
                <w:numId w:val="0"/>
              </w:numPr>
              <w:spacing w:after="0"/>
              <w:jc w:val="center"/>
              <w:rPr>
                <w:rFonts w:ascii="Book Antiqua" w:hAnsi="Book Antiqua"/>
                <w:b/>
                <w:sz w:val="24"/>
                <w:szCs w:val="24"/>
              </w:rPr>
            </w:pPr>
            <w:r w:rsidRPr="00F63979">
              <w:rPr>
                <w:rFonts w:ascii="Book Antiqua" w:hAnsi="Book Antiqua"/>
                <w:b/>
                <w:sz w:val="24"/>
                <w:szCs w:val="24"/>
              </w:rPr>
              <w:t>$42,104</w:t>
            </w:r>
          </w:p>
        </w:tc>
      </w:tr>
      <w:tr w:rsidR="001164FC" w:rsidRPr="00F63979" w14:paraId="73CCA198" w14:textId="77777777" w:rsidTr="00031C40">
        <w:trPr>
          <w:trHeight w:val="57"/>
        </w:trPr>
        <w:tc>
          <w:tcPr>
            <w:tcW w:w="743" w:type="dxa"/>
            <w:tcBorders>
              <w:top w:val="single" w:sz="4" w:space="0" w:color="auto"/>
              <w:left w:val="single" w:sz="4" w:space="0" w:color="auto"/>
              <w:bottom w:val="single" w:sz="4" w:space="0" w:color="auto"/>
              <w:right w:val="single" w:sz="4" w:space="0" w:color="auto"/>
            </w:tcBorders>
          </w:tcPr>
          <w:p w14:paraId="1FC17BC4" w14:textId="77777777" w:rsidR="001164FC" w:rsidRPr="00F63979" w:rsidRDefault="001164FC" w:rsidP="00031C40">
            <w:pPr>
              <w:pStyle w:val="BodyText"/>
              <w:widowControl w:val="0"/>
              <w:numPr>
                <w:ilvl w:val="12"/>
                <w:numId w:val="0"/>
              </w:numPr>
              <w:spacing w:after="0"/>
              <w:jc w:val="center"/>
              <w:rPr>
                <w:rFonts w:ascii="Book Antiqua" w:hAnsi="Book Antiqua"/>
                <w:sz w:val="24"/>
                <w:szCs w:val="24"/>
              </w:rPr>
            </w:pPr>
            <w:r w:rsidRPr="00F63979">
              <w:rPr>
                <w:rFonts w:ascii="Book Antiqua" w:hAnsi="Book Antiqua"/>
                <w:sz w:val="24"/>
                <w:szCs w:val="24"/>
              </w:rPr>
              <w:t>7</w:t>
            </w:r>
          </w:p>
        </w:tc>
        <w:tc>
          <w:tcPr>
            <w:tcW w:w="3235" w:type="dxa"/>
            <w:tcBorders>
              <w:top w:val="single" w:sz="4" w:space="0" w:color="auto"/>
              <w:left w:val="single" w:sz="4" w:space="0" w:color="auto"/>
              <w:bottom w:val="single" w:sz="4" w:space="0" w:color="auto"/>
              <w:right w:val="single" w:sz="4" w:space="0" w:color="auto"/>
            </w:tcBorders>
          </w:tcPr>
          <w:p w14:paraId="5CB5D65C" w14:textId="77777777" w:rsidR="001164FC" w:rsidRPr="00D322AD" w:rsidRDefault="001164FC" w:rsidP="00031C40">
            <w:pPr>
              <w:pStyle w:val="BodyText"/>
              <w:widowControl w:val="0"/>
              <w:numPr>
                <w:ilvl w:val="12"/>
                <w:numId w:val="0"/>
              </w:numPr>
              <w:spacing w:after="0"/>
              <w:rPr>
                <w:rFonts w:ascii="Book Antiqua" w:hAnsi="Book Antiqua"/>
                <w:sz w:val="24"/>
                <w:szCs w:val="24"/>
              </w:rPr>
            </w:pPr>
            <w:r w:rsidRPr="00D322AD">
              <w:rPr>
                <w:rFonts w:ascii="Book Antiqua" w:hAnsi="Book Antiqua"/>
                <w:color w:val="000000"/>
                <w:sz w:val="24"/>
                <w:szCs w:val="24"/>
              </w:rPr>
              <w:t>Industrial Distribution</w:t>
            </w:r>
          </w:p>
        </w:tc>
        <w:tc>
          <w:tcPr>
            <w:tcW w:w="1692" w:type="dxa"/>
            <w:tcBorders>
              <w:top w:val="single" w:sz="4" w:space="0" w:color="auto"/>
              <w:left w:val="single" w:sz="4" w:space="0" w:color="auto"/>
              <w:bottom w:val="single" w:sz="4" w:space="0" w:color="auto"/>
              <w:right w:val="single" w:sz="4" w:space="0" w:color="auto"/>
            </w:tcBorders>
          </w:tcPr>
          <w:p w14:paraId="46ED5E30" w14:textId="77777777" w:rsidR="001164FC" w:rsidRPr="00BB0335" w:rsidRDefault="001164FC" w:rsidP="008550CD">
            <w:pPr>
              <w:widowControl w:val="0"/>
              <w:jc w:val="center"/>
              <w:rPr>
                <w:color w:val="000000"/>
                <w:sz w:val="24"/>
                <w:szCs w:val="24"/>
              </w:rPr>
            </w:pPr>
            <w:r w:rsidRPr="00BB0335">
              <w:rPr>
                <w:color w:val="000000"/>
                <w:sz w:val="24"/>
                <w:szCs w:val="24"/>
              </w:rPr>
              <w:t>74,845</w:t>
            </w:r>
          </w:p>
        </w:tc>
        <w:tc>
          <w:tcPr>
            <w:tcW w:w="1350" w:type="dxa"/>
            <w:tcBorders>
              <w:top w:val="single" w:sz="4" w:space="0" w:color="auto"/>
              <w:left w:val="single" w:sz="4" w:space="0" w:color="auto"/>
              <w:bottom w:val="single" w:sz="4" w:space="0" w:color="auto"/>
              <w:right w:val="single" w:sz="4" w:space="0" w:color="auto"/>
            </w:tcBorders>
          </w:tcPr>
          <w:p w14:paraId="1B433E51" w14:textId="77777777" w:rsidR="001164FC" w:rsidRPr="00BB0335" w:rsidRDefault="001164FC" w:rsidP="008550CD">
            <w:pPr>
              <w:widowControl w:val="0"/>
              <w:jc w:val="center"/>
              <w:rPr>
                <w:color w:val="000000"/>
                <w:sz w:val="24"/>
                <w:szCs w:val="24"/>
              </w:rPr>
            </w:pPr>
            <w:r w:rsidRPr="00BB0335">
              <w:rPr>
                <w:color w:val="000000"/>
                <w:sz w:val="24"/>
                <w:szCs w:val="24"/>
              </w:rPr>
              <w:t>42,964</w:t>
            </w:r>
          </w:p>
        </w:tc>
        <w:tc>
          <w:tcPr>
            <w:tcW w:w="1980" w:type="dxa"/>
            <w:tcBorders>
              <w:top w:val="single" w:sz="4" w:space="0" w:color="auto"/>
              <w:left w:val="single" w:sz="4" w:space="0" w:color="auto"/>
              <w:bottom w:val="single" w:sz="4" w:space="0" w:color="auto"/>
              <w:right w:val="single" w:sz="4" w:space="0" w:color="auto"/>
            </w:tcBorders>
          </w:tcPr>
          <w:p w14:paraId="7DBA6BF5" w14:textId="77777777" w:rsidR="001164FC" w:rsidRPr="00BB0335" w:rsidRDefault="001164FC" w:rsidP="008550CD">
            <w:pPr>
              <w:pStyle w:val="BodyText"/>
              <w:widowControl w:val="0"/>
              <w:numPr>
                <w:ilvl w:val="12"/>
                <w:numId w:val="0"/>
              </w:numPr>
              <w:spacing w:after="0"/>
              <w:jc w:val="center"/>
              <w:rPr>
                <w:rFonts w:ascii="Book Antiqua" w:hAnsi="Book Antiqua"/>
                <w:sz w:val="24"/>
                <w:szCs w:val="24"/>
              </w:rPr>
            </w:pPr>
            <w:r w:rsidRPr="00BB0335">
              <w:rPr>
                <w:rFonts w:ascii="Book Antiqua" w:hAnsi="Book Antiqua"/>
                <w:sz w:val="24"/>
                <w:szCs w:val="24"/>
              </w:rPr>
              <w:t>($31,881)</w:t>
            </w:r>
          </w:p>
        </w:tc>
      </w:tr>
      <w:tr w:rsidR="001164FC" w:rsidRPr="00F63979" w14:paraId="5DBAF52C" w14:textId="77777777" w:rsidTr="00031C40">
        <w:trPr>
          <w:trHeight w:val="57"/>
        </w:trPr>
        <w:tc>
          <w:tcPr>
            <w:tcW w:w="743" w:type="dxa"/>
            <w:tcBorders>
              <w:top w:val="single" w:sz="4" w:space="0" w:color="auto"/>
              <w:left w:val="single" w:sz="4" w:space="0" w:color="auto"/>
              <w:bottom w:val="single" w:sz="4" w:space="0" w:color="auto"/>
              <w:right w:val="single" w:sz="4" w:space="0" w:color="auto"/>
            </w:tcBorders>
          </w:tcPr>
          <w:p w14:paraId="0C602D59" w14:textId="77777777" w:rsidR="001164FC" w:rsidRPr="00F63979" w:rsidRDefault="001164FC" w:rsidP="00031C40">
            <w:pPr>
              <w:pStyle w:val="BodyText"/>
              <w:widowControl w:val="0"/>
              <w:numPr>
                <w:ilvl w:val="12"/>
                <w:numId w:val="0"/>
              </w:numPr>
              <w:spacing w:after="0"/>
              <w:jc w:val="center"/>
              <w:rPr>
                <w:rFonts w:ascii="Book Antiqua" w:hAnsi="Book Antiqua"/>
                <w:sz w:val="24"/>
                <w:szCs w:val="24"/>
              </w:rPr>
            </w:pPr>
            <w:r w:rsidRPr="00F63979">
              <w:rPr>
                <w:rFonts w:ascii="Book Antiqua" w:hAnsi="Book Antiqua"/>
                <w:sz w:val="24"/>
                <w:szCs w:val="24"/>
              </w:rPr>
              <w:t>8</w:t>
            </w:r>
          </w:p>
        </w:tc>
        <w:tc>
          <w:tcPr>
            <w:tcW w:w="3235" w:type="dxa"/>
            <w:tcBorders>
              <w:top w:val="single" w:sz="4" w:space="0" w:color="auto"/>
              <w:left w:val="single" w:sz="4" w:space="0" w:color="auto"/>
              <w:bottom w:val="single" w:sz="4" w:space="0" w:color="auto"/>
              <w:right w:val="single" w:sz="4" w:space="0" w:color="auto"/>
            </w:tcBorders>
          </w:tcPr>
          <w:p w14:paraId="60B85CD0" w14:textId="77777777" w:rsidR="001164FC" w:rsidRPr="00D322AD" w:rsidRDefault="001164FC" w:rsidP="00031C40">
            <w:pPr>
              <w:pStyle w:val="BodyText"/>
              <w:widowControl w:val="0"/>
              <w:numPr>
                <w:ilvl w:val="12"/>
                <w:numId w:val="0"/>
              </w:numPr>
              <w:spacing w:after="0"/>
              <w:rPr>
                <w:rFonts w:ascii="Book Antiqua" w:hAnsi="Book Antiqua"/>
                <w:sz w:val="24"/>
                <w:szCs w:val="24"/>
              </w:rPr>
            </w:pPr>
            <w:r w:rsidRPr="00D322AD">
              <w:rPr>
                <w:rFonts w:ascii="Book Antiqua" w:hAnsi="Book Antiqua"/>
                <w:color w:val="000000"/>
                <w:sz w:val="24"/>
                <w:szCs w:val="24"/>
              </w:rPr>
              <w:t>Industrial Transmission</w:t>
            </w:r>
          </w:p>
        </w:tc>
        <w:tc>
          <w:tcPr>
            <w:tcW w:w="1692" w:type="dxa"/>
            <w:tcBorders>
              <w:top w:val="single" w:sz="4" w:space="0" w:color="auto"/>
              <w:left w:val="single" w:sz="4" w:space="0" w:color="auto"/>
              <w:bottom w:val="single" w:sz="4" w:space="0" w:color="auto"/>
              <w:right w:val="single" w:sz="4" w:space="0" w:color="auto"/>
            </w:tcBorders>
          </w:tcPr>
          <w:p w14:paraId="1BCD7B38" w14:textId="77777777" w:rsidR="001164FC" w:rsidRPr="00BB0335" w:rsidRDefault="001164FC" w:rsidP="008550CD">
            <w:pPr>
              <w:widowControl w:val="0"/>
              <w:jc w:val="center"/>
              <w:rPr>
                <w:color w:val="000000"/>
                <w:sz w:val="24"/>
                <w:szCs w:val="24"/>
              </w:rPr>
            </w:pPr>
            <w:r w:rsidRPr="00BB0335">
              <w:rPr>
                <w:color w:val="000000"/>
                <w:sz w:val="24"/>
                <w:szCs w:val="24"/>
              </w:rPr>
              <w:t>20,710</w:t>
            </w:r>
          </w:p>
        </w:tc>
        <w:tc>
          <w:tcPr>
            <w:tcW w:w="1350" w:type="dxa"/>
            <w:tcBorders>
              <w:top w:val="single" w:sz="4" w:space="0" w:color="auto"/>
              <w:left w:val="single" w:sz="4" w:space="0" w:color="auto"/>
              <w:bottom w:val="single" w:sz="4" w:space="0" w:color="auto"/>
              <w:right w:val="single" w:sz="4" w:space="0" w:color="auto"/>
            </w:tcBorders>
          </w:tcPr>
          <w:p w14:paraId="34FCDD26" w14:textId="77777777" w:rsidR="001164FC" w:rsidRPr="00BB0335" w:rsidRDefault="001164FC" w:rsidP="008550CD">
            <w:pPr>
              <w:widowControl w:val="0"/>
              <w:jc w:val="center"/>
              <w:rPr>
                <w:color w:val="000000"/>
                <w:sz w:val="24"/>
                <w:szCs w:val="24"/>
              </w:rPr>
            </w:pPr>
            <w:r w:rsidRPr="00BB0335">
              <w:rPr>
                <w:color w:val="000000"/>
                <w:sz w:val="24"/>
                <w:szCs w:val="24"/>
              </w:rPr>
              <w:t>11,231</w:t>
            </w:r>
          </w:p>
        </w:tc>
        <w:tc>
          <w:tcPr>
            <w:tcW w:w="1980" w:type="dxa"/>
            <w:tcBorders>
              <w:top w:val="single" w:sz="4" w:space="0" w:color="auto"/>
              <w:left w:val="single" w:sz="4" w:space="0" w:color="auto"/>
              <w:bottom w:val="single" w:sz="4" w:space="0" w:color="auto"/>
              <w:right w:val="single" w:sz="4" w:space="0" w:color="auto"/>
            </w:tcBorders>
          </w:tcPr>
          <w:p w14:paraId="63BCD16C" w14:textId="77777777" w:rsidR="001164FC" w:rsidRPr="00BB0335" w:rsidRDefault="001164FC" w:rsidP="008550CD">
            <w:pPr>
              <w:pStyle w:val="BodyText"/>
              <w:widowControl w:val="0"/>
              <w:numPr>
                <w:ilvl w:val="12"/>
                <w:numId w:val="0"/>
              </w:numPr>
              <w:spacing w:after="0"/>
              <w:jc w:val="center"/>
              <w:rPr>
                <w:rFonts w:ascii="Book Antiqua" w:hAnsi="Book Antiqua"/>
                <w:sz w:val="24"/>
                <w:szCs w:val="24"/>
              </w:rPr>
            </w:pPr>
            <w:r w:rsidRPr="00BB0335">
              <w:rPr>
                <w:rFonts w:ascii="Book Antiqua" w:hAnsi="Book Antiqua"/>
                <w:sz w:val="24"/>
                <w:szCs w:val="24"/>
              </w:rPr>
              <w:t>($9,479)</w:t>
            </w:r>
          </w:p>
        </w:tc>
      </w:tr>
      <w:tr w:rsidR="001164FC" w:rsidRPr="00F63979" w14:paraId="71EA7E3F" w14:textId="77777777" w:rsidTr="00031C40">
        <w:trPr>
          <w:trHeight w:val="155"/>
        </w:trPr>
        <w:tc>
          <w:tcPr>
            <w:tcW w:w="743" w:type="dxa"/>
            <w:tcBorders>
              <w:top w:val="single" w:sz="4" w:space="0" w:color="auto"/>
              <w:left w:val="single" w:sz="4" w:space="0" w:color="auto"/>
              <w:bottom w:val="single" w:sz="4" w:space="0" w:color="auto"/>
              <w:right w:val="single" w:sz="4" w:space="0" w:color="auto"/>
            </w:tcBorders>
          </w:tcPr>
          <w:p w14:paraId="685C8A20" w14:textId="77777777" w:rsidR="001164FC" w:rsidRPr="00F63979" w:rsidRDefault="001164FC" w:rsidP="00031C40">
            <w:pPr>
              <w:pStyle w:val="BodyText"/>
              <w:widowControl w:val="0"/>
              <w:numPr>
                <w:ilvl w:val="12"/>
                <w:numId w:val="0"/>
              </w:numPr>
              <w:spacing w:after="0"/>
              <w:jc w:val="center"/>
              <w:rPr>
                <w:rFonts w:ascii="Book Antiqua" w:hAnsi="Book Antiqua"/>
                <w:sz w:val="24"/>
                <w:szCs w:val="24"/>
              </w:rPr>
            </w:pPr>
            <w:r w:rsidRPr="00F63979">
              <w:rPr>
                <w:rFonts w:ascii="Book Antiqua" w:hAnsi="Book Antiqua"/>
                <w:sz w:val="24"/>
                <w:szCs w:val="24"/>
              </w:rPr>
              <w:t>9</w:t>
            </w:r>
          </w:p>
        </w:tc>
        <w:tc>
          <w:tcPr>
            <w:tcW w:w="3235" w:type="dxa"/>
            <w:tcBorders>
              <w:top w:val="single" w:sz="4" w:space="0" w:color="auto"/>
              <w:left w:val="single" w:sz="4" w:space="0" w:color="auto"/>
              <w:bottom w:val="single" w:sz="4" w:space="0" w:color="auto"/>
              <w:right w:val="single" w:sz="4" w:space="0" w:color="auto"/>
            </w:tcBorders>
          </w:tcPr>
          <w:p w14:paraId="412BD21B" w14:textId="77777777" w:rsidR="001164FC" w:rsidRPr="00D322AD" w:rsidRDefault="001164FC" w:rsidP="00031C40">
            <w:pPr>
              <w:pStyle w:val="BodyText"/>
              <w:widowControl w:val="0"/>
              <w:numPr>
                <w:ilvl w:val="12"/>
                <w:numId w:val="0"/>
              </w:numPr>
              <w:spacing w:after="0"/>
              <w:rPr>
                <w:rFonts w:ascii="Book Antiqua" w:hAnsi="Book Antiqua"/>
                <w:sz w:val="24"/>
                <w:szCs w:val="24"/>
              </w:rPr>
            </w:pPr>
            <w:r w:rsidRPr="00D322AD">
              <w:rPr>
                <w:rFonts w:ascii="Book Antiqua" w:hAnsi="Book Antiqua"/>
                <w:color w:val="000000"/>
                <w:sz w:val="24"/>
                <w:szCs w:val="24"/>
              </w:rPr>
              <w:t>Electric Gen</w:t>
            </w:r>
          </w:p>
        </w:tc>
        <w:tc>
          <w:tcPr>
            <w:tcW w:w="1692" w:type="dxa"/>
            <w:tcBorders>
              <w:top w:val="single" w:sz="4" w:space="0" w:color="auto"/>
              <w:left w:val="single" w:sz="4" w:space="0" w:color="auto"/>
              <w:bottom w:val="single" w:sz="4" w:space="0" w:color="auto"/>
              <w:right w:val="single" w:sz="4" w:space="0" w:color="auto"/>
            </w:tcBorders>
          </w:tcPr>
          <w:p w14:paraId="49281F8A" w14:textId="77777777" w:rsidR="001164FC" w:rsidRPr="00BB0335" w:rsidRDefault="001164FC" w:rsidP="008550CD">
            <w:pPr>
              <w:widowControl w:val="0"/>
              <w:jc w:val="center"/>
              <w:rPr>
                <w:color w:val="000000"/>
                <w:sz w:val="24"/>
                <w:szCs w:val="24"/>
              </w:rPr>
            </w:pPr>
            <w:r w:rsidRPr="00BB0335">
              <w:rPr>
                <w:color w:val="000000"/>
                <w:sz w:val="24"/>
                <w:szCs w:val="24"/>
              </w:rPr>
              <w:t>3,969</w:t>
            </w:r>
          </w:p>
        </w:tc>
        <w:tc>
          <w:tcPr>
            <w:tcW w:w="1350" w:type="dxa"/>
            <w:tcBorders>
              <w:top w:val="single" w:sz="4" w:space="0" w:color="auto"/>
              <w:left w:val="single" w:sz="4" w:space="0" w:color="auto"/>
              <w:bottom w:val="single" w:sz="4" w:space="0" w:color="auto"/>
              <w:right w:val="single" w:sz="4" w:space="0" w:color="auto"/>
            </w:tcBorders>
          </w:tcPr>
          <w:p w14:paraId="234EC0C9" w14:textId="77777777" w:rsidR="001164FC" w:rsidRPr="00BB0335" w:rsidRDefault="001164FC" w:rsidP="008550CD">
            <w:pPr>
              <w:widowControl w:val="0"/>
              <w:jc w:val="center"/>
              <w:rPr>
                <w:color w:val="000000"/>
                <w:sz w:val="24"/>
                <w:szCs w:val="24"/>
              </w:rPr>
            </w:pPr>
            <w:r w:rsidRPr="00BB0335">
              <w:rPr>
                <w:color w:val="000000"/>
                <w:sz w:val="24"/>
                <w:szCs w:val="24"/>
              </w:rPr>
              <w:t>3,565</w:t>
            </w:r>
          </w:p>
        </w:tc>
        <w:tc>
          <w:tcPr>
            <w:tcW w:w="1980" w:type="dxa"/>
            <w:tcBorders>
              <w:top w:val="single" w:sz="4" w:space="0" w:color="auto"/>
              <w:left w:val="single" w:sz="4" w:space="0" w:color="auto"/>
              <w:bottom w:val="single" w:sz="4" w:space="0" w:color="auto"/>
              <w:right w:val="single" w:sz="4" w:space="0" w:color="auto"/>
            </w:tcBorders>
          </w:tcPr>
          <w:p w14:paraId="1F4695B8" w14:textId="77777777" w:rsidR="001164FC" w:rsidRPr="00BB0335" w:rsidRDefault="001164FC" w:rsidP="008550CD">
            <w:pPr>
              <w:pStyle w:val="BodyText"/>
              <w:widowControl w:val="0"/>
              <w:numPr>
                <w:ilvl w:val="12"/>
                <w:numId w:val="0"/>
              </w:numPr>
              <w:spacing w:after="0"/>
              <w:jc w:val="center"/>
              <w:rPr>
                <w:rFonts w:ascii="Book Antiqua" w:hAnsi="Book Antiqua"/>
                <w:sz w:val="24"/>
                <w:szCs w:val="24"/>
              </w:rPr>
            </w:pPr>
            <w:r w:rsidRPr="00BB0335">
              <w:rPr>
                <w:rFonts w:ascii="Book Antiqua" w:hAnsi="Book Antiqua"/>
                <w:sz w:val="24"/>
                <w:szCs w:val="24"/>
              </w:rPr>
              <w:t>($404)</w:t>
            </w:r>
          </w:p>
        </w:tc>
      </w:tr>
      <w:tr w:rsidR="001164FC" w:rsidRPr="00F63979" w14:paraId="64116E84" w14:textId="77777777" w:rsidTr="00031C40">
        <w:trPr>
          <w:trHeight w:val="249"/>
        </w:trPr>
        <w:tc>
          <w:tcPr>
            <w:tcW w:w="743" w:type="dxa"/>
            <w:tcBorders>
              <w:top w:val="single" w:sz="4" w:space="0" w:color="auto"/>
              <w:left w:val="single" w:sz="4" w:space="0" w:color="auto"/>
              <w:bottom w:val="single" w:sz="4" w:space="0" w:color="auto"/>
              <w:right w:val="single" w:sz="4" w:space="0" w:color="auto"/>
            </w:tcBorders>
          </w:tcPr>
          <w:p w14:paraId="4BFA1EE3" w14:textId="77777777" w:rsidR="001164FC" w:rsidRPr="00F63979" w:rsidRDefault="001164FC" w:rsidP="00031C40">
            <w:pPr>
              <w:pStyle w:val="BodyText"/>
              <w:widowControl w:val="0"/>
              <w:numPr>
                <w:ilvl w:val="12"/>
                <w:numId w:val="0"/>
              </w:numPr>
              <w:spacing w:after="0"/>
              <w:jc w:val="center"/>
              <w:rPr>
                <w:rFonts w:ascii="Book Antiqua" w:hAnsi="Book Antiqua"/>
                <w:color w:val="000000"/>
                <w:sz w:val="24"/>
                <w:szCs w:val="24"/>
              </w:rPr>
            </w:pPr>
            <w:r w:rsidRPr="00F63979">
              <w:rPr>
                <w:rFonts w:ascii="Book Antiqua" w:hAnsi="Book Antiqua"/>
                <w:color w:val="000000"/>
                <w:sz w:val="24"/>
                <w:szCs w:val="24"/>
              </w:rPr>
              <w:t>10</w:t>
            </w:r>
          </w:p>
        </w:tc>
        <w:tc>
          <w:tcPr>
            <w:tcW w:w="3235" w:type="dxa"/>
            <w:tcBorders>
              <w:top w:val="single" w:sz="4" w:space="0" w:color="auto"/>
              <w:left w:val="single" w:sz="4" w:space="0" w:color="auto"/>
              <w:bottom w:val="single" w:sz="4" w:space="0" w:color="auto"/>
              <w:right w:val="single" w:sz="4" w:space="0" w:color="auto"/>
            </w:tcBorders>
          </w:tcPr>
          <w:p w14:paraId="557FC8CC" w14:textId="77777777" w:rsidR="001164FC" w:rsidRPr="00D322AD" w:rsidRDefault="001164FC" w:rsidP="00031C40">
            <w:pPr>
              <w:pStyle w:val="BodyText"/>
              <w:widowControl w:val="0"/>
              <w:numPr>
                <w:ilvl w:val="12"/>
                <w:numId w:val="0"/>
              </w:numPr>
              <w:spacing w:after="0"/>
              <w:rPr>
                <w:rFonts w:ascii="Book Antiqua" w:hAnsi="Book Antiqua"/>
                <w:color w:val="000000"/>
                <w:sz w:val="24"/>
                <w:szCs w:val="24"/>
              </w:rPr>
            </w:pPr>
            <w:r w:rsidRPr="00D322AD">
              <w:rPr>
                <w:rFonts w:ascii="Book Antiqua" w:hAnsi="Book Antiqua"/>
                <w:color w:val="000000"/>
                <w:sz w:val="24"/>
                <w:szCs w:val="24"/>
              </w:rPr>
              <w:t>Total Wholesale</w:t>
            </w:r>
          </w:p>
        </w:tc>
        <w:tc>
          <w:tcPr>
            <w:tcW w:w="1692" w:type="dxa"/>
            <w:tcBorders>
              <w:top w:val="single" w:sz="4" w:space="0" w:color="auto"/>
              <w:left w:val="single" w:sz="4" w:space="0" w:color="auto"/>
              <w:bottom w:val="single" w:sz="4" w:space="0" w:color="auto"/>
              <w:right w:val="single" w:sz="4" w:space="0" w:color="auto"/>
            </w:tcBorders>
          </w:tcPr>
          <w:p w14:paraId="22472E40" w14:textId="77777777" w:rsidR="001164FC" w:rsidRPr="00BB0335" w:rsidRDefault="001164FC" w:rsidP="008550CD">
            <w:pPr>
              <w:widowControl w:val="0"/>
              <w:jc w:val="center"/>
              <w:rPr>
                <w:color w:val="000000"/>
                <w:sz w:val="24"/>
                <w:szCs w:val="24"/>
              </w:rPr>
            </w:pPr>
            <w:r w:rsidRPr="00BB0335">
              <w:rPr>
                <w:color w:val="000000"/>
                <w:sz w:val="24"/>
                <w:szCs w:val="24"/>
              </w:rPr>
              <w:t>680</w:t>
            </w:r>
          </w:p>
        </w:tc>
        <w:tc>
          <w:tcPr>
            <w:tcW w:w="1350" w:type="dxa"/>
            <w:tcBorders>
              <w:top w:val="single" w:sz="4" w:space="0" w:color="auto"/>
              <w:left w:val="single" w:sz="4" w:space="0" w:color="auto"/>
              <w:bottom w:val="single" w:sz="4" w:space="0" w:color="auto"/>
              <w:right w:val="single" w:sz="4" w:space="0" w:color="auto"/>
            </w:tcBorders>
          </w:tcPr>
          <w:p w14:paraId="1FC6158F" w14:textId="77777777" w:rsidR="001164FC" w:rsidRPr="00BB0335" w:rsidRDefault="001164FC" w:rsidP="008550CD">
            <w:pPr>
              <w:widowControl w:val="0"/>
              <w:jc w:val="center"/>
              <w:rPr>
                <w:color w:val="000000"/>
                <w:sz w:val="24"/>
                <w:szCs w:val="24"/>
              </w:rPr>
            </w:pPr>
            <w:r w:rsidRPr="00BB0335">
              <w:rPr>
                <w:color w:val="000000"/>
                <w:sz w:val="24"/>
                <w:szCs w:val="24"/>
              </w:rPr>
              <w:t>341</w:t>
            </w:r>
          </w:p>
        </w:tc>
        <w:tc>
          <w:tcPr>
            <w:tcW w:w="1980" w:type="dxa"/>
            <w:tcBorders>
              <w:top w:val="single" w:sz="4" w:space="0" w:color="auto"/>
              <w:left w:val="single" w:sz="4" w:space="0" w:color="auto"/>
              <w:bottom w:val="single" w:sz="4" w:space="0" w:color="auto"/>
              <w:right w:val="single" w:sz="4" w:space="0" w:color="auto"/>
            </w:tcBorders>
          </w:tcPr>
          <w:p w14:paraId="0D35CD4B" w14:textId="77777777" w:rsidR="001164FC" w:rsidRPr="00BB0335" w:rsidRDefault="001164FC" w:rsidP="008550CD">
            <w:pPr>
              <w:pStyle w:val="BodyText"/>
              <w:widowControl w:val="0"/>
              <w:numPr>
                <w:ilvl w:val="12"/>
                <w:numId w:val="0"/>
              </w:numPr>
              <w:spacing w:after="0"/>
              <w:jc w:val="center"/>
              <w:rPr>
                <w:rFonts w:ascii="Book Antiqua" w:hAnsi="Book Antiqua"/>
                <w:sz w:val="24"/>
                <w:szCs w:val="24"/>
              </w:rPr>
            </w:pPr>
            <w:r w:rsidRPr="00BB0335">
              <w:rPr>
                <w:rFonts w:ascii="Book Antiqua" w:hAnsi="Book Antiqua"/>
                <w:sz w:val="24"/>
                <w:szCs w:val="24"/>
              </w:rPr>
              <w:t>($340)</w:t>
            </w:r>
          </w:p>
        </w:tc>
      </w:tr>
      <w:tr w:rsidR="001164FC" w:rsidRPr="00F63979" w14:paraId="35B9B533" w14:textId="77777777" w:rsidTr="00031C40">
        <w:trPr>
          <w:trHeight w:val="249"/>
        </w:trPr>
        <w:tc>
          <w:tcPr>
            <w:tcW w:w="743" w:type="dxa"/>
            <w:tcBorders>
              <w:top w:val="single" w:sz="4" w:space="0" w:color="auto"/>
              <w:left w:val="single" w:sz="4" w:space="0" w:color="auto"/>
              <w:bottom w:val="single" w:sz="4" w:space="0" w:color="auto"/>
              <w:right w:val="single" w:sz="4" w:space="0" w:color="auto"/>
            </w:tcBorders>
          </w:tcPr>
          <w:p w14:paraId="0BC9A79B" w14:textId="77777777" w:rsidR="001164FC" w:rsidRPr="00F63979" w:rsidRDefault="001164FC" w:rsidP="00031C40">
            <w:pPr>
              <w:pStyle w:val="BodyText"/>
              <w:widowControl w:val="0"/>
              <w:numPr>
                <w:ilvl w:val="12"/>
                <w:numId w:val="0"/>
              </w:numPr>
              <w:spacing w:after="0"/>
              <w:jc w:val="center"/>
              <w:rPr>
                <w:rFonts w:ascii="Book Antiqua" w:hAnsi="Book Antiqua"/>
                <w:color w:val="000000"/>
                <w:sz w:val="24"/>
                <w:szCs w:val="24"/>
              </w:rPr>
            </w:pPr>
            <w:r w:rsidRPr="00F63979">
              <w:rPr>
                <w:rFonts w:ascii="Book Antiqua" w:hAnsi="Book Antiqua"/>
                <w:color w:val="000000"/>
                <w:sz w:val="24"/>
                <w:szCs w:val="24"/>
              </w:rPr>
              <w:t>11</w:t>
            </w:r>
          </w:p>
        </w:tc>
        <w:tc>
          <w:tcPr>
            <w:tcW w:w="3235" w:type="dxa"/>
            <w:tcBorders>
              <w:top w:val="single" w:sz="4" w:space="0" w:color="auto"/>
              <w:left w:val="single" w:sz="4" w:space="0" w:color="auto"/>
              <w:bottom w:val="single" w:sz="4" w:space="0" w:color="auto"/>
              <w:right w:val="single" w:sz="4" w:space="0" w:color="auto"/>
            </w:tcBorders>
          </w:tcPr>
          <w:p w14:paraId="522F9D21" w14:textId="77777777" w:rsidR="001164FC" w:rsidRPr="00D322AD" w:rsidRDefault="001164FC" w:rsidP="00EA1804">
            <w:pPr>
              <w:pStyle w:val="BodyText"/>
              <w:widowControl w:val="0"/>
              <w:numPr>
                <w:ilvl w:val="12"/>
                <w:numId w:val="0"/>
              </w:numPr>
              <w:spacing w:after="0"/>
              <w:rPr>
                <w:rFonts w:ascii="Book Antiqua" w:hAnsi="Book Antiqua"/>
                <w:color w:val="000000"/>
                <w:sz w:val="24"/>
                <w:szCs w:val="24"/>
              </w:rPr>
            </w:pPr>
            <w:r w:rsidRPr="00D322AD">
              <w:rPr>
                <w:rFonts w:ascii="Book Antiqua" w:hAnsi="Book Antiqua"/>
                <w:color w:val="000000"/>
                <w:sz w:val="24"/>
                <w:szCs w:val="24"/>
              </w:rPr>
              <w:t xml:space="preserve">Total </w:t>
            </w:r>
            <w:r w:rsidR="00EA1804">
              <w:rPr>
                <w:rFonts w:ascii="Book Antiqua" w:hAnsi="Book Antiqua"/>
                <w:color w:val="000000"/>
                <w:sz w:val="24"/>
                <w:szCs w:val="24"/>
              </w:rPr>
              <w:t xml:space="preserve"> n</w:t>
            </w:r>
            <w:r w:rsidR="00EA1804" w:rsidRPr="00D322AD">
              <w:rPr>
                <w:rFonts w:ascii="Book Antiqua" w:hAnsi="Book Antiqua"/>
                <w:color w:val="000000"/>
                <w:sz w:val="24"/>
                <w:szCs w:val="24"/>
              </w:rPr>
              <w:t>on</w:t>
            </w:r>
            <w:r w:rsidR="00EA1804">
              <w:rPr>
                <w:rFonts w:ascii="Book Antiqua" w:hAnsi="Book Antiqua"/>
                <w:color w:val="000000"/>
                <w:sz w:val="24"/>
                <w:szCs w:val="24"/>
              </w:rPr>
              <w:t>-c</w:t>
            </w:r>
            <w:r w:rsidR="00EA1804" w:rsidRPr="00D322AD">
              <w:rPr>
                <w:rFonts w:ascii="Book Antiqua" w:hAnsi="Book Antiqua"/>
                <w:color w:val="000000"/>
                <w:sz w:val="24"/>
                <w:szCs w:val="24"/>
              </w:rPr>
              <w:t>ore</w:t>
            </w:r>
          </w:p>
        </w:tc>
        <w:tc>
          <w:tcPr>
            <w:tcW w:w="1692" w:type="dxa"/>
            <w:tcBorders>
              <w:top w:val="single" w:sz="4" w:space="0" w:color="auto"/>
              <w:left w:val="single" w:sz="4" w:space="0" w:color="auto"/>
              <w:bottom w:val="single" w:sz="4" w:space="0" w:color="auto"/>
              <w:right w:val="single" w:sz="4" w:space="0" w:color="auto"/>
            </w:tcBorders>
          </w:tcPr>
          <w:p w14:paraId="07ABE132" w14:textId="77777777" w:rsidR="001164FC" w:rsidRPr="00BB0335" w:rsidRDefault="001164FC" w:rsidP="008550CD">
            <w:pPr>
              <w:widowControl w:val="0"/>
              <w:jc w:val="center"/>
              <w:rPr>
                <w:color w:val="000000"/>
                <w:sz w:val="24"/>
                <w:szCs w:val="24"/>
              </w:rPr>
            </w:pPr>
            <w:r w:rsidRPr="00BB0335">
              <w:rPr>
                <w:color w:val="000000"/>
                <w:sz w:val="24"/>
                <w:szCs w:val="24"/>
              </w:rPr>
              <w:t>100,205</w:t>
            </w:r>
          </w:p>
        </w:tc>
        <w:tc>
          <w:tcPr>
            <w:tcW w:w="1350" w:type="dxa"/>
            <w:tcBorders>
              <w:top w:val="single" w:sz="4" w:space="0" w:color="auto"/>
              <w:left w:val="single" w:sz="4" w:space="0" w:color="auto"/>
              <w:bottom w:val="single" w:sz="4" w:space="0" w:color="auto"/>
              <w:right w:val="single" w:sz="4" w:space="0" w:color="auto"/>
            </w:tcBorders>
          </w:tcPr>
          <w:p w14:paraId="67EAE559" w14:textId="77777777" w:rsidR="001164FC" w:rsidRPr="00BB0335" w:rsidRDefault="001164FC" w:rsidP="008550CD">
            <w:pPr>
              <w:widowControl w:val="0"/>
              <w:jc w:val="center"/>
              <w:rPr>
                <w:color w:val="000000"/>
                <w:sz w:val="24"/>
                <w:szCs w:val="24"/>
              </w:rPr>
            </w:pPr>
            <w:r w:rsidRPr="00BB0335">
              <w:rPr>
                <w:color w:val="000000"/>
                <w:sz w:val="24"/>
                <w:szCs w:val="24"/>
              </w:rPr>
              <w:t>58,100</w:t>
            </w:r>
          </w:p>
        </w:tc>
        <w:tc>
          <w:tcPr>
            <w:tcW w:w="1980" w:type="dxa"/>
            <w:tcBorders>
              <w:top w:val="single" w:sz="4" w:space="0" w:color="auto"/>
              <w:left w:val="single" w:sz="4" w:space="0" w:color="auto"/>
              <w:bottom w:val="single" w:sz="4" w:space="0" w:color="auto"/>
              <w:right w:val="single" w:sz="4" w:space="0" w:color="auto"/>
            </w:tcBorders>
          </w:tcPr>
          <w:p w14:paraId="396D6B49" w14:textId="77777777" w:rsidR="001164FC" w:rsidRPr="00BB0335" w:rsidRDefault="001164FC" w:rsidP="008550CD">
            <w:pPr>
              <w:pStyle w:val="BodyText"/>
              <w:widowControl w:val="0"/>
              <w:numPr>
                <w:ilvl w:val="12"/>
                <w:numId w:val="0"/>
              </w:numPr>
              <w:spacing w:after="0"/>
              <w:jc w:val="center"/>
              <w:rPr>
                <w:rFonts w:ascii="Book Antiqua" w:hAnsi="Book Antiqua"/>
                <w:sz w:val="24"/>
                <w:szCs w:val="24"/>
              </w:rPr>
            </w:pPr>
            <w:r w:rsidRPr="00BB0335">
              <w:rPr>
                <w:rFonts w:ascii="Book Antiqua" w:hAnsi="Book Antiqua"/>
                <w:sz w:val="24"/>
                <w:szCs w:val="24"/>
              </w:rPr>
              <w:t>($42,104)</w:t>
            </w:r>
          </w:p>
        </w:tc>
      </w:tr>
      <w:tr w:rsidR="001164FC" w:rsidRPr="00F63979" w14:paraId="0829EAA3" w14:textId="77777777" w:rsidTr="00031C40">
        <w:trPr>
          <w:trHeight w:val="249"/>
        </w:trPr>
        <w:tc>
          <w:tcPr>
            <w:tcW w:w="743" w:type="dxa"/>
            <w:tcBorders>
              <w:top w:val="single" w:sz="4" w:space="0" w:color="auto"/>
              <w:left w:val="single" w:sz="4" w:space="0" w:color="auto"/>
              <w:bottom w:val="single" w:sz="4" w:space="0" w:color="auto"/>
              <w:right w:val="single" w:sz="4" w:space="0" w:color="auto"/>
            </w:tcBorders>
          </w:tcPr>
          <w:p w14:paraId="30692BA9" w14:textId="77777777" w:rsidR="001164FC" w:rsidRPr="00F63979" w:rsidRDefault="001164FC" w:rsidP="00031C40">
            <w:pPr>
              <w:pStyle w:val="BodyText"/>
              <w:widowControl w:val="0"/>
              <w:numPr>
                <w:ilvl w:val="12"/>
                <w:numId w:val="0"/>
              </w:numPr>
              <w:spacing w:after="0"/>
              <w:jc w:val="center"/>
              <w:rPr>
                <w:rFonts w:ascii="Book Antiqua" w:hAnsi="Book Antiqua"/>
                <w:color w:val="000000"/>
                <w:sz w:val="24"/>
                <w:szCs w:val="24"/>
              </w:rPr>
            </w:pPr>
          </w:p>
        </w:tc>
        <w:tc>
          <w:tcPr>
            <w:tcW w:w="3235" w:type="dxa"/>
            <w:tcBorders>
              <w:top w:val="single" w:sz="4" w:space="0" w:color="auto"/>
              <w:left w:val="single" w:sz="4" w:space="0" w:color="auto"/>
              <w:bottom w:val="single" w:sz="4" w:space="0" w:color="auto"/>
              <w:right w:val="single" w:sz="4" w:space="0" w:color="auto"/>
            </w:tcBorders>
          </w:tcPr>
          <w:p w14:paraId="4DBCCCD5" w14:textId="77777777" w:rsidR="001164FC" w:rsidRPr="00D322AD" w:rsidRDefault="001164FC" w:rsidP="00031C40">
            <w:pPr>
              <w:pStyle w:val="BodyText"/>
              <w:widowControl w:val="0"/>
              <w:numPr>
                <w:ilvl w:val="12"/>
                <w:numId w:val="0"/>
              </w:numPr>
              <w:spacing w:after="0"/>
              <w:jc w:val="right"/>
              <w:rPr>
                <w:rFonts w:ascii="Book Antiqua" w:hAnsi="Book Antiqua"/>
                <w:color w:val="000000"/>
                <w:sz w:val="24"/>
                <w:szCs w:val="24"/>
              </w:rPr>
            </w:pPr>
          </w:p>
        </w:tc>
        <w:tc>
          <w:tcPr>
            <w:tcW w:w="1692" w:type="dxa"/>
            <w:tcBorders>
              <w:top w:val="single" w:sz="4" w:space="0" w:color="auto"/>
              <w:left w:val="single" w:sz="4" w:space="0" w:color="auto"/>
              <w:bottom w:val="single" w:sz="4" w:space="0" w:color="auto"/>
              <w:right w:val="single" w:sz="4" w:space="0" w:color="auto"/>
            </w:tcBorders>
          </w:tcPr>
          <w:p w14:paraId="5F0AEA6F" w14:textId="77777777" w:rsidR="001164FC" w:rsidRPr="00BB0335" w:rsidRDefault="001164FC" w:rsidP="00031C40">
            <w:pPr>
              <w:widowControl w:val="0"/>
              <w:ind w:firstLine="136"/>
              <w:rPr>
                <w:color w:val="000000"/>
                <w:sz w:val="24"/>
                <w:szCs w:val="24"/>
              </w:rPr>
            </w:pPr>
          </w:p>
        </w:tc>
        <w:tc>
          <w:tcPr>
            <w:tcW w:w="1350" w:type="dxa"/>
            <w:tcBorders>
              <w:top w:val="single" w:sz="4" w:space="0" w:color="auto"/>
              <w:left w:val="single" w:sz="4" w:space="0" w:color="auto"/>
              <w:bottom w:val="single" w:sz="4" w:space="0" w:color="auto"/>
              <w:right w:val="single" w:sz="4" w:space="0" w:color="auto"/>
            </w:tcBorders>
          </w:tcPr>
          <w:p w14:paraId="40D0831C" w14:textId="77777777" w:rsidR="001164FC" w:rsidRPr="00BB0335" w:rsidRDefault="001164FC" w:rsidP="00031C40">
            <w:pPr>
              <w:widowControl w:val="0"/>
              <w:ind w:firstLine="211"/>
              <w:jc w:val="both"/>
              <w:rPr>
                <w:color w:val="000000"/>
                <w:sz w:val="24"/>
                <w:szCs w:val="24"/>
              </w:rPr>
            </w:pPr>
          </w:p>
        </w:tc>
        <w:tc>
          <w:tcPr>
            <w:tcW w:w="1980" w:type="dxa"/>
            <w:tcBorders>
              <w:top w:val="single" w:sz="4" w:space="0" w:color="auto"/>
              <w:left w:val="single" w:sz="4" w:space="0" w:color="auto"/>
              <w:bottom w:val="single" w:sz="4" w:space="0" w:color="auto"/>
              <w:right w:val="single" w:sz="4" w:space="0" w:color="auto"/>
            </w:tcBorders>
          </w:tcPr>
          <w:p w14:paraId="1A429A66" w14:textId="77777777" w:rsidR="001164FC" w:rsidRPr="00BB0335" w:rsidRDefault="001164FC" w:rsidP="00031C40">
            <w:pPr>
              <w:pStyle w:val="BodyText"/>
              <w:widowControl w:val="0"/>
              <w:numPr>
                <w:ilvl w:val="12"/>
                <w:numId w:val="0"/>
              </w:numPr>
              <w:spacing w:after="0"/>
              <w:rPr>
                <w:rFonts w:ascii="Book Antiqua" w:hAnsi="Book Antiqua"/>
                <w:sz w:val="24"/>
                <w:szCs w:val="24"/>
              </w:rPr>
            </w:pPr>
          </w:p>
        </w:tc>
      </w:tr>
      <w:tr w:rsidR="001164FC" w:rsidRPr="00F63979" w14:paraId="562ACB7E" w14:textId="77777777" w:rsidTr="00031C40">
        <w:trPr>
          <w:trHeight w:val="262"/>
        </w:trPr>
        <w:tc>
          <w:tcPr>
            <w:tcW w:w="743" w:type="dxa"/>
            <w:tcBorders>
              <w:top w:val="single" w:sz="4" w:space="0" w:color="auto"/>
              <w:left w:val="single" w:sz="4" w:space="0" w:color="auto"/>
              <w:bottom w:val="single" w:sz="4" w:space="0" w:color="auto"/>
              <w:right w:val="single" w:sz="4" w:space="0" w:color="auto"/>
            </w:tcBorders>
          </w:tcPr>
          <w:p w14:paraId="4B1B2FCD" w14:textId="77777777" w:rsidR="001164FC" w:rsidRPr="00F63979" w:rsidRDefault="001164FC" w:rsidP="00031C40">
            <w:pPr>
              <w:pStyle w:val="BodyText"/>
              <w:widowControl w:val="0"/>
              <w:numPr>
                <w:ilvl w:val="12"/>
                <w:numId w:val="0"/>
              </w:numPr>
              <w:spacing w:after="0"/>
              <w:jc w:val="center"/>
              <w:rPr>
                <w:rFonts w:ascii="Book Antiqua" w:hAnsi="Book Antiqua"/>
                <w:color w:val="000000"/>
                <w:sz w:val="24"/>
                <w:szCs w:val="24"/>
              </w:rPr>
            </w:pPr>
            <w:r w:rsidRPr="00F63979">
              <w:rPr>
                <w:rFonts w:ascii="Book Antiqua" w:hAnsi="Book Antiqua"/>
                <w:color w:val="000000"/>
                <w:sz w:val="24"/>
                <w:szCs w:val="24"/>
              </w:rPr>
              <w:t>12</w:t>
            </w:r>
          </w:p>
        </w:tc>
        <w:tc>
          <w:tcPr>
            <w:tcW w:w="3235" w:type="dxa"/>
            <w:tcBorders>
              <w:top w:val="single" w:sz="4" w:space="0" w:color="auto"/>
              <w:left w:val="single" w:sz="4" w:space="0" w:color="auto"/>
              <w:bottom w:val="single" w:sz="4" w:space="0" w:color="auto"/>
              <w:right w:val="single" w:sz="4" w:space="0" w:color="auto"/>
            </w:tcBorders>
          </w:tcPr>
          <w:p w14:paraId="6D05BB57" w14:textId="77777777" w:rsidR="001164FC" w:rsidRPr="00D322AD" w:rsidRDefault="001164FC" w:rsidP="00031C40">
            <w:pPr>
              <w:pStyle w:val="BodyText"/>
              <w:widowControl w:val="0"/>
              <w:numPr>
                <w:ilvl w:val="12"/>
                <w:numId w:val="0"/>
              </w:numPr>
              <w:spacing w:after="0"/>
              <w:jc w:val="center"/>
              <w:rPr>
                <w:rFonts w:ascii="Book Antiqua" w:hAnsi="Book Antiqua"/>
                <w:b/>
                <w:color w:val="000000"/>
                <w:sz w:val="24"/>
                <w:szCs w:val="24"/>
              </w:rPr>
            </w:pPr>
            <w:r w:rsidRPr="00D322AD">
              <w:rPr>
                <w:rFonts w:ascii="Book Antiqua" w:hAnsi="Book Antiqua"/>
                <w:b/>
                <w:color w:val="000000"/>
                <w:sz w:val="24"/>
                <w:szCs w:val="24"/>
              </w:rPr>
              <w:t>Total</w:t>
            </w:r>
          </w:p>
        </w:tc>
        <w:tc>
          <w:tcPr>
            <w:tcW w:w="1692" w:type="dxa"/>
            <w:tcBorders>
              <w:top w:val="single" w:sz="4" w:space="0" w:color="auto"/>
              <w:left w:val="single" w:sz="4" w:space="0" w:color="auto"/>
              <w:bottom w:val="single" w:sz="4" w:space="0" w:color="auto"/>
              <w:right w:val="single" w:sz="4" w:space="0" w:color="auto"/>
            </w:tcBorders>
          </w:tcPr>
          <w:p w14:paraId="0FF0D9B7" w14:textId="77777777" w:rsidR="001164FC" w:rsidRPr="00BB0335" w:rsidRDefault="001164FC" w:rsidP="00031C40">
            <w:pPr>
              <w:widowControl w:val="0"/>
              <w:ind w:firstLine="136"/>
              <w:jc w:val="center"/>
              <w:rPr>
                <w:b/>
                <w:color w:val="000000"/>
                <w:sz w:val="24"/>
                <w:szCs w:val="24"/>
              </w:rPr>
            </w:pPr>
            <w:r w:rsidRPr="00BB0335">
              <w:rPr>
                <w:b/>
                <w:color w:val="000000"/>
                <w:sz w:val="24"/>
                <w:szCs w:val="24"/>
              </w:rPr>
              <w:t>$1,785,463</w:t>
            </w:r>
          </w:p>
        </w:tc>
        <w:tc>
          <w:tcPr>
            <w:tcW w:w="1350" w:type="dxa"/>
            <w:tcBorders>
              <w:top w:val="single" w:sz="4" w:space="0" w:color="auto"/>
              <w:left w:val="single" w:sz="4" w:space="0" w:color="auto"/>
              <w:bottom w:val="single" w:sz="4" w:space="0" w:color="auto"/>
              <w:right w:val="single" w:sz="4" w:space="0" w:color="auto"/>
            </w:tcBorders>
          </w:tcPr>
          <w:p w14:paraId="25DD048B" w14:textId="77777777" w:rsidR="001164FC" w:rsidRPr="00BB0335" w:rsidRDefault="001164FC" w:rsidP="00031C40">
            <w:pPr>
              <w:widowControl w:val="0"/>
              <w:jc w:val="center"/>
              <w:rPr>
                <w:b/>
                <w:color w:val="000000"/>
                <w:sz w:val="24"/>
                <w:szCs w:val="24"/>
              </w:rPr>
            </w:pPr>
            <w:r w:rsidRPr="00BB0335">
              <w:rPr>
                <w:b/>
                <w:color w:val="000000"/>
                <w:sz w:val="24"/>
                <w:szCs w:val="24"/>
              </w:rPr>
              <w:t>$1,785,463</w:t>
            </w:r>
          </w:p>
        </w:tc>
        <w:tc>
          <w:tcPr>
            <w:tcW w:w="1980" w:type="dxa"/>
            <w:tcBorders>
              <w:top w:val="single" w:sz="4" w:space="0" w:color="auto"/>
              <w:left w:val="single" w:sz="4" w:space="0" w:color="auto"/>
              <w:bottom w:val="single" w:sz="4" w:space="0" w:color="auto"/>
              <w:right w:val="single" w:sz="4" w:space="0" w:color="auto"/>
            </w:tcBorders>
          </w:tcPr>
          <w:p w14:paraId="2B0411C7" w14:textId="77777777" w:rsidR="001164FC" w:rsidRPr="00BB0335" w:rsidRDefault="001164FC" w:rsidP="00031C40">
            <w:pPr>
              <w:pStyle w:val="BodyText"/>
              <w:widowControl w:val="0"/>
              <w:numPr>
                <w:ilvl w:val="12"/>
                <w:numId w:val="0"/>
              </w:numPr>
              <w:spacing w:after="0"/>
              <w:jc w:val="center"/>
              <w:rPr>
                <w:rFonts w:ascii="Book Antiqua" w:hAnsi="Book Antiqua"/>
                <w:b/>
                <w:sz w:val="24"/>
                <w:szCs w:val="24"/>
              </w:rPr>
            </w:pPr>
            <w:r w:rsidRPr="00BB0335">
              <w:rPr>
                <w:rFonts w:ascii="Book Antiqua" w:hAnsi="Book Antiqua"/>
                <w:b/>
                <w:sz w:val="24"/>
                <w:szCs w:val="24"/>
              </w:rPr>
              <w:t>$0</w:t>
            </w:r>
          </w:p>
        </w:tc>
      </w:tr>
    </w:tbl>
    <w:p w14:paraId="42CD9690" w14:textId="77777777" w:rsidR="001164FC" w:rsidRPr="00D322AD" w:rsidRDefault="001164FC" w:rsidP="001164FC">
      <w:pPr>
        <w:pStyle w:val="BodyText"/>
        <w:widowControl w:val="0"/>
        <w:numPr>
          <w:ilvl w:val="12"/>
          <w:numId w:val="0"/>
        </w:numPr>
        <w:spacing w:after="0"/>
        <w:ind w:firstLine="720"/>
        <w:jc w:val="center"/>
        <w:rPr>
          <w:rFonts w:ascii="Book Antiqua" w:hAnsi="Book Antiqua"/>
          <w:b/>
          <w:szCs w:val="26"/>
        </w:rPr>
      </w:pPr>
    </w:p>
    <w:p w14:paraId="6415DA77" w14:textId="77777777" w:rsidR="001164FC" w:rsidRPr="00BB0335" w:rsidRDefault="001164FC" w:rsidP="001164FC">
      <w:pPr>
        <w:widowControl w:val="0"/>
        <w:rPr>
          <w:b/>
          <w:szCs w:val="26"/>
        </w:rPr>
      </w:pPr>
    </w:p>
    <w:p w14:paraId="356B045D" w14:textId="77777777" w:rsidR="001164FC" w:rsidRPr="00BB0335" w:rsidRDefault="001164FC" w:rsidP="001164FC">
      <w:pPr>
        <w:rPr>
          <w:szCs w:val="26"/>
        </w:rPr>
      </w:pPr>
      <w:r w:rsidRPr="00BB0335">
        <w:rPr>
          <w:szCs w:val="26"/>
        </w:rPr>
        <w:br w:type="page"/>
      </w:r>
    </w:p>
    <w:tbl>
      <w:tblPr>
        <w:tblpPr w:leftFromText="180" w:rightFromText="180" w:vertAnchor="text" w:horzAnchor="margin" w:tblpXSpec="center" w:tblpY="1"/>
        <w:tblOverlap w:val="neve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420"/>
        <w:gridCol w:w="1530"/>
        <w:gridCol w:w="1620"/>
        <w:gridCol w:w="1350"/>
      </w:tblGrid>
      <w:tr w:rsidR="001164FC" w:rsidRPr="00F63979" w14:paraId="0EF8A39B" w14:textId="77777777" w:rsidTr="00031C40">
        <w:tc>
          <w:tcPr>
            <w:tcW w:w="8568" w:type="dxa"/>
            <w:gridSpan w:val="5"/>
            <w:tcBorders>
              <w:top w:val="nil"/>
              <w:left w:val="nil"/>
              <w:bottom w:val="single" w:sz="4" w:space="0" w:color="auto"/>
              <w:right w:val="nil"/>
            </w:tcBorders>
          </w:tcPr>
          <w:p w14:paraId="6593244C" w14:textId="77777777" w:rsidR="001164FC" w:rsidRPr="00431F1E" w:rsidRDefault="001164FC" w:rsidP="00031C40">
            <w:pPr>
              <w:widowControl w:val="0"/>
              <w:jc w:val="center"/>
              <w:rPr>
                <w:b/>
                <w:sz w:val="24"/>
                <w:szCs w:val="24"/>
              </w:rPr>
            </w:pPr>
            <w:r w:rsidRPr="00431F1E">
              <w:rPr>
                <w:b/>
                <w:sz w:val="24"/>
                <w:szCs w:val="24"/>
              </w:rPr>
              <w:lastRenderedPageBreak/>
              <w:t>Table 2</w:t>
            </w:r>
            <w:r w:rsidRPr="00431F1E">
              <w:rPr>
                <w:rStyle w:val="FootnoteReference"/>
                <w:sz w:val="24"/>
                <w:szCs w:val="24"/>
              </w:rPr>
              <w:footnoteReference w:id="60"/>
            </w:r>
          </w:p>
          <w:p w14:paraId="58E46082" w14:textId="77777777" w:rsidR="001164FC" w:rsidRPr="00431F1E" w:rsidRDefault="00EA1804" w:rsidP="00031C40">
            <w:pPr>
              <w:widowControl w:val="0"/>
              <w:jc w:val="center"/>
              <w:rPr>
                <w:b/>
                <w:sz w:val="24"/>
                <w:szCs w:val="24"/>
              </w:rPr>
            </w:pPr>
            <w:r w:rsidRPr="00C633A3">
              <w:rPr>
                <w:b/>
                <w:sz w:val="24"/>
                <w:szCs w:val="24"/>
              </w:rPr>
              <w:t xml:space="preserve">Cal Advocates </w:t>
            </w:r>
            <w:r>
              <w:rPr>
                <w:b/>
                <w:sz w:val="24"/>
                <w:szCs w:val="24"/>
              </w:rPr>
              <w:t xml:space="preserve">Table - </w:t>
            </w:r>
            <w:r w:rsidR="001164FC" w:rsidRPr="00431F1E">
              <w:rPr>
                <w:b/>
                <w:sz w:val="24"/>
                <w:szCs w:val="24"/>
              </w:rPr>
              <w:t>Updated for Errata</w:t>
            </w:r>
          </w:p>
          <w:p w14:paraId="4C574074" w14:textId="77777777" w:rsidR="001164FC" w:rsidRPr="00431F1E" w:rsidRDefault="001164FC" w:rsidP="00031C40">
            <w:pPr>
              <w:pStyle w:val="BodyText"/>
              <w:widowControl w:val="0"/>
              <w:numPr>
                <w:ilvl w:val="12"/>
                <w:numId w:val="0"/>
              </w:numPr>
              <w:spacing w:after="0"/>
              <w:ind w:firstLine="720"/>
              <w:jc w:val="center"/>
              <w:rPr>
                <w:rFonts w:ascii="Book Antiqua" w:hAnsi="Book Antiqua"/>
                <w:b/>
                <w:sz w:val="24"/>
                <w:szCs w:val="24"/>
              </w:rPr>
            </w:pPr>
            <w:r w:rsidRPr="00431F1E">
              <w:rPr>
                <w:rFonts w:ascii="Book Antiqua" w:hAnsi="Book Antiqua"/>
                <w:b/>
                <w:sz w:val="24"/>
                <w:szCs w:val="24"/>
              </w:rPr>
              <w:t>Results of Cost Allocation: Gas Distribution Revenue Requirement</w:t>
            </w:r>
          </w:p>
          <w:p w14:paraId="4A508B31" w14:textId="77777777" w:rsidR="001164FC" w:rsidRPr="00431F1E" w:rsidRDefault="001164FC" w:rsidP="00031C40">
            <w:pPr>
              <w:pStyle w:val="BodyText"/>
              <w:widowControl w:val="0"/>
              <w:numPr>
                <w:ilvl w:val="12"/>
                <w:numId w:val="0"/>
              </w:numPr>
              <w:spacing w:after="0"/>
              <w:jc w:val="center"/>
              <w:rPr>
                <w:rFonts w:ascii="Book Antiqua" w:hAnsi="Book Antiqua"/>
                <w:b/>
                <w:sz w:val="24"/>
                <w:szCs w:val="24"/>
              </w:rPr>
            </w:pPr>
            <w:r w:rsidRPr="00431F1E">
              <w:rPr>
                <w:rFonts w:ascii="Book Antiqua" w:hAnsi="Book Antiqua"/>
                <w:b/>
                <w:sz w:val="24"/>
                <w:szCs w:val="24"/>
              </w:rPr>
              <w:t>(in Percent)</w:t>
            </w:r>
          </w:p>
        </w:tc>
      </w:tr>
      <w:tr w:rsidR="001164FC" w:rsidRPr="00F63979" w14:paraId="633E998A" w14:textId="77777777" w:rsidTr="00031C40">
        <w:tc>
          <w:tcPr>
            <w:tcW w:w="648" w:type="dxa"/>
            <w:tcBorders>
              <w:top w:val="single" w:sz="4" w:space="0" w:color="auto"/>
            </w:tcBorders>
          </w:tcPr>
          <w:p w14:paraId="73A92BC0" w14:textId="77777777" w:rsidR="001164FC" w:rsidRPr="00431F1E" w:rsidRDefault="001164FC" w:rsidP="00031C40">
            <w:pPr>
              <w:pStyle w:val="BodyText"/>
              <w:widowControl w:val="0"/>
              <w:numPr>
                <w:ilvl w:val="12"/>
                <w:numId w:val="0"/>
              </w:numPr>
              <w:spacing w:after="0"/>
              <w:jc w:val="center"/>
              <w:rPr>
                <w:rFonts w:ascii="Book Antiqua" w:hAnsi="Book Antiqua"/>
                <w:b/>
                <w:sz w:val="24"/>
                <w:szCs w:val="24"/>
              </w:rPr>
            </w:pPr>
          </w:p>
          <w:p w14:paraId="3C0058AA" w14:textId="77777777" w:rsidR="001164FC" w:rsidRPr="00431F1E" w:rsidRDefault="001164FC" w:rsidP="00031C40">
            <w:pPr>
              <w:pStyle w:val="BodyText"/>
              <w:widowControl w:val="0"/>
              <w:numPr>
                <w:ilvl w:val="12"/>
                <w:numId w:val="0"/>
              </w:numPr>
              <w:spacing w:after="0"/>
              <w:jc w:val="center"/>
              <w:rPr>
                <w:rFonts w:ascii="Book Antiqua" w:hAnsi="Book Antiqua"/>
                <w:b/>
                <w:sz w:val="24"/>
                <w:szCs w:val="24"/>
              </w:rPr>
            </w:pPr>
            <w:r w:rsidRPr="00431F1E">
              <w:rPr>
                <w:rFonts w:ascii="Book Antiqua" w:hAnsi="Book Antiqua"/>
                <w:b/>
                <w:sz w:val="24"/>
                <w:szCs w:val="24"/>
              </w:rPr>
              <w:t>Ln No.</w:t>
            </w:r>
          </w:p>
        </w:tc>
        <w:tc>
          <w:tcPr>
            <w:tcW w:w="3420" w:type="dxa"/>
            <w:tcBorders>
              <w:top w:val="single" w:sz="4" w:space="0" w:color="auto"/>
            </w:tcBorders>
          </w:tcPr>
          <w:p w14:paraId="74564B98" w14:textId="77777777" w:rsidR="001164FC" w:rsidRPr="00431F1E" w:rsidRDefault="001164FC" w:rsidP="00031C40">
            <w:pPr>
              <w:pStyle w:val="BodyText"/>
              <w:widowControl w:val="0"/>
              <w:numPr>
                <w:ilvl w:val="12"/>
                <w:numId w:val="0"/>
              </w:numPr>
              <w:spacing w:after="0"/>
              <w:jc w:val="center"/>
              <w:rPr>
                <w:rFonts w:ascii="Book Antiqua" w:hAnsi="Book Antiqua"/>
                <w:b/>
                <w:sz w:val="24"/>
                <w:szCs w:val="24"/>
              </w:rPr>
            </w:pPr>
          </w:p>
          <w:p w14:paraId="2D9EFE41" w14:textId="77777777" w:rsidR="001164FC" w:rsidRPr="00431F1E" w:rsidRDefault="001164FC" w:rsidP="00031C40">
            <w:pPr>
              <w:pStyle w:val="BodyText"/>
              <w:widowControl w:val="0"/>
              <w:numPr>
                <w:ilvl w:val="12"/>
                <w:numId w:val="0"/>
              </w:numPr>
              <w:spacing w:after="0"/>
              <w:jc w:val="center"/>
              <w:rPr>
                <w:rFonts w:ascii="Book Antiqua" w:hAnsi="Book Antiqua"/>
                <w:b/>
                <w:sz w:val="24"/>
                <w:szCs w:val="24"/>
              </w:rPr>
            </w:pPr>
            <w:r w:rsidRPr="00431F1E">
              <w:rPr>
                <w:rFonts w:ascii="Book Antiqua" w:hAnsi="Book Antiqua"/>
                <w:b/>
                <w:sz w:val="24"/>
                <w:szCs w:val="24"/>
              </w:rPr>
              <w:t>Description</w:t>
            </w:r>
          </w:p>
          <w:p w14:paraId="478CDD27" w14:textId="77777777" w:rsidR="001164FC" w:rsidRPr="00431F1E" w:rsidRDefault="001164FC" w:rsidP="00031C40">
            <w:pPr>
              <w:pStyle w:val="BodyText"/>
              <w:widowControl w:val="0"/>
              <w:numPr>
                <w:ilvl w:val="12"/>
                <w:numId w:val="0"/>
              </w:numPr>
              <w:spacing w:after="0"/>
              <w:jc w:val="center"/>
              <w:rPr>
                <w:rFonts w:ascii="Book Antiqua" w:hAnsi="Book Antiqua"/>
                <w:b/>
                <w:sz w:val="24"/>
                <w:szCs w:val="24"/>
              </w:rPr>
            </w:pPr>
            <w:r w:rsidRPr="00431F1E">
              <w:rPr>
                <w:rFonts w:ascii="Book Antiqua" w:hAnsi="Book Antiqua"/>
                <w:b/>
                <w:sz w:val="24"/>
                <w:szCs w:val="24"/>
              </w:rPr>
              <w:t>(a)</w:t>
            </w:r>
          </w:p>
        </w:tc>
        <w:tc>
          <w:tcPr>
            <w:tcW w:w="1530" w:type="dxa"/>
            <w:tcBorders>
              <w:top w:val="single" w:sz="4" w:space="0" w:color="auto"/>
            </w:tcBorders>
          </w:tcPr>
          <w:p w14:paraId="020CFD55" w14:textId="0201FDA1" w:rsidR="001164FC" w:rsidRPr="00431F1E" w:rsidRDefault="001164FC" w:rsidP="00031C40">
            <w:pPr>
              <w:pStyle w:val="BodyText"/>
              <w:widowControl w:val="0"/>
              <w:numPr>
                <w:ilvl w:val="12"/>
                <w:numId w:val="0"/>
              </w:numPr>
              <w:spacing w:after="0"/>
              <w:jc w:val="center"/>
              <w:rPr>
                <w:rFonts w:ascii="Book Antiqua" w:hAnsi="Book Antiqua"/>
                <w:b/>
                <w:sz w:val="24"/>
                <w:szCs w:val="24"/>
              </w:rPr>
            </w:pPr>
            <w:r w:rsidRPr="00431F1E">
              <w:rPr>
                <w:rFonts w:ascii="Book Antiqua" w:hAnsi="Book Antiqua"/>
                <w:b/>
                <w:sz w:val="24"/>
                <w:szCs w:val="24"/>
              </w:rPr>
              <w:t xml:space="preserve">Cal Advocates </w:t>
            </w:r>
            <w:r w:rsidR="00A2339D">
              <w:rPr>
                <w:rFonts w:ascii="Book Antiqua" w:hAnsi="Book Antiqua"/>
                <w:b/>
                <w:sz w:val="24"/>
                <w:szCs w:val="24"/>
              </w:rPr>
              <w:t>Proposal</w:t>
            </w:r>
          </w:p>
          <w:p w14:paraId="475F6964" w14:textId="77777777" w:rsidR="001164FC" w:rsidRPr="00431F1E" w:rsidRDefault="001164FC" w:rsidP="00031C40">
            <w:pPr>
              <w:pStyle w:val="BodyText"/>
              <w:widowControl w:val="0"/>
              <w:numPr>
                <w:ilvl w:val="12"/>
                <w:numId w:val="0"/>
              </w:numPr>
              <w:spacing w:after="0"/>
              <w:jc w:val="center"/>
              <w:rPr>
                <w:rFonts w:ascii="Book Antiqua" w:hAnsi="Book Antiqua"/>
                <w:b/>
                <w:sz w:val="24"/>
                <w:szCs w:val="24"/>
              </w:rPr>
            </w:pPr>
            <w:r w:rsidRPr="00431F1E">
              <w:rPr>
                <w:rFonts w:ascii="Book Antiqua" w:hAnsi="Book Antiqua"/>
                <w:b/>
                <w:sz w:val="24"/>
                <w:szCs w:val="24"/>
              </w:rPr>
              <w:t>(b)</w:t>
            </w:r>
          </w:p>
        </w:tc>
        <w:tc>
          <w:tcPr>
            <w:tcW w:w="1620" w:type="dxa"/>
            <w:tcBorders>
              <w:top w:val="single" w:sz="4" w:space="0" w:color="auto"/>
            </w:tcBorders>
          </w:tcPr>
          <w:p w14:paraId="325AEE0F" w14:textId="77777777" w:rsidR="001164FC" w:rsidRPr="00431F1E" w:rsidRDefault="001164FC" w:rsidP="00031C40">
            <w:pPr>
              <w:pStyle w:val="BodyText"/>
              <w:widowControl w:val="0"/>
              <w:numPr>
                <w:ilvl w:val="12"/>
                <w:numId w:val="0"/>
              </w:numPr>
              <w:spacing w:after="0"/>
              <w:jc w:val="center"/>
              <w:rPr>
                <w:rFonts w:ascii="Book Antiqua" w:hAnsi="Book Antiqua"/>
                <w:b/>
                <w:sz w:val="24"/>
                <w:szCs w:val="24"/>
              </w:rPr>
            </w:pPr>
            <w:r w:rsidRPr="00431F1E">
              <w:rPr>
                <w:rFonts w:ascii="Book Antiqua" w:hAnsi="Book Antiqua"/>
                <w:b/>
                <w:sz w:val="24"/>
                <w:szCs w:val="24"/>
              </w:rPr>
              <w:t>PG&amp;E Propos</w:t>
            </w:r>
            <w:r w:rsidR="00EA1804">
              <w:rPr>
                <w:rFonts w:ascii="Book Antiqua" w:hAnsi="Book Antiqua"/>
                <w:b/>
                <w:sz w:val="24"/>
                <w:szCs w:val="24"/>
              </w:rPr>
              <w:t>al</w:t>
            </w:r>
          </w:p>
          <w:p w14:paraId="656B7FED" w14:textId="77777777" w:rsidR="001164FC" w:rsidRPr="00431F1E" w:rsidRDefault="001164FC" w:rsidP="00031C40">
            <w:pPr>
              <w:pStyle w:val="BodyText"/>
              <w:widowControl w:val="0"/>
              <w:numPr>
                <w:ilvl w:val="12"/>
                <w:numId w:val="0"/>
              </w:numPr>
              <w:spacing w:after="0"/>
              <w:jc w:val="center"/>
              <w:rPr>
                <w:rFonts w:ascii="Book Antiqua" w:hAnsi="Book Antiqua"/>
                <w:b/>
                <w:sz w:val="24"/>
                <w:szCs w:val="24"/>
              </w:rPr>
            </w:pPr>
            <w:r w:rsidRPr="00431F1E">
              <w:rPr>
                <w:rFonts w:ascii="Book Antiqua" w:hAnsi="Book Antiqua"/>
                <w:b/>
                <w:sz w:val="24"/>
                <w:szCs w:val="24"/>
              </w:rPr>
              <w:t xml:space="preserve"> (c)</w:t>
            </w:r>
          </w:p>
        </w:tc>
        <w:tc>
          <w:tcPr>
            <w:tcW w:w="1350" w:type="dxa"/>
            <w:tcBorders>
              <w:top w:val="single" w:sz="4" w:space="0" w:color="auto"/>
            </w:tcBorders>
          </w:tcPr>
          <w:p w14:paraId="68179610" w14:textId="77777777" w:rsidR="001164FC" w:rsidRPr="00431F1E" w:rsidRDefault="001164FC" w:rsidP="00031C40">
            <w:pPr>
              <w:pStyle w:val="BodyText"/>
              <w:widowControl w:val="0"/>
              <w:numPr>
                <w:ilvl w:val="12"/>
                <w:numId w:val="0"/>
              </w:numPr>
              <w:spacing w:after="0"/>
              <w:jc w:val="center"/>
              <w:rPr>
                <w:rFonts w:ascii="Book Antiqua" w:hAnsi="Book Antiqua"/>
                <w:b/>
                <w:sz w:val="24"/>
                <w:szCs w:val="24"/>
              </w:rPr>
            </w:pPr>
            <w:r w:rsidRPr="00431F1E">
              <w:rPr>
                <w:rFonts w:ascii="Book Antiqua" w:hAnsi="Book Antiqua"/>
                <w:b/>
                <w:sz w:val="24"/>
                <w:szCs w:val="24"/>
              </w:rPr>
              <w:t xml:space="preserve">Amount </w:t>
            </w:r>
          </w:p>
          <w:p w14:paraId="6BE4E463" w14:textId="77777777" w:rsidR="001164FC" w:rsidRPr="00431F1E" w:rsidRDefault="001164FC" w:rsidP="00031C40">
            <w:pPr>
              <w:pStyle w:val="BodyText"/>
              <w:widowControl w:val="0"/>
              <w:numPr>
                <w:ilvl w:val="12"/>
                <w:numId w:val="0"/>
              </w:numPr>
              <w:spacing w:after="0"/>
              <w:jc w:val="center"/>
              <w:rPr>
                <w:rFonts w:ascii="Book Antiqua" w:hAnsi="Book Antiqua"/>
                <w:b/>
                <w:sz w:val="24"/>
                <w:szCs w:val="24"/>
              </w:rPr>
            </w:pPr>
            <w:r w:rsidRPr="00431F1E">
              <w:rPr>
                <w:rFonts w:ascii="Book Antiqua" w:hAnsi="Book Antiqua"/>
                <w:b/>
                <w:sz w:val="24"/>
                <w:szCs w:val="24"/>
              </w:rPr>
              <w:t>PG&amp;E &gt;Cal Advocates</w:t>
            </w:r>
          </w:p>
          <w:p w14:paraId="471A9E7A" w14:textId="77777777" w:rsidR="001164FC" w:rsidRPr="00431F1E" w:rsidRDefault="001164FC" w:rsidP="00031C40">
            <w:pPr>
              <w:pStyle w:val="BodyText"/>
              <w:widowControl w:val="0"/>
              <w:numPr>
                <w:ilvl w:val="12"/>
                <w:numId w:val="0"/>
              </w:numPr>
              <w:spacing w:after="0"/>
              <w:jc w:val="center"/>
              <w:rPr>
                <w:rFonts w:ascii="Book Antiqua" w:hAnsi="Book Antiqua"/>
                <w:b/>
                <w:sz w:val="24"/>
                <w:szCs w:val="24"/>
              </w:rPr>
            </w:pPr>
            <w:r w:rsidRPr="00431F1E">
              <w:rPr>
                <w:rFonts w:ascii="Book Antiqua" w:hAnsi="Book Antiqua"/>
                <w:b/>
                <w:sz w:val="24"/>
                <w:szCs w:val="24"/>
              </w:rPr>
              <w:t>(d=c-b)</w:t>
            </w:r>
          </w:p>
        </w:tc>
      </w:tr>
      <w:tr w:rsidR="001164FC" w:rsidRPr="00F63979" w14:paraId="22F7184A" w14:textId="77777777" w:rsidTr="00031C40">
        <w:tc>
          <w:tcPr>
            <w:tcW w:w="648" w:type="dxa"/>
          </w:tcPr>
          <w:p w14:paraId="7395408F" w14:textId="77777777" w:rsidR="001164FC" w:rsidRPr="00431F1E" w:rsidRDefault="001164FC" w:rsidP="00031C40">
            <w:pPr>
              <w:pStyle w:val="BodyText"/>
              <w:widowControl w:val="0"/>
              <w:numPr>
                <w:ilvl w:val="12"/>
                <w:numId w:val="0"/>
              </w:numPr>
              <w:spacing w:after="0"/>
              <w:jc w:val="center"/>
              <w:rPr>
                <w:rFonts w:ascii="Book Antiqua" w:hAnsi="Book Antiqua"/>
                <w:sz w:val="24"/>
                <w:szCs w:val="24"/>
              </w:rPr>
            </w:pPr>
            <w:r w:rsidRPr="00431F1E">
              <w:rPr>
                <w:rFonts w:ascii="Book Antiqua" w:hAnsi="Book Antiqua"/>
                <w:sz w:val="24"/>
                <w:szCs w:val="24"/>
              </w:rPr>
              <w:t>1</w:t>
            </w:r>
          </w:p>
        </w:tc>
        <w:tc>
          <w:tcPr>
            <w:tcW w:w="3420" w:type="dxa"/>
          </w:tcPr>
          <w:p w14:paraId="3FDAB0B3" w14:textId="77777777" w:rsidR="001164FC" w:rsidRPr="00431F1E" w:rsidRDefault="001164FC" w:rsidP="00031C40">
            <w:pPr>
              <w:pStyle w:val="BodyText"/>
              <w:widowControl w:val="0"/>
              <w:numPr>
                <w:ilvl w:val="12"/>
                <w:numId w:val="0"/>
              </w:numPr>
              <w:spacing w:after="0"/>
              <w:rPr>
                <w:rFonts w:ascii="Book Antiqua" w:hAnsi="Book Antiqua"/>
                <w:sz w:val="24"/>
                <w:szCs w:val="24"/>
              </w:rPr>
            </w:pPr>
            <w:r w:rsidRPr="00431F1E">
              <w:rPr>
                <w:rFonts w:ascii="Book Antiqua" w:hAnsi="Book Antiqua"/>
                <w:color w:val="000000"/>
                <w:sz w:val="24"/>
                <w:szCs w:val="24"/>
              </w:rPr>
              <w:t>Residential</w:t>
            </w:r>
          </w:p>
        </w:tc>
        <w:tc>
          <w:tcPr>
            <w:tcW w:w="1530" w:type="dxa"/>
          </w:tcPr>
          <w:p w14:paraId="43B99B85" w14:textId="77777777" w:rsidR="001164FC" w:rsidRPr="00431F1E" w:rsidRDefault="001164FC" w:rsidP="00031C40">
            <w:pPr>
              <w:widowControl w:val="0"/>
              <w:rPr>
                <w:sz w:val="24"/>
                <w:szCs w:val="24"/>
              </w:rPr>
            </w:pPr>
            <w:r w:rsidRPr="00431F1E">
              <w:rPr>
                <w:sz w:val="24"/>
                <w:szCs w:val="24"/>
              </w:rPr>
              <w:t>74.990%</w:t>
            </w:r>
          </w:p>
        </w:tc>
        <w:tc>
          <w:tcPr>
            <w:tcW w:w="1620" w:type="dxa"/>
          </w:tcPr>
          <w:p w14:paraId="429004A6" w14:textId="77777777" w:rsidR="001164FC" w:rsidRPr="00431F1E" w:rsidRDefault="001164FC" w:rsidP="00031C40">
            <w:pPr>
              <w:widowControl w:val="0"/>
              <w:rPr>
                <w:color w:val="000000"/>
                <w:sz w:val="24"/>
                <w:szCs w:val="24"/>
              </w:rPr>
            </w:pPr>
            <w:r w:rsidRPr="00431F1E">
              <w:rPr>
                <w:color w:val="000000"/>
                <w:sz w:val="24"/>
                <w:szCs w:val="24"/>
              </w:rPr>
              <w:t>77.938%</w:t>
            </w:r>
          </w:p>
        </w:tc>
        <w:tc>
          <w:tcPr>
            <w:tcW w:w="1350" w:type="dxa"/>
          </w:tcPr>
          <w:p w14:paraId="2A0F2B26" w14:textId="77777777" w:rsidR="001164FC" w:rsidRPr="00431F1E" w:rsidRDefault="001164FC" w:rsidP="00031C40">
            <w:pPr>
              <w:pStyle w:val="BodyText"/>
              <w:widowControl w:val="0"/>
              <w:numPr>
                <w:ilvl w:val="12"/>
                <w:numId w:val="0"/>
              </w:numPr>
              <w:spacing w:after="0"/>
              <w:rPr>
                <w:rFonts w:ascii="Book Antiqua" w:hAnsi="Book Antiqua"/>
                <w:sz w:val="24"/>
                <w:szCs w:val="24"/>
              </w:rPr>
            </w:pPr>
            <w:r w:rsidRPr="00431F1E">
              <w:rPr>
                <w:rFonts w:ascii="Book Antiqua" w:hAnsi="Book Antiqua"/>
                <w:sz w:val="24"/>
                <w:szCs w:val="24"/>
              </w:rPr>
              <w:t>2.948%</w:t>
            </w:r>
          </w:p>
        </w:tc>
      </w:tr>
      <w:tr w:rsidR="001164FC" w:rsidRPr="00F63979" w14:paraId="41795C84" w14:textId="77777777" w:rsidTr="00031C40">
        <w:tc>
          <w:tcPr>
            <w:tcW w:w="648" w:type="dxa"/>
          </w:tcPr>
          <w:p w14:paraId="7C6B8D4B" w14:textId="77777777" w:rsidR="001164FC" w:rsidRPr="00431F1E" w:rsidRDefault="001164FC" w:rsidP="00031C40">
            <w:pPr>
              <w:pStyle w:val="BodyText"/>
              <w:widowControl w:val="0"/>
              <w:numPr>
                <w:ilvl w:val="12"/>
                <w:numId w:val="0"/>
              </w:numPr>
              <w:spacing w:after="0"/>
              <w:jc w:val="center"/>
              <w:rPr>
                <w:rFonts w:ascii="Book Antiqua" w:hAnsi="Book Antiqua"/>
                <w:sz w:val="24"/>
                <w:szCs w:val="24"/>
              </w:rPr>
            </w:pPr>
            <w:r w:rsidRPr="00431F1E">
              <w:rPr>
                <w:rFonts w:ascii="Book Antiqua" w:hAnsi="Book Antiqua"/>
                <w:sz w:val="24"/>
                <w:szCs w:val="24"/>
              </w:rPr>
              <w:t>2</w:t>
            </w:r>
          </w:p>
        </w:tc>
        <w:tc>
          <w:tcPr>
            <w:tcW w:w="3420" w:type="dxa"/>
          </w:tcPr>
          <w:p w14:paraId="45188236" w14:textId="77777777" w:rsidR="001164FC" w:rsidRPr="00431F1E" w:rsidRDefault="001164FC" w:rsidP="00031C40">
            <w:pPr>
              <w:pStyle w:val="BodyText"/>
              <w:widowControl w:val="0"/>
              <w:numPr>
                <w:ilvl w:val="12"/>
                <w:numId w:val="0"/>
              </w:numPr>
              <w:spacing w:after="0"/>
              <w:rPr>
                <w:rFonts w:ascii="Book Antiqua" w:hAnsi="Book Antiqua"/>
                <w:sz w:val="24"/>
                <w:szCs w:val="24"/>
              </w:rPr>
            </w:pPr>
            <w:r w:rsidRPr="00431F1E">
              <w:rPr>
                <w:rFonts w:ascii="Book Antiqua" w:hAnsi="Book Antiqua"/>
                <w:color w:val="000000"/>
                <w:sz w:val="24"/>
                <w:szCs w:val="24"/>
              </w:rPr>
              <w:t>Small Commercial</w:t>
            </w:r>
          </w:p>
        </w:tc>
        <w:tc>
          <w:tcPr>
            <w:tcW w:w="1530" w:type="dxa"/>
          </w:tcPr>
          <w:p w14:paraId="58483725" w14:textId="77777777" w:rsidR="001164FC" w:rsidRPr="00431F1E" w:rsidRDefault="001164FC" w:rsidP="00031C40">
            <w:pPr>
              <w:widowControl w:val="0"/>
              <w:rPr>
                <w:sz w:val="24"/>
                <w:szCs w:val="24"/>
              </w:rPr>
            </w:pPr>
            <w:r w:rsidRPr="00431F1E">
              <w:rPr>
                <w:sz w:val="24"/>
                <w:szCs w:val="24"/>
              </w:rPr>
              <w:t>17.717%</w:t>
            </w:r>
          </w:p>
        </w:tc>
        <w:tc>
          <w:tcPr>
            <w:tcW w:w="1620" w:type="dxa"/>
            <w:vAlign w:val="bottom"/>
          </w:tcPr>
          <w:p w14:paraId="65786500" w14:textId="77777777" w:rsidR="001164FC" w:rsidRPr="00431F1E" w:rsidRDefault="001164FC" w:rsidP="00031C40">
            <w:pPr>
              <w:widowControl w:val="0"/>
              <w:rPr>
                <w:color w:val="000000"/>
                <w:sz w:val="24"/>
                <w:szCs w:val="24"/>
              </w:rPr>
            </w:pPr>
            <w:r w:rsidRPr="00431F1E">
              <w:rPr>
                <w:color w:val="000000"/>
                <w:sz w:val="24"/>
                <w:szCs w:val="24"/>
              </w:rPr>
              <w:t>17.717%</w:t>
            </w:r>
          </w:p>
        </w:tc>
        <w:tc>
          <w:tcPr>
            <w:tcW w:w="1350" w:type="dxa"/>
          </w:tcPr>
          <w:p w14:paraId="56C793AE" w14:textId="77777777" w:rsidR="001164FC" w:rsidRPr="00431F1E" w:rsidRDefault="001164FC" w:rsidP="00031C40">
            <w:pPr>
              <w:pStyle w:val="BodyText"/>
              <w:widowControl w:val="0"/>
              <w:numPr>
                <w:ilvl w:val="12"/>
                <w:numId w:val="0"/>
              </w:numPr>
              <w:spacing w:after="0"/>
              <w:rPr>
                <w:rFonts w:ascii="Book Antiqua" w:hAnsi="Book Antiqua"/>
                <w:sz w:val="24"/>
                <w:szCs w:val="24"/>
              </w:rPr>
            </w:pPr>
            <w:r w:rsidRPr="00431F1E">
              <w:rPr>
                <w:rFonts w:ascii="Book Antiqua" w:hAnsi="Book Antiqua"/>
                <w:sz w:val="24"/>
                <w:szCs w:val="24"/>
              </w:rPr>
              <w:t>0%</w:t>
            </w:r>
          </w:p>
        </w:tc>
      </w:tr>
      <w:tr w:rsidR="001164FC" w:rsidRPr="00F63979" w14:paraId="4647E56A" w14:textId="77777777" w:rsidTr="00031C40">
        <w:tc>
          <w:tcPr>
            <w:tcW w:w="648" w:type="dxa"/>
          </w:tcPr>
          <w:p w14:paraId="67DF19C7" w14:textId="77777777" w:rsidR="001164FC" w:rsidRPr="00431F1E" w:rsidRDefault="001164FC" w:rsidP="00031C40">
            <w:pPr>
              <w:pStyle w:val="BodyText"/>
              <w:widowControl w:val="0"/>
              <w:numPr>
                <w:ilvl w:val="12"/>
                <w:numId w:val="0"/>
              </w:numPr>
              <w:spacing w:after="0"/>
              <w:jc w:val="center"/>
              <w:rPr>
                <w:rFonts w:ascii="Book Antiqua" w:hAnsi="Book Antiqua"/>
                <w:sz w:val="24"/>
                <w:szCs w:val="24"/>
              </w:rPr>
            </w:pPr>
            <w:r w:rsidRPr="00431F1E">
              <w:rPr>
                <w:rFonts w:ascii="Book Antiqua" w:hAnsi="Book Antiqua"/>
                <w:sz w:val="24"/>
                <w:szCs w:val="24"/>
              </w:rPr>
              <w:t>3</w:t>
            </w:r>
          </w:p>
        </w:tc>
        <w:tc>
          <w:tcPr>
            <w:tcW w:w="3420" w:type="dxa"/>
          </w:tcPr>
          <w:p w14:paraId="74ECE1B9" w14:textId="77777777" w:rsidR="001164FC" w:rsidRPr="00431F1E" w:rsidRDefault="001164FC" w:rsidP="00031C40">
            <w:pPr>
              <w:pStyle w:val="BodyText"/>
              <w:widowControl w:val="0"/>
              <w:numPr>
                <w:ilvl w:val="12"/>
                <w:numId w:val="0"/>
              </w:numPr>
              <w:spacing w:after="0"/>
              <w:rPr>
                <w:rFonts w:ascii="Book Antiqua" w:hAnsi="Book Antiqua"/>
                <w:sz w:val="24"/>
                <w:szCs w:val="24"/>
              </w:rPr>
            </w:pPr>
            <w:r w:rsidRPr="00431F1E">
              <w:rPr>
                <w:rFonts w:ascii="Book Antiqua" w:hAnsi="Book Antiqua"/>
                <w:color w:val="000000"/>
                <w:sz w:val="24"/>
                <w:szCs w:val="24"/>
              </w:rPr>
              <w:t>Large Commercial:   Distribution</w:t>
            </w:r>
          </w:p>
        </w:tc>
        <w:tc>
          <w:tcPr>
            <w:tcW w:w="1530" w:type="dxa"/>
          </w:tcPr>
          <w:p w14:paraId="3E9C6EC4" w14:textId="77777777" w:rsidR="001164FC" w:rsidRPr="00431F1E" w:rsidRDefault="001164FC" w:rsidP="00031C40">
            <w:pPr>
              <w:widowControl w:val="0"/>
              <w:rPr>
                <w:sz w:val="24"/>
                <w:szCs w:val="24"/>
              </w:rPr>
            </w:pPr>
          </w:p>
          <w:p w14:paraId="12523916" w14:textId="77777777" w:rsidR="001164FC" w:rsidRPr="00431F1E" w:rsidRDefault="001164FC" w:rsidP="00031C40">
            <w:pPr>
              <w:widowControl w:val="0"/>
              <w:rPr>
                <w:sz w:val="24"/>
                <w:szCs w:val="24"/>
              </w:rPr>
            </w:pPr>
            <w:r w:rsidRPr="00431F1E">
              <w:rPr>
                <w:sz w:val="24"/>
                <w:szCs w:val="24"/>
              </w:rPr>
              <w:t>0.970%</w:t>
            </w:r>
          </w:p>
        </w:tc>
        <w:tc>
          <w:tcPr>
            <w:tcW w:w="1620" w:type="dxa"/>
          </w:tcPr>
          <w:p w14:paraId="7764B956" w14:textId="77777777" w:rsidR="001164FC" w:rsidRPr="00431F1E" w:rsidRDefault="001164FC" w:rsidP="00031C40">
            <w:pPr>
              <w:widowControl w:val="0"/>
              <w:ind w:firstLine="292"/>
              <w:rPr>
                <w:color w:val="000000"/>
                <w:sz w:val="24"/>
                <w:szCs w:val="24"/>
              </w:rPr>
            </w:pPr>
          </w:p>
          <w:p w14:paraId="6E2708DB" w14:textId="77777777" w:rsidR="001164FC" w:rsidRPr="00431F1E" w:rsidRDefault="001164FC" w:rsidP="00031C40">
            <w:pPr>
              <w:widowControl w:val="0"/>
              <w:rPr>
                <w:color w:val="000000"/>
                <w:sz w:val="24"/>
                <w:szCs w:val="24"/>
              </w:rPr>
            </w:pPr>
            <w:r w:rsidRPr="00431F1E">
              <w:rPr>
                <w:color w:val="000000"/>
                <w:sz w:val="24"/>
                <w:szCs w:val="24"/>
              </w:rPr>
              <w:t>0.603%</w:t>
            </w:r>
          </w:p>
        </w:tc>
        <w:tc>
          <w:tcPr>
            <w:tcW w:w="1350" w:type="dxa"/>
          </w:tcPr>
          <w:p w14:paraId="6A8BBA0F" w14:textId="77777777" w:rsidR="001164FC" w:rsidRPr="00431F1E" w:rsidRDefault="001164FC" w:rsidP="00031C40">
            <w:pPr>
              <w:pStyle w:val="BodyText"/>
              <w:widowControl w:val="0"/>
              <w:numPr>
                <w:ilvl w:val="12"/>
                <w:numId w:val="0"/>
              </w:numPr>
              <w:spacing w:after="0"/>
              <w:rPr>
                <w:rFonts w:ascii="Book Antiqua" w:hAnsi="Book Antiqua"/>
                <w:sz w:val="24"/>
                <w:szCs w:val="24"/>
              </w:rPr>
            </w:pPr>
          </w:p>
          <w:p w14:paraId="0D6DBF13" w14:textId="77777777" w:rsidR="001164FC" w:rsidRPr="00431F1E" w:rsidRDefault="001164FC" w:rsidP="00031C40">
            <w:pPr>
              <w:pStyle w:val="BodyText"/>
              <w:widowControl w:val="0"/>
              <w:numPr>
                <w:ilvl w:val="12"/>
                <w:numId w:val="0"/>
              </w:numPr>
              <w:spacing w:after="0"/>
              <w:rPr>
                <w:rFonts w:ascii="Book Antiqua" w:hAnsi="Book Antiqua"/>
                <w:sz w:val="24"/>
                <w:szCs w:val="24"/>
              </w:rPr>
            </w:pPr>
            <w:r w:rsidRPr="00431F1E">
              <w:rPr>
                <w:rFonts w:ascii="Book Antiqua" w:hAnsi="Book Antiqua"/>
                <w:sz w:val="24"/>
                <w:szCs w:val="24"/>
              </w:rPr>
              <w:t>-0.367%</w:t>
            </w:r>
          </w:p>
        </w:tc>
      </w:tr>
      <w:tr w:rsidR="001164FC" w:rsidRPr="00F63979" w14:paraId="32F5642D" w14:textId="77777777" w:rsidTr="00031C40">
        <w:trPr>
          <w:trHeight w:val="278"/>
        </w:trPr>
        <w:tc>
          <w:tcPr>
            <w:tcW w:w="648" w:type="dxa"/>
          </w:tcPr>
          <w:p w14:paraId="4F38DF1C" w14:textId="77777777" w:rsidR="001164FC" w:rsidRPr="00431F1E" w:rsidRDefault="001164FC" w:rsidP="00031C40">
            <w:pPr>
              <w:pStyle w:val="BodyText"/>
              <w:widowControl w:val="0"/>
              <w:numPr>
                <w:ilvl w:val="12"/>
                <w:numId w:val="0"/>
              </w:numPr>
              <w:spacing w:after="0"/>
              <w:jc w:val="center"/>
              <w:rPr>
                <w:rFonts w:ascii="Book Antiqua" w:hAnsi="Book Antiqua"/>
                <w:sz w:val="24"/>
                <w:szCs w:val="24"/>
              </w:rPr>
            </w:pPr>
            <w:r w:rsidRPr="00431F1E">
              <w:rPr>
                <w:rFonts w:ascii="Book Antiqua" w:hAnsi="Book Antiqua"/>
                <w:sz w:val="24"/>
                <w:szCs w:val="24"/>
              </w:rPr>
              <w:t>4</w:t>
            </w:r>
          </w:p>
        </w:tc>
        <w:tc>
          <w:tcPr>
            <w:tcW w:w="3420" w:type="dxa"/>
          </w:tcPr>
          <w:p w14:paraId="53D41993" w14:textId="77777777" w:rsidR="001164FC" w:rsidRPr="00431F1E" w:rsidRDefault="001164FC" w:rsidP="00031C40">
            <w:pPr>
              <w:pStyle w:val="BodyText"/>
              <w:widowControl w:val="0"/>
              <w:numPr>
                <w:ilvl w:val="12"/>
                <w:numId w:val="0"/>
              </w:numPr>
              <w:spacing w:after="0"/>
              <w:rPr>
                <w:rFonts w:ascii="Book Antiqua" w:hAnsi="Book Antiqua"/>
                <w:sz w:val="24"/>
                <w:szCs w:val="24"/>
              </w:rPr>
            </w:pPr>
            <w:r w:rsidRPr="00431F1E">
              <w:rPr>
                <w:rFonts w:ascii="Book Antiqua" w:hAnsi="Book Antiqua"/>
                <w:color w:val="000000"/>
                <w:sz w:val="24"/>
                <w:szCs w:val="24"/>
              </w:rPr>
              <w:t>Uncompressed NGV1</w:t>
            </w:r>
          </w:p>
        </w:tc>
        <w:tc>
          <w:tcPr>
            <w:tcW w:w="1530" w:type="dxa"/>
          </w:tcPr>
          <w:p w14:paraId="0AE60588" w14:textId="77777777" w:rsidR="001164FC" w:rsidRPr="00431F1E" w:rsidRDefault="001164FC" w:rsidP="00031C40">
            <w:pPr>
              <w:widowControl w:val="0"/>
              <w:rPr>
                <w:sz w:val="24"/>
                <w:szCs w:val="24"/>
              </w:rPr>
            </w:pPr>
            <w:r w:rsidRPr="00431F1E">
              <w:rPr>
                <w:sz w:val="24"/>
                <w:szCs w:val="24"/>
              </w:rPr>
              <w:t>0.447%</w:t>
            </w:r>
          </w:p>
        </w:tc>
        <w:tc>
          <w:tcPr>
            <w:tcW w:w="1620" w:type="dxa"/>
          </w:tcPr>
          <w:p w14:paraId="356EDFD0" w14:textId="77777777" w:rsidR="001164FC" w:rsidRPr="00431F1E" w:rsidRDefault="001164FC" w:rsidP="00031C40">
            <w:pPr>
              <w:widowControl w:val="0"/>
              <w:rPr>
                <w:color w:val="000000"/>
                <w:sz w:val="24"/>
                <w:szCs w:val="24"/>
              </w:rPr>
            </w:pPr>
            <w:r w:rsidRPr="00431F1E">
              <w:rPr>
                <w:color w:val="000000"/>
                <w:sz w:val="24"/>
                <w:szCs w:val="24"/>
              </w:rPr>
              <w:t>0.268%</w:t>
            </w:r>
          </w:p>
        </w:tc>
        <w:tc>
          <w:tcPr>
            <w:tcW w:w="1350" w:type="dxa"/>
          </w:tcPr>
          <w:p w14:paraId="798D0B3F" w14:textId="77777777" w:rsidR="001164FC" w:rsidRPr="00431F1E" w:rsidRDefault="001164FC" w:rsidP="00031C40">
            <w:pPr>
              <w:pStyle w:val="BodyText"/>
              <w:widowControl w:val="0"/>
              <w:numPr>
                <w:ilvl w:val="12"/>
                <w:numId w:val="0"/>
              </w:numPr>
              <w:spacing w:after="0"/>
              <w:rPr>
                <w:rFonts w:ascii="Book Antiqua" w:hAnsi="Book Antiqua"/>
                <w:sz w:val="24"/>
                <w:szCs w:val="24"/>
              </w:rPr>
            </w:pPr>
            <w:r w:rsidRPr="00431F1E">
              <w:rPr>
                <w:rFonts w:ascii="Book Antiqua" w:hAnsi="Book Antiqua"/>
                <w:sz w:val="24"/>
                <w:szCs w:val="24"/>
              </w:rPr>
              <w:t>-0.179%</w:t>
            </w:r>
          </w:p>
        </w:tc>
      </w:tr>
      <w:tr w:rsidR="001164FC" w:rsidRPr="00F63979" w14:paraId="2EED51EF" w14:textId="77777777" w:rsidTr="00031C40">
        <w:trPr>
          <w:trHeight w:val="287"/>
        </w:trPr>
        <w:tc>
          <w:tcPr>
            <w:tcW w:w="648" w:type="dxa"/>
          </w:tcPr>
          <w:p w14:paraId="0B10E898" w14:textId="77777777" w:rsidR="001164FC" w:rsidRPr="00431F1E" w:rsidRDefault="001164FC" w:rsidP="00031C40">
            <w:pPr>
              <w:pStyle w:val="BodyText"/>
              <w:widowControl w:val="0"/>
              <w:numPr>
                <w:ilvl w:val="12"/>
                <w:numId w:val="0"/>
              </w:numPr>
              <w:spacing w:after="0"/>
              <w:jc w:val="center"/>
              <w:rPr>
                <w:rFonts w:ascii="Book Antiqua" w:hAnsi="Book Antiqua"/>
                <w:sz w:val="24"/>
                <w:szCs w:val="24"/>
              </w:rPr>
            </w:pPr>
            <w:r w:rsidRPr="00431F1E">
              <w:rPr>
                <w:rFonts w:ascii="Book Antiqua" w:hAnsi="Book Antiqua"/>
                <w:sz w:val="24"/>
                <w:szCs w:val="24"/>
              </w:rPr>
              <w:t>5</w:t>
            </w:r>
          </w:p>
        </w:tc>
        <w:tc>
          <w:tcPr>
            <w:tcW w:w="3420" w:type="dxa"/>
          </w:tcPr>
          <w:p w14:paraId="22B7C552" w14:textId="77777777" w:rsidR="001164FC" w:rsidRPr="00431F1E" w:rsidRDefault="001164FC" w:rsidP="00031C40">
            <w:pPr>
              <w:pStyle w:val="BodyText"/>
              <w:widowControl w:val="0"/>
              <w:numPr>
                <w:ilvl w:val="12"/>
                <w:numId w:val="0"/>
              </w:numPr>
              <w:spacing w:after="0"/>
              <w:rPr>
                <w:rFonts w:ascii="Book Antiqua" w:hAnsi="Book Antiqua"/>
                <w:sz w:val="24"/>
                <w:szCs w:val="24"/>
              </w:rPr>
            </w:pPr>
            <w:r w:rsidRPr="00431F1E">
              <w:rPr>
                <w:rFonts w:ascii="Book Antiqua" w:hAnsi="Book Antiqua"/>
                <w:sz w:val="24"/>
                <w:szCs w:val="24"/>
              </w:rPr>
              <w:t>Compression Cost G-NGV2</w:t>
            </w:r>
          </w:p>
        </w:tc>
        <w:tc>
          <w:tcPr>
            <w:tcW w:w="1530" w:type="dxa"/>
          </w:tcPr>
          <w:p w14:paraId="7F1993CE" w14:textId="77777777" w:rsidR="001164FC" w:rsidRPr="00431F1E" w:rsidRDefault="001164FC" w:rsidP="00031C40">
            <w:pPr>
              <w:pStyle w:val="BodyText"/>
              <w:widowControl w:val="0"/>
              <w:numPr>
                <w:ilvl w:val="12"/>
                <w:numId w:val="0"/>
              </w:numPr>
              <w:spacing w:after="0"/>
              <w:rPr>
                <w:rFonts w:ascii="Book Antiqua" w:hAnsi="Book Antiqua"/>
                <w:sz w:val="24"/>
                <w:szCs w:val="24"/>
              </w:rPr>
            </w:pPr>
            <w:r w:rsidRPr="00431F1E">
              <w:rPr>
                <w:rFonts w:ascii="Book Antiqua" w:hAnsi="Book Antiqua"/>
                <w:sz w:val="24"/>
                <w:szCs w:val="24"/>
              </w:rPr>
              <w:t>0.264%</w:t>
            </w:r>
          </w:p>
        </w:tc>
        <w:tc>
          <w:tcPr>
            <w:tcW w:w="1620" w:type="dxa"/>
          </w:tcPr>
          <w:p w14:paraId="13484ECF" w14:textId="77777777" w:rsidR="001164FC" w:rsidRPr="00431F1E" w:rsidRDefault="001164FC" w:rsidP="00031C40">
            <w:pPr>
              <w:widowControl w:val="0"/>
              <w:rPr>
                <w:color w:val="000000"/>
                <w:sz w:val="24"/>
                <w:szCs w:val="24"/>
              </w:rPr>
            </w:pPr>
            <w:r w:rsidRPr="00431F1E">
              <w:rPr>
                <w:color w:val="000000"/>
                <w:sz w:val="24"/>
                <w:szCs w:val="24"/>
              </w:rPr>
              <w:t>0.219%</w:t>
            </w:r>
          </w:p>
        </w:tc>
        <w:tc>
          <w:tcPr>
            <w:tcW w:w="1350" w:type="dxa"/>
          </w:tcPr>
          <w:p w14:paraId="5804102C" w14:textId="77777777" w:rsidR="001164FC" w:rsidRPr="00431F1E" w:rsidRDefault="001164FC" w:rsidP="00031C40">
            <w:pPr>
              <w:pStyle w:val="BodyText"/>
              <w:widowControl w:val="0"/>
              <w:numPr>
                <w:ilvl w:val="12"/>
                <w:numId w:val="0"/>
              </w:numPr>
              <w:spacing w:after="0"/>
              <w:rPr>
                <w:rFonts w:ascii="Book Antiqua" w:hAnsi="Book Antiqua"/>
                <w:sz w:val="24"/>
                <w:szCs w:val="24"/>
              </w:rPr>
            </w:pPr>
            <w:r w:rsidRPr="00431F1E">
              <w:rPr>
                <w:rFonts w:ascii="Book Antiqua" w:hAnsi="Book Antiqua"/>
                <w:sz w:val="24"/>
                <w:szCs w:val="24"/>
              </w:rPr>
              <w:t>-0.044%</w:t>
            </w:r>
          </w:p>
        </w:tc>
      </w:tr>
      <w:tr w:rsidR="001164FC" w:rsidRPr="00F63979" w14:paraId="3B86470F" w14:textId="77777777" w:rsidTr="00031C40">
        <w:tc>
          <w:tcPr>
            <w:tcW w:w="648" w:type="dxa"/>
          </w:tcPr>
          <w:p w14:paraId="616D1184" w14:textId="77777777" w:rsidR="001164FC" w:rsidRPr="00431F1E" w:rsidRDefault="001164FC" w:rsidP="00031C40">
            <w:pPr>
              <w:pStyle w:val="BodyText"/>
              <w:widowControl w:val="0"/>
              <w:numPr>
                <w:ilvl w:val="12"/>
                <w:numId w:val="0"/>
              </w:numPr>
              <w:spacing w:after="0"/>
              <w:jc w:val="center"/>
              <w:rPr>
                <w:rFonts w:ascii="Book Antiqua" w:hAnsi="Book Antiqua"/>
                <w:color w:val="000000"/>
                <w:sz w:val="24"/>
                <w:szCs w:val="24"/>
              </w:rPr>
            </w:pPr>
            <w:r w:rsidRPr="00431F1E">
              <w:rPr>
                <w:rFonts w:ascii="Book Antiqua" w:hAnsi="Book Antiqua"/>
                <w:color w:val="000000"/>
                <w:sz w:val="24"/>
                <w:szCs w:val="24"/>
              </w:rPr>
              <w:t>6</w:t>
            </w:r>
          </w:p>
        </w:tc>
        <w:tc>
          <w:tcPr>
            <w:tcW w:w="3420" w:type="dxa"/>
          </w:tcPr>
          <w:p w14:paraId="3045F109" w14:textId="77777777" w:rsidR="001164FC" w:rsidRPr="00431F1E" w:rsidRDefault="001164FC" w:rsidP="00031C40">
            <w:pPr>
              <w:pStyle w:val="BodyText"/>
              <w:widowControl w:val="0"/>
              <w:numPr>
                <w:ilvl w:val="12"/>
                <w:numId w:val="0"/>
              </w:numPr>
              <w:spacing w:after="0"/>
              <w:rPr>
                <w:rFonts w:ascii="Book Antiqua" w:hAnsi="Book Antiqua"/>
                <w:b/>
                <w:color w:val="000000"/>
                <w:sz w:val="24"/>
                <w:szCs w:val="24"/>
              </w:rPr>
            </w:pPr>
            <w:r w:rsidRPr="00431F1E">
              <w:rPr>
                <w:rFonts w:ascii="Book Antiqua" w:hAnsi="Book Antiqua"/>
                <w:b/>
                <w:color w:val="000000"/>
                <w:sz w:val="24"/>
                <w:szCs w:val="24"/>
              </w:rPr>
              <w:t>Total Core</w:t>
            </w:r>
          </w:p>
        </w:tc>
        <w:tc>
          <w:tcPr>
            <w:tcW w:w="1530" w:type="dxa"/>
          </w:tcPr>
          <w:p w14:paraId="063CB852" w14:textId="77777777" w:rsidR="001164FC" w:rsidRPr="00431F1E" w:rsidRDefault="001164FC" w:rsidP="00031C40">
            <w:pPr>
              <w:widowControl w:val="0"/>
              <w:rPr>
                <w:b/>
                <w:bCs/>
                <w:sz w:val="24"/>
                <w:szCs w:val="24"/>
              </w:rPr>
            </w:pPr>
            <w:r w:rsidRPr="00431F1E">
              <w:rPr>
                <w:b/>
                <w:bCs/>
                <w:sz w:val="24"/>
                <w:szCs w:val="24"/>
              </w:rPr>
              <w:t>94.388%</w:t>
            </w:r>
          </w:p>
        </w:tc>
        <w:tc>
          <w:tcPr>
            <w:tcW w:w="1620" w:type="dxa"/>
          </w:tcPr>
          <w:p w14:paraId="6277D14B" w14:textId="77777777" w:rsidR="001164FC" w:rsidRPr="00431F1E" w:rsidRDefault="001164FC" w:rsidP="00031C40">
            <w:pPr>
              <w:widowControl w:val="0"/>
              <w:rPr>
                <w:b/>
                <w:color w:val="000000"/>
                <w:sz w:val="24"/>
                <w:szCs w:val="24"/>
              </w:rPr>
            </w:pPr>
            <w:r w:rsidRPr="00431F1E">
              <w:rPr>
                <w:b/>
                <w:color w:val="000000"/>
                <w:sz w:val="24"/>
                <w:szCs w:val="24"/>
              </w:rPr>
              <w:t>96.746%</w:t>
            </w:r>
          </w:p>
        </w:tc>
        <w:tc>
          <w:tcPr>
            <w:tcW w:w="1350" w:type="dxa"/>
          </w:tcPr>
          <w:p w14:paraId="29A50A3B" w14:textId="77777777" w:rsidR="001164FC" w:rsidRPr="00431F1E" w:rsidRDefault="001164FC" w:rsidP="00031C40">
            <w:pPr>
              <w:pStyle w:val="BodyText"/>
              <w:widowControl w:val="0"/>
              <w:numPr>
                <w:ilvl w:val="12"/>
                <w:numId w:val="0"/>
              </w:numPr>
              <w:spacing w:after="0"/>
              <w:rPr>
                <w:rFonts w:ascii="Book Antiqua" w:hAnsi="Book Antiqua"/>
                <w:b/>
                <w:sz w:val="24"/>
                <w:szCs w:val="24"/>
              </w:rPr>
            </w:pPr>
            <w:r w:rsidRPr="00431F1E">
              <w:rPr>
                <w:rFonts w:ascii="Book Antiqua" w:hAnsi="Book Antiqua"/>
                <w:b/>
                <w:sz w:val="24"/>
                <w:szCs w:val="24"/>
              </w:rPr>
              <w:t>2.358%</w:t>
            </w:r>
          </w:p>
        </w:tc>
      </w:tr>
      <w:tr w:rsidR="001164FC" w:rsidRPr="00F63979" w14:paraId="4CC1B0E8" w14:textId="77777777" w:rsidTr="00031C40">
        <w:trPr>
          <w:trHeight w:val="287"/>
        </w:trPr>
        <w:tc>
          <w:tcPr>
            <w:tcW w:w="648" w:type="dxa"/>
          </w:tcPr>
          <w:p w14:paraId="2960EB2F" w14:textId="77777777" w:rsidR="001164FC" w:rsidRPr="00431F1E" w:rsidRDefault="001164FC" w:rsidP="00031C40">
            <w:pPr>
              <w:pStyle w:val="BodyText"/>
              <w:widowControl w:val="0"/>
              <w:numPr>
                <w:ilvl w:val="12"/>
                <w:numId w:val="0"/>
              </w:numPr>
              <w:spacing w:after="0"/>
              <w:jc w:val="center"/>
              <w:rPr>
                <w:rFonts w:ascii="Book Antiqua" w:hAnsi="Book Antiqua"/>
                <w:sz w:val="24"/>
                <w:szCs w:val="24"/>
              </w:rPr>
            </w:pPr>
          </w:p>
        </w:tc>
        <w:tc>
          <w:tcPr>
            <w:tcW w:w="3420" w:type="dxa"/>
          </w:tcPr>
          <w:p w14:paraId="062B30A9" w14:textId="77777777" w:rsidR="001164FC" w:rsidRPr="00431F1E" w:rsidRDefault="001164FC" w:rsidP="00031C40">
            <w:pPr>
              <w:pStyle w:val="BodyText"/>
              <w:widowControl w:val="0"/>
              <w:numPr>
                <w:ilvl w:val="12"/>
                <w:numId w:val="0"/>
              </w:numPr>
              <w:spacing w:after="0"/>
              <w:rPr>
                <w:rFonts w:ascii="Book Antiqua" w:hAnsi="Book Antiqua"/>
                <w:color w:val="000000"/>
                <w:sz w:val="24"/>
                <w:szCs w:val="24"/>
              </w:rPr>
            </w:pPr>
          </w:p>
        </w:tc>
        <w:tc>
          <w:tcPr>
            <w:tcW w:w="1530" w:type="dxa"/>
          </w:tcPr>
          <w:p w14:paraId="41F67AEB" w14:textId="77777777" w:rsidR="001164FC" w:rsidRPr="00431F1E" w:rsidRDefault="001164FC" w:rsidP="00031C40">
            <w:pPr>
              <w:widowControl w:val="0"/>
              <w:rPr>
                <w:sz w:val="24"/>
                <w:szCs w:val="24"/>
              </w:rPr>
            </w:pPr>
          </w:p>
        </w:tc>
        <w:tc>
          <w:tcPr>
            <w:tcW w:w="1620" w:type="dxa"/>
          </w:tcPr>
          <w:p w14:paraId="27D653B4" w14:textId="77777777" w:rsidR="001164FC" w:rsidRPr="00431F1E" w:rsidRDefault="001164FC" w:rsidP="00031C40">
            <w:pPr>
              <w:widowControl w:val="0"/>
              <w:ind w:left="31"/>
              <w:rPr>
                <w:color w:val="000000"/>
                <w:sz w:val="24"/>
                <w:szCs w:val="24"/>
              </w:rPr>
            </w:pPr>
          </w:p>
        </w:tc>
        <w:tc>
          <w:tcPr>
            <w:tcW w:w="1350" w:type="dxa"/>
          </w:tcPr>
          <w:p w14:paraId="6455DB0F" w14:textId="77777777" w:rsidR="001164FC" w:rsidRPr="00431F1E" w:rsidRDefault="001164FC" w:rsidP="00031C40">
            <w:pPr>
              <w:pStyle w:val="BodyText"/>
              <w:widowControl w:val="0"/>
              <w:numPr>
                <w:ilvl w:val="12"/>
                <w:numId w:val="0"/>
              </w:numPr>
              <w:spacing w:after="0"/>
              <w:rPr>
                <w:rFonts w:ascii="Book Antiqua" w:hAnsi="Book Antiqua"/>
                <w:sz w:val="24"/>
                <w:szCs w:val="24"/>
              </w:rPr>
            </w:pPr>
          </w:p>
        </w:tc>
      </w:tr>
      <w:tr w:rsidR="001164FC" w:rsidRPr="00F63979" w14:paraId="343CE93C" w14:textId="77777777" w:rsidTr="00031C40">
        <w:trPr>
          <w:trHeight w:val="287"/>
        </w:trPr>
        <w:tc>
          <w:tcPr>
            <w:tcW w:w="648" w:type="dxa"/>
          </w:tcPr>
          <w:p w14:paraId="3DAC81AF" w14:textId="77777777" w:rsidR="001164FC" w:rsidRPr="00431F1E" w:rsidRDefault="001164FC" w:rsidP="00031C40">
            <w:pPr>
              <w:pStyle w:val="BodyText"/>
              <w:widowControl w:val="0"/>
              <w:numPr>
                <w:ilvl w:val="12"/>
                <w:numId w:val="0"/>
              </w:numPr>
              <w:spacing w:after="0"/>
              <w:jc w:val="center"/>
              <w:rPr>
                <w:rFonts w:ascii="Book Antiqua" w:hAnsi="Book Antiqua"/>
                <w:sz w:val="24"/>
                <w:szCs w:val="24"/>
              </w:rPr>
            </w:pPr>
            <w:r w:rsidRPr="00431F1E">
              <w:rPr>
                <w:rFonts w:ascii="Book Antiqua" w:hAnsi="Book Antiqua"/>
                <w:sz w:val="24"/>
                <w:szCs w:val="24"/>
              </w:rPr>
              <w:t>7</w:t>
            </w:r>
          </w:p>
        </w:tc>
        <w:tc>
          <w:tcPr>
            <w:tcW w:w="3420" w:type="dxa"/>
          </w:tcPr>
          <w:p w14:paraId="1DF7E267" w14:textId="77777777" w:rsidR="001164FC" w:rsidRPr="00431F1E" w:rsidRDefault="001164FC" w:rsidP="00031C40">
            <w:pPr>
              <w:pStyle w:val="BodyText"/>
              <w:widowControl w:val="0"/>
              <w:numPr>
                <w:ilvl w:val="12"/>
                <w:numId w:val="0"/>
              </w:numPr>
              <w:spacing w:after="0"/>
              <w:rPr>
                <w:rFonts w:ascii="Book Antiqua" w:hAnsi="Book Antiqua"/>
                <w:sz w:val="24"/>
                <w:szCs w:val="24"/>
              </w:rPr>
            </w:pPr>
            <w:r w:rsidRPr="00431F1E">
              <w:rPr>
                <w:rFonts w:ascii="Book Antiqua" w:hAnsi="Book Antiqua"/>
                <w:color w:val="000000"/>
                <w:sz w:val="24"/>
                <w:szCs w:val="24"/>
              </w:rPr>
              <w:t>Industrial Distribution</w:t>
            </w:r>
          </w:p>
        </w:tc>
        <w:tc>
          <w:tcPr>
            <w:tcW w:w="1530" w:type="dxa"/>
          </w:tcPr>
          <w:p w14:paraId="49B55C5D" w14:textId="77777777" w:rsidR="001164FC" w:rsidRPr="00431F1E" w:rsidRDefault="001164FC" w:rsidP="00031C40">
            <w:pPr>
              <w:widowControl w:val="0"/>
              <w:rPr>
                <w:color w:val="0000FF"/>
                <w:sz w:val="24"/>
                <w:szCs w:val="24"/>
              </w:rPr>
            </w:pPr>
            <w:r w:rsidRPr="00431F1E">
              <w:rPr>
                <w:sz w:val="24"/>
                <w:szCs w:val="24"/>
              </w:rPr>
              <w:t>4.192%</w:t>
            </w:r>
          </w:p>
        </w:tc>
        <w:tc>
          <w:tcPr>
            <w:tcW w:w="1620" w:type="dxa"/>
          </w:tcPr>
          <w:p w14:paraId="4DA5388C" w14:textId="77777777" w:rsidR="001164FC" w:rsidRPr="00431F1E" w:rsidRDefault="001164FC" w:rsidP="00031C40">
            <w:pPr>
              <w:widowControl w:val="0"/>
              <w:ind w:left="31"/>
              <w:rPr>
                <w:color w:val="000000"/>
                <w:sz w:val="24"/>
                <w:szCs w:val="24"/>
              </w:rPr>
            </w:pPr>
            <w:r w:rsidRPr="00431F1E">
              <w:rPr>
                <w:color w:val="000000"/>
                <w:sz w:val="24"/>
                <w:szCs w:val="24"/>
              </w:rPr>
              <w:t>2.406%</w:t>
            </w:r>
          </w:p>
        </w:tc>
        <w:tc>
          <w:tcPr>
            <w:tcW w:w="1350" w:type="dxa"/>
          </w:tcPr>
          <w:p w14:paraId="567727C1" w14:textId="77777777" w:rsidR="001164FC" w:rsidRPr="00431F1E" w:rsidRDefault="001164FC" w:rsidP="00031C40">
            <w:pPr>
              <w:pStyle w:val="BodyText"/>
              <w:widowControl w:val="0"/>
              <w:numPr>
                <w:ilvl w:val="12"/>
                <w:numId w:val="0"/>
              </w:numPr>
              <w:spacing w:after="0"/>
              <w:rPr>
                <w:rFonts w:ascii="Book Antiqua" w:hAnsi="Book Antiqua"/>
                <w:sz w:val="24"/>
                <w:szCs w:val="24"/>
              </w:rPr>
            </w:pPr>
            <w:r w:rsidRPr="00431F1E">
              <w:rPr>
                <w:rFonts w:ascii="Book Antiqua" w:hAnsi="Book Antiqua"/>
                <w:sz w:val="24"/>
                <w:szCs w:val="24"/>
              </w:rPr>
              <w:t>-1.786%</w:t>
            </w:r>
          </w:p>
        </w:tc>
      </w:tr>
      <w:tr w:rsidR="001164FC" w:rsidRPr="00F63979" w14:paraId="6669F876" w14:textId="77777777" w:rsidTr="00031C40">
        <w:tc>
          <w:tcPr>
            <w:tcW w:w="648" w:type="dxa"/>
          </w:tcPr>
          <w:p w14:paraId="1FCC7FA3" w14:textId="77777777" w:rsidR="001164FC" w:rsidRPr="00431F1E" w:rsidRDefault="001164FC" w:rsidP="00031C40">
            <w:pPr>
              <w:pStyle w:val="BodyText"/>
              <w:widowControl w:val="0"/>
              <w:numPr>
                <w:ilvl w:val="12"/>
                <w:numId w:val="0"/>
              </w:numPr>
              <w:spacing w:after="0"/>
              <w:jc w:val="center"/>
              <w:rPr>
                <w:rFonts w:ascii="Book Antiqua" w:hAnsi="Book Antiqua"/>
                <w:sz w:val="24"/>
                <w:szCs w:val="24"/>
              </w:rPr>
            </w:pPr>
            <w:r w:rsidRPr="00431F1E">
              <w:rPr>
                <w:rFonts w:ascii="Book Antiqua" w:hAnsi="Book Antiqua"/>
                <w:sz w:val="24"/>
                <w:szCs w:val="24"/>
              </w:rPr>
              <w:t>8</w:t>
            </w:r>
          </w:p>
        </w:tc>
        <w:tc>
          <w:tcPr>
            <w:tcW w:w="3420" w:type="dxa"/>
          </w:tcPr>
          <w:p w14:paraId="034945B8" w14:textId="77777777" w:rsidR="001164FC" w:rsidRPr="00431F1E" w:rsidRDefault="001164FC" w:rsidP="00031C40">
            <w:pPr>
              <w:pStyle w:val="BodyText"/>
              <w:widowControl w:val="0"/>
              <w:numPr>
                <w:ilvl w:val="12"/>
                <w:numId w:val="0"/>
              </w:numPr>
              <w:spacing w:after="0"/>
              <w:rPr>
                <w:rFonts w:ascii="Book Antiqua" w:hAnsi="Book Antiqua"/>
                <w:sz w:val="24"/>
                <w:szCs w:val="24"/>
              </w:rPr>
            </w:pPr>
            <w:r w:rsidRPr="00431F1E">
              <w:rPr>
                <w:rFonts w:ascii="Book Antiqua" w:hAnsi="Book Antiqua"/>
                <w:color w:val="000000"/>
                <w:sz w:val="24"/>
                <w:szCs w:val="24"/>
              </w:rPr>
              <w:t>Industrial Transmission</w:t>
            </w:r>
          </w:p>
        </w:tc>
        <w:tc>
          <w:tcPr>
            <w:tcW w:w="1530" w:type="dxa"/>
          </w:tcPr>
          <w:p w14:paraId="2D044B7B" w14:textId="77777777" w:rsidR="001164FC" w:rsidRPr="00431F1E" w:rsidRDefault="001164FC" w:rsidP="00031C40">
            <w:pPr>
              <w:widowControl w:val="0"/>
              <w:rPr>
                <w:sz w:val="24"/>
                <w:szCs w:val="24"/>
              </w:rPr>
            </w:pPr>
            <w:r w:rsidRPr="00431F1E">
              <w:rPr>
                <w:sz w:val="24"/>
                <w:szCs w:val="24"/>
              </w:rPr>
              <w:t>1.160%</w:t>
            </w:r>
          </w:p>
        </w:tc>
        <w:tc>
          <w:tcPr>
            <w:tcW w:w="1620" w:type="dxa"/>
          </w:tcPr>
          <w:p w14:paraId="18D08AE6" w14:textId="77777777" w:rsidR="001164FC" w:rsidRPr="00431F1E" w:rsidRDefault="001164FC" w:rsidP="00031C40">
            <w:pPr>
              <w:widowControl w:val="0"/>
              <w:rPr>
                <w:color w:val="000000"/>
                <w:sz w:val="24"/>
                <w:szCs w:val="24"/>
              </w:rPr>
            </w:pPr>
            <w:r w:rsidRPr="00431F1E">
              <w:rPr>
                <w:color w:val="000000"/>
                <w:sz w:val="24"/>
                <w:szCs w:val="24"/>
              </w:rPr>
              <w:t>0.629%</w:t>
            </w:r>
          </w:p>
        </w:tc>
        <w:tc>
          <w:tcPr>
            <w:tcW w:w="1350" w:type="dxa"/>
          </w:tcPr>
          <w:p w14:paraId="136D628A" w14:textId="77777777" w:rsidR="001164FC" w:rsidRPr="00431F1E" w:rsidRDefault="001164FC" w:rsidP="00031C40">
            <w:pPr>
              <w:pStyle w:val="BodyText"/>
              <w:widowControl w:val="0"/>
              <w:numPr>
                <w:ilvl w:val="12"/>
                <w:numId w:val="0"/>
              </w:numPr>
              <w:spacing w:after="0"/>
              <w:rPr>
                <w:rFonts w:ascii="Book Antiqua" w:hAnsi="Book Antiqua"/>
                <w:sz w:val="24"/>
                <w:szCs w:val="24"/>
              </w:rPr>
            </w:pPr>
            <w:r w:rsidRPr="00431F1E">
              <w:rPr>
                <w:rFonts w:ascii="Book Antiqua" w:hAnsi="Book Antiqua"/>
                <w:sz w:val="24"/>
                <w:szCs w:val="24"/>
              </w:rPr>
              <w:t>-0.531%</w:t>
            </w:r>
          </w:p>
        </w:tc>
      </w:tr>
      <w:tr w:rsidR="001164FC" w:rsidRPr="00F63979" w14:paraId="1F3FD3FF" w14:textId="77777777" w:rsidTr="00031C40">
        <w:trPr>
          <w:trHeight w:val="305"/>
        </w:trPr>
        <w:tc>
          <w:tcPr>
            <w:tcW w:w="648" w:type="dxa"/>
          </w:tcPr>
          <w:p w14:paraId="0A6DA6C7" w14:textId="77777777" w:rsidR="001164FC" w:rsidRPr="00431F1E" w:rsidRDefault="001164FC" w:rsidP="00031C40">
            <w:pPr>
              <w:pStyle w:val="BodyText"/>
              <w:widowControl w:val="0"/>
              <w:numPr>
                <w:ilvl w:val="12"/>
                <w:numId w:val="0"/>
              </w:numPr>
              <w:spacing w:after="0"/>
              <w:jc w:val="center"/>
              <w:rPr>
                <w:rFonts w:ascii="Book Antiqua" w:hAnsi="Book Antiqua"/>
                <w:sz w:val="24"/>
                <w:szCs w:val="24"/>
              </w:rPr>
            </w:pPr>
            <w:r w:rsidRPr="00431F1E">
              <w:rPr>
                <w:rFonts w:ascii="Book Antiqua" w:hAnsi="Book Antiqua"/>
                <w:sz w:val="24"/>
                <w:szCs w:val="24"/>
              </w:rPr>
              <w:t>9</w:t>
            </w:r>
          </w:p>
        </w:tc>
        <w:tc>
          <w:tcPr>
            <w:tcW w:w="3420" w:type="dxa"/>
          </w:tcPr>
          <w:p w14:paraId="2BA3E6F4" w14:textId="77777777" w:rsidR="001164FC" w:rsidRPr="00431F1E" w:rsidRDefault="001164FC" w:rsidP="00031C40">
            <w:pPr>
              <w:pStyle w:val="BodyText"/>
              <w:widowControl w:val="0"/>
              <w:numPr>
                <w:ilvl w:val="12"/>
                <w:numId w:val="0"/>
              </w:numPr>
              <w:spacing w:after="0"/>
              <w:rPr>
                <w:rFonts w:ascii="Book Antiqua" w:hAnsi="Book Antiqua"/>
                <w:sz w:val="24"/>
                <w:szCs w:val="24"/>
              </w:rPr>
            </w:pPr>
            <w:r w:rsidRPr="00431F1E">
              <w:rPr>
                <w:rFonts w:ascii="Book Antiqua" w:hAnsi="Book Antiqua"/>
                <w:color w:val="000000"/>
                <w:sz w:val="24"/>
                <w:szCs w:val="24"/>
              </w:rPr>
              <w:t>Electric Gen</w:t>
            </w:r>
          </w:p>
        </w:tc>
        <w:tc>
          <w:tcPr>
            <w:tcW w:w="1530" w:type="dxa"/>
          </w:tcPr>
          <w:p w14:paraId="49DFDD21" w14:textId="77777777" w:rsidR="001164FC" w:rsidRPr="00431F1E" w:rsidRDefault="001164FC" w:rsidP="00031C40">
            <w:pPr>
              <w:widowControl w:val="0"/>
              <w:rPr>
                <w:color w:val="0000FF"/>
                <w:sz w:val="24"/>
                <w:szCs w:val="24"/>
              </w:rPr>
            </w:pPr>
            <w:r w:rsidRPr="00431F1E">
              <w:rPr>
                <w:sz w:val="24"/>
                <w:szCs w:val="24"/>
              </w:rPr>
              <w:t>0.222%</w:t>
            </w:r>
          </w:p>
        </w:tc>
        <w:tc>
          <w:tcPr>
            <w:tcW w:w="1620" w:type="dxa"/>
          </w:tcPr>
          <w:p w14:paraId="2C332790" w14:textId="77777777" w:rsidR="001164FC" w:rsidRPr="00431F1E" w:rsidRDefault="001164FC" w:rsidP="00031C40">
            <w:pPr>
              <w:widowControl w:val="0"/>
              <w:rPr>
                <w:color w:val="000000"/>
                <w:sz w:val="24"/>
                <w:szCs w:val="24"/>
              </w:rPr>
            </w:pPr>
            <w:r w:rsidRPr="00431F1E">
              <w:rPr>
                <w:color w:val="000000"/>
                <w:sz w:val="24"/>
                <w:szCs w:val="24"/>
              </w:rPr>
              <w:t>0.200%</w:t>
            </w:r>
          </w:p>
        </w:tc>
        <w:tc>
          <w:tcPr>
            <w:tcW w:w="1350" w:type="dxa"/>
          </w:tcPr>
          <w:p w14:paraId="41817A5B" w14:textId="77777777" w:rsidR="001164FC" w:rsidRPr="00431F1E" w:rsidRDefault="001164FC" w:rsidP="00031C40">
            <w:pPr>
              <w:pStyle w:val="BodyText"/>
              <w:widowControl w:val="0"/>
              <w:numPr>
                <w:ilvl w:val="12"/>
                <w:numId w:val="0"/>
              </w:numPr>
              <w:spacing w:after="0"/>
              <w:rPr>
                <w:rFonts w:ascii="Book Antiqua" w:hAnsi="Book Antiqua"/>
                <w:sz w:val="24"/>
                <w:szCs w:val="24"/>
              </w:rPr>
            </w:pPr>
            <w:r w:rsidRPr="00431F1E">
              <w:rPr>
                <w:rFonts w:ascii="Book Antiqua" w:hAnsi="Book Antiqua"/>
                <w:sz w:val="24"/>
                <w:szCs w:val="24"/>
              </w:rPr>
              <w:t>-0.023%</w:t>
            </w:r>
          </w:p>
        </w:tc>
      </w:tr>
      <w:tr w:rsidR="001164FC" w:rsidRPr="00F63979" w14:paraId="0B76777E" w14:textId="77777777" w:rsidTr="00031C40">
        <w:tc>
          <w:tcPr>
            <w:tcW w:w="648" w:type="dxa"/>
          </w:tcPr>
          <w:p w14:paraId="6EB4966E" w14:textId="77777777" w:rsidR="001164FC" w:rsidRPr="00431F1E" w:rsidRDefault="001164FC" w:rsidP="00031C40">
            <w:pPr>
              <w:pStyle w:val="BodyText"/>
              <w:widowControl w:val="0"/>
              <w:numPr>
                <w:ilvl w:val="12"/>
                <w:numId w:val="0"/>
              </w:numPr>
              <w:spacing w:after="0"/>
              <w:jc w:val="center"/>
              <w:rPr>
                <w:rFonts w:ascii="Book Antiqua" w:hAnsi="Book Antiqua"/>
                <w:sz w:val="24"/>
                <w:szCs w:val="24"/>
              </w:rPr>
            </w:pPr>
            <w:r w:rsidRPr="00431F1E">
              <w:rPr>
                <w:rFonts w:ascii="Book Antiqua" w:hAnsi="Book Antiqua"/>
                <w:sz w:val="24"/>
                <w:szCs w:val="24"/>
              </w:rPr>
              <w:t>10</w:t>
            </w:r>
          </w:p>
        </w:tc>
        <w:tc>
          <w:tcPr>
            <w:tcW w:w="3420" w:type="dxa"/>
          </w:tcPr>
          <w:p w14:paraId="20FBEE07" w14:textId="77777777" w:rsidR="001164FC" w:rsidRPr="00431F1E" w:rsidRDefault="001164FC" w:rsidP="00031C40">
            <w:pPr>
              <w:pStyle w:val="BodyText"/>
              <w:widowControl w:val="0"/>
              <w:numPr>
                <w:ilvl w:val="12"/>
                <w:numId w:val="0"/>
              </w:numPr>
              <w:spacing w:after="0"/>
              <w:rPr>
                <w:rFonts w:ascii="Book Antiqua" w:hAnsi="Book Antiqua"/>
                <w:sz w:val="24"/>
                <w:szCs w:val="24"/>
              </w:rPr>
            </w:pPr>
            <w:r w:rsidRPr="00431F1E">
              <w:rPr>
                <w:rFonts w:ascii="Book Antiqua" w:hAnsi="Book Antiqua"/>
                <w:sz w:val="24"/>
                <w:szCs w:val="24"/>
              </w:rPr>
              <w:t>Total Wholesale</w:t>
            </w:r>
          </w:p>
        </w:tc>
        <w:tc>
          <w:tcPr>
            <w:tcW w:w="1530" w:type="dxa"/>
          </w:tcPr>
          <w:p w14:paraId="7BE743F4" w14:textId="77777777" w:rsidR="001164FC" w:rsidRPr="00431F1E" w:rsidRDefault="001164FC" w:rsidP="00031C40">
            <w:pPr>
              <w:pStyle w:val="BodyText"/>
              <w:widowControl w:val="0"/>
              <w:numPr>
                <w:ilvl w:val="12"/>
                <w:numId w:val="0"/>
              </w:numPr>
              <w:spacing w:after="0"/>
              <w:rPr>
                <w:rFonts w:ascii="Book Antiqua" w:hAnsi="Book Antiqua"/>
                <w:sz w:val="24"/>
                <w:szCs w:val="24"/>
              </w:rPr>
            </w:pPr>
            <w:r w:rsidRPr="00431F1E">
              <w:rPr>
                <w:rFonts w:ascii="Book Antiqua" w:hAnsi="Book Antiqua"/>
                <w:sz w:val="24"/>
                <w:szCs w:val="24"/>
              </w:rPr>
              <w:t>0.038%</w:t>
            </w:r>
          </w:p>
        </w:tc>
        <w:tc>
          <w:tcPr>
            <w:tcW w:w="1620" w:type="dxa"/>
          </w:tcPr>
          <w:p w14:paraId="7226D76E" w14:textId="77777777" w:rsidR="001164FC" w:rsidRPr="00431F1E" w:rsidRDefault="001164FC" w:rsidP="00031C40">
            <w:pPr>
              <w:widowControl w:val="0"/>
              <w:ind w:firstLine="16"/>
              <w:rPr>
                <w:color w:val="000000"/>
                <w:sz w:val="24"/>
                <w:szCs w:val="24"/>
              </w:rPr>
            </w:pPr>
            <w:r w:rsidRPr="00431F1E">
              <w:rPr>
                <w:color w:val="000000"/>
                <w:sz w:val="24"/>
                <w:szCs w:val="24"/>
              </w:rPr>
              <w:t>0.019%</w:t>
            </w:r>
          </w:p>
        </w:tc>
        <w:tc>
          <w:tcPr>
            <w:tcW w:w="1350" w:type="dxa"/>
          </w:tcPr>
          <w:p w14:paraId="57239776" w14:textId="77777777" w:rsidR="001164FC" w:rsidRPr="00431F1E" w:rsidRDefault="001164FC" w:rsidP="00031C40">
            <w:pPr>
              <w:pStyle w:val="BodyText"/>
              <w:widowControl w:val="0"/>
              <w:numPr>
                <w:ilvl w:val="12"/>
                <w:numId w:val="0"/>
              </w:numPr>
              <w:spacing w:after="0"/>
              <w:rPr>
                <w:rFonts w:ascii="Book Antiqua" w:hAnsi="Book Antiqua"/>
                <w:sz w:val="24"/>
                <w:szCs w:val="24"/>
              </w:rPr>
            </w:pPr>
            <w:r w:rsidRPr="00431F1E">
              <w:rPr>
                <w:rFonts w:ascii="Book Antiqua" w:hAnsi="Book Antiqua"/>
                <w:sz w:val="24"/>
                <w:szCs w:val="24"/>
              </w:rPr>
              <w:t>-0.019%</w:t>
            </w:r>
          </w:p>
        </w:tc>
      </w:tr>
      <w:tr w:rsidR="001164FC" w:rsidRPr="00F63979" w14:paraId="71D4FDB2" w14:textId="77777777" w:rsidTr="00031C40">
        <w:tc>
          <w:tcPr>
            <w:tcW w:w="648" w:type="dxa"/>
          </w:tcPr>
          <w:p w14:paraId="5AD2C648" w14:textId="77777777" w:rsidR="001164FC" w:rsidRPr="00431F1E" w:rsidRDefault="001164FC" w:rsidP="00031C40">
            <w:pPr>
              <w:pStyle w:val="BodyText"/>
              <w:widowControl w:val="0"/>
              <w:numPr>
                <w:ilvl w:val="12"/>
                <w:numId w:val="0"/>
              </w:numPr>
              <w:spacing w:after="0"/>
              <w:jc w:val="center"/>
              <w:rPr>
                <w:rFonts w:ascii="Book Antiqua" w:hAnsi="Book Antiqua"/>
                <w:sz w:val="24"/>
                <w:szCs w:val="24"/>
              </w:rPr>
            </w:pPr>
            <w:r w:rsidRPr="00431F1E">
              <w:rPr>
                <w:rFonts w:ascii="Book Antiqua" w:hAnsi="Book Antiqua"/>
                <w:sz w:val="24"/>
                <w:szCs w:val="24"/>
              </w:rPr>
              <w:t>11</w:t>
            </w:r>
          </w:p>
        </w:tc>
        <w:tc>
          <w:tcPr>
            <w:tcW w:w="3420" w:type="dxa"/>
          </w:tcPr>
          <w:p w14:paraId="630DAA1F" w14:textId="77777777" w:rsidR="001164FC" w:rsidRPr="00431F1E" w:rsidRDefault="001164FC" w:rsidP="004128F4">
            <w:pPr>
              <w:pStyle w:val="BodyText"/>
              <w:widowControl w:val="0"/>
              <w:numPr>
                <w:ilvl w:val="12"/>
                <w:numId w:val="0"/>
              </w:numPr>
              <w:spacing w:after="0"/>
              <w:rPr>
                <w:rFonts w:ascii="Book Antiqua" w:hAnsi="Book Antiqua"/>
                <w:sz w:val="24"/>
                <w:szCs w:val="24"/>
              </w:rPr>
            </w:pPr>
            <w:r w:rsidRPr="00431F1E">
              <w:rPr>
                <w:rFonts w:ascii="Book Antiqua" w:hAnsi="Book Antiqua"/>
                <w:color w:val="000000"/>
                <w:sz w:val="24"/>
                <w:szCs w:val="24"/>
              </w:rPr>
              <w:t xml:space="preserve">Total </w:t>
            </w:r>
            <w:r w:rsidR="004128F4">
              <w:rPr>
                <w:rFonts w:ascii="Book Antiqua" w:hAnsi="Book Antiqua"/>
                <w:color w:val="000000"/>
                <w:sz w:val="24"/>
                <w:szCs w:val="24"/>
              </w:rPr>
              <w:t xml:space="preserve">  n</w:t>
            </w:r>
            <w:r w:rsidR="004128F4" w:rsidRPr="00C633A3">
              <w:rPr>
                <w:rFonts w:ascii="Book Antiqua" w:hAnsi="Book Antiqua"/>
                <w:color w:val="000000"/>
                <w:sz w:val="24"/>
                <w:szCs w:val="24"/>
              </w:rPr>
              <w:t>on</w:t>
            </w:r>
            <w:r w:rsidR="004128F4">
              <w:rPr>
                <w:rFonts w:ascii="Book Antiqua" w:hAnsi="Book Antiqua"/>
                <w:color w:val="000000"/>
                <w:sz w:val="24"/>
                <w:szCs w:val="24"/>
              </w:rPr>
              <w:t>-c</w:t>
            </w:r>
            <w:r w:rsidR="004128F4" w:rsidRPr="00C633A3">
              <w:rPr>
                <w:rFonts w:ascii="Book Antiqua" w:hAnsi="Book Antiqua"/>
                <w:color w:val="000000"/>
                <w:sz w:val="24"/>
                <w:szCs w:val="24"/>
              </w:rPr>
              <w:t>ore</w:t>
            </w:r>
          </w:p>
        </w:tc>
        <w:tc>
          <w:tcPr>
            <w:tcW w:w="1530" w:type="dxa"/>
          </w:tcPr>
          <w:p w14:paraId="1E444BAB" w14:textId="77777777" w:rsidR="001164FC" w:rsidRPr="00431F1E" w:rsidRDefault="001164FC" w:rsidP="00031C40">
            <w:pPr>
              <w:pStyle w:val="BodyText"/>
              <w:widowControl w:val="0"/>
              <w:numPr>
                <w:ilvl w:val="12"/>
                <w:numId w:val="0"/>
              </w:numPr>
              <w:spacing w:after="0"/>
              <w:rPr>
                <w:rFonts w:ascii="Book Antiqua" w:hAnsi="Book Antiqua"/>
                <w:sz w:val="24"/>
                <w:szCs w:val="24"/>
              </w:rPr>
            </w:pPr>
            <w:r w:rsidRPr="00431F1E">
              <w:rPr>
                <w:rFonts w:ascii="Book Antiqua" w:hAnsi="Book Antiqua"/>
                <w:b/>
                <w:bCs/>
                <w:sz w:val="24"/>
                <w:szCs w:val="24"/>
              </w:rPr>
              <w:t>5.612%</w:t>
            </w:r>
          </w:p>
        </w:tc>
        <w:tc>
          <w:tcPr>
            <w:tcW w:w="1620" w:type="dxa"/>
          </w:tcPr>
          <w:p w14:paraId="3D17A1E2" w14:textId="77777777" w:rsidR="001164FC" w:rsidRPr="00431F1E" w:rsidRDefault="001164FC" w:rsidP="00031C40">
            <w:pPr>
              <w:pStyle w:val="BodyText"/>
              <w:widowControl w:val="0"/>
              <w:numPr>
                <w:ilvl w:val="12"/>
                <w:numId w:val="0"/>
              </w:numPr>
              <w:spacing w:after="0"/>
              <w:rPr>
                <w:rFonts w:ascii="Book Antiqua" w:hAnsi="Book Antiqua"/>
                <w:sz w:val="24"/>
                <w:szCs w:val="24"/>
              </w:rPr>
            </w:pPr>
            <w:r w:rsidRPr="00431F1E">
              <w:rPr>
                <w:rFonts w:ascii="Book Antiqua" w:hAnsi="Book Antiqua"/>
                <w:b/>
                <w:color w:val="000000"/>
                <w:sz w:val="24"/>
                <w:szCs w:val="24"/>
              </w:rPr>
              <w:t>3.254%</w:t>
            </w:r>
          </w:p>
        </w:tc>
        <w:tc>
          <w:tcPr>
            <w:tcW w:w="1350" w:type="dxa"/>
          </w:tcPr>
          <w:p w14:paraId="4EAA2EDF" w14:textId="77777777" w:rsidR="001164FC" w:rsidRPr="00431F1E" w:rsidRDefault="001164FC" w:rsidP="00031C40">
            <w:pPr>
              <w:pStyle w:val="BodyText"/>
              <w:widowControl w:val="0"/>
              <w:numPr>
                <w:ilvl w:val="12"/>
                <w:numId w:val="0"/>
              </w:numPr>
              <w:spacing w:after="0"/>
              <w:rPr>
                <w:rFonts w:ascii="Book Antiqua" w:hAnsi="Book Antiqua"/>
                <w:sz w:val="24"/>
                <w:szCs w:val="24"/>
              </w:rPr>
            </w:pPr>
            <w:r w:rsidRPr="00431F1E">
              <w:rPr>
                <w:rFonts w:ascii="Book Antiqua" w:hAnsi="Book Antiqua"/>
                <w:sz w:val="24"/>
                <w:szCs w:val="24"/>
              </w:rPr>
              <w:t>-2.358%</w:t>
            </w:r>
          </w:p>
        </w:tc>
      </w:tr>
      <w:tr w:rsidR="001164FC" w:rsidRPr="00F63979" w14:paraId="25C72D68" w14:textId="77777777" w:rsidTr="00031C40">
        <w:tc>
          <w:tcPr>
            <w:tcW w:w="648" w:type="dxa"/>
          </w:tcPr>
          <w:p w14:paraId="131589F5" w14:textId="77777777" w:rsidR="001164FC" w:rsidRPr="00431F1E" w:rsidRDefault="001164FC" w:rsidP="00031C40">
            <w:pPr>
              <w:pStyle w:val="BodyText"/>
              <w:widowControl w:val="0"/>
              <w:numPr>
                <w:ilvl w:val="12"/>
                <w:numId w:val="0"/>
              </w:numPr>
              <w:spacing w:after="0"/>
              <w:jc w:val="center"/>
              <w:rPr>
                <w:rFonts w:ascii="Book Antiqua" w:hAnsi="Book Antiqua"/>
                <w:sz w:val="24"/>
                <w:szCs w:val="24"/>
              </w:rPr>
            </w:pPr>
          </w:p>
        </w:tc>
        <w:tc>
          <w:tcPr>
            <w:tcW w:w="3420" w:type="dxa"/>
          </w:tcPr>
          <w:p w14:paraId="3C5A2BE2" w14:textId="77777777" w:rsidR="001164FC" w:rsidRPr="00431F1E" w:rsidRDefault="001164FC" w:rsidP="00031C40">
            <w:pPr>
              <w:pStyle w:val="BodyText"/>
              <w:widowControl w:val="0"/>
              <w:numPr>
                <w:ilvl w:val="12"/>
                <w:numId w:val="0"/>
              </w:numPr>
              <w:spacing w:after="0"/>
              <w:ind w:left="76" w:hanging="360"/>
              <w:rPr>
                <w:rFonts w:ascii="Book Antiqua" w:hAnsi="Book Antiqua"/>
                <w:sz w:val="24"/>
                <w:szCs w:val="24"/>
              </w:rPr>
            </w:pPr>
          </w:p>
        </w:tc>
        <w:tc>
          <w:tcPr>
            <w:tcW w:w="1530" w:type="dxa"/>
          </w:tcPr>
          <w:p w14:paraId="6A525990" w14:textId="77777777" w:rsidR="001164FC" w:rsidRPr="00431F1E" w:rsidRDefault="001164FC" w:rsidP="00031C40">
            <w:pPr>
              <w:pStyle w:val="BodyText"/>
              <w:widowControl w:val="0"/>
              <w:numPr>
                <w:ilvl w:val="12"/>
                <w:numId w:val="0"/>
              </w:numPr>
              <w:spacing w:after="0"/>
              <w:ind w:hanging="194"/>
              <w:rPr>
                <w:rFonts w:ascii="Book Antiqua" w:hAnsi="Book Antiqua"/>
                <w:b/>
                <w:color w:val="000000"/>
                <w:sz w:val="24"/>
                <w:szCs w:val="24"/>
              </w:rPr>
            </w:pPr>
          </w:p>
        </w:tc>
        <w:tc>
          <w:tcPr>
            <w:tcW w:w="1620" w:type="dxa"/>
          </w:tcPr>
          <w:p w14:paraId="7442C8B1" w14:textId="77777777" w:rsidR="001164FC" w:rsidRPr="00431F1E" w:rsidRDefault="001164FC" w:rsidP="00031C40">
            <w:pPr>
              <w:pStyle w:val="BodyText"/>
              <w:widowControl w:val="0"/>
              <w:numPr>
                <w:ilvl w:val="12"/>
                <w:numId w:val="0"/>
              </w:numPr>
              <w:spacing w:after="0"/>
              <w:ind w:firstLine="466"/>
              <w:rPr>
                <w:rFonts w:ascii="Book Antiqua" w:hAnsi="Book Antiqua"/>
                <w:b/>
                <w:color w:val="000000"/>
                <w:sz w:val="24"/>
                <w:szCs w:val="24"/>
              </w:rPr>
            </w:pPr>
          </w:p>
        </w:tc>
        <w:tc>
          <w:tcPr>
            <w:tcW w:w="1350" w:type="dxa"/>
          </w:tcPr>
          <w:p w14:paraId="411A3745" w14:textId="77777777" w:rsidR="001164FC" w:rsidRPr="00431F1E" w:rsidRDefault="001164FC" w:rsidP="00031C40">
            <w:pPr>
              <w:pStyle w:val="BodyText"/>
              <w:widowControl w:val="0"/>
              <w:numPr>
                <w:ilvl w:val="12"/>
                <w:numId w:val="0"/>
              </w:numPr>
              <w:spacing w:after="0"/>
              <w:rPr>
                <w:rFonts w:ascii="Book Antiqua" w:hAnsi="Book Antiqua"/>
                <w:sz w:val="24"/>
                <w:szCs w:val="24"/>
              </w:rPr>
            </w:pPr>
          </w:p>
        </w:tc>
      </w:tr>
      <w:tr w:rsidR="001164FC" w:rsidRPr="00F63979" w14:paraId="7D1CB4DC" w14:textId="77777777" w:rsidTr="00031C40">
        <w:tc>
          <w:tcPr>
            <w:tcW w:w="648" w:type="dxa"/>
          </w:tcPr>
          <w:p w14:paraId="6525B25D" w14:textId="77777777" w:rsidR="001164FC" w:rsidRPr="00431F1E" w:rsidRDefault="001164FC" w:rsidP="00031C40">
            <w:pPr>
              <w:pStyle w:val="BodyText"/>
              <w:widowControl w:val="0"/>
              <w:numPr>
                <w:ilvl w:val="12"/>
                <w:numId w:val="0"/>
              </w:numPr>
              <w:spacing w:after="0"/>
              <w:jc w:val="center"/>
              <w:rPr>
                <w:rFonts w:ascii="Book Antiqua" w:hAnsi="Book Antiqua"/>
                <w:sz w:val="24"/>
                <w:szCs w:val="24"/>
              </w:rPr>
            </w:pPr>
            <w:r w:rsidRPr="00431F1E">
              <w:rPr>
                <w:rFonts w:ascii="Book Antiqua" w:hAnsi="Book Antiqua"/>
                <w:sz w:val="24"/>
                <w:szCs w:val="24"/>
              </w:rPr>
              <w:t>12</w:t>
            </w:r>
          </w:p>
        </w:tc>
        <w:tc>
          <w:tcPr>
            <w:tcW w:w="3420" w:type="dxa"/>
          </w:tcPr>
          <w:p w14:paraId="723893D7" w14:textId="77777777" w:rsidR="001164FC" w:rsidRPr="00431F1E" w:rsidRDefault="001164FC" w:rsidP="00031C40">
            <w:pPr>
              <w:pStyle w:val="BodyText"/>
              <w:widowControl w:val="0"/>
              <w:numPr>
                <w:ilvl w:val="12"/>
                <w:numId w:val="0"/>
              </w:numPr>
              <w:spacing w:after="0"/>
              <w:rPr>
                <w:rFonts w:ascii="Book Antiqua" w:hAnsi="Book Antiqua"/>
                <w:b/>
                <w:sz w:val="24"/>
                <w:szCs w:val="24"/>
              </w:rPr>
            </w:pPr>
            <w:r w:rsidRPr="00431F1E">
              <w:rPr>
                <w:rFonts w:ascii="Book Antiqua" w:hAnsi="Book Antiqua"/>
                <w:b/>
                <w:color w:val="000000"/>
                <w:sz w:val="24"/>
                <w:szCs w:val="24"/>
              </w:rPr>
              <w:t>Total</w:t>
            </w:r>
          </w:p>
        </w:tc>
        <w:tc>
          <w:tcPr>
            <w:tcW w:w="1530" w:type="dxa"/>
          </w:tcPr>
          <w:p w14:paraId="7F8C9B2F" w14:textId="77777777" w:rsidR="001164FC" w:rsidRPr="00431F1E" w:rsidRDefault="001164FC" w:rsidP="00031C40">
            <w:pPr>
              <w:pStyle w:val="BodyText"/>
              <w:widowControl w:val="0"/>
              <w:numPr>
                <w:ilvl w:val="12"/>
                <w:numId w:val="0"/>
              </w:numPr>
              <w:spacing w:after="0"/>
              <w:ind w:hanging="194"/>
              <w:rPr>
                <w:rFonts w:ascii="Book Antiqua" w:hAnsi="Book Antiqua"/>
                <w:b/>
                <w:sz w:val="24"/>
                <w:szCs w:val="24"/>
              </w:rPr>
            </w:pPr>
            <w:r w:rsidRPr="00431F1E">
              <w:rPr>
                <w:rFonts w:ascii="Book Antiqua" w:hAnsi="Book Antiqua"/>
                <w:b/>
                <w:color w:val="000000"/>
                <w:sz w:val="24"/>
                <w:szCs w:val="24"/>
              </w:rPr>
              <w:t>100.00%</w:t>
            </w:r>
          </w:p>
        </w:tc>
        <w:tc>
          <w:tcPr>
            <w:tcW w:w="1620" w:type="dxa"/>
          </w:tcPr>
          <w:p w14:paraId="502A527C" w14:textId="77777777" w:rsidR="001164FC" w:rsidRPr="00431F1E" w:rsidRDefault="001164FC" w:rsidP="00031C40">
            <w:pPr>
              <w:pStyle w:val="BodyText"/>
              <w:widowControl w:val="0"/>
              <w:numPr>
                <w:ilvl w:val="12"/>
                <w:numId w:val="0"/>
              </w:numPr>
              <w:spacing w:after="0"/>
              <w:rPr>
                <w:rFonts w:ascii="Book Antiqua" w:hAnsi="Book Antiqua"/>
                <w:b/>
                <w:sz w:val="24"/>
                <w:szCs w:val="24"/>
              </w:rPr>
            </w:pPr>
            <w:r w:rsidRPr="00431F1E">
              <w:rPr>
                <w:rFonts w:ascii="Book Antiqua" w:hAnsi="Book Antiqua"/>
                <w:b/>
                <w:color w:val="000000"/>
                <w:sz w:val="24"/>
                <w:szCs w:val="24"/>
              </w:rPr>
              <w:t>100.00%</w:t>
            </w:r>
          </w:p>
        </w:tc>
        <w:tc>
          <w:tcPr>
            <w:tcW w:w="1350" w:type="dxa"/>
          </w:tcPr>
          <w:p w14:paraId="02AB34FE" w14:textId="77777777" w:rsidR="001164FC" w:rsidRPr="00431F1E" w:rsidRDefault="001164FC" w:rsidP="00031C40">
            <w:pPr>
              <w:pStyle w:val="BodyText"/>
              <w:widowControl w:val="0"/>
              <w:numPr>
                <w:ilvl w:val="12"/>
                <w:numId w:val="0"/>
              </w:numPr>
              <w:spacing w:after="0"/>
              <w:rPr>
                <w:rFonts w:ascii="Book Antiqua" w:hAnsi="Book Antiqua"/>
                <w:b/>
                <w:sz w:val="24"/>
                <w:szCs w:val="24"/>
              </w:rPr>
            </w:pPr>
            <w:r w:rsidRPr="00431F1E">
              <w:rPr>
                <w:rFonts w:ascii="Book Antiqua" w:hAnsi="Book Antiqua"/>
                <w:b/>
                <w:sz w:val="24"/>
                <w:szCs w:val="24"/>
              </w:rPr>
              <w:t>0.0%</w:t>
            </w:r>
          </w:p>
        </w:tc>
      </w:tr>
    </w:tbl>
    <w:p w14:paraId="51534BCB" w14:textId="77777777" w:rsidR="001164FC" w:rsidRPr="00D322AD" w:rsidRDefault="001164FC" w:rsidP="001164FC">
      <w:pPr>
        <w:widowControl w:val="0"/>
        <w:rPr>
          <w:color w:val="0000FF"/>
          <w:szCs w:val="26"/>
        </w:rPr>
      </w:pPr>
    </w:p>
    <w:p w14:paraId="038F7C7F" w14:textId="77777777" w:rsidR="001164FC" w:rsidRPr="00196B50" w:rsidRDefault="001164FC" w:rsidP="00601A93">
      <w:pPr>
        <w:pStyle w:val="standard"/>
        <w:rPr>
          <w:rFonts w:ascii="Book Antiqua" w:hAnsi="Book Antiqua"/>
        </w:rPr>
      </w:pPr>
      <w:r w:rsidRPr="00196B50">
        <w:rPr>
          <w:rFonts w:ascii="Book Antiqua" w:hAnsi="Book Antiqua"/>
        </w:rPr>
        <w:t xml:space="preserve">The above tables provide a comparative summary of the resulting revenue allocation numbers derived from Cal Advocates’ recommendation.  They are marginal cost-based </w:t>
      </w:r>
      <w:r w:rsidR="00FA5DE4" w:rsidRPr="00196B50">
        <w:rPr>
          <w:rFonts w:ascii="Book Antiqua" w:hAnsi="Book Antiqua"/>
        </w:rPr>
        <w:t xml:space="preserve">allocations </w:t>
      </w:r>
      <w:r w:rsidRPr="00196B50">
        <w:rPr>
          <w:rFonts w:ascii="Book Antiqua" w:hAnsi="Book Antiqua"/>
        </w:rPr>
        <w:t xml:space="preserve">using the DTIM method and PG&amp;E’s Proposed Gas Distribution Cost Allocation on the basis of </w:t>
      </w:r>
      <w:r w:rsidR="00941C13" w:rsidRPr="00196B50">
        <w:rPr>
          <w:rFonts w:ascii="Book Antiqua" w:hAnsi="Book Antiqua"/>
        </w:rPr>
        <w:t>an embedded</w:t>
      </w:r>
      <w:r w:rsidR="00FA5DE4" w:rsidRPr="00196B50">
        <w:rPr>
          <w:rFonts w:ascii="Book Antiqua" w:hAnsi="Book Antiqua"/>
        </w:rPr>
        <w:t xml:space="preserve"> cost</w:t>
      </w:r>
      <w:r w:rsidRPr="00196B50">
        <w:rPr>
          <w:rFonts w:ascii="Book Antiqua" w:hAnsi="Book Antiqua"/>
        </w:rPr>
        <w:t xml:space="preserve">-based method; and reproduce (from Attachment C of Exhibit ORA-5A) the </w:t>
      </w:r>
      <w:r w:rsidR="00880BB5" w:rsidRPr="00196B50">
        <w:rPr>
          <w:rFonts w:ascii="Book Antiqua" w:hAnsi="Book Antiqua"/>
        </w:rPr>
        <w:t>c</w:t>
      </w:r>
      <w:r w:rsidRPr="00196B50">
        <w:rPr>
          <w:rFonts w:ascii="Book Antiqua" w:hAnsi="Book Antiqua"/>
        </w:rPr>
        <w:t xml:space="preserve">omparative </w:t>
      </w:r>
      <w:r w:rsidR="00880BB5" w:rsidRPr="00196B50">
        <w:rPr>
          <w:rFonts w:ascii="Book Antiqua" w:hAnsi="Book Antiqua"/>
        </w:rPr>
        <w:t>s</w:t>
      </w:r>
      <w:r w:rsidRPr="00196B50">
        <w:rPr>
          <w:rFonts w:ascii="Book Antiqua" w:hAnsi="Book Antiqua"/>
        </w:rPr>
        <w:t>ummaries of cost allocation methods.</w:t>
      </w:r>
      <w:r w:rsidRPr="00431F1E">
        <w:rPr>
          <w:rStyle w:val="FootnoteReference"/>
          <w:rFonts w:ascii="Book Antiqua" w:hAnsi="Book Antiqua"/>
          <w:szCs w:val="26"/>
        </w:rPr>
        <w:footnoteReference w:id="61"/>
      </w:r>
    </w:p>
    <w:p w14:paraId="32A7CE22" w14:textId="3F11AC53" w:rsidR="001164FC" w:rsidRPr="00196B50" w:rsidRDefault="001164FC" w:rsidP="00601A93">
      <w:pPr>
        <w:pStyle w:val="standard"/>
        <w:rPr>
          <w:rFonts w:ascii="Book Antiqua" w:hAnsi="Book Antiqua"/>
        </w:rPr>
      </w:pPr>
      <w:r w:rsidRPr="00196B50">
        <w:rPr>
          <w:rFonts w:ascii="Book Antiqua" w:hAnsi="Book Antiqua"/>
        </w:rPr>
        <w:lastRenderedPageBreak/>
        <w:t>As shown in Table 1 above, PG&amp;E’s embedded cost proposal will result in an allocation of about $52 million more to residential customers than would otherwise be allocated to residential customers under a marginal cost method.  The small commercial customer class will experience either the same, or similar, allocation as they currently have.  PG&amp;E’s embedded cost proposal will allocate slightly less revenue to large commercial, distribution, and Core NGV and G</w:t>
      </w:r>
      <w:r w:rsidR="00CE5578" w:rsidRPr="00196B50">
        <w:rPr>
          <w:rFonts w:ascii="Book Antiqua" w:hAnsi="Book Antiqua"/>
        </w:rPr>
        <w:t>-</w:t>
      </w:r>
      <w:r w:rsidRPr="00196B50">
        <w:rPr>
          <w:rFonts w:ascii="Book Antiqua" w:hAnsi="Book Antiqua"/>
        </w:rPr>
        <w:t>NGV2</w:t>
      </w:r>
      <w:r w:rsidR="006A2069" w:rsidRPr="00196B50">
        <w:rPr>
          <w:rFonts w:ascii="Book Antiqua" w:hAnsi="Book Antiqua"/>
        </w:rPr>
        <w:t>-Natural Gas Service Rate</w:t>
      </w:r>
      <w:r w:rsidR="00A2339D" w:rsidRPr="00196B50">
        <w:rPr>
          <w:rFonts w:ascii="Book Antiqua" w:hAnsi="Book Antiqua"/>
        </w:rPr>
        <w:t xml:space="preserve"> </w:t>
      </w:r>
      <w:r w:rsidRPr="00196B50">
        <w:rPr>
          <w:rFonts w:ascii="Book Antiqua" w:hAnsi="Book Antiqua"/>
        </w:rPr>
        <w:t>customers.</w:t>
      </w:r>
      <w:r w:rsidR="006A2069" w:rsidRPr="00846105">
        <w:rPr>
          <w:rStyle w:val="FootnoteReference"/>
          <w:rFonts w:ascii="Book Antiqua" w:hAnsi="Book Antiqua"/>
          <w:szCs w:val="26"/>
        </w:rPr>
        <w:footnoteReference w:id="62"/>
      </w:r>
      <w:r w:rsidRPr="00196B50">
        <w:rPr>
          <w:rFonts w:ascii="Book Antiqua" w:hAnsi="Book Antiqua"/>
        </w:rPr>
        <w:t xml:space="preserve">  PG&amp;E’s </w:t>
      </w:r>
      <w:r w:rsidR="00A2339D" w:rsidRPr="00196B50">
        <w:rPr>
          <w:rFonts w:ascii="Book Antiqua" w:hAnsi="Book Antiqua"/>
        </w:rPr>
        <w:t>c</w:t>
      </w:r>
      <w:r w:rsidRPr="00196B50">
        <w:rPr>
          <w:rFonts w:ascii="Book Antiqua" w:hAnsi="Book Antiqua"/>
        </w:rPr>
        <w:t xml:space="preserve">ore customers will be allocated approximately $42 million more under PG&amp;E’s embedded cost proposal, while </w:t>
      </w:r>
      <w:r w:rsidR="00D07979" w:rsidRPr="00196B50">
        <w:rPr>
          <w:rFonts w:ascii="Book Antiqua" w:hAnsi="Book Antiqua"/>
        </w:rPr>
        <w:t>the total allocation to noncore customers will be reduced</w:t>
      </w:r>
      <w:r w:rsidR="00A2339D" w:rsidRPr="00196B50">
        <w:rPr>
          <w:rFonts w:ascii="Book Antiqua" w:hAnsi="Book Antiqua"/>
        </w:rPr>
        <w:t xml:space="preserve"> </w:t>
      </w:r>
      <w:r w:rsidRPr="00196B50">
        <w:rPr>
          <w:rFonts w:ascii="Book Antiqua" w:hAnsi="Book Antiqua"/>
        </w:rPr>
        <w:t xml:space="preserve">by approximately $42 million, as presented in Cal Advocates’ testimony.   </w:t>
      </w:r>
    </w:p>
    <w:p w14:paraId="6A9BB874" w14:textId="1224C43B" w:rsidR="001164FC" w:rsidRPr="00196B50" w:rsidRDefault="001164FC" w:rsidP="00601A93">
      <w:pPr>
        <w:pStyle w:val="standard"/>
        <w:rPr>
          <w:rFonts w:ascii="Book Antiqua" w:hAnsi="Book Antiqua"/>
        </w:rPr>
      </w:pPr>
      <w:r w:rsidRPr="00196B50">
        <w:rPr>
          <w:rFonts w:ascii="Book Antiqua" w:hAnsi="Book Antiqua"/>
        </w:rPr>
        <w:t>Table 2 above show</w:t>
      </w:r>
      <w:r w:rsidR="00A2339D" w:rsidRPr="00196B50">
        <w:rPr>
          <w:rFonts w:ascii="Book Antiqua" w:hAnsi="Book Antiqua"/>
        </w:rPr>
        <w:t>s</w:t>
      </w:r>
      <w:r w:rsidRPr="00196B50">
        <w:rPr>
          <w:rFonts w:ascii="Book Antiqua" w:hAnsi="Book Antiqua"/>
        </w:rPr>
        <w:t xml:space="preserve"> that </w:t>
      </w:r>
      <w:r w:rsidR="00D07979" w:rsidRPr="00196B50">
        <w:rPr>
          <w:rFonts w:ascii="Book Antiqua" w:hAnsi="Book Antiqua"/>
        </w:rPr>
        <w:t>core</w:t>
      </w:r>
      <w:r w:rsidR="00A2339D" w:rsidRPr="00196B50">
        <w:rPr>
          <w:rFonts w:ascii="Book Antiqua" w:hAnsi="Book Antiqua"/>
        </w:rPr>
        <w:t xml:space="preserve"> </w:t>
      </w:r>
      <w:r w:rsidRPr="00196B50">
        <w:rPr>
          <w:rFonts w:ascii="Book Antiqua" w:hAnsi="Book Antiqua"/>
        </w:rPr>
        <w:t>customers will be allocated 94.388</w:t>
      </w:r>
      <w:r w:rsidR="00A2339D" w:rsidRPr="00196B50">
        <w:rPr>
          <w:rFonts w:ascii="Book Antiqua" w:hAnsi="Book Antiqua"/>
        </w:rPr>
        <w:t xml:space="preserve"> percent</w:t>
      </w:r>
      <w:r w:rsidRPr="00196B50">
        <w:rPr>
          <w:rFonts w:ascii="Book Antiqua" w:hAnsi="Book Antiqua"/>
        </w:rPr>
        <w:t xml:space="preserve"> </w:t>
      </w:r>
      <w:r w:rsidR="00A2339D" w:rsidRPr="00196B50">
        <w:rPr>
          <w:rFonts w:ascii="Book Antiqua" w:hAnsi="Book Antiqua"/>
        </w:rPr>
        <w:t xml:space="preserve">of total costs </w:t>
      </w:r>
      <w:r w:rsidRPr="00196B50">
        <w:rPr>
          <w:rFonts w:ascii="Book Antiqua" w:hAnsi="Book Antiqua"/>
        </w:rPr>
        <w:t xml:space="preserve">under Cal Advocates’ </w:t>
      </w:r>
      <w:r w:rsidR="00A2339D" w:rsidRPr="00196B50">
        <w:rPr>
          <w:rFonts w:ascii="Book Antiqua" w:hAnsi="Book Antiqua"/>
        </w:rPr>
        <w:t xml:space="preserve">marginal cost </w:t>
      </w:r>
      <w:r w:rsidRPr="00196B50">
        <w:rPr>
          <w:rFonts w:ascii="Book Antiqua" w:hAnsi="Book Antiqua"/>
        </w:rPr>
        <w:t>recommendation, and 96.746</w:t>
      </w:r>
      <w:r w:rsidR="00A2339D" w:rsidRPr="00196B50">
        <w:rPr>
          <w:rFonts w:ascii="Book Antiqua" w:hAnsi="Book Antiqua"/>
        </w:rPr>
        <w:t xml:space="preserve"> percent</w:t>
      </w:r>
      <w:r w:rsidRPr="00196B50">
        <w:rPr>
          <w:rFonts w:ascii="Book Antiqua" w:hAnsi="Book Antiqua"/>
        </w:rPr>
        <w:t xml:space="preserve"> under PG&amp;E’s embedded cost proposal resulting in an allocation of about 2.358</w:t>
      </w:r>
      <w:r w:rsidR="00A2339D" w:rsidRPr="00196B50">
        <w:rPr>
          <w:rFonts w:ascii="Book Antiqua" w:hAnsi="Book Antiqua"/>
        </w:rPr>
        <w:t xml:space="preserve"> percent</w:t>
      </w:r>
      <w:r w:rsidRPr="00196B50">
        <w:rPr>
          <w:rFonts w:ascii="Book Antiqua" w:hAnsi="Book Antiqua"/>
        </w:rPr>
        <w:t xml:space="preserve"> more to </w:t>
      </w:r>
      <w:r w:rsidR="00A2339D" w:rsidRPr="00196B50">
        <w:rPr>
          <w:rFonts w:ascii="Book Antiqua" w:hAnsi="Book Antiqua"/>
        </w:rPr>
        <w:t>c</w:t>
      </w:r>
      <w:r w:rsidRPr="00196B50">
        <w:rPr>
          <w:rFonts w:ascii="Book Antiqua" w:hAnsi="Book Antiqua"/>
        </w:rPr>
        <w:t xml:space="preserve">ore customers under PG&amp;E’s embedded cost proposal.  </w:t>
      </w:r>
    </w:p>
    <w:p w14:paraId="73002CA1" w14:textId="46F660F3" w:rsidR="001164FC" w:rsidRPr="00431F1E" w:rsidRDefault="001164FC" w:rsidP="006E3D27">
      <w:pPr>
        <w:pStyle w:val="standard"/>
        <w:rPr>
          <w:rFonts w:ascii="Book Antiqua" w:hAnsi="Book Antiqua"/>
          <w:szCs w:val="26"/>
        </w:rPr>
      </w:pPr>
      <w:r w:rsidRPr="00431F1E">
        <w:rPr>
          <w:rFonts w:ascii="Book Antiqua" w:hAnsi="Book Antiqua"/>
          <w:szCs w:val="26"/>
        </w:rPr>
        <w:t>Furthermore, under PG&amp;E’s proposed embedded cost-based allocation, residential customers could bear up to 77.9 percent of the PG&amp;E gas distribution revenue requirement, compared to 74.990</w:t>
      </w:r>
      <w:r w:rsidR="00A2339D">
        <w:rPr>
          <w:rFonts w:ascii="Book Antiqua" w:hAnsi="Book Antiqua"/>
          <w:szCs w:val="26"/>
        </w:rPr>
        <w:t xml:space="preserve"> percent</w:t>
      </w:r>
      <w:r w:rsidRPr="00431F1E">
        <w:rPr>
          <w:rFonts w:ascii="Book Antiqua" w:hAnsi="Book Antiqua"/>
          <w:szCs w:val="26"/>
        </w:rPr>
        <w:t xml:space="preserve"> under Cal Advocates’ proposal</w:t>
      </w:r>
      <w:r w:rsidRPr="00431F1E">
        <w:rPr>
          <w:rStyle w:val="FootnoteReference"/>
          <w:rFonts w:ascii="Book Antiqua" w:hAnsi="Book Antiqua"/>
          <w:szCs w:val="26"/>
        </w:rPr>
        <w:footnoteReference w:id="63"/>
      </w:r>
      <w:r w:rsidRPr="00431F1E">
        <w:rPr>
          <w:rFonts w:ascii="Book Antiqua" w:hAnsi="Book Antiqua"/>
          <w:szCs w:val="26"/>
        </w:rPr>
        <w:t>- a difference of about 2.9</w:t>
      </w:r>
      <w:r w:rsidR="00D94729">
        <w:rPr>
          <w:rFonts w:ascii="Book Antiqua" w:hAnsi="Book Antiqua"/>
          <w:szCs w:val="26"/>
        </w:rPr>
        <w:t xml:space="preserve"> percent.</w:t>
      </w:r>
      <w:r w:rsidRPr="00431F1E">
        <w:rPr>
          <w:rFonts w:ascii="Book Antiqua" w:hAnsi="Book Antiqua"/>
          <w:szCs w:val="26"/>
        </w:rPr>
        <w:t xml:space="preserve">  (See Table 2, column (d) at line 1.).  </w:t>
      </w:r>
    </w:p>
    <w:p w14:paraId="68BD0B4E" w14:textId="4FC004CC" w:rsidR="001164FC" w:rsidRPr="00196B50" w:rsidRDefault="001164FC" w:rsidP="00601A93">
      <w:pPr>
        <w:pStyle w:val="standard"/>
        <w:rPr>
          <w:rFonts w:ascii="Book Antiqua" w:hAnsi="Book Antiqua"/>
        </w:rPr>
      </w:pPr>
      <w:r w:rsidRPr="00196B50">
        <w:rPr>
          <w:rFonts w:ascii="Book Antiqua" w:hAnsi="Book Antiqua"/>
        </w:rPr>
        <w:t>Overall, under PG&amp;E’s embedded cost proposal, core customers (including residential, small commercial, large commercial distribution, core NGV, and compression cost for G-NGV2 customers) would be allocated 2.358</w:t>
      </w:r>
      <w:r w:rsidR="00A2339D" w:rsidRPr="00196B50">
        <w:rPr>
          <w:rFonts w:ascii="Book Antiqua" w:hAnsi="Book Antiqua"/>
        </w:rPr>
        <w:t xml:space="preserve"> </w:t>
      </w:r>
      <w:r w:rsidR="00A2339D" w:rsidRPr="00196B50">
        <w:rPr>
          <w:rFonts w:ascii="Book Antiqua" w:hAnsi="Book Antiqua"/>
        </w:rPr>
        <w:lastRenderedPageBreak/>
        <w:t>percent</w:t>
      </w:r>
      <w:r w:rsidRPr="00196B50">
        <w:rPr>
          <w:rFonts w:ascii="Book Antiqua" w:hAnsi="Book Antiqua"/>
        </w:rPr>
        <w:t xml:space="preserve"> more of PG&amp;E’s gas distribution revenue requirements (about $42 million more), while non-core customers would be allocated approximately $42 million less.</w:t>
      </w:r>
      <w:r w:rsidRPr="00431F1E">
        <w:rPr>
          <w:rStyle w:val="FootnoteReference"/>
          <w:rFonts w:ascii="Book Antiqua" w:hAnsi="Book Antiqua"/>
          <w:szCs w:val="26"/>
        </w:rPr>
        <w:footnoteReference w:id="64"/>
      </w:r>
      <w:r w:rsidRPr="00196B50">
        <w:rPr>
          <w:rFonts w:ascii="Book Antiqua" w:hAnsi="Book Antiqua"/>
        </w:rPr>
        <w:t xml:space="preserve"> </w:t>
      </w:r>
      <w:r w:rsidR="001857D4" w:rsidRPr="00196B50">
        <w:rPr>
          <w:rFonts w:ascii="Book Antiqua" w:hAnsi="Book Antiqua"/>
        </w:rPr>
        <w:t>These calculations are performed using t</w:t>
      </w:r>
      <w:r w:rsidRPr="00196B50">
        <w:rPr>
          <w:rFonts w:ascii="Book Antiqua" w:hAnsi="Book Antiqua"/>
        </w:rPr>
        <w:t>he total revenue requirement previously determined in the PG&amp;E 2017 GRC Decision in D.17-05-013 (in A.15-09-001).</w:t>
      </w:r>
      <w:r w:rsidRPr="00431F1E">
        <w:rPr>
          <w:rStyle w:val="FootnoteReference"/>
          <w:rFonts w:ascii="Book Antiqua" w:hAnsi="Book Antiqua"/>
          <w:szCs w:val="26"/>
        </w:rPr>
        <w:footnoteReference w:id="65"/>
      </w:r>
    </w:p>
    <w:p w14:paraId="3767A20D" w14:textId="1484F71B" w:rsidR="001164FC" w:rsidRPr="00196B50" w:rsidRDefault="001164FC" w:rsidP="00601A93">
      <w:pPr>
        <w:pStyle w:val="standard"/>
        <w:rPr>
          <w:rFonts w:ascii="Book Antiqua" w:hAnsi="Book Antiqua"/>
        </w:rPr>
      </w:pPr>
      <w:r w:rsidRPr="00196B50">
        <w:rPr>
          <w:rFonts w:ascii="Book Antiqua" w:hAnsi="Book Antiqua"/>
        </w:rPr>
        <w:t>Cal Advocates also presented information in its Opening Brief and testimony, showing comparative marginal cost numbers, as presented by PG&amp;E in its testimony, based on PG&amp;E’s marginal cost adopted in 2005 and escalated to 2018 numbers.</w:t>
      </w:r>
      <w:r w:rsidRPr="00431F1E">
        <w:rPr>
          <w:rStyle w:val="FootnoteReference"/>
          <w:rFonts w:ascii="Book Antiqua" w:hAnsi="Book Antiqua"/>
          <w:szCs w:val="26"/>
        </w:rPr>
        <w:footnoteReference w:id="66"/>
      </w:r>
      <w:r w:rsidRPr="00196B50">
        <w:rPr>
          <w:rFonts w:ascii="Book Antiqua" w:hAnsi="Book Antiqua"/>
        </w:rPr>
        <w:t xml:space="preserve">  Cal Advocates’ Table 5 shows a summary of the Gas Distribution Cost Allocation forecast results (in 2018 Dollars) which compares PG&amp;E’s Marginal Cost Adopted in the 2005 B</w:t>
      </w:r>
      <w:r w:rsidR="00CD6C5F" w:rsidRPr="00196B50">
        <w:rPr>
          <w:rFonts w:ascii="Book Antiqua" w:hAnsi="Book Antiqua"/>
        </w:rPr>
        <w:t xml:space="preserve">iennial </w:t>
      </w:r>
      <w:r w:rsidRPr="00196B50">
        <w:rPr>
          <w:rFonts w:ascii="Book Antiqua" w:hAnsi="Book Antiqua"/>
        </w:rPr>
        <w:t>C</w:t>
      </w:r>
      <w:r w:rsidR="00CD6C5F" w:rsidRPr="00196B50">
        <w:rPr>
          <w:rFonts w:ascii="Book Antiqua" w:hAnsi="Book Antiqua"/>
        </w:rPr>
        <w:t xml:space="preserve">ost </w:t>
      </w:r>
      <w:r w:rsidRPr="00196B50">
        <w:rPr>
          <w:rFonts w:ascii="Book Antiqua" w:hAnsi="Book Antiqua"/>
        </w:rPr>
        <w:t>A</w:t>
      </w:r>
      <w:r w:rsidR="00CD6C5F" w:rsidRPr="00196B50">
        <w:rPr>
          <w:rFonts w:ascii="Book Antiqua" w:hAnsi="Book Antiqua"/>
        </w:rPr>
        <w:t xml:space="preserve">llocation </w:t>
      </w:r>
      <w:r w:rsidRPr="00196B50">
        <w:rPr>
          <w:rFonts w:ascii="Book Antiqua" w:hAnsi="Book Antiqua"/>
        </w:rPr>
        <w:t>P</w:t>
      </w:r>
      <w:r w:rsidR="00CD6C5F" w:rsidRPr="00196B50">
        <w:rPr>
          <w:rFonts w:ascii="Book Antiqua" w:hAnsi="Book Antiqua"/>
        </w:rPr>
        <w:t>roceeding</w:t>
      </w:r>
      <w:r w:rsidRPr="00196B50">
        <w:rPr>
          <w:rFonts w:ascii="Book Antiqua" w:hAnsi="Book Antiqua"/>
        </w:rPr>
        <w:t xml:space="preserve">, should the marginal cost methodology be retained, and PG&amp;E’s Proposal in 2019 for the cost allocation of the Gas Distribution function.  In its Table 6, Cal Advocates presents the results of the costs associated with the Gas Distribution </w:t>
      </w:r>
      <w:r w:rsidRPr="00196B50">
        <w:rPr>
          <w:rFonts w:ascii="Book Antiqua" w:hAnsi="Book Antiqua"/>
        </w:rPr>
        <w:lastRenderedPageBreak/>
        <w:t>Cost Allocation forecast and the comparison illustrated in Table 5, in terms of percentages.  We are persuaded by Cal Advocates’ thorough and extensive work on this issue.</w:t>
      </w:r>
    </w:p>
    <w:p w14:paraId="1DC0AA16" w14:textId="7BC999E1" w:rsidR="001164FC" w:rsidRPr="00196B50" w:rsidRDefault="001164FC" w:rsidP="00601A93">
      <w:pPr>
        <w:pStyle w:val="standard"/>
        <w:rPr>
          <w:rFonts w:ascii="Book Antiqua" w:hAnsi="Book Antiqua"/>
        </w:rPr>
      </w:pPr>
      <w:r w:rsidRPr="00196B50">
        <w:rPr>
          <w:rFonts w:ascii="Book Antiqua" w:hAnsi="Book Antiqua"/>
        </w:rPr>
        <w:t>Accordingly, based on this record, the Commission finds that Cal Advocates’ DTIM-based MDCC estimate and NCO MCAC</w:t>
      </w:r>
      <w:r w:rsidR="00B1383D" w:rsidRPr="00196B50">
        <w:rPr>
          <w:rFonts w:ascii="Book Antiqua" w:hAnsi="Book Antiqua"/>
        </w:rPr>
        <w:t xml:space="preserve"> </w:t>
      </w:r>
      <w:r w:rsidRPr="00196B50">
        <w:rPr>
          <w:rFonts w:ascii="Book Antiqua" w:hAnsi="Book Antiqua"/>
        </w:rPr>
        <w:t xml:space="preserve">marginal costs result in the most reasonable revenue allocation for PG&amp;E’s customers and </w:t>
      </w:r>
      <w:r w:rsidR="003E2C87" w:rsidRPr="00196B50">
        <w:rPr>
          <w:rFonts w:ascii="Book Antiqua" w:hAnsi="Book Antiqua"/>
        </w:rPr>
        <w:t>reasonable cost-based rates</w:t>
      </w:r>
      <w:r w:rsidRPr="00196B50">
        <w:rPr>
          <w:rFonts w:ascii="Book Antiqua" w:hAnsi="Book Antiqua"/>
        </w:rPr>
        <w:t xml:space="preserve"> for </w:t>
      </w:r>
      <w:r w:rsidR="003E2C87" w:rsidRPr="00196B50">
        <w:rPr>
          <w:rFonts w:ascii="Book Antiqua" w:hAnsi="Book Antiqua"/>
        </w:rPr>
        <w:t>PG&amp;E</w:t>
      </w:r>
      <w:r w:rsidR="00B1383D" w:rsidRPr="00196B50">
        <w:rPr>
          <w:rFonts w:ascii="Book Antiqua" w:hAnsi="Book Antiqua"/>
        </w:rPr>
        <w:t xml:space="preserve"> </w:t>
      </w:r>
      <w:r w:rsidRPr="00196B50">
        <w:rPr>
          <w:rFonts w:ascii="Book Antiqua" w:hAnsi="Book Antiqua"/>
        </w:rPr>
        <w:t>customers,</w:t>
      </w:r>
      <w:r w:rsidRPr="00431F1E">
        <w:rPr>
          <w:rStyle w:val="FootnoteReference"/>
          <w:rFonts w:ascii="Book Antiqua" w:hAnsi="Book Antiqua"/>
          <w:szCs w:val="26"/>
        </w:rPr>
        <w:footnoteReference w:id="67"/>
      </w:r>
      <w:r w:rsidRPr="00196B50">
        <w:rPr>
          <w:rFonts w:ascii="Book Antiqua" w:hAnsi="Book Antiqua"/>
        </w:rPr>
        <w:t xml:space="preserve"> as discussed above.  Accordingly, we adopt Cal Advocates’ marginal cost study based on the</w:t>
      </w:r>
      <w:r w:rsidR="00E939DC" w:rsidRPr="00196B50">
        <w:rPr>
          <w:rFonts w:ascii="Book Antiqua" w:hAnsi="Book Antiqua"/>
        </w:rPr>
        <w:t xml:space="preserve"> NCO</w:t>
      </w:r>
      <w:r w:rsidRPr="00196B50">
        <w:rPr>
          <w:rFonts w:ascii="Book Antiqua" w:hAnsi="Book Antiqua"/>
        </w:rPr>
        <w:t xml:space="preserve"> method, updated for the new tax law and cost of capital</w:t>
      </w:r>
      <w:r w:rsidR="00B1383D" w:rsidRPr="00196B50">
        <w:rPr>
          <w:rFonts w:ascii="Book Antiqua" w:hAnsi="Book Antiqua"/>
        </w:rPr>
        <w:t>,</w:t>
      </w:r>
      <w:r w:rsidRPr="00196B50">
        <w:rPr>
          <w:rFonts w:ascii="Book Antiqua" w:hAnsi="Book Antiqua"/>
        </w:rPr>
        <w:t xml:space="preserve"> while removing smart-meter opt-out costs from revenue requirement.  </w:t>
      </w:r>
    </w:p>
    <w:p w14:paraId="10C3B5F3" w14:textId="77777777" w:rsidR="001164FC" w:rsidRPr="00431F1E" w:rsidRDefault="001164FC" w:rsidP="006E3D27">
      <w:pPr>
        <w:pStyle w:val="Heading2"/>
        <w:rPr>
          <w:rFonts w:ascii="Helvetica" w:hAnsi="Helvetica" w:cs="Helvetica"/>
        </w:rPr>
      </w:pPr>
      <w:bookmarkStart w:id="52" w:name="_Toc11407863"/>
      <w:bookmarkStart w:id="53" w:name="_Toc20144547"/>
      <w:r w:rsidRPr="00431F1E">
        <w:rPr>
          <w:rFonts w:ascii="Helvetica" w:hAnsi="Helvetica" w:cs="Helvetica"/>
        </w:rPr>
        <w:t>Issue 5 - Should PG&amp;E's proposal to reduce the residential Tier 1 and Tier 2 bundled rate differential to 1.2 over four years be approved?</w:t>
      </w:r>
      <w:bookmarkEnd w:id="52"/>
      <w:bookmarkEnd w:id="53"/>
    </w:p>
    <w:p w14:paraId="3F27DB9B" w14:textId="77777777" w:rsidR="001164FC" w:rsidRPr="00196B50" w:rsidRDefault="001164FC" w:rsidP="00601A93">
      <w:pPr>
        <w:pStyle w:val="standard"/>
        <w:rPr>
          <w:rFonts w:ascii="Book Antiqua" w:hAnsi="Book Antiqua"/>
        </w:rPr>
      </w:pPr>
      <w:r w:rsidRPr="00196B50">
        <w:rPr>
          <w:rFonts w:ascii="Book Antiqua" w:hAnsi="Book Antiqua"/>
        </w:rPr>
        <w:t xml:space="preserve">PG&amp;E proposes to return the residential bundled Tier 1 and Tier 2 differential to 1.2, which was established in the settlement approved in D.05-06-020.  Decision 05-06-020 established that the transportation portion of the </w:t>
      </w:r>
      <w:r w:rsidR="00402B3F" w:rsidRPr="00196B50">
        <w:rPr>
          <w:rFonts w:ascii="Book Antiqua" w:hAnsi="Book Antiqua"/>
        </w:rPr>
        <w:t xml:space="preserve">tiered </w:t>
      </w:r>
      <w:r w:rsidRPr="00196B50">
        <w:rPr>
          <w:rFonts w:ascii="Book Antiqua" w:hAnsi="Book Antiqua"/>
        </w:rPr>
        <w:t xml:space="preserve">rates be set at a 1.6 to 1 ratio, as long as a bundled tiered ratio of at least 1.2 to 1 was achieved.  In its testimony, PG&amp;E provided that, in D.10-06-035, the bundled 1.2 to 1 portion of the test was omitted “as a simplification given a monthly pricing adjustment for rates each month and a desire not to change the transportation rate and rate components monthly for the 1.2 bundled ratio, but that subsequent to D.10-06-035, the tier ratio calculation has been based on a transportation rate ratio of 1.6 to 1.  According to PG&amp;E, the use of the 1.6 ratio </w:t>
      </w:r>
      <w:r w:rsidRPr="00196B50">
        <w:rPr>
          <w:rFonts w:ascii="Book Antiqua" w:hAnsi="Book Antiqua"/>
        </w:rPr>
        <w:lastRenderedPageBreak/>
        <w:t>has resulted in a 1.41 bundled current tier ratio, which is unintended and excessive</w:t>
      </w:r>
      <w:r w:rsidR="0081788E" w:rsidRPr="00196B50">
        <w:rPr>
          <w:rFonts w:ascii="Book Antiqua" w:hAnsi="Book Antiqua"/>
        </w:rPr>
        <w:t>.</w:t>
      </w:r>
      <w:r w:rsidRPr="00196B50">
        <w:rPr>
          <w:rFonts w:ascii="Book Antiqua" w:hAnsi="Book Antiqua"/>
        </w:rPr>
        <w:t>”</w:t>
      </w:r>
      <w:r w:rsidRPr="00431F1E">
        <w:rPr>
          <w:rStyle w:val="FootnoteReference"/>
          <w:rFonts w:ascii="Book Antiqua" w:hAnsi="Book Antiqua"/>
          <w:szCs w:val="26"/>
        </w:rPr>
        <w:footnoteReference w:id="68"/>
      </w:r>
    </w:p>
    <w:p w14:paraId="7720A937" w14:textId="77777777" w:rsidR="001164FC" w:rsidRPr="00196B50" w:rsidRDefault="001164FC" w:rsidP="00601A93">
      <w:pPr>
        <w:pStyle w:val="standard"/>
        <w:rPr>
          <w:rFonts w:ascii="Book Antiqua" w:hAnsi="Book Antiqua"/>
        </w:rPr>
      </w:pPr>
      <w:r w:rsidRPr="00196B50">
        <w:rPr>
          <w:rFonts w:ascii="Book Antiqua" w:hAnsi="Book Antiqua"/>
        </w:rPr>
        <w:t>This issue is not disputed.  Cal Advocates indicated that it does not oppose</w:t>
      </w:r>
      <w:r w:rsidR="0081788E" w:rsidRPr="00196B50">
        <w:rPr>
          <w:rFonts w:ascii="Book Antiqua" w:hAnsi="Book Antiqua"/>
        </w:rPr>
        <w:t xml:space="preserve"> </w:t>
      </w:r>
      <w:r w:rsidR="009945E0" w:rsidRPr="00196B50">
        <w:rPr>
          <w:rFonts w:ascii="Book Antiqua" w:hAnsi="Book Antiqua"/>
        </w:rPr>
        <w:t>PG&amp;E’s request.</w:t>
      </w:r>
      <w:r w:rsidRPr="00431F1E">
        <w:rPr>
          <w:rStyle w:val="FootnoteReference"/>
          <w:rFonts w:ascii="Book Antiqua" w:hAnsi="Book Antiqua"/>
          <w:szCs w:val="26"/>
        </w:rPr>
        <w:footnoteReference w:id="69"/>
      </w:r>
      <w:r w:rsidRPr="00196B50">
        <w:rPr>
          <w:rFonts w:ascii="Book Antiqua" w:hAnsi="Book Antiqua"/>
        </w:rPr>
        <w:t xml:space="preserve">  In its prepared testimony, Cal Advocates noted that the Commission typically determines a tiered rate differential that achieves the desired balance on a case-by-case basis, while weighing other factors that will affect rates.</w:t>
      </w:r>
      <w:r w:rsidRPr="00431F1E">
        <w:rPr>
          <w:rStyle w:val="FootnoteReference"/>
          <w:rFonts w:ascii="Book Antiqua" w:hAnsi="Book Antiqua"/>
          <w:szCs w:val="26"/>
        </w:rPr>
        <w:footnoteReference w:id="70"/>
      </w:r>
      <w:r w:rsidRPr="00196B50">
        <w:rPr>
          <w:rFonts w:ascii="Book Antiqua" w:hAnsi="Book Antiqua"/>
        </w:rPr>
        <w:t xml:space="preserve">  Cal Advocates acknowledges that the Commission has found that a flatter tier structure promotes economic efficiency goals of rate design and is more equitable because it reduces built-in subsidies.</w:t>
      </w:r>
      <w:r w:rsidRPr="00431F1E">
        <w:rPr>
          <w:rStyle w:val="FootnoteReference"/>
          <w:rFonts w:ascii="Book Antiqua" w:hAnsi="Book Antiqua"/>
          <w:szCs w:val="26"/>
        </w:rPr>
        <w:footnoteReference w:id="71"/>
      </w:r>
      <w:r w:rsidRPr="00196B50">
        <w:rPr>
          <w:rFonts w:ascii="Book Antiqua" w:hAnsi="Book Antiqua"/>
        </w:rPr>
        <w:t xml:space="preserve"> Cal Advocates supported its conclusion by referring to the Commission’s interest in the legislature’s concern with bill volatility in D.93-06-087, Finding of Fact 26.</w:t>
      </w:r>
      <w:r w:rsidRPr="00431F1E">
        <w:rPr>
          <w:rStyle w:val="FootnoteReference"/>
          <w:rFonts w:ascii="Book Antiqua" w:hAnsi="Book Antiqua"/>
          <w:szCs w:val="26"/>
        </w:rPr>
        <w:footnoteReference w:id="72"/>
      </w:r>
    </w:p>
    <w:p w14:paraId="3B089000" w14:textId="637DC54E" w:rsidR="001164FC" w:rsidRPr="00196B50" w:rsidRDefault="001164FC" w:rsidP="00601A93">
      <w:pPr>
        <w:pStyle w:val="standard"/>
        <w:rPr>
          <w:rFonts w:ascii="Book Antiqua" w:hAnsi="Book Antiqua"/>
        </w:rPr>
      </w:pPr>
      <w:r w:rsidRPr="00196B50">
        <w:rPr>
          <w:rFonts w:ascii="Book Antiqua" w:hAnsi="Book Antiqua"/>
        </w:rPr>
        <w:t>Through the testimony of its witness (Kenneth E. Niemi), PG&amp;E established that the relationship between gas procurement rates and gas transportation rates has changed fundamentally.  Since 2009, procurement rates have fallen from approximately $0.50 to $0.60 per therm to the range of $0.20 to $0.40 – a level not seen on a sustained basis since the early 2000’s.</w:t>
      </w:r>
      <w:r w:rsidRPr="00431F1E">
        <w:rPr>
          <w:rStyle w:val="FootnoteReference"/>
          <w:rFonts w:ascii="Book Antiqua" w:hAnsi="Book Antiqua"/>
          <w:szCs w:val="26"/>
        </w:rPr>
        <w:footnoteReference w:id="73"/>
      </w:r>
      <w:r w:rsidR="0081788E" w:rsidRPr="00196B50">
        <w:rPr>
          <w:rFonts w:ascii="Book Antiqua" w:hAnsi="Book Antiqua"/>
        </w:rPr>
        <w:t xml:space="preserve"> </w:t>
      </w:r>
      <w:r w:rsidR="009945E0" w:rsidRPr="00196B50">
        <w:rPr>
          <w:rFonts w:ascii="Book Antiqua" w:hAnsi="Book Antiqua"/>
        </w:rPr>
        <w:t>Further,</w:t>
      </w:r>
      <w:r w:rsidRPr="00196B50">
        <w:rPr>
          <w:rFonts w:ascii="Book Antiqua" w:hAnsi="Book Antiqua"/>
        </w:rPr>
        <w:t xml:space="preserve"> PG&amp;E </w:t>
      </w:r>
      <w:r w:rsidR="009945E0" w:rsidRPr="00196B50">
        <w:rPr>
          <w:rFonts w:ascii="Book Antiqua" w:hAnsi="Book Antiqua"/>
        </w:rPr>
        <w:t>asserted</w:t>
      </w:r>
      <w:r w:rsidR="00FB091E" w:rsidRPr="00196B50">
        <w:rPr>
          <w:rFonts w:ascii="Book Antiqua" w:hAnsi="Book Antiqua"/>
        </w:rPr>
        <w:t xml:space="preserve"> </w:t>
      </w:r>
      <w:r w:rsidRPr="00196B50">
        <w:rPr>
          <w:rFonts w:ascii="Book Antiqua" w:hAnsi="Book Antiqua"/>
        </w:rPr>
        <w:t xml:space="preserve">that transportation rates have increased over the years for the following reasons:  costs of enhanced safety mandates; replacement costs for aging facilities; declining usage per </w:t>
      </w:r>
      <w:r w:rsidR="006D1AFB" w:rsidRPr="00196B50">
        <w:rPr>
          <w:rFonts w:ascii="Book Antiqua" w:hAnsi="Book Antiqua"/>
        </w:rPr>
        <w:t>customer</w:t>
      </w:r>
      <w:r w:rsidR="00FB091E" w:rsidRPr="00196B50">
        <w:rPr>
          <w:rFonts w:ascii="Book Antiqua" w:hAnsi="Book Antiqua"/>
        </w:rPr>
        <w:t xml:space="preserve"> </w:t>
      </w:r>
      <w:r w:rsidRPr="00196B50">
        <w:rPr>
          <w:rFonts w:ascii="Book Antiqua" w:hAnsi="Book Antiqua"/>
        </w:rPr>
        <w:t xml:space="preserve">(residential and others) due to increased energy efficiency; under-collection of transportation revenues due to a prolonged period of warmer than normal temperatures; and late implementation </w:t>
      </w:r>
      <w:r w:rsidR="006D1AFB" w:rsidRPr="00196B50">
        <w:rPr>
          <w:rFonts w:ascii="Book Antiqua" w:hAnsi="Book Antiqua"/>
        </w:rPr>
        <w:lastRenderedPageBreak/>
        <w:t xml:space="preserve">of </w:t>
      </w:r>
      <w:r w:rsidRPr="00196B50">
        <w:rPr>
          <w:rFonts w:ascii="Book Antiqua" w:hAnsi="Book Antiqua"/>
        </w:rPr>
        <w:t>amortizations for new revenue requirements approved in PG&amp;E’s GRC and GT&amp;S proceedings.</w:t>
      </w:r>
      <w:r w:rsidRPr="00431F1E">
        <w:rPr>
          <w:rStyle w:val="FootnoteReference"/>
          <w:rFonts w:ascii="Book Antiqua" w:hAnsi="Book Antiqua"/>
          <w:szCs w:val="26"/>
        </w:rPr>
        <w:footnoteReference w:id="74"/>
      </w:r>
    </w:p>
    <w:p w14:paraId="528934ED" w14:textId="603DEDD1" w:rsidR="001164FC" w:rsidRPr="00196B50" w:rsidRDefault="001164FC" w:rsidP="00601A93">
      <w:pPr>
        <w:pStyle w:val="standard"/>
        <w:rPr>
          <w:rFonts w:ascii="Book Antiqua" w:hAnsi="Book Antiqua"/>
        </w:rPr>
      </w:pPr>
      <w:r w:rsidRPr="00196B50">
        <w:rPr>
          <w:rFonts w:ascii="Book Antiqua" w:hAnsi="Book Antiqua"/>
        </w:rPr>
        <w:t xml:space="preserve">The record in this proceeding supports PG&amp;E’s request to reduce the residential Tier 1 and Tier 2 bundled rate differential to 1.2 over four years.  This request should be approved, as further discussed below. </w:t>
      </w:r>
    </w:p>
    <w:p w14:paraId="74C05BA2" w14:textId="77777777" w:rsidR="001164FC" w:rsidRPr="00196B50" w:rsidRDefault="001164FC" w:rsidP="00601A93">
      <w:pPr>
        <w:pStyle w:val="standard"/>
        <w:rPr>
          <w:rFonts w:ascii="Book Antiqua" w:hAnsi="Book Antiqua"/>
        </w:rPr>
      </w:pPr>
      <w:r w:rsidRPr="00196B50">
        <w:rPr>
          <w:rFonts w:ascii="Book Antiqua" w:hAnsi="Book Antiqua"/>
        </w:rPr>
        <w:t>In its testimony, PG&amp;E discussed the factors that need to be balanced, while contending that the increasing block rate structure would continue to encourage conservation, as it charges a higher rate for additional usage.</w:t>
      </w:r>
      <w:r w:rsidRPr="00431F1E">
        <w:rPr>
          <w:rStyle w:val="FootnoteReference"/>
          <w:rFonts w:ascii="Book Antiqua" w:hAnsi="Book Antiqua"/>
          <w:szCs w:val="26"/>
        </w:rPr>
        <w:footnoteReference w:id="75"/>
      </w:r>
      <w:r w:rsidRPr="00196B50">
        <w:rPr>
          <w:rFonts w:ascii="Book Antiqua" w:hAnsi="Book Antiqua"/>
        </w:rPr>
        <w:t xml:space="preserve">  PG&amp;E concluded that its proposal is a balanced, and reasonable, approach when all factors that can influence the inverted rate structure and the tier differential are considered. Cal Advocates’ testimony supports PG&amp;E on this issue.  PG&amp;E urges the Commission to approve its proposal herein.  We agree with PG&amp;E’s request</w:t>
      </w:r>
      <w:r w:rsidR="006D1AFB" w:rsidRPr="00196B50">
        <w:rPr>
          <w:rFonts w:ascii="Book Antiqua" w:hAnsi="Book Antiqua"/>
        </w:rPr>
        <w:t>.</w:t>
      </w:r>
    </w:p>
    <w:p w14:paraId="12885981" w14:textId="0B3458D1" w:rsidR="001164FC" w:rsidRPr="00196B50" w:rsidRDefault="001164FC" w:rsidP="00601A93">
      <w:pPr>
        <w:pStyle w:val="standard"/>
        <w:rPr>
          <w:rFonts w:ascii="Book Antiqua" w:hAnsi="Book Antiqua"/>
        </w:rPr>
      </w:pPr>
      <w:r w:rsidRPr="00196B50">
        <w:rPr>
          <w:rFonts w:ascii="Book Antiqua" w:hAnsi="Book Antiqua"/>
        </w:rPr>
        <w:t xml:space="preserve">We rely on PG&amp;E’s unopposed and unrebutted testimony to establish that the consequence of the fundamental change in the relationship between gas procurement rates and gas transportation rates has been an increase in the Tier 1 and Tier 2 differential.  </w:t>
      </w:r>
      <w:r w:rsidR="00FC421A" w:rsidRPr="00196B50">
        <w:rPr>
          <w:rFonts w:ascii="Book Antiqua" w:hAnsi="Book Antiqua"/>
        </w:rPr>
        <w:t xml:space="preserve">Since early 2015, this </w:t>
      </w:r>
      <w:r w:rsidRPr="00196B50">
        <w:rPr>
          <w:rFonts w:ascii="Book Antiqua" w:hAnsi="Book Antiqua"/>
        </w:rPr>
        <w:t xml:space="preserve">differential </w:t>
      </w:r>
      <w:r w:rsidR="001C6CA2" w:rsidRPr="00196B50">
        <w:rPr>
          <w:rFonts w:ascii="Book Antiqua" w:hAnsi="Book Antiqua"/>
        </w:rPr>
        <w:t xml:space="preserve">has </w:t>
      </w:r>
      <w:r w:rsidRPr="00196B50">
        <w:rPr>
          <w:rFonts w:ascii="Book Antiqua" w:hAnsi="Book Antiqua"/>
        </w:rPr>
        <w:t xml:space="preserve">changed </w:t>
      </w:r>
      <w:r w:rsidR="001C6CA2" w:rsidRPr="00196B50">
        <w:rPr>
          <w:rFonts w:ascii="Book Antiqua" w:hAnsi="Book Antiqua"/>
        </w:rPr>
        <w:t xml:space="preserve">and increased </w:t>
      </w:r>
      <w:r w:rsidRPr="00196B50">
        <w:rPr>
          <w:rFonts w:ascii="Book Antiqua" w:hAnsi="Book Antiqua"/>
        </w:rPr>
        <w:t xml:space="preserve">from approximately 44 percent </w:t>
      </w:r>
      <w:r w:rsidR="001C6CA2" w:rsidRPr="00196B50">
        <w:rPr>
          <w:rFonts w:ascii="Book Antiqua" w:hAnsi="Book Antiqua"/>
        </w:rPr>
        <w:t>(</w:t>
      </w:r>
      <w:r w:rsidRPr="00196B50">
        <w:rPr>
          <w:rFonts w:ascii="Book Antiqua" w:hAnsi="Book Antiqua"/>
        </w:rPr>
        <w:t>of the residential gas procurement rate</w:t>
      </w:r>
      <w:r w:rsidR="001C6CA2" w:rsidRPr="00196B50">
        <w:rPr>
          <w:rFonts w:ascii="Book Antiqua" w:hAnsi="Book Antiqua"/>
        </w:rPr>
        <w:t>)</w:t>
      </w:r>
      <w:r w:rsidRPr="00196B50">
        <w:rPr>
          <w:rFonts w:ascii="Book Antiqua" w:hAnsi="Book Antiqua"/>
        </w:rPr>
        <w:t xml:space="preserve"> to equaling over 100 percent</w:t>
      </w:r>
      <w:r w:rsidR="001C6CA2" w:rsidRPr="00196B50">
        <w:rPr>
          <w:rFonts w:ascii="Book Antiqua" w:hAnsi="Book Antiqua"/>
        </w:rPr>
        <w:t xml:space="preserve">. At times, it has been </w:t>
      </w:r>
      <w:r w:rsidRPr="00196B50">
        <w:rPr>
          <w:rFonts w:ascii="Book Antiqua" w:hAnsi="Book Antiqua"/>
        </w:rPr>
        <w:t xml:space="preserve">much higher as shown in its Table 7-8 of Exhibit PGE-1.  We further rely on PG&amp;E’s </w:t>
      </w:r>
      <w:r w:rsidR="00D9511C" w:rsidRPr="00196B50">
        <w:rPr>
          <w:rFonts w:ascii="Book Antiqua" w:hAnsi="Book Antiqua"/>
        </w:rPr>
        <w:t>testimony</w:t>
      </w:r>
      <w:r w:rsidR="00FB091E" w:rsidRPr="00196B50">
        <w:rPr>
          <w:rFonts w:ascii="Book Antiqua" w:hAnsi="Book Antiqua"/>
        </w:rPr>
        <w:t xml:space="preserve"> </w:t>
      </w:r>
      <w:r w:rsidRPr="00196B50">
        <w:rPr>
          <w:rFonts w:ascii="Book Antiqua" w:hAnsi="Book Antiqua"/>
        </w:rPr>
        <w:t>that this large and unintended tiered differential has contributed to residential bill volatility, with compound impacts during colder-than-normal peak winter months.</w:t>
      </w:r>
      <w:r w:rsidRPr="00431F1E">
        <w:rPr>
          <w:rStyle w:val="FootnoteReference"/>
          <w:rFonts w:ascii="Book Antiqua" w:hAnsi="Book Antiqua"/>
          <w:szCs w:val="26"/>
        </w:rPr>
        <w:footnoteReference w:id="76"/>
      </w:r>
      <w:r w:rsidRPr="00196B50">
        <w:rPr>
          <w:rFonts w:ascii="Book Antiqua" w:hAnsi="Book Antiqua"/>
        </w:rPr>
        <w:t xml:space="preserve">  We therefore find PG&amp;E’s request to reduce the residential Tier 1 and </w:t>
      </w:r>
      <w:r w:rsidRPr="00196B50">
        <w:rPr>
          <w:rFonts w:ascii="Book Antiqua" w:hAnsi="Book Antiqua"/>
        </w:rPr>
        <w:lastRenderedPageBreak/>
        <w:t>Tier 2 bundled rate differential to 1.2 over four years to be appropriate as well as supported by the GCAP procedural record.</w:t>
      </w:r>
    </w:p>
    <w:p w14:paraId="13DE62E3" w14:textId="1AF7B4F5" w:rsidR="001164FC" w:rsidRPr="00196B50" w:rsidRDefault="001164FC" w:rsidP="002C0A89">
      <w:pPr>
        <w:pStyle w:val="standard"/>
        <w:rPr>
          <w:rFonts w:ascii="Book Antiqua" w:hAnsi="Book Antiqua"/>
        </w:rPr>
      </w:pPr>
      <w:r w:rsidRPr="00196B50">
        <w:rPr>
          <w:rFonts w:ascii="Book Antiqua" w:hAnsi="Book Antiqua"/>
        </w:rPr>
        <w:t>Accordingly, we grant PG&amp;E's proposal to reduce the residential Tier 1 and Tier 2 bundled rate differential to 1.2 over four years.  PG&amp;E may return to the bundled rate ratio of 1.2 gradually over a 4-year period, beginning with implementation of this decision, as proposed in this Application.</w:t>
      </w:r>
      <w:r w:rsidRPr="00431F1E">
        <w:rPr>
          <w:rStyle w:val="FootnoteReference"/>
          <w:rFonts w:ascii="Book Antiqua" w:hAnsi="Book Antiqua"/>
          <w:szCs w:val="26"/>
        </w:rPr>
        <w:footnoteReference w:id="77"/>
      </w:r>
    </w:p>
    <w:p w14:paraId="55845AB5" w14:textId="77777777" w:rsidR="001164FC" w:rsidRPr="00431F1E" w:rsidRDefault="001164FC" w:rsidP="002C0A89">
      <w:pPr>
        <w:pStyle w:val="Heading2"/>
        <w:keepNext w:val="0"/>
        <w:rPr>
          <w:rFonts w:ascii="Helvetica" w:hAnsi="Helvetica" w:cs="Helvetica"/>
        </w:rPr>
      </w:pPr>
      <w:bookmarkStart w:id="54" w:name="_Toc11407864"/>
      <w:bookmarkStart w:id="55" w:name="_Toc20144548"/>
      <w:r w:rsidRPr="00431F1E">
        <w:rPr>
          <w:rFonts w:ascii="Helvetica" w:hAnsi="Helvetica" w:cs="Helvetica"/>
        </w:rPr>
        <w:t>Issue 6 - Should PG&amp;E's proposals regarding residential minimum transportation charges be adopted as follows:  (i) a residential minimum transportation charge of $15 dollars for non-CARE customer basic service; and, (ii) a higher super-peak minimum transportation charge of $45 for non-CARE residential customers with daily peak usage of at least 15 therms?</w:t>
      </w:r>
      <w:bookmarkEnd w:id="54"/>
      <w:bookmarkEnd w:id="55"/>
    </w:p>
    <w:p w14:paraId="5198AD17" w14:textId="77777777" w:rsidR="001164FC" w:rsidRPr="00196B50" w:rsidRDefault="001164FC" w:rsidP="00601A93">
      <w:pPr>
        <w:pStyle w:val="standard"/>
        <w:rPr>
          <w:rFonts w:ascii="Book Antiqua" w:hAnsi="Book Antiqua"/>
        </w:rPr>
      </w:pPr>
      <w:r w:rsidRPr="00196B50">
        <w:rPr>
          <w:rFonts w:ascii="Book Antiqua" w:hAnsi="Book Antiqua"/>
        </w:rPr>
        <w:t xml:space="preserve">In this GCAP Application, PG&amp;E proposes increasing the minimum monthly transportation charge (Minimum Transportation Charge) by implementing a two-tier Minimum Transportation Charge for non-CARE residential customers.  PG&amp;E’s proposal would increase the existing Minimum Transportation Charge from $3 per month (established in 2005) to $15 per month, for the majority of PG&amp;E’s non-CARE customers.  For a small percentage of </w:t>
      </w:r>
      <w:r w:rsidRPr="00196B50">
        <w:rPr>
          <w:rFonts w:ascii="Book Antiqua" w:hAnsi="Book Antiqua"/>
          <w:spacing w:val="-1"/>
        </w:rPr>
        <w:t>re</w:t>
      </w:r>
      <w:r w:rsidRPr="00196B50">
        <w:rPr>
          <w:rFonts w:ascii="Book Antiqua" w:hAnsi="Book Antiqua"/>
        </w:rPr>
        <w:t>sid</w:t>
      </w:r>
      <w:r w:rsidRPr="00196B50">
        <w:rPr>
          <w:rFonts w:ascii="Book Antiqua" w:hAnsi="Book Antiqua"/>
          <w:spacing w:val="-1"/>
        </w:rPr>
        <w:t>e</w:t>
      </w:r>
      <w:r w:rsidRPr="00196B50">
        <w:rPr>
          <w:rFonts w:ascii="Book Antiqua" w:hAnsi="Book Antiqua"/>
        </w:rPr>
        <w:t>nti</w:t>
      </w:r>
      <w:r w:rsidRPr="00196B50">
        <w:rPr>
          <w:rFonts w:ascii="Book Antiqua" w:hAnsi="Book Antiqua"/>
          <w:spacing w:val="-1"/>
        </w:rPr>
        <w:t>a</w:t>
      </w:r>
      <w:r w:rsidRPr="00196B50">
        <w:rPr>
          <w:rFonts w:ascii="Book Antiqua" w:hAnsi="Book Antiqua"/>
        </w:rPr>
        <w:t xml:space="preserve">l non-CARE customers with </w:t>
      </w:r>
      <w:r w:rsidR="00FB3E11" w:rsidRPr="00196B50">
        <w:rPr>
          <w:rFonts w:ascii="Book Antiqua" w:hAnsi="Book Antiqua"/>
        </w:rPr>
        <w:t xml:space="preserve">high </w:t>
      </w:r>
      <w:r w:rsidRPr="00196B50">
        <w:rPr>
          <w:rFonts w:ascii="Book Antiqua" w:hAnsi="Book Antiqua"/>
        </w:rPr>
        <w:t>daily peak demands, PG&amp;E proposes a “sup</w:t>
      </w:r>
      <w:r w:rsidRPr="00196B50">
        <w:rPr>
          <w:rFonts w:ascii="Book Antiqua" w:hAnsi="Book Antiqua"/>
          <w:spacing w:val="-1"/>
        </w:rPr>
        <w:t>e</w:t>
      </w:r>
      <w:r w:rsidRPr="00196B50">
        <w:rPr>
          <w:rFonts w:ascii="Book Antiqua" w:hAnsi="Book Antiqua"/>
        </w:rPr>
        <w:t>rp</w:t>
      </w:r>
      <w:r w:rsidRPr="00196B50">
        <w:rPr>
          <w:rFonts w:ascii="Book Antiqua" w:hAnsi="Book Antiqua"/>
          <w:spacing w:val="-1"/>
        </w:rPr>
        <w:t>ea</w:t>
      </w:r>
      <w:r w:rsidRPr="00196B50">
        <w:rPr>
          <w:rFonts w:ascii="Book Antiqua" w:hAnsi="Book Antiqua"/>
        </w:rPr>
        <w:t xml:space="preserve">k” Minimum Transportation Charge of $45 per month (Super-User </w:t>
      </w:r>
      <w:r w:rsidR="00132E0D" w:rsidRPr="00196B50">
        <w:rPr>
          <w:rFonts w:ascii="Book Antiqua" w:hAnsi="Book Antiqua"/>
        </w:rPr>
        <w:t>charge</w:t>
      </w:r>
      <w:r w:rsidRPr="00196B50">
        <w:rPr>
          <w:rFonts w:ascii="Book Antiqua" w:hAnsi="Book Antiqua"/>
        </w:rPr>
        <w:t>).</w:t>
      </w:r>
      <w:r w:rsidRPr="00431F1E">
        <w:rPr>
          <w:rStyle w:val="FootnoteReference"/>
          <w:rFonts w:ascii="Book Antiqua" w:hAnsi="Book Antiqua"/>
          <w:szCs w:val="26"/>
        </w:rPr>
        <w:footnoteReference w:id="78"/>
      </w:r>
    </w:p>
    <w:p w14:paraId="6935354D" w14:textId="77777777" w:rsidR="001164FC" w:rsidRPr="00196B50" w:rsidRDefault="001164FC" w:rsidP="00601A93">
      <w:pPr>
        <w:pStyle w:val="standard"/>
        <w:rPr>
          <w:rFonts w:ascii="Book Antiqua" w:hAnsi="Book Antiqua"/>
        </w:rPr>
      </w:pPr>
      <w:r w:rsidRPr="00196B50">
        <w:rPr>
          <w:rFonts w:ascii="Book Antiqua" w:hAnsi="Book Antiqua"/>
        </w:rPr>
        <w:lastRenderedPageBreak/>
        <w:t>In support of its request PG&amp;E contends that, currently, nearly 100 percent of residential transportation revenue is collected in the volumetric rate; and that when the current $3 Minimum Transportation Charge was adopted in 2005, PG&amp;E’s transportation costs of service for residential customers exceeded $10 per month per customer.</w:t>
      </w:r>
      <w:r w:rsidRPr="00431F1E">
        <w:rPr>
          <w:rStyle w:val="FootnoteReference"/>
          <w:rFonts w:ascii="Book Antiqua" w:hAnsi="Book Antiqua"/>
          <w:szCs w:val="26"/>
        </w:rPr>
        <w:footnoteReference w:id="79"/>
      </w:r>
      <w:r w:rsidRPr="00196B50">
        <w:rPr>
          <w:rFonts w:ascii="Book Antiqua" w:hAnsi="Book Antiqua"/>
        </w:rPr>
        <w:t xml:space="preserve">  PG&amp;E’s witness, Mr. Niemi, indicated that the minimum monthly transportation cost of service for the smallest meter capacities serving about 97 percent of individually metered residential customers currently “exceeds $15 prior to consideration of any capacity cost associated with the primary distribution system running down neighborhood streets or distribution feeder mains or local transmission capacity costs</w:t>
      </w:r>
      <w:r w:rsidR="00FB3E11" w:rsidRPr="00196B50">
        <w:rPr>
          <w:rFonts w:ascii="Book Antiqua" w:hAnsi="Book Antiqua"/>
        </w:rPr>
        <w:t>.</w:t>
      </w:r>
      <w:r w:rsidRPr="00196B50">
        <w:rPr>
          <w:rFonts w:ascii="Book Antiqua" w:hAnsi="Book Antiqua"/>
        </w:rPr>
        <w:t>”</w:t>
      </w:r>
      <w:r w:rsidRPr="00431F1E">
        <w:rPr>
          <w:rStyle w:val="FootnoteReference"/>
          <w:rFonts w:ascii="Book Antiqua" w:hAnsi="Book Antiqua"/>
          <w:szCs w:val="26"/>
        </w:rPr>
        <w:footnoteReference w:id="80"/>
      </w:r>
      <w:r w:rsidRPr="00196B50">
        <w:rPr>
          <w:rFonts w:ascii="Book Antiqua" w:hAnsi="Book Antiqua"/>
        </w:rPr>
        <w:t xml:space="preserve">  Mr. Niemi further explains that the cost of service using the embedded cost approach is $16.14 per month;</w:t>
      </w:r>
      <w:r w:rsidRPr="00431F1E">
        <w:rPr>
          <w:rStyle w:val="FootnoteReference"/>
          <w:rFonts w:ascii="Book Antiqua" w:hAnsi="Book Antiqua"/>
          <w:szCs w:val="26"/>
        </w:rPr>
        <w:footnoteReference w:id="81"/>
      </w:r>
      <w:r w:rsidRPr="00196B50">
        <w:rPr>
          <w:rFonts w:ascii="Book Antiqua" w:hAnsi="Book Antiqua"/>
        </w:rPr>
        <w:t xml:space="preserve"> $17.79 per month </w:t>
      </w:r>
      <w:r w:rsidR="007147A6" w:rsidRPr="00196B50">
        <w:rPr>
          <w:rFonts w:ascii="Book Antiqua" w:hAnsi="Book Antiqua"/>
        </w:rPr>
        <w:t>using</w:t>
      </w:r>
      <w:r w:rsidR="0081788E" w:rsidRPr="00196B50">
        <w:rPr>
          <w:rFonts w:ascii="Book Antiqua" w:hAnsi="Book Antiqua"/>
        </w:rPr>
        <w:t xml:space="preserve"> </w:t>
      </w:r>
      <w:r w:rsidRPr="00196B50">
        <w:rPr>
          <w:rFonts w:ascii="Book Antiqua" w:hAnsi="Book Antiqua"/>
        </w:rPr>
        <w:t xml:space="preserve">the Rental Method; and $11.19 per month when the NCO method is utilized.  Finally, PG&amp;E contends that the embedded cost of service for large </w:t>
      </w:r>
      <w:r w:rsidR="007147A6" w:rsidRPr="00196B50">
        <w:rPr>
          <w:rFonts w:ascii="Book Antiqua" w:hAnsi="Book Antiqua"/>
        </w:rPr>
        <w:t>meters</w:t>
      </w:r>
      <w:r w:rsidRPr="00196B50">
        <w:rPr>
          <w:rFonts w:ascii="Book Antiqua" w:hAnsi="Book Antiqua"/>
        </w:rPr>
        <w:t xml:space="preserve"> is about $48.80</w:t>
      </w:r>
      <w:r w:rsidR="00ED3C2D" w:rsidRPr="00196B50">
        <w:rPr>
          <w:rFonts w:ascii="Book Antiqua" w:hAnsi="Book Antiqua"/>
        </w:rPr>
        <w:t>, and thus in line with</w:t>
      </w:r>
      <w:r w:rsidRPr="00196B50">
        <w:rPr>
          <w:rFonts w:ascii="Book Antiqua" w:hAnsi="Book Antiqua"/>
        </w:rPr>
        <w:t xml:space="preserve"> its proposed super peak user Minimum Transportation Charge of $45 per month.</w:t>
      </w:r>
    </w:p>
    <w:p w14:paraId="394AC508" w14:textId="58411F51" w:rsidR="001164FC" w:rsidRPr="00196B50" w:rsidRDefault="001164FC" w:rsidP="00601A93">
      <w:pPr>
        <w:pStyle w:val="standard"/>
        <w:rPr>
          <w:rFonts w:ascii="Book Antiqua" w:hAnsi="Book Antiqua"/>
        </w:rPr>
      </w:pPr>
      <w:r w:rsidRPr="00196B50">
        <w:rPr>
          <w:rFonts w:ascii="Book Antiqua" w:hAnsi="Book Antiqua"/>
        </w:rPr>
        <w:t xml:space="preserve">PG&amp;E argues that </w:t>
      </w:r>
      <w:r w:rsidR="00F30E86" w:rsidRPr="00196B50">
        <w:rPr>
          <w:rFonts w:ascii="Book Antiqua" w:hAnsi="Book Antiqua"/>
        </w:rPr>
        <w:t xml:space="preserve">its </w:t>
      </w:r>
      <w:r w:rsidRPr="00196B50">
        <w:rPr>
          <w:rFonts w:ascii="Book Antiqua" w:hAnsi="Book Antiqua"/>
        </w:rPr>
        <w:t>proposed $15 Minimum Transportation Charge is consistent with its practice of setting the Minimum Transportation Charge below cost of service</w:t>
      </w:r>
      <w:r w:rsidR="00F30E86" w:rsidRPr="00196B50">
        <w:rPr>
          <w:rFonts w:ascii="Book Antiqua" w:hAnsi="Book Antiqua"/>
        </w:rPr>
        <w:t>. It states</w:t>
      </w:r>
      <w:r w:rsidRPr="00196B50">
        <w:rPr>
          <w:rFonts w:ascii="Book Antiqua" w:hAnsi="Book Antiqua"/>
        </w:rPr>
        <w:t xml:space="preserve"> that the proposed increases in the Minimum Transportation Charge will serve to reduce bill volatility by reducing volumetric rates by 3.8% for CARE and </w:t>
      </w:r>
      <w:r w:rsidR="00923DFD" w:rsidRPr="00196B50">
        <w:rPr>
          <w:rFonts w:ascii="Book Antiqua" w:hAnsi="Book Antiqua"/>
        </w:rPr>
        <w:t>non-</w:t>
      </w:r>
      <w:r w:rsidR="00923DFD" w:rsidRPr="00196B50">
        <w:rPr>
          <w:rFonts w:ascii="Book Antiqua" w:hAnsi="Book Antiqua"/>
          <w:color w:val="000000" w:themeColor="text1"/>
        </w:rPr>
        <w:t xml:space="preserve">CARE </w:t>
      </w:r>
      <w:r w:rsidRPr="00196B50">
        <w:rPr>
          <w:rFonts w:ascii="Book Antiqua" w:hAnsi="Book Antiqua"/>
        </w:rPr>
        <w:t xml:space="preserve">customers thus having significant dollar impact on bills during December and January peak months.  </w:t>
      </w:r>
    </w:p>
    <w:p w14:paraId="047599A1" w14:textId="2827C91A" w:rsidR="001164FC" w:rsidRPr="00196B50" w:rsidRDefault="001164FC" w:rsidP="00601A93">
      <w:pPr>
        <w:pStyle w:val="standard"/>
        <w:rPr>
          <w:rFonts w:ascii="Book Antiqua" w:hAnsi="Book Antiqua"/>
        </w:rPr>
      </w:pPr>
      <w:r w:rsidRPr="00196B50">
        <w:rPr>
          <w:rFonts w:ascii="Book Antiqua" w:hAnsi="Book Antiqua"/>
        </w:rPr>
        <w:lastRenderedPageBreak/>
        <w:t xml:space="preserve">Finally, PG&amp;E contends that the Minimum Transportation Charge will only impact non-CARE customers during months when their transportation bill would otherwise be below the applicable Minimum Transportation Charge level, and when their </w:t>
      </w:r>
      <w:r w:rsidRPr="00196B50">
        <w:rPr>
          <w:rFonts w:ascii="Book Antiqua" w:hAnsi="Book Antiqua"/>
          <w:u w:val="single"/>
        </w:rPr>
        <w:t>volumetric transportation charges</w:t>
      </w:r>
      <w:r w:rsidRPr="00196B50">
        <w:rPr>
          <w:rFonts w:ascii="Book Antiqua" w:hAnsi="Book Antiqua"/>
        </w:rPr>
        <w:t xml:space="preserve"> are not sufficient to </w:t>
      </w:r>
      <w:r w:rsidR="00544C38" w:rsidRPr="00196B50">
        <w:rPr>
          <w:rFonts w:ascii="Book Antiqua" w:hAnsi="Book Antiqua"/>
          <w:color w:val="000000" w:themeColor="text1"/>
        </w:rPr>
        <w:t>cover their</w:t>
      </w:r>
      <w:r w:rsidRPr="00196B50">
        <w:rPr>
          <w:rFonts w:ascii="Book Antiqua" w:hAnsi="Book Antiqua"/>
        </w:rPr>
        <w:t xml:space="preserve"> minimum cost of service</w:t>
      </w:r>
      <w:r w:rsidR="00544C38" w:rsidRPr="00196B50">
        <w:rPr>
          <w:rFonts w:ascii="Book Antiqua" w:hAnsi="Book Antiqua"/>
        </w:rPr>
        <w:t>.</w:t>
      </w:r>
      <w:r w:rsidRPr="00431F1E">
        <w:rPr>
          <w:rStyle w:val="FootnoteReference"/>
          <w:rFonts w:ascii="Book Antiqua" w:hAnsi="Book Antiqua"/>
          <w:color w:val="000000" w:themeColor="text1"/>
          <w:szCs w:val="26"/>
        </w:rPr>
        <w:footnoteReference w:id="82"/>
      </w:r>
      <w:r w:rsidRPr="00196B50">
        <w:rPr>
          <w:rFonts w:ascii="Book Antiqua" w:hAnsi="Book Antiqua"/>
        </w:rPr>
        <w:t xml:space="preserve">  In Exhibit </w:t>
      </w:r>
      <w:r w:rsidR="00F30E86" w:rsidRPr="00196B50">
        <w:rPr>
          <w:rFonts w:ascii="Book Antiqua" w:hAnsi="Book Antiqua"/>
        </w:rPr>
        <w:t>PGE-</w:t>
      </w:r>
      <w:r w:rsidRPr="00196B50">
        <w:rPr>
          <w:rFonts w:ascii="Book Antiqua" w:hAnsi="Book Antiqua"/>
        </w:rPr>
        <w:t xml:space="preserve">3, Table 6-13 </w:t>
      </w:r>
      <w:r w:rsidR="00F30E86" w:rsidRPr="00196B50">
        <w:rPr>
          <w:rFonts w:ascii="Book Antiqua" w:hAnsi="Book Antiqua"/>
        </w:rPr>
        <w:t>at</w:t>
      </w:r>
      <w:r w:rsidRPr="00196B50">
        <w:rPr>
          <w:rFonts w:ascii="Book Antiqua" w:hAnsi="Book Antiqua"/>
        </w:rPr>
        <w:t xml:space="preserve"> 6/7/8-21, PG&amp;E provided a graph showing the distribution of isolated bill impacts from the proposed Minimum Transportation Charge across the year. </w:t>
      </w:r>
    </w:p>
    <w:p w14:paraId="2E93612C" w14:textId="77777777" w:rsidR="001164FC" w:rsidRPr="00196B50" w:rsidRDefault="001164FC" w:rsidP="00601A93">
      <w:pPr>
        <w:pStyle w:val="standard"/>
        <w:rPr>
          <w:rFonts w:ascii="Book Antiqua" w:hAnsi="Book Antiqua"/>
        </w:rPr>
      </w:pPr>
      <w:r w:rsidRPr="00196B50">
        <w:rPr>
          <w:rFonts w:ascii="Book Antiqua" w:hAnsi="Book Antiqua"/>
        </w:rPr>
        <w:t xml:space="preserve">Cal Advocates and TURN accept the idea that the current $3 Minimum Transportation Charge should increase; however, both oppose PG&amp;E’s $15 amount due to significant bill impacts on customers.  Cal Advocates </w:t>
      </w:r>
      <w:r w:rsidR="00C41402" w:rsidRPr="00196B50">
        <w:rPr>
          <w:rFonts w:ascii="Book Antiqua" w:hAnsi="Book Antiqua"/>
        </w:rPr>
        <w:t xml:space="preserve">indicates </w:t>
      </w:r>
      <w:r w:rsidRPr="00196B50">
        <w:rPr>
          <w:rFonts w:ascii="Book Antiqua" w:hAnsi="Book Antiqua"/>
        </w:rPr>
        <w:t>that its main opposition to PG&amp;E’s request to increase the non-CARE residential minimum transportation charge is the magnitude of the increase sought by PG&amp;E.  Cal Advocates propose a modest increase of $1 per month (to $4 per month)</w:t>
      </w:r>
      <w:r w:rsidRPr="00431F1E">
        <w:rPr>
          <w:rStyle w:val="FootnoteReference"/>
          <w:rFonts w:ascii="Book Antiqua" w:hAnsi="Book Antiqua"/>
          <w:szCs w:val="26"/>
        </w:rPr>
        <w:footnoteReference w:id="83"/>
      </w:r>
      <w:r w:rsidRPr="00196B50">
        <w:rPr>
          <w:rFonts w:ascii="Book Antiqua" w:hAnsi="Book Antiqua"/>
        </w:rPr>
        <w:t xml:space="preserve"> over the current residential minimum transportation charge of $3 per month, relying on its DTIM-based MDCC cost estimate and the MCAC NCO estimates.</w:t>
      </w:r>
      <w:r w:rsidRPr="00431F1E">
        <w:rPr>
          <w:rStyle w:val="FootnoteReference"/>
          <w:rFonts w:ascii="Book Antiqua" w:hAnsi="Book Antiqua"/>
          <w:szCs w:val="26"/>
        </w:rPr>
        <w:footnoteReference w:id="84"/>
      </w:r>
      <w:r w:rsidRPr="00196B50">
        <w:rPr>
          <w:rFonts w:ascii="Book Antiqua" w:hAnsi="Book Antiqua"/>
        </w:rPr>
        <w:t xml:space="preserve">  In support of its position, Cal Advocates argues that PG&amp;E’s </w:t>
      </w:r>
      <w:r w:rsidRPr="00196B50">
        <w:rPr>
          <w:rFonts w:ascii="Book Antiqua" w:hAnsi="Book Antiqua"/>
        </w:rPr>
        <w:lastRenderedPageBreak/>
        <w:t>request, if adopted, would raise the current $3 minimum transportation charge</w:t>
      </w:r>
      <w:r w:rsidRPr="00431F1E">
        <w:rPr>
          <w:rStyle w:val="FootnoteReference"/>
          <w:rFonts w:ascii="Book Antiqua" w:hAnsi="Book Antiqua"/>
          <w:szCs w:val="26"/>
        </w:rPr>
        <w:footnoteReference w:id="85"/>
      </w:r>
      <w:r w:rsidRPr="00196B50">
        <w:rPr>
          <w:rFonts w:ascii="Book Antiqua" w:hAnsi="Book Antiqua"/>
        </w:rPr>
        <w:t xml:space="preserve"> to $15, or a 500 percent increase to the current charge, while noting intense disagreement from PG&amp;E’s customers regarding the imposition of a $15 minimum transportation charge during the various Public Participation Hearings held in this proceeding.</w:t>
      </w:r>
      <w:r w:rsidRPr="00431F1E">
        <w:rPr>
          <w:rStyle w:val="FootnoteReference"/>
          <w:rFonts w:ascii="Book Antiqua" w:hAnsi="Book Antiqua"/>
          <w:szCs w:val="26"/>
        </w:rPr>
        <w:footnoteReference w:id="86"/>
      </w:r>
    </w:p>
    <w:p w14:paraId="6703AADA" w14:textId="77777777" w:rsidR="001164FC" w:rsidRPr="00196B50" w:rsidRDefault="001164FC" w:rsidP="00601A93">
      <w:pPr>
        <w:pStyle w:val="standard"/>
        <w:rPr>
          <w:rFonts w:ascii="Book Antiqua" w:hAnsi="Book Antiqua"/>
        </w:rPr>
      </w:pPr>
      <w:r w:rsidRPr="00196B50">
        <w:rPr>
          <w:rFonts w:ascii="Book Antiqua" w:hAnsi="Book Antiqua"/>
        </w:rPr>
        <w:t>Accordingly, Cal Advocates recommends that the Commission deny PG&amp;E’s requested “500 percent increase” to the Non-CARE residential customer’s minimum monthly transportation charge</w:t>
      </w:r>
      <w:r w:rsidRPr="00431F1E">
        <w:rPr>
          <w:rStyle w:val="FootnoteReference"/>
          <w:rFonts w:ascii="Book Antiqua" w:hAnsi="Book Antiqua"/>
          <w:szCs w:val="26"/>
        </w:rPr>
        <w:footnoteReference w:id="87"/>
      </w:r>
      <w:r w:rsidR="0081788E" w:rsidRPr="00196B50">
        <w:rPr>
          <w:rFonts w:ascii="Book Antiqua" w:hAnsi="Book Antiqua"/>
        </w:rPr>
        <w:t xml:space="preserve"> </w:t>
      </w:r>
      <w:r w:rsidRPr="00196B50">
        <w:rPr>
          <w:rFonts w:ascii="Book Antiqua" w:hAnsi="Book Antiqua"/>
        </w:rPr>
        <w:t>and instead approve an increase of the current $3 minimum monthly transportation charge per month to a marginal cost-based amount of $4 a month,</w:t>
      </w:r>
      <w:r w:rsidRPr="00431F1E">
        <w:rPr>
          <w:rStyle w:val="FootnoteReference"/>
          <w:rFonts w:ascii="Book Antiqua" w:hAnsi="Book Antiqua"/>
          <w:szCs w:val="26"/>
        </w:rPr>
        <w:footnoteReference w:id="88"/>
      </w:r>
      <w:r w:rsidR="0081788E" w:rsidRPr="00196B50">
        <w:rPr>
          <w:rFonts w:ascii="Book Antiqua" w:hAnsi="Book Antiqua"/>
        </w:rPr>
        <w:t xml:space="preserve"> </w:t>
      </w:r>
      <w:r w:rsidRPr="00196B50">
        <w:rPr>
          <w:rFonts w:ascii="Book Antiqua" w:hAnsi="Book Antiqua"/>
        </w:rPr>
        <w:t xml:space="preserve">which according to Cal Advocates is consistent with the change in </w:t>
      </w:r>
      <w:r w:rsidR="00544C38" w:rsidRPr="00196B50">
        <w:rPr>
          <w:rFonts w:ascii="Book Antiqua" w:hAnsi="Book Antiqua"/>
        </w:rPr>
        <w:t xml:space="preserve">the </w:t>
      </w:r>
      <w:r w:rsidRPr="00196B50">
        <w:rPr>
          <w:rFonts w:ascii="Book Antiqua" w:hAnsi="Book Antiqua"/>
        </w:rPr>
        <w:t>Consumer Price Index since the Commission adopted the $3 charge.</w:t>
      </w:r>
    </w:p>
    <w:p w14:paraId="12BE4D2E" w14:textId="195AB3F4" w:rsidR="001164FC" w:rsidRPr="00196B50" w:rsidRDefault="001164FC" w:rsidP="00601A93">
      <w:pPr>
        <w:pStyle w:val="standard"/>
        <w:rPr>
          <w:rFonts w:ascii="Book Antiqua" w:hAnsi="Book Antiqua"/>
        </w:rPr>
      </w:pPr>
      <w:r w:rsidRPr="00196B50">
        <w:rPr>
          <w:rFonts w:ascii="Book Antiqua" w:hAnsi="Book Antiqua"/>
        </w:rPr>
        <w:t xml:space="preserve">TURN also urges that the </w:t>
      </w:r>
      <w:bookmarkStart w:id="56" w:name="_Toc522716190"/>
      <w:r w:rsidRPr="00196B50">
        <w:rPr>
          <w:rFonts w:ascii="Book Antiqua" w:hAnsi="Book Antiqua"/>
        </w:rPr>
        <w:t xml:space="preserve">Commission to reject PG&amp;E’s </w:t>
      </w:r>
      <w:bookmarkEnd w:id="56"/>
      <w:r w:rsidRPr="00196B50">
        <w:rPr>
          <w:rFonts w:ascii="Book Antiqua" w:hAnsi="Book Antiqua"/>
        </w:rPr>
        <w:t xml:space="preserve">$15 minimum transportation bill proposal and the proposal to create a </w:t>
      </w:r>
      <w:r w:rsidR="00544C38" w:rsidRPr="00196B50">
        <w:rPr>
          <w:rFonts w:ascii="Book Antiqua" w:hAnsi="Book Antiqua"/>
        </w:rPr>
        <w:t>Super-User</w:t>
      </w:r>
      <w:r w:rsidR="0081788E" w:rsidRPr="00196B50">
        <w:rPr>
          <w:rFonts w:ascii="Book Antiqua" w:hAnsi="Book Antiqua"/>
        </w:rPr>
        <w:t xml:space="preserve"> </w:t>
      </w:r>
      <w:r w:rsidRPr="00196B50">
        <w:rPr>
          <w:rFonts w:ascii="Book Antiqua" w:hAnsi="Book Antiqua"/>
        </w:rPr>
        <w:t xml:space="preserve">minimum monthly transportation charge of $45.  </w:t>
      </w:r>
      <w:r w:rsidR="00F30E86" w:rsidRPr="00196B50">
        <w:rPr>
          <w:rFonts w:ascii="Book Antiqua" w:hAnsi="Book Antiqua"/>
        </w:rPr>
        <w:t>In</w:t>
      </w:r>
      <w:r w:rsidRPr="00196B50">
        <w:rPr>
          <w:rFonts w:ascii="Book Antiqua" w:hAnsi="Book Antiqua"/>
        </w:rPr>
        <w:t xml:space="preserve"> its testimony and brief, TURN opposes the minimum transportation charge proposals because “they discourage conservation as well as create affordability concerns</w:t>
      </w:r>
      <w:r w:rsidR="0081788E" w:rsidRPr="00196B50">
        <w:rPr>
          <w:rFonts w:ascii="Book Antiqua" w:hAnsi="Book Antiqua"/>
        </w:rPr>
        <w:t>.</w:t>
      </w:r>
      <w:r w:rsidRPr="00196B50">
        <w:rPr>
          <w:rFonts w:ascii="Book Antiqua" w:hAnsi="Book Antiqua"/>
        </w:rPr>
        <w:t>”</w:t>
      </w:r>
      <w:r w:rsidRPr="00431F1E">
        <w:rPr>
          <w:rStyle w:val="FootnoteReference"/>
          <w:rFonts w:ascii="Book Antiqua" w:hAnsi="Book Antiqua"/>
          <w:szCs w:val="26"/>
        </w:rPr>
        <w:footnoteReference w:id="89"/>
      </w:r>
      <w:r w:rsidRPr="00196B50">
        <w:rPr>
          <w:rFonts w:ascii="Book Antiqua" w:hAnsi="Book Antiqua"/>
        </w:rPr>
        <w:t xml:space="preserve">  Thus, TURN argues that the bill impact analysis provides a very strong pricing signal to customers that discourage conservation, since low users would see a hefty increase, while high </w:t>
      </w:r>
      <w:r w:rsidRPr="00196B50">
        <w:rPr>
          <w:rFonts w:ascii="Book Antiqua" w:hAnsi="Book Antiqua"/>
        </w:rPr>
        <w:lastRenderedPageBreak/>
        <w:t>users would see a slight decrease.</w:t>
      </w:r>
      <w:r w:rsidRPr="00431F1E">
        <w:rPr>
          <w:rStyle w:val="FootnoteReference"/>
          <w:rFonts w:ascii="Book Antiqua" w:hAnsi="Book Antiqua"/>
          <w:szCs w:val="26"/>
        </w:rPr>
        <w:footnoteReference w:id="90"/>
      </w:r>
      <w:r w:rsidRPr="00196B50">
        <w:rPr>
          <w:rFonts w:ascii="Book Antiqua" w:hAnsi="Book Antiqua"/>
        </w:rPr>
        <w:t xml:space="preserve"> Nonetheless, TURN supported Cal Advocates’ Minimum Transportation Charge recommendation,</w:t>
      </w:r>
      <w:r w:rsidRPr="00431F1E">
        <w:rPr>
          <w:rStyle w:val="FootnoteReference"/>
          <w:rFonts w:ascii="Book Antiqua" w:hAnsi="Book Antiqua"/>
          <w:szCs w:val="26"/>
        </w:rPr>
        <w:footnoteReference w:id="91"/>
      </w:r>
      <w:r w:rsidRPr="00196B50">
        <w:rPr>
          <w:rFonts w:ascii="Book Antiqua" w:hAnsi="Book Antiqua"/>
        </w:rPr>
        <w:t xml:space="preserve"> or in the alternative using the electric minimum transportation bills’ relationship to baseline amounts as a “yardstick” for establishing the gas Minimum Transportation Charge to summer gas baseline amounts.</w:t>
      </w:r>
      <w:r w:rsidRPr="00431F1E">
        <w:rPr>
          <w:rStyle w:val="FootnoteReference"/>
          <w:rFonts w:ascii="Book Antiqua" w:hAnsi="Book Antiqua"/>
          <w:szCs w:val="26"/>
        </w:rPr>
        <w:footnoteReference w:id="92"/>
      </w:r>
    </w:p>
    <w:p w14:paraId="29A3AB57" w14:textId="77777777" w:rsidR="001164FC" w:rsidRPr="00196B50" w:rsidRDefault="001164FC" w:rsidP="00601A93">
      <w:pPr>
        <w:pStyle w:val="standard"/>
        <w:rPr>
          <w:rFonts w:ascii="Book Antiqua" w:hAnsi="Book Antiqua"/>
          <w:b/>
          <w:u w:val="single"/>
        </w:rPr>
      </w:pPr>
      <w:r w:rsidRPr="00196B50">
        <w:rPr>
          <w:rFonts w:ascii="Book Antiqua" w:hAnsi="Book Antiqua"/>
        </w:rPr>
        <w:t xml:space="preserve">Responding to Cal Advocates and TURN, PG&amp;E argues that Cal Advocates’ marginal cost DTIM analysis is deeply flawed, and that the Commission should reject Cal Advocates’ proposed Minimum Transportation Charge increase of $1 as unacceptable because it results from inaccurate marginal </w:t>
      </w:r>
      <w:r w:rsidRPr="00196B50">
        <w:rPr>
          <w:rFonts w:ascii="Book Antiqua" w:hAnsi="Book Antiqua"/>
          <w:color w:val="000000" w:themeColor="text1"/>
        </w:rPr>
        <w:t xml:space="preserve">DTIM analysis and is unrealistically low, based on the cost of service principles (discussed above).   </w:t>
      </w:r>
    </w:p>
    <w:p w14:paraId="06F0E2FA" w14:textId="47B65262" w:rsidR="001164FC" w:rsidRPr="00196B50" w:rsidRDefault="001164FC" w:rsidP="00601A93">
      <w:pPr>
        <w:pStyle w:val="standard"/>
        <w:rPr>
          <w:rFonts w:ascii="Book Antiqua" w:hAnsi="Book Antiqua"/>
        </w:rPr>
      </w:pPr>
      <w:r w:rsidRPr="00196B50">
        <w:rPr>
          <w:rFonts w:ascii="Book Antiqua" w:hAnsi="Book Antiqua"/>
        </w:rPr>
        <w:t xml:space="preserve">PG&amp;E </w:t>
      </w:r>
      <w:r w:rsidR="00F24733" w:rsidRPr="00196B50">
        <w:rPr>
          <w:rFonts w:ascii="Book Antiqua" w:hAnsi="Book Antiqua"/>
        </w:rPr>
        <w:t>asserts</w:t>
      </w:r>
      <w:r w:rsidR="0081788E" w:rsidRPr="00196B50">
        <w:rPr>
          <w:rFonts w:ascii="Book Antiqua" w:hAnsi="Book Antiqua"/>
        </w:rPr>
        <w:t xml:space="preserve"> </w:t>
      </w:r>
      <w:r w:rsidRPr="00196B50">
        <w:rPr>
          <w:rFonts w:ascii="Book Antiqua" w:hAnsi="Book Antiqua"/>
        </w:rPr>
        <w:t>that, while Cal Advocates argues for the recovery of all non-customer function transportation costs to occur volumetrically (with only a small portion of the customer function recovered non-volumetrically),</w:t>
      </w:r>
      <w:r w:rsidRPr="00431F1E">
        <w:rPr>
          <w:rStyle w:val="FootnoteReference"/>
          <w:rFonts w:ascii="Book Antiqua" w:hAnsi="Book Antiqua"/>
          <w:szCs w:val="26"/>
        </w:rPr>
        <w:footnoteReference w:id="93"/>
      </w:r>
      <w:r w:rsidRPr="00196B50">
        <w:rPr>
          <w:rFonts w:ascii="Book Antiqua" w:hAnsi="Book Antiqua"/>
        </w:rPr>
        <w:t xml:space="preserve"> placing all or a majority of the customer function in the volumetric rate will contribute to bill volatility, since the </w:t>
      </w:r>
      <w:r w:rsidR="00E972FB" w:rsidRPr="00196B50">
        <w:rPr>
          <w:rFonts w:ascii="Book Antiqua" w:hAnsi="Book Antiqua"/>
        </w:rPr>
        <w:t xml:space="preserve">bill </w:t>
      </w:r>
      <w:r w:rsidRPr="00196B50">
        <w:rPr>
          <w:rFonts w:ascii="Book Antiqua" w:hAnsi="Book Antiqua"/>
        </w:rPr>
        <w:t>will be higher when usage increases.  According to PG&amp;E, during cold winter months, having a higher volumetric rate will swing bills higher (than if more of the costs were in a non-volumetric rate element</w:t>
      </w:r>
      <w:r w:rsidRPr="00431F1E">
        <w:rPr>
          <w:rStyle w:val="FootnoteReference"/>
          <w:rFonts w:ascii="Book Antiqua" w:hAnsi="Book Antiqua"/>
          <w:szCs w:val="26"/>
        </w:rPr>
        <w:footnoteReference w:id="94"/>
      </w:r>
      <w:r w:rsidR="0081788E" w:rsidRPr="00196B50">
        <w:rPr>
          <w:rFonts w:ascii="Book Antiqua" w:hAnsi="Book Antiqua"/>
        </w:rPr>
        <w:t xml:space="preserve"> </w:t>
      </w:r>
      <w:r w:rsidRPr="00196B50">
        <w:rPr>
          <w:rFonts w:ascii="Book Antiqua" w:hAnsi="Book Antiqua"/>
        </w:rPr>
        <w:t xml:space="preserve">like the proposed $15 or $10 Minimum Transportation Charge levels) for non-CARE customers. Thus, PG&amp;E argues that the Commission should approve its proposed $15 – or at least a $10 – Minimum Transportation Charge as a way of </w:t>
      </w:r>
      <w:r w:rsidRPr="00196B50">
        <w:rPr>
          <w:rFonts w:ascii="Book Antiqua" w:hAnsi="Book Antiqua"/>
        </w:rPr>
        <w:lastRenderedPageBreak/>
        <w:t xml:space="preserve">reducing winter season bill volatility in addition to the baseline season restructuring, already submitted and approved in this Application.  </w:t>
      </w:r>
    </w:p>
    <w:p w14:paraId="62405767" w14:textId="38836307" w:rsidR="001164FC" w:rsidRPr="00196B50" w:rsidRDefault="001164FC" w:rsidP="00601A93">
      <w:pPr>
        <w:pStyle w:val="standard"/>
        <w:rPr>
          <w:rFonts w:ascii="Book Antiqua" w:hAnsi="Book Antiqua"/>
        </w:rPr>
      </w:pPr>
      <w:r w:rsidRPr="00196B50">
        <w:rPr>
          <w:rFonts w:ascii="Book Antiqua" w:hAnsi="Book Antiqua"/>
          <w:color w:val="000000" w:themeColor="text1"/>
        </w:rPr>
        <w:t xml:space="preserve">Lastly, </w:t>
      </w:r>
      <w:r w:rsidRPr="00196B50">
        <w:rPr>
          <w:rFonts w:ascii="Book Antiqua" w:hAnsi="Book Antiqua"/>
        </w:rPr>
        <w:t xml:space="preserve">PG&amp;E highlighted the fact that TURN had “floated the idea of using the electric minimum transportation bills’ relationship to baseline amounts as a “yardstick” for establishing the gas </w:t>
      </w:r>
      <w:r w:rsidRPr="00196B50">
        <w:rPr>
          <w:rFonts w:ascii="Book Antiqua" w:hAnsi="Book Antiqua"/>
          <w:color w:val="000000" w:themeColor="text1"/>
        </w:rPr>
        <w:t>Minimum Transportation Charge</w:t>
      </w:r>
      <w:r w:rsidRPr="00196B50">
        <w:rPr>
          <w:rFonts w:ascii="Book Antiqua" w:hAnsi="Book Antiqua"/>
        </w:rPr>
        <w:t xml:space="preserve"> to summer gas baseline amounts</w:t>
      </w:r>
      <w:r w:rsidR="00E972FB" w:rsidRPr="00196B50">
        <w:rPr>
          <w:rFonts w:ascii="Book Antiqua" w:hAnsi="Book Antiqua"/>
        </w:rPr>
        <w:t>.</w:t>
      </w:r>
      <w:r w:rsidRPr="00196B50">
        <w:rPr>
          <w:rFonts w:ascii="Book Antiqua" w:hAnsi="Book Antiqua"/>
        </w:rPr>
        <w:t>”</w:t>
      </w:r>
      <w:r w:rsidRPr="00431F1E">
        <w:rPr>
          <w:rStyle w:val="FootnoteReference"/>
          <w:rFonts w:ascii="Book Antiqua" w:hAnsi="Book Antiqua"/>
          <w:szCs w:val="26"/>
        </w:rPr>
        <w:footnoteReference w:id="95"/>
      </w:r>
      <w:r w:rsidR="0081788E" w:rsidRPr="00196B50">
        <w:rPr>
          <w:rFonts w:ascii="Book Antiqua" w:hAnsi="Book Antiqua"/>
        </w:rPr>
        <w:t xml:space="preserve"> </w:t>
      </w:r>
      <w:r w:rsidRPr="00196B50">
        <w:rPr>
          <w:rFonts w:ascii="Book Antiqua" w:hAnsi="Book Antiqua"/>
          <w:color w:val="000000" w:themeColor="text1"/>
        </w:rPr>
        <w:t>PG&amp;E indicated that it has evaluated the proposed $10 electric minimum bill (by TURN) as a possible bell-weather number for the gas Minimum Transportation Charge,</w:t>
      </w:r>
      <w:r w:rsidRPr="00431F1E">
        <w:rPr>
          <w:rStyle w:val="FootnoteReference"/>
          <w:rFonts w:ascii="Book Antiqua" w:hAnsi="Book Antiqua"/>
          <w:color w:val="000000" w:themeColor="text1"/>
          <w:szCs w:val="26"/>
        </w:rPr>
        <w:footnoteReference w:id="96"/>
      </w:r>
      <w:r w:rsidRPr="00196B50">
        <w:rPr>
          <w:rFonts w:ascii="Book Antiqua" w:hAnsi="Book Antiqua"/>
          <w:color w:val="000000" w:themeColor="text1"/>
        </w:rPr>
        <w:t xml:space="preserve"> and believes that “it is reasonable that the non-CARE Basic Service Minimum Transportation Charge for a residential gas customer would be at least as much as that of the minimum delivery bill to an electric customer,” given the fact that electric residential customers have an average total new connection cost (equipment only) of $1,050.95, compared to $1,313.39 for gas residential customers.</w:t>
      </w:r>
      <w:r w:rsidRPr="00431F1E">
        <w:rPr>
          <w:rStyle w:val="FootnoteReference"/>
          <w:rFonts w:ascii="Book Antiqua" w:hAnsi="Book Antiqua"/>
          <w:color w:val="000000" w:themeColor="text1"/>
          <w:szCs w:val="26"/>
        </w:rPr>
        <w:footnoteReference w:id="97"/>
      </w:r>
    </w:p>
    <w:p w14:paraId="5965E84D" w14:textId="43CC11F2" w:rsidR="001164FC" w:rsidRPr="00196B50" w:rsidRDefault="001164FC" w:rsidP="00601A93">
      <w:pPr>
        <w:pStyle w:val="standard"/>
        <w:rPr>
          <w:rFonts w:ascii="Book Antiqua" w:hAnsi="Book Antiqua"/>
          <w:color w:val="000000" w:themeColor="text1"/>
        </w:rPr>
      </w:pPr>
      <w:r w:rsidRPr="00196B50">
        <w:rPr>
          <w:rFonts w:ascii="Book Antiqua" w:hAnsi="Book Antiqua"/>
          <w:color w:val="000000" w:themeColor="text1"/>
        </w:rPr>
        <w:t>P</w:t>
      </w:r>
      <w:r w:rsidRPr="00196B50">
        <w:rPr>
          <w:rFonts w:ascii="Book Antiqua" w:hAnsi="Book Antiqua"/>
        </w:rPr>
        <w:t xml:space="preserve">G&amp;E concluded that the $15 Minimum Transportation Charge in its opening testimony, or the $10 Minimum Transportation Charge in its rebuttal testimony, are the most robust proposals in this proceeding. As such, PG&amp;E urges the </w:t>
      </w:r>
      <w:r w:rsidRPr="00196B50">
        <w:rPr>
          <w:rFonts w:ascii="Book Antiqua" w:hAnsi="Book Antiqua"/>
          <w:color w:val="000000" w:themeColor="text1"/>
        </w:rPr>
        <w:t>Commission to “adopt a gas non-CARE Minimum Transportation Charge of at least the same as the electric minimum monthly bill.”</w:t>
      </w:r>
      <w:r w:rsidRPr="00431F1E">
        <w:rPr>
          <w:rStyle w:val="FootnoteReference"/>
          <w:rFonts w:ascii="Book Antiqua" w:hAnsi="Book Antiqua"/>
          <w:color w:val="000000" w:themeColor="text1"/>
          <w:szCs w:val="26"/>
        </w:rPr>
        <w:footnoteReference w:id="98"/>
      </w:r>
      <w:r w:rsidRPr="00196B50">
        <w:rPr>
          <w:rFonts w:ascii="Book Antiqua" w:hAnsi="Book Antiqua"/>
          <w:color w:val="000000" w:themeColor="text1"/>
        </w:rPr>
        <w:t xml:space="preserve">  In support of this compromise proposal, PG&amp;E </w:t>
      </w:r>
      <w:r w:rsidR="008D7D93" w:rsidRPr="00196B50">
        <w:rPr>
          <w:rFonts w:ascii="Book Antiqua" w:hAnsi="Book Antiqua"/>
          <w:color w:val="000000" w:themeColor="text1"/>
        </w:rPr>
        <w:t>provided</w:t>
      </w:r>
      <w:r w:rsidR="00E972FB" w:rsidRPr="00196B50">
        <w:rPr>
          <w:rFonts w:ascii="Book Antiqua" w:hAnsi="Book Antiqua"/>
          <w:color w:val="000000" w:themeColor="text1"/>
        </w:rPr>
        <w:t xml:space="preserve"> </w:t>
      </w:r>
      <w:r w:rsidRPr="00196B50">
        <w:rPr>
          <w:rFonts w:ascii="Book Antiqua" w:hAnsi="Book Antiqua"/>
          <w:color w:val="000000" w:themeColor="text1"/>
        </w:rPr>
        <w:t xml:space="preserve">a bar graph in Exhibit PGE-7 entitled “Distribution of Net Annual Non-CARE Residential Gas Bill Change </w:t>
      </w:r>
      <w:r w:rsidRPr="00196B50">
        <w:rPr>
          <w:rFonts w:ascii="Book Antiqua" w:hAnsi="Book Antiqua"/>
          <w:color w:val="000000" w:themeColor="text1"/>
        </w:rPr>
        <w:lastRenderedPageBreak/>
        <w:t>(Avg. Monthly Equivalent) $10 Non-CARE Minimum Transportation Charge,” which shows the distribution of impacts across customers.</w:t>
      </w:r>
      <w:r w:rsidRPr="00431F1E">
        <w:rPr>
          <w:rStyle w:val="FootnoteReference"/>
          <w:rFonts w:ascii="Book Antiqua" w:hAnsi="Book Antiqua"/>
          <w:color w:val="000000" w:themeColor="text1"/>
          <w:szCs w:val="26"/>
        </w:rPr>
        <w:footnoteReference w:id="99"/>
      </w:r>
    </w:p>
    <w:p w14:paraId="358DC2AA" w14:textId="5B5EA671" w:rsidR="001164FC" w:rsidRPr="00196B50" w:rsidRDefault="001164FC" w:rsidP="00601A93">
      <w:pPr>
        <w:pStyle w:val="standard"/>
        <w:rPr>
          <w:rFonts w:ascii="Book Antiqua" w:hAnsi="Book Antiqua"/>
        </w:rPr>
      </w:pPr>
      <w:bookmarkStart w:id="57" w:name="_Toc522719791"/>
      <w:r w:rsidRPr="00196B50">
        <w:rPr>
          <w:rFonts w:ascii="Book Antiqua" w:hAnsi="Book Antiqua"/>
          <w:color w:val="000000"/>
        </w:rPr>
        <w:t xml:space="preserve">Regarding PG&amp;E’s proposed </w:t>
      </w:r>
      <w:r w:rsidRPr="00196B50">
        <w:rPr>
          <w:rFonts w:ascii="Book Antiqua" w:hAnsi="Book Antiqua"/>
        </w:rPr>
        <w:t>new $45 Super-User charge</w:t>
      </w:r>
      <w:r w:rsidRPr="00196B50">
        <w:rPr>
          <w:rFonts w:ascii="Book Antiqua" w:hAnsi="Book Antiqua"/>
          <w:color w:val="000000"/>
        </w:rPr>
        <w:t xml:space="preserve"> that would be applicable to </w:t>
      </w:r>
      <w:r w:rsidRPr="00196B50">
        <w:rPr>
          <w:rFonts w:ascii="Book Antiqua" w:hAnsi="Book Antiqua" w:cs="Helvetica"/>
        </w:rPr>
        <w:t xml:space="preserve">non-CARE residential customers with daily peak usage of at least 15 therms, </w:t>
      </w:r>
      <w:r w:rsidRPr="00196B50">
        <w:rPr>
          <w:rFonts w:ascii="Book Antiqua" w:hAnsi="Book Antiqua"/>
          <w:color w:val="000000"/>
        </w:rPr>
        <w:t xml:space="preserve">Cal Advocates indicated that it </w:t>
      </w:r>
      <w:r w:rsidR="00E743AA" w:rsidRPr="00196B50">
        <w:rPr>
          <w:rFonts w:ascii="Book Antiqua" w:hAnsi="Book Antiqua"/>
          <w:color w:val="000000"/>
        </w:rPr>
        <w:t xml:space="preserve">does </w:t>
      </w:r>
      <w:r w:rsidRPr="00196B50">
        <w:rPr>
          <w:rFonts w:ascii="Book Antiqua" w:hAnsi="Book Antiqua"/>
        </w:rPr>
        <w:t xml:space="preserve">not oppose the concept of a Super-User charge on the </w:t>
      </w:r>
      <w:r w:rsidR="00432193" w:rsidRPr="00196B50">
        <w:rPr>
          <w:rFonts w:ascii="Book Antiqua" w:hAnsi="Book Antiqua"/>
        </w:rPr>
        <w:t>top-tier</w:t>
      </w:r>
      <w:r w:rsidRPr="00196B50">
        <w:rPr>
          <w:rFonts w:ascii="Book Antiqua" w:hAnsi="Book Antiqua"/>
        </w:rPr>
        <w:t xml:space="preserve"> of individually metered customers who are said to be more expensive to serve.</w:t>
      </w:r>
      <w:r w:rsidRPr="00431F1E">
        <w:rPr>
          <w:rStyle w:val="FootnoteReference"/>
          <w:rFonts w:ascii="Book Antiqua" w:hAnsi="Book Antiqua"/>
          <w:szCs w:val="26"/>
        </w:rPr>
        <w:footnoteReference w:id="100"/>
      </w:r>
      <w:r w:rsidRPr="00196B50">
        <w:rPr>
          <w:rFonts w:ascii="Book Antiqua" w:hAnsi="Book Antiqua"/>
        </w:rPr>
        <w:t xml:space="preserve">  Cal Advocates </w:t>
      </w:r>
      <w:r w:rsidR="00B30859" w:rsidRPr="00196B50">
        <w:rPr>
          <w:rFonts w:ascii="Book Antiqua" w:hAnsi="Book Antiqua"/>
        </w:rPr>
        <w:t>believes</w:t>
      </w:r>
      <w:r w:rsidR="0081788E" w:rsidRPr="00196B50">
        <w:rPr>
          <w:rFonts w:ascii="Book Antiqua" w:hAnsi="Book Antiqua"/>
        </w:rPr>
        <w:t xml:space="preserve"> </w:t>
      </w:r>
      <w:r w:rsidRPr="00196B50">
        <w:rPr>
          <w:rFonts w:ascii="Book Antiqua" w:hAnsi="Book Antiqua"/>
        </w:rPr>
        <w:t>that a higher Super-User charge amount could further incentivize gas conservation, which is consistent with the state’s environmental goals.</w:t>
      </w:r>
      <w:r w:rsidRPr="00431F1E">
        <w:rPr>
          <w:rStyle w:val="FootnoteReference"/>
          <w:rFonts w:ascii="Book Antiqua" w:hAnsi="Book Antiqua"/>
          <w:szCs w:val="26"/>
        </w:rPr>
        <w:footnoteReference w:id="101"/>
      </w:r>
      <w:r w:rsidRPr="00196B50">
        <w:rPr>
          <w:rFonts w:ascii="Book Antiqua" w:hAnsi="Book Antiqua"/>
        </w:rPr>
        <w:t xml:space="preserve">  Nonetheless, </w:t>
      </w:r>
      <w:r w:rsidRPr="00196B50">
        <w:rPr>
          <w:rFonts w:ascii="Book Antiqua" w:hAnsi="Book Antiqua"/>
          <w:color w:val="000000"/>
        </w:rPr>
        <w:t xml:space="preserve">Cal Advocates </w:t>
      </w:r>
      <w:r w:rsidRPr="00196B50">
        <w:rPr>
          <w:rFonts w:ascii="Book Antiqua" w:hAnsi="Book Antiqua"/>
        </w:rPr>
        <w:t xml:space="preserve">disagrees with the $45 amount of PG&amp;E’s proposed Super-User </w:t>
      </w:r>
      <w:r w:rsidR="00132E0D" w:rsidRPr="00196B50">
        <w:rPr>
          <w:rFonts w:ascii="Book Antiqua" w:hAnsi="Book Antiqua"/>
        </w:rPr>
        <w:t>charge</w:t>
      </w:r>
      <w:r w:rsidRPr="00196B50">
        <w:rPr>
          <w:rFonts w:ascii="Book Antiqua" w:hAnsi="Book Antiqua"/>
        </w:rPr>
        <w:t xml:space="preserve"> given the fact that “no customer surveys or consultations have been conducted by PG&amp;E regarding either the $15 minimum transportation charge or the new $45 Super-User charge, (and) there is no way to predict customer reaction to this new charge</w:t>
      </w:r>
      <w:r w:rsidR="0081788E" w:rsidRPr="00196B50">
        <w:rPr>
          <w:rFonts w:ascii="Book Antiqua" w:hAnsi="Book Antiqua"/>
        </w:rPr>
        <w:t>.</w:t>
      </w:r>
      <w:r w:rsidRPr="00196B50">
        <w:rPr>
          <w:rFonts w:ascii="Book Antiqua" w:hAnsi="Book Antiqua"/>
        </w:rPr>
        <w:t>”</w:t>
      </w:r>
      <w:r w:rsidRPr="00431F1E">
        <w:rPr>
          <w:rStyle w:val="FootnoteReference"/>
          <w:rFonts w:ascii="Book Antiqua" w:hAnsi="Book Antiqua"/>
          <w:szCs w:val="26"/>
        </w:rPr>
        <w:footnoteReference w:id="102"/>
      </w:r>
      <w:r w:rsidRPr="00196B50">
        <w:rPr>
          <w:rFonts w:ascii="Book Antiqua" w:hAnsi="Book Antiqua"/>
        </w:rPr>
        <w:t xml:space="preserve">  Thus, Cal Advocates </w:t>
      </w:r>
      <w:r w:rsidR="0039597D" w:rsidRPr="00196B50">
        <w:rPr>
          <w:rFonts w:ascii="Book Antiqua" w:hAnsi="Book Antiqua"/>
        </w:rPr>
        <w:t>argues</w:t>
      </w:r>
      <w:r w:rsidR="00E972FB" w:rsidRPr="00196B50">
        <w:rPr>
          <w:rFonts w:ascii="Book Antiqua" w:hAnsi="Book Antiqua"/>
        </w:rPr>
        <w:t xml:space="preserve"> </w:t>
      </w:r>
      <w:r w:rsidRPr="00196B50">
        <w:rPr>
          <w:rFonts w:ascii="Book Antiqua" w:hAnsi="Book Antiqua"/>
        </w:rPr>
        <w:t xml:space="preserve">that the Commission should adopt its proposed $12 </w:t>
      </w:r>
      <w:bookmarkEnd w:id="57"/>
      <w:r w:rsidRPr="00196B50">
        <w:rPr>
          <w:rFonts w:ascii="Book Antiqua" w:hAnsi="Book Antiqua"/>
        </w:rPr>
        <w:t xml:space="preserve">instead of the $45 Super-User </w:t>
      </w:r>
      <w:r w:rsidR="00132E0D" w:rsidRPr="00196B50">
        <w:rPr>
          <w:rFonts w:ascii="Book Antiqua" w:hAnsi="Book Antiqua"/>
        </w:rPr>
        <w:t>charge</w:t>
      </w:r>
      <w:r w:rsidRPr="00196B50">
        <w:rPr>
          <w:rFonts w:ascii="Book Antiqua" w:hAnsi="Book Antiqua"/>
        </w:rPr>
        <w:t xml:space="preserve"> P</w:t>
      </w:r>
      <w:r w:rsidRPr="00196B50">
        <w:rPr>
          <w:rFonts w:ascii="Book Antiqua" w:hAnsi="Book Antiqua"/>
          <w:color w:val="000000"/>
        </w:rPr>
        <w:t>G&amp;E proposes “to further reduce residential volumetric transportation rates by creating a second-tier non-</w:t>
      </w:r>
      <w:r w:rsidRPr="00196B50">
        <w:rPr>
          <w:rFonts w:ascii="Book Antiqua" w:hAnsi="Book Antiqua"/>
          <w:color w:val="000000"/>
        </w:rPr>
        <w:lastRenderedPageBreak/>
        <w:t>CARE minimum monthly transportation charge” for the top percentage of individually-metered residential customers.</w:t>
      </w:r>
      <w:r w:rsidRPr="00431F1E">
        <w:rPr>
          <w:rStyle w:val="FootnoteReference"/>
          <w:rFonts w:ascii="Book Antiqua" w:hAnsi="Book Antiqua"/>
          <w:color w:val="000000"/>
          <w:szCs w:val="26"/>
        </w:rPr>
        <w:footnoteReference w:id="103"/>
      </w:r>
    </w:p>
    <w:p w14:paraId="6894A918" w14:textId="77777777" w:rsidR="007D0BDD" w:rsidRPr="00196B50" w:rsidRDefault="001164FC" w:rsidP="00601A93">
      <w:pPr>
        <w:pStyle w:val="standard"/>
        <w:rPr>
          <w:rFonts w:ascii="Book Antiqua" w:hAnsi="Book Antiqua" w:cs="Helvetica"/>
        </w:rPr>
      </w:pPr>
      <w:r w:rsidRPr="00196B50">
        <w:rPr>
          <w:rFonts w:ascii="Book Antiqua" w:hAnsi="Book Antiqua"/>
        </w:rPr>
        <w:t xml:space="preserve">After a careful evaluation of the record in this case, the Commission finds that while the arguments put forward by PG&amp;E in support of its proposal to increase the </w:t>
      </w:r>
      <w:r w:rsidRPr="00196B50">
        <w:rPr>
          <w:rFonts w:ascii="Book Antiqua" w:hAnsi="Book Antiqua" w:cs="Helvetica"/>
        </w:rPr>
        <w:t xml:space="preserve">residential minimum transportation charge </w:t>
      </w:r>
      <w:r w:rsidR="004778F1" w:rsidRPr="00196B50">
        <w:rPr>
          <w:rFonts w:ascii="Book Antiqua" w:hAnsi="Book Antiqua" w:cs="Helvetica"/>
        </w:rPr>
        <w:t xml:space="preserve"> (from the current $3 to $15, or to $10 as initially proposed by TURN)</w:t>
      </w:r>
      <w:r w:rsidRPr="00196B50">
        <w:rPr>
          <w:rFonts w:ascii="Book Antiqua" w:hAnsi="Book Antiqua" w:cs="Helvetica"/>
        </w:rPr>
        <w:t xml:space="preserve"> for non-CARE customer basic service; and to establish a higher super-peak minimum transportation charge of $45 for non-CARE residential customers (with daily peak usage of at least </w:t>
      </w:r>
    </w:p>
    <w:p w14:paraId="1A71D4CB" w14:textId="6C1B262E" w:rsidR="001164FC" w:rsidRPr="00196B50" w:rsidRDefault="001164FC" w:rsidP="007D0BDD">
      <w:pPr>
        <w:pStyle w:val="standard"/>
        <w:ind w:firstLine="0"/>
        <w:rPr>
          <w:rFonts w:ascii="Book Antiqua" w:hAnsi="Book Antiqua" w:cs="Helvetica"/>
        </w:rPr>
      </w:pPr>
      <w:r w:rsidRPr="00196B50">
        <w:rPr>
          <w:rFonts w:ascii="Book Antiqua" w:hAnsi="Book Antiqua" w:cs="Helvetica"/>
        </w:rPr>
        <w:t xml:space="preserve">15 therms) could have </w:t>
      </w:r>
      <w:r w:rsidR="002E48DD" w:rsidRPr="00196B50">
        <w:rPr>
          <w:rFonts w:ascii="Book Antiqua" w:hAnsi="Book Antiqua" w:cs="Helvetica"/>
        </w:rPr>
        <w:t xml:space="preserve">some </w:t>
      </w:r>
      <w:r w:rsidRPr="00196B50">
        <w:rPr>
          <w:rFonts w:ascii="Book Antiqua" w:hAnsi="Book Antiqua" w:cs="Helvetica"/>
        </w:rPr>
        <w:t>merit</w:t>
      </w:r>
      <w:r w:rsidR="005F1B14" w:rsidRPr="00196B50">
        <w:rPr>
          <w:rFonts w:ascii="Book Antiqua" w:hAnsi="Book Antiqua" w:cs="Helvetica"/>
        </w:rPr>
        <w:t>,</w:t>
      </w:r>
      <w:r w:rsidR="00A26E81" w:rsidRPr="00431F1E" w:rsidDel="00A26E81">
        <w:rPr>
          <w:rStyle w:val="FootnoteReference"/>
          <w:rFonts w:ascii="Book Antiqua" w:hAnsi="Book Antiqua" w:cs="Helvetica"/>
          <w:szCs w:val="26"/>
        </w:rPr>
        <w:t xml:space="preserve"> </w:t>
      </w:r>
      <w:r w:rsidRPr="00196B50">
        <w:rPr>
          <w:rFonts w:ascii="Book Antiqua" w:hAnsi="Book Antiqua" w:cs="Helvetica"/>
        </w:rPr>
        <w:t xml:space="preserve"> the overwhelming persuasion of the record in this </w:t>
      </w:r>
      <w:r w:rsidR="00164089" w:rsidRPr="00196B50">
        <w:rPr>
          <w:rFonts w:ascii="Book Antiqua" w:hAnsi="Book Antiqua" w:cs="Helvetica"/>
        </w:rPr>
        <w:t>proceeding</w:t>
      </w:r>
      <w:r w:rsidR="0081788E" w:rsidRPr="00196B50">
        <w:rPr>
          <w:rFonts w:ascii="Book Antiqua" w:hAnsi="Book Antiqua" w:cs="Helvetica"/>
        </w:rPr>
        <w:t xml:space="preserve"> </w:t>
      </w:r>
      <w:r w:rsidRPr="00196B50">
        <w:rPr>
          <w:rFonts w:ascii="Book Antiqua" w:hAnsi="Book Antiqua" w:cs="Helvetica"/>
        </w:rPr>
        <w:t xml:space="preserve">is that </w:t>
      </w:r>
      <w:r w:rsidR="00385515" w:rsidRPr="00196B50">
        <w:rPr>
          <w:rFonts w:ascii="Book Antiqua" w:hAnsi="Book Antiqua" w:cs="Helvetica"/>
        </w:rPr>
        <w:t>PG&amp;E’s</w:t>
      </w:r>
      <w:r w:rsidR="0081788E" w:rsidRPr="00196B50">
        <w:rPr>
          <w:rFonts w:ascii="Book Antiqua" w:hAnsi="Book Antiqua" w:cs="Helvetica"/>
        </w:rPr>
        <w:t xml:space="preserve"> </w:t>
      </w:r>
      <w:r w:rsidRPr="00196B50">
        <w:rPr>
          <w:rFonts w:ascii="Book Antiqua" w:hAnsi="Book Antiqua" w:cs="Helvetica"/>
        </w:rPr>
        <w:t xml:space="preserve">proposals </w:t>
      </w:r>
      <w:r w:rsidR="0081788E" w:rsidRPr="00196B50">
        <w:rPr>
          <w:rFonts w:ascii="Book Antiqua" w:hAnsi="Book Antiqua" w:cs="Helvetica"/>
        </w:rPr>
        <w:t>should</w:t>
      </w:r>
      <w:r w:rsidRPr="00196B50">
        <w:rPr>
          <w:rFonts w:ascii="Book Antiqua" w:hAnsi="Book Antiqua" w:cs="Helvetica"/>
        </w:rPr>
        <w:t xml:space="preserve"> be rejected without prejudice to PG&amp;E’s ability to request approvals from the Commission to make these adjustments to the residential minimum transportation charges in the future. </w:t>
      </w:r>
    </w:p>
    <w:p w14:paraId="1BFD2BD7" w14:textId="5557AC27" w:rsidR="001164FC" w:rsidRPr="00196B50" w:rsidRDefault="006C1D71" w:rsidP="00601A93">
      <w:pPr>
        <w:pStyle w:val="standard"/>
        <w:rPr>
          <w:rFonts w:ascii="Book Antiqua" w:hAnsi="Book Antiqua"/>
        </w:rPr>
      </w:pPr>
      <w:r w:rsidRPr="00196B50">
        <w:rPr>
          <w:rFonts w:ascii="Book Antiqua" w:hAnsi="Book Antiqua"/>
        </w:rPr>
        <w:t>T</w:t>
      </w:r>
      <w:r w:rsidR="001164FC" w:rsidRPr="00196B50">
        <w:rPr>
          <w:rFonts w:ascii="Book Antiqua" w:hAnsi="Book Antiqua"/>
        </w:rPr>
        <w:t xml:space="preserve">he Commission is persuaded that the proposed </w:t>
      </w:r>
      <w:r w:rsidR="00C75328" w:rsidRPr="00196B50">
        <w:rPr>
          <w:rFonts w:ascii="Book Antiqua" w:hAnsi="Book Antiqua" w:cs="Helvetica"/>
        </w:rPr>
        <w:t>increases in the residential minimum transportation charges</w:t>
      </w:r>
      <w:r w:rsidR="00E972FB" w:rsidRPr="00196B50">
        <w:rPr>
          <w:rFonts w:ascii="Book Antiqua" w:hAnsi="Book Antiqua" w:cs="Helvetica"/>
        </w:rPr>
        <w:t xml:space="preserve"> </w:t>
      </w:r>
      <w:r w:rsidR="001164FC" w:rsidRPr="00196B50">
        <w:rPr>
          <w:rFonts w:ascii="Book Antiqua" w:hAnsi="Book Antiqua"/>
        </w:rPr>
        <w:t xml:space="preserve">will have </w:t>
      </w:r>
      <w:r w:rsidR="001164FC" w:rsidRPr="00196B50">
        <w:rPr>
          <w:rFonts w:ascii="Book Antiqua" w:hAnsi="Book Antiqua"/>
          <w:color w:val="000000" w:themeColor="text1"/>
        </w:rPr>
        <w:t>significant bill impacts on customers as argued and supported by Cal Advocates, and that these proposals may “</w:t>
      </w:r>
      <w:r w:rsidR="001164FC" w:rsidRPr="00196B50">
        <w:rPr>
          <w:rFonts w:ascii="Book Antiqua" w:hAnsi="Book Antiqua"/>
        </w:rPr>
        <w:t>discourage conservation as well as create affordability concerns,” as argued by TURN.</w:t>
      </w:r>
      <w:r w:rsidR="001164FC" w:rsidRPr="00C75328">
        <w:rPr>
          <w:rStyle w:val="FootnoteReference"/>
          <w:rFonts w:ascii="Book Antiqua" w:hAnsi="Book Antiqua"/>
          <w:szCs w:val="26"/>
        </w:rPr>
        <w:footnoteReference w:id="104"/>
      </w:r>
    </w:p>
    <w:p w14:paraId="5A87A481" w14:textId="3B6CE1B4" w:rsidR="001164FC" w:rsidRPr="00196B50" w:rsidRDefault="001164FC" w:rsidP="00601A93">
      <w:pPr>
        <w:pStyle w:val="standard"/>
        <w:rPr>
          <w:rFonts w:ascii="Book Antiqua" w:hAnsi="Book Antiqua" w:cs="Helvetica"/>
        </w:rPr>
      </w:pPr>
      <w:r w:rsidRPr="00196B50">
        <w:rPr>
          <w:rFonts w:ascii="Book Antiqua" w:eastAsia="Calibri" w:hAnsi="Book Antiqua"/>
        </w:rPr>
        <w:t>Based on Cal Advocates’ analysis,</w:t>
      </w:r>
      <w:r w:rsidRPr="00C75328">
        <w:rPr>
          <w:rStyle w:val="FootnoteReference"/>
          <w:rFonts w:ascii="Book Antiqua" w:eastAsia="Calibri" w:hAnsi="Book Antiqua"/>
          <w:szCs w:val="26"/>
        </w:rPr>
        <w:footnoteReference w:id="105"/>
      </w:r>
      <w:r w:rsidRPr="00196B50">
        <w:rPr>
          <w:rFonts w:ascii="Book Antiqua" w:eastAsia="Calibri" w:hAnsi="Book Antiqua"/>
        </w:rPr>
        <w:t xml:space="preserve"> PG&amp;E’s proposed $15 minimum bill for residential transportation rates will impact at least 58% of total residential customers, and at least 73% of non-CARE Residential customers will experience increases in their average monthly bills anywhere from about 4% up to 35%.</w:t>
      </w:r>
      <w:r w:rsidRPr="00196B50">
        <w:rPr>
          <w:rFonts w:ascii="Book Antiqua" w:hAnsi="Book Antiqua"/>
          <w:bCs/>
          <w:vertAlign w:val="superscript"/>
        </w:rPr>
        <w:footnoteReference w:id="106"/>
      </w:r>
      <w:r w:rsidRPr="00196B50">
        <w:rPr>
          <w:rFonts w:ascii="Book Antiqua" w:eastAsia="Calibri" w:hAnsi="Book Antiqua"/>
        </w:rPr>
        <w:t xml:space="preserve">  As shown in PG&amp;E’s GCAP Workpapers, the average bill change could increase </w:t>
      </w:r>
      <w:r w:rsidRPr="00196B50">
        <w:rPr>
          <w:rFonts w:ascii="Book Antiqua" w:eastAsia="Calibri" w:hAnsi="Book Antiqua"/>
        </w:rPr>
        <w:lastRenderedPageBreak/>
        <w:t>anywhere from an additional $1.65 a month to $7.69 a month overall,</w:t>
      </w:r>
      <w:r w:rsidRPr="00196B50">
        <w:rPr>
          <w:rFonts w:ascii="Book Antiqua" w:hAnsi="Book Antiqua"/>
          <w:bCs/>
          <w:vertAlign w:val="superscript"/>
        </w:rPr>
        <w:footnoteReference w:id="107"/>
      </w:r>
      <w:r w:rsidRPr="00196B50">
        <w:rPr>
          <w:rFonts w:ascii="Book Antiqua" w:eastAsia="Calibri" w:hAnsi="Book Antiqua"/>
        </w:rPr>
        <w:t xml:space="preserve"> especially for the approximately 256,000 non-CARE residential customers whose monthly bills are below the minimum $3 transportation </w:t>
      </w:r>
      <w:r w:rsidRPr="00196B50">
        <w:rPr>
          <w:rFonts w:ascii="Book Antiqua" w:eastAsia="Calibri" w:hAnsi="Book Antiqua" w:cs="Arial"/>
        </w:rPr>
        <w:t>charge.</w:t>
      </w:r>
      <w:r w:rsidRPr="00196B50">
        <w:rPr>
          <w:rFonts w:ascii="Book Antiqua" w:hAnsi="Book Antiqua" w:cs="Arial"/>
          <w:bCs/>
          <w:vertAlign w:val="superscript"/>
        </w:rPr>
        <w:footnoteReference w:id="108"/>
      </w:r>
      <w:r w:rsidRPr="00196B50">
        <w:rPr>
          <w:rFonts w:ascii="Book Antiqua" w:eastAsia="Calibri" w:hAnsi="Book Antiqua" w:cs="Arial"/>
        </w:rPr>
        <w:t xml:space="preserve"> Accordingly, </w:t>
      </w:r>
      <w:r w:rsidRPr="00196B50">
        <w:rPr>
          <w:rFonts w:ascii="Book Antiqua" w:hAnsi="Book Antiqua"/>
        </w:rPr>
        <w:t xml:space="preserve">we reject PG&amp;E’s minimum transportation charge proposals, and instead adopt Cal Advocates minimum transportation charge proposals as further discussed below.  </w:t>
      </w:r>
    </w:p>
    <w:p w14:paraId="54E67B08" w14:textId="5F384DD2" w:rsidR="001164FC" w:rsidRPr="00196B50" w:rsidRDefault="00E972FB" w:rsidP="003B62BD">
      <w:pPr>
        <w:pStyle w:val="standard"/>
        <w:rPr>
          <w:rFonts w:ascii="Book Antiqua" w:hAnsi="Book Antiqua"/>
          <w:szCs w:val="26"/>
        </w:rPr>
      </w:pPr>
      <w:r w:rsidRPr="00196B50">
        <w:rPr>
          <w:rFonts w:ascii="Book Antiqua" w:hAnsi="Book Antiqua" w:cs="Helvetica"/>
        </w:rPr>
        <w:t>W</w:t>
      </w:r>
      <w:r w:rsidR="001164FC" w:rsidRPr="00196B50">
        <w:rPr>
          <w:rFonts w:ascii="Book Antiqua" w:hAnsi="Book Antiqua"/>
        </w:rPr>
        <w:t xml:space="preserve">hile TURN initially </w:t>
      </w:r>
      <w:r w:rsidR="006C1D71" w:rsidRPr="00196B50">
        <w:rPr>
          <w:rFonts w:ascii="Book Antiqua" w:hAnsi="Book Antiqua"/>
        </w:rPr>
        <w:t>proposed</w:t>
      </w:r>
      <w:r w:rsidR="001164FC" w:rsidRPr="00196B50">
        <w:rPr>
          <w:rFonts w:ascii="Book Antiqua" w:hAnsi="Book Antiqua"/>
        </w:rPr>
        <w:t xml:space="preserve"> using the electric $10 minimum transportation bills’ relationship to baseline amounts as a “yardstick” for establishing the gas minimum transportation charge to summer gas baseline amounts,</w:t>
      </w:r>
      <w:r w:rsidR="001164FC" w:rsidRPr="00C75328">
        <w:rPr>
          <w:rStyle w:val="FootnoteReference"/>
          <w:rFonts w:ascii="Book Antiqua" w:hAnsi="Book Antiqua"/>
          <w:szCs w:val="26"/>
        </w:rPr>
        <w:footnoteReference w:id="109"/>
      </w:r>
      <w:r w:rsidR="001164FC" w:rsidRPr="00196B50">
        <w:rPr>
          <w:rFonts w:ascii="Book Antiqua" w:hAnsi="Book Antiqua"/>
        </w:rPr>
        <w:t xml:space="preserve"> TURN essentially discounted this idea in its </w:t>
      </w:r>
      <w:r w:rsidR="001164FC" w:rsidRPr="00196B50">
        <w:rPr>
          <w:rFonts w:ascii="Book Antiqua" w:hAnsi="Book Antiqua"/>
          <w:color w:val="000000"/>
        </w:rPr>
        <w:t>Opening Brief</w:t>
      </w:r>
      <w:r w:rsidR="003B62BD" w:rsidRPr="00196B50">
        <w:rPr>
          <w:rFonts w:ascii="Book Antiqua" w:hAnsi="Book Antiqua"/>
          <w:color w:val="000000"/>
        </w:rPr>
        <w:t xml:space="preserve">, </w:t>
      </w:r>
      <w:r w:rsidR="003B62BD" w:rsidRPr="00196B50">
        <w:rPr>
          <w:rFonts w:ascii="Book Antiqua" w:hAnsi="Book Antiqua"/>
        </w:rPr>
        <w:t xml:space="preserve">and recommended that the </w:t>
      </w:r>
      <w:r w:rsidR="001164FC" w:rsidRPr="00196B50">
        <w:rPr>
          <w:rFonts w:ascii="Book Antiqua" w:hAnsi="Book Antiqua" w:cs="Arial"/>
          <w:szCs w:val="26"/>
        </w:rPr>
        <w:t>Commission adopt</w:t>
      </w:r>
      <w:r w:rsidR="003B62BD" w:rsidRPr="00196B50">
        <w:rPr>
          <w:rFonts w:ascii="Book Antiqua" w:hAnsi="Book Antiqua" w:cs="Arial"/>
          <w:szCs w:val="26"/>
        </w:rPr>
        <w:t>s</w:t>
      </w:r>
      <w:r w:rsidR="001164FC" w:rsidRPr="00196B50">
        <w:rPr>
          <w:rFonts w:ascii="Book Antiqua" w:hAnsi="Book Antiqua" w:cs="Arial"/>
          <w:szCs w:val="26"/>
        </w:rPr>
        <w:t xml:space="preserve"> ORA’s recommendation instead.</w:t>
      </w:r>
      <w:r w:rsidR="001164FC" w:rsidRPr="00196B50">
        <w:rPr>
          <w:rStyle w:val="FootnoteReference"/>
          <w:rFonts w:ascii="Book Antiqua" w:hAnsi="Book Antiqua" w:cs="Arial"/>
          <w:szCs w:val="26"/>
        </w:rPr>
        <w:footnoteReference w:id="110"/>
      </w:r>
    </w:p>
    <w:p w14:paraId="290ABEAB" w14:textId="77777777" w:rsidR="001164FC" w:rsidRPr="00196B50" w:rsidRDefault="001164FC" w:rsidP="00601A93">
      <w:pPr>
        <w:pStyle w:val="standard"/>
        <w:rPr>
          <w:rFonts w:ascii="Book Antiqua" w:hAnsi="Book Antiqua"/>
        </w:rPr>
      </w:pPr>
      <w:r w:rsidRPr="00196B50">
        <w:rPr>
          <w:rFonts w:ascii="Book Antiqua" w:hAnsi="Book Antiqua"/>
        </w:rPr>
        <w:t>We agree with Cal Advocates and TURN on this issue.</w:t>
      </w:r>
    </w:p>
    <w:p w14:paraId="1C417B04" w14:textId="51B264AE" w:rsidR="001164FC" w:rsidRPr="00196B50" w:rsidRDefault="001164FC" w:rsidP="00601A93">
      <w:pPr>
        <w:pStyle w:val="standard"/>
        <w:rPr>
          <w:rFonts w:ascii="Book Antiqua" w:hAnsi="Book Antiqua" w:cs="Helvetica"/>
        </w:rPr>
      </w:pPr>
      <w:r w:rsidRPr="00196B50">
        <w:rPr>
          <w:rFonts w:ascii="Book Antiqua" w:hAnsi="Book Antiqua" w:cs="Helvetica"/>
        </w:rPr>
        <w:t xml:space="preserve">Additionally, </w:t>
      </w:r>
      <w:r w:rsidRPr="00196B50">
        <w:rPr>
          <w:rFonts w:ascii="Book Antiqua" w:hAnsi="Book Antiqua"/>
        </w:rPr>
        <w:t>we note Cal Advocates’ argument that no customer surveys or consultations were conducted by PG&amp;E regarding either the $15 minimum transportation charge or the new $45 Super-User charge, and that “there is no way to predict customer reaction to this new charge</w:t>
      </w:r>
      <w:r w:rsidR="00D17771" w:rsidRPr="00196B50">
        <w:rPr>
          <w:rFonts w:ascii="Book Antiqua" w:hAnsi="Book Antiqua"/>
        </w:rPr>
        <w:t>.</w:t>
      </w:r>
      <w:r w:rsidRPr="00196B50">
        <w:rPr>
          <w:rFonts w:ascii="Book Antiqua" w:hAnsi="Book Antiqua"/>
        </w:rPr>
        <w:t>”</w:t>
      </w:r>
      <w:r w:rsidRPr="00431F1E">
        <w:rPr>
          <w:rStyle w:val="FootnoteReference"/>
          <w:rFonts w:ascii="Book Antiqua" w:hAnsi="Book Antiqua"/>
          <w:szCs w:val="26"/>
        </w:rPr>
        <w:footnoteReference w:id="111"/>
      </w:r>
      <w:r w:rsidRPr="00196B50">
        <w:rPr>
          <w:rFonts w:ascii="Book Antiqua" w:hAnsi="Book Antiqua"/>
        </w:rPr>
        <w:t xml:space="preserve">  Nonetheless, the Commission obtained customers’ feedback on the proposed increases.  B</w:t>
      </w:r>
      <w:r w:rsidRPr="00196B50">
        <w:rPr>
          <w:rFonts w:ascii="Book Antiqua" w:hAnsi="Book Antiqua" w:cs="Helvetica"/>
        </w:rPr>
        <w:t xml:space="preserve">ased on the </w:t>
      </w:r>
      <w:r w:rsidRPr="00196B50">
        <w:rPr>
          <w:rFonts w:ascii="Book Antiqua" w:hAnsi="Book Antiqua"/>
        </w:rPr>
        <w:t xml:space="preserve">written comments received from </w:t>
      </w:r>
      <w:r w:rsidRPr="00196B50">
        <w:rPr>
          <w:rFonts w:ascii="Book Antiqua" w:hAnsi="Book Antiqua" w:cs="Helvetica"/>
        </w:rPr>
        <w:t xml:space="preserve">PG&amp;E’s customers in this Application, </w:t>
      </w:r>
      <w:r w:rsidRPr="00196B50">
        <w:rPr>
          <w:rFonts w:ascii="Book Antiqua" w:hAnsi="Book Antiqua"/>
        </w:rPr>
        <w:t xml:space="preserve">and </w:t>
      </w:r>
      <w:r w:rsidRPr="00196B50">
        <w:rPr>
          <w:rFonts w:ascii="Book Antiqua" w:hAnsi="Book Antiqua" w:cs="Helvetica"/>
        </w:rPr>
        <w:t xml:space="preserve">feedback obtained </w:t>
      </w:r>
      <w:r w:rsidRPr="00196B50">
        <w:rPr>
          <w:rFonts w:ascii="Book Antiqua" w:hAnsi="Book Antiqua"/>
        </w:rPr>
        <w:t>during</w:t>
      </w:r>
      <w:r w:rsidRPr="00196B50">
        <w:rPr>
          <w:rFonts w:ascii="Book Antiqua" w:hAnsi="Book Antiqua" w:cs="Helvetica"/>
        </w:rPr>
        <w:t xml:space="preserve"> the 14 </w:t>
      </w:r>
      <w:r w:rsidRPr="00196B50">
        <w:rPr>
          <w:rFonts w:ascii="Book Antiqua" w:hAnsi="Book Antiqua"/>
        </w:rPr>
        <w:t xml:space="preserve">Public Participation Hearings </w:t>
      </w:r>
      <w:r w:rsidRPr="00196B50">
        <w:rPr>
          <w:rFonts w:ascii="Book Antiqua" w:hAnsi="Book Antiqua" w:cs="Helvetica"/>
        </w:rPr>
        <w:t xml:space="preserve">and several information sessions held in seven cities by the Commission during its review of </w:t>
      </w:r>
      <w:r w:rsidRPr="00196B50">
        <w:rPr>
          <w:rFonts w:ascii="Book Antiqua" w:hAnsi="Book Antiqua" w:cs="Helvetica"/>
        </w:rPr>
        <w:lastRenderedPageBreak/>
        <w:t xml:space="preserve">this Application, the Commission is aware of public opposition to the proposed increase in the residential minimum transportation charge in this application, and the rates/bill increases that would result as a consequence of these proposals.  The Commission further notes the general public dissatisfaction with bill increases, especially </w:t>
      </w:r>
      <w:r w:rsidR="00F94ADC" w:rsidRPr="00196B50">
        <w:rPr>
          <w:rFonts w:ascii="Book Antiqua" w:hAnsi="Book Antiqua" w:cs="Helvetica"/>
        </w:rPr>
        <w:t xml:space="preserve">given </w:t>
      </w:r>
      <w:r w:rsidRPr="00196B50">
        <w:rPr>
          <w:rFonts w:ascii="Book Antiqua" w:hAnsi="Book Antiqua" w:cs="Helvetica"/>
        </w:rPr>
        <w:t xml:space="preserve">the trends over the past couple of years.   </w:t>
      </w:r>
      <w:r w:rsidRPr="00196B50">
        <w:rPr>
          <w:rFonts w:ascii="Book Antiqua" w:hAnsi="Book Antiqua"/>
        </w:rPr>
        <w:t xml:space="preserve">Particularly during the Public Participation Hearing in Oakland, TURN, as well as several speakers, pointed out that apart from the rate increase proposed in this Application, they are </w:t>
      </w:r>
      <w:r w:rsidRPr="00196B50">
        <w:rPr>
          <w:rFonts w:ascii="Book Antiqua" w:hAnsi="Book Antiqua" w:cs="Courier New"/>
        </w:rPr>
        <w:t xml:space="preserve">concerned about “the cumulative costs of previous increases” that have been approved by the Commission and their impacts on consumers’ budgets. (See </w:t>
      </w:r>
      <w:r w:rsidRPr="00196B50">
        <w:rPr>
          <w:rFonts w:ascii="Book Antiqua" w:hAnsi="Book Antiqua"/>
        </w:rPr>
        <w:t>Public Participation Hearings (Oakland PPH) transcript, Vol 7 (Oakland) at 507, lines 3-20).</w:t>
      </w:r>
      <w:r w:rsidRPr="00196B50">
        <w:rPr>
          <w:rFonts w:ascii="Book Antiqua" w:hAnsi="Book Antiqua" w:cs="Courier New"/>
        </w:rPr>
        <w:t xml:space="preserve"> More specifically, </w:t>
      </w:r>
      <w:r w:rsidRPr="00196B50">
        <w:rPr>
          <w:rFonts w:ascii="Book Antiqua" w:hAnsi="Book Antiqua"/>
        </w:rPr>
        <w:t xml:space="preserve">TURN, as well as others suggested that the </w:t>
      </w:r>
      <w:r w:rsidRPr="00196B50">
        <w:rPr>
          <w:rFonts w:ascii="Book Antiqua" w:hAnsi="Book Antiqua" w:cs="Courier New"/>
        </w:rPr>
        <w:t>cumulative increases from other cases</w:t>
      </w:r>
      <w:r w:rsidR="00681A16" w:rsidRPr="00196B50">
        <w:rPr>
          <w:rFonts w:ascii="Book Antiqua" w:hAnsi="Book Antiqua" w:cs="Courier New"/>
        </w:rPr>
        <w:t xml:space="preserve"> and applications</w:t>
      </w:r>
      <w:r w:rsidR="00A35805" w:rsidRPr="00196B50">
        <w:rPr>
          <w:rFonts w:ascii="Book Antiqua" w:hAnsi="Book Antiqua" w:cs="Courier New"/>
        </w:rPr>
        <w:t xml:space="preserve"> </w:t>
      </w:r>
      <w:r w:rsidRPr="00196B50">
        <w:rPr>
          <w:rFonts w:ascii="Book Antiqua" w:hAnsi="Book Antiqua" w:cs="Courier New"/>
        </w:rPr>
        <w:t>by PG&amp;E in the last seven years or so, was about 40 percent.</w:t>
      </w:r>
    </w:p>
    <w:p w14:paraId="17191A94" w14:textId="43CD4C70" w:rsidR="001164FC" w:rsidRPr="00196B50" w:rsidRDefault="006C1D71" w:rsidP="00601A93">
      <w:pPr>
        <w:pStyle w:val="standard"/>
        <w:rPr>
          <w:rFonts w:ascii="Book Antiqua" w:hAnsi="Book Antiqua"/>
        </w:rPr>
      </w:pPr>
      <w:r w:rsidRPr="00196B50">
        <w:rPr>
          <w:rFonts w:ascii="Book Antiqua" w:hAnsi="Book Antiqua"/>
        </w:rPr>
        <w:t xml:space="preserve">We are persuaded </w:t>
      </w:r>
      <w:r w:rsidR="00F94ADC" w:rsidRPr="00196B50">
        <w:rPr>
          <w:rFonts w:ascii="Book Antiqua" w:hAnsi="Book Antiqua"/>
        </w:rPr>
        <w:t>there is a</w:t>
      </w:r>
      <w:r w:rsidRPr="00196B50">
        <w:rPr>
          <w:rFonts w:ascii="Book Antiqua" w:hAnsi="Book Antiqua"/>
        </w:rPr>
        <w:t xml:space="preserve"> need to increase the residential minimum transportation charge and </w:t>
      </w:r>
      <w:r w:rsidR="001164FC" w:rsidRPr="00196B50">
        <w:rPr>
          <w:rFonts w:ascii="Book Antiqua" w:hAnsi="Book Antiqua"/>
        </w:rPr>
        <w:t>accept Cal Advocates’ recommendations to raise the current $3 a month residential minimum transportation charge to a marginal cost-based amount of $4 a month,</w:t>
      </w:r>
      <w:r w:rsidR="001164FC" w:rsidRPr="00431F1E">
        <w:rPr>
          <w:rStyle w:val="FootnoteReference"/>
          <w:rFonts w:ascii="Book Antiqua" w:hAnsi="Book Antiqua"/>
          <w:szCs w:val="26"/>
        </w:rPr>
        <w:footnoteReference w:id="112"/>
      </w:r>
      <w:r w:rsidR="001164FC" w:rsidRPr="00196B50">
        <w:rPr>
          <w:rFonts w:ascii="Book Antiqua" w:hAnsi="Book Antiqua"/>
        </w:rPr>
        <w:t xml:space="preserve"> and to establish a new super-peak minimum transportation charge (for non-CARE residential customers with daily peak usage of at least 15 therms) at $12 rather than the $45 proposed by PG&amp;E.  In accepting Cal Advocates’ recommendations, we are persuaded by Cal Advocates’ discussions of the various factors it considered in support of its recommendations as presented in Cal Advocates’ </w:t>
      </w:r>
      <w:r w:rsidR="00A35805" w:rsidRPr="00196B50">
        <w:rPr>
          <w:rFonts w:ascii="Book Antiqua" w:hAnsi="Book Antiqua"/>
        </w:rPr>
        <w:t>Opening B</w:t>
      </w:r>
      <w:r w:rsidR="001164FC" w:rsidRPr="00196B50">
        <w:rPr>
          <w:rFonts w:ascii="Book Antiqua" w:hAnsi="Book Antiqua"/>
        </w:rPr>
        <w:t xml:space="preserve">rief at 19-28.  </w:t>
      </w:r>
    </w:p>
    <w:p w14:paraId="391D563D" w14:textId="652CBBC8" w:rsidR="001164FC" w:rsidRPr="00196B50" w:rsidRDefault="001164FC" w:rsidP="00601A93">
      <w:pPr>
        <w:pStyle w:val="standard"/>
        <w:rPr>
          <w:rFonts w:ascii="Book Antiqua" w:eastAsia="Calibri" w:hAnsi="Book Antiqua"/>
        </w:rPr>
      </w:pPr>
      <w:r w:rsidRPr="00196B50">
        <w:rPr>
          <w:rFonts w:ascii="Book Antiqua" w:hAnsi="Book Antiqua" w:cs="Helvetica"/>
        </w:rPr>
        <w:t xml:space="preserve">As highlighted in </w:t>
      </w:r>
      <w:r w:rsidRPr="00196B50">
        <w:rPr>
          <w:rFonts w:ascii="Book Antiqua" w:hAnsi="Book Antiqua"/>
        </w:rPr>
        <w:t xml:space="preserve">Cal Advocates’ </w:t>
      </w:r>
      <w:r w:rsidR="005C6F04" w:rsidRPr="003D2091">
        <w:t>Opening Brief</w:t>
      </w:r>
      <w:r w:rsidRPr="00196B50">
        <w:rPr>
          <w:rFonts w:ascii="Book Antiqua" w:hAnsi="Book Antiqua"/>
        </w:rPr>
        <w:t xml:space="preserve">, </w:t>
      </w:r>
      <w:r w:rsidRPr="00196B50">
        <w:rPr>
          <w:rFonts w:ascii="Book Antiqua" w:hAnsi="Book Antiqua" w:cs="Helvetica"/>
        </w:rPr>
        <w:t xml:space="preserve">we note the discrepancies between </w:t>
      </w:r>
      <w:r w:rsidRPr="00196B50">
        <w:rPr>
          <w:rFonts w:ascii="Book Antiqua" w:eastAsia="Calibri" w:hAnsi="Book Antiqua"/>
        </w:rPr>
        <w:t xml:space="preserve">PG&amp;E’s calculation of the $16.14 total monthly average cost of serving </w:t>
      </w:r>
      <w:r w:rsidRPr="00196B50">
        <w:rPr>
          <w:rFonts w:ascii="Book Antiqua" w:eastAsia="Calibri" w:hAnsi="Book Antiqua"/>
        </w:rPr>
        <w:lastRenderedPageBreak/>
        <w:t>the applicable individually metered customers, and Cal Advocates’ calculation showing a different result of just $4.18.</w:t>
      </w:r>
      <w:r w:rsidRPr="00431F1E">
        <w:rPr>
          <w:rStyle w:val="FootnoteReference"/>
          <w:rFonts w:ascii="Book Antiqua" w:eastAsia="Calibri" w:hAnsi="Book Antiqua"/>
          <w:szCs w:val="26"/>
        </w:rPr>
        <w:footnoteReference w:id="113"/>
      </w:r>
    </w:p>
    <w:p w14:paraId="35823E06" w14:textId="5EB473D1" w:rsidR="001164FC" w:rsidRPr="00196B50" w:rsidRDefault="001164FC" w:rsidP="00601A93">
      <w:pPr>
        <w:pStyle w:val="standard"/>
        <w:rPr>
          <w:rFonts w:ascii="Book Antiqua" w:eastAsia="Calibri" w:hAnsi="Book Antiqua"/>
        </w:rPr>
      </w:pPr>
      <w:r w:rsidRPr="00196B50">
        <w:rPr>
          <w:rFonts w:ascii="Book Antiqua" w:eastAsia="Calibri" w:hAnsi="Book Antiqua"/>
        </w:rPr>
        <w:t xml:space="preserve">In addition, we note that PG&amp;E’s proposed </w:t>
      </w:r>
      <w:r w:rsidRPr="00196B50">
        <w:rPr>
          <w:rFonts w:ascii="Book Antiqua" w:hAnsi="Book Antiqua" w:cs="Helvetica"/>
        </w:rPr>
        <w:t xml:space="preserve">residential minimum transportation charge was based on </w:t>
      </w:r>
      <w:r w:rsidRPr="00196B50">
        <w:rPr>
          <w:rFonts w:ascii="Book Antiqua" w:eastAsia="Calibri" w:hAnsi="Book Antiqua"/>
        </w:rPr>
        <w:t xml:space="preserve">monthly customer costs to non-CARE residential customers </w:t>
      </w:r>
      <w:r w:rsidR="007E6A01" w:rsidRPr="00196B50">
        <w:rPr>
          <w:rFonts w:ascii="Book Antiqua" w:eastAsia="Calibri" w:hAnsi="Book Antiqua"/>
        </w:rPr>
        <w:t xml:space="preserve">using </w:t>
      </w:r>
      <w:r w:rsidRPr="00196B50">
        <w:rPr>
          <w:rFonts w:ascii="Book Antiqua" w:eastAsia="Calibri" w:hAnsi="Book Antiqua"/>
        </w:rPr>
        <w:t xml:space="preserve">PG&amp;E’s proposed embedded cost methodology, which is rejected in this decision.  If a marginal cost methodology were retained and adopted for cost allocation (as Cal Advocates recommends) and Cal Advocates’ DTIM-based MDCC cost estimate and the MCAC NCO cost estimate is adopted, the results of Cal Advocates’ calculations (in PG&amp;E’s Rate Model) indicate marginal customer costs </w:t>
      </w:r>
      <w:r w:rsidR="001C36F4" w:rsidRPr="00196B50">
        <w:rPr>
          <w:rFonts w:ascii="Book Antiqua" w:eastAsia="Calibri" w:hAnsi="Book Antiqua"/>
        </w:rPr>
        <w:t>of $4 a month</w:t>
      </w:r>
      <w:r w:rsidRPr="00196B50">
        <w:rPr>
          <w:rFonts w:ascii="Book Antiqua" w:eastAsia="Calibri" w:hAnsi="Book Antiqua"/>
        </w:rPr>
        <w:t>.</w:t>
      </w:r>
      <w:r w:rsidRPr="00196B50">
        <w:rPr>
          <w:rFonts w:ascii="Book Antiqua" w:hAnsi="Book Antiqua"/>
          <w:bCs/>
          <w:vertAlign w:val="superscript"/>
        </w:rPr>
        <w:footnoteReference w:id="114"/>
      </w:r>
      <w:r w:rsidRPr="00196B50">
        <w:rPr>
          <w:rFonts w:ascii="Book Antiqua" w:eastAsia="Calibri" w:hAnsi="Book Antiqua"/>
        </w:rPr>
        <w:t xml:space="preserve">  The exact amount shown in the Rate Model is $4.58 a month per non-CARE residential customer.</w:t>
      </w:r>
      <w:r w:rsidRPr="00196B50">
        <w:rPr>
          <w:rFonts w:ascii="Book Antiqua" w:hAnsi="Book Antiqua"/>
          <w:bCs/>
          <w:vertAlign w:val="superscript"/>
        </w:rPr>
        <w:footnoteReference w:id="115"/>
      </w:r>
      <w:r w:rsidRPr="00196B50">
        <w:rPr>
          <w:rFonts w:ascii="Book Antiqua" w:eastAsia="Calibri" w:hAnsi="Book Antiqua"/>
        </w:rPr>
        <w:t xml:space="preserve"> Accordingly, we accept Cal Advocates conclusions as provided above, as further supported </w:t>
      </w:r>
      <w:r w:rsidRPr="00196B50">
        <w:rPr>
          <w:rFonts w:ascii="Book Antiqua" w:hAnsi="Book Antiqua"/>
        </w:rPr>
        <w:t xml:space="preserve">on pages 20-23 of Cal Advocates’ </w:t>
      </w:r>
      <w:r w:rsidR="00A35805" w:rsidRPr="00196B50">
        <w:rPr>
          <w:rFonts w:ascii="Book Antiqua" w:hAnsi="Book Antiqua"/>
        </w:rPr>
        <w:t>Opening B</w:t>
      </w:r>
      <w:r w:rsidRPr="00196B50">
        <w:rPr>
          <w:rFonts w:ascii="Book Antiqua" w:hAnsi="Book Antiqua"/>
        </w:rPr>
        <w:t>rief.</w:t>
      </w:r>
    </w:p>
    <w:p w14:paraId="60923A2E" w14:textId="6DA832C8" w:rsidR="001164FC" w:rsidRPr="00196B50" w:rsidRDefault="00753D36" w:rsidP="00601A93">
      <w:pPr>
        <w:pStyle w:val="standard"/>
        <w:rPr>
          <w:rFonts w:ascii="Book Antiqua" w:hAnsi="Book Antiqua"/>
        </w:rPr>
      </w:pPr>
      <w:r w:rsidRPr="00196B50">
        <w:rPr>
          <w:rFonts w:ascii="Book Antiqua" w:eastAsia="Calibri" w:hAnsi="Book Antiqua"/>
        </w:rPr>
        <w:t xml:space="preserve">Regarding the </w:t>
      </w:r>
      <w:r w:rsidRPr="00196B50">
        <w:rPr>
          <w:rFonts w:ascii="Book Antiqua" w:hAnsi="Book Antiqua"/>
        </w:rPr>
        <w:t xml:space="preserve">Super-User </w:t>
      </w:r>
      <w:r w:rsidR="00132E0D" w:rsidRPr="00196B50">
        <w:rPr>
          <w:rFonts w:ascii="Book Antiqua" w:hAnsi="Book Antiqua"/>
        </w:rPr>
        <w:t>charge</w:t>
      </w:r>
      <w:r w:rsidR="007E6A01" w:rsidRPr="00196B50">
        <w:rPr>
          <w:rFonts w:ascii="Book Antiqua" w:hAnsi="Book Antiqua"/>
        </w:rPr>
        <w:t xml:space="preserve"> </w:t>
      </w:r>
      <w:r w:rsidRPr="00196B50">
        <w:rPr>
          <w:rFonts w:ascii="Book Antiqua" w:eastAsia="Calibri" w:hAnsi="Book Antiqua"/>
        </w:rPr>
        <w:t>proposed by PG&amp;E</w:t>
      </w:r>
      <w:r w:rsidRPr="00196B50">
        <w:rPr>
          <w:rFonts w:ascii="Book Antiqua" w:hAnsi="Book Antiqua"/>
        </w:rPr>
        <w:t>, a minimum transportation charge of $45 for non-CARE residential customers with daily peak usage of at least 15 therms</w:t>
      </w:r>
      <w:r w:rsidR="007E6A01" w:rsidRPr="00196B50">
        <w:rPr>
          <w:rFonts w:ascii="Book Antiqua" w:hAnsi="Book Antiqua"/>
        </w:rPr>
        <w:t xml:space="preserve"> </w:t>
      </w:r>
      <w:r w:rsidRPr="00196B50">
        <w:rPr>
          <w:rFonts w:ascii="Book Antiqua" w:hAnsi="Book Antiqua"/>
          <w:color w:val="000000"/>
        </w:rPr>
        <w:t>would be implemented on the top 2-3 percent of non-CARE residential customers</w:t>
      </w:r>
      <w:r w:rsidR="005C7BAB" w:rsidRPr="00196B50">
        <w:rPr>
          <w:rFonts w:ascii="Book Antiqua" w:hAnsi="Book Antiqua"/>
          <w:color w:val="000000"/>
        </w:rPr>
        <w:t xml:space="preserve">.  These are customers whose </w:t>
      </w:r>
      <w:r w:rsidRPr="00196B50">
        <w:rPr>
          <w:rFonts w:ascii="Book Antiqua" w:hAnsi="Book Antiqua"/>
        </w:rPr>
        <w:t>daily usage in the last 12 months is at least 15 therms a day,</w:t>
      </w:r>
      <w:r w:rsidRPr="00FF3221">
        <w:rPr>
          <w:rStyle w:val="FootnoteReference"/>
          <w:rFonts w:ascii="Book Antiqua" w:hAnsi="Book Antiqua"/>
          <w:szCs w:val="26"/>
        </w:rPr>
        <w:footnoteReference w:id="116"/>
      </w:r>
      <w:r w:rsidRPr="00196B50">
        <w:rPr>
          <w:rFonts w:ascii="Book Antiqua" w:hAnsi="Book Antiqua"/>
        </w:rPr>
        <w:t xml:space="preserve">and thus </w:t>
      </w:r>
      <w:r w:rsidRPr="00196B50">
        <w:rPr>
          <w:rFonts w:ascii="Book Antiqua" w:hAnsi="Book Antiqua"/>
          <w:color w:val="000000"/>
        </w:rPr>
        <w:t>whose usage requires more expensive commercial-sized regulators and meters.</w:t>
      </w:r>
      <w:r w:rsidRPr="00FF3221">
        <w:rPr>
          <w:rStyle w:val="FootnoteReference"/>
          <w:rFonts w:ascii="Book Antiqua" w:hAnsi="Book Antiqua"/>
          <w:color w:val="000000"/>
          <w:szCs w:val="26"/>
        </w:rPr>
        <w:footnoteReference w:id="117"/>
      </w:r>
      <w:r w:rsidR="007E6A01" w:rsidRPr="00196B50">
        <w:rPr>
          <w:rFonts w:ascii="Book Antiqua" w:hAnsi="Book Antiqua"/>
          <w:color w:val="000000"/>
        </w:rPr>
        <w:t xml:space="preserve"> </w:t>
      </w:r>
      <w:r w:rsidR="001164FC" w:rsidRPr="00196B50">
        <w:rPr>
          <w:rFonts w:ascii="Book Antiqua" w:hAnsi="Book Antiqua"/>
        </w:rPr>
        <w:t xml:space="preserve">The Super-User </w:t>
      </w:r>
      <w:r w:rsidR="00132E0D" w:rsidRPr="00196B50">
        <w:rPr>
          <w:rFonts w:ascii="Book Antiqua" w:hAnsi="Book Antiqua"/>
        </w:rPr>
        <w:t>charge</w:t>
      </w:r>
      <w:r w:rsidR="001164FC" w:rsidRPr="00196B50">
        <w:rPr>
          <w:rFonts w:ascii="Book Antiqua" w:hAnsi="Book Antiqua"/>
        </w:rPr>
        <w:t xml:space="preserve"> </w:t>
      </w:r>
      <w:r w:rsidR="001164FC" w:rsidRPr="00196B50">
        <w:rPr>
          <w:rFonts w:ascii="Book Antiqua" w:hAnsi="Book Antiqua"/>
        </w:rPr>
        <w:lastRenderedPageBreak/>
        <w:t>would not apply to master metered residential customer</w:t>
      </w:r>
      <w:r w:rsidR="007E6A01" w:rsidRPr="00196B50">
        <w:rPr>
          <w:rFonts w:ascii="Book Antiqua" w:hAnsi="Book Antiqua"/>
        </w:rPr>
        <w:t>s</w:t>
      </w:r>
      <w:r w:rsidR="001164FC" w:rsidRPr="00196B50">
        <w:rPr>
          <w:rFonts w:ascii="Book Antiqua" w:hAnsi="Book Antiqua"/>
        </w:rPr>
        <w:t>, but only to individually metered residential customer</w:t>
      </w:r>
      <w:r w:rsidR="007E6A01" w:rsidRPr="00196B50">
        <w:rPr>
          <w:rFonts w:ascii="Book Antiqua" w:hAnsi="Book Antiqua"/>
        </w:rPr>
        <w:t>s</w:t>
      </w:r>
      <w:r w:rsidR="001164FC" w:rsidRPr="00196B50">
        <w:rPr>
          <w:rFonts w:ascii="Book Antiqua" w:hAnsi="Book Antiqua"/>
        </w:rPr>
        <w:t>.</w:t>
      </w:r>
      <w:r w:rsidR="001164FC" w:rsidRPr="00431F1E">
        <w:rPr>
          <w:rStyle w:val="FootnoteReference"/>
          <w:rFonts w:ascii="Book Antiqua" w:hAnsi="Book Antiqua"/>
          <w:szCs w:val="26"/>
        </w:rPr>
        <w:footnoteReference w:id="118"/>
      </w:r>
    </w:p>
    <w:p w14:paraId="64CED3EB" w14:textId="50023711" w:rsidR="001164FC" w:rsidRPr="00196B50" w:rsidRDefault="001164FC" w:rsidP="006D704F">
      <w:pPr>
        <w:pStyle w:val="standard"/>
        <w:rPr>
          <w:rFonts w:ascii="Book Antiqua" w:hAnsi="Book Antiqua"/>
        </w:rPr>
      </w:pPr>
      <w:r w:rsidRPr="00196B50">
        <w:rPr>
          <w:rFonts w:ascii="Book Antiqua" w:eastAsia="Calibri" w:hAnsi="Book Antiqua"/>
        </w:rPr>
        <w:t xml:space="preserve">As noted above, </w:t>
      </w:r>
      <w:r w:rsidRPr="00196B50">
        <w:rPr>
          <w:rFonts w:ascii="Book Antiqua" w:hAnsi="Book Antiqua"/>
          <w:color w:val="000000"/>
        </w:rPr>
        <w:t xml:space="preserve">Cal Advocates </w:t>
      </w:r>
      <w:r w:rsidRPr="00196B50">
        <w:rPr>
          <w:rFonts w:ascii="Book Antiqua" w:hAnsi="Book Antiqua"/>
        </w:rPr>
        <w:t xml:space="preserve">disagrees with the $45 amount of PG&amp;E’s proposed Super-User and argues instead that the Commission </w:t>
      </w:r>
      <w:r w:rsidR="007E241C" w:rsidRPr="00196B50">
        <w:rPr>
          <w:rFonts w:ascii="Book Antiqua" w:hAnsi="Book Antiqua"/>
        </w:rPr>
        <w:t>adopts</w:t>
      </w:r>
      <w:r w:rsidRPr="00196B50">
        <w:rPr>
          <w:rFonts w:ascii="Book Antiqua" w:hAnsi="Book Antiqua"/>
        </w:rPr>
        <w:t xml:space="preserve"> its proposed $12 Super-User </w:t>
      </w:r>
      <w:r w:rsidR="00132E0D" w:rsidRPr="00196B50">
        <w:rPr>
          <w:rFonts w:ascii="Book Antiqua" w:hAnsi="Book Antiqua"/>
        </w:rPr>
        <w:t>charge</w:t>
      </w:r>
      <w:r w:rsidRPr="00196B50">
        <w:rPr>
          <w:rFonts w:ascii="Book Antiqua" w:hAnsi="Book Antiqua"/>
        </w:rPr>
        <w:t xml:space="preserve">.  </w:t>
      </w:r>
      <w:r w:rsidRPr="00196B50">
        <w:rPr>
          <w:rFonts w:ascii="Book Antiqua" w:eastAsia="Calibri" w:hAnsi="Book Antiqua"/>
        </w:rPr>
        <w:t xml:space="preserve">We </w:t>
      </w:r>
      <w:r w:rsidR="00B47B67">
        <w:rPr>
          <w:rFonts w:ascii="Book Antiqua" w:eastAsia="Calibri" w:hAnsi="Book Antiqua"/>
        </w:rPr>
        <w:t>are persuaded by</w:t>
      </w:r>
      <w:r w:rsidR="00B47B67" w:rsidRPr="00196B50">
        <w:rPr>
          <w:rFonts w:ascii="Book Antiqua" w:eastAsia="Calibri" w:hAnsi="Book Antiqua"/>
        </w:rPr>
        <w:t xml:space="preserve"> </w:t>
      </w:r>
      <w:r w:rsidRPr="00196B50">
        <w:rPr>
          <w:rFonts w:ascii="Book Antiqua" w:eastAsia="Calibri" w:hAnsi="Book Antiqua"/>
        </w:rPr>
        <w:t>Cal Advocates propos</w:t>
      </w:r>
      <w:r w:rsidR="00B47B67">
        <w:rPr>
          <w:rFonts w:ascii="Book Antiqua" w:eastAsia="Calibri" w:hAnsi="Book Antiqua"/>
        </w:rPr>
        <w:t xml:space="preserve">al to establish a </w:t>
      </w:r>
      <w:r w:rsidRPr="00196B50">
        <w:rPr>
          <w:rFonts w:ascii="Book Antiqua" w:eastAsia="Calibri" w:hAnsi="Book Antiqua"/>
        </w:rPr>
        <w:t xml:space="preserve">$12 </w:t>
      </w:r>
      <w:r w:rsidRPr="00196B50">
        <w:rPr>
          <w:rFonts w:ascii="Book Antiqua" w:hAnsi="Book Antiqua"/>
        </w:rPr>
        <w:t xml:space="preserve">Super-User </w:t>
      </w:r>
      <w:r w:rsidRPr="00196B50">
        <w:rPr>
          <w:rFonts w:ascii="Book Antiqua" w:hAnsi="Book Antiqua" w:cs="Helvetica"/>
        </w:rPr>
        <w:t>minimum transportation charge</w:t>
      </w:r>
      <w:r w:rsidR="007E241C" w:rsidRPr="00196B50">
        <w:rPr>
          <w:rFonts w:ascii="Book Antiqua" w:hAnsi="Book Antiqua" w:cs="Helvetica"/>
        </w:rPr>
        <w:t>.</w:t>
      </w:r>
    </w:p>
    <w:p w14:paraId="6DA4DD13" w14:textId="4C394E69" w:rsidR="001164FC" w:rsidRPr="00196B50" w:rsidRDefault="001164FC" w:rsidP="006D704F">
      <w:pPr>
        <w:pStyle w:val="standard"/>
        <w:rPr>
          <w:rFonts w:ascii="Book Antiqua" w:hAnsi="Book Antiqua"/>
        </w:rPr>
      </w:pPr>
      <w:r w:rsidRPr="00196B50">
        <w:rPr>
          <w:rFonts w:ascii="Book Antiqua" w:eastAsia="Calibri" w:hAnsi="Book Antiqua"/>
        </w:rPr>
        <w:t xml:space="preserve">Based on this record, we agree that a </w:t>
      </w:r>
      <w:r w:rsidR="00586B48" w:rsidRPr="00196B50">
        <w:rPr>
          <w:rFonts w:ascii="Book Antiqua" w:hAnsi="Book Antiqua"/>
        </w:rPr>
        <w:t>new</w:t>
      </w:r>
      <w:r w:rsidR="00A35805" w:rsidRPr="00196B50">
        <w:rPr>
          <w:rFonts w:ascii="Book Antiqua" w:hAnsi="Book Antiqua"/>
        </w:rPr>
        <w:t xml:space="preserve"> </w:t>
      </w:r>
      <w:r w:rsidR="0004697C" w:rsidRPr="00196B50">
        <w:rPr>
          <w:rFonts w:ascii="Book Antiqua" w:hAnsi="Book Antiqua"/>
        </w:rPr>
        <w:t xml:space="preserve">higher </w:t>
      </w:r>
      <w:r w:rsidRPr="00196B50">
        <w:rPr>
          <w:rFonts w:ascii="Book Antiqua" w:hAnsi="Book Antiqua"/>
        </w:rPr>
        <w:t>Super-User charge is consistent with the state’s environmental goals, and could be a deterrent to high energy consumption.</w:t>
      </w:r>
      <w:r w:rsidRPr="00431F1E">
        <w:rPr>
          <w:rStyle w:val="FootnoteReference"/>
          <w:rFonts w:ascii="Book Antiqua" w:hAnsi="Book Antiqua"/>
          <w:szCs w:val="26"/>
        </w:rPr>
        <w:footnoteReference w:id="119"/>
      </w:r>
      <w:r w:rsidR="00A35805" w:rsidRPr="00196B50">
        <w:rPr>
          <w:rFonts w:ascii="Book Antiqua" w:hAnsi="Book Antiqua"/>
        </w:rPr>
        <w:t xml:space="preserve"> </w:t>
      </w:r>
      <w:r w:rsidR="0004697C" w:rsidRPr="00196B50">
        <w:rPr>
          <w:rFonts w:ascii="Book Antiqua" w:hAnsi="Book Antiqua"/>
        </w:rPr>
        <w:t>However, in this record, we also find that a</w:t>
      </w:r>
      <w:r w:rsidR="00656B80" w:rsidRPr="00196B50">
        <w:rPr>
          <w:rFonts w:ascii="Book Antiqua" w:hAnsi="Book Antiqua"/>
        </w:rPr>
        <w:t>n</w:t>
      </w:r>
      <w:r w:rsidR="00A35805" w:rsidRPr="00196B50">
        <w:rPr>
          <w:rFonts w:ascii="Book Antiqua" w:hAnsi="Book Antiqua"/>
        </w:rPr>
        <w:t xml:space="preserve"> </w:t>
      </w:r>
      <w:r w:rsidR="0004697C" w:rsidRPr="00196B50">
        <w:rPr>
          <w:rFonts w:ascii="Book Antiqua" w:hAnsi="Book Antiqua"/>
        </w:rPr>
        <w:t xml:space="preserve">initial Super-User charge of $45 is very steep and sudden, and is without warning to consumers.  Thus, </w:t>
      </w:r>
      <w:r w:rsidR="00656B80" w:rsidRPr="00196B50">
        <w:rPr>
          <w:rFonts w:ascii="Book Antiqua" w:hAnsi="Book Antiqua"/>
        </w:rPr>
        <w:t xml:space="preserve">we conclude that the proposed $45 Super-User charge </w:t>
      </w:r>
      <w:r w:rsidR="0004697C" w:rsidRPr="00196B50">
        <w:rPr>
          <w:rFonts w:ascii="Book Antiqua" w:hAnsi="Book Antiqua"/>
        </w:rPr>
        <w:t xml:space="preserve">could be disruptive to many customers who may not be prepared for </w:t>
      </w:r>
      <w:r w:rsidR="00656B80" w:rsidRPr="00196B50">
        <w:rPr>
          <w:rFonts w:ascii="Book Antiqua" w:hAnsi="Book Antiqua"/>
        </w:rPr>
        <w:t>a</w:t>
      </w:r>
      <w:r w:rsidR="00A35805" w:rsidRPr="00196B50">
        <w:rPr>
          <w:rFonts w:ascii="Book Antiqua" w:hAnsi="Book Antiqua"/>
        </w:rPr>
        <w:t xml:space="preserve"> </w:t>
      </w:r>
      <w:r w:rsidR="0004697C" w:rsidRPr="00196B50">
        <w:rPr>
          <w:rFonts w:ascii="Book Antiqua" w:hAnsi="Book Antiqua"/>
        </w:rPr>
        <w:t>high</w:t>
      </w:r>
      <w:r w:rsidR="00A35805" w:rsidRPr="00196B50">
        <w:rPr>
          <w:rFonts w:ascii="Book Antiqua" w:hAnsi="Book Antiqua"/>
        </w:rPr>
        <w:t xml:space="preserve"> </w:t>
      </w:r>
      <w:r w:rsidR="00656B80" w:rsidRPr="00196B50">
        <w:rPr>
          <w:rFonts w:ascii="Book Antiqua" w:hAnsi="Book Antiqua"/>
        </w:rPr>
        <w:t xml:space="preserve">initial </w:t>
      </w:r>
      <w:r w:rsidR="0004697C" w:rsidRPr="00196B50">
        <w:rPr>
          <w:rFonts w:ascii="Book Antiqua" w:hAnsi="Book Antiqua"/>
        </w:rPr>
        <w:t>Super-User charge</w:t>
      </w:r>
      <w:r w:rsidRPr="00196B50">
        <w:rPr>
          <w:rFonts w:ascii="Book Antiqua" w:hAnsi="Book Antiqua"/>
        </w:rPr>
        <w:t>.</w:t>
      </w:r>
      <w:r w:rsidRPr="00431F1E">
        <w:rPr>
          <w:rStyle w:val="FootnoteReference"/>
          <w:rFonts w:ascii="Book Antiqua" w:hAnsi="Book Antiqua"/>
          <w:szCs w:val="26"/>
        </w:rPr>
        <w:footnoteReference w:id="120"/>
      </w:r>
      <w:r w:rsidRPr="00196B50">
        <w:rPr>
          <w:rFonts w:ascii="Book Antiqua" w:hAnsi="Book Antiqua"/>
        </w:rPr>
        <w:t xml:space="preserve"> Accordingly, we accept</w:t>
      </w:r>
      <w:r w:rsidR="00432193" w:rsidRPr="00196B50">
        <w:rPr>
          <w:rFonts w:ascii="Book Antiqua" w:hAnsi="Book Antiqua"/>
        </w:rPr>
        <w:t xml:space="preserve"> </w:t>
      </w:r>
      <w:r w:rsidRPr="00196B50">
        <w:rPr>
          <w:rFonts w:ascii="Book Antiqua" w:hAnsi="Book Antiqua"/>
        </w:rPr>
        <w:t xml:space="preserve">Cal Advocates’ recommendation that the amount of the new Super-User </w:t>
      </w:r>
      <w:r w:rsidR="00132E0D" w:rsidRPr="00196B50">
        <w:rPr>
          <w:rFonts w:ascii="Book Antiqua" w:hAnsi="Book Antiqua"/>
        </w:rPr>
        <w:t>charge</w:t>
      </w:r>
      <w:r w:rsidRPr="00196B50">
        <w:rPr>
          <w:rFonts w:ascii="Book Antiqua" w:hAnsi="Book Antiqua"/>
        </w:rPr>
        <w:t xml:space="preserve"> be set at a more reasonable marginal cost-based rate of $12 a month.</w:t>
      </w:r>
      <w:r w:rsidRPr="00431F1E">
        <w:rPr>
          <w:rStyle w:val="FootnoteReference"/>
          <w:rFonts w:ascii="Book Antiqua" w:hAnsi="Book Antiqua"/>
          <w:szCs w:val="26"/>
        </w:rPr>
        <w:footnoteReference w:id="121"/>
      </w:r>
      <w:r w:rsidRPr="00196B50">
        <w:rPr>
          <w:rFonts w:ascii="Book Antiqua" w:hAnsi="Book Antiqua"/>
        </w:rPr>
        <w:t xml:space="preserve"> </w:t>
      </w:r>
      <w:r w:rsidR="00B47B67">
        <w:rPr>
          <w:rFonts w:ascii="Book Antiqua" w:hAnsi="Book Antiqua"/>
        </w:rPr>
        <w:t xml:space="preserve"> </w:t>
      </w:r>
      <w:r w:rsidRPr="00196B50">
        <w:rPr>
          <w:rFonts w:ascii="Book Antiqua" w:hAnsi="Book Antiqua"/>
        </w:rPr>
        <w:t xml:space="preserve">As recommended by Cal Advocates, </w:t>
      </w:r>
      <w:r w:rsidR="00B47B67">
        <w:rPr>
          <w:rFonts w:ascii="Book Antiqua" w:hAnsi="Book Antiqua"/>
        </w:rPr>
        <w:t xml:space="preserve">we further conclude that </w:t>
      </w:r>
      <w:r w:rsidRPr="00196B50">
        <w:rPr>
          <w:rFonts w:ascii="Book Antiqua" w:hAnsi="Book Antiqua"/>
        </w:rPr>
        <w:t xml:space="preserve">PG&amp;E </w:t>
      </w:r>
      <w:r w:rsidR="00B47B67">
        <w:rPr>
          <w:rFonts w:ascii="Book Antiqua" w:hAnsi="Book Antiqua"/>
        </w:rPr>
        <w:t>should</w:t>
      </w:r>
      <w:r w:rsidR="00B47B67" w:rsidRPr="00196B50">
        <w:rPr>
          <w:rFonts w:ascii="Book Antiqua" w:hAnsi="Book Antiqua"/>
        </w:rPr>
        <w:t xml:space="preserve"> </w:t>
      </w:r>
      <w:r w:rsidRPr="00196B50">
        <w:rPr>
          <w:rFonts w:ascii="Book Antiqua" w:hAnsi="Book Antiqua"/>
        </w:rPr>
        <w:t xml:space="preserve">be required to establish and maintain a list of customers identified as </w:t>
      </w:r>
      <w:r w:rsidR="00432193" w:rsidRPr="00196B50">
        <w:rPr>
          <w:rFonts w:ascii="Book Antiqua" w:hAnsi="Book Antiqua"/>
        </w:rPr>
        <w:t>top-tier</w:t>
      </w:r>
      <w:r w:rsidRPr="00196B50">
        <w:rPr>
          <w:rFonts w:ascii="Book Antiqua" w:hAnsi="Book Antiqua"/>
        </w:rPr>
        <w:t xml:space="preserve"> users; periodically revisit the list of those customers;</w:t>
      </w:r>
      <w:r w:rsidRPr="00431F1E">
        <w:rPr>
          <w:rStyle w:val="FootnoteReference"/>
          <w:rFonts w:ascii="Book Antiqua" w:hAnsi="Book Antiqua"/>
          <w:szCs w:val="26"/>
        </w:rPr>
        <w:footnoteReference w:id="122"/>
      </w:r>
      <w:r w:rsidRPr="00196B50">
        <w:rPr>
          <w:rFonts w:ascii="Book Antiqua" w:hAnsi="Book Antiqua"/>
        </w:rPr>
        <w:t xml:space="preserve"> and develop criteria for removing customers from the </w:t>
      </w:r>
      <w:r w:rsidR="00432193" w:rsidRPr="00196B50">
        <w:rPr>
          <w:rFonts w:ascii="Book Antiqua" w:hAnsi="Book Antiqua"/>
        </w:rPr>
        <w:t xml:space="preserve">top-tier </w:t>
      </w:r>
      <w:r w:rsidRPr="00196B50">
        <w:rPr>
          <w:rFonts w:ascii="Book Antiqua" w:hAnsi="Book Antiqua"/>
        </w:rPr>
        <w:t xml:space="preserve">users </w:t>
      </w:r>
      <w:r w:rsidRPr="00196B50">
        <w:rPr>
          <w:rFonts w:ascii="Book Antiqua" w:hAnsi="Book Antiqua"/>
        </w:rPr>
        <w:lastRenderedPageBreak/>
        <w:t>list so as to avoid ongoing Super User charges for customers who no longer meet the criteria for the charge</w:t>
      </w:r>
      <w:r w:rsidR="00B47B67">
        <w:rPr>
          <w:rFonts w:ascii="Book Antiqua" w:hAnsi="Book Antiqua"/>
        </w:rPr>
        <w:t>,</w:t>
      </w:r>
      <w:r w:rsidRPr="00431F1E">
        <w:rPr>
          <w:rStyle w:val="FootnoteReference"/>
          <w:rFonts w:ascii="Book Antiqua" w:hAnsi="Book Antiqua"/>
          <w:szCs w:val="26"/>
        </w:rPr>
        <w:footnoteReference w:id="123"/>
      </w:r>
      <w:r w:rsidR="00B47B67">
        <w:rPr>
          <w:rFonts w:ascii="Book Antiqua" w:hAnsi="Book Antiqua"/>
        </w:rPr>
        <w:t xml:space="preserve"> in implementing the </w:t>
      </w:r>
      <w:r w:rsidR="00B47B67" w:rsidRPr="00196B50">
        <w:rPr>
          <w:rFonts w:ascii="Book Antiqua" w:hAnsi="Book Antiqua"/>
        </w:rPr>
        <w:t>Super-User charge</w:t>
      </w:r>
      <w:r w:rsidR="00B47B67">
        <w:rPr>
          <w:rFonts w:ascii="Book Antiqua" w:hAnsi="Book Antiqua"/>
        </w:rPr>
        <w:t>.</w:t>
      </w:r>
    </w:p>
    <w:p w14:paraId="391B0034" w14:textId="77777777" w:rsidR="00C354A9" w:rsidRDefault="001164FC" w:rsidP="006D704F">
      <w:pPr>
        <w:pStyle w:val="standard"/>
        <w:rPr>
          <w:rFonts w:ascii="Book Antiqua" w:hAnsi="Book Antiqua"/>
        </w:rPr>
      </w:pPr>
      <w:r w:rsidRPr="00196B50">
        <w:rPr>
          <w:rFonts w:ascii="Book Antiqua" w:hAnsi="Book Antiqua"/>
        </w:rPr>
        <w:t xml:space="preserve">For the forgoing reasons, PG&amp;E proposals in this GCAP Application to increase the residential minimum transportation charges from the current $3 to $15 dollars per month for non-CARE customer basic service; and </w:t>
      </w:r>
      <w:r w:rsidR="00684215" w:rsidRPr="00196B50">
        <w:rPr>
          <w:rFonts w:ascii="Book Antiqua" w:hAnsi="Book Antiqua"/>
        </w:rPr>
        <w:t xml:space="preserve">to </w:t>
      </w:r>
      <w:r w:rsidRPr="00196B50">
        <w:rPr>
          <w:rFonts w:ascii="Book Antiqua" w:hAnsi="Book Antiqua"/>
        </w:rPr>
        <w:t xml:space="preserve">establish a higher super-peak minimum transportation charge of $45 for non-CARE residential customers are denied.  PG&amp;E shall implement a $4 residential minimum transportation </w:t>
      </w:r>
      <w:r w:rsidR="00DA75EB" w:rsidRPr="00196B50">
        <w:rPr>
          <w:rFonts w:ascii="Book Antiqua" w:hAnsi="Book Antiqua"/>
        </w:rPr>
        <w:t>charge</w:t>
      </w:r>
      <w:r w:rsidR="00B47B67">
        <w:rPr>
          <w:rFonts w:ascii="Book Antiqua" w:hAnsi="Book Antiqua"/>
        </w:rPr>
        <w:t>;</w:t>
      </w:r>
      <w:r w:rsidR="002C15AD" w:rsidRPr="00196B50">
        <w:rPr>
          <w:rFonts w:ascii="Book Antiqua" w:hAnsi="Book Antiqua"/>
        </w:rPr>
        <w:t xml:space="preserve"> </w:t>
      </w:r>
      <w:r w:rsidRPr="00196B50">
        <w:rPr>
          <w:rFonts w:ascii="Book Antiqua" w:hAnsi="Book Antiqua"/>
        </w:rPr>
        <w:t xml:space="preserve">and </w:t>
      </w:r>
      <w:r w:rsidR="00B47B67">
        <w:rPr>
          <w:rFonts w:ascii="Book Antiqua" w:hAnsi="Book Antiqua"/>
        </w:rPr>
        <w:t xml:space="preserve">could </w:t>
      </w:r>
      <w:r w:rsidRPr="00196B50">
        <w:rPr>
          <w:rFonts w:ascii="Book Antiqua" w:hAnsi="Book Antiqua"/>
        </w:rPr>
        <w:t xml:space="preserve">establish a higher super-peak minimum transportation charge </w:t>
      </w:r>
      <w:r w:rsidR="005C55CF" w:rsidRPr="00196B50">
        <w:rPr>
          <w:rFonts w:ascii="Book Antiqua" w:hAnsi="Book Antiqua"/>
        </w:rPr>
        <w:t xml:space="preserve">(Super User charge) </w:t>
      </w:r>
      <w:r w:rsidRPr="00196B50">
        <w:rPr>
          <w:rFonts w:ascii="Book Antiqua" w:hAnsi="Book Antiqua"/>
        </w:rPr>
        <w:t xml:space="preserve">of $12 for non-CARE residential customers with daily peak usage of at least 15 therms, as discussed above and authorized herein. </w:t>
      </w:r>
    </w:p>
    <w:p w14:paraId="68C201A9" w14:textId="5BE394D8" w:rsidR="00746266" w:rsidRPr="00196B50" w:rsidRDefault="00B47B67" w:rsidP="006D704F">
      <w:pPr>
        <w:pStyle w:val="standard"/>
        <w:rPr>
          <w:rFonts w:ascii="Book Antiqua" w:hAnsi="Book Antiqua"/>
        </w:rPr>
      </w:pPr>
      <w:r>
        <w:rPr>
          <w:rFonts w:ascii="Book Antiqua" w:hAnsi="Book Antiqua"/>
        </w:rPr>
        <w:t xml:space="preserve">Nonetheless, in its comments to the proposed decision, PG&amp;E requested that </w:t>
      </w:r>
      <w:r w:rsidR="00C354A9">
        <w:rPr>
          <w:rFonts w:ascii="Book Antiqua" w:hAnsi="Book Antiqua"/>
        </w:rPr>
        <w:t xml:space="preserve">the $12 </w:t>
      </w:r>
      <w:r w:rsidR="00C354A9" w:rsidRPr="00196B50">
        <w:rPr>
          <w:rFonts w:ascii="Book Antiqua" w:hAnsi="Book Antiqua"/>
        </w:rPr>
        <w:t>Super-User charge</w:t>
      </w:r>
      <w:r w:rsidR="00C354A9">
        <w:rPr>
          <w:rFonts w:ascii="Book Antiqua" w:hAnsi="Book Antiqua"/>
        </w:rPr>
        <w:t xml:space="preserve"> should not be authorized for implementation at this time.  We accept PG&amp;E’s recommendation, and the $12 </w:t>
      </w:r>
      <w:r w:rsidR="00C354A9" w:rsidRPr="00196B50">
        <w:rPr>
          <w:rFonts w:ascii="Book Antiqua" w:hAnsi="Book Antiqua"/>
        </w:rPr>
        <w:t>Super-User charge</w:t>
      </w:r>
      <w:r w:rsidR="00C354A9">
        <w:rPr>
          <w:rFonts w:ascii="Book Antiqua" w:hAnsi="Book Antiqua"/>
        </w:rPr>
        <w:t xml:space="preserve"> is not authorized in this decision.  </w:t>
      </w:r>
    </w:p>
    <w:p w14:paraId="5D80E828" w14:textId="77777777" w:rsidR="00B30C1D" w:rsidRPr="00196B50" w:rsidRDefault="00B42435" w:rsidP="00F76951">
      <w:pPr>
        <w:pStyle w:val="num1"/>
        <w:widowControl w:val="0"/>
        <w:numPr>
          <w:ilvl w:val="0"/>
          <w:numId w:val="0"/>
        </w:numPr>
        <w:tabs>
          <w:tab w:val="left" w:pos="720"/>
        </w:tabs>
        <w:spacing w:after="120"/>
        <w:ind w:right="1440"/>
        <w:rPr>
          <w:rFonts w:ascii="Book Antiqua" w:hAnsi="Book Antiqua"/>
        </w:rPr>
      </w:pPr>
      <w:r w:rsidRPr="00196B50">
        <w:rPr>
          <w:rFonts w:ascii="Book Antiqua" w:hAnsi="Book Antiqua"/>
        </w:rPr>
        <w:tab/>
      </w:r>
      <w:bookmarkStart w:id="58" w:name="_Hlk13665382"/>
      <w:r w:rsidRPr="00196B50">
        <w:rPr>
          <w:rFonts w:ascii="Book Antiqua" w:hAnsi="Book Antiqua"/>
        </w:rPr>
        <w:t xml:space="preserve">As noted earlier, we recognize the </w:t>
      </w:r>
      <w:r w:rsidR="006C1D71" w:rsidRPr="00196B50">
        <w:rPr>
          <w:rFonts w:ascii="Book Antiqua" w:hAnsi="Book Antiqua"/>
        </w:rPr>
        <w:t xml:space="preserve">potential </w:t>
      </w:r>
      <w:r w:rsidRPr="00196B50">
        <w:rPr>
          <w:rFonts w:ascii="Book Antiqua" w:hAnsi="Book Antiqua"/>
        </w:rPr>
        <w:t xml:space="preserve">merits of establishing a residential minimum transportation charge.   With gas utility capital infrastructure cost rising and throughput declining, the Commission </w:t>
      </w:r>
      <w:r w:rsidR="006C1D71" w:rsidRPr="00196B50">
        <w:rPr>
          <w:rFonts w:ascii="Book Antiqua" w:hAnsi="Book Antiqua"/>
        </w:rPr>
        <w:t>may, at some point in the future,</w:t>
      </w:r>
      <w:r w:rsidRPr="00196B50">
        <w:rPr>
          <w:rFonts w:ascii="Book Antiqua" w:hAnsi="Book Antiqua"/>
        </w:rPr>
        <w:t xml:space="preserve"> open a rulemaking in order to examine the revenue collection issue</w:t>
      </w:r>
      <w:r w:rsidR="00CB01EA" w:rsidRPr="00196B50">
        <w:rPr>
          <w:rFonts w:ascii="Book Antiqua" w:hAnsi="Book Antiqua"/>
        </w:rPr>
        <w:t>s</w:t>
      </w:r>
      <w:r w:rsidRPr="00196B50">
        <w:rPr>
          <w:rFonts w:ascii="Book Antiqua" w:hAnsi="Book Antiqua"/>
        </w:rPr>
        <w:t xml:space="preserve"> California gas utilities w</w:t>
      </w:r>
      <w:r w:rsidR="00F76951" w:rsidRPr="00196B50">
        <w:rPr>
          <w:rFonts w:ascii="Book Antiqua" w:hAnsi="Book Antiqua"/>
        </w:rPr>
        <w:t>i</w:t>
      </w:r>
      <w:r w:rsidRPr="00196B50">
        <w:rPr>
          <w:rFonts w:ascii="Book Antiqua" w:hAnsi="Book Antiqua"/>
        </w:rPr>
        <w:t xml:space="preserve">ll increasingly face.  In this future rulemaking, the Commission </w:t>
      </w:r>
      <w:r w:rsidR="006C1D71" w:rsidRPr="00196B50">
        <w:rPr>
          <w:rFonts w:ascii="Book Antiqua" w:hAnsi="Book Antiqua"/>
        </w:rPr>
        <w:t>may</w:t>
      </w:r>
      <w:r w:rsidRPr="00196B50">
        <w:rPr>
          <w:rFonts w:ascii="Book Antiqua" w:hAnsi="Book Antiqua"/>
        </w:rPr>
        <w:t xml:space="preserve"> consider the tradeoffs between establishing</w:t>
      </w:r>
      <w:r w:rsidR="006C1D71" w:rsidRPr="00196B50">
        <w:rPr>
          <w:rFonts w:ascii="Book Antiqua" w:hAnsi="Book Antiqua"/>
        </w:rPr>
        <w:t xml:space="preserve"> a larger minimum transportation charge, a minimum bill, or a fixed charge.</w:t>
      </w:r>
    </w:p>
    <w:p w14:paraId="35572A43" w14:textId="31CA08F9" w:rsidR="001164FC" w:rsidRPr="00431F1E" w:rsidRDefault="001164FC" w:rsidP="00431F1E">
      <w:pPr>
        <w:pStyle w:val="Heading2"/>
        <w:rPr>
          <w:rFonts w:ascii="Helvetica" w:hAnsi="Helvetica" w:cs="Helvetica"/>
        </w:rPr>
      </w:pPr>
      <w:bookmarkStart w:id="59" w:name="_Toc11407865"/>
      <w:bookmarkStart w:id="60" w:name="_Toc20144549"/>
      <w:bookmarkEnd w:id="58"/>
      <w:r w:rsidRPr="00431F1E">
        <w:rPr>
          <w:rFonts w:ascii="Helvetica" w:hAnsi="Helvetica" w:cs="Helvetica"/>
        </w:rPr>
        <w:lastRenderedPageBreak/>
        <w:t xml:space="preserve">Issue 7 - </w:t>
      </w:r>
      <w:r w:rsidR="00024B80">
        <w:rPr>
          <w:rFonts w:ascii="Helvetica" w:hAnsi="Helvetica" w:cs="Helvetica"/>
        </w:rPr>
        <w:t>Are</w:t>
      </w:r>
      <w:r w:rsidR="00024B80" w:rsidRPr="00431F1E">
        <w:rPr>
          <w:rFonts w:ascii="Helvetica" w:hAnsi="Helvetica" w:cs="Helvetica"/>
        </w:rPr>
        <w:t xml:space="preserve"> </w:t>
      </w:r>
      <w:r w:rsidRPr="00431F1E">
        <w:rPr>
          <w:rFonts w:ascii="Helvetica" w:hAnsi="Helvetica" w:cs="Helvetica"/>
        </w:rPr>
        <w:t xml:space="preserve">the residential and non-residential gas rates proposed and the expected rate and bill impacts that result from the implementation of PG&amp;E’s cost allocation and rate design proposals, and the cost allocation methodology itself, just and reasonable, and if so, should </w:t>
      </w:r>
      <w:r w:rsidR="00024B80">
        <w:rPr>
          <w:rFonts w:ascii="Helvetica" w:hAnsi="Helvetica" w:cs="Helvetica"/>
        </w:rPr>
        <w:t xml:space="preserve">they </w:t>
      </w:r>
      <w:r w:rsidRPr="00431F1E">
        <w:rPr>
          <w:rFonts w:ascii="Helvetica" w:hAnsi="Helvetica" w:cs="Helvetica"/>
        </w:rPr>
        <w:t>be adopted?</w:t>
      </w:r>
      <w:bookmarkEnd w:id="59"/>
      <w:bookmarkEnd w:id="60"/>
    </w:p>
    <w:p w14:paraId="6BFD1D1C" w14:textId="77777777" w:rsidR="001164FC" w:rsidRPr="00196B50" w:rsidRDefault="001164FC" w:rsidP="006D704F">
      <w:pPr>
        <w:pStyle w:val="standard"/>
        <w:rPr>
          <w:rFonts w:ascii="Book Antiqua" w:hAnsi="Book Antiqua"/>
        </w:rPr>
      </w:pPr>
      <w:r w:rsidRPr="00196B50">
        <w:rPr>
          <w:rFonts w:ascii="Book Antiqua" w:hAnsi="Book Antiqua"/>
        </w:rPr>
        <w:t xml:space="preserve">As provided above, we reject PG&amp;E’s proposal </w:t>
      </w:r>
      <w:r w:rsidRPr="00196B50">
        <w:rPr>
          <w:rFonts w:ascii="Book Antiqua" w:hAnsi="Book Antiqua" w:cs="Helvetica"/>
        </w:rPr>
        <w:t xml:space="preserve">to implement the cost allocation proposal set forth in its testimony using embedded costs.  We </w:t>
      </w:r>
      <w:r w:rsidRPr="00196B50">
        <w:rPr>
          <w:rFonts w:ascii="Book Antiqua" w:hAnsi="Book Antiqua"/>
        </w:rPr>
        <w:t xml:space="preserve">find that Cal Advocates’ DTIM-based MDCC estimate and its </w:t>
      </w:r>
      <w:r w:rsidR="00834E21" w:rsidRPr="00196B50">
        <w:rPr>
          <w:rFonts w:ascii="Book Antiqua" w:hAnsi="Book Antiqua"/>
        </w:rPr>
        <w:t>NCO</w:t>
      </w:r>
      <w:r w:rsidRPr="00196B50">
        <w:rPr>
          <w:rFonts w:ascii="Book Antiqua" w:hAnsi="Book Antiqua"/>
        </w:rPr>
        <w:t xml:space="preserve"> MCAC marginal cost study results in the most reasonable revenue allocation for PG&amp;E’s customers.</w:t>
      </w:r>
      <w:r w:rsidRPr="00431F1E">
        <w:rPr>
          <w:rStyle w:val="FootnoteReference"/>
          <w:rFonts w:ascii="Book Antiqua" w:hAnsi="Book Antiqua"/>
          <w:szCs w:val="26"/>
        </w:rPr>
        <w:footnoteReference w:id="124"/>
      </w:r>
      <w:r w:rsidRPr="00196B50">
        <w:rPr>
          <w:rFonts w:ascii="Book Antiqua" w:hAnsi="Book Antiqua"/>
        </w:rPr>
        <w:t xml:space="preserve">  Accordingly, </w:t>
      </w:r>
      <w:r w:rsidRPr="00196B50">
        <w:rPr>
          <w:rFonts w:ascii="Book Antiqua" w:hAnsi="Book Antiqua" w:cs="TimesNewRoman"/>
        </w:rPr>
        <w:t xml:space="preserve">we are adopting </w:t>
      </w:r>
      <w:r w:rsidRPr="00196B50">
        <w:rPr>
          <w:rFonts w:ascii="Book Antiqua" w:hAnsi="Book Antiqua"/>
        </w:rPr>
        <w:t xml:space="preserve">Cal Advocates’ marginal cost study based on the NCO method, updated for the new tax law and cost of capital.  We remove the smart-meter opt-out costs from revenue cycle services costs in this </w:t>
      </w:r>
      <w:r w:rsidRPr="00196B50">
        <w:rPr>
          <w:rFonts w:ascii="Book Antiqua" w:hAnsi="Book Antiqua" w:cs="TimesNewRoman"/>
        </w:rPr>
        <w:t xml:space="preserve">GCAP as provided above in </w:t>
      </w:r>
      <w:r w:rsidRPr="00196B50">
        <w:rPr>
          <w:rFonts w:ascii="Book Antiqua" w:hAnsi="Book Antiqua"/>
        </w:rPr>
        <w:t xml:space="preserve">Section 4.3.  </w:t>
      </w:r>
    </w:p>
    <w:p w14:paraId="6852B407" w14:textId="17F0FCCE" w:rsidR="001164FC" w:rsidRPr="00196B50" w:rsidRDefault="001164FC" w:rsidP="006D704F">
      <w:pPr>
        <w:pStyle w:val="standard"/>
        <w:rPr>
          <w:rFonts w:ascii="Book Antiqua" w:hAnsi="Book Antiqua"/>
        </w:rPr>
      </w:pPr>
      <w:r w:rsidRPr="00196B50">
        <w:rPr>
          <w:rFonts w:ascii="Book Antiqua" w:hAnsi="Book Antiqua"/>
        </w:rPr>
        <w:t xml:space="preserve">We also reject PG&amp;E’s proposals in this GCAP Application to increase the residential minimum transportation charges from the current $3 to $15 dollars per month for non-CARE customer basic service and to establish a higher super-peak minimum transportation charge of $45 for non-CARE residential customers with daily peak usage of at least 15 therms.  Instead, we direct PG&amp;E to implement a non-CARE residential minimum transportation charge of $4, and </w:t>
      </w:r>
      <w:r w:rsidR="00684215" w:rsidRPr="00196B50">
        <w:rPr>
          <w:rFonts w:ascii="Book Antiqua" w:hAnsi="Book Antiqua"/>
        </w:rPr>
        <w:t xml:space="preserve">to </w:t>
      </w:r>
      <w:r w:rsidRPr="00196B50">
        <w:rPr>
          <w:rFonts w:ascii="Book Antiqua" w:hAnsi="Book Antiqua"/>
        </w:rPr>
        <w:t xml:space="preserve">establish a new Super-User </w:t>
      </w:r>
      <w:r w:rsidR="00132E0D" w:rsidRPr="00196B50">
        <w:rPr>
          <w:rFonts w:ascii="Book Antiqua" w:hAnsi="Book Antiqua"/>
        </w:rPr>
        <w:t>charge</w:t>
      </w:r>
      <w:r w:rsidRPr="00196B50">
        <w:rPr>
          <w:rFonts w:ascii="Book Antiqua" w:hAnsi="Book Antiqua"/>
        </w:rPr>
        <w:t xml:space="preserve"> of $12, as discussed in Section 4.</w:t>
      </w:r>
      <w:r w:rsidR="00024B80" w:rsidRPr="00196B50">
        <w:rPr>
          <w:rFonts w:ascii="Book Antiqua" w:hAnsi="Book Antiqua"/>
        </w:rPr>
        <w:t xml:space="preserve">5 </w:t>
      </w:r>
      <w:r w:rsidRPr="00196B50">
        <w:rPr>
          <w:rFonts w:ascii="Book Antiqua" w:hAnsi="Book Antiqua"/>
        </w:rPr>
        <w:t>above.</w:t>
      </w:r>
    </w:p>
    <w:p w14:paraId="47D1704C" w14:textId="558299E9" w:rsidR="001164FC" w:rsidRPr="00196B50" w:rsidRDefault="00024B80" w:rsidP="006D704F">
      <w:pPr>
        <w:pStyle w:val="standard"/>
        <w:rPr>
          <w:rFonts w:ascii="Book Antiqua" w:eastAsia="Calibri" w:hAnsi="Book Antiqua" w:cs="Arial"/>
        </w:rPr>
      </w:pPr>
      <w:r w:rsidRPr="00196B50">
        <w:rPr>
          <w:rFonts w:ascii="Book Antiqua" w:eastAsia="Calibri" w:hAnsi="Book Antiqua"/>
        </w:rPr>
        <w:t xml:space="preserve">As described in Section 4.5, we find </w:t>
      </w:r>
      <w:r w:rsidR="001164FC" w:rsidRPr="00196B50">
        <w:rPr>
          <w:rFonts w:ascii="Book Antiqua" w:eastAsia="Calibri" w:hAnsi="Book Antiqua"/>
        </w:rPr>
        <w:t>the Cal Advocates analysis</w:t>
      </w:r>
      <w:r w:rsidR="001164FC" w:rsidRPr="00431F1E">
        <w:rPr>
          <w:rStyle w:val="FootnoteReference"/>
          <w:rFonts w:ascii="Book Antiqua" w:eastAsia="Calibri" w:hAnsi="Book Antiqua"/>
          <w:szCs w:val="26"/>
        </w:rPr>
        <w:footnoteReference w:id="125"/>
      </w:r>
      <w:r w:rsidR="001164FC" w:rsidRPr="00196B50">
        <w:rPr>
          <w:rFonts w:ascii="Book Antiqua" w:eastAsia="Calibri" w:hAnsi="Book Antiqua"/>
        </w:rPr>
        <w:t xml:space="preserve"> </w:t>
      </w:r>
      <w:r w:rsidRPr="00196B50">
        <w:rPr>
          <w:rFonts w:ascii="Book Antiqua" w:eastAsia="Calibri" w:hAnsi="Book Antiqua"/>
        </w:rPr>
        <w:t>compelling. This analysis</w:t>
      </w:r>
      <w:r w:rsidR="001164FC" w:rsidRPr="00196B50">
        <w:rPr>
          <w:rFonts w:ascii="Book Antiqua" w:eastAsia="Calibri" w:hAnsi="Book Antiqua"/>
        </w:rPr>
        <w:t xml:space="preserve"> concluded that PG&amp;E’s proposed $15 minimum bill for residential transportation rates will impact at least 58% of total residential customers, and that at least 73% of </w:t>
      </w:r>
      <w:r w:rsidR="001164FC" w:rsidRPr="00196B50">
        <w:rPr>
          <w:rFonts w:ascii="Book Antiqua" w:hAnsi="Book Antiqua" w:cs="Helvetica"/>
        </w:rPr>
        <w:t xml:space="preserve">non-CARE residential </w:t>
      </w:r>
      <w:r w:rsidR="001164FC" w:rsidRPr="00196B50">
        <w:rPr>
          <w:rFonts w:ascii="Book Antiqua" w:eastAsia="Calibri" w:hAnsi="Book Antiqua"/>
        </w:rPr>
        <w:t xml:space="preserve">customers will experience increases in their average monthly bills anywhere from 4% up to 35%.  </w:t>
      </w:r>
      <w:r w:rsidR="001164FC" w:rsidRPr="00196B50">
        <w:rPr>
          <w:rFonts w:ascii="Book Antiqua" w:eastAsia="Calibri" w:hAnsi="Book Antiqua"/>
        </w:rPr>
        <w:lastRenderedPageBreak/>
        <w:t>As shown in PG&amp;E’s GCAP Workpapers, the average bill change could increase anywhere from an additional $1.65 a month to $7.69 a month overall.</w:t>
      </w:r>
      <w:r w:rsidR="001164FC" w:rsidRPr="00431F1E">
        <w:rPr>
          <w:rStyle w:val="FootnoteReference"/>
          <w:rFonts w:ascii="Book Antiqua" w:eastAsia="Calibri" w:hAnsi="Book Antiqua"/>
          <w:szCs w:val="26"/>
        </w:rPr>
        <w:footnoteReference w:id="126"/>
      </w:r>
    </w:p>
    <w:p w14:paraId="48CDE1D6" w14:textId="77777777" w:rsidR="001164FC" w:rsidRPr="00196B50" w:rsidRDefault="001164FC" w:rsidP="006D704F">
      <w:pPr>
        <w:pStyle w:val="standard"/>
        <w:rPr>
          <w:rFonts w:ascii="Book Antiqua" w:eastAsia="Calibri" w:hAnsi="Book Antiqua"/>
        </w:rPr>
      </w:pPr>
      <w:r w:rsidRPr="00196B50">
        <w:rPr>
          <w:rFonts w:ascii="Book Antiqua" w:eastAsia="Calibri" w:hAnsi="Book Antiqua"/>
        </w:rPr>
        <w:t>Additionally, Cal Advocates argues that</w:t>
      </w:r>
      <w:r w:rsidR="00684BCD" w:rsidRPr="00196B50">
        <w:rPr>
          <w:rFonts w:ascii="Book Antiqua" w:eastAsia="Calibri" w:hAnsi="Book Antiqua"/>
        </w:rPr>
        <w:t>, if all of PG&amp;E’s proposals in this GCAP Application were to be adopted,</w:t>
      </w:r>
      <w:r w:rsidRPr="00196B50">
        <w:rPr>
          <w:rFonts w:ascii="Book Antiqua" w:eastAsia="Calibri" w:hAnsi="Book Antiqua"/>
        </w:rPr>
        <w:t xml:space="preserve"> “a number of CARE customers (approximately 7%) may see an increase in their average monthly bills.</w:t>
      </w:r>
      <w:r w:rsidRPr="00196B50">
        <w:rPr>
          <w:rFonts w:ascii="Book Antiqua" w:eastAsia="Calibri" w:hAnsi="Book Antiqua"/>
          <w:bCs/>
          <w:vertAlign w:val="superscript"/>
        </w:rPr>
        <w:footnoteReference w:id="127"/>
      </w:r>
      <w:r w:rsidRPr="00196B50">
        <w:rPr>
          <w:rFonts w:ascii="Book Antiqua" w:eastAsia="Calibri" w:hAnsi="Book Antiqua"/>
        </w:rPr>
        <w:t xml:space="preserve">  The increase could range from between a 1 percent to a 14 percent change in the average monthly bill,”</w:t>
      </w:r>
      <w:r w:rsidRPr="00196B50">
        <w:rPr>
          <w:rFonts w:ascii="Book Antiqua" w:eastAsia="Calibri" w:hAnsi="Book Antiqua"/>
          <w:bCs/>
          <w:vertAlign w:val="superscript"/>
        </w:rPr>
        <w:footnoteReference w:id="128"/>
      </w:r>
      <w:r w:rsidRPr="00196B50">
        <w:rPr>
          <w:rFonts w:ascii="Book Antiqua" w:eastAsia="Calibri" w:hAnsi="Book Antiqua"/>
        </w:rPr>
        <w:t xml:space="preserve">  resulting in an increase in the CARE average monthly bill of anywhere from 26 cents up to a $3.17.</w:t>
      </w:r>
      <w:r w:rsidRPr="00196B50">
        <w:rPr>
          <w:rFonts w:ascii="Book Antiqua" w:eastAsia="Calibri" w:hAnsi="Book Antiqua"/>
          <w:bCs/>
          <w:vertAlign w:val="superscript"/>
        </w:rPr>
        <w:footnoteReference w:id="129"/>
      </w:r>
    </w:p>
    <w:p w14:paraId="1D5D9A7F" w14:textId="0E575E0F" w:rsidR="001164FC" w:rsidRPr="00196B50" w:rsidRDefault="001164FC" w:rsidP="006D704F">
      <w:pPr>
        <w:pStyle w:val="standard"/>
        <w:rPr>
          <w:rFonts w:ascii="Book Antiqua" w:hAnsi="Book Antiqua"/>
        </w:rPr>
      </w:pPr>
      <w:r w:rsidRPr="00196B50">
        <w:rPr>
          <w:rFonts w:ascii="Book Antiqua" w:eastAsia="Calibri" w:hAnsi="Book Antiqua" w:cs="Arial"/>
        </w:rPr>
        <w:t xml:space="preserve">Accordingly, </w:t>
      </w:r>
      <w:r w:rsidRPr="00196B50">
        <w:rPr>
          <w:rFonts w:ascii="Book Antiqua" w:hAnsi="Book Antiqua"/>
        </w:rPr>
        <w:t xml:space="preserve">PG&amp;E’s embedded cost allocation and rate design proposals are not found to be just and reasonable, and are therefore not adopted as requested in the GCAP Application.  Specific </w:t>
      </w:r>
      <w:r w:rsidR="00024B80" w:rsidRPr="00196B50">
        <w:rPr>
          <w:rFonts w:ascii="Book Antiqua" w:hAnsi="Book Antiqua"/>
        </w:rPr>
        <w:t xml:space="preserve">elements of the </w:t>
      </w:r>
      <w:r w:rsidRPr="00196B50">
        <w:rPr>
          <w:rFonts w:ascii="Book Antiqua" w:hAnsi="Book Antiqua"/>
        </w:rPr>
        <w:t xml:space="preserve">proposals are as discussed and adopted in various sections herein in this decision, or as adopted in to D.18-10-040 (the </w:t>
      </w:r>
      <w:r w:rsidRPr="00196B50">
        <w:rPr>
          <w:rFonts w:ascii="Book Antiqua" w:hAnsi="Book Antiqua" w:cs="Arial"/>
        </w:rPr>
        <w:t>Decision Adopting Settlement Agreement on Residential Baseline Season Restructuring presented in this Application).</w:t>
      </w:r>
    </w:p>
    <w:p w14:paraId="2AFCC61E" w14:textId="77777777" w:rsidR="001164FC" w:rsidRPr="00431F1E" w:rsidRDefault="001164FC" w:rsidP="0001264D">
      <w:pPr>
        <w:pStyle w:val="Heading2"/>
        <w:rPr>
          <w:rFonts w:ascii="Helvetica" w:hAnsi="Helvetica" w:cs="Helvetica"/>
        </w:rPr>
      </w:pPr>
      <w:bookmarkStart w:id="61" w:name="_Toc11407866"/>
      <w:bookmarkStart w:id="62" w:name="_Toc20144550"/>
      <w:r w:rsidRPr="00431F1E">
        <w:rPr>
          <w:rFonts w:ascii="Helvetica" w:hAnsi="Helvetica" w:cs="Helvetica"/>
        </w:rPr>
        <w:t xml:space="preserve">Issue 8 - Should PG&amp;E's proposal for the update to the </w:t>
      </w:r>
      <w:r w:rsidR="00A235C7">
        <w:rPr>
          <w:rFonts w:ascii="Helvetica" w:hAnsi="Helvetica" w:cs="Helvetica"/>
        </w:rPr>
        <w:t>Core Brokerage Fee</w:t>
      </w:r>
      <w:r w:rsidRPr="00431F1E">
        <w:rPr>
          <w:rFonts w:ascii="Helvetica" w:hAnsi="Helvetica" w:cs="Helvetica"/>
        </w:rPr>
        <w:t xml:space="preserve"> be approved?</w:t>
      </w:r>
      <w:bookmarkEnd w:id="61"/>
      <w:bookmarkEnd w:id="62"/>
    </w:p>
    <w:p w14:paraId="3E49276B" w14:textId="48C013D4" w:rsidR="001164FC" w:rsidRPr="00196B50" w:rsidRDefault="001164FC" w:rsidP="006D704F">
      <w:pPr>
        <w:pStyle w:val="standard"/>
        <w:rPr>
          <w:rFonts w:ascii="Book Antiqua" w:hAnsi="Book Antiqua"/>
        </w:rPr>
      </w:pPr>
      <w:r w:rsidRPr="00196B50">
        <w:rPr>
          <w:rFonts w:ascii="Book Antiqua" w:hAnsi="Book Antiqua"/>
        </w:rPr>
        <w:t>PG&amp;E presented an update of the Core Brokerage Fee study, which was last performed in PG&amp;E’s 2009 BCAP.</w:t>
      </w:r>
      <w:r w:rsidRPr="00431F1E">
        <w:rPr>
          <w:rStyle w:val="FootnoteReference"/>
          <w:rFonts w:ascii="Book Antiqua" w:hAnsi="Book Antiqua"/>
          <w:szCs w:val="26"/>
        </w:rPr>
        <w:footnoteReference w:id="130"/>
      </w:r>
      <w:r w:rsidRPr="00196B50">
        <w:rPr>
          <w:rFonts w:ascii="Book Antiqua" w:hAnsi="Book Antiqua"/>
        </w:rPr>
        <w:t xml:space="preserve">  Based on its testimony, PG&amp;E proposed a</w:t>
      </w:r>
      <w:r w:rsidR="00F91191" w:rsidRPr="00196B50">
        <w:rPr>
          <w:rFonts w:ascii="Book Antiqua" w:hAnsi="Book Antiqua"/>
        </w:rPr>
        <w:t>n update of its</w:t>
      </w:r>
      <w:r w:rsidR="00024B80" w:rsidRPr="00196B50">
        <w:rPr>
          <w:rFonts w:ascii="Book Antiqua" w:hAnsi="Book Antiqua"/>
        </w:rPr>
        <w:t xml:space="preserve"> </w:t>
      </w:r>
      <w:r w:rsidR="00BD2326" w:rsidRPr="00196B50">
        <w:rPr>
          <w:rFonts w:ascii="Book Antiqua" w:hAnsi="Book Antiqua"/>
        </w:rPr>
        <w:t>Core Brokerage Fee</w:t>
      </w:r>
      <w:r w:rsidR="00024B80" w:rsidRPr="00196B50">
        <w:rPr>
          <w:rFonts w:ascii="Book Antiqua" w:hAnsi="Book Antiqua"/>
        </w:rPr>
        <w:t xml:space="preserve"> </w:t>
      </w:r>
      <w:r w:rsidR="00F91191" w:rsidRPr="00196B50">
        <w:rPr>
          <w:rFonts w:ascii="Book Antiqua" w:hAnsi="Book Antiqua"/>
        </w:rPr>
        <w:t>from $0.025</w:t>
      </w:r>
      <w:r w:rsidR="00F91191" w:rsidRPr="00196B50">
        <w:rPr>
          <w:rFonts w:ascii="Book Antiqua" w:hAnsi="Book Antiqua"/>
          <w:b/>
          <w:bCs/>
        </w:rPr>
        <w:t xml:space="preserve">7 </w:t>
      </w:r>
      <w:r w:rsidR="00F91191" w:rsidRPr="00196B50">
        <w:rPr>
          <w:rFonts w:ascii="Book Antiqua" w:hAnsi="Book Antiqua"/>
        </w:rPr>
        <w:t>per dekatherm (Dth) to</w:t>
      </w:r>
      <w:r w:rsidRPr="00196B50">
        <w:rPr>
          <w:rFonts w:ascii="Book Antiqua" w:hAnsi="Book Antiqua"/>
        </w:rPr>
        <w:t xml:space="preserve"> $0.0249 per Dth.  PG&amp;E noted that no party disagreed with PG&amp;E’s study, with the </w:t>
      </w:r>
      <w:r w:rsidRPr="00196B50">
        <w:rPr>
          <w:rFonts w:ascii="Book Antiqua" w:hAnsi="Book Antiqua"/>
        </w:rPr>
        <w:lastRenderedPageBreak/>
        <w:t xml:space="preserve">exception of TURN’s witness (Marcus) proposal that a new cost component to the </w:t>
      </w:r>
      <w:r w:rsidR="00BD2326" w:rsidRPr="00196B50">
        <w:rPr>
          <w:rFonts w:ascii="Book Antiqua" w:hAnsi="Book Antiqua"/>
        </w:rPr>
        <w:t>Core Brokerage Fee</w:t>
      </w:r>
      <w:r w:rsidRPr="00196B50">
        <w:rPr>
          <w:rFonts w:ascii="Book Antiqua" w:hAnsi="Book Antiqua"/>
        </w:rPr>
        <w:t xml:space="preserve"> be added.  According to PG&amp;E, “Mr. Marcus proposed to increase the </w:t>
      </w:r>
      <w:r w:rsidR="00BD2326" w:rsidRPr="00196B50">
        <w:rPr>
          <w:rFonts w:ascii="Book Antiqua" w:hAnsi="Book Antiqua"/>
        </w:rPr>
        <w:t>Core Brokerage Fee</w:t>
      </w:r>
      <w:r w:rsidRPr="00196B50">
        <w:rPr>
          <w:rFonts w:ascii="Book Antiqua" w:hAnsi="Book Antiqua"/>
        </w:rPr>
        <w:t xml:space="preserve"> by unbundling a portion of the cash working capital cost from gas transportation rates and moving it to procurement rates.  He provided a calculation to “extract” a hypothetical gas commodity cash working capital rate base from PG&amp;E’s working cash exhibit in the 2017 GRC I case</w:t>
      </w:r>
      <w:r w:rsidR="001A1BB7" w:rsidRPr="00196B50">
        <w:rPr>
          <w:rFonts w:ascii="Book Antiqua" w:hAnsi="Book Antiqua"/>
        </w:rPr>
        <w:t>.</w:t>
      </w:r>
      <w:r w:rsidRPr="00196B50">
        <w:rPr>
          <w:rFonts w:ascii="Book Antiqua" w:hAnsi="Book Antiqua"/>
        </w:rPr>
        <w:t>”</w:t>
      </w:r>
      <w:r w:rsidRPr="00431F1E">
        <w:rPr>
          <w:rStyle w:val="FootnoteReference"/>
          <w:rFonts w:ascii="Book Antiqua" w:hAnsi="Book Antiqua"/>
          <w:szCs w:val="26"/>
        </w:rPr>
        <w:footnoteReference w:id="131"/>
      </w:r>
    </w:p>
    <w:p w14:paraId="177A0865" w14:textId="09DEE62D" w:rsidR="001164FC" w:rsidRPr="00196B50" w:rsidRDefault="001164FC" w:rsidP="006D704F">
      <w:pPr>
        <w:pStyle w:val="standard"/>
        <w:rPr>
          <w:rFonts w:ascii="Book Antiqua" w:hAnsi="Book Antiqua"/>
        </w:rPr>
      </w:pPr>
      <w:r w:rsidRPr="00196B50">
        <w:rPr>
          <w:rFonts w:ascii="Book Antiqua" w:hAnsi="Book Antiqua"/>
        </w:rPr>
        <w:t xml:space="preserve">PG&amp;E argues that Mr. Marcus’ calculation was hypothetical in nature as there is no rate base or an Unbundled Cost Category (UCC) for PG&amp;E’s gas procurement service.   As such, </w:t>
      </w:r>
      <w:r w:rsidR="008E081A" w:rsidRPr="00196B50">
        <w:rPr>
          <w:rFonts w:ascii="Book Antiqua" w:hAnsi="Book Antiqua"/>
        </w:rPr>
        <w:t xml:space="preserve">PG&amp;E argues </w:t>
      </w:r>
      <w:r w:rsidRPr="00196B50">
        <w:rPr>
          <w:rFonts w:ascii="Book Antiqua" w:hAnsi="Book Antiqua"/>
        </w:rPr>
        <w:t>TURN’s proposed brokerage fee of $0.0287</w:t>
      </w:r>
      <w:r w:rsidRPr="00431F1E">
        <w:rPr>
          <w:rStyle w:val="FootnoteReference"/>
          <w:rFonts w:ascii="Book Antiqua" w:hAnsi="Book Antiqua"/>
          <w:szCs w:val="26"/>
        </w:rPr>
        <w:footnoteReference w:id="132"/>
      </w:r>
      <w:r w:rsidRPr="00196B50">
        <w:rPr>
          <w:rFonts w:ascii="Book Antiqua" w:hAnsi="Book Antiqua"/>
        </w:rPr>
        <w:t xml:space="preserve"> should be rejected. </w:t>
      </w:r>
    </w:p>
    <w:p w14:paraId="3FA0B9F9" w14:textId="77777777" w:rsidR="001164FC" w:rsidRPr="00196B50" w:rsidRDefault="001164FC" w:rsidP="006D704F">
      <w:pPr>
        <w:pStyle w:val="standard"/>
        <w:rPr>
          <w:rFonts w:ascii="Book Antiqua" w:hAnsi="Book Antiqua"/>
        </w:rPr>
      </w:pPr>
      <w:r w:rsidRPr="00196B50">
        <w:rPr>
          <w:rFonts w:ascii="Book Antiqua" w:hAnsi="Book Antiqua"/>
        </w:rPr>
        <w:t>We agree with PG&amp;E that working cash is generally determined in GRC I cases, where working cash development is often based on the CPUC’s Standard Practice U-16-W, “Determination of Working Cash Allowance</w:t>
      </w:r>
      <w:r w:rsidR="001A1BB7" w:rsidRPr="00196B50">
        <w:rPr>
          <w:rFonts w:ascii="Book Antiqua" w:hAnsi="Book Antiqua"/>
        </w:rPr>
        <w:t>,</w:t>
      </w:r>
      <w:r w:rsidRPr="00196B50">
        <w:rPr>
          <w:rFonts w:ascii="Book Antiqua" w:hAnsi="Book Antiqua"/>
        </w:rPr>
        <w:t>” which has been used for gas and electric utilities since 1956.</w:t>
      </w:r>
      <w:r w:rsidRPr="00431F1E">
        <w:rPr>
          <w:rStyle w:val="FootnoteReference"/>
          <w:rFonts w:ascii="Book Antiqua" w:hAnsi="Book Antiqua"/>
          <w:szCs w:val="26"/>
        </w:rPr>
        <w:footnoteReference w:id="133"/>
      </w:r>
      <w:r w:rsidRPr="00196B50">
        <w:rPr>
          <w:rFonts w:ascii="Book Antiqua" w:hAnsi="Book Antiqua"/>
        </w:rPr>
        <w:t xml:space="preserve">  Accordingly, we accept PG&amp;E’s argument that this GCAP proceeding is not the right forum for working cash calculations and that questions of working cash development and functionalization belong in a GRC I case</w:t>
      </w:r>
      <w:r w:rsidR="00265A4A" w:rsidRPr="00196B50">
        <w:rPr>
          <w:rFonts w:ascii="Book Antiqua" w:hAnsi="Book Antiqua"/>
        </w:rPr>
        <w:t>.</w:t>
      </w:r>
      <w:r w:rsidRPr="00431F1E">
        <w:rPr>
          <w:rStyle w:val="FootnoteReference"/>
          <w:rFonts w:ascii="Book Antiqua" w:hAnsi="Book Antiqua"/>
          <w:szCs w:val="26"/>
        </w:rPr>
        <w:footnoteReference w:id="134"/>
      </w:r>
      <w:r w:rsidRPr="00196B50">
        <w:rPr>
          <w:rFonts w:ascii="Book Antiqua" w:hAnsi="Book Antiqua"/>
        </w:rPr>
        <w:t xml:space="preserve">  TURN may present its proposal to increase the </w:t>
      </w:r>
      <w:r w:rsidR="00A235C7" w:rsidRPr="00196B50">
        <w:rPr>
          <w:rFonts w:ascii="Book Antiqua" w:hAnsi="Book Antiqua"/>
        </w:rPr>
        <w:t xml:space="preserve">Core Brokerage Fee </w:t>
      </w:r>
      <w:r w:rsidRPr="00196B50">
        <w:rPr>
          <w:rFonts w:ascii="Book Antiqua" w:hAnsi="Book Antiqua"/>
        </w:rPr>
        <w:t xml:space="preserve">by unbundling a portion of the cash working capital cost from gas transportation rates and moving it to procurement rates in PG&amp;E’s next GRC I case, if it desires.  </w:t>
      </w:r>
    </w:p>
    <w:p w14:paraId="140B508A" w14:textId="77777777" w:rsidR="001164FC" w:rsidRPr="00196B50" w:rsidRDefault="001164FC" w:rsidP="006D704F">
      <w:pPr>
        <w:pStyle w:val="standard"/>
        <w:rPr>
          <w:rFonts w:ascii="Book Antiqua" w:hAnsi="Book Antiqua" w:cs="Helvetica"/>
        </w:rPr>
      </w:pPr>
      <w:r w:rsidRPr="00196B50">
        <w:rPr>
          <w:rFonts w:ascii="Book Antiqua" w:hAnsi="Book Antiqua" w:cs="Helvetica"/>
        </w:rPr>
        <w:lastRenderedPageBreak/>
        <w:t>Cal Advocates, represented in testimony that it “</w:t>
      </w:r>
      <w:r w:rsidRPr="00196B50">
        <w:rPr>
          <w:rFonts w:ascii="Book Antiqua" w:hAnsi="Book Antiqua"/>
        </w:rPr>
        <w:t>reviewed PG&amp;E’s Core Fixed Cost Account (CFCA) and Core Brokerage Fee Account (CBFA) for the record period 2007 through 2017;” and that “as of December 31, 2017, PG&amp;E’s CFCA balancing account was at an under-collection of $288.38 million</w:t>
      </w:r>
      <w:r w:rsidR="001A1BB7" w:rsidRPr="00196B50">
        <w:rPr>
          <w:rFonts w:ascii="Book Antiqua" w:hAnsi="Book Antiqua"/>
        </w:rPr>
        <w:t>.</w:t>
      </w:r>
      <w:r w:rsidRPr="00196B50">
        <w:rPr>
          <w:rFonts w:ascii="Book Antiqua" w:hAnsi="Book Antiqua"/>
        </w:rPr>
        <w:t>”</w:t>
      </w:r>
      <w:r w:rsidRPr="00431F1E">
        <w:rPr>
          <w:rStyle w:val="FootnoteReference"/>
          <w:rFonts w:ascii="Book Antiqua" w:hAnsi="Book Antiqua"/>
          <w:szCs w:val="26"/>
        </w:rPr>
        <w:footnoteReference w:id="135"/>
      </w:r>
      <w:r w:rsidRPr="00196B50">
        <w:rPr>
          <w:rFonts w:ascii="Book Antiqua" w:hAnsi="Book Antiqua"/>
        </w:rPr>
        <w:t xml:space="preserve">  Cal Advocates indicated that “the recorded CBFA and CFCA accounting entries [</w:t>
      </w:r>
      <w:r w:rsidRPr="00196B50">
        <w:rPr>
          <w:rFonts w:ascii="Book Antiqua" w:hAnsi="Book Antiqua" w:cs="Helvetica"/>
        </w:rPr>
        <w:t>Cal Advocates]</w:t>
      </w:r>
      <w:r w:rsidRPr="00196B50">
        <w:rPr>
          <w:rFonts w:ascii="Book Antiqua" w:hAnsi="Book Antiqua"/>
        </w:rPr>
        <w:t xml:space="preserve"> sampled are correctly stated,” </w:t>
      </w:r>
      <w:r w:rsidRPr="00196B50">
        <w:rPr>
          <w:rFonts w:ascii="Book Antiqua" w:hAnsi="Book Antiqua" w:cs="TimesNewRomanPSMT"/>
        </w:rPr>
        <w:t>through December 31, 2017.</w:t>
      </w:r>
      <w:r w:rsidRPr="00431F1E">
        <w:rPr>
          <w:rStyle w:val="FootnoteReference"/>
          <w:rFonts w:ascii="Book Antiqua" w:hAnsi="Book Antiqua" w:cs="TimesNewRomanPSMT"/>
          <w:szCs w:val="26"/>
        </w:rPr>
        <w:footnoteReference w:id="136"/>
      </w:r>
      <w:r w:rsidRPr="00196B50">
        <w:rPr>
          <w:rFonts w:ascii="Book Antiqua" w:hAnsi="Book Antiqua" w:cs="Helvetica"/>
        </w:rPr>
        <w:t xml:space="preserve">   We accept Cal Advocates’ representations</w:t>
      </w:r>
      <w:r w:rsidR="00265A4A" w:rsidRPr="00196B50">
        <w:rPr>
          <w:rFonts w:ascii="Book Antiqua" w:hAnsi="Book Antiqua" w:cs="Helvetica"/>
        </w:rPr>
        <w:t>.</w:t>
      </w:r>
    </w:p>
    <w:p w14:paraId="111D71C3" w14:textId="362DF764" w:rsidR="001164FC" w:rsidRPr="00196B50" w:rsidRDefault="001164FC" w:rsidP="006D704F">
      <w:pPr>
        <w:pStyle w:val="standard"/>
        <w:rPr>
          <w:rFonts w:ascii="Book Antiqua" w:hAnsi="Book Antiqua"/>
        </w:rPr>
      </w:pPr>
      <w:r w:rsidRPr="00196B50">
        <w:rPr>
          <w:rFonts w:ascii="Book Antiqua" w:hAnsi="Book Antiqua"/>
        </w:rPr>
        <w:t>Pursuant to the arguments put forward by PG&amp;E</w:t>
      </w:r>
      <w:r w:rsidR="00265A4A" w:rsidRPr="00196B50">
        <w:rPr>
          <w:rFonts w:ascii="Book Antiqua" w:hAnsi="Book Antiqua"/>
        </w:rPr>
        <w:t>,</w:t>
      </w:r>
      <w:r w:rsidRPr="00196B50">
        <w:rPr>
          <w:rFonts w:ascii="Book Antiqua" w:hAnsi="Book Antiqua"/>
        </w:rPr>
        <w:t xml:space="preserve"> and Cal Advocates representations</w:t>
      </w:r>
      <w:r w:rsidR="00265A4A" w:rsidRPr="00196B50">
        <w:rPr>
          <w:rFonts w:ascii="Book Antiqua" w:hAnsi="Book Antiqua"/>
        </w:rPr>
        <w:t>,</w:t>
      </w:r>
      <w:r w:rsidRPr="00196B50">
        <w:rPr>
          <w:rFonts w:ascii="Book Antiqua" w:hAnsi="Book Antiqua"/>
        </w:rPr>
        <w:t xml:space="preserve"> summed up above, as well as the entire record in this matter, we find that PG&amp;E's proposal </w:t>
      </w:r>
      <w:r w:rsidR="008E081A" w:rsidRPr="00196B50">
        <w:rPr>
          <w:rFonts w:ascii="Book Antiqua" w:hAnsi="Book Antiqua"/>
        </w:rPr>
        <w:t>to</w:t>
      </w:r>
      <w:r w:rsidRPr="00196B50">
        <w:rPr>
          <w:rFonts w:ascii="Book Antiqua" w:hAnsi="Book Antiqua"/>
        </w:rPr>
        <w:t xml:space="preserve"> update the </w:t>
      </w:r>
      <w:r w:rsidR="00A235C7" w:rsidRPr="00196B50">
        <w:rPr>
          <w:rFonts w:ascii="Book Antiqua" w:hAnsi="Book Antiqua"/>
        </w:rPr>
        <w:t xml:space="preserve">Core Brokerage Fee </w:t>
      </w:r>
      <w:r w:rsidR="00E32D6F" w:rsidRPr="00196B50">
        <w:rPr>
          <w:rFonts w:ascii="Book Antiqua" w:hAnsi="Book Antiqua"/>
        </w:rPr>
        <w:t>from $0.025</w:t>
      </w:r>
      <w:r w:rsidR="00E32D6F" w:rsidRPr="00196B50">
        <w:rPr>
          <w:rFonts w:ascii="Book Antiqua" w:hAnsi="Book Antiqua"/>
          <w:bCs/>
        </w:rPr>
        <w:t>7</w:t>
      </w:r>
      <w:r w:rsidR="00E32D6F" w:rsidRPr="00196B50">
        <w:rPr>
          <w:rFonts w:ascii="Book Antiqua" w:hAnsi="Book Antiqua"/>
          <w:b/>
          <w:bCs/>
        </w:rPr>
        <w:t xml:space="preserve"> </w:t>
      </w:r>
      <w:r w:rsidR="00E32D6F" w:rsidRPr="00196B50">
        <w:rPr>
          <w:rFonts w:ascii="Book Antiqua" w:hAnsi="Book Antiqua"/>
        </w:rPr>
        <w:t xml:space="preserve">per Dth </w:t>
      </w:r>
      <w:r w:rsidRPr="00196B50">
        <w:rPr>
          <w:rFonts w:ascii="Book Antiqua" w:hAnsi="Book Antiqua"/>
        </w:rPr>
        <w:t xml:space="preserve">to $0.0249 per Dth is appropriate.  </w:t>
      </w:r>
      <w:r w:rsidR="00E32D6F" w:rsidRPr="00196B50">
        <w:rPr>
          <w:rFonts w:ascii="Book Antiqua" w:hAnsi="Book Antiqua"/>
        </w:rPr>
        <w:t>Accordingly, w</w:t>
      </w:r>
      <w:r w:rsidR="003F03D3" w:rsidRPr="00196B50">
        <w:rPr>
          <w:rFonts w:ascii="Book Antiqua" w:hAnsi="Book Antiqua"/>
        </w:rPr>
        <w:t xml:space="preserve">e approve the proposed update </w:t>
      </w:r>
      <w:r w:rsidR="00E32D6F" w:rsidRPr="00196B50">
        <w:rPr>
          <w:rFonts w:ascii="Book Antiqua" w:hAnsi="Book Antiqua"/>
        </w:rPr>
        <w:t xml:space="preserve">of the Core Brokerage Fee to </w:t>
      </w:r>
      <w:r w:rsidR="003F03D3" w:rsidRPr="00196B50">
        <w:rPr>
          <w:rFonts w:ascii="Book Antiqua" w:hAnsi="Book Antiqua"/>
        </w:rPr>
        <w:t xml:space="preserve">$0.0249 per Dth as proposed in the Application.  </w:t>
      </w:r>
    </w:p>
    <w:p w14:paraId="31A1FF16" w14:textId="77777777" w:rsidR="001164FC" w:rsidRPr="00431F1E" w:rsidRDefault="001164FC" w:rsidP="00952CD7">
      <w:pPr>
        <w:pStyle w:val="Heading2"/>
        <w:rPr>
          <w:rFonts w:ascii="Helvetica" w:hAnsi="Helvetica" w:cs="Helvetica"/>
        </w:rPr>
      </w:pPr>
      <w:bookmarkStart w:id="63" w:name="_Toc11407867"/>
      <w:bookmarkStart w:id="64" w:name="_Toc20144551"/>
      <w:r w:rsidRPr="00431F1E">
        <w:rPr>
          <w:rFonts w:ascii="Helvetica" w:hAnsi="Helvetica" w:cs="Helvetica"/>
        </w:rPr>
        <w:t>Issue 9 - Should PG&amp;E's proposal to update the master meter discount and the master meter discount diversity benefit adjustment be approved?</w:t>
      </w:r>
      <w:bookmarkEnd w:id="63"/>
      <w:bookmarkEnd w:id="64"/>
    </w:p>
    <w:p w14:paraId="2EC3C024" w14:textId="77777777" w:rsidR="001164FC" w:rsidRPr="00196B50" w:rsidRDefault="001164FC" w:rsidP="006D704F">
      <w:pPr>
        <w:pStyle w:val="standard"/>
        <w:rPr>
          <w:rFonts w:ascii="Book Antiqua" w:hAnsi="Book Antiqua"/>
        </w:rPr>
      </w:pPr>
      <w:r w:rsidRPr="00196B50">
        <w:rPr>
          <w:rFonts w:ascii="Book Antiqua" w:hAnsi="Book Antiqua"/>
        </w:rPr>
        <w:t xml:space="preserve">In this Application, PG&amp;E proposes to </w:t>
      </w:r>
      <w:r w:rsidRPr="00196B50">
        <w:rPr>
          <w:rFonts w:ascii="Book Antiqua" w:hAnsi="Book Antiqua" w:cs="Helvetica"/>
        </w:rPr>
        <w:t>update the master meter discount (MMD) using “</w:t>
      </w:r>
      <w:r w:rsidRPr="00196B50">
        <w:rPr>
          <w:rFonts w:ascii="Book Antiqua" w:hAnsi="Book Antiqua"/>
        </w:rPr>
        <w:t>embedded cost methodology and baseline diversity benefits for master meter customers where gas is delivered to a single master meter at a residential development.  That gas is then delivered through a private sub-metered distribution system to individual tenants in master-metered mobile home parks and apartment buildings.”</w:t>
      </w:r>
      <w:r w:rsidRPr="00431F1E">
        <w:rPr>
          <w:rStyle w:val="FootnoteReference"/>
          <w:rFonts w:ascii="Book Antiqua" w:hAnsi="Book Antiqua" w:cs="TimesNewRoman"/>
          <w:szCs w:val="26"/>
        </w:rPr>
        <w:footnoteReference w:id="137"/>
      </w:r>
      <w:r w:rsidRPr="00196B50">
        <w:rPr>
          <w:rFonts w:ascii="Book Antiqua" w:hAnsi="Book Antiqua"/>
        </w:rPr>
        <w:t xml:space="preserve"> PG&amp;E also proposes an update to the baseline diversity benefit adjustment (DBA) for master-meter customers</w:t>
      </w:r>
      <w:r w:rsidR="002557C1" w:rsidRPr="00196B50">
        <w:rPr>
          <w:rFonts w:ascii="Book Antiqua" w:hAnsi="Book Antiqua"/>
        </w:rPr>
        <w:t xml:space="preserve">, and urges the Commission to approve its </w:t>
      </w:r>
      <w:bookmarkStart w:id="65" w:name="_Toc522703425"/>
      <w:r w:rsidRPr="00196B50">
        <w:rPr>
          <w:rFonts w:ascii="Book Antiqua" w:hAnsi="Book Antiqua"/>
        </w:rPr>
        <w:t>proposed MMD</w:t>
      </w:r>
      <w:r w:rsidR="002557C1" w:rsidRPr="00196B50">
        <w:rPr>
          <w:rFonts w:ascii="Book Antiqua" w:hAnsi="Book Antiqua"/>
        </w:rPr>
        <w:t xml:space="preserve">.  </w:t>
      </w:r>
      <w:r w:rsidR="008E5B1E" w:rsidRPr="00196B50">
        <w:rPr>
          <w:rFonts w:ascii="Book Antiqua" w:hAnsi="Book Antiqua"/>
        </w:rPr>
        <w:t xml:space="preserve">In the proposal, </w:t>
      </w:r>
      <w:r w:rsidRPr="00196B50">
        <w:rPr>
          <w:rFonts w:ascii="Book Antiqua" w:hAnsi="Book Antiqua"/>
        </w:rPr>
        <w:t>o</w:t>
      </w:r>
      <w:bookmarkEnd w:id="65"/>
      <w:r w:rsidRPr="00196B50">
        <w:rPr>
          <w:rFonts w:ascii="Book Antiqua" w:hAnsi="Book Antiqua"/>
        </w:rPr>
        <w:t xml:space="preserve">wners of </w:t>
      </w:r>
      <w:r w:rsidRPr="00196B50">
        <w:rPr>
          <w:rFonts w:ascii="Book Antiqua" w:hAnsi="Book Antiqua"/>
        </w:rPr>
        <w:lastRenderedPageBreak/>
        <w:t>master- metered mobile home parks or multi-family residences such as apartment complexes</w:t>
      </w:r>
      <w:r w:rsidR="00D16B40" w:rsidRPr="00196B50">
        <w:rPr>
          <w:rFonts w:ascii="Book Antiqua" w:hAnsi="Book Antiqua"/>
        </w:rPr>
        <w:t>,</w:t>
      </w:r>
      <w:r w:rsidRPr="00196B50">
        <w:rPr>
          <w:rFonts w:ascii="Book Antiqua" w:hAnsi="Book Antiqua"/>
        </w:rPr>
        <w:t xml:space="preserve"> where PG&amp;E does not directly meter the tenants</w:t>
      </w:r>
      <w:r w:rsidR="00D16B40" w:rsidRPr="00196B50">
        <w:rPr>
          <w:rFonts w:ascii="Book Antiqua" w:hAnsi="Book Antiqua"/>
        </w:rPr>
        <w:t>,</w:t>
      </w:r>
      <w:r w:rsidRPr="00196B50">
        <w:rPr>
          <w:rFonts w:ascii="Book Antiqua" w:hAnsi="Book Antiqua"/>
        </w:rPr>
        <w:t xml:space="preserve"> can take service from PG&amp;E under gas </w:t>
      </w:r>
      <w:r w:rsidR="002557C1" w:rsidRPr="00196B50">
        <w:rPr>
          <w:rFonts w:ascii="Book Antiqua" w:hAnsi="Book Antiqua"/>
        </w:rPr>
        <w:t>Schedule</w:t>
      </w:r>
      <w:r w:rsidR="001A1BB7" w:rsidRPr="00196B50">
        <w:rPr>
          <w:rFonts w:ascii="Book Antiqua" w:hAnsi="Book Antiqua"/>
        </w:rPr>
        <w:t xml:space="preserve"> </w:t>
      </w:r>
      <w:r w:rsidRPr="00196B50">
        <w:rPr>
          <w:rFonts w:ascii="Book Antiqua" w:hAnsi="Book Antiqua"/>
        </w:rPr>
        <w:t xml:space="preserve">GS (for multifamily service) </w:t>
      </w:r>
      <w:r w:rsidR="008E5B1E" w:rsidRPr="00196B50">
        <w:rPr>
          <w:rFonts w:ascii="Book Antiqua" w:hAnsi="Book Antiqua"/>
        </w:rPr>
        <w:t>or</w:t>
      </w:r>
      <w:r w:rsidR="001A1BB7" w:rsidRPr="00196B50">
        <w:rPr>
          <w:rFonts w:ascii="Book Antiqua" w:hAnsi="Book Antiqua"/>
        </w:rPr>
        <w:t xml:space="preserve"> </w:t>
      </w:r>
      <w:r w:rsidRPr="00196B50">
        <w:rPr>
          <w:rFonts w:ascii="Book Antiqua" w:hAnsi="Book Antiqua"/>
        </w:rPr>
        <w:t xml:space="preserve">Schedule GT (for mobile home park service).  If the </w:t>
      </w:r>
      <w:r w:rsidR="008E5B1E" w:rsidRPr="00196B50">
        <w:rPr>
          <w:rFonts w:ascii="Book Antiqua" w:hAnsi="Book Antiqua"/>
        </w:rPr>
        <w:t>proposal</w:t>
      </w:r>
      <w:r w:rsidR="001A1BB7" w:rsidRPr="00196B50">
        <w:rPr>
          <w:rFonts w:ascii="Book Antiqua" w:hAnsi="Book Antiqua"/>
        </w:rPr>
        <w:t xml:space="preserve"> </w:t>
      </w:r>
      <w:r w:rsidRPr="00196B50">
        <w:rPr>
          <w:rFonts w:ascii="Book Antiqua" w:hAnsi="Book Antiqua"/>
        </w:rPr>
        <w:t>is adopted, the owners taking service from PG&amp;E under these rate schedules will receive a discount to compensate them for costs that the utility avoids because the owners of the mobile home parks sub-meter the individual tenant spaces rather than having the utility directly serve those tenants.</w:t>
      </w:r>
      <w:r w:rsidRPr="00431F1E">
        <w:rPr>
          <w:rStyle w:val="FootnoteReference"/>
          <w:rFonts w:ascii="Book Antiqua" w:hAnsi="Book Antiqua"/>
          <w:szCs w:val="26"/>
        </w:rPr>
        <w:footnoteReference w:id="138"/>
      </w:r>
    </w:p>
    <w:p w14:paraId="26AEF40E" w14:textId="3DCE29C2" w:rsidR="001164FC" w:rsidRPr="00196B50" w:rsidRDefault="001164FC" w:rsidP="006D704F">
      <w:pPr>
        <w:pStyle w:val="standard"/>
        <w:rPr>
          <w:rFonts w:ascii="Book Antiqua" w:hAnsi="Book Antiqua"/>
        </w:rPr>
      </w:pPr>
      <w:r w:rsidRPr="00196B50">
        <w:rPr>
          <w:rFonts w:ascii="Book Antiqua" w:hAnsi="Book Antiqua"/>
        </w:rPr>
        <w:t>In support of its proposals, PG&amp;E explains that it calculates the MMD for Schedule GT and GS consistent with the methodology adopted by the Commission, most recently in August 2018</w:t>
      </w:r>
      <w:r w:rsidR="00053DE4" w:rsidRPr="00196B50">
        <w:rPr>
          <w:rFonts w:ascii="Book Antiqua" w:hAnsi="Book Antiqua"/>
        </w:rPr>
        <w:t>.</w:t>
      </w:r>
      <w:r w:rsidRPr="00431F1E">
        <w:rPr>
          <w:rStyle w:val="FootnoteReference"/>
          <w:rFonts w:ascii="Book Antiqua" w:hAnsi="Book Antiqua"/>
          <w:szCs w:val="26"/>
        </w:rPr>
        <w:footnoteReference w:id="139"/>
      </w:r>
      <w:r w:rsidR="008E081A" w:rsidRPr="00196B50">
        <w:rPr>
          <w:rFonts w:ascii="Book Antiqua" w:hAnsi="Book Antiqua"/>
        </w:rPr>
        <w:t xml:space="preserve"> </w:t>
      </w:r>
      <w:r w:rsidR="00053DE4" w:rsidRPr="00196B50">
        <w:rPr>
          <w:rFonts w:ascii="Book Antiqua" w:hAnsi="Book Antiqua"/>
        </w:rPr>
        <w:t>The</w:t>
      </w:r>
      <w:r w:rsidRPr="00196B50">
        <w:rPr>
          <w:rFonts w:ascii="Book Antiqua" w:hAnsi="Book Antiqua"/>
        </w:rPr>
        <w:t xml:space="preserve"> total MMD for Schedule GT consists of the Base Discount plus a Gas Loss Adjustment (GLA) minus the DBA (Base + GLA – DBA).</w:t>
      </w:r>
      <w:r w:rsidRPr="00431F1E">
        <w:rPr>
          <w:rStyle w:val="FootnoteReference"/>
          <w:rFonts w:ascii="Book Antiqua" w:hAnsi="Book Antiqua"/>
          <w:szCs w:val="26"/>
        </w:rPr>
        <w:footnoteReference w:id="140"/>
      </w:r>
      <w:r w:rsidRPr="00196B50">
        <w:rPr>
          <w:rFonts w:ascii="Book Antiqua" w:hAnsi="Book Antiqua"/>
        </w:rPr>
        <w:t xml:space="preserve">  PG&amp;E explains that these rate schedules have been closed to new customers since January 1, 1997, but have been updated in rate design cases.</w:t>
      </w:r>
      <w:r w:rsidRPr="00431F1E">
        <w:rPr>
          <w:rStyle w:val="FootnoteReference"/>
          <w:rFonts w:ascii="Book Antiqua" w:hAnsi="Book Antiqua"/>
          <w:szCs w:val="26"/>
        </w:rPr>
        <w:footnoteReference w:id="141"/>
      </w:r>
      <w:r w:rsidRPr="00196B50">
        <w:rPr>
          <w:rFonts w:ascii="Book Antiqua" w:hAnsi="Book Antiqua"/>
        </w:rPr>
        <w:t xml:space="preserve">  Thus in this GCAP, PG&amp;E </w:t>
      </w:r>
      <w:r w:rsidR="00053DE4" w:rsidRPr="00196B50">
        <w:rPr>
          <w:rFonts w:ascii="Book Antiqua" w:hAnsi="Book Antiqua"/>
        </w:rPr>
        <w:t>presents</w:t>
      </w:r>
      <w:r w:rsidR="008E081A" w:rsidRPr="00196B50">
        <w:rPr>
          <w:rFonts w:ascii="Book Antiqua" w:hAnsi="Book Antiqua"/>
        </w:rPr>
        <w:t xml:space="preserve"> </w:t>
      </w:r>
      <w:r w:rsidR="00053DE4" w:rsidRPr="00196B50">
        <w:rPr>
          <w:rFonts w:ascii="Book Antiqua" w:hAnsi="Book Antiqua"/>
        </w:rPr>
        <w:t xml:space="preserve">a </w:t>
      </w:r>
      <w:r w:rsidRPr="00196B50">
        <w:rPr>
          <w:rFonts w:ascii="Book Antiqua" w:hAnsi="Book Antiqua"/>
        </w:rPr>
        <w:t>revised master meter calculations on Schedule GS and GT.</w:t>
      </w:r>
      <w:r w:rsidRPr="00431F1E">
        <w:rPr>
          <w:rStyle w:val="FootnoteReference"/>
          <w:rFonts w:ascii="Book Antiqua" w:hAnsi="Book Antiqua"/>
          <w:szCs w:val="26"/>
        </w:rPr>
        <w:footnoteReference w:id="142"/>
      </w:r>
    </w:p>
    <w:p w14:paraId="20D581CC" w14:textId="4D78AD9E" w:rsidR="001164FC" w:rsidRPr="00196B50" w:rsidRDefault="001164FC" w:rsidP="006D704F">
      <w:pPr>
        <w:pStyle w:val="standard"/>
        <w:rPr>
          <w:rFonts w:ascii="Book Antiqua" w:hAnsi="Book Antiqua"/>
        </w:rPr>
      </w:pPr>
      <w:r w:rsidRPr="00196B50">
        <w:rPr>
          <w:rFonts w:ascii="Book Antiqua" w:hAnsi="Book Antiqua"/>
        </w:rPr>
        <w:t xml:space="preserve">In its </w:t>
      </w:r>
      <w:r w:rsidR="005C6F04" w:rsidRPr="003D2091">
        <w:t>Opening Brief</w:t>
      </w:r>
      <w:r w:rsidRPr="00196B50">
        <w:rPr>
          <w:rFonts w:ascii="Book Antiqua" w:hAnsi="Book Antiqua"/>
        </w:rPr>
        <w:t xml:space="preserve">, WMA </w:t>
      </w:r>
      <w:r w:rsidR="00053DE4" w:rsidRPr="00196B50">
        <w:rPr>
          <w:rFonts w:ascii="Book Antiqua" w:hAnsi="Book Antiqua"/>
        </w:rPr>
        <w:t>opposes</w:t>
      </w:r>
      <w:r w:rsidR="001A1BB7" w:rsidRPr="00196B50">
        <w:rPr>
          <w:rFonts w:ascii="Book Antiqua" w:hAnsi="Book Antiqua"/>
        </w:rPr>
        <w:t xml:space="preserve"> </w:t>
      </w:r>
      <w:r w:rsidRPr="00196B50">
        <w:rPr>
          <w:rFonts w:ascii="Book Antiqua" w:hAnsi="Book Antiqua"/>
        </w:rPr>
        <w:t xml:space="preserve">PG&amp;E’s proposed MMD.  WMA argues that PG&amp;E’s proposed MMD of $10.35 per space per month, or $0.33997 per space per day, for mobile home parks using illustrative values for the DBA </w:t>
      </w:r>
      <w:r w:rsidRPr="00196B50">
        <w:rPr>
          <w:rFonts w:ascii="Book Antiqua" w:hAnsi="Book Antiqua"/>
        </w:rPr>
        <w:lastRenderedPageBreak/>
        <w:t>and GLA, is “about 30% lower than the current rate of $0.48200 per space per day.</w:t>
      </w:r>
      <w:r w:rsidRPr="00431F1E">
        <w:rPr>
          <w:rStyle w:val="FootnoteReference"/>
          <w:rFonts w:ascii="Book Antiqua" w:hAnsi="Book Antiqua" w:cs="Arial"/>
          <w:szCs w:val="26"/>
        </w:rPr>
        <w:footnoteReference w:id="143"/>
      </w:r>
      <w:r w:rsidRPr="00196B50">
        <w:rPr>
          <w:rFonts w:ascii="Book Antiqua" w:hAnsi="Book Antiqua"/>
        </w:rPr>
        <w:t xml:space="preserve">  WMA also argues that </w:t>
      </w:r>
      <w:r w:rsidRPr="00196B50">
        <w:rPr>
          <w:rFonts w:ascii="Book Antiqua" w:hAnsi="Book Antiqua"/>
          <w:noProof/>
        </w:rPr>
        <w:t xml:space="preserve">PG&amp;E’s proposal underestimates the credit attributable to PG&amp;E’s average costs that is the basis of the master meter discount.  Thus, WMA argues that there are inconsistencies in PG&amp;E’s calculations, and that corrections are necessary. WMA believes that other flaws in the development of PG&amp;E’s DBA makes PG&amp;E's proposed </w:t>
      </w:r>
      <w:r w:rsidRPr="00196B50">
        <w:rPr>
          <w:rFonts w:ascii="Book Antiqua" w:hAnsi="Book Antiqua"/>
        </w:rPr>
        <w:t>DBA</w:t>
      </w:r>
      <w:r w:rsidRPr="00196B50">
        <w:rPr>
          <w:rFonts w:ascii="Book Antiqua" w:hAnsi="Book Antiqua"/>
          <w:noProof/>
        </w:rPr>
        <w:t xml:space="preserve"> unusable.  Accordingly, </w:t>
      </w:r>
      <w:r w:rsidRPr="00196B50">
        <w:rPr>
          <w:rFonts w:ascii="Book Antiqua" w:hAnsi="Book Antiqua"/>
        </w:rPr>
        <w:t xml:space="preserve">WMA recommends that the Commission directs PG&amp;E to implement a net MMD of $17.83/mobile home space/month, which translates to $0.58559/mobile home space/day, as </w:t>
      </w:r>
      <w:r w:rsidRPr="00196B50">
        <w:rPr>
          <w:rFonts w:ascii="Book Antiqua" w:hAnsi="Book Antiqua"/>
          <w:noProof/>
        </w:rPr>
        <w:t xml:space="preserve">explained in detail in its </w:t>
      </w:r>
      <w:r w:rsidR="005C6F04" w:rsidRPr="003D2091">
        <w:t xml:space="preserve">Opening Brief </w:t>
      </w:r>
      <w:r w:rsidRPr="00196B50">
        <w:rPr>
          <w:rFonts w:ascii="Book Antiqua" w:hAnsi="Book Antiqua"/>
          <w:noProof/>
        </w:rPr>
        <w:t>and testimony</w:t>
      </w:r>
      <w:r w:rsidRPr="00196B50">
        <w:rPr>
          <w:rFonts w:ascii="Book Antiqua" w:hAnsi="Book Antiqua"/>
        </w:rPr>
        <w:t>.</w:t>
      </w:r>
      <w:r w:rsidRPr="00431F1E">
        <w:rPr>
          <w:rStyle w:val="FootnoteReference"/>
          <w:rFonts w:ascii="Book Antiqua" w:hAnsi="Book Antiqua" w:cs="Arial"/>
          <w:szCs w:val="26"/>
        </w:rPr>
        <w:footnoteReference w:id="144"/>
      </w:r>
    </w:p>
    <w:p w14:paraId="39E1383D" w14:textId="1C789272" w:rsidR="001164FC" w:rsidRPr="00196B50" w:rsidRDefault="001164FC" w:rsidP="006D704F">
      <w:pPr>
        <w:pStyle w:val="standard"/>
        <w:rPr>
          <w:rFonts w:ascii="Book Antiqua" w:hAnsi="Book Antiqua"/>
        </w:rPr>
      </w:pPr>
      <w:bookmarkStart w:id="66" w:name="_Toc522703426"/>
      <w:r w:rsidRPr="00196B50">
        <w:rPr>
          <w:rFonts w:ascii="Book Antiqua" w:hAnsi="Book Antiqua"/>
        </w:rPr>
        <w:t xml:space="preserve">In its brief, PG&amp;E </w:t>
      </w:r>
      <w:bookmarkEnd w:id="66"/>
      <w:r w:rsidRPr="00196B50">
        <w:rPr>
          <w:rFonts w:ascii="Book Antiqua" w:hAnsi="Book Antiqua"/>
        </w:rPr>
        <w:t xml:space="preserve">acknowledged WMA’s objections and recommendations to the methodology used to calculate the discount.  PG&amp;E noted TURN’s recommended revisions to the cost loader factors which reduces </w:t>
      </w:r>
      <w:r w:rsidR="008E081A" w:rsidRPr="00196B50">
        <w:rPr>
          <w:rFonts w:ascii="Book Antiqua" w:hAnsi="Book Antiqua"/>
        </w:rPr>
        <w:t xml:space="preserve">the </w:t>
      </w:r>
      <w:r w:rsidRPr="00196B50">
        <w:rPr>
          <w:rFonts w:ascii="Book Antiqua" w:hAnsi="Book Antiqua"/>
        </w:rPr>
        <w:t>discount while supporting the proposed GLA and DBA proposed by PG&amp;E.  PG&amp;E also emphasized Cal Advocates’ support for its proposed methodologies and values for the master meter discount.  According to PG&amp;E, WMA’s positions on the MMD should be rejected with one exception –</w:t>
      </w:r>
      <w:r w:rsidR="001A1BB7" w:rsidRPr="00196B50">
        <w:rPr>
          <w:rFonts w:ascii="Book Antiqua" w:hAnsi="Book Antiqua"/>
        </w:rPr>
        <w:t xml:space="preserve"> </w:t>
      </w:r>
      <w:r w:rsidRPr="00196B50">
        <w:rPr>
          <w:rFonts w:ascii="Book Antiqua" w:hAnsi="Book Antiqua"/>
        </w:rPr>
        <w:t>the application of the service O&amp;M loader to service equipment costs in addition to meter equipment cost, resulting in a MMD reduction of $1.11.  PG&amp;E believes the Commission should approve its proposed MMD, including PG&amp;E’s DBA.</w:t>
      </w:r>
    </w:p>
    <w:p w14:paraId="103760CB" w14:textId="5896CE18" w:rsidR="001164FC" w:rsidRPr="00196B50" w:rsidRDefault="001164FC" w:rsidP="006D704F">
      <w:pPr>
        <w:pStyle w:val="standard"/>
        <w:rPr>
          <w:rFonts w:ascii="Book Antiqua" w:hAnsi="Book Antiqua"/>
        </w:rPr>
      </w:pPr>
      <w:bookmarkStart w:id="67" w:name="_Toc522703431"/>
      <w:bookmarkStart w:id="68" w:name="_Toc522719778"/>
      <w:r w:rsidRPr="00196B50">
        <w:rPr>
          <w:rFonts w:ascii="Book Antiqua" w:hAnsi="Book Antiqua"/>
        </w:rPr>
        <w:t>TURN proposed three technical updates to the base master meter discount inputs</w:t>
      </w:r>
      <w:bookmarkEnd w:id="67"/>
      <w:r w:rsidRPr="00196B50">
        <w:rPr>
          <w:rFonts w:ascii="Book Antiqua" w:hAnsi="Book Antiqua"/>
        </w:rPr>
        <w:t xml:space="preserve">.  First, TURN requests that PG&amp;E use the Real Economic Carrying </w:t>
      </w:r>
      <w:r w:rsidR="00132E0D" w:rsidRPr="00196B50">
        <w:rPr>
          <w:rFonts w:ascii="Book Antiqua" w:hAnsi="Book Antiqua"/>
        </w:rPr>
        <w:t>charge</w:t>
      </w:r>
      <w:r w:rsidRPr="00196B50">
        <w:rPr>
          <w:rFonts w:ascii="Book Antiqua" w:hAnsi="Book Antiqua"/>
        </w:rPr>
        <w:t xml:space="preserve"> (RECC) factors for services and meters that it developed including the new tax law and the new lower cost of capital.  Second, TURN proposes to modify meter </w:t>
      </w:r>
      <w:r w:rsidRPr="00196B50">
        <w:rPr>
          <w:rFonts w:ascii="Book Antiqua" w:hAnsi="Book Antiqua"/>
        </w:rPr>
        <w:lastRenderedPageBreak/>
        <w:t>reading marginal costs to remove Smart</w:t>
      </w:r>
      <w:r w:rsidR="001A1BB7" w:rsidRPr="00196B50">
        <w:rPr>
          <w:rFonts w:ascii="Book Antiqua" w:hAnsi="Book Antiqua"/>
        </w:rPr>
        <w:t xml:space="preserve"> </w:t>
      </w:r>
      <w:r w:rsidRPr="00196B50">
        <w:rPr>
          <w:rFonts w:ascii="Book Antiqua" w:hAnsi="Book Antiqua"/>
        </w:rPr>
        <w:t>Meter opt-out costs of 45 cents per residential customer and 13 cents per small commercial customer.</w:t>
      </w:r>
      <w:r w:rsidRPr="00431F1E">
        <w:rPr>
          <w:rStyle w:val="FootnoteReference"/>
          <w:rFonts w:ascii="Book Antiqua" w:hAnsi="Book Antiqua"/>
          <w:szCs w:val="26"/>
        </w:rPr>
        <w:footnoteReference w:id="145"/>
      </w:r>
      <w:r w:rsidRPr="00196B50">
        <w:rPr>
          <w:rFonts w:ascii="Book Antiqua" w:hAnsi="Book Antiqua"/>
        </w:rPr>
        <w:t xml:space="preserve">  Third, TURN uses the embedded cost of distribution mains calculated in TURN’s embedded cost study ($726 million system-wide versus PG&amp;E’s $744 million, which TURN later updated in supplemental rebuttal testimony to $751.6 million).  PG&amp;E believes any differences in TURN and PG&amp;E embedded cost methodologies would result in very similar customer class allocations and Schedule GS and GT base component values.</w:t>
      </w:r>
    </w:p>
    <w:p w14:paraId="3788FD0D" w14:textId="77777777" w:rsidR="001164FC" w:rsidRPr="00196B50" w:rsidRDefault="001164FC" w:rsidP="006D704F">
      <w:pPr>
        <w:pStyle w:val="standard"/>
        <w:rPr>
          <w:rFonts w:ascii="Book Antiqua" w:hAnsi="Book Antiqua"/>
        </w:rPr>
      </w:pPr>
      <w:r w:rsidRPr="00196B50">
        <w:rPr>
          <w:rFonts w:ascii="Book Antiqua" w:hAnsi="Book Antiqua"/>
        </w:rPr>
        <w:t xml:space="preserve">PG&amp;E agrees with the first of the three recommended updates by TURN, while opposing the second and remaining neutral on the third as further discussed below.  Otherwise, PG&amp;E indicated that TURN’s proposed updates herein should not prevent the Commission from approving the methodology proposed by PG&amp;E in calculating the discount.  </w:t>
      </w:r>
    </w:p>
    <w:p w14:paraId="1D60A322" w14:textId="6134A92D" w:rsidR="001164FC" w:rsidRPr="00196B50" w:rsidRDefault="001164FC" w:rsidP="006D704F">
      <w:pPr>
        <w:pStyle w:val="standard"/>
        <w:rPr>
          <w:rFonts w:ascii="Book Antiqua" w:hAnsi="Book Antiqua"/>
        </w:rPr>
      </w:pPr>
      <w:r w:rsidRPr="00196B50">
        <w:rPr>
          <w:rFonts w:ascii="Book Antiqua" w:hAnsi="Book Antiqua"/>
        </w:rPr>
        <w:t xml:space="preserve">Regarding the first </w:t>
      </w:r>
      <w:r w:rsidR="006F7328" w:rsidRPr="00196B50">
        <w:rPr>
          <w:rFonts w:ascii="Book Antiqua" w:hAnsi="Book Antiqua"/>
        </w:rPr>
        <w:t xml:space="preserve">of TURN’s </w:t>
      </w:r>
      <w:r w:rsidRPr="00196B50">
        <w:rPr>
          <w:rFonts w:ascii="Book Antiqua" w:hAnsi="Book Antiqua"/>
        </w:rPr>
        <w:t>proposed update, PG&amp;E indicates that “TURN’s updates to the RECC factors for services and meters using the new tax rates and cost of capital are correct” and accordingly, it (PG&amp;E) has agreed</w:t>
      </w:r>
      <w:r w:rsidRPr="00431F1E">
        <w:rPr>
          <w:rStyle w:val="FootnoteReference"/>
          <w:rFonts w:ascii="Book Antiqua" w:hAnsi="Book Antiqua"/>
          <w:szCs w:val="26"/>
        </w:rPr>
        <w:footnoteReference w:id="146"/>
      </w:r>
      <w:r w:rsidRPr="00196B50">
        <w:rPr>
          <w:rFonts w:ascii="Book Antiqua" w:hAnsi="Book Antiqua"/>
        </w:rPr>
        <w:t xml:space="preserve"> to update the RECC for the corporate tax rate in the new tax act and the new Cost of Capital.  In addition, PG&amp;E has agreed to update GCAP gas GT and GS MMD “Base” amounts, and recalculate and update it for tax and cost of capital impacts at the time of implementation.  We accept these stipulations</w:t>
      </w:r>
      <w:r w:rsidR="001A1BB7" w:rsidRPr="00196B50">
        <w:rPr>
          <w:rFonts w:ascii="Book Antiqua" w:hAnsi="Book Antiqua"/>
        </w:rPr>
        <w:t>.</w:t>
      </w:r>
      <w:r w:rsidRPr="00196B50">
        <w:rPr>
          <w:rFonts w:ascii="Book Antiqua" w:hAnsi="Book Antiqua"/>
        </w:rPr>
        <w:t xml:space="preserve"> PG&amp;E shall update the RECC for the corporate tax rate in the new tax act and the new Cost of Capital; and update GCAP gas GT and GS MMD “Base” amounts, and recalculate and update </w:t>
      </w:r>
      <w:r w:rsidR="006F7328" w:rsidRPr="00196B50">
        <w:rPr>
          <w:rFonts w:ascii="Book Antiqua" w:hAnsi="Book Antiqua"/>
        </w:rPr>
        <w:t>them</w:t>
      </w:r>
      <w:r w:rsidRPr="00196B50">
        <w:rPr>
          <w:rFonts w:ascii="Book Antiqua" w:hAnsi="Book Antiqua"/>
        </w:rPr>
        <w:t xml:space="preserve"> for tax and cost of capital impacts at the time of implementation</w:t>
      </w:r>
      <w:r w:rsidR="006F7328" w:rsidRPr="00196B50">
        <w:rPr>
          <w:rFonts w:ascii="Book Antiqua" w:hAnsi="Book Antiqua"/>
        </w:rPr>
        <w:t>.</w:t>
      </w:r>
    </w:p>
    <w:p w14:paraId="1F5F06CD" w14:textId="70502151" w:rsidR="001164FC" w:rsidRPr="00196B50" w:rsidRDefault="001164FC" w:rsidP="006D704F">
      <w:pPr>
        <w:pStyle w:val="standard"/>
        <w:rPr>
          <w:rFonts w:ascii="Book Antiqua" w:hAnsi="Book Antiqua"/>
        </w:rPr>
      </w:pPr>
      <w:r w:rsidRPr="00196B50">
        <w:rPr>
          <w:rFonts w:ascii="Book Antiqua" w:hAnsi="Book Antiqua"/>
        </w:rPr>
        <w:lastRenderedPageBreak/>
        <w:t>Regarding the other two TURN proposed updates, PG&amp;E indicated that it disagrees with TURN’s conclusion that SmartMeter opt cost is not marginal;</w:t>
      </w:r>
      <w:r w:rsidRPr="00431F1E">
        <w:rPr>
          <w:rStyle w:val="FootnoteReference"/>
          <w:rFonts w:ascii="Book Antiqua" w:hAnsi="Book Antiqua"/>
          <w:szCs w:val="26"/>
        </w:rPr>
        <w:footnoteReference w:id="147"/>
      </w:r>
      <w:r w:rsidR="003234BB" w:rsidRPr="00196B50">
        <w:rPr>
          <w:rFonts w:ascii="Book Antiqua" w:hAnsi="Book Antiqua"/>
        </w:rPr>
        <w:t xml:space="preserve"> </w:t>
      </w:r>
      <w:r w:rsidRPr="00196B50">
        <w:rPr>
          <w:rFonts w:ascii="Book Antiqua" w:hAnsi="Book Antiqua"/>
        </w:rPr>
        <w:t>and thus PG&amp;E requested that these costs continue to be included in a marginal cost calculation.</w:t>
      </w:r>
      <w:r w:rsidRPr="00431F1E">
        <w:rPr>
          <w:rStyle w:val="FootnoteReference"/>
          <w:rFonts w:ascii="Book Antiqua" w:hAnsi="Book Antiqua"/>
          <w:szCs w:val="26"/>
        </w:rPr>
        <w:footnoteReference w:id="148"/>
      </w:r>
      <w:r w:rsidRPr="00196B50">
        <w:rPr>
          <w:rFonts w:ascii="Book Antiqua" w:hAnsi="Book Antiqua"/>
        </w:rPr>
        <w:t xml:space="preserve">   We conclude that this record is insufficient to evaluate the second and third of </w:t>
      </w:r>
      <w:r w:rsidR="00A4780B">
        <w:rPr>
          <w:rFonts w:ascii="Book Antiqua" w:hAnsi="Book Antiqua"/>
        </w:rPr>
        <w:t>TRUN</w:t>
      </w:r>
      <w:r w:rsidR="00A4780B" w:rsidRPr="00196B50">
        <w:rPr>
          <w:rFonts w:ascii="Book Antiqua" w:hAnsi="Book Antiqua"/>
        </w:rPr>
        <w:t xml:space="preserve">’s </w:t>
      </w:r>
      <w:r w:rsidRPr="00196B50">
        <w:rPr>
          <w:rFonts w:ascii="Book Antiqua" w:hAnsi="Book Antiqua"/>
        </w:rPr>
        <w:t>proposed updates herein, and accordingly these proposals are rejected.</w:t>
      </w:r>
    </w:p>
    <w:p w14:paraId="1B94A9D6" w14:textId="789C5985" w:rsidR="001164FC" w:rsidRPr="00196B50" w:rsidRDefault="001164FC" w:rsidP="006D704F">
      <w:pPr>
        <w:pStyle w:val="standard"/>
        <w:rPr>
          <w:rFonts w:ascii="Book Antiqua" w:hAnsi="Book Antiqua"/>
        </w:rPr>
      </w:pPr>
      <w:r w:rsidRPr="00196B50">
        <w:rPr>
          <w:rFonts w:ascii="Book Antiqua" w:hAnsi="Book Antiqua"/>
        </w:rPr>
        <w:t>In addition, TURN noted that PG&amp;E underestimated the MMD as a result</w:t>
      </w:r>
      <w:r w:rsidRPr="00431F1E">
        <w:rPr>
          <w:rStyle w:val="FootnoteReference"/>
          <w:rFonts w:ascii="Book Antiqua" w:hAnsi="Book Antiqua"/>
          <w:szCs w:val="26"/>
        </w:rPr>
        <w:footnoteReference w:id="149"/>
      </w:r>
      <w:r w:rsidRPr="00196B50">
        <w:rPr>
          <w:rFonts w:ascii="Book Antiqua" w:hAnsi="Book Antiqua"/>
        </w:rPr>
        <w:t xml:space="preserve"> and that the DBA should be eliminated in the calculation of the master meter discount.</w:t>
      </w:r>
      <w:r w:rsidRPr="00431F1E">
        <w:rPr>
          <w:rStyle w:val="FootnoteReference"/>
          <w:rFonts w:ascii="Book Antiqua" w:hAnsi="Book Antiqua"/>
          <w:szCs w:val="26"/>
        </w:rPr>
        <w:footnoteReference w:id="150"/>
      </w:r>
      <w:bookmarkStart w:id="69" w:name="_Toc522716187"/>
      <w:r w:rsidR="003E0FE6" w:rsidRPr="00196B50">
        <w:rPr>
          <w:rFonts w:ascii="Book Antiqua" w:hAnsi="Book Antiqua"/>
        </w:rPr>
        <w:t xml:space="preserve"> </w:t>
      </w:r>
      <w:r w:rsidRPr="00196B50">
        <w:rPr>
          <w:rFonts w:ascii="Book Antiqua" w:hAnsi="Book Antiqua"/>
        </w:rPr>
        <w:t xml:space="preserve">TURN argues that </w:t>
      </w:r>
      <w:bookmarkEnd w:id="69"/>
      <w:r w:rsidRPr="00196B50">
        <w:rPr>
          <w:rFonts w:ascii="Book Antiqua" w:hAnsi="Book Antiqua"/>
        </w:rPr>
        <w:t>the Commission has repeatedly rejected WMA’s arguments for use of an Equal Percentage of Marginal Cost (EPMC) scalar</w:t>
      </w:r>
      <w:r w:rsidRPr="00431F1E">
        <w:rPr>
          <w:rStyle w:val="FootnoteReference"/>
          <w:rFonts w:ascii="Book Antiqua" w:hAnsi="Book Antiqua"/>
          <w:szCs w:val="26"/>
        </w:rPr>
        <w:footnoteReference w:id="151"/>
      </w:r>
      <w:r w:rsidRPr="00196B50">
        <w:rPr>
          <w:rFonts w:ascii="Book Antiqua" w:hAnsi="Book Antiqua"/>
        </w:rPr>
        <w:t xml:space="preserve"> and has also rejected the use of residential average costs instead of multi-family costs.</w:t>
      </w:r>
      <w:r w:rsidRPr="00431F1E">
        <w:rPr>
          <w:rStyle w:val="FootnoteReference"/>
          <w:rFonts w:ascii="Book Antiqua" w:hAnsi="Book Antiqua"/>
          <w:szCs w:val="26"/>
        </w:rPr>
        <w:footnoteReference w:id="152"/>
      </w:r>
      <w:r w:rsidRPr="00196B50">
        <w:rPr>
          <w:rFonts w:ascii="Book Antiqua" w:hAnsi="Book Antiqua"/>
        </w:rPr>
        <w:t xml:space="preserve">  Lastly, TURN pointed out that the sampling methodology used to calculate the DBA that WMA now claims is flawed was jointly developed by WMA and PG&amp;E in 2007; it has been repeatedly adopted by the Commission since that time.</w:t>
      </w:r>
      <w:r w:rsidRPr="00431F1E">
        <w:rPr>
          <w:rStyle w:val="FootnoteReference"/>
          <w:rFonts w:ascii="Book Antiqua" w:hAnsi="Book Antiqua"/>
          <w:szCs w:val="26"/>
        </w:rPr>
        <w:footnoteReference w:id="153"/>
      </w:r>
    </w:p>
    <w:p w14:paraId="31443589" w14:textId="2B9FFA39" w:rsidR="001164FC" w:rsidRPr="00196B50" w:rsidRDefault="001164FC" w:rsidP="006D704F">
      <w:pPr>
        <w:pStyle w:val="standard"/>
        <w:rPr>
          <w:rFonts w:ascii="Book Antiqua" w:hAnsi="Book Antiqua"/>
        </w:rPr>
      </w:pPr>
      <w:r w:rsidRPr="00196B50">
        <w:rPr>
          <w:rFonts w:ascii="Book Antiqua" w:hAnsi="Book Antiqua"/>
        </w:rPr>
        <w:t xml:space="preserve">TURN indicated its full support for PG&amp;E’s rebuttal testimony which addresses these proposals and recommends that the Commission reject all of WMA’s proposals except one – to apply the service O&amp;M loader to service </w:t>
      </w:r>
      <w:r w:rsidRPr="00196B50">
        <w:rPr>
          <w:rFonts w:ascii="Book Antiqua" w:hAnsi="Book Antiqua"/>
        </w:rPr>
        <w:lastRenderedPageBreak/>
        <w:t>equipment costs in addition to meter equipment cost, resulting in a $1.11 reduction to the master meter discount.</w:t>
      </w:r>
      <w:r w:rsidRPr="00431F1E">
        <w:rPr>
          <w:rStyle w:val="FootnoteReference"/>
          <w:rFonts w:ascii="Book Antiqua" w:hAnsi="Book Antiqua"/>
          <w:szCs w:val="26"/>
        </w:rPr>
        <w:footnoteReference w:id="154"/>
      </w:r>
      <w:r w:rsidRPr="00196B50">
        <w:rPr>
          <w:rFonts w:ascii="Book Antiqua" w:hAnsi="Book Antiqua"/>
        </w:rPr>
        <w:t xml:space="preserve">  </w:t>
      </w:r>
    </w:p>
    <w:p w14:paraId="20C6847D" w14:textId="77777777" w:rsidR="001164FC" w:rsidRPr="00196B50" w:rsidRDefault="001164FC" w:rsidP="006D704F">
      <w:pPr>
        <w:pStyle w:val="standard"/>
        <w:rPr>
          <w:rFonts w:ascii="Book Antiqua" w:hAnsi="Book Antiqua"/>
        </w:rPr>
      </w:pPr>
      <w:r w:rsidRPr="00196B50">
        <w:rPr>
          <w:rFonts w:ascii="Book Antiqua" w:hAnsi="Book Antiqua"/>
        </w:rPr>
        <w:t>Cal Advocates do</w:t>
      </w:r>
      <w:r w:rsidR="001A1BB7" w:rsidRPr="00196B50">
        <w:rPr>
          <w:rFonts w:ascii="Book Antiqua" w:hAnsi="Book Antiqua"/>
        </w:rPr>
        <w:t>es</w:t>
      </w:r>
      <w:r w:rsidRPr="00196B50">
        <w:rPr>
          <w:rFonts w:ascii="Book Antiqua" w:hAnsi="Book Antiqua"/>
        </w:rPr>
        <w:t xml:space="preserve"> not oppose PG&amp;E’s proposed MMD or</w:t>
      </w:r>
      <w:r w:rsidR="001A1BB7" w:rsidRPr="00196B50">
        <w:rPr>
          <w:rFonts w:ascii="Book Antiqua" w:hAnsi="Book Antiqua"/>
        </w:rPr>
        <w:t xml:space="preserve"> </w:t>
      </w:r>
      <w:r w:rsidRPr="00196B50">
        <w:rPr>
          <w:rFonts w:ascii="Book Antiqua" w:hAnsi="Book Antiqua"/>
        </w:rPr>
        <w:t xml:space="preserve">PG&amp;E’s </w:t>
      </w:r>
      <w:r w:rsidRPr="007E4247">
        <w:rPr>
          <w:rStyle w:val="Heading2Char"/>
          <w:rFonts w:ascii="Book Antiqua" w:eastAsiaTheme="minorHAnsi" w:hAnsi="Book Antiqua"/>
          <w:b w:val="0"/>
        </w:rPr>
        <w:t>proposed Master Meter DBA.  Specifically</w:t>
      </w:r>
      <w:r w:rsidRPr="00500A1F">
        <w:rPr>
          <w:rStyle w:val="Heading2Char"/>
          <w:rFonts w:ascii="Book Antiqua" w:eastAsiaTheme="minorHAnsi" w:hAnsi="Book Antiqua"/>
        </w:rPr>
        <w:t xml:space="preserve">, </w:t>
      </w:r>
      <w:r w:rsidRPr="00196B50">
        <w:rPr>
          <w:rFonts w:ascii="Book Antiqua" w:hAnsi="Book Antiqua"/>
        </w:rPr>
        <w:t>Cal Advocates explained that it does not oppose PG&amp;E’s MMD method of using the rental method to determine the access-related costs for Schedules GS and GT and the distribution line-related avoided costs, applicable to only Schedule GT.</w:t>
      </w:r>
      <w:r w:rsidRPr="008550CD">
        <w:rPr>
          <w:rStyle w:val="FootnoteReference"/>
          <w:rFonts w:ascii="Book Antiqua" w:hAnsi="Book Antiqua"/>
          <w:szCs w:val="26"/>
        </w:rPr>
        <w:footnoteReference w:id="155"/>
      </w:r>
      <w:r w:rsidRPr="00196B50">
        <w:rPr>
          <w:rFonts w:ascii="Book Antiqua" w:hAnsi="Book Antiqua"/>
        </w:rPr>
        <w:t xml:space="preserve">  Cal Advocates do</w:t>
      </w:r>
      <w:r w:rsidR="001A1BB7" w:rsidRPr="00196B50">
        <w:rPr>
          <w:rFonts w:ascii="Book Antiqua" w:hAnsi="Book Antiqua"/>
        </w:rPr>
        <w:t>es</w:t>
      </w:r>
      <w:r w:rsidRPr="00196B50">
        <w:rPr>
          <w:rFonts w:ascii="Book Antiqua" w:hAnsi="Book Antiqua"/>
        </w:rPr>
        <w:t xml:space="preserve"> not challenge PG&amp;E’s results of its study regarding the proposed Baseline DBA amount.</w:t>
      </w:r>
      <w:r w:rsidRPr="00431F1E">
        <w:rPr>
          <w:rStyle w:val="FootnoteReference"/>
          <w:rFonts w:ascii="Book Antiqua" w:hAnsi="Book Antiqua"/>
          <w:szCs w:val="26"/>
        </w:rPr>
        <w:footnoteReference w:id="156"/>
      </w:r>
    </w:p>
    <w:p w14:paraId="7AD58054" w14:textId="41A25C73" w:rsidR="001164FC" w:rsidRPr="00431F1E" w:rsidRDefault="001164FC" w:rsidP="006D704F">
      <w:pPr>
        <w:pStyle w:val="standard"/>
        <w:rPr>
          <w:rStyle w:val="Heading2Char"/>
          <w:rFonts w:ascii="Book Antiqua" w:eastAsiaTheme="minorHAnsi" w:hAnsi="Book Antiqua"/>
          <w:b w:val="0"/>
        </w:rPr>
      </w:pPr>
      <w:r w:rsidRPr="00196B50">
        <w:rPr>
          <w:rFonts w:ascii="Book Antiqua" w:eastAsia="Book Antiqua" w:hAnsi="Book Antiqua"/>
        </w:rPr>
        <w:t xml:space="preserve">As explained by </w:t>
      </w:r>
      <w:r w:rsidRPr="00196B50">
        <w:rPr>
          <w:rFonts w:ascii="Book Antiqua" w:hAnsi="Book Antiqua"/>
        </w:rPr>
        <w:t xml:space="preserve">Cal Advocates </w:t>
      </w:r>
      <w:r w:rsidR="003E0FE6" w:rsidRPr="00196B50">
        <w:rPr>
          <w:rFonts w:ascii="Book Antiqua" w:hAnsi="Book Antiqua"/>
        </w:rPr>
        <w:t>O</w:t>
      </w:r>
      <w:r w:rsidRPr="00196B50">
        <w:rPr>
          <w:rFonts w:ascii="Book Antiqua" w:hAnsi="Book Antiqua"/>
        </w:rPr>
        <w:t xml:space="preserve">pening </w:t>
      </w:r>
      <w:r w:rsidR="003E0FE6" w:rsidRPr="00196B50">
        <w:rPr>
          <w:rFonts w:ascii="Book Antiqua" w:hAnsi="Book Antiqua"/>
        </w:rPr>
        <w:t>B</w:t>
      </w:r>
      <w:r w:rsidRPr="00196B50">
        <w:rPr>
          <w:rFonts w:ascii="Book Antiqua" w:hAnsi="Book Antiqua"/>
        </w:rPr>
        <w:t xml:space="preserve">rief </w:t>
      </w:r>
      <w:r w:rsidR="003E0FE6" w:rsidRPr="00196B50">
        <w:rPr>
          <w:rFonts w:ascii="Book Antiqua" w:hAnsi="Book Antiqua"/>
        </w:rPr>
        <w:t>(</w:t>
      </w:r>
      <w:r w:rsidRPr="00196B50">
        <w:rPr>
          <w:rFonts w:ascii="Book Antiqua" w:hAnsi="Book Antiqua"/>
        </w:rPr>
        <w:t>at 9), the access-related costs is $3.36 per space per month, or $0.11041 per space per day for Schedule GT.  It is $2.18 per unit per month, or $0.07177 per unit per day, for Schedule GS</w:t>
      </w:r>
      <w:r w:rsidRPr="00431F1E">
        <w:rPr>
          <w:rStyle w:val="FootnoteReference"/>
          <w:rFonts w:ascii="Book Antiqua" w:hAnsi="Book Antiqua"/>
          <w:szCs w:val="26"/>
        </w:rPr>
        <w:footnoteReference w:id="157"/>
      </w:r>
      <w:r w:rsidRPr="00196B50">
        <w:rPr>
          <w:rFonts w:ascii="Book Antiqua" w:hAnsi="Book Antiqua"/>
        </w:rPr>
        <w:t xml:space="preserve"> subject to update upon implementation with then-effective rates and proposed baseline quantities.</w:t>
      </w:r>
      <w:r w:rsidRPr="00431F1E">
        <w:rPr>
          <w:rStyle w:val="FootnoteReference"/>
          <w:rFonts w:ascii="Book Antiqua" w:hAnsi="Book Antiqua"/>
          <w:szCs w:val="26"/>
        </w:rPr>
        <w:footnoteReference w:id="158"/>
      </w:r>
      <w:r w:rsidR="001A1BB7" w:rsidRPr="00196B50">
        <w:rPr>
          <w:rFonts w:ascii="Book Antiqua" w:hAnsi="Book Antiqua"/>
        </w:rPr>
        <w:t xml:space="preserve"> </w:t>
      </w:r>
      <w:r w:rsidR="00653812">
        <w:rPr>
          <w:rFonts w:ascii="Book Antiqua" w:hAnsi="Book Antiqua"/>
        </w:rPr>
        <w:t xml:space="preserve"> </w:t>
      </w:r>
      <w:r w:rsidRPr="007E4247">
        <w:rPr>
          <w:rStyle w:val="Heading2Char"/>
          <w:rFonts w:ascii="Book Antiqua" w:eastAsiaTheme="minorHAnsi" w:hAnsi="Book Antiqua"/>
          <w:b w:val="0"/>
        </w:rPr>
        <w:t xml:space="preserve">Thus, Cal Advocates </w:t>
      </w:r>
      <w:r w:rsidR="00C41402" w:rsidRPr="00C41402">
        <w:rPr>
          <w:rStyle w:val="Heading2Char"/>
          <w:rFonts w:ascii="Book Antiqua" w:eastAsiaTheme="minorHAnsi" w:hAnsi="Book Antiqua"/>
          <w:b w:val="0"/>
        </w:rPr>
        <w:t xml:space="preserve">recommends </w:t>
      </w:r>
      <w:r w:rsidRPr="007E4247">
        <w:rPr>
          <w:rStyle w:val="Heading2Char"/>
          <w:rFonts w:ascii="Book Antiqua" w:eastAsiaTheme="minorHAnsi" w:hAnsi="Book Antiqua"/>
          <w:b w:val="0"/>
        </w:rPr>
        <w:t xml:space="preserve">that the Commission apply PG&amp;E’s </w:t>
      </w:r>
      <w:r w:rsidRPr="00196B50">
        <w:rPr>
          <w:rFonts w:ascii="Book Antiqua" w:hAnsi="Book Antiqua"/>
        </w:rPr>
        <w:t>MMD</w:t>
      </w:r>
      <w:r w:rsidRPr="007E4247">
        <w:rPr>
          <w:rStyle w:val="Heading2Char"/>
          <w:rFonts w:ascii="Book Antiqua" w:eastAsiaTheme="minorHAnsi" w:hAnsi="Book Antiqua"/>
          <w:b w:val="0"/>
        </w:rPr>
        <w:t xml:space="preserve"> method using the rental method on a marginal costs approach in order to determine the</w:t>
      </w:r>
      <w:r w:rsidRPr="005E0AC5">
        <w:rPr>
          <w:rStyle w:val="Heading2Char"/>
          <w:rFonts w:ascii="Book Antiqua" w:eastAsiaTheme="minorHAnsi" w:hAnsi="Book Antiqua"/>
          <w:b w:val="0"/>
        </w:rPr>
        <w:t xml:space="preserve"> access-related costs for Schedules GS and GT and the distribution line-related avoided costs, applicable to only Schedule GT.</w:t>
      </w:r>
    </w:p>
    <w:p w14:paraId="6BA91D4F" w14:textId="29A971D9" w:rsidR="001164FC" w:rsidRPr="00196B50" w:rsidRDefault="001164FC" w:rsidP="006D704F">
      <w:pPr>
        <w:pStyle w:val="standard"/>
        <w:rPr>
          <w:rFonts w:ascii="Book Antiqua" w:hAnsi="Book Antiqua"/>
        </w:rPr>
      </w:pPr>
      <w:bookmarkStart w:id="70" w:name="_Toc522703427"/>
      <w:bookmarkEnd w:id="68"/>
      <w:r w:rsidRPr="00196B50">
        <w:rPr>
          <w:rFonts w:ascii="Book Antiqua" w:hAnsi="Book Antiqua"/>
        </w:rPr>
        <w:t xml:space="preserve">Based on this record, we agree with PG&amp;E’s and TURN’s arguments that the Commission should reject WMA’s recommendation to use the rental method instead of the </w:t>
      </w:r>
      <w:r w:rsidR="00236CE5" w:rsidRPr="00196B50">
        <w:rPr>
          <w:rFonts w:ascii="Book Antiqua" w:hAnsi="Book Antiqua"/>
        </w:rPr>
        <w:t>NCO</w:t>
      </w:r>
      <w:r w:rsidRPr="00196B50">
        <w:rPr>
          <w:rFonts w:ascii="Book Antiqua" w:hAnsi="Book Antiqua"/>
        </w:rPr>
        <w:t xml:space="preserve"> method for estimating marginal credit and collections </w:t>
      </w:r>
      <w:r w:rsidRPr="00196B50">
        <w:rPr>
          <w:rFonts w:ascii="Book Antiqua" w:hAnsi="Book Antiqua"/>
        </w:rPr>
        <w:lastRenderedPageBreak/>
        <w:t>costs.</w:t>
      </w:r>
      <w:r w:rsidRPr="00431F1E">
        <w:rPr>
          <w:rStyle w:val="FootnoteReference"/>
          <w:rFonts w:ascii="Book Antiqua" w:hAnsi="Book Antiqua"/>
          <w:color w:val="000000" w:themeColor="text1"/>
          <w:szCs w:val="26"/>
        </w:rPr>
        <w:footnoteReference w:id="159"/>
      </w:r>
      <w:r w:rsidRPr="00196B50">
        <w:rPr>
          <w:rFonts w:ascii="Book Antiqua" w:hAnsi="Book Antiqua"/>
        </w:rPr>
        <w:t xml:space="preserve">  As PG&amp;E explained in its </w:t>
      </w:r>
      <w:r w:rsidR="005C6F04" w:rsidRPr="003D2091">
        <w:t>Opening Brief</w:t>
      </w:r>
      <w:r w:rsidRPr="00196B50">
        <w:rPr>
          <w:rFonts w:ascii="Book Antiqua" w:hAnsi="Book Antiqua"/>
        </w:rPr>
        <w:t>, NCO is appropriate to estimate marginal credit and collection costs because:</w:t>
      </w:r>
    </w:p>
    <w:p w14:paraId="51D65736" w14:textId="289A5F39" w:rsidR="001164FC" w:rsidRDefault="001164FC" w:rsidP="00A536E5">
      <w:pPr>
        <w:tabs>
          <w:tab w:val="right" w:pos="810"/>
        </w:tabs>
        <w:ind w:left="1080" w:right="1440"/>
        <w:rPr>
          <w:szCs w:val="26"/>
        </w:rPr>
      </w:pPr>
      <w:r w:rsidRPr="007E4247">
        <w:rPr>
          <w:szCs w:val="26"/>
        </w:rPr>
        <w:t>…there have been no n</w:t>
      </w:r>
      <w:r w:rsidRPr="00500A1F">
        <w:rPr>
          <w:szCs w:val="26"/>
        </w:rPr>
        <w:t xml:space="preserve">ew master metered mobile home parks constructed for approximately two decades, the RCS  [Revenue Cycle Services] costs having the credit and collections component with the account setup subcomponent cost stated on a per-customer basis across all customers </w:t>
      </w:r>
      <w:r w:rsidRPr="005E0AC5">
        <w:rPr>
          <w:szCs w:val="26"/>
        </w:rPr>
        <w:t>in a class better reflects PG&amp;E’s avoided cost of not otherwise directly metering the tenants of master metered mobile home parks. The RCS costs as used in PG&amp;E’s NCO method MCAC more accurately represents the very low costs incurred by park operators who in fact are generally not hooking up new customers</w:t>
      </w:r>
      <w:r w:rsidR="001A1BB7">
        <w:rPr>
          <w:szCs w:val="26"/>
        </w:rPr>
        <w:t>.</w:t>
      </w:r>
      <w:r w:rsidRPr="007E4247">
        <w:rPr>
          <w:rStyle w:val="FootnoteReference"/>
          <w:szCs w:val="26"/>
        </w:rPr>
        <w:footnoteReference w:id="160"/>
      </w:r>
    </w:p>
    <w:p w14:paraId="20B75DFA" w14:textId="77777777" w:rsidR="00C617B4" w:rsidRPr="007E4247" w:rsidRDefault="00C617B4" w:rsidP="00A536E5">
      <w:pPr>
        <w:tabs>
          <w:tab w:val="right" w:pos="810"/>
        </w:tabs>
        <w:ind w:left="1080" w:right="1440"/>
        <w:rPr>
          <w:szCs w:val="26"/>
        </w:rPr>
      </w:pPr>
    </w:p>
    <w:p w14:paraId="26DC81AB" w14:textId="4543E812" w:rsidR="001164FC" w:rsidRPr="00196B50" w:rsidRDefault="00236CE5" w:rsidP="006D704F">
      <w:pPr>
        <w:pStyle w:val="standard"/>
        <w:rPr>
          <w:rFonts w:ascii="Book Antiqua" w:hAnsi="Book Antiqua"/>
        </w:rPr>
      </w:pPr>
      <w:r w:rsidRPr="00196B50">
        <w:rPr>
          <w:rFonts w:ascii="Book Antiqua" w:hAnsi="Book Antiqua"/>
        </w:rPr>
        <w:t>The</w:t>
      </w:r>
      <w:r w:rsidR="001164FC" w:rsidRPr="00196B50">
        <w:rPr>
          <w:rFonts w:ascii="Book Antiqua" w:hAnsi="Book Antiqua"/>
        </w:rPr>
        <w:t xml:space="preserve"> Commission has </w:t>
      </w:r>
      <w:r w:rsidR="00C617B4" w:rsidRPr="00196B50">
        <w:rPr>
          <w:rFonts w:ascii="Book Antiqua" w:hAnsi="Book Antiqua"/>
        </w:rPr>
        <w:t xml:space="preserve">consistently </w:t>
      </w:r>
      <w:r w:rsidR="001164FC" w:rsidRPr="00196B50">
        <w:rPr>
          <w:rFonts w:ascii="Book Antiqua" w:hAnsi="Book Antiqua"/>
        </w:rPr>
        <w:t>rejected the use of an EPMC scalar,</w:t>
      </w:r>
      <w:r w:rsidR="001164FC" w:rsidRPr="00431F1E">
        <w:rPr>
          <w:rStyle w:val="FootnoteReference"/>
          <w:rFonts w:ascii="Book Antiqua" w:hAnsi="Book Antiqua"/>
          <w:szCs w:val="26"/>
        </w:rPr>
        <w:footnoteReference w:id="161"/>
      </w:r>
      <w:r w:rsidR="001164FC" w:rsidRPr="00196B50">
        <w:rPr>
          <w:rFonts w:ascii="Book Antiqua" w:hAnsi="Book Antiqua"/>
        </w:rPr>
        <w:t xml:space="preserve"> and the use of residential average costs instead of multi-family costs</w:t>
      </w:r>
      <w:r w:rsidRPr="00196B50">
        <w:rPr>
          <w:rFonts w:ascii="Book Antiqua" w:hAnsi="Book Antiqua"/>
        </w:rPr>
        <w:t>.</w:t>
      </w:r>
      <w:r w:rsidR="001164FC" w:rsidRPr="00196B50">
        <w:rPr>
          <w:rFonts w:ascii="Book Antiqua" w:hAnsi="Book Antiqua"/>
        </w:rPr>
        <w:t xml:space="preserve">  We reject WMA’s proposal to use these here as well.</w:t>
      </w:r>
      <w:r w:rsidR="001164FC" w:rsidRPr="00431F1E">
        <w:rPr>
          <w:rStyle w:val="FootnoteReference"/>
          <w:rFonts w:ascii="Book Antiqua" w:hAnsi="Book Antiqua"/>
          <w:szCs w:val="26"/>
        </w:rPr>
        <w:footnoteReference w:id="162"/>
      </w:r>
      <w:r w:rsidR="001164FC" w:rsidRPr="00196B50">
        <w:rPr>
          <w:rFonts w:ascii="Book Antiqua" w:hAnsi="Book Antiqua"/>
        </w:rPr>
        <w:t xml:space="preserve">  In addition, the Commission has rejected the use of the entire residential class as a proxy for the cost of service connections for mobile home parks.</w:t>
      </w:r>
      <w:r w:rsidR="001164FC" w:rsidRPr="00431F1E">
        <w:rPr>
          <w:rStyle w:val="FootnoteReference"/>
          <w:rFonts w:ascii="Book Antiqua" w:hAnsi="Book Antiqua"/>
          <w:szCs w:val="26"/>
        </w:rPr>
        <w:footnoteReference w:id="163"/>
      </w:r>
      <w:r w:rsidR="001164FC" w:rsidRPr="00196B50">
        <w:rPr>
          <w:rFonts w:ascii="Book Antiqua" w:hAnsi="Book Antiqua"/>
        </w:rPr>
        <w:t xml:space="preserve"> We are not persuaded by WMA’s arguments in favor of utilizing a residential class average figure for purposes of calculating the MMD. </w:t>
      </w:r>
    </w:p>
    <w:p w14:paraId="746748CC" w14:textId="77777777" w:rsidR="001164FC" w:rsidRPr="00196B50" w:rsidRDefault="001164FC" w:rsidP="006D704F">
      <w:pPr>
        <w:pStyle w:val="standard"/>
        <w:rPr>
          <w:rFonts w:ascii="Book Antiqua" w:hAnsi="Book Antiqua"/>
        </w:rPr>
      </w:pPr>
      <w:r w:rsidRPr="00196B50">
        <w:rPr>
          <w:rFonts w:ascii="Book Antiqua" w:hAnsi="Book Antiqua"/>
        </w:rPr>
        <w:t>Nonetheless, we find that WMA correctly identified an error in applying an O&amp;M service loader to the base master meter discount; correcting this error will reduce the base discount proposed by PG&amp;E.</w:t>
      </w:r>
      <w:bookmarkEnd w:id="70"/>
      <w:r w:rsidRPr="00196B50">
        <w:rPr>
          <w:rFonts w:ascii="Book Antiqua" w:hAnsi="Book Antiqua"/>
        </w:rPr>
        <w:t xml:space="preserve">  PG&amp;E inadvertently applied </w:t>
      </w:r>
      <w:r w:rsidRPr="00196B50">
        <w:rPr>
          <w:rFonts w:ascii="Book Antiqua" w:hAnsi="Book Antiqua"/>
        </w:rPr>
        <w:lastRenderedPageBreak/>
        <w:t>an O&amp;M loader (4.11 percent) to the meter disconnection cost of $485.07</w:t>
      </w:r>
      <w:r w:rsidRPr="00431F1E">
        <w:rPr>
          <w:rStyle w:val="FootnoteReference"/>
          <w:rFonts w:ascii="Book Antiqua" w:hAnsi="Book Antiqua"/>
          <w:szCs w:val="26"/>
        </w:rPr>
        <w:footnoteReference w:id="164"/>
      </w:r>
      <w:r w:rsidRPr="00196B50">
        <w:rPr>
          <w:rFonts w:ascii="Book Antiqua" w:hAnsi="Book Antiqua"/>
        </w:rPr>
        <w:t xml:space="preserve">  instead of applying the service loader to multi-family service costs of $151.63.   PG&amp;E has corrected this error, and with this correction, PG&amp;E’s prior proposed base amount of $12.61 is revised to $11.50 per space per month, a $1.11 reduction in both the base and net amount for the monthly Schedule GT MMD.  Accordingly, the Schedule GT net discount reduces to $9.22 based on the illustrative GLA and DBA values, excluding the updates for tax and cost of capital factors.  The multi-family Schedule GS base and net MMD are not affected.</w:t>
      </w:r>
      <w:r w:rsidRPr="00431F1E">
        <w:rPr>
          <w:rStyle w:val="FootnoteReference"/>
          <w:rFonts w:ascii="Book Antiqua" w:hAnsi="Book Antiqua"/>
          <w:szCs w:val="26"/>
        </w:rPr>
        <w:footnoteReference w:id="165"/>
      </w:r>
    </w:p>
    <w:p w14:paraId="3960A57B" w14:textId="04D38F95" w:rsidR="001164FC" w:rsidRPr="00196B50" w:rsidRDefault="001164FC" w:rsidP="006D704F">
      <w:pPr>
        <w:pStyle w:val="standard"/>
        <w:rPr>
          <w:rFonts w:ascii="Book Antiqua" w:hAnsi="Book Antiqua"/>
        </w:rPr>
      </w:pPr>
      <w:r w:rsidRPr="00196B50">
        <w:rPr>
          <w:rFonts w:ascii="Book Antiqua" w:hAnsi="Book Antiqua"/>
        </w:rPr>
        <w:t xml:space="preserve">We find that PG&amp;E met its burden on its </w:t>
      </w:r>
      <w:r w:rsidRPr="00196B50">
        <w:rPr>
          <w:rFonts w:ascii="Book Antiqua" w:hAnsi="Book Antiqua" w:cs="Helvetica"/>
        </w:rPr>
        <w:t xml:space="preserve">proposals to update the </w:t>
      </w:r>
      <w:r w:rsidRPr="00196B50">
        <w:rPr>
          <w:rFonts w:ascii="Book Antiqua" w:hAnsi="Book Antiqua"/>
        </w:rPr>
        <w:t>MMD</w:t>
      </w:r>
      <w:r w:rsidRPr="00196B50">
        <w:rPr>
          <w:rFonts w:ascii="Book Antiqua" w:hAnsi="Book Antiqua" w:cs="Helvetica"/>
        </w:rPr>
        <w:t xml:space="preserve"> and the </w:t>
      </w:r>
      <w:r w:rsidRPr="00196B50">
        <w:rPr>
          <w:rFonts w:ascii="Book Antiqua" w:hAnsi="Book Antiqua"/>
        </w:rPr>
        <w:t>MMD</w:t>
      </w:r>
      <w:r w:rsidRPr="007E4247">
        <w:rPr>
          <w:rStyle w:val="Heading2Char"/>
          <w:rFonts w:ascii="Book Antiqua" w:eastAsiaTheme="minorHAnsi" w:hAnsi="Book Antiqua"/>
        </w:rPr>
        <w:t>-</w:t>
      </w:r>
      <w:r w:rsidRPr="00500A1F">
        <w:rPr>
          <w:rStyle w:val="Heading2Char"/>
          <w:rFonts w:ascii="Book Antiqua" w:eastAsiaTheme="minorHAnsi" w:hAnsi="Book Antiqua"/>
          <w:b w:val="0"/>
        </w:rPr>
        <w:t>DBA</w:t>
      </w:r>
      <w:r w:rsidRPr="00196B50">
        <w:rPr>
          <w:rFonts w:ascii="Book Antiqua" w:hAnsi="Book Antiqua" w:cs="Helvetica"/>
        </w:rPr>
        <w:t xml:space="preserve"> presented in this Application.  Accordingly, we approve these proposals </w:t>
      </w:r>
      <w:r w:rsidRPr="00196B50">
        <w:rPr>
          <w:rFonts w:ascii="Book Antiqua" w:hAnsi="Book Antiqua"/>
        </w:rPr>
        <w:t>on the conditions that PG&amp;E shall</w:t>
      </w:r>
      <w:r w:rsidR="00C617B4" w:rsidRPr="00196B50">
        <w:rPr>
          <w:rFonts w:ascii="Book Antiqua" w:hAnsi="Book Antiqua"/>
        </w:rPr>
        <w:t>:</w:t>
      </w:r>
      <w:r w:rsidRPr="00196B50">
        <w:rPr>
          <w:rFonts w:ascii="Book Antiqua" w:hAnsi="Book Antiqua"/>
        </w:rPr>
        <w:t xml:space="preserve"> </w:t>
      </w:r>
      <w:r w:rsidR="00C617B4" w:rsidRPr="00196B50">
        <w:rPr>
          <w:rFonts w:ascii="Book Antiqua" w:hAnsi="Book Antiqua"/>
        </w:rPr>
        <w:t xml:space="preserve">1) </w:t>
      </w:r>
      <w:r w:rsidRPr="00196B50">
        <w:rPr>
          <w:rFonts w:ascii="Book Antiqua" w:hAnsi="Book Antiqua"/>
        </w:rPr>
        <w:t xml:space="preserve">apply the service O&amp;M loader to service equipment costs in addition to meter equipment </w:t>
      </w:r>
      <w:r w:rsidR="00236CE5" w:rsidRPr="00196B50">
        <w:rPr>
          <w:rFonts w:ascii="Book Antiqua" w:hAnsi="Book Antiqua"/>
        </w:rPr>
        <w:t>costs</w:t>
      </w:r>
      <w:r w:rsidR="00C617B4" w:rsidRPr="00196B50">
        <w:rPr>
          <w:rFonts w:ascii="Book Antiqua" w:hAnsi="Book Antiqua"/>
        </w:rPr>
        <w:t xml:space="preserve"> </w:t>
      </w:r>
      <w:r w:rsidRPr="00196B50">
        <w:rPr>
          <w:rFonts w:ascii="Book Antiqua" w:hAnsi="Book Antiqua"/>
        </w:rPr>
        <w:t>resulting in a $1.11 reduction to the master meter discount; 2) update the RECC for the corporate tax rate in the new tax act and the new Cost of Capital; and 3) update GCAP gas GT and GS MMD “Base” amounts, and recalculate and update it for tax and cost of capital impacts at the time of implementation.</w:t>
      </w:r>
      <w:r w:rsidRPr="00431F1E">
        <w:rPr>
          <w:rStyle w:val="FootnoteReference"/>
          <w:rFonts w:ascii="Book Antiqua" w:hAnsi="Book Antiqua"/>
          <w:szCs w:val="26"/>
        </w:rPr>
        <w:footnoteReference w:id="166"/>
      </w:r>
    </w:p>
    <w:p w14:paraId="4BB944C3" w14:textId="77777777" w:rsidR="001164FC" w:rsidRPr="00431F1E" w:rsidRDefault="001164FC" w:rsidP="00755B43">
      <w:pPr>
        <w:pStyle w:val="Heading2"/>
        <w:rPr>
          <w:rFonts w:ascii="Helvetica" w:hAnsi="Helvetica" w:cs="Helvetica"/>
        </w:rPr>
      </w:pPr>
      <w:bookmarkStart w:id="71" w:name="_Toc11407868"/>
      <w:bookmarkStart w:id="72" w:name="_Toc20144552"/>
      <w:r w:rsidRPr="00431F1E">
        <w:rPr>
          <w:rFonts w:ascii="Helvetica" w:hAnsi="Helvetica" w:cs="Helvetica"/>
        </w:rPr>
        <w:t>Issue 10 - Should PG&amp;E's proposed natural gas vehicle compression rate be approved?</w:t>
      </w:r>
      <w:bookmarkEnd w:id="71"/>
      <w:bookmarkEnd w:id="72"/>
    </w:p>
    <w:p w14:paraId="08744522" w14:textId="77777777" w:rsidR="0039638E" w:rsidRDefault="001164FC" w:rsidP="006D704F">
      <w:pPr>
        <w:pStyle w:val="standard"/>
        <w:rPr>
          <w:rFonts w:ascii="Book Antiqua" w:hAnsi="Book Antiqua"/>
        </w:rPr>
      </w:pPr>
      <w:r w:rsidRPr="00196B50">
        <w:rPr>
          <w:rFonts w:ascii="Book Antiqua" w:hAnsi="Book Antiqua"/>
        </w:rPr>
        <w:t>In its Application, PG&amp;E proposes upd</w:t>
      </w:r>
      <w:r w:rsidRPr="00196B50">
        <w:rPr>
          <w:rFonts w:ascii="Book Antiqua" w:hAnsi="Book Antiqua"/>
          <w:spacing w:val="-1"/>
        </w:rPr>
        <w:t>a</w:t>
      </w:r>
      <w:r w:rsidRPr="00196B50">
        <w:rPr>
          <w:rFonts w:ascii="Book Antiqua" w:hAnsi="Book Antiqua"/>
        </w:rPr>
        <w:t>tes</w:t>
      </w:r>
      <w:r w:rsidR="001A1BB7" w:rsidRPr="00196B50">
        <w:rPr>
          <w:rFonts w:ascii="Book Antiqua" w:hAnsi="Book Antiqua"/>
        </w:rPr>
        <w:t xml:space="preserve"> </w:t>
      </w:r>
      <w:r w:rsidRPr="00196B50">
        <w:rPr>
          <w:rFonts w:ascii="Book Antiqua" w:hAnsi="Book Antiqua"/>
        </w:rPr>
        <w:t>to the</w:t>
      </w:r>
      <w:r w:rsidR="001A1BB7" w:rsidRPr="00196B50">
        <w:rPr>
          <w:rFonts w:ascii="Book Antiqua" w:hAnsi="Book Antiqua"/>
        </w:rPr>
        <w:t xml:space="preserve"> </w:t>
      </w:r>
      <w:r w:rsidR="00462737" w:rsidRPr="00196B50">
        <w:rPr>
          <w:rFonts w:ascii="Book Antiqua" w:hAnsi="Book Antiqua"/>
          <w:spacing w:val="-1"/>
        </w:rPr>
        <w:t>NGV</w:t>
      </w:r>
      <w:r w:rsidR="001A1BB7" w:rsidRPr="00196B50">
        <w:rPr>
          <w:rFonts w:ascii="Book Antiqua" w:hAnsi="Book Antiqua"/>
          <w:spacing w:val="-1"/>
        </w:rPr>
        <w:t xml:space="preserve"> </w:t>
      </w:r>
      <w:r w:rsidRPr="00196B50">
        <w:rPr>
          <w:rFonts w:ascii="Book Antiqua" w:hAnsi="Book Antiqua"/>
          <w:spacing w:val="-1"/>
        </w:rPr>
        <w:t>c</w:t>
      </w:r>
      <w:r w:rsidRPr="00196B50">
        <w:rPr>
          <w:rFonts w:ascii="Book Antiqua" w:hAnsi="Book Antiqua"/>
        </w:rPr>
        <w:t>omp</w:t>
      </w:r>
      <w:r w:rsidRPr="00196B50">
        <w:rPr>
          <w:rFonts w:ascii="Book Antiqua" w:hAnsi="Book Antiqua"/>
          <w:spacing w:val="-1"/>
        </w:rPr>
        <w:t>re</w:t>
      </w:r>
      <w:r w:rsidRPr="00196B50">
        <w:rPr>
          <w:rFonts w:ascii="Book Antiqua" w:hAnsi="Book Antiqua"/>
        </w:rPr>
        <w:t xml:space="preserve">ssion </w:t>
      </w:r>
      <w:r w:rsidRPr="00196B50">
        <w:rPr>
          <w:rFonts w:ascii="Book Antiqua" w:hAnsi="Book Antiqua"/>
          <w:spacing w:val="-1"/>
        </w:rPr>
        <w:t>c</w:t>
      </w:r>
      <w:r w:rsidRPr="00196B50">
        <w:rPr>
          <w:rFonts w:ascii="Book Antiqua" w:hAnsi="Book Antiqua"/>
        </w:rPr>
        <w:t xml:space="preserve">ost </w:t>
      </w:r>
      <w:r w:rsidRPr="00196B50">
        <w:rPr>
          <w:rFonts w:ascii="Book Antiqua" w:hAnsi="Book Antiqua"/>
          <w:spacing w:val="-1"/>
        </w:rPr>
        <w:t>a</w:t>
      </w:r>
      <w:r w:rsidRPr="00196B50">
        <w:rPr>
          <w:rFonts w:ascii="Book Antiqua" w:hAnsi="Book Antiqua"/>
        </w:rPr>
        <w:t>n</w:t>
      </w:r>
      <w:r w:rsidRPr="00196B50">
        <w:rPr>
          <w:rFonts w:ascii="Book Antiqua" w:hAnsi="Book Antiqua"/>
          <w:spacing w:val="-1"/>
        </w:rPr>
        <w:t>a</w:t>
      </w:r>
      <w:r w:rsidRPr="00196B50">
        <w:rPr>
          <w:rFonts w:ascii="Book Antiqua" w:hAnsi="Book Antiqua"/>
          <w:spacing w:val="5"/>
        </w:rPr>
        <w:t>l</w:t>
      </w:r>
      <w:r w:rsidRPr="00196B50">
        <w:rPr>
          <w:rFonts w:ascii="Book Antiqua" w:hAnsi="Book Antiqua"/>
          <w:spacing w:val="-5"/>
        </w:rPr>
        <w:t>y</w:t>
      </w:r>
      <w:r w:rsidRPr="00196B50">
        <w:rPr>
          <w:rFonts w:ascii="Book Antiqua" w:hAnsi="Book Antiqua"/>
          <w:spacing w:val="3"/>
        </w:rPr>
        <w:t>s</w:t>
      </w:r>
      <w:r w:rsidRPr="00196B50">
        <w:rPr>
          <w:rFonts w:ascii="Book Antiqua" w:hAnsi="Book Antiqua"/>
        </w:rPr>
        <w:t xml:space="preserve">is </w:t>
      </w:r>
      <w:r w:rsidRPr="00196B50">
        <w:rPr>
          <w:rFonts w:ascii="Book Antiqua" w:hAnsi="Book Antiqua"/>
          <w:spacing w:val="-1"/>
        </w:rPr>
        <w:t>a</w:t>
      </w:r>
      <w:r w:rsidRPr="00196B50">
        <w:rPr>
          <w:rFonts w:ascii="Book Antiqua" w:hAnsi="Book Antiqua"/>
        </w:rPr>
        <w:t xml:space="preserve">nd to </w:t>
      </w:r>
      <w:r w:rsidRPr="00196B50">
        <w:rPr>
          <w:rFonts w:ascii="Book Antiqua" w:hAnsi="Book Antiqua"/>
          <w:spacing w:val="-1"/>
        </w:rPr>
        <w:t>the NGV c</w:t>
      </w:r>
      <w:r w:rsidRPr="00196B50">
        <w:rPr>
          <w:rFonts w:ascii="Book Antiqua" w:hAnsi="Book Antiqua"/>
        </w:rPr>
        <w:t>omp</w:t>
      </w:r>
      <w:r w:rsidRPr="00196B50">
        <w:rPr>
          <w:rFonts w:ascii="Book Antiqua" w:hAnsi="Book Antiqua"/>
          <w:spacing w:val="-1"/>
        </w:rPr>
        <w:t>re</w:t>
      </w:r>
      <w:r w:rsidRPr="00196B50">
        <w:rPr>
          <w:rFonts w:ascii="Book Antiqua" w:hAnsi="Book Antiqua"/>
        </w:rPr>
        <w:t xml:space="preserve">ssion </w:t>
      </w:r>
      <w:r w:rsidRPr="00196B50">
        <w:rPr>
          <w:rFonts w:ascii="Book Antiqua" w:hAnsi="Book Antiqua"/>
          <w:spacing w:val="-1"/>
        </w:rPr>
        <w:t>ra</w:t>
      </w:r>
      <w:r w:rsidRPr="00196B50">
        <w:rPr>
          <w:rFonts w:ascii="Book Antiqua" w:hAnsi="Book Antiqua"/>
        </w:rPr>
        <w:t>t</w:t>
      </w:r>
      <w:r w:rsidRPr="00196B50">
        <w:rPr>
          <w:rFonts w:ascii="Book Antiqua" w:hAnsi="Book Antiqua"/>
          <w:spacing w:val="-1"/>
        </w:rPr>
        <w:t xml:space="preserve">e.  </w:t>
      </w:r>
      <w:r w:rsidRPr="00196B50">
        <w:rPr>
          <w:rFonts w:ascii="Book Antiqua" w:hAnsi="Book Antiqua"/>
        </w:rPr>
        <w:t xml:space="preserve">In support of its proposals, PG&amp;E </w:t>
      </w:r>
      <w:r w:rsidRPr="00196B50">
        <w:rPr>
          <w:rFonts w:ascii="Book Antiqua" w:hAnsi="Book Antiqua"/>
        </w:rPr>
        <w:lastRenderedPageBreak/>
        <w:t xml:space="preserve">explains that it offers an NGV compression rate which is based on the cost to provide the compression service, as a separately stated rate component of the </w:t>
      </w:r>
    </w:p>
    <w:p w14:paraId="1D8FC7F4" w14:textId="61A81681" w:rsidR="001164FC" w:rsidRPr="00196B50" w:rsidRDefault="001164FC" w:rsidP="0039638E">
      <w:pPr>
        <w:pStyle w:val="standard"/>
        <w:ind w:firstLine="0"/>
        <w:rPr>
          <w:rFonts w:ascii="Book Antiqua" w:hAnsi="Book Antiqua"/>
        </w:rPr>
      </w:pPr>
      <w:r w:rsidRPr="00196B50">
        <w:rPr>
          <w:rFonts w:ascii="Book Antiqua" w:hAnsi="Book Antiqua"/>
        </w:rPr>
        <w:t>G-NGV2-Natural Gas Service rate.</w:t>
      </w:r>
      <w:r w:rsidRPr="00431F1E">
        <w:rPr>
          <w:rStyle w:val="FootnoteReference"/>
          <w:rFonts w:ascii="Book Antiqua" w:hAnsi="Book Antiqua"/>
          <w:szCs w:val="26"/>
        </w:rPr>
        <w:footnoteReference w:id="167"/>
      </w:r>
      <w:r w:rsidRPr="00196B50">
        <w:rPr>
          <w:rFonts w:ascii="Book Antiqua" w:hAnsi="Book Antiqua"/>
        </w:rPr>
        <w:t xml:space="preserve">  Furthermore, PG&amp;E explains that the currently effective NGV compression rate was adopted in PG&amp;E’s 2009 BCAP with a study based on an extensive data derived from historical information used to develop five station specific Results of Operations (RO) models.</w:t>
      </w:r>
      <w:r w:rsidRPr="00431F1E">
        <w:rPr>
          <w:rStyle w:val="FootnoteReference"/>
          <w:rFonts w:ascii="Book Antiqua" w:hAnsi="Book Antiqua"/>
          <w:szCs w:val="26"/>
        </w:rPr>
        <w:footnoteReference w:id="168"/>
      </w:r>
      <w:r w:rsidRPr="00196B50">
        <w:rPr>
          <w:rFonts w:ascii="Book Antiqua" w:hAnsi="Book Antiqua"/>
        </w:rPr>
        <w:t xml:space="preserve">  In this GCAP, PG&amp;E presented an updated analysis using the same methodology from the 2009 BCAP, with updated O&amp;M expenses, overhead expenses, and station throughput data.  PG&amp;E submits that this GCAP’s analysis uses the primary parameters that affect the rate – expenses and throughput – and that the expense data is based on adopted amounts from PG&amp;E’S 2017 GRC I case.  </w:t>
      </w:r>
    </w:p>
    <w:p w14:paraId="2FF6B0AF" w14:textId="024B0547" w:rsidR="001164FC" w:rsidRPr="00196B50" w:rsidRDefault="001164FC" w:rsidP="006D704F">
      <w:pPr>
        <w:pStyle w:val="standard"/>
        <w:rPr>
          <w:rFonts w:ascii="Book Antiqua" w:hAnsi="Book Antiqua"/>
        </w:rPr>
      </w:pPr>
      <w:r w:rsidRPr="00196B50">
        <w:rPr>
          <w:rFonts w:ascii="Book Antiqua" w:hAnsi="Book Antiqua"/>
        </w:rPr>
        <w:t>PG&amp;E justifies the increased maintenance costs presented in its study as reflective of “PG&amp;E’s strengthening of station maintenance practices through implementation of industry best practices that enhance safety and reliability, and which go beyond code requirements</w:t>
      </w:r>
      <w:r w:rsidR="001A1BB7" w:rsidRPr="00196B50">
        <w:rPr>
          <w:rFonts w:ascii="Book Antiqua" w:hAnsi="Book Antiqua"/>
        </w:rPr>
        <w:t>.</w:t>
      </w:r>
      <w:r w:rsidRPr="00196B50">
        <w:rPr>
          <w:rFonts w:ascii="Book Antiqua" w:hAnsi="Book Antiqua"/>
        </w:rPr>
        <w:t>”</w:t>
      </w:r>
      <w:r w:rsidRPr="00431F1E">
        <w:rPr>
          <w:rStyle w:val="FootnoteReference"/>
          <w:rFonts w:ascii="Book Antiqua" w:hAnsi="Book Antiqua"/>
          <w:szCs w:val="26"/>
        </w:rPr>
        <w:footnoteReference w:id="169"/>
      </w:r>
      <w:r w:rsidRPr="00196B50">
        <w:rPr>
          <w:rFonts w:ascii="Book Antiqua" w:hAnsi="Book Antiqua"/>
        </w:rPr>
        <w:t xml:space="preserve">  According to PG&amp;E, an extensive capital cost analysis was not repeated, but the expense updates represent 75 percent of the compression rate.  PG&amp;E’s resulting proposed updated compression rate in this case is $0.96 per therm.</w:t>
      </w:r>
      <w:r w:rsidRPr="00431F1E">
        <w:rPr>
          <w:rStyle w:val="FootnoteReference"/>
          <w:rFonts w:ascii="Book Antiqua" w:hAnsi="Book Antiqua"/>
          <w:szCs w:val="26"/>
        </w:rPr>
        <w:footnoteReference w:id="170"/>
      </w:r>
      <w:r w:rsidRPr="00196B50">
        <w:rPr>
          <w:rFonts w:ascii="Book Antiqua" w:hAnsi="Book Antiqua"/>
        </w:rPr>
        <w:t xml:space="preserve">  PG&amp;E requests that the Commission </w:t>
      </w:r>
      <w:r w:rsidR="00462737" w:rsidRPr="00196B50">
        <w:rPr>
          <w:rFonts w:ascii="Book Antiqua" w:hAnsi="Book Antiqua"/>
        </w:rPr>
        <w:t>accept</w:t>
      </w:r>
      <w:r w:rsidR="001A1BB7" w:rsidRPr="00196B50">
        <w:rPr>
          <w:rFonts w:ascii="Book Antiqua" w:hAnsi="Book Antiqua"/>
        </w:rPr>
        <w:t xml:space="preserve"> </w:t>
      </w:r>
      <w:r w:rsidRPr="00196B50">
        <w:rPr>
          <w:rFonts w:ascii="Book Antiqua" w:hAnsi="Book Antiqua"/>
        </w:rPr>
        <w:t xml:space="preserve">its </w:t>
      </w:r>
      <w:r w:rsidR="00996302">
        <w:rPr>
          <w:rFonts w:cs="Helvetica"/>
        </w:rPr>
        <w:t>NGV</w:t>
      </w:r>
      <w:r w:rsidR="00996302" w:rsidRPr="00196B50" w:rsidDel="00996302">
        <w:rPr>
          <w:rFonts w:ascii="Book Antiqua" w:hAnsi="Book Antiqua"/>
        </w:rPr>
        <w:t xml:space="preserve"> </w:t>
      </w:r>
      <w:r w:rsidRPr="00196B50">
        <w:rPr>
          <w:rFonts w:ascii="Book Antiqua" w:hAnsi="Book Antiqua"/>
        </w:rPr>
        <w:t xml:space="preserve">Compression Cost study and authorize its proposed NGV compression rate of $0.96 per therm.  </w:t>
      </w:r>
    </w:p>
    <w:p w14:paraId="25E509A2" w14:textId="13161B29" w:rsidR="001164FC" w:rsidRPr="00196B50" w:rsidRDefault="001164FC" w:rsidP="006D704F">
      <w:pPr>
        <w:pStyle w:val="standard"/>
        <w:rPr>
          <w:rFonts w:ascii="Book Antiqua" w:hAnsi="Book Antiqua"/>
        </w:rPr>
      </w:pPr>
      <w:r w:rsidRPr="00196B50">
        <w:rPr>
          <w:rFonts w:ascii="Book Antiqua" w:hAnsi="Book Antiqua"/>
        </w:rPr>
        <w:t xml:space="preserve">First, we note that no party has disputed PG&amp;E’s </w:t>
      </w:r>
      <w:r w:rsidR="00996302">
        <w:rPr>
          <w:rFonts w:cs="Helvetica"/>
        </w:rPr>
        <w:t>NGV</w:t>
      </w:r>
      <w:r w:rsidRPr="00196B50">
        <w:rPr>
          <w:rFonts w:ascii="Book Antiqua" w:hAnsi="Book Antiqua"/>
        </w:rPr>
        <w:t xml:space="preserve"> Compression Cost study and the proposed NGV compression rate of $0.96 per therm.  We find that </w:t>
      </w:r>
      <w:r w:rsidRPr="00196B50">
        <w:rPr>
          <w:rFonts w:ascii="Book Antiqua" w:hAnsi="Book Antiqua"/>
        </w:rPr>
        <w:lastRenderedPageBreak/>
        <w:t xml:space="preserve">the updated O&amp;M expenses, overhead expenses, and station throughput data updates justify the NGV compression rate of $0.96 per therm requested by PG&amp;E. </w:t>
      </w:r>
    </w:p>
    <w:p w14:paraId="5EAF6072" w14:textId="521CA75F" w:rsidR="001164FC" w:rsidRPr="00196B50" w:rsidRDefault="001164FC" w:rsidP="006D704F">
      <w:pPr>
        <w:pStyle w:val="standard"/>
        <w:rPr>
          <w:rFonts w:ascii="Book Antiqua" w:hAnsi="Book Antiqua"/>
        </w:rPr>
      </w:pPr>
      <w:r w:rsidRPr="00196B50">
        <w:rPr>
          <w:rFonts w:ascii="Book Antiqua" w:hAnsi="Book Antiqua"/>
        </w:rPr>
        <w:t xml:space="preserve">Based on this record, and the unopposed arguments made by PG&amp;E in support of this proposal, we conclude that PG&amp;E has met its burden of proof on this issue.  We accept PG&amp;E’s </w:t>
      </w:r>
      <w:r w:rsidR="00996302">
        <w:rPr>
          <w:rFonts w:cs="Helvetica"/>
        </w:rPr>
        <w:t>NGV</w:t>
      </w:r>
      <w:r w:rsidRPr="00196B50">
        <w:rPr>
          <w:rFonts w:ascii="Book Antiqua" w:hAnsi="Book Antiqua"/>
        </w:rPr>
        <w:t xml:space="preserve"> Compression Cost study and authorize the proposed NGV compression rate of $0.96 per therm.</w:t>
      </w:r>
    </w:p>
    <w:p w14:paraId="3C58AC38" w14:textId="46F091C7" w:rsidR="00615B07" w:rsidRPr="00615B07" w:rsidRDefault="001164FC" w:rsidP="00615B07">
      <w:pPr>
        <w:pStyle w:val="Heading2"/>
        <w:rPr>
          <w:rFonts w:ascii="Helvetica" w:hAnsi="Helvetica" w:cs="Helvetica"/>
        </w:rPr>
      </w:pPr>
      <w:bookmarkStart w:id="73" w:name="_Toc20144553"/>
      <w:bookmarkStart w:id="74" w:name="_Toc11407869"/>
      <w:r w:rsidRPr="001A1BB7">
        <w:rPr>
          <w:rFonts w:ascii="Helvetica" w:hAnsi="Helvetica" w:cs="Helvetica"/>
        </w:rPr>
        <w:t>Issue</w:t>
      </w:r>
      <w:r w:rsidR="00C617B4">
        <w:rPr>
          <w:rFonts w:ascii="Helvetica" w:hAnsi="Helvetica" w:cs="Helvetica"/>
        </w:rPr>
        <w:t>s</w:t>
      </w:r>
      <w:r w:rsidRPr="001A1BB7">
        <w:rPr>
          <w:rFonts w:ascii="Helvetica" w:hAnsi="Helvetica" w:cs="Helvetica"/>
        </w:rPr>
        <w:t xml:space="preserve"> 11</w:t>
      </w:r>
      <w:r w:rsidR="00C617B4">
        <w:rPr>
          <w:rFonts w:ascii="Helvetica" w:hAnsi="Helvetica" w:cs="Helvetica"/>
        </w:rPr>
        <w:t xml:space="preserve"> and 12</w:t>
      </w:r>
      <w:r w:rsidR="00615B07">
        <w:rPr>
          <w:rFonts w:ascii="Helvetica" w:hAnsi="Helvetica" w:cs="Helvetica"/>
        </w:rPr>
        <w:t xml:space="preserve"> - E</w:t>
      </w:r>
      <w:r w:rsidR="00615B07" w:rsidRPr="001A1BB7">
        <w:rPr>
          <w:rFonts w:ascii="Helvetica" w:hAnsi="Helvetica" w:cs="Helvetica"/>
        </w:rPr>
        <w:t xml:space="preserve">nergy </w:t>
      </w:r>
      <w:r w:rsidR="00615B07">
        <w:rPr>
          <w:rFonts w:ascii="Helvetica" w:hAnsi="Helvetica" w:cs="Helvetica"/>
        </w:rPr>
        <w:t>E</w:t>
      </w:r>
      <w:r w:rsidR="00615B07" w:rsidRPr="001A1BB7">
        <w:rPr>
          <w:rFonts w:ascii="Helvetica" w:hAnsi="Helvetica" w:cs="Helvetica"/>
        </w:rPr>
        <w:t xml:space="preserve">fficiency </w:t>
      </w:r>
      <w:r w:rsidR="00615B07">
        <w:rPr>
          <w:rFonts w:ascii="Helvetica" w:hAnsi="Helvetica" w:cs="Helvetica"/>
        </w:rPr>
        <w:t xml:space="preserve">(EE) and </w:t>
      </w:r>
      <w:r w:rsidR="00615B07" w:rsidRPr="001A1BB7">
        <w:rPr>
          <w:rFonts w:ascii="Helvetica" w:hAnsi="Helvetica" w:cs="Helvetica"/>
        </w:rPr>
        <w:t xml:space="preserve">Energy Savings Assistance </w:t>
      </w:r>
      <w:r w:rsidR="00615B07">
        <w:rPr>
          <w:rFonts w:ascii="Helvetica" w:hAnsi="Helvetica" w:cs="Helvetica"/>
        </w:rPr>
        <w:t>(ESA) P</w:t>
      </w:r>
      <w:r w:rsidR="00615B07" w:rsidRPr="001A1BB7">
        <w:rPr>
          <w:rFonts w:ascii="Helvetica" w:hAnsi="Helvetica" w:cs="Helvetica"/>
        </w:rPr>
        <w:t>rogram</w:t>
      </w:r>
      <w:r w:rsidR="00615B07">
        <w:rPr>
          <w:rFonts w:ascii="Helvetica" w:hAnsi="Helvetica" w:cs="Helvetica"/>
        </w:rPr>
        <w:t>s</w:t>
      </w:r>
      <w:bookmarkEnd w:id="73"/>
    </w:p>
    <w:p w14:paraId="452A53CA" w14:textId="41B62248" w:rsidR="00615B07" w:rsidRPr="00215C95" w:rsidRDefault="00DC2E68" w:rsidP="00215C95">
      <w:pPr>
        <w:pStyle w:val="standard"/>
        <w:spacing w:line="240" w:lineRule="auto"/>
        <w:ind w:left="720" w:firstLine="0"/>
        <w:rPr>
          <w:rFonts w:ascii="Helvetica" w:hAnsi="Helvetica" w:cs="Helvetica"/>
        </w:rPr>
      </w:pPr>
      <w:r w:rsidRPr="00215C95">
        <w:rPr>
          <w:rFonts w:ascii="Helvetica" w:hAnsi="Helvetica" w:cs="Helvetica"/>
          <w:b/>
        </w:rPr>
        <w:t>Issue 11</w:t>
      </w:r>
      <w:r w:rsidRPr="00215C95">
        <w:rPr>
          <w:rFonts w:ascii="Helvetica" w:hAnsi="Helvetica" w:cs="Helvetica"/>
        </w:rPr>
        <w:t xml:space="preserve"> - </w:t>
      </w:r>
      <w:r w:rsidR="001164FC" w:rsidRPr="00215C95">
        <w:rPr>
          <w:rFonts w:ascii="Helvetica" w:hAnsi="Helvetica" w:cs="Helvetica"/>
        </w:rPr>
        <w:t>Should PG&amp;E's proposed modifications to the allocation of</w:t>
      </w:r>
      <w:r w:rsidR="005863EF" w:rsidRPr="00215C95">
        <w:rPr>
          <w:rFonts w:ascii="Helvetica" w:hAnsi="Helvetica" w:cs="Helvetica"/>
        </w:rPr>
        <w:t xml:space="preserve"> </w:t>
      </w:r>
      <w:r w:rsidR="00615B07" w:rsidRPr="00215C95">
        <w:rPr>
          <w:rFonts w:ascii="Helvetica" w:hAnsi="Helvetica" w:cs="Helvetica"/>
        </w:rPr>
        <w:t xml:space="preserve">EE </w:t>
      </w:r>
      <w:r w:rsidR="001164FC" w:rsidRPr="00215C95">
        <w:rPr>
          <w:rFonts w:ascii="Helvetica" w:hAnsi="Helvetica" w:cs="Helvetica"/>
        </w:rPr>
        <w:t>program costs to customer classes be approved</w:t>
      </w:r>
      <w:r w:rsidR="00615B07" w:rsidRPr="00215C95">
        <w:rPr>
          <w:rFonts w:ascii="Helvetica" w:hAnsi="Helvetica" w:cs="Helvetica"/>
        </w:rPr>
        <w:t>?</w:t>
      </w:r>
    </w:p>
    <w:p w14:paraId="74864404" w14:textId="77777777" w:rsidR="00215C95" w:rsidRPr="00215C95" w:rsidRDefault="00215C95" w:rsidP="00215C95">
      <w:pPr>
        <w:pStyle w:val="standard"/>
        <w:spacing w:line="240" w:lineRule="auto"/>
        <w:ind w:left="720" w:firstLine="0"/>
        <w:rPr>
          <w:rFonts w:ascii="Helvetica" w:hAnsi="Helvetica" w:cs="Helvetica"/>
        </w:rPr>
      </w:pPr>
    </w:p>
    <w:p w14:paraId="0913D207" w14:textId="2E5F0BA5" w:rsidR="001164FC" w:rsidRPr="00215C95" w:rsidRDefault="00615B07" w:rsidP="00215C95">
      <w:pPr>
        <w:pStyle w:val="standard"/>
        <w:spacing w:line="240" w:lineRule="auto"/>
        <w:ind w:left="720" w:firstLine="0"/>
        <w:rPr>
          <w:rFonts w:ascii="Helvetica" w:hAnsi="Helvetica" w:cs="Helvetica"/>
        </w:rPr>
      </w:pPr>
      <w:r w:rsidRPr="00215C95">
        <w:rPr>
          <w:rFonts w:ascii="Helvetica" w:hAnsi="Helvetica" w:cs="Helvetica"/>
          <w:b/>
        </w:rPr>
        <w:t>Issue 12</w:t>
      </w:r>
      <w:r w:rsidRPr="00215C95">
        <w:rPr>
          <w:rFonts w:ascii="Helvetica" w:hAnsi="Helvetica" w:cs="Helvetica"/>
        </w:rPr>
        <w:t xml:space="preserve"> -</w:t>
      </w:r>
      <w:bookmarkStart w:id="75" w:name="_Toc11407870"/>
      <w:bookmarkEnd w:id="74"/>
      <w:r w:rsidR="001164FC" w:rsidRPr="00215C95">
        <w:rPr>
          <w:rFonts w:ascii="Helvetica" w:hAnsi="Helvetica" w:cs="Helvetica"/>
        </w:rPr>
        <w:t xml:space="preserve">Should the allocation of </w:t>
      </w:r>
      <w:r w:rsidR="00FD0DC1" w:rsidRPr="00215C95">
        <w:rPr>
          <w:rFonts w:ascii="Helvetica" w:hAnsi="Helvetica" w:cs="Helvetica"/>
        </w:rPr>
        <w:t xml:space="preserve">ESA </w:t>
      </w:r>
      <w:r w:rsidR="001164FC" w:rsidRPr="00215C95">
        <w:rPr>
          <w:rFonts w:ascii="Helvetica" w:hAnsi="Helvetica" w:cs="Helvetica"/>
        </w:rPr>
        <w:t>program costs to the residential customer class be performed as a separate step from the allocation of EE costs to all customer classes?</w:t>
      </w:r>
      <w:bookmarkEnd w:id="75"/>
    </w:p>
    <w:p w14:paraId="5DEC306F" w14:textId="77777777" w:rsidR="00215C95" w:rsidRPr="00196B50" w:rsidRDefault="00215C95" w:rsidP="00215C95">
      <w:pPr>
        <w:pStyle w:val="standard"/>
        <w:spacing w:line="240" w:lineRule="auto"/>
        <w:ind w:left="720" w:firstLine="0"/>
        <w:rPr>
          <w:rFonts w:ascii="Book Antiqua" w:hAnsi="Book Antiqua"/>
        </w:rPr>
      </w:pPr>
    </w:p>
    <w:p w14:paraId="586D1D80" w14:textId="2DF73FB7" w:rsidR="001164FC" w:rsidRPr="00196B50" w:rsidRDefault="001164FC" w:rsidP="007C2700">
      <w:pPr>
        <w:pStyle w:val="standard"/>
        <w:rPr>
          <w:rFonts w:ascii="Book Antiqua" w:hAnsi="Book Antiqua"/>
        </w:rPr>
      </w:pPr>
      <w:r w:rsidRPr="00196B50">
        <w:rPr>
          <w:rFonts w:ascii="Book Antiqua" w:hAnsi="Book Antiqua"/>
        </w:rPr>
        <w:t xml:space="preserve">In this GCAP Application, </w:t>
      </w:r>
      <w:r w:rsidR="007E3D55" w:rsidRPr="00196B50">
        <w:rPr>
          <w:rFonts w:ascii="Book Antiqua" w:hAnsi="Book Antiqua"/>
        </w:rPr>
        <w:t xml:space="preserve">as provided above, </w:t>
      </w:r>
      <w:r w:rsidRPr="00196B50">
        <w:rPr>
          <w:rFonts w:ascii="Book Antiqua" w:hAnsi="Book Antiqua"/>
        </w:rPr>
        <w:t xml:space="preserve">PG&amp;E requests Commission approval for the proposals to allocate </w:t>
      </w:r>
      <w:r w:rsidR="00B57E72" w:rsidRPr="00196B50">
        <w:rPr>
          <w:rFonts w:ascii="Book Antiqua" w:hAnsi="Book Antiqua"/>
        </w:rPr>
        <w:t>EE</w:t>
      </w:r>
      <w:r w:rsidRPr="00196B50">
        <w:rPr>
          <w:rFonts w:ascii="Book Antiqua" w:hAnsi="Book Antiqua"/>
        </w:rPr>
        <w:t xml:space="preserve"> costs based on an updated study of benefits received by each class, and to include the benefits of the </w:t>
      </w:r>
      <w:r w:rsidR="00B57E72" w:rsidRPr="00196B50">
        <w:rPr>
          <w:rFonts w:ascii="Book Antiqua" w:hAnsi="Book Antiqua"/>
        </w:rPr>
        <w:t>ESA</w:t>
      </w:r>
      <w:r w:rsidRPr="00196B50">
        <w:rPr>
          <w:rFonts w:ascii="Book Antiqua" w:hAnsi="Book Antiqua"/>
        </w:rPr>
        <w:t xml:space="preserve"> program accruing entirely to the residential class.</w:t>
      </w:r>
      <w:r w:rsidRPr="00196B50">
        <w:rPr>
          <w:rStyle w:val="FootnoteReference"/>
          <w:rFonts w:ascii="Book Antiqua" w:hAnsi="Book Antiqua"/>
          <w:szCs w:val="26"/>
        </w:rPr>
        <w:footnoteReference w:id="171"/>
      </w:r>
      <w:bookmarkStart w:id="76" w:name="_Toc3282687"/>
      <w:r w:rsidRPr="00196B50">
        <w:rPr>
          <w:rFonts w:ascii="Book Antiqua" w:hAnsi="Book Antiqua"/>
        </w:rPr>
        <w:t xml:space="preserve"> These issues are identified Issues 11 and 12 in the Scoping Memo, and are discussed herein together under Sections 4.1</w:t>
      </w:r>
      <w:r w:rsidR="00D351E0" w:rsidRPr="00196B50">
        <w:rPr>
          <w:rFonts w:ascii="Book Antiqua" w:hAnsi="Book Antiqua"/>
        </w:rPr>
        <w:t>0</w:t>
      </w:r>
      <w:r w:rsidRPr="00196B50">
        <w:rPr>
          <w:rFonts w:ascii="Book Antiqua" w:hAnsi="Book Antiqua"/>
        </w:rPr>
        <w:t>, for efficiency due to their relatedness.</w:t>
      </w:r>
    </w:p>
    <w:p w14:paraId="6D1191DC" w14:textId="262B7B78" w:rsidR="001164FC" w:rsidRPr="00196B50" w:rsidRDefault="001164FC" w:rsidP="007C2700">
      <w:pPr>
        <w:pStyle w:val="standard"/>
        <w:rPr>
          <w:rFonts w:ascii="Book Antiqua" w:hAnsi="Book Antiqua"/>
        </w:rPr>
      </w:pPr>
      <w:r w:rsidRPr="00196B50">
        <w:rPr>
          <w:rFonts w:ascii="Book Antiqua" w:hAnsi="Book Antiqua"/>
        </w:rPr>
        <w:t xml:space="preserve">Regarding </w:t>
      </w:r>
      <w:r w:rsidRPr="00196B50">
        <w:rPr>
          <w:rFonts w:ascii="Book Antiqua" w:hAnsi="Book Antiqua"/>
          <w:u w:val="single"/>
        </w:rPr>
        <w:t>Issue 11</w:t>
      </w:r>
      <w:r w:rsidRPr="00196B50">
        <w:rPr>
          <w:rFonts w:ascii="Book Antiqua" w:hAnsi="Book Antiqua"/>
        </w:rPr>
        <w:t>, PG&amp;E argues that Commission precedent supports direct benefit allocation of EE program costs, and the use of the Commission’s official cost-effective</w:t>
      </w:r>
      <w:r w:rsidR="00E743AA" w:rsidRPr="00196B50">
        <w:rPr>
          <w:rFonts w:ascii="Book Antiqua" w:hAnsi="Book Antiqua"/>
        </w:rPr>
        <w:t>ness</w:t>
      </w:r>
      <w:r w:rsidRPr="00196B50">
        <w:rPr>
          <w:rFonts w:ascii="Book Antiqua" w:hAnsi="Book Antiqua"/>
        </w:rPr>
        <w:t xml:space="preserve"> calculator.</w:t>
      </w:r>
      <w:bookmarkStart w:id="77" w:name="_Hlk521941924"/>
      <w:bookmarkEnd w:id="76"/>
      <w:r w:rsidRPr="00196B50">
        <w:rPr>
          <w:rFonts w:ascii="Book Antiqua" w:hAnsi="Book Antiqua"/>
        </w:rPr>
        <w:t xml:space="preserve">  In support of its proposals, PG&amp;E, through the testimony of its witness (Biery), sponsored a study of the benefits to customer classes.  PG&amp;E contends that its study is consistent with D.95-12-053, </w:t>
      </w:r>
      <w:r w:rsidRPr="00196B50">
        <w:rPr>
          <w:rFonts w:ascii="Book Antiqua" w:hAnsi="Book Antiqua"/>
        </w:rPr>
        <w:lastRenderedPageBreak/>
        <w:t>maintaining that “marketing and [Demand Side Management] DSM costs should be directly assigned to the gas customer classes for whom the programs are designed,” using a direct benefit allocation.</w:t>
      </w:r>
      <w:r w:rsidRPr="00196B50">
        <w:rPr>
          <w:rStyle w:val="FootnoteReference"/>
          <w:rFonts w:ascii="Book Antiqua" w:hAnsi="Book Antiqua"/>
          <w:szCs w:val="26"/>
        </w:rPr>
        <w:footnoteReference w:id="172"/>
      </w:r>
      <w:r w:rsidRPr="00196B50">
        <w:rPr>
          <w:rFonts w:ascii="Book Antiqua" w:hAnsi="Book Antiqua"/>
        </w:rPr>
        <w:t xml:space="preserve">  The study, according to PG&amp;E, utilized the Commission’s EE cost-effectiveness calculator, which is its official tool to calculate cost-effectiveness (including benefits).</w:t>
      </w:r>
      <w:r w:rsidRPr="00431F1E">
        <w:rPr>
          <w:rStyle w:val="FootnoteReference"/>
          <w:rFonts w:ascii="Book Antiqua" w:hAnsi="Book Antiqua"/>
          <w:szCs w:val="26"/>
        </w:rPr>
        <w:footnoteReference w:id="173"/>
      </w:r>
    </w:p>
    <w:p w14:paraId="5615A75F" w14:textId="304DD030" w:rsidR="001164FC" w:rsidRPr="00196B50" w:rsidRDefault="001164FC" w:rsidP="007C2700">
      <w:pPr>
        <w:pStyle w:val="standard"/>
        <w:rPr>
          <w:rFonts w:ascii="Book Antiqua" w:hAnsi="Book Antiqua"/>
        </w:rPr>
      </w:pPr>
      <w:r w:rsidRPr="00196B50">
        <w:rPr>
          <w:rFonts w:ascii="Book Antiqua" w:hAnsi="Book Antiqua"/>
        </w:rPr>
        <w:t xml:space="preserve">PG&amp;E pointed out that the only party that challenged PG&amp;E’s EE cost allocation proposal is SBUA.  In its </w:t>
      </w:r>
      <w:r w:rsidR="005C6F04" w:rsidRPr="003D2091">
        <w:t>Opening Brief</w:t>
      </w:r>
      <w:r w:rsidRPr="00196B50">
        <w:rPr>
          <w:rFonts w:ascii="Book Antiqua" w:hAnsi="Book Antiqua"/>
        </w:rPr>
        <w:t xml:space="preserve">, SBUA argues that </w:t>
      </w:r>
      <w:r w:rsidR="00D351E0" w:rsidRPr="00196B50">
        <w:rPr>
          <w:rFonts w:ascii="Book Antiqua" w:hAnsi="Book Antiqua"/>
        </w:rPr>
        <w:t xml:space="preserve">PG&amp;E’s proposal is an unreasonable and </w:t>
      </w:r>
      <w:r w:rsidRPr="00196B50">
        <w:rPr>
          <w:rFonts w:ascii="Book Antiqua" w:hAnsi="Book Antiqua"/>
        </w:rPr>
        <w:t xml:space="preserve">the Commission </w:t>
      </w:r>
      <w:r w:rsidR="00D351E0" w:rsidRPr="00196B50">
        <w:rPr>
          <w:rFonts w:ascii="Book Antiqua" w:hAnsi="Book Antiqua"/>
        </w:rPr>
        <w:t xml:space="preserve">should </w:t>
      </w:r>
      <w:r w:rsidRPr="00196B50">
        <w:rPr>
          <w:rFonts w:ascii="Book Antiqua" w:hAnsi="Book Antiqua"/>
        </w:rPr>
        <w:t>reject PG&amp;E’s proposed EE allocation because it does not accurately reflect the benefits accrued among customer classes.  More specifically, SBUA contends that: 1) PG&amp;E’s proposed cost allocation for EE non-resource programs should be revised to fairly distribute costs across customer classes; 2) PG&amp;E’s other EE costs should also be revised to fairly distribute costs across customer classes; 3) the ESA program should not be allocated to customer classes that it does not serve; and 4) that PG&amp;E’s EE resource program costs should be directly allocated.</w:t>
      </w:r>
      <w:r w:rsidRPr="00431F1E">
        <w:rPr>
          <w:rStyle w:val="FootnoteReference"/>
          <w:rFonts w:ascii="Book Antiqua" w:hAnsi="Book Antiqua"/>
          <w:szCs w:val="26"/>
        </w:rPr>
        <w:footnoteReference w:id="174"/>
      </w:r>
    </w:p>
    <w:p w14:paraId="17C2CA7F" w14:textId="77777777" w:rsidR="001164FC" w:rsidRPr="00196B50" w:rsidRDefault="001164FC" w:rsidP="007C2700">
      <w:pPr>
        <w:pStyle w:val="standard"/>
        <w:rPr>
          <w:rFonts w:ascii="Book Antiqua" w:hAnsi="Book Antiqua"/>
        </w:rPr>
      </w:pPr>
      <w:r w:rsidRPr="00196B50">
        <w:rPr>
          <w:rFonts w:ascii="Book Antiqua" w:hAnsi="Book Antiqua"/>
        </w:rPr>
        <w:t>SBUA argues that PG&amp;E bears the burden of proving that it is entitled to the relief it seeks and must affirmatively establish the reasonableness of each and every proposal within its application.</w:t>
      </w:r>
      <w:r w:rsidRPr="00431F1E">
        <w:rPr>
          <w:rStyle w:val="FootnoteReference"/>
          <w:rFonts w:ascii="Book Antiqua" w:hAnsi="Book Antiqua"/>
          <w:szCs w:val="26"/>
        </w:rPr>
        <w:footnoteReference w:id="175"/>
      </w:r>
      <w:r w:rsidRPr="00196B50">
        <w:rPr>
          <w:rFonts w:ascii="Book Antiqua" w:hAnsi="Book Antiqua"/>
        </w:rPr>
        <w:t xml:space="preserve">  SBUA contends that PG&amp;E has not met this burden because PG&amp;E’s application falls short of fairly allocating the costs of EE programs to customers, and “because the EE Program costs are disproportionately and unfairly allocated to small commercial customers.”</w:t>
      </w:r>
      <w:r w:rsidRPr="00431F1E">
        <w:rPr>
          <w:rStyle w:val="FootnoteReference"/>
          <w:rFonts w:ascii="Book Antiqua" w:hAnsi="Book Antiqua"/>
          <w:szCs w:val="26"/>
        </w:rPr>
        <w:footnoteReference w:id="176"/>
      </w:r>
    </w:p>
    <w:p w14:paraId="26DF1B97" w14:textId="40D854BF" w:rsidR="001164FC" w:rsidRPr="00196B50" w:rsidRDefault="001164FC" w:rsidP="007C2700">
      <w:pPr>
        <w:pStyle w:val="standard"/>
        <w:rPr>
          <w:rFonts w:ascii="Book Antiqua" w:hAnsi="Book Antiqua"/>
        </w:rPr>
      </w:pPr>
      <w:r w:rsidRPr="00196B50">
        <w:rPr>
          <w:rFonts w:ascii="Book Antiqua" w:hAnsi="Book Antiqua"/>
        </w:rPr>
        <w:lastRenderedPageBreak/>
        <w:t>SBUA requested that the Commission direct PG&amp;E to begin the practice of collecting data on customer class</w:t>
      </w:r>
      <w:r w:rsidR="00D351E0" w:rsidRPr="00196B50">
        <w:rPr>
          <w:rFonts w:ascii="Book Antiqua" w:hAnsi="Book Antiqua"/>
        </w:rPr>
        <w:t xml:space="preserve"> </w:t>
      </w:r>
      <w:r w:rsidRPr="00196B50">
        <w:rPr>
          <w:rFonts w:ascii="Book Antiqua" w:hAnsi="Book Antiqua"/>
        </w:rPr>
        <w:t xml:space="preserve">participation in EE programs, which is not being collected currently, in order to assist in the future evaluation of these programs. </w:t>
      </w:r>
    </w:p>
    <w:p w14:paraId="58324533" w14:textId="1691AFE4" w:rsidR="001164FC" w:rsidRPr="00196B50" w:rsidRDefault="001164FC" w:rsidP="007C2700">
      <w:pPr>
        <w:pStyle w:val="standard"/>
        <w:rPr>
          <w:rFonts w:ascii="Book Antiqua" w:hAnsi="Book Antiqua"/>
        </w:rPr>
      </w:pPr>
      <w:r w:rsidRPr="00196B50">
        <w:rPr>
          <w:rFonts w:ascii="Book Antiqua" w:hAnsi="Book Antiqua"/>
        </w:rPr>
        <w:t>PG&amp;E attempted to address SBUA’s objections, contending that while SBUA’s witness (Chernick) proposed several different methods for allocation of these costs (such as using each classes’ throughput, or their EE therm savings),</w:t>
      </w:r>
      <w:r w:rsidRPr="00431F1E">
        <w:rPr>
          <w:rStyle w:val="FootnoteReference"/>
          <w:rFonts w:ascii="Book Antiqua" w:hAnsi="Book Antiqua"/>
          <w:szCs w:val="26"/>
        </w:rPr>
        <w:footnoteReference w:id="177"/>
      </w:r>
      <w:r w:rsidRPr="00196B50">
        <w:rPr>
          <w:rFonts w:ascii="Book Antiqua" w:hAnsi="Book Antiqua"/>
        </w:rPr>
        <w:t xml:space="preserve">  Mr. Chernick did not challenge the policy in D.95-12-053l</w:t>
      </w:r>
      <w:r w:rsidR="00B57E72" w:rsidRPr="00196B50">
        <w:rPr>
          <w:rFonts w:ascii="Book Antiqua" w:hAnsi="Book Antiqua"/>
        </w:rPr>
        <w:t xml:space="preserve">.  Rather, </w:t>
      </w:r>
      <w:r w:rsidRPr="00196B50">
        <w:rPr>
          <w:rFonts w:ascii="Book Antiqua" w:hAnsi="Book Antiqua"/>
        </w:rPr>
        <w:t>Mr. Chernick took the position that PG&amp;E had misinterpreted and misapplied that policy.</w:t>
      </w:r>
      <w:r w:rsidRPr="00431F1E">
        <w:rPr>
          <w:rStyle w:val="FootnoteReference"/>
          <w:rFonts w:ascii="Book Antiqua" w:hAnsi="Book Antiqua"/>
          <w:szCs w:val="26"/>
        </w:rPr>
        <w:footnoteReference w:id="178"/>
      </w:r>
      <w:r w:rsidRPr="00196B50">
        <w:rPr>
          <w:rFonts w:ascii="Book Antiqua" w:hAnsi="Book Antiqua"/>
        </w:rPr>
        <w:t xml:space="preserve">  PG&amp;E contends that Mr. Chernick’s proposal to use other measures for EE cost allocation, such as throughput by class, or therm savings by class, are based on Mr. Chernick’s “interpretation of what is meant by “benefits,” which is different than how the Commission’s official calculator defines benefits.</w:t>
      </w:r>
      <w:r w:rsidRPr="00431F1E">
        <w:rPr>
          <w:rStyle w:val="FootnoteReference"/>
          <w:rFonts w:ascii="Book Antiqua" w:hAnsi="Book Antiqua"/>
          <w:szCs w:val="26"/>
        </w:rPr>
        <w:footnoteReference w:id="179"/>
      </w:r>
      <w:r w:rsidRPr="00196B50">
        <w:rPr>
          <w:rFonts w:ascii="Book Antiqua" w:hAnsi="Book Antiqua"/>
        </w:rPr>
        <w:t xml:space="preserve">  Thus, PG&amp;E concludes that SBUA’s disagreement with PG&amp;E’s study and cost allocation results is premised on SBUA’s rejection of the Commission’s official calculator, and the resulting benefits calculations</w:t>
      </w:r>
      <w:r w:rsidR="00D6773C" w:rsidRPr="00196B50">
        <w:rPr>
          <w:rFonts w:ascii="Book Antiqua" w:hAnsi="Book Antiqua"/>
        </w:rPr>
        <w:t>.</w:t>
      </w:r>
      <w:r w:rsidR="00D351E0" w:rsidRPr="00196B50">
        <w:rPr>
          <w:rFonts w:ascii="Book Antiqua" w:hAnsi="Book Antiqua"/>
        </w:rPr>
        <w:t xml:space="preserve"> </w:t>
      </w:r>
      <w:r w:rsidRPr="00196B50">
        <w:rPr>
          <w:rFonts w:ascii="Book Antiqua" w:hAnsi="Book Antiqua"/>
        </w:rPr>
        <w:t>PG&amp;E argues that its use of the Commission’s official calculator is appropriate</w:t>
      </w:r>
      <w:r w:rsidRPr="00431F1E">
        <w:rPr>
          <w:rStyle w:val="FootnoteReference"/>
          <w:rFonts w:ascii="Book Antiqua" w:hAnsi="Book Antiqua"/>
          <w:szCs w:val="26"/>
        </w:rPr>
        <w:footnoteReference w:id="180"/>
      </w:r>
      <w:r w:rsidRPr="00196B50">
        <w:rPr>
          <w:rFonts w:ascii="Book Antiqua" w:hAnsi="Book Antiqua"/>
        </w:rPr>
        <w:t xml:space="preserve"> and that Mr. Chernick’s testimony does not provide sufficient reason to disregard the results from the official Commission calculator.  </w:t>
      </w:r>
    </w:p>
    <w:p w14:paraId="1B958B19" w14:textId="77777777" w:rsidR="001164FC" w:rsidRPr="00196B50" w:rsidRDefault="001164FC" w:rsidP="007C2700">
      <w:pPr>
        <w:pStyle w:val="standard"/>
        <w:rPr>
          <w:rFonts w:ascii="Book Antiqua" w:hAnsi="Book Antiqua"/>
        </w:rPr>
      </w:pPr>
      <w:r w:rsidRPr="00196B50">
        <w:rPr>
          <w:rFonts w:ascii="Book Antiqua" w:hAnsi="Book Antiqua"/>
        </w:rPr>
        <w:lastRenderedPageBreak/>
        <w:t>PG&amp;E further argues that an EE cost allocation that is based on throughput would not comply with D. 95-12-053,</w:t>
      </w:r>
      <w:r w:rsidRPr="00431F1E">
        <w:rPr>
          <w:rStyle w:val="FootnoteReference"/>
          <w:rFonts w:ascii="Book Antiqua" w:hAnsi="Book Antiqua"/>
          <w:szCs w:val="26"/>
        </w:rPr>
        <w:footnoteReference w:id="181"/>
      </w:r>
      <w:r w:rsidRPr="00196B50">
        <w:rPr>
          <w:rFonts w:ascii="Book Antiqua" w:hAnsi="Book Antiqua"/>
        </w:rPr>
        <w:t xml:space="preserve"> as it “would make no attempt to consider how PG&amp;E’s overall EE portfolio serves customers in different proportion than their energy use, much less allocate the cost of individual programs based on the design of these programs”</w:t>
      </w:r>
      <w:r w:rsidRPr="00431F1E">
        <w:rPr>
          <w:rStyle w:val="FootnoteReference"/>
          <w:rFonts w:ascii="Book Antiqua" w:hAnsi="Book Antiqua"/>
          <w:szCs w:val="26"/>
        </w:rPr>
        <w:footnoteReference w:id="182"/>
      </w:r>
      <w:r w:rsidRPr="00196B50">
        <w:rPr>
          <w:rFonts w:ascii="Book Antiqua" w:hAnsi="Book Antiqua"/>
        </w:rPr>
        <w:t xml:space="preserve"> and that allocating based on therms savings alone is a much less robust method than allocating based on the benefits from the calculator.</w:t>
      </w:r>
      <w:r w:rsidRPr="00431F1E">
        <w:rPr>
          <w:rStyle w:val="FootnoteReference"/>
          <w:rFonts w:ascii="Book Antiqua" w:hAnsi="Book Antiqua"/>
          <w:szCs w:val="26"/>
        </w:rPr>
        <w:footnoteReference w:id="183"/>
      </w:r>
    </w:p>
    <w:p w14:paraId="53060231" w14:textId="77777777" w:rsidR="001164FC" w:rsidRPr="00196B50" w:rsidRDefault="001164FC" w:rsidP="007C2700">
      <w:pPr>
        <w:pStyle w:val="standard"/>
        <w:rPr>
          <w:rFonts w:ascii="Book Antiqua" w:hAnsi="Book Antiqua"/>
        </w:rPr>
      </w:pPr>
      <w:r w:rsidRPr="00196B50">
        <w:rPr>
          <w:rFonts w:ascii="Book Antiqua" w:hAnsi="Book Antiqua"/>
        </w:rPr>
        <w:t>Finally, PG&amp;E argues that SBUA did not provide a sufficient challenge to PG&amp;E’s approach for allocating non-resource programs.  PG&amp;E explains that Non-Resource programs do not generate quantifiable benefits data.  As such, for each Non-Resource program PG&amp;E utilized Resource program benefits from programs with the same sector to create a proxy of the Non-Resource program’s benefits.  Doing so enabled PG&amp;E to create “consistent and defensible objective judgments regarding program design, which is preferred to using subjective judgments that can vary depending upon the individual motivations attributed to each program.”</w:t>
      </w:r>
      <w:r w:rsidRPr="00431F1E">
        <w:rPr>
          <w:rStyle w:val="FootnoteReference"/>
          <w:rFonts w:ascii="Book Antiqua" w:hAnsi="Book Antiqua"/>
          <w:szCs w:val="26"/>
        </w:rPr>
        <w:footnoteReference w:id="184"/>
      </w:r>
    </w:p>
    <w:p w14:paraId="288EEFEA" w14:textId="6E158070" w:rsidR="001164FC" w:rsidRPr="00196B50" w:rsidRDefault="001164FC" w:rsidP="007C2700">
      <w:pPr>
        <w:pStyle w:val="standard"/>
        <w:rPr>
          <w:rFonts w:ascii="Book Antiqua" w:hAnsi="Book Antiqua"/>
        </w:rPr>
      </w:pPr>
      <w:r w:rsidRPr="00196B50">
        <w:rPr>
          <w:rFonts w:ascii="Book Antiqua" w:hAnsi="Book Antiqua"/>
        </w:rPr>
        <w:t>Other than SBUA, TURN (</w:t>
      </w:r>
      <w:r w:rsidR="00D351E0" w:rsidRPr="00196B50">
        <w:rPr>
          <w:rFonts w:ascii="Book Antiqua" w:hAnsi="Book Antiqua"/>
        </w:rPr>
        <w:t xml:space="preserve">who </w:t>
      </w:r>
      <w:r w:rsidRPr="00196B50">
        <w:rPr>
          <w:rFonts w:ascii="Book Antiqua" w:hAnsi="Book Antiqua"/>
        </w:rPr>
        <w:t xml:space="preserve">does not challenge PG&amp;E’s proposed allocation of EE program costs) challenges the allocation of EE shareholder incentives in the modeling for PG&amp;E’s prepared testimony (Exhibit PGE-1, chapter 6).  According to PG&amp;E, upon review of TURN’s testimony, PG&amp;E has agreed to use the method proposed by TURN to allocate EE shareholder incentives using the direct benefits method developed for program costs.  </w:t>
      </w:r>
    </w:p>
    <w:p w14:paraId="0E969CE2" w14:textId="49ED34E2" w:rsidR="001164FC" w:rsidRPr="00196B50" w:rsidRDefault="001164FC" w:rsidP="007C2700">
      <w:pPr>
        <w:pStyle w:val="standard"/>
        <w:rPr>
          <w:rFonts w:ascii="Book Antiqua" w:hAnsi="Book Antiqua"/>
        </w:rPr>
      </w:pPr>
      <w:bookmarkStart w:id="78" w:name="_Toc3282689"/>
      <w:bookmarkEnd w:id="77"/>
      <w:r w:rsidRPr="00196B50">
        <w:rPr>
          <w:rFonts w:ascii="Book Antiqua" w:hAnsi="Book Antiqua"/>
        </w:rPr>
        <w:lastRenderedPageBreak/>
        <w:t>Regarding the ESA program (</w:t>
      </w:r>
      <w:r w:rsidRPr="00196B50">
        <w:rPr>
          <w:rFonts w:ascii="Book Antiqua" w:hAnsi="Book Antiqua"/>
          <w:u w:val="single"/>
        </w:rPr>
        <w:t>Issue 12</w:t>
      </w:r>
      <w:r w:rsidRPr="00196B50">
        <w:rPr>
          <w:rFonts w:ascii="Book Antiqua" w:hAnsi="Book Antiqua"/>
        </w:rPr>
        <w:t xml:space="preserve">), Cal Advocates </w:t>
      </w:r>
      <w:r w:rsidR="0039597D" w:rsidRPr="00196B50">
        <w:rPr>
          <w:rFonts w:ascii="Book Antiqua" w:hAnsi="Book Antiqua"/>
          <w:szCs w:val="26"/>
        </w:rPr>
        <w:t>argues</w:t>
      </w:r>
      <w:r w:rsidR="00D351E0" w:rsidRPr="00196B50">
        <w:rPr>
          <w:rFonts w:ascii="Book Antiqua" w:hAnsi="Book Antiqua"/>
          <w:szCs w:val="26"/>
        </w:rPr>
        <w:t xml:space="preserve"> </w:t>
      </w:r>
      <w:r w:rsidRPr="00196B50">
        <w:rPr>
          <w:rFonts w:ascii="Book Antiqua" w:hAnsi="Book Antiqua"/>
        </w:rPr>
        <w:t xml:space="preserve">that while PG&amp;E’s proposal to update the cost allocation formulas used for EE programs and the ESA </w:t>
      </w:r>
      <w:r w:rsidR="00D351E0" w:rsidRPr="00196B50">
        <w:rPr>
          <w:rFonts w:ascii="Book Antiqua" w:hAnsi="Book Antiqua"/>
        </w:rPr>
        <w:t xml:space="preserve">are </w:t>
      </w:r>
      <w:r w:rsidRPr="00196B50">
        <w:rPr>
          <w:rFonts w:ascii="Book Antiqua" w:hAnsi="Book Antiqua"/>
        </w:rPr>
        <w:t>based on a “direct-benefits” methodology,</w:t>
      </w:r>
      <w:r w:rsidRPr="00431F1E">
        <w:rPr>
          <w:rStyle w:val="FootnoteReference"/>
          <w:rFonts w:ascii="Book Antiqua" w:hAnsi="Book Antiqua"/>
          <w:szCs w:val="26"/>
        </w:rPr>
        <w:footnoteReference w:id="185"/>
      </w:r>
      <w:r w:rsidRPr="00196B50">
        <w:rPr>
          <w:rFonts w:ascii="Book Antiqua" w:hAnsi="Book Antiqua"/>
        </w:rPr>
        <w:t xml:space="preserve"> direct-benefits is not the appropriate method for allocating ESA costs because the ESA is a low-income program.  Cal Advocates </w:t>
      </w:r>
      <w:r w:rsidR="0039597D" w:rsidRPr="00196B50">
        <w:rPr>
          <w:rFonts w:ascii="Book Antiqua" w:hAnsi="Book Antiqua"/>
          <w:szCs w:val="26"/>
        </w:rPr>
        <w:t>argues</w:t>
      </w:r>
      <w:r w:rsidR="00D351E0" w:rsidRPr="00196B50">
        <w:rPr>
          <w:rFonts w:ascii="Book Antiqua" w:hAnsi="Book Antiqua"/>
          <w:szCs w:val="26"/>
        </w:rPr>
        <w:t xml:space="preserve"> </w:t>
      </w:r>
      <w:r w:rsidRPr="00196B50">
        <w:rPr>
          <w:rFonts w:ascii="Book Antiqua" w:hAnsi="Book Antiqua"/>
        </w:rPr>
        <w:t>that PG&amp;E erred in categorizing ESA as an EE program</w:t>
      </w:r>
      <w:bookmarkStart w:id="79" w:name="_Toc513736023"/>
      <w:r w:rsidRPr="00196B50">
        <w:rPr>
          <w:rFonts w:ascii="Book Antiqua" w:hAnsi="Book Antiqua"/>
        </w:rPr>
        <w:t xml:space="preserve">; Cal Advocates </w:t>
      </w:r>
      <w:r w:rsidR="00B30859" w:rsidRPr="00196B50">
        <w:rPr>
          <w:rFonts w:ascii="Book Antiqua" w:hAnsi="Book Antiqua"/>
        </w:rPr>
        <w:t>believes</w:t>
      </w:r>
      <w:r w:rsidR="00D351E0" w:rsidRPr="00196B50">
        <w:rPr>
          <w:rFonts w:ascii="Book Antiqua" w:hAnsi="Book Antiqua"/>
        </w:rPr>
        <w:t xml:space="preserve"> </w:t>
      </w:r>
      <w:r w:rsidRPr="00196B50">
        <w:rPr>
          <w:rFonts w:ascii="Book Antiqua" w:hAnsi="Book Antiqua"/>
        </w:rPr>
        <w:t>that ESA</w:t>
      </w:r>
      <w:bookmarkStart w:id="80" w:name="_Toc514076334"/>
      <w:bookmarkStart w:id="81" w:name="_Toc522719776"/>
      <w:r w:rsidRPr="007E4247">
        <w:rPr>
          <w:rStyle w:val="Heading2Char"/>
          <w:rFonts w:ascii="Book Antiqua" w:eastAsiaTheme="minorHAnsi" w:hAnsi="Book Antiqua"/>
        </w:rPr>
        <w:t>’</w:t>
      </w:r>
      <w:r w:rsidRPr="00500A1F">
        <w:rPr>
          <w:rStyle w:val="Heading2Char"/>
          <w:rFonts w:ascii="Book Antiqua" w:eastAsiaTheme="minorHAnsi" w:hAnsi="Book Antiqua"/>
          <w:b w:val="0"/>
        </w:rPr>
        <w:t>s costs should be apportioned to gas ratepayers using an ECPT</w:t>
      </w:r>
      <w:r w:rsidR="00D41036" w:rsidRPr="00431F1E">
        <w:rPr>
          <w:rStyle w:val="FootnoteReference"/>
          <w:rFonts w:ascii="Book Antiqua" w:hAnsi="Book Antiqua"/>
          <w:szCs w:val="26"/>
        </w:rPr>
        <w:footnoteReference w:id="186"/>
      </w:r>
      <w:r w:rsidRPr="00500A1F">
        <w:rPr>
          <w:rStyle w:val="Heading2Char"/>
          <w:rFonts w:ascii="Book Antiqua" w:eastAsiaTheme="minorHAnsi" w:hAnsi="Book Antiqua"/>
          <w:b w:val="0"/>
        </w:rPr>
        <w:t xml:space="preserve"> methodology identical to that used to apportion </w:t>
      </w:r>
      <w:r w:rsidRPr="005E0AC5">
        <w:rPr>
          <w:rStyle w:val="Heading2Char"/>
          <w:rFonts w:ascii="Book Antiqua" w:eastAsiaTheme="minorHAnsi" w:hAnsi="Book Antiqua"/>
          <w:b w:val="0"/>
        </w:rPr>
        <w:t>CARE costs</w:t>
      </w:r>
      <w:bookmarkEnd w:id="79"/>
      <w:bookmarkEnd w:id="80"/>
      <w:bookmarkEnd w:id="81"/>
      <w:r w:rsidRPr="005E0AC5">
        <w:rPr>
          <w:rStyle w:val="Heading2Char"/>
          <w:rFonts w:ascii="Book Antiqua" w:eastAsiaTheme="minorHAnsi" w:hAnsi="Book Antiqua"/>
        </w:rPr>
        <w:t>.</w:t>
      </w:r>
      <w:r w:rsidRPr="00431F1E">
        <w:rPr>
          <w:rStyle w:val="FootnoteReference"/>
          <w:rFonts w:ascii="Book Antiqua" w:eastAsia="Book Antiqua" w:hAnsi="Book Antiqua" w:cs="Book Antiqua"/>
          <w:bCs/>
          <w:kern w:val="28"/>
          <w:szCs w:val="26"/>
        </w:rPr>
        <w:footnoteReference w:id="187"/>
      </w:r>
      <w:r w:rsidR="00D351E0">
        <w:rPr>
          <w:rStyle w:val="Heading2Char"/>
          <w:rFonts w:ascii="Book Antiqua" w:eastAsiaTheme="minorHAnsi" w:hAnsi="Book Antiqua"/>
        </w:rPr>
        <w:t xml:space="preserve"> </w:t>
      </w:r>
      <w:r w:rsidRPr="00196B50">
        <w:rPr>
          <w:rFonts w:ascii="Book Antiqua" w:hAnsi="Book Antiqua"/>
        </w:rPr>
        <w:t>According to Cal Advocates, the costs of low-income programs should not be allocated to a single rate class.</w:t>
      </w:r>
      <w:r w:rsidRPr="00196B50">
        <w:rPr>
          <w:rFonts w:ascii="Book Antiqua" w:hAnsi="Book Antiqua"/>
          <w:vertAlign w:val="superscript"/>
        </w:rPr>
        <w:footnoteReference w:id="188"/>
      </w:r>
      <w:r w:rsidRPr="00196B50">
        <w:rPr>
          <w:rFonts w:ascii="Book Antiqua" w:hAnsi="Book Antiqua"/>
        </w:rPr>
        <w:t xml:space="preserve">  Cal Advocates </w:t>
      </w:r>
      <w:r w:rsidR="0039597D" w:rsidRPr="00196B50">
        <w:rPr>
          <w:rFonts w:ascii="Book Antiqua" w:hAnsi="Book Antiqua"/>
          <w:szCs w:val="26"/>
        </w:rPr>
        <w:t>argues</w:t>
      </w:r>
      <w:r w:rsidR="001A1BB7" w:rsidRPr="00196B50">
        <w:rPr>
          <w:rFonts w:ascii="Book Antiqua" w:hAnsi="Book Antiqua"/>
          <w:szCs w:val="26"/>
        </w:rPr>
        <w:t xml:space="preserve"> </w:t>
      </w:r>
      <w:r w:rsidRPr="00196B50">
        <w:rPr>
          <w:rFonts w:ascii="Book Antiqua" w:hAnsi="Book Antiqua"/>
        </w:rPr>
        <w:t>that PG&amp;E should recalculate the cost allocation for ESA using the ECPT methodology that the Commission has ordered all gas utilities to use when allocating CARE gas costs.</w:t>
      </w:r>
      <w:r w:rsidRPr="00431F1E">
        <w:rPr>
          <w:rStyle w:val="FootnoteReference"/>
          <w:rFonts w:ascii="Book Antiqua" w:hAnsi="Book Antiqua"/>
          <w:szCs w:val="26"/>
        </w:rPr>
        <w:footnoteReference w:id="189"/>
      </w:r>
    </w:p>
    <w:p w14:paraId="430D3868" w14:textId="2C12A708" w:rsidR="001164FC" w:rsidRPr="00196B50" w:rsidRDefault="001164FC" w:rsidP="007C2700">
      <w:pPr>
        <w:pStyle w:val="standard"/>
        <w:rPr>
          <w:rFonts w:ascii="Book Antiqua" w:hAnsi="Book Antiqua"/>
        </w:rPr>
      </w:pPr>
      <w:r w:rsidRPr="00196B50">
        <w:rPr>
          <w:rFonts w:ascii="Book Antiqua" w:hAnsi="Book Antiqua"/>
        </w:rPr>
        <w:t xml:space="preserve">TURN also objects to PG&amp;E’s proposal to allocate ESA costs only </w:t>
      </w:r>
      <w:r w:rsidR="00D41036" w:rsidRPr="00196B50">
        <w:rPr>
          <w:rFonts w:ascii="Book Antiqua" w:hAnsi="Book Antiqua"/>
        </w:rPr>
        <w:t xml:space="preserve">to </w:t>
      </w:r>
      <w:r w:rsidRPr="00196B50">
        <w:rPr>
          <w:rFonts w:ascii="Book Antiqua" w:hAnsi="Book Antiqua"/>
        </w:rPr>
        <w:t xml:space="preserve">the Residential class.  More specifically, TURN indicated that it fully agrees with Cal Advocates that the </w:t>
      </w:r>
      <w:bookmarkStart w:id="82" w:name="_Toc522716180"/>
      <w:r w:rsidRPr="00196B50">
        <w:rPr>
          <w:rFonts w:ascii="Book Antiqua" w:hAnsi="Book Antiqua"/>
        </w:rPr>
        <w:t>costs of ESA should be allocated more broadly than only to residential</w:t>
      </w:r>
      <w:bookmarkEnd w:id="82"/>
      <w:r w:rsidRPr="00196B50">
        <w:rPr>
          <w:rFonts w:ascii="Book Antiqua" w:hAnsi="Book Antiqua"/>
        </w:rPr>
        <w:t xml:space="preserve"> customers.  TURN indicated that it supports Cal Advocates’ proposal </w:t>
      </w:r>
      <w:r w:rsidRPr="00196B50">
        <w:rPr>
          <w:rFonts w:ascii="Book Antiqua" w:hAnsi="Book Antiqua"/>
        </w:rPr>
        <w:lastRenderedPageBreak/>
        <w:t>to allocate the costs broadly, using the CARE allocation factor (ECPT excluding CARE customers, wholesale customers, and electric generation).  According to TURN, the gas portion of the ESA program is the only low-income program that PG&amp;E proposes to allocate entirely to residential customers,</w:t>
      </w:r>
      <w:r w:rsidRPr="00431F1E">
        <w:rPr>
          <w:rStyle w:val="FootnoteReference"/>
          <w:rFonts w:ascii="Book Antiqua" w:hAnsi="Book Antiqua"/>
          <w:szCs w:val="26"/>
        </w:rPr>
        <w:footnoteReference w:id="190"/>
      </w:r>
      <w:r w:rsidRPr="00196B50">
        <w:rPr>
          <w:rFonts w:ascii="Book Antiqua" w:hAnsi="Book Antiqua"/>
        </w:rPr>
        <w:t xml:space="preserve"> unlike PG&amp;E’s low-income CARE program allocated across the entire system for both electricity and gas using an equal cents per unit (kWh or therm) – excluding CARE customers themselves, electric streetlighting customers, and gas wholesale and electric generation customers.  Finally, TURN noted that in PG&amp;E’s last electric Phase 2 proceeding, neither PG&amp;E nor any other party to PG&amp;E’s most recent electric rate design case ever proposed directly assigning ESA costs of low-income EE to electric residential customers.</w:t>
      </w:r>
      <w:r w:rsidRPr="00196B50">
        <w:rPr>
          <w:rFonts w:ascii="Book Antiqua" w:hAnsi="Book Antiqua"/>
          <w:vertAlign w:val="superscript"/>
        </w:rPr>
        <w:footnoteReference w:id="191"/>
      </w:r>
    </w:p>
    <w:p w14:paraId="6D39D15C" w14:textId="629EAB15" w:rsidR="001164FC" w:rsidRPr="00196B50" w:rsidRDefault="001164FC" w:rsidP="007C2700">
      <w:pPr>
        <w:pStyle w:val="standard"/>
        <w:rPr>
          <w:rFonts w:ascii="Book Antiqua" w:hAnsi="Book Antiqua"/>
        </w:rPr>
      </w:pPr>
      <w:bookmarkStart w:id="83" w:name="_Toc522716181"/>
      <w:r w:rsidRPr="00196B50">
        <w:rPr>
          <w:rFonts w:ascii="Book Antiqua" w:hAnsi="Book Antiqua"/>
        </w:rPr>
        <w:t>Regarding TURN’s position that the EE shareholder incentives should not be allocated by the number of customers</w:t>
      </w:r>
      <w:bookmarkEnd w:id="83"/>
      <w:r w:rsidRPr="00196B50">
        <w:rPr>
          <w:rFonts w:ascii="Book Antiqua" w:hAnsi="Book Antiqua"/>
        </w:rPr>
        <w:t>, PG&amp;E indicated (in its rebuttal testimony) that it agrees with TURN and has revised its proposed allocation accordingly.</w:t>
      </w:r>
      <w:r w:rsidRPr="00431F1E">
        <w:rPr>
          <w:rStyle w:val="FootnoteReference"/>
          <w:rFonts w:ascii="Book Antiqua" w:hAnsi="Book Antiqua"/>
          <w:szCs w:val="26"/>
        </w:rPr>
        <w:footnoteReference w:id="192"/>
      </w:r>
      <w:r w:rsidRPr="00196B50">
        <w:rPr>
          <w:rFonts w:ascii="Book Antiqua" w:hAnsi="Book Antiqua"/>
        </w:rPr>
        <w:t xml:space="preserve">  PG&amp;E proposes to allocate these incentives by the same allocation as programs on which incentives are based (excluding the ESA program, for which no incentives are provided).  TURN agrees with PG&amp;E and supports the following allocation:  Residential Class (33.84% EE Allocation); Small Commercial (32.86% EE Allocation); Large Commercial (1.94% EE Allocation); Industrial Distribution (10.82% EE Allocation); and Industrial Transmission (20.54% EE Allocation).  Finally, TURN argues that the </w:t>
      </w:r>
      <w:bookmarkStart w:id="84" w:name="_Toc513624582"/>
      <w:bookmarkStart w:id="85" w:name="_Toc522716182"/>
      <w:r w:rsidRPr="00196B50">
        <w:rPr>
          <w:rFonts w:ascii="Book Antiqua" w:hAnsi="Book Antiqua"/>
        </w:rPr>
        <w:lastRenderedPageBreak/>
        <w:t xml:space="preserve">Commission should reject SBUA’s alternative proposals </w:t>
      </w:r>
      <w:bookmarkEnd w:id="84"/>
      <w:r w:rsidRPr="00196B50">
        <w:rPr>
          <w:rFonts w:ascii="Book Antiqua" w:hAnsi="Book Antiqua"/>
        </w:rPr>
        <w:t>for cost allocation disused above.</w:t>
      </w:r>
      <w:bookmarkEnd w:id="85"/>
    </w:p>
    <w:p w14:paraId="5E219F9F" w14:textId="77777777" w:rsidR="001164FC" w:rsidRPr="00196B50" w:rsidRDefault="001164FC" w:rsidP="007C2700">
      <w:pPr>
        <w:pStyle w:val="standard"/>
        <w:rPr>
          <w:rFonts w:ascii="Book Antiqua" w:hAnsi="Book Antiqua"/>
        </w:rPr>
      </w:pPr>
      <w:r w:rsidRPr="00196B50">
        <w:rPr>
          <w:rFonts w:ascii="Book Antiqua" w:hAnsi="Book Antiqua"/>
        </w:rPr>
        <w:t>Indicated Shippers supports PG&amp;E’s proposed EE and ESA allocation, arguing that PG&amp;E’s proposed allocation complies with D.95-12-053, and that ESA is a resource program, not a low income program.  According to Indicated Shippers, PG&amp;E’s proposal more accurately reflects the nature of the ESA program as an EE program, rather than a low-income program, such that any allocation method resulting in allocating ESA program costs to a class other than the gas customer residential class that directly benefits from the existence of the program would not comply with D.95-12-053</w:t>
      </w:r>
      <w:r w:rsidR="00B42435" w:rsidRPr="00196B50">
        <w:rPr>
          <w:rFonts w:ascii="Book Antiqua" w:hAnsi="Book Antiqua"/>
          <w:color w:val="0C0C0C"/>
        </w:rPr>
        <w:fldChar w:fldCharType="begin"/>
      </w:r>
      <w:r w:rsidRPr="00196B50">
        <w:rPr>
          <w:rFonts w:ascii="Book Antiqua" w:hAnsi="Book Antiqua"/>
          <w:color w:val="0C0C0C"/>
        </w:rPr>
        <w:instrText xml:space="preserve"> TA \s "D. 95-12-053" </w:instrText>
      </w:r>
      <w:r w:rsidR="00B42435" w:rsidRPr="00196B50">
        <w:rPr>
          <w:rFonts w:ascii="Book Antiqua" w:hAnsi="Book Antiqua"/>
          <w:color w:val="0C0C0C"/>
        </w:rPr>
        <w:fldChar w:fldCharType="end"/>
      </w:r>
      <w:r w:rsidRPr="00196B50">
        <w:rPr>
          <w:rFonts w:ascii="Book Antiqua" w:hAnsi="Book Antiqua"/>
        </w:rPr>
        <w:t>.  Indicated Shippers noted that the costs of these programs have been allocated to the residential customer class since 1996 based on the “direct benefit” allocation method that assigns program costs to the gas customer classes for whom they were designed.</w:t>
      </w:r>
      <w:r w:rsidRPr="00431F1E">
        <w:rPr>
          <w:rStyle w:val="FootnoteReference"/>
          <w:rFonts w:ascii="Book Antiqua" w:hAnsi="Book Antiqua"/>
          <w:szCs w:val="26"/>
        </w:rPr>
        <w:footnoteReference w:id="193"/>
      </w:r>
    </w:p>
    <w:p w14:paraId="4AF57180" w14:textId="7BE0180F" w:rsidR="001164FC" w:rsidRPr="00196B50" w:rsidRDefault="001164FC" w:rsidP="007C2700">
      <w:pPr>
        <w:pStyle w:val="standard"/>
        <w:rPr>
          <w:rFonts w:ascii="Book Antiqua" w:hAnsi="Book Antiqua"/>
        </w:rPr>
      </w:pPr>
      <w:r w:rsidRPr="00196B50">
        <w:rPr>
          <w:rFonts w:ascii="Book Antiqua" w:hAnsi="Book Antiqua"/>
        </w:rPr>
        <w:t>Indicated Shippers agree</w:t>
      </w:r>
      <w:r w:rsidR="00D41036" w:rsidRPr="00196B50">
        <w:rPr>
          <w:rFonts w:ascii="Book Antiqua" w:hAnsi="Book Antiqua"/>
        </w:rPr>
        <w:t>s</w:t>
      </w:r>
      <w:r w:rsidRPr="00196B50">
        <w:rPr>
          <w:rFonts w:ascii="Book Antiqua" w:hAnsi="Book Antiqua"/>
        </w:rPr>
        <w:t xml:space="preserve"> with PG&amp;E’s conclusion and its proposal, believing that PG&amp;E’s allocation of ESA is in line with previous Commission decisions regarding DSM costs (</w:t>
      </w:r>
      <w:r w:rsidR="00D41036" w:rsidRPr="00196B50">
        <w:rPr>
          <w:rFonts w:ascii="Book Antiqua" w:hAnsi="Book Antiqua"/>
        </w:rPr>
        <w:t>c</w:t>
      </w:r>
      <w:r w:rsidRPr="00196B50">
        <w:rPr>
          <w:rFonts w:ascii="Book Antiqua" w:hAnsi="Book Antiqua"/>
        </w:rPr>
        <w:t xml:space="preserve">iting D.95-12-053).  Accordingly, Indicated Shippers objects to Cal Advocates and TURN’s </w:t>
      </w:r>
      <w:r w:rsidR="00B42435" w:rsidRPr="00196B50">
        <w:rPr>
          <w:rFonts w:ascii="Book Antiqua" w:hAnsi="Book Antiqua"/>
        </w:rPr>
        <w:fldChar w:fldCharType="begin"/>
      </w:r>
      <w:r w:rsidRPr="00196B50">
        <w:rPr>
          <w:rFonts w:ascii="Book Antiqua" w:hAnsi="Book Antiqua"/>
        </w:rPr>
        <w:instrText xml:space="preserve"> XE "TURN" </w:instrText>
      </w:r>
      <w:r w:rsidR="00B42435" w:rsidRPr="00196B50">
        <w:rPr>
          <w:rFonts w:ascii="Book Antiqua" w:hAnsi="Book Antiqua"/>
        </w:rPr>
        <w:fldChar w:fldCharType="end"/>
      </w:r>
      <w:r w:rsidRPr="00196B50">
        <w:rPr>
          <w:rFonts w:ascii="Book Antiqua" w:hAnsi="Book Antiqua"/>
        </w:rPr>
        <w:t xml:space="preserve">proposal to allocate these costs more broadly consistent with the allocation methodology for CARE program costs.  </w:t>
      </w:r>
    </w:p>
    <w:p w14:paraId="45101411" w14:textId="5F07FD58" w:rsidR="001164FC" w:rsidRPr="00196B50" w:rsidRDefault="001164FC" w:rsidP="007C2700">
      <w:pPr>
        <w:pStyle w:val="standard"/>
        <w:rPr>
          <w:rFonts w:ascii="Book Antiqua" w:hAnsi="Book Antiqua"/>
        </w:rPr>
      </w:pPr>
      <w:r w:rsidRPr="00196B50">
        <w:rPr>
          <w:rFonts w:ascii="Book Antiqua" w:hAnsi="Book Antiqua"/>
        </w:rPr>
        <w:t>PG&amp;E indicated that it disagrees with TURN and Cal Advocates’ proposal “to overturn the 23-year-old Commission precedent by allocating ESA costs across all customer classes, on the basis that ESA is a low income program</w:t>
      </w:r>
      <w:r w:rsidR="00607776" w:rsidRPr="00196B50">
        <w:rPr>
          <w:rFonts w:ascii="Book Antiqua" w:hAnsi="Book Antiqua"/>
        </w:rPr>
        <w:t>.</w:t>
      </w:r>
      <w:r w:rsidRPr="00196B50">
        <w:rPr>
          <w:rFonts w:ascii="Book Antiqua" w:hAnsi="Book Antiqua"/>
        </w:rPr>
        <w:t>”</w:t>
      </w:r>
      <w:r w:rsidRPr="00431F1E">
        <w:rPr>
          <w:rStyle w:val="FootnoteReference"/>
          <w:rFonts w:ascii="Book Antiqua" w:hAnsi="Book Antiqua"/>
          <w:szCs w:val="26"/>
        </w:rPr>
        <w:footnoteReference w:id="194"/>
      </w:r>
      <w:r w:rsidRPr="00196B50">
        <w:rPr>
          <w:rFonts w:ascii="Book Antiqua" w:hAnsi="Book Antiqua"/>
        </w:rPr>
        <w:t xml:space="preserve">  According to PG&amp;E, TURN recommends allocating the ESA costs on an ECPT </w:t>
      </w:r>
      <w:r w:rsidRPr="00196B50">
        <w:rPr>
          <w:rFonts w:ascii="Book Antiqua" w:hAnsi="Book Antiqua"/>
        </w:rPr>
        <w:lastRenderedPageBreak/>
        <w:t>basis to all classes;</w:t>
      </w:r>
      <w:r w:rsidRPr="00431F1E">
        <w:rPr>
          <w:rStyle w:val="FootnoteReference"/>
          <w:rFonts w:ascii="Book Antiqua" w:hAnsi="Book Antiqua"/>
          <w:szCs w:val="26"/>
        </w:rPr>
        <w:footnoteReference w:id="195"/>
      </w:r>
      <w:r w:rsidRPr="00196B50">
        <w:rPr>
          <w:rFonts w:ascii="Book Antiqua" w:hAnsi="Book Antiqua"/>
        </w:rPr>
        <w:t xml:space="preserve"> Indicated Shippers supports the current direct benefit allocation of ESA costs;</w:t>
      </w:r>
      <w:r w:rsidRPr="00431F1E">
        <w:rPr>
          <w:rStyle w:val="FootnoteReference"/>
          <w:rFonts w:ascii="Book Antiqua" w:hAnsi="Book Antiqua"/>
          <w:szCs w:val="26"/>
        </w:rPr>
        <w:footnoteReference w:id="196"/>
      </w:r>
      <w:r w:rsidRPr="00196B50">
        <w:rPr>
          <w:rFonts w:ascii="Book Antiqua" w:hAnsi="Book Antiqua"/>
        </w:rPr>
        <w:t xml:space="preserve"> while SBUA appears neutral on the issue, stating that the allocation of ESA costs “is a judgment call on the part of the Commission.”</w:t>
      </w:r>
      <w:r w:rsidRPr="00431F1E">
        <w:rPr>
          <w:rStyle w:val="FootnoteReference"/>
          <w:rFonts w:ascii="Book Antiqua" w:hAnsi="Book Antiqua"/>
          <w:szCs w:val="26"/>
        </w:rPr>
        <w:footnoteReference w:id="197"/>
      </w:r>
    </w:p>
    <w:p w14:paraId="14DE9E7B" w14:textId="77777777" w:rsidR="001164FC" w:rsidRPr="00196B50" w:rsidRDefault="001164FC" w:rsidP="007C2700">
      <w:pPr>
        <w:pStyle w:val="standard"/>
        <w:rPr>
          <w:rFonts w:ascii="Book Antiqua" w:hAnsi="Book Antiqua"/>
        </w:rPr>
      </w:pPr>
      <w:r w:rsidRPr="00196B50">
        <w:rPr>
          <w:rFonts w:ascii="Book Antiqua" w:hAnsi="Book Antiqua"/>
        </w:rPr>
        <w:t>PG&amp;E contends that ESA is unique in that it is an EE program with a distinct target group, that is, qualified low-income customers.  PG&amp;E argues that ESA programs costs have been directly assigned to the gas customer class for whom the program is designed, i.e., 100 percent to the residential class, since 1996 without objection until this proceeding.</w:t>
      </w:r>
      <w:r w:rsidRPr="00431F1E">
        <w:rPr>
          <w:rStyle w:val="FootnoteReference"/>
          <w:rFonts w:ascii="Book Antiqua" w:hAnsi="Book Antiqua"/>
          <w:szCs w:val="26"/>
        </w:rPr>
        <w:footnoteReference w:id="198"/>
      </w:r>
      <w:r w:rsidRPr="00196B50">
        <w:rPr>
          <w:rFonts w:ascii="Book Antiqua" w:hAnsi="Book Antiqua"/>
        </w:rPr>
        <w:t xml:space="preserve"> Thus, PG&amp;E argues that precedent favors a decision that continues to allocate all ESA program costs 100 percent to the residential class.   </w:t>
      </w:r>
    </w:p>
    <w:bookmarkEnd w:id="78"/>
    <w:p w14:paraId="3B72810B" w14:textId="1A6F998F" w:rsidR="001164FC" w:rsidRPr="00196B50" w:rsidRDefault="001164FC" w:rsidP="007C2700">
      <w:pPr>
        <w:pStyle w:val="standard"/>
        <w:rPr>
          <w:rFonts w:ascii="Book Antiqua" w:hAnsi="Book Antiqua"/>
        </w:rPr>
      </w:pPr>
      <w:r w:rsidRPr="00196B50">
        <w:rPr>
          <w:rFonts w:ascii="Book Antiqua" w:hAnsi="Book Antiqua"/>
          <w:bCs/>
        </w:rPr>
        <w:t xml:space="preserve">According to PG&amp;E, ESA has </w:t>
      </w:r>
      <w:r w:rsidRPr="00196B50">
        <w:rPr>
          <w:rFonts w:ascii="Book Antiqua" w:hAnsi="Book Antiqua"/>
        </w:rPr>
        <w:t xml:space="preserve">consistently </w:t>
      </w:r>
      <w:r w:rsidRPr="00196B50">
        <w:rPr>
          <w:rFonts w:ascii="Book Antiqua" w:hAnsi="Book Antiqua"/>
          <w:bCs/>
        </w:rPr>
        <w:t xml:space="preserve">been </w:t>
      </w:r>
      <w:r w:rsidRPr="00196B50">
        <w:rPr>
          <w:rFonts w:ascii="Book Antiqua" w:hAnsi="Book Antiqua"/>
        </w:rPr>
        <w:t>viewed as an EE program,</w:t>
      </w:r>
      <w:r w:rsidRPr="00431F1E">
        <w:rPr>
          <w:rStyle w:val="FootnoteReference"/>
          <w:rFonts w:ascii="Book Antiqua" w:hAnsi="Book Antiqua"/>
          <w:szCs w:val="26"/>
        </w:rPr>
        <w:footnoteReference w:id="199"/>
      </w:r>
      <w:r w:rsidRPr="00196B50">
        <w:rPr>
          <w:rFonts w:ascii="Book Antiqua" w:hAnsi="Book Antiqua"/>
        </w:rPr>
        <w:t xml:space="preserve">  in that § 382 (e) established long-term reductions in energy consumption as a primary objective of Low-Income EE-ESA Programs</w:t>
      </w:r>
      <w:r w:rsidR="00D41036" w:rsidRPr="00196B50">
        <w:rPr>
          <w:rFonts w:ascii="Book Antiqua" w:hAnsi="Book Antiqua"/>
        </w:rPr>
        <w:t>. According to PG&amp;E,</w:t>
      </w:r>
      <w:r w:rsidRPr="00196B50">
        <w:rPr>
          <w:rFonts w:ascii="Book Antiqua" w:hAnsi="Book Antiqua"/>
        </w:rPr>
        <w:t xml:space="preserve"> the Commission respond</w:t>
      </w:r>
      <w:r w:rsidR="00607776" w:rsidRPr="00196B50">
        <w:rPr>
          <w:rFonts w:ascii="Book Antiqua" w:hAnsi="Book Antiqua"/>
        </w:rPr>
        <w:t>ed</w:t>
      </w:r>
      <w:r w:rsidRPr="00196B50">
        <w:rPr>
          <w:rFonts w:ascii="Book Antiqua" w:hAnsi="Book Antiqua"/>
        </w:rPr>
        <w:t xml:space="preserve"> by ordering investor-owned utilities to treat ESA as a resource program that focuses on energy savings,</w:t>
      </w:r>
      <w:r w:rsidRPr="00431F1E">
        <w:rPr>
          <w:rStyle w:val="FootnoteReference"/>
          <w:rFonts w:ascii="Book Antiqua" w:hAnsi="Book Antiqua"/>
          <w:szCs w:val="26"/>
        </w:rPr>
        <w:footnoteReference w:id="200"/>
      </w:r>
      <w:r w:rsidRPr="00196B50">
        <w:rPr>
          <w:rFonts w:ascii="Book Antiqua" w:hAnsi="Book Antiqua"/>
          <w:bCs/>
        </w:rPr>
        <w:t xml:space="preserve"> concluding </w:t>
      </w:r>
      <w:r w:rsidRPr="00196B50">
        <w:rPr>
          <w:rFonts w:ascii="Book Antiqua" w:hAnsi="Book Antiqua"/>
        </w:rPr>
        <w:t>that ESA should serve as resource programs designed to save energy.</w:t>
      </w:r>
      <w:r w:rsidRPr="00431F1E">
        <w:rPr>
          <w:rStyle w:val="FootnoteReference"/>
          <w:rFonts w:ascii="Book Antiqua" w:hAnsi="Book Antiqua"/>
          <w:szCs w:val="26"/>
        </w:rPr>
        <w:footnoteReference w:id="201"/>
      </w:r>
    </w:p>
    <w:p w14:paraId="32CD4ADA" w14:textId="77777777" w:rsidR="001164FC" w:rsidRPr="00196B50" w:rsidRDefault="001164FC" w:rsidP="007C2700">
      <w:pPr>
        <w:pStyle w:val="standard"/>
        <w:rPr>
          <w:rFonts w:ascii="Book Antiqua" w:hAnsi="Book Antiqua"/>
        </w:rPr>
      </w:pPr>
      <w:r w:rsidRPr="00196B50">
        <w:rPr>
          <w:rFonts w:ascii="Book Antiqua" w:hAnsi="Book Antiqua"/>
        </w:rPr>
        <w:t>PG&amp;E argues that its proposed allocation in this GCAP Application is consistent with Commission direction in D.95-12-053</w:t>
      </w:r>
      <w:r w:rsidRPr="00431F1E">
        <w:rPr>
          <w:rStyle w:val="FootnoteReference"/>
          <w:rFonts w:ascii="Book Antiqua" w:hAnsi="Book Antiqua"/>
          <w:szCs w:val="26"/>
        </w:rPr>
        <w:footnoteReference w:id="202"/>
      </w:r>
      <w:r w:rsidRPr="00196B50">
        <w:rPr>
          <w:rFonts w:ascii="Book Antiqua" w:hAnsi="Book Antiqua"/>
        </w:rPr>
        <w:t xml:space="preserve">  and Commission </w:t>
      </w:r>
      <w:r w:rsidRPr="00196B50">
        <w:rPr>
          <w:rFonts w:ascii="Book Antiqua" w:hAnsi="Book Antiqua"/>
        </w:rPr>
        <w:lastRenderedPageBreak/>
        <w:t>guidance for allocation of EE programs.  According to PG&amp;E, the Commission addressed this (ESA) issue in 2009, when the Commission denied a PG&amp;E, SDG&amp;E, and SoCal Gas request to unify regulatory cost recovery methods of all public purpose programs costs.</w:t>
      </w:r>
      <w:r w:rsidRPr="00431F1E">
        <w:rPr>
          <w:rStyle w:val="FootnoteReference"/>
          <w:rFonts w:ascii="Book Antiqua" w:hAnsi="Book Antiqua"/>
          <w:szCs w:val="26"/>
        </w:rPr>
        <w:footnoteReference w:id="203"/>
      </w:r>
      <w:r w:rsidRPr="00196B50">
        <w:rPr>
          <w:rFonts w:ascii="Book Antiqua" w:hAnsi="Book Antiqua"/>
        </w:rPr>
        <w:t xml:space="preserve">  The request would have allocated PG&amp;E’s Low Income Energy Efficiency (since rebranded to ESA) costs using an equal percent of base revenue (EPBR) cost allocation method.</w:t>
      </w:r>
      <w:r w:rsidRPr="00431F1E">
        <w:rPr>
          <w:rStyle w:val="FootnoteReference"/>
          <w:rFonts w:ascii="Book Antiqua" w:hAnsi="Book Antiqua"/>
          <w:szCs w:val="26"/>
        </w:rPr>
        <w:footnoteReference w:id="204"/>
      </w:r>
      <w:r w:rsidRPr="00196B50">
        <w:rPr>
          <w:rFonts w:ascii="Book Antiqua" w:hAnsi="Book Antiqua"/>
        </w:rPr>
        <w:t xml:space="preserve"> Thus, PG&amp;E contends that the Commission was aware of PG&amp;E’s direct benefit allocation method for ESA since 2009,</w:t>
      </w:r>
      <w:r w:rsidRPr="00431F1E">
        <w:rPr>
          <w:rStyle w:val="FootnoteReference"/>
          <w:rFonts w:ascii="Book Antiqua" w:hAnsi="Book Antiqua"/>
          <w:szCs w:val="26"/>
        </w:rPr>
        <w:footnoteReference w:id="205"/>
      </w:r>
      <w:r w:rsidRPr="00196B50">
        <w:rPr>
          <w:rFonts w:ascii="Book Antiqua" w:hAnsi="Book Antiqua"/>
        </w:rPr>
        <w:t xml:space="preserve"> when the Commission ruled that allocating costs across classes without consideration of the classes that benefit from a program was inappropriate.  </w:t>
      </w:r>
    </w:p>
    <w:p w14:paraId="08BD6E75" w14:textId="4662C32A" w:rsidR="001164FC" w:rsidRPr="00196B50" w:rsidRDefault="001164FC" w:rsidP="007C2700">
      <w:pPr>
        <w:pStyle w:val="standard"/>
        <w:rPr>
          <w:rFonts w:ascii="Book Antiqua" w:hAnsi="Book Antiqua"/>
        </w:rPr>
      </w:pPr>
      <w:r w:rsidRPr="00196B50">
        <w:rPr>
          <w:rFonts w:ascii="Book Antiqua" w:hAnsi="Book Antiqua"/>
        </w:rPr>
        <w:t>Further, PG&amp;E argues that the Commission indicated in D.09-03-024 that adoption of a EPBR method “defies a basic costing principal of assigning cost to those who will benefit, whether direct or indirect,</w:t>
      </w:r>
      <w:r w:rsidR="00D41036" w:rsidRPr="00196B50">
        <w:rPr>
          <w:rFonts w:ascii="Book Antiqua" w:hAnsi="Book Antiqua"/>
        </w:rPr>
        <w:t>”</w:t>
      </w:r>
      <w:r w:rsidRPr="00431F1E">
        <w:rPr>
          <w:rStyle w:val="FootnoteReference"/>
          <w:rFonts w:ascii="Book Antiqua" w:hAnsi="Book Antiqua"/>
          <w:szCs w:val="26"/>
        </w:rPr>
        <w:footnoteReference w:id="206"/>
      </w:r>
      <w:r w:rsidRPr="00196B50">
        <w:rPr>
          <w:rFonts w:ascii="Book Antiqua" w:hAnsi="Book Antiqua"/>
        </w:rPr>
        <w:t xml:space="preserve"> and that “cost allocations of the PPP [public purpose] programs should be fair and equitable. As such, costs should be allocated to customer classes in a manner that appropriately assigns costs relative to the expected share of program benefits. The EPBR method precludes any consideration of an individual program’s purpose and intended benefit</w:t>
      </w:r>
      <w:r w:rsidR="00D33C48" w:rsidRPr="00196B50">
        <w:rPr>
          <w:rFonts w:ascii="Book Antiqua" w:hAnsi="Book Antiqua"/>
        </w:rPr>
        <w:t>.</w:t>
      </w:r>
      <w:r w:rsidRPr="00196B50">
        <w:rPr>
          <w:rFonts w:ascii="Book Antiqua" w:hAnsi="Book Antiqua"/>
        </w:rPr>
        <w:t>”</w:t>
      </w:r>
      <w:r w:rsidRPr="00431F1E">
        <w:rPr>
          <w:rStyle w:val="FootnoteReference"/>
          <w:rFonts w:ascii="Book Antiqua" w:hAnsi="Book Antiqua"/>
          <w:szCs w:val="26"/>
        </w:rPr>
        <w:footnoteReference w:id="207"/>
      </w:r>
      <w:r w:rsidRPr="00196B50">
        <w:rPr>
          <w:rFonts w:ascii="Book Antiqua" w:hAnsi="Book Antiqua"/>
        </w:rPr>
        <w:t xml:space="preserve"> Thus, PG&amp;E concludes that even for analysis of public purpose </w:t>
      </w:r>
      <w:r w:rsidRPr="00196B50">
        <w:rPr>
          <w:rFonts w:ascii="Book Antiqua" w:hAnsi="Book Antiqua"/>
        </w:rPr>
        <w:lastRenderedPageBreak/>
        <w:t xml:space="preserve">programs, the Commission looked to allocate costs in line with benefits afforded to specific classes.  </w:t>
      </w:r>
    </w:p>
    <w:p w14:paraId="66432923" w14:textId="77777777" w:rsidR="001164FC" w:rsidRPr="00196B50" w:rsidRDefault="001164FC" w:rsidP="007C2700">
      <w:pPr>
        <w:pStyle w:val="standard"/>
        <w:rPr>
          <w:rFonts w:ascii="Book Antiqua" w:hAnsi="Book Antiqua"/>
        </w:rPr>
      </w:pPr>
      <w:r w:rsidRPr="00196B50">
        <w:rPr>
          <w:rFonts w:ascii="Book Antiqua" w:hAnsi="Book Antiqua"/>
        </w:rPr>
        <w:t>Finally, PG&amp;E contends that Cal Advocates’ reliance on D.16-11-022 is misplaced, in that D.16-11-022 specifically aligned “ESA more closely with the program design for the overall EE program which focuses on portfolio efficiency and incentives for EE achievement;”</w:t>
      </w:r>
      <w:r w:rsidRPr="00431F1E">
        <w:rPr>
          <w:rStyle w:val="FootnoteReference"/>
          <w:rFonts w:ascii="Book Antiqua" w:hAnsi="Book Antiqua"/>
          <w:szCs w:val="26"/>
        </w:rPr>
        <w:footnoteReference w:id="208"/>
      </w:r>
      <w:r w:rsidRPr="00196B50">
        <w:rPr>
          <w:rFonts w:ascii="Book Antiqua" w:hAnsi="Book Antiqua"/>
          <w:bCs/>
        </w:rPr>
        <w:t xml:space="preserve">  and that </w:t>
      </w:r>
      <w:r w:rsidRPr="00196B50">
        <w:rPr>
          <w:rFonts w:ascii="Book Antiqua" w:hAnsi="Book Antiqua"/>
        </w:rPr>
        <w:t>this finding followed Commission precedent holding that the “key policy objective for [ESA] programs, like that of our non-LIEE EE programs, is to provide cost-effective energy savings that serve as an energy resource.”</w:t>
      </w:r>
      <w:r w:rsidRPr="00431F1E">
        <w:rPr>
          <w:rStyle w:val="FootnoteReference"/>
          <w:rFonts w:ascii="Book Antiqua" w:hAnsi="Book Antiqua"/>
          <w:szCs w:val="26"/>
        </w:rPr>
        <w:footnoteReference w:id="209"/>
      </w:r>
      <w:r w:rsidRPr="00196B50">
        <w:rPr>
          <w:rFonts w:ascii="Book Antiqua" w:hAnsi="Book Antiqua"/>
          <w:bCs/>
        </w:rPr>
        <w:t xml:space="preserve">  Thus, PG&amp;E concludes that t</w:t>
      </w:r>
      <w:r w:rsidRPr="00196B50">
        <w:rPr>
          <w:rFonts w:ascii="Book Antiqua" w:hAnsi="Book Antiqua"/>
        </w:rPr>
        <w:t>hese policy and program objectives supported the Commission’s decision to establish overall portfolio energy savings targets the IOUs are to achieve for the ESA program.</w:t>
      </w:r>
      <w:r w:rsidRPr="00431F1E">
        <w:rPr>
          <w:rStyle w:val="FootnoteReference"/>
          <w:rFonts w:ascii="Book Antiqua" w:hAnsi="Book Antiqua"/>
          <w:szCs w:val="26"/>
        </w:rPr>
        <w:footnoteReference w:id="210"/>
      </w:r>
    </w:p>
    <w:p w14:paraId="398E0B1E" w14:textId="1E1AE319" w:rsidR="001164FC" w:rsidRPr="00196B50" w:rsidRDefault="001164FC" w:rsidP="007C2700">
      <w:pPr>
        <w:pStyle w:val="standard"/>
        <w:rPr>
          <w:rFonts w:ascii="Book Antiqua" w:hAnsi="Book Antiqua"/>
        </w:rPr>
      </w:pPr>
      <w:r w:rsidRPr="00196B50">
        <w:rPr>
          <w:rFonts w:ascii="Book Antiqua" w:hAnsi="Book Antiqua"/>
        </w:rPr>
        <w:t xml:space="preserve">We have evaluated the entire record with regards to Issues 11 and 12 in the Scoping Memo and the arguments made by PG&amp;E, TURN, Cal Advocates, SBUA and Indicated Shippers, in support of, and/or opposition to, these proposals.  Unless otherwise noted herein in this decision, all arguments not specifically accepted or relied upon have been evaluated and rejected.  </w:t>
      </w:r>
    </w:p>
    <w:p w14:paraId="194D4ADA" w14:textId="79958411" w:rsidR="001164FC" w:rsidRPr="00196B50" w:rsidRDefault="00785D9C" w:rsidP="007C2700">
      <w:pPr>
        <w:pStyle w:val="standard"/>
        <w:rPr>
          <w:rFonts w:ascii="Book Antiqua" w:hAnsi="Book Antiqua"/>
        </w:rPr>
      </w:pPr>
      <w:r w:rsidRPr="00196B50">
        <w:rPr>
          <w:rFonts w:ascii="Book Antiqua" w:hAnsi="Book Antiqua" w:cs="Helvetica"/>
        </w:rPr>
        <w:t>W</w:t>
      </w:r>
      <w:r w:rsidRPr="00196B50">
        <w:rPr>
          <w:rFonts w:ascii="Book Antiqua" w:hAnsi="Book Antiqua"/>
        </w:rPr>
        <w:t>e find that PG&amp;E met its burden on</w:t>
      </w:r>
      <w:r w:rsidRPr="00196B50" w:rsidDel="00785D9C">
        <w:rPr>
          <w:rFonts w:ascii="Book Antiqua" w:hAnsi="Book Antiqua"/>
        </w:rPr>
        <w:t xml:space="preserve"> </w:t>
      </w:r>
      <w:r w:rsidR="001164FC" w:rsidRPr="00196B50">
        <w:rPr>
          <w:rFonts w:ascii="Book Antiqua" w:hAnsi="Book Antiqua"/>
          <w:u w:val="single"/>
        </w:rPr>
        <w:t>Issue 11</w:t>
      </w:r>
      <w:r w:rsidR="001164FC" w:rsidRPr="00196B50">
        <w:rPr>
          <w:rFonts w:ascii="Book Antiqua" w:hAnsi="Book Antiqua"/>
        </w:rPr>
        <w:t xml:space="preserve">, </w:t>
      </w:r>
      <w:r w:rsidR="001164FC" w:rsidRPr="00196B50">
        <w:rPr>
          <w:rFonts w:ascii="Book Antiqua" w:hAnsi="Book Antiqua" w:cs="Helvetica"/>
        </w:rPr>
        <w:t xml:space="preserve">whether PG&amp;E's proposed modifications to the allocation of EE program costs to customer classes be approved, </w:t>
      </w:r>
      <w:r w:rsidR="001164FC" w:rsidRPr="00196B50">
        <w:rPr>
          <w:rFonts w:ascii="Book Antiqua" w:hAnsi="Book Antiqua"/>
        </w:rPr>
        <w:t xml:space="preserve">, and PG&amp;E </w:t>
      </w:r>
      <w:r w:rsidRPr="00196B50">
        <w:rPr>
          <w:rFonts w:ascii="Book Antiqua" w:hAnsi="Book Antiqua"/>
        </w:rPr>
        <w:t>is</w:t>
      </w:r>
      <w:r w:rsidR="001164FC" w:rsidRPr="00196B50">
        <w:rPr>
          <w:rFonts w:ascii="Book Antiqua" w:hAnsi="Book Antiqua"/>
        </w:rPr>
        <w:t xml:space="preserve"> authorized to continue the allocation of the EE costs </w:t>
      </w:r>
      <w:r w:rsidR="001164FC" w:rsidRPr="00196B50">
        <w:rPr>
          <w:rFonts w:ascii="Book Antiqua" w:hAnsi="Book Antiqua"/>
        </w:rPr>
        <w:lastRenderedPageBreak/>
        <w:t>based on its updated study of benefits received by each class as offered in this record, and consistent with D. 95-12-053.  In addition, and based on this record, PG&amp;E shall allocate EE shareholder incentives using the direct benefits method developed for EE program costs, as proposed by TURN (and supported by this record) as follows: Residential Class (33.84%); Small Commercial (32.86%); Large Commercial (1.94%); Industrial Distribution (10.82%); and Industrial Transmission (20.54%)</w:t>
      </w:r>
      <w:r w:rsidR="006E5502">
        <w:rPr>
          <w:rFonts w:ascii="Book Antiqua" w:hAnsi="Book Antiqua"/>
        </w:rPr>
        <w:t xml:space="preserve"> in d</w:t>
      </w:r>
      <w:r w:rsidR="006E5502" w:rsidRPr="00C70F1E">
        <w:rPr>
          <w:rFonts w:ascii="Book Antiqua" w:hAnsi="Book Antiqua"/>
          <w:szCs w:val="26"/>
        </w:rPr>
        <w:t>evelop</w:t>
      </w:r>
      <w:r w:rsidR="006E5502">
        <w:rPr>
          <w:rFonts w:ascii="Book Antiqua" w:hAnsi="Book Antiqua"/>
          <w:szCs w:val="26"/>
        </w:rPr>
        <w:t>ing</w:t>
      </w:r>
      <w:r w:rsidR="006E5502" w:rsidRPr="00C70F1E">
        <w:rPr>
          <w:rFonts w:ascii="Book Antiqua" w:hAnsi="Book Antiqua"/>
          <w:szCs w:val="26"/>
        </w:rPr>
        <w:t xml:space="preserve"> the weighted allocation to customer classes</w:t>
      </w:r>
      <w:r w:rsidR="001164FC" w:rsidRPr="00196B50">
        <w:rPr>
          <w:rFonts w:ascii="Book Antiqua" w:hAnsi="Book Antiqua"/>
        </w:rPr>
        <w:t xml:space="preserve">.  </w:t>
      </w:r>
    </w:p>
    <w:p w14:paraId="453D5593" w14:textId="77777777" w:rsidR="001164FC" w:rsidRPr="00196B50" w:rsidRDefault="001164FC" w:rsidP="007C2700">
      <w:pPr>
        <w:pStyle w:val="standard"/>
        <w:rPr>
          <w:rFonts w:ascii="Book Antiqua" w:hAnsi="Book Antiqua"/>
        </w:rPr>
      </w:pPr>
      <w:r w:rsidRPr="00196B50">
        <w:rPr>
          <w:rFonts w:ascii="Book Antiqua" w:hAnsi="Book Antiqua"/>
        </w:rPr>
        <w:t xml:space="preserve">Lastly, we conclude that this record is insufficient to support authorizing the requested changes to the EE cost allocation requested by SBUA. Accordingly, we reject, without prejudice, SBUA’s challenge to PG&amp;E’s EE cost allocation proposal in this proceeding.  </w:t>
      </w:r>
    </w:p>
    <w:p w14:paraId="5D08D413" w14:textId="0DB3F86B" w:rsidR="001164FC" w:rsidRPr="006E5502" w:rsidRDefault="001164FC" w:rsidP="002C0A89">
      <w:pPr>
        <w:pStyle w:val="standard"/>
        <w:ind w:firstLine="540"/>
        <w:rPr>
          <w:rFonts w:ascii="Book Antiqua" w:hAnsi="Book Antiqua"/>
          <w:szCs w:val="26"/>
        </w:rPr>
      </w:pPr>
      <w:r w:rsidRPr="00196B50">
        <w:rPr>
          <w:rFonts w:ascii="Book Antiqua" w:hAnsi="Book Antiqua"/>
        </w:rPr>
        <w:t xml:space="preserve">Regarding </w:t>
      </w:r>
      <w:r w:rsidRPr="00196B50">
        <w:rPr>
          <w:rFonts w:ascii="Book Antiqua" w:hAnsi="Book Antiqua"/>
          <w:u w:val="single"/>
        </w:rPr>
        <w:t>Issue 12</w:t>
      </w:r>
      <w:r w:rsidRPr="00196B50">
        <w:rPr>
          <w:rFonts w:ascii="Book Antiqua" w:hAnsi="Book Antiqua"/>
        </w:rPr>
        <w:t xml:space="preserve"> in the Scoping Memo, we reject PG&amp;E’s proposal to update the cost allocation formulas used for the ESA program by including the benefits of the ESA program accruing entirely to the residential class based on a direct-benefits methodology</w:t>
      </w:r>
      <w:r w:rsidR="006E5502">
        <w:rPr>
          <w:rFonts w:ascii="Book Antiqua" w:hAnsi="Book Antiqua"/>
        </w:rPr>
        <w:t xml:space="preserve">.  Nonetheless, we </w:t>
      </w:r>
      <w:r w:rsidR="006345EF">
        <w:rPr>
          <w:rFonts w:ascii="Book Antiqua" w:hAnsi="Book Antiqua"/>
        </w:rPr>
        <w:t xml:space="preserve">approve PG&amp;E’s </w:t>
      </w:r>
      <w:r w:rsidR="006345EF">
        <w:rPr>
          <w:rFonts w:ascii="Book Antiqua" w:hAnsi="Book Antiqua"/>
          <w:szCs w:val="26"/>
        </w:rPr>
        <w:t xml:space="preserve">proposal that the </w:t>
      </w:r>
      <w:r w:rsidR="006E5502" w:rsidRPr="00790FC6">
        <w:rPr>
          <w:rFonts w:ascii="Book Antiqua" w:hAnsi="Book Antiqua"/>
          <w:szCs w:val="26"/>
        </w:rPr>
        <w:t>allocation of ESA program costs to the residential customer class be</w:t>
      </w:r>
      <w:r w:rsidR="006E5502">
        <w:rPr>
          <w:rFonts w:ascii="Book Antiqua" w:hAnsi="Book Antiqua"/>
          <w:szCs w:val="26"/>
        </w:rPr>
        <w:t xml:space="preserve"> </w:t>
      </w:r>
      <w:r w:rsidR="006E5502" w:rsidRPr="00790FC6">
        <w:rPr>
          <w:rFonts w:ascii="Book Antiqua" w:hAnsi="Book Antiqua"/>
          <w:szCs w:val="26"/>
        </w:rPr>
        <w:t>performed as a separate step from the allocation of EE costs to all</w:t>
      </w:r>
      <w:r w:rsidR="006E5502">
        <w:rPr>
          <w:rFonts w:ascii="Book Antiqua" w:hAnsi="Book Antiqua"/>
          <w:szCs w:val="26"/>
        </w:rPr>
        <w:t xml:space="preserve"> </w:t>
      </w:r>
      <w:r w:rsidR="006E5502" w:rsidRPr="00790FC6">
        <w:rPr>
          <w:rFonts w:ascii="Book Antiqua" w:hAnsi="Book Antiqua"/>
          <w:szCs w:val="26"/>
        </w:rPr>
        <w:t>customer classes</w:t>
      </w:r>
      <w:r w:rsidR="006E5502">
        <w:rPr>
          <w:rFonts w:ascii="Book Antiqua" w:hAnsi="Book Antiqua"/>
          <w:szCs w:val="26"/>
        </w:rPr>
        <w:t xml:space="preserve">.  Finally, </w:t>
      </w:r>
      <w:r w:rsidR="006E5502">
        <w:rPr>
          <w:rFonts w:ascii="Book Antiqua" w:hAnsi="Book Antiqua"/>
        </w:rPr>
        <w:t xml:space="preserve">we </w:t>
      </w:r>
      <w:r w:rsidRPr="00196B50">
        <w:rPr>
          <w:rFonts w:ascii="Book Antiqua" w:hAnsi="Book Antiqua"/>
        </w:rPr>
        <w:t xml:space="preserve">reject TURN and Cal Advocates’ recommendation to allocate the ESA program costs on an ECPT basis similar to all classes, as further discussed below.   </w:t>
      </w:r>
    </w:p>
    <w:p w14:paraId="36BCB76B" w14:textId="77777777" w:rsidR="001164FC" w:rsidRPr="00196B50" w:rsidRDefault="001164FC" w:rsidP="007C2700">
      <w:pPr>
        <w:pStyle w:val="standard"/>
        <w:rPr>
          <w:rFonts w:ascii="Book Antiqua" w:hAnsi="Book Antiqua"/>
        </w:rPr>
      </w:pPr>
      <w:r w:rsidRPr="00196B50">
        <w:rPr>
          <w:rFonts w:ascii="Book Antiqua" w:hAnsi="Book Antiqua"/>
        </w:rPr>
        <w:t xml:space="preserve">First, we agree with SBUA that the allocation of ESA costs is a judgment call on the part of the Commission, and we find that this record is insufficient to authorize the modifications to the ESA program costs allocation requested by PG&amp;E, or the proposed ESA costs allocation based on an ECPT methodology as put forth by TURN and Cal Advocates.  </w:t>
      </w:r>
    </w:p>
    <w:p w14:paraId="00D54789" w14:textId="0A94ED0D" w:rsidR="001164FC" w:rsidRPr="00196B50" w:rsidRDefault="001164FC" w:rsidP="007C2700">
      <w:pPr>
        <w:pStyle w:val="standard"/>
        <w:rPr>
          <w:rFonts w:ascii="Book Antiqua" w:hAnsi="Book Antiqua"/>
        </w:rPr>
      </w:pPr>
      <w:r w:rsidRPr="00196B50">
        <w:rPr>
          <w:rFonts w:ascii="Book Antiqua" w:hAnsi="Book Antiqua"/>
        </w:rPr>
        <w:t xml:space="preserve">We find that while several of the arguments made by different parties on the ESA program costs allocation are not without merit, many are also equally </w:t>
      </w:r>
      <w:r w:rsidRPr="00196B50">
        <w:rPr>
          <w:rFonts w:ascii="Book Antiqua" w:hAnsi="Book Antiqua"/>
        </w:rPr>
        <w:lastRenderedPageBreak/>
        <w:t xml:space="preserve">persuasive.  We conclude that this record does not provide substantial evidence to support any particular proposal, or a deviation from what the Commission previously authorized in PG&amp;E’s operative decision on this issue.  Accordingly, </w:t>
      </w:r>
      <w:r w:rsidR="00F8336E" w:rsidRPr="00196B50">
        <w:rPr>
          <w:rFonts w:ascii="Book Antiqua" w:hAnsi="Book Antiqua"/>
        </w:rPr>
        <w:t>the</w:t>
      </w:r>
      <w:r w:rsidRPr="00196B50">
        <w:rPr>
          <w:rFonts w:ascii="Book Antiqua" w:hAnsi="Book Antiqua"/>
        </w:rPr>
        <w:t xml:space="preserve"> requests to modify ESA program cost allocation in this GCAP proceeding are denied, and this decision confirms Commission prior direction to PG&amp;E on this issue without modification, as set forth in D.95-12-053.</w:t>
      </w:r>
      <w:r w:rsidRPr="00431F1E">
        <w:rPr>
          <w:rStyle w:val="FootnoteReference"/>
          <w:rFonts w:ascii="Book Antiqua" w:hAnsi="Book Antiqua"/>
          <w:szCs w:val="26"/>
        </w:rPr>
        <w:footnoteReference w:id="211"/>
      </w:r>
    </w:p>
    <w:p w14:paraId="7AEA0F22" w14:textId="77777777" w:rsidR="001164FC" w:rsidRPr="00431F1E" w:rsidRDefault="001164FC" w:rsidP="004640BD">
      <w:pPr>
        <w:pStyle w:val="Heading2"/>
        <w:rPr>
          <w:rFonts w:ascii="Helvetica" w:hAnsi="Helvetica" w:cs="Helvetica"/>
        </w:rPr>
      </w:pPr>
      <w:bookmarkStart w:id="86" w:name="_Toc11407871"/>
      <w:bookmarkStart w:id="87" w:name="_Toc20144554"/>
      <w:r w:rsidRPr="00431F1E">
        <w:rPr>
          <w:rFonts w:ascii="Helvetica" w:hAnsi="Helvetica" w:cs="Helvetica"/>
        </w:rPr>
        <w:t>Issue 13 - Should the Commission adopt PG&amp;E’s proposed schedule for submission of future GCAP applications?</w:t>
      </w:r>
      <w:bookmarkEnd w:id="86"/>
      <w:bookmarkEnd w:id="87"/>
    </w:p>
    <w:p w14:paraId="00538FA4" w14:textId="4C4DD7F1" w:rsidR="001164FC" w:rsidRPr="00196B50" w:rsidRDefault="001164FC" w:rsidP="007C2700">
      <w:pPr>
        <w:pStyle w:val="standard"/>
        <w:rPr>
          <w:rFonts w:ascii="Book Antiqua" w:hAnsi="Book Antiqua"/>
        </w:rPr>
      </w:pPr>
      <w:r w:rsidRPr="00196B50">
        <w:rPr>
          <w:rFonts w:ascii="Book Antiqua" w:hAnsi="Book Antiqua"/>
        </w:rPr>
        <w:t>In this Application, PG&amp;E proposes a three-year to five-year- cycle for filing future GCAP applications, and to establish the GT&amp;S cases as the venues for litigating and deciding gas throughput forecasts that will be implemented for future GCAP rate changes as well as GT&amp;S rate changes.  Specifically, PG&amp;E requests that the Commission authorize it to file its future GCAP applications no sooner than three years from the application date of the previous GCAP and no later than five years from that same date.</w:t>
      </w:r>
      <w:r w:rsidRPr="007E4247">
        <w:rPr>
          <w:rStyle w:val="FootnoteReference"/>
          <w:rFonts w:ascii="Book Antiqua" w:hAnsi="Book Antiqua"/>
          <w:szCs w:val="26"/>
        </w:rPr>
        <w:footnoteReference w:id="212"/>
      </w:r>
      <w:r w:rsidRPr="00196B50">
        <w:rPr>
          <w:rFonts w:ascii="Book Antiqua" w:hAnsi="Book Antiqua"/>
        </w:rPr>
        <w:t xml:space="preserve">  In its </w:t>
      </w:r>
      <w:r w:rsidR="005C6F04" w:rsidRPr="003D2091">
        <w:t xml:space="preserve">Opening Brief </w:t>
      </w:r>
      <w:r w:rsidRPr="00196B50">
        <w:rPr>
          <w:rFonts w:ascii="Book Antiqua" w:hAnsi="Book Antiqua"/>
        </w:rPr>
        <w:t xml:space="preserve">(at 2), Cal Advocates indicated that it agrees with PG&amp;E’s proposal regarding the submission of future GCAP applications, but requested that PG&amp;E should be required to provide notice to the Commission whether it anticipates a delay or </w:t>
      </w:r>
      <w:r w:rsidR="00512CE9" w:rsidRPr="00196B50">
        <w:rPr>
          <w:rFonts w:ascii="Book Antiqua" w:hAnsi="Book Antiqua"/>
        </w:rPr>
        <w:t xml:space="preserve">is </w:t>
      </w:r>
      <w:r w:rsidRPr="00196B50">
        <w:rPr>
          <w:rFonts w:ascii="Book Antiqua" w:hAnsi="Book Antiqua"/>
        </w:rPr>
        <w:t>on track to file its next GCAP at least six months before the planned GCAP filing cycle proposed by PG&amp;E herein, if adopted.</w:t>
      </w:r>
      <w:r w:rsidRPr="007E4247">
        <w:rPr>
          <w:rStyle w:val="FootnoteReference"/>
          <w:rFonts w:ascii="Book Antiqua" w:hAnsi="Book Antiqua"/>
          <w:szCs w:val="26"/>
        </w:rPr>
        <w:footnoteReference w:id="213"/>
      </w:r>
      <w:r w:rsidRPr="00196B50">
        <w:rPr>
          <w:rFonts w:ascii="Book Antiqua" w:hAnsi="Book Antiqua"/>
        </w:rPr>
        <w:t xml:space="preserve">  PG&amp;E agrees that Cal Advocates request is reasonable.  No other intervenor addressed this issue, or indicated an opposition. </w:t>
      </w:r>
    </w:p>
    <w:p w14:paraId="20BA4140" w14:textId="616225CB" w:rsidR="001164FC" w:rsidRPr="00196B50" w:rsidRDefault="001164FC" w:rsidP="007C2700">
      <w:pPr>
        <w:pStyle w:val="standard"/>
        <w:rPr>
          <w:rFonts w:ascii="Book Antiqua" w:hAnsi="Book Antiqua"/>
        </w:rPr>
      </w:pPr>
      <w:r w:rsidRPr="00196B50">
        <w:rPr>
          <w:rFonts w:ascii="Book Antiqua" w:hAnsi="Book Antiqua"/>
        </w:rPr>
        <w:lastRenderedPageBreak/>
        <w:t>Based on this record, we find PG&amp;E’s proposal for a three-year to five-year</w:t>
      </w:r>
      <w:r w:rsidR="00D33C48" w:rsidRPr="00196B50">
        <w:rPr>
          <w:rFonts w:ascii="Book Antiqua" w:hAnsi="Book Antiqua"/>
        </w:rPr>
        <w:t xml:space="preserve"> </w:t>
      </w:r>
      <w:r w:rsidRPr="00196B50">
        <w:rPr>
          <w:rFonts w:ascii="Book Antiqua" w:hAnsi="Book Antiqua"/>
        </w:rPr>
        <w:t>cycle for filing future GCAP applications to be reasonable.  We find that the proposal will help to establish a more definite schedule for GCAP Application, and accordingly we approve this proposal, in addition to the notice requirement recommended by Cal Advocates.  As proposed by Cal Advocates, PG&amp;E would be required to provide notice to the Commission at least six (6) months before any planned GCAP filing in order to advise the Commission whether the filing would be timely or delayed.</w:t>
      </w:r>
    </w:p>
    <w:p w14:paraId="79C4FF86" w14:textId="2EC814F0" w:rsidR="00DB2E35" w:rsidRPr="008550CD" w:rsidRDefault="00DB2E35" w:rsidP="003126A5">
      <w:pPr>
        <w:pStyle w:val="Heading2"/>
        <w:keepNext w:val="0"/>
        <w:rPr>
          <w:rFonts w:ascii="Helvetica" w:hAnsi="Helvetica" w:cs="Helvetica"/>
        </w:rPr>
      </w:pPr>
      <w:bookmarkStart w:id="88" w:name="_Toc20144555"/>
      <w:r w:rsidRPr="008550CD">
        <w:rPr>
          <w:rFonts w:ascii="Helvetica" w:hAnsi="Helvetica" w:cs="Helvetica"/>
        </w:rPr>
        <w:t>Summary of Outcomes</w:t>
      </w:r>
      <w:bookmarkEnd w:id="88"/>
    </w:p>
    <w:p w14:paraId="74A17AA4" w14:textId="59542BC9" w:rsidR="00DB2E35" w:rsidRPr="00561FEE" w:rsidRDefault="00DB2E35" w:rsidP="003126A5">
      <w:pPr>
        <w:pStyle w:val="num1"/>
        <w:numPr>
          <w:ilvl w:val="0"/>
          <w:numId w:val="0"/>
        </w:numPr>
        <w:tabs>
          <w:tab w:val="clear" w:pos="-720"/>
          <w:tab w:val="left" w:pos="0"/>
        </w:tabs>
        <w:ind w:firstLine="720"/>
        <w:rPr>
          <w:rFonts w:ascii="Book Antiqua" w:hAnsi="Book Antiqua" w:cs="Arial"/>
          <w:szCs w:val="26"/>
        </w:rPr>
      </w:pPr>
      <w:r>
        <w:rPr>
          <w:rFonts w:ascii="Book Antiqua" w:hAnsi="Book Antiqua"/>
          <w:szCs w:val="26"/>
        </w:rPr>
        <w:t>T</w:t>
      </w:r>
      <w:r w:rsidRPr="00561FEE">
        <w:rPr>
          <w:rFonts w:ascii="Book Antiqua" w:hAnsi="Book Antiqua"/>
          <w:szCs w:val="26"/>
        </w:rPr>
        <w:t>his decision</w:t>
      </w:r>
      <w:r w:rsidRPr="00561FEE">
        <w:rPr>
          <w:rFonts w:ascii="Book Antiqua" w:hAnsi="Book Antiqua" w:cs="Arial"/>
          <w:szCs w:val="26"/>
        </w:rPr>
        <w:t xml:space="preserve">: </w:t>
      </w:r>
    </w:p>
    <w:p w14:paraId="71EACFC0" w14:textId="6673457E" w:rsidR="00DB2E35" w:rsidRPr="00561FEE" w:rsidRDefault="00DB2E35" w:rsidP="003126A5">
      <w:pPr>
        <w:pStyle w:val="num1"/>
        <w:numPr>
          <w:ilvl w:val="0"/>
          <w:numId w:val="59"/>
        </w:numPr>
        <w:tabs>
          <w:tab w:val="clear" w:pos="-720"/>
          <w:tab w:val="left" w:pos="720"/>
        </w:tabs>
        <w:suppressAutoHyphens w:val="0"/>
        <w:spacing w:after="120" w:line="240" w:lineRule="auto"/>
        <w:ind w:left="734" w:right="1440" w:hanging="187"/>
        <w:rPr>
          <w:rFonts w:ascii="Book Antiqua" w:hAnsi="Book Antiqua"/>
          <w:szCs w:val="26"/>
        </w:rPr>
      </w:pPr>
      <w:r w:rsidRPr="00561FEE">
        <w:rPr>
          <w:rFonts w:ascii="Book Antiqua" w:hAnsi="Book Antiqua"/>
          <w:szCs w:val="26"/>
        </w:rPr>
        <w:t>authorizes</w:t>
      </w:r>
      <w:r w:rsidRPr="00EC0C24">
        <w:rPr>
          <w:rFonts w:ascii="Book Antiqua" w:hAnsi="Book Antiqua"/>
          <w:szCs w:val="26"/>
        </w:rPr>
        <w:t xml:space="preserve"> PG&amp;E to continue the use of the marginal cost methodology initially adopted in D.92-12-058 to allocate revenue requirements to customer classes in this GCAP; and further directs PG&amp;E to allocate its revenue requirement based on the DTIM-based MDCC estimate, and NCO</w:t>
      </w:r>
      <w:r>
        <w:rPr>
          <w:rFonts w:ascii="Book Antiqua" w:hAnsi="Book Antiqua"/>
          <w:szCs w:val="26"/>
        </w:rPr>
        <w:t xml:space="preserve"> </w:t>
      </w:r>
      <w:r w:rsidRPr="00EC0C24">
        <w:rPr>
          <w:rFonts w:ascii="Book Antiqua" w:hAnsi="Book Antiqua"/>
          <w:szCs w:val="26"/>
        </w:rPr>
        <w:t xml:space="preserve">MCAC marginal costs, as </w:t>
      </w:r>
      <w:r w:rsidRPr="00561FEE">
        <w:rPr>
          <w:rFonts w:ascii="Book Antiqua" w:hAnsi="Book Antiqua"/>
          <w:szCs w:val="26"/>
        </w:rPr>
        <w:t>updated for the new tax law and other costs adjustments set forth in Cal Advocates’ testimony;</w:t>
      </w:r>
    </w:p>
    <w:p w14:paraId="5830E16C" w14:textId="572B7E0A" w:rsidR="00DB2E35" w:rsidRPr="00561FEE" w:rsidRDefault="00DB2E35" w:rsidP="003126A5">
      <w:pPr>
        <w:pStyle w:val="num1"/>
        <w:numPr>
          <w:ilvl w:val="0"/>
          <w:numId w:val="59"/>
        </w:numPr>
        <w:tabs>
          <w:tab w:val="clear" w:pos="-720"/>
          <w:tab w:val="left" w:pos="720"/>
        </w:tabs>
        <w:suppressAutoHyphens w:val="0"/>
        <w:spacing w:after="120" w:line="240" w:lineRule="auto"/>
        <w:ind w:left="734" w:right="1440" w:hanging="187"/>
        <w:rPr>
          <w:rFonts w:ascii="Book Antiqua" w:hAnsi="Book Antiqua"/>
          <w:szCs w:val="26"/>
        </w:rPr>
      </w:pPr>
      <w:bookmarkStart w:id="89" w:name="_Hlk20211734"/>
      <w:r>
        <w:rPr>
          <w:rFonts w:ascii="Book Antiqua" w:hAnsi="Book Antiqua"/>
          <w:szCs w:val="26"/>
        </w:rPr>
        <w:t>uses</w:t>
      </w:r>
      <w:r w:rsidRPr="00561FEE">
        <w:rPr>
          <w:rFonts w:ascii="Book Antiqua" w:hAnsi="Book Antiqua"/>
          <w:szCs w:val="26"/>
        </w:rPr>
        <w:t xml:space="preserve"> the final 2019 GT&amp;S throughput forecast </w:t>
      </w:r>
      <w:r>
        <w:rPr>
          <w:rFonts w:ascii="Book Antiqua" w:hAnsi="Book Antiqua"/>
          <w:szCs w:val="26"/>
        </w:rPr>
        <w:t>once</w:t>
      </w:r>
      <w:r w:rsidRPr="00561FEE">
        <w:rPr>
          <w:rFonts w:ascii="Book Antiqua" w:hAnsi="Book Antiqua"/>
          <w:szCs w:val="26"/>
        </w:rPr>
        <w:t xml:space="preserve"> adopted in A.17-11-009 to implement the GCAP rates adopted in this proceeding. </w:t>
      </w:r>
      <w:bookmarkEnd w:id="89"/>
      <w:r w:rsidRPr="00561FEE">
        <w:rPr>
          <w:rFonts w:ascii="Book Antiqua" w:hAnsi="Book Antiqua"/>
          <w:szCs w:val="26"/>
        </w:rPr>
        <w:t xml:space="preserve"> In the interim PG&amp;E </w:t>
      </w:r>
      <w:r>
        <w:rPr>
          <w:rFonts w:ascii="Book Antiqua" w:hAnsi="Book Antiqua"/>
          <w:szCs w:val="26"/>
        </w:rPr>
        <w:t>shall</w:t>
      </w:r>
      <w:r w:rsidRPr="00561FEE">
        <w:rPr>
          <w:rFonts w:ascii="Book Antiqua" w:hAnsi="Book Antiqua"/>
          <w:szCs w:val="26"/>
        </w:rPr>
        <w:t xml:space="preserve"> utilize Cal Advocates’ throughput forecast submitted in A.17-11-009; </w:t>
      </w:r>
    </w:p>
    <w:p w14:paraId="6644E2FE" w14:textId="77777777" w:rsidR="00DB2E35" w:rsidRPr="00561FEE" w:rsidRDefault="00DB2E35" w:rsidP="008550CD">
      <w:pPr>
        <w:pStyle w:val="num1"/>
        <w:widowControl w:val="0"/>
        <w:numPr>
          <w:ilvl w:val="0"/>
          <w:numId w:val="59"/>
        </w:numPr>
        <w:tabs>
          <w:tab w:val="clear" w:pos="-720"/>
          <w:tab w:val="left" w:pos="720"/>
        </w:tabs>
        <w:suppressAutoHyphens w:val="0"/>
        <w:spacing w:after="120" w:line="240" w:lineRule="auto"/>
        <w:ind w:left="734" w:right="1440" w:hanging="187"/>
        <w:rPr>
          <w:rFonts w:ascii="Book Antiqua" w:hAnsi="Book Antiqua"/>
          <w:szCs w:val="26"/>
        </w:rPr>
      </w:pPr>
      <w:r w:rsidRPr="00561FEE">
        <w:rPr>
          <w:rFonts w:ascii="Book Antiqua" w:hAnsi="Book Antiqua"/>
          <w:szCs w:val="26"/>
        </w:rPr>
        <w:t>authorizes P</w:t>
      </w:r>
      <w:r w:rsidRPr="00561FEE">
        <w:rPr>
          <w:rFonts w:ascii="Book Antiqua" w:hAnsi="Book Antiqua" w:cs="Arial"/>
          <w:szCs w:val="26"/>
        </w:rPr>
        <w:t>G&amp;E to update its gas distribution throughput forecasts approved in future GT&amp;S cases, on an ongoing basis, via a Tier 2 advice letter filing</w:t>
      </w:r>
      <w:r>
        <w:rPr>
          <w:rFonts w:ascii="Book Antiqua" w:hAnsi="Book Antiqua" w:cs="Arial"/>
          <w:szCs w:val="26"/>
        </w:rPr>
        <w:t>;</w:t>
      </w:r>
      <w:r w:rsidRPr="00561FEE">
        <w:rPr>
          <w:rFonts w:ascii="Book Antiqua" w:hAnsi="Book Antiqua" w:cs="Arial"/>
          <w:szCs w:val="26"/>
        </w:rPr>
        <w:t xml:space="preserve"> </w:t>
      </w:r>
    </w:p>
    <w:p w14:paraId="7BC526A7" w14:textId="77777777" w:rsidR="00DB2E35" w:rsidRPr="00561FEE" w:rsidRDefault="00DB2E35" w:rsidP="008550CD">
      <w:pPr>
        <w:pStyle w:val="num1"/>
        <w:widowControl w:val="0"/>
        <w:numPr>
          <w:ilvl w:val="0"/>
          <w:numId w:val="59"/>
        </w:numPr>
        <w:tabs>
          <w:tab w:val="clear" w:pos="-720"/>
          <w:tab w:val="left" w:pos="720"/>
        </w:tabs>
        <w:suppressAutoHyphens w:val="0"/>
        <w:spacing w:after="120" w:line="240" w:lineRule="auto"/>
        <w:ind w:left="734" w:right="1440" w:hanging="187"/>
        <w:rPr>
          <w:rFonts w:ascii="Book Antiqua" w:hAnsi="Book Antiqua"/>
          <w:szCs w:val="26"/>
        </w:rPr>
      </w:pPr>
      <w:r w:rsidRPr="00561FEE">
        <w:rPr>
          <w:rFonts w:ascii="Book Antiqua" w:hAnsi="Book Antiqua"/>
          <w:szCs w:val="26"/>
        </w:rPr>
        <w:t>authorizes P</w:t>
      </w:r>
      <w:r w:rsidRPr="00561FEE">
        <w:rPr>
          <w:rFonts w:ascii="Book Antiqua" w:hAnsi="Book Antiqua" w:cs="Arial"/>
          <w:szCs w:val="26"/>
        </w:rPr>
        <w:t xml:space="preserve">G&amp;E to </w:t>
      </w:r>
      <w:r w:rsidRPr="00561FEE">
        <w:rPr>
          <w:rFonts w:ascii="Book Antiqua" w:hAnsi="Book Antiqua"/>
          <w:szCs w:val="26"/>
        </w:rPr>
        <w:t xml:space="preserve">reduce the residential Tier 1 and Tier 2 bundled rate differential to 1.2 over four years beginning with implementation of this decision;  </w:t>
      </w:r>
    </w:p>
    <w:p w14:paraId="5568C296" w14:textId="44D0CEE5" w:rsidR="00DB2E35" w:rsidRPr="004A4B95" w:rsidRDefault="00DB2E35" w:rsidP="008550CD">
      <w:pPr>
        <w:pStyle w:val="num1"/>
        <w:widowControl w:val="0"/>
        <w:numPr>
          <w:ilvl w:val="0"/>
          <w:numId w:val="59"/>
        </w:numPr>
        <w:tabs>
          <w:tab w:val="clear" w:pos="-720"/>
          <w:tab w:val="left" w:pos="720"/>
        </w:tabs>
        <w:suppressAutoHyphens w:val="0"/>
        <w:spacing w:after="120" w:line="240" w:lineRule="auto"/>
        <w:ind w:left="734" w:right="1440" w:hanging="187"/>
        <w:rPr>
          <w:rFonts w:ascii="Book Antiqua" w:hAnsi="Book Antiqua" w:cs="Helvetica"/>
          <w:szCs w:val="26"/>
        </w:rPr>
      </w:pPr>
      <w:r w:rsidRPr="00561FEE">
        <w:rPr>
          <w:rFonts w:ascii="Book Antiqua" w:hAnsi="Book Antiqua"/>
          <w:szCs w:val="26"/>
        </w:rPr>
        <w:t xml:space="preserve">authorizes </w:t>
      </w:r>
      <w:r w:rsidRPr="00561FEE">
        <w:rPr>
          <w:rFonts w:ascii="Book Antiqua" w:hAnsi="Book Antiqua" w:cs="Helvetica"/>
          <w:szCs w:val="26"/>
        </w:rPr>
        <w:t>PG&amp;E to</w:t>
      </w:r>
      <w:r>
        <w:rPr>
          <w:rFonts w:ascii="Book Antiqua" w:hAnsi="Book Antiqua" w:cs="Helvetica"/>
          <w:szCs w:val="26"/>
        </w:rPr>
        <w:t>: a)</w:t>
      </w:r>
      <w:r w:rsidRPr="00561FEE">
        <w:rPr>
          <w:rFonts w:ascii="Book Antiqua" w:hAnsi="Book Antiqua" w:cs="Helvetica"/>
          <w:szCs w:val="26"/>
        </w:rPr>
        <w:t xml:space="preserve"> implement </w:t>
      </w:r>
      <w:r w:rsidRPr="00EA0A1E">
        <w:rPr>
          <w:rFonts w:ascii="Book Antiqua" w:hAnsi="Book Antiqua"/>
          <w:szCs w:val="26"/>
        </w:rPr>
        <w:t>a $1 increase in the residential minimum transportation charges from the current $3 to $4 per month for non-CARE customer basic service</w:t>
      </w:r>
      <w:r>
        <w:rPr>
          <w:rFonts w:ascii="Book Antiqua" w:hAnsi="Book Antiqua"/>
          <w:szCs w:val="26"/>
        </w:rPr>
        <w:t>;</w:t>
      </w:r>
      <w:r w:rsidRPr="004A4B95">
        <w:rPr>
          <w:rFonts w:ascii="Book Antiqua" w:hAnsi="Book Antiqua"/>
          <w:szCs w:val="26"/>
        </w:rPr>
        <w:t xml:space="preserve">  </w:t>
      </w:r>
    </w:p>
    <w:p w14:paraId="2EFDE051" w14:textId="77777777" w:rsidR="00DB2E35" w:rsidRPr="00F91191" w:rsidRDefault="00DB2E35" w:rsidP="008550CD">
      <w:pPr>
        <w:pStyle w:val="num1"/>
        <w:widowControl w:val="0"/>
        <w:numPr>
          <w:ilvl w:val="0"/>
          <w:numId w:val="59"/>
        </w:numPr>
        <w:tabs>
          <w:tab w:val="clear" w:pos="-720"/>
          <w:tab w:val="left" w:pos="720"/>
        </w:tabs>
        <w:suppressAutoHyphens w:val="0"/>
        <w:spacing w:after="120" w:line="240" w:lineRule="auto"/>
        <w:ind w:left="734" w:right="1440" w:hanging="187"/>
        <w:rPr>
          <w:rFonts w:ascii="Book Antiqua" w:hAnsi="Book Antiqua"/>
          <w:szCs w:val="26"/>
        </w:rPr>
      </w:pPr>
      <w:r w:rsidRPr="00F91191">
        <w:rPr>
          <w:rFonts w:ascii="Book Antiqua" w:hAnsi="Book Antiqua" w:cs="Helvetica"/>
          <w:szCs w:val="26"/>
        </w:rPr>
        <w:t xml:space="preserve">authorizes PG&amp;E to update the </w:t>
      </w:r>
      <w:r w:rsidRPr="00E32D6F">
        <w:rPr>
          <w:rFonts w:ascii="Book Antiqua" w:hAnsi="Book Antiqua" w:cs="Helvetica"/>
          <w:szCs w:val="26"/>
        </w:rPr>
        <w:t>Core Brokerage Fee</w:t>
      </w:r>
      <w:r>
        <w:rPr>
          <w:rFonts w:ascii="Book Antiqua" w:hAnsi="Book Antiqua" w:cs="Helvetica"/>
          <w:szCs w:val="26"/>
        </w:rPr>
        <w:t xml:space="preserve"> </w:t>
      </w:r>
      <w:r w:rsidRPr="00F91191">
        <w:rPr>
          <w:rFonts w:ascii="Book Antiqua" w:hAnsi="Book Antiqua"/>
          <w:szCs w:val="26"/>
        </w:rPr>
        <w:t xml:space="preserve">to $0.0249 per </w:t>
      </w:r>
      <w:r w:rsidRPr="00431F1E">
        <w:rPr>
          <w:rFonts w:ascii="Book Antiqua" w:hAnsi="Book Antiqua"/>
        </w:rPr>
        <w:t>dekatherm</w:t>
      </w:r>
      <w:r w:rsidRPr="00F91191">
        <w:rPr>
          <w:rFonts w:ascii="Book Antiqua" w:hAnsi="Book Antiqua"/>
          <w:szCs w:val="26"/>
        </w:rPr>
        <w:t xml:space="preserve">;  </w:t>
      </w:r>
    </w:p>
    <w:p w14:paraId="5C934583" w14:textId="0187F08B" w:rsidR="00DB2E35" w:rsidRPr="00561FEE" w:rsidRDefault="00DB2E35" w:rsidP="008550CD">
      <w:pPr>
        <w:pStyle w:val="num1"/>
        <w:widowControl w:val="0"/>
        <w:numPr>
          <w:ilvl w:val="0"/>
          <w:numId w:val="59"/>
        </w:numPr>
        <w:tabs>
          <w:tab w:val="clear" w:pos="-720"/>
          <w:tab w:val="left" w:pos="720"/>
        </w:tabs>
        <w:suppressAutoHyphens w:val="0"/>
        <w:spacing w:after="120" w:line="240" w:lineRule="auto"/>
        <w:ind w:left="734" w:right="1440" w:hanging="187"/>
        <w:rPr>
          <w:rFonts w:ascii="Book Antiqua" w:hAnsi="Book Antiqua" w:cs="Helvetica"/>
          <w:szCs w:val="26"/>
        </w:rPr>
      </w:pPr>
      <w:r w:rsidRPr="00561FEE">
        <w:rPr>
          <w:rFonts w:ascii="Book Antiqua" w:hAnsi="Book Antiqua" w:cs="Helvetica"/>
          <w:szCs w:val="26"/>
        </w:rPr>
        <w:lastRenderedPageBreak/>
        <w:t xml:space="preserve">authorizes PG&amp;E to update the master meter discount and the master meter discount diversity benefit adjustment (MMD-DBA) in order to revise master meter calculations on Schedule GS and GT </w:t>
      </w:r>
      <w:r w:rsidRPr="00B13AC9">
        <w:rPr>
          <w:rFonts w:ascii="Book Antiqua" w:hAnsi="Book Antiqua" w:cs="Helvetica"/>
          <w:szCs w:val="26"/>
        </w:rPr>
        <w:t xml:space="preserve">(i.e., Gas Storage and Gas </w:t>
      </w:r>
      <w:r>
        <w:rPr>
          <w:rFonts w:ascii="Book Antiqua" w:hAnsi="Book Antiqua" w:cs="Helvetica"/>
          <w:szCs w:val="26"/>
        </w:rPr>
        <w:t>T</w:t>
      </w:r>
      <w:r w:rsidRPr="00B13AC9">
        <w:rPr>
          <w:rFonts w:ascii="Book Antiqua" w:hAnsi="Book Antiqua" w:cs="Helvetica"/>
          <w:szCs w:val="26"/>
        </w:rPr>
        <w:t xml:space="preserve">ransmission schedules) </w:t>
      </w:r>
      <w:r w:rsidRPr="00561FEE">
        <w:rPr>
          <w:rFonts w:ascii="Book Antiqua" w:hAnsi="Book Antiqua" w:cs="Helvetica"/>
          <w:szCs w:val="26"/>
        </w:rPr>
        <w:t xml:space="preserve">with updated information, and requires PG&amp;E to: (a) apply the service </w:t>
      </w:r>
      <w:r w:rsidRPr="00AC23BD">
        <w:rPr>
          <w:rFonts w:ascii="Book Antiqua" w:hAnsi="Book Antiqua"/>
          <w:szCs w:val="26"/>
        </w:rPr>
        <w:t>operations &amp; maintenance</w:t>
      </w:r>
      <w:r w:rsidRPr="00561FEE">
        <w:rPr>
          <w:rFonts w:ascii="Book Antiqua" w:hAnsi="Book Antiqua" w:cs="Helvetica"/>
          <w:szCs w:val="26"/>
        </w:rPr>
        <w:t xml:space="preserve"> loader to service equipment costs in addition to meter equipment cost resulting in a $1.11 reduction to the master meter discount; and (b) update the </w:t>
      </w:r>
      <w:r w:rsidRPr="00C633A3">
        <w:rPr>
          <w:rFonts w:ascii="Book Antiqua" w:hAnsi="Book Antiqua"/>
          <w:szCs w:val="26"/>
        </w:rPr>
        <w:t xml:space="preserve">RECC </w:t>
      </w:r>
      <w:r w:rsidRPr="00561FEE">
        <w:rPr>
          <w:rFonts w:ascii="Book Antiqua" w:hAnsi="Book Antiqua" w:cs="Helvetica"/>
          <w:szCs w:val="26"/>
        </w:rPr>
        <w:t xml:space="preserve">for the corporate tax rate in the new tax act and the new Cost of Capital; and (c) update GCAP gas GT and GS MMD “Base” amounts, and recalculate and update </w:t>
      </w:r>
      <w:r>
        <w:rPr>
          <w:rFonts w:ascii="Book Antiqua" w:hAnsi="Book Antiqua" w:cs="Helvetica"/>
          <w:szCs w:val="26"/>
        </w:rPr>
        <w:t xml:space="preserve">them </w:t>
      </w:r>
      <w:r w:rsidRPr="00561FEE">
        <w:rPr>
          <w:rFonts w:ascii="Book Antiqua" w:hAnsi="Book Antiqua" w:cs="Helvetica"/>
          <w:szCs w:val="26"/>
        </w:rPr>
        <w:t xml:space="preserve">for tax and cost of capital impacts at the time of implementation; </w:t>
      </w:r>
    </w:p>
    <w:p w14:paraId="18DE9460" w14:textId="70B98E98" w:rsidR="00DB2E35" w:rsidRPr="00561FEE" w:rsidRDefault="00DB2E35" w:rsidP="008550CD">
      <w:pPr>
        <w:pStyle w:val="num1"/>
        <w:widowControl w:val="0"/>
        <w:numPr>
          <w:ilvl w:val="0"/>
          <w:numId w:val="59"/>
        </w:numPr>
        <w:tabs>
          <w:tab w:val="clear" w:pos="-720"/>
          <w:tab w:val="left" w:pos="720"/>
        </w:tabs>
        <w:suppressAutoHyphens w:val="0"/>
        <w:spacing w:after="120" w:line="240" w:lineRule="auto"/>
        <w:ind w:left="734" w:right="1440" w:hanging="187"/>
        <w:rPr>
          <w:rFonts w:ascii="Book Antiqua" w:hAnsi="Book Antiqua"/>
          <w:szCs w:val="26"/>
        </w:rPr>
      </w:pPr>
      <w:r w:rsidRPr="00561FEE">
        <w:rPr>
          <w:rFonts w:ascii="Book Antiqua" w:hAnsi="Book Antiqua"/>
          <w:szCs w:val="26"/>
        </w:rPr>
        <w:t xml:space="preserve">adopts </w:t>
      </w:r>
      <w:r>
        <w:rPr>
          <w:rFonts w:ascii="Book Antiqua" w:hAnsi="Book Antiqua"/>
          <w:szCs w:val="26"/>
        </w:rPr>
        <w:t xml:space="preserve">an </w:t>
      </w:r>
      <w:r w:rsidRPr="00561FEE">
        <w:rPr>
          <w:rFonts w:ascii="Book Antiqua" w:hAnsi="Book Antiqua"/>
          <w:szCs w:val="26"/>
        </w:rPr>
        <w:t xml:space="preserve">updated </w:t>
      </w:r>
      <w:r w:rsidR="00996302">
        <w:rPr>
          <w:rFonts w:cs="Helvetica"/>
        </w:rPr>
        <w:t>NGV</w:t>
      </w:r>
      <w:r w:rsidRPr="00561FEE">
        <w:rPr>
          <w:rFonts w:ascii="Book Antiqua" w:hAnsi="Book Antiqua" w:cs="Helvetica"/>
          <w:szCs w:val="26"/>
        </w:rPr>
        <w:t xml:space="preserve"> compression rate of </w:t>
      </w:r>
      <w:r w:rsidRPr="00561FEE">
        <w:rPr>
          <w:rFonts w:ascii="Book Antiqua" w:hAnsi="Book Antiqua"/>
          <w:szCs w:val="26"/>
        </w:rPr>
        <w:t>$0.96 per therm</w:t>
      </w:r>
      <w:r>
        <w:rPr>
          <w:rFonts w:ascii="Book Antiqua" w:hAnsi="Book Antiqua"/>
          <w:szCs w:val="26"/>
        </w:rPr>
        <w:t xml:space="preserve">, and </w:t>
      </w:r>
      <w:r w:rsidRPr="00561FEE">
        <w:rPr>
          <w:rFonts w:ascii="Book Antiqua" w:hAnsi="Book Antiqua"/>
          <w:szCs w:val="26"/>
        </w:rPr>
        <w:t>authoriz</w:t>
      </w:r>
      <w:r>
        <w:rPr>
          <w:rFonts w:ascii="Book Antiqua" w:hAnsi="Book Antiqua"/>
          <w:szCs w:val="26"/>
        </w:rPr>
        <w:t>es</w:t>
      </w:r>
      <w:r w:rsidRPr="00561FEE">
        <w:rPr>
          <w:rFonts w:ascii="Book Antiqua" w:hAnsi="Book Antiqua"/>
          <w:szCs w:val="26"/>
        </w:rPr>
        <w:t xml:space="preserve"> PG&amp;E to </w:t>
      </w:r>
      <w:r w:rsidRPr="00561FEE">
        <w:rPr>
          <w:rFonts w:ascii="Book Antiqua" w:hAnsi="Book Antiqua" w:cs="Helvetica"/>
          <w:szCs w:val="26"/>
        </w:rPr>
        <w:t xml:space="preserve">update </w:t>
      </w:r>
      <w:r w:rsidRPr="00561FEE">
        <w:rPr>
          <w:rFonts w:ascii="Book Antiqua" w:hAnsi="Book Antiqua"/>
          <w:szCs w:val="26"/>
        </w:rPr>
        <w:t>the</w:t>
      </w:r>
      <w:r w:rsidRPr="00561FEE">
        <w:rPr>
          <w:rFonts w:ascii="Book Antiqua" w:hAnsi="Book Antiqua"/>
          <w:spacing w:val="-1"/>
          <w:szCs w:val="26"/>
        </w:rPr>
        <w:t xml:space="preserve"> </w:t>
      </w:r>
      <w:r w:rsidR="00996302">
        <w:rPr>
          <w:rFonts w:cs="Helvetica"/>
        </w:rPr>
        <w:t>NGV</w:t>
      </w:r>
      <w:r w:rsidRPr="00561FEE">
        <w:rPr>
          <w:rFonts w:ascii="Book Antiqua" w:hAnsi="Book Antiqua"/>
          <w:spacing w:val="-1"/>
          <w:szCs w:val="26"/>
        </w:rPr>
        <w:t xml:space="preserve"> c</w:t>
      </w:r>
      <w:r w:rsidRPr="00561FEE">
        <w:rPr>
          <w:rFonts w:ascii="Book Antiqua" w:hAnsi="Book Antiqua"/>
          <w:szCs w:val="26"/>
        </w:rPr>
        <w:t>omp</w:t>
      </w:r>
      <w:r w:rsidRPr="00561FEE">
        <w:rPr>
          <w:rFonts w:ascii="Book Antiqua" w:hAnsi="Book Antiqua"/>
          <w:spacing w:val="-1"/>
          <w:szCs w:val="26"/>
        </w:rPr>
        <w:t>re</w:t>
      </w:r>
      <w:r w:rsidRPr="00561FEE">
        <w:rPr>
          <w:rFonts w:ascii="Book Antiqua" w:hAnsi="Book Antiqua"/>
          <w:szCs w:val="26"/>
        </w:rPr>
        <w:t xml:space="preserve">ssion </w:t>
      </w:r>
      <w:r w:rsidRPr="00561FEE">
        <w:rPr>
          <w:rFonts w:ascii="Book Antiqua" w:hAnsi="Book Antiqua"/>
          <w:spacing w:val="-1"/>
          <w:szCs w:val="26"/>
        </w:rPr>
        <w:t>c</w:t>
      </w:r>
      <w:r w:rsidRPr="00561FEE">
        <w:rPr>
          <w:rFonts w:ascii="Book Antiqua" w:hAnsi="Book Antiqua"/>
          <w:szCs w:val="26"/>
        </w:rPr>
        <w:t xml:space="preserve">ost </w:t>
      </w:r>
      <w:r w:rsidRPr="00561FEE">
        <w:rPr>
          <w:rFonts w:ascii="Book Antiqua" w:hAnsi="Book Antiqua"/>
          <w:spacing w:val="-1"/>
          <w:szCs w:val="26"/>
        </w:rPr>
        <w:t>a</w:t>
      </w:r>
      <w:r w:rsidRPr="00561FEE">
        <w:rPr>
          <w:rFonts w:ascii="Book Antiqua" w:hAnsi="Book Antiqua"/>
          <w:szCs w:val="26"/>
        </w:rPr>
        <w:t>n</w:t>
      </w:r>
      <w:r w:rsidRPr="00561FEE">
        <w:rPr>
          <w:rFonts w:ascii="Book Antiqua" w:hAnsi="Book Antiqua"/>
          <w:spacing w:val="-1"/>
          <w:szCs w:val="26"/>
        </w:rPr>
        <w:t>a</w:t>
      </w:r>
      <w:r w:rsidRPr="00561FEE">
        <w:rPr>
          <w:rFonts w:ascii="Book Antiqua" w:hAnsi="Book Antiqua"/>
          <w:spacing w:val="5"/>
          <w:szCs w:val="26"/>
        </w:rPr>
        <w:t>l</w:t>
      </w:r>
      <w:r w:rsidRPr="00561FEE">
        <w:rPr>
          <w:rFonts w:ascii="Book Antiqua" w:hAnsi="Book Antiqua"/>
          <w:spacing w:val="-5"/>
          <w:szCs w:val="26"/>
        </w:rPr>
        <w:t>y</w:t>
      </w:r>
      <w:r w:rsidRPr="00561FEE">
        <w:rPr>
          <w:rFonts w:ascii="Book Antiqua" w:hAnsi="Book Antiqua"/>
          <w:spacing w:val="3"/>
          <w:szCs w:val="26"/>
        </w:rPr>
        <w:t>s</w:t>
      </w:r>
      <w:r w:rsidRPr="00561FEE">
        <w:rPr>
          <w:rFonts w:ascii="Book Antiqua" w:hAnsi="Book Antiqua"/>
          <w:szCs w:val="26"/>
        </w:rPr>
        <w:t xml:space="preserve">is and </w:t>
      </w:r>
      <w:r w:rsidRPr="00561FEE">
        <w:rPr>
          <w:rFonts w:ascii="Book Antiqua" w:hAnsi="Book Antiqua"/>
          <w:spacing w:val="-1"/>
          <w:szCs w:val="26"/>
        </w:rPr>
        <w:t>the NGV c</w:t>
      </w:r>
      <w:r w:rsidRPr="00561FEE">
        <w:rPr>
          <w:rFonts w:ascii="Book Antiqua" w:hAnsi="Book Antiqua"/>
          <w:szCs w:val="26"/>
        </w:rPr>
        <w:t>omp</w:t>
      </w:r>
      <w:r w:rsidRPr="00561FEE">
        <w:rPr>
          <w:rFonts w:ascii="Book Antiqua" w:hAnsi="Book Antiqua"/>
          <w:spacing w:val="-1"/>
          <w:szCs w:val="26"/>
        </w:rPr>
        <w:t>re</w:t>
      </w:r>
      <w:r w:rsidRPr="00561FEE">
        <w:rPr>
          <w:rFonts w:ascii="Book Antiqua" w:hAnsi="Book Antiqua"/>
          <w:szCs w:val="26"/>
        </w:rPr>
        <w:t xml:space="preserve">ssion </w:t>
      </w:r>
      <w:r w:rsidRPr="00561FEE">
        <w:rPr>
          <w:rFonts w:ascii="Book Antiqua" w:hAnsi="Book Antiqua"/>
          <w:spacing w:val="-1"/>
          <w:szCs w:val="26"/>
        </w:rPr>
        <w:t>ra</w:t>
      </w:r>
      <w:r w:rsidRPr="00561FEE">
        <w:rPr>
          <w:rFonts w:ascii="Book Antiqua" w:hAnsi="Book Antiqua"/>
          <w:szCs w:val="26"/>
        </w:rPr>
        <w:t>t</w:t>
      </w:r>
      <w:r w:rsidRPr="00561FEE">
        <w:rPr>
          <w:rFonts w:ascii="Book Antiqua" w:hAnsi="Book Antiqua"/>
          <w:spacing w:val="-1"/>
          <w:szCs w:val="26"/>
        </w:rPr>
        <w:t>e</w:t>
      </w:r>
      <w:r w:rsidRPr="00561FEE">
        <w:rPr>
          <w:rFonts w:ascii="Book Antiqua" w:hAnsi="Book Antiqua" w:cs="Helvetica"/>
          <w:szCs w:val="26"/>
        </w:rPr>
        <w:t xml:space="preserve"> based on </w:t>
      </w:r>
      <w:r w:rsidRPr="00561FEE">
        <w:rPr>
          <w:rFonts w:ascii="Book Antiqua" w:hAnsi="Book Antiqua"/>
          <w:szCs w:val="26"/>
        </w:rPr>
        <w:t xml:space="preserve">PG&amp;E’s updated </w:t>
      </w:r>
      <w:r w:rsidR="00996302">
        <w:rPr>
          <w:rFonts w:cs="Helvetica"/>
        </w:rPr>
        <w:t>NGV</w:t>
      </w:r>
      <w:r w:rsidRPr="00561FEE">
        <w:rPr>
          <w:rFonts w:ascii="Book Antiqua" w:hAnsi="Book Antiqua"/>
          <w:szCs w:val="26"/>
        </w:rPr>
        <w:t xml:space="preserve"> Compression Cost study;</w:t>
      </w:r>
    </w:p>
    <w:p w14:paraId="2DEEDBED" w14:textId="04666E91" w:rsidR="00DB2E35" w:rsidRPr="00561FEE" w:rsidRDefault="00DB2E35" w:rsidP="008550CD">
      <w:pPr>
        <w:pStyle w:val="num1"/>
        <w:widowControl w:val="0"/>
        <w:numPr>
          <w:ilvl w:val="0"/>
          <w:numId w:val="59"/>
        </w:numPr>
        <w:tabs>
          <w:tab w:val="clear" w:pos="-720"/>
          <w:tab w:val="left" w:pos="720"/>
        </w:tabs>
        <w:suppressAutoHyphens w:val="0"/>
        <w:spacing w:after="120" w:line="240" w:lineRule="auto"/>
        <w:ind w:left="734" w:right="1440" w:hanging="187"/>
        <w:rPr>
          <w:rFonts w:ascii="Book Antiqua" w:hAnsi="Book Antiqua"/>
          <w:szCs w:val="26"/>
        </w:rPr>
      </w:pPr>
      <w:r w:rsidRPr="00561FEE">
        <w:rPr>
          <w:rFonts w:ascii="Book Antiqua" w:hAnsi="Book Antiqua"/>
          <w:szCs w:val="26"/>
        </w:rPr>
        <w:t xml:space="preserve">authorizes modifications to the allocation of EE program costs to customer classes as follows: Residential Class (33.84%); Small Commercial (32.86%); Large Commercial (1.94%); Industrial Distribution (10.82%); and Industrial Transmission (20.54%); </w:t>
      </w:r>
    </w:p>
    <w:p w14:paraId="3F77DDA7" w14:textId="77777777" w:rsidR="00DB2E35" w:rsidRPr="00561FEE" w:rsidRDefault="00DB2E35" w:rsidP="008550CD">
      <w:pPr>
        <w:pStyle w:val="num1"/>
        <w:widowControl w:val="0"/>
        <w:numPr>
          <w:ilvl w:val="0"/>
          <w:numId w:val="59"/>
        </w:numPr>
        <w:tabs>
          <w:tab w:val="clear" w:pos="-720"/>
          <w:tab w:val="left" w:pos="720"/>
        </w:tabs>
        <w:suppressAutoHyphens w:val="0"/>
        <w:spacing w:after="120" w:line="240" w:lineRule="auto"/>
        <w:ind w:left="734" w:right="1440" w:hanging="187"/>
        <w:rPr>
          <w:rFonts w:ascii="Book Antiqua" w:hAnsi="Book Antiqua"/>
          <w:szCs w:val="26"/>
        </w:rPr>
      </w:pPr>
      <w:r w:rsidRPr="00561FEE">
        <w:rPr>
          <w:rFonts w:ascii="Book Antiqua" w:hAnsi="Book Antiqua"/>
          <w:szCs w:val="26"/>
        </w:rPr>
        <w:t>authorizes PG&amp;E to file future GCAP applications on a three to five</w:t>
      </w:r>
      <w:r>
        <w:rPr>
          <w:rFonts w:ascii="Book Antiqua" w:hAnsi="Book Antiqua"/>
          <w:szCs w:val="26"/>
        </w:rPr>
        <w:t>-</w:t>
      </w:r>
      <w:r w:rsidRPr="00561FEE">
        <w:rPr>
          <w:rFonts w:ascii="Book Antiqua" w:hAnsi="Book Antiqua"/>
          <w:szCs w:val="26"/>
        </w:rPr>
        <w:t xml:space="preserve">year cycle while requiring PG&amp;E to provide advance notice to the Commission of such filing at least six months before any planned GCAP filing; </w:t>
      </w:r>
    </w:p>
    <w:p w14:paraId="747F1F3D" w14:textId="77777777" w:rsidR="00DB2E35" w:rsidRDefault="00DB2E35" w:rsidP="008550CD">
      <w:pPr>
        <w:pStyle w:val="num1"/>
        <w:widowControl w:val="0"/>
        <w:numPr>
          <w:ilvl w:val="0"/>
          <w:numId w:val="59"/>
        </w:numPr>
        <w:tabs>
          <w:tab w:val="clear" w:pos="-720"/>
          <w:tab w:val="left" w:pos="720"/>
        </w:tabs>
        <w:suppressAutoHyphens w:val="0"/>
        <w:spacing w:after="120" w:line="240" w:lineRule="auto"/>
        <w:ind w:left="734" w:right="1440" w:hanging="187"/>
        <w:rPr>
          <w:rFonts w:ascii="Book Antiqua" w:hAnsi="Book Antiqua"/>
          <w:szCs w:val="26"/>
        </w:rPr>
      </w:pPr>
      <w:r w:rsidRPr="00561FEE">
        <w:rPr>
          <w:rFonts w:ascii="Book Antiqua" w:hAnsi="Book Antiqua"/>
          <w:szCs w:val="26"/>
        </w:rPr>
        <w:t>directs PG&amp;E to begin collecting data on customer class participation in EE programs</w:t>
      </w:r>
      <w:r>
        <w:rPr>
          <w:rFonts w:ascii="Book Antiqua" w:hAnsi="Book Antiqua"/>
          <w:szCs w:val="26"/>
        </w:rPr>
        <w:t>; and</w:t>
      </w:r>
    </w:p>
    <w:p w14:paraId="2465F059" w14:textId="77777777" w:rsidR="001164FC" w:rsidRPr="00561FEE" w:rsidRDefault="001164FC" w:rsidP="004640BD">
      <w:pPr>
        <w:pStyle w:val="Heading1"/>
      </w:pPr>
      <w:bookmarkStart w:id="90" w:name="_Toc11407872"/>
      <w:bookmarkStart w:id="91" w:name="_Toc20144556"/>
      <w:r w:rsidRPr="004640BD">
        <w:t>Comments</w:t>
      </w:r>
      <w:r w:rsidRPr="00561FEE">
        <w:t xml:space="preserve"> on Proposed Decision</w:t>
      </w:r>
      <w:bookmarkEnd w:id="90"/>
      <w:bookmarkEnd w:id="91"/>
    </w:p>
    <w:p w14:paraId="75C23BC1" w14:textId="144CB52F" w:rsidR="001164FC" w:rsidRPr="00196B50" w:rsidRDefault="001164FC" w:rsidP="007C2700">
      <w:pPr>
        <w:pStyle w:val="standard"/>
        <w:rPr>
          <w:rFonts w:ascii="Book Antiqua" w:hAnsi="Book Antiqua"/>
        </w:rPr>
      </w:pPr>
      <w:bookmarkStart w:id="92" w:name="_Toc11407873"/>
      <w:r w:rsidRPr="00196B50">
        <w:rPr>
          <w:rFonts w:ascii="Book Antiqua" w:hAnsi="Book Antiqua"/>
        </w:rPr>
        <w:t xml:space="preserve">The proposed decision </w:t>
      </w:r>
      <w:r w:rsidR="00B14AEC">
        <w:rPr>
          <w:rFonts w:ascii="Book Antiqua" w:hAnsi="Book Antiqua"/>
        </w:rPr>
        <w:t xml:space="preserve">(PD) </w:t>
      </w:r>
      <w:r w:rsidRPr="00196B50">
        <w:rPr>
          <w:rFonts w:ascii="Book Antiqua" w:hAnsi="Book Antiqua"/>
        </w:rPr>
        <w:t xml:space="preserve">of the ALJ I this matter was mailed to the parties in accordance with Section 311 of the Public Utilities Code and comments were allowed under Rule 14.3 of the Commission’s Rules of Practice and Procedure.  </w:t>
      </w:r>
      <w:r w:rsidR="005C6F04">
        <w:rPr>
          <w:rFonts w:ascii="Book Antiqua" w:hAnsi="Book Antiqua"/>
        </w:rPr>
        <w:t xml:space="preserve">Opening </w:t>
      </w:r>
      <w:r w:rsidRPr="00196B50">
        <w:rPr>
          <w:rFonts w:ascii="Book Antiqua" w:hAnsi="Book Antiqua"/>
        </w:rPr>
        <w:t xml:space="preserve">Comments were filed on </w:t>
      </w:r>
      <w:r w:rsidR="00996302">
        <w:rPr>
          <w:rFonts w:ascii="Book Antiqua" w:hAnsi="Book Antiqua"/>
        </w:rPr>
        <w:t xml:space="preserve">September 3, 2019 </w:t>
      </w:r>
      <w:r w:rsidR="005C6F04">
        <w:rPr>
          <w:rFonts w:ascii="Book Antiqua" w:hAnsi="Book Antiqua"/>
        </w:rPr>
        <w:t xml:space="preserve">by PG&amp;E and Indicated Shippers, and reply comments were filed </w:t>
      </w:r>
      <w:r w:rsidR="001923C5">
        <w:rPr>
          <w:rFonts w:ascii="Book Antiqua" w:hAnsi="Book Antiqua"/>
        </w:rPr>
        <w:t>by PG</w:t>
      </w:r>
      <w:r w:rsidR="005C6F04">
        <w:rPr>
          <w:rFonts w:ascii="Book Antiqua" w:hAnsi="Book Antiqua"/>
        </w:rPr>
        <w:t xml:space="preserve">&amp;E, Cal Advocates and </w:t>
      </w:r>
      <w:r w:rsidR="005C6F04">
        <w:rPr>
          <w:rFonts w:ascii="Book Antiqua" w:hAnsi="Book Antiqua"/>
        </w:rPr>
        <w:lastRenderedPageBreak/>
        <w:t xml:space="preserve">TURN addressing the issues raised in opening comments.  </w:t>
      </w:r>
      <w:r w:rsidR="007020B9">
        <w:rPr>
          <w:rFonts w:ascii="Book Antiqua" w:hAnsi="Book Antiqua"/>
        </w:rPr>
        <w:t xml:space="preserve">As a result of the </w:t>
      </w:r>
      <w:r w:rsidR="005C6F04">
        <w:rPr>
          <w:rFonts w:ascii="Book Antiqua" w:hAnsi="Book Antiqua"/>
        </w:rPr>
        <w:t xml:space="preserve">comments received, </w:t>
      </w:r>
      <w:r w:rsidR="001923C5">
        <w:rPr>
          <w:rFonts w:ascii="Book Antiqua" w:hAnsi="Book Antiqua"/>
        </w:rPr>
        <w:t xml:space="preserve">minor </w:t>
      </w:r>
      <w:r w:rsidR="007020B9">
        <w:rPr>
          <w:rFonts w:ascii="Book Antiqua" w:hAnsi="Book Antiqua"/>
        </w:rPr>
        <w:t xml:space="preserve">corrections </w:t>
      </w:r>
      <w:r w:rsidR="001923C5">
        <w:rPr>
          <w:rFonts w:ascii="Book Antiqua" w:hAnsi="Book Antiqua"/>
        </w:rPr>
        <w:t>and non-substantive edit</w:t>
      </w:r>
      <w:r w:rsidR="00B14AEC">
        <w:rPr>
          <w:rFonts w:ascii="Book Antiqua" w:hAnsi="Book Antiqua"/>
        </w:rPr>
        <w:t>s</w:t>
      </w:r>
      <w:r w:rsidR="007020B9">
        <w:rPr>
          <w:rFonts w:ascii="Book Antiqua" w:hAnsi="Book Antiqua"/>
        </w:rPr>
        <w:t xml:space="preserve"> were made; and </w:t>
      </w:r>
      <w:r w:rsidR="001923C5" w:rsidRPr="00714524">
        <w:rPr>
          <w:rFonts w:ascii="Book Antiqua" w:hAnsi="Book Antiqua"/>
          <w:u w:val="single"/>
        </w:rPr>
        <w:t>one substantive revision</w:t>
      </w:r>
      <w:r w:rsidR="001923C5">
        <w:rPr>
          <w:rFonts w:ascii="Book Antiqua" w:hAnsi="Book Antiqua"/>
        </w:rPr>
        <w:t xml:space="preserve"> (</w:t>
      </w:r>
      <w:r w:rsidR="001923C5" w:rsidRPr="00714524">
        <w:rPr>
          <w:rFonts w:ascii="Book Antiqua" w:hAnsi="Book Antiqua"/>
        </w:rPr>
        <w:t xml:space="preserve">the removal of the  </w:t>
      </w:r>
      <w:r w:rsidR="001923C5" w:rsidRPr="00714524">
        <w:rPr>
          <w:rFonts w:ascii="Book Antiqua" w:hAnsi="Book Antiqua"/>
          <w:szCs w:val="26"/>
        </w:rPr>
        <w:t>higher super user minimum transportation charge of $12 for non-CARE residential customers with daily peak usage of at least 15 therms initially adopted in the PD</w:t>
      </w:r>
      <w:r w:rsidR="001923C5">
        <w:rPr>
          <w:rFonts w:ascii="Book Antiqua" w:hAnsi="Book Antiqua"/>
          <w:szCs w:val="26"/>
        </w:rPr>
        <w:t xml:space="preserve">) </w:t>
      </w:r>
      <w:r w:rsidR="001923C5">
        <w:rPr>
          <w:rFonts w:ascii="Book Antiqua" w:hAnsi="Book Antiqua"/>
        </w:rPr>
        <w:t xml:space="preserve">were made </w:t>
      </w:r>
      <w:r w:rsidR="00B14AEC">
        <w:rPr>
          <w:rFonts w:ascii="Book Antiqua" w:hAnsi="Book Antiqua"/>
        </w:rPr>
        <w:t>to the PD as shown in Rev 1 to the PD</w:t>
      </w:r>
      <w:r w:rsidR="001923C5">
        <w:rPr>
          <w:rFonts w:ascii="Book Antiqua" w:hAnsi="Book Antiqua"/>
        </w:rPr>
        <w:t xml:space="preserve">. </w:t>
      </w:r>
      <w:r w:rsidR="001923C5">
        <w:rPr>
          <w:rFonts w:ascii="Book Antiqua" w:hAnsi="Book Antiqua"/>
          <w:szCs w:val="26"/>
        </w:rPr>
        <w:t xml:space="preserve">The removal of the </w:t>
      </w:r>
      <w:r w:rsidR="001923C5" w:rsidRPr="002E1E79">
        <w:rPr>
          <w:rFonts w:ascii="Book Antiqua" w:hAnsi="Book Antiqua"/>
          <w:szCs w:val="26"/>
        </w:rPr>
        <w:t>higher super</w:t>
      </w:r>
      <w:r w:rsidR="001923C5">
        <w:rPr>
          <w:rFonts w:ascii="Book Antiqua" w:hAnsi="Book Antiqua"/>
          <w:szCs w:val="26"/>
        </w:rPr>
        <w:t xml:space="preserve"> user</w:t>
      </w:r>
      <w:r w:rsidR="001923C5" w:rsidRPr="002E1E79">
        <w:rPr>
          <w:rFonts w:ascii="Book Antiqua" w:hAnsi="Book Antiqua"/>
          <w:szCs w:val="26"/>
        </w:rPr>
        <w:t xml:space="preserve"> minimum transportation charge </w:t>
      </w:r>
      <w:r w:rsidR="00B14AEC">
        <w:rPr>
          <w:rFonts w:ascii="Book Antiqua" w:hAnsi="Book Antiqua"/>
          <w:szCs w:val="26"/>
        </w:rPr>
        <w:t xml:space="preserve">was </w:t>
      </w:r>
      <w:r w:rsidR="001923C5">
        <w:rPr>
          <w:rFonts w:ascii="Book Antiqua" w:hAnsi="Book Antiqua"/>
          <w:szCs w:val="26"/>
        </w:rPr>
        <w:t xml:space="preserve">based on PG&amp;E’s request in its opening comments. </w:t>
      </w:r>
      <w:r w:rsidR="007020B9">
        <w:rPr>
          <w:rFonts w:ascii="Book Antiqua" w:hAnsi="Book Antiqua" w:cs="TimesNewRomanPS-BoldMT"/>
          <w:bCs/>
          <w:szCs w:val="26"/>
        </w:rPr>
        <w:t xml:space="preserve">No other changes were made to the PD. </w:t>
      </w:r>
      <w:r w:rsidRPr="00196B50">
        <w:rPr>
          <w:rFonts w:ascii="Book Antiqua" w:hAnsi="Book Antiqua"/>
        </w:rPr>
        <w:t xml:space="preserve"> </w:t>
      </w:r>
    </w:p>
    <w:p w14:paraId="377B4882" w14:textId="77777777" w:rsidR="001164FC" w:rsidRPr="00561FEE" w:rsidRDefault="001164FC" w:rsidP="003F0540">
      <w:pPr>
        <w:pStyle w:val="Heading1"/>
      </w:pPr>
      <w:bookmarkStart w:id="93" w:name="_Toc20144557"/>
      <w:r w:rsidRPr="003F0540">
        <w:t>Assignment</w:t>
      </w:r>
      <w:r w:rsidRPr="00561FEE">
        <w:t xml:space="preserve"> of Proceeding</w:t>
      </w:r>
      <w:bookmarkEnd w:id="92"/>
      <w:bookmarkEnd w:id="93"/>
    </w:p>
    <w:p w14:paraId="0F998490" w14:textId="77777777" w:rsidR="003F0540" w:rsidRPr="00196B50" w:rsidRDefault="001164FC" w:rsidP="007C2700">
      <w:pPr>
        <w:pStyle w:val="standard"/>
        <w:rPr>
          <w:rFonts w:ascii="Book Antiqua" w:eastAsia="Arial" w:hAnsi="Book Antiqua"/>
        </w:rPr>
      </w:pPr>
      <w:r w:rsidRPr="00196B50">
        <w:rPr>
          <w:rFonts w:ascii="Book Antiqua" w:eastAsia="Arial" w:hAnsi="Book Antiqua"/>
        </w:rPr>
        <w:t xml:space="preserve">Clifford Rechtschaffen is the assigned commissioner, and </w:t>
      </w:r>
    </w:p>
    <w:p w14:paraId="0F7F39EB" w14:textId="77777777" w:rsidR="001164FC" w:rsidRPr="00561FEE" w:rsidRDefault="001164FC" w:rsidP="003F0540">
      <w:pPr>
        <w:spacing w:line="360" w:lineRule="auto"/>
        <w:rPr>
          <w:rFonts w:eastAsia="Arial" w:cs="Arial"/>
          <w:szCs w:val="26"/>
        </w:rPr>
      </w:pPr>
      <w:r w:rsidRPr="00561FEE">
        <w:rPr>
          <w:rFonts w:eastAsia="Arial" w:cs="Arial"/>
          <w:szCs w:val="26"/>
        </w:rPr>
        <w:t>Adeniyi A. Ayoade is the assigned ALJ to the proceeding.</w:t>
      </w:r>
    </w:p>
    <w:p w14:paraId="1EDDA94A" w14:textId="77777777" w:rsidR="001164FC" w:rsidRPr="00561FEE" w:rsidRDefault="001164FC" w:rsidP="001164FC">
      <w:pPr>
        <w:pStyle w:val="Heading1"/>
        <w:numPr>
          <w:ilvl w:val="0"/>
          <w:numId w:val="0"/>
        </w:numPr>
        <w:rPr>
          <w:rFonts w:cs="Helvetica"/>
        </w:rPr>
      </w:pPr>
      <w:bookmarkStart w:id="94" w:name="_Toc450990219"/>
      <w:bookmarkStart w:id="95" w:name="_Toc451151266"/>
      <w:bookmarkStart w:id="96" w:name="_Toc11407874"/>
      <w:bookmarkStart w:id="97" w:name="_Toc20144558"/>
      <w:r w:rsidRPr="00561FEE">
        <w:rPr>
          <w:rFonts w:cs="Helvetica"/>
        </w:rPr>
        <w:t>Findings of Fact</w:t>
      </w:r>
      <w:bookmarkEnd w:id="94"/>
      <w:bookmarkEnd w:id="95"/>
      <w:bookmarkEnd w:id="96"/>
      <w:bookmarkEnd w:id="97"/>
    </w:p>
    <w:p w14:paraId="4A69794D" w14:textId="045ABCA7" w:rsidR="00A55CB1" w:rsidRPr="002E1E79" w:rsidRDefault="00A55CB1" w:rsidP="00A55CB1">
      <w:pPr>
        <w:pStyle w:val="ListParagraph"/>
        <w:widowControl w:val="0"/>
        <w:numPr>
          <w:ilvl w:val="0"/>
          <w:numId w:val="18"/>
        </w:numPr>
        <w:spacing w:after="0" w:line="360" w:lineRule="auto"/>
        <w:ind w:left="0" w:firstLine="540"/>
        <w:rPr>
          <w:szCs w:val="26"/>
        </w:rPr>
      </w:pPr>
      <w:r>
        <w:rPr>
          <w:szCs w:val="26"/>
        </w:rPr>
        <w:t>Using the</w:t>
      </w:r>
      <w:r w:rsidRPr="002E1E79">
        <w:rPr>
          <w:szCs w:val="26"/>
        </w:rPr>
        <w:t xml:space="preserve"> throughput forecast </w:t>
      </w:r>
      <w:r>
        <w:rPr>
          <w:szCs w:val="26"/>
        </w:rPr>
        <w:t>adopted</w:t>
      </w:r>
      <w:r w:rsidRPr="002E1E79">
        <w:rPr>
          <w:szCs w:val="26"/>
        </w:rPr>
        <w:t xml:space="preserve"> in A.17-11-009 </w:t>
      </w:r>
      <w:r w:rsidRPr="00561FEE">
        <w:rPr>
          <w:szCs w:val="26"/>
        </w:rPr>
        <w:t>to implement the GCAP rates adopted in this proceeding</w:t>
      </w:r>
      <w:r w:rsidRPr="002E1E79">
        <w:rPr>
          <w:szCs w:val="26"/>
        </w:rPr>
        <w:t xml:space="preserve"> </w:t>
      </w:r>
      <w:r>
        <w:rPr>
          <w:szCs w:val="26"/>
        </w:rPr>
        <w:t>will</w:t>
      </w:r>
      <w:r w:rsidRPr="002E1E79">
        <w:rPr>
          <w:szCs w:val="26"/>
        </w:rPr>
        <w:t xml:space="preserve"> ensure consistency</w:t>
      </w:r>
      <w:r>
        <w:rPr>
          <w:szCs w:val="26"/>
        </w:rPr>
        <w:t xml:space="preserve"> in PG&amp;E’s GCAP and GT&amp;S active rate cases concerning its gas business</w:t>
      </w:r>
      <w:r w:rsidRPr="002E1E79">
        <w:rPr>
          <w:szCs w:val="26"/>
        </w:rPr>
        <w:t xml:space="preserve">.  </w:t>
      </w:r>
    </w:p>
    <w:p w14:paraId="2C8AFB17" w14:textId="0BD3B045" w:rsidR="008C3FA8" w:rsidRDefault="001164FC" w:rsidP="00E14A04">
      <w:pPr>
        <w:pStyle w:val="ListParagraph"/>
        <w:widowControl w:val="0"/>
        <w:numPr>
          <w:ilvl w:val="0"/>
          <w:numId w:val="18"/>
        </w:numPr>
        <w:spacing w:after="0" w:line="360" w:lineRule="auto"/>
        <w:ind w:left="0" w:firstLine="540"/>
        <w:rPr>
          <w:szCs w:val="26"/>
        </w:rPr>
      </w:pPr>
      <w:r w:rsidRPr="002E1E79">
        <w:rPr>
          <w:rFonts w:cs="Segoe UI"/>
          <w:szCs w:val="26"/>
        </w:rPr>
        <w:t xml:space="preserve">This record is insufficient to support PG&amp;E’s proposal </w:t>
      </w:r>
      <w:r w:rsidRPr="002E1E79">
        <w:rPr>
          <w:rFonts w:cs="Helvetica"/>
          <w:szCs w:val="26"/>
        </w:rPr>
        <w:t xml:space="preserve">to implement </w:t>
      </w:r>
      <w:r w:rsidR="00F66B3D">
        <w:rPr>
          <w:rFonts w:cs="Helvetica"/>
          <w:szCs w:val="26"/>
        </w:rPr>
        <w:t>a</w:t>
      </w:r>
      <w:r w:rsidR="00F66B3D" w:rsidRPr="002E1E79">
        <w:rPr>
          <w:rFonts w:cs="Helvetica"/>
          <w:szCs w:val="26"/>
        </w:rPr>
        <w:t xml:space="preserve"> </w:t>
      </w:r>
      <w:r w:rsidRPr="002E1E79">
        <w:rPr>
          <w:rFonts w:cs="Helvetica"/>
          <w:szCs w:val="26"/>
        </w:rPr>
        <w:t xml:space="preserve">cost allocation proposal using embedded costs.  </w:t>
      </w:r>
    </w:p>
    <w:p w14:paraId="20CD5C64" w14:textId="25CFE352" w:rsidR="001164FC" w:rsidRPr="002E1E79" w:rsidRDefault="001164FC" w:rsidP="00E14A04">
      <w:pPr>
        <w:pStyle w:val="ListParagraph"/>
        <w:widowControl w:val="0"/>
        <w:numPr>
          <w:ilvl w:val="0"/>
          <w:numId w:val="18"/>
        </w:numPr>
        <w:spacing w:after="0" w:line="360" w:lineRule="auto"/>
        <w:ind w:left="0" w:firstLine="540"/>
        <w:rPr>
          <w:szCs w:val="26"/>
        </w:rPr>
      </w:pPr>
      <w:r w:rsidRPr="002E1E79">
        <w:rPr>
          <w:rFonts w:cs="TimesNewRoman"/>
          <w:szCs w:val="26"/>
        </w:rPr>
        <w:t xml:space="preserve">PG&amp;E’s embedded cost proposal will have significant </w:t>
      </w:r>
      <w:r w:rsidRPr="002E1E79">
        <w:rPr>
          <w:rFonts w:cs="TimesNewRomanPSMT"/>
          <w:szCs w:val="26"/>
        </w:rPr>
        <w:t xml:space="preserve">rate impacts on residential customers.  </w:t>
      </w:r>
    </w:p>
    <w:p w14:paraId="015E1E81" w14:textId="158E9D19" w:rsidR="001164FC" w:rsidRPr="002E1E79" w:rsidRDefault="001164FC" w:rsidP="00E14A04">
      <w:pPr>
        <w:pStyle w:val="ListParagraph"/>
        <w:widowControl w:val="0"/>
        <w:numPr>
          <w:ilvl w:val="0"/>
          <w:numId w:val="18"/>
        </w:numPr>
        <w:spacing w:after="0" w:line="360" w:lineRule="auto"/>
        <w:ind w:left="0" w:firstLine="540"/>
        <w:rPr>
          <w:szCs w:val="26"/>
        </w:rPr>
      </w:pPr>
      <w:r w:rsidRPr="002E1E79">
        <w:rPr>
          <w:szCs w:val="26"/>
        </w:rPr>
        <w:t xml:space="preserve">Cal Advocates’ marginal cost study based on the new customer only (NCO) method, updated for the new tax law and cost of capital and removing smart-meter opt-out costs from revenue cycle services costs in this </w:t>
      </w:r>
      <w:r w:rsidRPr="002E1E79">
        <w:rPr>
          <w:rFonts w:cs="TimesNewRoman"/>
          <w:szCs w:val="26"/>
        </w:rPr>
        <w:t xml:space="preserve">GCAP as provided above in </w:t>
      </w:r>
      <w:r w:rsidRPr="002E1E79">
        <w:rPr>
          <w:szCs w:val="26"/>
        </w:rPr>
        <w:t xml:space="preserve">Section 4.3, </w:t>
      </w:r>
      <w:r w:rsidR="00E360CA">
        <w:rPr>
          <w:szCs w:val="26"/>
        </w:rPr>
        <w:t xml:space="preserve">provides </w:t>
      </w:r>
      <w:r w:rsidRPr="002E1E79">
        <w:rPr>
          <w:szCs w:val="26"/>
        </w:rPr>
        <w:t>the most reasonable revenue allocation for PG&amp;E’s customers</w:t>
      </w:r>
      <w:r w:rsidR="00E360CA">
        <w:rPr>
          <w:szCs w:val="26"/>
        </w:rPr>
        <w:t>.</w:t>
      </w:r>
      <w:r w:rsidRPr="002E1E79">
        <w:rPr>
          <w:szCs w:val="26"/>
        </w:rPr>
        <w:t xml:space="preserve">  </w:t>
      </w:r>
    </w:p>
    <w:p w14:paraId="12C4FADB" w14:textId="60CA0AFC" w:rsidR="001164FC" w:rsidRPr="002E1E79" w:rsidRDefault="001164FC" w:rsidP="00E14A04">
      <w:pPr>
        <w:pStyle w:val="Default"/>
        <w:widowControl w:val="0"/>
        <w:numPr>
          <w:ilvl w:val="0"/>
          <w:numId w:val="18"/>
        </w:numPr>
        <w:spacing w:line="360" w:lineRule="auto"/>
        <w:ind w:firstLine="540"/>
        <w:rPr>
          <w:rFonts w:ascii="Book Antiqua" w:hAnsi="Book Antiqua"/>
          <w:sz w:val="26"/>
          <w:szCs w:val="26"/>
        </w:rPr>
      </w:pPr>
      <w:r w:rsidRPr="002E1E79">
        <w:rPr>
          <w:rFonts w:ascii="Book Antiqua" w:hAnsi="Book Antiqua"/>
          <w:sz w:val="26"/>
          <w:szCs w:val="26"/>
        </w:rPr>
        <w:t xml:space="preserve">Issue 4 in the Scoping Memo, PG&amp;E’s </w:t>
      </w:r>
      <w:r w:rsidRPr="002E1E79">
        <w:rPr>
          <w:rFonts w:ascii="Book Antiqua" w:hAnsi="Book Antiqua" w:cs="Helvetica"/>
          <w:sz w:val="26"/>
          <w:szCs w:val="26"/>
        </w:rPr>
        <w:t>proposals to change the residential winter baseline months</w:t>
      </w:r>
      <w:r w:rsidR="00727B0D">
        <w:rPr>
          <w:rFonts w:ascii="Book Antiqua" w:hAnsi="Book Antiqua" w:cs="Helvetica"/>
          <w:sz w:val="26"/>
          <w:szCs w:val="26"/>
        </w:rPr>
        <w:t>,</w:t>
      </w:r>
      <w:r w:rsidR="00727B0D">
        <w:rPr>
          <w:rFonts w:ascii="Book Antiqua" w:hAnsi="Book Antiqua"/>
          <w:sz w:val="26"/>
          <w:szCs w:val="26"/>
        </w:rPr>
        <w:t xml:space="preserve"> </w:t>
      </w:r>
      <w:r w:rsidRPr="002E1E79">
        <w:rPr>
          <w:rFonts w:ascii="Book Antiqua" w:hAnsi="Book Antiqua"/>
          <w:sz w:val="26"/>
          <w:szCs w:val="26"/>
        </w:rPr>
        <w:t xml:space="preserve">was resolved in </w:t>
      </w:r>
      <w:r w:rsidRPr="002E1E79">
        <w:rPr>
          <w:rFonts w:ascii="Book Antiqua" w:hAnsi="Book Antiqua" w:cs="Arial"/>
          <w:sz w:val="26"/>
          <w:szCs w:val="26"/>
        </w:rPr>
        <w:t>D.18-10</w:t>
      </w:r>
      <w:r w:rsidR="00727B0D">
        <w:rPr>
          <w:rFonts w:ascii="Book Antiqua" w:hAnsi="Book Antiqua" w:cs="Arial"/>
          <w:sz w:val="26"/>
          <w:szCs w:val="26"/>
        </w:rPr>
        <w:t>-</w:t>
      </w:r>
      <w:r w:rsidRPr="002E1E79">
        <w:rPr>
          <w:rFonts w:ascii="Book Antiqua" w:hAnsi="Book Antiqua" w:cs="Arial"/>
          <w:sz w:val="26"/>
          <w:szCs w:val="26"/>
        </w:rPr>
        <w:t xml:space="preserve">040 </w:t>
      </w:r>
      <w:r w:rsidR="00684215">
        <w:rPr>
          <w:rFonts w:ascii="Book Antiqua" w:hAnsi="Book Antiqua" w:cs="Arial"/>
          <w:sz w:val="26"/>
          <w:szCs w:val="26"/>
        </w:rPr>
        <w:t>(</w:t>
      </w:r>
      <w:r w:rsidRPr="002E1E79">
        <w:rPr>
          <w:rFonts w:ascii="Book Antiqua" w:hAnsi="Book Antiqua" w:cs="Arial"/>
          <w:sz w:val="26"/>
          <w:szCs w:val="26"/>
        </w:rPr>
        <w:t xml:space="preserve">Decision Adopting </w:t>
      </w:r>
      <w:r w:rsidRPr="002E1E79">
        <w:rPr>
          <w:rFonts w:ascii="Book Antiqua" w:hAnsi="Book Antiqua" w:cs="Arial"/>
          <w:sz w:val="26"/>
          <w:szCs w:val="26"/>
        </w:rPr>
        <w:lastRenderedPageBreak/>
        <w:t>Settlement Agreement on Residential Baseline Season Restructuring</w:t>
      </w:r>
      <w:r w:rsidR="00684215">
        <w:rPr>
          <w:rFonts w:ascii="Book Antiqua" w:hAnsi="Book Antiqua" w:cs="Arial"/>
          <w:sz w:val="26"/>
          <w:szCs w:val="26"/>
        </w:rPr>
        <w:t>)</w:t>
      </w:r>
      <w:r w:rsidRPr="002E1E79">
        <w:rPr>
          <w:rFonts w:ascii="Book Antiqua" w:hAnsi="Book Antiqua" w:cs="Arial"/>
          <w:sz w:val="26"/>
          <w:szCs w:val="26"/>
        </w:rPr>
        <w:t>.</w:t>
      </w:r>
    </w:p>
    <w:p w14:paraId="29D85BAF" w14:textId="34FA3A86" w:rsidR="001164FC" w:rsidRPr="002E1E79" w:rsidRDefault="001164FC" w:rsidP="00E14A04">
      <w:pPr>
        <w:pStyle w:val="ListParagraph"/>
        <w:widowControl w:val="0"/>
        <w:numPr>
          <w:ilvl w:val="0"/>
          <w:numId w:val="18"/>
        </w:numPr>
        <w:spacing w:after="0" w:line="360" w:lineRule="auto"/>
        <w:ind w:left="0" w:firstLine="540"/>
        <w:rPr>
          <w:szCs w:val="26"/>
        </w:rPr>
      </w:pPr>
      <w:r w:rsidRPr="002E1E79">
        <w:rPr>
          <w:rFonts w:cs="Helvetica"/>
        </w:rPr>
        <w:t xml:space="preserve">PG&amp;E's unopposed proposal to reduce the residential Tier 1 and Tier 2 bundled rate differential to 1.2 over four years addresses and reduces </w:t>
      </w:r>
      <w:r w:rsidRPr="002E1E79">
        <w:rPr>
          <w:szCs w:val="26"/>
        </w:rPr>
        <w:t xml:space="preserve">the current large tier differential which has contributed to residential bill volatility, </w:t>
      </w:r>
      <w:r w:rsidR="00E360CA">
        <w:rPr>
          <w:szCs w:val="26"/>
        </w:rPr>
        <w:t>especially</w:t>
      </w:r>
      <w:r w:rsidRPr="002E1E79">
        <w:rPr>
          <w:szCs w:val="26"/>
        </w:rPr>
        <w:t xml:space="preserve"> during colder-than-normal peak winter months. </w:t>
      </w:r>
    </w:p>
    <w:p w14:paraId="6C42096C" w14:textId="16F02598" w:rsidR="001164FC" w:rsidRPr="002D56E9" w:rsidRDefault="001164FC" w:rsidP="00E14A04">
      <w:pPr>
        <w:pStyle w:val="ListParagraph"/>
        <w:widowControl w:val="0"/>
        <w:numPr>
          <w:ilvl w:val="0"/>
          <w:numId w:val="18"/>
        </w:numPr>
        <w:spacing w:after="0" w:line="360" w:lineRule="auto"/>
        <w:ind w:left="0" w:firstLine="540"/>
        <w:rPr>
          <w:szCs w:val="26"/>
        </w:rPr>
      </w:pPr>
      <w:r w:rsidRPr="002E1E79">
        <w:rPr>
          <w:rFonts w:cs="Helvetica"/>
        </w:rPr>
        <w:t xml:space="preserve">PG&amp;E's proposals to increase the residential minimum transportation charges to $15 dollars for non-CARE customer basic service and </w:t>
      </w:r>
      <w:r w:rsidR="00684215">
        <w:rPr>
          <w:rFonts w:cs="Helvetica"/>
        </w:rPr>
        <w:t xml:space="preserve">to </w:t>
      </w:r>
      <w:r w:rsidRPr="002E1E79">
        <w:rPr>
          <w:rFonts w:cs="Helvetica"/>
        </w:rPr>
        <w:t xml:space="preserve">establish a higher super-peak minimum transportation charge of $45 for non-CARE residential customers with daily peak usage of at least 15 therms, is unsupported by this record </w:t>
      </w:r>
      <w:r w:rsidR="004D30FC">
        <w:rPr>
          <w:rFonts w:cs="Helvetica"/>
        </w:rPr>
        <w:t>and</w:t>
      </w:r>
      <w:r w:rsidRPr="002E1E79">
        <w:rPr>
          <w:rFonts w:cs="Helvetica"/>
        </w:rPr>
        <w:t xml:space="preserve"> </w:t>
      </w:r>
      <w:r w:rsidRPr="002E1E79">
        <w:rPr>
          <w:rFonts w:cs="Helvetica"/>
          <w:szCs w:val="26"/>
        </w:rPr>
        <w:t xml:space="preserve">will have </w:t>
      </w:r>
      <w:r w:rsidRPr="00431F1E">
        <w:rPr>
          <w:color w:val="000000" w:themeColor="text1"/>
          <w:szCs w:val="26"/>
        </w:rPr>
        <w:t>significant bill impacts</w:t>
      </w:r>
      <w:r w:rsidRPr="002E1E79">
        <w:rPr>
          <w:color w:val="000000" w:themeColor="text1"/>
          <w:szCs w:val="26"/>
        </w:rPr>
        <w:t xml:space="preserve"> on customers</w:t>
      </w:r>
      <w:r w:rsidR="006A7FD7">
        <w:rPr>
          <w:color w:val="000000" w:themeColor="text1"/>
          <w:szCs w:val="26"/>
        </w:rPr>
        <w:t xml:space="preserve">.  </w:t>
      </w:r>
    </w:p>
    <w:p w14:paraId="3F84E1AD" w14:textId="51F53E26" w:rsidR="001164FC" w:rsidRPr="002E1E79" w:rsidRDefault="001164FC" w:rsidP="00FD2F61">
      <w:pPr>
        <w:pStyle w:val="ListParagraph"/>
        <w:widowControl w:val="0"/>
        <w:numPr>
          <w:ilvl w:val="0"/>
          <w:numId w:val="18"/>
        </w:numPr>
        <w:spacing w:after="0" w:line="360" w:lineRule="auto"/>
        <w:ind w:left="0" w:firstLine="547"/>
        <w:rPr>
          <w:rFonts w:cs="Helvetica"/>
        </w:rPr>
      </w:pPr>
      <w:r w:rsidRPr="002E1E79">
        <w:rPr>
          <w:rFonts w:cs="Helvetica"/>
        </w:rPr>
        <w:t xml:space="preserve">Increasing the residential minimum transportation charge by $1 (from the current $3 to $4) </w:t>
      </w:r>
      <w:r w:rsidR="00F66B3D">
        <w:rPr>
          <w:rFonts w:cs="Helvetica"/>
        </w:rPr>
        <w:t xml:space="preserve">is consistent with </w:t>
      </w:r>
      <w:r w:rsidR="00F66B3D" w:rsidRPr="002E1E79">
        <w:rPr>
          <w:rFonts w:cs="Helvetica"/>
        </w:rPr>
        <w:t xml:space="preserve"> </w:t>
      </w:r>
      <w:r w:rsidRPr="002E1E79">
        <w:rPr>
          <w:rFonts w:cs="Helvetica"/>
        </w:rPr>
        <w:t xml:space="preserve">Cal Advocates’ calculation of </w:t>
      </w:r>
      <w:r w:rsidR="00F66B3D">
        <w:rPr>
          <w:rFonts w:cs="Helvetica"/>
        </w:rPr>
        <w:t xml:space="preserve">the </w:t>
      </w:r>
      <w:r w:rsidRPr="002E1E79">
        <w:rPr>
          <w:rFonts w:cs="Helvetica"/>
        </w:rPr>
        <w:t xml:space="preserve">monthly average cost </w:t>
      </w:r>
      <w:r w:rsidR="00F66B3D">
        <w:rPr>
          <w:rFonts w:cs="Helvetica"/>
        </w:rPr>
        <w:t>to</w:t>
      </w:r>
      <w:r w:rsidR="00F66B3D" w:rsidRPr="002E1E79">
        <w:rPr>
          <w:rFonts w:cs="Helvetica"/>
        </w:rPr>
        <w:t xml:space="preserve"> </w:t>
      </w:r>
      <w:r w:rsidRPr="002E1E79">
        <w:rPr>
          <w:rFonts w:cs="Helvetica"/>
        </w:rPr>
        <w:t>serv</w:t>
      </w:r>
      <w:r w:rsidR="00F66B3D">
        <w:rPr>
          <w:rFonts w:cs="Helvetica"/>
        </w:rPr>
        <w:t>e</w:t>
      </w:r>
      <w:r w:rsidRPr="002E1E79">
        <w:rPr>
          <w:rFonts w:cs="Helvetica"/>
        </w:rPr>
        <w:t xml:space="preserve"> non-CARE residential metered customers</w:t>
      </w:r>
      <w:r w:rsidR="00F66B3D">
        <w:rPr>
          <w:rFonts w:cs="Helvetica"/>
        </w:rPr>
        <w:t>,</w:t>
      </w:r>
      <w:r w:rsidRPr="002E1E79">
        <w:rPr>
          <w:rFonts w:cs="Helvetica"/>
        </w:rPr>
        <w:t xml:space="preserve"> based on marginal cost methodology</w:t>
      </w:r>
      <w:r w:rsidR="00F66B3D">
        <w:rPr>
          <w:rFonts w:cs="Helvetica"/>
        </w:rPr>
        <w:t xml:space="preserve"> rather than PG&amp;E’s embedded cost methodology.</w:t>
      </w:r>
    </w:p>
    <w:p w14:paraId="56166E38" w14:textId="524A7D1F" w:rsidR="00F66B3D" w:rsidRDefault="00F66B3D" w:rsidP="00FD2F61">
      <w:pPr>
        <w:pStyle w:val="ListParagraph"/>
        <w:widowControl w:val="0"/>
        <w:numPr>
          <w:ilvl w:val="0"/>
          <w:numId w:val="18"/>
        </w:numPr>
        <w:spacing w:after="0" w:line="360" w:lineRule="auto"/>
        <w:ind w:left="0" w:firstLine="547"/>
        <w:rPr>
          <w:rFonts w:cs="Helvetica"/>
        </w:rPr>
      </w:pPr>
      <w:r>
        <w:rPr>
          <w:rFonts w:cs="Helvetica"/>
        </w:rPr>
        <w:t>E</w:t>
      </w:r>
      <w:r w:rsidR="001164FC" w:rsidRPr="002E1E79">
        <w:rPr>
          <w:rFonts w:cs="Helvetica"/>
        </w:rPr>
        <w:t>stablishing a new super-peak minimum transportation charge (for non-CARE residential customers with daily peak usage of at least 15 therms) is supportive of the state’s environmental goals</w:t>
      </w:r>
      <w:r w:rsidR="00ED7C3D">
        <w:rPr>
          <w:rFonts w:cs="Helvetica"/>
        </w:rPr>
        <w:t>;</w:t>
      </w:r>
      <w:r w:rsidR="001164FC" w:rsidRPr="002E1E79">
        <w:rPr>
          <w:rFonts w:cs="Helvetica"/>
        </w:rPr>
        <w:t xml:space="preserve"> could be a deterrent to high energy consumption</w:t>
      </w:r>
      <w:r w:rsidR="00ED7C3D">
        <w:rPr>
          <w:rFonts w:cs="Helvetica"/>
        </w:rPr>
        <w:t>; and thus should be considered for implementation in the future</w:t>
      </w:r>
      <w:r w:rsidR="001164FC" w:rsidRPr="002E1E79">
        <w:rPr>
          <w:rFonts w:cs="Helvetica"/>
        </w:rPr>
        <w:t>.</w:t>
      </w:r>
      <w:r>
        <w:rPr>
          <w:rFonts w:cs="Helvetica"/>
        </w:rPr>
        <w:t xml:space="preserve"> </w:t>
      </w:r>
    </w:p>
    <w:p w14:paraId="05B97425" w14:textId="28DC04BC" w:rsidR="001164FC" w:rsidRPr="002E1E79" w:rsidRDefault="001164FC" w:rsidP="00E14A04">
      <w:pPr>
        <w:pStyle w:val="ListParagraph"/>
        <w:keepNext/>
        <w:keepLines/>
        <w:numPr>
          <w:ilvl w:val="0"/>
          <w:numId w:val="18"/>
        </w:numPr>
        <w:spacing w:after="0" w:line="360" w:lineRule="auto"/>
        <w:ind w:left="0" w:firstLine="540"/>
        <w:rPr>
          <w:szCs w:val="26"/>
        </w:rPr>
      </w:pPr>
      <w:r w:rsidRPr="002E1E79">
        <w:rPr>
          <w:rFonts w:cs="Helvetica"/>
          <w:szCs w:val="26"/>
        </w:rPr>
        <w:t xml:space="preserve">PG&amp;E's proposal to update the core brokerage fee based on </w:t>
      </w:r>
      <w:r w:rsidRPr="002E1E79">
        <w:rPr>
          <w:szCs w:val="26"/>
        </w:rPr>
        <w:t xml:space="preserve">an update of the </w:t>
      </w:r>
      <w:r w:rsidRPr="008C3FA8">
        <w:rPr>
          <w:szCs w:val="26"/>
        </w:rPr>
        <w:t>Core Brokerage Fee study</w:t>
      </w:r>
      <w:r w:rsidRPr="002E1E79">
        <w:rPr>
          <w:szCs w:val="26"/>
        </w:rPr>
        <w:t xml:space="preserve">, with recent information for the elements of the study, will ensure that updated information is used for </w:t>
      </w:r>
      <w:r w:rsidRPr="002E1E79">
        <w:rPr>
          <w:rFonts w:cs="Helvetica"/>
          <w:szCs w:val="26"/>
        </w:rPr>
        <w:t xml:space="preserve">the core brokerage fee.  Accordingly, we find that PG&amp;E’s </w:t>
      </w:r>
      <w:r w:rsidRPr="002E1E79">
        <w:rPr>
          <w:rFonts w:cs="Helvetica"/>
        </w:rPr>
        <w:t>proposal for the update to the core brokerage fee</w:t>
      </w:r>
      <w:r w:rsidRPr="002E1E79">
        <w:rPr>
          <w:szCs w:val="26"/>
        </w:rPr>
        <w:t xml:space="preserve"> is</w:t>
      </w:r>
      <w:r w:rsidRPr="002E1E79">
        <w:rPr>
          <w:rFonts w:cs="Helvetica"/>
          <w:szCs w:val="26"/>
        </w:rPr>
        <w:t xml:space="preserve"> appropriate and supported, and we approve and adopt the same</w:t>
      </w:r>
      <w:r w:rsidR="00F66B3D">
        <w:rPr>
          <w:rFonts w:cs="Helvetica"/>
          <w:szCs w:val="26"/>
        </w:rPr>
        <w:t xml:space="preserve"> fee</w:t>
      </w:r>
      <w:r w:rsidRPr="002E1E79">
        <w:rPr>
          <w:rFonts w:cs="Helvetica"/>
          <w:szCs w:val="26"/>
        </w:rPr>
        <w:t xml:space="preserve"> as requested in the application.</w:t>
      </w:r>
    </w:p>
    <w:p w14:paraId="36A9549B" w14:textId="5FCAE5CE" w:rsidR="001164FC" w:rsidRPr="002E1E79" w:rsidRDefault="001164FC" w:rsidP="00E14A04">
      <w:pPr>
        <w:pStyle w:val="ListParagraph"/>
        <w:widowControl w:val="0"/>
        <w:numPr>
          <w:ilvl w:val="0"/>
          <w:numId w:val="18"/>
        </w:numPr>
        <w:spacing w:after="0" w:line="360" w:lineRule="auto"/>
        <w:ind w:left="0" w:firstLine="540"/>
        <w:rPr>
          <w:rFonts w:cs="Helvetica"/>
        </w:rPr>
      </w:pPr>
      <w:r w:rsidRPr="002E1E79">
        <w:rPr>
          <w:rFonts w:cs="Helvetica"/>
        </w:rPr>
        <w:t xml:space="preserve">PG&amp;E's </w:t>
      </w:r>
      <w:r w:rsidR="0074512C" w:rsidRPr="002E1E79">
        <w:rPr>
          <w:szCs w:val="26"/>
        </w:rPr>
        <w:t xml:space="preserve">initial calculations of the </w:t>
      </w:r>
      <w:r w:rsidRPr="002E1E79">
        <w:rPr>
          <w:rFonts w:cs="Helvetica"/>
        </w:rPr>
        <w:t xml:space="preserve">master meter discount (MMD) </w:t>
      </w:r>
      <w:r w:rsidR="0074512C">
        <w:rPr>
          <w:szCs w:val="26"/>
        </w:rPr>
        <w:t xml:space="preserve">failed </w:t>
      </w:r>
      <w:r w:rsidRPr="002E1E79">
        <w:rPr>
          <w:szCs w:val="26"/>
        </w:rPr>
        <w:t xml:space="preserve">to apply the service O&amp;M loader to service equipment costs in addition to meter </w:t>
      </w:r>
      <w:r w:rsidRPr="002E1E79">
        <w:rPr>
          <w:szCs w:val="26"/>
        </w:rPr>
        <w:lastRenderedPageBreak/>
        <w:t xml:space="preserve">equipment cost, resulting in a $1.11 reduction to the MMD.  </w:t>
      </w:r>
    </w:p>
    <w:p w14:paraId="62EBA51F" w14:textId="3B40FB75" w:rsidR="008C3FA8" w:rsidRDefault="001164FC" w:rsidP="00E14A04">
      <w:pPr>
        <w:pStyle w:val="standard"/>
        <w:numPr>
          <w:ilvl w:val="0"/>
          <w:numId w:val="18"/>
        </w:numPr>
        <w:ind w:firstLine="540"/>
        <w:rPr>
          <w:rFonts w:ascii="Book Antiqua" w:hAnsi="Book Antiqua"/>
          <w:szCs w:val="26"/>
        </w:rPr>
      </w:pPr>
      <w:r w:rsidRPr="002E1E79">
        <w:rPr>
          <w:rFonts w:ascii="Book Antiqua" w:hAnsi="Book Antiqua"/>
          <w:szCs w:val="26"/>
        </w:rPr>
        <w:t xml:space="preserve">PG&amp;E established that </w:t>
      </w:r>
      <w:r w:rsidRPr="002E1E79">
        <w:rPr>
          <w:rFonts w:ascii="Book Antiqua" w:hAnsi="Book Antiqua" w:cs="Helvetica"/>
        </w:rPr>
        <w:t xml:space="preserve">its proposal to update </w:t>
      </w:r>
      <w:r w:rsidRPr="002E1E79">
        <w:rPr>
          <w:rFonts w:ascii="Book Antiqua" w:hAnsi="Book Antiqua"/>
          <w:szCs w:val="26"/>
        </w:rPr>
        <w:t>the</w:t>
      </w:r>
      <w:r w:rsidR="008C3FA8">
        <w:rPr>
          <w:rFonts w:ascii="Book Antiqua" w:hAnsi="Book Antiqua"/>
          <w:szCs w:val="26"/>
        </w:rPr>
        <w:t xml:space="preserve"> </w:t>
      </w:r>
      <w:r w:rsidRPr="002E1E79">
        <w:rPr>
          <w:rFonts w:ascii="Book Antiqua" w:hAnsi="Book Antiqua"/>
          <w:szCs w:val="26"/>
        </w:rPr>
        <w:t>N</w:t>
      </w:r>
      <w:r w:rsidRPr="002E1E79">
        <w:rPr>
          <w:rFonts w:ascii="Book Antiqua" w:hAnsi="Book Antiqua"/>
          <w:spacing w:val="2"/>
          <w:szCs w:val="26"/>
        </w:rPr>
        <w:t>G</w:t>
      </w:r>
      <w:r w:rsidRPr="002E1E79">
        <w:rPr>
          <w:rFonts w:ascii="Book Antiqua" w:hAnsi="Book Antiqua"/>
          <w:szCs w:val="26"/>
        </w:rPr>
        <w:t>V</w:t>
      </w:r>
      <w:r w:rsidR="008C3FA8">
        <w:rPr>
          <w:rFonts w:ascii="Book Antiqua" w:hAnsi="Book Antiqua"/>
          <w:szCs w:val="26"/>
        </w:rPr>
        <w:t xml:space="preserve"> </w:t>
      </w:r>
      <w:r w:rsidRPr="002E1E79">
        <w:rPr>
          <w:rFonts w:ascii="Book Antiqua" w:hAnsi="Book Antiqua"/>
          <w:spacing w:val="-1"/>
          <w:szCs w:val="26"/>
        </w:rPr>
        <w:t>c</w:t>
      </w:r>
      <w:r w:rsidRPr="002E1E79">
        <w:rPr>
          <w:rFonts w:ascii="Book Antiqua" w:hAnsi="Book Antiqua"/>
          <w:szCs w:val="26"/>
        </w:rPr>
        <w:t>omp</w:t>
      </w:r>
      <w:r w:rsidRPr="002E1E79">
        <w:rPr>
          <w:rFonts w:ascii="Book Antiqua" w:hAnsi="Book Antiqua"/>
          <w:spacing w:val="-1"/>
          <w:szCs w:val="26"/>
        </w:rPr>
        <w:t>re</w:t>
      </w:r>
      <w:r w:rsidRPr="002E1E79">
        <w:rPr>
          <w:rFonts w:ascii="Book Antiqua" w:hAnsi="Book Antiqua"/>
          <w:szCs w:val="26"/>
        </w:rPr>
        <w:t xml:space="preserve">ssion </w:t>
      </w:r>
      <w:r w:rsidRPr="002E1E79">
        <w:rPr>
          <w:rFonts w:ascii="Book Antiqua" w:hAnsi="Book Antiqua"/>
          <w:spacing w:val="-1"/>
          <w:szCs w:val="26"/>
        </w:rPr>
        <w:t>c</w:t>
      </w:r>
      <w:r w:rsidRPr="002E1E79">
        <w:rPr>
          <w:rFonts w:ascii="Book Antiqua" w:hAnsi="Book Antiqua"/>
          <w:szCs w:val="26"/>
        </w:rPr>
        <w:t xml:space="preserve">ost </w:t>
      </w:r>
      <w:r w:rsidRPr="002E1E79">
        <w:rPr>
          <w:rFonts w:ascii="Book Antiqua" w:hAnsi="Book Antiqua"/>
          <w:spacing w:val="-1"/>
          <w:szCs w:val="26"/>
        </w:rPr>
        <w:t>a</w:t>
      </w:r>
      <w:r w:rsidRPr="002E1E79">
        <w:rPr>
          <w:rFonts w:ascii="Book Antiqua" w:hAnsi="Book Antiqua"/>
          <w:szCs w:val="26"/>
        </w:rPr>
        <w:t>n</w:t>
      </w:r>
      <w:r w:rsidRPr="002E1E79">
        <w:rPr>
          <w:rFonts w:ascii="Book Antiqua" w:hAnsi="Book Antiqua"/>
          <w:spacing w:val="-1"/>
          <w:szCs w:val="26"/>
        </w:rPr>
        <w:t>a</w:t>
      </w:r>
      <w:r w:rsidRPr="002E1E79">
        <w:rPr>
          <w:rFonts w:ascii="Book Antiqua" w:hAnsi="Book Antiqua"/>
          <w:spacing w:val="5"/>
          <w:szCs w:val="26"/>
        </w:rPr>
        <w:t>l</w:t>
      </w:r>
      <w:r w:rsidRPr="002E1E79">
        <w:rPr>
          <w:rFonts w:ascii="Book Antiqua" w:hAnsi="Book Antiqua"/>
          <w:spacing w:val="-5"/>
          <w:szCs w:val="26"/>
        </w:rPr>
        <w:t>y</w:t>
      </w:r>
      <w:r w:rsidRPr="002E1E79">
        <w:rPr>
          <w:rFonts w:ascii="Book Antiqua" w:hAnsi="Book Antiqua"/>
          <w:spacing w:val="3"/>
          <w:szCs w:val="26"/>
        </w:rPr>
        <w:t>s</w:t>
      </w:r>
      <w:r w:rsidRPr="002E1E79">
        <w:rPr>
          <w:rFonts w:ascii="Book Antiqua" w:hAnsi="Book Antiqua"/>
          <w:szCs w:val="26"/>
        </w:rPr>
        <w:t xml:space="preserve">is (including updated O&amp;M expenses, overhead expenses, and station throughput data), and </w:t>
      </w:r>
      <w:r w:rsidRPr="002E1E79">
        <w:rPr>
          <w:rFonts w:ascii="Book Antiqua" w:hAnsi="Book Antiqua" w:cs="Helvetica"/>
        </w:rPr>
        <w:t xml:space="preserve">update the NGV compression rate </w:t>
      </w:r>
      <w:r w:rsidRPr="002E1E79">
        <w:rPr>
          <w:rFonts w:ascii="Book Antiqua" w:hAnsi="Book Antiqua"/>
          <w:szCs w:val="26"/>
        </w:rPr>
        <w:t xml:space="preserve">(last updated in 2009) is reasonable </w:t>
      </w:r>
      <w:r w:rsidRPr="002E1E79">
        <w:rPr>
          <w:rFonts w:ascii="Book Antiqua" w:hAnsi="Book Antiqua" w:cs="Helvetica"/>
        </w:rPr>
        <w:t xml:space="preserve">based on </w:t>
      </w:r>
      <w:r w:rsidRPr="002E1E79">
        <w:rPr>
          <w:rFonts w:ascii="Book Antiqua" w:hAnsi="Book Antiqua"/>
          <w:szCs w:val="26"/>
        </w:rPr>
        <w:t xml:space="preserve">increased maintenance costs </w:t>
      </w:r>
      <w:r w:rsidR="008C3FA8">
        <w:rPr>
          <w:rFonts w:ascii="Book Antiqua" w:hAnsi="Book Antiqua"/>
          <w:szCs w:val="26"/>
        </w:rPr>
        <w:t>to</w:t>
      </w:r>
      <w:r w:rsidRPr="002E1E79">
        <w:rPr>
          <w:rFonts w:ascii="Book Antiqua" w:hAnsi="Book Antiqua"/>
          <w:szCs w:val="26"/>
        </w:rPr>
        <w:t xml:space="preserve"> strengthen station maintenance practices </w:t>
      </w:r>
      <w:r>
        <w:rPr>
          <w:rFonts w:ascii="Book Antiqua" w:hAnsi="Book Antiqua"/>
          <w:szCs w:val="26"/>
        </w:rPr>
        <w:t xml:space="preserve">to </w:t>
      </w:r>
      <w:r w:rsidRPr="002E1E79">
        <w:rPr>
          <w:rFonts w:ascii="Book Antiqua" w:hAnsi="Book Antiqua"/>
          <w:szCs w:val="26"/>
        </w:rPr>
        <w:t>meet and exceed code requirements</w:t>
      </w:r>
      <w:r>
        <w:rPr>
          <w:rFonts w:ascii="Book Antiqua" w:hAnsi="Book Antiqua"/>
          <w:szCs w:val="26"/>
        </w:rPr>
        <w:t>.</w:t>
      </w:r>
      <w:r w:rsidR="008C3FA8">
        <w:rPr>
          <w:rFonts w:ascii="Book Antiqua" w:hAnsi="Book Antiqua"/>
          <w:szCs w:val="26"/>
        </w:rPr>
        <w:t xml:space="preserve"> </w:t>
      </w:r>
    </w:p>
    <w:p w14:paraId="191F9BBF" w14:textId="0EAEFAFC" w:rsidR="001164FC" w:rsidRPr="002E1E79" w:rsidRDefault="008C3FA8" w:rsidP="00E14A04">
      <w:pPr>
        <w:pStyle w:val="standard"/>
        <w:numPr>
          <w:ilvl w:val="0"/>
          <w:numId w:val="18"/>
        </w:numPr>
        <w:ind w:firstLine="540"/>
        <w:rPr>
          <w:rFonts w:ascii="Book Antiqua" w:hAnsi="Book Antiqua"/>
          <w:szCs w:val="26"/>
        </w:rPr>
      </w:pPr>
      <w:r>
        <w:rPr>
          <w:rFonts w:ascii="Book Antiqua" w:hAnsi="Book Antiqua"/>
          <w:szCs w:val="26"/>
        </w:rPr>
        <w:t>T</w:t>
      </w:r>
      <w:r w:rsidR="001164FC" w:rsidRPr="002E1E79">
        <w:rPr>
          <w:rFonts w:ascii="Book Antiqua" w:hAnsi="Book Antiqua"/>
          <w:szCs w:val="26"/>
        </w:rPr>
        <w:t>he updated O&amp;M expenses, overhead expenses, and station throughput data supports the proposed NGV compression rate of $0.96 per therm, as requested by PG&amp;E</w:t>
      </w:r>
      <w:r>
        <w:rPr>
          <w:rFonts w:ascii="Book Antiqua" w:hAnsi="Book Antiqua"/>
          <w:szCs w:val="26"/>
        </w:rPr>
        <w:t xml:space="preserve"> and w</w:t>
      </w:r>
      <w:r w:rsidR="001164FC" w:rsidRPr="002E1E79">
        <w:rPr>
          <w:rFonts w:ascii="Book Antiqua" w:hAnsi="Book Antiqua"/>
          <w:szCs w:val="26"/>
        </w:rPr>
        <w:t xml:space="preserve">e find the </w:t>
      </w:r>
      <w:r w:rsidR="001164FC" w:rsidRPr="002E1E79">
        <w:rPr>
          <w:rFonts w:ascii="Book Antiqua" w:hAnsi="Book Antiqua" w:cs="Helvetica"/>
        </w:rPr>
        <w:t xml:space="preserve">proposed </w:t>
      </w:r>
      <w:r w:rsidR="00996302">
        <w:rPr>
          <w:rFonts w:cs="Helvetica"/>
        </w:rPr>
        <w:t>NGV</w:t>
      </w:r>
      <w:r w:rsidR="001164FC" w:rsidRPr="002E1E79">
        <w:rPr>
          <w:rFonts w:ascii="Book Antiqua" w:hAnsi="Book Antiqua" w:cs="Helvetica"/>
        </w:rPr>
        <w:t xml:space="preserve"> compression rate of </w:t>
      </w:r>
      <w:r w:rsidR="001164FC" w:rsidRPr="002E1E79">
        <w:rPr>
          <w:rFonts w:ascii="Book Antiqua" w:hAnsi="Book Antiqua"/>
          <w:szCs w:val="26"/>
        </w:rPr>
        <w:t>$0.96 per therm</w:t>
      </w:r>
      <w:r>
        <w:rPr>
          <w:rFonts w:ascii="Book Antiqua" w:hAnsi="Book Antiqua"/>
          <w:szCs w:val="26"/>
        </w:rPr>
        <w:t xml:space="preserve"> </w:t>
      </w:r>
      <w:r w:rsidR="001164FC" w:rsidRPr="002E1E79">
        <w:rPr>
          <w:rFonts w:ascii="Book Antiqua" w:hAnsi="Book Antiqua"/>
          <w:szCs w:val="26"/>
        </w:rPr>
        <w:t xml:space="preserve">reasonable.  </w:t>
      </w:r>
    </w:p>
    <w:p w14:paraId="6CA6B544" w14:textId="3A504BDA" w:rsidR="001164FC" w:rsidRPr="002E1E79" w:rsidRDefault="001164FC" w:rsidP="00E14A04">
      <w:pPr>
        <w:pStyle w:val="standard"/>
        <w:numPr>
          <w:ilvl w:val="0"/>
          <w:numId w:val="18"/>
        </w:numPr>
        <w:ind w:firstLine="540"/>
        <w:rPr>
          <w:rFonts w:ascii="Book Antiqua" w:hAnsi="Book Antiqua" w:cs="Helvetica"/>
        </w:rPr>
      </w:pPr>
      <w:r w:rsidRPr="002E1E79">
        <w:rPr>
          <w:rFonts w:ascii="Book Antiqua" w:hAnsi="Book Antiqua" w:cs="Helvetica"/>
        </w:rPr>
        <w:t xml:space="preserve">PG&amp;E's proposed modifications to the allocation of EE program costs to customer classes (Issue 11 in the Scoping Memo), </w:t>
      </w:r>
      <w:r w:rsidR="00BB13B6">
        <w:rPr>
          <w:rFonts w:ascii="Book Antiqua" w:hAnsi="Book Antiqua" w:cs="Helvetica"/>
        </w:rPr>
        <w:t>are</w:t>
      </w:r>
      <w:r w:rsidR="00BB13B6" w:rsidRPr="002E1E79">
        <w:rPr>
          <w:rFonts w:ascii="Book Antiqua" w:hAnsi="Book Antiqua" w:cs="Helvetica"/>
        </w:rPr>
        <w:t xml:space="preserve"> </w:t>
      </w:r>
      <w:r w:rsidRPr="002E1E79">
        <w:rPr>
          <w:rFonts w:ascii="Book Antiqua" w:hAnsi="Book Antiqua" w:cs="Helvetica"/>
        </w:rPr>
        <w:t xml:space="preserve">consistent with D.95-12-053 and supported by this record.  </w:t>
      </w:r>
    </w:p>
    <w:p w14:paraId="5049EE26" w14:textId="715F7961" w:rsidR="001164FC" w:rsidRPr="002E1E79" w:rsidRDefault="001164FC" w:rsidP="00E14A04">
      <w:pPr>
        <w:pStyle w:val="standard"/>
        <w:numPr>
          <w:ilvl w:val="0"/>
          <w:numId w:val="18"/>
        </w:numPr>
        <w:ind w:firstLine="540"/>
        <w:rPr>
          <w:rFonts w:ascii="Book Antiqua" w:hAnsi="Book Antiqua" w:cs="Helvetica"/>
        </w:rPr>
      </w:pPr>
      <w:r w:rsidRPr="002E1E79">
        <w:rPr>
          <w:rFonts w:ascii="Book Antiqua" w:hAnsi="Book Antiqua" w:cs="Helvetica"/>
        </w:rPr>
        <w:t xml:space="preserve">PG&amp;E failed to establish that its proposal </w:t>
      </w:r>
      <w:r w:rsidR="00BB13B6">
        <w:rPr>
          <w:rFonts w:ascii="Book Antiqua" w:hAnsi="Book Antiqua" w:cs="Helvetica"/>
        </w:rPr>
        <w:t xml:space="preserve">to </w:t>
      </w:r>
      <w:r w:rsidR="00BB13B6" w:rsidRPr="0005372D">
        <w:rPr>
          <w:rFonts w:ascii="Book Antiqua" w:hAnsi="Book Antiqua" w:cs="Helvetica"/>
        </w:rPr>
        <w:t>allocate</w:t>
      </w:r>
      <w:r w:rsidRPr="0005372D">
        <w:rPr>
          <w:rFonts w:ascii="Book Antiqua" w:hAnsi="Book Antiqua" w:cs="Helvetica"/>
        </w:rPr>
        <w:t xml:space="preserve"> ESA program costs</w:t>
      </w:r>
      <w:r w:rsidRPr="002E1E79">
        <w:rPr>
          <w:rFonts w:ascii="Book Antiqua" w:hAnsi="Book Antiqua" w:cs="Helvetica"/>
        </w:rPr>
        <w:t xml:space="preserve"> to the residential customer class as a separate step from the allocation of EE costs to all customer classes, is supported by this record</w:t>
      </w:r>
      <w:r>
        <w:rPr>
          <w:rFonts w:ascii="Book Antiqua" w:hAnsi="Book Antiqua" w:cs="Helvetica"/>
        </w:rPr>
        <w:t>. N</w:t>
      </w:r>
      <w:r w:rsidRPr="002E1E79">
        <w:rPr>
          <w:rFonts w:ascii="Book Antiqua" w:hAnsi="Book Antiqua" w:cs="Helvetica"/>
        </w:rPr>
        <w:t xml:space="preserve">either </w:t>
      </w:r>
      <w:r w:rsidRPr="002E1E79">
        <w:rPr>
          <w:rFonts w:ascii="Book Antiqua" w:hAnsi="Book Antiqua"/>
          <w:szCs w:val="26"/>
        </w:rPr>
        <w:t>TURN nor Cal Advocates’ was persuasive in their recommendation to allocate the ESA program costs on an ECPT basis.</w:t>
      </w:r>
    </w:p>
    <w:p w14:paraId="3F42114E" w14:textId="393A37BC" w:rsidR="001164FC" w:rsidRPr="002E1E79" w:rsidRDefault="001164FC" w:rsidP="00E14A04">
      <w:pPr>
        <w:pStyle w:val="standard"/>
        <w:numPr>
          <w:ilvl w:val="0"/>
          <w:numId w:val="18"/>
        </w:numPr>
        <w:ind w:firstLine="540"/>
        <w:rPr>
          <w:rFonts w:ascii="Book Antiqua" w:hAnsi="Book Antiqua" w:cs="Helvetica"/>
        </w:rPr>
      </w:pPr>
      <w:r w:rsidRPr="002E1E79">
        <w:rPr>
          <w:rFonts w:ascii="Book Antiqua" w:hAnsi="Book Antiqua"/>
          <w:szCs w:val="26"/>
        </w:rPr>
        <w:t xml:space="preserve">PG&amp;E’s proposal for a </w:t>
      </w:r>
      <w:r w:rsidR="00386709" w:rsidRPr="00B32541">
        <w:rPr>
          <w:rFonts w:ascii="Book Antiqua" w:hAnsi="Book Antiqua"/>
          <w:szCs w:val="26"/>
        </w:rPr>
        <w:t>three</w:t>
      </w:r>
      <w:r w:rsidR="00BB13B6">
        <w:rPr>
          <w:rFonts w:ascii="Book Antiqua" w:hAnsi="Book Antiqua"/>
          <w:szCs w:val="26"/>
        </w:rPr>
        <w:t xml:space="preserve"> </w:t>
      </w:r>
      <w:r w:rsidR="00386709" w:rsidRPr="00B32541">
        <w:rPr>
          <w:rFonts w:ascii="Book Antiqua" w:hAnsi="Book Antiqua"/>
          <w:szCs w:val="26"/>
        </w:rPr>
        <w:t>to</w:t>
      </w:r>
      <w:r w:rsidR="00BB13B6">
        <w:rPr>
          <w:rFonts w:ascii="Book Antiqua" w:hAnsi="Book Antiqua"/>
          <w:szCs w:val="26"/>
        </w:rPr>
        <w:t xml:space="preserve"> </w:t>
      </w:r>
      <w:r w:rsidR="00386709" w:rsidRPr="00B32541">
        <w:rPr>
          <w:rFonts w:ascii="Book Antiqua" w:hAnsi="Book Antiqua"/>
          <w:szCs w:val="26"/>
        </w:rPr>
        <w:t>five</w:t>
      </w:r>
      <w:r w:rsidR="00386709">
        <w:rPr>
          <w:rFonts w:ascii="Book Antiqua" w:hAnsi="Book Antiqua"/>
          <w:szCs w:val="26"/>
        </w:rPr>
        <w:t>-y</w:t>
      </w:r>
      <w:r w:rsidR="00386709" w:rsidRPr="00B32541">
        <w:rPr>
          <w:rFonts w:ascii="Book Antiqua" w:hAnsi="Book Antiqua"/>
          <w:szCs w:val="26"/>
        </w:rPr>
        <w:t>ear</w:t>
      </w:r>
      <w:r w:rsidR="00BB13B6">
        <w:rPr>
          <w:rFonts w:ascii="Book Antiqua" w:hAnsi="Book Antiqua"/>
          <w:szCs w:val="26"/>
        </w:rPr>
        <w:t xml:space="preserve"> </w:t>
      </w:r>
      <w:r w:rsidRPr="002E1E79">
        <w:rPr>
          <w:rFonts w:ascii="Book Antiqua" w:hAnsi="Book Antiqua"/>
          <w:szCs w:val="26"/>
        </w:rPr>
        <w:t xml:space="preserve">cycle for filing future GCAP applications is reasonable and supported as the proposal will help to establish a more definite schedule for GCAP </w:t>
      </w:r>
      <w:r w:rsidR="00F0633E" w:rsidRPr="002E1E79">
        <w:rPr>
          <w:rFonts w:ascii="Book Antiqua" w:hAnsi="Book Antiqua"/>
          <w:szCs w:val="26"/>
        </w:rPr>
        <w:t>applications</w:t>
      </w:r>
      <w:r w:rsidR="00F0633E">
        <w:rPr>
          <w:rFonts w:ascii="Book Antiqua" w:hAnsi="Book Antiqua"/>
          <w:szCs w:val="26"/>
        </w:rPr>
        <w:t xml:space="preserve"> and</w:t>
      </w:r>
      <w:r w:rsidR="00672948">
        <w:rPr>
          <w:rFonts w:ascii="Book Antiqua" w:hAnsi="Book Antiqua"/>
          <w:szCs w:val="26"/>
        </w:rPr>
        <w:t xml:space="preserve"> prevent stale data from being used in future GCAP proceedings</w:t>
      </w:r>
      <w:r w:rsidRPr="002E1E79">
        <w:rPr>
          <w:rFonts w:ascii="Book Antiqua" w:hAnsi="Book Antiqua"/>
          <w:szCs w:val="26"/>
        </w:rPr>
        <w:t xml:space="preserve">.  We also find it reasonable to require PG&amp;E to provide notice to the Commission at least six months before a planned GCAP filing in order to advise the Commission whether the GCAP filing </w:t>
      </w:r>
      <w:r w:rsidR="00BB13B6">
        <w:rPr>
          <w:rFonts w:ascii="Book Antiqua" w:hAnsi="Book Antiqua"/>
          <w:szCs w:val="26"/>
        </w:rPr>
        <w:t>will</w:t>
      </w:r>
      <w:r w:rsidR="00BB13B6" w:rsidRPr="002E1E79">
        <w:rPr>
          <w:rFonts w:ascii="Book Antiqua" w:hAnsi="Book Antiqua"/>
          <w:szCs w:val="26"/>
        </w:rPr>
        <w:t xml:space="preserve"> </w:t>
      </w:r>
      <w:r w:rsidRPr="002E1E79">
        <w:rPr>
          <w:rFonts w:ascii="Book Antiqua" w:hAnsi="Book Antiqua"/>
          <w:szCs w:val="26"/>
        </w:rPr>
        <w:t>be timely or delayed.</w:t>
      </w:r>
    </w:p>
    <w:p w14:paraId="649EAD95" w14:textId="77777777" w:rsidR="001164FC" w:rsidRPr="00561FEE" w:rsidRDefault="001164FC" w:rsidP="001164FC">
      <w:pPr>
        <w:pStyle w:val="Heading1"/>
        <w:numPr>
          <w:ilvl w:val="0"/>
          <w:numId w:val="0"/>
        </w:numPr>
        <w:rPr>
          <w:rFonts w:cs="Helvetica"/>
        </w:rPr>
      </w:pPr>
      <w:bookmarkStart w:id="98" w:name="_Toc450990220"/>
      <w:bookmarkStart w:id="99" w:name="_Toc451151267"/>
      <w:bookmarkStart w:id="100" w:name="_Toc11407875"/>
      <w:bookmarkStart w:id="101" w:name="_Toc20144559"/>
      <w:r w:rsidRPr="00561FEE">
        <w:rPr>
          <w:rFonts w:cs="Helvetica"/>
        </w:rPr>
        <w:lastRenderedPageBreak/>
        <w:t>Conclusions of Law</w:t>
      </w:r>
      <w:bookmarkEnd w:id="98"/>
      <w:bookmarkEnd w:id="99"/>
      <w:bookmarkEnd w:id="100"/>
      <w:bookmarkEnd w:id="101"/>
    </w:p>
    <w:p w14:paraId="36761B93" w14:textId="36216E72" w:rsidR="001164FC" w:rsidRPr="002E1E79" w:rsidRDefault="001164FC" w:rsidP="00E14A04">
      <w:pPr>
        <w:pStyle w:val="num1"/>
        <w:numPr>
          <w:ilvl w:val="0"/>
          <w:numId w:val="21"/>
        </w:numPr>
        <w:ind w:firstLine="540"/>
        <w:rPr>
          <w:rFonts w:ascii="Book Antiqua" w:hAnsi="Book Antiqua"/>
          <w:szCs w:val="26"/>
        </w:rPr>
      </w:pPr>
      <w:r w:rsidRPr="002E1E79">
        <w:rPr>
          <w:rFonts w:ascii="Book Antiqua" w:hAnsi="Book Antiqua"/>
          <w:szCs w:val="26"/>
        </w:rPr>
        <w:t xml:space="preserve">The final 2019 GT&amp;S decision </w:t>
      </w:r>
      <w:r w:rsidR="00555C64" w:rsidRPr="00F76951">
        <w:rPr>
          <w:rFonts w:ascii="Book Antiqua" w:hAnsi="Book Antiqua"/>
          <w:szCs w:val="26"/>
        </w:rPr>
        <w:t xml:space="preserve">that will be </w:t>
      </w:r>
      <w:r w:rsidRPr="002E1E79">
        <w:rPr>
          <w:rFonts w:ascii="Book Antiqua" w:hAnsi="Book Antiqua"/>
          <w:szCs w:val="26"/>
        </w:rPr>
        <w:t xml:space="preserve">adopted in A.17-11-009 (adopting the 2019 GT&amp;S throughput forecast), should be used to implement the GCAP rates presented in this Application in the future.  </w:t>
      </w:r>
    </w:p>
    <w:p w14:paraId="6C0CA633" w14:textId="77777777" w:rsidR="001164FC" w:rsidRPr="002E1E79" w:rsidRDefault="001164FC" w:rsidP="00E14A04">
      <w:pPr>
        <w:pStyle w:val="num1"/>
        <w:numPr>
          <w:ilvl w:val="0"/>
          <w:numId w:val="21"/>
        </w:numPr>
        <w:ind w:firstLine="540"/>
        <w:rPr>
          <w:rFonts w:ascii="Book Antiqua" w:hAnsi="Book Antiqua"/>
          <w:szCs w:val="26"/>
        </w:rPr>
      </w:pPr>
      <w:r w:rsidRPr="002E1E79">
        <w:rPr>
          <w:rFonts w:ascii="Book Antiqua" w:hAnsi="Book Antiqua" w:cs="Arial"/>
          <w:szCs w:val="26"/>
        </w:rPr>
        <w:t>PG&amp;E should be authorized to update its gas distribution throughput forecasts approved in future GT&amp;S cases, on an ongoing basis, via a Tier 2 advice letter filing, in order to prevent the throughput used in GCAP ratemaking from becoming stale.</w:t>
      </w:r>
    </w:p>
    <w:p w14:paraId="3C50DD87" w14:textId="77777777" w:rsidR="001164FC" w:rsidRPr="002E1E79" w:rsidRDefault="001164FC" w:rsidP="00E14A04">
      <w:pPr>
        <w:pStyle w:val="num1"/>
        <w:numPr>
          <w:ilvl w:val="0"/>
          <w:numId w:val="21"/>
        </w:numPr>
        <w:ind w:firstLine="540"/>
        <w:rPr>
          <w:rFonts w:ascii="Book Antiqua" w:hAnsi="Book Antiqua"/>
          <w:szCs w:val="26"/>
        </w:rPr>
      </w:pPr>
      <w:r w:rsidRPr="002E1E79">
        <w:rPr>
          <w:rFonts w:ascii="Book Antiqua" w:hAnsi="Book Antiqua" w:cs="Helvetica"/>
          <w:szCs w:val="26"/>
        </w:rPr>
        <w:t xml:space="preserve">PG&amp;E’s proposal to implement the cost allocation proposal set forth in its testimony, using embedded costs should be denied.  </w:t>
      </w:r>
    </w:p>
    <w:p w14:paraId="054F4635" w14:textId="50669651" w:rsidR="001164FC" w:rsidRPr="002E1E79" w:rsidRDefault="001164FC" w:rsidP="00E14A04">
      <w:pPr>
        <w:pStyle w:val="num1"/>
        <w:numPr>
          <w:ilvl w:val="0"/>
          <w:numId w:val="21"/>
        </w:numPr>
        <w:ind w:firstLine="540"/>
        <w:rPr>
          <w:rFonts w:ascii="Book Antiqua" w:hAnsi="Book Antiqua"/>
          <w:szCs w:val="26"/>
        </w:rPr>
      </w:pPr>
      <w:r w:rsidRPr="002E1E79">
        <w:rPr>
          <w:rFonts w:ascii="Book Antiqua" w:hAnsi="Book Antiqua" w:cs="Arial"/>
          <w:szCs w:val="26"/>
        </w:rPr>
        <w:t>PG&amp;E should c</w:t>
      </w:r>
      <w:r w:rsidRPr="002E1E79">
        <w:rPr>
          <w:rFonts w:ascii="Book Antiqua" w:hAnsi="Book Antiqua" w:cs="TimesNewRoman"/>
          <w:szCs w:val="26"/>
        </w:rPr>
        <w:t xml:space="preserve">ontinue the use of the marginal cost methodology initially adopted in </w:t>
      </w:r>
      <w:r w:rsidRPr="002E1E79">
        <w:rPr>
          <w:rFonts w:ascii="Book Antiqua" w:hAnsi="Book Antiqua" w:cs="Arial"/>
          <w:szCs w:val="26"/>
        </w:rPr>
        <w:t>D.92-12-058</w:t>
      </w:r>
      <w:r w:rsidRPr="002E1E79">
        <w:rPr>
          <w:rFonts w:ascii="Book Antiqua" w:hAnsi="Book Antiqua" w:cs="TimesNewRoman"/>
          <w:szCs w:val="26"/>
        </w:rPr>
        <w:t xml:space="preserve"> to allocate revenue requirements to customer classes in this GCAP, based on </w:t>
      </w:r>
      <w:r w:rsidRPr="002E1E79">
        <w:rPr>
          <w:rFonts w:ascii="Book Antiqua" w:hAnsi="Book Antiqua"/>
          <w:szCs w:val="26"/>
        </w:rPr>
        <w:t>Cal Advocates’ DTIM-based MDCC estimate and NCO MCAC marginal costs, and updated by Cal Advocates’ marginal cost study based on the new customer only (NCO) method, and updated for the new tax law and cost of capital and removing smart-meter opt-out costs from revenue cycle services costs.</w:t>
      </w:r>
    </w:p>
    <w:p w14:paraId="4D4521A4" w14:textId="0AA17DAB" w:rsidR="001164FC" w:rsidRPr="002E1E79" w:rsidRDefault="001164FC" w:rsidP="00E14A04">
      <w:pPr>
        <w:pStyle w:val="num1"/>
        <w:numPr>
          <w:ilvl w:val="0"/>
          <w:numId w:val="21"/>
        </w:numPr>
        <w:ind w:firstLine="540"/>
        <w:rPr>
          <w:rFonts w:ascii="Book Antiqua" w:hAnsi="Book Antiqua"/>
          <w:szCs w:val="26"/>
        </w:rPr>
      </w:pPr>
      <w:r w:rsidRPr="002E1E79">
        <w:rPr>
          <w:rFonts w:ascii="Book Antiqua" w:hAnsi="Book Antiqua"/>
          <w:szCs w:val="26"/>
        </w:rPr>
        <w:t xml:space="preserve">PG&amp;E's proposal to reduce the residential Tier 1 and Tier 2 bundled rate differential to 1.2 over four years should be granted, and PG&amp;E should be authorized to return to the bundled rate ratio of 1.2 gradually over a </w:t>
      </w:r>
      <w:r>
        <w:rPr>
          <w:rFonts w:ascii="Book Antiqua" w:hAnsi="Book Antiqua"/>
          <w:szCs w:val="26"/>
        </w:rPr>
        <w:t>four</w:t>
      </w:r>
      <w:r w:rsidRPr="002E1E79">
        <w:rPr>
          <w:rFonts w:ascii="Book Antiqua" w:hAnsi="Book Antiqua"/>
          <w:szCs w:val="26"/>
        </w:rPr>
        <w:t>-year period, beginning with implementation of this decision, as proposed in this Application</w:t>
      </w:r>
    </w:p>
    <w:p w14:paraId="7539DDAF" w14:textId="2401179F" w:rsidR="0054504F" w:rsidRDefault="001164FC" w:rsidP="00E14A04">
      <w:pPr>
        <w:pStyle w:val="ListParagraph"/>
        <w:widowControl w:val="0"/>
        <w:numPr>
          <w:ilvl w:val="0"/>
          <w:numId w:val="21"/>
        </w:numPr>
        <w:spacing w:after="0" w:line="360" w:lineRule="auto"/>
        <w:ind w:left="0" w:firstLine="540"/>
        <w:rPr>
          <w:rFonts w:cs="Helvetica"/>
        </w:rPr>
      </w:pPr>
      <w:r w:rsidRPr="002E1E79">
        <w:rPr>
          <w:rFonts w:cs="Helvetica"/>
        </w:rPr>
        <w:t>PG&amp;E proposals in this GCAP Application to increase the residential minimum transportation charges from the current $3 to $15</w:t>
      </w:r>
      <w:r w:rsidR="00147AFA">
        <w:rPr>
          <w:rFonts w:cs="Helvetica"/>
        </w:rPr>
        <w:t xml:space="preserve"> </w:t>
      </w:r>
      <w:r w:rsidRPr="002E1E79">
        <w:rPr>
          <w:rFonts w:cs="Helvetica"/>
        </w:rPr>
        <w:t>dollars</w:t>
      </w:r>
      <w:r w:rsidR="00555C64" w:rsidRPr="002E1E79">
        <w:rPr>
          <w:rFonts w:cs="Helvetica"/>
        </w:rPr>
        <w:t> </w:t>
      </w:r>
      <w:r w:rsidR="00555C64">
        <w:rPr>
          <w:rFonts w:cs="Helvetica"/>
        </w:rPr>
        <w:t>(</w:t>
      </w:r>
      <w:r>
        <w:rPr>
          <w:rFonts w:cs="Helvetica"/>
        </w:rPr>
        <w:t>or to</w:t>
      </w:r>
    </w:p>
    <w:p w14:paraId="702867DE" w14:textId="716CC7CC" w:rsidR="001164FC" w:rsidRPr="0054504F" w:rsidRDefault="001164FC" w:rsidP="0054504F">
      <w:pPr>
        <w:widowControl w:val="0"/>
        <w:spacing w:line="360" w:lineRule="auto"/>
        <w:rPr>
          <w:rFonts w:cs="Helvetica"/>
        </w:rPr>
      </w:pPr>
      <w:r w:rsidRPr="0054504F">
        <w:rPr>
          <w:rFonts w:cs="Helvetica"/>
        </w:rPr>
        <w:t xml:space="preserve"> $10 dollars as initially proposed by TURN) per month for non-CARE customer basic service; and to establish a higher super</w:t>
      </w:r>
      <w:r w:rsidR="00BB13B6" w:rsidRPr="0054504F">
        <w:rPr>
          <w:rFonts w:cs="Helvetica"/>
        </w:rPr>
        <w:t xml:space="preserve"> user</w:t>
      </w:r>
      <w:r w:rsidRPr="0054504F">
        <w:rPr>
          <w:rFonts w:cs="Helvetica"/>
        </w:rPr>
        <w:t xml:space="preserve"> minimum transportation </w:t>
      </w:r>
      <w:r w:rsidRPr="0054504F">
        <w:rPr>
          <w:rFonts w:cs="Helvetica"/>
        </w:rPr>
        <w:lastRenderedPageBreak/>
        <w:t>charge of $45 for non-CARE residential customers with daily peak usage of at least 15 therms, should be denied.</w:t>
      </w:r>
    </w:p>
    <w:p w14:paraId="5925A0F0" w14:textId="77777777" w:rsidR="001164FC" w:rsidRPr="002E1E79" w:rsidRDefault="001164FC" w:rsidP="00E14A04">
      <w:pPr>
        <w:pStyle w:val="num1"/>
        <w:numPr>
          <w:ilvl w:val="0"/>
          <w:numId w:val="21"/>
        </w:numPr>
        <w:ind w:firstLine="540"/>
        <w:rPr>
          <w:rFonts w:ascii="Book Antiqua" w:hAnsi="Book Antiqua"/>
          <w:szCs w:val="26"/>
        </w:rPr>
      </w:pPr>
      <w:r w:rsidRPr="002E1E79">
        <w:rPr>
          <w:rFonts w:ascii="Book Antiqua" w:hAnsi="Book Antiqua"/>
          <w:szCs w:val="26"/>
        </w:rPr>
        <w:t>PG&amp;E should be authorized to implement a $1 increase in the residential minimum transportation charges from the current $3 to $4 dollars per month for non-CARE customer basic service.</w:t>
      </w:r>
    </w:p>
    <w:p w14:paraId="642940CB" w14:textId="193E4850" w:rsidR="00F76951" w:rsidRPr="00C06731" w:rsidRDefault="00F76951" w:rsidP="00E14A04">
      <w:pPr>
        <w:pStyle w:val="num1"/>
        <w:numPr>
          <w:ilvl w:val="0"/>
          <w:numId w:val="21"/>
        </w:numPr>
        <w:ind w:firstLine="540"/>
        <w:rPr>
          <w:rFonts w:ascii="Book Antiqua" w:hAnsi="Book Antiqua"/>
          <w:szCs w:val="26"/>
        </w:rPr>
      </w:pPr>
      <w:r w:rsidRPr="00C06731">
        <w:rPr>
          <w:rFonts w:ascii="Book Antiqua" w:hAnsi="Book Antiqua"/>
          <w:szCs w:val="26"/>
        </w:rPr>
        <w:t xml:space="preserve">The Commission should </w:t>
      </w:r>
      <w:r w:rsidR="00BD0A10">
        <w:rPr>
          <w:rFonts w:ascii="Book Antiqua" w:hAnsi="Book Antiqua"/>
          <w:szCs w:val="26"/>
        </w:rPr>
        <w:t xml:space="preserve">consider </w:t>
      </w:r>
      <w:r w:rsidRPr="00C06731">
        <w:rPr>
          <w:rFonts w:ascii="Book Antiqua" w:hAnsi="Book Antiqua"/>
          <w:szCs w:val="26"/>
        </w:rPr>
        <w:t>open</w:t>
      </w:r>
      <w:r w:rsidR="00BD0A10">
        <w:rPr>
          <w:rFonts w:ascii="Book Antiqua" w:hAnsi="Book Antiqua"/>
          <w:szCs w:val="26"/>
        </w:rPr>
        <w:t>ing</w:t>
      </w:r>
      <w:r w:rsidRPr="00C06731">
        <w:rPr>
          <w:rFonts w:ascii="Book Antiqua" w:hAnsi="Book Antiqua"/>
          <w:szCs w:val="26"/>
        </w:rPr>
        <w:t xml:space="preserve"> a rulemaking to examine</w:t>
      </w:r>
      <w:r w:rsidR="00BD0A10">
        <w:rPr>
          <w:rFonts w:ascii="Book Antiqua" w:hAnsi="Book Antiqua"/>
          <w:szCs w:val="26"/>
        </w:rPr>
        <w:t xml:space="preserve"> rate structures that can address </w:t>
      </w:r>
      <w:r w:rsidRPr="00C06731">
        <w:rPr>
          <w:rFonts w:ascii="Book Antiqua" w:hAnsi="Book Antiqua"/>
          <w:szCs w:val="26"/>
        </w:rPr>
        <w:t xml:space="preserve">  the increase in capital infrastructure costs combined with the decrease in gas throughput.  </w:t>
      </w:r>
      <w:r w:rsidR="00BD0A10">
        <w:rPr>
          <w:rFonts w:ascii="Book Antiqua" w:hAnsi="Book Antiqua"/>
          <w:szCs w:val="26"/>
        </w:rPr>
        <w:t>These rate structures may include a volumetric transportation rate in conjunction with a fixed monthly transportation charge</w:t>
      </w:r>
      <w:r w:rsidR="00054E36">
        <w:rPr>
          <w:rFonts w:ascii="Book Antiqua" w:hAnsi="Book Antiqua"/>
          <w:szCs w:val="26"/>
        </w:rPr>
        <w:t xml:space="preserve"> and should</w:t>
      </w:r>
      <w:r w:rsidR="00BD0A10">
        <w:rPr>
          <w:rFonts w:ascii="Book Antiqua" w:hAnsi="Book Antiqua"/>
          <w:szCs w:val="26"/>
        </w:rPr>
        <w:t xml:space="preserve"> include consideration of </w:t>
      </w:r>
      <w:r w:rsidR="00054E36">
        <w:rPr>
          <w:rFonts w:ascii="Book Antiqua" w:hAnsi="Book Antiqua"/>
          <w:szCs w:val="26"/>
        </w:rPr>
        <w:t xml:space="preserve">impacts on </w:t>
      </w:r>
      <w:r w:rsidR="00BD0A10">
        <w:rPr>
          <w:rFonts w:ascii="Book Antiqua" w:hAnsi="Book Antiqua"/>
          <w:szCs w:val="26"/>
        </w:rPr>
        <w:t xml:space="preserve">affordability. </w:t>
      </w:r>
    </w:p>
    <w:p w14:paraId="6BD8F023" w14:textId="4EE27DFF" w:rsidR="00040C15" w:rsidRPr="008C3FA8" w:rsidRDefault="001164FC" w:rsidP="00E14A04">
      <w:pPr>
        <w:pStyle w:val="ListParagraph"/>
        <w:widowControl w:val="0"/>
        <w:numPr>
          <w:ilvl w:val="0"/>
          <w:numId w:val="21"/>
        </w:numPr>
        <w:spacing w:after="0" w:line="360" w:lineRule="auto"/>
        <w:ind w:left="0" w:firstLine="540"/>
        <w:rPr>
          <w:rFonts w:cs="Helvetica"/>
          <w:szCs w:val="26"/>
        </w:rPr>
      </w:pPr>
      <w:r w:rsidRPr="002E1E79">
        <w:rPr>
          <w:rFonts w:cs="Helvetica"/>
        </w:rPr>
        <w:t xml:space="preserve">PG&amp;E’s residential and non-residential gas rates proposed </w:t>
      </w:r>
      <w:r w:rsidR="00040C15">
        <w:rPr>
          <w:rFonts w:cs="Helvetica"/>
        </w:rPr>
        <w:t>under</w:t>
      </w:r>
      <w:r w:rsidRPr="002E1E79">
        <w:rPr>
          <w:rFonts w:cs="Helvetica"/>
        </w:rPr>
        <w:t xml:space="preserve"> PG&amp;E’s embedded cost allocation and rate design proposals</w:t>
      </w:r>
      <w:r w:rsidR="00040C15">
        <w:rPr>
          <w:rFonts w:cs="Helvetica"/>
        </w:rPr>
        <w:t xml:space="preserve"> are not</w:t>
      </w:r>
      <w:r w:rsidRPr="002E1E79">
        <w:rPr>
          <w:rFonts w:cs="Helvetica"/>
        </w:rPr>
        <w:t xml:space="preserve"> just and reasonable </w:t>
      </w:r>
      <w:r w:rsidR="00040C15">
        <w:rPr>
          <w:rFonts w:cs="Helvetica"/>
        </w:rPr>
        <w:t>and</w:t>
      </w:r>
      <w:r w:rsidRPr="002E1E79">
        <w:rPr>
          <w:rFonts w:cs="Helvetica"/>
        </w:rPr>
        <w:t xml:space="preserve"> should be denied. </w:t>
      </w:r>
    </w:p>
    <w:p w14:paraId="1DA7A283" w14:textId="055E9FB5" w:rsidR="001164FC" w:rsidRPr="002E1E79" w:rsidRDefault="001164FC" w:rsidP="00E14A04">
      <w:pPr>
        <w:pStyle w:val="ListParagraph"/>
        <w:widowControl w:val="0"/>
        <w:numPr>
          <w:ilvl w:val="0"/>
          <w:numId w:val="21"/>
        </w:numPr>
        <w:spacing w:after="0" w:line="360" w:lineRule="auto"/>
        <w:ind w:left="0" w:firstLine="540"/>
        <w:rPr>
          <w:rFonts w:cs="Helvetica"/>
          <w:szCs w:val="26"/>
        </w:rPr>
      </w:pPr>
      <w:r w:rsidRPr="002E1E79">
        <w:rPr>
          <w:rFonts w:cs="Helvetica"/>
        </w:rPr>
        <w:t>PG&amp;E should be required to implement residential and non-residential gas rates</w:t>
      </w:r>
      <w:r w:rsidR="00040C15">
        <w:rPr>
          <w:rFonts w:cs="Helvetica"/>
        </w:rPr>
        <w:t xml:space="preserve"> </w:t>
      </w:r>
      <w:r w:rsidRPr="002E1E79">
        <w:rPr>
          <w:rFonts w:cs="Helvetica"/>
        </w:rPr>
        <w:t>based on the various proposals authorized or directed in this decision</w:t>
      </w:r>
      <w:r w:rsidR="00040C15">
        <w:rPr>
          <w:rFonts w:cs="Helvetica"/>
        </w:rPr>
        <w:t xml:space="preserve"> and</w:t>
      </w:r>
      <w:r w:rsidRPr="002E1E79">
        <w:rPr>
          <w:rFonts w:cs="Helvetica"/>
        </w:rPr>
        <w:t xml:space="preserve"> as authorized or directed in </w:t>
      </w:r>
      <w:r w:rsidRPr="002E1E79">
        <w:rPr>
          <w:szCs w:val="26"/>
        </w:rPr>
        <w:t>D.18-10-040 (</w:t>
      </w:r>
      <w:r w:rsidRPr="002E1E79">
        <w:rPr>
          <w:rFonts w:cs="Arial"/>
          <w:szCs w:val="26"/>
        </w:rPr>
        <w:t>Decision Adopting Settlement Agreement on Residential Baseline Season Restructuring.</w:t>
      </w:r>
    </w:p>
    <w:p w14:paraId="43122B3F" w14:textId="77777777" w:rsidR="001164FC" w:rsidRPr="002E1E79" w:rsidRDefault="001164FC" w:rsidP="00E14A04">
      <w:pPr>
        <w:pStyle w:val="ListParagraph"/>
        <w:widowControl w:val="0"/>
        <w:numPr>
          <w:ilvl w:val="0"/>
          <w:numId w:val="21"/>
        </w:numPr>
        <w:spacing w:after="0" w:line="360" w:lineRule="auto"/>
        <w:ind w:left="0" w:firstLine="540"/>
        <w:rPr>
          <w:szCs w:val="26"/>
        </w:rPr>
      </w:pPr>
      <w:r w:rsidRPr="002E1E79">
        <w:rPr>
          <w:rFonts w:cs="Helvetica"/>
          <w:szCs w:val="26"/>
        </w:rPr>
        <w:t xml:space="preserve">PG&amp;E's proposal to update the </w:t>
      </w:r>
      <w:r w:rsidR="00A235C7">
        <w:rPr>
          <w:rFonts w:cs="Helvetica"/>
          <w:szCs w:val="26"/>
        </w:rPr>
        <w:t>Core Brokerage Fee</w:t>
      </w:r>
      <w:r w:rsidRPr="002E1E79">
        <w:rPr>
          <w:rFonts w:cs="Helvetica"/>
          <w:szCs w:val="26"/>
        </w:rPr>
        <w:t xml:space="preserve"> based on </w:t>
      </w:r>
      <w:r w:rsidRPr="002E1E79">
        <w:rPr>
          <w:szCs w:val="26"/>
        </w:rPr>
        <w:t>an update of the Core Brokerage Fee study with recent information for the elements of the study should be approved, as proposed in the Application.</w:t>
      </w:r>
    </w:p>
    <w:p w14:paraId="2B11D772" w14:textId="01C8F775" w:rsidR="001164FC" w:rsidRPr="002E1E79" w:rsidRDefault="001164FC" w:rsidP="00E14A04">
      <w:pPr>
        <w:pStyle w:val="ListParagraph"/>
        <w:widowControl w:val="0"/>
        <w:numPr>
          <w:ilvl w:val="0"/>
          <w:numId w:val="21"/>
        </w:numPr>
        <w:spacing w:after="0" w:line="360" w:lineRule="auto"/>
        <w:ind w:left="0" w:firstLine="540"/>
        <w:rPr>
          <w:rFonts w:cs="Helvetica"/>
        </w:rPr>
      </w:pPr>
      <w:r w:rsidRPr="002E1E79">
        <w:rPr>
          <w:rFonts w:cs="Helvetica"/>
        </w:rPr>
        <w:t xml:space="preserve">PG&amp;E's proposal to update the MMD and the master meter discount diversity benefit adjustment (MMD-DBA) in order to </w:t>
      </w:r>
      <w:r w:rsidRPr="002E1E79">
        <w:rPr>
          <w:szCs w:val="26"/>
        </w:rPr>
        <w:t xml:space="preserve">revise master meter calculations on Schedule GS and GT with updated information </w:t>
      </w:r>
      <w:r w:rsidRPr="002E1E79">
        <w:rPr>
          <w:rFonts w:cs="Helvetica"/>
        </w:rPr>
        <w:t>is supported by this record and should be approved</w:t>
      </w:r>
      <w:r w:rsidRPr="002E1E79">
        <w:rPr>
          <w:szCs w:val="26"/>
        </w:rPr>
        <w:t>,</w:t>
      </w:r>
      <w:r w:rsidR="00040C15">
        <w:rPr>
          <w:szCs w:val="26"/>
        </w:rPr>
        <w:t xml:space="preserve"> but</w:t>
      </w:r>
      <w:r w:rsidRPr="002E1E79">
        <w:rPr>
          <w:szCs w:val="26"/>
        </w:rPr>
        <w:t xml:space="preserve"> </w:t>
      </w:r>
      <w:r w:rsidRPr="002E1E79">
        <w:t xml:space="preserve">PG&amp;E should be required to apply the service O&amp;M loader to service equipment costs in addition to meter equipment </w:t>
      </w:r>
      <w:r w:rsidRPr="002E1E79">
        <w:lastRenderedPageBreak/>
        <w:t>cost resulting in a $1.11 reduction to the master meter discount</w:t>
      </w:r>
      <w:r w:rsidR="00040C15">
        <w:t>;</w:t>
      </w:r>
      <w:r w:rsidRPr="002E1E79">
        <w:t xml:space="preserve"> </w:t>
      </w:r>
      <w:r w:rsidRPr="002E1E79">
        <w:rPr>
          <w:szCs w:val="26"/>
        </w:rPr>
        <w:t xml:space="preserve">update the RECC for the corporate tax rate in the new tax act and the new Cost of Capital; and update GCAP gas GT and GS MMD “Base” amounts, and recalculate and update it for tax and cost of capital impacts at the time of implementation, in implementing this proposal. </w:t>
      </w:r>
    </w:p>
    <w:p w14:paraId="6682F5CC" w14:textId="40E0D141" w:rsidR="001164FC" w:rsidRPr="002E1E79" w:rsidRDefault="001164FC" w:rsidP="00E14A04">
      <w:pPr>
        <w:pStyle w:val="ListParagraph"/>
        <w:keepNext/>
        <w:keepLines/>
        <w:numPr>
          <w:ilvl w:val="0"/>
          <w:numId w:val="21"/>
        </w:numPr>
        <w:spacing w:after="0" w:line="360" w:lineRule="auto"/>
        <w:ind w:left="0" w:firstLine="540"/>
        <w:rPr>
          <w:rFonts w:cs="Helvetica"/>
        </w:rPr>
      </w:pPr>
      <w:r w:rsidRPr="002E1E79">
        <w:rPr>
          <w:szCs w:val="26"/>
        </w:rPr>
        <w:t xml:space="preserve">PG&amp;E should be authorized to </w:t>
      </w:r>
      <w:r w:rsidRPr="002E1E79">
        <w:rPr>
          <w:rFonts w:cs="Helvetica"/>
        </w:rPr>
        <w:t xml:space="preserve">update </w:t>
      </w:r>
      <w:r w:rsidRPr="002E1E79">
        <w:rPr>
          <w:szCs w:val="26"/>
        </w:rPr>
        <w:t>the</w:t>
      </w:r>
      <w:r w:rsidR="00040C15">
        <w:rPr>
          <w:szCs w:val="26"/>
        </w:rPr>
        <w:t xml:space="preserve"> </w:t>
      </w:r>
      <w:r w:rsidRPr="002E1E79">
        <w:rPr>
          <w:szCs w:val="26"/>
        </w:rPr>
        <w:t>N</w:t>
      </w:r>
      <w:r w:rsidRPr="002E1E79">
        <w:rPr>
          <w:spacing w:val="2"/>
          <w:szCs w:val="26"/>
        </w:rPr>
        <w:t>G</w:t>
      </w:r>
      <w:r w:rsidRPr="002E1E79">
        <w:rPr>
          <w:szCs w:val="26"/>
        </w:rPr>
        <w:t>V</w:t>
      </w:r>
      <w:r w:rsidR="00040C15">
        <w:rPr>
          <w:szCs w:val="26"/>
        </w:rPr>
        <w:t xml:space="preserve"> </w:t>
      </w:r>
      <w:r w:rsidRPr="002E1E79">
        <w:rPr>
          <w:spacing w:val="-1"/>
          <w:szCs w:val="26"/>
        </w:rPr>
        <w:t>c</w:t>
      </w:r>
      <w:r w:rsidRPr="002E1E79">
        <w:rPr>
          <w:szCs w:val="26"/>
        </w:rPr>
        <w:t>omp</w:t>
      </w:r>
      <w:r w:rsidRPr="002E1E79">
        <w:rPr>
          <w:spacing w:val="-1"/>
          <w:szCs w:val="26"/>
        </w:rPr>
        <w:t>re</w:t>
      </w:r>
      <w:r w:rsidRPr="002E1E79">
        <w:rPr>
          <w:szCs w:val="26"/>
        </w:rPr>
        <w:t xml:space="preserve">ssion </w:t>
      </w:r>
      <w:r w:rsidRPr="002E1E79">
        <w:rPr>
          <w:spacing w:val="-1"/>
          <w:szCs w:val="26"/>
        </w:rPr>
        <w:t>c</w:t>
      </w:r>
      <w:r w:rsidRPr="002E1E79">
        <w:rPr>
          <w:szCs w:val="26"/>
        </w:rPr>
        <w:t xml:space="preserve">ost </w:t>
      </w:r>
      <w:r w:rsidRPr="002E1E79">
        <w:rPr>
          <w:spacing w:val="-1"/>
          <w:szCs w:val="26"/>
        </w:rPr>
        <w:t>a</w:t>
      </w:r>
      <w:r w:rsidRPr="002E1E79">
        <w:rPr>
          <w:szCs w:val="26"/>
        </w:rPr>
        <w:t>n</w:t>
      </w:r>
      <w:r w:rsidRPr="002E1E79">
        <w:rPr>
          <w:spacing w:val="-1"/>
          <w:szCs w:val="26"/>
        </w:rPr>
        <w:t>a</w:t>
      </w:r>
      <w:r w:rsidRPr="002E1E79">
        <w:rPr>
          <w:spacing w:val="5"/>
          <w:szCs w:val="26"/>
        </w:rPr>
        <w:t>l</w:t>
      </w:r>
      <w:r w:rsidRPr="002E1E79">
        <w:rPr>
          <w:spacing w:val="-5"/>
          <w:szCs w:val="26"/>
        </w:rPr>
        <w:t>y</w:t>
      </w:r>
      <w:r w:rsidRPr="002E1E79">
        <w:rPr>
          <w:spacing w:val="3"/>
          <w:szCs w:val="26"/>
        </w:rPr>
        <w:t>s</w:t>
      </w:r>
      <w:r w:rsidRPr="002E1E79">
        <w:rPr>
          <w:szCs w:val="26"/>
        </w:rPr>
        <w:t xml:space="preserve">is (including updated O&amp;M expenses, overhead expenses, and station throughput data), </w:t>
      </w:r>
      <w:r w:rsidRPr="002E1E79">
        <w:rPr>
          <w:spacing w:val="-1"/>
          <w:szCs w:val="26"/>
        </w:rPr>
        <w:t>a</w:t>
      </w:r>
      <w:r w:rsidRPr="002E1E79">
        <w:rPr>
          <w:szCs w:val="26"/>
        </w:rPr>
        <w:t xml:space="preserve">nd update </w:t>
      </w:r>
      <w:r w:rsidRPr="002E1E79">
        <w:rPr>
          <w:spacing w:val="-1"/>
          <w:szCs w:val="26"/>
        </w:rPr>
        <w:t>the NGV c</w:t>
      </w:r>
      <w:r w:rsidRPr="002E1E79">
        <w:rPr>
          <w:szCs w:val="26"/>
        </w:rPr>
        <w:t>omp</w:t>
      </w:r>
      <w:r w:rsidRPr="002E1E79">
        <w:rPr>
          <w:spacing w:val="-1"/>
          <w:szCs w:val="26"/>
        </w:rPr>
        <w:t>re</w:t>
      </w:r>
      <w:r w:rsidRPr="002E1E79">
        <w:rPr>
          <w:szCs w:val="26"/>
        </w:rPr>
        <w:t xml:space="preserve">ssion </w:t>
      </w:r>
      <w:r w:rsidRPr="002E1E79">
        <w:rPr>
          <w:spacing w:val="-1"/>
          <w:szCs w:val="26"/>
        </w:rPr>
        <w:t>ra</w:t>
      </w:r>
      <w:r w:rsidRPr="002E1E79">
        <w:rPr>
          <w:szCs w:val="26"/>
        </w:rPr>
        <w:t>t</w:t>
      </w:r>
      <w:r w:rsidRPr="002E1E79">
        <w:rPr>
          <w:spacing w:val="-1"/>
          <w:szCs w:val="26"/>
        </w:rPr>
        <w:t>e</w:t>
      </w:r>
      <w:r w:rsidRPr="002E1E79">
        <w:rPr>
          <w:rFonts w:cs="Helvetica"/>
        </w:rPr>
        <w:t xml:space="preserve"> based on </w:t>
      </w:r>
      <w:r w:rsidRPr="002E1E79">
        <w:rPr>
          <w:szCs w:val="26"/>
        </w:rPr>
        <w:t xml:space="preserve">PG&amp;E’s updated </w:t>
      </w:r>
      <w:r w:rsidR="00996302">
        <w:rPr>
          <w:rFonts w:cs="Helvetica"/>
        </w:rPr>
        <w:t>NGV</w:t>
      </w:r>
      <w:r w:rsidRPr="002E1E79">
        <w:rPr>
          <w:szCs w:val="26"/>
        </w:rPr>
        <w:t xml:space="preserve"> Compression Cost study.  The </w:t>
      </w:r>
      <w:r w:rsidRPr="002E1E79">
        <w:rPr>
          <w:rFonts w:cs="Helvetica"/>
        </w:rPr>
        <w:t xml:space="preserve">proposed </w:t>
      </w:r>
      <w:r w:rsidRPr="002E1E79">
        <w:rPr>
          <w:szCs w:val="26"/>
        </w:rPr>
        <w:t xml:space="preserve">updated </w:t>
      </w:r>
      <w:r w:rsidR="00996302">
        <w:rPr>
          <w:rFonts w:cs="Helvetica"/>
        </w:rPr>
        <w:t>NGV</w:t>
      </w:r>
      <w:r w:rsidR="00996302" w:rsidRPr="002E1E79">
        <w:rPr>
          <w:rFonts w:cs="Helvetica"/>
        </w:rPr>
        <w:t xml:space="preserve"> </w:t>
      </w:r>
      <w:r w:rsidRPr="002E1E79">
        <w:rPr>
          <w:rFonts w:cs="Helvetica"/>
        </w:rPr>
        <w:t xml:space="preserve">compression rate of </w:t>
      </w:r>
      <w:r w:rsidRPr="002E1E79">
        <w:rPr>
          <w:szCs w:val="26"/>
        </w:rPr>
        <w:t>$0.96 per therm</w:t>
      </w:r>
      <w:r w:rsidRPr="002E1E79">
        <w:rPr>
          <w:rFonts w:cs="Helvetica"/>
        </w:rPr>
        <w:t xml:space="preserve"> should be authorized.</w:t>
      </w:r>
    </w:p>
    <w:p w14:paraId="491C7497" w14:textId="0BC8794B" w:rsidR="001164FC" w:rsidRPr="002E1E79" w:rsidRDefault="001164FC" w:rsidP="00E14A04">
      <w:pPr>
        <w:pStyle w:val="standard"/>
        <w:numPr>
          <w:ilvl w:val="0"/>
          <w:numId w:val="21"/>
        </w:numPr>
        <w:ind w:firstLine="540"/>
        <w:rPr>
          <w:rFonts w:ascii="Book Antiqua" w:hAnsi="Book Antiqua" w:cs="Helvetica"/>
        </w:rPr>
      </w:pPr>
      <w:r w:rsidRPr="002E1E79">
        <w:rPr>
          <w:rFonts w:ascii="Book Antiqua" w:hAnsi="Book Antiqua"/>
          <w:szCs w:val="26"/>
        </w:rPr>
        <w:t xml:space="preserve">PG&amp;E should be authorized to continue the allocation of </w:t>
      </w:r>
      <w:r w:rsidR="00040C15">
        <w:rPr>
          <w:rFonts w:ascii="Book Antiqua" w:hAnsi="Book Antiqua"/>
          <w:szCs w:val="26"/>
        </w:rPr>
        <w:t>its</w:t>
      </w:r>
      <w:r w:rsidR="00040C15" w:rsidRPr="002E1E79">
        <w:rPr>
          <w:rFonts w:ascii="Book Antiqua" w:hAnsi="Book Antiqua"/>
          <w:szCs w:val="26"/>
        </w:rPr>
        <w:t xml:space="preserve"> </w:t>
      </w:r>
      <w:r w:rsidRPr="002E1E79">
        <w:rPr>
          <w:rFonts w:ascii="Book Antiqua" w:hAnsi="Book Antiqua"/>
          <w:szCs w:val="26"/>
        </w:rPr>
        <w:t>EE costs consistent with D. 95-12-053 and based on its updated study of benefits received by each class as offered in this record.</w:t>
      </w:r>
      <w:r w:rsidRPr="002E1E79">
        <w:rPr>
          <w:rFonts w:ascii="Book Antiqua" w:hAnsi="Book Antiqua" w:cs="Helvetica"/>
        </w:rPr>
        <w:t xml:space="preserve">  In implementing the proposed modifications authorized herein, </w:t>
      </w:r>
      <w:r w:rsidRPr="002E1E79">
        <w:rPr>
          <w:rFonts w:ascii="Book Antiqua" w:hAnsi="Book Antiqua"/>
          <w:szCs w:val="26"/>
        </w:rPr>
        <w:t>PG&amp;E should be required to allocate EE shareholder incentives using the direct benefits method developed for EE program costs based on this record, as follows: Residential Class (33.84%); Small Commercial (32.86%); Large Commercial (1.94%); Industrial Distribution (10.82%); and Industrial Transmission (20.54%)</w:t>
      </w:r>
      <w:r w:rsidR="00EC688C">
        <w:rPr>
          <w:rFonts w:ascii="Book Antiqua" w:hAnsi="Book Antiqua"/>
          <w:szCs w:val="26"/>
        </w:rPr>
        <w:t xml:space="preserve"> in </w:t>
      </w:r>
      <w:r w:rsidR="00EC688C" w:rsidRPr="00C70F1E">
        <w:rPr>
          <w:rFonts w:ascii="Book Antiqua" w:hAnsi="Book Antiqua"/>
          <w:szCs w:val="26"/>
        </w:rPr>
        <w:t>develop</w:t>
      </w:r>
      <w:r w:rsidR="00EC688C">
        <w:rPr>
          <w:rFonts w:ascii="Book Antiqua" w:hAnsi="Book Antiqua"/>
          <w:szCs w:val="26"/>
        </w:rPr>
        <w:t>ing</w:t>
      </w:r>
      <w:r w:rsidR="00EC688C" w:rsidRPr="00C70F1E">
        <w:rPr>
          <w:rFonts w:ascii="Book Antiqua" w:hAnsi="Book Antiqua"/>
          <w:szCs w:val="26"/>
        </w:rPr>
        <w:t xml:space="preserve"> the weighted allocation to customer classes</w:t>
      </w:r>
      <w:r w:rsidRPr="002E1E79">
        <w:rPr>
          <w:rFonts w:ascii="Book Antiqua" w:hAnsi="Book Antiqua"/>
          <w:szCs w:val="26"/>
        </w:rPr>
        <w:t>.</w:t>
      </w:r>
    </w:p>
    <w:p w14:paraId="31F0AF84" w14:textId="5E96D356" w:rsidR="001164FC" w:rsidRPr="002E1E79" w:rsidRDefault="001164FC" w:rsidP="00E14A04">
      <w:pPr>
        <w:pStyle w:val="standard"/>
        <w:numPr>
          <w:ilvl w:val="0"/>
          <w:numId w:val="21"/>
        </w:numPr>
        <w:ind w:firstLine="540"/>
        <w:rPr>
          <w:rFonts w:ascii="Book Antiqua" w:hAnsi="Book Antiqua"/>
          <w:szCs w:val="26"/>
        </w:rPr>
      </w:pPr>
      <w:r w:rsidRPr="002E1E79">
        <w:rPr>
          <w:rFonts w:ascii="Book Antiqua" w:hAnsi="Book Antiqua" w:cs="Helvetica"/>
        </w:rPr>
        <w:t xml:space="preserve">PG&amp;E’s proposal that the allocation of ESA program costs to the residential customer class be performed as a separate step from the allocation of EE costs to all customer classes should be </w:t>
      </w:r>
      <w:r w:rsidR="00EC688C">
        <w:rPr>
          <w:rFonts w:ascii="Book Antiqua" w:hAnsi="Book Antiqua" w:cs="Helvetica"/>
        </w:rPr>
        <w:t>approved</w:t>
      </w:r>
      <w:r w:rsidRPr="002E1E79">
        <w:rPr>
          <w:rFonts w:ascii="Book Antiqua" w:hAnsi="Book Antiqua" w:cs="Helvetica"/>
        </w:rPr>
        <w:t xml:space="preserve">.  </w:t>
      </w:r>
      <w:r w:rsidR="00EC688C">
        <w:rPr>
          <w:rFonts w:ascii="Book Antiqua" w:hAnsi="Book Antiqua" w:cs="Helvetica"/>
        </w:rPr>
        <w:t>Accordingly</w:t>
      </w:r>
      <w:r w:rsidRPr="002E1E79">
        <w:rPr>
          <w:rFonts w:ascii="Book Antiqua" w:hAnsi="Book Antiqua" w:cs="Helvetica"/>
        </w:rPr>
        <w:t xml:space="preserve">, </w:t>
      </w:r>
      <w:r w:rsidRPr="002E1E79">
        <w:rPr>
          <w:rFonts w:ascii="Book Antiqua" w:hAnsi="Book Antiqua"/>
          <w:szCs w:val="26"/>
        </w:rPr>
        <w:t xml:space="preserve">TURN and Cal Advocates’ recommendation to allocate the ESA program costs on an ECPT basis and across all customer classes and SBUA’s proposed allocation should be rejected as </w:t>
      </w:r>
      <w:r w:rsidRPr="002E1E79">
        <w:rPr>
          <w:rFonts w:ascii="Book Antiqua" w:hAnsi="Book Antiqua" w:cs="Helvetica"/>
        </w:rPr>
        <w:t>insufficiently supported by this record</w:t>
      </w:r>
      <w:r w:rsidRPr="002E1E79">
        <w:rPr>
          <w:rFonts w:ascii="Book Antiqua" w:hAnsi="Book Antiqua"/>
          <w:szCs w:val="26"/>
        </w:rPr>
        <w:t>.</w:t>
      </w:r>
      <w:bookmarkStart w:id="102" w:name="_Toc450990221"/>
      <w:bookmarkStart w:id="103" w:name="_Toc451151268"/>
      <w:bookmarkStart w:id="104" w:name="OLE_LINK2"/>
    </w:p>
    <w:p w14:paraId="798A2906" w14:textId="4151A6EC" w:rsidR="001164FC" w:rsidRPr="00561FEE" w:rsidRDefault="001164FC" w:rsidP="00E14A04">
      <w:pPr>
        <w:pStyle w:val="standard"/>
        <w:numPr>
          <w:ilvl w:val="0"/>
          <w:numId w:val="21"/>
        </w:numPr>
        <w:ind w:firstLine="540"/>
        <w:rPr>
          <w:rFonts w:ascii="Book Antiqua" w:hAnsi="Book Antiqua" w:cs="Helvetica"/>
        </w:rPr>
      </w:pPr>
      <w:r w:rsidRPr="002E1E79">
        <w:rPr>
          <w:rFonts w:ascii="Book Antiqua" w:hAnsi="Book Antiqua"/>
          <w:szCs w:val="26"/>
        </w:rPr>
        <w:lastRenderedPageBreak/>
        <w:t xml:space="preserve">PG&amp;E’s proposal for a </w:t>
      </w:r>
      <w:r w:rsidR="00386709" w:rsidRPr="00B32541">
        <w:rPr>
          <w:rFonts w:ascii="Book Antiqua" w:hAnsi="Book Antiqua"/>
          <w:szCs w:val="26"/>
        </w:rPr>
        <w:t>three</w:t>
      </w:r>
      <w:r w:rsidR="00040C15">
        <w:rPr>
          <w:rFonts w:ascii="Book Antiqua" w:hAnsi="Book Antiqua"/>
          <w:szCs w:val="26"/>
        </w:rPr>
        <w:t xml:space="preserve"> </w:t>
      </w:r>
      <w:r w:rsidR="00386709" w:rsidRPr="00B32541">
        <w:rPr>
          <w:rFonts w:ascii="Book Antiqua" w:hAnsi="Book Antiqua"/>
          <w:szCs w:val="26"/>
        </w:rPr>
        <w:t>to</w:t>
      </w:r>
      <w:r w:rsidR="00040C15">
        <w:rPr>
          <w:rFonts w:ascii="Book Antiqua" w:hAnsi="Book Antiqua"/>
          <w:szCs w:val="26"/>
        </w:rPr>
        <w:t xml:space="preserve"> </w:t>
      </w:r>
      <w:r w:rsidR="00386709" w:rsidRPr="00B32541">
        <w:rPr>
          <w:rFonts w:ascii="Book Antiqua" w:hAnsi="Book Antiqua"/>
          <w:szCs w:val="26"/>
        </w:rPr>
        <w:t>five</w:t>
      </w:r>
      <w:r w:rsidR="00386709">
        <w:rPr>
          <w:rFonts w:ascii="Book Antiqua" w:hAnsi="Book Antiqua"/>
          <w:szCs w:val="26"/>
        </w:rPr>
        <w:t>-y</w:t>
      </w:r>
      <w:r w:rsidR="00386709" w:rsidRPr="00B32541">
        <w:rPr>
          <w:rFonts w:ascii="Book Antiqua" w:hAnsi="Book Antiqua"/>
          <w:szCs w:val="26"/>
        </w:rPr>
        <w:t>ear</w:t>
      </w:r>
      <w:r w:rsidR="00040C15">
        <w:rPr>
          <w:rFonts w:ascii="Book Antiqua" w:hAnsi="Book Antiqua"/>
          <w:szCs w:val="26"/>
        </w:rPr>
        <w:t xml:space="preserve"> </w:t>
      </w:r>
      <w:r w:rsidRPr="002E1E79">
        <w:rPr>
          <w:rFonts w:ascii="Book Antiqua" w:hAnsi="Book Antiqua"/>
          <w:szCs w:val="26"/>
        </w:rPr>
        <w:t>cycle for filing future GCAP applications should be approved, and the Commission should require PG&amp;E to provide notice to the Commission at least six (6) months before any planned GCAP filing, in order to advise the Commission whether the GCAP filing would be timely or delayed.</w:t>
      </w:r>
    </w:p>
    <w:p w14:paraId="4454D5B9" w14:textId="77777777" w:rsidR="001164FC" w:rsidRPr="00561FEE" w:rsidRDefault="001164FC" w:rsidP="00003C4A">
      <w:pPr>
        <w:pStyle w:val="mainex"/>
        <w:keepNext/>
        <w:keepLines/>
      </w:pPr>
      <w:bookmarkStart w:id="105" w:name="_Toc11407876"/>
      <w:bookmarkStart w:id="106" w:name="_Toc20144560"/>
      <w:r w:rsidRPr="00561FEE">
        <w:t>ORDER</w:t>
      </w:r>
      <w:bookmarkEnd w:id="102"/>
      <w:bookmarkEnd w:id="103"/>
      <w:bookmarkEnd w:id="105"/>
      <w:bookmarkEnd w:id="106"/>
    </w:p>
    <w:bookmarkEnd w:id="104"/>
    <w:p w14:paraId="0597EE81" w14:textId="77777777" w:rsidR="001164FC" w:rsidRPr="00561FEE" w:rsidRDefault="001164FC">
      <w:pPr>
        <w:pStyle w:val="standard"/>
        <w:keepNext/>
        <w:keepLines/>
        <w:rPr>
          <w:rFonts w:ascii="Book Antiqua" w:hAnsi="Book Antiqua"/>
          <w:b/>
          <w:szCs w:val="26"/>
        </w:rPr>
      </w:pPr>
    </w:p>
    <w:p w14:paraId="30A58B9A" w14:textId="77777777" w:rsidR="001164FC" w:rsidRPr="00561FEE" w:rsidRDefault="001164FC">
      <w:pPr>
        <w:pStyle w:val="standard"/>
        <w:keepNext/>
        <w:keepLines/>
        <w:rPr>
          <w:rFonts w:ascii="Book Antiqua" w:hAnsi="Book Antiqua"/>
          <w:szCs w:val="26"/>
        </w:rPr>
      </w:pPr>
      <w:r w:rsidRPr="00561FEE">
        <w:rPr>
          <w:rFonts w:ascii="Book Antiqua" w:hAnsi="Book Antiqua"/>
          <w:b/>
          <w:szCs w:val="26"/>
        </w:rPr>
        <w:t>IT IS ORDERED</w:t>
      </w:r>
      <w:r w:rsidRPr="00561FEE">
        <w:rPr>
          <w:rFonts w:ascii="Book Antiqua" w:hAnsi="Book Antiqua"/>
          <w:szCs w:val="26"/>
        </w:rPr>
        <w:t xml:space="preserve"> that:</w:t>
      </w:r>
    </w:p>
    <w:p w14:paraId="59E96A63" w14:textId="27699E8C" w:rsidR="001164FC" w:rsidRPr="002E1E79" w:rsidRDefault="001164FC" w:rsidP="00D716E6">
      <w:pPr>
        <w:pStyle w:val="num1"/>
        <w:keepNext/>
        <w:keepLines/>
        <w:numPr>
          <w:ilvl w:val="0"/>
          <w:numId w:val="19"/>
        </w:numPr>
        <w:ind w:firstLine="540"/>
        <w:rPr>
          <w:rFonts w:ascii="Book Antiqua" w:hAnsi="Book Antiqua"/>
          <w:szCs w:val="26"/>
        </w:rPr>
      </w:pPr>
      <w:r w:rsidRPr="002E1E79">
        <w:rPr>
          <w:rFonts w:ascii="Book Antiqua" w:hAnsi="Book Antiqua"/>
          <w:szCs w:val="26"/>
        </w:rPr>
        <w:t xml:space="preserve">The final 2019 </w:t>
      </w:r>
      <w:bookmarkStart w:id="107" w:name="_Hlk20212349"/>
      <w:r w:rsidR="00FC220C">
        <w:rPr>
          <w:rFonts w:ascii="Book Antiqua" w:hAnsi="Book Antiqua" w:cs="Arial"/>
          <w:szCs w:val="26"/>
        </w:rPr>
        <w:t>Gas Transmission and Storage (</w:t>
      </w:r>
      <w:r w:rsidR="00FC220C" w:rsidRPr="002E1E79">
        <w:rPr>
          <w:rFonts w:ascii="Book Antiqua" w:hAnsi="Book Antiqua" w:cs="Arial"/>
          <w:szCs w:val="26"/>
        </w:rPr>
        <w:t>GT&amp;S</w:t>
      </w:r>
      <w:r w:rsidR="00FC220C">
        <w:rPr>
          <w:rFonts w:ascii="Book Antiqua" w:hAnsi="Book Antiqua" w:cs="Arial"/>
          <w:szCs w:val="26"/>
        </w:rPr>
        <w:t>)</w:t>
      </w:r>
      <w:r w:rsidR="00040C15">
        <w:rPr>
          <w:rFonts w:ascii="Book Antiqua" w:hAnsi="Book Antiqua" w:cs="Arial"/>
          <w:szCs w:val="26"/>
        </w:rPr>
        <w:t xml:space="preserve"> </w:t>
      </w:r>
      <w:r w:rsidR="008C3FA8">
        <w:rPr>
          <w:rFonts w:ascii="Book Antiqua" w:hAnsi="Book Antiqua"/>
          <w:szCs w:val="26"/>
        </w:rPr>
        <w:t>throughput forecast</w:t>
      </w:r>
      <w:r w:rsidR="008C3FA8" w:rsidRPr="002E1E79">
        <w:rPr>
          <w:rFonts w:ascii="Book Antiqua" w:hAnsi="Book Antiqua"/>
          <w:szCs w:val="26"/>
        </w:rPr>
        <w:t xml:space="preserve"> </w:t>
      </w:r>
      <w:r w:rsidRPr="002E1E79">
        <w:rPr>
          <w:rFonts w:ascii="Book Antiqua" w:hAnsi="Book Antiqua"/>
          <w:szCs w:val="26"/>
        </w:rPr>
        <w:t>approved and/or adopted in A</w:t>
      </w:r>
      <w:r w:rsidR="006C38D5">
        <w:rPr>
          <w:rFonts w:ascii="Book Antiqua" w:hAnsi="Book Antiqua"/>
          <w:szCs w:val="26"/>
        </w:rPr>
        <w:t xml:space="preserve">pplication </w:t>
      </w:r>
      <w:r w:rsidRPr="002E1E79">
        <w:rPr>
          <w:rFonts w:ascii="Book Antiqua" w:hAnsi="Book Antiqua"/>
          <w:szCs w:val="26"/>
        </w:rPr>
        <w:t>17-11-009 shall be used to implement the rates</w:t>
      </w:r>
      <w:r w:rsidR="00340FBF">
        <w:rPr>
          <w:rFonts w:ascii="Book Antiqua" w:hAnsi="Book Antiqua"/>
          <w:szCs w:val="26"/>
        </w:rPr>
        <w:t>,</w:t>
      </w:r>
      <w:r w:rsidRPr="002E1E79">
        <w:rPr>
          <w:rFonts w:ascii="Book Antiqua" w:hAnsi="Book Antiqua"/>
          <w:szCs w:val="26"/>
        </w:rPr>
        <w:t xml:space="preserve"> presented in this </w:t>
      </w:r>
      <w:r w:rsidR="00FA0D53" w:rsidRPr="00561FEE">
        <w:rPr>
          <w:rFonts w:ascii="Book Antiqua" w:hAnsi="Book Antiqua"/>
          <w:szCs w:val="26"/>
        </w:rPr>
        <w:t xml:space="preserve">gas </w:t>
      </w:r>
      <w:r w:rsidR="000B6E5A">
        <w:rPr>
          <w:rFonts w:ascii="Book Antiqua" w:hAnsi="Book Antiqua"/>
          <w:szCs w:val="26"/>
        </w:rPr>
        <w:t xml:space="preserve">cost allocation and rate design </w:t>
      </w:r>
      <w:r w:rsidR="00E5637E">
        <w:rPr>
          <w:rFonts w:ascii="Book Antiqua" w:hAnsi="Book Antiqua"/>
          <w:szCs w:val="26"/>
        </w:rPr>
        <w:t>(GCAP</w:t>
      </w:r>
      <w:r w:rsidR="003E5C4A">
        <w:rPr>
          <w:rFonts w:ascii="Book Antiqua" w:hAnsi="Book Antiqua"/>
          <w:szCs w:val="26"/>
        </w:rPr>
        <w:t>)</w:t>
      </w:r>
      <w:r w:rsidR="00750131">
        <w:rPr>
          <w:rFonts w:ascii="Book Antiqua" w:hAnsi="Book Antiqua"/>
          <w:szCs w:val="26"/>
        </w:rPr>
        <w:t xml:space="preserve"> </w:t>
      </w:r>
      <w:bookmarkEnd w:id="107"/>
      <w:r w:rsidR="00750131">
        <w:rPr>
          <w:rFonts w:ascii="Book Antiqua" w:hAnsi="Book Antiqua"/>
          <w:szCs w:val="26"/>
        </w:rPr>
        <w:t xml:space="preserve">Application </w:t>
      </w:r>
      <w:r w:rsidR="006C38D5" w:rsidRPr="002E1E79">
        <w:rPr>
          <w:rFonts w:ascii="Book Antiqua" w:hAnsi="Book Antiqua"/>
          <w:szCs w:val="26"/>
        </w:rPr>
        <w:t>17-</w:t>
      </w:r>
      <w:r w:rsidR="006C38D5">
        <w:rPr>
          <w:rFonts w:ascii="Book Antiqua" w:hAnsi="Book Antiqua"/>
          <w:szCs w:val="26"/>
        </w:rPr>
        <w:t>09</w:t>
      </w:r>
      <w:r w:rsidR="006C38D5" w:rsidRPr="002E1E79">
        <w:rPr>
          <w:rFonts w:ascii="Book Antiqua" w:hAnsi="Book Antiqua"/>
          <w:szCs w:val="26"/>
        </w:rPr>
        <w:t>-00</w:t>
      </w:r>
      <w:r w:rsidR="006C38D5">
        <w:rPr>
          <w:rFonts w:ascii="Book Antiqua" w:hAnsi="Book Antiqua"/>
          <w:szCs w:val="26"/>
        </w:rPr>
        <w:t>6</w:t>
      </w:r>
      <w:r w:rsidRPr="002E1E79">
        <w:rPr>
          <w:rFonts w:ascii="Book Antiqua" w:hAnsi="Book Antiqua"/>
          <w:szCs w:val="26"/>
        </w:rPr>
        <w:t xml:space="preserve">.  </w:t>
      </w:r>
    </w:p>
    <w:p w14:paraId="6AA330D4" w14:textId="4117960C" w:rsidR="001164FC" w:rsidRPr="002E1E79" w:rsidRDefault="00E5637E" w:rsidP="00E14A04">
      <w:pPr>
        <w:pStyle w:val="num1"/>
        <w:numPr>
          <w:ilvl w:val="0"/>
          <w:numId w:val="19"/>
        </w:numPr>
        <w:ind w:firstLine="540"/>
        <w:rPr>
          <w:rFonts w:ascii="Book Antiqua" w:hAnsi="Book Antiqua"/>
          <w:szCs w:val="26"/>
        </w:rPr>
      </w:pPr>
      <w:r>
        <w:rPr>
          <w:rFonts w:ascii="Book Antiqua" w:hAnsi="Book Antiqua" w:cs="Arial"/>
          <w:szCs w:val="26"/>
        </w:rPr>
        <w:t>Pacific Gas and Electric Company</w:t>
      </w:r>
      <w:r w:rsidR="001164FC" w:rsidRPr="002E1E79">
        <w:rPr>
          <w:rFonts w:ascii="Book Antiqua" w:hAnsi="Book Antiqua" w:cs="Arial"/>
          <w:szCs w:val="26"/>
        </w:rPr>
        <w:t xml:space="preserve"> shall update its gas distribution throughput forecasts approved in future </w:t>
      </w:r>
      <w:r w:rsidR="00FC220C">
        <w:rPr>
          <w:rFonts w:ascii="Book Antiqua" w:hAnsi="Book Antiqua" w:cs="Arial"/>
          <w:szCs w:val="26"/>
        </w:rPr>
        <w:t>Gas Transmission and Storage (</w:t>
      </w:r>
      <w:r w:rsidR="001164FC" w:rsidRPr="002E1E79">
        <w:rPr>
          <w:rFonts w:ascii="Book Antiqua" w:hAnsi="Book Antiqua" w:cs="Arial"/>
          <w:szCs w:val="26"/>
        </w:rPr>
        <w:t>GT&amp;S</w:t>
      </w:r>
      <w:r w:rsidR="00FC220C">
        <w:rPr>
          <w:rFonts w:ascii="Book Antiqua" w:hAnsi="Book Antiqua" w:cs="Arial"/>
          <w:szCs w:val="26"/>
        </w:rPr>
        <w:t>)</w:t>
      </w:r>
      <w:r w:rsidR="001164FC" w:rsidRPr="002E1E79">
        <w:rPr>
          <w:rFonts w:ascii="Book Antiqua" w:hAnsi="Book Antiqua" w:cs="Arial"/>
          <w:szCs w:val="26"/>
        </w:rPr>
        <w:t xml:space="preserve"> cases, on an ongoing basis, via a Tier 2 advice letter filing</w:t>
      </w:r>
      <w:r w:rsidR="0074512C">
        <w:rPr>
          <w:rFonts w:ascii="Book Antiqua" w:hAnsi="Book Antiqua" w:cs="Arial"/>
          <w:szCs w:val="26"/>
        </w:rPr>
        <w:t>.</w:t>
      </w:r>
    </w:p>
    <w:p w14:paraId="20DA5D0A" w14:textId="2B306861" w:rsidR="001164FC" w:rsidRPr="002E1E79" w:rsidRDefault="00E5637E" w:rsidP="00E14A04">
      <w:pPr>
        <w:pStyle w:val="num1"/>
        <w:widowControl w:val="0"/>
        <w:numPr>
          <w:ilvl w:val="0"/>
          <w:numId w:val="19"/>
        </w:numPr>
        <w:ind w:firstLine="540"/>
        <w:rPr>
          <w:rFonts w:ascii="Book Antiqua" w:hAnsi="Book Antiqua"/>
          <w:szCs w:val="26"/>
        </w:rPr>
      </w:pPr>
      <w:r>
        <w:rPr>
          <w:rFonts w:ascii="Book Antiqua" w:hAnsi="Book Antiqua" w:cs="Arial"/>
          <w:szCs w:val="26"/>
        </w:rPr>
        <w:t>Pacific Gas and Electric Company</w:t>
      </w:r>
      <w:r w:rsidR="001164FC" w:rsidRPr="002E1E79">
        <w:rPr>
          <w:rFonts w:ascii="Book Antiqua" w:hAnsi="Book Antiqua" w:cs="Arial"/>
          <w:szCs w:val="26"/>
        </w:rPr>
        <w:t xml:space="preserve"> shall </w:t>
      </w:r>
      <w:r w:rsidR="001164FC" w:rsidRPr="002E1E79">
        <w:rPr>
          <w:rFonts w:ascii="Book Antiqua" w:hAnsi="Book Antiqua" w:cs="TimesNewRoman"/>
          <w:szCs w:val="26"/>
        </w:rPr>
        <w:t xml:space="preserve">use the marginal cost methodology initially adopted in </w:t>
      </w:r>
      <w:r w:rsidR="000A0874">
        <w:rPr>
          <w:rFonts w:ascii="Book Antiqua" w:hAnsi="Book Antiqua" w:cs="Arial"/>
          <w:szCs w:val="26"/>
        </w:rPr>
        <w:t xml:space="preserve">Decision </w:t>
      </w:r>
      <w:r w:rsidR="001164FC" w:rsidRPr="002E1E79">
        <w:rPr>
          <w:rFonts w:ascii="Book Antiqua" w:hAnsi="Book Antiqua" w:cs="Arial"/>
          <w:szCs w:val="26"/>
        </w:rPr>
        <w:t>92-12-058</w:t>
      </w:r>
      <w:r w:rsidR="001164FC" w:rsidRPr="002E1E79">
        <w:rPr>
          <w:rFonts w:ascii="Book Antiqua" w:hAnsi="Book Antiqua" w:cs="TimesNewRoman"/>
          <w:szCs w:val="26"/>
        </w:rPr>
        <w:t xml:space="preserve"> to allocate revenue requirements to customer classes in this </w:t>
      </w:r>
      <w:r w:rsidR="003E3538" w:rsidRPr="00561FEE">
        <w:rPr>
          <w:rFonts w:ascii="Book Antiqua" w:hAnsi="Book Antiqua"/>
          <w:szCs w:val="26"/>
        </w:rPr>
        <w:t xml:space="preserve">gas cost allocation and rate design </w:t>
      </w:r>
      <w:r w:rsidR="003E3538">
        <w:rPr>
          <w:rFonts w:ascii="Book Antiqua" w:hAnsi="Book Antiqua"/>
          <w:szCs w:val="26"/>
        </w:rPr>
        <w:t>proceeding</w:t>
      </w:r>
      <w:r w:rsidR="00DD47EF">
        <w:rPr>
          <w:rFonts w:ascii="Book Antiqua" w:hAnsi="Book Antiqua"/>
          <w:szCs w:val="26"/>
        </w:rPr>
        <w:t xml:space="preserve">, </w:t>
      </w:r>
      <w:r w:rsidR="0092138B">
        <w:rPr>
          <w:rFonts w:ascii="Book Antiqua" w:hAnsi="Book Antiqua" w:cs="TimesNewRoman"/>
          <w:szCs w:val="26"/>
        </w:rPr>
        <w:t>updated to reflect</w:t>
      </w:r>
      <w:r w:rsidR="001164FC" w:rsidRPr="002E1E79">
        <w:rPr>
          <w:rFonts w:ascii="Book Antiqua" w:hAnsi="Book Antiqua" w:cs="TimesNewRoman"/>
          <w:szCs w:val="26"/>
        </w:rPr>
        <w:t xml:space="preserve"> </w:t>
      </w:r>
      <w:r w:rsidR="0092138B">
        <w:rPr>
          <w:rFonts w:ascii="Book Antiqua" w:hAnsi="Book Antiqua"/>
          <w:szCs w:val="26"/>
        </w:rPr>
        <w:t>the Commission’s Public Advocates Office</w:t>
      </w:r>
      <w:r w:rsidR="0092138B" w:rsidRPr="002E1E79">
        <w:rPr>
          <w:rFonts w:ascii="Book Antiqua" w:hAnsi="Book Antiqua"/>
          <w:szCs w:val="26"/>
        </w:rPr>
        <w:t xml:space="preserve"> </w:t>
      </w:r>
      <w:r w:rsidR="0092138B">
        <w:rPr>
          <w:rFonts w:ascii="Book Antiqua" w:hAnsi="Book Antiqua"/>
          <w:szCs w:val="26"/>
        </w:rPr>
        <w:t>(</w:t>
      </w:r>
      <w:r w:rsidR="001164FC" w:rsidRPr="002E1E79">
        <w:rPr>
          <w:rFonts w:ascii="Book Antiqua" w:hAnsi="Book Antiqua"/>
          <w:szCs w:val="26"/>
        </w:rPr>
        <w:t>Cal Advocates’</w:t>
      </w:r>
      <w:r w:rsidR="0092138B">
        <w:rPr>
          <w:rFonts w:ascii="Book Antiqua" w:hAnsi="Book Antiqua"/>
          <w:szCs w:val="26"/>
        </w:rPr>
        <w:t>)</w:t>
      </w:r>
      <w:r w:rsidR="001164FC" w:rsidRPr="002E1E79">
        <w:rPr>
          <w:rFonts w:ascii="Book Antiqua" w:hAnsi="Book Antiqua"/>
          <w:szCs w:val="26"/>
        </w:rPr>
        <w:t xml:space="preserve"> </w:t>
      </w:r>
      <w:r w:rsidR="009E4DE4" w:rsidRPr="005B0135">
        <w:rPr>
          <w:rFonts w:ascii="Book Antiqua" w:hAnsi="Book Antiqua"/>
        </w:rPr>
        <w:t>Discounted Total Investment Method-based Marginal Distribution Capacity Cost estimate,</w:t>
      </w:r>
      <w:r w:rsidR="009E4DE4" w:rsidRPr="005B0135">
        <w:rPr>
          <w:rFonts w:ascii="Book Antiqua" w:hAnsi="Book Antiqua" w:cs="Arial"/>
          <w:szCs w:val="26"/>
        </w:rPr>
        <w:t xml:space="preserve"> and </w:t>
      </w:r>
      <w:r w:rsidR="009E4DE4" w:rsidRPr="005B0135">
        <w:rPr>
          <w:rFonts w:ascii="Book Antiqua" w:hAnsi="Book Antiqua"/>
        </w:rPr>
        <w:t>New Customer Only (NCO)</w:t>
      </w:r>
      <w:r w:rsidR="00AD3505">
        <w:rPr>
          <w:rFonts w:ascii="Book Antiqua" w:hAnsi="Book Antiqua"/>
        </w:rPr>
        <w:t xml:space="preserve"> </w:t>
      </w:r>
      <w:r w:rsidR="009E4DE4" w:rsidRPr="005B0135">
        <w:rPr>
          <w:rFonts w:ascii="Book Antiqua" w:hAnsi="Book Antiqua"/>
        </w:rPr>
        <w:t xml:space="preserve">Marginal Customer Access Cost </w:t>
      </w:r>
      <w:r w:rsidR="001164FC" w:rsidRPr="002E1E79">
        <w:rPr>
          <w:rFonts w:ascii="Book Antiqua" w:hAnsi="Book Antiqua"/>
          <w:szCs w:val="26"/>
        </w:rPr>
        <w:t>marginal costs</w:t>
      </w:r>
      <w:r w:rsidR="00DD47EF">
        <w:rPr>
          <w:rFonts w:ascii="Book Antiqua" w:hAnsi="Book Antiqua"/>
          <w:szCs w:val="26"/>
        </w:rPr>
        <w:t xml:space="preserve"> presented in this proceeding</w:t>
      </w:r>
      <w:r w:rsidR="001164FC" w:rsidRPr="002E1E79">
        <w:rPr>
          <w:rFonts w:ascii="Book Antiqua" w:hAnsi="Book Antiqua"/>
          <w:szCs w:val="26"/>
        </w:rPr>
        <w:t xml:space="preserve">, </w:t>
      </w:r>
      <w:r w:rsidR="00DD47EF">
        <w:rPr>
          <w:rFonts w:ascii="Book Antiqua" w:hAnsi="Book Antiqua"/>
          <w:szCs w:val="26"/>
        </w:rPr>
        <w:t xml:space="preserve">and </w:t>
      </w:r>
      <w:r w:rsidR="00E35AD5">
        <w:rPr>
          <w:rFonts w:ascii="Book Antiqua" w:hAnsi="Book Antiqua"/>
          <w:szCs w:val="26"/>
        </w:rPr>
        <w:t>as</w:t>
      </w:r>
      <w:r w:rsidR="00AD3505">
        <w:rPr>
          <w:rFonts w:ascii="Book Antiqua" w:hAnsi="Book Antiqua"/>
          <w:szCs w:val="26"/>
        </w:rPr>
        <w:t xml:space="preserve"> </w:t>
      </w:r>
      <w:r w:rsidR="001164FC" w:rsidRPr="002E1E79">
        <w:rPr>
          <w:rFonts w:ascii="Book Antiqua" w:hAnsi="Book Antiqua"/>
          <w:szCs w:val="26"/>
        </w:rPr>
        <w:t xml:space="preserve">updated by Cal Advocates’ marginal cost study based on the </w:t>
      </w:r>
      <w:r w:rsidR="001E0761">
        <w:rPr>
          <w:rFonts w:ascii="Book Antiqua" w:hAnsi="Book Antiqua"/>
          <w:szCs w:val="26"/>
        </w:rPr>
        <w:t xml:space="preserve">NCO </w:t>
      </w:r>
      <w:r w:rsidR="001164FC" w:rsidRPr="002E1E79">
        <w:rPr>
          <w:rFonts w:ascii="Book Antiqua" w:hAnsi="Book Antiqua"/>
          <w:szCs w:val="26"/>
        </w:rPr>
        <w:t>method and updated for the new tax law and cost of capital and removing smart-meter opt-out costs from revenue cycle services costs.</w:t>
      </w:r>
    </w:p>
    <w:p w14:paraId="743011FC" w14:textId="7B21242E" w:rsidR="001164FC" w:rsidRPr="002E1E79" w:rsidRDefault="00E5637E" w:rsidP="00E14A04">
      <w:pPr>
        <w:pStyle w:val="num1"/>
        <w:widowControl w:val="0"/>
        <w:numPr>
          <w:ilvl w:val="0"/>
          <w:numId w:val="19"/>
        </w:numPr>
        <w:ind w:firstLine="540"/>
        <w:rPr>
          <w:rFonts w:ascii="Book Antiqua" w:hAnsi="Book Antiqua" w:cs="Arial"/>
          <w:szCs w:val="26"/>
        </w:rPr>
      </w:pPr>
      <w:r>
        <w:rPr>
          <w:rFonts w:ascii="Book Antiqua" w:hAnsi="Book Antiqua"/>
          <w:szCs w:val="26"/>
        </w:rPr>
        <w:t>Pacific Gas and Electric Company (PG&amp;E)</w:t>
      </w:r>
      <w:r w:rsidR="001164FC" w:rsidRPr="002E1E79">
        <w:rPr>
          <w:rFonts w:ascii="Book Antiqua" w:hAnsi="Book Antiqua" w:cs="Arial"/>
          <w:szCs w:val="26"/>
        </w:rPr>
        <w:t xml:space="preserve">'s proposal to reduce the </w:t>
      </w:r>
      <w:r w:rsidR="001164FC" w:rsidRPr="002E1E79">
        <w:rPr>
          <w:rFonts w:ascii="Book Antiqua" w:hAnsi="Book Antiqua" w:cs="Arial"/>
          <w:szCs w:val="26"/>
        </w:rPr>
        <w:lastRenderedPageBreak/>
        <w:t xml:space="preserve">residential Tier 1 and Tier 2 bundled rate differential to 1.2 over four years is granted, and PG&amp;E shall return to the bundled rate ratio of 1.2 gradually over a </w:t>
      </w:r>
      <w:r w:rsidR="001164FC">
        <w:rPr>
          <w:rFonts w:ascii="Book Antiqua" w:hAnsi="Book Antiqua" w:cs="Arial"/>
          <w:szCs w:val="26"/>
        </w:rPr>
        <w:t>four</w:t>
      </w:r>
      <w:r w:rsidR="001164FC" w:rsidRPr="002E1E79">
        <w:rPr>
          <w:rFonts w:ascii="Book Antiqua" w:hAnsi="Book Antiqua" w:cs="Arial"/>
          <w:szCs w:val="26"/>
        </w:rPr>
        <w:t>-year period, beginning with implementation of this decision, as proposed in this Application.</w:t>
      </w:r>
    </w:p>
    <w:p w14:paraId="7638432B" w14:textId="6BD83AD2" w:rsidR="001164FC" w:rsidRDefault="00E5637E" w:rsidP="00E14A04">
      <w:pPr>
        <w:pStyle w:val="num1"/>
        <w:numPr>
          <w:ilvl w:val="0"/>
          <w:numId w:val="19"/>
        </w:numPr>
        <w:ind w:firstLine="540"/>
        <w:rPr>
          <w:rFonts w:ascii="Book Antiqua" w:hAnsi="Book Antiqua"/>
          <w:szCs w:val="26"/>
        </w:rPr>
      </w:pPr>
      <w:r>
        <w:rPr>
          <w:rFonts w:ascii="Book Antiqua" w:hAnsi="Book Antiqua"/>
          <w:szCs w:val="26"/>
        </w:rPr>
        <w:t>Pacific Gas and Electric Company</w:t>
      </w:r>
      <w:r w:rsidR="001164FC" w:rsidRPr="002E1E79">
        <w:rPr>
          <w:rFonts w:ascii="Book Antiqua" w:hAnsi="Book Antiqua"/>
          <w:szCs w:val="26"/>
        </w:rPr>
        <w:t xml:space="preserve"> shall implement a $1 increase in the residential minimum transportation charge from the current $3 to $4 dollars per month for non-CARE customer basic service.</w:t>
      </w:r>
    </w:p>
    <w:p w14:paraId="2B78460E" w14:textId="17D5D4B7" w:rsidR="001164FC" w:rsidRDefault="001164FC" w:rsidP="00D716E6">
      <w:pPr>
        <w:pStyle w:val="num1"/>
        <w:numPr>
          <w:ilvl w:val="0"/>
          <w:numId w:val="0"/>
        </w:numPr>
        <w:rPr>
          <w:rFonts w:ascii="Book Antiqua" w:hAnsi="Book Antiqua"/>
          <w:szCs w:val="26"/>
        </w:rPr>
      </w:pPr>
      <w:r w:rsidRPr="002E1E79">
        <w:rPr>
          <w:rFonts w:ascii="Book Antiqua" w:hAnsi="Book Antiqua"/>
          <w:szCs w:val="26"/>
        </w:rPr>
        <w:t>.</w:t>
      </w:r>
    </w:p>
    <w:p w14:paraId="129C11E9" w14:textId="43E71A4A" w:rsidR="001164FC" w:rsidRPr="002E1E79" w:rsidRDefault="000078C7" w:rsidP="00E14A04">
      <w:pPr>
        <w:pStyle w:val="ListParagraph"/>
        <w:widowControl w:val="0"/>
        <w:numPr>
          <w:ilvl w:val="0"/>
          <w:numId w:val="19"/>
        </w:numPr>
        <w:spacing w:after="0" w:line="360" w:lineRule="auto"/>
        <w:ind w:left="0" w:firstLine="540"/>
        <w:rPr>
          <w:szCs w:val="26"/>
        </w:rPr>
      </w:pPr>
      <w:r>
        <w:rPr>
          <w:szCs w:val="26"/>
        </w:rPr>
        <w:t xml:space="preserve">Pacific Gas and Electric Company (PG&amp;E)’s </w:t>
      </w:r>
      <w:r w:rsidR="001164FC" w:rsidRPr="002E1E79">
        <w:rPr>
          <w:rFonts w:cs="Helvetica"/>
          <w:szCs w:val="26"/>
        </w:rPr>
        <w:t xml:space="preserve">proposal to update the </w:t>
      </w:r>
      <w:r w:rsidR="00A235C7">
        <w:rPr>
          <w:rFonts w:cs="Helvetica"/>
          <w:szCs w:val="26"/>
        </w:rPr>
        <w:t>Core Brokerage Fee</w:t>
      </w:r>
      <w:r w:rsidR="001164FC" w:rsidRPr="002E1E79">
        <w:rPr>
          <w:rFonts w:cs="Helvetica"/>
          <w:szCs w:val="26"/>
        </w:rPr>
        <w:t xml:space="preserve"> based on </w:t>
      </w:r>
      <w:r w:rsidR="001164FC" w:rsidRPr="002E1E79">
        <w:rPr>
          <w:szCs w:val="26"/>
        </w:rPr>
        <w:t xml:space="preserve">an update of the Core Brokerage Fee study with recent information for the elements of the study is approved.  </w:t>
      </w:r>
      <w:r w:rsidR="001164FC" w:rsidRPr="002E1E79">
        <w:rPr>
          <w:rFonts w:cs="Helvetica"/>
          <w:szCs w:val="26"/>
        </w:rPr>
        <w:t xml:space="preserve">PG&amp;E shall update the </w:t>
      </w:r>
      <w:r w:rsidR="00A235C7">
        <w:rPr>
          <w:rFonts w:cs="Helvetica"/>
          <w:szCs w:val="26"/>
        </w:rPr>
        <w:t>Core Brokerage Fee</w:t>
      </w:r>
      <w:r w:rsidR="00C06731">
        <w:rPr>
          <w:rFonts w:cs="Helvetica"/>
          <w:szCs w:val="26"/>
        </w:rPr>
        <w:t xml:space="preserve"> </w:t>
      </w:r>
      <w:r w:rsidR="00DF7C82">
        <w:rPr>
          <w:rFonts w:cs="Helvetica"/>
          <w:szCs w:val="26"/>
        </w:rPr>
        <w:t xml:space="preserve">to </w:t>
      </w:r>
      <w:r w:rsidR="001164FC" w:rsidRPr="002E1E79">
        <w:rPr>
          <w:szCs w:val="26"/>
        </w:rPr>
        <w:t>$0.0249 per Dth</w:t>
      </w:r>
      <w:r w:rsidR="001164FC" w:rsidRPr="002E1E79">
        <w:rPr>
          <w:rFonts w:cs="Helvetica"/>
          <w:szCs w:val="26"/>
        </w:rPr>
        <w:t xml:space="preserve"> based on </w:t>
      </w:r>
      <w:r w:rsidR="001164FC" w:rsidRPr="002E1E79">
        <w:rPr>
          <w:szCs w:val="26"/>
        </w:rPr>
        <w:t>an update of the Core Brokerage Fee study.</w:t>
      </w:r>
    </w:p>
    <w:p w14:paraId="0867CA73" w14:textId="5A5C910B" w:rsidR="001164FC" w:rsidRPr="002E1E79" w:rsidRDefault="000078C7" w:rsidP="00E14A04">
      <w:pPr>
        <w:pStyle w:val="ListParagraph"/>
        <w:widowControl w:val="0"/>
        <w:numPr>
          <w:ilvl w:val="0"/>
          <w:numId w:val="19"/>
        </w:numPr>
        <w:spacing w:after="0" w:line="360" w:lineRule="auto"/>
        <w:ind w:left="0" w:firstLine="540"/>
        <w:rPr>
          <w:rFonts w:cs="Helvetica"/>
          <w:szCs w:val="26"/>
        </w:rPr>
      </w:pPr>
      <w:r>
        <w:rPr>
          <w:szCs w:val="26"/>
        </w:rPr>
        <w:t xml:space="preserve">Pacific Gas and Electric Company (PG&amp;E) </w:t>
      </w:r>
      <w:r w:rsidR="001164FC" w:rsidRPr="002E1E79">
        <w:rPr>
          <w:rFonts w:cs="Helvetica"/>
          <w:szCs w:val="26"/>
        </w:rPr>
        <w:t xml:space="preserve">shall update the master meter discount and the master meter discount diversity benefit adjustment in </w:t>
      </w:r>
      <w:r w:rsidR="001164FC" w:rsidRPr="002E1E79">
        <w:rPr>
          <w:szCs w:val="26"/>
        </w:rPr>
        <w:t xml:space="preserve">Schedule GS </w:t>
      </w:r>
      <w:r w:rsidR="00824BD5">
        <w:rPr>
          <w:szCs w:val="26"/>
        </w:rPr>
        <w:t xml:space="preserve">(Gas Storage) </w:t>
      </w:r>
      <w:r w:rsidR="001164FC" w:rsidRPr="002E1E79">
        <w:rPr>
          <w:szCs w:val="26"/>
        </w:rPr>
        <w:t xml:space="preserve">and GT </w:t>
      </w:r>
      <w:r w:rsidR="00824BD5">
        <w:rPr>
          <w:szCs w:val="26"/>
        </w:rPr>
        <w:t xml:space="preserve">(Gas Transmission) </w:t>
      </w:r>
      <w:r w:rsidR="00CD7607">
        <w:rPr>
          <w:szCs w:val="26"/>
        </w:rPr>
        <w:t xml:space="preserve">as directed in Section </w:t>
      </w:r>
      <w:r w:rsidR="0092138B">
        <w:rPr>
          <w:szCs w:val="26"/>
        </w:rPr>
        <w:t>4.8</w:t>
      </w:r>
      <w:r w:rsidR="00CD7607">
        <w:rPr>
          <w:szCs w:val="26"/>
        </w:rPr>
        <w:t xml:space="preserve"> of this decision. </w:t>
      </w:r>
    </w:p>
    <w:p w14:paraId="10CE571A" w14:textId="395E14EB" w:rsidR="001164FC" w:rsidRPr="002E1E79" w:rsidRDefault="000078C7" w:rsidP="00E14A04">
      <w:pPr>
        <w:pStyle w:val="ListParagraph"/>
        <w:keepNext/>
        <w:keepLines/>
        <w:numPr>
          <w:ilvl w:val="0"/>
          <w:numId w:val="19"/>
        </w:numPr>
        <w:spacing w:after="0" w:line="360" w:lineRule="auto"/>
        <w:ind w:left="0" w:firstLine="540"/>
        <w:rPr>
          <w:rFonts w:cs="Arial"/>
          <w:szCs w:val="26"/>
        </w:rPr>
      </w:pPr>
      <w:r>
        <w:rPr>
          <w:szCs w:val="26"/>
        </w:rPr>
        <w:t>Pacific Gas and Electric Company (PG&amp;E)</w:t>
      </w:r>
      <w:r w:rsidR="00F76951">
        <w:rPr>
          <w:szCs w:val="26"/>
        </w:rPr>
        <w:t xml:space="preserve"> </w:t>
      </w:r>
      <w:r w:rsidR="001164FC" w:rsidRPr="002E1E79">
        <w:rPr>
          <w:szCs w:val="26"/>
        </w:rPr>
        <w:t xml:space="preserve">shall implement the updated </w:t>
      </w:r>
      <w:r w:rsidR="001164FC" w:rsidRPr="002E1E79">
        <w:rPr>
          <w:spacing w:val="2"/>
          <w:szCs w:val="26"/>
        </w:rPr>
        <w:t>n</w:t>
      </w:r>
      <w:r w:rsidR="001164FC" w:rsidRPr="002E1E79">
        <w:rPr>
          <w:spacing w:val="-1"/>
          <w:szCs w:val="26"/>
        </w:rPr>
        <w:t>a</w:t>
      </w:r>
      <w:r w:rsidR="001164FC" w:rsidRPr="002E1E79">
        <w:rPr>
          <w:szCs w:val="26"/>
        </w:rPr>
        <w:t>tu</w:t>
      </w:r>
      <w:r w:rsidR="001164FC" w:rsidRPr="002E1E79">
        <w:rPr>
          <w:spacing w:val="-1"/>
          <w:szCs w:val="26"/>
        </w:rPr>
        <w:t>ra</w:t>
      </w:r>
      <w:r w:rsidR="001164FC" w:rsidRPr="002E1E79">
        <w:rPr>
          <w:szCs w:val="26"/>
        </w:rPr>
        <w:t>l</w:t>
      </w:r>
      <w:r w:rsidR="00CD7607">
        <w:rPr>
          <w:szCs w:val="26"/>
        </w:rPr>
        <w:t xml:space="preserve"> </w:t>
      </w:r>
      <w:r w:rsidR="001164FC" w:rsidRPr="002E1E79">
        <w:rPr>
          <w:spacing w:val="-2"/>
          <w:szCs w:val="26"/>
        </w:rPr>
        <w:t>g</w:t>
      </w:r>
      <w:r w:rsidR="001164FC" w:rsidRPr="002E1E79">
        <w:rPr>
          <w:spacing w:val="-1"/>
          <w:szCs w:val="26"/>
        </w:rPr>
        <w:t>a</w:t>
      </w:r>
      <w:r w:rsidR="001164FC" w:rsidRPr="002E1E79">
        <w:rPr>
          <w:szCs w:val="26"/>
        </w:rPr>
        <w:t>s v</w:t>
      </w:r>
      <w:r w:rsidR="001164FC" w:rsidRPr="002E1E79">
        <w:rPr>
          <w:spacing w:val="-1"/>
          <w:szCs w:val="26"/>
        </w:rPr>
        <w:t>e</w:t>
      </w:r>
      <w:r w:rsidR="001164FC" w:rsidRPr="002E1E79">
        <w:rPr>
          <w:szCs w:val="26"/>
        </w:rPr>
        <w:t>h</w:t>
      </w:r>
      <w:r w:rsidR="001164FC" w:rsidRPr="002E1E79">
        <w:rPr>
          <w:spacing w:val="3"/>
          <w:szCs w:val="26"/>
        </w:rPr>
        <w:t>i</w:t>
      </w:r>
      <w:r w:rsidR="001164FC" w:rsidRPr="002E1E79">
        <w:rPr>
          <w:spacing w:val="-1"/>
          <w:szCs w:val="26"/>
        </w:rPr>
        <w:t>c</w:t>
      </w:r>
      <w:r w:rsidR="001164FC" w:rsidRPr="002E1E79">
        <w:rPr>
          <w:szCs w:val="26"/>
        </w:rPr>
        <w:t>le</w:t>
      </w:r>
      <w:r w:rsidR="00CD7607">
        <w:rPr>
          <w:szCs w:val="26"/>
        </w:rPr>
        <w:t xml:space="preserve"> </w:t>
      </w:r>
      <w:r w:rsidR="001164FC" w:rsidRPr="002E1E79">
        <w:rPr>
          <w:rFonts w:cs="Helvetica"/>
          <w:szCs w:val="26"/>
        </w:rPr>
        <w:t xml:space="preserve">compression rate of </w:t>
      </w:r>
      <w:r w:rsidR="001164FC" w:rsidRPr="002E1E79">
        <w:rPr>
          <w:szCs w:val="26"/>
        </w:rPr>
        <w:t xml:space="preserve">$0.96 per therm.  </w:t>
      </w:r>
    </w:p>
    <w:p w14:paraId="56F03232" w14:textId="0D11FFAE" w:rsidR="001164FC" w:rsidRPr="00EC688C" w:rsidRDefault="000078C7" w:rsidP="00EC688C">
      <w:pPr>
        <w:pStyle w:val="standard"/>
        <w:numPr>
          <w:ilvl w:val="0"/>
          <w:numId w:val="19"/>
        </w:numPr>
        <w:ind w:firstLine="540"/>
        <w:rPr>
          <w:rFonts w:ascii="Book Antiqua" w:hAnsi="Book Antiqua" w:cs="Helvetica"/>
          <w:szCs w:val="26"/>
        </w:rPr>
      </w:pPr>
      <w:r>
        <w:rPr>
          <w:rFonts w:ascii="Book Antiqua" w:hAnsi="Book Antiqua"/>
          <w:szCs w:val="26"/>
        </w:rPr>
        <w:t xml:space="preserve">Pacific Gas and Electric Company </w:t>
      </w:r>
      <w:r w:rsidR="0092138B">
        <w:rPr>
          <w:rFonts w:ascii="Book Antiqua" w:hAnsi="Book Antiqua"/>
          <w:szCs w:val="26"/>
        </w:rPr>
        <w:t>shall</w:t>
      </w:r>
      <w:r>
        <w:rPr>
          <w:rFonts w:ascii="Book Antiqua" w:hAnsi="Book Antiqua"/>
          <w:szCs w:val="26"/>
        </w:rPr>
        <w:t xml:space="preserve"> </w:t>
      </w:r>
      <w:r w:rsidR="001164FC" w:rsidRPr="002E1E79">
        <w:rPr>
          <w:rFonts w:ascii="Book Antiqua" w:hAnsi="Book Antiqua" w:cs="Helvetica"/>
          <w:szCs w:val="26"/>
        </w:rPr>
        <w:t>allocat</w:t>
      </w:r>
      <w:r w:rsidR="0092138B">
        <w:rPr>
          <w:rFonts w:ascii="Book Antiqua" w:hAnsi="Book Antiqua" w:cs="Helvetica"/>
          <w:szCs w:val="26"/>
        </w:rPr>
        <w:t>e</w:t>
      </w:r>
      <w:r w:rsidR="001164FC" w:rsidRPr="002E1E79">
        <w:rPr>
          <w:rFonts w:ascii="Book Antiqua" w:hAnsi="Book Antiqua" w:cs="Helvetica"/>
          <w:szCs w:val="26"/>
        </w:rPr>
        <w:t xml:space="preserve"> </w:t>
      </w:r>
      <w:r w:rsidR="00C11EB7">
        <w:rPr>
          <w:rFonts w:ascii="Book Antiqua" w:hAnsi="Book Antiqua"/>
          <w:szCs w:val="26"/>
        </w:rPr>
        <w:t>E</w:t>
      </w:r>
      <w:r w:rsidR="00C11EB7" w:rsidRPr="00561FEE">
        <w:rPr>
          <w:rFonts w:ascii="Book Antiqua" w:hAnsi="Book Antiqua"/>
          <w:szCs w:val="26"/>
        </w:rPr>
        <w:t xml:space="preserve">nergy </w:t>
      </w:r>
      <w:r w:rsidR="00C11EB7">
        <w:rPr>
          <w:rFonts w:ascii="Book Antiqua" w:hAnsi="Book Antiqua"/>
          <w:szCs w:val="26"/>
        </w:rPr>
        <w:t>E</w:t>
      </w:r>
      <w:r w:rsidR="00C11EB7" w:rsidRPr="00561FEE">
        <w:rPr>
          <w:rFonts w:ascii="Book Antiqua" w:hAnsi="Book Antiqua"/>
          <w:szCs w:val="26"/>
        </w:rPr>
        <w:t>fficiency</w:t>
      </w:r>
      <w:r w:rsidR="00C11EB7">
        <w:rPr>
          <w:rFonts w:ascii="Book Antiqua" w:hAnsi="Book Antiqua"/>
          <w:szCs w:val="26"/>
        </w:rPr>
        <w:t xml:space="preserve"> </w:t>
      </w:r>
      <w:r w:rsidR="001164FC" w:rsidRPr="002E1E79">
        <w:rPr>
          <w:rFonts w:ascii="Book Antiqua" w:hAnsi="Book Antiqua" w:cs="Helvetica"/>
          <w:szCs w:val="26"/>
        </w:rPr>
        <w:t xml:space="preserve">program costs to customer classes </w:t>
      </w:r>
      <w:r w:rsidR="001164FC" w:rsidRPr="002E1E79">
        <w:rPr>
          <w:rFonts w:ascii="Book Antiqua" w:hAnsi="Book Antiqua"/>
          <w:szCs w:val="26"/>
        </w:rPr>
        <w:t>as follows: Residential Class (33.84%); Small Commercial (32.86%); Large Commercial (1.94%); Industrial Distribution (10.82%); and Industrial Transmission (20.54%)</w:t>
      </w:r>
      <w:r w:rsidR="00EC688C">
        <w:rPr>
          <w:rFonts w:ascii="Book Antiqua" w:hAnsi="Book Antiqua"/>
          <w:szCs w:val="26"/>
        </w:rPr>
        <w:t xml:space="preserve">, </w:t>
      </w:r>
      <w:r w:rsidR="00EC688C" w:rsidRPr="00EC688C">
        <w:rPr>
          <w:rFonts w:ascii="Book Antiqua" w:hAnsi="Book Antiqua"/>
          <w:szCs w:val="26"/>
        </w:rPr>
        <w:t>to be used to develop the weighted allocation to customer classes,</w:t>
      </w:r>
      <w:r w:rsidR="00EC688C" w:rsidRPr="006E5502">
        <w:rPr>
          <w:rFonts w:ascii="Book Antiqua" w:hAnsi="Book Antiqua"/>
          <w:szCs w:val="26"/>
        </w:rPr>
        <w:t xml:space="preserve"> consistent with Conclusion of Law 16</w:t>
      </w:r>
      <w:r w:rsidR="001164FC" w:rsidRPr="00EC688C">
        <w:rPr>
          <w:rFonts w:ascii="Book Antiqua" w:hAnsi="Book Antiqua"/>
          <w:szCs w:val="26"/>
        </w:rPr>
        <w:t xml:space="preserve"> </w:t>
      </w:r>
      <w:r w:rsidR="00EC688C">
        <w:rPr>
          <w:rFonts w:ascii="Book Antiqua" w:hAnsi="Book Antiqua"/>
          <w:szCs w:val="26"/>
        </w:rPr>
        <w:t>.</w:t>
      </w:r>
    </w:p>
    <w:p w14:paraId="5F8309AF" w14:textId="371253B3" w:rsidR="004435C4" w:rsidRPr="004435C4" w:rsidRDefault="009368CD" w:rsidP="00E14A04">
      <w:pPr>
        <w:pStyle w:val="standard"/>
        <w:numPr>
          <w:ilvl w:val="0"/>
          <w:numId w:val="19"/>
        </w:numPr>
        <w:ind w:firstLine="540"/>
        <w:rPr>
          <w:rFonts w:ascii="Book Antiqua" w:hAnsi="Book Antiqua"/>
          <w:szCs w:val="26"/>
        </w:rPr>
      </w:pPr>
      <w:r>
        <w:rPr>
          <w:rFonts w:ascii="Book Antiqua" w:hAnsi="Book Antiqua"/>
          <w:szCs w:val="26"/>
        </w:rPr>
        <w:t>A</w:t>
      </w:r>
      <w:r w:rsidR="001164FC" w:rsidRPr="002E1E79">
        <w:rPr>
          <w:rFonts w:ascii="Book Antiqua" w:hAnsi="Book Antiqua" w:cs="Helvetica"/>
          <w:szCs w:val="26"/>
        </w:rPr>
        <w:t xml:space="preserve">llocation of </w:t>
      </w:r>
      <w:r w:rsidR="00C11EB7" w:rsidRPr="00561FEE">
        <w:rPr>
          <w:rFonts w:ascii="Book Antiqua" w:hAnsi="Book Antiqua" w:cs="Helvetica"/>
          <w:szCs w:val="26"/>
        </w:rPr>
        <w:t xml:space="preserve">Energy Savings Assistance </w:t>
      </w:r>
      <w:r w:rsidR="001164FC" w:rsidRPr="002E1E79">
        <w:rPr>
          <w:rFonts w:ascii="Book Antiqua" w:hAnsi="Book Antiqua" w:cs="Helvetica"/>
          <w:szCs w:val="26"/>
        </w:rPr>
        <w:t xml:space="preserve">program costs </w:t>
      </w:r>
      <w:r>
        <w:rPr>
          <w:rFonts w:ascii="Book Antiqua" w:hAnsi="Book Antiqua" w:cs="Helvetica"/>
          <w:szCs w:val="26"/>
        </w:rPr>
        <w:t>shall be performed consistent with direction in</w:t>
      </w:r>
      <w:r w:rsidRPr="00196B50">
        <w:rPr>
          <w:rFonts w:ascii="Book Antiqua" w:hAnsi="Book Antiqua"/>
        </w:rPr>
        <w:t xml:space="preserve"> D.95-12-053.</w:t>
      </w:r>
    </w:p>
    <w:p w14:paraId="668F22F7" w14:textId="64B8BABD" w:rsidR="009368CD" w:rsidRPr="002C0A89" w:rsidRDefault="005E6A49" w:rsidP="002C0A89">
      <w:pPr>
        <w:pStyle w:val="standard"/>
        <w:numPr>
          <w:ilvl w:val="0"/>
          <w:numId w:val="19"/>
        </w:numPr>
        <w:ind w:firstLine="540"/>
        <w:rPr>
          <w:rFonts w:ascii="Book Antiqua" w:hAnsi="Book Antiqua"/>
          <w:szCs w:val="26"/>
        </w:rPr>
      </w:pPr>
      <w:r w:rsidRPr="005E6A49">
        <w:rPr>
          <w:rFonts w:ascii="Book Antiqua" w:hAnsi="Book Antiqua"/>
          <w:szCs w:val="26"/>
        </w:rPr>
        <w:lastRenderedPageBreak/>
        <w:t>Once the Gas Transmission and Storage</w:t>
      </w:r>
      <w:r w:rsidRPr="00C14789">
        <w:rPr>
          <w:rFonts w:ascii="Book Antiqua" w:hAnsi="Book Antiqua"/>
          <w:szCs w:val="26"/>
        </w:rPr>
        <w:t xml:space="preserve"> </w:t>
      </w:r>
      <w:r>
        <w:rPr>
          <w:rFonts w:ascii="Book Antiqua" w:hAnsi="Book Antiqua"/>
          <w:szCs w:val="26"/>
        </w:rPr>
        <w:t>(</w:t>
      </w:r>
      <w:r w:rsidRPr="00C14789">
        <w:rPr>
          <w:rFonts w:ascii="Book Antiqua" w:hAnsi="Book Antiqua"/>
          <w:szCs w:val="26"/>
        </w:rPr>
        <w:t>GT&amp;S</w:t>
      </w:r>
      <w:r>
        <w:rPr>
          <w:rFonts w:ascii="Book Antiqua" w:hAnsi="Book Antiqua"/>
          <w:szCs w:val="26"/>
        </w:rPr>
        <w:t xml:space="preserve">) </w:t>
      </w:r>
      <w:r w:rsidRPr="00C14789">
        <w:rPr>
          <w:rFonts w:ascii="Book Antiqua" w:hAnsi="Book Antiqua"/>
          <w:szCs w:val="26"/>
        </w:rPr>
        <w:t xml:space="preserve">decision in Application 17-11-007 has been implemented and this gas cost allocation and rate design Application (GCAP) has been decided, Pacific Gas and Electric Company shall file a Tier 2 advice letter to update and implement the residential and non-residential gas rates resulting from the direction in this decision.  The Tier 2 advice letter shall be filed within 60 days of approval of the Advice Letter implementing the GT&amp;S decision, or 60 days after approval of the GCAP, whichever comes later. </w:t>
      </w:r>
      <w:r>
        <w:rPr>
          <w:rFonts w:ascii="Book Antiqua" w:hAnsi="Book Antiqua"/>
          <w:szCs w:val="26"/>
        </w:rPr>
        <w:t xml:space="preserve"> </w:t>
      </w:r>
      <w:r w:rsidRPr="00C14789">
        <w:rPr>
          <w:rFonts w:ascii="Book Antiqua" w:hAnsi="Book Antiqua"/>
          <w:szCs w:val="26"/>
        </w:rPr>
        <w:t xml:space="preserve">Once the </w:t>
      </w:r>
      <w:r>
        <w:rPr>
          <w:rFonts w:ascii="Book Antiqua" w:hAnsi="Book Antiqua"/>
          <w:szCs w:val="26"/>
        </w:rPr>
        <w:t>T</w:t>
      </w:r>
      <w:r w:rsidRPr="00C14789">
        <w:rPr>
          <w:rFonts w:ascii="Book Antiqua" w:hAnsi="Book Antiqua"/>
          <w:szCs w:val="26"/>
        </w:rPr>
        <w:t>ier 2 advice letter is approved, PG&amp;E shall implement GCAP rates no later than the 2nd month following the approval of the Tier 2 advice letter.</w:t>
      </w:r>
    </w:p>
    <w:p w14:paraId="751553A3" w14:textId="5F5E97D3" w:rsidR="001164FC" w:rsidRPr="00B32541" w:rsidRDefault="00C53DDE" w:rsidP="00E14A04">
      <w:pPr>
        <w:pStyle w:val="standard"/>
        <w:numPr>
          <w:ilvl w:val="0"/>
          <w:numId w:val="19"/>
        </w:numPr>
        <w:ind w:firstLine="540"/>
        <w:rPr>
          <w:rFonts w:ascii="Book Antiqua" w:hAnsi="Book Antiqua" w:cs="Helvetica"/>
          <w:szCs w:val="26"/>
        </w:rPr>
      </w:pPr>
      <w:r>
        <w:rPr>
          <w:rFonts w:ascii="Book Antiqua" w:hAnsi="Book Antiqua"/>
          <w:szCs w:val="26"/>
        </w:rPr>
        <w:t xml:space="preserve">Pacific Gas and Electric Company (PG&amp;E)’s </w:t>
      </w:r>
      <w:r w:rsidR="001164FC" w:rsidRPr="00B32541">
        <w:rPr>
          <w:rFonts w:ascii="Book Antiqua" w:hAnsi="Book Antiqua"/>
          <w:szCs w:val="26"/>
        </w:rPr>
        <w:t xml:space="preserve">proposal for a </w:t>
      </w:r>
      <w:r w:rsidR="00386709" w:rsidRPr="00B32541">
        <w:rPr>
          <w:rFonts w:ascii="Book Antiqua" w:hAnsi="Book Antiqua"/>
          <w:szCs w:val="26"/>
        </w:rPr>
        <w:t>three</w:t>
      </w:r>
      <w:r w:rsidR="00CD7607">
        <w:rPr>
          <w:rFonts w:ascii="Book Antiqua" w:hAnsi="Book Antiqua"/>
          <w:szCs w:val="26"/>
        </w:rPr>
        <w:t xml:space="preserve"> </w:t>
      </w:r>
      <w:r w:rsidR="00386709" w:rsidRPr="00B32541">
        <w:rPr>
          <w:rFonts w:ascii="Book Antiqua" w:hAnsi="Book Antiqua"/>
          <w:szCs w:val="26"/>
        </w:rPr>
        <w:t>to</w:t>
      </w:r>
      <w:r w:rsidR="00CD7607">
        <w:rPr>
          <w:rFonts w:ascii="Book Antiqua" w:hAnsi="Book Antiqua"/>
          <w:szCs w:val="26"/>
        </w:rPr>
        <w:t xml:space="preserve"> </w:t>
      </w:r>
      <w:r w:rsidR="00386709" w:rsidRPr="00B32541">
        <w:rPr>
          <w:rFonts w:ascii="Book Antiqua" w:hAnsi="Book Antiqua"/>
          <w:szCs w:val="26"/>
        </w:rPr>
        <w:t>five</w:t>
      </w:r>
      <w:r w:rsidR="00386709">
        <w:rPr>
          <w:rFonts w:ascii="Book Antiqua" w:hAnsi="Book Antiqua"/>
          <w:szCs w:val="26"/>
        </w:rPr>
        <w:t>-y</w:t>
      </w:r>
      <w:r w:rsidR="00386709" w:rsidRPr="00B32541">
        <w:rPr>
          <w:rFonts w:ascii="Book Antiqua" w:hAnsi="Book Antiqua"/>
          <w:szCs w:val="26"/>
        </w:rPr>
        <w:t>ear</w:t>
      </w:r>
      <w:r w:rsidR="00CD7607">
        <w:rPr>
          <w:rFonts w:ascii="Book Antiqua" w:hAnsi="Book Antiqua"/>
          <w:szCs w:val="26"/>
        </w:rPr>
        <w:t xml:space="preserve"> </w:t>
      </w:r>
      <w:r w:rsidR="001164FC" w:rsidRPr="00B32541">
        <w:rPr>
          <w:rFonts w:ascii="Book Antiqua" w:hAnsi="Book Antiqua"/>
          <w:szCs w:val="26"/>
        </w:rPr>
        <w:t xml:space="preserve">cycle for filing future </w:t>
      </w:r>
      <w:r w:rsidR="00C513C7" w:rsidRPr="00B32541">
        <w:rPr>
          <w:rFonts w:ascii="Book Antiqua" w:hAnsi="Book Antiqua"/>
          <w:szCs w:val="26"/>
        </w:rPr>
        <w:t xml:space="preserve">gas cost allocation and rate design </w:t>
      </w:r>
      <w:r w:rsidR="00B21222">
        <w:rPr>
          <w:rFonts w:ascii="Book Antiqua" w:hAnsi="Book Antiqua"/>
          <w:szCs w:val="26"/>
        </w:rPr>
        <w:t>(</w:t>
      </w:r>
      <w:r w:rsidR="001164FC" w:rsidRPr="00B32541">
        <w:rPr>
          <w:rFonts w:ascii="Book Antiqua" w:hAnsi="Book Antiqua"/>
          <w:szCs w:val="26"/>
        </w:rPr>
        <w:t>GCAP</w:t>
      </w:r>
      <w:r w:rsidR="00B21222">
        <w:rPr>
          <w:rFonts w:ascii="Book Antiqua" w:hAnsi="Book Antiqua"/>
          <w:szCs w:val="26"/>
        </w:rPr>
        <w:t>)</w:t>
      </w:r>
      <w:r w:rsidR="001164FC" w:rsidRPr="00B32541">
        <w:rPr>
          <w:rFonts w:ascii="Book Antiqua" w:hAnsi="Book Antiqua"/>
          <w:szCs w:val="26"/>
        </w:rPr>
        <w:t xml:space="preserve"> applications is adopted, and PG&amp;E shall file future GCAP</w:t>
      </w:r>
      <w:r w:rsidR="00C06731">
        <w:rPr>
          <w:rFonts w:ascii="Book Antiqua" w:hAnsi="Book Antiqua"/>
          <w:szCs w:val="26"/>
        </w:rPr>
        <w:t xml:space="preserve"> </w:t>
      </w:r>
      <w:r w:rsidR="005D2F70" w:rsidRPr="00B32541">
        <w:rPr>
          <w:rFonts w:ascii="Book Antiqua" w:hAnsi="Book Antiqua"/>
          <w:szCs w:val="26"/>
        </w:rPr>
        <w:t>application</w:t>
      </w:r>
      <w:r w:rsidR="005D2F70">
        <w:rPr>
          <w:rFonts w:ascii="Book Antiqua" w:hAnsi="Book Antiqua"/>
          <w:szCs w:val="26"/>
        </w:rPr>
        <w:t>s</w:t>
      </w:r>
      <w:r w:rsidR="00C06731">
        <w:rPr>
          <w:rFonts w:ascii="Book Antiqua" w:hAnsi="Book Antiqua"/>
          <w:szCs w:val="26"/>
        </w:rPr>
        <w:t xml:space="preserve"> </w:t>
      </w:r>
      <w:r w:rsidR="001164FC" w:rsidRPr="00B32541">
        <w:rPr>
          <w:rFonts w:ascii="Book Antiqua" w:hAnsi="Book Antiqua"/>
          <w:szCs w:val="26"/>
        </w:rPr>
        <w:t xml:space="preserve">in </w:t>
      </w:r>
      <w:r w:rsidR="00B32541" w:rsidRPr="00B32541">
        <w:rPr>
          <w:rFonts w:ascii="Book Antiqua" w:hAnsi="Book Antiqua"/>
          <w:szCs w:val="26"/>
        </w:rPr>
        <w:t>three</w:t>
      </w:r>
      <w:r w:rsidR="00C06731">
        <w:rPr>
          <w:rFonts w:ascii="Book Antiqua" w:hAnsi="Book Antiqua"/>
          <w:szCs w:val="26"/>
        </w:rPr>
        <w:t xml:space="preserve"> </w:t>
      </w:r>
      <w:r w:rsidR="00B32541" w:rsidRPr="00B32541">
        <w:rPr>
          <w:rFonts w:ascii="Book Antiqua" w:hAnsi="Book Antiqua"/>
          <w:szCs w:val="26"/>
        </w:rPr>
        <w:t>to</w:t>
      </w:r>
      <w:r w:rsidR="00C06731">
        <w:rPr>
          <w:rFonts w:ascii="Book Antiqua" w:hAnsi="Book Antiqua"/>
          <w:szCs w:val="26"/>
        </w:rPr>
        <w:t xml:space="preserve"> </w:t>
      </w:r>
      <w:r w:rsidR="00B32541" w:rsidRPr="00B32541">
        <w:rPr>
          <w:rFonts w:ascii="Book Antiqua" w:hAnsi="Book Antiqua"/>
          <w:szCs w:val="26"/>
        </w:rPr>
        <w:t>five</w:t>
      </w:r>
      <w:r w:rsidR="003F5DE3">
        <w:rPr>
          <w:rFonts w:ascii="Book Antiqua" w:hAnsi="Book Antiqua"/>
          <w:szCs w:val="26"/>
        </w:rPr>
        <w:t>-y</w:t>
      </w:r>
      <w:r w:rsidR="00B32541" w:rsidRPr="00B32541">
        <w:rPr>
          <w:rFonts w:ascii="Book Antiqua" w:hAnsi="Book Antiqua"/>
          <w:szCs w:val="26"/>
        </w:rPr>
        <w:t xml:space="preserve">ear </w:t>
      </w:r>
      <w:r w:rsidR="001164FC" w:rsidRPr="00B32541">
        <w:rPr>
          <w:rFonts w:ascii="Book Antiqua" w:hAnsi="Book Antiqua"/>
          <w:szCs w:val="26"/>
        </w:rPr>
        <w:t xml:space="preserve">cycles.  At least six months before any planned GCAP filing, PG&amp;E shall provide notice to the Commission of the planned GCAP filing and inform the Commission whether the planned GCAP filing will be timely or delayed. </w:t>
      </w:r>
    </w:p>
    <w:p w14:paraId="4E3696BD" w14:textId="77777777" w:rsidR="001164FC" w:rsidRPr="002E1E79" w:rsidRDefault="001164FC" w:rsidP="00E14A04">
      <w:pPr>
        <w:pStyle w:val="num1"/>
        <w:keepNext/>
        <w:keepLines/>
        <w:numPr>
          <w:ilvl w:val="0"/>
          <w:numId w:val="19"/>
        </w:numPr>
        <w:ind w:firstLine="540"/>
        <w:rPr>
          <w:rFonts w:ascii="Book Antiqua" w:hAnsi="Book Antiqua"/>
          <w:szCs w:val="26"/>
        </w:rPr>
      </w:pPr>
      <w:r w:rsidRPr="002E1E79">
        <w:rPr>
          <w:rFonts w:ascii="Book Antiqua" w:hAnsi="Book Antiqua"/>
          <w:szCs w:val="26"/>
        </w:rPr>
        <w:t>Application 17-09-006 is closed</w:t>
      </w:r>
    </w:p>
    <w:p w14:paraId="1F41BAB0" w14:textId="77777777" w:rsidR="001164FC" w:rsidRPr="002E1E79" w:rsidRDefault="001164FC" w:rsidP="00E14A04">
      <w:pPr>
        <w:pStyle w:val="standard"/>
        <w:ind w:firstLine="990"/>
        <w:rPr>
          <w:rFonts w:ascii="Book Antiqua" w:hAnsi="Book Antiqua"/>
          <w:szCs w:val="26"/>
        </w:rPr>
      </w:pPr>
      <w:r w:rsidRPr="002E1E79">
        <w:rPr>
          <w:rFonts w:ascii="Book Antiqua" w:hAnsi="Book Antiqua"/>
          <w:szCs w:val="26"/>
        </w:rPr>
        <w:t>This order is effective today.</w:t>
      </w:r>
    </w:p>
    <w:p w14:paraId="37A3A63D" w14:textId="6B70FB18" w:rsidR="001164FC" w:rsidRPr="002E1E79" w:rsidRDefault="001164FC" w:rsidP="00E14A04">
      <w:pPr>
        <w:pStyle w:val="standard"/>
        <w:tabs>
          <w:tab w:val="left" w:pos="5040"/>
        </w:tabs>
        <w:ind w:firstLine="990"/>
        <w:rPr>
          <w:rFonts w:ascii="Book Antiqua" w:hAnsi="Book Antiqua"/>
          <w:szCs w:val="26"/>
        </w:rPr>
      </w:pPr>
      <w:r w:rsidRPr="002E1E79">
        <w:rPr>
          <w:rFonts w:ascii="Book Antiqua" w:hAnsi="Book Antiqua"/>
          <w:szCs w:val="26"/>
        </w:rPr>
        <w:t xml:space="preserve">Dated </w:t>
      </w:r>
      <w:r w:rsidRPr="002E1E79">
        <w:rPr>
          <w:rFonts w:ascii="Book Antiqua" w:hAnsi="Book Antiqua"/>
          <w:szCs w:val="26"/>
          <w:u w:val="single"/>
        </w:rPr>
        <w:tab/>
      </w:r>
      <w:r w:rsidRPr="002E1E79">
        <w:rPr>
          <w:rFonts w:ascii="Book Antiqua" w:hAnsi="Book Antiqua"/>
          <w:szCs w:val="26"/>
        </w:rPr>
        <w:t xml:space="preserve">, at </w:t>
      </w:r>
      <w:r w:rsidR="00507C9B">
        <w:rPr>
          <w:rFonts w:ascii="Book Antiqua" w:hAnsi="Book Antiqua"/>
          <w:szCs w:val="26"/>
        </w:rPr>
        <w:t>Redding</w:t>
      </w:r>
      <w:r w:rsidRPr="002E1E79">
        <w:rPr>
          <w:rFonts w:ascii="Book Antiqua" w:hAnsi="Book Antiqua"/>
          <w:szCs w:val="26"/>
        </w:rPr>
        <w:t xml:space="preserve">, California. </w:t>
      </w:r>
    </w:p>
    <w:sectPr w:rsidR="001164FC" w:rsidRPr="002E1E79" w:rsidSect="0069001E">
      <w:headerReference w:type="first" r:id="rId17"/>
      <w:footerReference w:type="first" r:id="rId18"/>
      <w:pgSz w:w="12240" w:h="15840" w:code="1"/>
      <w:pgMar w:top="1440"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487A7" w14:textId="77777777" w:rsidR="00AA1AA7" w:rsidRDefault="00AA1AA7" w:rsidP="008F5856">
      <w:r>
        <w:separator/>
      </w:r>
    </w:p>
  </w:endnote>
  <w:endnote w:type="continuationSeparator" w:id="0">
    <w:p w14:paraId="7AD4050A" w14:textId="77777777" w:rsidR="00AA1AA7" w:rsidRDefault="00AA1AA7" w:rsidP="008F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Segoe UI">
    <w:altName w:val="Calibr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BookAntiqua">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7F08A" w14:textId="7BE70462" w:rsidR="00083DA2" w:rsidRDefault="0077278C" w:rsidP="00C43634">
    <w:pPr>
      <w:pStyle w:val="Footer"/>
      <w:ind w:left="1080"/>
      <w:jc w:val="center"/>
    </w:pPr>
    <w:sdt>
      <w:sdtPr>
        <w:id w:val="896403853"/>
        <w:docPartObj>
          <w:docPartGallery w:val="Page Numbers (Bottom of Page)"/>
          <w:docPartUnique/>
        </w:docPartObj>
      </w:sdtPr>
      <w:sdtEndPr>
        <w:rPr>
          <w:noProof/>
        </w:rPr>
      </w:sdtEndPr>
      <w:sdtContent>
        <w:r w:rsidR="00083DA2">
          <w:fldChar w:fldCharType="begin"/>
        </w:r>
        <w:r w:rsidR="00083DA2">
          <w:instrText xml:space="preserve"> PAGE   \* MERGEFORMAT </w:instrText>
        </w:r>
        <w:r w:rsidR="00083DA2">
          <w:fldChar w:fldCharType="separate"/>
        </w:r>
        <w:r>
          <w:rPr>
            <w:noProof/>
          </w:rPr>
          <w:t>82</w:t>
        </w:r>
        <w:r w:rsidR="00083DA2">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F958F" w14:textId="788ED08A" w:rsidR="00083DA2" w:rsidRPr="00C43634" w:rsidRDefault="0002088B" w:rsidP="00C43634">
    <w:pPr>
      <w:pStyle w:val="Footer"/>
    </w:pPr>
    <w:r>
      <w:rPr>
        <w:rFonts w:ascii="Tahoma" w:hAnsi="Tahoma" w:cs="Tahoma"/>
        <w:sz w:val="17"/>
        <w:szCs w:val="17"/>
      </w:rPr>
      <w:t>317589057</w:t>
    </w:r>
    <w:r w:rsidR="00083DA2">
      <w:tab/>
      <w:t xml:space="preserve">- </w:t>
    </w:r>
    <w:r w:rsidR="00083DA2">
      <w:fldChar w:fldCharType="begin"/>
    </w:r>
    <w:r w:rsidR="00083DA2">
      <w:instrText xml:space="preserve"> PAGE   \* MERGEFORMAT </w:instrText>
    </w:r>
    <w:r w:rsidR="00083DA2">
      <w:fldChar w:fldCharType="separate"/>
    </w:r>
    <w:r w:rsidR="0077278C">
      <w:rPr>
        <w:noProof/>
      </w:rPr>
      <w:t>1</w:t>
    </w:r>
    <w:r w:rsidR="00083DA2">
      <w:rPr>
        <w:noProof/>
      </w:rPr>
      <w:fldChar w:fldCharType="end"/>
    </w:r>
    <w:r w:rsidR="00083DA2">
      <w:rPr>
        <w:noProof/>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05330" w14:textId="78C2124A" w:rsidR="00083DA2" w:rsidRPr="009C42F8" w:rsidRDefault="00083DA2" w:rsidP="001B701E">
    <w:pPr>
      <w:pStyle w:val="Footer"/>
      <w:jc w:val="center"/>
    </w:pPr>
    <w:r>
      <w:fldChar w:fldCharType="begin"/>
    </w:r>
    <w:r>
      <w:instrText xml:space="preserve"> PAGE   \* MERGEFORMAT </w:instrText>
    </w:r>
    <w:r>
      <w:fldChar w:fldCharType="separate"/>
    </w:r>
    <w:r w:rsidR="0077278C">
      <w:rPr>
        <w:noProof/>
      </w:rPr>
      <w:t>i</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DDBFD" w14:textId="3E7286C1" w:rsidR="00083DA2" w:rsidRPr="009C42F8" w:rsidRDefault="00083DA2" w:rsidP="003146BF">
    <w:pPr>
      <w:pStyle w:val="Footer"/>
      <w:jc w:val="center"/>
    </w:pPr>
    <w:r>
      <w:fldChar w:fldCharType="begin"/>
    </w:r>
    <w:r>
      <w:instrText xml:space="preserve"> PAGE   \* MERGEFORMAT </w:instrText>
    </w:r>
    <w:r>
      <w:fldChar w:fldCharType="separate"/>
    </w:r>
    <w:r w:rsidR="0077278C">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6848F" w14:textId="77777777" w:rsidR="00AA1AA7" w:rsidRDefault="00AA1AA7" w:rsidP="008F5856">
      <w:r>
        <w:separator/>
      </w:r>
    </w:p>
  </w:footnote>
  <w:footnote w:type="continuationSeparator" w:id="0">
    <w:p w14:paraId="7BABFB30" w14:textId="77777777" w:rsidR="00AA1AA7" w:rsidRDefault="00AA1AA7" w:rsidP="008F5856">
      <w:r>
        <w:continuationSeparator/>
      </w:r>
    </w:p>
  </w:footnote>
  <w:footnote w:id="1">
    <w:p w14:paraId="7FA5414B" w14:textId="77777777" w:rsidR="00083DA2" w:rsidRPr="003D2091" w:rsidRDefault="00083DA2" w:rsidP="003D2091">
      <w:pPr>
        <w:pStyle w:val="FootnoteText"/>
        <w:widowControl w:val="0"/>
        <w:spacing w:before="120"/>
      </w:pPr>
      <w:r w:rsidRPr="003D2091">
        <w:rPr>
          <w:rStyle w:val="FootnoteReference"/>
        </w:rPr>
        <w:footnoteRef/>
      </w:r>
      <w:r w:rsidRPr="003D2091">
        <w:t xml:space="preserve">  All statutory references are to the California Public Utilities Code, unless otherwise indicated. </w:t>
      </w:r>
    </w:p>
  </w:footnote>
  <w:footnote w:id="2">
    <w:p w14:paraId="01C6D01D" w14:textId="77777777" w:rsidR="00083DA2" w:rsidRPr="003D2091" w:rsidRDefault="00083DA2" w:rsidP="003D2091">
      <w:pPr>
        <w:pStyle w:val="FootnoteText"/>
        <w:widowControl w:val="0"/>
        <w:spacing w:before="120"/>
      </w:pPr>
      <w:r w:rsidRPr="003D2091">
        <w:rPr>
          <w:rStyle w:val="FootnoteReference"/>
          <w:color w:val="000000" w:themeColor="text1"/>
        </w:rPr>
        <w:footnoteRef/>
      </w:r>
      <w:r w:rsidRPr="003D2091">
        <w:t>F</w:t>
      </w:r>
      <w:r w:rsidRPr="001D215C">
        <w:rPr>
          <w:rFonts w:eastAsia="Book Antiqua" w:cs="Book Antiqua"/>
        </w:rPr>
        <w:t xml:space="preserve">ormerly, the Commission’s Office of Ratepayer Advocates (ORA). </w:t>
      </w:r>
      <w:r w:rsidRPr="001D215C">
        <w:t xml:space="preserve">Senate Bill 854 (Stats. 2018, ch. 51) amended Pub. Util. Code Section 309.5(a) renaming the Office of Ratepayer Advocates to “the Public Advocate’s Office of the Public Utilities Commission”. We will refer to this party as </w:t>
      </w:r>
      <w:r w:rsidRPr="003D2091">
        <w:rPr>
          <w:b/>
        </w:rPr>
        <w:t>Cal Advocates</w:t>
      </w:r>
      <w:r w:rsidRPr="003D2091">
        <w:t xml:space="preserve">.  </w:t>
      </w:r>
      <w:r w:rsidRPr="00431F1E">
        <w:t>However</w:t>
      </w:r>
      <w:r w:rsidRPr="001D215C">
        <w:t xml:space="preserve">, any </w:t>
      </w:r>
      <w:r w:rsidRPr="001D215C">
        <w:rPr>
          <w:color w:val="000000"/>
        </w:rPr>
        <w:t>Exhibit that was offe</w:t>
      </w:r>
      <w:r w:rsidRPr="003D2091">
        <w:rPr>
          <w:color w:val="000000"/>
        </w:rPr>
        <w:t xml:space="preserve">red by, and/or admitted for ORA/Cal Advocates </w:t>
      </w:r>
      <w:r w:rsidRPr="003D2091">
        <w:t>in this proceeding</w:t>
      </w:r>
      <w:r w:rsidRPr="003D2091">
        <w:rPr>
          <w:color w:val="000000"/>
        </w:rPr>
        <w:t xml:space="preserve"> (prior to the name change) will continue to be identified in this </w:t>
      </w:r>
      <w:r w:rsidRPr="003D2091">
        <w:t>record as</w:t>
      </w:r>
      <w:r w:rsidRPr="003D2091">
        <w:rPr>
          <w:color w:val="000000"/>
        </w:rPr>
        <w:t xml:space="preserve">  “</w:t>
      </w:r>
      <w:r w:rsidRPr="003D2091">
        <w:rPr>
          <w:rFonts w:cs="TimesNewRomanPSMT"/>
          <w:b/>
        </w:rPr>
        <w:t>ORA</w:t>
      </w:r>
      <w:r w:rsidRPr="003D2091">
        <w:rPr>
          <w:rFonts w:cs="TimesNewRomanPSMT"/>
        </w:rPr>
        <w:t xml:space="preserve"> Exhibit”</w:t>
      </w:r>
      <w:r w:rsidRPr="003D2091">
        <w:rPr>
          <w:color w:val="000000" w:themeColor="text1"/>
        </w:rPr>
        <w:t> </w:t>
      </w:r>
    </w:p>
  </w:footnote>
  <w:footnote w:id="3">
    <w:p w14:paraId="5317C321" w14:textId="77777777" w:rsidR="00083DA2" w:rsidRPr="001D215C" w:rsidRDefault="00083DA2" w:rsidP="001D215C">
      <w:pPr>
        <w:pStyle w:val="FootnoteText"/>
        <w:widowControl w:val="0"/>
        <w:spacing w:before="120"/>
      </w:pPr>
      <w:r w:rsidRPr="003D2091">
        <w:rPr>
          <w:rStyle w:val="FootnoteReference"/>
        </w:rPr>
        <w:footnoteRef/>
      </w:r>
      <w:r w:rsidRPr="003D2091">
        <w:rPr>
          <w:i/>
        </w:rPr>
        <w:t>See</w:t>
      </w:r>
      <w:r w:rsidRPr="001D215C">
        <w:t xml:space="preserve"> the January 26, 2018 Scoping Memo, at 1 (Summary).</w:t>
      </w:r>
    </w:p>
  </w:footnote>
  <w:footnote w:id="4">
    <w:p w14:paraId="597B9B29" w14:textId="77777777" w:rsidR="00083DA2" w:rsidRPr="003D2091" w:rsidRDefault="00083DA2" w:rsidP="00431F1E">
      <w:pPr>
        <w:pStyle w:val="FootnoteText"/>
        <w:widowControl w:val="0"/>
        <w:spacing w:before="120"/>
      </w:pPr>
      <w:r w:rsidRPr="003D2091">
        <w:rPr>
          <w:rStyle w:val="FootnoteReference"/>
        </w:rPr>
        <w:footnoteRef/>
      </w:r>
      <w:r w:rsidRPr="003D2091">
        <w:t xml:space="preserve"> See </w:t>
      </w:r>
      <w:r w:rsidRPr="001D215C">
        <w:t>Stats. 2017, Ch. 467.   Among others, SB 711 requires the Commission to make efforts to minimize bill volatility for residential customers</w:t>
      </w:r>
      <w:r w:rsidRPr="003D2091">
        <w:t xml:space="preserve"> and authorizes the Commission to do this, either by modifying the length of baseline seasons or defining additional baseline seasons.</w:t>
      </w:r>
      <w:r>
        <w:t xml:space="preserve">  </w:t>
      </w:r>
      <w:r w:rsidRPr="003D2091">
        <w:t xml:space="preserve">Per SB 711, the Commission may </w:t>
      </w:r>
      <w:r w:rsidRPr="003D2091">
        <w:rPr>
          <w:color w:val="000000" w:themeColor="text1"/>
          <w:bdr w:val="none" w:sz="0" w:space="0" w:color="auto" w:frame="1"/>
        </w:rPr>
        <w:t xml:space="preserve">review and/or revise (“restructure”) the </w:t>
      </w:r>
      <w:r w:rsidRPr="003D2091">
        <w:t>baseline season during a utility’s general rate case or other ratesetting proceeding.</w:t>
      </w:r>
    </w:p>
  </w:footnote>
  <w:footnote w:id="5">
    <w:p w14:paraId="6F35A950" w14:textId="0F404F6A" w:rsidR="00083DA2" w:rsidRPr="001D215C" w:rsidRDefault="00083DA2" w:rsidP="003D2091">
      <w:pPr>
        <w:pStyle w:val="FootnoteText"/>
        <w:widowControl w:val="0"/>
        <w:spacing w:before="120"/>
      </w:pPr>
      <w:r w:rsidRPr="003D2091">
        <w:rPr>
          <w:rStyle w:val="FootnoteReference"/>
        </w:rPr>
        <w:footnoteRef/>
      </w:r>
      <w:r w:rsidRPr="003D2091">
        <w:t xml:space="preserve"> PG&amp;E’</w:t>
      </w:r>
      <w:r>
        <w:t>s</w:t>
      </w:r>
      <w:r w:rsidRPr="003D2091">
        <w:t xml:space="preserve"> Opening Brief at 59.</w:t>
      </w:r>
    </w:p>
  </w:footnote>
  <w:footnote w:id="6">
    <w:p w14:paraId="78AD64F6" w14:textId="4AF35C55" w:rsidR="00083DA2" w:rsidRPr="003D2091" w:rsidRDefault="00083DA2" w:rsidP="003D2091">
      <w:pPr>
        <w:pStyle w:val="FootnoteText"/>
        <w:widowControl w:val="0"/>
        <w:spacing w:before="120"/>
      </w:pPr>
      <w:r w:rsidRPr="003D2091">
        <w:rPr>
          <w:rStyle w:val="FootnoteReference"/>
        </w:rPr>
        <w:footnoteRef/>
      </w:r>
      <w:r w:rsidRPr="003D2091">
        <w:t xml:space="preserve"> PG&amp;E recommends that the Commission direct TURN to raise its working cash issue in PG&amp;E’s next General Rate Case, Phase I, (GRC I), where working cash is litigated.</w:t>
      </w:r>
    </w:p>
  </w:footnote>
  <w:footnote w:id="7">
    <w:p w14:paraId="2F0717CC" w14:textId="77777777" w:rsidR="00083DA2" w:rsidRPr="003D2091" w:rsidRDefault="00083DA2" w:rsidP="00431F1E">
      <w:pPr>
        <w:pStyle w:val="FootnoteText"/>
        <w:widowControl w:val="0"/>
        <w:spacing w:before="120"/>
      </w:pPr>
      <w:r w:rsidRPr="003D2091">
        <w:rPr>
          <w:rStyle w:val="FootnoteReference"/>
        </w:rPr>
        <w:footnoteRef/>
      </w:r>
      <w:r w:rsidRPr="003D2091">
        <w:t xml:space="preserve"> As offered by PG&amp;E in its Opening Brief (at 59), </w:t>
      </w:r>
      <w:r w:rsidRPr="001D215C">
        <w:t>t</w:t>
      </w:r>
      <w:r w:rsidRPr="00431F1E">
        <w:t xml:space="preserve">he SGIP compliance filing originally occurred on May 18, 2018, but was subsequently revised for an error in the electric tables.  On July 13, 2018, PG&amp;E refiled and reserved the compliance filing with the title “Amended Proposal of Pacific Gas and Electric Company (U 39 G) For Self-Generation Incentive Program (SGIP) Cost Allocation Pursuant to Resolution E-4926 In Phase II Of Its 2017 General Rate Case.”  </w:t>
      </w:r>
    </w:p>
  </w:footnote>
  <w:footnote w:id="8">
    <w:p w14:paraId="3965D7FD" w14:textId="22D01468" w:rsidR="00083DA2" w:rsidRPr="001D215C" w:rsidRDefault="00083DA2" w:rsidP="001D215C">
      <w:pPr>
        <w:pStyle w:val="FootnoteText"/>
        <w:widowControl w:val="0"/>
        <w:spacing w:before="120"/>
      </w:pPr>
      <w:r w:rsidRPr="003D2091">
        <w:rPr>
          <w:rStyle w:val="FootnoteReference"/>
        </w:rPr>
        <w:footnoteRef/>
      </w:r>
      <w:r>
        <w:rPr>
          <w:i/>
          <w:iCs/>
        </w:rPr>
        <w:t xml:space="preserve"> </w:t>
      </w:r>
      <w:r w:rsidRPr="001D215C">
        <w:rPr>
          <w:i/>
          <w:iCs/>
        </w:rPr>
        <w:t xml:space="preserve">See </w:t>
      </w:r>
      <w:r w:rsidRPr="001D215C">
        <w:t>Cal Advocates’ Opening Brief at 3-4.</w:t>
      </w:r>
    </w:p>
  </w:footnote>
  <w:footnote w:id="9">
    <w:p w14:paraId="131BE798" w14:textId="77777777" w:rsidR="00083DA2" w:rsidRPr="001D215C" w:rsidRDefault="00083DA2" w:rsidP="001D215C">
      <w:pPr>
        <w:pStyle w:val="FootnoteText"/>
        <w:widowControl w:val="0"/>
        <w:spacing w:before="120"/>
      </w:pPr>
      <w:r w:rsidRPr="003D2091">
        <w:rPr>
          <w:rStyle w:val="FootnoteReference"/>
        </w:rPr>
        <w:footnoteRef/>
      </w:r>
      <w:r w:rsidRPr="001D215C">
        <w:t xml:space="preserve"> Mdth/D, thousand decatherms/day.</w:t>
      </w:r>
    </w:p>
  </w:footnote>
  <w:footnote w:id="10">
    <w:p w14:paraId="30906E2A" w14:textId="77777777" w:rsidR="00083DA2" w:rsidRPr="003D2091" w:rsidRDefault="00083DA2" w:rsidP="001D215C">
      <w:pPr>
        <w:pStyle w:val="FootnoteText"/>
        <w:widowControl w:val="0"/>
        <w:spacing w:before="120"/>
      </w:pPr>
      <w:r w:rsidRPr="003D2091">
        <w:rPr>
          <w:rStyle w:val="FootnoteReference"/>
        </w:rPr>
        <w:footnoteRef/>
      </w:r>
      <w:r>
        <w:t xml:space="preserve"> </w:t>
      </w:r>
      <w:r w:rsidRPr="001D215C">
        <w:t xml:space="preserve">“GT” means </w:t>
      </w:r>
      <w:r w:rsidRPr="001D215C">
        <w:rPr>
          <w:rFonts w:cs="TimesNewRoman"/>
        </w:rPr>
        <w:t>Gas Transmission; and “GS” means Gas Storage.</w:t>
      </w:r>
    </w:p>
  </w:footnote>
  <w:footnote w:id="11">
    <w:p w14:paraId="2FDF00B9" w14:textId="77777777" w:rsidR="00083DA2" w:rsidRPr="003D2091" w:rsidRDefault="00083DA2" w:rsidP="001D215C">
      <w:pPr>
        <w:pStyle w:val="FootnoteText"/>
        <w:widowControl w:val="0"/>
        <w:spacing w:before="120"/>
      </w:pPr>
      <w:r w:rsidRPr="003D2091">
        <w:rPr>
          <w:rStyle w:val="FootnoteReference"/>
        </w:rPr>
        <w:footnoteRef/>
      </w:r>
      <w:r w:rsidRPr="001D215C">
        <w:t xml:space="preserve"> The California Alternate Rates for Energy (CARE) Program provides </w:t>
      </w:r>
      <w:r w:rsidRPr="001D215C">
        <w:rPr>
          <w:bCs/>
        </w:rPr>
        <w:t>discounts on energy bills for income qualified households.</w:t>
      </w:r>
    </w:p>
  </w:footnote>
  <w:footnote w:id="12">
    <w:p w14:paraId="192B8D47" w14:textId="77777777" w:rsidR="00083DA2" w:rsidRPr="003D2091" w:rsidRDefault="00083DA2" w:rsidP="00431F1E">
      <w:pPr>
        <w:pStyle w:val="FootnoteText"/>
        <w:widowControl w:val="0"/>
        <w:spacing w:before="120"/>
      </w:pPr>
      <w:r w:rsidRPr="003D2091">
        <w:rPr>
          <w:rStyle w:val="FootnoteReference"/>
        </w:rPr>
        <w:footnoteRef/>
      </w:r>
      <w:r w:rsidRPr="003D2091">
        <w:t xml:space="preserve">  Cal Advocates state in its ORA Exhibit 5:  “The BLS (Bureau of </w:t>
      </w:r>
      <w:r w:rsidRPr="001D215C">
        <w:t>Labor Statistics) calculator indicates tha</w:t>
      </w:r>
      <w:r w:rsidRPr="003D2091">
        <w:t>t $3 in June 2005 has the same buying power as $3.85 in March 2018.”</w:t>
      </w:r>
    </w:p>
  </w:footnote>
  <w:footnote w:id="13">
    <w:p w14:paraId="36D7AEFD" w14:textId="77777777" w:rsidR="00083DA2" w:rsidRPr="001D215C" w:rsidRDefault="00083DA2" w:rsidP="003D2091">
      <w:pPr>
        <w:pStyle w:val="FootnoteText"/>
        <w:widowControl w:val="0"/>
        <w:spacing w:before="120"/>
      </w:pPr>
      <w:r w:rsidRPr="003D2091">
        <w:rPr>
          <w:rStyle w:val="FootnoteReference"/>
        </w:rPr>
        <w:footnoteRef/>
      </w:r>
      <w:r w:rsidRPr="003D2091">
        <w:t xml:space="preserve">  TURN’s Opening Brief at 1, and 13-24</w:t>
      </w:r>
    </w:p>
  </w:footnote>
  <w:footnote w:id="14">
    <w:p w14:paraId="0B6103B8" w14:textId="77777777" w:rsidR="00083DA2" w:rsidRPr="001D215C" w:rsidRDefault="00083DA2" w:rsidP="003D2091">
      <w:pPr>
        <w:pStyle w:val="FootnoteText"/>
        <w:widowControl w:val="0"/>
        <w:spacing w:before="120"/>
      </w:pPr>
      <w:r w:rsidRPr="003D2091">
        <w:rPr>
          <w:rStyle w:val="FootnoteReference"/>
        </w:rPr>
        <w:footnoteRef/>
      </w:r>
      <w:r w:rsidRPr="003D2091">
        <w:t xml:space="preserve">  Referencing, </w:t>
      </w:r>
      <w:r w:rsidRPr="003D2091">
        <w:rPr>
          <w:rFonts w:cs="Arial"/>
        </w:rPr>
        <w:t>PG&amp;E Exhibit-2, Table 5-1, at 5-2.</w:t>
      </w:r>
    </w:p>
  </w:footnote>
  <w:footnote w:id="15">
    <w:p w14:paraId="23D85B39" w14:textId="19A1B3CF" w:rsidR="00083DA2" w:rsidRPr="003D2091" w:rsidRDefault="00083DA2" w:rsidP="001D215C">
      <w:pPr>
        <w:pStyle w:val="FootnoteText"/>
        <w:widowControl w:val="0"/>
        <w:spacing w:before="120"/>
      </w:pPr>
      <w:r w:rsidRPr="003D2091">
        <w:rPr>
          <w:rStyle w:val="FootnoteReference"/>
        </w:rPr>
        <w:footnoteRef/>
      </w:r>
      <w:r w:rsidR="00D2694A">
        <w:rPr>
          <w:i/>
          <w:iCs/>
        </w:rPr>
        <w:t xml:space="preserve"> </w:t>
      </w:r>
      <w:r w:rsidRPr="003D2091">
        <w:rPr>
          <w:i/>
          <w:iCs/>
        </w:rPr>
        <w:t>See</w:t>
      </w:r>
      <w:r>
        <w:rPr>
          <w:i/>
          <w:iCs/>
        </w:rPr>
        <w:t xml:space="preserve"> </w:t>
      </w:r>
      <w:r w:rsidRPr="001D215C">
        <w:rPr>
          <w:rFonts w:cs="Arial"/>
        </w:rPr>
        <w:t>WMA’s Opening Brief at 1-16.</w:t>
      </w:r>
    </w:p>
  </w:footnote>
  <w:footnote w:id="16">
    <w:p w14:paraId="3E306815" w14:textId="7CFE0980" w:rsidR="00083DA2" w:rsidRPr="003D2091" w:rsidRDefault="00083DA2" w:rsidP="001D215C">
      <w:pPr>
        <w:widowControl w:val="0"/>
        <w:autoSpaceDE w:val="0"/>
        <w:autoSpaceDN w:val="0"/>
        <w:adjustRightInd w:val="0"/>
        <w:spacing w:before="120" w:after="120"/>
        <w:rPr>
          <w:rFonts w:cs="Times-Roman"/>
          <w:sz w:val="22"/>
          <w:szCs w:val="22"/>
        </w:rPr>
      </w:pPr>
      <w:r w:rsidRPr="003D2091">
        <w:rPr>
          <w:rStyle w:val="FootnoteReference"/>
          <w:sz w:val="22"/>
          <w:szCs w:val="22"/>
        </w:rPr>
        <w:footnoteRef/>
      </w:r>
      <w:r>
        <w:rPr>
          <w:rFonts w:cs="Times-Roman"/>
          <w:sz w:val="22"/>
          <w:szCs w:val="22"/>
        </w:rPr>
        <w:t xml:space="preserve"> </w:t>
      </w:r>
      <w:r w:rsidRPr="001D215C">
        <w:rPr>
          <w:rFonts w:cs="Times-Roman"/>
          <w:sz w:val="22"/>
          <w:szCs w:val="22"/>
        </w:rPr>
        <w:t>SPURR is a joint powers authority which, as a core transport agent (CT”)</w:t>
      </w:r>
      <w:r>
        <w:rPr>
          <w:rFonts w:cs="Times-Roman"/>
          <w:sz w:val="22"/>
          <w:szCs w:val="22"/>
        </w:rPr>
        <w:t>,</w:t>
      </w:r>
      <w:r w:rsidRPr="001D215C">
        <w:rPr>
          <w:rFonts w:cs="Times-Roman"/>
          <w:sz w:val="22"/>
          <w:szCs w:val="22"/>
        </w:rPr>
        <w:t xml:space="preserve"> provides aggregated service of, among other things, natural gas to core and noncore gas customers on the PG&amp;E system. SPURR has done so since at l</w:t>
      </w:r>
      <w:r w:rsidRPr="003D2091">
        <w:rPr>
          <w:rFonts w:cs="Times-Roman"/>
          <w:sz w:val="22"/>
          <w:szCs w:val="22"/>
        </w:rPr>
        <w:t xml:space="preserve">east 1995, and serves thousands of facilities in PG&amp;E’s distribution service territory. SPURR’s members are California public school districts, county offices of education, and community college districts. </w:t>
      </w:r>
    </w:p>
  </w:footnote>
  <w:footnote w:id="17">
    <w:p w14:paraId="72ED6768" w14:textId="5744DD07" w:rsidR="00083DA2" w:rsidRDefault="00083DA2">
      <w:pPr>
        <w:pStyle w:val="FootnoteText"/>
      </w:pPr>
      <w:r>
        <w:rPr>
          <w:rStyle w:val="FootnoteReference"/>
        </w:rPr>
        <w:footnoteRef/>
      </w:r>
      <w:r>
        <w:t xml:space="preserve"> T</w:t>
      </w:r>
      <w:r w:rsidRPr="00060B9C">
        <w:t xml:space="preserve">he core brokerage fee is addressed in the prepared direct testimony of PG&amp;E witness </w:t>
      </w:r>
      <w:r w:rsidR="007D400C">
        <w:br/>
      </w:r>
      <w:r w:rsidRPr="00060B9C">
        <w:t>Mr. Bergero. (See PGE Exhibit-1, at 4B-1 - 4B-5, PG&amp;E/Bergero</w:t>
      </w:r>
      <w:r>
        <w:t>.</w:t>
      </w:r>
      <w:r w:rsidRPr="00060B9C">
        <w:t>)</w:t>
      </w:r>
    </w:p>
  </w:footnote>
  <w:footnote w:id="18">
    <w:p w14:paraId="6215C751" w14:textId="77777777" w:rsidR="00083DA2" w:rsidRPr="001D215C" w:rsidRDefault="00083DA2" w:rsidP="00431F1E">
      <w:pPr>
        <w:pStyle w:val="FootnoteText"/>
        <w:widowControl w:val="0"/>
        <w:spacing w:before="120"/>
      </w:pPr>
      <w:r w:rsidRPr="003D2091">
        <w:rPr>
          <w:rStyle w:val="FootnoteReference"/>
        </w:rPr>
        <w:footnoteRef/>
      </w:r>
      <w:r w:rsidRPr="003B2308">
        <w:rPr>
          <w:i/>
          <w:iCs/>
        </w:rPr>
        <w:t xml:space="preserve">See </w:t>
      </w:r>
      <w:r w:rsidRPr="003D2091">
        <w:t>SBUA</w:t>
      </w:r>
      <w:r w:rsidRPr="001D215C">
        <w:t>’s Opening Brief at 4.</w:t>
      </w:r>
    </w:p>
  </w:footnote>
  <w:footnote w:id="19">
    <w:p w14:paraId="788C5885" w14:textId="77777777" w:rsidR="00083DA2" w:rsidRPr="001D215C" w:rsidRDefault="00083DA2" w:rsidP="003D2091">
      <w:pPr>
        <w:pStyle w:val="FootnoteText"/>
        <w:widowControl w:val="0"/>
        <w:spacing w:before="120"/>
      </w:pPr>
      <w:r w:rsidRPr="003D2091">
        <w:rPr>
          <w:rStyle w:val="FootnoteReference"/>
        </w:rPr>
        <w:footnoteRef/>
      </w:r>
      <w:r w:rsidRPr="003D2091">
        <w:rPr>
          <w:i/>
          <w:iCs/>
        </w:rPr>
        <w:t>See</w:t>
      </w:r>
      <w:r w:rsidRPr="001D215C">
        <w:t xml:space="preserve"> SBUA’s Opening Brief at 6-7.  </w:t>
      </w:r>
    </w:p>
  </w:footnote>
  <w:footnote w:id="20">
    <w:p w14:paraId="3B2CEE50" w14:textId="3DA233E1" w:rsidR="00083DA2" w:rsidRPr="003D2091" w:rsidRDefault="00083DA2" w:rsidP="003D2091">
      <w:pPr>
        <w:pStyle w:val="FootnoteText"/>
        <w:widowControl w:val="0"/>
        <w:spacing w:before="120"/>
      </w:pPr>
      <w:r w:rsidRPr="003D2091">
        <w:rPr>
          <w:rStyle w:val="FootnoteReference"/>
        </w:rPr>
        <w:footnoteRef/>
      </w:r>
      <w:r w:rsidRPr="001D215C">
        <w:rPr>
          <w:i/>
          <w:iCs/>
        </w:rPr>
        <w:t>See</w:t>
      </w:r>
      <w:r w:rsidRPr="001D215C">
        <w:t xml:space="preserve"> PGE</w:t>
      </w:r>
      <w:r>
        <w:t xml:space="preserve"> </w:t>
      </w:r>
      <w:r w:rsidRPr="001D215C">
        <w:t xml:space="preserve">Exhibit-1, at 4A-2.  </w:t>
      </w:r>
    </w:p>
  </w:footnote>
  <w:footnote w:id="21">
    <w:p w14:paraId="45BF409D" w14:textId="422E5145" w:rsidR="00083DA2" w:rsidRPr="001D215C" w:rsidRDefault="00083DA2" w:rsidP="001D215C">
      <w:pPr>
        <w:pStyle w:val="FootnoteText"/>
        <w:widowControl w:val="0"/>
        <w:spacing w:before="120"/>
      </w:pPr>
      <w:r w:rsidRPr="003D2091">
        <w:rPr>
          <w:rStyle w:val="FootnoteReference"/>
        </w:rPr>
        <w:footnoteRef/>
      </w:r>
      <w:r w:rsidRPr="003D2091">
        <w:t xml:space="preserve">  Citing D.95-12-053</w:t>
      </w:r>
      <w:r>
        <w:t xml:space="preserve"> at </w:t>
      </w:r>
      <w:r w:rsidRPr="003D2091">
        <w:t xml:space="preserve">40.  </w:t>
      </w:r>
    </w:p>
  </w:footnote>
  <w:footnote w:id="22">
    <w:p w14:paraId="551EA0CC" w14:textId="423B7199" w:rsidR="00083DA2" w:rsidRPr="001D215C" w:rsidRDefault="00083DA2" w:rsidP="001D215C">
      <w:pPr>
        <w:pStyle w:val="FootnoteText"/>
        <w:widowControl w:val="0"/>
        <w:spacing w:before="120"/>
      </w:pPr>
      <w:r w:rsidRPr="003D2091">
        <w:rPr>
          <w:rStyle w:val="FootnoteReference"/>
        </w:rPr>
        <w:footnoteRef/>
      </w:r>
      <w:r>
        <w:rPr>
          <w:i/>
          <w:iCs/>
        </w:rPr>
        <w:t xml:space="preserve"> </w:t>
      </w:r>
      <w:r w:rsidRPr="003D2091">
        <w:rPr>
          <w:i/>
          <w:iCs/>
        </w:rPr>
        <w:t>See</w:t>
      </w:r>
      <w:r w:rsidRPr="001D215C">
        <w:t xml:space="preserve"> Indicated Shippers’ Opening Brief at 2-5</w:t>
      </w:r>
      <w:r>
        <w:t>.</w:t>
      </w:r>
    </w:p>
  </w:footnote>
  <w:footnote w:id="23">
    <w:p w14:paraId="02C90FC7" w14:textId="05F0ADF2" w:rsidR="00083DA2" w:rsidRPr="003D2091" w:rsidRDefault="00083DA2" w:rsidP="008550CD">
      <w:pPr>
        <w:pStyle w:val="FootnoteText"/>
        <w:widowControl w:val="0"/>
        <w:spacing w:before="120"/>
      </w:pPr>
      <w:r w:rsidRPr="003D2091">
        <w:rPr>
          <w:rStyle w:val="FootnoteReference"/>
        </w:rPr>
        <w:footnoteRef/>
      </w:r>
      <w:r w:rsidRPr="003D2091">
        <w:t xml:space="preserve">  Cal Advocates proposed the use of its throughput forecast for the 2019 GT&amp;S case for this GCAP in Exhibit ORA-02 (See page 1, lines 16-18). See also, Exhibit PGE-1, at 1-3, lines 1-3; and Exhibit PGE-3B. In Exhibit PGE-3, at 2-1 and 2-2, PG&amp;E indicated that Cal Advocates’ proposal is acceptable to PG&amp;E on an interim basis while throughput is litigated and decided in A.17-11-009.</w:t>
      </w:r>
    </w:p>
  </w:footnote>
  <w:footnote w:id="24">
    <w:p w14:paraId="766EEE33" w14:textId="77777777" w:rsidR="00083DA2" w:rsidRPr="003D2091" w:rsidRDefault="00083DA2">
      <w:pPr>
        <w:pStyle w:val="FootnoteText"/>
        <w:widowControl w:val="0"/>
        <w:spacing w:before="120"/>
      </w:pPr>
      <w:r w:rsidRPr="003D2091">
        <w:rPr>
          <w:rStyle w:val="FootnoteReference"/>
        </w:rPr>
        <w:footnoteRef/>
      </w:r>
      <w:r w:rsidRPr="003D2091">
        <w:t xml:space="preserve">  Exhibit SBUA-1, at 3, lines 17-21.</w:t>
      </w:r>
    </w:p>
  </w:footnote>
  <w:footnote w:id="25">
    <w:p w14:paraId="18B5217A" w14:textId="13D6DE32" w:rsidR="00083DA2" w:rsidRPr="003D2091" w:rsidRDefault="00083DA2">
      <w:pPr>
        <w:pStyle w:val="FootnoteText"/>
        <w:widowControl w:val="0"/>
        <w:spacing w:before="120"/>
      </w:pPr>
      <w:r w:rsidRPr="003D2091">
        <w:rPr>
          <w:rStyle w:val="FootnoteReference"/>
        </w:rPr>
        <w:footnoteRef/>
      </w:r>
      <w:r w:rsidRPr="003D2091">
        <w:t xml:space="preserve">  Exhibit PGE-3, at 2-7, lines 7-10.  </w:t>
      </w:r>
    </w:p>
  </w:footnote>
  <w:footnote w:id="26">
    <w:p w14:paraId="77D214F7" w14:textId="77777777" w:rsidR="00083DA2" w:rsidRPr="003D2091" w:rsidRDefault="00083DA2">
      <w:pPr>
        <w:pStyle w:val="FootnoteText"/>
        <w:widowControl w:val="0"/>
        <w:spacing w:before="120"/>
      </w:pPr>
      <w:r w:rsidRPr="003D2091">
        <w:rPr>
          <w:rStyle w:val="FootnoteReference"/>
        </w:rPr>
        <w:footnoteRef/>
      </w:r>
      <w:r w:rsidRPr="003D2091">
        <w:t xml:space="preserve"> Exhibit PGE-3, at 2-7, lines 10-15.</w:t>
      </w:r>
    </w:p>
  </w:footnote>
  <w:footnote w:id="27">
    <w:p w14:paraId="517B4B27" w14:textId="3C2EE0BE" w:rsidR="00083DA2" w:rsidRPr="003D2091" w:rsidRDefault="00083DA2">
      <w:pPr>
        <w:pStyle w:val="FootnoteText"/>
        <w:widowControl w:val="0"/>
        <w:spacing w:before="120"/>
      </w:pPr>
      <w:r w:rsidRPr="003D2091">
        <w:rPr>
          <w:rStyle w:val="FootnoteReference"/>
        </w:rPr>
        <w:footnoteRef/>
      </w:r>
      <w:r>
        <w:rPr>
          <w:i/>
          <w:iCs/>
        </w:rPr>
        <w:t xml:space="preserve"> </w:t>
      </w:r>
      <w:r w:rsidRPr="003D2091">
        <w:rPr>
          <w:i/>
          <w:iCs/>
        </w:rPr>
        <w:t xml:space="preserve">See </w:t>
      </w:r>
      <w:r w:rsidRPr="001D215C">
        <w:t>PG&amp;E’s Opening Brief at 4-5 (referencing Exhibit PGE-3, at 2-8, lines 5-8).</w:t>
      </w:r>
    </w:p>
  </w:footnote>
  <w:footnote w:id="28">
    <w:p w14:paraId="01FF0817" w14:textId="77777777" w:rsidR="00083DA2" w:rsidRPr="001D215C" w:rsidRDefault="00083DA2">
      <w:pPr>
        <w:pStyle w:val="FootnoteText"/>
        <w:widowControl w:val="0"/>
        <w:spacing w:before="120"/>
      </w:pPr>
      <w:r w:rsidRPr="003D2091">
        <w:rPr>
          <w:rStyle w:val="FootnoteReference"/>
        </w:rPr>
        <w:footnoteRef/>
      </w:r>
      <w:r w:rsidRPr="003D2091">
        <w:t xml:space="preserve">  Exhibit PGE-1, at 1-7.</w:t>
      </w:r>
    </w:p>
  </w:footnote>
  <w:footnote w:id="29">
    <w:p w14:paraId="2FE60391" w14:textId="77777777" w:rsidR="00083DA2" w:rsidRPr="001D215C" w:rsidRDefault="00083DA2">
      <w:pPr>
        <w:pStyle w:val="FootnoteText"/>
        <w:widowControl w:val="0"/>
        <w:spacing w:before="120"/>
      </w:pPr>
      <w:r w:rsidRPr="003D2091">
        <w:rPr>
          <w:rStyle w:val="FootnoteReference"/>
        </w:rPr>
        <w:footnoteRef/>
      </w:r>
      <w:r w:rsidRPr="003D2091">
        <w:t xml:space="preserve">  Exhibit PGE-1, p.1-6.</w:t>
      </w:r>
    </w:p>
  </w:footnote>
  <w:footnote w:id="30">
    <w:p w14:paraId="2623A7C6" w14:textId="7FEC73A9" w:rsidR="00083DA2" w:rsidRPr="003D2091" w:rsidRDefault="00083DA2">
      <w:pPr>
        <w:pStyle w:val="FootnoteText"/>
        <w:widowControl w:val="0"/>
        <w:spacing w:before="120"/>
      </w:pPr>
      <w:r w:rsidRPr="003D2091">
        <w:rPr>
          <w:rStyle w:val="FootnoteReference"/>
        </w:rPr>
        <w:footnoteRef/>
      </w:r>
      <w:r>
        <w:rPr>
          <w:i/>
          <w:iCs/>
        </w:rPr>
        <w:t xml:space="preserve"> </w:t>
      </w:r>
      <w:r w:rsidRPr="001D215C">
        <w:rPr>
          <w:i/>
          <w:iCs/>
        </w:rPr>
        <w:t>See</w:t>
      </w:r>
      <w:r w:rsidRPr="003D2091">
        <w:t xml:space="preserve"> PG&amp;E’s Opening Brief at 57-58.</w:t>
      </w:r>
    </w:p>
  </w:footnote>
  <w:footnote w:id="31">
    <w:p w14:paraId="40E81618" w14:textId="77777777" w:rsidR="00083DA2" w:rsidRPr="001D215C" w:rsidRDefault="00083DA2">
      <w:pPr>
        <w:pStyle w:val="FootnoteText"/>
        <w:widowControl w:val="0"/>
        <w:spacing w:before="120"/>
      </w:pPr>
      <w:r w:rsidRPr="003D2091">
        <w:rPr>
          <w:rStyle w:val="FootnoteReference"/>
        </w:rPr>
        <w:footnoteRef/>
      </w:r>
      <w:r w:rsidRPr="003D2091">
        <w:t xml:space="preserve"> Exhibit PGE-1, at 2-20, lines 2-4.  </w:t>
      </w:r>
    </w:p>
  </w:footnote>
  <w:footnote w:id="32">
    <w:p w14:paraId="22A47548" w14:textId="77777777" w:rsidR="00083DA2" w:rsidRPr="003D2091" w:rsidRDefault="00083DA2">
      <w:pPr>
        <w:pStyle w:val="FootnoteText"/>
        <w:widowControl w:val="0"/>
        <w:spacing w:before="120"/>
      </w:pPr>
      <w:r w:rsidRPr="003D2091">
        <w:rPr>
          <w:rStyle w:val="FootnoteReference"/>
        </w:rPr>
        <w:footnoteRef/>
      </w:r>
      <w:r w:rsidRPr="003D2091">
        <w:t xml:space="preserve"> Exhibit PGE-1, at 2-18 line 13 to 2-19, line 2.</w:t>
      </w:r>
    </w:p>
  </w:footnote>
  <w:footnote w:id="33">
    <w:p w14:paraId="1A34077A" w14:textId="77777777" w:rsidR="00083DA2" w:rsidRPr="001D215C" w:rsidRDefault="00083DA2">
      <w:pPr>
        <w:pStyle w:val="FootnoteText"/>
        <w:widowControl w:val="0"/>
        <w:spacing w:before="120"/>
      </w:pPr>
      <w:r w:rsidRPr="003D2091">
        <w:rPr>
          <w:rStyle w:val="FootnoteReference"/>
        </w:rPr>
        <w:footnoteRef/>
      </w:r>
      <w:r w:rsidRPr="003D2091">
        <w:t xml:space="preserve"> Exhibit ORA-5A, at 99, lines 11-12.</w:t>
      </w:r>
    </w:p>
  </w:footnote>
  <w:footnote w:id="34">
    <w:p w14:paraId="590F8F43" w14:textId="647165EB" w:rsidR="00083DA2" w:rsidRPr="003D2091" w:rsidRDefault="00083DA2">
      <w:pPr>
        <w:pStyle w:val="FootnoteText"/>
        <w:widowControl w:val="0"/>
        <w:spacing w:before="120"/>
      </w:pPr>
      <w:r w:rsidRPr="003D2091">
        <w:rPr>
          <w:rStyle w:val="FootnoteReference"/>
        </w:rPr>
        <w:footnoteRef/>
      </w:r>
      <w:r>
        <w:rPr>
          <w:i/>
          <w:iCs/>
        </w:rPr>
        <w:t xml:space="preserve"> </w:t>
      </w:r>
      <w:r w:rsidRPr="001D215C">
        <w:rPr>
          <w:i/>
          <w:iCs/>
        </w:rPr>
        <w:t xml:space="preserve">See </w:t>
      </w:r>
      <w:r w:rsidRPr="003D2091">
        <w:t xml:space="preserve">SBUA’s Opening Brief at 10; </w:t>
      </w:r>
      <w:r w:rsidRPr="003D2091">
        <w:rPr>
          <w:i/>
          <w:u w:val="single"/>
        </w:rPr>
        <w:t>citing</w:t>
      </w:r>
      <w:r w:rsidRPr="003D2091">
        <w:t xml:space="preserve"> Exhibit</w:t>
      </w:r>
      <w:r>
        <w:t xml:space="preserve"> </w:t>
      </w:r>
      <w:r w:rsidRPr="003D2091">
        <w:t xml:space="preserve">SBUA-2, at 3; Tr. V11, at 1111 to 1126 for a general discussion of the advantages of the embedded cost methodology over the marginal cost methodology in the instant GCAP proceeding. </w:t>
      </w:r>
    </w:p>
  </w:footnote>
  <w:footnote w:id="35">
    <w:p w14:paraId="44F7E32B" w14:textId="645EDC0A" w:rsidR="00083DA2" w:rsidRPr="003D2091" w:rsidRDefault="00083DA2" w:rsidP="00431F1E">
      <w:pPr>
        <w:pStyle w:val="FootnoteText"/>
        <w:widowControl w:val="0"/>
        <w:spacing w:before="120"/>
      </w:pPr>
      <w:r w:rsidRPr="003D2091">
        <w:rPr>
          <w:rStyle w:val="FootnoteReference"/>
        </w:rPr>
        <w:footnoteRef/>
      </w:r>
      <w:r>
        <w:t xml:space="preserve"> </w:t>
      </w:r>
      <w:r w:rsidRPr="001D215C">
        <w:t>Hearing Transcript, at 1141, line 17 (Chernick).</w:t>
      </w:r>
    </w:p>
  </w:footnote>
  <w:footnote w:id="36">
    <w:p w14:paraId="74D2BCB0" w14:textId="77777777" w:rsidR="00083DA2" w:rsidRPr="003D2091" w:rsidRDefault="00083DA2" w:rsidP="001D215C">
      <w:pPr>
        <w:pStyle w:val="FootnoteText"/>
        <w:widowControl w:val="0"/>
        <w:spacing w:before="120"/>
      </w:pPr>
      <w:r w:rsidRPr="003D2091">
        <w:rPr>
          <w:rStyle w:val="FootnoteReference"/>
        </w:rPr>
        <w:footnoteRef/>
      </w:r>
      <w:r w:rsidRPr="003D2091">
        <w:t xml:space="preserve">  Citing, Exhibit ORA-5-A, Attach. J at 14, Table Showing Cal Advocates Marginal Cost Adjusted Updated for Errata; </w:t>
      </w:r>
      <w:r w:rsidRPr="003D2091">
        <w:rPr>
          <w:i/>
        </w:rPr>
        <w:t xml:space="preserve">See also </w:t>
      </w:r>
      <w:r w:rsidRPr="003D2091">
        <w:t>Exhibit ORA-5A, at 9, Table 5-1 (showing Cal Advocates’ Gas Distribution Revenue Requirement has an increase of $1,000 for small commercial customers compared to PG&amp;E).</w:t>
      </w:r>
    </w:p>
  </w:footnote>
  <w:footnote w:id="37">
    <w:p w14:paraId="539DA47F" w14:textId="17B04EF9" w:rsidR="00083DA2" w:rsidRPr="003D2091" w:rsidRDefault="00083DA2" w:rsidP="00431F1E">
      <w:pPr>
        <w:pStyle w:val="FootnoteText"/>
        <w:widowControl w:val="0"/>
        <w:spacing w:before="120"/>
      </w:pPr>
      <w:r w:rsidRPr="003D2091">
        <w:rPr>
          <w:rStyle w:val="FootnoteReference"/>
        </w:rPr>
        <w:footnoteRef/>
      </w:r>
      <w:r>
        <w:rPr>
          <w:i/>
          <w:iCs/>
        </w:rPr>
        <w:t xml:space="preserve"> </w:t>
      </w:r>
      <w:r w:rsidRPr="001D215C">
        <w:rPr>
          <w:i/>
          <w:iCs/>
        </w:rPr>
        <w:t xml:space="preserve">See </w:t>
      </w:r>
      <w:r w:rsidRPr="003D2091">
        <w:t>SBUA’s Opening Brief at 11-12.</w:t>
      </w:r>
    </w:p>
  </w:footnote>
  <w:footnote w:id="38">
    <w:p w14:paraId="61BC8004" w14:textId="44EB256B" w:rsidR="00083DA2" w:rsidRPr="003D2091" w:rsidRDefault="00083DA2" w:rsidP="003D2091">
      <w:pPr>
        <w:pStyle w:val="Default"/>
        <w:widowControl w:val="0"/>
        <w:spacing w:before="120" w:after="120"/>
        <w:rPr>
          <w:rFonts w:ascii="Book Antiqua" w:hAnsi="Book Antiqua" w:cs="Book Antiqua"/>
          <w:sz w:val="22"/>
          <w:szCs w:val="22"/>
        </w:rPr>
      </w:pPr>
      <w:r w:rsidRPr="003D2091">
        <w:rPr>
          <w:rStyle w:val="FootnoteReference"/>
          <w:rFonts w:ascii="Book Antiqua" w:hAnsi="Book Antiqua"/>
          <w:sz w:val="22"/>
          <w:szCs w:val="22"/>
        </w:rPr>
        <w:footnoteRef/>
      </w:r>
      <w:r>
        <w:rPr>
          <w:rFonts w:ascii="Book Antiqua" w:hAnsi="Book Antiqua"/>
          <w:i/>
          <w:sz w:val="22"/>
          <w:szCs w:val="22"/>
        </w:rPr>
        <w:t xml:space="preserve"> </w:t>
      </w:r>
      <w:r w:rsidRPr="001D215C">
        <w:rPr>
          <w:rFonts w:ascii="Book Antiqua" w:hAnsi="Book Antiqua"/>
          <w:i/>
          <w:sz w:val="22"/>
          <w:szCs w:val="22"/>
        </w:rPr>
        <w:t>See, e.g</w:t>
      </w:r>
      <w:r w:rsidRPr="003D2091">
        <w:rPr>
          <w:rFonts w:ascii="Book Antiqua" w:hAnsi="Book Antiqua"/>
          <w:sz w:val="22"/>
          <w:szCs w:val="22"/>
        </w:rPr>
        <w:t xml:space="preserve">., Decision 18-08-013, at 37 (“Rates should be </w:t>
      </w:r>
      <w:r w:rsidRPr="003D2091">
        <w:rPr>
          <w:rFonts w:ascii="Book Antiqua" w:hAnsi="Book Antiqua"/>
          <w:b/>
          <w:sz w:val="22"/>
          <w:szCs w:val="22"/>
        </w:rPr>
        <w:t xml:space="preserve">stable </w:t>
      </w:r>
      <w:r w:rsidRPr="003D2091">
        <w:rPr>
          <w:rFonts w:ascii="Book Antiqua" w:hAnsi="Book Antiqua"/>
          <w:sz w:val="22"/>
          <w:szCs w:val="22"/>
        </w:rPr>
        <w:t xml:space="preserve">and understandable and provide stability, simplicity and customer choice”) (emphasis added), </w:t>
      </w:r>
      <w:r w:rsidRPr="003D2091">
        <w:rPr>
          <w:rFonts w:ascii="Book Antiqua" w:hAnsi="Book Antiqua"/>
          <w:i/>
          <w:sz w:val="22"/>
          <w:szCs w:val="22"/>
        </w:rPr>
        <w:t>citing</w:t>
      </w:r>
      <w:r w:rsidRPr="003D2091">
        <w:rPr>
          <w:rFonts w:ascii="Book Antiqua" w:hAnsi="Book Antiqua"/>
          <w:sz w:val="22"/>
          <w:szCs w:val="22"/>
        </w:rPr>
        <w:t xml:space="preserve"> D.17-08-030, at 30-31; D.17-01-006, at 37; D.15-07-001, at 27-28 (noting that these ratemaking principles were developed after receiving extensive input from parties).  </w:t>
      </w:r>
    </w:p>
  </w:footnote>
  <w:footnote w:id="39">
    <w:p w14:paraId="1787F82A" w14:textId="6B1893C1" w:rsidR="00083DA2" w:rsidRPr="003D2091" w:rsidRDefault="00083DA2" w:rsidP="003D2091">
      <w:pPr>
        <w:pStyle w:val="FootnoteText"/>
        <w:widowControl w:val="0"/>
        <w:spacing w:before="120"/>
      </w:pPr>
      <w:r w:rsidRPr="003D2091">
        <w:rPr>
          <w:rStyle w:val="FootnoteReference"/>
        </w:rPr>
        <w:footnoteRef/>
      </w:r>
      <w:r w:rsidRPr="003D2091">
        <w:t xml:space="preserve">  As used here, </w:t>
      </w:r>
      <w:r w:rsidRPr="001D215C">
        <w:rPr>
          <w:b/>
          <w:u w:val="single"/>
        </w:rPr>
        <w:t>DTIM</w:t>
      </w:r>
      <w:r w:rsidRPr="001D215C">
        <w:t xml:space="preserve"> means “Discounted Total Investment Method</w:t>
      </w:r>
      <w:r>
        <w:t>;</w:t>
      </w:r>
      <w:r w:rsidRPr="001D215C">
        <w:t xml:space="preserve">” </w:t>
      </w:r>
      <w:r w:rsidRPr="003D2091">
        <w:rPr>
          <w:b/>
          <w:u w:val="single"/>
        </w:rPr>
        <w:t>MDCC</w:t>
      </w:r>
      <w:r w:rsidRPr="003D2091">
        <w:t xml:space="preserve"> means “Marginal Distribution Capacity Cost</w:t>
      </w:r>
      <w:r>
        <w:t>;</w:t>
      </w:r>
      <w:r w:rsidRPr="003D2091">
        <w:t xml:space="preserve">” </w:t>
      </w:r>
      <w:r w:rsidRPr="003D2091">
        <w:rPr>
          <w:b/>
          <w:u w:val="single"/>
        </w:rPr>
        <w:t>NCO</w:t>
      </w:r>
      <w:r w:rsidRPr="003D2091">
        <w:t xml:space="preserve"> means “New Customer Only</w:t>
      </w:r>
      <w:r>
        <w:t>;</w:t>
      </w:r>
      <w:r w:rsidRPr="003D2091">
        <w:t xml:space="preserve">” and </w:t>
      </w:r>
      <w:r w:rsidRPr="003D2091">
        <w:rPr>
          <w:b/>
          <w:u w:val="single"/>
        </w:rPr>
        <w:t>MCAC</w:t>
      </w:r>
      <w:r w:rsidRPr="003D2091">
        <w:t xml:space="preserve"> means “Marginal Customer Access Capacity</w:t>
      </w:r>
      <w:r>
        <w:t>.</w:t>
      </w:r>
      <w:r w:rsidRPr="003D2091">
        <w:t>”</w:t>
      </w:r>
    </w:p>
  </w:footnote>
  <w:footnote w:id="40">
    <w:p w14:paraId="56482D83" w14:textId="7FDFB95A" w:rsidR="00083DA2" w:rsidRPr="003D2091" w:rsidRDefault="00083DA2" w:rsidP="001D215C">
      <w:pPr>
        <w:pStyle w:val="FootnoteText"/>
        <w:widowControl w:val="0"/>
        <w:spacing w:before="120"/>
      </w:pPr>
      <w:r w:rsidRPr="003D2091">
        <w:rPr>
          <w:rStyle w:val="FootnoteReference"/>
        </w:rPr>
        <w:footnoteRef/>
      </w:r>
      <w:r>
        <w:rPr>
          <w:i/>
          <w:iCs/>
        </w:rPr>
        <w:t xml:space="preserve"> </w:t>
      </w:r>
      <w:r w:rsidRPr="001D215C">
        <w:rPr>
          <w:i/>
          <w:iCs/>
        </w:rPr>
        <w:t>See</w:t>
      </w:r>
      <w:r w:rsidRPr="001D215C">
        <w:t xml:space="preserve"> Cal Advocates’ Opening Brief at 28; and Exhibit ORA-5A, at 98, lines 22-26.</w:t>
      </w:r>
    </w:p>
  </w:footnote>
  <w:footnote w:id="41">
    <w:p w14:paraId="2A06D4A8" w14:textId="446B1799" w:rsidR="00083DA2" w:rsidRPr="003D2091" w:rsidRDefault="00083DA2" w:rsidP="001D215C">
      <w:pPr>
        <w:pStyle w:val="FootnoteText"/>
        <w:widowControl w:val="0"/>
        <w:spacing w:before="120"/>
      </w:pPr>
      <w:r w:rsidRPr="003D2091">
        <w:rPr>
          <w:rStyle w:val="FootnoteReference"/>
        </w:rPr>
        <w:footnoteRef/>
      </w:r>
      <w:r>
        <w:rPr>
          <w:i/>
          <w:iCs/>
        </w:rPr>
        <w:t xml:space="preserve"> </w:t>
      </w:r>
      <w:r w:rsidRPr="001D215C">
        <w:rPr>
          <w:i/>
          <w:iCs/>
        </w:rPr>
        <w:t xml:space="preserve">See </w:t>
      </w:r>
      <w:r w:rsidRPr="001D215C">
        <w:t>Exhibit ORA-5A, Sections III.A and B.</w:t>
      </w:r>
    </w:p>
  </w:footnote>
  <w:footnote w:id="42">
    <w:p w14:paraId="6318F13E" w14:textId="195965BF" w:rsidR="00083DA2" w:rsidRPr="003D2091" w:rsidRDefault="00083DA2">
      <w:pPr>
        <w:widowControl w:val="0"/>
        <w:autoSpaceDE w:val="0"/>
        <w:autoSpaceDN w:val="0"/>
        <w:adjustRightInd w:val="0"/>
        <w:spacing w:before="120" w:after="120"/>
        <w:rPr>
          <w:sz w:val="22"/>
          <w:szCs w:val="22"/>
        </w:rPr>
      </w:pPr>
      <w:r w:rsidRPr="003D2091">
        <w:rPr>
          <w:rStyle w:val="FootnoteReference"/>
          <w:sz w:val="22"/>
          <w:szCs w:val="22"/>
        </w:rPr>
        <w:footnoteRef/>
      </w:r>
      <w:r w:rsidRPr="003D2091">
        <w:rPr>
          <w:sz w:val="22"/>
          <w:szCs w:val="22"/>
        </w:rPr>
        <w:t xml:space="preserve">  In </w:t>
      </w:r>
      <w:r w:rsidRPr="001D215C">
        <w:rPr>
          <w:rFonts w:cs="Arial"/>
          <w:sz w:val="22"/>
          <w:szCs w:val="22"/>
        </w:rPr>
        <w:t>D.92-12-058, the Commission identified four methods for estimating the marginal cost of capital investments, including: (1) present worth method; (2) total investment method; (3) the NERA regression method; and (4) discounted total investment method (DTIM)</w:t>
      </w:r>
      <w:r w:rsidRPr="003D2091">
        <w:rPr>
          <w:rFonts w:cs="Arial"/>
          <w:sz w:val="22"/>
          <w:szCs w:val="22"/>
        </w:rPr>
        <w:t>. After evaluating the record, the Commission adopted the NERA regression method to calculate the marginal capital costs for distribution in D.92-12-058 (See Conclusion of Law 3), describing the NERA regression methodology as “a model developed by NERA to obtain a marginal unit capital cost by regressing the cumulative changes in investment with cumulative changes in load”. (</w:t>
      </w:r>
      <w:r w:rsidRPr="003D2091">
        <w:rPr>
          <w:rFonts w:cs="Arial"/>
          <w:i/>
          <w:iCs/>
          <w:sz w:val="22"/>
          <w:szCs w:val="22"/>
        </w:rPr>
        <w:t xml:space="preserve">See </w:t>
      </w:r>
      <w:r w:rsidRPr="003D2091">
        <w:rPr>
          <w:rFonts w:cs="Arial"/>
          <w:sz w:val="22"/>
          <w:szCs w:val="22"/>
        </w:rPr>
        <w:t>D.92-12-058</w:t>
      </w:r>
      <w:r>
        <w:rPr>
          <w:rFonts w:cs="Arial"/>
          <w:sz w:val="22"/>
          <w:szCs w:val="22"/>
        </w:rPr>
        <w:t xml:space="preserve"> at</w:t>
      </w:r>
      <w:r w:rsidRPr="003D2091">
        <w:rPr>
          <w:rFonts w:cs="Arial"/>
          <w:sz w:val="22"/>
          <w:szCs w:val="22"/>
        </w:rPr>
        <w:t xml:space="preserve"> 32</w:t>
      </w:r>
      <w:r>
        <w:rPr>
          <w:rFonts w:cs="Arial"/>
          <w:sz w:val="22"/>
          <w:szCs w:val="22"/>
        </w:rPr>
        <w:t>.</w:t>
      </w:r>
      <w:r w:rsidRPr="003D2091">
        <w:rPr>
          <w:rFonts w:cs="Arial"/>
          <w:sz w:val="22"/>
          <w:szCs w:val="22"/>
        </w:rPr>
        <w:t>)</w:t>
      </w:r>
    </w:p>
  </w:footnote>
  <w:footnote w:id="43">
    <w:p w14:paraId="4EEBCAEA" w14:textId="35CAF46D" w:rsidR="00083DA2" w:rsidRPr="003D2091" w:rsidRDefault="00083DA2">
      <w:pPr>
        <w:pStyle w:val="FootnoteText"/>
        <w:widowControl w:val="0"/>
        <w:spacing w:before="120"/>
      </w:pPr>
      <w:r w:rsidRPr="003D2091">
        <w:rPr>
          <w:rStyle w:val="FootnoteReference"/>
        </w:rPr>
        <w:footnoteRef/>
      </w:r>
      <w:r>
        <w:t xml:space="preserve"> </w:t>
      </w:r>
      <w:r w:rsidRPr="003D2091">
        <w:t>According to Cal Advocates, t</w:t>
      </w:r>
      <w:r w:rsidRPr="00431F1E">
        <w:t>he NERA regression marginal costs method produces negative results with current data and is therefore not usable.  (</w:t>
      </w:r>
      <w:r w:rsidRPr="003D2091">
        <w:rPr>
          <w:i/>
          <w:iCs/>
        </w:rPr>
        <w:t>See</w:t>
      </w:r>
      <w:r w:rsidRPr="001D215C">
        <w:t xml:space="preserve"> Exhibit ORA-5A, at 9, lines 15-21, through 10, lines 1-8, citing PG&amp;E Response to data request ORA-25, Q.01 subpart 3:  “PG&amp;E’s MDCC estimate using NERA regression approach is negative.  However, in order to </w:t>
      </w:r>
      <w:r w:rsidRPr="003D2091">
        <w:t xml:space="preserve">illustrate the impact of using marginal cost based approach for revenue allocation, and its comparison with embedded cost based revenue allocation, PG&amp;E used an MDCC estimate from D.05-06-029 which states that the MDCC estimate is $141.75 per Dthd, in 2005 dollars.  PG&amp;E used an appropriate escalation factor to convert this estimate in 2018 dollars.  PG&amp;E used the escalated value of 212.47 in its work paper (for the details of the calculation, please refer to the excel file labeled GCAP2018_DR_ORA_Q01-part 3, atch01).  However, after conducting a recent review of this estimate, PG&amp;E finds that a more appropriate value is $213.90 per Dthd.”) </w:t>
      </w:r>
    </w:p>
  </w:footnote>
  <w:footnote w:id="44">
    <w:p w14:paraId="46D4425B" w14:textId="77777777" w:rsidR="00083DA2" w:rsidRPr="001D215C" w:rsidRDefault="00083DA2">
      <w:pPr>
        <w:pStyle w:val="FootnoteText"/>
        <w:widowControl w:val="0"/>
        <w:spacing w:before="120"/>
      </w:pPr>
      <w:r w:rsidRPr="003D2091">
        <w:rPr>
          <w:rStyle w:val="FootnoteReference"/>
        </w:rPr>
        <w:footnoteRef/>
      </w:r>
      <w:r w:rsidRPr="003D2091">
        <w:t xml:space="preserve">  Exhibit ORA-5A, at 25, lines 5-10. </w:t>
      </w:r>
    </w:p>
  </w:footnote>
  <w:footnote w:id="45">
    <w:p w14:paraId="5802849C" w14:textId="77777777" w:rsidR="00083DA2" w:rsidRPr="001D215C" w:rsidRDefault="00083DA2">
      <w:pPr>
        <w:pStyle w:val="FootnoteText"/>
        <w:widowControl w:val="0"/>
        <w:spacing w:before="120"/>
      </w:pPr>
      <w:r w:rsidRPr="003D2091">
        <w:rPr>
          <w:rStyle w:val="FootnoteReference"/>
        </w:rPr>
        <w:footnoteRef/>
      </w:r>
      <w:r w:rsidRPr="003D2091">
        <w:t xml:space="preserve">  Exhibit ORA-5A, at 25, lines 5-10.</w:t>
      </w:r>
    </w:p>
    <w:p w14:paraId="73A62F8F" w14:textId="2AC4F9BA" w:rsidR="00083DA2" w:rsidRPr="003D2091" w:rsidRDefault="00083DA2">
      <w:pPr>
        <w:pStyle w:val="FootnoteText"/>
        <w:widowControl w:val="0"/>
        <w:spacing w:before="120"/>
      </w:pPr>
      <w:r w:rsidRPr="003D2091">
        <w:rPr>
          <w:rStyle w:val="FootnoteReference"/>
        </w:rPr>
        <w:footnoteRef/>
      </w:r>
      <w:r w:rsidRPr="003D2091">
        <w:t xml:space="preserve">  Citing Exhibit ORA-5A, at 11, lines 1</w:t>
      </w:r>
      <w:r w:rsidRPr="001D215C">
        <w:t>2-14, citing D.92-12-058 at 75; and Ordering Paragraph 1; Background information regarding the LRMC and the embedded cost-based methodology is included in Exhibit ORA-5A, Appendix A.</w:t>
      </w:r>
    </w:p>
  </w:footnote>
  <w:footnote w:id="46">
    <w:p w14:paraId="497B6773" w14:textId="61AD1349" w:rsidR="00083DA2" w:rsidRPr="003D2091" w:rsidRDefault="00083DA2">
      <w:pPr>
        <w:pStyle w:val="FootnoteText"/>
        <w:widowControl w:val="0"/>
        <w:spacing w:before="120"/>
      </w:pPr>
      <w:r w:rsidRPr="003D2091">
        <w:rPr>
          <w:rStyle w:val="FootnoteReference"/>
        </w:rPr>
        <w:footnoteRef/>
      </w:r>
      <w:r w:rsidRPr="003D2091">
        <w:t xml:space="preserve">   Exhibit ORA-5A, at 36, lines 14-16. (See also, D.95-12-053, at page</w:t>
      </w:r>
      <w:r w:rsidRPr="001D215C">
        <w:t xml:space="preserve"> 37, where the Commission indicates a willingness to consider incorporating other approaches to estimate the marginal cost of capital investments.  In that decision, the Commission directed PG&amp;E to provide a scenario that incorporates the use of the DTIM f</w:t>
      </w:r>
      <w:r w:rsidRPr="003D2091">
        <w:t>or the estimate of the marginal cost of capital investments</w:t>
      </w:r>
      <w:r>
        <w:t>.</w:t>
      </w:r>
      <w:r w:rsidRPr="003D2091">
        <w:t>)</w:t>
      </w:r>
    </w:p>
  </w:footnote>
  <w:footnote w:id="47">
    <w:p w14:paraId="1E3C9333" w14:textId="77777777" w:rsidR="00083DA2" w:rsidRPr="001D215C" w:rsidRDefault="00083DA2">
      <w:pPr>
        <w:pStyle w:val="FootnoteText"/>
        <w:widowControl w:val="0"/>
        <w:spacing w:before="120"/>
      </w:pPr>
      <w:r w:rsidRPr="003D2091">
        <w:rPr>
          <w:rStyle w:val="FootnoteReference"/>
        </w:rPr>
        <w:footnoteRef/>
      </w:r>
      <w:r w:rsidRPr="003D2091">
        <w:t xml:space="preserve"> Exhibit ORA-5A, at 26</w:t>
      </w:r>
    </w:p>
  </w:footnote>
  <w:footnote w:id="48">
    <w:p w14:paraId="14E7DF00" w14:textId="77777777" w:rsidR="00083DA2" w:rsidRPr="003D2091" w:rsidRDefault="00083DA2">
      <w:pPr>
        <w:pStyle w:val="FootnoteText"/>
        <w:widowControl w:val="0"/>
        <w:spacing w:before="120"/>
      </w:pPr>
      <w:r w:rsidRPr="003D2091">
        <w:rPr>
          <w:rStyle w:val="FootnoteReference"/>
        </w:rPr>
        <w:footnoteRef/>
      </w:r>
      <w:r w:rsidRPr="003D2091">
        <w:t xml:space="preserve">  Exhibit ORA-5A, at 29, lines 11-13, citing PG&amp;E response to data request “ORA-29”, Question 01.</w:t>
      </w:r>
    </w:p>
  </w:footnote>
  <w:footnote w:id="49">
    <w:p w14:paraId="1E62C3D1" w14:textId="77777777" w:rsidR="00083DA2" w:rsidRPr="001D215C" w:rsidRDefault="00083DA2">
      <w:pPr>
        <w:pStyle w:val="FootnoteText"/>
        <w:widowControl w:val="0"/>
        <w:spacing w:before="120"/>
      </w:pPr>
      <w:r w:rsidRPr="003D2091">
        <w:rPr>
          <w:rStyle w:val="FootnoteReference"/>
        </w:rPr>
        <w:footnoteRef/>
      </w:r>
      <w:r w:rsidRPr="003D2091">
        <w:t xml:space="preserve">  Exhibit ORA-5A, at 25, lines 3-6.</w:t>
      </w:r>
    </w:p>
  </w:footnote>
  <w:footnote w:id="50">
    <w:p w14:paraId="4DFEE0F9" w14:textId="55BCAAC7" w:rsidR="00083DA2" w:rsidRPr="003D2091" w:rsidRDefault="00083DA2">
      <w:pPr>
        <w:pStyle w:val="FootnoteText"/>
        <w:widowControl w:val="0"/>
        <w:spacing w:before="120"/>
      </w:pPr>
      <w:r w:rsidRPr="003D2091">
        <w:rPr>
          <w:rStyle w:val="FootnoteReference"/>
        </w:rPr>
        <w:footnoteRef/>
      </w:r>
      <w:r w:rsidRPr="001D215C">
        <w:rPr>
          <w:i/>
          <w:iCs/>
        </w:rPr>
        <w:t>See</w:t>
      </w:r>
      <w:r w:rsidRPr="001D215C">
        <w:t xml:space="preserve"> PG&amp;E’s Opening Brief at 5-</w:t>
      </w:r>
      <w:r>
        <w:t>8.</w:t>
      </w:r>
    </w:p>
  </w:footnote>
  <w:footnote w:id="51">
    <w:p w14:paraId="46098533" w14:textId="3151586E" w:rsidR="00083DA2" w:rsidRPr="003D2091" w:rsidRDefault="00083DA2">
      <w:pPr>
        <w:pStyle w:val="FootnoteText"/>
        <w:widowControl w:val="0"/>
        <w:spacing w:before="120"/>
      </w:pPr>
      <w:r w:rsidRPr="003D2091">
        <w:rPr>
          <w:rStyle w:val="FootnoteReference"/>
        </w:rPr>
        <w:footnoteRef/>
      </w:r>
      <w:r w:rsidRPr="001D215C">
        <w:rPr>
          <w:i/>
          <w:iCs/>
        </w:rPr>
        <w:t>See</w:t>
      </w:r>
      <w:r w:rsidRPr="001D215C">
        <w:t xml:space="preserve"> PG&amp;E’s Opening Brief at 13.</w:t>
      </w:r>
    </w:p>
  </w:footnote>
  <w:footnote w:id="52">
    <w:p w14:paraId="7647E013" w14:textId="77777777" w:rsidR="00083DA2" w:rsidRPr="003D2091" w:rsidRDefault="00083DA2">
      <w:pPr>
        <w:pStyle w:val="FootnoteText"/>
        <w:widowControl w:val="0"/>
        <w:spacing w:before="120"/>
      </w:pPr>
      <w:r w:rsidRPr="003D2091">
        <w:rPr>
          <w:rStyle w:val="FootnoteReference"/>
        </w:rPr>
        <w:footnoteRef/>
      </w:r>
      <w:r w:rsidRPr="003D2091">
        <w:t xml:space="preserve">  Hearing Transcript at 863, lines 7-8 (TURN’s Witn</w:t>
      </w:r>
      <w:r w:rsidRPr="001D215C">
        <w:t>ess, William Marcus). Mr. Marcus has more than 30 years of experience working with marginal cost and embedded cost models.</w:t>
      </w:r>
    </w:p>
  </w:footnote>
  <w:footnote w:id="53">
    <w:p w14:paraId="3E6C1DFB" w14:textId="77777777" w:rsidR="00083DA2" w:rsidRPr="003D2091" w:rsidRDefault="00083DA2">
      <w:pPr>
        <w:pStyle w:val="FootnoteText"/>
        <w:widowControl w:val="0"/>
        <w:spacing w:before="120"/>
      </w:pPr>
      <w:r w:rsidRPr="003D2091">
        <w:rPr>
          <w:rStyle w:val="FootnoteReference"/>
        </w:rPr>
        <w:footnoteRef/>
      </w:r>
      <w:r w:rsidRPr="003D2091">
        <w:t xml:space="preserve">  PG&amp;E’s Opening Brief at 5: “[B]oth the experts for TURN and for SBUA testified that marginal cost and embedded cost models are acc</w:t>
      </w:r>
      <w:r w:rsidRPr="001D215C">
        <w:t xml:space="preserve">eptable.” According to the parties, </w:t>
      </w:r>
      <w:r w:rsidRPr="00431F1E">
        <w:t xml:space="preserve">the question in this case revolves around the following:  1) </w:t>
      </w:r>
      <w:r w:rsidRPr="003D2091">
        <w:t>w</w:t>
      </w:r>
      <w:r w:rsidRPr="00431F1E">
        <w:t xml:space="preserve">hat data is available to run the different models; 2) the appropriateness of that data utilized; and 3) </w:t>
      </w:r>
      <w:r w:rsidRPr="003D2091">
        <w:t>w</w:t>
      </w:r>
      <w:r w:rsidRPr="00431F1E">
        <w:t xml:space="preserve">hether the results are reasonable in light of the data used? </w:t>
      </w:r>
    </w:p>
  </w:footnote>
  <w:footnote w:id="54">
    <w:p w14:paraId="54C7015F" w14:textId="75C391FD" w:rsidR="00083DA2" w:rsidRPr="003D2091" w:rsidRDefault="00083DA2">
      <w:pPr>
        <w:pStyle w:val="FootnoteText"/>
        <w:widowControl w:val="0"/>
        <w:spacing w:before="120"/>
      </w:pPr>
      <w:r w:rsidRPr="003D2091">
        <w:rPr>
          <w:rStyle w:val="FootnoteReference"/>
        </w:rPr>
        <w:footnoteRef/>
      </w:r>
      <w:r>
        <w:rPr>
          <w:i/>
          <w:iCs/>
        </w:rPr>
        <w:t xml:space="preserve"> </w:t>
      </w:r>
      <w:r w:rsidRPr="001D215C">
        <w:rPr>
          <w:i/>
          <w:iCs/>
        </w:rPr>
        <w:t xml:space="preserve">See </w:t>
      </w:r>
      <w:r w:rsidRPr="001D215C">
        <w:t>PG&amp;E’s Opening Brief at 5 (</w:t>
      </w:r>
      <w:r w:rsidRPr="003D2091">
        <w:rPr>
          <w:i/>
          <w:u w:val="single"/>
        </w:rPr>
        <w:t>citing</w:t>
      </w:r>
      <w:r w:rsidRPr="003D2091">
        <w:t xml:space="preserve">  Exhibit SBUA-2, at 6, lines 17-26, where, SBUA witness Chernick testified that when California originally adopted marginal-cost pricing for electricity in the 1970’s when embedded revenue requirements were low and marginal costs of generation capacity and energy were high, marginal cost allocation may have been useful in assuring that all classes were allocated enough revenue to allow their rate designs to reflect the high costs of new supplies, such as for nuclear plants.  However, he does “not see any similar need for marginal-cost pricing for California gas utilities at this time.”  (See also, Hearing Transcript at 863, lines 4 -17 (Marcus).)</w:t>
      </w:r>
    </w:p>
  </w:footnote>
  <w:footnote w:id="55">
    <w:p w14:paraId="718C7585" w14:textId="77777777" w:rsidR="00083DA2" w:rsidRPr="001D215C" w:rsidRDefault="00083DA2">
      <w:pPr>
        <w:pStyle w:val="FootnoteText"/>
        <w:widowControl w:val="0"/>
        <w:spacing w:before="120"/>
      </w:pPr>
      <w:r w:rsidRPr="003D2091">
        <w:rPr>
          <w:rStyle w:val="FootnoteReference"/>
        </w:rPr>
        <w:footnoteRef/>
      </w:r>
      <w:r w:rsidRPr="003D2091">
        <w:t xml:space="preserve"> TURN’s Opening Brief at 5.</w:t>
      </w:r>
    </w:p>
  </w:footnote>
  <w:footnote w:id="56">
    <w:p w14:paraId="3485719E" w14:textId="77777777" w:rsidR="00083DA2" w:rsidRDefault="00083DA2">
      <w:pPr>
        <w:pStyle w:val="FootnoteText"/>
      </w:pPr>
      <w:r>
        <w:rPr>
          <w:rStyle w:val="FootnoteReference"/>
        </w:rPr>
        <w:footnoteRef/>
      </w:r>
      <w:r>
        <w:t xml:space="preserve"> </w:t>
      </w:r>
      <w:r w:rsidRPr="0099612F">
        <w:t>TURN’s Opening Brief at 34-36.</w:t>
      </w:r>
    </w:p>
  </w:footnote>
  <w:footnote w:id="57">
    <w:p w14:paraId="7E648F70" w14:textId="77777777" w:rsidR="00083DA2" w:rsidRPr="001D215C" w:rsidRDefault="00083DA2">
      <w:pPr>
        <w:pStyle w:val="FootnoteText"/>
        <w:widowControl w:val="0"/>
        <w:spacing w:before="120"/>
      </w:pPr>
      <w:r w:rsidRPr="003D2091">
        <w:rPr>
          <w:rStyle w:val="FootnoteReference"/>
        </w:rPr>
        <w:footnoteRef/>
      </w:r>
      <w:r w:rsidRPr="003D2091">
        <w:t xml:space="preserve">  TURN’s Opening Brief at 5.</w:t>
      </w:r>
    </w:p>
  </w:footnote>
  <w:footnote w:id="58">
    <w:p w14:paraId="72DFC21B" w14:textId="77777777" w:rsidR="00083DA2" w:rsidRPr="003D2091" w:rsidRDefault="00083DA2">
      <w:pPr>
        <w:pStyle w:val="FootnoteText"/>
        <w:widowControl w:val="0"/>
        <w:spacing w:before="120"/>
      </w:pPr>
      <w:r w:rsidRPr="003D2091">
        <w:rPr>
          <w:rStyle w:val="FootnoteReference"/>
        </w:rPr>
        <w:footnoteRef/>
      </w:r>
      <w:r w:rsidRPr="001D215C">
        <w:rPr>
          <w:i/>
          <w:iCs/>
        </w:rPr>
        <w:t>See</w:t>
      </w:r>
      <w:r w:rsidRPr="003D2091">
        <w:t xml:space="preserve"> Exhibit ORA-5A, at 5, lines 1-4. Cal Advocates indicated that it verified PG&amp;E responses in data request “ORA-29</w:t>
      </w:r>
      <w:r>
        <w:t>,</w:t>
      </w:r>
      <w:r w:rsidRPr="003D2091">
        <w:t>” where PG&amp;E’s data response to Cal Advocates presents a different approach to marginal cost than the NERA regression method.  Cal Advocates obtained those responses from PG&amp;E in its follow-up to data request “ORA-29</w:t>
      </w:r>
      <w:r>
        <w:t>.</w:t>
      </w:r>
      <w:r w:rsidRPr="003D2091">
        <w:t>” Cal Advocates’ final recommendations are those shown in column “b” of Tables 3 and 4.</w:t>
      </w:r>
    </w:p>
  </w:footnote>
  <w:footnote w:id="59">
    <w:p w14:paraId="0D2680EB" w14:textId="77777777" w:rsidR="00083DA2" w:rsidRPr="003D2091" w:rsidRDefault="00083DA2">
      <w:pPr>
        <w:pStyle w:val="FootnoteText"/>
        <w:widowControl w:val="0"/>
        <w:spacing w:before="120"/>
      </w:pPr>
      <w:r w:rsidRPr="003D2091">
        <w:rPr>
          <w:rStyle w:val="FootnoteReference"/>
        </w:rPr>
        <w:footnoteRef/>
      </w:r>
      <w:r w:rsidRPr="003D2091">
        <w:t>Exhibit ORA-5A, at 8, Table 5-1a.</w:t>
      </w:r>
    </w:p>
  </w:footnote>
  <w:footnote w:id="60">
    <w:p w14:paraId="192C7BA2" w14:textId="77777777" w:rsidR="00083DA2" w:rsidRPr="003D2091" w:rsidRDefault="00083DA2">
      <w:pPr>
        <w:pStyle w:val="FootnoteText"/>
        <w:widowControl w:val="0"/>
        <w:spacing w:before="120"/>
      </w:pPr>
      <w:r w:rsidRPr="003D2091">
        <w:rPr>
          <w:rStyle w:val="FootnoteReference"/>
        </w:rPr>
        <w:footnoteRef/>
      </w:r>
      <w:r w:rsidRPr="001D215C">
        <w:t xml:space="preserve"> Exhibit ORA-5A, at 9, Table 5-1b.</w:t>
      </w:r>
    </w:p>
  </w:footnote>
  <w:footnote w:id="61">
    <w:p w14:paraId="5A8FBB89" w14:textId="47C9B2A2" w:rsidR="00083DA2" w:rsidRPr="003D2091" w:rsidRDefault="00083DA2">
      <w:pPr>
        <w:pStyle w:val="FootnoteText"/>
        <w:widowControl w:val="0"/>
        <w:spacing w:before="120"/>
      </w:pPr>
      <w:r w:rsidRPr="003D2091">
        <w:rPr>
          <w:rStyle w:val="FootnoteReference"/>
        </w:rPr>
        <w:footnoteRef/>
      </w:r>
      <w:r>
        <w:rPr>
          <w:i/>
          <w:iCs/>
        </w:rPr>
        <w:t xml:space="preserve"> </w:t>
      </w:r>
      <w:r w:rsidRPr="001D215C">
        <w:rPr>
          <w:i/>
          <w:iCs/>
        </w:rPr>
        <w:t xml:space="preserve">See </w:t>
      </w:r>
      <w:r w:rsidRPr="003D2091">
        <w:t>Cal Advocates’ Opening Brief at 10; Exhibit PGE-1, (PG&amp;E GCAP testimony), at 3-7 through 3-8), Tables 3-4 and 3-5.  Cal Advocates provides a background discussion of these methodologies in Exhibit ORA-5A, Appendix A.  PG&amp;E’s testimony provides a background discussion on the marginal cost methodologies based on the NERA Regression method to estimate the MDCC and the MCAC cost.  (See Exhibit PGE-1, Appendix A</w:t>
      </w:r>
      <w:r>
        <w:t>.</w:t>
      </w:r>
      <w:r w:rsidRPr="003D2091">
        <w:t>)</w:t>
      </w:r>
    </w:p>
  </w:footnote>
  <w:footnote w:id="62">
    <w:p w14:paraId="571A4DC3" w14:textId="77777777" w:rsidR="00083DA2" w:rsidRPr="003D2091" w:rsidRDefault="00083DA2">
      <w:pPr>
        <w:pStyle w:val="FootnoteText"/>
        <w:widowControl w:val="0"/>
        <w:spacing w:before="120"/>
      </w:pPr>
      <w:r w:rsidRPr="003D2091">
        <w:rPr>
          <w:rStyle w:val="FootnoteReference"/>
        </w:rPr>
        <w:footnoteRef/>
      </w:r>
      <w:r w:rsidRPr="001D215C">
        <w:t xml:space="preserve"> “</w:t>
      </w:r>
      <w:r w:rsidRPr="003D2091">
        <w:rPr>
          <w:rFonts w:cs="Arial"/>
          <w:bCs/>
        </w:rPr>
        <w:t xml:space="preserve">G-NGV2” </w:t>
      </w:r>
      <w:r w:rsidRPr="003D2091">
        <w:t xml:space="preserve">refers to, the Natural Gas Service Rate /Gas Schedule </w:t>
      </w:r>
      <w:r w:rsidRPr="003D2091">
        <w:rPr>
          <w:rFonts w:cs="Arial"/>
          <w:bCs/>
        </w:rPr>
        <w:t xml:space="preserve">for core compressed natural gas customers.  </w:t>
      </w:r>
      <w:r w:rsidRPr="003D2091">
        <w:t>G-NGV2 rates are charged to third-party customers using PG&amp;E’s NGV stations that are open to the public for refueling vehicles.  PG&amp;E customers who own and operate their own NGV fueling station can purchase gas transportation service under schedule G-NGV1.</w:t>
      </w:r>
    </w:p>
  </w:footnote>
  <w:footnote w:id="63">
    <w:p w14:paraId="27260743" w14:textId="275DC029" w:rsidR="00083DA2" w:rsidRPr="003D2091" w:rsidRDefault="00083DA2">
      <w:pPr>
        <w:pStyle w:val="FootnoteText"/>
        <w:widowControl w:val="0"/>
        <w:spacing w:before="120"/>
      </w:pPr>
      <w:r w:rsidRPr="003D2091">
        <w:rPr>
          <w:rStyle w:val="FootnoteReference"/>
        </w:rPr>
        <w:footnoteRef/>
      </w:r>
      <w:r>
        <w:rPr>
          <w:i/>
          <w:iCs/>
        </w:rPr>
        <w:t xml:space="preserve"> </w:t>
      </w:r>
      <w:r w:rsidRPr="003D2091">
        <w:rPr>
          <w:i/>
          <w:iCs/>
        </w:rPr>
        <w:t>See</w:t>
      </w:r>
      <w:r w:rsidRPr="003D2091">
        <w:t xml:space="preserve"> Table 2 above, column (c) and (b), respectively.</w:t>
      </w:r>
    </w:p>
  </w:footnote>
  <w:footnote w:id="64">
    <w:p w14:paraId="78F14B83" w14:textId="4BB08394" w:rsidR="00083DA2" w:rsidRPr="003D2091" w:rsidRDefault="00083DA2">
      <w:pPr>
        <w:pStyle w:val="FootnoteText"/>
        <w:widowControl w:val="0"/>
        <w:spacing w:before="120"/>
      </w:pPr>
      <w:r w:rsidRPr="003D2091">
        <w:rPr>
          <w:rStyle w:val="FootnoteReference"/>
        </w:rPr>
        <w:footnoteRef/>
      </w:r>
      <w:r>
        <w:rPr>
          <w:i/>
          <w:iCs/>
        </w:rPr>
        <w:t xml:space="preserve"> </w:t>
      </w:r>
      <w:r w:rsidRPr="003D2091">
        <w:rPr>
          <w:i/>
          <w:iCs/>
        </w:rPr>
        <w:t>See</w:t>
      </w:r>
      <w:r w:rsidRPr="003D2091">
        <w:t xml:space="preserve"> Table 1, above (updated for errata) at column (d) at line 11.</w:t>
      </w:r>
    </w:p>
  </w:footnote>
  <w:footnote w:id="65">
    <w:p w14:paraId="5BEAC6F1" w14:textId="77777777" w:rsidR="00083DA2" w:rsidRPr="001D215C" w:rsidRDefault="00083DA2">
      <w:pPr>
        <w:pStyle w:val="FootnoteText"/>
        <w:widowControl w:val="0"/>
        <w:spacing w:before="120"/>
      </w:pPr>
      <w:r w:rsidRPr="003D2091">
        <w:rPr>
          <w:rStyle w:val="FootnoteReference"/>
        </w:rPr>
        <w:footnoteRef/>
      </w:r>
      <w:r w:rsidRPr="003D2091">
        <w:t xml:space="preserve">  Exhibit ORA-5A, at 6, line 19-21 (citing PG&amp;E Response to data request ORA-03, Question 2(j)).</w:t>
      </w:r>
    </w:p>
  </w:footnote>
  <w:footnote w:id="66">
    <w:p w14:paraId="58DEEA2F" w14:textId="77777777" w:rsidR="00083DA2" w:rsidRPr="003D2091" w:rsidRDefault="00083DA2">
      <w:pPr>
        <w:widowControl w:val="0"/>
        <w:spacing w:before="120" w:after="120"/>
        <w:rPr>
          <w:sz w:val="22"/>
          <w:szCs w:val="22"/>
        </w:rPr>
      </w:pPr>
      <w:r w:rsidRPr="003D2091">
        <w:rPr>
          <w:rStyle w:val="FootnoteReference"/>
          <w:sz w:val="22"/>
          <w:szCs w:val="22"/>
        </w:rPr>
        <w:footnoteRef/>
      </w:r>
      <w:r w:rsidRPr="001D215C">
        <w:rPr>
          <w:sz w:val="22"/>
          <w:szCs w:val="22"/>
        </w:rPr>
        <w:t xml:space="preserve"> </w:t>
      </w:r>
      <w:r w:rsidRPr="000D0357">
        <w:rPr>
          <w:i/>
          <w:iCs/>
          <w:sz w:val="22"/>
          <w:szCs w:val="22"/>
        </w:rPr>
        <w:t>See</w:t>
      </w:r>
      <w:r w:rsidRPr="0081788E">
        <w:rPr>
          <w:sz w:val="22"/>
          <w:szCs w:val="22"/>
        </w:rPr>
        <w:t xml:space="preserve"> Cal Advocates</w:t>
      </w:r>
      <w:r>
        <w:rPr>
          <w:sz w:val="22"/>
          <w:szCs w:val="22"/>
        </w:rPr>
        <w:t>’</w:t>
      </w:r>
      <w:r w:rsidRPr="0081788E">
        <w:rPr>
          <w:sz w:val="22"/>
          <w:szCs w:val="22"/>
        </w:rPr>
        <w:t xml:space="preserve"> Opening Brief at 15 and 16, Tables 5 and 6, respectively</w:t>
      </w:r>
      <w:r>
        <w:rPr>
          <w:sz w:val="22"/>
          <w:szCs w:val="22"/>
        </w:rPr>
        <w:t>.</w:t>
      </w:r>
      <w:r w:rsidRPr="0081788E">
        <w:rPr>
          <w:sz w:val="22"/>
          <w:szCs w:val="22"/>
        </w:rPr>
        <w:t xml:space="preserve"> </w:t>
      </w:r>
      <w:r w:rsidRPr="001D215C">
        <w:rPr>
          <w:sz w:val="22"/>
          <w:szCs w:val="22"/>
        </w:rPr>
        <w:t>As summarized by Cal Advocates in its Opening Brief at 10, Chapter 3 of PG&amp;</w:t>
      </w:r>
      <w:r w:rsidRPr="003D2091">
        <w:rPr>
          <w:sz w:val="22"/>
          <w:szCs w:val="22"/>
        </w:rPr>
        <w:t>E’s testimony, Exhibit PGE-1, presents the cost allocation results for Gas Distribution-Level Revenue Requirements based on the embedded cost method proposal. Chapter 6 of PG&amp;E’s testimony shows different results because this portion shows the consolidated impacts of several PG&amp;E proposals.  The update to throughput and the cost allocation results for Gas Distribution-Level Revenue Requirements are in Chapter 3 as well as the adopted gas distribution-level Pension and Cost of Capital cases (see page 6-2).  In addition, Chapter 6 consolidates the results of PG&amp;E’s proposals which update the allocation of various gas transportation revenue requirements, namely, the Energy Efficiency (EE) and Energy Savings Assistance (ESA) programs, the update to the Electric generation (EG) California Public Utilities Commission (CPUC) fee (see page 6-1), the updates to the Core Brokerage Fee (CBF) and the G-NGV2 Compression Cost (see page 6-2). See also, Exhibit ORA-03 for Cal Advocates’ complete EE/ESA recommendations on these proposals incorporated in PG&amp;E’s Chapter 6, and to Section III.A.1, of Exhibit ORA-5A, on the CBF and G-NGV2, and to Section III.A.3, of Exhibit ORA-5A, on the CPUC Fee.</w:t>
      </w:r>
    </w:p>
  </w:footnote>
  <w:footnote w:id="67">
    <w:p w14:paraId="7ACAF6B8" w14:textId="49987097" w:rsidR="00083DA2" w:rsidRPr="003D2091" w:rsidRDefault="00083DA2">
      <w:pPr>
        <w:pStyle w:val="FootnoteText"/>
        <w:widowControl w:val="0"/>
        <w:spacing w:before="120"/>
      </w:pPr>
      <w:r w:rsidRPr="003D2091">
        <w:rPr>
          <w:rStyle w:val="FootnoteReference"/>
        </w:rPr>
        <w:footnoteRef/>
      </w:r>
      <w:r>
        <w:rPr>
          <w:i/>
          <w:iCs/>
        </w:rPr>
        <w:t xml:space="preserve"> </w:t>
      </w:r>
      <w:r w:rsidRPr="001D215C">
        <w:rPr>
          <w:i/>
          <w:iCs/>
        </w:rPr>
        <w:t>See</w:t>
      </w:r>
      <w:r w:rsidRPr="003D2091">
        <w:t xml:space="preserve"> Cal Advocates’ Opening Brief at 28; and Exhibit ORA-5A, at 98, lines 22-26.</w:t>
      </w:r>
    </w:p>
  </w:footnote>
  <w:footnote w:id="68">
    <w:p w14:paraId="435188D3" w14:textId="77777777" w:rsidR="00083DA2" w:rsidRPr="003D2091" w:rsidRDefault="00083DA2">
      <w:pPr>
        <w:pStyle w:val="FootnoteText"/>
        <w:widowControl w:val="0"/>
        <w:spacing w:before="120"/>
      </w:pPr>
      <w:r w:rsidRPr="003D2091">
        <w:rPr>
          <w:rStyle w:val="FootnoteReference"/>
        </w:rPr>
        <w:footnoteRef/>
      </w:r>
      <w:r w:rsidRPr="001D215C">
        <w:t xml:space="preserve"> Exhibit PGE-1, at 7-8, line 2 to 7-9, line 12.  </w:t>
      </w:r>
    </w:p>
  </w:footnote>
  <w:footnote w:id="69">
    <w:p w14:paraId="29FAE67D" w14:textId="77777777" w:rsidR="00083DA2" w:rsidRPr="001D215C" w:rsidRDefault="00083DA2">
      <w:pPr>
        <w:pStyle w:val="FootnoteText"/>
        <w:widowControl w:val="0"/>
        <w:spacing w:before="120"/>
      </w:pPr>
      <w:r w:rsidRPr="003D2091">
        <w:rPr>
          <w:rStyle w:val="FootnoteReference"/>
        </w:rPr>
        <w:footnoteRef/>
      </w:r>
      <w:r w:rsidRPr="001D215C">
        <w:t xml:space="preserve"> See Exhibit ORA-5, at 84, lines 6-8; 87, lines 15-16.</w:t>
      </w:r>
    </w:p>
  </w:footnote>
  <w:footnote w:id="70">
    <w:p w14:paraId="1969091A" w14:textId="77777777" w:rsidR="00083DA2" w:rsidRPr="003D2091" w:rsidRDefault="00083DA2">
      <w:pPr>
        <w:pStyle w:val="FootnoteText"/>
        <w:widowControl w:val="0"/>
        <w:spacing w:before="120"/>
      </w:pPr>
      <w:r w:rsidRPr="003D2091">
        <w:rPr>
          <w:rStyle w:val="FootnoteReference"/>
        </w:rPr>
        <w:footnoteRef/>
      </w:r>
      <w:r w:rsidRPr="001D215C">
        <w:t xml:space="preserve"> Exhibit ORA-5, at</w:t>
      </w:r>
      <w:r w:rsidRPr="003D2091">
        <w:t>85, lines 14-16.</w:t>
      </w:r>
    </w:p>
  </w:footnote>
  <w:footnote w:id="71">
    <w:p w14:paraId="6D8EED0E" w14:textId="77777777" w:rsidR="00083DA2" w:rsidRPr="003D2091" w:rsidRDefault="00083DA2">
      <w:pPr>
        <w:pStyle w:val="FootnoteText"/>
        <w:widowControl w:val="0"/>
        <w:spacing w:before="120"/>
      </w:pPr>
      <w:r w:rsidRPr="003D2091">
        <w:rPr>
          <w:rStyle w:val="FootnoteReference"/>
        </w:rPr>
        <w:footnoteRef/>
      </w:r>
      <w:r w:rsidRPr="001D215C">
        <w:rPr>
          <w:i/>
          <w:iCs/>
        </w:rPr>
        <w:t>See</w:t>
      </w:r>
      <w:r w:rsidRPr="003D2091">
        <w:t xml:space="preserve"> Exhibit ORA-5, at 85, lines 7-14.  </w:t>
      </w:r>
    </w:p>
  </w:footnote>
  <w:footnote w:id="72">
    <w:p w14:paraId="1F291E49" w14:textId="77777777" w:rsidR="00083DA2" w:rsidRPr="003D2091" w:rsidRDefault="00083DA2">
      <w:pPr>
        <w:pStyle w:val="FootnoteText"/>
        <w:widowControl w:val="0"/>
        <w:spacing w:before="120"/>
      </w:pPr>
      <w:r w:rsidRPr="003D2091">
        <w:rPr>
          <w:rStyle w:val="FootnoteReference"/>
        </w:rPr>
        <w:footnoteRef/>
      </w:r>
      <w:r w:rsidRPr="001D215C">
        <w:rPr>
          <w:i/>
          <w:iCs/>
        </w:rPr>
        <w:t>See</w:t>
      </w:r>
      <w:r w:rsidRPr="003D2091">
        <w:t xml:space="preserve"> D. 93-06-087</w:t>
      </w:r>
      <w:r w:rsidRPr="003D2091">
        <w:rPr>
          <w:i/>
        </w:rPr>
        <w:t xml:space="preserve">, </w:t>
      </w:r>
      <w:r w:rsidRPr="003D2091">
        <w:t>50 CPUC 2d 1, 73.</w:t>
      </w:r>
    </w:p>
  </w:footnote>
  <w:footnote w:id="73">
    <w:p w14:paraId="077B9517" w14:textId="77777777" w:rsidR="00083DA2" w:rsidRPr="003D2091" w:rsidRDefault="00083DA2">
      <w:pPr>
        <w:pStyle w:val="FootnoteText"/>
        <w:widowControl w:val="0"/>
        <w:spacing w:before="120"/>
      </w:pPr>
      <w:r w:rsidRPr="003D2091">
        <w:rPr>
          <w:rStyle w:val="FootnoteReference"/>
        </w:rPr>
        <w:footnoteRef/>
      </w:r>
      <w:r w:rsidRPr="001D215C">
        <w:t xml:space="preserve"> Exhibit PGE-1, at 7-10, Table 7-7.</w:t>
      </w:r>
    </w:p>
  </w:footnote>
  <w:footnote w:id="74">
    <w:p w14:paraId="2B133A2C" w14:textId="77777777" w:rsidR="00083DA2" w:rsidRPr="001D215C" w:rsidRDefault="00083DA2">
      <w:pPr>
        <w:pStyle w:val="FootnoteText"/>
        <w:widowControl w:val="0"/>
        <w:spacing w:before="120"/>
      </w:pPr>
      <w:r w:rsidRPr="003D2091">
        <w:rPr>
          <w:rStyle w:val="FootnoteReference"/>
        </w:rPr>
        <w:footnoteRef/>
      </w:r>
      <w:r w:rsidRPr="001D215C">
        <w:t xml:space="preserve"> Exhibit PGE-1, at 7-9, lines 13-27.</w:t>
      </w:r>
    </w:p>
  </w:footnote>
  <w:footnote w:id="75">
    <w:p w14:paraId="1BAB60E9" w14:textId="77777777" w:rsidR="00083DA2" w:rsidRPr="001D215C" w:rsidRDefault="00083DA2">
      <w:pPr>
        <w:pStyle w:val="FootnoteText"/>
        <w:widowControl w:val="0"/>
        <w:spacing w:before="120"/>
      </w:pPr>
      <w:r w:rsidRPr="003D2091">
        <w:rPr>
          <w:rStyle w:val="FootnoteReference"/>
        </w:rPr>
        <w:footnoteRef/>
      </w:r>
      <w:r w:rsidRPr="003D2091">
        <w:t xml:space="preserve">  Exhibit PGE-1, at 7-13, lines 1-12.</w:t>
      </w:r>
    </w:p>
  </w:footnote>
  <w:footnote w:id="76">
    <w:p w14:paraId="18B18398" w14:textId="723FF71B" w:rsidR="00083DA2" w:rsidRPr="003D2091" w:rsidRDefault="00083DA2">
      <w:pPr>
        <w:pStyle w:val="FootnoteText"/>
        <w:widowControl w:val="0"/>
        <w:spacing w:before="120"/>
      </w:pPr>
      <w:r w:rsidRPr="003D2091">
        <w:rPr>
          <w:rStyle w:val="FootnoteReference"/>
        </w:rPr>
        <w:footnoteRef/>
      </w:r>
      <w:r>
        <w:rPr>
          <w:i/>
          <w:iCs/>
        </w:rPr>
        <w:t xml:space="preserve"> </w:t>
      </w:r>
      <w:r w:rsidRPr="001D215C">
        <w:rPr>
          <w:i/>
          <w:iCs/>
        </w:rPr>
        <w:t>Se</w:t>
      </w:r>
      <w:r w:rsidRPr="008550CD">
        <w:rPr>
          <w:i/>
          <w:iCs/>
        </w:rPr>
        <w:t>e</w:t>
      </w:r>
      <w:r w:rsidRPr="003D2091">
        <w:t xml:space="preserve"> Exhibit PGE-1, at 7-9, line 28 to 7-10, line 8, and 7-11, Table 7-8.</w:t>
      </w:r>
    </w:p>
  </w:footnote>
  <w:footnote w:id="77">
    <w:p w14:paraId="6D12137E" w14:textId="77777777" w:rsidR="00083DA2" w:rsidRPr="003D2091" w:rsidRDefault="00083DA2">
      <w:pPr>
        <w:widowControl w:val="0"/>
        <w:spacing w:before="120" w:after="120"/>
        <w:rPr>
          <w:sz w:val="22"/>
          <w:szCs w:val="22"/>
        </w:rPr>
      </w:pPr>
      <w:r w:rsidRPr="003D2091">
        <w:rPr>
          <w:rStyle w:val="FootnoteReference"/>
          <w:sz w:val="22"/>
          <w:szCs w:val="22"/>
        </w:rPr>
        <w:footnoteRef/>
      </w:r>
      <w:r w:rsidRPr="003D2091">
        <w:rPr>
          <w:sz w:val="22"/>
          <w:szCs w:val="22"/>
        </w:rPr>
        <w:t xml:space="preserve"> The first step would be to reduce the current 1.41 ratio to a bundled ratio of 1.35.  This initial step would be followed by additional reductions in the ratio of 0.05 annually in the Annual Gas True-Up (AGT) until the 1.20 ratio is achieved on a bundled basis for a customer moving from Tier 1 to Tier 2 in a given month. (See Exhibit PGE-1, at 7-11, lines 1-14)  To balance achieving the 1.2 ratio goal with limiting the number of transportation rate changes filed each year, PG&amp;E would calculate the necessary transportation rate differential in the AGT process, with the resulting ratio remaining in effect for the rest of the year. (See Exhibit PGE-1, at 7-9, line 28 to 7-10, line 8; and at 7-11, Table 7-8.)  </w:t>
      </w:r>
    </w:p>
  </w:footnote>
  <w:footnote w:id="78">
    <w:p w14:paraId="6982A83B" w14:textId="4381E090" w:rsidR="00083DA2" w:rsidRPr="003D2091" w:rsidRDefault="00083DA2">
      <w:pPr>
        <w:pStyle w:val="FootnoteText"/>
        <w:widowControl w:val="0"/>
        <w:spacing w:before="120"/>
      </w:pPr>
      <w:r w:rsidRPr="003D2091">
        <w:rPr>
          <w:rStyle w:val="FootnoteReference"/>
        </w:rPr>
        <w:footnoteRef/>
      </w:r>
      <w:r>
        <w:rPr>
          <w:i/>
          <w:iCs/>
        </w:rPr>
        <w:t xml:space="preserve"> </w:t>
      </w:r>
      <w:r w:rsidRPr="001D215C">
        <w:rPr>
          <w:i/>
          <w:iCs/>
        </w:rPr>
        <w:t xml:space="preserve">See </w:t>
      </w:r>
      <w:r w:rsidRPr="003D2091">
        <w:t xml:space="preserve">Application at 6. </w:t>
      </w:r>
    </w:p>
  </w:footnote>
  <w:footnote w:id="79">
    <w:p w14:paraId="547CC928" w14:textId="77777777" w:rsidR="00083DA2" w:rsidRPr="001D215C" w:rsidRDefault="00083DA2">
      <w:pPr>
        <w:pStyle w:val="FootnoteText"/>
        <w:widowControl w:val="0"/>
        <w:spacing w:before="120"/>
      </w:pPr>
      <w:r w:rsidRPr="003D2091">
        <w:rPr>
          <w:rStyle w:val="FootnoteReference"/>
        </w:rPr>
        <w:footnoteRef/>
      </w:r>
      <w:r w:rsidRPr="003D2091">
        <w:t xml:space="preserve">  Exhibit PGE-1, at 7-</w:t>
      </w:r>
      <w:r w:rsidRPr="001D215C">
        <w:t xml:space="preserve">15, lines 1-4, and footnote 7.  D.05-06-029, at 5.  </w:t>
      </w:r>
    </w:p>
  </w:footnote>
  <w:footnote w:id="80">
    <w:p w14:paraId="523DE8AF" w14:textId="1FD6C5E6" w:rsidR="00083DA2" w:rsidRPr="001D215C" w:rsidRDefault="00083DA2">
      <w:pPr>
        <w:widowControl w:val="0"/>
        <w:spacing w:before="120" w:after="120"/>
        <w:rPr>
          <w:sz w:val="22"/>
          <w:szCs w:val="22"/>
        </w:rPr>
      </w:pPr>
      <w:r w:rsidRPr="003D2091">
        <w:rPr>
          <w:rStyle w:val="FootnoteReference"/>
          <w:sz w:val="22"/>
          <w:szCs w:val="22"/>
        </w:rPr>
        <w:footnoteRef/>
      </w:r>
      <w:r w:rsidRPr="001D215C">
        <w:rPr>
          <w:sz w:val="22"/>
          <w:szCs w:val="22"/>
        </w:rPr>
        <w:t xml:space="preserve"> See PG&amp;E’s Opening Brief at 18 (citing, Exhibit PGE-1, at 7-15, lines 18-23).   </w:t>
      </w:r>
    </w:p>
  </w:footnote>
  <w:footnote w:id="81">
    <w:p w14:paraId="2C1463A8" w14:textId="34EE3841" w:rsidR="00083DA2" w:rsidRPr="003D2091" w:rsidRDefault="00083DA2">
      <w:pPr>
        <w:pStyle w:val="FootnoteText"/>
        <w:widowControl w:val="0"/>
        <w:spacing w:before="120"/>
      </w:pPr>
      <w:r w:rsidRPr="003D2091">
        <w:rPr>
          <w:rStyle w:val="FootnoteReference"/>
        </w:rPr>
        <w:footnoteRef/>
      </w:r>
      <w:r>
        <w:rPr>
          <w:i/>
          <w:iCs/>
        </w:rPr>
        <w:t xml:space="preserve"> </w:t>
      </w:r>
      <w:r w:rsidRPr="001D215C">
        <w:rPr>
          <w:i/>
          <w:iCs/>
        </w:rPr>
        <w:t>See</w:t>
      </w:r>
      <w:r w:rsidRPr="001D215C">
        <w:t xml:space="preserve"> Cal Advocates’ workpaper - Exhibit ORA 05-WP, PG&amp;</w:t>
      </w:r>
      <w:r w:rsidRPr="003D2091">
        <w:t>E response to ORA_003-Informal_mtg3192018, at 5.), and Exhibit ORA-5, at 89, lines 12-14.</w:t>
      </w:r>
    </w:p>
  </w:footnote>
  <w:footnote w:id="82">
    <w:p w14:paraId="253FF4F5" w14:textId="3A1193A4" w:rsidR="00083DA2" w:rsidRPr="003D2091" w:rsidRDefault="00083DA2">
      <w:pPr>
        <w:pStyle w:val="FootnoteText"/>
        <w:widowControl w:val="0"/>
        <w:spacing w:before="120"/>
      </w:pPr>
      <w:r w:rsidRPr="003D2091">
        <w:rPr>
          <w:rStyle w:val="FootnoteReference"/>
        </w:rPr>
        <w:footnoteRef/>
      </w:r>
      <w:r>
        <w:rPr>
          <w:i/>
          <w:iCs/>
        </w:rPr>
        <w:t xml:space="preserve"> </w:t>
      </w:r>
      <w:r w:rsidRPr="001D215C">
        <w:rPr>
          <w:i/>
          <w:iCs/>
        </w:rPr>
        <w:t>See</w:t>
      </w:r>
      <w:r w:rsidRPr="001D215C">
        <w:t xml:space="preserve"> Exhibit PGE-1, at</w:t>
      </w:r>
      <w:r>
        <w:t xml:space="preserve"> </w:t>
      </w:r>
      <w:r w:rsidRPr="003D2091">
        <w:t>7-17, lines 7-11. In support of this argument, PG&amp;E explains about 32,500 customers with open accounts had 0 therms of usage during the 12 months ending April 2017, which means they paid nothing towards their cost of service for meter, regulator, and service line and an additional 280,000 customers had 0 usage for 1-11 months in the same 12 month period.  In total, about $20 million of the $95 million that PG&amp;E’s proposed Minimum Transportation Charge would collect would come from bills that would otherwise be $0. (</w:t>
      </w:r>
      <w:r w:rsidRPr="00F93F5F">
        <w:rPr>
          <w:i/>
          <w:iCs/>
        </w:rPr>
        <w:t>See</w:t>
      </w:r>
      <w:r w:rsidRPr="003D2091">
        <w:t xml:space="preserve"> Exhibit PGE-3, at6/7/8-19, lines 23-29</w:t>
      </w:r>
      <w:r>
        <w:t>.</w:t>
      </w:r>
      <w:r w:rsidRPr="003D2091">
        <w:t xml:space="preserve">) Thus, PG&amp;E contends that the $95 million (anticipated to be collected through the proposed Minimum Transportation Charge increases herein) would be used to reduce the volumetric rate.  PG&amp;E concludes that its Minimum Transportation Charge increases serve the idea that all customers need to contribute at least minimally to help pay for transportation services in addition to reducing winter bill volatility and bill level. (See Exhibit PGE-1, at 7-16, lines 1-2; and Exhibit PGE-3, at 6/7/8-29, lines 11-32.)  </w:t>
      </w:r>
    </w:p>
  </w:footnote>
  <w:footnote w:id="83">
    <w:p w14:paraId="21A51513" w14:textId="77777777" w:rsidR="00083DA2" w:rsidRPr="001D215C" w:rsidRDefault="00083DA2">
      <w:pPr>
        <w:pStyle w:val="FootnoteText"/>
        <w:widowControl w:val="0"/>
        <w:spacing w:before="120"/>
      </w:pPr>
      <w:r w:rsidRPr="003D2091">
        <w:rPr>
          <w:rStyle w:val="FootnoteReference"/>
        </w:rPr>
        <w:footnoteRef/>
      </w:r>
      <w:r w:rsidRPr="003D2091">
        <w:t xml:space="preserve">  Exhibit ORA-5, at 88, lines 19-21.</w:t>
      </w:r>
    </w:p>
  </w:footnote>
  <w:footnote w:id="84">
    <w:p w14:paraId="55264AF9" w14:textId="0D4D2D9C" w:rsidR="00083DA2" w:rsidRPr="003D2091" w:rsidRDefault="00083DA2">
      <w:pPr>
        <w:pStyle w:val="FootnoteText"/>
        <w:widowControl w:val="0"/>
        <w:spacing w:before="120"/>
      </w:pPr>
      <w:r w:rsidRPr="003D2091">
        <w:rPr>
          <w:rStyle w:val="FootnoteReference"/>
        </w:rPr>
        <w:footnoteRef/>
      </w:r>
      <w:r w:rsidRPr="003D2091">
        <w:t xml:space="preserve">  Exhibit ORA-5, at</w:t>
      </w:r>
      <w:r>
        <w:t xml:space="preserve"> </w:t>
      </w:r>
      <w:r w:rsidRPr="003D2091">
        <w:t>90, lines 6-12.</w:t>
      </w:r>
    </w:p>
  </w:footnote>
  <w:footnote w:id="85">
    <w:p w14:paraId="391720D4" w14:textId="67E67D1D" w:rsidR="00083DA2" w:rsidRPr="003D2091" w:rsidRDefault="00083DA2">
      <w:pPr>
        <w:pStyle w:val="FootnoteText"/>
        <w:widowControl w:val="0"/>
        <w:spacing w:before="120"/>
      </w:pPr>
      <w:r w:rsidRPr="003D2091">
        <w:rPr>
          <w:rStyle w:val="FootnoteReference"/>
        </w:rPr>
        <w:footnoteRef/>
      </w:r>
      <w:r>
        <w:rPr>
          <w:i/>
          <w:iCs/>
        </w:rPr>
        <w:t xml:space="preserve">  </w:t>
      </w:r>
      <w:r w:rsidRPr="001D215C">
        <w:rPr>
          <w:i/>
          <w:iCs/>
        </w:rPr>
        <w:t>See</w:t>
      </w:r>
      <w:r w:rsidRPr="003D2091">
        <w:t xml:space="preserve"> Exhibit ORA-5A, at 88, lines 14-15, citing D.05-06-029, Finding of Fact #2, at 24.</w:t>
      </w:r>
    </w:p>
  </w:footnote>
  <w:footnote w:id="86">
    <w:p w14:paraId="47532DD9" w14:textId="77777777" w:rsidR="00083DA2" w:rsidRPr="003D2091" w:rsidRDefault="00083DA2">
      <w:pPr>
        <w:pStyle w:val="FootnoteText"/>
        <w:widowControl w:val="0"/>
        <w:spacing w:before="120"/>
      </w:pPr>
      <w:r w:rsidRPr="003D2091">
        <w:rPr>
          <w:rStyle w:val="FootnoteReference"/>
        </w:rPr>
        <w:footnoteRef/>
      </w:r>
      <w:r w:rsidRPr="003D2091">
        <w:t xml:space="preserve">  Citing Public Participation Hearings transcript, Vol 6 (San Jose) at 450, lines 19-23; and Vol 7 (Oakland) at 643, lines 4-7.  See also various comments in Vol 7 (Oakland) at 639, line 14 to 652, line 28. </w:t>
      </w:r>
    </w:p>
  </w:footnote>
  <w:footnote w:id="87">
    <w:p w14:paraId="5D12A696" w14:textId="77777777" w:rsidR="00083DA2" w:rsidRPr="001D215C" w:rsidRDefault="00083DA2">
      <w:pPr>
        <w:pStyle w:val="FootnoteText"/>
        <w:widowControl w:val="0"/>
        <w:spacing w:before="120"/>
      </w:pPr>
      <w:r w:rsidRPr="003D2091">
        <w:rPr>
          <w:rStyle w:val="FootnoteReference"/>
        </w:rPr>
        <w:footnoteRef/>
      </w:r>
      <w:r w:rsidRPr="003D2091">
        <w:t xml:space="preserve">  Exhibit ORA-5A, at 88, lines 16-19.</w:t>
      </w:r>
    </w:p>
  </w:footnote>
  <w:footnote w:id="88">
    <w:p w14:paraId="2F8DB0A5" w14:textId="77777777" w:rsidR="00083DA2" w:rsidRPr="001D215C" w:rsidRDefault="00083DA2">
      <w:pPr>
        <w:pStyle w:val="FootnoteText"/>
        <w:widowControl w:val="0"/>
        <w:spacing w:before="120"/>
      </w:pPr>
      <w:r w:rsidRPr="003D2091">
        <w:rPr>
          <w:rStyle w:val="FootnoteReference"/>
        </w:rPr>
        <w:footnoteRef/>
      </w:r>
      <w:r w:rsidRPr="003D2091">
        <w:t xml:space="preserve">  Exhibit ORA-5A, at 88, lines 19-22.</w:t>
      </w:r>
    </w:p>
  </w:footnote>
  <w:footnote w:id="89">
    <w:p w14:paraId="69BE6FD9" w14:textId="0692E5D9" w:rsidR="00083DA2" w:rsidRPr="003D2091" w:rsidRDefault="00083DA2">
      <w:pPr>
        <w:pStyle w:val="FootnoteText"/>
        <w:widowControl w:val="0"/>
        <w:spacing w:before="120"/>
      </w:pPr>
      <w:r w:rsidRPr="003D2091">
        <w:rPr>
          <w:rStyle w:val="FootnoteReference"/>
        </w:rPr>
        <w:footnoteRef/>
      </w:r>
      <w:r>
        <w:rPr>
          <w:i/>
          <w:iCs/>
        </w:rPr>
        <w:t xml:space="preserve"> </w:t>
      </w:r>
      <w:r w:rsidRPr="001D215C">
        <w:rPr>
          <w:i/>
          <w:iCs/>
        </w:rPr>
        <w:t>See</w:t>
      </w:r>
      <w:r w:rsidRPr="003D2091">
        <w:t xml:space="preserve"> TURN’s Opening Brief at 34-36.  According to TURN, if these proposals are adopted, the average bills for customers using 50% of average usage will increase by an average of 17.3%, whereas average bills for customers using 150% of average usage will decrease by 0.26%.   </w:t>
      </w:r>
    </w:p>
  </w:footnote>
  <w:footnote w:id="90">
    <w:p w14:paraId="49D5C3BA" w14:textId="052A0C8A" w:rsidR="00083DA2" w:rsidRPr="003D2091" w:rsidRDefault="00083DA2">
      <w:pPr>
        <w:pStyle w:val="FootnoteText"/>
        <w:widowControl w:val="0"/>
        <w:spacing w:before="120"/>
      </w:pPr>
      <w:r w:rsidRPr="003D2091">
        <w:rPr>
          <w:rStyle w:val="FootnoteReference"/>
        </w:rPr>
        <w:footnoteRef/>
      </w:r>
      <w:r>
        <w:rPr>
          <w:i/>
          <w:iCs/>
        </w:rPr>
        <w:t xml:space="preserve"> </w:t>
      </w:r>
      <w:r w:rsidRPr="001D215C">
        <w:rPr>
          <w:i/>
          <w:iCs/>
        </w:rPr>
        <w:t xml:space="preserve">See </w:t>
      </w:r>
      <w:r w:rsidRPr="003D2091">
        <w:t>Exhibit PGE-4, at 5; Exhibit TURN-1, at 28; and Exhibit ORA-5, at 92-93.</w:t>
      </w:r>
    </w:p>
  </w:footnote>
  <w:footnote w:id="91">
    <w:p w14:paraId="28C2A5FE" w14:textId="77777777" w:rsidR="00083DA2" w:rsidRPr="001D215C" w:rsidRDefault="00083DA2">
      <w:pPr>
        <w:pStyle w:val="FootnoteText"/>
        <w:widowControl w:val="0"/>
        <w:spacing w:before="120"/>
      </w:pPr>
      <w:r w:rsidRPr="003D2091">
        <w:rPr>
          <w:rStyle w:val="FootnoteReference"/>
        </w:rPr>
        <w:footnoteRef/>
      </w:r>
      <w:r w:rsidRPr="003D2091">
        <w:t xml:space="preserve">  Exhibit TURN-1, at 27.</w:t>
      </w:r>
    </w:p>
  </w:footnote>
  <w:footnote w:id="92">
    <w:p w14:paraId="4E66B892" w14:textId="77777777" w:rsidR="00083DA2" w:rsidRPr="003D2091" w:rsidRDefault="00083DA2">
      <w:pPr>
        <w:pStyle w:val="FootnoteText"/>
        <w:widowControl w:val="0"/>
        <w:spacing w:before="120"/>
      </w:pPr>
      <w:r w:rsidRPr="003D2091">
        <w:rPr>
          <w:rStyle w:val="FootnoteReference"/>
        </w:rPr>
        <w:footnoteRef/>
      </w:r>
      <w:r w:rsidRPr="003D2091">
        <w:t xml:space="preserve">  Exhibit T</w:t>
      </w:r>
      <w:r w:rsidRPr="001D215C">
        <w:t>URN-1, at</w:t>
      </w:r>
      <w:r w:rsidRPr="003D2091">
        <w:t>28.</w:t>
      </w:r>
    </w:p>
  </w:footnote>
  <w:footnote w:id="93">
    <w:p w14:paraId="55C394D3" w14:textId="77777777" w:rsidR="00083DA2" w:rsidRPr="001D215C" w:rsidRDefault="00083DA2">
      <w:pPr>
        <w:pStyle w:val="FootnoteText"/>
        <w:widowControl w:val="0"/>
        <w:spacing w:before="120"/>
      </w:pPr>
      <w:r w:rsidRPr="003D2091">
        <w:rPr>
          <w:rStyle w:val="FootnoteReference"/>
        </w:rPr>
        <w:footnoteRef/>
      </w:r>
      <w:r w:rsidRPr="003D2091">
        <w:t xml:space="preserve">  Exhibit ORA-5, at 97, lines 2-4.</w:t>
      </w:r>
    </w:p>
  </w:footnote>
  <w:footnote w:id="94">
    <w:p w14:paraId="4B31500C" w14:textId="77777777" w:rsidR="00083DA2" w:rsidRPr="001D215C" w:rsidRDefault="00083DA2">
      <w:pPr>
        <w:pStyle w:val="FootnoteText"/>
        <w:widowControl w:val="0"/>
        <w:spacing w:before="120"/>
      </w:pPr>
      <w:r w:rsidRPr="003D2091">
        <w:rPr>
          <w:rStyle w:val="FootnoteReference"/>
        </w:rPr>
        <w:footnoteRef/>
      </w:r>
      <w:r w:rsidRPr="003D2091">
        <w:t xml:space="preserve">  Exhibit PGE-3, at 6/7/8-15, lines 19-23.</w:t>
      </w:r>
    </w:p>
  </w:footnote>
  <w:footnote w:id="95">
    <w:p w14:paraId="3DD8BDB1" w14:textId="77777777" w:rsidR="00083DA2" w:rsidRPr="001D215C" w:rsidRDefault="00083DA2">
      <w:pPr>
        <w:pStyle w:val="FootnoteText"/>
        <w:widowControl w:val="0"/>
        <w:spacing w:before="120"/>
      </w:pPr>
      <w:r w:rsidRPr="003D2091">
        <w:rPr>
          <w:rStyle w:val="FootnoteReference"/>
        </w:rPr>
        <w:footnoteRef/>
      </w:r>
      <w:r w:rsidRPr="003D2091">
        <w:t xml:space="preserve">  PG&amp;E’s Opening Brief at 52, citing, Exhibit TURN-1, at 28.</w:t>
      </w:r>
    </w:p>
  </w:footnote>
  <w:footnote w:id="96">
    <w:p w14:paraId="3EF20744" w14:textId="4C886C14" w:rsidR="00083DA2" w:rsidRPr="001D215C" w:rsidRDefault="00083DA2">
      <w:pPr>
        <w:pStyle w:val="FootnoteText"/>
        <w:widowControl w:val="0"/>
        <w:spacing w:before="120"/>
      </w:pPr>
      <w:r w:rsidRPr="003D2091">
        <w:rPr>
          <w:rStyle w:val="FootnoteReference"/>
        </w:rPr>
        <w:footnoteRef/>
      </w:r>
      <w:r w:rsidRPr="003D2091">
        <w:t xml:space="preserve">  The electric minimum monthly delivery bill is $10, approved in D.15-07-011.</w:t>
      </w:r>
    </w:p>
  </w:footnote>
  <w:footnote w:id="97">
    <w:p w14:paraId="660D9EFB" w14:textId="77777777" w:rsidR="00083DA2" w:rsidRPr="003D2091" w:rsidRDefault="00083DA2">
      <w:pPr>
        <w:pStyle w:val="FootnoteText"/>
        <w:widowControl w:val="0"/>
        <w:spacing w:before="120"/>
      </w:pPr>
      <w:r w:rsidRPr="003D2091">
        <w:rPr>
          <w:rStyle w:val="FootnoteReference"/>
        </w:rPr>
        <w:footnoteRef/>
      </w:r>
      <w:r w:rsidRPr="003D2091">
        <w:t xml:space="preserve">  PG&amp;</w:t>
      </w:r>
      <w:r w:rsidRPr="001D215C">
        <w:t>E’s Opening Brief at 52.</w:t>
      </w:r>
    </w:p>
  </w:footnote>
  <w:footnote w:id="98">
    <w:p w14:paraId="3398F6E0" w14:textId="77777777" w:rsidR="00083DA2" w:rsidRPr="001D215C" w:rsidRDefault="00083DA2">
      <w:pPr>
        <w:pStyle w:val="FootnoteText"/>
        <w:widowControl w:val="0"/>
        <w:spacing w:before="120"/>
      </w:pPr>
      <w:r w:rsidRPr="003D2091">
        <w:rPr>
          <w:rStyle w:val="FootnoteReference"/>
        </w:rPr>
        <w:footnoteRef/>
      </w:r>
      <w:r w:rsidRPr="003D2091">
        <w:t xml:space="preserve">  PG&amp;E, Exhibit PGE-3, at 6/7/8-23, lines 24-28; and 6/7/8-24, lines 6-8.</w:t>
      </w:r>
    </w:p>
  </w:footnote>
  <w:footnote w:id="99">
    <w:p w14:paraId="0E43B43D" w14:textId="7B2E3F8E" w:rsidR="00083DA2" w:rsidRPr="00431F1E" w:rsidRDefault="00083DA2">
      <w:pPr>
        <w:pStyle w:val="ListParagraph"/>
        <w:widowControl w:val="0"/>
        <w:numPr>
          <w:ilvl w:val="0"/>
          <w:numId w:val="0"/>
        </w:numPr>
        <w:spacing w:before="120" w:after="120"/>
        <w:rPr>
          <w:sz w:val="22"/>
          <w:szCs w:val="22"/>
        </w:rPr>
      </w:pPr>
      <w:r w:rsidRPr="003D2091">
        <w:rPr>
          <w:rStyle w:val="FootnoteReference"/>
          <w:sz w:val="22"/>
          <w:szCs w:val="22"/>
        </w:rPr>
        <w:footnoteRef/>
      </w:r>
      <w:r w:rsidRPr="003D2091">
        <w:rPr>
          <w:sz w:val="22"/>
          <w:szCs w:val="22"/>
        </w:rPr>
        <w:t xml:space="preserve">  PG&amp;E contends that while the $10 Minimum Transportation Charge have a narrow range of impacts when compared with the PG&amp;E’s proposed $15 Minimum Transportation Charge, the $10 Minimum Transportation Charge does not provide as much benefit in winter bill reductions as the $15 Minimum Transportation Charge, but does provide a significant impact compared to the $4 level proposed by ORA and supported by TURN.  (See Table 6-17 in PG&amp;E Exhibit 3</w:t>
      </w:r>
      <w:r>
        <w:rPr>
          <w:sz w:val="22"/>
          <w:szCs w:val="22"/>
        </w:rPr>
        <w:t>.</w:t>
      </w:r>
      <w:r w:rsidRPr="003D2091">
        <w:rPr>
          <w:sz w:val="22"/>
          <w:szCs w:val="22"/>
        </w:rPr>
        <w:t>)</w:t>
      </w:r>
    </w:p>
  </w:footnote>
  <w:footnote w:id="100">
    <w:p w14:paraId="566638DD" w14:textId="77777777" w:rsidR="00083DA2" w:rsidRPr="003D2091" w:rsidRDefault="00083DA2">
      <w:pPr>
        <w:widowControl w:val="0"/>
        <w:spacing w:before="120" w:after="120"/>
        <w:rPr>
          <w:sz w:val="22"/>
          <w:szCs w:val="22"/>
        </w:rPr>
      </w:pPr>
      <w:r w:rsidRPr="003D2091">
        <w:rPr>
          <w:rStyle w:val="FootnoteReference"/>
          <w:sz w:val="22"/>
          <w:szCs w:val="22"/>
        </w:rPr>
        <w:footnoteRef/>
      </w:r>
      <w:r w:rsidRPr="001D215C">
        <w:rPr>
          <w:sz w:val="22"/>
          <w:szCs w:val="22"/>
        </w:rPr>
        <w:t xml:space="preserve"> Exhibit ORA-5A, at 97, lines 20-21.  </w:t>
      </w:r>
      <w:r w:rsidRPr="003D2091">
        <w:rPr>
          <w:color w:val="000000"/>
          <w:sz w:val="22"/>
          <w:szCs w:val="22"/>
        </w:rPr>
        <w:t xml:space="preserve">According to Cal Advocates’ Opening Brief at 26-27, these customers are those who have very high maximum daily peak gas therm consumption associated with meters with greater capacity and cost than the normal residential meters (citing </w:t>
      </w:r>
      <w:r w:rsidRPr="003D2091">
        <w:rPr>
          <w:sz w:val="22"/>
          <w:szCs w:val="22"/>
        </w:rPr>
        <w:t xml:space="preserve">Exhibit PGE-1, at 7-2); and the </w:t>
      </w:r>
      <w:r w:rsidRPr="003D2091">
        <w:rPr>
          <w:color w:val="000000"/>
          <w:sz w:val="22"/>
          <w:szCs w:val="22"/>
        </w:rPr>
        <w:t xml:space="preserve">proposal would be implemented for the top 2-3 percent of Non-CARE residential customers whose usage requires more expensive commercial-sized regulators and meters (citing </w:t>
      </w:r>
      <w:r w:rsidRPr="003D2091">
        <w:rPr>
          <w:sz w:val="22"/>
          <w:szCs w:val="22"/>
        </w:rPr>
        <w:t>Exhibit PGE-1, at 1-6)</w:t>
      </w:r>
      <w:r w:rsidRPr="003D2091">
        <w:rPr>
          <w:color w:val="000000"/>
          <w:sz w:val="22"/>
          <w:szCs w:val="22"/>
        </w:rPr>
        <w:t>.</w:t>
      </w:r>
    </w:p>
  </w:footnote>
  <w:footnote w:id="101">
    <w:p w14:paraId="2AA052AC" w14:textId="77777777" w:rsidR="00083DA2" w:rsidRPr="001D215C" w:rsidRDefault="00083DA2">
      <w:pPr>
        <w:pStyle w:val="FootnoteText"/>
        <w:widowControl w:val="0"/>
        <w:spacing w:before="120"/>
      </w:pPr>
      <w:r w:rsidRPr="003D2091">
        <w:rPr>
          <w:rStyle w:val="FootnoteReference"/>
        </w:rPr>
        <w:footnoteRef/>
      </w:r>
      <w:r w:rsidRPr="003D2091">
        <w:t xml:space="preserve">  Exhibit ORA-5A, at 97, lines 22-23.</w:t>
      </w:r>
    </w:p>
  </w:footnote>
  <w:footnote w:id="102">
    <w:p w14:paraId="639068E6" w14:textId="3026EDDE" w:rsidR="00083DA2" w:rsidRPr="003D2091" w:rsidRDefault="00083DA2">
      <w:pPr>
        <w:pStyle w:val="FootnoteText"/>
        <w:widowControl w:val="0"/>
        <w:spacing w:before="120"/>
      </w:pPr>
      <w:r w:rsidRPr="003D2091">
        <w:rPr>
          <w:rStyle w:val="FootnoteReference"/>
        </w:rPr>
        <w:footnoteRef/>
      </w:r>
      <w:r>
        <w:rPr>
          <w:i/>
          <w:iCs/>
        </w:rPr>
        <w:t xml:space="preserve"> </w:t>
      </w:r>
      <w:r w:rsidRPr="001D215C">
        <w:rPr>
          <w:i/>
          <w:iCs/>
        </w:rPr>
        <w:t xml:space="preserve">See </w:t>
      </w:r>
      <w:r w:rsidRPr="003D2091">
        <w:t>Cal Advocates’ Opening Brief at 27 (citing Exhibit ORA-5A, at 97, ln. 24 through 98, lines 1-3, citing PG&amp;E Response to data request ORA-15, Q.1(h)).</w:t>
      </w:r>
    </w:p>
  </w:footnote>
  <w:footnote w:id="103">
    <w:p w14:paraId="36152648" w14:textId="77777777" w:rsidR="00083DA2" w:rsidRPr="003D2091" w:rsidRDefault="00083DA2">
      <w:pPr>
        <w:pStyle w:val="FootnoteText"/>
        <w:widowControl w:val="0"/>
        <w:spacing w:before="120"/>
      </w:pPr>
      <w:r w:rsidRPr="003D2091">
        <w:rPr>
          <w:rStyle w:val="FootnoteReference"/>
        </w:rPr>
        <w:footnoteRef/>
      </w:r>
      <w:r w:rsidRPr="001D215C">
        <w:rPr>
          <w:i/>
          <w:iCs/>
        </w:rPr>
        <w:t>See</w:t>
      </w:r>
      <w:r w:rsidRPr="001D215C">
        <w:t xml:space="preserve"> Cal Advocate’s Opening Brie</w:t>
      </w:r>
      <w:r w:rsidRPr="003D2091">
        <w:t>f at 26 (citing Exhibit PGE-1, at 7-2.)</w:t>
      </w:r>
    </w:p>
  </w:footnote>
  <w:footnote w:id="104">
    <w:p w14:paraId="62CF335E" w14:textId="18BAAC55" w:rsidR="00083DA2" w:rsidRPr="003D2091" w:rsidRDefault="00083DA2">
      <w:pPr>
        <w:pStyle w:val="FootnoteText"/>
        <w:widowControl w:val="0"/>
        <w:spacing w:before="120"/>
      </w:pPr>
      <w:r w:rsidRPr="003D2091">
        <w:rPr>
          <w:rStyle w:val="FootnoteReference"/>
        </w:rPr>
        <w:footnoteRef/>
      </w:r>
      <w:r>
        <w:rPr>
          <w:i/>
          <w:iCs/>
        </w:rPr>
        <w:t xml:space="preserve"> </w:t>
      </w:r>
      <w:r w:rsidRPr="001D215C">
        <w:rPr>
          <w:i/>
          <w:iCs/>
        </w:rPr>
        <w:t>See</w:t>
      </w:r>
      <w:r w:rsidRPr="001D215C">
        <w:t xml:space="preserve"> TURN’s Opening Brief at 34-36.  </w:t>
      </w:r>
    </w:p>
  </w:footnote>
  <w:footnote w:id="105">
    <w:p w14:paraId="41F28573" w14:textId="7B42E360" w:rsidR="00083DA2" w:rsidRPr="003D2091" w:rsidRDefault="00083DA2">
      <w:pPr>
        <w:pStyle w:val="FootnoteText"/>
        <w:widowControl w:val="0"/>
        <w:spacing w:before="120"/>
      </w:pPr>
      <w:r w:rsidRPr="003D2091">
        <w:rPr>
          <w:rStyle w:val="FootnoteReference"/>
        </w:rPr>
        <w:footnoteRef/>
      </w:r>
      <w:r>
        <w:rPr>
          <w:i/>
          <w:iCs/>
        </w:rPr>
        <w:t xml:space="preserve"> </w:t>
      </w:r>
      <w:r w:rsidRPr="001D215C">
        <w:rPr>
          <w:i/>
          <w:iCs/>
        </w:rPr>
        <w:t>See</w:t>
      </w:r>
      <w:r w:rsidRPr="001D215C">
        <w:t xml:space="preserve"> Cal Advocates’ Opening Brief at 23-24.</w:t>
      </w:r>
    </w:p>
  </w:footnote>
  <w:footnote w:id="106">
    <w:p w14:paraId="0FF660A0" w14:textId="576523B2" w:rsidR="00083DA2" w:rsidRPr="003D2091" w:rsidRDefault="00083DA2">
      <w:pPr>
        <w:pStyle w:val="FootnoteText"/>
        <w:widowControl w:val="0"/>
        <w:spacing w:before="120"/>
      </w:pPr>
      <w:r w:rsidRPr="003D2091">
        <w:rPr>
          <w:rStyle w:val="FootnoteReference"/>
        </w:rPr>
        <w:footnoteRef/>
      </w:r>
      <w:r>
        <w:rPr>
          <w:i/>
          <w:iCs/>
        </w:rPr>
        <w:t xml:space="preserve"> </w:t>
      </w:r>
      <w:r w:rsidRPr="001D215C">
        <w:rPr>
          <w:i/>
          <w:iCs/>
        </w:rPr>
        <w:t>See</w:t>
      </w:r>
      <w:r w:rsidRPr="001D215C">
        <w:t xml:space="preserve"> Cal Advocates’ Opening Brief at 23-24; citing Exhibit PGE-1, Table 7-12.  </w:t>
      </w:r>
    </w:p>
  </w:footnote>
  <w:footnote w:id="107">
    <w:p w14:paraId="79E5976A" w14:textId="5FA64C79" w:rsidR="00083DA2" w:rsidRPr="003D2091" w:rsidRDefault="00083DA2">
      <w:pPr>
        <w:pStyle w:val="FootnoteText"/>
        <w:widowControl w:val="0"/>
        <w:spacing w:before="120"/>
      </w:pPr>
      <w:r w:rsidRPr="003D2091">
        <w:rPr>
          <w:rStyle w:val="FootnoteReference"/>
        </w:rPr>
        <w:footnoteRef/>
      </w:r>
      <w:r>
        <w:rPr>
          <w:i/>
          <w:iCs/>
        </w:rPr>
        <w:t xml:space="preserve"> </w:t>
      </w:r>
      <w:r w:rsidRPr="001D215C">
        <w:rPr>
          <w:i/>
          <w:iCs/>
        </w:rPr>
        <w:t>See</w:t>
      </w:r>
      <w:r w:rsidRPr="001D215C">
        <w:t xml:space="preserve"> also, Exhibit ORA-5A, at 93, lines 14-28 through 94, lines 1-2, citing PG&amp;E Response to data request ORA-08, Q.05(g).</w:t>
      </w:r>
    </w:p>
  </w:footnote>
  <w:footnote w:id="108">
    <w:p w14:paraId="77EEADAC" w14:textId="265F84A5" w:rsidR="00083DA2" w:rsidRPr="003D2091" w:rsidRDefault="00083DA2">
      <w:pPr>
        <w:pStyle w:val="FootnoteText"/>
        <w:widowControl w:val="0"/>
        <w:spacing w:before="120"/>
      </w:pPr>
      <w:r w:rsidRPr="003D2091">
        <w:rPr>
          <w:rStyle w:val="FootnoteReference"/>
        </w:rPr>
        <w:footnoteRef/>
      </w:r>
      <w:r>
        <w:rPr>
          <w:i/>
          <w:iCs/>
        </w:rPr>
        <w:t xml:space="preserve"> </w:t>
      </w:r>
      <w:r w:rsidRPr="001D215C">
        <w:rPr>
          <w:i/>
          <w:iCs/>
        </w:rPr>
        <w:t>See</w:t>
      </w:r>
      <w:r w:rsidRPr="001D215C">
        <w:t xml:space="preserve"> PG&amp;E’s GCAP Workpapers</w:t>
      </w:r>
      <w:r w:rsidRPr="003D2091">
        <w:t xml:space="preserve"> Updated for Errata 02152018 in the PG&amp;E RD Model at Tab “Res_MinMoTransBillRev” at cell B32.</w:t>
      </w:r>
    </w:p>
  </w:footnote>
  <w:footnote w:id="109">
    <w:p w14:paraId="1A899C8B" w14:textId="77777777" w:rsidR="00083DA2" w:rsidRPr="00431F1E" w:rsidRDefault="00083DA2" w:rsidP="00431F1E">
      <w:pPr>
        <w:pStyle w:val="FootnoteText"/>
        <w:widowControl w:val="0"/>
        <w:spacing w:before="120"/>
        <w:ind w:left="720" w:hanging="720"/>
      </w:pPr>
      <w:r w:rsidRPr="00431F1E">
        <w:rPr>
          <w:rStyle w:val="FootnoteReference"/>
        </w:rPr>
        <w:footnoteRef/>
      </w:r>
      <w:r w:rsidRPr="00431F1E">
        <w:t xml:space="preserve">  Exhibit TURN-1 at 27.</w:t>
      </w:r>
    </w:p>
  </w:footnote>
  <w:footnote w:id="110">
    <w:p w14:paraId="64D87817" w14:textId="23404604" w:rsidR="00083DA2" w:rsidRPr="003D2091" w:rsidRDefault="00083DA2" w:rsidP="00431F1E">
      <w:pPr>
        <w:pStyle w:val="FootnoteText"/>
        <w:widowControl w:val="0"/>
        <w:spacing w:before="120"/>
      </w:pPr>
      <w:r w:rsidRPr="003D2091">
        <w:rPr>
          <w:rStyle w:val="FootnoteReference"/>
        </w:rPr>
        <w:footnoteRef/>
      </w:r>
      <w:r>
        <w:rPr>
          <w:rFonts w:cs="Arial"/>
          <w:i/>
          <w:iCs/>
        </w:rPr>
        <w:t xml:space="preserve"> </w:t>
      </w:r>
      <w:r w:rsidRPr="001D215C">
        <w:rPr>
          <w:rFonts w:cs="Arial"/>
          <w:i/>
          <w:iCs/>
        </w:rPr>
        <w:t xml:space="preserve">See </w:t>
      </w:r>
      <w:r w:rsidRPr="003D2091">
        <w:rPr>
          <w:rFonts w:cs="Arial"/>
        </w:rPr>
        <w:t>TURN’s Opening Brief at 35-36.</w:t>
      </w:r>
    </w:p>
  </w:footnote>
  <w:footnote w:id="111">
    <w:p w14:paraId="5F83E83D" w14:textId="3552A551" w:rsidR="00083DA2" w:rsidRPr="003D2091" w:rsidRDefault="00083DA2" w:rsidP="003D2091">
      <w:pPr>
        <w:pStyle w:val="FootnoteText"/>
        <w:widowControl w:val="0"/>
        <w:spacing w:before="120"/>
      </w:pPr>
      <w:r w:rsidRPr="003D2091">
        <w:rPr>
          <w:rStyle w:val="FootnoteReference"/>
        </w:rPr>
        <w:footnoteRef/>
      </w:r>
      <w:r>
        <w:rPr>
          <w:i/>
          <w:iCs/>
        </w:rPr>
        <w:t xml:space="preserve"> </w:t>
      </w:r>
      <w:r w:rsidRPr="001D215C">
        <w:rPr>
          <w:i/>
          <w:iCs/>
        </w:rPr>
        <w:t>See</w:t>
      </w:r>
      <w:r w:rsidRPr="003D2091">
        <w:t xml:space="preserve"> Cal Advocates’ Opening Brief at 27 (citing Exhibit ORA-5A, at 97, ln. 24 through 98, lines 1-3, citing PG&amp;E Response to data request ORA-15, Q.1(h)).</w:t>
      </w:r>
    </w:p>
  </w:footnote>
  <w:footnote w:id="112">
    <w:p w14:paraId="62715CDA" w14:textId="77777777" w:rsidR="00083DA2" w:rsidRPr="003D2091" w:rsidRDefault="00083DA2" w:rsidP="003D2091">
      <w:pPr>
        <w:pStyle w:val="FootnoteText"/>
        <w:widowControl w:val="0"/>
        <w:spacing w:before="120"/>
      </w:pPr>
      <w:r w:rsidRPr="003D2091">
        <w:rPr>
          <w:rStyle w:val="FootnoteReference"/>
        </w:rPr>
        <w:footnoteRef/>
      </w:r>
      <w:r w:rsidRPr="003D2091">
        <w:t xml:space="preserve">  Exhibit ORA-5A at 88, lines 19-22.</w:t>
      </w:r>
    </w:p>
  </w:footnote>
  <w:footnote w:id="113">
    <w:p w14:paraId="3203F83B" w14:textId="6947DE38" w:rsidR="00083DA2" w:rsidRPr="003D2091" w:rsidRDefault="00083DA2">
      <w:pPr>
        <w:pStyle w:val="FootnoteText"/>
        <w:widowControl w:val="0"/>
        <w:spacing w:before="120"/>
      </w:pPr>
      <w:r w:rsidRPr="003D2091">
        <w:rPr>
          <w:rStyle w:val="FootnoteReference"/>
        </w:rPr>
        <w:footnoteRef/>
      </w:r>
      <w:r>
        <w:rPr>
          <w:i/>
          <w:iCs/>
        </w:rPr>
        <w:t xml:space="preserve"> </w:t>
      </w:r>
      <w:r w:rsidRPr="003D2091">
        <w:rPr>
          <w:i/>
          <w:iCs/>
        </w:rPr>
        <w:t xml:space="preserve">See </w:t>
      </w:r>
      <w:r w:rsidRPr="003D2091">
        <w:t>Cal Advocates’ Opening Brief at 20-21.</w:t>
      </w:r>
    </w:p>
  </w:footnote>
  <w:footnote w:id="114">
    <w:p w14:paraId="5D56AB86" w14:textId="55260C7E" w:rsidR="00083DA2" w:rsidRPr="003D2091" w:rsidRDefault="00083DA2">
      <w:pPr>
        <w:pStyle w:val="FootnoteText"/>
        <w:widowControl w:val="0"/>
        <w:spacing w:before="120"/>
      </w:pPr>
      <w:r w:rsidRPr="003D2091">
        <w:rPr>
          <w:rStyle w:val="FootnoteReference"/>
        </w:rPr>
        <w:footnoteRef/>
      </w:r>
      <w:r>
        <w:rPr>
          <w:i/>
          <w:iCs/>
        </w:rPr>
        <w:t xml:space="preserve"> </w:t>
      </w:r>
      <w:r w:rsidRPr="001D215C">
        <w:rPr>
          <w:i/>
          <w:iCs/>
        </w:rPr>
        <w:t>See</w:t>
      </w:r>
      <w:r w:rsidRPr="003D2091">
        <w:t xml:space="preserve"> Exhibit ORA-5A at 90, lines 6-11.</w:t>
      </w:r>
    </w:p>
  </w:footnote>
  <w:footnote w:id="115">
    <w:p w14:paraId="60FF2771" w14:textId="4A847016" w:rsidR="00083DA2" w:rsidRPr="003D2091" w:rsidRDefault="00083DA2">
      <w:pPr>
        <w:pStyle w:val="FootnoteText"/>
        <w:widowControl w:val="0"/>
        <w:spacing w:before="120"/>
      </w:pPr>
      <w:r w:rsidRPr="003D2091">
        <w:rPr>
          <w:rStyle w:val="FootnoteReference"/>
        </w:rPr>
        <w:footnoteRef/>
      </w:r>
      <w:r>
        <w:rPr>
          <w:i/>
          <w:iCs/>
        </w:rPr>
        <w:t xml:space="preserve"> </w:t>
      </w:r>
      <w:r w:rsidRPr="001D215C">
        <w:rPr>
          <w:i/>
          <w:iCs/>
        </w:rPr>
        <w:t>See</w:t>
      </w:r>
      <w:r w:rsidRPr="003D2091">
        <w:t xml:space="preserve"> Exhibit ORA-5A at 90, lines 11-12.</w:t>
      </w:r>
    </w:p>
  </w:footnote>
  <w:footnote w:id="116">
    <w:p w14:paraId="37990C3E" w14:textId="77777777" w:rsidR="00083DA2" w:rsidRPr="001D215C" w:rsidRDefault="00083DA2" w:rsidP="00431F1E">
      <w:pPr>
        <w:pStyle w:val="FootnoteText"/>
        <w:widowControl w:val="0"/>
        <w:spacing w:before="120"/>
      </w:pPr>
      <w:r w:rsidRPr="003D2091">
        <w:rPr>
          <w:rStyle w:val="FootnoteReference"/>
        </w:rPr>
        <w:footnoteRef/>
      </w:r>
      <w:r w:rsidRPr="003D2091">
        <w:t xml:space="preserve">  Exhibit ORA-5A at 97, lines 14-16, citing PG&amp;E Response to data request ORA-15, Q.2(e).</w:t>
      </w:r>
    </w:p>
  </w:footnote>
  <w:footnote w:id="117">
    <w:p w14:paraId="05777979" w14:textId="77777777" w:rsidR="00083DA2" w:rsidRPr="001D215C" w:rsidRDefault="00083DA2" w:rsidP="00431F1E">
      <w:pPr>
        <w:pStyle w:val="FootnoteText"/>
        <w:widowControl w:val="0"/>
        <w:spacing w:before="120"/>
      </w:pPr>
      <w:r w:rsidRPr="003D2091">
        <w:rPr>
          <w:rStyle w:val="FootnoteReference"/>
        </w:rPr>
        <w:footnoteRef/>
      </w:r>
      <w:r w:rsidRPr="003D2091">
        <w:t xml:space="preserve">  Exhibit PGE-1 at 1-6.</w:t>
      </w:r>
    </w:p>
  </w:footnote>
  <w:footnote w:id="118">
    <w:p w14:paraId="537BCD5B" w14:textId="77777777" w:rsidR="00083DA2" w:rsidRPr="001D215C" w:rsidRDefault="00083DA2" w:rsidP="00431F1E">
      <w:pPr>
        <w:pStyle w:val="FootnoteText"/>
        <w:widowControl w:val="0"/>
        <w:spacing w:before="120"/>
      </w:pPr>
      <w:r w:rsidRPr="003D2091">
        <w:rPr>
          <w:rStyle w:val="FootnoteReference"/>
        </w:rPr>
        <w:footnoteRef/>
      </w:r>
      <w:r w:rsidRPr="003D2091">
        <w:t xml:space="preserve">  Exhibit ORA-5A at 97, lines 17-19, citing PG&amp;E Response to data request ORA-15, Q.2(d).</w:t>
      </w:r>
    </w:p>
  </w:footnote>
  <w:footnote w:id="119">
    <w:p w14:paraId="4F81F0F4" w14:textId="77777777" w:rsidR="00083DA2" w:rsidRPr="001D215C" w:rsidRDefault="00083DA2" w:rsidP="00431F1E">
      <w:pPr>
        <w:pStyle w:val="FootnoteText"/>
        <w:widowControl w:val="0"/>
        <w:spacing w:before="120"/>
      </w:pPr>
      <w:r w:rsidRPr="003D2091">
        <w:rPr>
          <w:rStyle w:val="FootnoteReference"/>
        </w:rPr>
        <w:footnoteRef/>
      </w:r>
      <w:r w:rsidRPr="003D2091">
        <w:t xml:space="preserve">  Exhibit ORA-5A at 97, lines 22-23.</w:t>
      </w:r>
    </w:p>
  </w:footnote>
  <w:footnote w:id="120">
    <w:p w14:paraId="470592C3" w14:textId="4E12972F" w:rsidR="00083DA2" w:rsidRPr="003D2091" w:rsidRDefault="00083DA2" w:rsidP="00431F1E">
      <w:pPr>
        <w:pStyle w:val="FootnoteText"/>
        <w:widowControl w:val="0"/>
        <w:spacing w:before="120"/>
      </w:pPr>
      <w:r w:rsidRPr="003D2091">
        <w:rPr>
          <w:rStyle w:val="FootnoteReference"/>
        </w:rPr>
        <w:footnoteRef/>
      </w:r>
      <w:r>
        <w:rPr>
          <w:i/>
          <w:iCs/>
        </w:rPr>
        <w:t xml:space="preserve"> </w:t>
      </w:r>
      <w:r w:rsidRPr="001D215C">
        <w:rPr>
          <w:i/>
          <w:iCs/>
        </w:rPr>
        <w:t>See</w:t>
      </w:r>
      <w:r w:rsidRPr="003D2091">
        <w:t xml:space="preserve"> Exhibit ORA-5A at 98, lines 6-7; and Exhibit ORA-5A at 98, lines 10-13, citing PG&amp;E Response to data request ORA-15, Q.2(e).</w:t>
      </w:r>
    </w:p>
  </w:footnote>
  <w:footnote w:id="121">
    <w:p w14:paraId="3BDC1FAD" w14:textId="77777777" w:rsidR="00083DA2" w:rsidRPr="003D2091" w:rsidRDefault="00083DA2" w:rsidP="00431F1E">
      <w:pPr>
        <w:pStyle w:val="FootnoteText"/>
        <w:widowControl w:val="0"/>
        <w:spacing w:before="120"/>
      </w:pPr>
      <w:r w:rsidRPr="003D2091">
        <w:rPr>
          <w:rStyle w:val="FootnoteReference"/>
        </w:rPr>
        <w:footnoteRef/>
      </w:r>
      <w:r w:rsidRPr="003D2091">
        <w:t xml:space="preserve">  Exhibit ORA-5A at 98, lines 14-15; </w:t>
      </w:r>
      <w:r w:rsidRPr="003D2091">
        <w:rPr>
          <w:i/>
        </w:rPr>
        <w:t>See</w:t>
      </w:r>
      <w:r w:rsidRPr="003D2091">
        <w:t xml:space="preserve"> ORA-5B-WP, ORA GCAP Workpapers Updated for Errata.</w:t>
      </w:r>
    </w:p>
  </w:footnote>
  <w:footnote w:id="122">
    <w:p w14:paraId="06B80BB7" w14:textId="77777777" w:rsidR="00083DA2" w:rsidRPr="003D2091" w:rsidRDefault="00083DA2" w:rsidP="003D2091">
      <w:pPr>
        <w:pStyle w:val="FootnoteText"/>
        <w:widowControl w:val="0"/>
        <w:spacing w:before="120"/>
      </w:pPr>
      <w:r w:rsidRPr="003D2091">
        <w:rPr>
          <w:rStyle w:val="FootnoteReference"/>
        </w:rPr>
        <w:footnoteRef/>
      </w:r>
      <w:r w:rsidRPr="003D2091">
        <w:t xml:space="preserve">  Exhibit ORA-5A at 98, lines 16-17.</w:t>
      </w:r>
    </w:p>
  </w:footnote>
  <w:footnote w:id="123">
    <w:p w14:paraId="5DA6131E" w14:textId="77777777" w:rsidR="00083DA2" w:rsidRPr="003D2091" w:rsidRDefault="00083DA2">
      <w:pPr>
        <w:pStyle w:val="FootnoteText"/>
        <w:widowControl w:val="0"/>
        <w:spacing w:before="120"/>
      </w:pPr>
      <w:r w:rsidRPr="003D2091">
        <w:rPr>
          <w:rStyle w:val="FootnoteReference"/>
        </w:rPr>
        <w:footnoteRef/>
      </w:r>
      <w:r w:rsidRPr="003D2091">
        <w:t xml:space="preserve">  Exhibit ORA-5A at 98, lines 17-19.</w:t>
      </w:r>
    </w:p>
  </w:footnote>
  <w:footnote w:id="124">
    <w:p w14:paraId="54736183" w14:textId="77777777" w:rsidR="00083DA2" w:rsidRPr="003D2091" w:rsidRDefault="00083DA2">
      <w:pPr>
        <w:pStyle w:val="FootnoteText"/>
        <w:widowControl w:val="0"/>
        <w:spacing w:before="120"/>
      </w:pPr>
      <w:r w:rsidRPr="003D2091">
        <w:rPr>
          <w:rStyle w:val="FootnoteReference"/>
        </w:rPr>
        <w:footnoteRef/>
      </w:r>
      <w:r w:rsidRPr="003D2091">
        <w:rPr>
          <w:i/>
          <w:iCs/>
        </w:rPr>
        <w:t>See</w:t>
      </w:r>
      <w:r w:rsidRPr="003D2091">
        <w:t xml:space="preserve"> Cal Advocates’ Opening Brief at 28; and Exhibit ORA-5A, at 98, lines 22-26.</w:t>
      </w:r>
    </w:p>
  </w:footnote>
  <w:footnote w:id="125">
    <w:p w14:paraId="6970BE59" w14:textId="2512A8FE" w:rsidR="00083DA2" w:rsidRPr="003D2091" w:rsidRDefault="00083DA2">
      <w:pPr>
        <w:pStyle w:val="FootnoteText"/>
        <w:widowControl w:val="0"/>
        <w:spacing w:before="120"/>
      </w:pPr>
      <w:r w:rsidRPr="003D2091">
        <w:rPr>
          <w:rStyle w:val="FootnoteReference"/>
        </w:rPr>
        <w:footnoteRef/>
      </w:r>
      <w:r>
        <w:rPr>
          <w:i/>
          <w:iCs/>
        </w:rPr>
        <w:t xml:space="preserve"> </w:t>
      </w:r>
      <w:r w:rsidRPr="001D215C">
        <w:rPr>
          <w:i/>
          <w:iCs/>
        </w:rPr>
        <w:t xml:space="preserve">See </w:t>
      </w:r>
      <w:r w:rsidRPr="003D2091">
        <w:t>Cal Advocates’ Opening Brief at 19-28.</w:t>
      </w:r>
    </w:p>
  </w:footnote>
  <w:footnote w:id="126">
    <w:p w14:paraId="25433B6B" w14:textId="77777777" w:rsidR="00083DA2" w:rsidRPr="003D2091" w:rsidRDefault="00083DA2">
      <w:pPr>
        <w:pStyle w:val="FootnoteText"/>
        <w:widowControl w:val="0"/>
        <w:spacing w:before="120"/>
      </w:pPr>
      <w:r w:rsidRPr="003D2091">
        <w:rPr>
          <w:rStyle w:val="FootnoteReference"/>
        </w:rPr>
        <w:footnoteRef/>
      </w:r>
      <w:r w:rsidRPr="003D2091">
        <w:t xml:space="preserve">  Exhibit ORA-5A, at 93, lines 14-28 through 94, lines 1-2, citing PG&amp;</w:t>
      </w:r>
      <w:r w:rsidRPr="001D215C">
        <w:t>E Response to data request ORA-08, Q.05(g).</w:t>
      </w:r>
    </w:p>
  </w:footnote>
  <w:footnote w:id="127">
    <w:p w14:paraId="1F4B3E9B" w14:textId="77777777" w:rsidR="00083DA2" w:rsidRPr="003D2091" w:rsidRDefault="00083DA2" w:rsidP="00431F1E">
      <w:pPr>
        <w:pStyle w:val="FootnoteText"/>
        <w:widowControl w:val="0"/>
        <w:spacing w:before="120"/>
      </w:pPr>
      <w:r w:rsidRPr="003D2091">
        <w:rPr>
          <w:rStyle w:val="FootnoteReference"/>
        </w:rPr>
        <w:footnoteRef/>
      </w:r>
      <w:r w:rsidRPr="003D2091">
        <w:t xml:space="preserve">  Exhibit PGE-1, Table 7-13 shown at lines 1 through 4 in the last column marked “Cumulative % of Total G-1 CARE Customers,” </w:t>
      </w:r>
      <w:r>
        <w:t>at</w:t>
      </w:r>
      <w:r w:rsidRPr="003D2091">
        <w:t xml:space="preserve"> 7-20.</w:t>
      </w:r>
    </w:p>
  </w:footnote>
  <w:footnote w:id="128">
    <w:p w14:paraId="24AD85C5" w14:textId="77777777" w:rsidR="00083DA2" w:rsidRPr="001D215C" w:rsidRDefault="00083DA2" w:rsidP="00431F1E">
      <w:pPr>
        <w:pStyle w:val="FootnoteText"/>
        <w:widowControl w:val="0"/>
        <w:spacing w:before="120"/>
      </w:pPr>
      <w:r w:rsidRPr="003D2091">
        <w:rPr>
          <w:rStyle w:val="FootnoteReference"/>
        </w:rPr>
        <w:footnoteRef/>
      </w:r>
      <w:r w:rsidRPr="003D2091">
        <w:t xml:space="preserve">  Id.</w:t>
      </w:r>
    </w:p>
  </w:footnote>
  <w:footnote w:id="129">
    <w:p w14:paraId="2FF198A8" w14:textId="77777777" w:rsidR="00083DA2" w:rsidRPr="001D215C" w:rsidRDefault="00083DA2" w:rsidP="00431F1E">
      <w:pPr>
        <w:pStyle w:val="FootnoteText"/>
        <w:widowControl w:val="0"/>
        <w:spacing w:before="120"/>
      </w:pPr>
      <w:r w:rsidRPr="003D2091">
        <w:rPr>
          <w:rStyle w:val="FootnoteReference"/>
        </w:rPr>
        <w:footnoteRef/>
      </w:r>
      <w:r w:rsidRPr="003D2091">
        <w:t xml:space="preserve">  Id.</w:t>
      </w:r>
    </w:p>
  </w:footnote>
  <w:footnote w:id="130">
    <w:p w14:paraId="627A2073" w14:textId="5AA821E0" w:rsidR="00083DA2" w:rsidRPr="003D2091" w:rsidRDefault="00083DA2" w:rsidP="003D2091">
      <w:pPr>
        <w:pStyle w:val="FootnoteText"/>
        <w:widowControl w:val="0"/>
        <w:spacing w:before="120"/>
      </w:pPr>
      <w:r w:rsidRPr="003D2091">
        <w:rPr>
          <w:rStyle w:val="FootnoteReference"/>
        </w:rPr>
        <w:footnoteRef/>
      </w:r>
      <w:r>
        <w:rPr>
          <w:i/>
          <w:iCs/>
        </w:rPr>
        <w:t xml:space="preserve"> </w:t>
      </w:r>
      <w:r w:rsidRPr="003D2091">
        <w:rPr>
          <w:i/>
          <w:iCs/>
        </w:rPr>
        <w:t>See</w:t>
      </w:r>
      <w:r w:rsidRPr="003D2091">
        <w:t xml:space="preserve"> Exhibit PGE-1, chapter 4B, at 4B-1 to 4B-5 (Bergero’s testimony).</w:t>
      </w:r>
    </w:p>
  </w:footnote>
  <w:footnote w:id="131">
    <w:p w14:paraId="023BB732" w14:textId="55FE8289" w:rsidR="00083DA2" w:rsidRPr="003D2091" w:rsidRDefault="00083DA2" w:rsidP="001D215C">
      <w:pPr>
        <w:pStyle w:val="FootnoteText"/>
        <w:widowControl w:val="0"/>
        <w:spacing w:before="120"/>
      </w:pPr>
      <w:r w:rsidRPr="003D2091">
        <w:rPr>
          <w:rStyle w:val="FootnoteReference"/>
        </w:rPr>
        <w:footnoteRef/>
      </w:r>
      <w:r>
        <w:rPr>
          <w:i/>
          <w:iCs/>
        </w:rPr>
        <w:t xml:space="preserve"> </w:t>
      </w:r>
      <w:r w:rsidRPr="003D2091">
        <w:rPr>
          <w:i/>
          <w:iCs/>
        </w:rPr>
        <w:t>See</w:t>
      </w:r>
      <w:r w:rsidRPr="003D2091">
        <w:t xml:space="preserve"> PG&amp;E Opening Brief at 27-29 (citing Exhibit TURN-1, at 22 -23, and table 6, at 23)</w:t>
      </w:r>
    </w:p>
  </w:footnote>
  <w:footnote w:id="132">
    <w:p w14:paraId="47EF9D5B" w14:textId="77777777" w:rsidR="00083DA2" w:rsidRPr="003D2091" w:rsidRDefault="00083DA2">
      <w:pPr>
        <w:pStyle w:val="FootnoteText"/>
        <w:widowControl w:val="0"/>
        <w:spacing w:before="120"/>
      </w:pPr>
      <w:r w:rsidRPr="003D2091">
        <w:rPr>
          <w:rStyle w:val="FootnoteReference"/>
        </w:rPr>
        <w:footnoteRef/>
      </w:r>
      <w:r w:rsidRPr="001D215C">
        <w:t xml:space="preserve"> Exhibit TURN-1</w:t>
      </w:r>
      <w:r w:rsidRPr="003D2091">
        <w:rPr>
          <w:i/>
        </w:rPr>
        <w:t xml:space="preserve">, </w:t>
      </w:r>
      <w:r w:rsidRPr="003D2091">
        <w:t>table 4B-3, at 23.</w:t>
      </w:r>
    </w:p>
  </w:footnote>
  <w:footnote w:id="133">
    <w:p w14:paraId="4E747BA2" w14:textId="28A72896" w:rsidR="00083DA2" w:rsidRPr="001D215C" w:rsidRDefault="00083DA2">
      <w:pPr>
        <w:pStyle w:val="FootnoteText"/>
        <w:widowControl w:val="0"/>
        <w:spacing w:before="120"/>
      </w:pPr>
      <w:r w:rsidRPr="003D2091">
        <w:rPr>
          <w:rStyle w:val="FootnoteReference"/>
        </w:rPr>
        <w:footnoteRef/>
      </w:r>
      <w:r>
        <w:t xml:space="preserve"> </w:t>
      </w:r>
      <w:r w:rsidRPr="008550CD">
        <w:t>D.10-2</w:t>
      </w:r>
      <w:r>
        <w:t>12-032</w:t>
      </w:r>
      <w:r w:rsidRPr="003D2091">
        <w:t>; Tr. 874.</w:t>
      </w:r>
    </w:p>
  </w:footnote>
  <w:footnote w:id="134">
    <w:p w14:paraId="65B7E2F2" w14:textId="77777777" w:rsidR="00083DA2" w:rsidRPr="001D215C" w:rsidRDefault="00083DA2">
      <w:pPr>
        <w:pStyle w:val="FootnoteText"/>
        <w:widowControl w:val="0"/>
        <w:spacing w:before="120"/>
      </w:pPr>
      <w:r w:rsidRPr="003D2091">
        <w:rPr>
          <w:rStyle w:val="FootnoteReference"/>
        </w:rPr>
        <w:footnoteRef/>
      </w:r>
      <w:r w:rsidRPr="003D2091">
        <w:t xml:space="preserve"> Exhibit PGE-3, at 4B-2, lines 1 to 6.</w:t>
      </w:r>
    </w:p>
  </w:footnote>
  <w:footnote w:id="135">
    <w:p w14:paraId="5A8A49BC" w14:textId="77777777" w:rsidR="00083DA2" w:rsidRPr="003D2091" w:rsidRDefault="00083DA2">
      <w:pPr>
        <w:pStyle w:val="FootnoteText"/>
        <w:widowControl w:val="0"/>
        <w:spacing w:before="120"/>
      </w:pPr>
      <w:r w:rsidRPr="003D2091">
        <w:rPr>
          <w:rStyle w:val="FootnoteReference"/>
        </w:rPr>
        <w:footnoteRef/>
      </w:r>
      <w:r w:rsidRPr="003D2091">
        <w:t xml:space="preserve"> Exhibit ORA-6, at 1, </w:t>
      </w:r>
      <w:r>
        <w:t>lines</w:t>
      </w:r>
      <w:r w:rsidRPr="001D215C">
        <w:t xml:space="preserve"> 2-6.</w:t>
      </w:r>
    </w:p>
  </w:footnote>
  <w:footnote w:id="136">
    <w:p w14:paraId="063B99C0" w14:textId="77777777" w:rsidR="00083DA2" w:rsidRPr="001D215C" w:rsidRDefault="00083DA2">
      <w:pPr>
        <w:pStyle w:val="FootnoteText"/>
        <w:widowControl w:val="0"/>
        <w:spacing w:before="120"/>
      </w:pPr>
      <w:r w:rsidRPr="003D2091">
        <w:rPr>
          <w:rStyle w:val="FootnoteReference"/>
        </w:rPr>
        <w:footnoteRef/>
      </w:r>
      <w:r w:rsidRPr="003D2091">
        <w:t xml:space="preserve"> See Cal Advocates’ Opening Brief at 29.</w:t>
      </w:r>
    </w:p>
  </w:footnote>
  <w:footnote w:id="137">
    <w:p w14:paraId="3786162B" w14:textId="42B30EF0" w:rsidR="00083DA2" w:rsidRPr="003D2091" w:rsidRDefault="00083DA2">
      <w:pPr>
        <w:pStyle w:val="FootnoteText"/>
        <w:widowControl w:val="0"/>
        <w:spacing w:before="120"/>
      </w:pPr>
      <w:r w:rsidRPr="003D2091">
        <w:rPr>
          <w:rStyle w:val="FootnoteReference"/>
        </w:rPr>
        <w:footnoteRef/>
      </w:r>
      <w:r>
        <w:rPr>
          <w:i/>
          <w:iCs/>
        </w:rPr>
        <w:t xml:space="preserve"> </w:t>
      </w:r>
      <w:r w:rsidRPr="001D215C">
        <w:rPr>
          <w:i/>
          <w:iCs/>
        </w:rPr>
        <w:t>See</w:t>
      </w:r>
      <w:r w:rsidRPr="003D2091">
        <w:t xml:space="preserve"> Application at 5.</w:t>
      </w:r>
    </w:p>
  </w:footnote>
  <w:footnote w:id="138">
    <w:p w14:paraId="2E0D4B09" w14:textId="77777777" w:rsidR="00083DA2" w:rsidRPr="003D2091" w:rsidRDefault="00083DA2">
      <w:pPr>
        <w:pStyle w:val="FootnoteText"/>
        <w:widowControl w:val="0"/>
        <w:spacing w:before="120"/>
      </w:pPr>
      <w:r w:rsidRPr="003D2091">
        <w:rPr>
          <w:rStyle w:val="FootnoteReference"/>
        </w:rPr>
        <w:footnoteRef/>
      </w:r>
      <w:r w:rsidRPr="001D215C">
        <w:t xml:space="preserve"> PG&amp;E, Ex, PGE-1, at 5-1, Lines 5-7.   The Commission is required to provide a discount under PUC Section 739.5.  </w:t>
      </w:r>
    </w:p>
  </w:footnote>
  <w:footnote w:id="139">
    <w:p w14:paraId="4F0462D3" w14:textId="1A009789" w:rsidR="00083DA2" w:rsidRPr="003D2091" w:rsidRDefault="00083DA2">
      <w:pPr>
        <w:pStyle w:val="FootnoteText"/>
        <w:widowControl w:val="0"/>
        <w:spacing w:before="120"/>
      </w:pPr>
      <w:r w:rsidRPr="003D2091">
        <w:rPr>
          <w:rStyle w:val="FootnoteReference"/>
        </w:rPr>
        <w:footnoteRef/>
      </w:r>
      <w:r>
        <w:rPr>
          <w:i/>
        </w:rPr>
        <w:t xml:space="preserve"> </w:t>
      </w:r>
      <w:r w:rsidRPr="001D215C">
        <w:rPr>
          <w:i/>
        </w:rPr>
        <w:t xml:space="preserve">See. </w:t>
      </w:r>
      <w:r w:rsidRPr="003D2091">
        <w:t>D.18-08-013, p.114, ” This methodology for calculating the master meter discount was used in the last Commission decision to consider these issues in depth – D.11-12-053 – and we adopt it in this decision as well.”.</w:t>
      </w:r>
    </w:p>
  </w:footnote>
  <w:footnote w:id="140">
    <w:p w14:paraId="76500839" w14:textId="2FCCDCDB" w:rsidR="00083DA2" w:rsidRPr="003D2091" w:rsidRDefault="00083DA2">
      <w:pPr>
        <w:pStyle w:val="FootnoteText"/>
        <w:widowControl w:val="0"/>
        <w:spacing w:before="120"/>
      </w:pPr>
      <w:r w:rsidRPr="003D2091">
        <w:rPr>
          <w:rStyle w:val="FootnoteReference"/>
        </w:rPr>
        <w:footnoteRef/>
      </w:r>
      <w:r w:rsidRPr="001D215C">
        <w:t xml:space="preserve"> Detailed calculations of the discount are included in Chapter 5 of PG&amp;E’s opening testimony. PG&amp;E-1, Chapter 5</w:t>
      </w:r>
      <w:r>
        <w:t>, at</w:t>
      </w:r>
      <w:r w:rsidRPr="001D215C">
        <w:t xml:space="preserve">5-2 through 5-9, Tables 5-2 and 5-3. </w:t>
      </w:r>
    </w:p>
  </w:footnote>
  <w:footnote w:id="141">
    <w:p w14:paraId="77586F29" w14:textId="6D1817BD" w:rsidR="00083DA2" w:rsidRPr="003D2091" w:rsidRDefault="00083DA2">
      <w:pPr>
        <w:pStyle w:val="FootnoteText"/>
        <w:widowControl w:val="0"/>
        <w:spacing w:before="120"/>
      </w:pPr>
      <w:r w:rsidRPr="003D2091">
        <w:rPr>
          <w:rStyle w:val="FootnoteReference"/>
        </w:rPr>
        <w:footnoteRef/>
      </w:r>
      <w:r>
        <w:rPr>
          <w:i/>
        </w:rPr>
        <w:t xml:space="preserve"> </w:t>
      </w:r>
      <w:r w:rsidRPr="001D215C">
        <w:rPr>
          <w:i/>
        </w:rPr>
        <w:t>Id</w:t>
      </w:r>
      <w:r w:rsidRPr="003D2091">
        <w:t xml:space="preserve">.   </w:t>
      </w:r>
    </w:p>
  </w:footnote>
  <w:footnote w:id="142">
    <w:p w14:paraId="16AD6CDC" w14:textId="77777777" w:rsidR="00083DA2" w:rsidRPr="001D215C" w:rsidRDefault="00083DA2">
      <w:pPr>
        <w:pStyle w:val="FootnoteText"/>
        <w:widowControl w:val="0"/>
        <w:spacing w:before="120"/>
      </w:pPr>
      <w:r w:rsidRPr="003D2091">
        <w:rPr>
          <w:rStyle w:val="FootnoteReference"/>
        </w:rPr>
        <w:footnoteRef/>
      </w:r>
      <w:r w:rsidRPr="001D215C">
        <w:t xml:space="preserve"> PG&amp;E, Ex, PGE-1, at 5-1, Lines 5-7.  </w:t>
      </w:r>
    </w:p>
  </w:footnote>
  <w:footnote w:id="143">
    <w:p w14:paraId="1635FC3B" w14:textId="77777777" w:rsidR="00083DA2" w:rsidRPr="001D215C" w:rsidRDefault="00083DA2">
      <w:pPr>
        <w:pStyle w:val="FootnoteText"/>
        <w:widowControl w:val="0"/>
        <w:spacing w:before="120"/>
      </w:pPr>
      <w:r w:rsidRPr="003D2091">
        <w:rPr>
          <w:rStyle w:val="FootnoteReference"/>
        </w:rPr>
        <w:footnoteRef/>
      </w:r>
      <w:r w:rsidRPr="003D2091">
        <w:t xml:space="preserve"> See WMA’s Opening Brief at 1 (citing Exhibit PG&amp;E-2, Table 5-1, page 5-2).</w:t>
      </w:r>
    </w:p>
  </w:footnote>
  <w:footnote w:id="144">
    <w:p w14:paraId="301A21C6" w14:textId="77777777" w:rsidR="00083DA2" w:rsidRPr="003D2091" w:rsidRDefault="00083DA2">
      <w:pPr>
        <w:pStyle w:val="FootnoteText"/>
        <w:widowControl w:val="0"/>
        <w:spacing w:before="120"/>
      </w:pPr>
      <w:r w:rsidRPr="003D2091">
        <w:rPr>
          <w:rStyle w:val="FootnoteReference"/>
        </w:rPr>
        <w:footnoteRef/>
      </w:r>
      <w:r w:rsidRPr="001D215C">
        <w:t xml:space="preserve"> See WMA’s Opening Brief at 1-16; and </w:t>
      </w:r>
      <w:r w:rsidRPr="003D2091">
        <w:rPr>
          <w:rFonts w:cs="Arial"/>
        </w:rPr>
        <w:t>Exhibit WMA-1, at 6-21.</w:t>
      </w:r>
    </w:p>
  </w:footnote>
  <w:footnote w:id="145">
    <w:p w14:paraId="758E8790" w14:textId="77777777" w:rsidR="00083DA2" w:rsidRPr="00431F1E" w:rsidRDefault="00083DA2" w:rsidP="00431F1E">
      <w:pPr>
        <w:pStyle w:val="FootnoteText"/>
        <w:widowControl w:val="0"/>
        <w:spacing w:before="120"/>
        <w:ind w:left="720" w:hanging="720"/>
      </w:pPr>
      <w:r w:rsidRPr="00431F1E">
        <w:rPr>
          <w:rStyle w:val="FootnoteReference"/>
        </w:rPr>
        <w:footnoteRef/>
      </w:r>
      <w:r w:rsidRPr="00431F1E">
        <w:t xml:space="preserve">  Exhibit TURN-1 at 24.</w:t>
      </w:r>
    </w:p>
  </w:footnote>
  <w:footnote w:id="146">
    <w:p w14:paraId="77F388F5" w14:textId="29861CDF" w:rsidR="00083DA2" w:rsidRPr="00431F1E" w:rsidRDefault="00083DA2" w:rsidP="00431F1E">
      <w:pPr>
        <w:pStyle w:val="FootnoteText"/>
        <w:widowControl w:val="0"/>
        <w:spacing w:before="120"/>
        <w:ind w:left="720" w:hanging="720"/>
      </w:pPr>
      <w:r w:rsidRPr="00431F1E">
        <w:rPr>
          <w:rStyle w:val="FootnoteReference"/>
        </w:rPr>
        <w:footnoteRef/>
      </w:r>
      <w:r w:rsidRPr="00431F1E">
        <w:t xml:space="preserve">  </w:t>
      </w:r>
      <w:r>
        <w:t xml:space="preserve">See PG&amp;E’s Opening Brief at 35, citing </w:t>
      </w:r>
      <w:r w:rsidRPr="00431F1E">
        <w:t>Exhibit</w:t>
      </w:r>
      <w:r>
        <w:t xml:space="preserve"> </w:t>
      </w:r>
      <w:r w:rsidRPr="00431F1E">
        <w:t>PGE-19.</w:t>
      </w:r>
    </w:p>
  </w:footnote>
  <w:footnote w:id="147">
    <w:p w14:paraId="282FDFCD" w14:textId="77777777" w:rsidR="00083DA2" w:rsidRPr="00431F1E" w:rsidRDefault="00083DA2" w:rsidP="00431F1E">
      <w:pPr>
        <w:pStyle w:val="FootnoteText"/>
        <w:widowControl w:val="0"/>
        <w:spacing w:before="120"/>
        <w:ind w:left="720" w:hanging="720"/>
      </w:pPr>
      <w:r w:rsidRPr="00431F1E">
        <w:rPr>
          <w:rStyle w:val="FootnoteReference"/>
        </w:rPr>
        <w:footnoteRef/>
      </w:r>
      <w:r w:rsidRPr="00431F1E">
        <w:t xml:space="preserve">  Exhibit PGE-3 at 5-6, lines 11-26.  </w:t>
      </w:r>
    </w:p>
  </w:footnote>
  <w:footnote w:id="148">
    <w:p w14:paraId="4FA975B1" w14:textId="77777777" w:rsidR="00083DA2" w:rsidRPr="00431F1E" w:rsidRDefault="00083DA2" w:rsidP="00431F1E">
      <w:pPr>
        <w:pStyle w:val="FootnoteText"/>
        <w:widowControl w:val="0"/>
        <w:spacing w:before="120"/>
        <w:ind w:left="720" w:hanging="720"/>
      </w:pPr>
      <w:r w:rsidRPr="00431F1E">
        <w:rPr>
          <w:rStyle w:val="FootnoteReference"/>
        </w:rPr>
        <w:footnoteRef/>
      </w:r>
      <w:r w:rsidRPr="00431F1E">
        <w:t xml:space="preserve">  Hearing Transcripts (PG&amp;E, Coyne), at 759-768.</w:t>
      </w:r>
    </w:p>
  </w:footnote>
  <w:footnote w:id="149">
    <w:p w14:paraId="3314E650" w14:textId="77777777" w:rsidR="00083DA2" w:rsidRPr="003D2091" w:rsidRDefault="00083DA2" w:rsidP="003D2091">
      <w:pPr>
        <w:pStyle w:val="FootnoteText"/>
        <w:widowControl w:val="0"/>
        <w:spacing w:before="120"/>
      </w:pPr>
      <w:r w:rsidRPr="003D2091">
        <w:rPr>
          <w:rStyle w:val="FootnoteReference"/>
        </w:rPr>
        <w:footnoteRef/>
      </w:r>
      <w:r w:rsidRPr="001D215C">
        <w:t xml:space="preserve"> Exhibit WMA-1, at 3 – 4.  </w:t>
      </w:r>
    </w:p>
  </w:footnote>
  <w:footnote w:id="150">
    <w:p w14:paraId="43D44AD4" w14:textId="77777777" w:rsidR="00083DA2" w:rsidRPr="003D2091" w:rsidRDefault="00083DA2" w:rsidP="001D215C">
      <w:pPr>
        <w:pStyle w:val="FootnoteText"/>
        <w:widowControl w:val="0"/>
        <w:spacing w:before="120"/>
      </w:pPr>
      <w:r w:rsidRPr="003D2091">
        <w:rPr>
          <w:rStyle w:val="FootnoteReference"/>
        </w:rPr>
        <w:footnoteRef/>
      </w:r>
      <w:r w:rsidRPr="001D215C">
        <w:t xml:space="preserve"> Exhibit WMA-1, at 4.</w:t>
      </w:r>
    </w:p>
  </w:footnote>
  <w:footnote w:id="151">
    <w:p w14:paraId="42477098" w14:textId="5F46E94E" w:rsidR="00083DA2" w:rsidRPr="003D2091" w:rsidRDefault="00083DA2">
      <w:pPr>
        <w:pStyle w:val="FootnoteText"/>
        <w:widowControl w:val="0"/>
        <w:spacing w:before="120"/>
      </w:pPr>
      <w:r w:rsidRPr="003D2091">
        <w:rPr>
          <w:rStyle w:val="FootnoteReference"/>
        </w:rPr>
        <w:footnoteRef/>
      </w:r>
      <w:r>
        <w:rPr>
          <w:i/>
          <w:iCs/>
        </w:rPr>
        <w:t xml:space="preserve"> </w:t>
      </w:r>
      <w:r w:rsidRPr="003D2091">
        <w:rPr>
          <w:i/>
          <w:iCs/>
        </w:rPr>
        <w:t>See</w:t>
      </w:r>
      <w:r w:rsidRPr="003D2091">
        <w:t xml:space="preserve"> D.11-12-053, D.12-08-046, and D.12-10-004.</w:t>
      </w:r>
    </w:p>
  </w:footnote>
  <w:footnote w:id="152">
    <w:p w14:paraId="49B75F4B" w14:textId="77777777" w:rsidR="00083DA2" w:rsidRPr="003D2091" w:rsidRDefault="00083DA2">
      <w:pPr>
        <w:pStyle w:val="FootnoteText"/>
        <w:widowControl w:val="0"/>
        <w:spacing w:before="120"/>
      </w:pPr>
      <w:r w:rsidRPr="003D2091">
        <w:rPr>
          <w:rStyle w:val="FootnoteReference"/>
        </w:rPr>
        <w:footnoteRef/>
      </w:r>
      <w:r w:rsidRPr="001D215C">
        <w:t xml:space="preserve"> </w:t>
      </w:r>
      <w:r w:rsidRPr="008550CD">
        <w:rPr>
          <w:i/>
        </w:rPr>
        <w:t>See</w:t>
      </w:r>
      <w:r w:rsidRPr="001D215C">
        <w:t xml:space="preserve"> D.11-12-053, D.18-08-013.  </w:t>
      </w:r>
    </w:p>
  </w:footnote>
  <w:footnote w:id="153">
    <w:p w14:paraId="1ACFA58D" w14:textId="77777777" w:rsidR="00083DA2" w:rsidRPr="003D2091" w:rsidRDefault="00083DA2">
      <w:pPr>
        <w:pStyle w:val="FootnoteText"/>
        <w:widowControl w:val="0"/>
        <w:spacing w:before="120"/>
      </w:pPr>
      <w:r w:rsidRPr="003D2091">
        <w:rPr>
          <w:rStyle w:val="FootnoteReference"/>
        </w:rPr>
        <w:footnoteRef/>
      </w:r>
      <w:r w:rsidRPr="001D215C">
        <w:t xml:space="preserve"> Exhibit PGE-3, at 5A-7.</w:t>
      </w:r>
    </w:p>
  </w:footnote>
  <w:footnote w:id="154">
    <w:p w14:paraId="2B0EDBE1" w14:textId="77777777" w:rsidR="00083DA2" w:rsidRPr="003D2091" w:rsidRDefault="00083DA2">
      <w:pPr>
        <w:pStyle w:val="FootnoteText"/>
        <w:widowControl w:val="0"/>
        <w:spacing w:before="120"/>
      </w:pPr>
      <w:r w:rsidRPr="003D2091">
        <w:rPr>
          <w:rStyle w:val="FootnoteReference"/>
        </w:rPr>
        <w:footnoteRef/>
      </w:r>
      <w:r w:rsidRPr="001D215C">
        <w:t xml:space="preserve"> Exhibit PGE-3, at 5-3 – 5-4.  </w:t>
      </w:r>
    </w:p>
  </w:footnote>
  <w:footnote w:id="155">
    <w:p w14:paraId="0D5A5D0E" w14:textId="77777777" w:rsidR="00083DA2" w:rsidRPr="003D2091" w:rsidRDefault="00083DA2">
      <w:pPr>
        <w:pStyle w:val="FootnoteText"/>
        <w:widowControl w:val="0"/>
        <w:spacing w:before="120"/>
      </w:pPr>
      <w:r w:rsidRPr="003D2091">
        <w:rPr>
          <w:rStyle w:val="FootnoteReference"/>
        </w:rPr>
        <w:footnoteRef/>
      </w:r>
      <w:r w:rsidRPr="001D215C">
        <w:t xml:space="preserve"> Exhibit ORA-4, at 2, lines 16-21.</w:t>
      </w:r>
    </w:p>
  </w:footnote>
  <w:footnote w:id="156">
    <w:p w14:paraId="5EB0AC30" w14:textId="77777777" w:rsidR="00083DA2" w:rsidRPr="003D2091" w:rsidRDefault="00083DA2">
      <w:pPr>
        <w:pStyle w:val="FootnoteText"/>
        <w:widowControl w:val="0"/>
        <w:spacing w:before="120"/>
      </w:pPr>
      <w:r w:rsidRPr="003D2091">
        <w:rPr>
          <w:rStyle w:val="FootnoteReference"/>
        </w:rPr>
        <w:footnoteRef/>
      </w:r>
      <w:r w:rsidRPr="001D215C">
        <w:t xml:space="preserve"> Exhibit ORA-4, at 6, </w:t>
      </w:r>
      <w:r>
        <w:t>lines</w:t>
      </w:r>
      <w:r w:rsidRPr="001D215C">
        <w:t xml:space="preserve"> 8-9.</w:t>
      </w:r>
    </w:p>
  </w:footnote>
  <w:footnote w:id="157">
    <w:p w14:paraId="3ACA9FEE" w14:textId="77777777" w:rsidR="00083DA2" w:rsidRPr="003D2091" w:rsidRDefault="00083DA2">
      <w:pPr>
        <w:pStyle w:val="FootnoteText"/>
        <w:widowControl w:val="0"/>
        <w:spacing w:before="120"/>
      </w:pPr>
      <w:r w:rsidRPr="003D2091">
        <w:rPr>
          <w:rStyle w:val="FootnoteReference"/>
        </w:rPr>
        <w:footnoteRef/>
      </w:r>
      <w:r w:rsidRPr="001D215C">
        <w:t xml:space="preserve"> Ex</w:t>
      </w:r>
      <w:r w:rsidRPr="003D2091">
        <w:t>hibit PGE-1, at 5A-9</w:t>
      </w:r>
    </w:p>
  </w:footnote>
  <w:footnote w:id="158">
    <w:p w14:paraId="0A6635EC" w14:textId="77777777" w:rsidR="00083DA2" w:rsidRPr="003D2091" w:rsidRDefault="00083DA2">
      <w:pPr>
        <w:pStyle w:val="FootnoteText"/>
        <w:widowControl w:val="0"/>
        <w:spacing w:before="120"/>
      </w:pPr>
      <w:r w:rsidRPr="003D2091">
        <w:rPr>
          <w:rStyle w:val="FootnoteReference"/>
        </w:rPr>
        <w:footnoteRef/>
      </w:r>
      <w:r w:rsidRPr="001D215C">
        <w:t xml:space="preserve"> Exhibit ORA-4, at 6, </w:t>
      </w:r>
      <w:r>
        <w:t>lines</w:t>
      </w:r>
      <w:r w:rsidRPr="001D215C">
        <w:t xml:space="preserve"> 11-13.</w:t>
      </w:r>
    </w:p>
  </w:footnote>
  <w:footnote w:id="159">
    <w:p w14:paraId="0E2F44A7" w14:textId="77777777" w:rsidR="00083DA2" w:rsidRPr="003D2091" w:rsidRDefault="00083DA2">
      <w:pPr>
        <w:pStyle w:val="FootnoteText"/>
        <w:widowControl w:val="0"/>
        <w:spacing w:before="120"/>
      </w:pPr>
      <w:r w:rsidRPr="003D2091">
        <w:rPr>
          <w:rStyle w:val="FootnoteReference"/>
        </w:rPr>
        <w:footnoteRef/>
      </w:r>
      <w:r w:rsidRPr="001D215C">
        <w:t xml:space="preserve"> Marginal credit and collection costs are part of the revenue cycle services costs.   </w:t>
      </w:r>
    </w:p>
  </w:footnote>
  <w:footnote w:id="160">
    <w:p w14:paraId="46696AB2" w14:textId="6481CF66" w:rsidR="00083DA2" w:rsidRPr="003D2091" w:rsidRDefault="00083DA2">
      <w:pPr>
        <w:pStyle w:val="FootnoteText"/>
        <w:widowControl w:val="0"/>
        <w:spacing w:before="120"/>
      </w:pPr>
      <w:r w:rsidRPr="003D2091">
        <w:rPr>
          <w:rStyle w:val="FootnoteReference"/>
        </w:rPr>
        <w:footnoteRef/>
      </w:r>
      <w:r>
        <w:rPr>
          <w:i/>
          <w:iCs/>
        </w:rPr>
        <w:t xml:space="preserve"> </w:t>
      </w:r>
      <w:r w:rsidRPr="001D215C">
        <w:rPr>
          <w:i/>
          <w:iCs/>
        </w:rPr>
        <w:t>See</w:t>
      </w:r>
      <w:r w:rsidRPr="003D2091">
        <w:t xml:space="preserve"> PG&amp;E’s Opening Brief at 32; also Exhibit PGE-3, at 5-9, lines 1-10.  </w:t>
      </w:r>
    </w:p>
  </w:footnote>
  <w:footnote w:id="161">
    <w:p w14:paraId="552F1910" w14:textId="184C953D" w:rsidR="00083DA2" w:rsidRPr="003D2091" w:rsidRDefault="00083DA2">
      <w:pPr>
        <w:pStyle w:val="FootnoteText"/>
        <w:widowControl w:val="0"/>
        <w:spacing w:before="120"/>
      </w:pPr>
      <w:r w:rsidRPr="003D2091">
        <w:rPr>
          <w:rStyle w:val="FootnoteReference"/>
        </w:rPr>
        <w:footnoteRef/>
      </w:r>
      <w:r>
        <w:rPr>
          <w:i/>
          <w:iCs/>
        </w:rPr>
        <w:t xml:space="preserve"> </w:t>
      </w:r>
      <w:r w:rsidRPr="001D215C">
        <w:rPr>
          <w:i/>
          <w:iCs/>
        </w:rPr>
        <w:t>See</w:t>
      </w:r>
      <w:r w:rsidRPr="003D2091">
        <w:t xml:space="preserve"> D.11-12-053, D.12-08-046, and D.12-10-004.</w:t>
      </w:r>
    </w:p>
  </w:footnote>
  <w:footnote w:id="162">
    <w:p w14:paraId="0AE151F5" w14:textId="2CB031D9" w:rsidR="00083DA2" w:rsidRPr="003D2091" w:rsidRDefault="00083DA2">
      <w:pPr>
        <w:pStyle w:val="FootnoteText"/>
        <w:widowControl w:val="0"/>
        <w:spacing w:before="120"/>
      </w:pPr>
      <w:r w:rsidRPr="003D2091">
        <w:rPr>
          <w:rStyle w:val="FootnoteReference"/>
        </w:rPr>
        <w:footnoteRef/>
      </w:r>
      <w:r w:rsidRPr="003D2091">
        <w:t xml:space="preserve">  In reaching this conclusion, we find that D.16-10-004 is not persuasive. See also, Rule 12.5; and D.04-04-043 and </w:t>
      </w:r>
      <w:r>
        <w:t>D.</w:t>
      </w:r>
      <w:r w:rsidRPr="003D2091">
        <w:t>18-08-013.</w:t>
      </w:r>
    </w:p>
  </w:footnote>
  <w:footnote w:id="163">
    <w:p w14:paraId="0111E100" w14:textId="77777777" w:rsidR="00083DA2" w:rsidRPr="001D215C" w:rsidRDefault="00083DA2">
      <w:pPr>
        <w:pStyle w:val="FootnoteText"/>
        <w:widowControl w:val="0"/>
        <w:spacing w:before="120"/>
      </w:pPr>
      <w:r w:rsidRPr="003D2091">
        <w:rPr>
          <w:rStyle w:val="FootnoteReference"/>
        </w:rPr>
        <w:footnoteRef/>
      </w:r>
      <w:r w:rsidRPr="003D2091">
        <w:t xml:space="preserve">  Exhibit WMA-1, at 6, lines 14-15.</w:t>
      </w:r>
    </w:p>
  </w:footnote>
  <w:footnote w:id="164">
    <w:p w14:paraId="25F16AEF" w14:textId="77777777" w:rsidR="00083DA2" w:rsidRPr="001D215C" w:rsidRDefault="00083DA2">
      <w:pPr>
        <w:pStyle w:val="FootnoteText"/>
        <w:widowControl w:val="0"/>
        <w:spacing w:before="120"/>
      </w:pPr>
      <w:r w:rsidRPr="003D2091">
        <w:rPr>
          <w:rStyle w:val="FootnoteReference"/>
        </w:rPr>
        <w:footnoteRef/>
      </w:r>
      <w:r w:rsidRPr="003D2091">
        <w:t xml:space="preserve">  Exhibit WMA-1, p.12, lines 3-5, Table 1.  </w:t>
      </w:r>
    </w:p>
  </w:footnote>
  <w:footnote w:id="165">
    <w:p w14:paraId="39A01390" w14:textId="77777777" w:rsidR="00083DA2" w:rsidRPr="003D2091" w:rsidRDefault="00083DA2">
      <w:pPr>
        <w:pStyle w:val="FootnoteText"/>
        <w:widowControl w:val="0"/>
        <w:spacing w:before="120"/>
      </w:pPr>
      <w:r w:rsidRPr="003D2091">
        <w:rPr>
          <w:rStyle w:val="FootnoteReference"/>
        </w:rPr>
        <w:footnoteRef/>
      </w:r>
      <w:r w:rsidRPr="003D2091">
        <w:t xml:space="preserve">  Exhibit WMA-1, p.</w:t>
      </w:r>
      <w:r w:rsidRPr="001D215C">
        <w:t xml:space="preserve">12, lines 3-5, Table 1 and Exhibit PGE-3, at 5-4, lines 4-22.  </w:t>
      </w:r>
    </w:p>
  </w:footnote>
  <w:footnote w:id="166">
    <w:p w14:paraId="4D1B5E41" w14:textId="7E7522AD" w:rsidR="00083DA2" w:rsidRPr="003D2091" w:rsidRDefault="00083DA2">
      <w:pPr>
        <w:pStyle w:val="FootnoteText"/>
        <w:widowControl w:val="0"/>
        <w:spacing w:before="120"/>
      </w:pPr>
      <w:r w:rsidRPr="003D2091">
        <w:rPr>
          <w:rStyle w:val="FootnoteReference"/>
        </w:rPr>
        <w:footnoteRef/>
      </w:r>
      <w:r w:rsidRPr="003D2091">
        <w:t xml:space="preserve">  All other arguments made by WMA, TURN, PG&amp;E and Cal Advocates on th</w:t>
      </w:r>
      <w:r>
        <w:t>ese</w:t>
      </w:r>
      <w:r w:rsidRPr="003D2091">
        <w:t xml:space="preserve"> issues have been evaluated and rejected, unless otherwise addressed, resolved and/or adopted in this decision.  </w:t>
      </w:r>
    </w:p>
  </w:footnote>
  <w:footnote w:id="167">
    <w:p w14:paraId="2DFBCB2A" w14:textId="01D5E22E" w:rsidR="00083DA2" w:rsidRPr="003D2091" w:rsidRDefault="00083DA2">
      <w:pPr>
        <w:pStyle w:val="FootnoteText"/>
        <w:widowControl w:val="0"/>
        <w:spacing w:before="120"/>
      </w:pPr>
      <w:r w:rsidRPr="003D2091">
        <w:rPr>
          <w:rStyle w:val="FootnoteReference"/>
        </w:rPr>
        <w:footnoteRef/>
      </w:r>
      <w:r>
        <w:rPr>
          <w:i/>
          <w:iCs/>
        </w:rPr>
        <w:t xml:space="preserve"> </w:t>
      </w:r>
      <w:r w:rsidRPr="001D215C">
        <w:rPr>
          <w:i/>
          <w:iCs/>
        </w:rPr>
        <w:t>See</w:t>
      </w:r>
      <w:r w:rsidRPr="003D2091">
        <w:t xml:space="preserve"> Exhibit PGE-1, at 4C-1, lines 1 -12.</w:t>
      </w:r>
    </w:p>
  </w:footnote>
  <w:footnote w:id="168">
    <w:p w14:paraId="2FADE526" w14:textId="670AED54" w:rsidR="00083DA2" w:rsidRPr="003D2091" w:rsidRDefault="00083DA2">
      <w:pPr>
        <w:pStyle w:val="FootnoteText"/>
        <w:widowControl w:val="0"/>
        <w:spacing w:before="120"/>
      </w:pPr>
      <w:r w:rsidRPr="003D2091">
        <w:rPr>
          <w:rStyle w:val="FootnoteReference"/>
        </w:rPr>
        <w:footnoteRef/>
      </w:r>
      <w:r>
        <w:rPr>
          <w:i/>
          <w:iCs/>
        </w:rPr>
        <w:t xml:space="preserve"> </w:t>
      </w:r>
      <w:r w:rsidRPr="003D2091">
        <w:rPr>
          <w:i/>
          <w:iCs/>
        </w:rPr>
        <w:t>See</w:t>
      </w:r>
      <w:r w:rsidRPr="003D2091">
        <w:t xml:space="preserve"> Exhibit PGE-1, at 4C-1, lines 10-18.</w:t>
      </w:r>
    </w:p>
  </w:footnote>
  <w:footnote w:id="169">
    <w:p w14:paraId="3D3CA2F2" w14:textId="77777777" w:rsidR="00083DA2" w:rsidRPr="003D2091" w:rsidRDefault="00083DA2">
      <w:pPr>
        <w:pStyle w:val="FootnoteText"/>
        <w:widowControl w:val="0"/>
        <w:spacing w:before="120"/>
      </w:pPr>
      <w:r w:rsidRPr="003D2091">
        <w:rPr>
          <w:rStyle w:val="FootnoteReference"/>
        </w:rPr>
        <w:footnoteRef/>
      </w:r>
      <w:r w:rsidRPr="003D2091">
        <w:t xml:space="preserve"> </w:t>
      </w:r>
      <w:r w:rsidRPr="008550CD">
        <w:rPr>
          <w:i/>
        </w:rPr>
        <w:t>See</w:t>
      </w:r>
      <w:r w:rsidRPr="003D2091">
        <w:t xml:space="preserve"> PG&amp;E Opening Brief at 29-30, citing Exhibit PGE-1, at 4C-1, line 21 to 4C-2, </w:t>
      </w:r>
      <w:r w:rsidRPr="001D215C">
        <w:t xml:space="preserve">line 14.  </w:t>
      </w:r>
    </w:p>
  </w:footnote>
  <w:footnote w:id="170">
    <w:p w14:paraId="5A43E3F9" w14:textId="77777777" w:rsidR="00083DA2" w:rsidRPr="001D215C" w:rsidRDefault="00083DA2">
      <w:pPr>
        <w:pStyle w:val="FootnoteText"/>
        <w:widowControl w:val="0"/>
        <w:spacing w:before="120"/>
      </w:pPr>
      <w:r w:rsidRPr="003D2091">
        <w:rPr>
          <w:rStyle w:val="FootnoteReference"/>
        </w:rPr>
        <w:footnoteRef/>
      </w:r>
      <w:r w:rsidRPr="003D2091">
        <w:t xml:space="preserve"> </w:t>
      </w:r>
      <w:r w:rsidRPr="008550CD">
        <w:rPr>
          <w:i/>
        </w:rPr>
        <w:t>See</w:t>
      </w:r>
      <w:r w:rsidRPr="003D2091">
        <w:t xml:space="preserve"> Exhibit PGE-1, at 4C-2 through 4C-7 for full details about the NGV study.</w:t>
      </w:r>
    </w:p>
  </w:footnote>
  <w:footnote w:id="171">
    <w:p w14:paraId="798D9AED" w14:textId="77777777" w:rsidR="00083DA2" w:rsidRPr="003D2091" w:rsidRDefault="00083DA2">
      <w:pPr>
        <w:pStyle w:val="FootnoteText"/>
        <w:widowControl w:val="0"/>
        <w:spacing w:before="120"/>
      </w:pPr>
      <w:r w:rsidRPr="003D2091">
        <w:rPr>
          <w:rStyle w:val="FootnoteReference"/>
        </w:rPr>
        <w:footnoteRef/>
      </w:r>
      <w:r w:rsidRPr="003D2091">
        <w:rPr>
          <w:i/>
          <w:iCs/>
        </w:rPr>
        <w:t>See</w:t>
      </w:r>
      <w:r w:rsidRPr="003D2091">
        <w:t xml:space="preserve"> PG&amp;E’s Opening Brief at 59-60.</w:t>
      </w:r>
    </w:p>
  </w:footnote>
  <w:footnote w:id="172">
    <w:p w14:paraId="487D5D46" w14:textId="77777777" w:rsidR="00083DA2" w:rsidRPr="001D215C" w:rsidRDefault="00083DA2">
      <w:pPr>
        <w:pStyle w:val="FootnoteText"/>
        <w:widowControl w:val="0"/>
        <w:spacing w:before="120"/>
      </w:pPr>
      <w:r w:rsidRPr="003D2091">
        <w:rPr>
          <w:rStyle w:val="FootnoteReference"/>
        </w:rPr>
        <w:footnoteRef/>
      </w:r>
      <w:r w:rsidRPr="001D215C">
        <w:t xml:space="preserve"> Exhibit PGE-1, at 4A-1, lines 14 to 21.</w:t>
      </w:r>
    </w:p>
  </w:footnote>
  <w:footnote w:id="173">
    <w:p w14:paraId="0C7024EB" w14:textId="6164300A" w:rsidR="00083DA2" w:rsidRPr="001D215C" w:rsidRDefault="00083DA2">
      <w:pPr>
        <w:pStyle w:val="FootnoteText"/>
        <w:widowControl w:val="0"/>
        <w:spacing w:before="120"/>
      </w:pPr>
      <w:r w:rsidRPr="003D2091">
        <w:rPr>
          <w:rStyle w:val="FootnoteReference"/>
        </w:rPr>
        <w:footnoteRef/>
      </w:r>
      <w:r w:rsidRPr="003D2091">
        <w:t xml:space="preserve">  Exhibit PGE-3, at 4A-13, line 2 to 4A-14, line 8; and Exhibit PGE-1, at 4A-3, lines 5 to 8.</w:t>
      </w:r>
    </w:p>
  </w:footnote>
  <w:footnote w:id="174">
    <w:p w14:paraId="454500B8" w14:textId="1A145346" w:rsidR="00083DA2" w:rsidRPr="003D2091" w:rsidRDefault="00083DA2">
      <w:pPr>
        <w:pStyle w:val="FootnoteText"/>
        <w:widowControl w:val="0"/>
        <w:spacing w:before="120"/>
      </w:pPr>
      <w:r w:rsidRPr="003D2091">
        <w:rPr>
          <w:rStyle w:val="FootnoteReference"/>
        </w:rPr>
        <w:footnoteRef/>
      </w:r>
      <w:r>
        <w:rPr>
          <w:i/>
          <w:iCs/>
        </w:rPr>
        <w:t xml:space="preserve"> </w:t>
      </w:r>
      <w:r w:rsidRPr="001D215C">
        <w:rPr>
          <w:i/>
          <w:iCs/>
        </w:rPr>
        <w:t>See</w:t>
      </w:r>
      <w:r w:rsidRPr="001D215C">
        <w:t xml:space="preserve"> SBUA’s Opening Brief at 20, 21, 22, and 15, respectively.</w:t>
      </w:r>
    </w:p>
  </w:footnote>
  <w:footnote w:id="175">
    <w:p w14:paraId="03397946" w14:textId="1E0AD1DC" w:rsidR="00083DA2" w:rsidRPr="003D2091" w:rsidRDefault="00083DA2">
      <w:pPr>
        <w:pStyle w:val="FootnoteText"/>
        <w:widowControl w:val="0"/>
        <w:spacing w:before="120"/>
      </w:pPr>
      <w:r w:rsidRPr="003D2091">
        <w:rPr>
          <w:rStyle w:val="FootnoteReference"/>
        </w:rPr>
        <w:footnoteRef/>
      </w:r>
      <w:r>
        <w:rPr>
          <w:i/>
        </w:rPr>
        <w:t xml:space="preserve"> </w:t>
      </w:r>
      <w:r w:rsidRPr="001D215C">
        <w:rPr>
          <w:i/>
        </w:rPr>
        <w:t xml:space="preserve">See, e.g., </w:t>
      </w:r>
      <w:r w:rsidRPr="001D215C">
        <w:t>D.09-03-025at 8 (discussing utilities’ burden of proof in General Rate Cases).</w:t>
      </w:r>
    </w:p>
  </w:footnote>
  <w:footnote w:id="176">
    <w:p w14:paraId="4EEE3185" w14:textId="77777777" w:rsidR="00083DA2" w:rsidRPr="001D215C" w:rsidRDefault="00083DA2">
      <w:pPr>
        <w:pStyle w:val="FootnoteText"/>
        <w:widowControl w:val="0"/>
        <w:spacing w:before="120"/>
      </w:pPr>
      <w:r w:rsidRPr="003D2091">
        <w:rPr>
          <w:rStyle w:val="FootnoteReference"/>
        </w:rPr>
        <w:footnoteRef/>
      </w:r>
      <w:r w:rsidRPr="003D2091">
        <w:t xml:space="preserve">  SBUA’s Opening Brief at 13; also at 13-22, generally.</w:t>
      </w:r>
    </w:p>
  </w:footnote>
  <w:footnote w:id="177">
    <w:p w14:paraId="22EE92E9" w14:textId="77777777" w:rsidR="00083DA2" w:rsidRPr="003D2091" w:rsidRDefault="00083DA2">
      <w:pPr>
        <w:pStyle w:val="FootnoteText"/>
        <w:widowControl w:val="0"/>
        <w:spacing w:before="120"/>
      </w:pPr>
      <w:r w:rsidRPr="003D2091">
        <w:rPr>
          <w:rStyle w:val="FootnoteReference"/>
        </w:rPr>
        <w:footnoteRef/>
      </w:r>
      <w:r w:rsidRPr="003D2091">
        <w:t xml:space="preserve">  PG&amp;E believes that the therm savings in SBUA-1, Table 3, at 6 is based on first year savings, rather than savings for the life of the measure, and that PG&amp;E witness (Biery) had noted that that savings for the life of the measure should be used for allocations based on therm savings or bill savings.  (Citing Exhibit PGE-3, at 4A-10, lines 18-30).</w:t>
      </w:r>
    </w:p>
  </w:footnote>
  <w:footnote w:id="178">
    <w:p w14:paraId="3586CC16" w14:textId="0172DD92" w:rsidR="00083DA2" w:rsidRPr="001D215C" w:rsidRDefault="00083DA2">
      <w:pPr>
        <w:pStyle w:val="FootnoteText"/>
        <w:widowControl w:val="0"/>
        <w:spacing w:before="120"/>
      </w:pPr>
      <w:r w:rsidRPr="003D2091">
        <w:rPr>
          <w:rStyle w:val="FootnoteReference"/>
        </w:rPr>
        <w:footnoteRef/>
      </w:r>
      <w:r w:rsidRPr="003D2091">
        <w:t xml:space="preserve">  Hearing Tra</w:t>
      </w:r>
      <w:r w:rsidRPr="001D215C">
        <w:t>nscripts at 1129, line 23 to 1130, line 15 (Chernick); and 1130, line 16 to 1131, line 27.</w:t>
      </w:r>
    </w:p>
  </w:footnote>
  <w:footnote w:id="179">
    <w:p w14:paraId="0F5040DC" w14:textId="77777777" w:rsidR="00083DA2" w:rsidRPr="001D215C" w:rsidRDefault="00083DA2">
      <w:pPr>
        <w:pStyle w:val="FootnoteText"/>
        <w:widowControl w:val="0"/>
        <w:spacing w:before="120"/>
      </w:pPr>
      <w:r w:rsidRPr="003D2091">
        <w:rPr>
          <w:rStyle w:val="FootnoteReference"/>
        </w:rPr>
        <w:footnoteRef/>
      </w:r>
      <w:r w:rsidRPr="003D2091">
        <w:t xml:space="preserve">  PG&amp;E Opening Brief at 23.</w:t>
      </w:r>
    </w:p>
  </w:footnote>
  <w:footnote w:id="180">
    <w:p w14:paraId="14D4FBBC" w14:textId="77777777" w:rsidR="00083DA2" w:rsidRPr="001D215C" w:rsidRDefault="00083DA2">
      <w:pPr>
        <w:pStyle w:val="FootnoteText"/>
        <w:widowControl w:val="0"/>
        <w:spacing w:before="120"/>
      </w:pPr>
      <w:r w:rsidRPr="003D2091">
        <w:rPr>
          <w:rStyle w:val="FootnoteReference"/>
        </w:rPr>
        <w:footnoteRef/>
      </w:r>
      <w:r w:rsidRPr="003D2091">
        <w:t xml:space="preserve">  Exhibit PGE-3, at 4A-13, lines 2-12.</w:t>
      </w:r>
    </w:p>
  </w:footnote>
  <w:footnote w:id="181">
    <w:p w14:paraId="49CA1D89" w14:textId="77777777" w:rsidR="00083DA2" w:rsidRPr="001D215C" w:rsidRDefault="00083DA2">
      <w:pPr>
        <w:pStyle w:val="FootnoteText"/>
        <w:widowControl w:val="0"/>
        <w:spacing w:before="120"/>
      </w:pPr>
      <w:r w:rsidRPr="003D2091">
        <w:rPr>
          <w:rStyle w:val="FootnoteReference"/>
        </w:rPr>
        <w:footnoteRef/>
      </w:r>
      <w:r w:rsidRPr="003D2091">
        <w:t xml:space="preserve">  Exhibit PGE-3, at 4A-8, lines 6-25.</w:t>
      </w:r>
    </w:p>
  </w:footnote>
  <w:footnote w:id="182">
    <w:p w14:paraId="69DBDA1F" w14:textId="77777777" w:rsidR="00083DA2" w:rsidRPr="001D215C" w:rsidRDefault="00083DA2">
      <w:pPr>
        <w:pStyle w:val="FootnoteText"/>
        <w:widowControl w:val="0"/>
        <w:spacing w:before="120"/>
      </w:pPr>
      <w:r w:rsidRPr="003D2091">
        <w:rPr>
          <w:rStyle w:val="FootnoteReference"/>
        </w:rPr>
        <w:footnoteRef/>
      </w:r>
      <w:r w:rsidRPr="003D2091">
        <w:t xml:space="preserve">  Exhibit PGE-3, at 4A-8, lines 14-17.</w:t>
      </w:r>
    </w:p>
  </w:footnote>
  <w:footnote w:id="183">
    <w:p w14:paraId="324BD0CC" w14:textId="20C7615F" w:rsidR="00083DA2" w:rsidRPr="003D2091" w:rsidRDefault="00083DA2">
      <w:pPr>
        <w:pStyle w:val="FootnoteText"/>
        <w:widowControl w:val="0"/>
        <w:spacing w:before="120"/>
      </w:pPr>
      <w:r w:rsidRPr="003D2091">
        <w:rPr>
          <w:rStyle w:val="FootnoteReference"/>
        </w:rPr>
        <w:footnoteRef/>
      </w:r>
      <w:r>
        <w:rPr>
          <w:i/>
          <w:iCs/>
        </w:rPr>
        <w:t xml:space="preserve"> </w:t>
      </w:r>
      <w:r w:rsidRPr="001D215C">
        <w:rPr>
          <w:i/>
          <w:iCs/>
        </w:rPr>
        <w:t xml:space="preserve">See </w:t>
      </w:r>
      <w:r w:rsidRPr="003D2091">
        <w:t>Exhibit PGE-3, at 4A-10, lines 5-11; and lines 18-30.</w:t>
      </w:r>
    </w:p>
  </w:footnote>
  <w:footnote w:id="184">
    <w:p w14:paraId="2195ED6A" w14:textId="77777777" w:rsidR="00083DA2" w:rsidRPr="001D215C" w:rsidRDefault="00083DA2">
      <w:pPr>
        <w:pStyle w:val="FootnoteText"/>
        <w:widowControl w:val="0"/>
        <w:spacing w:before="120"/>
      </w:pPr>
      <w:r w:rsidRPr="003D2091">
        <w:rPr>
          <w:rStyle w:val="FootnoteReference"/>
        </w:rPr>
        <w:footnoteRef/>
      </w:r>
      <w:r w:rsidRPr="003D2091">
        <w:t xml:space="preserve">  Exhibit PGE-3, at 4A-17, lines 26-31.  </w:t>
      </w:r>
    </w:p>
  </w:footnote>
  <w:footnote w:id="185">
    <w:p w14:paraId="0FC1C40B" w14:textId="77777777" w:rsidR="00083DA2" w:rsidRPr="001D215C" w:rsidRDefault="00083DA2">
      <w:pPr>
        <w:pStyle w:val="FootnoteText"/>
        <w:widowControl w:val="0"/>
        <w:spacing w:before="120"/>
      </w:pPr>
      <w:r w:rsidRPr="003D2091">
        <w:rPr>
          <w:rStyle w:val="FootnoteReference"/>
        </w:rPr>
        <w:footnoteRef/>
      </w:r>
      <w:r w:rsidRPr="003D2091">
        <w:t xml:space="preserve">  Exhibit PGE-1, Chapter 4A.</w:t>
      </w:r>
    </w:p>
  </w:footnote>
  <w:footnote w:id="186">
    <w:p w14:paraId="183F499E" w14:textId="77777777" w:rsidR="00083DA2" w:rsidRPr="001D215C" w:rsidRDefault="00083DA2" w:rsidP="00D41036">
      <w:pPr>
        <w:pStyle w:val="FootnoteText"/>
        <w:widowControl w:val="0"/>
        <w:spacing w:before="120"/>
      </w:pPr>
      <w:r w:rsidRPr="003D2091">
        <w:rPr>
          <w:rStyle w:val="FootnoteReference"/>
        </w:rPr>
        <w:footnoteRef/>
      </w:r>
      <w:r w:rsidRPr="003D2091">
        <w:t xml:space="preserve">  That is, “equal cents per therm</w:t>
      </w:r>
      <w:r>
        <w:t>.</w:t>
      </w:r>
      <w:r w:rsidRPr="003D2091">
        <w:t xml:space="preserve">” </w:t>
      </w:r>
    </w:p>
  </w:footnote>
  <w:footnote w:id="187">
    <w:p w14:paraId="178A86E2" w14:textId="2B4C2644" w:rsidR="00083DA2" w:rsidRPr="003D2091" w:rsidRDefault="00083DA2">
      <w:pPr>
        <w:widowControl w:val="0"/>
        <w:spacing w:before="120" w:after="120"/>
        <w:rPr>
          <w:b/>
          <w:sz w:val="22"/>
          <w:szCs w:val="22"/>
          <w:u w:val="single"/>
        </w:rPr>
      </w:pPr>
      <w:r w:rsidRPr="003D2091">
        <w:rPr>
          <w:rStyle w:val="FootnoteReference"/>
          <w:sz w:val="22"/>
          <w:szCs w:val="22"/>
        </w:rPr>
        <w:footnoteRef/>
      </w:r>
      <w:r>
        <w:rPr>
          <w:sz w:val="22"/>
          <w:szCs w:val="22"/>
        </w:rPr>
        <w:t xml:space="preserve"> </w:t>
      </w:r>
      <w:r w:rsidRPr="003D2091">
        <w:rPr>
          <w:sz w:val="22"/>
          <w:szCs w:val="22"/>
        </w:rPr>
        <w:t>Among others, Cal Advocates argues that PG&amp;E does not address CARE cost-allocation formulas in this GCAP application, even though § 327(a)(7) requires that CARE costs be allocated “on an equal cents per kilowatt hour or equal cents per therm basis to all classes of customers that were subject to the surcharge that funded the program on July 1, 2008.”  According to Cal Advocates, the same cost-recovery arrangement should be used to recover ESA gas costs.  Using the calculations for an equal cents/therm calculation similar to CARE, electric generation and wholesale customers excluded, PG&amp;E provided the following allocations in work papers. (See Exhibit ORA-3, at 4, lines 3-5, citing PG&amp;E Updated workpapers for errata (Feb 12, 2018), PGE_RDMODEL_2018GCAP_02152018.xlsm: Transportation_Alloc_Factors, lines 34-35).</w:t>
      </w:r>
    </w:p>
  </w:footnote>
  <w:footnote w:id="188">
    <w:p w14:paraId="38653803" w14:textId="77777777" w:rsidR="00083DA2" w:rsidRPr="001D215C" w:rsidRDefault="00083DA2">
      <w:pPr>
        <w:pStyle w:val="FootnoteText"/>
        <w:widowControl w:val="0"/>
        <w:spacing w:before="120"/>
      </w:pPr>
      <w:r w:rsidRPr="003D2091">
        <w:rPr>
          <w:rStyle w:val="FootnoteReference"/>
        </w:rPr>
        <w:footnoteRef/>
      </w:r>
      <w:r w:rsidRPr="003D2091">
        <w:t xml:space="preserve">  Exhibit ORA-3, at 1, lines 9-12.</w:t>
      </w:r>
    </w:p>
  </w:footnote>
  <w:footnote w:id="189">
    <w:p w14:paraId="2EE7F51F" w14:textId="77777777" w:rsidR="00083DA2" w:rsidRPr="001D215C" w:rsidRDefault="00083DA2">
      <w:pPr>
        <w:pStyle w:val="FootnoteText"/>
        <w:widowControl w:val="0"/>
        <w:spacing w:before="120"/>
      </w:pPr>
      <w:r w:rsidRPr="003D2091">
        <w:rPr>
          <w:rStyle w:val="FootnoteReference"/>
        </w:rPr>
        <w:footnoteRef/>
      </w:r>
      <w:r w:rsidRPr="003D2091">
        <w:t xml:space="preserve">  E</w:t>
      </w:r>
      <w:r w:rsidRPr="001D215C">
        <w:t>xhibit ORA-3, at 1, lines 19-21.</w:t>
      </w:r>
    </w:p>
  </w:footnote>
  <w:footnote w:id="190">
    <w:p w14:paraId="13B37504" w14:textId="77777777" w:rsidR="00083DA2" w:rsidRPr="003D2091" w:rsidRDefault="00083DA2">
      <w:pPr>
        <w:pStyle w:val="FootnoteText"/>
        <w:widowControl w:val="0"/>
        <w:spacing w:before="120"/>
      </w:pPr>
      <w:r w:rsidRPr="003D2091">
        <w:rPr>
          <w:rStyle w:val="FootnoteReference"/>
        </w:rPr>
        <w:footnoteRef/>
      </w:r>
      <w:r w:rsidRPr="003D2091">
        <w:t xml:space="preserve">  According to TURN, PG&amp;E proposes to assign $64 million of ESA costs and $91 million of total EE costs to residential customers resulting in 64 percent allocation to residential customers of the total EE program costs.</w:t>
      </w:r>
    </w:p>
  </w:footnote>
  <w:footnote w:id="191">
    <w:p w14:paraId="669CCA41" w14:textId="77777777" w:rsidR="00083DA2" w:rsidRPr="001D215C" w:rsidRDefault="00083DA2">
      <w:pPr>
        <w:pStyle w:val="FootnoteText"/>
        <w:widowControl w:val="0"/>
        <w:spacing w:before="120"/>
      </w:pPr>
      <w:r w:rsidRPr="003D2091">
        <w:rPr>
          <w:rStyle w:val="FootnoteReference"/>
        </w:rPr>
        <w:footnoteRef/>
      </w:r>
      <w:r w:rsidRPr="001D215C">
        <w:t xml:space="preserve"> Citing A. 16-06-030, Exhibit PG&amp;E-1, at 1-8 and 1-9.  (Attachment 3)</w:t>
      </w:r>
    </w:p>
  </w:footnote>
  <w:footnote w:id="192">
    <w:p w14:paraId="28081B79" w14:textId="77777777" w:rsidR="00083DA2" w:rsidRPr="001D215C" w:rsidRDefault="00083DA2">
      <w:pPr>
        <w:pStyle w:val="FootnoteText"/>
        <w:widowControl w:val="0"/>
        <w:spacing w:before="120"/>
      </w:pPr>
      <w:r w:rsidRPr="003D2091">
        <w:rPr>
          <w:rStyle w:val="FootnoteReference"/>
        </w:rPr>
        <w:footnoteRef/>
      </w:r>
      <w:r w:rsidRPr="003D2091">
        <w:t xml:space="preserve">  Exhibit PGE-3, at 4A-25.  </w:t>
      </w:r>
    </w:p>
  </w:footnote>
  <w:footnote w:id="193">
    <w:p w14:paraId="5A12AE19" w14:textId="77777777" w:rsidR="00083DA2" w:rsidRPr="001D215C" w:rsidRDefault="00083DA2">
      <w:pPr>
        <w:pStyle w:val="FootnoteText"/>
        <w:widowControl w:val="0"/>
        <w:spacing w:before="120"/>
      </w:pPr>
      <w:r w:rsidRPr="003D2091">
        <w:rPr>
          <w:rStyle w:val="FootnoteReference"/>
          <w:rFonts w:eastAsiaTheme="majorEastAsia"/>
        </w:rPr>
        <w:footnoteRef/>
      </w:r>
      <w:r w:rsidRPr="003D2091">
        <w:t xml:space="preserve">  Exhibit PGE-1, at 4A-1.  See also, PG&amp;E Advice 1957-G, Customer Energy Efficiency/Demand-side Management Program Cost Allocation Adjustment BCAP Decision 95-12-053</w:t>
      </w:r>
      <w:r w:rsidRPr="003D2091">
        <w:rPr>
          <w:color w:val="0C0C0C"/>
        </w:rPr>
        <w:fldChar w:fldCharType="begin"/>
      </w:r>
      <w:r w:rsidRPr="003D2091">
        <w:rPr>
          <w:color w:val="0C0C0C"/>
        </w:rPr>
        <w:instrText xml:space="preserve"> TA \s "D. 95-12-053" </w:instrText>
      </w:r>
      <w:r w:rsidRPr="003D2091">
        <w:rPr>
          <w:color w:val="0C0C0C"/>
        </w:rPr>
        <w:fldChar w:fldCharType="end"/>
      </w:r>
      <w:r w:rsidRPr="003D2091">
        <w:t>.</w:t>
      </w:r>
    </w:p>
  </w:footnote>
  <w:footnote w:id="194">
    <w:p w14:paraId="19ADD751" w14:textId="12D47E8A" w:rsidR="00083DA2" w:rsidRPr="003D2091" w:rsidRDefault="00083DA2">
      <w:pPr>
        <w:pStyle w:val="FootnoteText"/>
        <w:widowControl w:val="0"/>
        <w:spacing w:before="120"/>
      </w:pPr>
      <w:r w:rsidRPr="003D2091">
        <w:rPr>
          <w:rStyle w:val="FootnoteReference"/>
        </w:rPr>
        <w:footnoteRef/>
      </w:r>
      <w:r>
        <w:rPr>
          <w:i/>
          <w:iCs/>
        </w:rPr>
        <w:t xml:space="preserve"> </w:t>
      </w:r>
      <w:r w:rsidRPr="001D215C">
        <w:rPr>
          <w:i/>
          <w:iCs/>
        </w:rPr>
        <w:t xml:space="preserve">See </w:t>
      </w:r>
      <w:r w:rsidRPr="003D2091">
        <w:t>PG&amp;E’s Opening Brief at 25 (citing Exhibit ORA-03, at 3, lines 5-22; TURN-1, at 20).</w:t>
      </w:r>
    </w:p>
  </w:footnote>
  <w:footnote w:id="195">
    <w:p w14:paraId="3D29F6EC" w14:textId="77777777" w:rsidR="00083DA2" w:rsidRPr="001D215C" w:rsidRDefault="00083DA2">
      <w:pPr>
        <w:pStyle w:val="FootnoteText"/>
        <w:widowControl w:val="0"/>
        <w:spacing w:before="120"/>
      </w:pPr>
      <w:r w:rsidRPr="003D2091">
        <w:rPr>
          <w:rStyle w:val="FootnoteReference"/>
        </w:rPr>
        <w:footnoteRef/>
      </w:r>
      <w:r w:rsidRPr="003D2091">
        <w:t xml:space="preserve">  Exhibit TURN-1, at 20.</w:t>
      </w:r>
    </w:p>
  </w:footnote>
  <w:footnote w:id="196">
    <w:p w14:paraId="0DF293EE" w14:textId="77777777" w:rsidR="00083DA2" w:rsidRPr="001D215C" w:rsidRDefault="00083DA2">
      <w:pPr>
        <w:pStyle w:val="FootnoteText"/>
        <w:widowControl w:val="0"/>
        <w:spacing w:before="120"/>
      </w:pPr>
      <w:r w:rsidRPr="003D2091">
        <w:rPr>
          <w:rStyle w:val="FootnoteReference"/>
        </w:rPr>
        <w:footnoteRef/>
      </w:r>
      <w:r w:rsidRPr="003D2091">
        <w:t xml:space="preserve">  Indicated Shippers, Exhibit IS – 1, at 4 line 12 through 5, line 2.</w:t>
      </w:r>
    </w:p>
  </w:footnote>
  <w:footnote w:id="197">
    <w:p w14:paraId="2E21BCEC" w14:textId="77777777" w:rsidR="00083DA2" w:rsidRPr="001D215C" w:rsidRDefault="00083DA2">
      <w:pPr>
        <w:pStyle w:val="FootnoteText"/>
        <w:widowControl w:val="0"/>
        <w:spacing w:before="120"/>
      </w:pPr>
      <w:r w:rsidRPr="003D2091">
        <w:rPr>
          <w:rStyle w:val="FootnoteReference"/>
        </w:rPr>
        <w:footnoteRef/>
      </w:r>
      <w:r w:rsidRPr="003D2091">
        <w:t xml:space="preserve">  Exhibit SBUA-2, at 8, lines 6-13.</w:t>
      </w:r>
    </w:p>
  </w:footnote>
  <w:footnote w:id="198">
    <w:p w14:paraId="5F596AB2" w14:textId="77777777" w:rsidR="00083DA2" w:rsidRPr="001D215C" w:rsidRDefault="00083DA2">
      <w:pPr>
        <w:pStyle w:val="FootnoteText"/>
        <w:widowControl w:val="0"/>
        <w:spacing w:before="120"/>
      </w:pPr>
      <w:r w:rsidRPr="003D2091">
        <w:rPr>
          <w:rStyle w:val="FootnoteReference"/>
        </w:rPr>
        <w:footnoteRef/>
      </w:r>
      <w:r w:rsidRPr="003D2091">
        <w:t xml:space="preserve">  Exhibit PGE-1, at 4A-3, line 10 through 4A-11, line</w:t>
      </w:r>
      <w:r>
        <w:t xml:space="preserve"> </w:t>
      </w:r>
      <w:r w:rsidRPr="003D2091">
        <w:t>4, Table 4A-1.</w:t>
      </w:r>
    </w:p>
  </w:footnote>
  <w:footnote w:id="199">
    <w:p w14:paraId="045F1B04" w14:textId="77777777" w:rsidR="00083DA2" w:rsidRPr="001D215C" w:rsidRDefault="00083DA2">
      <w:pPr>
        <w:pStyle w:val="FootnoteText"/>
        <w:widowControl w:val="0"/>
        <w:spacing w:before="120"/>
      </w:pPr>
      <w:r w:rsidRPr="003D2091">
        <w:rPr>
          <w:rStyle w:val="FootnoteReference"/>
        </w:rPr>
        <w:footnoteRef/>
      </w:r>
      <w:r w:rsidRPr="003D2091">
        <w:t xml:space="preserve">  Exhibit PGE-3, at 4A-4, lines 20-25.</w:t>
      </w:r>
    </w:p>
  </w:footnote>
  <w:footnote w:id="200">
    <w:p w14:paraId="4F9C0E97" w14:textId="77777777" w:rsidR="00083DA2" w:rsidRPr="001D215C" w:rsidRDefault="00083DA2">
      <w:pPr>
        <w:pStyle w:val="FootnoteText"/>
        <w:widowControl w:val="0"/>
        <w:spacing w:before="120"/>
      </w:pPr>
      <w:r w:rsidRPr="003D2091">
        <w:rPr>
          <w:rStyle w:val="FootnoteReference"/>
        </w:rPr>
        <w:footnoteRef/>
      </w:r>
      <w:r w:rsidRPr="003D2091">
        <w:t xml:space="preserve">  D.08-11-031, at 7.</w:t>
      </w:r>
    </w:p>
  </w:footnote>
  <w:footnote w:id="201">
    <w:p w14:paraId="30E8A227" w14:textId="77777777" w:rsidR="00083DA2" w:rsidRPr="001D215C" w:rsidRDefault="00083DA2">
      <w:pPr>
        <w:pStyle w:val="FootnoteText"/>
        <w:widowControl w:val="0"/>
        <w:spacing w:before="120"/>
      </w:pPr>
      <w:r w:rsidRPr="003D2091">
        <w:rPr>
          <w:rStyle w:val="FootnoteReference"/>
        </w:rPr>
        <w:footnoteRef/>
      </w:r>
      <w:r w:rsidRPr="003D2091">
        <w:t xml:space="preserve">  D.08-11-03.</w:t>
      </w:r>
    </w:p>
  </w:footnote>
  <w:footnote w:id="202">
    <w:p w14:paraId="67A19033" w14:textId="77777777" w:rsidR="00083DA2" w:rsidRPr="001D215C" w:rsidRDefault="00083DA2">
      <w:pPr>
        <w:pStyle w:val="FootnoteText"/>
        <w:widowControl w:val="0"/>
        <w:spacing w:before="120"/>
      </w:pPr>
      <w:r w:rsidRPr="003D2091">
        <w:rPr>
          <w:rStyle w:val="FootnoteReference"/>
        </w:rPr>
        <w:footnoteRef/>
      </w:r>
      <w:r w:rsidRPr="003D2091">
        <w:t xml:space="preserve">  D.95-12-053, Finding of Fact (FOF) 26.</w:t>
      </w:r>
    </w:p>
  </w:footnote>
  <w:footnote w:id="203">
    <w:p w14:paraId="3C25F328" w14:textId="77777777" w:rsidR="00083DA2" w:rsidRPr="001D215C" w:rsidRDefault="00083DA2">
      <w:pPr>
        <w:pStyle w:val="FootnoteText"/>
        <w:widowControl w:val="0"/>
        <w:spacing w:before="120"/>
      </w:pPr>
      <w:r w:rsidRPr="003D2091">
        <w:rPr>
          <w:rStyle w:val="FootnoteReference"/>
        </w:rPr>
        <w:footnoteRef/>
      </w:r>
      <w:r w:rsidRPr="003D2091">
        <w:t xml:space="preserve">  D.09-03-024.</w:t>
      </w:r>
    </w:p>
  </w:footnote>
  <w:footnote w:id="204">
    <w:p w14:paraId="16EE1E53" w14:textId="77777777" w:rsidR="00083DA2" w:rsidRPr="003D2091" w:rsidRDefault="00083DA2">
      <w:pPr>
        <w:pStyle w:val="FootnoteText"/>
        <w:widowControl w:val="0"/>
        <w:spacing w:before="120"/>
      </w:pPr>
      <w:r w:rsidRPr="003D2091">
        <w:rPr>
          <w:rStyle w:val="FootnoteReference"/>
        </w:rPr>
        <w:footnoteRef/>
      </w:r>
      <w:r w:rsidRPr="003D2091">
        <w:t xml:space="preserve">  D.09-03-024,</w:t>
      </w:r>
      <w:r w:rsidRPr="001D215C">
        <w:t xml:space="preserve"> at 4, fn. 5 (The decision states, “Equal percent of base revenue assigns costs to individual customer classes based on the same percentage of base transportation revenue allocated to each customer class. For PG&amp;E, ECPB is the sum of customer access costs </w:t>
      </w:r>
      <w:r w:rsidRPr="003D2091">
        <w:t>(noncore transmission service connections), distribution costs (including core and noncore service connection), local transmission costs, and backbone transmission costs).</w:t>
      </w:r>
    </w:p>
  </w:footnote>
  <w:footnote w:id="205">
    <w:p w14:paraId="480E12FE" w14:textId="77777777" w:rsidR="00083DA2" w:rsidRPr="003D2091" w:rsidRDefault="00083DA2">
      <w:pPr>
        <w:pStyle w:val="FootnoteText"/>
        <w:widowControl w:val="0"/>
        <w:spacing w:before="120"/>
      </w:pPr>
      <w:r w:rsidRPr="003D2091">
        <w:rPr>
          <w:rStyle w:val="FootnoteReference"/>
        </w:rPr>
        <w:footnoteRef/>
      </w:r>
      <w:r w:rsidRPr="003D2091">
        <w:t xml:space="preserve">  D.09-03-024</w:t>
      </w:r>
      <w:r w:rsidRPr="001D215C">
        <w:rPr>
          <w:i/>
        </w:rPr>
        <w:t xml:space="preserve">, </w:t>
      </w:r>
      <w:r w:rsidRPr="003D2091">
        <w:t>Appendix A, at 2-3.</w:t>
      </w:r>
    </w:p>
  </w:footnote>
  <w:footnote w:id="206">
    <w:p w14:paraId="5EFB86FE" w14:textId="27996D13" w:rsidR="00083DA2" w:rsidRPr="003D2091" w:rsidRDefault="00083DA2">
      <w:pPr>
        <w:pStyle w:val="FootnoteText"/>
        <w:widowControl w:val="0"/>
        <w:spacing w:before="120"/>
      </w:pPr>
      <w:r w:rsidRPr="003D2091">
        <w:rPr>
          <w:rStyle w:val="FootnoteReference"/>
        </w:rPr>
        <w:footnoteRef/>
      </w:r>
      <w:r w:rsidRPr="003D2091">
        <w:t xml:space="preserve">  D.09-03-024, at</w:t>
      </w:r>
      <w:r>
        <w:t xml:space="preserve"> </w:t>
      </w:r>
      <w:r w:rsidRPr="003D2091">
        <w:t>21 (Conclusion of Law 3).</w:t>
      </w:r>
    </w:p>
  </w:footnote>
  <w:footnote w:id="207">
    <w:p w14:paraId="7276AD9D" w14:textId="2963C836" w:rsidR="00083DA2" w:rsidRPr="003D2091" w:rsidRDefault="00083DA2">
      <w:pPr>
        <w:pStyle w:val="FootnoteText"/>
        <w:widowControl w:val="0"/>
        <w:spacing w:before="120"/>
      </w:pPr>
      <w:r w:rsidRPr="003D2091">
        <w:rPr>
          <w:rStyle w:val="FootnoteReference"/>
        </w:rPr>
        <w:footnoteRef/>
      </w:r>
      <w:r w:rsidRPr="003D2091">
        <w:t xml:space="preserve">  D.09-03-024, at</w:t>
      </w:r>
      <w:r>
        <w:t xml:space="preserve"> </w:t>
      </w:r>
      <w:r w:rsidRPr="003D2091">
        <w:t>18 (emphasis added).</w:t>
      </w:r>
    </w:p>
  </w:footnote>
  <w:footnote w:id="208">
    <w:p w14:paraId="4DEF5D17" w14:textId="77777777" w:rsidR="00083DA2" w:rsidRPr="003D2091" w:rsidRDefault="00083DA2">
      <w:pPr>
        <w:pStyle w:val="FootnoteText"/>
        <w:widowControl w:val="0"/>
        <w:spacing w:before="120"/>
      </w:pPr>
      <w:r w:rsidRPr="003D2091">
        <w:rPr>
          <w:rStyle w:val="FootnoteReference"/>
        </w:rPr>
        <w:footnoteRef/>
      </w:r>
      <w:r w:rsidRPr="003D2091">
        <w:t xml:space="preserve">  D.17-12-009, Attachment 1, at 6. D.17-12-009 resolved petitions to modify D.16-11-022, and attached a redlined version of D.16-11-022.  PG&amp;E refers to the decision that resolves the petitions.</w:t>
      </w:r>
    </w:p>
  </w:footnote>
  <w:footnote w:id="209">
    <w:p w14:paraId="72D31B56" w14:textId="5221A267" w:rsidR="00083DA2" w:rsidRPr="003D2091" w:rsidRDefault="00083DA2">
      <w:pPr>
        <w:pStyle w:val="FootnoteText"/>
        <w:widowControl w:val="0"/>
        <w:spacing w:before="120"/>
      </w:pPr>
      <w:r w:rsidRPr="003D2091">
        <w:rPr>
          <w:rStyle w:val="FootnoteReference"/>
        </w:rPr>
        <w:footnoteRef/>
      </w:r>
      <w:r>
        <w:rPr>
          <w:i/>
        </w:rPr>
        <w:t xml:space="preserve"> </w:t>
      </w:r>
      <w:r w:rsidRPr="001D215C">
        <w:rPr>
          <w:i/>
        </w:rPr>
        <w:t>Id.</w:t>
      </w:r>
      <w:r w:rsidRPr="003D2091">
        <w:t>, Attachment 1, at 15.</w:t>
      </w:r>
    </w:p>
  </w:footnote>
  <w:footnote w:id="210">
    <w:p w14:paraId="27CCA63C" w14:textId="54B902B9" w:rsidR="00083DA2" w:rsidRPr="003D2091" w:rsidRDefault="00083DA2">
      <w:pPr>
        <w:pStyle w:val="FootnoteText"/>
        <w:widowControl w:val="0"/>
        <w:spacing w:before="120"/>
      </w:pPr>
      <w:r w:rsidRPr="003D2091">
        <w:rPr>
          <w:rStyle w:val="FootnoteReference"/>
        </w:rPr>
        <w:footnoteRef/>
      </w:r>
      <w:r>
        <w:rPr>
          <w:i/>
        </w:rPr>
        <w:t xml:space="preserve"> </w:t>
      </w:r>
      <w:r w:rsidRPr="001D215C">
        <w:rPr>
          <w:i/>
        </w:rPr>
        <w:t>Id.</w:t>
      </w:r>
      <w:r w:rsidRPr="003D2091">
        <w:t xml:space="preserve">, Attachment 1, at 6, 11-17, 41-54, 455 (Ordering Paragraphs 5-6).  For example, the Decision found that “In the California Long-Term Energy Efficiency Strategic Plan, the Commission made it clear that the ESA Program was also meant to be a resource program and achieve energy savings.” </w:t>
      </w:r>
      <w:r w:rsidRPr="003D2091">
        <w:rPr>
          <w:i/>
        </w:rPr>
        <w:t xml:space="preserve">Id.at </w:t>
      </w:r>
      <w:r w:rsidRPr="003D2091">
        <w:t>11.</w:t>
      </w:r>
    </w:p>
  </w:footnote>
  <w:footnote w:id="211">
    <w:p w14:paraId="5B836634" w14:textId="52AD15B6" w:rsidR="00083DA2" w:rsidRPr="001D215C" w:rsidRDefault="00083DA2">
      <w:pPr>
        <w:pStyle w:val="FootnoteText"/>
        <w:widowControl w:val="0"/>
        <w:spacing w:before="120"/>
      </w:pPr>
      <w:r w:rsidRPr="003D2091">
        <w:rPr>
          <w:rStyle w:val="FootnoteReference"/>
        </w:rPr>
        <w:footnoteRef/>
      </w:r>
      <w:r w:rsidRPr="003D2091">
        <w:t>D. 95-12-053, Finding of Fact 26.</w:t>
      </w:r>
    </w:p>
  </w:footnote>
  <w:footnote w:id="212">
    <w:p w14:paraId="5AF4B6ED" w14:textId="621A7798" w:rsidR="00083DA2" w:rsidRPr="003D2091" w:rsidRDefault="00083DA2">
      <w:pPr>
        <w:pStyle w:val="FootnoteText"/>
        <w:widowControl w:val="0"/>
        <w:spacing w:before="120"/>
      </w:pPr>
      <w:r w:rsidRPr="003D2091">
        <w:rPr>
          <w:rStyle w:val="FootnoteReference"/>
        </w:rPr>
        <w:footnoteRef/>
      </w:r>
      <w:r>
        <w:rPr>
          <w:i/>
          <w:iCs/>
        </w:rPr>
        <w:t xml:space="preserve"> </w:t>
      </w:r>
      <w:r w:rsidRPr="001D215C">
        <w:rPr>
          <w:i/>
          <w:iCs/>
        </w:rPr>
        <w:t>See</w:t>
      </w:r>
      <w:r w:rsidRPr="001D215C">
        <w:t xml:space="preserve"> Exhibit PGE-1, at 1-6, lines 29-31.  </w:t>
      </w:r>
    </w:p>
  </w:footnote>
  <w:footnote w:id="213">
    <w:p w14:paraId="791A7A5C" w14:textId="43723E39" w:rsidR="00083DA2" w:rsidRPr="003D2091" w:rsidRDefault="00083DA2">
      <w:pPr>
        <w:pStyle w:val="FootnoteText"/>
        <w:widowControl w:val="0"/>
        <w:spacing w:before="120"/>
      </w:pPr>
      <w:r w:rsidRPr="003D2091">
        <w:rPr>
          <w:rStyle w:val="FootnoteReference"/>
        </w:rPr>
        <w:footnoteRef/>
      </w:r>
      <w:r>
        <w:rPr>
          <w:i/>
          <w:iCs/>
        </w:rPr>
        <w:t xml:space="preserve"> </w:t>
      </w:r>
      <w:r w:rsidRPr="001D215C">
        <w:rPr>
          <w:i/>
          <w:iCs/>
        </w:rPr>
        <w:t>See</w:t>
      </w:r>
      <w:r w:rsidRPr="001D215C">
        <w:t xml:space="preserve"> Exhibit ORA-5, at 100, lines 6-12</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5CCC6" w14:textId="57F450F8" w:rsidR="00083DA2" w:rsidRDefault="00083DA2" w:rsidP="00831AB9">
    <w:pPr>
      <w:pStyle w:val="Header"/>
      <w:rPr>
        <w:b/>
        <w:bCs/>
      </w:rPr>
    </w:pPr>
    <w:r>
      <w:t>A.17-09-006  ALJ/AA6/mph</w:t>
    </w:r>
    <w:r>
      <w:tab/>
    </w:r>
    <w:r>
      <w:tab/>
    </w:r>
    <w:r w:rsidRPr="00AA0794">
      <w:rPr>
        <w:b/>
        <w:bCs/>
      </w:rPr>
      <w:t>PROPOSED DECISION</w:t>
    </w:r>
    <w:r w:rsidR="00236558">
      <w:rPr>
        <w:b/>
        <w:bCs/>
      </w:rPr>
      <w:t xml:space="preserve"> (REV. 1)</w:t>
    </w:r>
  </w:p>
  <w:p w14:paraId="2DEDC55C" w14:textId="77777777" w:rsidR="00083DA2" w:rsidRDefault="00083DA2" w:rsidP="00831AB9">
    <w:pPr>
      <w:pStyle w:val="Header"/>
    </w:pPr>
  </w:p>
  <w:p w14:paraId="15B936F6" w14:textId="77777777" w:rsidR="00083DA2" w:rsidRDefault="00083D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97EB3" w14:textId="31BF6689" w:rsidR="00083DA2" w:rsidRDefault="00083DA2">
    <w:pPr>
      <w:pStyle w:val="Header"/>
    </w:pPr>
    <w:r>
      <w:t>A.17-09-006  ALJ/AA6/mph</w:t>
    </w:r>
    <w:r>
      <w:tab/>
    </w:r>
    <w:r>
      <w:tab/>
    </w:r>
    <w:r w:rsidRPr="00946449">
      <w:rPr>
        <w:b/>
        <w:bCs/>
      </w:rPr>
      <w:t>PROPOSED DECISION</w:t>
    </w:r>
    <w:r w:rsidR="00236558">
      <w:rPr>
        <w:b/>
        <w:bCs/>
      </w:rPr>
      <w:t xml:space="preserve"> (REV. 1)</w:t>
    </w:r>
  </w:p>
  <w:p w14:paraId="08BE5EA4" w14:textId="77777777" w:rsidR="00083DA2" w:rsidRDefault="00083DA2">
    <w:pPr>
      <w:pStyle w:val="Header"/>
    </w:pPr>
  </w:p>
  <w:p w14:paraId="0A41633E" w14:textId="77777777" w:rsidR="00083DA2" w:rsidRDefault="00083D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9C5D8" w14:textId="084B9702" w:rsidR="00083DA2" w:rsidRDefault="00083DA2" w:rsidP="00946449">
    <w:pPr>
      <w:pStyle w:val="Header"/>
      <w:rPr>
        <w:b/>
        <w:bCs/>
      </w:rPr>
    </w:pPr>
    <w:r>
      <w:t>A.17-09-006  ALJ/AA6/mph</w:t>
    </w:r>
    <w:r>
      <w:tab/>
    </w:r>
    <w:r>
      <w:tab/>
    </w:r>
    <w:r w:rsidRPr="00946449">
      <w:rPr>
        <w:b/>
        <w:bCs/>
      </w:rPr>
      <w:t>PROPOSED DECISION</w:t>
    </w:r>
    <w:r w:rsidR="00236558">
      <w:rPr>
        <w:b/>
        <w:bCs/>
      </w:rPr>
      <w:t xml:space="preserve"> (REV. 1)</w:t>
    </w:r>
  </w:p>
  <w:p w14:paraId="5CDE8849" w14:textId="601F48C3" w:rsidR="00083DA2" w:rsidRDefault="00083DA2" w:rsidP="00946449">
    <w:pPr>
      <w:pStyle w:val="Header"/>
      <w:rPr>
        <w:b/>
        <w:bCs/>
      </w:rPr>
    </w:pPr>
  </w:p>
  <w:p w14:paraId="2B373E6D" w14:textId="77777777" w:rsidR="00083DA2" w:rsidRPr="00946449" w:rsidRDefault="00083DA2" w:rsidP="009464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F569E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C3C28034"/>
    <w:lvl w:ilvl="0">
      <w:start w:val="1"/>
      <w:numFmt w:val="decimal"/>
      <w:pStyle w:val="Heading1"/>
      <w:lvlText w:val="%1."/>
      <w:legacy w:legacy="1" w:legacySpace="0" w:legacyIndent="720"/>
      <w:lvlJc w:val="left"/>
      <w:pPr>
        <w:ind w:left="720" w:hanging="720"/>
      </w:pPr>
      <w:rPr>
        <w:b/>
      </w:rPr>
    </w:lvl>
    <w:lvl w:ilvl="1">
      <w:start w:val="1"/>
      <w:numFmt w:val="decimal"/>
      <w:pStyle w:val="Heading2"/>
      <w:lvlText w:val="%1.%2."/>
      <w:legacy w:legacy="1" w:legacySpace="0" w:legacyIndent="720"/>
      <w:lvlJc w:val="left"/>
      <w:pPr>
        <w:ind w:left="1440" w:hanging="720"/>
      </w:pPr>
      <w:rPr>
        <w:b/>
      </w:r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4140" w:hanging="720"/>
      </w:pPr>
      <w:rPr>
        <w:rFonts w:ascii="Helvetica" w:hAnsi="Helvetica" w:cs="Times New Roman" w:hint="default"/>
        <w:sz w:val="26"/>
        <w:szCs w:val="26"/>
      </w:rPr>
    </w:lvl>
    <w:lvl w:ilvl="5">
      <w:start w:val="1"/>
      <w:numFmt w:val="decimal"/>
      <w:pStyle w:val="Heading6"/>
      <w:lvlText w:val="%1.%2.%3.%4.%5.%6."/>
      <w:legacy w:legacy="1" w:legacySpace="0" w:legacyIndent="720"/>
      <w:lvlJc w:val="left"/>
      <w:pPr>
        <w:ind w:left="4320" w:hanging="720"/>
      </w:pPr>
      <w:rPr>
        <w:b/>
        <w:i w:val="0"/>
        <w:sz w:val="26"/>
        <w:szCs w:val="26"/>
      </w:rPr>
    </w:lvl>
    <w:lvl w:ilvl="6">
      <w:start w:val="1"/>
      <w:numFmt w:val="decimal"/>
      <w:pStyle w:val="Heading7"/>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2">
    <w:nsid w:val="000B4BCC"/>
    <w:multiLevelType w:val="hybridMultilevel"/>
    <w:tmpl w:val="91260CAC"/>
    <w:lvl w:ilvl="0" w:tplc="BEEC0148">
      <w:start w:val="1"/>
      <w:numFmt w:val="upperRoman"/>
      <w:lvlText w:val="%1."/>
      <w:lvlJc w:val="left"/>
      <w:pPr>
        <w:ind w:left="720" w:hanging="720"/>
      </w:pPr>
      <w:rPr>
        <w:rFonts w:hint="default"/>
      </w:rPr>
    </w:lvl>
    <w:lvl w:ilvl="1" w:tplc="04090015">
      <w:start w:val="1"/>
      <w:numFmt w:val="upperLetter"/>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nsid w:val="04BD6FB5"/>
    <w:multiLevelType w:val="hybridMultilevel"/>
    <w:tmpl w:val="88884F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FF3327"/>
    <w:multiLevelType w:val="multilevel"/>
    <w:tmpl w:val="5388E5DE"/>
    <w:lvl w:ilvl="0">
      <w:start w:val="4"/>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0F643395"/>
    <w:multiLevelType w:val="multilevel"/>
    <w:tmpl w:val="6BFAB39C"/>
    <w:name w:val="zzmpPleading1||Pleading1|2|1|1|1|4|41||1|4|33||1|4|32||1|4|32||1|4|32||1|4|32||1|4|32||1|4|32||1|4|32||"/>
    <w:lvl w:ilvl="0">
      <w:start w:val="1"/>
      <w:numFmt w:val="upperRoman"/>
      <w:pStyle w:val="Pleading1L1"/>
      <w:lvlText w:val="%1."/>
      <w:lvlJc w:val="left"/>
      <w:pPr>
        <w:tabs>
          <w:tab w:val="num" w:pos="720"/>
        </w:tabs>
        <w:ind w:left="720" w:hanging="720"/>
      </w:pPr>
      <w:rPr>
        <w:rFonts w:ascii="Times New Roman" w:hAnsi="Times New Roman" w:cs="Times New Roman"/>
        <w:b/>
        <w:i w:val="0"/>
        <w:caps w:val="0"/>
        <w:strike w:val="0"/>
        <w:dstrike w:val="0"/>
        <w:vanish w:val="0"/>
        <w:color w:val="auto"/>
        <w:sz w:val="24"/>
        <w:u w:val="none"/>
        <w:vertAlign w:val="baseline"/>
      </w:rPr>
    </w:lvl>
    <w:lvl w:ilvl="1">
      <w:start w:val="1"/>
      <w:numFmt w:val="upperLetter"/>
      <w:pStyle w:val="Pleading1L2"/>
      <w:lvlText w:val="%2."/>
      <w:lvlJc w:val="left"/>
      <w:pPr>
        <w:tabs>
          <w:tab w:val="num" w:pos="1440"/>
        </w:tabs>
        <w:ind w:left="1440" w:hanging="720"/>
      </w:pPr>
      <w:rPr>
        <w:rFonts w:ascii="Calibri" w:hAnsi="Calibri" w:cs="Times New Roman"/>
        <w:b/>
        <w:i w:val="0"/>
        <w:caps w:val="0"/>
        <w:strike w:val="0"/>
        <w:dstrike w:val="0"/>
        <w:vanish w:val="0"/>
        <w:color w:val="auto"/>
        <w:u w:val="none"/>
        <w:vertAlign w:val="baseline"/>
      </w:rPr>
    </w:lvl>
    <w:lvl w:ilvl="2">
      <w:start w:val="1"/>
      <w:numFmt w:val="decimal"/>
      <w:pStyle w:val="Pleading1L3"/>
      <w:lvlText w:val="%3."/>
      <w:lvlJc w:val="left"/>
      <w:pPr>
        <w:tabs>
          <w:tab w:val="num" w:pos="2160"/>
        </w:tabs>
        <w:ind w:left="2160" w:hanging="720"/>
      </w:pPr>
      <w:rPr>
        <w:b w:val="0"/>
        <w:i w:val="0"/>
        <w:caps w:val="0"/>
        <w:strike w:val="0"/>
        <w:dstrike w:val="0"/>
        <w:vanish w:val="0"/>
        <w:color w:val="000000"/>
        <w:u w:val="none"/>
        <w:vertAlign w:val="baseline"/>
      </w:rPr>
    </w:lvl>
    <w:lvl w:ilvl="3">
      <w:start w:val="1"/>
      <w:numFmt w:val="lowerLetter"/>
      <w:pStyle w:val="Pleading1L4"/>
      <w:lvlText w:val="%4."/>
      <w:lvlJc w:val="left"/>
      <w:pPr>
        <w:tabs>
          <w:tab w:val="num" w:pos="2880"/>
        </w:tabs>
        <w:ind w:left="2880" w:hanging="720"/>
      </w:pPr>
      <w:rPr>
        <w:b w:val="0"/>
        <w:i w:val="0"/>
        <w:caps w:val="0"/>
        <w:strike w:val="0"/>
        <w:dstrike w:val="0"/>
        <w:vanish w:val="0"/>
        <w:color w:val="000000"/>
        <w:u w:val="none"/>
        <w:vertAlign w:val="baseline"/>
      </w:rPr>
    </w:lvl>
    <w:lvl w:ilvl="4">
      <w:start w:val="1"/>
      <w:numFmt w:val="decimal"/>
      <w:pStyle w:val="Pleading1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1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1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1L8"/>
      <w:lvlText w:val="%8)"/>
      <w:lvlJc w:val="left"/>
      <w:pPr>
        <w:tabs>
          <w:tab w:val="num" w:pos="5760"/>
        </w:tabs>
        <w:ind w:left="5760" w:hanging="720"/>
      </w:pPr>
      <w:rPr>
        <w:b w:val="0"/>
        <w:i w:val="0"/>
        <w:caps w:val="0"/>
        <w:strike w:val="0"/>
        <w:dstrike w:val="0"/>
        <w:vanish w:val="0"/>
        <w:color w:val="000000"/>
        <w:u w:val="none"/>
        <w:vertAlign w:val="baseline"/>
      </w:rPr>
    </w:lvl>
    <w:lvl w:ilvl="8">
      <w:start w:val="1"/>
      <w:numFmt w:val="lowerRoman"/>
      <w:pStyle w:val="Pleading1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6">
    <w:nsid w:val="113B381E"/>
    <w:multiLevelType w:val="singleLevel"/>
    <w:tmpl w:val="2FB6A734"/>
    <w:lvl w:ilvl="0">
      <w:start w:val="1"/>
      <w:numFmt w:val="decimal"/>
      <w:lvlText w:val="%1."/>
      <w:legacy w:legacy="1" w:legacySpace="144" w:legacyIndent="0"/>
      <w:lvlJc w:val="left"/>
    </w:lvl>
  </w:abstractNum>
  <w:abstractNum w:abstractNumId="7">
    <w:nsid w:val="175A1C1A"/>
    <w:multiLevelType w:val="multilevel"/>
    <w:tmpl w:val="FD58C40C"/>
    <w:lvl w:ilvl="0">
      <w:start w:val="1"/>
      <w:numFmt w:val="upperRoman"/>
      <w:pStyle w:val="TURNHeading2"/>
      <w:lvlText w:val="%1."/>
      <w:lvlJc w:val="left"/>
      <w:pPr>
        <w:ind w:left="0" w:firstLine="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nsid w:val="17F37487"/>
    <w:multiLevelType w:val="hybridMultilevel"/>
    <w:tmpl w:val="6980DE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B094EC4"/>
    <w:multiLevelType w:val="multilevel"/>
    <w:tmpl w:val="02061DF0"/>
    <w:lvl w:ilvl="0">
      <w:start w:val="1"/>
      <w:numFmt w:val="decimal"/>
      <w:lvlText w:val="%1."/>
      <w:lvlJc w:val="left"/>
      <w:pPr>
        <w:ind w:left="390" w:hanging="390"/>
      </w:pPr>
      <w:rPr>
        <w:rFonts w:ascii="Book Antiqua" w:eastAsiaTheme="minorHAnsi" w:hAnsi="Book Antiqua" w:cs="Times New Roman" w:hint="default"/>
        <w:color w:val="0563C1" w:themeColor="hyperlink"/>
        <w:sz w:val="26"/>
        <w:u w:val="single"/>
      </w:rPr>
    </w:lvl>
    <w:lvl w:ilvl="1">
      <w:start w:val="1"/>
      <w:numFmt w:val="decimal"/>
      <w:lvlText w:val="%1.%2."/>
      <w:lvlJc w:val="left"/>
      <w:pPr>
        <w:ind w:left="930" w:hanging="390"/>
      </w:pPr>
      <w:rPr>
        <w:rFonts w:ascii="Book Antiqua" w:eastAsiaTheme="minorHAnsi" w:hAnsi="Book Antiqua" w:cs="Times New Roman" w:hint="default"/>
        <w:color w:val="0563C1" w:themeColor="hyperlink"/>
        <w:sz w:val="26"/>
        <w:u w:val="single"/>
      </w:rPr>
    </w:lvl>
    <w:lvl w:ilvl="2">
      <w:start w:val="1"/>
      <w:numFmt w:val="decimalZero"/>
      <w:lvlText w:val="%1.%2.%3."/>
      <w:lvlJc w:val="left"/>
      <w:pPr>
        <w:ind w:left="1800" w:hanging="720"/>
      </w:pPr>
      <w:rPr>
        <w:rFonts w:ascii="Book Antiqua" w:eastAsiaTheme="minorHAnsi" w:hAnsi="Book Antiqua" w:cs="Times New Roman" w:hint="default"/>
        <w:color w:val="0563C1" w:themeColor="hyperlink"/>
        <w:sz w:val="26"/>
        <w:u w:val="single"/>
      </w:rPr>
    </w:lvl>
    <w:lvl w:ilvl="3">
      <w:start w:val="1"/>
      <w:numFmt w:val="decimalZero"/>
      <w:lvlText w:val="%1.%2.%3.%4."/>
      <w:lvlJc w:val="left"/>
      <w:pPr>
        <w:ind w:left="2340" w:hanging="720"/>
      </w:pPr>
      <w:rPr>
        <w:rFonts w:ascii="Book Antiqua" w:eastAsiaTheme="minorHAnsi" w:hAnsi="Book Antiqua" w:cs="Times New Roman" w:hint="default"/>
        <w:color w:val="0563C1" w:themeColor="hyperlink"/>
        <w:sz w:val="26"/>
        <w:u w:val="single"/>
      </w:rPr>
    </w:lvl>
    <w:lvl w:ilvl="4">
      <w:start w:val="1"/>
      <w:numFmt w:val="decimal"/>
      <w:lvlText w:val="%1.%2.%3.%4.%5."/>
      <w:lvlJc w:val="left"/>
      <w:pPr>
        <w:ind w:left="3240" w:hanging="1080"/>
      </w:pPr>
      <w:rPr>
        <w:rFonts w:ascii="Book Antiqua" w:eastAsiaTheme="minorHAnsi" w:hAnsi="Book Antiqua" w:cs="Times New Roman" w:hint="default"/>
        <w:color w:val="0563C1" w:themeColor="hyperlink"/>
        <w:sz w:val="26"/>
        <w:u w:val="single"/>
      </w:rPr>
    </w:lvl>
    <w:lvl w:ilvl="5">
      <w:start w:val="1"/>
      <w:numFmt w:val="decimal"/>
      <w:lvlText w:val="%1.%2.%3.%4.%5.%6."/>
      <w:lvlJc w:val="left"/>
      <w:pPr>
        <w:ind w:left="3780" w:hanging="1080"/>
      </w:pPr>
      <w:rPr>
        <w:rFonts w:ascii="Book Antiqua" w:eastAsiaTheme="minorHAnsi" w:hAnsi="Book Antiqua" w:cs="Times New Roman" w:hint="default"/>
        <w:color w:val="0563C1" w:themeColor="hyperlink"/>
        <w:sz w:val="26"/>
        <w:u w:val="single"/>
      </w:rPr>
    </w:lvl>
    <w:lvl w:ilvl="6">
      <w:start w:val="1"/>
      <w:numFmt w:val="decimal"/>
      <w:lvlText w:val="%1.%2.%3.%4.%5.%6.%7."/>
      <w:lvlJc w:val="left"/>
      <w:pPr>
        <w:ind w:left="4680" w:hanging="1440"/>
      </w:pPr>
      <w:rPr>
        <w:rFonts w:ascii="Book Antiqua" w:eastAsiaTheme="minorHAnsi" w:hAnsi="Book Antiqua" w:cs="Times New Roman" w:hint="default"/>
        <w:color w:val="0563C1" w:themeColor="hyperlink"/>
        <w:sz w:val="26"/>
        <w:u w:val="single"/>
      </w:rPr>
    </w:lvl>
    <w:lvl w:ilvl="7">
      <w:start w:val="1"/>
      <w:numFmt w:val="decimal"/>
      <w:lvlText w:val="%1.%2.%3.%4.%5.%6.%7.%8."/>
      <w:lvlJc w:val="left"/>
      <w:pPr>
        <w:ind w:left="5220" w:hanging="1440"/>
      </w:pPr>
      <w:rPr>
        <w:rFonts w:ascii="Book Antiqua" w:eastAsiaTheme="minorHAnsi" w:hAnsi="Book Antiqua" w:cs="Times New Roman" w:hint="default"/>
        <w:color w:val="0563C1" w:themeColor="hyperlink"/>
        <w:sz w:val="26"/>
        <w:u w:val="single"/>
      </w:rPr>
    </w:lvl>
    <w:lvl w:ilvl="8">
      <w:start w:val="1"/>
      <w:numFmt w:val="decimal"/>
      <w:lvlText w:val="%1.%2.%3.%4.%5.%6.%7.%8.%9."/>
      <w:lvlJc w:val="left"/>
      <w:pPr>
        <w:ind w:left="6120" w:hanging="1800"/>
      </w:pPr>
      <w:rPr>
        <w:rFonts w:ascii="Book Antiqua" w:eastAsiaTheme="minorHAnsi" w:hAnsi="Book Antiqua" w:cs="Times New Roman" w:hint="default"/>
        <w:color w:val="0563C1" w:themeColor="hyperlink"/>
        <w:sz w:val="26"/>
        <w:u w:val="single"/>
      </w:rPr>
    </w:lvl>
  </w:abstractNum>
  <w:abstractNum w:abstractNumId="10">
    <w:nsid w:val="1DD22940"/>
    <w:multiLevelType w:val="multilevel"/>
    <w:tmpl w:val="EE2A8748"/>
    <w:lvl w:ilvl="0">
      <w:start w:val="1"/>
      <w:numFmt w:val="decimal"/>
      <w:pStyle w:val="Level1"/>
      <w:lvlText w:val="%1."/>
      <w:lvlJc w:val="left"/>
      <w:pPr>
        <w:tabs>
          <w:tab w:val="num" w:pos="1440"/>
        </w:tabs>
        <w:ind w:left="0" w:firstLine="720"/>
      </w:pPr>
      <w:rPr>
        <w:rFonts w:hint="default"/>
        <w:b w:val="0"/>
        <w:i w:val="0"/>
        <w:u w:val="none"/>
      </w:rPr>
    </w:lvl>
    <w:lvl w:ilvl="1">
      <w:start w:val="1"/>
      <w:numFmt w:val="lowerRoman"/>
      <w:pStyle w:val="Level2"/>
      <w:lvlText w:val="%2."/>
      <w:lvlJc w:val="right"/>
      <w:pPr>
        <w:tabs>
          <w:tab w:val="num" w:pos="2160"/>
        </w:tabs>
        <w:ind w:left="0" w:firstLine="1440"/>
      </w:pPr>
      <w:rPr>
        <w:rFonts w:hint="default"/>
        <w:b w:val="0"/>
        <w:i w:val="0"/>
        <w:u w:val="none"/>
      </w:rPr>
    </w:lvl>
    <w:lvl w:ilvl="2">
      <w:start w:val="1"/>
      <w:numFmt w:val="lowerRoman"/>
      <w:pStyle w:val="Level3"/>
      <w:lvlText w:val="%3."/>
      <w:lvlJc w:val="left"/>
      <w:pPr>
        <w:tabs>
          <w:tab w:val="num" w:pos="2880"/>
        </w:tabs>
        <w:ind w:left="2880" w:hanging="720"/>
      </w:pPr>
      <w:rPr>
        <w:rFonts w:hint="default"/>
        <w:b w:val="0"/>
        <w:i w:val="0"/>
        <w:caps w:val="0"/>
        <w:u w:val="none"/>
      </w:rPr>
    </w:lvl>
    <w:lvl w:ilvl="3">
      <w:start w:val="1"/>
      <w:numFmt w:val="decimal"/>
      <w:pStyle w:val="Level4"/>
      <w:lvlText w:val="%4."/>
      <w:lvlJc w:val="left"/>
      <w:pPr>
        <w:tabs>
          <w:tab w:val="num" w:pos="3600"/>
        </w:tabs>
        <w:ind w:left="3600" w:hanging="720"/>
      </w:pPr>
      <w:rPr>
        <w:rFonts w:hint="default"/>
        <w:b w:val="0"/>
        <w:i w:val="0"/>
        <w:caps w:val="0"/>
        <w:u w:val="none"/>
      </w:rPr>
    </w:lvl>
    <w:lvl w:ilvl="4">
      <w:start w:val="1"/>
      <w:numFmt w:val="lowerLetter"/>
      <w:pStyle w:val="Level5"/>
      <w:lvlText w:val="%5."/>
      <w:lvlJc w:val="left"/>
      <w:pPr>
        <w:tabs>
          <w:tab w:val="num" w:pos="2160"/>
        </w:tabs>
        <w:ind w:left="2160" w:hanging="720"/>
      </w:pPr>
      <w:rPr>
        <w:rFonts w:hint="default"/>
        <w:b w:val="0"/>
        <w:i w:val="0"/>
        <w:caps w:val="0"/>
        <w:u w:val="none"/>
      </w:rPr>
    </w:lvl>
    <w:lvl w:ilvl="5">
      <w:start w:val="1"/>
      <w:numFmt w:val="lowerRoman"/>
      <w:pStyle w:val="Level6"/>
      <w:lvlText w:val="%6)"/>
      <w:lvlJc w:val="left"/>
      <w:pPr>
        <w:tabs>
          <w:tab w:val="num" w:pos="5040"/>
        </w:tabs>
        <w:ind w:left="0" w:firstLine="4320"/>
      </w:pPr>
      <w:rPr>
        <w:rFonts w:hint="default"/>
        <w:b w:val="0"/>
        <w:i w:val="0"/>
        <w:u w:val="none"/>
      </w:rPr>
    </w:lvl>
    <w:lvl w:ilvl="6">
      <w:start w:val="1"/>
      <w:numFmt w:val="decimal"/>
      <w:pStyle w:val="Level7"/>
      <w:lvlText w:val="%7)"/>
      <w:lvlJc w:val="left"/>
      <w:pPr>
        <w:tabs>
          <w:tab w:val="num" w:pos="5760"/>
        </w:tabs>
        <w:ind w:left="0" w:firstLine="5040"/>
      </w:pPr>
      <w:rPr>
        <w:rFonts w:hint="default"/>
        <w:b w:val="0"/>
        <w:i w:val="0"/>
        <w:u w:val="none"/>
      </w:rPr>
    </w:lvl>
    <w:lvl w:ilvl="7">
      <w:start w:val="1"/>
      <w:numFmt w:val="lowerLetter"/>
      <w:pStyle w:val="Level8"/>
      <w:lvlText w:val="%8)"/>
      <w:lvlJc w:val="left"/>
      <w:pPr>
        <w:tabs>
          <w:tab w:val="num" w:pos="6480"/>
        </w:tabs>
        <w:ind w:left="0" w:firstLine="5760"/>
      </w:pPr>
      <w:rPr>
        <w:rFonts w:hint="default"/>
        <w:b w:val="0"/>
        <w:i w:val="0"/>
        <w:u w:val="none"/>
      </w:rPr>
    </w:lvl>
    <w:lvl w:ilvl="8">
      <w:start w:val="1"/>
      <w:numFmt w:val="lowerRoman"/>
      <w:pStyle w:val="Level9"/>
      <w:lvlText w:val="%9."/>
      <w:lvlJc w:val="left"/>
      <w:pPr>
        <w:tabs>
          <w:tab w:val="num" w:pos="7200"/>
        </w:tabs>
        <w:ind w:left="0" w:firstLine="6480"/>
      </w:pPr>
      <w:rPr>
        <w:rFonts w:hint="default"/>
        <w:b w:val="0"/>
        <w:i w:val="0"/>
        <w:u w:val="none"/>
      </w:rPr>
    </w:lvl>
  </w:abstractNum>
  <w:abstractNum w:abstractNumId="11">
    <w:nsid w:val="1E544149"/>
    <w:multiLevelType w:val="multilevel"/>
    <w:tmpl w:val="7F2C1CFE"/>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nsid w:val="23010D01"/>
    <w:multiLevelType w:val="hybridMultilevel"/>
    <w:tmpl w:val="2BDAB852"/>
    <w:lvl w:ilvl="0" w:tplc="93F80C28">
      <w:start w:val="1"/>
      <w:numFmt w:val="decimal"/>
      <w:pStyle w:val="conclusionoflaw"/>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3720522"/>
    <w:multiLevelType w:val="hybridMultilevel"/>
    <w:tmpl w:val="D2942CFE"/>
    <w:lvl w:ilvl="0" w:tplc="43347782">
      <w:start w:val="1"/>
      <w:numFmt w:val="decimal"/>
      <w:lvlText w:val="(%1)"/>
      <w:lvlJc w:val="left"/>
      <w:pPr>
        <w:ind w:left="1455" w:hanging="375"/>
      </w:pPr>
      <w:rPr>
        <w:rFonts w:cs="Aria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8532723"/>
    <w:multiLevelType w:val="hybridMultilevel"/>
    <w:tmpl w:val="C9B2602A"/>
    <w:lvl w:ilvl="0" w:tplc="CD0CEC5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475497"/>
    <w:multiLevelType w:val="hybridMultilevel"/>
    <w:tmpl w:val="DE6C717A"/>
    <w:lvl w:ilvl="0" w:tplc="E1A4D0F8">
      <w:start w:val="1"/>
      <w:numFmt w:val="decimal"/>
      <w:lvlText w:val="%1."/>
      <w:lvlJc w:val="left"/>
      <w:pPr>
        <w:tabs>
          <w:tab w:val="num" w:pos="0"/>
        </w:tabs>
        <w:ind w:left="0" w:firstLine="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hint="default"/>
      </w:rPr>
    </w:lvl>
    <w:lvl w:ilvl="3" w:tplc="B122032C">
      <w:start w:val="1"/>
      <w:numFmt w:val="upperLetter"/>
      <w:lvlText w:val="%4."/>
      <w:lvlJc w:val="left"/>
      <w:pPr>
        <w:ind w:left="3960" w:hanging="144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604A56"/>
    <w:multiLevelType w:val="hybridMultilevel"/>
    <w:tmpl w:val="5FE082EE"/>
    <w:lvl w:ilvl="0" w:tplc="4628B9D4">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640612A"/>
    <w:multiLevelType w:val="hybridMultilevel"/>
    <w:tmpl w:val="F8242C50"/>
    <w:lvl w:ilvl="0" w:tplc="5DE0CA64">
      <w:start w:val="1"/>
      <w:numFmt w:val="decimal"/>
      <w:pStyle w:val="ALJOP"/>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9151CE0"/>
    <w:multiLevelType w:val="hybridMultilevel"/>
    <w:tmpl w:val="C37616E2"/>
    <w:lvl w:ilvl="0" w:tplc="F1888E62">
      <w:start w:val="1"/>
      <w:numFmt w:val="lowerLetter"/>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CA25B13"/>
    <w:multiLevelType w:val="hybridMultilevel"/>
    <w:tmpl w:val="026AF068"/>
    <w:lvl w:ilvl="0" w:tplc="B16AD35C">
      <w:numFmt w:val="bullet"/>
      <w:lvlText w:val="-"/>
      <w:lvlJc w:val="left"/>
      <w:pPr>
        <w:ind w:left="720" w:hanging="360"/>
      </w:pPr>
      <w:rPr>
        <w:rFonts w:ascii="Book Antiqua" w:eastAsiaTheme="minorHAnsi"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E6412C"/>
    <w:multiLevelType w:val="hybridMultilevel"/>
    <w:tmpl w:val="11F42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A1713CD"/>
    <w:multiLevelType w:val="hybridMultilevel"/>
    <w:tmpl w:val="BAA86DD8"/>
    <w:lvl w:ilvl="0" w:tplc="E6644334">
      <w:start w:val="1"/>
      <w:numFmt w:val="decimal"/>
      <w:pStyle w:val="ALJ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A527F38"/>
    <w:multiLevelType w:val="singleLevel"/>
    <w:tmpl w:val="D688A6D8"/>
    <w:lvl w:ilvl="0">
      <w:start w:val="1"/>
      <w:numFmt w:val="decimal"/>
      <w:pStyle w:val="num1"/>
      <w:lvlText w:val="%1."/>
      <w:legacy w:legacy="1" w:legacySpace="144" w:legacyIndent="0"/>
      <w:lvlJc w:val="left"/>
    </w:lvl>
  </w:abstractNum>
  <w:abstractNum w:abstractNumId="23">
    <w:nsid w:val="511A0EC2"/>
    <w:multiLevelType w:val="multilevel"/>
    <w:tmpl w:val="B39E3800"/>
    <w:lvl w:ilvl="0">
      <w:start w:val="3"/>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51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nsid w:val="51AD23B5"/>
    <w:multiLevelType w:val="multilevel"/>
    <w:tmpl w:val="AE6009A0"/>
    <w:lvl w:ilvl="0">
      <w:start w:val="1"/>
      <w:numFmt w:val="decimal"/>
      <w:pStyle w:val="ALJHeading1"/>
      <w:lvlText w:val="%1."/>
      <w:lvlJc w:val="left"/>
      <w:pPr>
        <w:ind w:left="360" w:hanging="360"/>
      </w:pPr>
    </w:lvl>
    <w:lvl w:ilvl="1">
      <w:start w:val="1"/>
      <w:numFmt w:val="decimal"/>
      <w:pStyle w:val="ALJHeading2"/>
      <w:lvlText w:val="%1.%2."/>
      <w:lvlJc w:val="left"/>
      <w:pPr>
        <w:ind w:left="792" w:hanging="432"/>
      </w:pPr>
    </w:lvl>
    <w:lvl w:ilvl="2">
      <w:start w:val="1"/>
      <w:numFmt w:val="decimal"/>
      <w:pStyle w:val="ALJ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32E4048"/>
    <w:multiLevelType w:val="hybridMultilevel"/>
    <w:tmpl w:val="B88C65A0"/>
    <w:lvl w:ilvl="0" w:tplc="B02297D2">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59567CB1"/>
    <w:multiLevelType w:val="hybridMultilevel"/>
    <w:tmpl w:val="D2942CFE"/>
    <w:lvl w:ilvl="0" w:tplc="43347782">
      <w:start w:val="1"/>
      <w:numFmt w:val="decimal"/>
      <w:lvlText w:val="(%1)"/>
      <w:lvlJc w:val="left"/>
      <w:pPr>
        <w:ind w:left="1455" w:hanging="375"/>
      </w:pPr>
      <w:rPr>
        <w:rFonts w:cs="Aria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A193B09"/>
    <w:multiLevelType w:val="hybridMultilevel"/>
    <w:tmpl w:val="EF3C9A7C"/>
    <w:lvl w:ilvl="0" w:tplc="408002C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A2A5805"/>
    <w:multiLevelType w:val="hybridMultilevel"/>
    <w:tmpl w:val="399096FC"/>
    <w:lvl w:ilvl="0" w:tplc="1B18E114">
      <w:start w:val="1"/>
      <w:numFmt w:val="upperLetter"/>
      <w:lvlText w:val="%1."/>
      <w:lvlJc w:val="left"/>
      <w:pPr>
        <w:ind w:left="1200" w:hanging="480"/>
      </w:pPr>
      <w:rPr>
        <w:b/>
      </w:rPr>
    </w:lvl>
    <w:lvl w:ilvl="1" w:tplc="04090019" w:tentative="1">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29">
    <w:nsid w:val="682C3D5F"/>
    <w:multiLevelType w:val="hybridMultilevel"/>
    <w:tmpl w:val="C1DA5AC0"/>
    <w:lvl w:ilvl="0" w:tplc="5A60A80E">
      <w:numFmt w:val="bullet"/>
      <w:lvlText w:val="-"/>
      <w:lvlJc w:val="left"/>
      <w:pPr>
        <w:ind w:left="1080" w:hanging="360"/>
      </w:pPr>
      <w:rPr>
        <w:rFonts w:ascii="Book Antiqua" w:eastAsiaTheme="minorHAnsi" w:hAnsi="Book Antiq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A213245"/>
    <w:multiLevelType w:val="hybridMultilevel"/>
    <w:tmpl w:val="5A2812BE"/>
    <w:lvl w:ilvl="0" w:tplc="F59851A4">
      <w:numFmt w:val="bullet"/>
      <w:lvlText w:val="-"/>
      <w:lvlJc w:val="left"/>
      <w:pPr>
        <w:ind w:left="720" w:hanging="360"/>
      </w:pPr>
      <w:rPr>
        <w:rFonts w:ascii="Book Antiqua" w:eastAsiaTheme="minorHAnsi"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3D726F"/>
    <w:multiLevelType w:val="singleLevel"/>
    <w:tmpl w:val="2FB6A734"/>
    <w:lvl w:ilvl="0">
      <w:start w:val="1"/>
      <w:numFmt w:val="decimal"/>
      <w:lvlText w:val="%1."/>
      <w:legacy w:legacy="1" w:legacySpace="144" w:legacyIndent="0"/>
      <w:lvlJc w:val="left"/>
    </w:lvl>
  </w:abstractNum>
  <w:abstractNum w:abstractNumId="32">
    <w:nsid w:val="71825ACC"/>
    <w:multiLevelType w:val="hybridMultilevel"/>
    <w:tmpl w:val="3C620E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F74F9B"/>
    <w:multiLevelType w:val="multilevel"/>
    <w:tmpl w:val="ACA84684"/>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nsid w:val="7B1C30FD"/>
    <w:multiLevelType w:val="singleLevel"/>
    <w:tmpl w:val="2FB6A734"/>
    <w:lvl w:ilvl="0">
      <w:start w:val="1"/>
      <w:numFmt w:val="decimal"/>
      <w:lvlText w:val="%1."/>
      <w:legacy w:legacy="1" w:legacySpace="144" w:legacyIndent="0"/>
      <w:lvlJc w:val="left"/>
    </w:lvl>
  </w:abstractNum>
  <w:abstractNum w:abstractNumId="35">
    <w:nsid w:val="7D0A355B"/>
    <w:multiLevelType w:val="hybridMultilevel"/>
    <w:tmpl w:val="91AE493A"/>
    <w:lvl w:ilvl="0" w:tplc="94A88440">
      <w:start w:val="1"/>
      <w:numFmt w:val="decimal"/>
      <w:pStyle w:val="FindingofFAc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D0F6EE2"/>
    <w:multiLevelType w:val="multilevel"/>
    <w:tmpl w:val="41467590"/>
    <w:lvl w:ilvl="0">
      <w:start w:val="3"/>
      <w:numFmt w:val="decimal"/>
      <w:lvlText w:val="%1"/>
      <w:lvlJc w:val="left"/>
      <w:pPr>
        <w:ind w:left="360" w:hanging="360"/>
      </w:pPr>
      <w:rPr>
        <w:rFonts w:hint="default"/>
        <w:b w:val="0"/>
      </w:rPr>
    </w:lvl>
    <w:lvl w:ilvl="1">
      <w:start w:val="1"/>
      <w:numFmt w:val="lowerRoman"/>
      <w:lvlText w:val="%2."/>
      <w:lvlJc w:val="righ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num w:numId="1">
    <w:abstractNumId w:val="24"/>
  </w:num>
  <w:num w:numId="2">
    <w:abstractNumId w:val="1"/>
  </w:num>
  <w:num w:numId="3">
    <w:abstractNumId w:val="30"/>
  </w:num>
  <w:num w:numId="4">
    <w:abstractNumId w:val="19"/>
  </w:num>
  <w:num w:numId="5">
    <w:abstractNumId w:val="29"/>
  </w:num>
  <w:num w:numId="6">
    <w:abstractNumId w:val="35"/>
  </w:num>
  <w:num w:numId="7">
    <w:abstractNumId w:val="12"/>
  </w:num>
  <w:num w:numId="8">
    <w:abstractNumId w:val="17"/>
  </w:num>
  <w:num w:numId="9">
    <w:abstractNumId w:val="21"/>
  </w:num>
  <w:num w:numId="10">
    <w:abstractNumId w:val="8"/>
  </w:num>
  <w:num w:numId="11">
    <w:abstractNumId w:val="27"/>
  </w:num>
  <w:num w:numId="12">
    <w:abstractNumId w:val="16"/>
  </w:num>
  <w:num w:numId="13">
    <w:abstractNumId w:val="22"/>
  </w:num>
  <w:num w:numId="14">
    <w:abstractNumId w:val="15"/>
  </w:num>
  <w:num w:numId="15">
    <w:abstractNumId w:val="33"/>
  </w:num>
  <w:num w:numId="16">
    <w:abstractNumId w:val="5"/>
  </w:num>
  <w:num w:numId="17">
    <w:abstractNumId w:val="10"/>
  </w:num>
  <w:num w:numId="18">
    <w:abstractNumId w:val="6"/>
  </w:num>
  <w:num w:numId="19">
    <w:abstractNumId w:val="34"/>
  </w:num>
  <w:num w:numId="20">
    <w:abstractNumId w:val="11"/>
  </w:num>
  <w:num w:numId="21">
    <w:abstractNumId w:val="31"/>
  </w:num>
  <w:num w:numId="22">
    <w:abstractNumId w:val="23"/>
  </w:num>
  <w:num w:numId="23">
    <w:abstractNumId w:val="4"/>
  </w:num>
  <w:num w:numId="24">
    <w:abstractNumId w:val="36"/>
  </w:num>
  <w:num w:numId="25">
    <w:abstractNumId w:val="7"/>
  </w:num>
  <w:num w:numId="26">
    <w:abstractNumId w:val="20"/>
  </w:num>
  <w:num w:numId="27">
    <w:abstractNumId w:val="0"/>
  </w:num>
  <w:num w:numId="28">
    <w:abstractNumId w:val="2"/>
  </w:num>
  <w:num w:numId="29">
    <w:abstractNumId w:val="25"/>
  </w:num>
  <w:num w:numId="30">
    <w:abstractNumId w:val="28"/>
  </w:num>
  <w:num w:numId="31">
    <w:abstractNumId w:val="3"/>
  </w:num>
  <w:num w:numId="32">
    <w:abstractNumId w:val="13"/>
  </w:num>
  <w:num w:numId="33">
    <w:abstractNumId w:val="18"/>
  </w:num>
  <w:num w:numId="34">
    <w:abstractNumId w:val="14"/>
  </w:num>
  <w:num w:numId="35">
    <w:abstractNumId w:val="32"/>
  </w:num>
  <w:num w:numId="36">
    <w:abstractNumId w:val="22"/>
    <w:lvlOverride w:ilvl="0">
      <w:startOverride w:val="1"/>
    </w:lvlOverride>
  </w:num>
  <w:num w:numId="37">
    <w:abstractNumId w:val="34"/>
    <w:lvlOverride w:ilvl="0">
      <w:startOverride w:val="1"/>
    </w:lvlOverride>
  </w:num>
  <w:num w:numId="38">
    <w:abstractNumId w:val="9"/>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 w:numId="50">
    <w:abstractNumId w:val="1"/>
  </w:num>
  <w:num w:numId="51">
    <w:abstractNumId w:val="1"/>
  </w:num>
  <w:num w:numId="52">
    <w:abstractNumId w:val="1"/>
  </w:num>
  <w:num w:numId="53">
    <w:abstractNumId w:val="1"/>
  </w:num>
  <w:num w:numId="54">
    <w:abstractNumId w:val="22"/>
  </w:num>
  <w:num w:numId="55">
    <w:abstractNumId w:val="22"/>
  </w:num>
  <w:num w:numId="56">
    <w:abstractNumId w:val="22"/>
  </w:num>
  <w:num w:numId="57">
    <w:abstractNumId w:val="1"/>
  </w:num>
  <w:num w:numId="58">
    <w:abstractNumId w:val="1"/>
  </w:num>
  <w:num w:numId="59">
    <w:abstractNumId w:val="26"/>
  </w:num>
  <w:num w:numId="60">
    <w:abstractNumId w:val="22"/>
  </w:num>
  <w:num w:numId="61">
    <w:abstractNumId w:val="22"/>
  </w:num>
  <w:num w:numId="62">
    <w:abstractNumId w:val="22"/>
  </w:num>
  <w:num w:numId="63">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4FC"/>
    <w:rsid w:val="00003B77"/>
    <w:rsid w:val="00003C4A"/>
    <w:rsid w:val="000078C7"/>
    <w:rsid w:val="000105A3"/>
    <w:rsid w:val="000123AB"/>
    <w:rsid w:val="0001264D"/>
    <w:rsid w:val="0002088B"/>
    <w:rsid w:val="0002174F"/>
    <w:rsid w:val="00024B80"/>
    <w:rsid w:val="00031C40"/>
    <w:rsid w:val="00033C26"/>
    <w:rsid w:val="00040C15"/>
    <w:rsid w:val="0004121E"/>
    <w:rsid w:val="00041378"/>
    <w:rsid w:val="00042AED"/>
    <w:rsid w:val="0004697C"/>
    <w:rsid w:val="000534B8"/>
    <w:rsid w:val="0005372D"/>
    <w:rsid w:val="00053DE4"/>
    <w:rsid w:val="00054E36"/>
    <w:rsid w:val="000572AF"/>
    <w:rsid w:val="00060B9C"/>
    <w:rsid w:val="00070CD1"/>
    <w:rsid w:val="00074A56"/>
    <w:rsid w:val="0008111B"/>
    <w:rsid w:val="00083115"/>
    <w:rsid w:val="00083DA2"/>
    <w:rsid w:val="0008670B"/>
    <w:rsid w:val="000905E3"/>
    <w:rsid w:val="00091CDF"/>
    <w:rsid w:val="00094FEE"/>
    <w:rsid w:val="000A0874"/>
    <w:rsid w:val="000A303C"/>
    <w:rsid w:val="000A3FB6"/>
    <w:rsid w:val="000A683F"/>
    <w:rsid w:val="000B0113"/>
    <w:rsid w:val="000B02C4"/>
    <w:rsid w:val="000B6154"/>
    <w:rsid w:val="000B6E5A"/>
    <w:rsid w:val="000C2336"/>
    <w:rsid w:val="000C2DF7"/>
    <w:rsid w:val="000D0357"/>
    <w:rsid w:val="000E76B1"/>
    <w:rsid w:val="000F07D6"/>
    <w:rsid w:val="000F2D91"/>
    <w:rsid w:val="000F3194"/>
    <w:rsid w:val="000F515F"/>
    <w:rsid w:val="000F57B1"/>
    <w:rsid w:val="000F7A45"/>
    <w:rsid w:val="001164FC"/>
    <w:rsid w:val="001215AD"/>
    <w:rsid w:val="00132E0D"/>
    <w:rsid w:val="00137418"/>
    <w:rsid w:val="00144331"/>
    <w:rsid w:val="00147AFA"/>
    <w:rsid w:val="001520BE"/>
    <w:rsid w:val="00153139"/>
    <w:rsid w:val="001563EA"/>
    <w:rsid w:val="00163FC1"/>
    <w:rsid w:val="00164089"/>
    <w:rsid w:val="0017364C"/>
    <w:rsid w:val="0018027F"/>
    <w:rsid w:val="001857D4"/>
    <w:rsid w:val="001916A2"/>
    <w:rsid w:val="001923C5"/>
    <w:rsid w:val="00193725"/>
    <w:rsid w:val="00195B74"/>
    <w:rsid w:val="00196B50"/>
    <w:rsid w:val="001A0384"/>
    <w:rsid w:val="001A1BB7"/>
    <w:rsid w:val="001A23AD"/>
    <w:rsid w:val="001B6436"/>
    <w:rsid w:val="001B68E1"/>
    <w:rsid w:val="001B701E"/>
    <w:rsid w:val="001C2C2E"/>
    <w:rsid w:val="001C36F4"/>
    <w:rsid w:val="001C6CA2"/>
    <w:rsid w:val="001D215C"/>
    <w:rsid w:val="001D7A28"/>
    <w:rsid w:val="001E0761"/>
    <w:rsid w:val="001E7F16"/>
    <w:rsid w:val="001F210F"/>
    <w:rsid w:val="001F25E8"/>
    <w:rsid w:val="001F77E6"/>
    <w:rsid w:val="00203F08"/>
    <w:rsid w:val="00215C95"/>
    <w:rsid w:val="00220CD5"/>
    <w:rsid w:val="00221128"/>
    <w:rsid w:val="00222FDF"/>
    <w:rsid w:val="00227B97"/>
    <w:rsid w:val="0023624E"/>
    <w:rsid w:val="00236558"/>
    <w:rsid w:val="00236981"/>
    <w:rsid w:val="00236BF4"/>
    <w:rsid w:val="00236CE5"/>
    <w:rsid w:val="00240FB7"/>
    <w:rsid w:val="002505CA"/>
    <w:rsid w:val="002557C1"/>
    <w:rsid w:val="00257942"/>
    <w:rsid w:val="00265A4A"/>
    <w:rsid w:val="0028306B"/>
    <w:rsid w:val="00287046"/>
    <w:rsid w:val="002A2242"/>
    <w:rsid w:val="002A289D"/>
    <w:rsid w:val="002A4CC8"/>
    <w:rsid w:val="002B2BBF"/>
    <w:rsid w:val="002B5C7D"/>
    <w:rsid w:val="002B5E99"/>
    <w:rsid w:val="002C0A89"/>
    <w:rsid w:val="002C15AD"/>
    <w:rsid w:val="002C71CC"/>
    <w:rsid w:val="002D7B5D"/>
    <w:rsid w:val="002E0E4A"/>
    <w:rsid w:val="002E48DD"/>
    <w:rsid w:val="002E4AD1"/>
    <w:rsid w:val="002E6995"/>
    <w:rsid w:val="00301A6B"/>
    <w:rsid w:val="003126A5"/>
    <w:rsid w:val="00313ACF"/>
    <w:rsid w:val="003146BF"/>
    <w:rsid w:val="003169C7"/>
    <w:rsid w:val="003211E9"/>
    <w:rsid w:val="003234BB"/>
    <w:rsid w:val="003234E1"/>
    <w:rsid w:val="00325360"/>
    <w:rsid w:val="0032612A"/>
    <w:rsid w:val="00327F7C"/>
    <w:rsid w:val="00331D8E"/>
    <w:rsid w:val="00334364"/>
    <w:rsid w:val="00334C61"/>
    <w:rsid w:val="00340FBF"/>
    <w:rsid w:val="00347710"/>
    <w:rsid w:val="0035445D"/>
    <w:rsid w:val="00365067"/>
    <w:rsid w:val="00370456"/>
    <w:rsid w:val="003718E3"/>
    <w:rsid w:val="0038502E"/>
    <w:rsid w:val="00385515"/>
    <w:rsid w:val="00386709"/>
    <w:rsid w:val="003871CE"/>
    <w:rsid w:val="003957E0"/>
    <w:rsid w:val="0039597D"/>
    <w:rsid w:val="0039638E"/>
    <w:rsid w:val="003A43B7"/>
    <w:rsid w:val="003A45A2"/>
    <w:rsid w:val="003A6C42"/>
    <w:rsid w:val="003A7D7D"/>
    <w:rsid w:val="003B0988"/>
    <w:rsid w:val="003B151A"/>
    <w:rsid w:val="003B2308"/>
    <w:rsid w:val="003B2504"/>
    <w:rsid w:val="003B4B32"/>
    <w:rsid w:val="003B62BD"/>
    <w:rsid w:val="003B761F"/>
    <w:rsid w:val="003D04B8"/>
    <w:rsid w:val="003D2091"/>
    <w:rsid w:val="003E0FE6"/>
    <w:rsid w:val="003E1ED6"/>
    <w:rsid w:val="003E2658"/>
    <w:rsid w:val="003E2C87"/>
    <w:rsid w:val="003E3538"/>
    <w:rsid w:val="003E5C4A"/>
    <w:rsid w:val="003F03D3"/>
    <w:rsid w:val="003F0540"/>
    <w:rsid w:val="003F4E4F"/>
    <w:rsid w:val="003F5240"/>
    <w:rsid w:val="003F5DE3"/>
    <w:rsid w:val="00402B3F"/>
    <w:rsid w:val="0040589C"/>
    <w:rsid w:val="00405C24"/>
    <w:rsid w:val="004065FE"/>
    <w:rsid w:val="004115B6"/>
    <w:rsid w:val="004128F4"/>
    <w:rsid w:val="00412D77"/>
    <w:rsid w:val="0041534E"/>
    <w:rsid w:val="00417035"/>
    <w:rsid w:val="00423132"/>
    <w:rsid w:val="00426E54"/>
    <w:rsid w:val="00431F1E"/>
    <w:rsid w:val="00432193"/>
    <w:rsid w:val="0044122F"/>
    <w:rsid w:val="0044301E"/>
    <w:rsid w:val="004435C4"/>
    <w:rsid w:val="0044481D"/>
    <w:rsid w:val="00451ABC"/>
    <w:rsid w:val="004604EA"/>
    <w:rsid w:val="00462737"/>
    <w:rsid w:val="004639FC"/>
    <w:rsid w:val="004640BD"/>
    <w:rsid w:val="00465254"/>
    <w:rsid w:val="0047369C"/>
    <w:rsid w:val="00474EE5"/>
    <w:rsid w:val="004778F1"/>
    <w:rsid w:val="00477EC6"/>
    <w:rsid w:val="004815DE"/>
    <w:rsid w:val="00482224"/>
    <w:rsid w:val="004A133E"/>
    <w:rsid w:val="004A3138"/>
    <w:rsid w:val="004A31AF"/>
    <w:rsid w:val="004C50C5"/>
    <w:rsid w:val="004C6992"/>
    <w:rsid w:val="004D30FC"/>
    <w:rsid w:val="004D3FDD"/>
    <w:rsid w:val="004D66B7"/>
    <w:rsid w:val="004E41DC"/>
    <w:rsid w:val="004F376D"/>
    <w:rsid w:val="00500A1F"/>
    <w:rsid w:val="005061B0"/>
    <w:rsid w:val="00507C9B"/>
    <w:rsid w:val="00512CE9"/>
    <w:rsid w:val="00526AC8"/>
    <w:rsid w:val="00527216"/>
    <w:rsid w:val="00533C11"/>
    <w:rsid w:val="00535DC5"/>
    <w:rsid w:val="00542B86"/>
    <w:rsid w:val="00544C38"/>
    <w:rsid w:val="0054504F"/>
    <w:rsid w:val="005450F8"/>
    <w:rsid w:val="00547EFD"/>
    <w:rsid w:val="005542D0"/>
    <w:rsid w:val="00555C64"/>
    <w:rsid w:val="00557A63"/>
    <w:rsid w:val="00557D0D"/>
    <w:rsid w:val="00570743"/>
    <w:rsid w:val="005707E3"/>
    <w:rsid w:val="005863EF"/>
    <w:rsid w:val="00586B48"/>
    <w:rsid w:val="00587519"/>
    <w:rsid w:val="005875A5"/>
    <w:rsid w:val="00593040"/>
    <w:rsid w:val="005A6168"/>
    <w:rsid w:val="005B0ED3"/>
    <w:rsid w:val="005B45BF"/>
    <w:rsid w:val="005B7134"/>
    <w:rsid w:val="005C2BF3"/>
    <w:rsid w:val="005C5533"/>
    <w:rsid w:val="005C55CF"/>
    <w:rsid w:val="005C6F04"/>
    <w:rsid w:val="005C7BAB"/>
    <w:rsid w:val="005D2143"/>
    <w:rsid w:val="005D2F70"/>
    <w:rsid w:val="005E0AC5"/>
    <w:rsid w:val="005E1092"/>
    <w:rsid w:val="005E6A49"/>
    <w:rsid w:val="005F1B14"/>
    <w:rsid w:val="005F3935"/>
    <w:rsid w:val="00601A93"/>
    <w:rsid w:val="00602F4E"/>
    <w:rsid w:val="00607776"/>
    <w:rsid w:val="006118C6"/>
    <w:rsid w:val="0061271E"/>
    <w:rsid w:val="00614AC3"/>
    <w:rsid w:val="00614DED"/>
    <w:rsid w:val="00615B07"/>
    <w:rsid w:val="00615FB8"/>
    <w:rsid w:val="00617239"/>
    <w:rsid w:val="00621079"/>
    <w:rsid w:val="0062448A"/>
    <w:rsid w:val="006345EF"/>
    <w:rsid w:val="006374A8"/>
    <w:rsid w:val="006432A4"/>
    <w:rsid w:val="0064393B"/>
    <w:rsid w:val="006458FE"/>
    <w:rsid w:val="00647514"/>
    <w:rsid w:val="00653812"/>
    <w:rsid w:val="00656B80"/>
    <w:rsid w:val="006668EC"/>
    <w:rsid w:val="006724FB"/>
    <w:rsid w:val="00672948"/>
    <w:rsid w:val="00677615"/>
    <w:rsid w:val="006805F2"/>
    <w:rsid w:val="00680E0E"/>
    <w:rsid w:val="00681A16"/>
    <w:rsid w:val="00684215"/>
    <w:rsid w:val="00684966"/>
    <w:rsid w:val="00684BCD"/>
    <w:rsid w:val="0069001E"/>
    <w:rsid w:val="00690CB1"/>
    <w:rsid w:val="006924ED"/>
    <w:rsid w:val="006A2069"/>
    <w:rsid w:val="006A7FD7"/>
    <w:rsid w:val="006B228E"/>
    <w:rsid w:val="006B64B4"/>
    <w:rsid w:val="006B69E7"/>
    <w:rsid w:val="006C1D71"/>
    <w:rsid w:val="006C3879"/>
    <w:rsid w:val="006C38D5"/>
    <w:rsid w:val="006C529A"/>
    <w:rsid w:val="006D1232"/>
    <w:rsid w:val="006D1AFB"/>
    <w:rsid w:val="006D704F"/>
    <w:rsid w:val="006E3D27"/>
    <w:rsid w:val="006E5502"/>
    <w:rsid w:val="006E6770"/>
    <w:rsid w:val="006E7015"/>
    <w:rsid w:val="006E7A72"/>
    <w:rsid w:val="006F2FA1"/>
    <w:rsid w:val="006F39B4"/>
    <w:rsid w:val="006F69F9"/>
    <w:rsid w:val="006F6B80"/>
    <w:rsid w:val="006F7328"/>
    <w:rsid w:val="006F7ACF"/>
    <w:rsid w:val="007020B9"/>
    <w:rsid w:val="00703ADE"/>
    <w:rsid w:val="00714524"/>
    <w:rsid w:val="007147A6"/>
    <w:rsid w:val="00714ADE"/>
    <w:rsid w:val="00715760"/>
    <w:rsid w:val="00717805"/>
    <w:rsid w:val="00723D99"/>
    <w:rsid w:val="007262D0"/>
    <w:rsid w:val="00727B0D"/>
    <w:rsid w:val="00727C7E"/>
    <w:rsid w:val="007336E0"/>
    <w:rsid w:val="00733D5B"/>
    <w:rsid w:val="00742600"/>
    <w:rsid w:val="0074512C"/>
    <w:rsid w:val="00746266"/>
    <w:rsid w:val="00750131"/>
    <w:rsid w:val="00753D36"/>
    <w:rsid w:val="00755B43"/>
    <w:rsid w:val="00763606"/>
    <w:rsid w:val="00763D90"/>
    <w:rsid w:val="0077278C"/>
    <w:rsid w:val="00784307"/>
    <w:rsid w:val="00784D44"/>
    <w:rsid w:val="00785619"/>
    <w:rsid w:val="00785D9C"/>
    <w:rsid w:val="0078728A"/>
    <w:rsid w:val="00794B3A"/>
    <w:rsid w:val="007A3F47"/>
    <w:rsid w:val="007A59EB"/>
    <w:rsid w:val="007B23E6"/>
    <w:rsid w:val="007C2700"/>
    <w:rsid w:val="007D0BDD"/>
    <w:rsid w:val="007D400C"/>
    <w:rsid w:val="007E059F"/>
    <w:rsid w:val="007E241C"/>
    <w:rsid w:val="007E3D55"/>
    <w:rsid w:val="007E4247"/>
    <w:rsid w:val="007E6A01"/>
    <w:rsid w:val="007F2F39"/>
    <w:rsid w:val="007F3E07"/>
    <w:rsid w:val="007F6B1C"/>
    <w:rsid w:val="00801FEC"/>
    <w:rsid w:val="0080370C"/>
    <w:rsid w:val="008122AD"/>
    <w:rsid w:val="0081788E"/>
    <w:rsid w:val="00824BD5"/>
    <w:rsid w:val="00825662"/>
    <w:rsid w:val="008301BB"/>
    <w:rsid w:val="00831AB9"/>
    <w:rsid w:val="00833850"/>
    <w:rsid w:val="00834E21"/>
    <w:rsid w:val="0084247D"/>
    <w:rsid w:val="008550CD"/>
    <w:rsid w:val="008568ED"/>
    <w:rsid w:val="008579D4"/>
    <w:rsid w:val="0086427E"/>
    <w:rsid w:val="008659A6"/>
    <w:rsid w:val="0087106F"/>
    <w:rsid w:val="00875A79"/>
    <w:rsid w:val="00880BB5"/>
    <w:rsid w:val="0089081E"/>
    <w:rsid w:val="00890FAA"/>
    <w:rsid w:val="00893CEA"/>
    <w:rsid w:val="008960D3"/>
    <w:rsid w:val="008A2677"/>
    <w:rsid w:val="008B2F22"/>
    <w:rsid w:val="008C3FA8"/>
    <w:rsid w:val="008C5E8E"/>
    <w:rsid w:val="008D2168"/>
    <w:rsid w:val="008D2F39"/>
    <w:rsid w:val="008D53E8"/>
    <w:rsid w:val="008D66D9"/>
    <w:rsid w:val="008D7D93"/>
    <w:rsid w:val="008E081A"/>
    <w:rsid w:val="008E1825"/>
    <w:rsid w:val="008E5B1E"/>
    <w:rsid w:val="008E6465"/>
    <w:rsid w:val="008F5856"/>
    <w:rsid w:val="008F58A2"/>
    <w:rsid w:val="00902C7D"/>
    <w:rsid w:val="00902EA5"/>
    <w:rsid w:val="0092138B"/>
    <w:rsid w:val="00921DF1"/>
    <w:rsid w:val="00923DFD"/>
    <w:rsid w:val="009368CD"/>
    <w:rsid w:val="0093696B"/>
    <w:rsid w:val="00941C13"/>
    <w:rsid w:val="009428D5"/>
    <w:rsid w:val="00946449"/>
    <w:rsid w:val="00947258"/>
    <w:rsid w:val="00951E17"/>
    <w:rsid w:val="00952308"/>
    <w:rsid w:val="00952CD7"/>
    <w:rsid w:val="00955E33"/>
    <w:rsid w:val="0096322E"/>
    <w:rsid w:val="00964649"/>
    <w:rsid w:val="00964CEC"/>
    <w:rsid w:val="009653BB"/>
    <w:rsid w:val="00971A9D"/>
    <w:rsid w:val="00974B20"/>
    <w:rsid w:val="00976039"/>
    <w:rsid w:val="0098033E"/>
    <w:rsid w:val="00981973"/>
    <w:rsid w:val="009916EC"/>
    <w:rsid w:val="009945E0"/>
    <w:rsid w:val="009951B8"/>
    <w:rsid w:val="0099612F"/>
    <w:rsid w:val="00996302"/>
    <w:rsid w:val="009A73D0"/>
    <w:rsid w:val="009B6C34"/>
    <w:rsid w:val="009C42F8"/>
    <w:rsid w:val="009E0E94"/>
    <w:rsid w:val="009E12DA"/>
    <w:rsid w:val="009E23DA"/>
    <w:rsid w:val="009E2623"/>
    <w:rsid w:val="009E31A7"/>
    <w:rsid w:val="009E3C6A"/>
    <w:rsid w:val="009E4DE4"/>
    <w:rsid w:val="009F3972"/>
    <w:rsid w:val="00A00353"/>
    <w:rsid w:val="00A007A2"/>
    <w:rsid w:val="00A07DD1"/>
    <w:rsid w:val="00A12A0A"/>
    <w:rsid w:val="00A14072"/>
    <w:rsid w:val="00A2339D"/>
    <w:rsid w:val="00A235C7"/>
    <w:rsid w:val="00A23E81"/>
    <w:rsid w:val="00A25913"/>
    <w:rsid w:val="00A25EC8"/>
    <w:rsid w:val="00A26E81"/>
    <w:rsid w:val="00A3104E"/>
    <w:rsid w:val="00A34889"/>
    <w:rsid w:val="00A348FA"/>
    <w:rsid w:val="00A35805"/>
    <w:rsid w:val="00A3682E"/>
    <w:rsid w:val="00A404E0"/>
    <w:rsid w:val="00A414B1"/>
    <w:rsid w:val="00A46A1D"/>
    <w:rsid w:val="00A46F00"/>
    <w:rsid w:val="00A4780B"/>
    <w:rsid w:val="00A536E5"/>
    <w:rsid w:val="00A54858"/>
    <w:rsid w:val="00A5534B"/>
    <w:rsid w:val="00A55CB1"/>
    <w:rsid w:val="00A64064"/>
    <w:rsid w:val="00A64BDD"/>
    <w:rsid w:val="00A76EF3"/>
    <w:rsid w:val="00A775E2"/>
    <w:rsid w:val="00A77F3F"/>
    <w:rsid w:val="00A90E4D"/>
    <w:rsid w:val="00A939B4"/>
    <w:rsid w:val="00A93A96"/>
    <w:rsid w:val="00AA0794"/>
    <w:rsid w:val="00AA1AA7"/>
    <w:rsid w:val="00AB0F69"/>
    <w:rsid w:val="00AC7623"/>
    <w:rsid w:val="00AD0B4B"/>
    <w:rsid w:val="00AD1183"/>
    <w:rsid w:val="00AD3505"/>
    <w:rsid w:val="00AD57E7"/>
    <w:rsid w:val="00AE164C"/>
    <w:rsid w:val="00AE261A"/>
    <w:rsid w:val="00AE3D00"/>
    <w:rsid w:val="00AE4111"/>
    <w:rsid w:val="00AF0302"/>
    <w:rsid w:val="00B10047"/>
    <w:rsid w:val="00B1383D"/>
    <w:rsid w:val="00B14AEC"/>
    <w:rsid w:val="00B21222"/>
    <w:rsid w:val="00B232AE"/>
    <w:rsid w:val="00B234FA"/>
    <w:rsid w:val="00B2381F"/>
    <w:rsid w:val="00B26DB6"/>
    <w:rsid w:val="00B30544"/>
    <w:rsid w:val="00B30859"/>
    <w:rsid w:val="00B30C1D"/>
    <w:rsid w:val="00B32541"/>
    <w:rsid w:val="00B33A23"/>
    <w:rsid w:val="00B35EFB"/>
    <w:rsid w:val="00B42435"/>
    <w:rsid w:val="00B42698"/>
    <w:rsid w:val="00B42B65"/>
    <w:rsid w:val="00B43AE3"/>
    <w:rsid w:val="00B45E6E"/>
    <w:rsid w:val="00B47B67"/>
    <w:rsid w:val="00B57E72"/>
    <w:rsid w:val="00B61EC1"/>
    <w:rsid w:val="00B6511D"/>
    <w:rsid w:val="00B70EDC"/>
    <w:rsid w:val="00B774C2"/>
    <w:rsid w:val="00B84441"/>
    <w:rsid w:val="00B93A03"/>
    <w:rsid w:val="00B93DA9"/>
    <w:rsid w:val="00B95E5B"/>
    <w:rsid w:val="00BA6A2D"/>
    <w:rsid w:val="00BA7A82"/>
    <w:rsid w:val="00BB0335"/>
    <w:rsid w:val="00BB04AF"/>
    <w:rsid w:val="00BB13B6"/>
    <w:rsid w:val="00BB2892"/>
    <w:rsid w:val="00BC0119"/>
    <w:rsid w:val="00BC55C9"/>
    <w:rsid w:val="00BC79F1"/>
    <w:rsid w:val="00BD0A10"/>
    <w:rsid w:val="00BD2326"/>
    <w:rsid w:val="00BD366F"/>
    <w:rsid w:val="00BE1AE3"/>
    <w:rsid w:val="00BE4030"/>
    <w:rsid w:val="00BE498A"/>
    <w:rsid w:val="00BE759E"/>
    <w:rsid w:val="00BF1E72"/>
    <w:rsid w:val="00C0080E"/>
    <w:rsid w:val="00C05663"/>
    <w:rsid w:val="00C06731"/>
    <w:rsid w:val="00C10696"/>
    <w:rsid w:val="00C11A57"/>
    <w:rsid w:val="00C11EB7"/>
    <w:rsid w:val="00C20B89"/>
    <w:rsid w:val="00C20CC0"/>
    <w:rsid w:val="00C253A5"/>
    <w:rsid w:val="00C354A9"/>
    <w:rsid w:val="00C37563"/>
    <w:rsid w:val="00C41402"/>
    <w:rsid w:val="00C42AD1"/>
    <w:rsid w:val="00C43634"/>
    <w:rsid w:val="00C4606D"/>
    <w:rsid w:val="00C513C7"/>
    <w:rsid w:val="00C53DDE"/>
    <w:rsid w:val="00C578D4"/>
    <w:rsid w:val="00C617B4"/>
    <w:rsid w:val="00C66CCC"/>
    <w:rsid w:val="00C75328"/>
    <w:rsid w:val="00C85098"/>
    <w:rsid w:val="00CA39EE"/>
    <w:rsid w:val="00CB01EA"/>
    <w:rsid w:val="00CB253E"/>
    <w:rsid w:val="00CB34D3"/>
    <w:rsid w:val="00CB4826"/>
    <w:rsid w:val="00CC0FFE"/>
    <w:rsid w:val="00CC2761"/>
    <w:rsid w:val="00CD5029"/>
    <w:rsid w:val="00CD6C5F"/>
    <w:rsid w:val="00CD7607"/>
    <w:rsid w:val="00CE1C91"/>
    <w:rsid w:val="00CE2F2F"/>
    <w:rsid w:val="00CE5578"/>
    <w:rsid w:val="00CF1BEC"/>
    <w:rsid w:val="00CF1C80"/>
    <w:rsid w:val="00CF30EB"/>
    <w:rsid w:val="00D03F72"/>
    <w:rsid w:val="00D05AAE"/>
    <w:rsid w:val="00D06324"/>
    <w:rsid w:val="00D06C1D"/>
    <w:rsid w:val="00D07979"/>
    <w:rsid w:val="00D135CC"/>
    <w:rsid w:val="00D148D7"/>
    <w:rsid w:val="00D16484"/>
    <w:rsid w:val="00D16ABB"/>
    <w:rsid w:val="00D16B40"/>
    <w:rsid w:val="00D17771"/>
    <w:rsid w:val="00D218C8"/>
    <w:rsid w:val="00D24371"/>
    <w:rsid w:val="00D2694A"/>
    <w:rsid w:val="00D322AD"/>
    <w:rsid w:val="00D33C48"/>
    <w:rsid w:val="00D33F0C"/>
    <w:rsid w:val="00D351E0"/>
    <w:rsid w:val="00D41036"/>
    <w:rsid w:val="00D50A57"/>
    <w:rsid w:val="00D51721"/>
    <w:rsid w:val="00D54709"/>
    <w:rsid w:val="00D60409"/>
    <w:rsid w:val="00D63A22"/>
    <w:rsid w:val="00D648ED"/>
    <w:rsid w:val="00D66C17"/>
    <w:rsid w:val="00D6773C"/>
    <w:rsid w:val="00D716E6"/>
    <w:rsid w:val="00D728C7"/>
    <w:rsid w:val="00D73554"/>
    <w:rsid w:val="00D860EE"/>
    <w:rsid w:val="00D9249C"/>
    <w:rsid w:val="00D94729"/>
    <w:rsid w:val="00D94B6A"/>
    <w:rsid w:val="00D9511C"/>
    <w:rsid w:val="00DA2543"/>
    <w:rsid w:val="00DA75EB"/>
    <w:rsid w:val="00DB2E35"/>
    <w:rsid w:val="00DC2E68"/>
    <w:rsid w:val="00DC6F96"/>
    <w:rsid w:val="00DD2A17"/>
    <w:rsid w:val="00DD47EF"/>
    <w:rsid w:val="00DD6D9E"/>
    <w:rsid w:val="00DD7A4F"/>
    <w:rsid w:val="00DF7C82"/>
    <w:rsid w:val="00E04AA6"/>
    <w:rsid w:val="00E04D3C"/>
    <w:rsid w:val="00E14A04"/>
    <w:rsid w:val="00E14B47"/>
    <w:rsid w:val="00E25554"/>
    <w:rsid w:val="00E26E7B"/>
    <w:rsid w:val="00E323D9"/>
    <w:rsid w:val="00E32D6F"/>
    <w:rsid w:val="00E35AD5"/>
    <w:rsid w:val="00E360CA"/>
    <w:rsid w:val="00E368A2"/>
    <w:rsid w:val="00E37D71"/>
    <w:rsid w:val="00E4713F"/>
    <w:rsid w:val="00E5207C"/>
    <w:rsid w:val="00E52CD6"/>
    <w:rsid w:val="00E536D2"/>
    <w:rsid w:val="00E5637E"/>
    <w:rsid w:val="00E61D32"/>
    <w:rsid w:val="00E622AA"/>
    <w:rsid w:val="00E62EF6"/>
    <w:rsid w:val="00E74207"/>
    <w:rsid w:val="00E743AA"/>
    <w:rsid w:val="00E76C3F"/>
    <w:rsid w:val="00E827F8"/>
    <w:rsid w:val="00E83810"/>
    <w:rsid w:val="00E84F33"/>
    <w:rsid w:val="00E87D6D"/>
    <w:rsid w:val="00E939DC"/>
    <w:rsid w:val="00E94049"/>
    <w:rsid w:val="00E972FB"/>
    <w:rsid w:val="00EA1804"/>
    <w:rsid w:val="00EA5180"/>
    <w:rsid w:val="00EA5B6A"/>
    <w:rsid w:val="00EC0C24"/>
    <w:rsid w:val="00EC688C"/>
    <w:rsid w:val="00ED0208"/>
    <w:rsid w:val="00ED3C2D"/>
    <w:rsid w:val="00ED7C3D"/>
    <w:rsid w:val="00EE029B"/>
    <w:rsid w:val="00EE7E33"/>
    <w:rsid w:val="00EF3AC3"/>
    <w:rsid w:val="00F028F9"/>
    <w:rsid w:val="00F0633E"/>
    <w:rsid w:val="00F10CDE"/>
    <w:rsid w:val="00F24733"/>
    <w:rsid w:val="00F30437"/>
    <w:rsid w:val="00F30E86"/>
    <w:rsid w:val="00F4214F"/>
    <w:rsid w:val="00F50934"/>
    <w:rsid w:val="00F52C14"/>
    <w:rsid w:val="00F53746"/>
    <w:rsid w:val="00F57C4E"/>
    <w:rsid w:val="00F6281A"/>
    <w:rsid w:val="00F63979"/>
    <w:rsid w:val="00F66B3D"/>
    <w:rsid w:val="00F74E56"/>
    <w:rsid w:val="00F75F43"/>
    <w:rsid w:val="00F76951"/>
    <w:rsid w:val="00F808A7"/>
    <w:rsid w:val="00F82C58"/>
    <w:rsid w:val="00F8336E"/>
    <w:rsid w:val="00F848ED"/>
    <w:rsid w:val="00F90527"/>
    <w:rsid w:val="00F908F9"/>
    <w:rsid w:val="00F91191"/>
    <w:rsid w:val="00F93F5F"/>
    <w:rsid w:val="00F94ADC"/>
    <w:rsid w:val="00F975BC"/>
    <w:rsid w:val="00FA0D53"/>
    <w:rsid w:val="00FA5DE4"/>
    <w:rsid w:val="00FA6288"/>
    <w:rsid w:val="00FB091E"/>
    <w:rsid w:val="00FB3E11"/>
    <w:rsid w:val="00FC220C"/>
    <w:rsid w:val="00FC421A"/>
    <w:rsid w:val="00FC5058"/>
    <w:rsid w:val="00FD0DC1"/>
    <w:rsid w:val="00FD2F61"/>
    <w:rsid w:val="00FD55D2"/>
    <w:rsid w:val="00FE38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2A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0"/>
    <w:lsdException w:name="toc 8" w:uiPriority="0"/>
    <w:lsdException w:name="toc 9" w:uiPriority="0"/>
    <w:lsdException w:name="footnote text" w:uiPriority="0" w:qFormat="1"/>
    <w:lsdException w:name="annotation text" w:uiPriority="0"/>
    <w:lsdException w:name="header" w:uiPriority="0"/>
    <w:lsdException w:name="caption" w:uiPriority="35" w:qFormat="1"/>
    <w:lsdException w:name="footnote reference" w:uiPriority="0" w:qFormat="1"/>
    <w:lsdException w:name="annotation reference" w:uiPriority="0"/>
    <w:lsdException w:name="page number" w:uiPriority="0"/>
    <w:lsdException w:name="Title" w:semiHidden="0" w:uiPriority="10" w:unhideWhenUsed="0"/>
    <w:lsdException w:name="Default Paragraph Font" w:uiPriority="1"/>
    <w:lsdException w:name="Body Text" w:uiPriority="0"/>
    <w:lsdException w:name="Subtitle" w:semiHidden="0" w:uiPriority="0" w:unhideWhenUsed="0" w:qFormat="1"/>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4301E"/>
    <w:rPr>
      <w:rFonts w:ascii="Book Antiqua" w:hAnsi="Book Antiqua"/>
      <w:sz w:val="26"/>
    </w:rPr>
  </w:style>
  <w:style w:type="paragraph" w:styleId="Heading1">
    <w:name w:val="heading 1"/>
    <w:basedOn w:val="Normal"/>
    <w:next w:val="Normal"/>
    <w:link w:val="Heading1Char"/>
    <w:qFormat/>
    <w:rsid w:val="00E25554"/>
    <w:pPr>
      <w:keepNext/>
      <w:numPr>
        <w:numId w:val="2"/>
      </w:numPr>
      <w:spacing w:before="120" w:after="120"/>
      <w:outlineLvl w:val="0"/>
    </w:pPr>
    <w:rPr>
      <w:rFonts w:ascii="Helvetica" w:eastAsia="Times New Roman" w:hAnsi="Helvetica"/>
      <w:b/>
      <w:kern w:val="28"/>
      <w:szCs w:val="26"/>
    </w:rPr>
  </w:style>
  <w:style w:type="paragraph" w:styleId="Heading2">
    <w:name w:val="heading 2"/>
    <w:basedOn w:val="Normal"/>
    <w:next w:val="Normal"/>
    <w:link w:val="Heading2Char"/>
    <w:qFormat/>
    <w:rsid w:val="00091CDF"/>
    <w:pPr>
      <w:keepNext/>
      <w:numPr>
        <w:ilvl w:val="1"/>
        <w:numId w:val="2"/>
      </w:numPr>
      <w:spacing w:before="120" w:after="120"/>
      <w:outlineLvl w:val="1"/>
    </w:pPr>
    <w:rPr>
      <w:rFonts w:ascii="Arial" w:eastAsia="Times New Roman" w:hAnsi="Arial"/>
      <w:b/>
      <w:szCs w:val="26"/>
    </w:rPr>
  </w:style>
  <w:style w:type="paragraph" w:styleId="Heading3">
    <w:name w:val="heading 3"/>
    <w:basedOn w:val="Normal"/>
    <w:next w:val="Normal"/>
    <w:link w:val="Heading3Char"/>
    <w:qFormat/>
    <w:rsid w:val="00E25554"/>
    <w:pPr>
      <w:keepNext/>
      <w:numPr>
        <w:ilvl w:val="2"/>
        <w:numId w:val="2"/>
      </w:numPr>
      <w:tabs>
        <w:tab w:val="left" w:pos="1620"/>
      </w:tabs>
      <w:spacing w:before="120" w:after="120"/>
      <w:outlineLvl w:val="2"/>
    </w:pPr>
    <w:rPr>
      <w:rFonts w:ascii="Helvetica" w:eastAsia="Times New Roman" w:hAnsi="Helvetica"/>
      <w:b/>
      <w:szCs w:val="26"/>
    </w:rPr>
  </w:style>
  <w:style w:type="paragraph" w:styleId="Heading4">
    <w:name w:val="heading 4"/>
    <w:basedOn w:val="Normal"/>
    <w:next w:val="Normal"/>
    <w:link w:val="Heading4Char"/>
    <w:qFormat/>
    <w:rsid w:val="00E25554"/>
    <w:pPr>
      <w:keepNext/>
      <w:numPr>
        <w:ilvl w:val="3"/>
        <w:numId w:val="2"/>
      </w:numPr>
      <w:tabs>
        <w:tab w:val="left" w:pos="1800"/>
      </w:tabs>
      <w:spacing w:before="120" w:after="120"/>
      <w:ind w:left="1800" w:hanging="1080"/>
      <w:outlineLvl w:val="3"/>
    </w:pPr>
    <w:rPr>
      <w:rFonts w:ascii="Helvetica" w:eastAsia="Times New Roman" w:hAnsi="Helvetica"/>
      <w:b/>
      <w:szCs w:val="26"/>
    </w:rPr>
  </w:style>
  <w:style w:type="paragraph" w:styleId="Heading5">
    <w:name w:val="heading 5"/>
    <w:basedOn w:val="Normal"/>
    <w:next w:val="Normal"/>
    <w:link w:val="Heading5Char"/>
    <w:qFormat/>
    <w:rsid w:val="00E25554"/>
    <w:pPr>
      <w:numPr>
        <w:ilvl w:val="4"/>
        <w:numId w:val="2"/>
      </w:numPr>
      <w:tabs>
        <w:tab w:val="left" w:pos="1980"/>
      </w:tabs>
      <w:spacing w:before="120" w:after="120"/>
      <w:ind w:left="1980" w:hanging="1260"/>
      <w:outlineLvl w:val="4"/>
    </w:pPr>
    <w:rPr>
      <w:rFonts w:ascii="Helvetica" w:eastAsia="Times New Roman" w:hAnsi="Helvetica"/>
      <w:b/>
      <w:szCs w:val="26"/>
    </w:rPr>
  </w:style>
  <w:style w:type="paragraph" w:styleId="Heading6">
    <w:name w:val="heading 6"/>
    <w:basedOn w:val="Normal"/>
    <w:next w:val="Normal"/>
    <w:link w:val="Heading6Char"/>
    <w:qFormat/>
    <w:rsid w:val="00E25554"/>
    <w:pPr>
      <w:numPr>
        <w:ilvl w:val="5"/>
        <w:numId w:val="2"/>
      </w:numPr>
      <w:tabs>
        <w:tab w:val="left" w:pos="2250"/>
      </w:tabs>
      <w:spacing w:before="120" w:after="120"/>
      <w:ind w:left="2250" w:hanging="1530"/>
      <w:outlineLvl w:val="5"/>
    </w:pPr>
    <w:rPr>
      <w:rFonts w:ascii="Helvetica" w:eastAsia="Times New Roman" w:hAnsi="Helvetica" w:cs="Arial"/>
      <w:b/>
      <w:bCs/>
      <w:szCs w:val="26"/>
    </w:rPr>
  </w:style>
  <w:style w:type="paragraph" w:styleId="Heading7">
    <w:name w:val="heading 7"/>
    <w:basedOn w:val="Normal"/>
    <w:next w:val="Normal"/>
    <w:link w:val="Heading7Char"/>
    <w:qFormat/>
    <w:rsid w:val="00E25554"/>
    <w:pPr>
      <w:numPr>
        <w:ilvl w:val="6"/>
        <w:numId w:val="2"/>
      </w:numPr>
      <w:tabs>
        <w:tab w:val="left" w:pos="2520"/>
      </w:tabs>
      <w:spacing w:before="120" w:after="120"/>
      <w:ind w:left="2520" w:hanging="1800"/>
      <w:outlineLvl w:val="6"/>
    </w:pPr>
    <w:rPr>
      <w:rFonts w:ascii="Helvetica" w:eastAsia="Times New Roman" w:hAnsi="Helvetica"/>
      <w:b/>
    </w:rPr>
  </w:style>
  <w:style w:type="paragraph" w:styleId="Heading8">
    <w:name w:val="heading 8"/>
    <w:basedOn w:val="Normal"/>
    <w:next w:val="Normal"/>
    <w:link w:val="Heading8Char"/>
    <w:autoRedefine/>
    <w:qFormat/>
    <w:rsid w:val="001164FC"/>
    <w:pPr>
      <w:tabs>
        <w:tab w:val="right" w:pos="5040"/>
      </w:tabs>
      <w:overflowPunct w:val="0"/>
      <w:autoSpaceDE w:val="0"/>
      <w:autoSpaceDN w:val="0"/>
      <w:adjustRightInd w:val="0"/>
      <w:spacing w:before="240" w:after="60"/>
      <w:ind w:left="5760" w:hanging="720"/>
      <w:textAlignment w:val="baseline"/>
      <w:outlineLvl w:val="7"/>
    </w:pPr>
    <w:rPr>
      <w:rFonts w:ascii="Times New Roman" w:eastAsia="Times New Roman" w:hAnsi="Times New Roman"/>
      <w:b/>
    </w:rPr>
  </w:style>
  <w:style w:type="paragraph" w:styleId="Heading9">
    <w:name w:val="heading 9"/>
    <w:basedOn w:val="Normal"/>
    <w:next w:val="Normal"/>
    <w:link w:val="Heading9Char"/>
    <w:autoRedefine/>
    <w:qFormat/>
    <w:rsid w:val="00E25554"/>
    <w:pPr>
      <w:numPr>
        <w:ilvl w:val="8"/>
        <w:numId w:val="2"/>
      </w:numPr>
      <w:tabs>
        <w:tab w:val="left" w:pos="2880"/>
      </w:tabs>
      <w:spacing w:before="120" w:after="120"/>
      <w:ind w:left="2880" w:hanging="2160"/>
      <w:outlineLvl w:val="8"/>
    </w:pPr>
    <w:rPr>
      <w:rFonts w:ascii="Helvetica" w:eastAsia="Times New Roman" w:hAnsi="Helvetic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JBodyText">
    <w:name w:val="ALJ Body Text"/>
    <w:basedOn w:val="Normal"/>
    <w:link w:val="ALJBodyTextChar"/>
    <w:qFormat/>
    <w:rsid w:val="008B2F22"/>
    <w:pPr>
      <w:spacing w:line="360" w:lineRule="auto"/>
      <w:ind w:firstLine="720"/>
    </w:pPr>
  </w:style>
  <w:style w:type="paragraph" w:customStyle="1" w:styleId="ALJHeading1">
    <w:name w:val="ALJ Heading 1"/>
    <w:basedOn w:val="ALJBodyText"/>
    <w:next w:val="ALJBodyText"/>
    <w:link w:val="ALJHeading1Char"/>
    <w:qFormat/>
    <w:rsid w:val="003871CE"/>
    <w:pPr>
      <w:keepNext/>
      <w:numPr>
        <w:numId w:val="1"/>
      </w:numPr>
      <w:spacing w:before="120" w:after="120" w:line="240" w:lineRule="auto"/>
      <w:ind w:right="720"/>
    </w:pPr>
    <w:rPr>
      <w:rFonts w:ascii="Arial" w:hAnsi="Arial" w:cs="Arial"/>
      <w:b/>
    </w:rPr>
  </w:style>
  <w:style w:type="character" w:customStyle="1" w:styleId="ALJBodyTextChar">
    <w:name w:val="ALJ Body Text Char"/>
    <w:basedOn w:val="DefaultParagraphFont"/>
    <w:link w:val="ALJBodyText"/>
    <w:rsid w:val="008B2F22"/>
    <w:rPr>
      <w:rFonts w:ascii="Book Antiqua" w:hAnsi="Book Antiqua"/>
      <w:sz w:val="26"/>
    </w:rPr>
  </w:style>
  <w:style w:type="paragraph" w:customStyle="1" w:styleId="ALJHeading2">
    <w:name w:val="ALJ Heading 2"/>
    <w:basedOn w:val="ALJBodyText"/>
    <w:next w:val="ALJBodyText"/>
    <w:link w:val="ALJHeading2Char"/>
    <w:qFormat/>
    <w:rsid w:val="003871CE"/>
    <w:pPr>
      <w:keepNext/>
      <w:numPr>
        <w:ilvl w:val="1"/>
        <w:numId w:val="1"/>
      </w:numPr>
      <w:tabs>
        <w:tab w:val="left" w:pos="1080"/>
      </w:tabs>
      <w:spacing w:before="120" w:after="120" w:line="240" w:lineRule="auto"/>
    </w:pPr>
    <w:rPr>
      <w:rFonts w:ascii="Arial" w:hAnsi="Arial" w:cs="Arial"/>
      <w:b/>
    </w:rPr>
  </w:style>
  <w:style w:type="character" w:customStyle="1" w:styleId="ALJHeading1Char">
    <w:name w:val="ALJ Heading 1 Char"/>
    <w:basedOn w:val="ALJBodyTextChar"/>
    <w:link w:val="ALJHeading1"/>
    <w:rsid w:val="003871CE"/>
    <w:rPr>
      <w:rFonts w:ascii="Arial" w:hAnsi="Arial" w:cs="Arial"/>
      <w:b/>
      <w:sz w:val="26"/>
    </w:rPr>
  </w:style>
  <w:style w:type="paragraph" w:customStyle="1" w:styleId="ALJHeading3">
    <w:name w:val="ALJ Heading 3"/>
    <w:basedOn w:val="ALJBodyText"/>
    <w:next w:val="ALJBodyText"/>
    <w:link w:val="ALJHeading3Char"/>
    <w:qFormat/>
    <w:rsid w:val="003871CE"/>
    <w:pPr>
      <w:keepNext/>
      <w:numPr>
        <w:ilvl w:val="2"/>
        <w:numId w:val="1"/>
      </w:numPr>
      <w:spacing w:before="120" w:after="120" w:line="240" w:lineRule="auto"/>
    </w:pPr>
    <w:rPr>
      <w:rFonts w:ascii="Arial" w:hAnsi="Arial" w:cs="Arial"/>
      <w:b/>
    </w:rPr>
  </w:style>
  <w:style w:type="character" w:customStyle="1" w:styleId="ALJHeading2Char">
    <w:name w:val="ALJ Heading 2 Char"/>
    <w:basedOn w:val="ALJBodyTextChar"/>
    <w:link w:val="ALJHeading2"/>
    <w:rsid w:val="003871CE"/>
    <w:rPr>
      <w:rFonts w:ascii="Arial" w:hAnsi="Arial" w:cs="Arial"/>
      <w:b/>
      <w:sz w:val="26"/>
    </w:rPr>
  </w:style>
  <w:style w:type="paragraph" w:styleId="TOC2">
    <w:name w:val="toc 2"/>
    <w:basedOn w:val="Normal"/>
    <w:next w:val="Normal"/>
    <w:autoRedefine/>
    <w:uiPriority w:val="39"/>
    <w:unhideWhenUsed/>
    <w:qFormat/>
    <w:rsid w:val="00F57C4E"/>
    <w:pPr>
      <w:tabs>
        <w:tab w:val="left" w:pos="450"/>
        <w:tab w:val="right" w:leader="dot" w:pos="9350"/>
      </w:tabs>
      <w:spacing w:after="100"/>
      <w:ind w:left="450" w:firstLine="90"/>
    </w:pPr>
  </w:style>
  <w:style w:type="character" w:customStyle="1" w:styleId="ALJHeading3Char">
    <w:name w:val="ALJ Heading 3 Char"/>
    <w:basedOn w:val="ALJBodyTextChar"/>
    <w:link w:val="ALJHeading3"/>
    <w:rsid w:val="003871CE"/>
    <w:rPr>
      <w:rFonts w:ascii="Arial" w:hAnsi="Arial" w:cs="Arial"/>
      <w:b/>
      <w:sz w:val="26"/>
    </w:rPr>
  </w:style>
  <w:style w:type="paragraph" w:styleId="TOC1">
    <w:name w:val="toc 1"/>
    <w:basedOn w:val="Normal"/>
    <w:next w:val="Normal"/>
    <w:autoRedefine/>
    <w:uiPriority w:val="39"/>
    <w:unhideWhenUsed/>
    <w:rsid w:val="003B4B32"/>
    <w:pPr>
      <w:spacing w:after="100"/>
    </w:pPr>
  </w:style>
  <w:style w:type="paragraph" w:styleId="TOC3">
    <w:name w:val="toc 3"/>
    <w:basedOn w:val="Normal"/>
    <w:next w:val="Normal"/>
    <w:autoRedefine/>
    <w:uiPriority w:val="39"/>
    <w:unhideWhenUsed/>
    <w:qFormat/>
    <w:rsid w:val="003B4B32"/>
    <w:pPr>
      <w:spacing w:after="100"/>
      <w:ind w:left="520"/>
    </w:pPr>
  </w:style>
  <w:style w:type="character" w:styleId="Hyperlink">
    <w:name w:val="Hyperlink"/>
    <w:basedOn w:val="DefaultParagraphFont"/>
    <w:uiPriority w:val="99"/>
    <w:unhideWhenUsed/>
    <w:rsid w:val="003B4B32"/>
    <w:rPr>
      <w:color w:val="0563C1" w:themeColor="hyperlink"/>
      <w:u w:val="single"/>
    </w:rPr>
  </w:style>
  <w:style w:type="character" w:customStyle="1" w:styleId="Heading1Char">
    <w:name w:val="Heading 1 Char"/>
    <w:basedOn w:val="DefaultParagraphFont"/>
    <w:link w:val="Heading1"/>
    <w:rsid w:val="00E25554"/>
    <w:rPr>
      <w:rFonts w:ascii="Helvetica" w:eastAsia="Times New Roman" w:hAnsi="Helvetica"/>
      <w:b/>
      <w:kern w:val="28"/>
      <w:sz w:val="26"/>
      <w:szCs w:val="26"/>
    </w:rPr>
  </w:style>
  <w:style w:type="character" w:customStyle="1" w:styleId="Heading2Char">
    <w:name w:val="Heading 2 Char"/>
    <w:basedOn w:val="DefaultParagraphFont"/>
    <w:link w:val="Heading2"/>
    <w:rsid w:val="00091CDF"/>
    <w:rPr>
      <w:rFonts w:ascii="Arial" w:eastAsia="Times New Roman" w:hAnsi="Arial"/>
      <w:b/>
      <w:sz w:val="26"/>
      <w:szCs w:val="26"/>
    </w:rPr>
  </w:style>
  <w:style w:type="character" w:customStyle="1" w:styleId="Heading3Char">
    <w:name w:val="Heading 3 Char"/>
    <w:basedOn w:val="DefaultParagraphFont"/>
    <w:link w:val="Heading3"/>
    <w:rsid w:val="00E25554"/>
    <w:rPr>
      <w:rFonts w:ascii="Helvetica" w:eastAsia="Times New Roman" w:hAnsi="Helvetica"/>
      <w:b/>
      <w:sz w:val="26"/>
      <w:szCs w:val="26"/>
    </w:rPr>
  </w:style>
  <w:style w:type="character" w:customStyle="1" w:styleId="Heading4Char">
    <w:name w:val="Heading 4 Char"/>
    <w:basedOn w:val="DefaultParagraphFont"/>
    <w:link w:val="Heading4"/>
    <w:rsid w:val="00E25554"/>
    <w:rPr>
      <w:rFonts w:ascii="Helvetica" w:eastAsia="Times New Roman" w:hAnsi="Helvetica"/>
      <w:b/>
      <w:sz w:val="26"/>
      <w:szCs w:val="26"/>
    </w:rPr>
  </w:style>
  <w:style w:type="character" w:customStyle="1" w:styleId="Heading5Char">
    <w:name w:val="Heading 5 Char"/>
    <w:basedOn w:val="DefaultParagraphFont"/>
    <w:link w:val="Heading5"/>
    <w:rsid w:val="00E25554"/>
    <w:rPr>
      <w:rFonts w:ascii="Helvetica" w:eastAsia="Times New Roman" w:hAnsi="Helvetica"/>
      <w:b/>
      <w:sz w:val="26"/>
      <w:szCs w:val="26"/>
    </w:rPr>
  </w:style>
  <w:style w:type="character" w:customStyle="1" w:styleId="Heading6Char">
    <w:name w:val="Heading 6 Char"/>
    <w:basedOn w:val="DefaultParagraphFont"/>
    <w:link w:val="Heading6"/>
    <w:rsid w:val="00E25554"/>
    <w:rPr>
      <w:rFonts w:ascii="Helvetica" w:eastAsia="Times New Roman" w:hAnsi="Helvetica" w:cs="Arial"/>
      <w:b/>
      <w:bCs/>
      <w:sz w:val="26"/>
      <w:szCs w:val="26"/>
    </w:rPr>
  </w:style>
  <w:style w:type="character" w:customStyle="1" w:styleId="Heading7Char">
    <w:name w:val="Heading 7 Char"/>
    <w:basedOn w:val="DefaultParagraphFont"/>
    <w:link w:val="Heading7"/>
    <w:rsid w:val="00E25554"/>
    <w:rPr>
      <w:rFonts w:ascii="Helvetica" w:eastAsia="Times New Roman" w:hAnsi="Helvetica"/>
      <w:b/>
      <w:sz w:val="26"/>
    </w:rPr>
  </w:style>
  <w:style w:type="character" w:customStyle="1" w:styleId="Heading9Char">
    <w:name w:val="Heading 9 Char"/>
    <w:basedOn w:val="DefaultParagraphFont"/>
    <w:link w:val="Heading9"/>
    <w:rsid w:val="00E25554"/>
    <w:rPr>
      <w:rFonts w:ascii="Helvetica" w:eastAsia="Times New Roman" w:hAnsi="Helvetica"/>
      <w:b/>
      <w:sz w:val="26"/>
      <w:szCs w:val="24"/>
    </w:rPr>
  </w:style>
  <w:style w:type="table" w:styleId="TableGrid">
    <w:name w:val="Table Grid"/>
    <w:basedOn w:val="TableNormal"/>
    <w:uiPriority w:val="39"/>
    <w:rsid w:val="00E25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JHeadingNo">
    <w:name w:val="ALJ Heading No #"/>
    <w:basedOn w:val="ALJBodyText"/>
    <w:next w:val="ALJBodyText"/>
    <w:link w:val="ALJHeadingNoChar"/>
    <w:qFormat/>
    <w:rsid w:val="003871CE"/>
    <w:pPr>
      <w:keepNext/>
      <w:spacing w:before="120" w:after="120" w:line="240" w:lineRule="auto"/>
      <w:ind w:firstLine="0"/>
    </w:pPr>
    <w:rPr>
      <w:rFonts w:ascii="Arial" w:hAnsi="Arial" w:cs="Arial"/>
      <w:b/>
    </w:rPr>
  </w:style>
  <w:style w:type="paragraph" w:styleId="Header">
    <w:name w:val="header"/>
    <w:basedOn w:val="Normal"/>
    <w:link w:val="HeaderChar"/>
    <w:unhideWhenUsed/>
    <w:rsid w:val="008F5856"/>
    <w:pPr>
      <w:tabs>
        <w:tab w:val="center" w:pos="4680"/>
        <w:tab w:val="right" w:pos="9360"/>
      </w:tabs>
    </w:pPr>
  </w:style>
  <w:style w:type="character" w:customStyle="1" w:styleId="ALJHeadingNoChar">
    <w:name w:val="ALJ Heading No # Char"/>
    <w:basedOn w:val="ALJBodyTextChar"/>
    <w:link w:val="ALJHeadingNo"/>
    <w:rsid w:val="003871CE"/>
    <w:rPr>
      <w:rFonts w:ascii="Arial" w:hAnsi="Arial" w:cs="Arial"/>
      <w:b/>
      <w:sz w:val="26"/>
    </w:rPr>
  </w:style>
  <w:style w:type="character" w:customStyle="1" w:styleId="HeaderChar">
    <w:name w:val="Header Char"/>
    <w:basedOn w:val="DefaultParagraphFont"/>
    <w:link w:val="Header"/>
    <w:rsid w:val="008F5856"/>
    <w:rPr>
      <w:rFonts w:ascii="Book Antiqua" w:hAnsi="Book Antiqua"/>
      <w:sz w:val="26"/>
    </w:rPr>
  </w:style>
  <w:style w:type="paragraph" w:styleId="Footer">
    <w:name w:val="footer"/>
    <w:basedOn w:val="Normal"/>
    <w:link w:val="FooterChar"/>
    <w:uiPriority w:val="99"/>
    <w:unhideWhenUsed/>
    <w:rsid w:val="008F5856"/>
    <w:pPr>
      <w:tabs>
        <w:tab w:val="center" w:pos="4680"/>
        <w:tab w:val="right" w:pos="9360"/>
      </w:tabs>
    </w:pPr>
  </w:style>
  <w:style w:type="character" w:customStyle="1" w:styleId="FooterChar">
    <w:name w:val="Footer Char"/>
    <w:basedOn w:val="DefaultParagraphFont"/>
    <w:link w:val="Footer"/>
    <w:uiPriority w:val="99"/>
    <w:rsid w:val="008F5856"/>
    <w:rPr>
      <w:rFonts w:ascii="Book Antiqua" w:hAnsi="Book Antiqua"/>
      <w:sz w:val="26"/>
    </w:rPr>
  </w:style>
  <w:style w:type="paragraph" w:customStyle="1" w:styleId="contentservernumber">
    <w:name w:val="content server number"/>
    <w:basedOn w:val="Footer"/>
    <w:link w:val="contentservernumberChar"/>
    <w:rsid w:val="00C43634"/>
    <w:rPr>
      <w:rFonts w:ascii="Arial" w:hAnsi="Arial" w:cs="Arial"/>
      <w:sz w:val="16"/>
      <w:szCs w:val="16"/>
    </w:r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
    <w:basedOn w:val="Normal"/>
    <w:link w:val="FootnoteTextChar"/>
    <w:unhideWhenUsed/>
    <w:qFormat/>
    <w:rsid w:val="0044301E"/>
    <w:pPr>
      <w:spacing w:after="120"/>
    </w:pPr>
    <w:rPr>
      <w:sz w:val="22"/>
      <w:szCs w:val="22"/>
    </w:rPr>
  </w:style>
  <w:style w:type="character" w:customStyle="1" w:styleId="contentservernumberChar">
    <w:name w:val="content server number Char"/>
    <w:basedOn w:val="FooterChar"/>
    <w:link w:val="contentservernumber"/>
    <w:rsid w:val="00C43634"/>
    <w:rPr>
      <w:rFonts w:ascii="Arial" w:hAnsi="Arial" w:cs="Arial"/>
      <w:sz w:val="16"/>
      <w:szCs w:val="16"/>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Footnote Text Cha Char"/>
    <w:basedOn w:val="DefaultParagraphFont"/>
    <w:link w:val="FootnoteText"/>
    <w:rsid w:val="0044301E"/>
    <w:rPr>
      <w:rFonts w:ascii="Book Antiqua" w:hAnsi="Book Antiqua"/>
      <w:sz w:val="22"/>
      <w:szCs w:val="22"/>
    </w:rPr>
  </w:style>
  <w:style w:type="character" w:styleId="FootnoteReference">
    <w:name w:val="footnote reference"/>
    <w:aliases w:val="o,fr,Style 3,o1,o2,o3,o4,o5,o6,o11,o21,o7,Style 12,(NECG) Footnote Reference,Appel note de bas de p,Style 124,o + Times New Roman,Style 17,Style 20,Style 13,fr1,fr2,fr3,Footnote,Style 8,Style 58"/>
    <w:basedOn w:val="DefaultParagraphFont"/>
    <w:unhideWhenUsed/>
    <w:qFormat/>
    <w:rsid w:val="00C43634"/>
    <w:rPr>
      <w:vertAlign w:val="superscript"/>
    </w:rPr>
  </w:style>
  <w:style w:type="paragraph" w:customStyle="1" w:styleId="ALJFootnote">
    <w:name w:val="ALJ Footnote"/>
    <w:basedOn w:val="FootnoteText"/>
    <w:link w:val="ALJFootnoteChar"/>
    <w:qFormat/>
    <w:rsid w:val="00C43634"/>
    <w:rPr>
      <w:szCs w:val="24"/>
    </w:rPr>
  </w:style>
  <w:style w:type="paragraph" w:customStyle="1" w:styleId="ALJTitle">
    <w:name w:val="ALJ Title"/>
    <w:basedOn w:val="ALJBodyText"/>
    <w:next w:val="ALJBodyText"/>
    <w:link w:val="ALJTitleChar"/>
    <w:qFormat/>
    <w:rsid w:val="00BC79F1"/>
    <w:pPr>
      <w:spacing w:after="240" w:line="240" w:lineRule="auto"/>
      <w:ind w:firstLine="0"/>
      <w:jc w:val="center"/>
    </w:pPr>
    <w:rPr>
      <w:rFonts w:ascii="Arial" w:hAnsi="Arial" w:cs="Arial"/>
      <w:b/>
    </w:rPr>
  </w:style>
  <w:style w:type="character" w:customStyle="1" w:styleId="ALJFootnoteChar">
    <w:name w:val="ALJ Footnote Char"/>
    <w:basedOn w:val="FootnoteTextChar"/>
    <w:link w:val="ALJFootnote"/>
    <w:rsid w:val="00C43634"/>
    <w:rPr>
      <w:rFonts w:ascii="Book Antiqua" w:hAnsi="Book Antiqua"/>
      <w:sz w:val="24"/>
      <w:szCs w:val="24"/>
    </w:rPr>
  </w:style>
  <w:style w:type="paragraph" w:customStyle="1" w:styleId="FindingofFAct">
    <w:name w:val="Finding of FAct"/>
    <w:basedOn w:val="ALJBodyText"/>
    <w:link w:val="FindingofFActChar"/>
    <w:qFormat/>
    <w:rsid w:val="003871CE"/>
    <w:pPr>
      <w:numPr>
        <w:numId w:val="6"/>
      </w:numPr>
      <w:ind w:left="0" w:firstLine="720"/>
    </w:pPr>
  </w:style>
  <w:style w:type="character" w:customStyle="1" w:styleId="ALJTitleChar">
    <w:name w:val="ALJ Title Char"/>
    <w:basedOn w:val="ALJBodyTextChar"/>
    <w:link w:val="ALJTitle"/>
    <w:rsid w:val="00BC79F1"/>
    <w:rPr>
      <w:rFonts w:ascii="Arial" w:hAnsi="Arial" w:cs="Arial"/>
      <w:b/>
      <w:sz w:val="26"/>
    </w:rPr>
  </w:style>
  <w:style w:type="paragraph" w:customStyle="1" w:styleId="conclusionoflaw">
    <w:name w:val="conclusion of law"/>
    <w:basedOn w:val="ALJBodyText"/>
    <w:link w:val="conclusionoflawChar"/>
    <w:qFormat/>
    <w:rsid w:val="003871CE"/>
    <w:pPr>
      <w:numPr>
        <w:numId w:val="7"/>
      </w:numPr>
      <w:ind w:left="0" w:firstLine="720"/>
    </w:pPr>
  </w:style>
  <w:style w:type="character" w:customStyle="1" w:styleId="FindingofFActChar">
    <w:name w:val="Finding of FAct Char"/>
    <w:basedOn w:val="ALJBodyTextChar"/>
    <w:link w:val="FindingofFAct"/>
    <w:rsid w:val="003871CE"/>
    <w:rPr>
      <w:rFonts w:ascii="Book Antiqua" w:hAnsi="Book Antiqua"/>
      <w:sz w:val="26"/>
    </w:rPr>
  </w:style>
  <w:style w:type="paragraph" w:customStyle="1" w:styleId="ALJHeading4">
    <w:name w:val="ALJ Heading 4"/>
    <w:basedOn w:val="ALJHeading3"/>
    <w:next w:val="ALJBodyText"/>
    <w:link w:val="ALJHeading4Char"/>
    <w:qFormat/>
    <w:rsid w:val="003871CE"/>
    <w:pPr>
      <w:numPr>
        <w:ilvl w:val="0"/>
        <w:numId w:val="9"/>
      </w:numPr>
    </w:pPr>
  </w:style>
  <w:style w:type="character" w:customStyle="1" w:styleId="conclusionoflawChar">
    <w:name w:val="conclusion of law Char"/>
    <w:basedOn w:val="ALJBodyTextChar"/>
    <w:link w:val="conclusionoflaw"/>
    <w:rsid w:val="003871CE"/>
    <w:rPr>
      <w:rFonts w:ascii="Book Antiqua" w:hAnsi="Book Antiqua"/>
      <w:sz w:val="26"/>
    </w:rPr>
  </w:style>
  <w:style w:type="paragraph" w:styleId="ListParagraph">
    <w:name w:val="List Paragraph"/>
    <w:basedOn w:val="Normal"/>
    <w:link w:val="ListParagraphChar"/>
    <w:uiPriority w:val="1"/>
    <w:qFormat/>
    <w:rsid w:val="004A31AF"/>
    <w:pPr>
      <w:numPr>
        <w:numId w:val="12"/>
      </w:numPr>
      <w:spacing w:after="240"/>
    </w:pPr>
  </w:style>
  <w:style w:type="character" w:customStyle="1" w:styleId="ALJHeading4Char">
    <w:name w:val="ALJ Heading 4 Char"/>
    <w:basedOn w:val="ALJBodyTextChar"/>
    <w:link w:val="ALJHeading4"/>
    <w:rsid w:val="004A31AF"/>
    <w:rPr>
      <w:rFonts w:ascii="Arial" w:hAnsi="Arial" w:cs="Arial"/>
      <w:b/>
      <w:sz w:val="26"/>
    </w:rPr>
  </w:style>
  <w:style w:type="paragraph" w:customStyle="1" w:styleId="tabletext">
    <w:name w:val="table text"/>
    <w:basedOn w:val="ALJBodyText"/>
    <w:link w:val="tabletextChar"/>
    <w:qFormat/>
    <w:rsid w:val="004A31AF"/>
    <w:pPr>
      <w:spacing w:after="120" w:line="240" w:lineRule="auto"/>
      <w:ind w:firstLine="0"/>
    </w:pPr>
  </w:style>
  <w:style w:type="paragraph" w:customStyle="1" w:styleId="TableColumnHeading">
    <w:name w:val="Table Column Heading"/>
    <w:basedOn w:val="ALJBodyText"/>
    <w:link w:val="TableColumnHeadingChar"/>
    <w:qFormat/>
    <w:rsid w:val="004A31AF"/>
    <w:pPr>
      <w:ind w:firstLine="0"/>
      <w:jc w:val="center"/>
    </w:pPr>
    <w:rPr>
      <w:rFonts w:ascii="Arial" w:hAnsi="Arial" w:cs="Arial"/>
      <w:b/>
    </w:rPr>
  </w:style>
  <w:style w:type="character" w:customStyle="1" w:styleId="tabletextChar">
    <w:name w:val="table text Char"/>
    <w:basedOn w:val="ALJBodyTextChar"/>
    <w:link w:val="tabletext"/>
    <w:rsid w:val="004A31AF"/>
    <w:rPr>
      <w:rFonts w:ascii="Book Antiqua" w:hAnsi="Book Antiqua"/>
      <w:sz w:val="26"/>
    </w:rPr>
  </w:style>
  <w:style w:type="paragraph" w:customStyle="1" w:styleId="ALJOP">
    <w:name w:val="ALJ OP"/>
    <w:basedOn w:val="ALJBodyText"/>
    <w:link w:val="ALJOPChar"/>
    <w:qFormat/>
    <w:rsid w:val="00E83810"/>
    <w:pPr>
      <w:numPr>
        <w:numId w:val="8"/>
      </w:numPr>
      <w:ind w:left="0" w:firstLine="720"/>
    </w:pPr>
  </w:style>
  <w:style w:type="character" w:customStyle="1" w:styleId="TableColumnHeadingChar">
    <w:name w:val="Table Column Heading Char"/>
    <w:basedOn w:val="ALJBodyTextChar"/>
    <w:link w:val="TableColumnHeading"/>
    <w:rsid w:val="004A31AF"/>
    <w:rPr>
      <w:rFonts w:ascii="Arial" w:hAnsi="Arial" w:cs="Arial"/>
      <w:b/>
      <w:sz w:val="26"/>
    </w:rPr>
  </w:style>
  <w:style w:type="paragraph" w:customStyle="1" w:styleId="ALJBlockQuote">
    <w:name w:val="ALJ Block Quote"/>
    <w:basedOn w:val="ALJBodyText"/>
    <w:next w:val="ALJBodyText"/>
    <w:link w:val="ALJBlockQuoteChar"/>
    <w:qFormat/>
    <w:rsid w:val="00542B86"/>
    <w:pPr>
      <w:spacing w:before="120" w:after="120" w:line="240" w:lineRule="auto"/>
      <w:ind w:left="1440" w:right="1440" w:firstLine="0"/>
    </w:pPr>
  </w:style>
  <w:style w:type="character" w:customStyle="1" w:styleId="ALJOPChar">
    <w:name w:val="ALJ OP Char"/>
    <w:basedOn w:val="ALJBodyTextChar"/>
    <w:link w:val="ALJOP"/>
    <w:rsid w:val="00E83810"/>
    <w:rPr>
      <w:rFonts w:ascii="Book Antiqua" w:hAnsi="Book Antiqua"/>
      <w:sz w:val="26"/>
    </w:rPr>
  </w:style>
  <w:style w:type="paragraph" w:customStyle="1" w:styleId="standard">
    <w:name w:val="standard"/>
    <w:basedOn w:val="Normal"/>
    <w:link w:val="standardChar"/>
    <w:rsid w:val="00542B86"/>
    <w:pPr>
      <w:spacing w:line="360" w:lineRule="auto"/>
      <w:ind w:firstLine="720"/>
    </w:pPr>
    <w:rPr>
      <w:rFonts w:ascii="Palatino" w:eastAsia="Times New Roman" w:hAnsi="Palatino"/>
    </w:rPr>
  </w:style>
  <w:style w:type="character" w:customStyle="1" w:styleId="ALJBlockQuoteChar">
    <w:name w:val="ALJ Block Quote Char"/>
    <w:basedOn w:val="ALJBodyTextChar"/>
    <w:link w:val="ALJBlockQuote"/>
    <w:rsid w:val="00542B86"/>
    <w:rPr>
      <w:rFonts w:ascii="Book Antiqua" w:hAnsi="Book Antiqua"/>
      <w:sz w:val="26"/>
    </w:rPr>
  </w:style>
  <w:style w:type="character" w:customStyle="1" w:styleId="standardChar">
    <w:name w:val="standard Char"/>
    <w:link w:val="standard"/>
    <w:rsid w:val="00542B86"/>
    <w:rPr>
      <w:rFonts w:ascii="Palatino" w:eastAsia="Times New Roman" w:hAnsi="Palatino"/>
      <w:sz w:val="26"/>
    </w:rPr>
  </w:style>
  <w:style w:type="character" w:styleId="CommentReference">
    <w:name w:val="annotation reference"/>
    <w:basedOn w:val="DefaultParagraphFont"/>
    <w:semiHidden/>
    <w:unhideWhenUsed/>
    <w:rsid w:val="00091CDF"/>
    <w:rPr>
      <w:sz w:val="16"/>
      <w:szCs w:val="16"/>
    </w:rPr>
  </w:style>
  <w:style w:type="paragraph" w:styleId="CommentText">
    <w:name w:val="annotation text"/>
    <w:basedOn w:val="Normal"/>
    <w:link w:val="CommentTextChar"/>
    <w:unhideWhenUsed/>
    <w:rsid w:val="00091CDF"/>
    <w:rPr>
      <w:sz w:val="20"/>
    </w:rPr>
  </w:style>
  <w:style w:type="character" w:customStyle="1" w:styleId="CommentTextChar">
    <w:name w:val="Comment Text Char"/>
    <w:basedOn w:val="DefaultParagraphFont"/>
    <w:link w:val="CommentText"/>
    <w:rsid w:val="00091CDF"/>
    <w:rPr>
      <w:rFonts w:ascii="Book Antiqua" w:hAnsi="Book Antiqua"/>
    </w:rPr>
  </w:style>
  <w:style w:type="paragraph" w:styleId="CommentSubject">
    <w:name w:val="annotation subject"/>
    <w:basedOn w:val="CommentText"/>
    <w:next w:val="CommentText"/>
    <w:link w:val="CommentSubjectChar"/>
    <w:semiHidden/>
    <w:unhideWhenUsed/>
    <w:rsid w:val="00091CDF"/>
    <w:rPr>
      <w:b/>
      <w:bCs/>
    </w:rPr>
  </w:style>
  <w:style w:type="character" w:customStyle="1" w:styleId="CommentSubjectChar">
    <w:name w:val="Comment Subject Char"/>
    <w:basedOn w:val="CommentTextChar"/>
    <w:link w:val="CommentSubject"/>
    <w:semiHidden/>
    <w:rsid w:val="00091CDF"/>
    <w:rPr>
      <w:rFonts w:ascii="Book Antiqua" w:hAnsi="Book Antiqua"/>
      <w:b/>
      <w:bCs/>
    </w:rPr>
  </w:style>
  <w:style w:type="paragraph" w:styleId="BalloonText">
    <w:name w:val="Balloon Text"/>
    <w:basedOn w:val="Normal"/>
    <w:link w:val="BalloonTextChar"/>
    <w:uiPriority w:val="99"/>
    <w:unhideWhenUsed/>
    <w:rsid w:val="00091CDF"/>
    <w:rPr>
      <w:rFonts w:ascii="Segoe UI" w:hAnsi="Segoe UI" w:cs="Segoe UI"/>
      <w:sz w:val="18"/>
      <w:szCs w:val="18"/>
    </w:rPr>
  </w:style>
  <w:style w:type="character" w:customStyle="1" w:styleId="BalloonTextChar">
    <w:name w:val="Balloon Text Char"/>
    <w:basedOn w:val="DefaultParagraphFont"/>
    <w:link w:val="BalloonText"/>
    <w:uiPriority w:val="99"/>
    <w:rsid w:val="00091CDF"/>
    <w:rPr>
      <w:rFonts w:ascii="Segoe UI" w:hAnsi="Segoe UI" w:cs="Segoe UI"/>
      <w:sz w:val="18"/>
      <w:szCs w:val="18"/>
    </w:rPr>
  </w:style>
  <w:style w:type="character" w:customStyle="1" w:styleId="Heading8Char">
    <w:name w:val="Heading 8 Char"/>
    <w:basedOn w:val="DefaultParagraphFont"/>
    <w:link w:val="Heading8"/>
    <w:rsid w:val="001164FC"/>
    <w:rPr>
      <w:rFonts w:eastAsia="Times New Roman"/>
      <w:b/>
      <w:sz w:val="26"/>
    </w:rPr>
  </w:style>
  <w:style w:type="paragraph" w:styleId="Subtitle">
    <w:name w:val="Subtitle"/>
    <w:basedOn w:val="Normal"/>
    <w:link w:val="SubtitleChar"/>
    <w:qFormat/>
    <w:rsid w:val="001164FC"/>
    <w:pPr>
      <w:spacing w:after="60"/>
      <w:jc w:val="center"/>
    </w:pPr>
    <w:rPr>
      <w:rFonts w:ascii="Arial" w:eastAsia="Times New Roman" w:hAnsi="Arial"/>
    </w:rPr>
  </w:style>
  <w:style w:type="character" w:customStyle="1" w:styleId="SubtitleChar">
    <w:name w:val="Subtitle Char"/>
    <w:basedOn w:val="DefaultParagraphFont"/>
    <w:link w:val="Subtitle"/>
    <w:rsid w:val="001164FC"/>
    <w:rPr>
      <w:rFonts w:ascii="Arial" w:eastAsia="Times New Roman" w:hAnsi="Arial"/>
      <w:sz w:val="26"/>
    </w:rPr>
  </w:style>
  <w:style w:type="paragraph" w:customStyle="1" w:styleId="Quote1">
    <w:name w:val="Quote1"/>
    <w:basedOn w:val="standard"/>
    <w:next w:val="standard"/>
    <w:link w:val="quoteChar"/>
    <w:rsid w:val="001164FC"/>
    <w:pPr>
      <w:spacing w:after="120" w:line="240" w:lineRule="auto"/>
      <w:ind w:left="720" w:right="1440" w:firstLine="0"/>
    </w:pPr>
  </w:style>
  <w:style w:type="paragraph" w:customStyle="1" w:styleId="letter">
    <w:name w:val="letter"/>
    <w:basedOn w:val="num1"/>
    <w:rsid w:val="001164FC"/>
    <w:pPr>
      <w:spacing w:after="120" w:line="240" w:lineRule="auto"/>
      <w:ind w:left="994" w:hanging="274"/>
    </w:pPr>
  </w:style>
  <w:style w:type="paragraph" w:styleId="TOC4">
    <w:name w:val="toc 4"/>
    <w:basedOn w:val="Normal"/>
    <w:next w:val="Normal"/>
    <w:uiPriority w:val="39"/>
    <w:rsid w:val="001164FC"/>
    <w:pPr>
      <w:ind w:left="520"/>
    </w:pPr>
    <w:rPr>
      <w:rFonts w:asciiTheme="minorHAnsi" w:eastAsia="Times New Roman" w:hAnsiTheme="minorHAnsi"/>
      <w:sz w:val="20"/>
    </w:rPr>
  </w:style>
  <w:style w:type="paragraph" w:customStyle="1" w:styleId="main">
    <w:name w:val="main"/>
    <w:basedOn w:val="Normal"/>
    <w:rsid w:val="001164FC"/>
    <w:pPr>
      <w:jc w:val="center"/>
    </w:pPr>
    <w:rPr>
      <w:rFonts w:ascii="Helvetica" w:eastAsia="Times New Roman" w:hAnsi="Helvetica"/>
      <w:b/>
    </w:rPr>
  </w:style>
  <w:style w:type="paragraph" w:customStyle="1" w:styleId="mainex">
    <w:name w:val="mainex"/>
    <w:basedOn w:val="main"/>
    <w:rsid w:val="001164FC"/>
    <w:rPr>
      <w:spacing w:val="120"/>
    </w:rPr>
  </w:style>
  <w:style w:type="paragraph" w:customStyle="1" w:styleId="num1">
    <w:name w:val="num1"/>
    <w:basedOn w:val="Normal"/>
    <w:link w:val="num1Char"/>
    <w:rsid w:val="001164FC"/>
    <w:pPr>
      <w:numPr>
        <w:numId w:val="13"/>
      </w:numPr>
      <w:tabs>
        <w:tab w:val="left" w:pos="-720"/>
      </w:tabs>
      <w:suppressAutoHyphens/>
      <w:spacing w:line="360" w:lineRule="auto"/>
    </w:pPr>
    <w:rPr>
      <w:rFonts w:ascii="Palatino" w:eastAsia="Times New Roman" w:hAnsi="Palatino"/>
    </w:rPr>
  </w:style>
  <w:style w:type="paragraph" w:customStyle="1" w:styleId="num2">
    <w:name w:val="num2"/>
    <w:basedOn w:val="num1"/>
    <w:rsid w:val="001164FC"/>
    <w:pPr>
      <w:ind w:firstLine="270"/>
    </w:pPr>
  </w:style>
  <w:style w:type="character" w:styleId="PageNumber">
    <w:name w:val="page number"/>
    <w:basedOn w:val="DefaultParagraphFont"/>
    <w:rsid w:val="001164FC"/>
  </w:style>
  <w:style w:type="paragraph" w:styleId="BlockText">
    <w:name w:val="Block Text"/>
    <w:basedOn w:val="Normal"/>
    <w:rsid w:val="001164FC"/>
    <w:pPr>
      <w:tabs>
        <w:tab w:val="left" w:pos="0"/>
      </w:tabs>
      <w:ind w:left="1440" w:right="1440"/>
    </w:pPr>
    <w:rPr>
      <w:rFonts w:ascii="Palatino" w:eastAsia="Times New Roman" w:hAnsi="Palatino"/>
      <w:sz w:val="24"/>
    </w:rPr>
  </w:style>
  <w:style w:type="paragraph" w:customStyle="1" w:styleId="sub1">
    <w:name w:val="sub1"/>
    <w:basedOn w:val="Normal"/>
    <w:rsid w:val="001164FC"/>
    <w:pPr>
      <w:spacing w:line="360" w:lineRule="auto"/>
      <w:ind w:firstLine="1440"/>
    </w:pPr>
    <w:rPr>
      <w:rFonts w:ascii="Palatino" w:eastAsia="Times New Roman" w:hAnsi="Palatino"/>
    </w:rPr>
  </w:style>
  <w:style w:type="paragraph" w:customStyle="1" w:styleId="sub2">
    <w:name w:val="sub2"/>
    <w:basedOn w:val="Normal"/>
    <w:rsid w:val="001164FC"/>
    <w:pPr>
      <w:spacing w:line="360" w:lineRule="auto"/>
      <w:ind w:firstLine="2160"/>
    </w:pPr>
    <w:rPr>
      <w:rFonts w:ascii="Palatino" w:eastAsia="Times New Roman" w:hAnsi="Palatino"/>
    </w:rPr>
  </w:style>
  <w:style w:type="paragraph" w:customStyle="1" w:styleId="sub3">
    <w:name w:val="sub3"/>
    <w:basedOn w:val="Normal"/>
    <w:rsid w:val="001164FC"/>
    <w:pPr>
      <w:spacing w:line="360" w:lineRule="auto"/>
      <w:ind w:firstLine="2880"/>
    </w:pPr>
    <w:rPr>
      <w:rFonts w:ascii="Palatino" w:eastAsia="Times New Roman" w:hAnsi="Palatino"/>
    </w:rPr>
  </w:style>
  <w:style w:type="paragraph" w:customStyle="1" w:styleId="sub4">
    <w:name w:val="sub4"/>
    <w:basedOn w:val="Normal"/>
    <w:rsid w:val="001164FC"/>
    <w:pPr>
      <w:spacing w:line="360" w:lineRule="auto"/>
      <w:ind w:firstLine="3600"/>
    </w:pPr>
    <w:rPr>
      <w:rFonts w:ascii="Palatino" w:eastAsia="Times New Roman" w:hAnsi="Palatino"/>
    </w:rPr>
  </w:style>
  <w:style w:type="character" w:customStyle="1" w:styleId="quoteChar">
    <w:name w:val="quote Char"/>
    <w:basedOn w:val="standardChar"/>
    <w:link w:val="Quote1"/>
    <w:rsid w:val="001164FC"/>
    <w:rPr>
      <w:rFonts w:ascii="Palatino" w:eastAsia="Times New Roman" w:hAnsi="Palatino"/>
      <w:sz w:val="26"/>
    </w:rPr>
  </w:style>
  <w:style w:type="paragraph" w:customStyle="1" w:styleId="no1">
    <w:name w:val="no.1"/>
    <w:basedOn w:val="standard"/>
    <w:rsid w:val="001164FC"/>
    <w:pPr>
      <w:tabs>
        <w:tab w:val="left" w:pos="1080"/>
      </w:tabs>
      <w:spacing w:after="120" w:line="240" w:lineRule="auto"/>
      <w:ind w:left="1080" w:right="994" w:hanging="360"/>
    </w:pPr>
  </w:style>
  <w:style w:type="paragraph" w:customStyle="1" w:styleId="msolistparagraph0">
    <w:name w:val="msolistparagraph"/>
    <w:basedOn w:val="Normal"/>
    <w:rsid w:val="001164FC"/>
    <w:pPr>
      <w:spacing w:before="100" w:beforeAutospacing="1" w:after="100" w:afterAutospacing="1"/>
    </w:pPr>
    <w:rPr>
      <w:rFonts w:ascii="Times New Roman" w:eastAsia="Times New Roman" w:hAnsi="Times New Roman"/>
      <w:sz w:val="24"/>
      <w:szCs w:val="24"/>
    </w:rPr>
  </w:style>
  <w:style w:type="paragraph" w:customStyle="1" w:styleId="msolistparagraphcxspmiddle">
    <w:name w:val="msolistparagraphcxspmiddle"/>
    <w:basedOn w:val="Normal"/>
    <w:rsid w:val="001164FC"/>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164FC"/>
    <w:pPr>
      <w:autoSpaceDE w:val="0"/>
      <w:autoSpaceDN w:val="0"/>
      <w:adjustRightInd w:val="0"/>
    </w:pPr>
    <w:rPr>
      <w:rFonts w:eastAsia="Times New Roman"/>
      <w:color w:val="000000"/>
      <w:sz w:val="24"/>
      <w:szCs w:val="24"/>
    </w:rPr>
  </w:style>
  <w:style w:type="character" w:customStyle="1" w:styleId="ListParagraphChar">
    <w:name w:val="List Paragraph Char"/>
    <w:basedOn w:val="DefaultParagraphFont"/>
    <w:link w:val="ListParagraph"/>
    <w:uiPriority w:val="1"/>
    <w:rsid w:val="001164FC"/>
    <w:rPr>
      <w:rFonts w:ascii="Book Antiqua" w:hAnsi="Book Antiqua"/>
      <w:sz w:val="26"/>
    </w:rPr>
  </w:style>
  <w:style w:type="paragraph" w:customStyle="1" w:styleId="Pleading1L1">
    <w:name w:val="Pleading1_L1"/>
    <w:basedOn w:val="Normal"/>
    <w:next w:val="BodyText"/>
    <w:link w:val="Pleading1L1Char"/>
    <w:rsid w:val="001164FC"/>
    <w:pPr>
      <w:keepNext/>
      <w:keepLines/>
      <w:widowControl w:val="0"/>
      <w:numPr>
        <w:numId w:val="16"/>
      </w:numPr>
      <w:spacing w:before="240" w:line="259" w:lineRule="auto"/>
      <w:outlineLvl w:val="0"/>
    </w:pPr>
    <w:rPr>
      <w:rFonts w:ascii="Times New Roman" w:eastAsia="Times New Roman" w:hAnsi="Times New Roman"/>
      <w:b/>
      <w:caps/>
      <w:sz w:val="24"/>
    </w:rPr>
  </w:style>
  <w:style w:type="character" w:customStyle="1" w:styleId="Pleading1L1Char">
    <w:name w:val="Pleading1_L1 Char"/>
    <w:basedOn w:val="DefaultParagraphFont"/>
    <w:link w:val="Pleading1L1"/>
    <w:rsid w:val="001164FC"/>
    <w:rPr>
      <w:rFonts w:eastAsia="Times New Roman"/>
      <w:b/>
      <w:caps/>
      <w:sz w:val="24"/>
    </w:rPr>
  </w:style>
  <w:style w:type="paragraph" w:customStyle="1" w:styleId="Pleading1L2">
    <w:name w:val="Pleading1_L2"/>
    <w:basedOn w:val="Pleading1L1"/>
    <w:next w:val="BodyText"/>
    <w:link w:val="Pleading1L2Char"/>
    <w:rsid w:val="001164FC"/>
    <w:pPr>
      <w:numPr>
        <w:ilvl w:val="1"/>
      </w:numPr>
      <w:tabs>
        <w:tab w:val="clear" w:pos="1440"/>
      </w:tabs>
      <w:spacing w:before="0" w:after="240"/>
      <w:ind w:left="2160" w:hanging="360"/>
      <w:outlineLvl w:val="1"/>
    </w:pPr>
    <w:rPr>
      <w:rFonts w:ascii="Calibri" w:hAnsi="Calibri"/>
      <w:caps w:val="0"/>
      <w:sz w:val="22"/>
    </w:rPr>
  </w:style>
  <w:style w:type="paragraph" w:customStyle="1" w:styleId="Pleading1L3">
    <w:name w:val="Pleading1_L3"/>
    <w:basedOn w:val="Pleading1L2"/>
    <w:next w:val="BodyText"/>
    <w:link w:val="Pleading1L3Char"/>
    <w:rsid w:val="001164FC"/>
    <w:pPr>
      <w:numPr>
        <w:ilvl w:val="2"/>
      </w:numPr>
      <w:tabs>
        <w:tab w:val="clear" w:pos="2160"/>
      </w:tabs>
      <w:ind w:left="2880" w:hanging="360"/>
      <w:outlineLvl w:val="2"/>
    </w:pPr>
    <w:rPr>
      <w:b w:val="0"/>
    </w:rPr>
  </w:style>
  <w:style w:type="paragraph" w:customStyle="1" w:styleId="Pleading1L4">
    <w:name w:val="Pleading1_L4"/>
    <w:basedOn w:val="Pleading1L3"/>
    <w:next w:val="BodyText"/>
    <w:rsid w:val="001164FC"/>
    <w:pPr>
      <w:numPr>
        <w:ilvl w:val="3"/>
      </w:numPr>
      <w:tabs>
        <w:tab w:val="clear" w:pos="2880"/>
      </w:tabs>
      <w:ind w:left="3600" w:hanging="360"/>
      <w:outlineLvl w:val="3"/>
    </w:pPr>
  </w:style>
  <w:style w:type="paragraph" w:customStyle="1" w:styleId="Pleading1L5">
    <w:name w:val="Pleading1_L5"/>
    <w:basedOn w:val="Pleading1L4"/>
    <w:next w:val="BodyText"/>
    <w:rsid w:val="001164FC"/>
    <w:pPr>
      <w:numPr>
        <w:ilvl w:val="4"/>
      </w:numPr>
      <w:tabs>
        <w:tab w:val="clear" w:pos="3600"/>
      </w:tabs>
      <w:ind w:left="4320" w:hanging="360"/>
      <w:outlineLvl w:val="4"/>
    </w:pPr>
  </w:style>
  <w:style w:type="paragraph" w:customStyle="1" w:styleId="Pleading1L6">
    <w:name w:val="Pleading1_L6"/>
    <w:basedOn w:val="Pleading1L5"/>
    <w:next w:val="BodyText"/>
    <w:rsid w:val="001164FC"/>
    <w:pPr>
      <w:numPr>
        <w:ilvl w:val="5"/>
      </w:numPr>
      <w:tabs>
        <w:tab w:val="clear" w:pos="4320"/>
      </w:tabs>
      <w:ind w:left="5040" w:hanging="360"/>
      <w:outlineLvl w:val="5"/>
    </w:pPr>
  </w:style>
  <w:style w:type="paragraph" w:customStyle="1" w:styleId="Pleading1L7">
    <w:name w:val="Pleading1_L7"/>
    <w:basedOn w:val="Pleading1L6"/>
    <w:next w:val="BodyText"/>
    <w:rsid w:val="001164FC"/>
    <w:pPr>
      <w:numPr>
        <w:ilvl w:val="6"/>
      </w:numPr>
      <w:tabs>
        <w:tab w:val="clear" w:pos="5040"/>
      </w:tabs>
      <w:ind w:left="5760" w:hanging="360"/>
      <w:outlineLvl w:val="6"/>
    </w:pPr>
  </w:style>
  <w:style w:type="paragraph" w:customStyle="1" w:styleId="Pleading1L8">
    <w:name w:val="Pleading1_L8"/>
    <w:basedOn w:val="Pleading1L7"/>
    <w:next w:val="BodyText"/>
    <w:rsid w:val="001164FC"/>
    <w:pPr>
      <w:numPr>
        <w:ilvl w:val="7"/>
      </w:numPr>
      <w:tabs>
        <w:tab w:val="clear" w:pos="5760"/>
      </w:tabs>
      <w:ind w:left="6480" w:hanging="360"/>
      <w:outlineLvl w:val="7"/>
    </w:pPr>
  </w:style>
  <w:style w:type="paragraph" w:customStyle="1" w:styleId="Pleading1L9">
    <w:name w:val="Pleading1_L9"/>
    <w:basedOn w:val="Pleading1L8"/>
    <w:next w:val="BodyText"/>
    <w:rsid w:val="001164FC"/>
    <w:pPr>
      <w:numPr>
        <w:ilvl w:val="8"/>
      </w:numPr>
      <w:tabs>
        <w:tab w:val="clear" w:pos="6480"/>
      </w:tabs>
      <w:ind w:left="7200" w:hanging="360"/>
      <w:outlineLvl w:val="8"/>
    </w:pPr>
  </w:style>
  <w:style w:type="paragraph" w:styleId="BodyText">
    <w:name w:val="Body Text"/>
    <w:basedOn w:val="Normal"/>
    <w:link w:val="BodyTextChar"/>
    <w:rsid w:val="001164FC"/>
    <w:pPr>
      <w:spacing w:after="120"/>
    </w:pPr>
    <w:rPr>
      <w:rFonts w:ascii="Palatino" w:eastAsia="Times New Roman" w:hAnsi="Palatino"/>
    </w:rPr>
  </w:style>
  <w:style w:type="character" w:customStyle="1" w:styleId="BodyTextChar">
    <w:name w:val="Body Text Char"/>
    <w:basedOn w:val="DefaultParagraphFont"/>
    <w:link w:val="BodyText"/>
    <w:rsid w:val="001164FC"/>
    <w:rPr>
      <w:rFonts w:ascii="Palatino" w:eastAsia="Times New Roman" w:hAnsi="Palatino"/>
      <w:sz w:val="26"/>
    </w:rPr>
  </w:style>
  <w:style w:type="paragraph" w:customStyle="1" w:styleId="Pleading1Cont6">
    <w:name w:val="Pleading1 Cont 6"/>
    <w:basedOn w:val="Normal"/>
    <w:link w:val="Pleading1Cont6Char"/>
    <w:rsid w:val="001164FC"/>
    <w:pPr>
      <w:widowControl w:val="0"/>
      <w:spacing w:line="518" w:lineRule="auto"/>
    </w:pPr>
    <w:rPr>
      <w:rFonts w:ascii="Calibri" w:eastAsia="Times New Roman" w:hAnsi="Calibri"/>
      <w:sz w:val="22"/>
    </w:rPr>
  </w:style>
  <w:style w:type="character" w:customStyle="1" w:styleId="Pleading1Cont6Char">
    <w:name w:val="Pleading1 Cont 6 Char"/>
    <w:basedOn w:val="DefaultParagraphFont"/>
    <w:link w:val="Pleading1Cont6"/>
    <w:rsid w:val="001164FC"/>
    <w:rPr>
      <w:rFonts w:ascii="Calibri" w:eastAsia="Times New Roman" w:hAnsi="Calibri"/>
      <w:sz w:val="22"/>
    </w:rPr>
  </w:style>
  <w:style w:type="paragraph" w:customStyle="1" w:styleId="Level1">
    <w:name w:val="Level 1"/>
    <w:basedOn w:val="Normal"/>
    <w:rsid w:val="001164FC"/>
    <w:pPr>
      <w:numPr>
        <w:numId w:val="17"/>
      </w:numPr>
      <w:suppressAutoHyphens/>
      <w:spacing w:line="480" w:lineRule="auto"/>
      <w:outlineLvl w:val="0"/>
    </w:pPr>
    <w:rPr>
      <w:rFonts w:ascii="Times New Roman" w:eastAsia="SimSun" w:hAnsi="Times New Roman"/>
      <w:color w:val="000000"/>
      <w:sz w:val="24"/>
    </w:rPr>
  </w:style>
  <w:style w:type="paragraph" w:customStyle="1" w:styleId="Level2">
    <w:name w:val="Level 2"/>
    <w:basedOn w:val="Normal"/>
    <w:rsid w:val="001164FC"/>
    <w:pPr>
      <w:numPr>
        <w:ilvl w:val="1"/>
        <w:numId w:val="17"/>
      </w:numPr>
      <w:suppressAutoHyphens/>
      <w:spacing w:line="480" w:lineRule="auto"/>
      <w:outlineLvl w:val="1"/>
    </w:pPr>
    <w:rPr>
      <w:rFonts w:ascii="Times New Roman" w:eastAsia="SimSun" w:hAnsi="Times New Roman"/>
      <w:color w:val="000000"/>
      <w:sz w:val="24"/>
    </w:rPr>
  </w:style>
  <w:style w:type="paragraph" w:customStyle="1" w:styleId="Level3">
    <w:name w:val="Level 3"/>
    <w:basedOn w:val="Normal"/>
    <w:rsid w:val="001164FC"/>
    <w:pPr>
      <w:numPr>
        <w:ilvl w:val="2"/>
        <w:numId w:val="17"/>
      </w:numPr>
      <w:suppressAutoHyphens/>
      <w:spacing w:after="240"/>
      <w:outlineLvl w:val="2"/>
    </w:pPr>
    <w:rPr>
      <w:rFonts w:ascii="Times New Roman" w:eastAsia="SimSun" w:hAnsi="Times New Roman"/>
      <w:color w:val="000000"/>
      <w:sz w:val="24"/>
    </w:rPr>
  </w:style>
  <w:style w:type="paragraph" w:customStyle="1" w:styleId="Level4">
    <w:name w:val="Level 4"/>
    <w:basedOn w:val="Normal"/>
    <w:rsid w:val="001164FC"/>
    <w:pPr>
      <w:numPr>
        <w:ilvl w:val="3"/>
        <w:numId w:val="17"/>
      </w:numPr>
      <w:suppressAutoHyphens/>
      <w:spacing w:after="240"/>
      <w:outlineLvl w:val="3"/>
    </w:pPr>
    <w:rPr>
      <w:rFonts w:ascii="Times New Roman" w:eastAsia="SimSun" w:hAnsi="Times New Roman"/>
      <w:color w:val="000000"/>
      <w:sz w:val="24"/>
    </w:rPr>
  </w:style>
  <w:style w:type="paragraph" w:customStyle="1" w:styleId="Level5">
    <w:name w:val="Level 5"/>
    <w:basedOn w:val="Normal"/>
    <w:rsid w:val="001164FC"/>
    <w:pPr>
      <w:numPr>
        <w:ilvl w:val="4"/>
        <w:numId w:val="17"/>
      </w:numPr>
      <w:suppressAutoHyphens/>
      <w:spacing w:after="240"/>
      <w:outlineLvl w:val="4"/>
    </w:pPr>
    <w:rPr>
      <w:rFonts w:ascii="Times New Roman" w:eastAsia="SimSun" w:hAnsi="Times New Roman"/>
      <w:color w:val="000000"/>
      <w:sz w:val="24"/>
    </w:rPr>
  </w:style>
  <w:style w:type="paragraph" w:customStyle="1" w:styleId="Level6">
    <w:name w:val="Level 6"/>
    <w:basedOn w:val="Normal"/>
    <w:rsid w:val="001164FC"/>
    <w:pPr>
      <w:numPr>
        <w:ilvl w:val="5"/>
        <w:numId w:val="17"/>
      </w:numPr>
      <w:suppressAutoHyphens/>
      <w:spacing w:line="480" w:lineRule="auto"/>
      <w:outlineLvl w:val="5"/>
    </w:pPr>
    <w:rPr>
      <w:rFonts w:ascii="Times New Roman" w:eastAsia="SimSun" w:hAnsi="Times New Roman"/>
      <w:color w:val="000000"/>
      <w:sz w:val="24"/>
    </w:rPr>
  </w:style>
  <w:style w:type="paragraph" w:customStyle="1" w:styleId="Level7">
    <w:name w:val="Level 7"/>
    <w:basedOn w:val="Normal"/>
    <w:rsid w:val="001164FC"/>
    <w:pPr>
      <w:numPr>
        <w:ilvl w:val="6"/>
        <w:numId w:val="17"/>
      </w:numPr>
      <w:suppressAutoHyphens/>
      <w:spacing w:line="480" w:lineRule="auto"/>
      <w:outlineLvl w:val="6"/>
    </w:pPr>
    <w:rPr>
      <w:rFonts w:ascii="Times New Roman" w:eastAsia="SimSun" w:hAnsi="Times New Roman"/>
      <w:color w:val="000000"/>
      <w:sz w:val="24"/>
    </w:rPr>
  </w:style>
  <w:style w:type="paragraph" w:customStyle="1" w:styleId="Level8">
    <w:name w:val="Level 8"/>
    <w:basedOn w:val="Normal"/>
    <w:rsid w:val="001164FC"/>
    <w:pPr>
      <w:numPr>
        <w:ilvl w:val="7"/>
        <w:numId w:val="17"/>
      </w:numPr>
      <w:suppressAutoHyphens/>
      <w:spacing w:line="480" w:lineRule="auto"/>
      <w:outlineLvl w:val="7"/>
    </w:pPr>
    <w:rPr>
      <w:rFonts w:ascii="Times New Roman" w:eastAsia="SimSun" w:hAnsi="Times New Roman"/>
      <w:color w:val="000000"/>
      <w:sz w:val="24"/>
    </w:rPr>
  </w:style>
  <w:style w:type="paragraph" w:customStyle="1" w:styleId="Level9">
    <w:name w:val="Level 9"/>
    <w:basedOn w:val="Normal"/>
    <w:rsid w:val="001164FC"/>
    <w:pPr>
      <w:numPr>
        <w:ilvl w:val="8"/>
        <w:numId w:val="17"/>
      </w:numPr>
      <w:suppressAutoHyphens/>
      <w:spacing w:line="480" w:lineRule="auto"/>
      <w:outlineLvl w:val="8"/>
    </w:pPr>
    <w:rPr>
      <w:rFonts w:ascii="Times New Roman" w:eastAsia="SimSun" w:hAnsi="Times New Roman"/>
      <w:color w:val="000000"/>
      <w:sz w:val="24"/>
    </w:rPr>
  </w:style>
  <w:style w:type="paragraph" w:customStyle="1" w:styleId="20sp05">
    <w:name w:val="_2.0sp 0.5&quot;"/>
    <w:basedOn w:val="Normal"/>
    <w:rsid w:val="001164FC"/>
    <w:pPr>
      <w:suppressAutoHyphens/>
      <w:spacing w:line="480" w:lineRule="auto"/>
      <w:ind w:firstLine="720"/>
    </w:pPr>
    <w:rPr>
      <w:rFonts w:ascii="Times New Roman" w:eastAsia="SimSun" w:hAnsi="Times New Roman"/>
      <w:sz w:val="24"/>
    </w:rPr>
  </w:style>
  <w:style w:type="paragraph" w:customStyle="1" w:styleId="dummy">
    <w:name w:val="dummy"/>
    <w:basedOn w:val="Heading1"/>
    <w:rsid w:val="001164FC"/>
    <w:pPr>
      <w:keepNext w:val="0"/>
      <w:tabs>
        <w:tab w:val="num" w:pos="0"/>
      </w:tabs>
      <w:spacing w:before="0"/>
      <w:ind w:left="0" w:right="3600" w:firstLine="0"/>
      <w:outlineLvl w:val="9"/>
    </w:pPr>
    <w:rPr>
      <w:rFonts w:eastAsia="Book Antiqua" w:cs="Book Antiqua"/>
      <w:bCs/>
    </w:rPr>
  </w:style>
  <w:style w:type="paragraph" w:customStyle="1" w:styleId="20sp0">
    <w:name w:val="_2.0sp 0&quot;"/>
    <w:basedOn w:val="Normal"/>
    <w:rsid w:val="001164FC"/>
    <w:pPr>
      <w:suppressAutoHyphens/>
      <w:spacing w:line="480" w:lineRule="auto"/>
    </w:pPr>
    <w:rPr>
      <w:rFonts w:ascii="Times New Roman" w:eastAsia="SimSun" w:hAnsi="Times New Roman"/>
      <w:sz w:val="24"/>
    </w:rPr>
  </w:style>
  <w:style w:type="character" w:customStyle="1" w:styleId="num1Char">
    <w:name w:val="num1 Char"/>
    <w:link w:val="num1"/>
    <w:rsid w:val="001164FC"/>
    <w:rPr>
      <w:rFonts w:ascii="Palatino" w:eastAsia="Times New Roman" w:hAnsi="Palatino"/>
      <w:sz w:val="26"/>
    </w:rPr>
  </w:style>
  <w:style w:type="paragraph" w:styleId="TOC5">
    <w:name w:val="toc 5"/>
    <w:basedOn w:val="Normal"/>
    <w:next w:val="Normal"/>
    <w:autoRedefine/>
    <w:uiPriority w:val="39"/>
    <w:unhideWhenUsed/>
    <w:rsid w:val="001164FC"/>
    <w:pPr>
      <w:tabs>
        <w:tab w:val="left" w:pos="1560"/>
        <w:tab w:val="right" w:leader="dot" w:pos="9350"/>
      </w:tabs>
      <w:ind w:left="2160" w:hanging="900"/>
    </w:pPr>
    <w:rPr>
      <w:rFonts w:asciiTheme="minorHAnsi" w:eastAsia="Times New Roman" w:hAnsiTheme="minorHAnsi"/>
      <w:sz w:val="20"/>
    </w:rPr>
  </w:style>
  <w:style w:type="paragraph" w:styleId="TOC6">
    <w:name w:val="toc 6"/>
    <w:basedOn w:val="Normal"/>
    <w:next w:val="Normal"/>
    <w:autoRedefine/>
    <w:uiPriority w:val="39"/>
    <w:unhideWhenUsed/>
    <w:rsid w:val="001164FC"/>
    <w:pPr>
      <w:ind w:left="1040"/>
    </w:pPr>
    <w:rPr>
      <w:rFonts w:asciiTheme="minorHAnsi" w:eastAsia="Times New Roman" w:hAnsiTheme="minorHAnsi"/>
      <w:sz w:val="20"/>
    </w:rPr>
  </w:style>
  <w:style w:type="paragraph" w:styleId="TOC7">
    <w:name w:val="toc 7"/>
    <w:basedOn w:val="Normal"/>
    <w:next w:val="Normal"/>
    <w:autoRedefine/>
    <w:unhideWhenUsed/>
    <w:rsid w:val="001164FC"/>
    <w:pPr>
      <w:ind w:left="1300"/>
    </w:pPr>
    <w:rPr>
      <w:rFonts w:asciiTheme="minorHAnsi" w:eastAsia="Times New Roman" w:hAnsiTheme="minorHAnsi"/>
      <w:sz w:val="20"/>
    </w:rPr>
  </w:style>
  <w:style w:type="paragraph" w:styleId="TOC8">
    <w:name w:val="toc 8"/>
    <w:basedOn w:val="Normal"/>
    <w:next w:val="Normal"/>
    <w:autoRedefine/>
    <w:unhideWhenUsed/>
    <w:rsid w:val="001164FC"/>
    <w:pPr>
      <w:ind w:left="1560"/>
    </w:pPr>
    <w:rPr>
      <w:rFonts w:asciiTheme="minorHAnsi" w:eastAsia="Times New Roman" w:hAnsiTheme="minorHAnsi"/>
      <w:sz w:val="20"/>
    </w:rPr>
  </w:style>
  <w:style w:type="paragraph" w:styleId="TOC9">
    <w:name w:val="toc 9"/>
    <w:basedOn w:val="Normal"/>
    <w:next w:val="Normal"/>
    <w:autoRedefine/>
    <w:unhideWhenUsed/>
    <w:rsid w:val="001164FC"/>
    <w:pPr>
      <w:ind w:left="1820"/>
    </w:pPr>
    <w:rPr>
      <w:rFonts w:asciiTheme="minorHAnsi" w:eastAsia="Times New Roman" w:hAnsiTheme="minorHAnsi"/>
      <w:sz w:val="20"/>
    </w:rPr>
  </w:style>
  <w:style w:type="paragraph" w:customStyle="1" w:styleId="Pleading1Cont3">
    <w:name w:val="Pleading1 Cont 3"/>
    <w:basedOn w:val="Normal"/>
    <w:link w:val="Pleading1Cont3Char"/>
    <w:rsid w:val="001164FC"/>
    <w:pPr>
      <w:widowControl w:val="0"/>
      <w:spacing w:line="518" w:lineRule="auto"/>
    </w:pPr>
    <w:rPr>
      <w:rFonts w:ascii="Calibri" w:eastAsia="Times New Roman" w:hAnsi="Calibri"/>
      <w:sz w:val="22"/>
    </w:rPr>
  </w:style>
  <w:style w:type="character" w:customStyle="1" w:styleId="Pleading1Cont3Char">
    <w:name w:val="Pleading1 Cont 3 Char"/>
    <w:basedOn w:val="ListParagraphChar"/>
    <w:link w:val="Pleading1Cont3"/>
    <w:rsid w:val="001164FC"/>
    <w:rPr>
      <w:rFonts w:ascii="Calibri" w:eastAsia="Times New Roman" w:hAnsi="Calibri"/>
      <w:sz w:val="22"/>
    </w:rPr>
  </w:style>
  <w:style w:type="paragraph" w:customStyle="1" w:styleId="Quotation">
    <w:name w:val="Quotation"/>
    <w:basedOn w:val="BodyText"/>
    <w:next w:val="BodyText"/>
    <w:rsid w:val="001164FC"/>
    <w:pPr>
      <w:overflowPunct w:val="0"/>
      <w:autoSpaceDE w:val="0"/>
      <w:autoSpaceDN w:val="0"/>
      <w:adjustRightInd w:val="0"/>
      <w:ind w:left="1440" w:right="1440"/>
      <w:textAlignment w:val="baseline"/>
    </w:pPr>
    <w:rPr>
      <w:rFonts w:ascii="Times New Roman" w:hAnsi="Times New Roman"/>
    </w:rPr>
  </w:style>
  <w:style w:type="character" w:customStyle="1" w:styleId="Pleading1L2Char">
    <w:name w:val="Pleading1_L2 Char"/>
    <w:basedOn w:val="ListParagraphChar"/>
    <w:link w:val="Pleading1L2"/>
    <w:rsid w:val="001164FC"/>
    <w:rPr>
      <w:rFonts w:ascii="Calibri" w:eastAsia="Times New Roman" w:hAnsi="Calibri"/>
      <w:b/>
      <w:sz w:val="22"/>
    </w:rPr>
  </w:style>
  <w:style w:type="character" w:customStyle="1" w:styleId="Pleading1L3Char">
    <w:name w:val="Pleading1_L3 Char"/>
    <w:basedOn w:val="ListParagraphChar"/>
    <w:link w:val="Pleading1L3"/>
    <w:rsid w:val="001164FC"/>
    <w:rPr>
      <w:rFonts w:ascii="Calibri" w:eastAsia="Times New Roman" w:hAnsi="Calibri"/>
      <w:sz w:val="22"/>
    </w:rPr>
  </w:style>
  <w:style w:type="character" w:styleId="Emphasis">
    <w:name w:val="Emphasis"/>
    <w:basedOn w:val="DefaultParagraphFont"/>
    <w:qFormat/>
    <w:rsid w:val="001164FC"/>
    <w:rPr>
      <w:i/>
      <w:iCs/>
    </w:rPr>
  </w:style>
  <w:style w:type="character" w:styleId="Strong">
    <w:name w:val="Strong"/>
    <w:basedOn w:val="DefaultParagraphFont"/>
    <w:qFormat/>
    <w:rsid w:val="001164FC"/>
    <w:rPr>
      <w:b/>
      <w:bCs/>
    </w:rPr>
  </w:style>
  <w:style w:type="character" w:styleId="FollowedHyperlink">
    <w:name w:val="FollowedHyperlink"/>
    <w:basedOn w:val="DefaultParagraphFont"/>
    <w:semiHidden/>
    <w:unhideWhenUsed/>
    <w:rsid w:val="001164FC"/>
    <w:rPr>
      <w:color w:val="954F72" w:themeColor="followedHyperlink"/>
      <w:u w:val="single"/>
    </w:rPr>
  </w:style>
  <w:style w:type="paragraph" w:customStyle="1" w:styleId="TableCaption">
    <w:name w:val="Table Caption"/>
    <w:basedOn w:val="Normal"/>
    <w:next w:val="Table"/>
    <w:uiPriority w:val="99"/>
    <w:rsid w:val="001164FC"/>
    <w:pPr>
      <w:keepNext/>
      <w:keepLines/>
      <w:suppressLineNumbers/>
      <w:spacing w:before="440" w:after="440" w:line="240" w:lineRule="atLeast"/>
      <w:jc w:val="center"/>
    </w:pPr>
    <w:rPr>
      <w:rFonts w:ascii="Arial" w:eastAsia="Times New Roman" w:hAnsi="Arial"/>
      <w:b/>
      <w:caps/>
      <w:sz w:val="20"/>
    </w:rPr>
  </w:style>
  <w:style w:type="paragraph" w:customStyle="1" w:styleId="Table">
    <w:name w:val="Table"/>
    <w:basedOn w:val="Normal"/>
    <w:uiPriority w:val="99"/>
    <w:qFormat/>
    <w:rsid w:val="001164FC"/>
    <w:pPr>
      <w:keepNext/>
      <w:keepLines/>
      <w:suppressLineNumbers/>
    </w:pPr>
    <w:rPr>
      <w:rFonts w:ascii="Arial" w:eastAsia="Times New Roman" w:hAnsi="Arial"/>
      <w:sz w:val="20"/>
    </w:rPr>
  </w:style>
  <w:style w:type="paragraph" w:customStyle="1" w:styleId="Table-FirstRow">
    <w:name w:val="Table - First Row"/>
    <w:basedOn w:val="Table"/>
    <w:uiPriority w:val="99"/>
    <w:rsid w:val="001164FC"/>
    <w:pPr>
      <w:spacing w:before="120"/>
    </w:pPr>
  </w:style>
  <w:style w:type="table" w:customStyle="1" w:styleId="TableGrid3">
    <w:name w:val="Table Grid3"/>
    <w:basedOn w:val="TableNormal"/>
    <w:next w:val="TableGrid"/>
    <w:uiPriority w:val="39"/>
    <w:rsid w:val="001164F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RNHeading2">
    <w:name w:val="TURNHeading2"/>
    <w:basedOn w:val="Normal"/>
    <w:next w:val="Normal"/>
    <w:qFormat/>
    <w:rsid w:val="001164FC"/>
    <w:pPr>
      <w:numPr>
        <w:numId w:val="25"/>
      </w:numPr>
    </w:pPr>
    <w:rPr>
      <w:rFonts w:ascii="Times New Roman" w:hAnsi="Times New Roman" w:cstheme="minorBidi"/>
      <w:b/>
      <w:sz w:val="24"/>
      <w:szCs w:val="24"/>
    </w:rPr>
  </w:style>
  <w:style w:type="paragraph" w:styleId="ListBullet">
    <w:name w:val="List Bullet"/>
    <w:basedOn w:val="Normal"/>
    <w:uiPriority w:val="99"/>
    <w:unhideWhenUsed/>
    <w:rsid w:val="001164FC"/>
    <w:pPr>
      <w:numPr>
        <w:numId w:val="27"/>
      </w:numPr>
      <w:contextualSpacing/>
    </w:pPr>
    <w:rPr>
      <w:rFonts w:ascii="Times New Roman" w:hAnsi="Times New Roman" w:cstheme="minorBidi"/>
      <w:sz w:val="24"/>
      <w:szCs w:val="24"/>
    </w:rPr>
  </w:style>
  <w:style w:type="paragraph" w:styleId="NormalWeb">
    <w:name w:val="Normal (Web)"/>
    <w:basedOn w:val="Normal"/>
    <w:uiPriority w:val="99"/>
    <w:unhideWhenUsed/>
    <w:rsid w:val="001164FC"/>
    <w:pPr>
      <w:spacing w:before="100" w:beforeAutospacing="1" w:after="100" w:afterAutospacing="1"/>
    </w:pPr>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1164FC"/>
    <w:rPr>
      <w:color w:val="605E5C"/>
      <w:shd w:val="clear" w:color="auto" w:fill="E1DFDD"/>
    </w:rPr>
  </w:style>
  <w:style w:type="paragraph" w:styleId="Revision">
    <w:name w:val="Revision"/>
    <w:hidden/>
    <w:uiPriority w:val="99"/>
    <w:semiHidden/>
    <w:rsid w:val="001164FC"/>
    <w:rPr>
      <w:rFonts w:ascii="Palatino" w:eastAsia="Times New Roman" w:hAnsi="Palatino"/>
      <w:sz w:val="26"/>
    </w:rPr>
  </w:style>
  <w:style w:type="character" w:customStyle="1" w:styleId="UnresolvedMention2">
    <w:name w:val="Unresolved Mention2"/>
    <w:basedOn w:val="DefaultParagraphFont"/>
    <w:uiPriority w:val="99"/>
    <w:semiHidden/>
    <w:unhideWhenUsed/>
    <w:rsid w:val="0001264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0"/>
    <w:lsdException w:name="toc 8" w:uiPriority="0"/>
    <w:lsdException w:name="toc 9" w:uiPriority="0"/>
    <w:lsdException w:name="footnote text" w:uiPriority="0" w:qFormat="1"/>
    <w:lsdException w:name="annotation text" w:uiPriority="0"/>
    <w:lsdException w:name="header" w:uiPriority="0"/>
    <w:lsdException w:name="caption" w:uiPriority="35" w:qFormat="1"/>
    <w:lsdException w:name="footnote reference" w:uiPriority="0" w:qFormat="1"/>
    <w:lsdException w:name="annotation reference" w:uiPriority="0"/>
    <w:lsdException w:name="page number" w:uiPriority="0"/>
    <w:lsdException w:name="Title" w:semiHidden="0" w:uiPriority="10" w:unhideWhenUsed="0"/>
    <w:lsdException w:name="Default Paragraph Font" w:uiPriority="1"/>
    <w:lsdException w:name="Body Text" w:uiPriority="0"/>
    <w:lsdException w:name="Subtitle" w:semiHidden="0" w:uiPriority="0" w:unhideWhenUsed="0" w:qFormat="1"/>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4301E"/>
    <w:rPr>
      <w:rFonts w:ascii="Book Antiqua" w:hAnsi="Book Antiqua"/>
      <w:sz w:val="26"/>
    </w:rPr>
  </w:style>
  <w:style w:type="paragraph" w:styleId="Heading1">
    <w:name w:val="heading 1"/>
    <w:basedOn w:val="Normal"/>
    <w:next w:val="Normal"/>
    <w:link w:val="Heading1Char"/>
    <w:qFormat/>
    <w:rsid w:val="00E25554"/>
    <w:pPr>
      <w:keepNext/>
      <w:numPr>
        <w:numId w:val="2"/>
      </w:numPr>
      <w:spacing w:before="120" w:after="120"/>
      <w:outlineLvl w:val="0"/>
    </w:pPr>
    <w:rPr>
      <w:rFonts w:ascii="Helvetica" w:eastAsia="Times New Roman" w:hAnsi="Helvetica"/>
      <w:b/>
      <w:kern w:val="28"/>
      <w:szCs w:val="26"/>
    </w:rPr>
  </w:style>
  <w:style w:type="paragraph" w:styleId="Heading2">
    <w:name w:val="heading 2"/>
    <w:basedOn w:val="Normal"/>
    <w:next w:val="Normal"/>
    <w:link w:val="Heading2Char"/>
    <w:qFormat/>
    <w:rsid w:val="00091CDF"/>
    <w:pPr>
      <w:keepNext/>
      <w:numPr>
        <w:ilvl w:val="1"/>
        <w:numId w:val="2"/>
      </w:numPr>
      <w:spacing w:before="120" w:after="120"/>
      <w:outlineLvl w:val="1"/>
    </w:pPr>
    <w:rPr>
      <w:rFonts w:ascii="Arial" w:eastAsia="Times New Roman" w:hAnsi="Arial"/>
      <w:b/>
      <w:szCs w:val="26"/>
    </w:rPr>
  </w:style>
  <w:style w:type="paragraph" w:styleId="Heading3">
    <w:name w:val="heading 3"/>
    <w:basedOn w:val="Normal"/>
    <w:next w:val="Normal"/>
    <w:link w:val="Heading3Char"/>
    <w:qFormat/>
    <w:rsid w:val="00E25554"/>
    <w:pPr>
      <w:keepNext/>
      <w:numPr>
        <w:ilvl w:val="2"/>
        <w:numId w:val="2"/>
      </w:numPr>
      <w:tabs>
        <w:tab w:val="left" w:pos="1620"/>
      </w:tabs>
      <w:spacing w:before="120" w:after="120"/>
      <w:outlineLvl w:val="2"/>
    </w:pPr>
    <w:rPr>
      <w:rFonts w:ascii="Helvetica" w:eastAsia="Times New Roman" w:hAnsi="Helvetica"/>
      <w:b/>
      <w:szCs w:val="26"/>
    </w:rPr>
  </w:style>
  <w:style w:type="paragraph" w:styleId="Heading4">
    <w:name w:val="heading 4"/>
    <w:basedOn w:val="Normal"/>
    <w:next w:val="Normal"/>
    <w:link w:val="Heading4Char"/>
    <w:qFormat/>
    <w:rsid w:val="00E25554"/>
    <w:pPr>
      <w:keepNext/>
      <w:numPr>
        <w:ilvl w:val="3"/>
        <w:numId w:val="2"/>
      </w:numPr>
      <w:tabs>
        <w:tab w:val="left" w:pos="1800"/>
      </w:tabs>
      <w:spacing w:before="120" w:after="120"/>
      <w:ind w:left="1800" w:hanging="1080"/>
      <w:outlineLvl w:val="3"/>
    </w:pPr>
    <w:rPr>
      <w:rFonts w:ascii="Helvetica" w:eastAsia="Times New Roman" w:hAnsi="Helvetica"/>
      <w:b/>
      <w:szCs w:val="26"/>
    </w:rPr>
  </w:style>
  <w:style w:type="paragraph" w:styleId="Heading5">
    <w:name w:val="heading 5"/>
    <w:basedOn w:val="Normal"/>
    <w:next w:val="Normal"/>
    <w:link w:val="Heading5Char"/>
    <w:qFormat/>
    <w:rsid w:val="00E25554"/>
    <w:pPr>
      <w:numPr>
        <w:ilvl w:val="4"/>
        <w:numId w:val="2"/>
      </w:numPr>
      <w:tabs>
        <w:tab w:val="left" w:pos="1980"/>
      </w:tabs>
      <w:spacing w:before="120" w:after="120"/>
      <w:ind w:left="1980" w:hanging="1260"/>
      <w:outlineLvl w:val="4"/>
    </w:pPr>
    <w:rPr>
      <w:rFonts w:ascii="Helvetica" w:eastAsia="Times New Roman" w:hAnsi="Helvetica"/>
      <w:b/>
      <w:szCs w:val="26"/>
    </w:rPr>
  </w:style>
  <w:style w:type="paragraph" w:styleId="Heading6">
    <w:name w:val="heading 6"/>
    <w:basedOn w:val="Normal"/>
    <w:next w:val="Normal"/>
    <w:link w:val="Heading6Char"/>
    <w:qFormat/>
    <w:rsid w:val="00E25554"/>
    <w:pPr>
      <w:numPr>
        <w:ilvl w:val="5"/>
        <w:numId w:val="2"/>
      </w:numPr>
      <w:tabs>
        <w:tab w:val="left" w:pos="2250"/>
      </w:tabs>
      <w:spacing w:before="120" w:after="120"/>
      <w:ind w:left="2250" w:hanging="1530"/>
      <w:outlineLvl w:val="5"/>
    </w:pPr>
    <w:rPr>
      <w:rFonts w:ascii="Helvetica" w:eastAsia="Times New Roman" w:hAnsi="Helvetica" w:cs="Arial"/>
      <w:b/>
      <w:bCs/>
      <w:szCs w:val="26"/>
    </w:rPr>
  </w:style>
  <w:style w:type="paragraph" w:styleId="Heading7">
    <w:name w:val="heading 7"/>
    <w:basedOn w:val="Normal"/>
    <w:next w:val="Normal"/>
    <w:link w:val="Heading7Char"/>
    <w:qFormat/>
    <w:rsid w:val="00E25554"/>
    <w:pPr>
      <w:numPr>
        <w:ilvl w:val="6"/>
        <w:numId w:val="2"/>
      </w:numPr>
      <w:tabs>
        <w:tab w:val="left" w:pos="2520"/>
      </w:tabs>
      <w:spacing w:before="120" w:after="120"/>
      <w:ind w:left="2520" w:hanging="1800"/>
      <w:outlineLvl w:val="6"/>
    </w:pPr>
    <w:rPr>
      <w:rFonts w:ascii="Helvetica" w:eastAsia="Times New Roman" w:hAnsi="Helvetica"/>
      <w:b/>
    </w:rPr>
  </w:style>
  <w:style w:type="paragraph" w:styleId="Heading8">
    <w:name w:val="heading 8"/>
    <w:basedOn w:val="Normal"/>
    <w:next w:val="Normal"/>
    <w:link w:val="Heading8Char"/>
    <w:autoRedefine/>
    <w:qFormat/>
    <w:rsid w:val="001164FC"/>
    <w:pPr>
      <w:tabs>
        <w:tab w:val="right" w:pos="5040"/>
      </w:tabs>
      <w:overflowPunct w:val="0"/>
      <w:autoSpaceDE w:val="0"/>
      <w:autoSpaceDN w:val="0"/>
      <w:adjustRightInd w:val="0"/>
      <w:spacing w:before="240" w:after="60"/>
      <w:ind w:left="5760" w:hanging="720"/>
      <w:textAlignment w:val="baseline"/>
      <w:outlineLvl w:val="7"/>
    </w:pPr>
    <w:rPr>
      <w:rFonts w:ascii="Times New Roman" w:eastAsia="Times New Roman" w:hAnsi="Times New Roman"/>
      <w:b/>
    </w:rPr>
  </w:style>
  <w:style w:type="paragraph" w:styleId="Heading9">
    <w:name w:val="heading 9"/>
    <w:basedOn w:val="Normal"/>
    <w:next w:val="Normal"/>
    <w:link w:val="Heading9Char"/>
    <w:autoRedefine/>
    <w:qFormat/>
    <w:rsid w:val="00E25554"/>
    <w:pPr>
      <w:numPr>
        <w:ilvl w:val="8"/>
        <w:numId w:val="2"/>
      </w:numPr>
      <w:tabs>
        <w:tab w:val="left" w:pos="2880"/>
      </w:tabs>
      <w:spacing w:before="120" w:after="120"/>
      <w:ind w:left="2880" w:hanging="2160"/>
      <w:outlineLvl w:val="8"/>
    </w:pPr>
    <w:rPr>
      <w:rFonts w:ascii="Helvetica" w:eastAsia="Times New Roman" w:hAnsi="Helvetic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JBodyText">
    <w:name w:val="ALJ Body Text"/>
    <w:basedOn w:val="Normal"/>
    <w:link w:val="ALJBodyTextChar"/>
    <w:qFormat/>
    <w:rsid w:val="008B2F22"/>
    <w:pPr>
      <w:spacing w:line="360" w:lineRule="auto"/>
      <w:ind w:firstLine="720"/>
    </w:pPr>
  </w:style>
  <w:style w:type="paragraph" w:customStyle="1" w:styleId="ALJHeading1">
    <w:name w:val="ALJ Heading 1"/>
    <w:basedOn w:val="ALJBodyText"/>
    <w:next w:val="ALJBodyText"/>
    <w:link w:val="ALJHeading1Char"/>
    <w:qFormat/>
    <w:rsid w:val="003871CE"/>
    <w:pPr>
      <w:keepNext/>
      <w:numPr>
        <w:numId w:val="1"/>
      </w:numPr>
      <w:spacing w:before="120" w:after="120" w:line="240" w:lineRule="auto"/>
      <w:ind w:right="720"/>
    </w:pPr>
    <w:rPr>
      <w:rFonts w:ascii="Arial" w:hAnsi="Arial" w:cs="Arial"/>
      <w:b/>
    </w:rPr>
  </w:style>
  <w:style w:type="character" w:customStyle="1" w:styleId="ALJBodyTextChar">
    <w:name w:val="ALJ Body Text Char"/>
    <w:basedOn w:val="DefaultParagraphFont"/>
    <w:link w:val="ALJBodyText"/>
    <w:rsid w:val="008B2F22"/>
    <w:rPr>
      <w:rFonts w:ascii="Book Antiqua" w:hAnsi="Book Antiqua"/>
      <w:sz w:val="26"/>
    </w:rPr>
  </w:style>
  <w:style w:type="paragraph" w:customStyle="1" w:styleId="ALJHeading2">
    <w:name w:val="ALJ Heading 2"/>
    <w:basedOn w:val="ALJBodyText"/>
    <w:next w:val="ALJBodyText"/>
    <w:link w:val="ALJHeading2Char"/>
    <w:qFormat/>
    <w:rsid w:val="003871CE"/>
    <w:pPr>
      <w:keepNext/>
      <w:numPr>
        <w:ilvl w:val="1"/>
        <w:numId w:val="1"/>
      </w:numPr>
      <w:tabs>
        <w:tab w:val="left" w:pos="1080"/>
      </w:tabs>
      <w:spacing w:before="120" w:after="120" w:line="240" w:lineRule="auto"/>
    </w:pPr>
    <w:rPr>
      <w:rFonts w:ascii="Arial" w:hAnsi="Arial" w:cs="Arial"/>
      <w:b/>
    </w:rPr>
  </w:style>
  <w:style w:type="character" w:customStyle="1" w:styleId="ALJHeading1Char">
    <w:name w:val="ALJ Heading 1 Char"/>
    <w:basedOn w:val="ALJBodyTextChar"/>
    <w:link w:val="ALJHeading1"/>
    <w:rsid w:val="003871CE"/>
    <w:rPr>
      <w:rFonts w:ascii="Arial" w:hAnsi="Arial" w:cs="Arial"/>
      <w:b/>
      <w:sz w:val="26"/>
    </w:rPr>
  </w:style>
  <w:style w:type="paragraph" w:customStyle="1" w:styleId="ALJHeading3">
    <w:name w:val="ALJ Heading 3"/>
    <w:basedOn w:val="ALJBodyText"/>
    <w:next w:val="ALJBodyText"/>
    <w:link w:val="ALJHeading3Char"/>
    <w:qFormat/>
    <w:rsid w:val="003871CE"/>
    <w:pPr>
      <w:keepNext/>
      <w:numPr>
        <w:ilvl w:val="2"/>
        <w:numId w:val="1"/>
      </w:numPr>
      <w:spacing w:before="120" w:after="120" w:line="240" w:lineRule="auto"/>
    </w:pPr>
    <w:rPr>
      <w:rFonts w:ascii="Arial" w:hAnsi="Arial" w:cs="Arial"/>
      <w:b/>
    </w:rPr>
  </w:style>
  <w:style w:type="character" w:customStyle="1" w:styleId="ALJHeading2Char">
    <w:name w:val="ALJ Heading 2 Char"/>
    <w:basedOn w:val="ALJBodyTextChar"/>
    <w:link w:val="ALJHeading2"/>
    <w:rsid w:val="003871CE"/>
    <w:rPr>
      <w:rFonts w:ascii="Arial" w:hAnsi="Arial" w:cs="Arial"/>
      <w:b/>
      <w:sz w:val="26"/>
    </w:rPr>
  </w:style>
  <w:style w:type="paragraph" w:styleId="TOC2">
    <w:name w:val="toc 2"/>
    <w:basedOn w:val="Normal"/>
    <w:next w:val="Normal"/>
    <w:autoRedefine/>
    <w:uiPriority w:val="39"/>
    <w:unhideWhenUsed/>
    <w:qFormat/>
    <w:rsid w:val="00F57C4E"/>
    <w:pPr>
      <w:tabs>
        <w:tab w:val="left" w:pos="450"/>
        <w:tab w:val="right" w:leader="dot" w:pos="9350"/>
      </w:tabs>
      <w:spacing w:after="100"/>
      <w:ind w:left="450" w:firstLine="90"/>
    </w:pPr>
  </w:style>
  <w:style w:type="character" w:customStyle="1" w:styleId="ALJHeading3Char">
    <w:name w:val="ALJ Heading 3 Char"/>
    <w:basedOn w:val="ALJBodyTextChar"/>
    <w:link w:val="ALJHeading3"/>
    <w:rsid w:val="003871CE"/>
    <w:rPr>
      <w:rFonts w:ascii="Arial" w:hAnsi="Arial" w:cs="Arial"/>
      <w:b/>
      <w:sz w:val="26"/>
    </w:rPr>
  </w:style>
  <w:style w:type="paragraph" w:styleId="TOC1">
    <w:name w:val="toc 1"/>
    <w:basedOn w:val="Normal"/>
    <w:next w:val="Normal"/>
    <w:autoRedefine/>
    <w:uiPriority w:val="39"/>
    <w:unhideWhenUsed/>
    <w:rsid w:val="003B4B32"/>
    <w:pPr>
      <w:spacing w:after="100"/>
    </w:pPr>
  </w:style>
  <w:style w:type="paragraph" w:styleId="TOC3">
    <w:name w:val="toc 3"/>
    <w:basedOn w:val="Normal"/>
    <w:next w:val="Normal"/>
    <w:autoRedefine/>
    <w:uiPriority w:val="39"/>
    <w:unhideWhenUsed/>
    <w:qFormat/>
    <w:rsid w:val="003B4B32"/>
    <w:pPr>
      <w:spacing w:after="100"/>
      <w:ind w:left="520"/>
    </w:pPr>
  </w:style>
  <w:style w:type="character" w:styleId="Hyperlink">
    <w:name w:val="Hyperlink"/>
    <w:basedOn w:val="DefaultParagraphFont"/>
    <w:uiPriority w:val="99"/>
    <w:unhideWhenUsed/>
    <w:rsid w:val="003B4B32"/>
    <w:rPr>
      <w:color w:val="0563C1" w:themeColor="hyperlink"/>
      <w:u w:val="single"/>
    </w:rPr>
  </w:style>
  <w:style w:type="character" w:customStyle="1" w:styleId="Heading1Char">
    <w:name w:val="Heading 1 Char"/>
    <w:basedOn w:val="DefaultParagraphFont"/>
    <w:link w:val="Heading1"/>
    <w:rsid w:val="00E25554"/>
    <w:rPr>
      <w:rFonts w:ascii="Helvetica" w:eastAsia="Times New Roman" w:hAnsi="Helvetica"/>
      <w:b/>
      <w:kern w:val="28"/>
      <w:sz w:val="26"/>
      <w:szCs w:val="26"/>
    </w:rPr>
  </w:style>
  <w:style w:type="character" w:customStyle="1" w:styleId="Heading2Char">
    <w:name w:val="Heading 2 Char"/>
    <w:basedOn w:val="DefaultParagraphFont"/>
    <w:link w:val="Heading2"/>
    <w:rsid w:val="00091CDF"/>
    <w:rPr>
      <w:rFonts w:ascii="Arial" w:eastAsia="Times New Roman" w:hAnsi="Arial"/>
      <w:b/>
      <w:sz w:val="26"/>
      <w:szCs w:val="26"/>
    </w:rPr>
  </w:style>
  <w:style w:type="character" w:customStyle="1" w:styleId="Heading3Char">
    <w:name w:val="Heading 3 Char"/>
    <w:basedOn w:val="DefaultParagraphFont"/>
    <w:link w:val="Heading3"/>
    <w:rsid w:val="00E25554"/>
    <w:rPr>
      <w:rFonts w:ascii="Helvetica" w:eastAsia="Times New Roman" w:hAnsi="Helvetica"/>
      <w:b/>
      <w:sz w:val="26"/>
      <w:szCs w:val="26"/>
    </w:rPr>
  </w:style>
  <w:style w:type="character" w:customStyle="1" w:styleId="Heading4Char">
    <w:name w:val="Heading 4 Char"/>
    <w:basedOn w:val="DefaultParagraphFont"/>
    <w:link w:val="Heading4"/>
    <w:rsid w:val="00E25554"/>
    <w:rPr>
      <w:rFonts w:ascii="Helvetica" w:eastAsia="Times New Roman" w:hAnsi="Helvetica"/>
      <w:b/>
      <w:sz w:val="26"/>
      <w:szCs w:val="26"/>
    </w:rPr>
  </w:style>
  <w:style w:type="character" w:customStyle="1" w:styleId="Heading5Char">
    <w:name w:val="Heading 5 Char"/>
    <w:basedOn w:val="DefaultParagraphFont"/>
    <w:link w:val="Heading5"/>
    <w:rsid w:val="00E25554"/>
    <w:rPr>
      <w:rFonts w:ascii="Helvetica" w:eastAsia="Times New Roman" w:hAnsi="Helvetica"/>
      <w:b/>
      <w:sz w:val="26"/>
      <w:szCs w:val="26"/>
    </w:rPr>
  </w:style>
  <w:style w:type="character" w:customStyle="1" w:styleId="Heading6Char">
    <w:name w:val="Heading 6 Char"/>
    <w:basedOn w:val="DefaultParagraphFont"/>
    <w:link w:val="Heading6"/>
    <w:rsid w:val="00E25554"/>
    <w:rPr>
      <w:rFonts w:ascii="Helvetica" w:eastAsia="Times New Roman" w:hAnsi="Helvetica" w:cs="Arial"/>
      <w:b/>
      <w:bCs/>
      <w:sz w:val="26"/>
      <w:szCs w:val="26"/>
    </w:rPr>
  </w:style>
  <w:style w:type="character" w:customStyle="1" w:styleId="Heading7Char">
    <w:name w:val="Heading 7 Char"/>
    <w:basedOn w:val="DefaultParagraphFont"/>
    <w:link w:val="Heading7"/>
    <w:rsid w:val="00E25554"/>
    <w:rPr>
      <w:rFonts w:ascii="Helvetica" w:eastAsia="Times New Roman" w:hAnsi="Helvetica"/>
      <w:b/>
      <w:sz w:val="26"/>
    </w:rPr>
  </w:style>
  <w:style w:type="character" w:customStyle="1" w:styleId="Heading9Char">
    <w:name w:val="Heading 9 Char"/>
    <w:basedOn w:val="DefaultParagraphFont"/>
    <w:link w:val="Heading9"/>
    <w:rsid w:val="00E25554"/>
    <w:rPr>
      <w:rFonts w:ascii="Helvetica" w:eastAsia="Times New Roman" w:hAnsi="Helvetica"/>
      <w:b/>
      <w:sz w:val="26"/>
      <w:szCs w:val="24"/>
    </w:rPr>
  </w:style>
  <w:style w:type="table" w:styleId="TableGrid">
    <w:name w:val="Table Grid"/>
    <w:basedOn w:val="TableNormal"/>
    <w:uiPriority w:val="39"/>
    <w:rsid w:val="00E25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JHeadingNo">
    <w:name w:val="ALJ Heading No #"/>
    <w:basedOn w:val="ALJBodyText"/>
    <w:next w:val="ALJBodyText"/>
    <w:link w:val="ALJHeadingNoChar"/>
    <w:qFormat/>
    <w:rsid w:val="003871CE"/>
    <w:pPr>
      <w:keepNext/>
      <w:spacing w:before="120" w:after="120" w:line="240" w:lineRule="auto"/>
      <w:ind w:firstLine="0"/>
    </w:pPr>
    <w:rPr>
      <w:rFonts w:ascii="Arial" w:hAnsi="Arial" w:cs="Arial"/>
      <w:b/>
    </w:rPr>
  </w:style>
  <w:style w:type="paragraph" w:styleId="Header">
    <w:name w:val="header"/>
    <w:basedOn w:val="Normal"/>
    <w:link w:val="HeaderChar"/>
    <w:unhideWhenUsed/>
    <w:rsid w:val="008F5856"/>
    <w:pPr>
      <w:tabs>
        <w:tab w:val="center" w:pos="4680"/>
        <w:tab w:val="right" w:pos="9360"/>
      </w:tabs>
    </w:pPr>
  </w:style>
  <w:style w:type="character" w:customStyle="1" w:styleId="ALJHeadingNoChar">
    <w:name w:val="ALJ Heading No # Char"/>
    <w:basedOn w:val="ALJBodyTextChar"/>
    <w:link w:val="ALJHeadingNo"/>
    <w:rsid w:val="003871CE"/>
    <w:rPr>
      <w:rFonts w:ascii="Arial" w:hAnsi="Arial" w:cs="Arial"/>
      <w:b/>
      <w:sz w:val="26"/>
    </w:rPr>
  </w:style>
  <w:style w:type="character" w:customStyle="1" w:styleId="HeaderChar">
    <w:name w:val="Header Char"/>
    <w:basedOn w:val="DefaultParagraphFont"/>
    <w:link w:val="Header"/>
    <w:rsid w:val="008F5856"/>
    <w:rPr>
      <w:rFonts w:ascii="Book Antiqua" w:hAnsi="Book Antiqua"/>
      <w:sz w:val="26"/>
    </w:rPr>
  </w:style>
  <w:style w:type="paragraph" w:styleId="Footer">
    <w:name w:val="footer"/>
    <w:basedOn w:val="Normal"/>
    <w:link w:val="FooterChar"/>
    <w:uiPriority w:val="99"/>
    <w:unhideWhenUsed/>
    <w:rsid w:val="008F5856"/>
    <w:pPr>
      <w:tabs>
        <w:tab w:val="center" w:pos="4680"/>
        <w:tab w:val="right" w:pos="9360"/>
      </w:tabs>
    </w:pPr>
  </w:style>
  <w:style w:type="character" w:customStyle="1" w:styleId="FooterChar">
    <w:name w:val="Footer Char"/>
    <w:basedOn w:val="DefaultParagraphFont"/>
    <w:link w:val="Footer"/>
    <w:uiPriority w:val="99"/>
    <w:rsid w:val="008F5856"/>
    <w:rPr>
      <w:rFonts w:ascii="Book Antiqua" w:hAnsi="Book Antiqua"/>
      <w:sz w:val="26"/>
    </w:rPr>
  </w:style>
  <w:style w:type="paragraph" w:customStyle="1" w:styleId="contentservernumber">
    <w:name w:val="content server number"/>
    <w:basedOn w:val="Footer"/>
    <w:link w:val="contentservernumberChar"/>
    <w:rsid w:val="00C43634"/>
    <w:rPr>
      <w:rFonts w:ascii="Arial" w:hAnsi="Arial" w:cs="Arial"/>
      <w:sz w:val="16"/>
      <w:szCs w:val="16"/>
    </w:r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
    <w:basedOn w:val="Normal"/>
    <w:link w:val="FootnoteTextChar"/>
    <w:unhideWhenUsed/>
    <w:qFormat/>
    <w:rsid w:val="0044301E"/>
    <w:pPr>
      <w:spacing w:after="120"/>
    </w:pPr>
    <w:rPr>
      <w:sz w:val="22"/>
      <w:szCs w:val="22"/>
    </w:rPr>
  </w:style>
  <w:style w:type="character" w:customStyle="1" w:styleId="contentservernumberChar">
    <w:name w:val="content server number Char"/>
    <w:basedOn w:val="FooterChar"/>
    <w:link w:val="contentservernumber"/>
    <w:rsid w:val="00C43634"/>
    <w:rPr>
      <w:rFonts w:ascii="Arial" w:hAnsi="Arial" w:cs="Arial"/>
      <w:sz w:val="16"/>
      <w:szCs w:val="16"/>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Footnote Text Cha Char"/>
    <w:basedOn w:val="DefaultParagraphFont"/>
    <w:link w:val="FootnoteText"/>
    <w:rsid w:val="0044301E"/>
    <w:rPr>
      <w:rFonts w:ascii="Book Antiqua" w:hAnsi="Book Antiqua"/>
      <w:sz w:val="22"/>
      <w:szCs w:val="22"/>
    </w:rPr>
  </w:style>
  <w:style w:type="character" w:styleId="FootnoteReference">
    <w:name w:val="footnote reference"/>
    <w:aliases w:val="o,fr,Style 3,o1,o2,o3,o4,o5,o6,o11,o21,o7,Style 12,(NECG) Footnote Reference,Appel note de bas de p,Style 124,o + Times New Roman,Style 17,Style 20,Style 13,fr1,fr2,fr3,Footnote,Style 8,Style 58"/>
    <w:basedOn w:val="DefaultParagraphFont"/>
    <w:unhideWhenUsed/>
    <w:qFormat/>
    <w:rsid w:val="00C43634"/>
    <w:rPr>
      <w:vertAlign w:val="superscript"/>
    </w:rPr>
  </w:style>
  <w:style w:type="paragraph" w:customStyle="1" w:styleId="ALJFootnote">
    <w:name w:val="ALJ Footnote"/>
    <w:basedOn w:val="FootnoteText"/>
    <w:link w:val="ALJFootnoteChar"/>
    <w:qFormat/>
    <w:rsid w:val="00C43634"/>
    <w:rPr>
      <w:szCs w:val="24"/>
    </w:rPr>
  </w:style>
  <w:style w:type="paragraph" w:customStyle="1" w:styleId="ALJTitle">
    <w:name w:val="ALJ Title"/>
    <w:basedOn w:val="ALJBodyText"/>
    <w:next w:val="ALJBodyText"/>
    <w:link w:val="ALJTitleChar"/>
    <w:qFormat/>
    <w:rsid w:val="00BC79F1"/>
    <w:pPr>
      <w:spacing w:after="240" w:line="240" w:lineRule="auto"/>
      <w:ind w:firstLine="0"/>
      <w:jc w:val="center"/>
    </w:pPr>
    <w:rPr>
      <w:rFonts w:ascii="Arial" w:hAnsi="Arial" w:cs="Arial"/>
      <w:b/>
    </w:rPr>
  </w:style>
  <w:style w:type="character" w:customStyle="1" w:styleId="ALJFootnoteChar">
    <w:name w:val="ALJ Footnote Char"/>
    <w:basedOn w:val="FootnoteTextChar"/>
    <w:link w:val="ALJFootnote"/>
    <w:rsid w:val="00C43634"/>
    <w:rPr>
      <w:rFonts w:ascii="Book Antiqua" w:hAnsi="Book Antiqua"/>
      <w:sz w:val="24"/>
      <w:szCs w:val="24"/>
    </w:rPr>
  </w:style>
  <w:style w:type="paragraph" w:customStyle="1" w:styleId="FindingofFAct">
    <w:name w:val="Finding of FAct"/>
    <w:basedOn w:val="ALJBodyText"/>
    <w:link w:val="FindingofFActChar"/>
    <w:qFormat/>
    <w:rsid w:val="003871CE"/>
    <w:pPr>
      <w:numPr>
        <w:numId w:val="6"/>
      </w:numPr>
      <w:ind w:left="0" w:firstLine="720"/>
    </w:pPr>
  </w:style>
  <w:style w:type="character" w:customStyle="1" w:styleId="ALJTitleChar">
    <w:name w:val="ALJ Title Char"/>
    <w:basedOn w:val="ALJBodyTextChar"/>
    <w:link w:val="ALJTitle"/>
    <w:rsid w:val="00BC79F1"/>
    <w:rPr>
      <w:rFonts w:ascii="Arial" w:hAnsi="Arial" w:cs="Arial"/>
      <w:b/>
      <w:sz w:val="26"/>
    </w:rPr>
  </w:style>
  <w:style w:type="paragraph" w:customStyle="1" w:styleId="conclusionoflaw">
    <w:name w:val="conclusion of law"/>
    <w:basedOn w:val="ALJBodyText"/>
    <w:link w:val="conclusionoflawChar"/>
    <w:qFormat/>
    <w:rsid w:val="003871CE"/>
    <w:pPr>
      <w:numPr>
        <w:numId w:val="7"/>
      </w:numPr>
      <w:ind w:left="0" w:firstLine="720"/>
    </w:pPr>
  </w:style>
  <w:style w:type="character" w:customStyle="1" w:styleId="FindingofFActChar">
    <w:name w:val="Finding of FAct Char"/>
    <w:basedOn w:val="ALJBodyTextChar"/>
    <w:link w:val="FindingofFAct"/>
    <w:rsid w:val="003871CE"/>
    <w:rPr>
      <w:rFonts w:ascii="Book Antiqua" w:hAnsi="Book Antiqua"/>
      <w:sz w:val="26"/>
    </w:rPr>
  </w:style>
  <w:style w:type="paragraph" w:customStyle="1" w:styleId="ALJHeading4">
    <w:name w:val="ALJ Heading 4"/>
    <w:basedOn w:val="ALJHeading3"/>
    <w:next w:val="ALJBodyText"/>
    <w:link w:val="ALJHeading4Char"/>
    <w:qFormat/>
    <w:rsid w:val="003871CE"/>
    <w:pPr>
      <w:numPr>
        <w:ilvl w:val="0"/>
        <w:numId w:val="9"/>
      </w:numPr>
    </w:pPr>
  </w:style>
  <w:style w:type="character" w:customStyle="1" w:styleId="conclusionoflawChar">
    <w:name w:val="conclusion of law Char"/>
    <w:basedOn w:val="ALJBodyTextChar"/>
    <w:link w:val="conclusionoflaw"/>
    <w:rsid w:val="003871CE"/>
    <w:rPr>
      <w:rFonts w:ascii="Book Antiqua" w:hAnsi="Book Antiqua"/>
      <w:sz w:val="26"/>
    </w:rPr>
  </w:style>
  <w:style w:type="paragraph" w:styleId="ListParagraph">
    <w:name w:val="List Paragraph"/>
    <w:basedOn w:val="Normal"/>
    <w:link w:val="ListParagraphChar"/>
    <w:uiPriority w:val="1"/>
    <w:qFormat/>
    <w:rsid w:val="004A31AF"/>
    <w:pPr>
      <w:numPr>
        <w:numId w:val="12"/>
      </w:numPr>
      <w:spacing w:after="240"/>
    </w:pPr>
  </w:style>
  <w:style w:type="character" w:customStyle="1" w:styleId="ALJHeading4Char">
    <w:name w:val="ALJ Heading 4 Char"/>
    <w:basedOn w:val="ALJBodyTextChar"/>
    <w:link w:val="ALJHeading4"/>
    <w:rsid w:val="004A31AF"/>
    <w:rPr>
      <w:rFonts w:ascii="Arial" w:hAnsi="Arial" w:cs="Arial"/>
      <w:b/>
      <w:sz w:val="26"/>
    </w:rPr>
  </w:style>
  <w:style w:type="paragraph" w:customStyle="1" w:styleId="tabletext">
    <w:name w:val="table text"/>
    <w:basedOn w:val="ALJBodyText"/>
    <w:link w:val="tabletextChar"/>
    <w:qFormat/>
    <w:rsid w:val="004A31AF"/>
    <w:pPr>
      <w:spacing w:after="120" w:line="240" w:lineRule="auto"/>
      <w:ind w:firstLine="0"/>
    </w:pPr>
  </w:style>
  <w:style w:type="paragraph" w:customStyle="1" w:styleId="TableColumnHeading">
    <w:name w:val="Table Column Heading"/>
    <w:basedOn w:val="ALJBodyText"/>
    <w:link w:val="TableColumnHeadingChar"/>
    <w:qFormat/>
    <w:rsid w:val="004A31AF"/>
    <w:pPr>
      <w:ind w:firstLine="0"/>
      <w:jc w:val="center"/>
    </w:pPr>
    <w:rPr>
      <w:rFonts w:ascii="Arial" w:hAnsi="Arial" w:cs="Arial"/>
      <w:b/>
    </w:rPr>
  </w:style>
  <w:style w:type="character" w:customStyle="1" w:styleId="tabletextChar">
    <w:name w:val="table text Char"/>
    <w:basedOn w:val="ALJBodyTextChar"/>
    <w:link w:val="tabletext"/>
    <w:rsid w:val="004A31AF"/>
    <w:rPr>
      <w:rFonts w:ascii="Book Antiqua" w:hAnsi="Book Antiqua"/>
      <w:sz w:val="26"/>
    </w:rPr>
  </w:style>
  <w:style w:type="paragraph" w:customStyle="1" w:styleId="ALJOP">
    <w:name w:val="ALJ OP"/>
    <w:basedOn w:val="ALJBodyText"/>
    <w:link w:val="ALJOPChar"/>
    <w:qFormat/>
    <w:rsid w:val="00E83810"/>
    <w:pPr>
      <w:numPr>
        <w:numId w:val="8"/>
      </w:numPr>
      <w:ind w:left="0" w:firstLine="720"/>
    </w:pPr>
  </w:style>
  <w:style w:type="character" w:customStyle="1" w:styleId="TableColumnHeadingChar">
    <w:name w:val="Table Column Heading Char"/>
    <w:basedOn w:val="ALJBodyTextChar"/>
    <w:link w:val="TableColumnHeading"/>
    <w:rsid w:val="004A31AF"/>
    <w:rPr>
      <w:rFonts w:ascii="Arial" w:hAnsi="Arial" w:cs="Arial"/>
      <w:b/>
      <w:sz w:val="26"/>
    </w:rPr>
  </w:style>
  <w:style w:type="paragraph" w:customStyle="1" w:styleId="ALJBlockQuote">
    <w:name w:val="ALJ Block Quote"/>
    <w:basedOn w:val="ALJBodyText"/>
    <w:next w:val="ALJBodyText"/>
    <w:link w:val="ALJBlockQuoteChar"/>
    <w:qFormat/>
    <w:rsid w:val="00542B86"/>
    <w:pPr>
      <w:spacing w:before="120" w:after="120" w:line="240" w:lineRule="auto"/>
      <w:ind w:left="1440" w:right="1440" w:firstLine="0"/>
    </w:pPr>
  </w:style>
  <w:style w:type="character" w:customStyle="1" w:styleId="ALJOPChar">
    <w:name w:val="ALJ OP Char"/>
    <w:basedOn w:val="ALJBodyTextChar"/>
    <w:link w:val="ALJOP"/>
    <w:rsid w:val="00E83810"/>
    <w:rPr>
      <w:rFonts w:ascii="Book Antiqua" w:hAnsi="Book Antiqua"/>
      <w:sz w:val="26"/>
    </w:rPr>
  </w:style>
  <w:style w:type="paragraph" w:customStyle="1" w:styleId="standard">
    <w:name w:val="standard"/>
    <w:basedOn w:val="Normal"/>
    <w:link w:val="standardChar"/>
    <w:rsid w:val="00542B86"/>
    <w:pPr>
      <w:spacing w:line="360" w:lineRule="auto"/>
      <w:ind w:firstLine="720"/>
    </w:pPr>
    <w:rPr>
      <w:rFonts w:ascii="Palatino" w:eastAsia="Times New Roman" w:hAnsi="Palatino"/>
    </w:rPr>
  </w:style>
  <w:style w:type="character" w:customStyle="1" w:styleId="ALJBlockQuoteChar">
    <w:name w:val="ALJ Block Quote Char"/>
    <w:basedOn w:val="ALJBodyTextChar"/>
    <w:link w:val="ALJBlockQuote"/>
    <w:rsid w:val="00542B86"/>
    <w:rPr>
      <w:rFonts w:ascii="Book Antiqua" w:hAnsi="Book Antiqua"/>
      <w:sz w:val="26"/>
    </w:rPr>
  </w:style>
  <w:style w:type="character" w:customStyle="1" w:styleId="standardChar">
    <w:name w:val="standard Char"/>
    <w:link w:val="standard"/>
    <w:rsid w:val="00542B86"/>
    <w:rPr>
      <w:rFonts w:ascii="Palatino" w:eastAsia="Times New Roman" w:hAnsi="Palatino"/>
      <w:sz w:val="26"/>
    </w:rPr>
  </w:style>
  <w:style w:type="character" w:styleId="CommentReference">
    <w:name w:val="annotation reference"/>
    <w:basedOn w:val="DefaultParagraphFont"/>
    <w:semiHidden/>
    <w:unhideWhenUsed/>
    <w:rsid w:val="00091CDF"/>
    <w:rPr>
      <w:sz w:val="16"/>
      <w:szCs w:val="16"/>
    </w:rPr>
  </w:style>
  <w:style w:type="paragraph" w:styleId="CommentText">
    <w:name w:val="annotation text"/>
    <w:basedOn w:val="Normal"/>
    <w:link w:val="CommentTextChar"/>
    <w:unhideWhenUsed/>
    <w:rsid w:val="00091CDF"/>
    <w:rPr>
      <w:sz w:val="20"/>
    </w:rPr>
  </w:style>
  <w:style w:type="character" w:customStyle="1" w:styleId="CommentTextChar">
    <w:name w:val="Comment Text Char"/>
    <w:basedOn w:val="DefaultParagraphFont"/>
    <w:link w:val="CommentText"/>
    <w:rsid w:val="00091CDF"/>
    <w:rPr>
      <w:rFonts w:ascii="Book Antiqua" w:hAnsi="Book Antiqua"/>
    </w:rPr>
  </w:style>
  <w:style w:type="paragraph" w:styleId="CommentSubject">
    <w:name w:val="annotation subject"/>
    <w:basedOn w:val="CommentText"/>
    <w:next w:val="CommentText"/>
    <w:link w:val="CommentSubjectChar"/>
    <w:semiHidden/>
    <w:unhideWhenUsed/>
    <w:rsid w:val="00091CDF"/>
    <w:rPr>
      <w:b/>
      <w:bCs/>
    </w:rPr>
  </w:style>
  <w:style w:type="character" w:customStyle="1" w:styleId="CommentSubjectChar">
    <w:name w:val="Comment Subject Char"/>
    <w:basedOn w:val="CommentTextChar"/>
    <w:link w:val="CommentSubject"/>
    <w:semiHidden/>
    <w:rsid w:val="00091CDF"/>
    <w:rPr>
      <w:rFonts w:ascii="Book Antiqua" w:hAnsi="Book Antiqua"/>
      <w:b/>
      <w:bCs/>
    </w:rPr>
  </w:style>
  <w:style w:type="paragraph" w:styleId="BalloonText">
    <w:name w:val="Balloon Text"/>
    <w:basedOn w:val="Normal"/>
    <w:link w:val="BalloonTextChar"/>
    <w:uiPriority w:val="99"/>
    <w:unhideWhenUsed/>
    <w:rsid w:val="00091CDF"/>
    <w:rPr>
      <w:rFonts w:ascii="Segoe UI" w:hAnsi="Segoe UI" w:cs="Segoe UI"/>
      <w:sz w:val="18"/>
      <w:szCs w:val="18"/>
    </w:rPr>
  </w:style>
  <w:style w:type="character" w:customStyle="1" w:styleId="BalloonTextChar">
    <w:name w:val="Balloon Text Char"/>
    <w:basedOn w:val="DefaultParagraphFont"/>
    <w:link w:val="BalloonText"/>
    <w:uiPriority w:val="99"/>
    <w:rsid w:val="00091CDF"/>
    <w:rPr>
      <w:rFonts w:ascii="Segoe UI" w:hAnsi="Segoe UI" w:cs="Segoe UI"/>
      <w:sz w:val="18"/>
      <w:szCs w:val="18"/>
    </w:rPr>
  </w:style>
  <w:style w:type="character" w:customStyle="1" w:styleId="Heading8Char">
    <w:name w:val="Heading 8 Char"/>
    <w:basedOn w:val="DefaultParagraphFont"/>
    <w:link w:val="Heading8"/>
    <w:rsid w:val="001164FC"/>
    <w:rPr>
      <w:rFonts w:eastAsia="Times New Roman"/>
      <w:b/>
      <w:sz w:val="26"/>
    </w:rPr>
  </w:style>
  <w:style w:type="paragraph" w:styleId="Subtitle">
    <w:name w:val="Subtitle"/>
    <w:basedOn w:val="Normal"/>
    <w:link w:val="SubtitleChar"/>
    <w:qFormat/>
    <w:rsid w:val="001164FC"/>
    <w:pPr>
      <w:spacing w:after="60"/>
      <w:jc w:val="center"/>
    </w:pPr>
    <w:rPr>
      <w:rFonts w:ascii="Arial" w:eastAsia="Times New Roman" w:hAnsi="Arial"/>
    </w:rPr>
  </w:style>
  <w:style w:type="character" w:customStyle="1" w:styleId="SubtitleChar">
    <w:name w:val="Subtitle Char"/>
    <w:basedOn w:val="DefaultParagraphFont"/>
    <w:link w:val="Subtitle"/>
    <w:rsid w:val="001164FC"/>
    <w:rPr>
      <w:rFonts w:ascii="Arial" w:eastAsia="Times New Roman" w:hAnsi="Arial"/>
      <w:sz w:val="26"/>
    </w:rPr>
  </w:style>
  <w:style w:type="paragraph" w:customStyle="1" w:styleId="Quote1">
    <w:name w:val="Quote1"/>
    <w:basedOn w:val="standard"/>
    <w:next w:val="standard"/>
    <w:link w:val="quoteChar"/>
    <w:rsid w:val="001164FC"/>
    <w:pPr>
      <w:spacing w:after="120" w:line="240" w:lineRule="auto"/>
      <w:ind w:left="720" w:right="1440" w:firstLine="0"/>
    </w:pPr>
  </w:style>
  <w:style w:type="paragraph" w:customStyle="1" w:styleId="letter">
    <w:name w:val="letter"/>
    <w:basedOn w:val="num1"/>
    <w:rsid w:val="001164FC"/>
    <w:pPr>
      <w:spacing w:after="120" w:line="240" w:lineRule="auto"/>
      <w:ind w:left="994" w:hanging="274"/>
    </w:pPr>
  </w:style>
  <w:style w:type="paragraph" w:styleId="TOC4">
    <w:name w:val="toc 4"/>
    <w:basedOn w:val="Normal"/>
    <w:next w:val="Normal"/>
    <w:uiPriority w:val="39"/>
    <w:rsid w:val="001164FC"/>
    <w:pPr>
      <w:ind w:left="520"/>
    </w:pPr>
    <w:rPr>
      <w:rFonts w:asciiTheme="minorHAnsi" w:eastAsia="Times New Roman" w:hAnsiTheme="minorHAnsi"/>
      <w:sz w:val="20"/>
    </w:rPr>
  </w:style>
  <w:style w:type="paragraph" w:customStyle="1" w:styleId="main">
    <w:name w:val="main"/>
    <w:basedOn w:val="Normal"/>
    <w:rsid w:val="001164FC"/>
    <w:pPr>
      <w:jc w:val="center"/>
    </w:pPr>
    <w:rPr>
      <w:rFonts w:ascii="Helvetica" w:eastAsia="Times New Roman" w:hAnsi="Helvetica"/>
      <w:b/>
    </w:rPr>
  </w:style>
  <w:style w:type="paragraph" w:customStyle="1" w:styleId="mainex">
    <w:name w:val="mainex"/>
    <w:basedOn w:val="main"/>
    <w:rsid w:val="001164FC"/>
    <w:rPr>
      <w:spacing w:val="120"/>
    </w:rPr>
  </w:style>
  <w:style w:type="paragraph" w:customStyle="1" w:styleId="num1">
    <w:name w:val="num1"/>
    <w:basedOn w:val="Normal"/>
    <w:link w:val="num1Char"/>
    <w:rsid w:val="001164FC"/>
    <w:pPr>
      <w:numPr>
        <w:numId w:val="13"/>
      </w:numPr>
      <w:tabs>
        <w:tab w:val="left" w:pos="-720"/>
      </w:tabs>
      <w:suppressAutoHyphens/>
      <w:spacing w:line="360" w:lineRule="auto"/>
    </w:pPr>
    <w:rPr>
      <w:rFonts w:ascii="Palatino" w:eastAsia="Times New Roman" w:hAnsi="Palatino"/>
    </w:rPr>
  </w:style>
  <w:style w:type="paragraph" w:customStyle="1" w:styleId="num2">
    <w:name w:val="num2"/>
    <w:basedOn w:val="num1"/>
    <w:rsid w:val="001164FC"/>
    <w:pPr>
      <w:ind w:firstLine="270"/>
    </w:pPr>
  </w:style>
  <w:style w:type="character" w:styleId="PageNumber">
    <w:name w:val="page number"/>
    <w:basedOn w:val="DefaultParagraphFont"/>
    <w:rsid w:val="001164FC"/>
  </w:style>
  <w:style w:type="paragraph" w:styleId="BlockText">
    <w:name w:val="Block Text"/>
    <w:basedOn w:val="Normal"/>
    <w:rsid w:val="001164FC"/>
    <w:pPr>
      <w:tabs>
        <w:tab w:val="left" w:pos="0"/>
      </w:tabs>
      <w:ind w:left="1440" w:right="1440"/>
    </w:pPr>
    <w:rPr>
      <w:rFonts w:ascii="Palatino" w:eastAsia="Times New Roman" w:hAnsi="Palatino"/>
      <w:sz w:val="24"/>
    </w:rPr>
  </w:style>
  <w:style w:type="paragraph" w:customStyle="1" w:styleId="sub1">
    <w:name w:val="sub1"/>
    <w:basedOn w:val="Normal"/>
    <w:rsid w:val="001164FC"/>
    <w:pPr>
      <w:spacing w:line="360" w:lineRule="auto"/>
      <w:ind w:firstLine="1440"/>
    </w:pPr>
    <w:rPr>
      <w:rFonts w:ascii="Palatino" w:eastAsia="Times New Roman" w:hAnsi="Palatino"/>
    </w:rPr>
  </w:style>
  <w:style w:type="paragraph" w:customStyle="1" w:styleId="sub2">
    <w:name w:val="sub2"/>
    <w:basedOn w:val="Normal"/>
    <w:rsid w:val="001164FC"/>
    <w:pPr>
      <w:spacing w:line="360" w:lineRule="auto"/>
      <w:ind w:firstLine="2160"/>
    </w:pPr>
    <w:rPr>
      <w:rFonts w:ascii="Palatino" w:eastAsia="Times New Roman" w:hAnsi="Palatino"/>
    </w:rPr>
  </w:style>
  <w:style w:type="paragraph" w:customStyle="1" w:styleId="sub3">
    <w:name w:val="sub3"/>
    <w:basedOn w:val="Normal"/>
    <w:rsid w:val="001164FC"/>
    <w:pPr>
      <w:spacing w:line="360" w:lineRule="auto"/>
      <w:ind w:firstLine="2880"/>
    </w:pPr>
    <w:rPr>
      <w:rFonts w:ascii="Palatino" w:eastAsia="Times New Roman" w:hAnsi="Palatino"/>
    </w:rPr>
  </w:style>
  <w:style w:type="paragraph" w:customStyle="1" w:styleId="sub4">
    <w:name w:val="sub4"/>
    <w:basedOn w:val="Normal"/>
    <w:rsid w:val="001164FC"/>
    <w:pPr>
      <w:spacing w:line="360" w:lineRule="auto"/>
      <w:ind w:firstLine="3600"/>
    </w:pPr>
    <w:rPr>
      <w:rFonts w:ascii="Palatino" w:eastAsia="Times New Roman" w:hAnsi="Palatino"/>
    </w:rPr>
  </w:style>
  <w:style w:type="character" w:customStyle="1" w:styleId="quoteChar">
    <w:name w:val="quote Char"/>
    <w:basedOn w:val="standardChar"/>
    <w:link w:val="Quote1"/>
    <w:rsid w:val="001164FC"/>
    <w:rPr>
      <w:rFonts w:ascii="Palatino" w:eastAsia="Times New Roman" w:hAnsi="Palatino"/>
      <w:sz w:val="26"/>
    </w:rPr>
  </w:style>
  <w:style w:type="paragraph" w:customStyle="1" w:styleId="no1">
    <w:name w:val="no.1"/>
    <w:basedOn w:val="standard"/>
    <w:rsid w:val="001164FC"/>
    <w:pPr>
      <w:tabs>
        <w:tab w:val="left" w:pos="1080"/>
      </w:tabs>
      <w:spacing w:after="120" w:line="240" w:lineRule="auto"/>
      <w:ind w:left="1080" w:right="994" w:hanging="360"/>
    </w:pPr>
  </w:style>
  <w:style w:type="paragraph" w:customStyle="1" w:styleId="msolistparagraph0">
    <w:name w:val="msolistparagraph"/>
    <w:basedOn w:val="Normal"/>
    <w:rsid w:val="001164FC"/>
    <w:pPr>
      <w:spacing w:before="100" w:beforeAutospacing="1" w:after="100" w:afterAutospacing="1"/>
    </w:pPr>
    <w:rPr>
      <w:rFonts w:ascii="Times New Roman" w:eastAsia="Times New Roman" w:hAnsi="Times New Roman"/>
      <w:sz w:val="24"/>
      <w:szCs w:val="24"/>
    </w:rPr>
  </w:style>
  <w:style w:type="paragraph" w:customStyle="1" w:styleId="msolistparagraphcxspmiddle">
    <w:name w:val="msolistparagraphcxspmiddle"/>
    <w:basedOn w:val="Normal"/>
    <w:rsid w:val="001164FC"/>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164FC"/>
    <w:pPr>
      <w:autoSpaceDE w:val="0"/>
      <w:autoSpaceDN w:val="0"/>
      <w:adjustRightInd w:val="0"/>
    </w:pPr>
    <w:rPr>
      <w:rFonts w:eastAsia="Times New Roman"/>
      <w:color w:val="000000"/>
      <w:sz w:val="24"/>
      <w:szCs w:val="24"/>
    </w:rPr>
  </w:style>
  <w:style w:type="character" w:customStyle="1" w:styleId="ListParagraphChar">
    <w:name w:val="List Paragraph Char"/>
    <w:basedOn w:val="DefaultParagraphFont"/>
    <w:link w:val="ListParagraph"/>
    <w:uiPriority w:val="1"/>
    <w:rsid w:val="001164FC"/>
    <w:rPr>
      <w:rFonts w:ascii="Book Antiqua" w:hAnsi="Book Antiqua"/>
      <w:sz w:val="26"/>
    </w:rPr>
  </w:style>
  <w:style w:type="paragraph" w:customStyle="1" w:styleId="Pleading1L1">
    <w:name w:val="Pleading1_L1"/>
    <w:basedOn w:val="Normal"/>
    <w:next w:val="BodyText"/>
    <w:link w:val="Pleading1L1Char"/>
    <w:rsid w:val="001164FC"/>
    <w:pPr>
      <w:keepNext/>
      <w:keepLines/>
      <w:widowControl w:val="0"/>
      <w:numPr>
        <w:numId w:val="16"/>
      </w:numPr>
      <w:spacing w:before="240" w:line="259" w:lineRule="auto"/>
      <w:outlineLvl w:val="0"/>
    </w:pPr>
    <w:rPr>
      <w:rFonts w:ascii="Times New Roman" w:eastAsia="Times New Roman" w:hAnsi="Times New Roman"/>
      <w:b/>
      <w:caps/>
      <w:sz w:val="24"/>
    </w:rPr>
  </w:style>
  <w:style w:type="character" w:customStyle="1" w:styleId="Pleading1L1Char">
    <w:name w:val="Pleading1_L1 Char"/>
    <w:basedOn w:val="DefaultParagraphFont"/>
    <w:link w:val="Pleading1L1"/>
    <w:rsid w:val="001164FC"/>
    <w:rPr>
      <w:rFonts w:eastAsia="Times New Roman"/>
      <w:b/>
      <w:caps/>
      <w:sz w:val="24"/>
    </w:rPr>
  </w:style>
  <w:style w:type="paragraph" w:customStyle="1" w:styleId="Pleading1L2">
    <w:name w:val="Pleading1_L2"/>
    <w:basedOn w:val="Pleading1L1"/>
    <w:next w:val="BodyText"/>
    <w:link w:val="Pleading1L2Char"/>
    <w:rsid w:val="001164FC"/>
    <w:pPr>
      <w:numPr>
        <w:ilvl w:val="1"/>
      </w:numPr>
      <w:tabs>
        <w:tab w:val="clear" w:pos="1440"/>
      </w:tabs>
      <w:spacing w:before="0" w:after="240"/>
      <w:ind w:left="2160" w:hanging="360"/>
      <w:outlineLvl w:val="1"/>
    </w:pPr>
    <w:rPr>
      <w:rFonts w:ascii="Calibri" w:hAnsi="Calibri"/>
      <w:caps w:val="0"/>
      <w:sz w:val="22"/>
    </w:rPr>
  </w:style>
  <w:style w:type="paragraph" w:customStyle="1" w:styleId="Pleading1L3">
    <w:name w:val="Pleading1_L3"/>
    <w:basedOn w:val="Pleading1L2"/>
    <w:next w:val="BodyText"/>
    <w:link w:val="Pleading1L3Char"/>
    <w:rsid w:val="001164FC"/>
    <w:pPr>
      <w:numPr>
        <w:ilvl w:val="2"/>
      </w:numPr>
      <w:tabs>
        <w:tab w:val="clear" w:pos="2160"/>
      </w:tabs>
      <w:ind w:left="2880" w:hanging="360"/>
      <w:outlineLvl w:val="2"/>
    </w:pPr>
    <w:rPr>
      <w:b w:val="0"/>
    </w:rPr>
  </w:style>
  <w:style w:type="paragraph" w:customStyle="1" w:styleId="Pleading1L4">
    <w:name w:val="Pleading1_L4"/>
    <w:basedOn w:val="Pleading1L3"/>
    <w:next w:val="BodyText"/>
    <w:rsid w:val="001164FC"/>
    <w:pPr>
      <w:numPr>
        <w:ilvl w:val="3"/>
      </w:numPr>
      <w:tabs>
        <w:tab w:val="clear" w:pos="2880"/>
      </w:tabs>
      <w:ind w:left="3600" w:hanging="360"/>
      <w:outlineLvl w:val="3"/>
    </w:pPr>
  </w:style>
  <w:style w:type="paragraph" w:customStyle="1" w:styleId="Pleading1L5">
    <w:name w:val="Pleading1_L5"/>
    <w:basedOn w:val="Pleading1L4"/>
    <w:next w:val="BodyText"/>
    <w:rsid w:val="001164FC"/>
    <w:pPr>
      <w:numPr>
        <w:ilvl w:val="4"/>
      </w:numPr>
      <w:tabs>
        <w:tab w:val="clear" w:pos="3600"/>
      </w:tabs>
      <w:ind w:left="4320" w:hanging="360"/>
      <w:outlineLvl w:val="4"/>
    </w:pPr>
  </w:style>
  <w:style w:type="paragraph" w:customStyle="1" w:styleId="Pleading1L6">
    <w:name w:val="Pleading1_L6"/>
    <w:basedOn w:val="Pleading1L5"/>
    <w:next w:val="BodyText"/>
    <w:rsid w:val="001164FC"/>
    <w:pPr>
      <w:numPr>
        <w:ilvl w:val="5"/>
      </w:numPr>
      <w:tabs>
        <w:tab w:val="clear" w:pos="4320"/>
      </w:tabs>
      <w:ind w:left="5040" w:hanging="360"/>
      <w:outlineLvl w:val="5"/>
    </w:pPr>
  </w:style>
  <w:style w:type="paragraph" w:customStyle="1" w:styleId="Pleading1L7">
    <w:name w:val="Pleading1_L7"/>
    <w:basedOn w:val="Pleading1L6"/>
    <w:next w:val="BodyText"/>
    <w:rsid w:val="001164FC"/>
    <w:pPr>
      <w:numPr>
        <w:ilvl w:val="6"/>
      </w:numPr>
      <w:tabs>
        <w:tab w:val="clear" w:pos="5040"/>
      </w:tabs>
      <w:ind w:left="5760" w:hanging="360"/>
      <w:outlineLvl w:val="6"/>
    </w:pPr>
  </w:style>
  <w:style w:type="paragraph" w:customStyle="1" w:styleId="Pleading1L8">
    <w:name w:val="Pleading1_L8"/>
    <w:basedOn w:val="Pleading1L7"/>
    <w:next w:val="BodyText"/>
    <w:rsid w:val="001164FC"/>
    <w:pPr>
      <w:numPr>
        <w:ilvl w:val="7"/>
      </w:numPr>
      <w:tabs>
        <w:tab w:val="clear" w:pos="5760"/>
      </w:tabs>
      <w:ind w:left="6480" w:hanging="360"/>
      <w:outlineLvl w:val="7"/>
    </w:pPr>
  </w:style>
  <w:style w:type="paragraph" w:customStyle="1" w:styleId="Pleading1L9">
    <w:name w:val="Pleading1_L9"/>
    <w:basedOn w:val="Pleading1L8"/>
    <w:next w:val="BodyText"/>
    <w:rsid w:val="001164FC"/>
    <w:pPr>
      <w:numPr>
        <w:ilvl w:val="8"/>
      </w:numPr>
      <w:tabs>
        <w:tab w:val="clear" w:pos="6480"/>
      </w:tabs>
      <w:ind w:left="7200" w:hanging="360"/>
      <w:outlineLvl w:val="8"/>
    </w:pPr>
  </w:style>
  <w:style w:type="paragraph" w:styleId="BodyText">
    <w:name w:val="Body Text"/>
    <w:basedOn w:val="Normal"/>
    <w:link w:val="BodyTextChar"/>
    <w:rsid w:val="001164FC"/>
    <w:pPr>
      <w:spacing w:after="120"/>
    </w:pPr>
    <w:rPr>
      <w:rFonts w:ascii="Palatino" w:eastAsia="Times New Roman" w:hAnsi="Palatino"/>
    </w:rPr>
  </w:style>
  <w:style w:type="character" w:customStyle="1" w:styleId="BodyTextChar">
    <w:name w:val="Body Text Char"/>
    <w:basedOn w:val="DefaultParagraphFont"/>
    <w:link w:val="BodyText"/>
    <w:rsid w:val="001164FC"/>
    <w:rPr>
      <w:rFonts w:ascii="Palatino" w:eastAsia="Times New Roman" w:hAnsi="Palatino"/>
      <w:sz w:val="26"/>
    </w:rPr>
  </w:style>
  <w:style w:type="paragraph" w:customStyle="1" w:styleId="Pleading1Cont6">
    <w:name w:val="Pleading1 Cont 6"/>
    <w:basedOn w:val="Normal"/>
    <w:link w:val="Pleading1Cont6Char"/>
    <w:rsid w:val="001164FC"/>
    <w:pPr>
      <w:widowControl w:val="0"/>
      <w:spacing w:line="518" w:lineRule="auto"/>
    </w:pPr>
    <w:rPr>
      <w:rFonts w:ascii="Calibri" w:eastAsia="Times New Roman" w:hAnsi="Calibri"/>
      <w:sz w:val="22"/>
    </w:rPr>
  </w:style>
  <w:style w:type="character" w:customStyle="1" w:styleId="Pleading1Cont6Char">
    <w:name w:val="Pleading1 Cont 6 Char"/>
    <w:basedOn w:val="DefaultParagraphFont"/>
    <w:link w:val="Pleading1Cont6"/>
    <w:rsid w:val="001164FC"/>
    <w:rPr>
      <w:rFonts w:ascii="Calibri" w:eastAsia="Times New Roman" w:hAnsi="Calibri"/>
      <w:sz w:val="22"/>
    </w:rPr>
  </w:style>
  <w:style w:type="paragraph" w:customStyle="1" w:styleId="Level1">
    <w:name w:val="Level 1"/>
    <w:basedOn w:val="Normal"/>
    <w:rsid w:val="001164FC"/>
    <w:pPr>
      <w:numPr>
        <w:numId w:val="17"/>
      </w:numPr>
      <w:suppressAutoHyphens/>
      <w:spacing w:line="480" w:lineRule="auto"/>
      <w:outlineLvl w:val="0"/>
    </w:pPr>
    <w:rPr>
      <w:rFonts w:ascii="Times New Roman" w:eastAsia="SimSun" w:hAnsi="Times New Roman"/>
      <w:color w:val="000000"/>
      <w:sz w:val="24"/>
    </w:rPr>
  </w:style>
  <w:style w:type="paragraph" w:customStyle="1" w:styleId="Level2">
    <w:name w:val="Level 2"/>
    <w:basedOn w:val="Normal"/>
    <w:rsid w:val="001164FC"/>
    <w:pPr>
      <w:numPr>
        <w:ilvl w:val="1"/>
        <w:numId w:val="17"/>
      </w:numPr>
      <w:suppressAutoHyphens/>
      <w:spacing w:line="480" w:lineRule="auto"/>
      <w:outlineLvl w:val="1"/>
    </w:pPr>
    <w:rPr>
      <w:rFonts w:ascii="Times New Roman" w:eastAsia="SimSun" w:hAnsi="Times New Roman"/>
      <w:color w:val="000000"/>
      <w:sz w:val="24"/>
    </w:rPr>
  </w:style>
  <w:style w:type="paragraph" w:customStyle="1" w:styleId="Level3">
    <w:name w:val="Level 3"/>
    <w:basedOn w:val="Normal"/>
    <w:rsid w:val="001164FC"/>
    <w:pPr>
      <w:numPr>
        <w:ilvl w:val="2"/>
        <w:numId w:val="17"/>
      </w:numPr>
      <w:suppressAutoHyphens/>
      <w:spacing w:after="240"/>
      <w:outlineLvl w:val="2"/>
    </w:pPr>
    <w:rPr>
      <w:rFonts w:ascii="Times New Roman" w:eastAsia="SimSun" w:hAnsi="Times New Roman"/>
      <w:color w:val="000000"/>
      <w:sz w:val="24"/>
    </w:rPr>
  </w:style>
  <w:style w:type="paragraph" w:customStyle="1" w:styleId="Level4">
    <w:name w:val="Level 4"/>
    <w:basedOn w:val="Normal"/>
    <w:rsid w:val="001164FC"/>
    <w:pPr>
      <w:numPr>
        <w:ilvl w:val="3"/>
        <w:numId w:val="17"/>
      </w:numPr>
      <w:suppressAutoHyphens/>
      <w:spacing w:after="240"/>
      <w:outlineLvl w:val="3"/>
    </w:pPr>
    <w:rPr>
      <w:rFonts w:ascii="Times New Roman" w:eastAsia="SimSun" w:hAnsi="Times New Roman"/>
      <w:color w:val="000000"/>
      <w:sz w:val="24"/>
    </w:rPr>
  </w:style>
  <w:style w:type="paragraph" w:customStyle="1" w:styleId="Level5">
    <w:name w:val="Level 5"/>
    <w:basedOn w:val="Normal"/>
    <w:rsid w:val="001164FC"/>
    <w:pPr>
      <w:numPr>
        <w:ilvl w:val="4"/>
        <w:numId w:val="17"/>
      </w:numPr>
      <w:suppressAutoHyphens/>
      <w:spacing w:after="240"/>
      <w:outlineLvl w:val="4"/>
    </w:pPr>
    <w:rPr>
      <w:rFonts w:ascii="Times New Roman" w:eastAsia="SimSun" w:hAnsi="Times New Roman"/>
      <w:color w:val="000000"/>
      <w:sz w:val="24"/>
    </w:rPr>
  </w:style>
  <w:style w:type="paragraph" w:customStyle="1" w:styleId="Level6">
    <w:name w:val="Level 6"/>
    <w:basedOn w:val="Normal"/>
    <w:rsid w:val="001164FC"/>
    <w:pPr>
      <w:numPr>
        <w:ilvl w:val="5"/>
        <w:numId w:val="17"/>
      </w:numPr>
      <w:suppressAutoHyphens/>
      <w:spacing w:line="480" w:lineRule="auto"/>
      <w:outlineLvl w:val="5"/>
    </w:pPr>
    <w:rPr>
      <w:rFonts w:ascii="Times New Roman" w:eastAsia="SimSun" w:hAnsi="Times New Roman"/>
      <w:color w:val="000000"/>
      <w:sz w:val="24"/>
    </w:rPr>
  </w:style>
  <w:style w:type="paragraph" w:customStyle="1" w:styleId="Level7">
    <w:name w:val="Level 7"/>
    <w:basedOn w:val="Normal"/>
    <w:rsid w:val="001164FC"/>
    <w:pPr>
      <w:numPr>
        <w:ilvl w:val="6"/>
        <w:numId w:val="17"/>
      </w:numPr>
      <w:suppressAutoHyphens/>
      <w:spacing w:line="480" w:lineRule="auto"/>
      <w:outlineLvl w:val="6"/>
    </w:pPr>
    <w:rPr>
      <w:rFonts w:ascii="Times New Roman" w:eastAsia="SimSun" w:hAnsi="Times New Roman"/>
      <w:color w:val="000000"/>
      <w:sz w:val="24"/>
    </w:rPr>
  </w:style>
  <w:style w:type="paragraph" w:customStyle="1" w:styleId="Level8">
    <w:name w:val="Level 8"/>
    <w:basedOn w:val="Normal"/>
    <w:rsid w:val="001164FC"/>
    <w:pPr>
      <w:numPr>
        <w:ilvl w:val="7"/>
        <w:numId w:val="17"/>
      </w:numPr>
      <w:suppressAutoHyphens/>
      <w:spacing w:line="480" w:lineRule="auto"/>
      <w:outlineLvl w:val="7"/>
    </w:pPr>
    <w:rPr>
      <w:rFonts w:ascii="Times New Roman" w:eastAsia="SimSun" w:hAnsi="Times New Roman"/>
      <w:color w:val="000000"/>
      <w:sz w:val="24"/>
    </w:rPr>
  </w:style>
  <w:style w:type="paragraph" w:customStyle="1" w:styleId="Level9">
    <w:name w:val="Level 9"/>
    <w:basedOn w:val="Normal"/>
    <w:rsid w:val="001164FC"/>
    <w:pPr>
      <w:numPr>
        <w:ilvl w:val="8"/>
        <w:numId w:val="17"/>
      </w:numPr>
      <w:suppressAutoHyphens/>
      <w:spacing w:line="480" w:lineRule="auto"/>
      <w:outlineLvl w:val="8"/>
    </w:pPr>
    <w:rPr>
      <w:rFonts w:ascii="Times New Roman" w:eastAsia="SimSun" w:hAnsi="Times New Roman"/>
      <w:color w:val="000000"/>
      <w:sz w:val="24"/>
    </w:rPr>
  </w:style>
  <w:style w:type="paragraph" w:customStyle="1" w:styleId="20sp05">
    <w:name w:val="_2.0sp 0.5&quot;"/>
    <w:basedOn w:val="Normal"/>
    <w:rsid w:val="001164FC"/>
    <w:pPr>
      <w:suppressAutoHyphens/>
      <w:spacing w:line="480" w:lineRule="auto"/>
      <w:ind w:firstLine="720"/>
    </w:pPr>
    <w:rPr>
      <w:rFonts w:ascii="Times New Roman" w:eastAsia="SimSun" w:hAnsi="Times New Roman"/>
      <w:sz w:val="24"/>
    </w:rPr>
  </w:style>
  <w:style w:type="paragraph" w:customStyle="1" w:styleId="dummy">
    <w:name w:val="dummy"/>
    <w:basedOn w:val="Heading1"/>
    <w:rsid w:val="001164FC"/>
    <w:pPr>
      <w:keepNext w:val="0"/>
      <w:tabs>
        <w:tab w:val="num" w:pos="0"/>
      </w:tabs>
      <w:spacing w:before="0"/>
      <w:ind w:left="0" w:right="3600" w:firstLine="0"/>
      <w:outlineLvl w:val="9"/>
    </w:pPr>
    <w:rPr>
      <w:rFonts w:eastAsia="Book Antiqua" w:cs="Book Antiqua"/>
      <w:bCs/>
    </w:rPr>
  </w:style>
  <w:style w:type="paragraph" w:customStyle="1" w:styleId="20sp0">
    <w:name w:val="_2.0sp 0&quot;"/>
    <w:basedOn w:val="Normal"/>
    <w:rsid w:val="001164FC"/>
    <w:pPr>
      <w:suppressAutoHyphens/>
      <w:spacing w:line="480" w:lineRule="auto"/>
    </w:pPr>
    <w:rPr>
      <w:rFonts w:ascii="Times New Roman" w:eastAsia="SimSun" w:hAnsi="Times New Roman"/>
      <w:sz w:val="24"/>
    </w:rPr>
  </w:style>
  <w:style w:type="character" w:customStyle="1" w:styleId="num1Char">
    <w:name w:val="num1 Char"/>
    <w:link w:val="num1"/>
    <w:rsid w:val="001164FC"/>
    <w:rPr>
      <w:rFonts w:ascii="Palatino" w:eastAsia="Times New Roman" w:hAnsi="Palatino"/>
      <w:sz w:val="26"/>
    </w:rPr>
  </w:style>
  <w:style w:type="paragraph" w:styleId="TOC5">
    <w:name w:val="toc 5"/>
    <w:basedOn w:val="Normal"/>
    <w:next w:val="Normal"/>
    <w:autoRedefine/>
    <w:uiPriority w:val="39"/>
    <w:unhideWhenUsed/>
    <w:rsid w:val="001164FC"/>
    <w:pPr>
      <w:tabs>
        <w:tab w:val="left" w:pos="1560"/>
        <w:tab w:val="right" w:leader="dot" w:pos="9350"/>
      </w:tabs>
      <w:ind w:left="2160" w:hanging="900"/>
    </w:pPr>
    <w:rPr>
      <w:rFonts w:asciiTheme="minorHAnsi" w:eastAsia="Times New Roman" w:hAnsiTheme="minorHAnsi"/>
      <w:sz w:val="20"/>
    </w:rPr>
  </w:style>
  <w:style w:type="paragraph" w:styleId="TOC6">
    <w:name w:val="toc 6"/>
    <w:basedOn w:val="Normal"/>
    <w:next w:val="Normal"/>
    <w:autoRedefine/>
    <w:uiPriority w:val="39"/>
    <w:unhideWhenUsed/>
    <w:rsid w:val="001164FC"/>
    <w:pPr>
      <w:ind w:left="1040"/>
    </w:pPr>
    <w:rPr>
      <w:rFonts w:asciiTheme="minorHAnsi" w:eastAsia="Times New Roman" w:hAnsiTheme="minorHAnsi"/>
      <w:sz w:val="20"/>
    </w:rPr>
  </w:style>
  <w:style w:type="paragraph" w:styleId="TOC7">
    <w:name w:val="toc 7"/>
    <w:basedOn w:val="Normal"/>
    <w:next w:val="Normal"/>
    <w:autoRedefine/>
    <w:unhideWhenUsed/>
    <w:rsid w:val="001164FC"/>
    <w:pPr>
      <w:ind w:left="1300"/>
    </w:pPr>
    <w:rPr>
      <w:rFonts w:asciiTheme="minorHAnsi" w:eastAsia="Times New Roman" w:hAnsiTheme="minorHAnsi"/>
      <w:sz w:val="20"/>
    </w:rPr>
  </w:style>
  <w:style w:type="paragraph" w:styleId="TOC8">
    <w:name w:val="toc 8"/>
    <w:basedOn w:val="Normal"/>
    <w:next w:val="Normal"/>
    <w:autoRedefine/>
    <w:unhideWhenUsed/>
    <w:rsid w:val="001164FC"/>
    <w:pPr>
      <w:ind w:left="1560"/>
    </w:pPr>
    <w:rPr>
      <w:rFonts w:asciiTheme="minorHAnsi" w:eastAsia="Times New Roman" w:hAnsiTheme="minorHAnsi"/>
      <w:sz w:val="20"/>
    </w:rPr>
  </w:style>
  <w:style w:type="paragraph" w:styleId="TOC9">
    <w:name w:val="toc 9"/>
    <w:basedOn w:val="Normal"/>
    <w:next w:val="Normal"/>
    <w:autoRedefine/>
    <w:unhideWhenUsed/>
    <w:rsid w:val="001164FC"/>
    <w:pPr>
      <w:ind w:left="1820"/>
    </w:pPr>
    <w:rPr>
      <w:rFonts w:asciiTheme="minorHAnsi" w:eastAsia="Times New Roman" w:hAnsiTheme="minorHAnsi"/>
      <w:sz w:val="20"/>
    </w:rPr>
  </w:style>
  <w:style w:type="paragraph" w:customStyle="1" w:styleId="Pleading1Cont3">
    <w:name w:val="Pleading1 Cont 3"/>
    <w:basedOn w:val="Normal"/>
    <w:link w:val="Pleading1Cont3Char"/>
    <w:rsid w:val="001164FC"/>
    <w:pPr>
      <w:widowControl w:val="0"/>
      <w:spacing w:line="518" w:lineRule="auto"/>
    </w:pPr>
    <w:rPr>
      <w:rFonts w:ascii="Calibri" w:eastAsia="Times New Roman" w:hAnsi="Calibri"/>
      <w:sz w:val="22"/>
    </w:rPr>
  </w:style>
  <w:style w:type="character" w:customStyle="1" w:styleId="Pleading1Cont3Char">
    <w:name w:val="Pleading1 Cont 3 Char"/>
    <w:basedOn w:val="ListParagraphChar"/>
    <w:link w:val="Pleading1Cont3"/>
    <w:rsid w:val="001164FC"/>
    <w:rPr>
      <w:rFonts w:ascii="Calibri" w:eastAsia="Times New Roman" w:hAnsi="Calibri"/>
      <w:sz w:val="22"/>
    </w:rPr>
  </w:style>
  <w:style w:type="paragraph" w:customStyle="1" w:styleId="Quotation">
    <w:name w:val="Quotation"/>
    <w:basedOn w:val="BodyText"/>
    <w:next w:val="BodyText"/>
    <w:rsid w:val="001164FC"/>
    <w:pPr>
      <w:overflowPunct w:val="0"/>
      <w:autoSpaceDE w:val="0"/>
      <w:autoSpaceDN w:val="0"/>
      <w:adjustRightInd w:val="0"/>
      <w:ind w:left="1440" w:right="1440"/>
      <w:textAlignment w:val="baseline"/>
    </w:pPr>
    <w:rPr>
      <w:rFonts w:ascii="Times New Roman" w:hAnsi="Times New Roman"/>
    </w:rPr>
  </w:style>
  <w:style w:type="character" w:customStyle="1" w:styleId="Pleading1L2Char">
    <w:name w:val="Pleading1_L2 Char"/>
    <w:basedOn w:val="ListParagraphChar"/>
    <w:link w:val="Pleading1L2"/>
    <w:rsid w:val="001164FC"/>
    <w:rPr>
      <w:rFonts w:ascii="Calibri" w:eastAsia="Times New Roman" w:hAnsi="Calibri"/>
      <w:b/>
      <w:sz w:val="22"/>
    </w:rPr>
  </w:style>
  <w:style w:type="character" w:customStyle="1" w:styleId="Pleading1L3Char">
    <w:name w:val="Pleading1_L3 Char"/>
    <w:basedOn w:val="ListParagraphChar"/>
    <w:link w:val="Pleading1L3"/>
    <w:rsid w:val="001164FC"/>
    <w:rPr>
      <w:rFonts w:ascii="Calibri" w:eastAsia="Times New Roman" w:hAnsi="Calibri"/>
      <w:sz w:val="22"/>
    </w:rPr>
  </w:style>
  <w:style w:type="character" w:styleId="Emphasis">
    <w:name w:val="Emphasis"/>
    <w:basedOn w:val="DefaultParagraphFont"/>
    <w:qFormat/>
    <w:rsid w:val="001164FC"/>
    <w:rPr>
      <w:i/>
      <w:iCs/>
    </w:rPr>
  </w:style>
  <w:style w:type="character" w:styleId="Strong">
    <w:name w:val="Strong"/>
    <w:basedOn w:val="DefaultParagraphFont"/>
    <w:qFormat/>
    <w:rsid w:val="001164FC"/>
    <w:rPr>
      <w:b/>
      <w:bCs/>
    </w:rPr>
  </w:style>
  <w:style w:type="character" w:styleId="FollowedHyperlink">
    <w:name w:val="FollowedHyperlink"/>
    <w:basedOn w:val="DefaultParagraphFont"/>
    <w:semiHidden/>
    <w:unhideWhenUsed/>
    <w:rsid w:val="001164FC"/>
    <w:rPr>
      <w:color w:val="954F72" w:themeColor="followedHyperlink"/>
      <w:u w:val="single"/>
    </w:rPr>
  </w:style>
  <w:style w:type="paragraph" w:customStyle="1" w:styleId="TableCaption">
    <w:name w:val="Table Caption"/>
    <w:basedOn w:val="Normal"/>
    <w:next w:val="Table"/>
    <w:uiPriority w:val="99"/>
    <w:rsid w:val="001164FC"/>
    <w:pPr>
      <w:keepNext/>
      <w:keepLines/>
      <w:suppressLineNumbers/>
      <w:spacing w:before="440" w:after="440" w:line="240" w:lineRule="atLeast"/>
      <w:jc w:val="center"/>
    </w:pPr>
    <w:rPr>
      <w:rFonts w:ascii="Arial" w:eastAsia="Times New Roman" w:hAnsi="Arial"/>
      <w:b/>
      <w:caps/>
      <w:sz w:val="20"/>
    </w:rPr>
  </w:style>
  <w:style w:type="paragraph" w:customStyle="1" w:styleId="Table">
    <w:name w:val="Table"/>
    <w:basedOn w:val="Normal"/>
    <w:uiPriority w:val="99"/>
    <w:qFormat/>
    <w:rsid w:val="001164FC"/>
    <w:pPr>
      <w:keepNext/>
      <w:keepLines/>
      <w:suppressLineNumbers/>
    </w:pPr>
    <w:rPr>
      <w:rFonts w:ascii="Arial" w:eastAsia="Times New Roman" w:hAnsi="Arial"/>
      <w:sz w:val="20"/>
    </w:rPr>
  </w:style>
  <w:style w:type="paragraph" w:customStyle="1" w:styleId="Table-FirstRow">
    <w:name w:val="Table - First Row"/>
    <w:basedOn w:val="Table"/>
    <w:uiPriority w:val="99"/>
    <w:rsid w:val="001164FC"/>
    <w:pPr>
      <w:spacing w:before="120"/>
    </w:pPr>
  </w:style>
  <w:style w:type="table" w:customStyle="1" w:styleId="TableGrid3">
    <w:name w:val="Table Grid3"/>
    <w:basedOn w:val="TableNormal"/>
    <w:next w:val="TableGrid"/>
    <w:uiPriority w:val="39"/>
    <w:rsid w:val="001164F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RNHeading2">
    <w:name w:val="TURNHeading2"/>
    <w:basedOn w:val="Normal"/>
    <w:next w:val="Normal"/>
    <w:qFormat/>
    <w:rsid w:val="001164FC"/>
    <w:pPr>
      <w:numPr>
        <w:numId w:val="25"/>
      </w:numPr>
    </w:pPr>
    <w:rPr>
      <w:rFonts w:ascii="Times New Roman" w:hAnsi="Times New Roman" w:cstheme="minorBidi"/>
      <w:b/>
      <w:sz w:val="24"/>
      <w:szCs w:val="24"/>
    </w:rPr>
  </w:style>
  <w:style w:type="paragraph" w:styleId="ListBullet">
    <w:name w:val="List Bullet"/>
    <w:basedOn w:val="Normal"/>
    <w:uiPriority w:val="99"/>
    <w:unhideWhenUsed/>
    <w:rsid w:val="001164FC"/>
    <w:pPr>
      <w:numPr>
        <w:numId w:val="27"/>
      </w:numPr>
      <w:contextualSpacing/>
    </w:pPr>
    <w:rPr>
      <w:rFonts w:ascii="Times New Roman" w:hAnsi="Times New Roman" w:cstheme="minorBidi"/>
      <w:sz w:val="24"/>
      <w:szCs w:val="24"/>
    </w:rPr>
  </w:style>
  <w:style w:type="paragraph" w:styleId="NormalWeb">
    <w:name w:val="Normal (Web)"/>
    <w:basedOn w:val="Normal"/>
    <w:uiPriority w:val="99"/>
    <w:unhideWhenUsed/>
    <w:rsid w:val="001164FC"/>
    <w:pPr>
      <w:spacing w:before="100" w:beforeAutospacing="1" w:after="100" w:afterAutospacing="1"/>
    </w:pPr>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1164FC"/>
    <w:rPr>
      <w:color w:val="605E5C"/>
      <w:shd w:val="clear" w:color="auto" w:fill="E1DFDD"/>
    </w:rPr>
  </w:style>
  <w:style w:type="paragraph" w:styleId="Revision">
    <w:name w:val="Revision"/>
    <w:hidden/>
    <w:uiPriority w:val="99"/>
    <w:semiHidden/>
    <w:rsid w:val="001164FC"/>
    <w:rPr>
      <w:rFonts w:ascii="Palatino" w:eastAsia="Times New Roman" w:hAnsi="Palatino"/>
      <w:sz w:val="26"/>
    </w:rPr>
  </w:style>
  <w:style w:type="character" w:customStyle="1" w:styleId="UnresolvedMention2">
    <w:name w:val="Unresolved Mention2"/>
    <w:basedOn w:val="DefaultParagraphFont"/>
    <w:uiPriority w:val="99"/>
    <w:semiHidden/>
    <w:unhideWhenUsed/>
    <w:rsid w:val="00012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194695">
      <w:bodyDiv w:val="1"/>
      <w:marLeft w:val="0"/>
      <w:marRight w:val="0"/>
      <w:marTop w:val="0"/>
      <w:marBottom w:val="0"/>
      <w:divBdr>
        <w:top w:val="none" w:sz="0" w:space="0" w:color="auto"/>
        <w:left w:val="none" w:sz="0" w:space="0" w:color="auto"/>
        <w:bottom w:val="none" w:sz="0" w:space="0" w:color="auto"/>
        <w:right w:val="none" w:sz="0" w:space="0" w:color="auto"/>
      </w:divBdr>
    </w:div>
    <w:div w:id="1270238348">
      <w:bodyDiv w:val="1"/>
      <w:marLeft w:val="0"/>
      <w:marRight w:val="0"/>
      <w:marTop w:val="0"/>
      <w:marBottom w:val="0"/>
      <w:divBdr>
        <w:top w:val="none" w:sz="0" w:space="0" w:color="auto"/>
        <w:left w:val="none" w:sz="0" w:space="0" w:color="auto"/>
        <w:bottom w:val="none" w:sz="0" w:space="0" w:color="auto"/>
        <w:right w:val="none" w:sz="0" w:space="0" w:color="auto"/>
      </w:divBdr>
    </w:div>
    <w:div w:id="1338851511">
      <w:bodyDiv w:val="1"/>
      <w:marLeft w:val="0"/>
      <w:marRight w:val="0"/>
      <w:marTop w:val="0"/>
      <w:marBottom w:val="0"/>
      <w:divBdr>
        <w:top w:val="none" w:sz="0" w:space="0" w:color="auto"/>
        <w:left w:val="none" w:sz="0" w:space="0" w:color="auto"/>
        <w:bottom w:val="none" w:sz="0" w:space="0" w:color="auto"/>
        <w:right w:val="none" w:sz="0" w:space="0" w:color="auto"/>
      </w:divBdr>
    </w:div>
    <w:div w:id="208984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3DC6CF16686B4BA2933CFE51EE0CE7" ma:contentTypeVersion="10" ma:contentTypeDescription="Create a new document." ma:contentTypeScope="" ma:versionID="18f29f9e293b039196fc57b2a9091156">
  <xsd:schema xmlns:xsd="http://www.w3.org/2001/XMLSchema" xmlns:xs="http://www.w3.org/2001/XMLSchema" xmlns:p="http://schemas.microsoft.com/office/2006/metadata/properties" xmlns:ns2="8e5901ec-b161-45b4-a2b9-e2fec7e53931" xmlns:ns3="9906f322-3aa4-452a-acdd-a6e6b535267d" targetNamespace="http://schemas.microsoft.com/office/2006/metadata/properties" ma:root="true" ma:fieldsID="f2f08476a7385e6827bd1d32feec3399" ns2:_="" ns3:_="">
    <xsd:import namespace="8e5901ec-b161-45b4-a2b9-e2fec7e53931"/>
    <xsd:import namespace="9906f322-3aa4-452a-acdd-a6e6b53526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901ec-b161-45b4-a2b9-e2fec7e53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6f322-3aa4-452a-acdd-a6e6b53526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9F18B-6358-4BCD-A1AD-1375F3A58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901ec-b161-45b4-a2b9-e2fec7e53931"/>
    <ds:schemaRef ds:uri="9906f322-3aa4-452a-acdd-a6e6b5352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6F9958-13A1-47E2-AEED-50FD21ABCF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721171-3569-466F-97A5-BF49C5EE727E}">
  <ds:schemaRefs>
    <ds:schemaRef ds:uri="http://schemas.microsoft.com/sharepoint/v3/contenttype/forms"/>
  </ds:schemaRefs>
</ds:datastoreItem>
</file>

<file path=customXml/itemProps4.xml><?xml version="1.0" encoding="utf-8"?>
<ds:datastoreItem xmlns:ds="http://schemas.openxmlformats.org/officeDocument/2006/customXml" ds:itemID="{035ACFAE-7345-4689-A2FF-AC46F7DA9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18657</Words>
  <Characters>106345</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2019-09-25T17:26:00Z</cp:lastPrinted>
  <dcterms:created xsi:type="dcterms:W3CDTF">2019-10-10T15:03:00Z</dcterms:created>
  <dcterms:modified xsi:type="dcterms:W3CDTF">2019-10-10T22:03:00Z</dcterms:modified>
</cp:coreProperties>
</file>