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D461E" w14:textId="77777777" w:rsidR="00063B57" w:rsidRDefault="00CF17DE" w:rsidP="00063B57">
      <w:pPr>
        <w:pStyle w:val="titlebar"/>
      </w:pPr>
      <w:bookmarkStart w:id="0" w:name="_GoBack"/>
      <w:bookmarkEnd w:id="0"/>
      <w:r>
        <w:t xml:space="preserve">PUBLIC UTILITIES COMMISSION OF THE STATE OF </w:t>
      </w:r>
      <w:r w:rsidR="00063B57">
        <w:t>CALIFORNIA</w:t>
      </w:r>
    </w:p>
    <w:p w14:paraId="4860305A" w14:textId="77777777" w:rsidR="009B053C" w:rsidRDefault="00DC40B3" w:rsidP="009B053C">
      <w:pPr>
        <w:pStyle w:val="titlebar"/>
        <w:spacing w:before="0" w:after="0" w:line="240" w:lineRule="atLeast"/>
        <w:jc w:val="left"/>
        <w:rPr>
          <w:rFonts w:ascii="Palatino Linotype" w:hAnsi="Palatino Linotype"/>
        </w:rPr>
      </w:pPr>
      <w:r>
        <w:tab/>
      </w:r>
      <w:r>
        <w:tab/>
      </w:r>
      <w:r>
        <w:tab/>
      </w:r>
      <w:r>
        <w:tab/>
      </w:r>
      <w:r>
        <w:tab/>
      </w:r>
      <w:r>
        <w:tab/>
      </w:r>
      <w:r>
        <w:tab/>
      </w:r>
      <w:r w:rsidR="00422629" w:rsidRPr="00422629">
        <w:rPr>
          <w:rFonts w:ascii="Palatino Linotype" w:hAnsi="Palatino Linotype"/>
        </w:rPr>
        <w:t xml:space="preserve">  </w:t>
      </w:r>
    </w:p>
    <w:p w14:paraId="21688FFC" w14:textId="1A02B67A" w:rsidR="009B053C" w:rsidRPr="00DC40B3" w:rsidRDefault="00D7063D" w:rsidP="009B053C">
      <w:pPr>
        <w:pStyle w:val="titlebar"/>
        <w:spacing w:before="0" w:after="0" w:line="240" w:lineRule="atLeast"/>
        <w:jc w:val="left"/>
        <w:rPr>
          <w:rFonts w:ascii="Palatino Linotype" w:hAnsi="Palatino Linotype"/>
        </w:rPr>
      </w:pPr>
      <w:r w:rsidRPr="00DC40B3">
        <w:rPr>
          <w:rFonts w:ascii="Palatino Linotype" w:hAnsi="Palatino Linotype"/>
        </w:rPr>
        <w:t xml:space="preserve">                                                                                     </w:t>
      </w:r>
    </w:p>
    <w:p w14:paraId="416F0533" w14:textId="3D340094" w:rsidR="00063B57" w:rsidRPr="00DC40B3" w:rsidRDefault="00063B57" w:rsidP="00DC40B3">
      <w:pPr>
        <w:pStyle w:val="titlebar"/>
        <w:tabs>
          <w:tab w:val="left" w:pos="720"/>
          <w:tab w:val="left" w:pos="1440"/>
          <w:tab w:val="left" w:pos="2160"/>
          <w:tab w:val="left" w:pos="2880"/>
          <w:tab w:val="left" w:pos="3600"/>
          <w:tab w:val="left" w:pos="4320"/>
          <w:tab w:val="left" w:pos="5040"/>
          <w:tab w:val="left" w:pos="5760"/>
          <w:tab w:val="right" w:pos="9360"/>
        </w:tabs>
        <w:spacing w:before="0" w:after="0" w:line="240" w:lineRule="atLeast"/>
        <w:jc w:val="left"/>
        <w:rPr>
          <w:rFonts w:ascii="Palatino Linotype" w:hAnsi="Palatino Linotype"/>
        </w:rPr>
      </w:pPr>
      <w:r w:rsidRPr="00DC40B3">
        <w:rPr>
          <w:rFonts w:ascii="Palatino Linotype" w:hAnsi="Palatino Linotype"/>
        </w:rPr>
        <w:t>ENERGY DIVISION</w:t>
      </w:r>
      <w:r w:rsidRPr="00DC40B3">
        <w:rPr>
          <w:rFonts w:ascii="Palatino Linotype" w:hAnsi="Palatino Linotype"/>
        </w:rPr>
        <w:tab/>
      </w:r>
      <w:r w:rsidR="00030192">
        <w:rPr>
          <w:rFonts w:ascii="Palatino Linotype" w:hAnsi="Palatino Linotype"/>
        </w:rPr>
        <w:t xml:space="preserve">                                      </w:t>
      </w:r>
      <w:r w:rsidR="00EF515C">
        <w:rPr>
          <w:rFonts w:ascii="Palatino Linotype" w:hAnsi="Palatino Linotype"/>
        </w:rPr>
        <w:tab/>
        <w:t xml:space="preserve">               </w:t>
      </w:r>
      <w:r w:rsidR="00B752E4" w:rsidRPr="00DC40B3">
        <w:rPr>
          <w:rFonts w:ascii="Palatino Linotype" w:hAnsi="Palatino Linotype"/>
        </w:rPr>
        <w:t>RESOLUTION E-</w:t>
      </w:r>
      <w:r w:rsidR="00B35D32" w:rsidRPr="00DC40B3">
        <w:rPr>
          <w:rFonts w:ascii="Palatino Linotype" w:hAnsi="Palatino Linotype"/>
        </w:rPr>
        <w:t>5007</w:t>
      </w:r>
    </w:p>
    <w:p w14:paraId="5B274B3E" w14:textId="0F11CDD5" w:rsidR="00063B57" w:rsidRPr="00DC40B3" w:rsidRDefault="00D7063D" w:rsidP="00DC40B3">
      <w:pPr>
        <w:pStyle w:val="titlebar"/>
        <w:spacing w:before="0" w:after="0" w:line="240" w:lineRule="atLeast"/>
        <w:rPr>
          <w:rFonts w:ascii="Palatino Linotype" w:hAnsi="Palatino Linotype"/>
        </w:rPr>
      </w:pPr>
      <w:r w:rsidRPr="00DC40B3">
        <w:rPr>
          <w:rFonts w:ascii="Palatino Linotype" w:hAnsi="Palatino Linotype"/>
        </w:rPr>
        <w:t xml:space="preserve">                                              </w:t>
      </w:r>
      <w:r w:rsidR="00EF515C">
        <w:rPr>
          <w:rFonts w:ascii="Palatino Linotype" w:hAnsi="Palatino Linotype"/>
        </w:rPr>
        <w:tab/>
      </w:r>
      <w:r w:rsidR="00EF515C">
        <w:rPr>
          <w:rFonts w:ascii="Palatino Linotype" w:hAnsi="Palatino Linotype"/>
        </w:rPr>
        <w:tab/>
      </w:r>
      <w:r w:rsidR="00EF515C">
        <w:rPr>
          <w:rFonts w:ascii="Palatino Linotype" w:hAnsi="Palatino Linotype"/>
        </w:rPr>
        <w:tab/>
        <w:t xml:space="preserve">                       </w:t>
      </w:r>
      <w:r w:rsidR="006D437E">
        <w:rPr>
          <w:rFonts w:ascii="Palatino Linotype" w:hAnsi="Palatino Linotype"/>
        </w:rPr>
        <w:t>October 10</w:t>
      </w:r>
      <w:r w:rsidR="00063B57" w:rsidRPr="00DC40B3">
        <w:rPr>
          <w:rFonts w:ascii="Palatino Linotype" w:hAnsi="Palatino Linotype"/>
        </w:rPr>
        <w:t xml:space="preserve">, 2019 </w:t>
      </w:r>
    </w:p>
    <w:p w14:paraId="0D7E81F0" w14:textId="77777777" w:rsidR="00CF17DE" w:rsidRPr="00063B57" w:rsidRDefault="006E02F4" w:rsidP="00697307">
      <w:pPr>
        <w:pStyle w:val="titlebar"/>
        <w:jc w:val="left"/>
      </w:pPr>
      <w:r w:rsidRPr="001B3AA2">
        <w:rPr>
          <w:sz w:val="16"/>
          <w:szCs w:val="16"/>
        </w:rPr>
        <w:t xml:space="preserve">                                     </w:t>
      </w:r>
      <w:r w:rsidR="00DD234F" w:rsidRPr="001B3AA2">
        <w:rPr>
          <w:sz w:val="16"/>
          <w:szCs w:val="16"/>
        </w:rPr>
        <w:t xml:space="preserve"> </w:t>
      </w:r>
      <w:r w:rsidR="00726F8F" w:rsidRPr="001B3AA2">
        <w:rPr>
          <w:sz w:val="16"/>
          <w:szCs w:val="16"/>
        </w:rPr>
        <w:t xml:space="preserve">  </w:t>
      </w:r>
      <w:r w:rsidR="00DD234F" w:rsidRPr="001B3AA2">
        <w:rPr>
          <w:sz w:val="16"/>
          <w:szCs w:val="16"/>
        </w:rPr>
        <w:t xml:space="preserve">     </w:t>
      </w:r>
      <w:r w:rsidRPr="001B3AA2">
        <w:rPr>
          <w:sz w:val="16"/>
          <w:szCs w:val="16"/>
        </w:rPr>
        <w:t xml:space="preserve"> </w:t>
      </w:r>
      <w:r w:rsidR="00BD38B5" w:rsidRPr="001B3AA2">
        <w:rPr>
          <w:sz w:val="16"/>
          <w:szCs w:val="16"/>
        </w:rPr>
        <w:t xml:space="preserve"> </w:t>
      </w:r>
    </w:p>
    <w:p w14:paraId="494B83B1" w14:textId="10E81A5D" w:rsidR="00CF17DE" w:rsidRPr="00422629" w:rsidRDefault="00697307" w:rsidP="00697307">
      <w:pPr>
        <w:pStyle w:val="mainex"/>
        <w:spacing w:after="240"/>
        <w:jc w:val="left"/>
      </w:pPr>
      <w:bookmarkStart w:id="1" w:name="_Ref404993683"/>
      <w:r>
        <w:t xml:space="preserve">    </w:t>
      </w:r>
      <w:r w:rsidR="00391952">
        <w:t xml:space="preserve"> </w:t>
      </w:r>
      <w:r w:rsidR="00EF515C">
        <w:tab/>
      </w:r>
      <w:r w:rsidR="00EF515C">
        <w:tab/>
      </w:r>
      <w:r w:rsidR="00EF515C">
        <w:tab/>
        <w:t xml:space="preserve">   </w:t>
      </w:r>
      <w:r w:rsidR="00CF17DE" w:rsidRPr="00564FD9">
        <w:rPr>
          <w:u w:val="single"/>
        </w:rPr>
        <w:t>R</w:t>
      </w:r>
      <w:r w:rsidR="00CF17DE">
        <w:rPr>
          <w:u w:val="single"/>
        </w:rPr>
        <w:t>ESOLUTION</w:t>
      </w:r>
    </w:p>
    <w:p w14:paraId="7107FD48" w14:textId="77777777" w:rsidR="008864F5" w:rsidRPr="008B61DE" w:rsidRDefault="00B927B5" w:rsidP="00B47FF2">
      <w:pPr>
        <w:pStyle w:val="Res-Caption"/>
        <w:spacing w:after="240"/>
        <w:ind w:left="360" w:right="360"/>
        <w:jc w:val="both"/>
      </w:pPr>
      <w:r w:rsidRPr="006E02F4">
        <w:t>Resolution</w:t>
      </w:r>
      <w:r w:rsidR="00DA68BA" w:rsidRPr="006E02F4">
        <w:t xml:space="preserve"> </w:t>
      </w:r>
      <w:r w:rsidR="00F45F44" w:rsidRPr="006E02F4">
        <w:t>E</w:t>
      </w:r>
      <w:r w:rsidR="006E02F4">
        <w:t>-</w:t>
      </w:r>
      <w:r w:rsidR="00B35D32">
        <w:t>5007</w:t>
      </w:r>
      <w:r w:rsidR="00B752E4">
        <w:t xml:space="preserve"> </w:t>
      </w:r>
      <w:r w:rsidR="00D441CE">
        <w:t>a</w:t>
      </w:r>
      <w:r w:rsidR="009B5868" w:rsidRPr="008B61DE">
        <w:t>pproves</w:t>
      </w:r>
      <w:r w:rsidR="00D31070">
        <w:t>, with adjustments,</w:t>
      </w:r>
      <w:r w:rsidRPr="008B61DE">
        <w:t xml:space="preserve"> </w:t>
      </w:r>
      <w:r w:rsidR="00657462">
        <w:t xml:space="preserve">Energy </w:t>
      </w:r>
      <w:r w:rsidR="00657462" w:rsidRPr="00D90225">
        <w:t>Efficiency Savings and Performance Incentive awards for</w:t>
      </w:r>
      <w:r w:rsidR="00657462">
        <w:t xml:space="preserve"> the four major California investor-owned utilities</w:t>
      </w:r>
      <w:r w:rsidR="00D90225" w:rsidRPr="00D90225">
        <w:t xml:space="preserve"> for program years </w:t>
      </w:r>
      <w:r w:rsidR="00F90BD4" w:rsidRPr="008B61DE">
        <w:t>201</w:t>
      </w:r>
      <w:r w:rsidR="004917C4">
        <w:t>6</w:t>
      </w:r>
      <w:r w:rsidR="00F90BD4" w:rsidRPr="008B61DE">
        <w:t xml:space="preserve"> </w:t>
      </w:r>
      <w:r w:rsidR="00A8795D" w:rsidRPr="008B61DE">
        <w:t xml:space="preserve">and </w:t>
      </w:r>
      <w:r w:rsidR="00F90BD4" w:rsidRPr="008B61DE">
        <w:t>201</w:t>
      </w:r>
      <w:r w:rsidR="004917C4">
        <w:t>7</w:t>
      </w:r>
      <w:r w:rsidR="00D90225">
        <w:t>.</w:t>
      </w:r>
    </w:p>
    <w:p w14:paraId="5A8CA725" w14:textId="77777777" w:rsidR="00545F04" w:rsidRPr="00545F04" w:rsidRDefault="00801D70" w:rsidP="00B47FF2">
      <w:pPr>
        <w:pStyle w:val="Res-Caption"/>
        <w:ind w:left="360" w:right="360"/>
      </w:pPr>
      <w:r w:rsidRPr="006E02F4">
        <w:rPr>
          <w:b/>
        </w:rPr>
        <w:t>PROPOSED OUTCOME:</w:t>
      </w:r>
      <w:r w:rsidR="00142FB8" w:rsidRPr="006E02F4">
        <w:rPr>
          <w:b/>
        </w:rPr>
        <w:t xml:space="preserve"> </w:t>
      </w:r>
    </w:p>
    <w:p w14:paraId="60F5172C" w14:textId="77777777" w:rsidR="00545F04" w:rsidRPr="00AA3BE7" w:rsidRDefault="00545F04" w:rsidP="00B47FF2">
      <w:pPr>
        <w:pStyle w:val="Res-Caption"/>
        <w:numPr>
          <w:ilvl w:val="0"/>
          <w:numId w:val="10"/>
        </w:numPr>
        <w:spacing w:after="100"/>
        <w:ind w:left="360" w:right="360" w:firstLine="0"/>
      </w:pPr>
      <w:r w:rsidRPr="00AA3BE7">
        <w:t xml:space="preserve">Approves </w:t>
      </w:r>
      <w:r w:rsidR="00764ACD" w:rsidRPr="00832918">
        <w:t>$</w:t>
      </w:r>
      <w:r w:rsidR="0093377B" w:rsidRPr="00832918">
        <w:t>25,828,756</w:t>
      </w:r>
      <w:r w:rsidR="00293C92" w:rsidRPr="00AA3BE7">
        <w:t xml:space="preserve"> </w:t>
      </w:r>
      <w:r w:rsidRPr="00AA3BE7">
        <w:t>in total shareholder incentive</w:t>
      </w:r>
      <w:r w:rsidR="002407C2" w:rsidRPr="00AA3BE7">
        <w:t>s</w:t>
      </w:r>
    </w:p>
    <w:p w14:paraId="3586DFEE" w14:textId="77777777" w:rsidR="00657462" w:rsidRPr="00C820C8" w:rsidRDefault="00657462" w:rsidP="00657462">
      <w:pPr>
        <w:pStyle w:val="Res-Caption"/>
        <w:numPr>
          <w:ilvl w:val="0"/>
          <w:numId w:val="10"/>
        </w:numPr>
        <w:spacing w:after="100"/>
        <w:ind w:left="720" w:right="360"/>
      </w:pPr>
      <w:r w:rsidRPr="00A8795D">
        <w:t>Approve</w:t>
      </w:r>
      <w:r>
        <w:t>s</w:t>
      </w:r>
      <w:r w:rsidRPr="00A8795D">
        <w:t xml:space="preserve"> </w:t>
      </w:r>
      <w:r w:rsidRPr="00C820C8">
        <w:t>$</w:t>
      </w:r>
      <w:r w:rsidRPr="00EB0950">
        <w:t>12,0</w:t>
      </w:r>
      <w:r w:rsidR="00EB0950">
        <w:t>51,7</w:t>
      </w:r>
      <w:r w:rsidR="006A6017">
        <w:t>5</w:t>
      </w:r>
      <w:r w:rsidR="00EB0950">
        <w:t>4</w:t>
      </w:r>
      <w:r w:rsidRPr="00C820C8">
        <w:t xml:space="preserve"> in incentives for </w:t>
      </w:r>
      <w:r w:rsidRPr="00545F04">
        <w:t>Pacific Gas and Electric Company</w:t>
      </w:r>
    </w:p>
    <w:p w14:paraId="12498B59" w14:textId="77777777" w:rsidR="00657462" w:rsidRDefault="00657462" w:rsidP="00657462">
      <w:pPr>
        <w:pStyle w:val="Res-Caption"/>
        <w:numPr>
          <w:ilvl w:val="0"/>
          <w:numId w:val="10"/>
        </w:numPr>
        <w:spacing w:after="100"/>
        <w:ind w:left="720" w:right="360"/>
      </w:pPr>
      <w:r w:rsidRPr="00C820C8">
        <w:t>Approves $</w:t>
      </w:r>
      <w:r w:rsidR="00F179B9" w:rsidRPr="00F179B9">
        <w:t>10,574,269</w:t>
      </w:r>
      <w:r w:rsidRPr="00C820C8">
        <w:t xml:space="preserve"> in incentives for </w:t>
      </w:r>
      <w:r w:rsidRPr="00545F04">
        <w:t>Southern California Edison Company</w:t>
      </w:r>
    </w:p>
    <w:p w14:paraId="2A739FAA" w14:textId="77777777" w:rsidR="00657462" w:rsidRPr="00C820C8" w:rsidRDefault="00657462" w:rsidP="00657462">
      <w:pPr>
        <w:pStyle w:val="Res-Caption"/>
        <w:numPr>
          <w:ilvl w:val="0"/>
          <w:numId w:val="10"/>
        </w:numPr>
        <w:spacing w:after="100"/>
        <w:ind w:left="720" w:right="360"/>
      </w:pPr>
      <w:r w:rsidRPr="00C820C8">
        <w:t>Approves $</w:t>
      </w:r>
      <w:r w:rsidR="004E4E3A" w:rsidRPr="004E4E3A">
        <w:t>2,675,481</w:t>
      </w:r>
      <w:r w:rsidRPr="00C820C8">
        <w:rPr>
          <w:b/>
          <w:bCs/>
        </w:rPr>
        <w:t xml:space="preserve"> </w:t>
      </w:r>
      <w:r w:rsidRPr="00C820C8">
        <w:t xml:space="preserve">in incentives for </w:t>
      </w:r>
      <w:r w:rsidRPr="00545F04">
        <w:t>San Diego Gas &amp; Electric Company</w:t>
      </w:r>
    </w:p>
    <w:p w14:paraId="30C0F76E" w14:textId="77777777" w:rsidR="00657462" w:rsidRPr="00AA3BE7" w:rsidRDefault="00657462" w:rsidP="00657462">
      <w:pPr>
        <w:pStyle w:val="Res-Caption"/>
        <w:numPr>
          <w:ilvl w:val="0"/>
          <w:numId w:val="10"/>
        </w:numPr>
        <w:spacing w:after="240"/>
        <w:ind w:left="720" w:right="360"/>
      </w:pPr>
      <w:r w:rsidRPr="00AA3BE7">
        <w:t xml:space="preserve">Approves </w:t>
      </w:r>
      <w:r w:rsidR="00764ACD" w:rsidRPr="00832918">
        <w:t>$</w:t>
      </w:r>
      <w:r w:rsidR="00FD215F" w:rsidRPr="00832918">
        <w:t>527,252</w:t>
      </w:r>
      <w:r w:rsidRPr="00AA3BE7">
        <w:t xml:space="preserve"> in incentives for Southern California Gas Company </w:t>
      </w:r>
    </w:p>
    <w:p w14:paraId="75E0F30D" w14:textId="77777777" w:rsidR="008D0613" w:rsidRPr="001B3AA2" w:rsidRDefault="00657462" w:rsidP="002E171E">
      <w:pPr>
        <w:spacing w:after="240"/>
        <w:ind w:left="360" w:right="360"/>
        <w:jc w:val="both"/>
      </w:pPr>
      <w:r>
        <w:t>Pacific Gas and Electric Company</w:t>
      </w:r>
      <w:r w:rsidRPr="008D0613">
        <w:t xml:space="preserve">, </w:t>
      </w:r>
      <w:r>
        <w:t>San Diego Gas &amp; Electric Company</w:t>
      </w:r>
      <w:r w:rsidRPr="008D0613">
        <w:t xml:space="preserve">, and </w:t>
      </w:r>
      <w:r>
        <w:t>Southern California Gas Company</w:t>
      </w:r>
      <w:r w:rsidRPr="008D0613">
        <w:t>’</w:t>
      </w:r>
      <w:r>
        <w:t xml:space="preserve">s Energy </w:t>
      </w:r>
      <w:r w:rsidRPr="00D90225">
        <w:t>Efficiency Savings and Performance Incentive</w:t>
      </w:r>
      <w:r w:rsidRPr="008D0613">
        <w:t xml:space="preserve"> payments </w:t>
      </w:r>
      <w:r>
        <w:t xml:space="preserve">are offset by the </w:t>
      </w:r>
      <w:r w:rsidRPr="008D0613">
        <w:t xml:space="preserve">Risk/Reward Incentive Mechanism </w:t>
      </w:r>
      <w:r w:rsidR="004778AD" w:rsidRPr="008D0613">
        <w:t>settlement</w:t>
      </w:r>
      <w:r w:rsidR="004778AD" w:rsidRPr="008D0613" w:rsidDel="00D2182C">
        <w:t xml:space="preserve"> </w:t>
      </w:r>
      <w:r w:rsidR="008D0613" w:rsidRPr="008D0613">
        <w:t>fund</w:t>
      </w:r>
      <w:r w:rsidR="002407C2">
        <w:t>s</w:t>
      </w:r>
      <w:r w:rsidR="008D0613" w:rsidRPr="008D0613">
        <w:t xml:space="preserve"> </w:t>
      </w:r>
      <w:r w:rsidR="004778AD">
        <w:t xml:space="preserve">due </w:t>
      </w:r>
      <w:r w:rsidR="008D0613" w:rsidRPr="008D0613">
        <w:t>to ratepayers as a result of their agreements.</w:t>
      </w:r>
      <w:bookmarkStart w:id="2" w:name="_Ref267889"/>
      <w:r w:rsidR="008D0613">
        <w:rPr>
          <w:rStyle w:val="FootnoteReference"/>
        </w:rPr>
        <w:footnoteReference w:id="2"/>
      </w:r>
      <w:bookmarkEnd w:id="2"/>
      <w:r w:rsidR="008D0613" w:rsidRPr="008D0613">
        <w:t xml:space="preserve">  </w:t>
      </w:r>
    </w:p>
    <w:p w14:paraId="51D92D7C" w14:textId="77777777" w:rsidR="00F51F8B" w:rsidRPr="006E02F4" w:rsidRDefault="00F51F8B" w:rsidP="00B47FF2">
      <w:pPr>
        <w:pStyle w:val="Res-Caption"/>
        <w:ind w:left="360" w:right="360"/>
        <w:rPr>
          <w:b/>
        </w:rPr>
      </w:pPr>
      <w:r w:rsidRPr="006E02F4">
        <w:rPr>
          <w:b/>
        </w:rPr>
        <w:t>SAFETY CONSIDERATIONS:</w:t>
      </w:r>
    </w:p>
    <w:p w14:paraId="13B2E051" w14:textId="77777777" w:rsidR="00142FB8" w:rsidRDefault="00BC2577" w:rsidP="00B47FF2">
      <w:pPr>
        <w:pStyle w:val="Res-Caption"/>
        <w:numPr>
          <w:ilvl w:val="0"/>
          <w:numId w:val="10"/>
        </w:numPr>
        <w:spacing w:after="240"/>
        <w:ind w:left="360" w:right="360" w:firstLine="0"/>
      </w:pPr>
      <w:r>
        <w:t xml:space="preserve">This </w:t>
      </w:r>
      <w:r w:rsidR="005F4E17">
        <w:t>R</w:t>
      </w:r>
      <w:r w:rsidR="00C10B3F">
        <w:t xml:space="preserve">esolution </w:t>
      </w:r>
      <w:r>
        <w:t>is not expected to have an impact on safety.</w:t>
      </w:r>
    </w:p>
    <w:p w14:paraId="505436FA" w14:textId="77777777" w:rsidR="001F3E82" w:rsidRDefault="00801D70" w:rsidP="00F77BA1">
      <w:pPr>
        <w:pStyle w:val="Res-Caption"/>
        <w:spacing w:after="240"/>
        <w:ind w:left="360" w:right="360"/>
        <w:jc w:val="both"/>
      </w:pPr>
      <w:r w:rsidRPr="006E02F4">
        <w:rPr>
          <w:b/>
        </w:rPr>
        <w:lastRenderedPageBreak/>
        <w:t xml:space="preserve">ESTIMATED COST:  </w:t>
      </w:r>
      <w:r w:rsidR="001F3E82" w:rsidRPr="00721953">
        <w:t xml:space="preserve">This Resolution </w:t>
      </w:r>
      <w:r w:rsidR="0055525C">
        <w:t xml:space="preserve">approves </w:t>
      </w:r>
      <w:r w:rsidR="00764ACD" w:rsidRPr="00832918">
        <w:t>$</w:t>
      </w:r>
      <w:r w:rsidR="0093377B" w:rsidRPr="00832918">
        <w:t>25,828,756</w:t>
      </w:r>
      <w:r w:rsidR="002407C2">
        <w:t xml:space="preserve"> in</w:t>
      </w:r>
      <w:r w:rsidR="001F3E82">
        <w:t xml:space="preserve"> in</w:t>
      </w:r>
      <w:r w:rsidR="00D441CE">
        <w:t>centive payments</w:t>
      </w:r>
      <w:r w:rsidR="001F3E82">
        <w:t xml:space="preserve"> (“awards”)</w:t>
      </w:r>
      <w:r w:rsidR="00532698">
        <w:t xml:space="preserve"> </w:t>
      </w:r>
      <w:r w:rsidR="00896615">
        <w:t xml:space="preserve">for implementing </w:t>
      </w:r>
      <w:r w:rsidR="00406A55">
        <w:t xml:space="preserve">ratepayer-funded </w:t>
      </w:r>
      <w:r w:rsidR="00896615">
        <w:t>energy efficiency programs</w:t>
      </w:r>
      <w:r w:rsidR="005B7A04">
        <w:t xml:space="preserve">, to </w:t>
      </w:r>
      <w:r w:rsidR="00657462">
        <w:t>Pacific Gas and Electric Company, Southern California Edison Company, San Diego Gas &amp; Electric Company, and Southern California Gas Company</w:t>
      </w:r>
      <w:r w:rsidR="005B7A04">
        <w:t>.</w:t>
      </w:r>
    </w:p>
    <w:p w14:paraId="49CDED76" w14:textId="77777777" w:rsidR="00CF17DE" w:rsidRDefault="0017412F" w:rsidP="00F77BA1">
      <w:pPr>
        <w:spacing w:after="240"/>
        <w:jc w:val="both"/>
      </w:pPr>
      <w:r w:rsidRPr="0017412F">
        <w:t xml:space="preserve">By Advice Letters (AL) </w:t>
      </w:r>
      <w:r w:rsidR="00657462">
        <w:t xml:space="preserve">Pacific Gas and Electric Company </w:t>
      </w:r>
      <w:r w:rsidR="00657462" w:rsidRPr="0017412F">
        <w:t xml:space="preserve">4044-G/5430-E, filed on November 20, 2018, and </w:t>
      </w:r>
      <w:r w:rsidR="00657462">
        <w:t>Southern California Edison Company</w:t>
      </w:r>
      <w:r w:rsidR="00657462" w:rsidRPr="0017412F">
        <w:t xml:space="preserve"> 3901-E, </w:t>
      </w:r>
      <w:r w:rsidR="00657462">
        <w:t>San Diego Gas &amp; Electric Company</w:t>
      </w:r>
      <w:r w:rsidR="00657462" w:rsidRPr="0017412F">
        <w:t xml:space="preserve"> 3307-E/2722-G, and </w:t>
      </w:r>
      <w:r w:rsidR="00657462">
        <w:t>Southern California Gas Company</w:t>
      </w:r>
      <w:r w:rsidR="00657462" w:rsidRPr="0017412F">
        <w:t xml:space="preserve"> </w:t>
      </w:r>
      <w:r w:rsidRPr="0017412F">
        <w:t>5386, filed on November 26, 2018.</w:t>
      </w:r>
    </w:p>
    <w:p w14:paraId="7C1B9D22" w14:textId="77777777" w:rsidR="00CF17DE" w:rsidRPr="00673DF0" w:rsidRDefault="00CF17DE" w:rsidP="00F77BA1">
      <w:pPr>
        <w:pStyle w:val="Heading1"/>
        <w:spacing w:before="0"/>
        <w:jc w:val="both"/>
        <w:rPr>
          <w:rFonts w:cs="Helvetica"/>
          <w:sz w:val="16"/>
          <w:szCs w:val="16"/>
        </w:rPr>
      </w:pPr>
      <w:bookmarkStart w:id="3" w:name="_Toc497338851"/>
      <w:r w:rsidRPr="00673DF0">
        <w:rPr>
          <w:rFonts w:cs="Helvetica"/>
        </w:rPr>
        <w:t>Summary</w:t>
      </w:r>
      <w:bookmarkEnd w:id="1"/>
      <w:bookmarkEnd w:id="3"/>
    </w:p>
    <w:p w14:paraId="4A681650" w14:textId="77777777" w:rsidR="00A12A59" w:rsidRDefault="00657462" w:rsidP="007A0E73">
      <w:pPr>
        <w:jc w:val="both"/>
      </w:pPr>
      <w:r>
        <w:t>Pacific Gas and Electric Company (PG&amp;E), Southern California Edison Company (SCE), San Diego Gas &amp; Electric Company (SDG&amp;E), and Southern California Gas Company (SoCalGas) are collectively referred to as investor</w:t>
      </w:r>
      <w:r w:rsidR="009E05EA">
        <w:t>-</w:t>
      </w:r>
      <w:r>
        <w:t>owned utilities (IOUs).</w:t>
      </w:r>
    </w:p>
    <w:p w14:paraId="162CE9BC" w14:textId="77777777" w:rsidR="007A0E73" w:rsidRPr="00D133B4" w:rsidRDefault="00D4760D" w:rsidP="00F77BA1">
      <w:pPr>
        <w:pStyle w:val="ListParagraph"/>
        <w:numPr>
          <w:ilvl w:val="0"/>
          <w:numId w:val="38"/>
        </w:numPr>
        <w:contextualSpacing w:val="0"/>
        <w:jc w:val="both"/>
      </w:pPr>
      <w:r w:rsidRPr="00D133B4">
        <w:t xml:space="preserve">This Resolution approves with adjustments </w:t>
      </w:r>
      <w:r w:rsidR="005035FA" w:rsidRPr="00D133B4">
        <w:t xml:space="preserve">each IOU’s </w:t>
      </w:r>
      <w:r w:rsidRPr="00D133B4">
        <w:t xml:space="preserve">program year 2016 and </w:t>
      </w:r>
      <w:r w:rsidR="00AD6327" w:rsidRPr="00D133B4">
        <w:t>partial</w:t>
      </w:r>
      <w:r w:rsidRPr="00D133B4">
        <w:t xml:space="preserve"> 2017 </w:t>
      </w:r>
      <w:r w:rsidR="00657462" w:rsidRPr="00D133B4">
        <w:t xml:space="preserve">Efficiency Savings and Performance Incentive (ESPI) </w:t>
      </w:r>
      <w:r w:rsidRPr="00D133B4">
        <w:t>awards</w:t>
      </w:r>
      <w:r w:rsidR="008A5A2F" w:rsidRPr="00D133B4">
        <w:t xml:space="preserve">, </w:t>
      </w:r>
      <w:r w:rsidR="005A1AB4">
        <w:t>except for</w:t>
      </w:r>
      <w:r w:rsidR="008A5A2F" w:rsidRPr="00D133B4">
        <w:t xml:space="preserve"> SoCalGas’s Codes and Standards incentive</w:t>
      </w:r>
      <w:r w:rsidRPr="00D133B4">
        <w:t xml:space="preserve">. </w:t>
      </w:r>
      <w:r w:rsidR="007A0E73" w:rsidRPr="00D133B4">
        <w:t xml:space="preserve"> </w:t>
      </w:r>
    </w:p>
    <w:p w14:paraId="540F8FA3" w14:textId="77777777" w:rsidR="007A0E73" w:rsidRPr="00832918" w:rsidRDefault="007A0E73" w:rsidP="00F77BA1">
      <w:pPr>
        <w:pStyle w:val="ListParagraph"/>
        <w:numPr>
          <w:ilvl w:val="0"/>
          <w:numId w:val="38"/>
        </w:numPr>
        <w:contextualSpacing w:val="0"/>
        <w:jc w:val="both"/>
      </w:pPr>
      <w:r w:rsidRPr="00832918">
        <w:t>There is a serious question whether SoCalGas merits recovery for its Codes and Standards advocacy</w:t>
      </w:r>
      <w:r w:rsidR="00993F56" w:rsidRPr="00832918">
        <w:t>.</w:t>
      </w:r>
      <w:r w:rsidR="00F174B1" w:rsidRPr="00832918">
        <w:t xml:space="preserve"> </w:t>
      </w:r>
      <w:r w:rsidR="00993F56" w:rsidRPr="00832918">
        <w:t>T</w:t>
      </w:r>
      <w:r w:rsidRPr="00832918">
        <w:t>o answer that question</w:t>
      </w:r>
      <w:r w:rsidR="00993F56" w:rsidRPr="00832918">
        <w:t>,</w:t>
      </w:r>
      <w:r w:rsidRPr="00832918">
        <w:t xml:space="preserve">  </w:t>
      </w:r>
      <w:r w:rsidR="00993F56" w:rsidRPr="00832918">
        <w:t>t</w:t>
      </w:r>
      <w:r w:rsidRPr="00832918">
        <w:t xml:space="preserve">he Commission will issue an Order to Show Cause </w:t>
      </w:r>
      <w:r w:rsidR="00D133B4" w:rsidRPr="00832918">
        <w:t xml:space="preserve">in the ongoing Energy Efficiency proceeding, R.13-11-005, directing SoCalGas to explain whether it is entitled to recover the costs of </w:t>
      </w:r>
      <w:r w:rsidR="00F174B1" w:rsidRPr="00832918">
        <w:t>its 2016-2017 Codes and Standards (C&amp;S)</w:t>
      </w:r>
      <w:r w:rsidR="00D133B4" w:rsidRPr="00832918">
        <w:t xml:space="preserve"> advocacy from ratepayers, and whether its </w:t>
      </w:r>
      <w:r w:rsidR="00993F56" w:rsidRPr="00832918">
        <w:t>activities</w:t>
      </w:r>
      <w:r w:rsidR="00D133B4" w:rsidRPr="00832918">
        <w:t xml:space="preserve"> warrant any other </w:t>
      </w:r>
      <w:r w:rsidR="00F174B1" w:rsidRPr="00832918">
        <w:t>remedies</w:t>
      </w:r>
      <w:r w:rsidR="00D133B4" w:rsidRPr="00832918">
        <w:t>.</w:t>
      </w:r>
    </w:p>
    <w:p w14:paraId="74063ED9" w14:textId="77777777" w:rsidR="007A0E73" w:rsidRPr="00832918" w:rsidRDefault="007A0E73" w:rsidP="00F77BA1">
      <w:pPr>
        <w:pStyle w:val="ListParagraph"/>
        <w:numPr>
          <w:ilvl w:val="0"/>
          <w:numId w:val="38"/>
        </w:numPr>
        <w:contextualSpacing w:val="0"/>
        <w:jc w:val="both"/>
      </w:pPr>
      <w:r w:rsidRPr="00832918">
        <w:t xml:space="preserve">The California Public Advocates Office (Cal Advocates) </w:t>
      </w:r>
      <w:r w:rsidR="005A1AB4" w:rsidRPr="00832918">
        <w:t xml:space="preserve">and the Natural Resources Defense Council (NRDC) </w:t>
      </w:r>
      <w:r w:rsidR="00F174B1" w:rsidRPr="00832918">
        <w:t>protested SoCalGas’ request to recover its 2017 C&amp;S costs, and also asked the Commission to true up SoCalGas’ 2016 C&amp;S award (which has already issued) to $0</w:t>
      </w:r>
      <w:r w:rsidR="00993F56" w:rsidRPr="00832918">
        <w:t xml:space="preserve">.  </w:t>
      </w:r>
      <w:r w:rsidR="00D90C04" w:rsidRPr="00832918">
        <w:t>Th</w:t>
      </w:r>
      <w:r w:rsidR="0008581C" w:rsidRPr="00832918">
        <w:t xml:space="preserve">is Resolution does not </w:t>
      </w:r>
      <w:r w:rsidR="00F174B1" w:rsidRPr="00832918">
        <w:t>grant the protest</w:t>
      </w:r>
      <w:r w:rsidR="005A1AB4" w:rsidRPr="00832918">
        <w:t>s</w:t>
      </w:r>
      <w:r w:rsidR="00D90C04" w:rsidRPr="00832918">
        <w:t xml:space="preserve">. </w:t>
      </w:r>
      <w:r w:rsidR="00F174B1" w:rsidRPr="00832918">
        <w:t xml:space="preserve"> </w:t>
      </w:r>
      <w:r w:rsidR="00D90C04" w:rsidRPr="00832918">
        <w:t xml:space="preserve">However, </w:t>
      </w:r>
      <w:r w:rsidR="00D133B4" w:rsidRPr="00832918">
        <w:t xml:space="preserve">Cal Advocates </w:t>
      </w:r>
      <w:r w:rsidR="005A1AB4" w:rsidRPr="00832918">
        <w:t xml:space="preserve">and NRDC </w:t>
      </w:r>
      <w:r w:rsidR="00D133B4" w:rsidRPr="00832918">
        <w:t xml:space="preserve">may renew </w:t>
      </w:r>
      <w:r w:rsidR="005A1AB4" w:rsidRPr="00832918">
        <w:t xml:space="preserve">their </w:t>
      </w:r>
      <w:r w:rsidR="00D133B4" w:rsidRPr="00832918">
        <w:t xml:space="preserve">arguments in R.13-11-005. </w:t>
      </w:r>
    </w:p>
    <w:p w14:paraId="2EA5F47B" w14:textId="77777777" w:rsidR="00625DDB" w:rsidRPr="007A0E73" w:rsidRDefault="005035FA" w:rsidP="00F77BA1">
      <w:pPr>
        <w:pStyle w:val="ListParagraph"/>
        <w:numPr>
          <w:ilvl w:val="0"/>
          <w:numId w:val="38"/>
        </w:numPr>
        <w:contextualSpacing w:val="0"/>
        <w:jc w:val="both"/>
      </w:pPr>
      <w:r w:rsidRPr="007A0E73">
        <w:t xml:space="preserve">In 2019, </w:t>
      </w:r>
      <w:r w:rsidR="00DD0DA2" w:rsidRPr="007A0E73">
        <w:t xml:space="preserve">the Commission will evaluate </w:t>
      </w:r>
      <w:r w:rsidRPr="007A0E73">
        <w:t>remaining</w:t>
      </w:r>
      <w:r w:rsidR="002407C2" w:rsidRPr="007A0E73">
        <w:t xml:space="preserve"> </w:t>
      </w:r>
      <w:r w:rsidR="00AD6327" w:rsidRPr="007A0E73">
        <w:t xml:space="preserve">2017 energy savings </w:t>
      </w:r>
      <w:r w:rsidRPr="007A0E73">
        <w:t>and</w:t>
      </w:r>
      <w:r w:rsidR="00AD6327" w:rsidRPr="007A0E73">
        <w:t xml:space="preserve"> measures (</w:t>
      </w:r>
      <w:r w:rsidR="002445E5" w:rsidRPr="007A0E73">
        <w:t>ex-post</w:t>
      </w:r>
      <w:r w:rsidR="00AD6327" w:rsidRPr="007A0E73">
        <w:t xml:space="preserve">) </w:t>
      </w:r>
      <w:r w:rsidRPr="007A0E73">
        <w:t>and award incentives</w:t>
      </w:r>
      <w:r w:rsidR="00AD6327" w:rsidRPr="007A0E73">
        <w:t xml:space="preserve">. </w:t>
      </w:r>
    </w:p>
    <w:p w14:paraId="2FA0F105" w14:textId="51CC60D2" w:rsidR="00D4760D" w:rsidRDefault="00D4760D" w:rsidP="00B47FF2">
      <w:pPr>
        <w:pStyle w:val="ListParagraph"/>
        <w:ind w:left="0"/>
        <w:rPr>
          <w:sz w:val="22"/>
          <w:szCs w:val="22"/>
        </w:rPr>
      </w:pPr>
      <w:r w:rsidRPr="00A12A59">
        <w:rPr>
          <w:szCs w:val="26"/>
        </w:rPr>
        <w:t>The final incentives are detailed in Tables 1 and 2.</w:t>
      </w:r>
      <w:r w:rsidRPr="00A12A59">
        <w:rPr>
          <w:sz w:val="22"/>
          <w:szCs w:val="22"/>
        </w:rPr>
        <w:t xml:space="preserve"> </w:t>
      </w:r>
    </w:p>
    <w:p w14:paraId="28AB4B9B" w14:textId="4E8041B0" w:rsidR="009B053C" w:rsidRDefault="009B053C" w:rsidP="00B47FF2">
      <w:pPr>
        <w:pStyle w:val="ListParagraph"/>
        <w:ind w:left="0"/>
        <w:rPr>
          <w:sz w:val="22"/>
          <w:szCs w:val="22"/>
        </w:rPr>
      </w:pPr>
    </w:p>
    <w:p w14:paraId="2964E89C" w14:textId="1F3C8330" w:rsidR="009B053C" w:rsidRDefault="009B053C" w:rsidP="00B47FF2">
      <w:pPr>
        <w:pStyle w:val="ListParagraph"/>
        <w:ind w:left="0"/>
        <w:rPr>
          <w:sz w:val="22"/>
          <w:szCs w:val="22"/>
        </w:rPr>
      </w:pPr>
    </w:p>
    <w:p w14:paraId="6F818C18" w14:textId="77777777" w:rsidR="009B053C" w:rsidRPr="00A12A59" w:rsidRDefault="009B053C" w:rsidP="00B47FF2">
      <w:pPr>
        <w:pStyle w:val="ListParagraph"/>
        <w:ind w:left="0"/>
        <w:rPr>
          <w:sz w:val="22"/>
          <w:szCs w:val="22"/>
        </w:rPr>
      </w:pPr>
    </w:p>
    <w:tbl>
      <w:tblPr>
        <w:tblpPr w:leftFromText="187" w:rightFromText="187" w:vertAnchor="text" w:tblpXSpec="center" w:tblpY="1"/>
        <w:tblOverlap w:val="never"/>
        <w:tblW w:w="9360" w:type="dxa"/>
        <w:tblLayout w:type="fixed"/>
        <w:tblLook w:val="04A0" w:firstRow="1" w:lastRow="0" w:firstColumn="1" w:lastColumn="0" w:noHBand="0" w:noVBand="1"/>
      </w:tblPr>
      <w:tblGrid>
        <w:gridCol w:w="2340"/>
        <w:gridCol w:w="2340"/>
        <w:gridCol w:w="2340"/>
        <w:gridCol w:w="2340"/>
      </w:tblGrid>
      <w:tr w:rsidR="00A52B69" w14:paraId="78480185" w14:textId="77777777">
        <w:trPr>
          <w:trHeight w:val="396"/>
        </w:trPr>
        <w:tc>
          <w:tcPr>
            <w:tcW w:w="9360" w:type="dxa"/>
            <w:gridSpan w:val="4"/>
            <w:tcBorders>
              <w:bottom w:val="single" w:sz="8" w:space="0" w:color="auto"/>
            </w:tcBorders>
            <w:shd w:val="clear" w:color="auto" w:fill="auto"/>
            <w:tcMar>
              <w:left w:w="43" w:type="dxa"/>
              <w:right w:w="43" w:type="dxa"/>
            </w:tcMar>
            <w:vAlign w:val="center"/>
          </w:tcPr>
          <w:p w14:paraId="4C4B1A97" w14:textId="6741AAB1" w:rsidR="004917C4" w:rsidRDefault="004917C4" w:rsidP="00B47FF2">
            <w:pPr>
              <w:spacing w:before="0" w:after="0"/>
              <w:ind w:left="-115" w:right="-115"/>
              <w:jc w:val="center"/>
              <w:rPr>
                <w:color w:val="000000"/>
                <w:sz w:val="22"/>
                <w:szCs w:val="22"/>
              </w:rPr>
            </w:pPr>
            <w:r w:rsidRPr="003F40BC">
              <w:rPr>
                <w:color w:val="000000"/>
              </w:rPr>
              <w:lastRenderedPageBreak/>
              <w:t xml:space="preserve">Table </w:t>
            </w:r>
            <w:r w:rsidRPr="003F40BC">
              <w:rPr>
                <w:color w:val="000000"/>
              </w:rPr>
              <w:fldChar w:fldCharType="begin"/>
            </w:r>
            <w:r w:rsidRPr="003F40BC">
              <w:rPr>
                <w:color w:val="000000"/>
              </w:rPr>
              <w:instrText xml:space="preserve"> SEQ Table \* ARABIC </w:instrText>
            </w:r>
            <w:r w:rsidRPr="003F40BC">
              <w:rPr>
                <w:color w:val="000000"/>
              </w:rPr>
              <w:fldChar w:fldCharType="separate"/>
            </w:r>
            <w:r w:rsidR="00CE6758">
              <w:rPr>
                <w:noProof/>
                <w:color w:val="000000"/>
              </w:rPr>
              <w:t>1</w:t>
            </w:r>
            <w:r w:rsidRPr="003F40BC">
              <w:rPr>
                <w:color w:val="000000"/>
              </w:rPr>
              <w:fldChar w:fldCharType="end"/>
            </w:r>
            <w:r w:rsidRPr="003F40BC">
              <w:rPr>
                <w:color w:val="000000"/>
              </w:rPr>
              <w:t xml:space="preserve">: </w:t>
            </w:r>
            <w:r w:rsidR="00D4760D">
              <w:rPr>
                <w:color w:val="000000"/>
              </w:rPr>
              <w:t xml:space="preserve">Final </w:t>
            </w:r>
            <w:r w:rsidRPr="003F40BC">
              <w:rPr>
                <w:color w:val="000000"/>
              </w:rPr>
              <w:t>ESPI Awards for 201</w:t>
            </w:r>
            <w:r w:rsidR="003F40BC">
              <w:rPr>
                <w:color w:val="000000"/>
              </w:rPr>
              <w:t>6</w:t>
            </w:r>
            <w:r w:rsidRPr="003F40BC">
              <w:rPr>
                <w:color w:val="000000"/>
              </w:rPr>
              <w:t xml:space="preserve"> and 201</w:t>
            </w:r>
            <w:r w:rsidR="003F40BC">
              <w:rPr>
                <w:color w:val="000000"/>
              </w:rPr>
              <w:t>7</w:t>
            </w:r>
          </w:p>
        </w:tc>
      </w:tr>
      <w:tr w:rsidR="00A52B69" w14:paraId="2A13DFAD" w14:textId="77777777">
        <w:trPr>
          <w:trHeight w:val="250"/>
        </w:trPr>
        <w:tc>
          <w:tcPr>
            <w:tcW w:w="2340" w:type="dxa"/>
            <w:tcBorders>
              <w:top w:val="single" w:sz="8" w:space="0" w:color="auto"/>
              <w:left w:val="single" w:sz="8" w:space="0" w:color="auto"/>
              <w:bottom w:val="single" w:sz="8" w:space="0" w:color="auto"/>
              <w:right w:val="single" w:sz="8" w:space="0" w:color="auto"/>
            </w:tcBorders>
            <w:shd w:val="clear" w:color="auto" w:fill="auto"/>
            <w:noWrap/>
            <w:tcMar>
              <w:left w:w="0" w:type="dxa"/>
              <w:right w:w="0" w:type="dxa"/>
            </w:tcMar>
            <w:vAlign w:val="center"/>
            <w:hideMark/>
          </w:tcPr>
          <w:p w14:paraId="7D6F5661" w14:textId="77777777" w:rsidR="00647A49" w:rsidRPr="00A1361A" w:rsidRDefault="00647A49" w:rsidP="00B47FF2">
            <w:pPr>
              <w:spacing w:before="0" w:after="0"/>
              <w:jc w:val="center"/>
              <w:rPr>
                <w:b/>
                <w:color w:val="000000"/>
                <w:szCs w:val="22"/>
              </w:rPr>
            </w:pPr>
            <w:r w:rsidRPr="00A1361A">
              <w:rPr>
                <w:b/>
                <w:color w:val="000000"/>
                <w:szCs w:val="22"/>
              </w:rPr>
              <w:t>IOU</w:t>
            </w:r>
          </w:p>
        </w:tc>
        <w:tc>
          <w:tcPr>
            <w:tcW w:w="2340" w:type="dxa"/>
            <w:tcBorders>
              <w:top w:val="single" w:sz="8" w:space="0" w:color="auto"/>
              <w:left w:val="nil"/>
              <w:bottom w:val="single" w:sz="8" w:space="0" w:color="auto"/>
              <w:right w:val="single" w:sz="8" w:space="0" w:color="auto"/>
            </w:tcBorders>
            <w:shd w:val="clear" w:color="auto" w:fill="auto"/>
            <w:noWrap/>
            <w:tcMar>
              <w:left w:w="0" w:type="dxa"/>
              <w:right w:w="0" w:type="dxa"/>
            </w:tcMar>
            <w:vAlign w:val="center"/>
            <w:hideMark/>
          </w:tcPr>
          <w:p w14:paraId="3351CC3D" w14:textId="77777777" w:rsidR="00647A49" w:rsidRPr="00A1361A" w:rsidRDefault="00647A49" w:rsidP="00B47FF2">
            <w:pPr>
              <w:spacing w:before="0" w:after="0"/>
              <w:ind w:left="-4" w:right="-15"/>
              <w:jc w:val="center"/>
              <w:rPr>
                <w:b/>
                <w:color w:val="000000"/>
                <w:szCs w:val="22"/>
              </w:rPr>
            </w:pPr>
            <w:r w:rsidRPr="00A1361A">
              <w:rPr>
                <w:b/>
                <w:color w:val="000000"/>
                <w:szCs w:val="22"/>
              </w:rPr>
              <w:t>201</w:t>
            </w:r>
            <w:r w:rsidR="003F40BC" w:rsidRPr="00A1361A">
              <w:rPr>
                <w:b/>
                <w:color w:val="000000"/>
                <w:szCs w:val="22"/>
              </w:rPr>
              <w:t>6</w:t>
            </w:r>
            <w:r w:rsidRPr="00A1361A">
              <w:rPr>
                <w:b/>
                <w:color w:val="000000"/>
                <w:szCs w:val="22"/>
              </w:rPr>
              <w:t>-201</w:t>
            </w:r>
            <w:r w:rsidR="003F40BC" w:rsidRPr="00A1361A">
              <w:rPr>
                <w:b/>
                <w:color w:val="000000"/>
                <w:szCs w:val="22"/>
              </w:rPr>
              <w:t>7</w:t>
            </w:r>
            <w:r w:rsidRPr="00A1361A">
              <w:rPr>
                <w:b/>
                <w:color w:val="000000"/>
                <w:szCs w:val="22"/>
              </w:rPr>
              <w:t xml:space="preserve"> </w:t>
            </w:r>
            <w:r w:rsidR="00BF10D5" w:rsidRPr="00A1361A">
              <w:rPr>
                <w:b/>
                <w:color w:val="000000"/>
                <w:szCs w:val="22"/>
              </w:rPr>
              <w:t xml:space="preserve">Awards </w:t>
            </w:r>
            <w:r w:rsidRPr="00A1361A">
              <w:rPr>
                <w:b/>
                <w:color w:val="000000"/>
                <w:szCs w:val="22"/>
              </w:rPr>
              <w:t>Request</w:t>
            </w:r>
            <w:r w:rsidR="00C97BC1" w:rsidRPr="00A1361A">
              <w:rPr>
                <w:b/>
                <w:color w:val="000000"/>
                <w:szCs w:val="22"/>
              </w:rPr>
              <w:t>ed</w:t>
            </w:r>
          </w:p>
        </w:tc>
        <w:tc>
          <w:tcPr>
            <w:tcW w:w="2340" w:type="dxa"/>
            <w:tcBorders>
              <w:top w:val="single" w:sz="8" w:space="0" w:color="auto"/>
              <w:left w:val="nil"/>
              <w:bottom w:val="single" w:sz="8" w:space="0" w:color="auto"/>
              <w:right w:val="single" w:sz="8" w:space="0" w:color="auto"/>
            </w:tcBorders>
            <w:shd w:val="clear" w:color="auto" w:fill="auto"/>
            <w:noWrap/>
            <w:tcMar>
              <w:left w:w="0" w:type="dxa"/>
              <w:right w:w="0" w:type="dxa"/>
            </w:tcMar>
            <w:vAlign w:val="center"/>
            <w:hideMark/>
          </w:tcPr>
          <w:p w14:paraId="64150385" w14:textId="77777777" w:rsidR="00647A49" w:rsidRPr="00A1361A" w:rsidRDefault="00647A49" w:rsidP="00B47FF2">
            <w:pPr>
              <w:spacing w:before="0" w:after="0"/>
              <w:ind w:right="-84"/>
              <w:jc w:val="center"/>
              <w:rPr>
                <w:b/>
                <w:color w:val="000000"/>
                <w:szCs w:val="22"/>
              </w:rPr>
            </w:pPr>
            <w:r w:rsidRPr="00A1361A">
              <w:rPr>
                <w:b/>
                <w:color w:val="000000"/>
                <w:szCs w:val="22"/>
              </w:rPr>
              <w:t>Adjustment</w:t>
            </w:r>
          </w:p>
        </w:tc>
        <w:tc>
          <w:tcPr>
            <w:tcW w:w="2340" w:type="dxa"/>
            <w:tcBorders>
              <w:top w:val="single" w:sz="8" w:space="0" w:color="auto"/>
              <w:left w:val="nil"/>
              <w:bottom w:val="single" w:sz="8" w:space="0" w:color="auto"/>
              <w:right w:val="single" w:sz="8" w:space="0" w:color="auto"/>
            </w:tcBorders>
            <w:shd w:val="clear" w:color="auto" w:fill="auto"/>
            <w:noWrap/>
            <w:tcMar>
              <w:left w:w="0" w:type="dxa"/>
              <w:right w:w="0" w:type="dxa"/>
            </w:tcMar>
            <w:vAlign w:val="center"/>
            <w:hideMark/>
          </w:tcPr>
          <w:p w14:paraId="1534EA79" w14:textId="77777777" w:rsidR="00647A49" w:rsidRPr="00A1361A" w:rsidRDefault="00C97BC1" w:rsidP="00B47FF2">
            <w:pPr>
              <w:spacing w:before="0" w:after="0"/>
              <w:ind w:right="39"/>
              <w:jc w:val="center"/>
              <w:rPr>
                <w:b/>
                <w:color w:val="000000"/>
                <w:szCs w:val="22"/>
              </w:rPr>
            </w:pPr>
            <w:r w:rsidRPr="00A1361A">
              <w:rPr>
                <w:b/>
                <w:color w:val="000000"/>
                <w:szCs w:val="22"/>
              </w:rPr>
              <w:t>201</w:t>
            </w:r>
            <w:r w:rsidR="003F40BC" w:rsidRPr="00A1361A">
              <w:rPr>
                <w:b/>
                <w:color w:val="000000"/>
                <w:szCs w:val="22"/>
              </w:rPr>
              <w:t>6</w:t>
            </w:r>
            <w:r w:rsidRPr="00A1361A">
              <w:rPr>
                <w:b/>
                <w:color w:val="000000"/>
                <w:szCs w:val="22"/>
              </w:rPr>
              <w:t>-201</w:t>
            </w:r>
            <w:r w:rsidR="003F40BC" w:rsidRPr="00A1361A">
              <w:rPr>
                <w:b/>
                <w:color w:val="000000"/>
                <w:szCs w:val="22"/>
              </w:rPr>
              <w:t>7</w:t>
            </w:r>
            <w:r w:rsidRPr="00A1361A">
              <w:rPr>
                <w:b/>
                <w:color w:val="000000"/>
                <w:szCs w:val="22"/>
              </w:rPr>
              <w:t xml:space="preserve"> </w:t>
            </w:r>
            <w:r w:rsidR="00BF10D5" w:rsidRPr="00A1361A">
              <w:rPr>
                <w:b/>
                <w:color w:val="000000"/>
                <w:szCs w:val="22"/>
              </w:rPr>
              <w:t>Awards</w:t>
            </w:r>
            <w:r w:rsidR="00ED782A" w:rsidRPr="00A1361A">
              <w:rPr>
                <w:b/>
                <w:color w:val="000000"/>
                <w:szCs w:val="22"/>
              </w:rPr>
              <w:t xml:space="preserve"> </w:t>
            </w:r>
            <w:r w:rsidR="00647A49" w:rsidRPr="00A1361A">
              <w:rPr>
                <w:b/>
                <w:color w:val="000000"/>
                <w:szCs w:val="22"/>
              </w:rPr>
              <w:t>Approved</w:t>
            </w:r>
          </w:p>
        </w:tc>
      </w:tr>
      <w:tr w:rsidR="00A52B69" w14:paraId="1C52AA7A" w14:textId="77777777">
        <w:trPr>
          <w:trHeight w:val="144"/>
        </w:trPr>
        <w:tc>
          <w:tcPr>
            <w:tcW w:w="2340" w:type="dxa"/>
            <w:tcBorders>
              <w:top w:val="nil"/>
              <w:left w:val="single" w:sz="8" w:space="0" w:color="auto"/>
              <w:bottom w:val="single" w:sz="8" w:space="0" w:color="auto"/>
              <w:right w:val="single" w:sz="8" w:space="0" w:color="auto"/>
            </w:tcBorders>
            <w:shd w:val="clear" w:color="auto" w:fill="auto"/>
            <w:noWrap/>
            <w:tcMar>
              <w:left w:w="0" w:type="dxa"/>
              <w:right w:w="0" w:type="dxa"/>
            </w:tcMar>
            <w:vAlign w:val="center"/>
            <w:hideMark/>
          </w:tcPr>
          <w:p w14:paraId="5778C0C5" w14:textId="77777777" w:rsidR="003475CD" w:rsidRPr="00A1361A" w:rsidRDefault="003475CD" w:rsidP="00B47FF2">
            <w:pPr>
              <w:spacing w:before="0" w:after="0"/>
              <w:ind w:left="360" w:right="360"/>
              <w:jc w:val="center"/>
              <w:rPr>
                <w:color w:val="000000"/>
                <w:szCs w:val="22"/>
              </w:rPr>
            </w:pPr>
            <w:r w:rsidRPr="00A1361A">
              <w:rPr>
                <w:color w:val="000000"/>
                <w:szCs w:val="22"/>
              </w:rPr>
              <w:t>PG&amp;E</w:t>
            </w:r>
          </w:p>
        </w:tc>
        <w:tc>
          <w:tcPr>
            <w:tcW w:w="2340" w:type="dxa"/>
            <w:tcBorders>
              <w:top w:val="nil"/>
              <w:left w:val="nil"/>
              <w:bottom w:val="single" w:sz="8" w:space="0" w:color="auto"/>
              <w:right w:val="single" w:sz="8" w:space="0" w:color="auto"/>
            </w:tcBorders>
            <w:shd w:val="clear" w:color="auto" w:fill="auto"/>
            <w:noWrap/>
            <w:tcMar>
              <w:left w:w="0" w:type="dxa"/>
              <w:right w:w="0" w:type="dxa"/>
            </w:tcMar>
            <w:vAlign w:val="center"/>
          </w:tcPr>
          <w:p w14:paraId="4E882600" w14:textId="77777777" w:rsidR="003475CD" w:rsidRPr="00A1361A" w:rsidRDefault="003475CD" w:rsidP="00B47FF2">
            <w:pPr>
              <w:spacing w:before="0" w:after="0"/>
              <w:ind w:left="360" w:right="134"/>
              <w:jc w:val="center"/>
              <w:rPr>
                <w:color w:val="000000"/>
                <w:szCs w:val="22"/>
              </w:rPr>
            </w:pPr>
            <w:r w:rsidRPr="00A1361A">
              <w:rPr>
                <w:color w:val="000000"/>
                <w:szCs w:val="22"/>
              </w:rPr>
              <w:t>$11,543,849</w:t>
            </w:r>
          </w:p>
        </w:tc>
        <w:tc>
          <w:tcPr>
            <w:tcW w:w="2340" w:type="dxa"/>
            <w:tcBorders>
              <w:top w:val="nil"/>
              <w:left w:val="nil"/>
              <w:bottom w:val="single" w:sz="8" w:space="0" w:color="auto"/>
              <w:right w:val="single" w:sz="8" w:space="0" w:color="auto"/>
            </w:tcBorders>
            <w:shd w:val="clear" w:color="auto" w:fill="auto"/>
            <w:noWrap/>
            <w:tcMar>
              <w:left w:w="0" w:type="dxa"/>
              <w:right w:w="0" w:type="dxa"/>
            </w:tcMar>
            <w:vAlign w:val="center"/>
          </w:tcPr>
          <w:p w14:paraId="58269F12" w14:textId="77777777" w:rsidR="003475CD" w:rsidRPr="000A337C" w:rsidRDefault="00652896" w:rsidP="00B47FF2">
            <w:pPr>
              <w:spacing w:before="0" w:after="0"/>
              <w:ind w:right="-84"/>
              <w:jc w:val="center"/>
              <w:rPr>
                <w:szCs w:val="22"/>
                <w:highlight w:val="yellow"/>
              </w:rPr>
            </w:pPr>
            <w:r>
              <w:rPr>
                <w:rFonts w:cs="Calibri"/>
                <w:szCs w:val="22"/>
              </w:rPr>
              <w:t>$507,905</w:t>
            </w:r>
          </w:p>
        </w:tc>
        <w:tc>
          <w:tcPr>
            <w:tcW w:w="2340" w:type="dxa"/>
            <w:tcBorders>
              <w:top w:val="nil"/>
              <w:left w:val="nil"/>
              <w:bottom w:val="single" w:sz="8" w:space="0" w:color="auto"/>
              <w:right w:val="single" w:sz="8" w:space="0" w:color="auto"/>
            </w:tcBorders>
            <w:shd w:val="clear" w:color="auto" w:fill="auto"/>
            <w:noWrap/>
            <w:tcMar>
              <w:left w:w="0" w:type="dxa"/>
              <w:right w:w="0" w:type="dxa"/>
            </w:tcMar>
          </w:tcPr>
          <w:p w14:paraId="5CB163E8" w14:textId="77777777" w:rsidR="003475CD" w:rsidRPr="000A337C" w:rsidRDefault="003475CD" w:rsidP="00926353">
            <w:pPr>
              <w:spacing w:before="0" w:after="0"/>
              <w:ind w:right="-14" w:firstLine="1"/>
              <w:jc w:val="center"/>
              <w:rPr>
                <w:color w:val="000000"/>
                <w:szCs w:val="22"/>
                <w:highlight w:val="yellow"/>
              </w:rPr>
            </w:pPr>
            <w:r w:rsidRPr="00EB0950">
              <w:rPr>
                <w:color w:val="000000"/>
                <w:szCs w:val="22"/>
              </w:rPr>
              <w:t>$12,</w:t>
            </w:r>
            <w:r w:rsidR="00891D9C" w:rsidRPr="00EB0950">
              <w:rPr>
                <w:color w:val="000000"/>
                <w:szCs w:val="22"/>
              </w:rPr>
              <w:t>0</w:t>
            </w:r>
            <w:r w:rsidR="00EB0950" w:rsidRPr="00EB0950">
              <w:rPr>
                <w:color w:val="000000"/>
                <w:szCs w:val="22"/>
              </w:rPr>
              <w:t>51,7</w:t>
            </w:r>
            <w:r w:rsidR="006A6017">
              <w:rPr>
                <w:color w:val="000000"/>
                <w:szCs w:val="22"/>
              </w:rPr>
              <w:t>5</w:t>
            </w:r>
            <w:r w:rsidR="00EB0950" w:rsidRPr="00EB0950">
              <w:rPr>
                <w:color w:val="000000"/>
                <w:szCs w:val="22"/>
              </w:rPr>
              <w:t>4</w:t>
            </w:r>
          </w:p>
        </w:tc>
      </w:tr>
      <w:tr w:rsidR="00A52B69" w14:paraId="0F3D430B" w14:textId="77777777">
        <w:trPr>
          <w:trHeight w:val="144"/>
        </w:trPr>
        <w:tc>
          <w:tcPr>
            <w:tcW w:w="2340" w:type="dxa"/>
            <w:tcBorders>
              <w:top w:val="nil"/>
              <w:left w:val="single" w:sz="8" w:space="0" w:color="auto"/>
              <w:bottom w:val="single" w:sz="8" w:space="0" w:color="auto"/>
              <w:right w:val="single" w:sz="8" w:space="0" w:color="auto"/>
            </w:tcBorders>
            <w:shd w:val="clear" w:color="auto" w:fill="auto"/>
            <w:noWrap/>
            <w:tcMar>
              <w:left w:w="0" w:type="dxa"/>
              <w:right w:w="0" w:type="dxa"/>
            </w:tcMar>
            <w:vAlign w:val="center"/>
            <w:hideMark/>
          </w:tcPr>
          <w:p w14:paraId="2A62D314" w14:textId="77777777" w:rsidR="003475CD" w:rsidRPr="00A1361A" w:rsidRDefault="003475CD" w:rsidP="00B47FF2">
            <w:pPr>
              <w:spacing w:before="0" w:after="0"/>
              <w:ind w:left="360" w:right="360"/>
              <w:jc w:val="center"/>
              <w:rPr>
                <w:color w:val="000000"/>
                <w:szCs w:val="22"/>
              </w:rPr>
            </w:pPr>
            <w:r w:rsidRPr="00A1361A">
              <w:rPr>
                <w:color w:val="000000"/>
                <w:szCs w:val="22"/>
              </w:rPr>
              <w:t>SCE</w:t>
            </w:r>
          </w:p>
        </w:tc>
        <w:tc>
          <w:tcPr>
            <w:tcW w:w="2340" w:type="dxa"/>
            <w:tcBorders>
              <w:top w:val="nil"/>
              <w:left w:val="nil"/>
              <w:bottom w:val="single" w:sz="8" w:space="0" w:color="auto"/>
              <w:right w:val="single" w:sz="8" w:space="0" w:color="auto"/>
            </w:tcBorders>
            <w:shd w:val="clear" w:color="auto" w:fill="auto"/>
            <w:noWrap/>
            <w:tcMar>
              <w:left w:w="0" w:type="dxa"/>
              <w:right w:w="0" w:type="dxa"/>
            </w:tcMar>
            <w:vAlign w:val="center"/>
          </w:tcPr>
          <w:p w14:paraId="2C48680E" w14:textId="77777777" w:rsidR="003475CD" w:rsidRPr="00A1361A" w:rsidRDefault="003475CD" w:rsidP="00B47FF2">
            <w:pPr>
              <w:spacing w:before="0" w:after="0"/>
              <w:ind w:left="360" w:right="134"/>
              <w:jc w:val="center"/>
              <w:rPr>
                <w:color w:val="000000"/>
                <w:szCs w:val="22"/>
              </w:rPr>
            </w:pPr>
            <w:r w:rsidRPr="00A1361A">
              <w:rPr>
                <w:color w:val="000000"/>
                <w:szCs w:val="22"/>
              </w:rPr>
              <w:t>$11,038,265</w:t>
            </w:r>
          </w:p>
        </w:tc>
        <w:tc>
          <w:tcPr>
            <w:tcW w:w="2340" w:type="dxa"/>
            <w:tcBorders>
              <w:top w:val="nil"/>
              <w:left w:val="nil"/>
              <w:bottom w:val="single" w:sz="8" w:space="0" w:color="auto"/>
              <w:right w:val="single" w:sz="8" w:space="0" w:color="auto"/>
            </w:tcBorders>
            <w:shd w:val="clear" w:color="auto" w:fill="auto"/>
            <w:noWrap/>
            <w:tcMar>
              <w:left w:w="0" w:type="dxa"/>
              <w:right w:w="0" w:type="dxa"/>
            </w:tcMar>
            <w:vAlign w:val="center"/>
          </w:tcPr>
          <w:p w14:paraId="70CCA6FE" w14:textId="77777777" w:rsidR="003475CD" w:rsidRPr="000A337C" w:rsidRDefault="00F179B9" w:rsidP="00B47FF2">
            <w:pPr>
              <w:spacing w:before="0" w:after="0"/>
              <w:ind w:right="-84"/>
              <w:jc w:val="center"/>
              <w:rPr>
                <w:szCs w:val="22"/>
                <w:highlight w:val="yellow"/>
              </w:rPr>
            </w:pPr>
            <w:r w:rsidRPr="00F179B9">
              <w:rPr>
                <w:rFonts w:cs="Calibri"/>
                <w:color w:val="FF0000"/>
                <w:szCs w:val="22"/>
              </w:rPr>
              <w:t>($463,996)</w:t>
            </w:r>
          </w:p>
        </w:tc>
        <w:tc>
          <w:tcPr>
            <w:tcW w:w="2340" w:type="dxa"/>
            <w:tcBorders>
              <w:top w:val="nil"/>
              <w:left w:val="nil"/>
              <w:bottom w:val="single" w:sz="8" w:space="0" w:color="auto"/>
              <w:right w:val="single" w:sz="8" w:space="0" w:color="auto"/>
            </w:tcBorders>
            <w:shd w:val="clear" w:color="auto" w:fill="auto"/>
            <w:noWrap/>
            <w:tcMar>
              <w:left w:w="0" w:type="dxa"/>
              <w:right w:w="0" w:type="dxa"/>
            </w:tcMar>
          </w:tcPr>
          <w:p w14:paraId="762F4A2B" w14:textId="77777777" w:rsidR="003475CD" w:rsidRPr="000A337C" w:rsidRDefault="003475CD" w:rsidP="00926353">
            <w:pPr>
              <w:spacing w:before="0" w:after="0"/>
              <w:ind w:left="1" w:right="-14"/>
              <w:jc w:val="center"/>
              <w:rPr>
                <w:color w:val="000000"/>
                <w:szCs w:val="22"/>
                <w:highlight w:val="yellow"/>
              </w:rPr>
            </w:pPr>
            <w:r w:rsidRPr="00F179B9">
              <w:rPr>
                <w:color w:val="000000"/>
                <w:szCs w:val="22"/>
              </w:rPr>
              <w:t>$</w:t>
            </w:r>
            <w:r w:rsidR="00F179B9" w:rsidRPr="00F179B9">
              <w:rPr>
                <w:color w:val="000000"/>
                <w:szCs w:val="22"/>
              </w:rPr>
              <w:t>10,574,269</w:t>
            </w:r>
          </w:p>
        </w:tc>
      </w:tr>
      <w:tr w:rsidR="00A52B69" w14:paraId="3C41CFAC" w14:textId="77777777">
        <w:trPr>
          <w:trHeight w:val="144"/>
        </w:trPr>
        <w:tc>
          <w:tcPr>
            <w:tcW w:w="2340" w:type="dxa"/>
            <w:tcBorders>
              <w:top w:val="nil"/>
              <w:left w:val="single" w:sz="8" w:space="0" w:color="auto"/>
              <w:bottom w:val="single" w:sz="8" w:space="0" w:color="auto"/>
              <w:right w:val="single" w:sz="8" w:space="0" w:color="auto"/>
            </w:tcBorders>
            <w:shd w:val="clear" w:color="auto" w:fill="auto"/>
            <w:noWrap/>
            <w:tcMar>
              <w:left w:w="0" w:type="dxa"/>
              <w:right w:w="0" w:type="dxa"/>
            </w:tcMar>
            <w:vAlign w:val="center"/>
            <w:hideMark/>
          </w:tcPr>
          <w:p w14:paraId="3C41B45E" w14:textId="77777777" w:rsidR="003475CD" w:rsidRPr="00A1361A" w:rsidRDefault="003475CD" w:rsidP="00B47FF2">
            <w:pPr>
              <w:spacing w:before="0" w:after="0"/>
              <w:ind w:left="360" w:right="360"/>
              <w:jc w:val="center"/>
              <w:rPr>
                <w:color w:val="000000"/>
                <w:szCs w:val="22"/>
              </w:rPr>
            </w:pPr>
            <w:r w:rsidRPr="00A1361A">
              <w:rPr>
                <w:color w:val="000000"/>
                <w:szCs w:val="22"/>
              </w:rPr>
              <w:t>SDG&amp;E</w:t>
            </w:r>
          </w:p>
        </w:tc>
        <w:tc>
          <w:tcPr>
            <w:tcW w:w="2340" w:type="dxa"/>
            <w:tcBorders>
              <w:top w:val="nil"/>
              <w:left w:val="nil"/>
              <w:bottom w:val="single" w:sz="8" w:space="0" w:color="auto"/>
              <w:right w:val="single" w:sz="8" w:space="0" w:color="auto"/>
            </w:tcBorders>
            <w:shd w:val="clear" w:color="auto" w:fill="auto"/>
            <w:noWrap/>
            <w:tcMar>
              <w:left w:w="0" w:type="dxa"/>
              <w:right w:w="0" w:type="dxa"/>
            </w:tcMar>
            <w:vAlign w:val="center"/>
          </w:tcPr>
          <w:p w14:paraId="3FB15CE7" w14:textId="77777777" w:rsidR="003475CD" w:rsidRPr="00A1361A" w:rsidRDefault="003475CD" w:rsidP="00B47FF2">
            <w:pPr>
              <w:spacing w:before="0" w:after="0"/>
              <w:ind w:left="360" w:right="134"/>
              <w:jc w:val="center"/>
              <w:rPr>
                <w:color w:val="000000"/>
                <w:szCs w:val="22"/>
              </w:rPr>
            </w:pPr>
            <w:r w:rsidRPr="00A1361A">
              <w:rPr>
                <w:color w:val="000000"/>
                <w:szCs w:val="22"/>
              </w:rPr>
              <w:t>$2,640,414</w:t>
            </w:r>
          </w:p>
        </w:tc>
        <w:tc>
          <w:tcPr>
            <w:tcW w:w="2340" w:type="dxa"/>
            <w:tcBorders>
              <w:top w:val="nil"/>
              <w:left w:val="nil"/>
              <w:bottom w:val="single" w:sz="8" w:space="0" w:color="auto"/>
              <w:right w:val="single" w:sz="8" w:space="0" w:color="auto"/>
            </w:tcBorders>
            <w:shd w:val="clear" w:color="auto" w:fill="auto"/>
            <w:noWrap/>
            <w:tcMar>
              <w:left w:w="0" w:type="dxa"/>
              <w:right w:w="0" w:type="dxa"/>
            </w:tcMar>
            <w:vAlign w:val="center"/>
          </w:tcPr>
          <w:p w14:paraId="1245F332" w14:textId="77777777" w:rsidR="003475CD" w:rsidRPr="000A337C" w:rsidRDefault="004E4E3A" w:rsidP="00B47FF2">
            <w:pPr>
              <w:spacing w:before="0" w:after="0"/>
              <w:ind w:right="-84"/>
              <w:jc w:val="center"/>
              <w:rPr>
                <w:szCs w:val="22"/>
                <w:highlight w:val="yellow"/>
              </w:rPr>
            </w:pPr>
            <w:r w:rsidRPr="004E4E3A">
              <w:rPr>
                <w:rFonts w:cs="Calibri"/>
                <w:color w:val="FF0000"/>
                <w:szCs w:val="22"/>
              </w:rPr>
              <w:t xml:space="preserve"> </w:t>
            </w:r>
            <w:r w:rsidRPr="004E4E3A">
              <w:rPr>
                <w:rFonts w:cs="Calibri"/>
                <w:szCs w:val="22"/>
              </w:rPr>
              <w:t>$35,067</w:t>
            </w:r>
          </w:p>
        </w:tc>
        <w:tc>
          <w:tcPr>
            <w:tcW w:w="2340" w:type="dxa"/>
            <w:tcBorders>
              <w:top w:val="nil"/>
              <w:left w:val="nil"/>
              <w:bottom w:val="single" w:sz="8" w:space="0" w:color="auto"/>
              <w:right w:val="single" w:sz="8" w:space="0" w:color="auto"/>
            </w:tcBorders>
            <w:shd w:val="clear" w:color="auto" w:fill="auto"/>
            <w:noWrap/>
            <w:tcMar>
              <w:left w:w="0" w:type="dxa"/>
              <w:right w:w="0" w:type="dxa"/>
            </w:tcMar>
          </w:tcPr>
          <w:p w14:paraId="208F8082" w14:textId="77777777" w:rsidR="003475CD" w:rsidRPr="000A337C" w:rsidRDefault="004E4E3A" w:rsidP="00926353">
            <w:pPr>
              <w:spacing w:before="0" w:after="0"/>
              <w:ind w:right="-14"/>
              <w:jc w:val="center"/>
              <w:rPr>
                <w:color w:val="000000"/>
                <w:szCs w:val="22"/>
                <w:highlight w:val="yellow"/>
              </w:rPr>
            </w:pPr>
            <w:r w:rsidRPr="004E4E3A">
              <w:rPr>
                <w:color w:val="000000"/>
                <w:szCs w:val="22"/>
              </w:rPr>
              <w:t xml:space="preserve">$2,675,481 </w:t>
            </w:r>
          </w:p>
        </w:tc>
      </w:tr>
      <w:tr w:rsidR="00A52B69" w14:paraId="4491E08E" w14:textId="77777777">
        <w:trPr>
          <w:trHeight w:val="144"/>
        </w:trPr>
        <w:tc>
          <w:tcPr>
            <w:tcW w:w="2340" w:type="dxa"/>
            <w:tcBorders>
              <w:top w:val="nil"/>
              <w:left w:val="single" w:sz="8" w:space="0" w:color="auto"/>
              <w:bottom w:val="single" w:sz="8" w:space="0" w:color="auto"/>
              <w:right w:val="single" w:sz="8" w:space="0" w:color="auto"/>
            </w:tcBorders>
            <w:shd w:val="clear" w:color="auto" w:fill="auto"/>
            <w:noWrap/>
            <w:tcMar>
              <w:left w:w="0" w:type="dxa"/>
              <w:right w:w="0" w:type="dxa"/>
            </w:tcMar>
            <w:vAlign w:val="center"/>
            <w:hideMark/>
          </w:tcPr>
          <w:p w14:paraId="43C8C829" w14:textId="77777777" w:rsidR="003475CD" w:rsidRPr="00A1361A" w:rsidRDefault="003475CD" w:rsidP="00B47FF2">
            <w:pPr>
              <w:spacing w:before="0" w:after="0"/>
              <w:ind w:left="360" w:right="360"/>
              <w:jc w:val="center"/>
              <w:rPr>
                <w:color w:val="000000"/>
                <w:szCs w:val="22"/>
              </w:rPr>
            </w:pPr>
            <w:r w:rsidRPr="00A1361A">
              <w:rPr>
                <w:color w:val="000000"/>
                <w:szCs w:val="22"/>
              </w:rPr>
              <w:t>SoCalGas</w:t>
            </w:r>
          </w:p>
        </w:tc>
        <w:tc>
          <w:tcPr>
            <w:tcW w:w="2340" w:type="dxa"/>
            <w:tcBorders>
              <w:top w:val="nil"/>
              <w:left w:val="nil"/>
              <w:bottom w:val="single" w:sz="8" w:space="0" w:color="auto"/>
              <w:right w:val="single" w:sz="8" w:space="0" w:color="auto"/>
            </w:tcBorders>
            <w:shd w:val="clear" w:color="auto" w:fill="auto"/>
            <w:noWrap/>
            <w:tcMar>
              <w:left w:w="0" w:type="dxa"/>
              <w:right w:w="0" w:type="dxa"/>
            </w:tcMar>
            <w:vAlign w:val="center"/>
          </w:tcPr>
          <w:p w14:paraId="08B39C19" w14:textId="77777777" w:rsidR="003475CD" w:rsidRPr="00A1361A" w:rsidRDefault="003475CD" w:rsidP="00B47FF2">
            <w:pPr>
              <w:tabs>
                <w:tab w:val="left" w:pos="2968"/>
              </w:tabs>
              <w:spacing w:before="0" w:after="0"/>
              <w:ind w:left="360" w:right="134"/>
              <w:jc w:val="center"/>
              <w:rPr>
                <w:color w:val="000000"/>
                <w:szCs w:val="22"/>
              </w:rPr>
            </w:pPr>
            <w:r w:rsidRPr="00A1361A">
              <w:rPr>
                <w:color w:val="000000"/>
                <w:szCs w:val="22"/>
              </w:rPr>
              <w:t>$655,624</w:t>
            </w:r>
          </w:p>
        </w:tc>
        <w:tc>
          <w:tcPr>
            <w:tcW w:w="2340" w:type="dxa"/>
            <w:tcBorders>
              <w:top w:val="nil"/>
              <w:left w:val="nil"/>
              <w:bottom w:val="single" w:sz="8" w:space="0" w:color="auto"/>
              <w:right w:val="single" w:sz="8" w:space="0" w:color="auto"/>
            </w:tcBorders>
            <w:shd w:val="clear" w:color="auto" w:fill="auto"/>
            <w:noWrap/>
            <w:tcMar>
              <w:left w:w="0" w:type="dxa"/>
              <w:right w:w="0" w:type="dxa"/>
            </w:tcMar>
            <w:vAlign w:val="center"/>
          </w:tcPr>
          <w:p w14:paraId="6D781E55" w14:textId="77777777" w:rsidR="003475CD" w:rsidRPr="00AA3BE7" w:rsidRDefault="00764ACD" w:rsidP="00B47FF2">
            <w:pPr>
              <w:spacing w:before="0" w:after="0"/>
              <w:ind w:right="-84"/>
              <w:jc w:val="center"/>
              <w:rPr>
                <w:color w:val="FF0000"/>
                <w:szCs w:val="22"/>
                <w:highlight w:val="yellow"/>
              </w:rPr>
            </w:pPr>
            <w:r w:rsidRPr="00832918">
              <w:rPr>
                <w:rFonts w:cs="Calibri"/>
                <w:color w:val="FF0000"/>
                <w:szCs w:val="22"/>
              </w:rPr>
              <w:t>($</w:t>
            </w:r>
            <w:r w:rsidR="00FD215F" w:rsidRPr="00832918">
              <w:rPr>
                <w:rFonts w:cs="Calibri"/>
                <w:color w:val="FF0000"/>
                <w:szCs w:val="22"/>
              </w:rPr>
              <w:t>128,372</w:t>
            </w:r>
            <w:r w:rsidRPr="00832918">
              <w:rPr>
                <w:rFonts w:cs="Calibri"/>
                <w:color w:val="FF0000"/>
                <w:szCs w:val="22"/>
              </w:rPr>
              <w:t>)</w:t>
            </w:r>
          </w:p>
        </w:tc>
        <w:tc>
          <w:tcPr>
            <w:tcW w:w="2340" w:type="dxa"/>
            <w:tcBorders>
              <w:top w:val="nil"/>
              <w:left w:val="nil"/>
              <w:bottom w:val="single" w:sz="8" w:space="0" w:color="auto"/>
              <w:right w:val="single" w:sz="8" w:space="0" w:color="auto"/>
            </w:tcBorders>
            <w:shd w:val="clear" w:color="auto" w:fill="auto"/>
            <w:noWrap/>
            <w:tcMar>
              <w:left w:w="0" w:type="dxa"/>
              <w:right w:w="0" w:type="dxa"/>
            </w:tcMar>
          </w:tcPr>
          <w:p w14:paraId="34308603" w14:textId="77777777" w:rsidR="003475CD" w:rsidRPr="00AA3BE7" w:rsidRDefault="00764ACD" w:rsidP="00926353">
            <w:pPr>
              <w:spacing w:before="0" w:after="0"/>
              <w:ind w:right="39" w:firstLine="1"/>
              <w:jc w:val="center"/>
              <w:rPr>
                <w:color w:val="000000"/>
                <w:szCs w:val="22"/>
                <w:highlight w:val="yellow"/>
              </w:rPr>
            </w:pPr>
            <w:r w:rsidRPr="00832918">
              <w:rPr>
                <w:color w:val="000000"/>
                <w:szCs w:val="22"/>
              </w:rPr>
              <w:t>$</w:t>
            </w:r>
            <w:r w:rsidR="00FD215F" w:rsidRPr="00832918">
              <w:rPr>
                <w:color w:val="000000"/>
                <w:szCs w:val="22"/>
              </w:rPr>
              <w:t>527,252</w:t>
            </w:r>
          </w:p>
        </w:tc>
      </w:tr>
    </w:tbl>
    <w:p w14:paraId="2B607BA8" w14:textId="77777777" w:rsidR="00A1361A" w:rsidRDefault="00A1361A" w:rsidP="00B47FF2">
      <w:bookmarkStart w:id="4" w:name="_Hlk536173164"/>
    </w:p>
    <w:tbl>
      <w:tblPr>
        <w:tblW w:w="9360" w:type="dxa"/>
        <w:tblLayout w:type="fixed"/>
        <w:tblLook w:val="04A0" w:firstRow="1" w:lastRow="0" w:firstColumn="1" w:lastColumn="0" w:noHBand="0" w:noVBand="1"/>
      </w:tblPr>
      <w:tblGrid>
        <w:gridCol w:w="3690"/>
        <w:gridCol w:w="1417"/>
        <w:gridCol w:w="1418"/>
        <w:gridCol w:w="1417"/>
        <w:gridCol w:w="1418"/>
      </w:tblGrid>
      <w:tr w:rsidR="00A52B69" w14:paraId="2A4CCAE0" w14:textId="77777777">
        <w:trPr>
          <w:cantSplit/>
          <w:trHeight w:val="360"/>
        </w:trPr>
        <w:tc>
          <w:tcPr>
            <w:tcW w:w="9360" w:type="dxa"/>
            <w:gridSpan w:val="5"/>
            <w:tcBorders>
              <w:bottom w:val="single" w:sz="4" w:space="0" w:color="auto"/>
            </w:tcBorders>
            <w:shd w:val="clear" w:color="auto" w:fill="auto"/>
            <w:noWrap/>
            <w:vAlign w:val="center"/>
          </w:tcPr>
          <w:p w14:paraId="2F74AE3B" w14:textId="166E26C0" w:rsidR="00F16B11" w:rsidRPr="0025452C" w:rsidRDefault="00C966CB" w:rsidP="00B47FF2">
            <w:pPr>
              <w:spacing w:before="0" w:after="0"/>
              <w:jc w:val="center"/>
              <w:rPr>
                <w:color w:val="000000"/>
              </w:rPr>
            </w:pPr>
            <w:r w:rsidRPr="0025452C">
              <w:t xml:space="preserve">Table </w:t>
            </w:r>
            <w:r w:rsidR="000350FA" w:rsidRPr="0025452C">
              <w:rPr>
                <w:noProof/>
              </w:rPr>
              <w:fldChar w:fldCharType="begin"/>
            </w:r>
            <w:r w:rsidR="000350FA" w:rsidRPr="0025452C">
              <w:rPr>
                <w:noProof/>
              </w:rPr>
              <w:instrText xml:space="preserve"> SEQ Table \* ARABIC </w:instrText>
            </w:r>
            <w:r w:rsidR="000350FA" w:rsidRPr="0025452C">
              <w:rPr>
                <w:noProof/>
              </w:rPr>
              <w:fldChar w:fldCharType="separate"/>
            </w:r>
            <w:r w:rsidR="00CE6758">
              <w:rPr>
                <w:noProof/>
              </w:rPr>
              <w:t>2</w:t>
            </w:r>
            <w:r w:rsidR="000350FA" w:rsidRPr="0025452C">
              <w:rPr>
                <w:noProof/>
              </w:rPr>
              <w:fldChar w:fldCharType="end"/>
            </w:r>
            <w:r w:rsidRPr="0025452C">
              <w:t xml:space="preserve">: </w:t>
            </w:r>
            <w:r w:rsidR="00AD6327" w:rsidRPr="0025452C">
              <w:rPr>
                <w:color w:val="000000"/>
              </w:rPr>
              <w:t xml:space="preserve">Approved </w:t>
            </w:r>
            <w:r w:rsidR="00F16B11" w:rsidRPr="0025452C">
              <w:rPr>
                <w:color w:val="000000"/>
              </w:rPr>
              <w:t xml:space="preserve">ESPI Awards per </w:t>
            </w:r>
            <w:r w:rsidR="00E714E7">
              <w:rPr>
                <w:color w:val="000000"/>
              </w:rPr>
              <w:t>C</w:t>
            </w:r>
            <w:r w:rsidR="00F16B11" w:rsidRPr="0025452C">
              <w:rPr>
                <w:color w:val="000000"/>
              </w:rPr>
              <w:t>omponent</w:t>
            </w:r>
          </w:p>
        </w:tc>
      </w:tr>
      <w:tr w:rsidR="00A52B69" w14:paraId="6F2A6D6E" w14:textId="77777777">
        <w:trPr>
          <w:cantSplit/>
          <w:trHeight w:val="288"/>
        </w:trPr>
        <w:tc>
          <w:tcPr>
            <w:tcW w:w="3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FCB1D" w14:textId="77777777" w:rsidR="00F16B11" w:rsidRPr="0077453B" w:rsidRDefault="00F16B11" w:rsidP="00B47FF2">
            <w:pPr>
              <w:spacing w:before="0" w:after="0"/>
              <w:ind w:right="-149"/>
              <w:rPr>
                <w:b/>
                <w:color w:val="000000"/>
                <w:sz w:val="23"/>
                <w:szCs w:val="23"/>
              </w:rPr>
            </w:pPr>
            <w:r w:rsidRPr="0077453B">
              <w:rPr>
                <w:b/>
                <w:color w:val="000000"/>
                <w:sz w:val="23"/>
                <w:szCs w:val="23"/>
              </w:rPr>
              <w:t>Component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00C45" w14:textId="77777777" w:rsidR="00F16B11" w:rsidRPr="0077453B" w:rsidRDefault="00F16B11" w:rsidP="00B47FF2">
            <w:pPr>
              <w:tabs>
                <w:tab w:val="left" w:pos="1441"/>
              </w:tabs>
              <w:spacing w:before="0" w:after="0"/>
              <w:ind w:right="-165" w:hanging="89"/>
              <w:jc w:val="center"/>
              <w:rPr>
                <w:b/>
                <w:color w:val="000000"/>
                <w:sz w:val="23"/>
                <w:szCs w:val="23"/>
              </w:rPr>
            </w:pPr>
            <w:r w:rsidRPr="0077453B">
              <w:rPr>
                <w:b/>
                <w:color w:val="000000"/>
                <w:sz w:val="23"/>
                <w:szCs w:val="23"/>
              </w:rPr>
              <w:t>PG&amp;E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3B31E" w14:textId="77777777" w:rsidR="00F16B11" w:rsidRPr="0077453B" w:rsidRDefault="00F16B11" w:rsidP="00427C87">
            <w:pPr>
              <w:spacing w:before="0" w:after="0"/>
              <w:ind w:leftChars="-49" w:left="-102" w:right="-120" w:hangingChars="7" w:hanging="16"/>
              <w:jc w:val="center"/>
              <w:rPr>
                <w:b/>
                <w:color w:val="000000"/>
                <w:sz w:val="23"/>
                <w:szCs w:val="23"/>
              </w:rPr>
            </w:pPr>
            <w:r w:rsidRPr="0077453B">
              <w:rPr>
                <w:b/>
                <w:color w:val="000000"/>
                <w:sz w:val="23"/>
                <w:szCs w:val="23"/>
              </w:rPr>
              <w:t>SCE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B7012" w14:textId="77777777" w:rsidR="00F16B11" w:rsidRPr="0077453B" w:rsidRDefault="00F16B11" w:rsidP="00B47FF2">
            <w:pPr>
              <w:spacing w:before="0" w:after="0"/>
              <w:jc w:val="center"/>
              <w:rPr>
                <w:b/>
                <w:color w:val="000000"/>
                <w:sz w:val="23"/>
                <w:szCs w:val="23"/>
              </w:rPr>
            </w:pPr>
            <w:r w:rsidRPr="0077453B">
              <w:rPr>
                <w:b/>
                <w:color w:val="000000"/>
                <w:sz w:val="23"/>
                <w:szCs w:val="23"/>
              </w:rPr>
              <w:t>SDG&amp;E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74B24" w14:textId="77777777" w:rsidR="00F16B11" w:rsidRPr="0077453B" w:rsidRDefault="00F16B11" w:rsidP="00B47FF2">
            <w:pPr>
              <w:spacing w:before="0" w:after="0"/>
              <w:ind w:left="-29"/>
              <w:jc w:val="center"/>
              <w:rPr>
                <w:b/>
                <w:color w:val="000000"/>
                <w:sz w:val="23"/>
                <w:szCs w:val="23"/>
              </w:rPr>
            </w:pPr>
            <w:r w:rsidRPr="0077453B">
              <w:rPr>
                <w:b/>
                <w:color w:val="000000"/>
                <w:sz w:val="23"/>
                <w:szCs w:val="23"/>
              </w:rPr>
              <w:t>SoCalGas</w:t>
            </w:r>
          </w:p>
        </w:tc>
      </w:tr>
      <w:tr w:rsidR="00A52B69" w14:paraId="03CBD0F5" w14:textId="77777777">
        <w:trPr>
          <w:cantSplit/>
          <w:trHeight w:val="288"/>
        </w:trPr>
        <w:tc>
          <w:tcPr>
            <w:tcW w:w="3690" w:type="dxa"/>
            <w:tcBorders>
              <w:top w:val="single" w:sz="4" w:space="0" w:color="auto"/>
              <w:left w:val="single" w:sz="4" w:space="0" w:color="auto"/>
              <w:right w:val="single" w:sz="4" w:space="0" w:color="auto"/>
            </w:tcBorders>
            <w:shd w:val="clear" w:color="auto" w:fill="auto"/>
            <w:noWrap/>
            <w:vAlign w:val="center"/>
            <w:hideMark/>
          </w:tcPr>
          <w:p w14:paraId="49B50E7F" w14:textId="77777777" w:rsidR="00F16B11" w:rsidRPr="0077453B" w:rsidRDefault="00F16B11" w:rsidP="00B47FF2">
            <w:pPr>
              <w:spacing w:before="0" w:after="0"/>
              <w:ind w:right="-149"/>
              <w:rPr>
                <w:color w:val="000000"/>
                <w:sz w:val="23"/>
                <w:szCs w:val="23"/>
              </w:rPr>
            </w:pPr>
            <w:r w:rsidRPr="0077453B">
              <w:rPr>
                <w:color w:val="000000"/>
                <w:sz w:val="23"/>
                <w:szCs w:val="23"/>
              </w:rPr>
              <w:t xml:space="preserve">2016 Ex-Post Savings </w:t>
            </w:r>
          </w:p>
        </w:tc>
        <w:tc>
          <w:tcPr>
            <w:tcW w:w="1417" w:type="dxa"/>
            <w:tcBorders>
              <w:top w:val="single" w:sz="4" w:space="0" w:color="auto"/>
              <w:left w:val="single" w:sz="4" w:space="0" w:color="auto"/>
              <w:right w:val="single" w:sz="4" w:space="0" w:color="auto"/>
            </w:tcBorders>
            <w:shd w:val="clear" w:color="auto" w:fill="auto"/>
            <w:noWrap/>
          </w:tcPr>
          <w:p w14:paraId="41F9E997" w14:textId="77777777" w:rsidR="00F16B11" w:rsidRPr="0077453B" w:rsidRDefault="00F16B11" w:rsidP="00B47FF2">
            <w:pPr>
              <w:spacing w:before="0" w:after="0"/>
              <w:ind w:leftChars="-5" w:left="2" w:right="15" w:hangingChars="6" w:hanging="14"/>
              <w:jc w:val="right"/>
              <w:rPr>
                <w:color w:val="000000"/>
                <w:sz w:val="23"/>
                <w:szCs w:val="23"/>
              </w:rPr>
            </w:pPr>
            <w:r w:rsidRPr="0077453B">
              <w:rPr>
                <w:color w:val="000000"/>
                <w:sz w:val="23"/>
                <w:szCs w:val="23"/>
              </w:rPr>
              <w:t>$4,667,189</w:t>
            </w:r>
          </w:p>
        </w:tc>
        <w:tc>
          <w:tcPr>
            <w:tcW w:w="1418" w:type="dxa"/>
            <w:tcBorders>
              <w:top w:val="single" w:sz="4" w:space="0" w:color="auto"/>
              <w:left w:val="single" w:sz="4" w:space="0" w:color="auto"/>
              <w:right w:val="single" w:sz="4" w:space="0" w:color="auto"/>
            </w:tcBorders>
            <w:shd w:val="clear" w:color="auto" w:fill="auto"/>
            <w:noWrap/>
          </w:tcPr>
          <w:p w14:paraId="2B831C53" w14:textId="77777777" w:rsidR="00F16B11" w:rsidRPr="0077453B" w:rsidRDefault="00F16B11" w:rsidP="00B47FF2">
            <w:pPr>
              <w:spacing w:before="0" w:after="0"/>
              <w:ind w:leftChars="-49" w:left="-102" w:hangingChars="7" w:hanging="16"/>
              <w:jc w:val="right"/>
              <w:rPr>
                <w:color w:val="000000"/>
                <w:sz w:val="23"/>
                <w:szCs w:val="23"/>
              </w:rPr>
            </w:pPr>
            <w:r w:rsidRPr="0077453B">
              <w:rPr>
                <w:color w:val="000000"/>
                <w:sz w:val="23"/>
                <w:szCs w:val="23"/>
              </w:rPr>
              <w:t>$4,460,393</w:t>
            </w:r>
          </w:p>
        </w:tc>
        <w:tc>
          <w:tcPr>
            <w:tcW w:w="1417" w:type="dxa"/>
            <w:tcBorders>
              <w:top w:val="single" w:sz="4" w:space="0" w:color="auto"/>
              <w:left w:val="single" w:sz="4" w:space="0" w:color="auto"/>
              <w:right w:val="single" w:sz="4" w:space="0" w:color="auto"/>
            </w:tcBorders>
            <w:shd w:val="clear" w:color="auto" w:fill="auto"/>
            <w:noWrap/>
          </w:tcPr>
          <w:p w14:paraId="5FE26727" w14:textId="77777777" w:rsidR="00F16B11" w:rsidRPr="0077453B" w:rsidRDefault="00F16B11" w:rsidP="00B47FF2">
            <w:pPr>
              <w:spacing w:before="0" w:after="0"/>
              <w:jc w:val="right"/>
              <w:rPr>
                <w:color w:val="000000"/>
                <w:sz w:val="23"/>
                <w:szCs w:val="23"/>
              </w:rPr>
            </w:pPr>
            <w:r w:rsidRPr="0077453B">
              <w:rPr>
                <w:color w:val="000000"/>
                <w:sz w:val="23"/>
                <w:szCs w:val="23"/>
              </w:rPr>
              <w:t>$2,263,942</w:t>
            </w:r>
          </w:p>
        </w:tc>
        <w:tc>
          <w:tcPr>
            <w:tcW w:w="1418" w:type="dxa"/>
            <w:tcBorders>
              <w:top w:val="single" w:sz="4" w:space="0" w:color="auto"/>
              <w:left w:val="single" w:sz="4" w:space="0" w:color="auto"/>
              <w:right w:val="single" w:sz="4" w:space="0" w:color="auto"/>
            </w:tcBorders>
            <w:shd w:val="clear" w:color="auto" w:fill="auto"/>
            <w:noWrap/>
          </w:tcPr>
          <w:p w14:paraId="0B9C3C8E" w14:textId="77777777" w:rsidR="00F16B11" w:rsidRPr="0077453B" w:rsidRDefault="00F16B11" w:rsidP="00B47FF2">
            <w:pPr>
              <w:spacing w:before="0" w:after="0"/>
              <w:ind w:left="-198"/>
              <w:jc w:val="right"/>
              <w:rPr>
                <w:color w:val="000000"/>
                <w:sz w:val="23"/>
                <w:szCs w:val="23"/>
              </w:rPr>
            </w:pPr>
            <w:r w:rsidRPr="0077453B">
              <w:rPr>
                <w:color w:val="000000"/>
                <w:sz w:val="23"/>
                <w:szCs w:val="23"/>
              </w:rPr>
              <w:t>$1,136,886</w:t>
            </w:r>
          </w:p>
        </w:tc>
      </w:tr>
      <w:tr w:rsidR="00A52B69" w14:paraId="3E798D32" w14:textId="77777777">
        <w:trPr>
          <w:cantSplit/>
          <w:trHeight w:val="288"/>
        </w:trPr>
        <w:tc>
          <w:tcPr>
            <w:tcW w:w="3690" w:type="dxa"/>
            <w:tcBorders>
              <w:left w:val="single" w:sz="4" w:space="0" w:color="auto"/>
              <w:right w:val="single" w:sz="4" w:space="0" w:color="auto"/>
            </w:tcBorders>
            <w:shd w:val="clear" w:color="auto" w:fill="auto"/>
            <w:noWrap/>
            <w:vAlign w:val="center"/>
            <w:hideMark/>
          </w:tcPr>
          <w:p w14:paraId="3D1BF16A" w14:textId="77777777" w:rsidR="00F16B11" w:rsidRPr="0077453B" w:rsidRDefault="00F16B11" w:rsidP="00B47FF2">
            <w:pPr>
              <w:spacing w:before="0" w:after="0"/>
              <w:ind w:right="-149"/>
              <w:rPr>
                <w:color w:val="000000"/>
                <w:sz w:val="23"/>
                <w:szCs w:val="23"/>
              </w:rPr>
            </w:pPr>
            <w:r w:rsidRPr="0077453B">
              <w:rPr>
                <w:color w:val="000000"/>
                <w:sz w:val="23"/>
                <w:szCs w:val="23"/>
              </w:rPr>
              <w:t xml:space="preserve">2017 Ex-Ante Savings </w:t>
            </w:r>
          </w:p>
        </w:tc>
        <w:tc>
          <w:tcPr>
            <w:tcW w:w="1417" w:type="dxa"/>
            <w:tcBorders>
              <w:left w:val="single" w:sz="4" w:space="0" w:color="auto"/>
              <w:right w:val="single" w:sz="4" w:space="0" w:color="auto"/>
            </w:tcBorders>
            <w:shd w:val="clear" w:color="auto" w:fill="auto"/>
            <w:noWrap/>
          </w:tcPr>
          <w:p w14:paraId="74094200" w14:textId="77777777" w:rsidR="00F16B11" w:rsidRPr="0077453B" w:rsidRDefault="00F16B11" w:rsidP="00B47FF2">
            <w:pPr>
              <w:spacing w:before="0" w:after="0"/>
              <w:ind w:leftChars="-48" w:left="-99" w:right="15" w:hangingChars="7" w:hanging="16"/>
              <w:jc w:val="right"/>
              <w:rPr>
                <w:color w:val="000000"/>
                <w:sz w:val="23"/>
                <w:szCs w:val="23"/>
              </w:rPr>
            </w:pPr>
            <w:r w:rsidRPr="0077453B">
              <w:rPr>
                <w:color w:val="000000"/>
                <w:sz w:val="23"/>
                <w:szCs w:val="23"/>
              </w:rPr>
              <w:t>$1,708,917</w:t>
            </w:r>
          </w:p>
        </w:tc>
        <w:tc>
          <w:tcPr>
            <w:tcW w:w="1418" w:type="dxa"/>
            <w:tcBorders>
              <w:left w:val="single" w:sz="4" w:space="0" w:color="auto"/>
              <w:right w:val="single" w:sz="4" w:space="0" w:color="auto"/>
            </w:tcBorders>
            <w:shd w:val="clear" w:color="auto" w:fill="auto"/>
            <w:noWrap/>
          </w:tcPr>
          <w:p w14:paraId="2235F9AE" w14:textId="77777777" w:rsidR="00F16B11" w:rsidRPr="0077453B" w:rsidRDefault="00F16B11" w:rsidP="00B47FF2">
            <w:pPr>
              <w:spacing w:before="0" w:after="0"/>
              <w:jc w:val="right"/>
              <w:rPr>
                <w:color w:val="000000"/>
                <w:sz w:val="23"/>
                <w:szCs w:val="23"/>
              </w:rPr>
            </w:pPr>
            <w:r w:rsidRPr="0077453B">
              <w:rPr>
                <w:color w:val="000000"/>
                <w:sz w:val="23"/>
                <w:szCs w:val="23"/>
              </w:rPr>
              <w:t>$1,947,142</w:t>
            </w:r>
          </w:p>
        </w:tc>
        <w:tc>
          <w:tcPr>
            <w:tcW w:w="1417" w:type="dxa"/>
            <w:tcBorders>
              <w:left w:val="single" w:sz="4" w:space="0" w:color="auto"/>
              <w:right w:val="single" w:sz="4" w:space="0" w:color="auto"/>
            </w:tcBorders>
            <w:shd w:val="clear" w:color="auto" w:fill="auto"/>
            <w:noWrap/>
          </w:tcPr>
          <w:p w14:paraId="0BB84F79" w14:textId="77777777" w:rsidR="00F16B11" w:rsidRPr="0077453B" w:rsidRDefault="00F16B11" w:rsidP="00B47FF2">
            <w:pPr>
              <w:spacing w:before="0" w:after="0"/>
              <w:ind w:firstLineChars="100" w:firstLine="230"/>
              <w:jc w:val="right"/>
              <w:rPr>
                <w:color w:val="000000"/>
                <w:sz w:val="23"/>
                <w:szCs w:val="23"/>
              </w:rPr>
            </w:pPr>
            <w:r w:rsidRPr="0077453B">
              <w:rPr>
                <w:color w:val="000000"/>
                <w:sz w:val="23"/>
                <w:szCs w:val="23"/>
              </w:rPr>
              <w:t>$267,957</w:t>
            </w:r>
          </w:p>
        </w:tc>
        <w:tc>
          <w:tcPr>
            <w:tcW w:w="1418" w:type="dxa"/>
            <w:tcBorders>
              <w:left w:val="single" w:sz="4" w:space="0" w:color="auto"/>
              <w:right w:val="single" w:sz="4" w:space="0" w:color="auto"/>
            </w:tcBorders>
            <w:shd w:val="clear" w:color="auto" w:fill="auto"/>
            <w:noWrap/>
          </w:tcPr>
          <w:p w14:paraId="38CD7E78" w14:textId="77777777" w:rsidR="00F16B11" w:rsidRPr="0077453B" w:rsidRDefault="00F16B11" w:rsidP="00B47FF2">
            <w:pPr>
              <w:spacing w:before="0" w:after="0"/>
              <w:ind w:left="-198"/>
              <w:jc w:val="right"/>
              <w:rPr>
                <w:color w:val="000000"/>
                <w:sz w:val="23"/>
                <w:szCs w:val="23"/>
              </w:rPr>
            </w:pPr>
            <w:r w:rsidRPr="0077453B">
              <w:rPr>
                <w:color w:val="000000"/>
                <w:sz w:val="23"/>
                <w:szCs w:val="23"/>
              </w:rPr>
              <w:t>$188,272</w:t>
            </w:r>
          </w:p>
        </w:tc>
      </w:tr>
      <w:tr w:rsidR="00A52B69" w14:paraId="4BD17C64" w14:textId="77777777">
        <w:trPr>
          <w:cantSplit/>
          <w:trHeight w:val="288"/>
        </w:trPr>
        <w:tc>
          <w:tcPr>
            <w:tcW w:w="3690" w:type="dxa"/>
            <w:tcBorders>
              <w:left w:val="single" w:sz="4" w:space="0" w:color="auto"/>
              <w:right w:val="single" w:sz="4" w:space="0" w:color="auto"/>
            </w:tcBorders>
            <w:shd w:val="clear" w:color="auto" w:fill="auto"/>
            <w:noWrap/>
            <w:vAlign w:val="center"/>
            <w:hideMark/>
          </w:tcPr>
          <w:p w14:paraId="582A9B91" w14:textId="77777777" w:rsidR="00F16B11" w:rsidRPr="0077453B" w:rsidRDefault="00F16B11" w:rsidP="00B47FF2">
            <w:pPr>
              <w:spacing w:before="0" w:after="0"/>
              <w:ind w:right="-149"/>
              <w:rPr>
                <w:color w:val="000000"/>
                <w:sz w:val="23"/>
                <w:szCs w:val="23"/>
              </w:rPr>
            </w:pPr>
            <w:r w:rsidRPr="0077453B">
              <w:rPr>
                <w:color w:val="000000"/>
                <w:sz w:val="23"/>
                <w:szCs w:val="23"/>
              </w:rPr>
              <w:t xml:space="preserve">2017 Ex-Ante Review Performance </w:t>
            </w:r>
          </w:p>
        </w:tc>
        <w:tc>
          <w:tcPr>
            <w:tcW w:w="1417" w:type="dxa"/>
            <w:tcBorders>
              <w:left w:val="single" w:sz="4" w:space="0" w:color="auto"/>
              <w:right w:val="single" w:sz="4" w:space="0" w:color="auto"/>
            </w:tcBorders>
            <w:shd w:val="clear" w:color="auto" w:fill="auto"/>
            <w:noWrap/>
            <w:vAlign w:val="center"/>
          </w:tcPr>
          <w:p w14:paraId="759EF2CC" w14:textId="77777777" w:rsidR="00F16B11" w:rsidRPr="000A337C" w:rsidRDefault="00CB00DE" w:rsidP="00B47FF2">
            <w:pPr>
              <w:spacing w:before="0" w:after="0"/>
              <w:ind w:right="15" w:hanging="89"/>
              <w:jc w:val="right"/>
              <w:rPr>
                <w:rFonts w:cs="Calibri"/>
                <w:color w:val="000000"/>
                <w:sz w:val="23"/>
                <w:szCs w:val="23"/>
                <w:highlight w:val="yellow"/>
              </w:rPr>
            </w:pPr>
            <w:r w:rsidRPr="00CB00DE">
              <w:rPr>
                <w:rFonts w:cs="Calibri"/>
                <w:color w:val="000000"/>
                <w:sz w:val="23"/>
                <w:szCs w:val="23"/>
              </w:rPr>
              <w:t>$4,589,853</w:t>
            </w:r>
          </w:p>
        </w:tc>
        <w:tc>
          <w:tcPr>
            <w:tcW w:w="1418" w:type="dxa"/>
            <w:tcBorders>
              <w:left w:val="single" w:sz="4" w:space="0" w:color="auto"/>
              <w:right w:val="single" w:sz="4" w:space="0" w:color="auto"/>
            </w:tcBorders>
            <w:shd w:val="clear" w:color="auto" w:fill="auto"/>
            <w:noWrap/>
            <w:vAlign w:val="center"/>
          </w:tcPr>
          <w:p w14:paraId="6DD5763D" w14:textId="77777777" w:rsidR="00F16B11" w:rsidRPr="000A337C" w:rsidRDefault="00F179B9" w:rsidP="00B47FF2">
            <w:pPr>
              <w:spacing w:before="0" w:after="0"/>
              <w:ind w:firstLineChars="15" w:firstLine="34"/>
              <w:jc w:val="right"/>
              <w:rPr>
                <w:color w:val="000000"/>
                <w:sz w:val="23"/>
                <w:szCs w:val="23"/>
                <w:highlight w:val="yellow"/>
              </w:rPr>
            </w:pPr>
            <w:r w:rsidRPr="00F179B9">
              <w:rPr>
                <w:rFonts w:cs="Calibri"/>
                <w:color w:val="000000"/>
                <w:sz w:val="23"/>
                <w:szCs w:val="23"/>
              </w:rPr>
              <w:t>$3,249,622</w:t>
            </w:r>
          </w:p>
        </w:tc>
        <w:tc>
          <w:tcPr>
            <w:tcW w:w="1417" w:type="dxa"/>
            <w:tcBorders>
              <w:left w:val="single" w:sz="4" w:space="0" w:color="auto"/>
              <w:right w:val="single" w:sz="4" w:space="0" w:color="auto"/>
            </w:tcBorders>
            <w:shd w:val="clear" w:color="auto" w:fill="auto"/>
            <w:noWrap/>
            <w:vAlign w:val="center"/>
          </w:tcPr>
          <w:p w14:paraId="3126055C" w14:textId="77777777" w:rsidR="00F16B11" w:rsidRPr="00FD382B" w:rsidRDefault="004E4E3A" w:rsidP="00B47FF2">
            <w:pPr>
              <w:spacing w:before="0" w:after="0"/>
              <w:jc w:val="right"/>
              <w:rPr>
                <w:color w:val="000000"/>
                <w:sz w:val="23"/>
                <w:szCs w:val="23"/>
              </w:rPr>
            </w:pPr>
            <w:r w:rsidRPr="004E4E3A">
              <w:rPr>
                <w:rFonts w:cs="Calibri"/>
                <w:color w:val="000000"/>
                <w:sz w:val="23"/>
                <w:szCs w:val="23"/>
              </w:rPr>
              <w:t xml:space="preserve">$1,065,791 </w:t>
            </w:r>
          </w:p>
        </w:tc>
        <w:tc>
          <w:tcPr>
            <w:tcW w:w="1418" w:type="dxa"/>
            <w:tcBorders>
              <w:left w:val="single" w:sz="4" w:space="0" w:color="auto"/>
              <w:right w:val="single" w:sz="4" w:space="0" w:color="auto"/>
            </w:tcBorders>
            <w:shd w:val="clear" w:color="auto" w:fill="auto"/>
            <w:noWrap/>
            <w:vAlign w:val="center"/>
          </w:tcPr>
          <w:p w14:paraId="1AA8765D" w14:textId="77777777" w:rsidR="00F16B11" w:rsidRPr="000A337C" w:rsidRDefault="00764ACD" w:rsidP="00B47FF2">
            <w:pPr>
              <w:spacing w:before="0" w:after="0"/>
              <w:ind w:left="-198"/>
              <w:jc w:val="right"/>
              <w:rPr>
                <w:color w:val="000000"/>
                <w:sz w:val="23"/>
                <w:szCs w:val="23"/>
                <w:highlight w:val="yellow"/>
              </w:rPr>
            </w:pPr>
            <w:r w:rsidRPr="00764ACD">
              <w:rPr>
                <w:rFonts w:cs="Calibri"/>
                <w:color w:val="000000"/>
                <w:sz w:val="23"/>
                <w:szCs w:val="23"/>
              </w:rPr>
              <w:t>$</w:t>
            </w:r>
            <w:r w:rsidR="00E55406">
              <w:rPr>
                <w:rFonts w:cs="Calibri"/>
                <w:color w:val="000000"/>
                <w:sz w:val="23"/>
                <w:szCs w:val="23"/>
              </w:rPr>
              <w:t>626,844</w:t>
            </w:r>
          </w:p>
        </w:tc>
      </w:tr>
      <w:tr w:rsidR="00A52B69" w14:paraId="17D94DC0" w14:textId="77777777">
        <w:trPr>
          <w:cantSplit/>
          <w:trHeight w:val="288"/>
        </w:trPr>
        <w:tc>
          <w:tcPr>
            <w:tcW w:w="3690" w:type="dxa"/>
            <w:tcBorders>
              <w:left w:val="single" w:sz="4" w:space="0" w:color="auto"/>
              <w:right w:val="single" w:sz="4" w:space="0" w:color="auto"/>
            </w:tcBorders>
            <w:shd w:val="clear" w:color="auto" w:fill="auto"/>
            <w:noWrap/>
            <w:vAlign w:val="center"/>
            <w:hideMark/>
          </w:tcPr>
          <w:p w14:paraId="3E9DE16B" w14:textId="77777777" w:rsidR="00F16B11" w:rsidRPr="0077453B" w:rsidRDefault="00F16B11" w:rsidP="00B47FF2">
            <w:pPr>
              <w:spacing w:before="0" w:after="0"/>
              <w:ind w:right="-149"/>
              <w:rPr>
                <w:color w:val="000000"/>
                <w:sz w:val="23"/>
                <w:szCs w:val="23"/>
              </w:rPr>
            </w:pPr>
            <w:r w:rsidRPr="0077453B">
              <w:rPr>
                <w:color w:val="000000"/>
                <w:sz w:val="23"/>
                <w:szCs w:val="23"/>
              </w:rPr>
              <w:t xml:space="preserve">2017 Codes &amp; Standards </w:t>
            </w:r>
          </w:p>
        </w:tc>
        <w:tc>
          <w:tcPr>
            <w:tcW w:w="1417" w:type="dxa"/>
            <w:tcBorders>
              <w:left w:val="single" w:sz="4" w:space="0" w:color="auto"/>
              <w:right w:val="single" w:sz="4" w:space="0" w:color="auto"/>
            </w:tcBorders>
            <w:shd w:val="clear" w:color="auto" w:fill="auto"/>
            <w:noWrap/>
            <w:vAlign w:val="center"/>
          </w:tcPr>
          <w:p w14:paraId="49DD9E96" w14:textId="77777777" w:rsidR="00F16B11" w:rsidRPr="0077453B" w:rsidRDefault="00F16B11" w:rsidP="00B47FF2">
            <w:pPr>
              <w:spacing w:before="0" w:after="0"/>
              <w:ind w:left="-198" w:right="15" w:hanging="89"/>
              <w:jc w:val="right"/>
              <w:rPr>
                <w:color w:val="000000"/>
                <w:sz w:val="23"/>
                <w:szCs w:val="23"/>
              </w:rPr>
            </w:pPr>
            <w:r w:rsidRPr="0077453B">
              <w:rPr>
                <w:rFonts w:cs="Calibri"/>
                <w:color w:val="000000"/>
                <w:sz w:val="23"/>
                <w:szCs w:val="23"/>
              </w:rPr>
              <w:t xml:space="preserve"> $1,839,268 </w:t>
            </w:r>
          </w:p>
        </w:tc>
        <w:tc>
          <w:tcPr>
            <w:tcW w:w="1418" w:type="dxa"/>
            <w:tcBorders>
              <w:left w:val="single" w:sz="4" w:space="0" w:color="auto"/>
              <w:right w:val="single" w:sz="4" w:space="0" w:color="auto"/>
            </w:tcBorders>
            <w:shd w:val="clear" w:color="auto" w:fill="auto"/>
            <w:noWrap/>
            <w:vAlign w:val="center"/>
          </w:tcPr>
          <w:p w14:paraId="5619BCBA" w14:textId="77777777" w:rsidR="00F16B11" w:rsidRPr="0077453B" w:rsidRDefault="00F16B11" w:rsidP="00B47FF2">
            <w:pPr>
              <w:spacing w:before="0" w:after="0"/>
              <w:jc w:val="right"/>
              <w:rPr>
                <w:color w:val="000000"/>
                <w:sz w:val="23"/>
                <w:szCs w:val="23"/>
              </w:rPr>
            </w:pPr>
            <w:r w:rsidRPr="0077453B">
              <w:rPr>
                <w:rFonts w:cs="Calibri"/>
                <w:color w:val="000000"/>
                <w:sz w:val="23"/>
                <w:szCs w:val="23"/>
              </w:rPr>
              <w:t xml:space="preserve"> $474,404 </w:t>
            </w:r>
          </w:p>
        </w:tc>
        <w:tc>
          <w:tcPr>
            <w:tcW w:w="1417" w:type="dxa"/>
            <w:tcBorders>
              <w:left w:val="single" w:sz="4" w:space="0" w:color="auto"/>
              <w:right w:val="single" w:sz="4" w:space="0" w:color="auto"/>
            </w:tcBorders>
            <w:shd w:val="clear" w:color="auto" w:fill="auto"/>
            <w:noWrap/>
            <w:vAlign w:val="center"/>
          </w:tcPr>
          <w:p w14:paraId="346A1C6A" w14:textId="77777777" w:rsidR="00F16B11" w:rsidRPr="00FD382B" w:rsidRDefault="00F16B11" w:rsidP="00B47FF2">
            <w:pPr>
              <w:spacing w:before="0" w:after="0"/>
              <w:ind w:firstLineChars="100" w:firstLine="230"/>
              <w:jc w:val="right"/>
              <w:rPr>
                <w:color w:val="000000"/>
                <w:sz w:val="23"/>
                <w:szCs w:val="23"/>
              </w:rPr>
            </w:pPr>
            <w:r w:rsidRPr="00FD382B">
              <w:rPr>
                <w:rFonts w:cs="Calibri"/>
                <w:color w:val="000000"/>
                <w:sz w:val="23"/>
                <w:szCs w:val="23"/>
              </w:rPr>
              <w:t xml:space="preserve"> $109,303 </w:t>
            </w:r>
          </w:p>
        </w:tc>
        <w:tc>
          <w:tcPr>
            <w:tcW w:w="1418" w:type="dxa"/>
            <w:tcBorders>
              <w:left w:val="single" w:sz="4" w:space="0" w:color="auto"/>
              <w:right w:val="single" w:sz="4" w:space="0" w:color="auto"/>
            </w:tcBorders>
            <w:shd w:val="clear" w:color="auto" w:fill="auto"/>
            <w:noWrap/>
            <w:vAlign w:val="center"/>
          </w:tcPr>
          <w:p w14:paraId="65D0D71D" w14:textId="77777777" w:rsidR="00F16B11" w:rsidRPr="00AA3BE7" w:rsidRDefault="00F16B11" w:rsidP="00B47FF2">
            <w:pPr>
              <w:spacing w:before="0" w:after="0"/>
              <w:ind w:left="-198"/>
              <w:jc w:val="right"/>
              <w:rPr>
                <w:color w:val="000000"/>
                <w:sz w:val="23"/>
                <w:szCs w:val="23"/>
                <w:highlight w:val="yellow"/>
              </w:rPr>
            </w:pPr>
            <w:r w:rsidRPr="00832918">
              <w:rPr>
                <w:rFonts w:cs="Calibri"/>
                <w:color w:val="000000"/>
                <w:sz w:val="23"/>
                <w:szCs w:val="23"/>
              </w:rPr>
              <w:t xml:space="preserve"> $</w:t>
            </w:r>
            <w:r w:rsidR="008E0E0D" w:rsidRPr="00832918">
              <w:rPr>
                <w:rFonts w:cs="Calibri"/>
                <w:color w:val="000000"/>
                <w:sz w:val="23"/>
                <w:szCs w:val="23"/>
              </w:rPr>
              <w:t>0</w:t>
            </w:r>
            <w:r w:rsidRPr="00832918">
              <w:rPr>
                <w:rFonts w:cs="Calibri"/>
                <w:color w:val="000000"/>
                <w:sz w:val="23"/>
                <w:szCs w:val="23"/>
              </w:rPr>
              <w:t xml:space="preserve"> </w:t>
            </w:r>
          </w:p>
        </w:tc>
      </w:tr>
      <w:tr w:rsidR="00A52B69" w14:paraId="29315765" w14:textId="77777777">
        <w:trPr>
          <w:cantSplit/>
          <w:trHeight w:val="288"/>
        </w:trPr>
        <w:tc>
          <w:tcPr>
            <w:tcW w:w="3690" w:type="dxa"/>
            <w:tcBorders>
              <w:left w:val="single" w:sz="4" w:space="0" w:color="auto"/>
              <w:right w:val="single" w:sz="4" w:space="0" w:color="auto"/>
            </w:tcBorders>
            <w:shd w:val="clear" w:color="auto" w:fill="auto"/>
            <w:noWrap/>
            <w:vAlign w:val="center"/>
            <w:hideMark/>
          </w:tcPr>
          <w:p w14:paraId="06888CE7" w14:textId="77777777" w:rsidR="00F16B11" w:rsidRPr="0077453B" w:rsidRDefault="00F16B11" w:rsidP="00B47FF2">
            <w:pPr>
              <w:spacing w:before="0" w:after="0"/>
              <w:ind w:right="-149"/>
              <w:rPr>
                <w:color w:val="000000"/>
                <w:sz w:val="23"/>
                <w:szCs w:val="23"/>
              </w:rPr>
            </w:pPr>
            <w:r w:rsidRPr="0077453B">
              <w:rPr>
                <w:color w:val="000000"/>
                <w:sz w:val="23"/>
                <w:szCs w:val="23"/>
              </w:rPr>
              <w:t>2017 Non-Resource</w:t>
            </w:r>
          </w:p>
        </w:tc>
        <w:tc>
          <w:tcPr>
            <w:tcW w:w="1417" w:type="dxa"/>
            <w:tcBorders>
              <w:left w:val="single" w:sz="4" w:space="0" w:color="auto"/>
              <w:right w:val="single" w:sz="4" w:space="0" w:color="auto"/>
            </w:tcBorders>
            <w:shd w:val="clear" w:color="auto" w:fill="auto"/>
            <w:noWrap/>
            <w:vAlign w:val="center"/>
          </w:tcPr>
          <w:p w14:paraId="3F923EB4" w14:textId="77777777" w:rsidR="00F16B11" w:rsidRPr="0077453B" w:rsidRDefault="00F16B11" w:rsidP="00B47FF2">
            <w:pPr>
              <w:spacing w:before="0" w:after="0"/>
              <w:ind w:leftChars="-6" w:left="2" w:right="15" w:hangingChars="7" w:hanging="16"/>
              <w:jc w:val="right"/>
              <w:rPr>
                <w:color w:val="000000"/>
                <w:sz w:val="23"/>
                <w:szCs w:val="23"/>
              </w:rPr>
            </w:pPr>
            <w:r w:rsidRPr="0077453B">
              <w:rPr>
                <w:rFonts w:cs="Calibri"/>
                <w:color w:val="000000"/>
                <w:sz w:val="23"/>
                <w:szCs w:val="23"/>
              </w:rPr>
              <w:t xml:space="preserve"> $615,426 </w:t>
            </w:r>
          </w:p>
        </w:tc>
        <w:tc>
          <w:tcPr>
            <w:tcW w:w="1418" w:type="dxa"/>
            <w:tcBorders>
              <w:left w:val="single" w:sz="4" w:space="0" w:color="auto"/>
              <w:right w:val="single" w:sz="4" w:space="0" w:color="auto"/>
            </w:tcBorders>
            <w:shd w:val="clear" w:color="auto" w:fill="auto"/>
            <w:noWrap/>
            <w:vAlign w:val="center"/>
          </w:tcPr>
          <w:p w14:paraId="687C4F7D" w14:textId="77777777" w:rsidR="00F16B11" w:rsidRPr="0077453B" w:rsidRDefault="00F16B11" w:rsidP="00B47FF2">
            <w:pPr>
              <w:spacing w:before="0" w:after="0"/>
              <w:jc w:val="right"/>
              <w:rPr>
                <w:color w:val="000000"/>
                <w:sz w:val="23"/>
                <w:szCs w:val="23"/>
              </w:rPr>
            </w:pPr>
            <w:r w:rsidRPr="0077453B">
              <w:rPr>
                <w:rFonts w:cs="Calibri"/>
                <w:color w:val="000000"/>
                <w:sz w:val="23"/>
                <w:szCs w:val="23"/>
              </w:rPr>
              <w:t xml:space="preserve"> $466,969 </w:t>
            </w:r>
          </w:p>
        </w:tc>
        <w:tc>
          <w:tcPr>
            <w:tcW w:w="1417" w:type="dxa"/>
            <w:tcBorders>
              <w:left w:val="single" w:sz="4" w:space="0" w:color="auto"/>
              <w:right w:val="single" w:sz="4" w:space="0" w:color="auto"/>
            </w:tcBorders>
            <w:shd w:val="clear" w:color="auto" w:fill="auto"/>
            <w:noWrap/>
            <w:vAlign w:val="center"/>
          </w:tcPr>
          <w:p w14:paraId="04024EEC" w14:textId="77777777" w:rsidR="00F16B11" w:rsidRPr="00FD382B" w:rsidRDefault="00F16B11" w:rsidP="00B47FF2">
            <w:pPr>
              <w:spacing w:before="0" w:after="0"/>
              <w:ind w:firstLineChars="100" w:firstLine="230"/>
              <w:jc w:val="right"/>
              <w:rPr>
                <w:color w:val="000000"/>
                <w:sz w:val="23"/>
                <w:szCs w:val="23"/>
              </w:rPr>
            </w:pPr>
            <w:r w:rsidRPr="00FD382B">
              <w:rPr>
                <w:rFonts w:cs="Calibri"/>
                <w:color w:val="000000"/>
                <w:sz w:val="23"/>
                <w:szCs w:val="23"/>
              </w:rPr>
              <w:t xml:space="preserve"> $</w:t>
            </w:r>
            <w:r w:rsidR="0061517D" w:rsidRPr="00FD382B">
              <w:rPr>
                <w:rFonts w:cs="Calibri"/>
                <w:color w:val="000000"/>
                <w:sz w:val="23"/>
                <w:szCs w:val="23"/>
              </w:rPr>
              <w:t>184,111</w:t>
            </w:r>
            <w:r w:rsidRPr="00FD382B">
              <w:rPr>
                <w:rFonts w:cs="Calibri"/>
                <w:color w:val="000000"/>
                <w:sz w:val="23"/>
                <w:szCs w:val="23"/>
              </w:rPr>
              <w:t xml:space="preserve"> </w:t>
            </w:r>
          </w:p>
        </w:tc>
        <w:tc>
          <w:tcPr>
            <w:tcW w:w="1418" w:type="dxa"/>
            <w:tcBorders>
              <w:left w:val="single" w:sz="4" w:space="0" w:color="auto"/>
              <w:right w:val="single" w:sz="4" w:space="0" w:color="auto"/>
            </w:tcBorders>
            <w:shd w:val="clear" w:color="auto" w:fill="auto"/>
            <w:noWrap/>
            <w:vAlign w:val="center"/>
          </w:tcPr>
          <w:p w14:paraId="679A6569" w14:textId="77777777" w:rsidR="00F16B11" w:rsidRPr="0077453B" w:rsidRDefault="00F16B11" w:rsidP="00B47FF2">
            <w:pPr>
              <w:spacing w:before="0" w:after="0"/>
              <w:ind w:leftChars="-13" w:left="1" w:hangingChars="14" w:hanging="32"/>
              <w:jc w:val="right"/>
              <w:rPr>
                <w:color w:val="000000"/>
                <w:sz w:val="23"/>
                <w:szCs w:val="23"/>
              </w:rPr>
            </w:pPr>
            <w:r w:rsidRPr="0077453B">
              <w:rPr>
                <w:rFonts w:cs="Calibri"/>
                <w:color w:val="000000"/>
                <w:sz w:val="23"/>
                <w:szCs w:val="23"/>
              </w:rPr>
              <w:t xml:space="preserve"> $285,748 </w:t>
            </w:r>
          </w:p>
        </w:tc>
      </w:tr>
      <w:tr w:rsidR="00A52B69" w14:paraId="36FC18AF" w14:textId="77777777">
        <w:trPr>
          <w:cantSplit/>
          <w:trHeight w:val="288"/>
        </w:trPr>
        <w:tc>
          <w:tcPr>
            <w:tcW w:w="3690" w:type="dxa"/>
            <w:tcBorders>
              <w:left w:val="single" w:sz="4" w:space="0" w:color="auto"/>
              <w:right w:val="single" w:sz="4" w:space="0" w:color="auto"/>
            </w:tcBorders>
            <w:shd w:val="clear" w:color="auto" w:fill="auto"/>
            <w:noWrap/>
            <w:vAlign w:val="center"/>
          </w:tcPr>
          <w:p w14:paraId="64F286E5" w14:textId="77777777" w:rsidR="00200276" w:rsidRPr="0077453B" w:rsidRDefault="00200276" w:rsidP="00B47FF2">
            <w:pPr>
              <w:spacing w:before="0" w:after="0"/>
              <w:ind w:right="-149"/>
              <w:rPr>
                <w:color w:val="000000"/>
                <w:sz w:val="23"/>
                <w:szCs w:val="23"/>
              </w:rPr>
            </w:pPr>
            <w:r w:rsidRPr="0077453B">
              <w:rPr>
                <w:color w:val="000000"/>
                <w:sz w:val="23"/>
                <w:szCs w:val="23"/>
              </w:rPr>
              <w:t xml:space="preserve">2016 </w:t>
            </w:r>
            <w:r w:rsidR="002445E5" w:rsidRPr="0077453B">
              <w:rPr>
                <w:color w:val="000000"/>
                <w:sz w:val="23"/>
                <w:szCs w:val="23"/>
              </w:rPr>
              <w:t>Ex-Ante</w:t>
            </w:r>
            <w:r w:rsidRPr="0077453B">
              <w:rPr>
                <w:color w:val="000000"/>
                <w:sz w:val="23"/>
                <w:szCs w:val="23"/>
              </w:rPr>
              <w:t xml:space="preserve"> Savings True Up</w:t>
            </w:r>
          </w:p>
        </w:tc>
        <w:tc>
          <w:tcPr>
            <w:tcW w:w="1417" w:type="dxa"/>
            <w:tcBorders>
              <w:left w:val="single" w:sz="4" w:space="0" w:color="auto"/>
              <w:right w:val="single" w:sz="4" w:space="0" w:color="auto"/>
            </w:tcBorders>
            <w:shd w:val="clear" w:color="auto" w:fill="auto"/>
            <w:noWrap/>
            <w:vAlign w:val="center"/>
          </w:tcPr>
          <w:p w14:paraId="472DEACA" w14:textId="77777777" w:rsidR="00200276" w:rsidRPr="0077453B" w:rsidRDefault="00200276" w:rsidP="00B47FF2">
            <w:pPr>
              <w:spacing w:before="0" w:after="0"/>
              <w:ind w:leftChars="-6" w:left="2" w:right="15" w:hangingChars="7" w:hanging="16"/>
              <w:jc w:val="right"/>
              <w:rPr>
                <w:rFonts w:cs="Calibri"/>
                <w:color w:val="000000"/>
                <w:sz w:val="23"/>
                <w:szCs w:val="23"/>
              </w:rPr>
            </w:pPr>
            <w:r w:rsidRPr="0077453B">
              <w:rPr>
                <w:rFonts w:cs="Calibri"/>
                <w:color w:val="000000"/>
                <w:sz w:val="23"/>
                <w:szCs w:val="23"/>
              </w:rPr>
              <w:t>$41,699</w:t>
            </w:r>
          </w:p>
        </w:tc>
        <w:tc>
          <w:tcPr>
            <w:tcW w:w="1418" w:type="dxa"/>
            <w:tcBorders>
              <w:left w:val="single" w:sz="4" w:space="0" w:color="auto"/>
              <w:right w:val="single" w:sz="4" w:space="0" w:color="auto"/>
            </w:tcBorders>
            <w:shd w:val="clear" w:color="auto" w:fill="auto"/>
            <w:noWrap/>
            <w:vAlign w:val="center"/>
          </w:tcPr>
          <w:p w14:paraId="47951AED" w14:textId="77777777" w:rsidR="00200276" w:rsidRPr="0077453B" w:rsidRDefault="009E7E4C" w:rsidP="00B47FF2">
            <w:pPr>
              <w:spacing w:before="0" w:after="0"/>
              <w:ind w:firstLineChars="100" w:firstLine="230"/>
              <w:jc w:val="right"/>
              <w:rPr>
                <w:rFonts w:cs="Calibri"/>
                <w:color w:val="000000"/>
                <w:sz w:val="23"/>
                <w:szCs w:val="23"/>
              </w:rPr>
            </w:pPr>
            <w:r w:rsidRPr="0077453B">
              <w:rPr>
                <w:rFonts w:cs="Calibri"/>
                <w:color w:val="000000"/>
                <w:sz w:val="23"/>
                <w:szCs w:val="23"/>
              </w:rPr>
              <w:t>-</w:t>
            </w:r>
          </w:p>
        </w:tc>
        <w:tc>
          <w:tcPr>
            <w:tcW w:w="1417" w:type="dxa"/>
            <w:tcBorders>
              <w:left w:val="single" w:sz="4" w:space="0" w:color="auto"/>
              <w:right w:val="single" w:sz="4" w:space="0" w:color="auto"/>
            </w:tcBorders>
            <w:shd w:val="clear" w:color="auto" w:fill="auto"/>
            <w:noWrap/>
            <w:vAlign w:val="center"/>
          </w:tcPr>
          <w:p w14:paraId="3E36E43E" w14:textId="77777777" w:rsidR="00200276" w:rsidRPr="00FD382B" w:rsidRDefault="009E7E4C" w:rsidP="00B47FF2">
            <w:pPr>
              <w:spacing w:before="0" w:after="0"/>
              <w:ind w:firstLineChars="100" w:firstLine="230"/>
              <w:jc w:val="right"/>
              <w:rPr>
                <w:rFonts w:cs="Calibri"/>
                <w:color w:val="000000"/>
                <w:sz w:val="23"/>
                <w:szCs w:val="23"/>
              </w:rPr>
            </w:pPr>
            <w:r w:rsidRPr="00FD382B">
              <w:rPr>
                <w:rFonts w:cs="Calibri"/>
                <w:color w:val="000000"/>
                <w:sz w:val="23"/>
                <w:szCs w:val="23"/>
              </w:rPr>
              <w:t>-</w:t>
            </w:r>
          </w:p>
        </w:tc>
        <w:tc>
          <w:tcPr>
            <w:tcW w:w="1418" w:type="dxa"/>
            <w:tcBorders>
              <w:left w:val="single" w:sz="4" w:space="0" w:color="auto"/>
              <w:right w:val="single" w:sz="4" w:space="0" w:color="auto"/>
            </w:tcBorders>
            <w:shd w:val="clear" w:color="auto" w:fill="auto"/>
            <w:noWrap/>
            <w:vAlign w:val="center"/>
          </w:tcPr>
          <w:p w14:paraId="5ADEF8D0" w14:textId="77777777" w:rsidR="00200276" w:rsidRPr="0077453B" w:rsidRDefault="009E7E4C" w:rsidP="00B47FF2">
            <w:pPr>
              <w:spacing w:before="0" w:after="0"/>
              <w:ind w:left="-198"/>
              <w:jc w:val="right"/>
              <w:rPr>
                <w:rFonts w:cs="Calibri"/>
                <w:color w:val="000000"/>
                <w:sz w:val="23"/>
                <w:szCs w:val="23"/>
              </w:rPr>
            </w:pPr>
            <w:r w:rsidRPr="0077453B">
              <w:rPr>
                <w:rFonts w:cs="Calibri"/>
                <w:color w:val="000000"/>
                <w:sz w:val="23"/>
                <w:szCs w:val="23"/>
              </w:rPr>
              <w:t>-</w:t>
            </w:r>
          </w:p>
        </w:tc>
      </w:tr>
      <w:tr w:rsidR="00A52B69" w14:paraId="15D32279" w14:textId="77777777">
        <w:trPr>
          <w:cantSplit/>
          <w:trHeight w:val="288"/>
        </w:trPr>
        <w:tc>
          <w:tcPr>
            <w:tcW w:w="3690" w:type="dxa"/>
            <w:tcBorders>
              <w:left w:val="single" w:sz="4" w:space="0" w:color="auto"/>
              <w:right w:val="single" w:sz="4" w:space="0" w:color="auto"/>
            </w:tcBorders>
            <w:shd w:val="clear" w:color="auto" w:fill="auto"/>
            <w:noWrap/>
            <w:vAlign w:val="center"/>
            <w:hideMark/>
          </w:tcPr>
          <w:p w14:paraId="004BB23E" w14:textId="77777777" w:rsidR="00F16B11" w:rsidRPr="0077453B" w:rsidRDefault="00F16B11" w:rsidP="00B47FF2">
            <w:pPr>
              <w:spacing w:before="0" w:after="0"/>
              <w:ind w:right="-149"/>
              <w:rPr>
                <w:color w:val="000000"/>
                <w:sz w:val="23"/>
                <w:szCs w:val="23"/>
              </w:rPr>
            </w:pPr>
            <w:r w:rsidRPr="0077453B">
              <w:rPr>
                <w:color w:val="000000"/>
                <w:sz w:val="23"/>
                <w:szCs w:val="23"/>
              </w:rPr>
              <w:t>2016 EAR Performance True Up</w:t>
            </w:r>
          </w:p>
        </w:tc>
        <w:tc>
          <w:tcPr>
            <w:tcW w:w="1417" w:type="dxa"/>
            <w:tcBorders>
              <w:left w:val="single" w:sz="4" w:space="0" w:color="auto"/>
              <w:right w:val="single" w:sz="4" w:space="0" w:color="auto"/>
            </w:tcBorders>
            <w:shd w:val="clear" w:color="auto" w:fill="auto"/>
            <w:noWrap/>
            <w:vAlign w:val="center"/>
          </w:tcPr>
          <w:p w14:paraId="73019EA1" w14:textId="77777777" w:rsidR="00F16B11" w:rsidRPr="0077453B" w:rsidRDefault="00F16B11" w:rsidP="00B47FF2">
            <w:pPr>
              <w:spacing w:before="0" w:after="0"/>
              <w:ind w:leftChars="-6" w:left="2" w:right="15" w:hangingChars="7" w:hanging="16"/>
              <w:jc w:val="right"/>
              <w:rPr>
                <w:color w:val="FF0000"/>
                <w:sz w:val="23"/>
                <w:szCs w:val="23"/>
              </w:rPr>
            </w:pPr>
            <w:r w:rsidRPr="0077453B">
              <w:rPr>
                <w:rFonts w:cs="Calibri"/>
                <w:color w:val="FF0000"/>
                <w:sz w:val="23"/>
                <w:szCs w:val="23"/>
              </w:rPr>
              <w:t xml:space="preserve"> </w:t>
            </w:r>
            <w:r w:rsidR="009E7E4C" w:rsidRPr="0077453B">
              <w:rPr>
                <w:rFonts w:cs="Calibri"/>
                <w:color w:val="FF0000"/>
                <w:sz w:val="23"/>
                <w:szCs w:val="23"/>
              </w:rPr>
              <w:t>($</w:t>
            </w:r>
            <w:r w:rsidRPr="0077453B">
              <w:rPr>
                <w:rFonts w:cs="Calibri"/>
                <w:color w:val="FF0000"/>
                <w:sz w:val="23"/>
                <w:szCs w:val="23"/>
              </w:rPr>
              <w:t>76,125)</w:t>
            </w:r>
          </w:p>
        </w:tc>
        <w:tc>
          <w:tcPr>
            <w:tcW w:w="1418" w:type="dxa"/>
            <w:tcBorders>
              <w:left w:val="single" w:sz="4" w:space="0" w:color="auto"/>
              <w:right w:val="single" w:sz="4" w:space="0" w:color="auto"/>
            </w:tcBorders>
            <w:shd w:val="clear" w:color="auto" w:fill="auto"/>
            <w:noWrap/>
            <w:vAlign w:val="center"/>
          </w:tcPr>
          <w:p w14:paraId="202F89D7" w14:textId="77777777" w:rsidR="00F16B11" w:rsidRPr="0077453B" w:rsidRDefault="00F16B11" w:rsidP="00B47FF2">
            <w:pPr>
              <w:spacing w:before="0" w:after="0"/>
              <w:ind w:firstLineChars="100" w:firstLine="230"/>
              <w:jc w:val="right"/>
              <w:rPr>
                <w:color w:val="FF0000"/>
                <w:sz w:val="23"/>
                <w:szCs w:val="23"/>
              </w:rPr>
            </w:pPr>
            <w:r w:rsidRPr="0077453B">
              <w:rPr>
                <w:rFonts w:cs="Calibri"/>
                <w:color w:val="FF0000"/>
                <w:sz w:val="23"/>
                <w:szCs w:val="23"/>
              </w:rPr>
              <w:t xml:space="preserve"> </w:t>
            </w:r>
            <w:r w:rsidR="009E7E4C" w:rsidRPr="0077453B">
              <w:rPr>
                <w:rFonts w:cs="Calibri"/>
                <w:color w:val="FF0000"/>
                <w:sz w:val="23"/>
                <w:szCs w:val="23"/>
              </w:rPr>
              <w:t>($</w:t>
            </w:r>
            <w:r w:rsidRPr="0077453B">
              <w:rPr>
                <w:rFonts w:cs="Calibri"/>
                <w:color w:val="FF0000"/>
                <w:sz w:val="23"/>
                <w:szCs w:val="23"/>
              </w:rPr>
              <w:t>16,843)</w:t>
            </w:r>
          </w:p>
        </w:tc>
        <w:tc>
          <w:tcPr>
            <w:tcW w:w="1417" w:type="dxa"/>
            <w:tcBorders>
              <w:left w:val="single" w:sz="4" w:space="0" w:color="auto"/>
              <w:right w:val="single" w:sz="4" w:space="0" w:color="auto"/>
            </w:tcBorders>
            <w:shd w:val="clear" w:color="auto" w:fill="auto"/>
            <w:noWrap/>
            <w:vAlign w:val="center"/>
          </w:tcPr>
          <w:p w14:paraId="5AC7CF00" w14:textId="77777777" w:rsidR="00F16B11" w:rsidRPr="00FD382B" w:rsidRDefault="00F16B11" w:rsidP="00B47FF2">
            <w:pPr>
              <w:spacing w:before="0" w:after="0"/>
              <w:ind w:firstLineChars="100" w:firstLine="230"/>
              <w:jc w:val="right"/>
              <w:rPr>
                <w:color w:val="FF0000"/>
                <w:sz w:val="23"/>
                <w:szCs w:val="23"/>
              </w:rPr>
            </w:pPr>
            <w:r w:rsidRPr="00FD382B">
              <w:rPr>
                <w:rFonts w:cs="Calibri"/>
                <w:color w:val="FF0000"/>
                <w:sz w:val="23"/>
                <w:szCs w:val="23"/>
              </w:rPr>
              <w:t xml:space="preserve"> </w:t>
            </w:r>
            <w:r w:rsidR="009E7E4C" w:rsidRPr="00FD382B">
              <w:rPr>
                <w:rFonts w:cs="Calibri"/>
                <w:color w:val="FF0000"/>
                <w:sz w:val="23"/>
                <w:szCs w:val="23"/>
              </w:rPr>
              <w:t>($</w:t>
            </w:r>
            <w:r w:rsidRPr="00FD382B">
              <w:rPr>
                <w:rFonts w:cs="Calibri"/>
                <w:color w:val="FF0000"/>
                <w:sz w:val="23"/>
                <w:szCs w:val="23"/>
              </w:rPr>
              <w:t>4,475)</w:t>
            </w:r>
          </w:p>
        </w:tc>
        <w:tc>
          <w:tcPr>
            <w:tcW w:w="1418" w:type="dxa"/>
            <w:tcBorders>
              <w:left w:val="single" w:sz="4" w:space="0" w:color="auto"/>
              <w:right w:val="single" w:sz="4" w:space="0" w:color="auto"/>
            </w:tcBorders>
            <w:shd w:val="clear" w:color="auto" w:fill="auto"/>
            <w:noWrap/>
            <w:vAlign w:val="center"/>
          </w:tcPr>
          <w:p w14:paraId="3E5D214B" w14:textId="77777777" w:rsidR="00F16B11" w:rsidRPr="0077453B" w:rsidRDefault="00F16B11" w:rsidP="00B47FF2">
            <w:pPr>
              <w:spacing w:before="0" w:after="0"/>
              <w:ind w:left="-198"/>
              <w:jc w:val="right"/>
              <w:rPr>
                <w:color w:val="FF0000"/>
                <w:sz w:val="23"/>
                <w:szCs w:val="23"/>
              </w:rPr>
            </w:pPr>
            <w:r w:rsidRPr="0077453B">
              <w:rPr>
                <w:rFonts w:cs="Calibri"/>
                <w:color w:val="FF0000"/>
                <w:sz w:val="23"/>
                <w:szCs w:val="23"/>
              </w:rPr>
              <w:t xml:space="preserve"> </w:t>
            </w:r>
            <w:r w:rsidR="009E7E4C" w:rsidRPr="0077453B">
              <w:rPr>
                <w:rFonts w:cs="Calibri"/>
                <w:color w:val="FF0000"/>
                <w:sz w:val="23"/>
                <w:szCs w:val="23"/>
              </w:rPr>
              <w:t>($</w:t>
            </w:r>
            <w:r w:rsidRPr="0077453B">
              <w:rPr>
                <w:rFonts w:cs="Calibri"/>
                <w:color w:val="FF0000"/>
                <w:sz w:val="23"/>
                <w:szCs w:val="23"/>
              </w:rPr>
              <w:t>5,705)</w:t>
            </w:r>
          </w:p>
        </w:tc>
      </w:tr>
      <w:tr w:rsidR="00A52B69" w14:paraId="14BFFC34" w14:textId="77777777">
        <w:trPr>
          <w:cantSplit/>
          <w:trHeight w:val="288"/>
        </w:trPr>
        <w:tc>
          <w:tcPr>
            <w:tcW w:w="3690" w:type="dxa"/>
            <w:tcBorders>
              <w:left w:val="single" w:sz="4" w:space="0" w:color="auto"/>
              <w:right w:val="single" w:sz="4" w:space="0" w:color="auto"/>
            </w:tcBorders>
            <w:shd w:val="clear" w:color="auto" w:fill="auto"/>
            <w:noWrap/>
            <w:vAlign w:val="center"/>
            <w:hideMark/>
          </w:tcPr>
          <w:p w14:paraId="5FDE48D5" w14:textId="77777777" w:rsidR="00F16B11" w:rsidRPr="0077453B" w:rsidRDefault="00F16B11" w:rsidP="00B47FF2">
            <w:pPr>
              <w:spacing w:before="0" w:after="0"/>
              <w:ind w:right="-149"/>
              <w:rPr>
                <w:color w:val="000000"/>
                <w:sz w:val="23"/>
                <w:szCs w:val="23"/>
              </w:rPr>
            </w:pPr>
            <w:r w:rsidRPr="0077453B">
              <w:rPr>
                <w:color w:val="000000"/>
                <w:sz w:val="23"/>
                <w:szCs w:val="23"/>
              </w:rPr>
              <w:t>2016 Codes &amp; Standards True Up</w:t>
            </w:r>
          </w:p>
        </w:tc>
        <w:tc>
          <w:tcPr>
            <w:tcW w:w="1417" w:type="dxa"/>
            <w:tcBorders>
              <w:left w:val="single" w:sz="4" w:space="0" w:color="auto"/>
              <w:right w:val="single" w:sz="4" w:space="0" w:color="auto"/>
            </w:tcBorders>
            <w:shd w:val="clear" w:color="auto" w:fill="auto"/>
            <w:noWrap/>
            <w:vAlign w:val="center"/>
          </w:tcPr>
          <w:p w14:paraId="6D9CFB27" w14:textId="77777777" w:rsidR="00F16B11" w:rsidRPr="0077453B" w:rsidRDefault="00F16B11" w:rsidP="00B47FF2">
            <w:pPr>
              <w:spacing w:before="0" w:after="0"/>
              <w:ind w:left="-198" w:right="15" w:firstLineChars="100" w:firstLine="230"/>
              <w:jc w:val="right"/>
              <w:rPr>
                <w:color w:val="FF0000"/>
                <w:sz w:val="23"/>
                <w:szCs w:val="23"/>
              </w:rPr>
            </w:pPr>
            <w:r w:rsidRPr="0077453B">
              <w:rPr>
                <w:rFonts w:cs="Calibri"/>
                <w:color w:val="FF0000"/>
                <w:sz w:val="23"/>
                <w:szCs w:val="23"/>
              </w:rPr>
              <w:t xml:space="preserve"> </w:t>
            </w:r>
            <w:r w:rsidR="009E7E4C" w:rsidRPr="0077453B">
              <w:rPr>
                <w:rFonts w:cs="Calibri"/>
                <w:color w:val="FF0000"/>
                <w:sz w:val="23"/>
                <w:szCs w:val="23"/>
              </w:rPr>
              <w:t>($</w:t>
            </w:r>
            <w:r w:rsidRPr="0077453B">
              <w:rPr>
                <w:rFonts w:cs="Calibri"/>
                <w:color w:val="FF0000"/>
                <w:sz w:val="23"/>
                <w:szCs w:val="23"/>
              </w:rPr>
              <w:t>13,041)</w:t>
            </w:r>
          </w:p>
        </w:tc>
        <w:tc>
          <w:tcPr>
            <w:tcW w:w="1418" w:type="dxa"/>
            <w:tcBorders>
              <w:left w:val="single" w:sz="4" w:space="0" w:color="auto"/>
              <w:right w:val="single" w:sz="4" w:space="0" w:color="auto"/>
            </w:tcBorders>
            <w:shd w:val="clear" w:color="auto" w:fill="auto"/>
            <w:noWrap/>
            <w:vAlign w:val="center"/>
          </w:tcPr>
          <w:p w14:paraId="3A5BF6F6" w14:textId="77777777" w:rsidR="00F16B11" w:rsidRPr="0077453B" w:rsidRDefault="00F16B11" w:rsidP="00B47FF2">
            <w:pPr>
              <w:spacing w:before="0" w:after="0"/>
              <w:ind w:left="-198" w:firstLineChars="100" w:firstLine="230"/>
              <w:jc w:val="right"/>
              <w:rPr>
                <w:rFonts w:cs="Calibri"/>
                <w:color w:val="FF0000"/>
                <w:sz w:val="23"/>
                <w:szCs w:val="23"/>
              </w:rPr>
            </w:pPr>
            <w:r w:rsidRPr="0077453B">
              <w:rPr>
                <w:rFonts w:cs="Calibri"/>
                <w:color w:val="FF0000"/>
                <w:sz w:val="23"/>
                <w:szCs w:val="23"/>
              </w:rPr>
              <w:t xml:space="preserve"> </w:t>
            </w:r>
            <w:r w:rsidR="009E7E4C" w:rsidRPr="0077453B">
              <w:rPr>
                <w:rFonts w:cs="Calibri"/>
                <w:color w:val="FF0000"/>
                <w:sz w:val="23"/>
                <w:szCs w:val="23"/>
              </w:rPr>
              <w:t>($</w:t>
            </w:r>
            <w:r w:rsidRPr="0077453B">
              <w:rPr>
                <w:rFonts w:cs="Calibri"/>
                <w:color w:val="FF0000"/>
                <w:sz w:val="23"/>
                <w:szCs w:val="23"/>
              </w:rPr>
              <w:t>5,462)</w:t>
            </w:r>
          </w:p>
        </w:tc>
        <w:tc>
          <w:tcPr>
            <w:tcW w:w="1417" w:type="dxa"/>
            <w:tcBorders>
              <w:left w:val="single" w:sz="4" w:space="0" w:color="auto"/>
              <w:right w:val="single" w:sz="4" w:space="0" w:color="auto"/>
            </w:tcBorders>
            <w:shd w:val="clear" w:color="auto" w:fill="auto"/>
            <w:noWrap/>
            <w:vAlign w:val="center"/>
          </w:tcPr>
          <w:p w14:paraId="751E1581" w14:textId="77777777" w:rsidR="00F16B11" w:rsidRPr="00FD382B" w:rsidRDefault="00F16B11" w:rsidP="00B47FF2">
            <w:pPr>
              <w:spacing w:before="0" w:after="0"/>
              <w:ind w:firstLineChars="100" w:firstLine="230"/>
              <w:jc w:val="right"/>
              <w:rPr>
                <w:color w:val="FF0000"/>
                <w:sz w:val="23"/>
                <w:szCs w:val="23"/>
              </w:rPr>
            </w:pPr>
            <w:r w:rsidRPr="00FD382B">
              <w:rPr>
                <w:rFonts w:cs="Calibri"/>
                <w:color w:val="FF0000"/>
                <w:sz w:val="23"/>
                <w:szCs w:val="23"/>
              </w:rPr>
              <w:t xml:space="preserve"> </w:t>
            </w:r>
            <w:r w:rsidR="009E7E4C" w:rsidRPr="00FD382B">
              <w:rPr>
                <w:rFonts w:cs="Calibri"/>
                <w:color w:val="FF0000"/>
                <w:sz w:val="23"/>
                <w:szCs w:val="23"/>
              </w:rPr>
              <w:t>($</w:t>
            </w:r>
            <w:r w:rsidRPr="00FD382B">
              <w:rPr>
                <w:rFonts w:cs="Calibri"/>
                <w:color w:val="FF0000"/>
                <w:sz w:val="23"/>
                <w:szCs w:val="23"/>
              </w:rPr>
              <w:t>10,971)</w:t>
            </w:r>
          </w:p>
        </w:tc>
        <w:tc>
          <w:tcPr>
            <w:tcW w:w="1418" w:type="dxa"/>
            <w:tcBorders>
              <w:left w:val="single" w:sz="4" w:space="0" w:color="auto"/>
              <w:right w:val="single" w:sz="4" w:space="0" w:color="auto"/>
            </w:tcBorders>
            <w:shd w:val="clear" w:color="auto" w:fill="auto"/>
            <w:noWrap/>
            <w:vAlign w:val="center"/>
          </w:tcPr>
          <w:p w14:paraId="1E2BE369" w14:textId="77777777" w:rsidR="00F16B11" w:rsidRPr="00AA3BE7" w:rsidRDefault="00F16B11" w:rsidP="00B47FF2">
            <w:pPr>
              <w:spacing w:before="0" w:after="0"/>
              <w:ind w:left="-198" w:firstLineChars="100" w:firstLine="230"/>
              <w:jc w:val="right"/>
              <w:rPr>
                <w:color w:val="FF0000"/>
                <w:sz w:val="23"/>
                <w:szCs w:val="23"/>
                <w:highlight w:val="yellow"/>
              </w:rPr>
            </w:pPr>
            <w:r w:rsidRPr="00832918">
              <w:rPr>
                <w:rFonts w:cs="Calibri"/>
                <w:color w:val="FF0000"/>
                <w:sz w:val="23"/>
                <w:szCs w:val="23"/>
              </w:rPr>
              <w:t xml:space="preserve"> </w:t>
            </w:r>
            <w:r w:rsidR="009E7E4C" w:rsidRPr="00832918">
              <w:rPr>
                <w:rFonts w:cs="Calibri"/>
                <w:color w:val="FF0000"/>
                <w:sz w:val="23"/>
                <w:szCs w:val="23"/>
              </w:rPr>
              <w:t>($</w:t>
            </w:r>
            <w:r w:rsidR="00FD215F" w:rsidRPr="00832918">
              <w:rPr>
                <w:rFonts w:cs="Calibri"/>
                <w:color w:val="FF0000"/>
                <w:sz w:val="23"/>
                <w:szCs w:val="23"/>
              </w:rPr>
              <w:t>343</w:t>
            </w:r>
            <w:r w:rsidRPr="00832918">
              <w:rPr>
                <w:rFonts w:cs="Calibri"/>
                <w:color w:val="FF0000"/>
                <w:sz w:val="23"/>
                <w:szCs w:val="23"/>
              </w:rPr>
              <w:t>)</w:t>
            </w:r>
          </w:p>
        </w:tc>
      </w:tr>
      <w:tr w:rsidR="00A52B69" w14:paraId="19E4EA42" w14:textId="77777777">
        <w:trPr>
          <w:cantSplit/>
          <w:trHeight w:val="288"/>
        </w:trPr>
        <w:tc>
          <w:tcPr>
            <w:tcW w:w="3690" w:type="dxa"/>
            <w:tcBorders>
              <w:left w:val="single" w:sz="4" w:space="0" w:color="auto"/>
              <w:right w:val="single" w:sz="4" w:space="0" w:color="auto"/>
            </w:tcBorders>
            <w:shd w:val="clear" w:color="auto" w:fill="auto"/>
            <w:noWrap/>
            <w:vAlign w:val="center"/>
            <w:hideMark/>
          </w:tcPr>
          <w:p w14:paraId="243B0E31" w14:textId="77777777" w:rsidR="00F16B11" w:rsidRPr="0077453B" w:rsidRDefault="00F16B11" w:rsidP="00B47FF2">
            <w:pPr>
              <w:spacing w:before="0" w:after="0"/>
              <w:ind w:right="-149"/>
              <w:rPr>
                <w:color w:val="000000"/>
                <w:sz w:val="23"/>
                <w:szCs w:val="23"/>
              </w:rPr>
            </w:pPr>
            <w:r w:rsidRPr="0077453B">
              <w:rPr>
                <w:color w:val="000000"/>
                <w:sz w:val="23"/>
                <w:szCs w:val="23"/>
              </w:rPr>
              <w:t>2016 Non-Resource True Up</w:t>
            </w:r>
          </w:p>
        </w:tc>
        <w:tc>
          <w:tcPr>
            <w:tcW w:w="1417" w:type="dxa"/>
            <w:tcBorders>
              <w:left w:val="single" w:sz="4" w:space="0" w:color="auto"/>
              <w:right w:val="single" w:sz="4" w:space="0" w:color="auto"/>
            </w:tcBorders>
            <w:shd w:val="clear" w:color="auto" w:fill="auto"/>
            <w:noWrap/>
            <w:vAlign w:val="center"/>
          </w:tcPr>
          <w:p w14:paraId="089C233A" w14:textId="77777777" w:rsidR="00F16B11" w:rsidRPr="0077453B" w:rsidRDefault="00F16B11" w:rsidP="00B47FF2">
            <w:pPr>
              <w:spacing w:before="0" w:after="0"/>
              <w:ind w:left="-198" w:right="15" w:hanging="89"/>
              <w:jc w:val="right"/>
              <w:rPr>
                <w:color w:val="FF0000"/>
                <w:sz w:val="23"/>
                <w:szCs w:val="23"/>
              </w:rPr>
            </w:pPr>
            <w:r w:rsidRPr="0077453B">
              <w:rPr>
                <w:rFonts w:cs="Calibri"/>
                <w:color w:val="FF0000"/>
                <w:sz w:val="23"/>
                <w:szCs w:val="23"/>
              </w:rPr>
              <w:t xml:space="preserve"> </w:t>
            </w:r>
            <w:r w:rsidR="009E7E4C" w:rsidRPr="0077453B">
              <w:rPr>
                <w:rFonts w:cs="Calibri"/>
                <w:color w:val="FF0000"/>
                <w:sz w:val="23"/>
                <w:szCs w:val="23"/>
              </w:rPr>
              <w:t>($</w:t>
            </w:r>
            <w:r w:rsidRPr="0077453B">
              <w:rPr>
                <w:rFonts w:cs="Calibri"/>
                <w:color w:val="FF0000"/>
                <w:sz w:val="23"/>
                <w:szCs w:val="23"/>
              </w:rPr>
              <w:t>16,009)</w:t>
            </w:r>
          </w:p>
        </w:tc>
        <w:tc>
          <w:tcPr>
            <w:tcW w:w="1418" w:type="dxa"/>
            <w:tcBorders>
              <w:left w:val="single" w:sz="4" w:space="0" w:color="auto"/>
              <w:right w:val="single" w:sz="4" w:space="0" w:color="auto"/>
            </w:tcBorders>
            <w:shd w:val="clear" w:color="auto" w:fill="auto"/>
            <w:noWrap/>
            <w:vAlign w:val="center"/>
          </w:tcPr>
          <w:p w14:paraId="69002F1A" w14:textId="77777777" w:rsidR="00F16B11" w:rsidRPr="0077453B" w:rsidRDefault="00F16B11" w:rsidP="00B47FF2">
            <w:pPr>
              <w:spacing w:before="0" w:after="0"/>
              <w:ind w:left="-198" w:firstLineChars="100" w:firstLine="230"/>
              <w:jc w:val="right"/>
              <w:rPr>
                <w:rFonts w:cs="Calibri"/>
                <w:color w:val="FF0000"/>
                <w:sz w:val="23"/>
                <w:szCs w:val="23"/>
              </w:rPr>
            </w:pPr>
            <w:r w:rsidRPr="0077453B">
              <w:rPr>
                <w:rFonts w:cs="Calibri"/>
                <w:color w:val="FF0000"/>
                <w:sz w:val="23"/>
                <w:szCs w:val="23"/>
              </w:rPr>
              <w:t xml:space="preserve"> </w:t>
            </w:r>
            <w:r w:rsidR="009E7E4C" w:rsidRPr="0077453B">
              <w:rPr>
                <w:rFonts w:cs="Calibri"/>
                <w:color w:val="FF0000"/>
                <w:sz w:val="23"/>
                <w:szCs w:val="23"/>
              </w:rPr>
              <w:t>($</w:t>
            </w:r>
            <w:r w:rsidRPr="0077453B">
              <w:rPr>
                <w:rFonts w:cs="Calibri"/>
                <w:color w:val="FF0000"/>
                <w:sz w:val="23"/>
                <w:szCs w:val="23"/>
              </w:rPr>
              <w:t>1,956)</w:t>
            </w:r>
          </w:p>
        </w:tc>
        <w:tc>
          <w:tcPr>
            <w:tcW w:w="1417" w:type="dxa"/>
            <w:tcBorders>
              <w:left w:val="single" w:sz="4" w:space="0" w:color="auto"/>
              <w:right w:val="single" w:sz="4" w:space="0" w:color="auto"/>
            </w:tcBorders>
            <w:shd w:val="clear" w:color="auto" w:fill="auto"/>
            <w:noWrap/>
            <w:vAlign w:val="center"/>
          </w:tcPr>
          <w:p w14:paraId="471BD9C7" w14:textId="77777777" w:rsidR="00F16B11" w:rsidRPr="00FD382B" w:rsidRDefault="00F16B11" w:rsidP="00B47FF2">
            <w:pPr>
              <w:spacing w:before="0" w:after="0"/>
              <w:ind w:firstLineChars="100" w:firstLine="230"/>
              <w:jc w:val="right"/>
              <w:rPr>
                <w:color w:val="FF0000"/>
                <w:sz w:val="23"/>
                <w:szCs w:val="23"/>
              </w:rPr>
            </w:pPr>
            <w:r w:rsidRPr="00FD382B">
              <w:rPr>
                <w:rFonts w:cs="Calibri"/>
                <w:color w:val="FF0000"/>
                <w:sz w:val="23"/>
                <w:szCs w:val="23"/>
              </w:rPr>
              <w:t xml:space="preserve"> </w:t>
            </w:r>
            <w:r w:rsidR="009E7E4C" w:rsidRPr="00FD382B">
              <w:rPr>
                <w:rFonts w:cs="Calibri"/>
                <w:color w:val="FF0000"/>
                <w:sz w:val="23"/>
                <w:szCs w:val="23"/>
              </w:rPr>
              <w:t>($</w:t>
            </w:r>
            <w:r w:rsidRPr="00FD382B">
              <w:rPr>
                <w:rFonts w:cs="Calibri"/>
                <w:color w:val="FF0000"/>
                <w:sz w:val="23"/>
                <w:szCs w:val="23"/>
              </w:rPr>
              <w:t>11,960)</w:t>
            </w:r>
          </w:p>
        </w:tc>
        <w:tc>
          <w:tcPr>
            <w:tcW w:w="1418" w:type="dxa"/>
            <w:tcBorders>
              <w:left w:val="single" w:sz="4" w:space="0" w:color="auto"/>
              <w:right w:val="single" w:sz="4" w:space="0" w:color="auto"/>
            </w:tcBorders>
            <w:shd w:val="clear" w:color="auto" w:fill="auto"/>
            <w:noWrap/>
            <w:vAlign w:val="center"/>
          </w:tcPr>
          <w:p w14:paraId="127E7F43" w14:textId="77777777" w:rsidR="00F16B11" w:rsidRPr="0077453B" w:rsidRDefault="00F16B11" w:rsidP="00B47FF2">
            <w:pPr>
              <w:spacing w:before="0" w:after="0"/>
              <w:ind w:firstLineChars="100" w:firstLine="230"/>
              <w:jc w:val="right"/>
              <w:rPr>
                <w:color w:val="FF0000"/>
                <w:sz w:val="23"/>
                <w:szCs w:val="23"/>
              </w:rPr>
            </w:pPr>
            <w:r w:rsidRPr="0077453B">
              <w:rPr>
                <w:rFonts w:cs="Calibri"/>
                <w:color w:val="FF0000"/>
                <w:sz w:val="23"/>
                <w:szCs w:val="23"/>
              </w:rPr>
              <w:t xml:space="preserve"> </w:t>
            </w:r>
            <w:r w:rsidR="009E7E4C" w:rsidRPr="0077453B">
              <w:rPr>
                <w:rFonts w:cs="Calibri"/>
                <w:color w:val="FF0000"/>
                <w:sz w:val="23"/>
                <w:szCs w:val="23"/>
              </w:rPr>
              <w:t>($</w:t>
            </w:r>
            <w:r w:rsidRPr="0077453B">
              <w:rPr>
                <w:rFonts w:cs="Calibri"/>
                <w:color w:val="FF0000"/>
                <w:sz w:val="23"/>
                <w:szCs w:val="23"/>
              </w:rPr>
              <w:t>4,451)</w:t>
            </w:r>
          </w:p>
        </w:tc>
      </w:tr>
      <w:tr w:rsidR="00A52B69" w14:paraId="19EEB053" w14:textId="77777777">
        <w:trPr>
          <w:cantSplit/>
          <w:trHeight w:val="288"/>
        </w:trPr>
        <w:tc>
          <w:tcPr>
            <w:tcW w:w="3690" w:type="dxa"/>
            <w:tcBorders>
              <w:left w:val="single" w:sz="4" w:space="0" w:color="auto"/>
              <w:right w:val="single" w:sz="4" w:space="0" w:color="auto"/>
            </w:tcBorders>
            <w:shd w:val="clear" w:color="auto" w:fill="auto"/>
            <w:noWrap/>
            <w:vAlign w:val="center"/>
          </w:tcPr>
          <w:p w14:paraId="7DFBB34D" w14:textId="77777777" w:rsidR="00F16B11" w:rsidRPr="0077453B" w:rsidRDefault="00F16B11" w:rsidP="00B47FF2">
            <w:pPr>
              <w:spacing w:before="0" w:after="0"/>
              <w:ind w:right="-149"/>
              <w:rPr>
                <w:color w:val="000000"/>
                <w:sz w:val="23"/>
                <w:szCs w:val="23"/>
              </w:rPr>
            </w:pPr>
            <w:r w:rsidRPr="0077453B">
              <w:rPr>
                <w:color w:val="000000"/>
                <w:sz w:val="23"/>
                <w:szCs w:val="23"/>
              </w:rPr>
              <w:t>2017 EAR Performance True Up</w:t>
            </w:r>
          </w:p>
        </w:tc>
        <w:tc>
          <w:tcPr>
            <w:tcW w:w="1417" w:type="dxa"/>
            <w:tcBorders>
              <w:left w:val="single" w:sz="4" w:space="0" w:color="auto"/>
              <w:right w:val="single" w:sz="4" w:space="0" w:color="auto"/>
            </w:tcBorders>
            <w:shd w:val="clear" w:color="auto" w:fill="auto"/>
            <w:noWrap/>
            <w:vAlign w:val="center"/>
          </w:tcPr>
          <w:p w14:paraId="3C1A7C32" w14:textId="77777777" w:rsidR="00F16B11" w:rsidRPr="0077453B" w:rsidRDefault="00CB00DE" w:rsidP="00B47FF2">
            <w:pPr>
              <w:spacing w:before="0" w:after="0"/>
              <w:ind w:left="-198" w:right="15" w:hanging="89"/>
              <w:jc w:val="right"/>
              <w:rPr>
                <w:rFonts w:cs="Calibri"/>
                <w:color w:val="000000"/>
                <w:sz w:val="23"/>
                <w:szCs w:val="23"/>
              </w:rPr>
            </w:pPr>
            <w:r w:rsidRPr="00CB00DE">
              <w:rPr>
                <w:rFonts w:cs="Calibri"/>
                <w:color w:val="000000"/>
                <w:sz w:val="23"/>
                <w:szCs w:val="23"/>
              </w:rPr>
              <w:t>$57,436</w:t>
            </w:r>
          </w:p>
        </w:tc>
        <w:tc>
          <w:tcPr>
            <w:tcW w:w="1418" w:type="dxa"/>
            <w:tcBorders>
              <w:left w:val="single" w:sz="4" w:space="0" w:color="auto"/>
              <w:right w:val="single" w:sz="4" w:space="0" w:color="auto"/>
            </w:tcBorders>
            <w:shd w:val="clear" w:color="auto" w:fill="auto"/>
            <w:noWrap/>
            <w:vAlign w:val="center"/>
          </w:tcPr>
          <w:p w14:paraId="5F1B614E" w14:textId="77777777" w:rsidR="00F16B11" w:rsidRPr="0077453B" w:rsidRDefault="00F16B11" w:rsidP="00B47FF2">
            <w:pPr>
              <w:spacing w:before="0" w:after="0"/>
              <w:ind w:left="-198" w:firstLineChars="100" w:firstLine="230"/>
              <w:jc w:val="right"/>
              <w:rPr>
                <w:rFonts w:cs="Calibri"/>
                <w:color w:val="000000"/>
                <w:sz w:val="23"/>
                <w:szCs w:val="23"/>
              </w:rPr>
            </w:pPr>
            <w:r w:rsidRPr="0077453B">
              <w:rPr>
                <w:rFonts w:cs="Calibri"/>
                <w:color w:val="000000"/>
                <w:sz w:val="23"/>
                <w:szCs w:val="23"/>
              </w:rPr>
              <w:t>-</w:t>
            </w:r>
          </w:p>
        </w:tc>
        <w:tc>
          <w:tcPr>
            <w:tcW w:w="1417" w:type="dxa"/>
            <w:tcBorders>
              <w:left w:val="single" w:sz="4" w:space="0" w:color="auto"/>
              <w:right w:val="single" w:sz="4" w:space="0" w:color="auto"/>
            </w:tcBorders>
            <w:shd w:val="clear" w:color="auto" w:fill="auto"/>
            <w:noWrap/>
            <w:vAlign w:val="center"/>
          </w:tcPr>
          <w:p w14:paraId="3870D0B1" w14:textId="77777777" w:rsidR="00F16B11" w:rsidRPr="00FD382B" w:rsidRDefault="004E4E3A" w:rsidP="00B47FF2">
            <w:pPr>
              <w:spacing w:before="0" w:after="0"/>
              <w:ind w:firstLineChars="100" w:firstLine="230"/>
              <w:jc w:val="right"/>
              <w:rPr>
                <w:rFonts w:cs="Calibri"/>
                <w:color w:val="000000"/>
                <w:sz w:val="23"/>
                <w:szCs w:val="23"/>
              </w:rPr>
            </w:pPr>
            <w:r w:rsidRPr="004E4E3A">
              <w:rPr>
                <w:rFonts w:cs="Calibri"/>
                <w:color w:val="000000"/>
                <w:sz w:val="23"/>
                <w:szCs w:val="23"/>
              </w:rPr>
              <w:t xml:space="preserve">$1,913 </w:t>
            </w:r>
          </w:p>
        </w:tc>
        <w:tc>
          <w:tcPr>
            <w:tcW w:w="1418" w:type="dxa"/>
            <w:tcBorders>
              <w:left w:val="single" w:sz="4" w:space="0" w:color="auto"/>
              <w:right w:val="single" w:sz="4" w:space="0" w:color="auto"/>
            </w:tcBorders>
            <w:shd w:val="clear" w:color="auto" w:fill="auto"/>
            <w:noWrap/>
            <w:vAlign w:val="center"/>
          </w:tcPr>
          <w:p w14:paraId="5B02EA98" w14:textId="77777777" w:rsidR="00F16B11" w:rsidRPr="0077453B" w:rsidRDefault="00F16B11" w:rsidP="00B47FF2">
            <w:pPr>
              <w:spacing w:before="0" w:after="0"/>
              <w:ind w:firstLineChars="100" w:firstLine="230"/>
              <w:jc w:val="right"/>
              <w:rPr>
                <w:rFonts w:cs="Calibri"/>
                <w:color w:val="000000"/>
                <w:sz w:val="23"/>
                <w:szCs w:val="23"/>
              </w:rPr>
            </w:pPr>
            <w:r w:rsidRPr="0077453B">
              <w:rPr>
                <w:rFonts w:cs="Calibri"/>
                <w:color w:val="000000"/>
                <w:sz w:val="23"/>
                <w:szCs w:val="23"/>
              </w:rPr>
              <w:t>-</w:t>
            </w:r>
          </w:p>
        </w:tc>
      </w:tr>
      <w:tr w:rsidR="00A52B69" w14:paraId="6359A074" w14:textId="77777777">
        <w:trPr>
          <w:cantSplit/>
          <w:trHeight w:val="288"/>
        </w:trPr>
        <w:tc>
          <w:tcPr>
            <w:tcW w:w="3690" w:type="dxa"/>
            <w:tcBorders>
              <w:left w:val="single" w:sz="4" w:space="0" w:color="auto"/>
              <w:right w:val="single" w:sz="4" w:space="0" w:color="auto"/>
            </w:tcBorders>
            <w:shd w:val="clear" w:color="auto" w:fill="auto"/>
            <w:noWrap/>
            <w:vAlign w:val="center"/>
          </w:tcPr>
          <w:p w14:paraId="74EF113A" w14:textId="77777777" w:rsidR="00F16B11" w:rsidRPr="0077453B" w:rsidRDefault="00F16B11" w:rsidP="00B47FF2">
            <w:pPr>
              <w:spacing w:before="0" w:after="0"/>
              <w:ind w:right="-149"/>
              <w:rPr>
                <w:color w:val="000000"/>
                <w:sz w:val="23"/>
                <w:szCs w:val="23"/>
              </w:rPr>
            </w:pPr>
            <w:r w:rsidRPr="0077453B">
              <w:rPr>
                <w:color w:val="000000"/>
                <w:sz w:val="23"/>
                <w:szCs w:val="23"/>
              </w:rPr>
              <w:t>2017 Codes &amp; Standards True Up</w:t>
            </w:r>
          </w:p>
        </w:tc>
        <w:tc>
          <w:tcPr>
            <w:tcW w:w="1417" w:type="dxa"/>
            <w:tcBorders>
              <w:left w:val="single" w:sz="4" w:space="0" w:color="auto"/>
              <w:right w:val="single" w:sz="4" w:space="0" w:color="auto"/>
            </w:tcBorders>
            <w:shd w:val="clear" w:color="auto" w:fill="auto"/>
            <w:noWrap/>
            <w:vAlign w:val="center"/>
          </w:tcPr>
          <w:p w14:paraId="1274DD4D" w14:textId="77777777" w:rsidR="00F16B11" w:rsidRPr="0077453B" w:rsidRDefault="00F16B11" w:rsidP="00B47FF2">
            <w:pPr>
              <w:spacing w:before="0" w:after="0"/>
              <w:ind w:left="-198" w:right="15" w:hanging="89"/>
              <w:jc w:val="right"/>
              <w:rPr>
                <w:rFonts w:cs="Calibri"/>
                <w:color w:val="000000"/>
                <w:sz w:val="23"/>
                <w:szCs w:val="23"/>
              </w:rPr>
            </w:pPr>
            <w:r w:rsidRPr="0077453B">
              <w:rPr>
                <w:rFonts w:cs="Calibri"/>
                <w:color w:val="000000"/>
                <w:sz w:val="23"/>
                <w:szCs w:val="23"/>
              </w:rPr>
              <w:t>-</w:t>
            </w:r>
          </w:p>
        </w:tc>
        <w:tc>
          <w:tcPr>
            <w:tcW w:w="1418" w:type="dxa"/>
            <w:tcBorders>
              <w:left w:val="single" w:sz="4" w:space="0" w:color="auto"/>
              <w:right w:val="single" w:sz="4" w:space="0" w:color="auto"/>
            </w:tcBorders>
            <w:shd w:val="clear" w:color="auto" w:fill="auto"/>
            <w:noWrap/>
            <w:vAlign w:val="center"/>
          </w:tcPr>
          <w:p w14:paraId="285A96EF" w14:textId="77777777" w:rsidR="00F16B11" w:rsidRPr="0077453B" w:rsidRDefault="00F16B11" w:rsidP="00B47FF2">
            <w:pPr>
              <w:spacing w:before="0" w:after="0"/>
              <w:ind w:left="-198" w:firstLineChars="100" w:firstLine="230"/>
              <w:jc w:val="right"/>
              <w:rPr>
                <w:rFonts w:cs="Calibri"/>
                <w:color w:val="000000"/>
                <w:sz w:val="23"/>
                <w:szCs w:val="23"/>
              </w:rPr>
            </w:pPr>
            <w:r w:rsidRPr="0077453B">
              <w:rPr>
                <w:rFonts w:cs="Calibri"/>
                <w:color w:val="000000"/>
                <w:sz w:val="23"/>
                <w:szCs w:val="23"/>
              </w:rPr>
              <w:t>-</w:t>
            </w:r>
          </w:p>
        </w:tc>
        <w:tc>
          <w:tcPr>
            <w:tcW w:w="1417" w:type="dxa"/>
            <w:tcBorders>
              <w:left w:val="single" w:sz="4" w:space="0" w:color="auto"/>
              <w:right w:val="single" w:sz="4" w:space="0" w:color="auto"/>
            </w:tcBorders>
            <w:shd w:val="clear" w:color="auto" w:fill="auto"/>
            <w:noWrap/>
            <w:vAlign w:val="center"/>
          </w:tcPr>
          <w:p w14:paraId="365D1F00" w14:textId="77777777" w:rsidR="00F16B11" w:rsidRPr="00FD382B" w:rsidRDefault="00F16B11" w:rsidP="00B47FF2">
            <w:pPr>
              <w:spacing w:before="0" w:after="0"/>
              <w:ind w:firstLineChars="100" w:firstLine="230"/>
              <w:jc w:val="right"/>
              <w:rPr>
                <w:rFonts w:cs="Calibri"/>
                <w:color w:val="000000"/>
                <w:sz w:val="23"/>
                <w:szCs w:val="23"/>
              </w:rPr>
            </w:pPr>
            <w:r w:rsidRPr="00FD382B">
              <w:rPr>
                <w:rFonts w:cs="Calibri"/>
                <w:color w:val="000000"/>
                <w:sz w:val="23"/>
                <w:szCs w:val="23"/>
              </w:rPr>
              <w:t>$</w:t>
            </w:r>
            <w:r w:rsidR="00A47A92" w:rsidRPr="00FD382B">
              <w:rPr>
                <w:rFonts w:cs="Calibri"/>
                <w:color w:val="000000"/>
                <w:sz w:val="23"/>
                <w:szCs w:val="23"/>
              </w:rPr>
              <w:t>6,004</w:t>
            </w:r>
          </w:p>
        </w:tc>
        <w:tc>
          <w:tcPr>
            <w:tcW w:w="1418" w:type="dxa"/>
            <w:tcBorders>
              <w:left w:val="single" w:sz="4" w:space="0" w:color="auto"/>
              <w:right w:val="single" w:sz="4" w:space="0" w:color="auto"/>
            </w:tcBorders>
            <w:shd w:val="clear" w:color="auto" w:fill="auto"/>
            <w:noWrap/>
            <w:vAlign w:val="center"/>
          </w:tcPr>
          <w:p w14:paraId="2D7B041D" w14:textId="77777777" w:rsidR="00F16B11" w:rsidRPr="0077453B" w:rsidRDefault="00F16B11" w:rsidP="00B47FF2">
            <w:pPr>
              <w:spacing w:before="0" w:after="0"/>
              <w:ind w:firstLineChars="100" w:firstLine="230"/>
              <w:jc w:val="right"/>
              <w:rPr>
                <w:rFonts w:cs="Calibri"/>
                <w:color w:val="000000"/>
                <w:sz w:val="23"/>
                <w:szCs w:val="23"/>
              </w:rPr>
            </w:pPr>
            <w:r w:rsidRPr="0077453B">
              <w:rPr>
                <w:rFonts w:cs="Calibri"/>
                <w:color w:val="000000"/>
                <w:sz w:val="23"/>
                <w:szCs w:val="23"/>
              </w:rPr>
              <w:t>-</w:t>
            </w:r>
          </w:p>
        </w:tc>
      </w:tr>
      <w:tr w:rsidR="00A52B69" w14:paraId="47055125" w14:textId="77777777">
        <w:trPr>
          <w:cantSplit/>
          <w:trHeight w:val="288"/>
        </w:trPr>
        <w:tc>
          <w:tcPr>
            <w:tcW w:w="3690" w:type="dxa"/>
            <w:tcBorders>
              <w:left w:val="single" w:sz="4" w:space="0" w:color="auto"/>
              <w:bottom w:val="single" w:sz="4" w:space="0" w:color="auto"/>
              <w:right w:val="single" w:sz="4" w:space="0" w:color="auto"/>
            </w:tcBorders>
            <w:shd w:val="clear" w:color="auto" w:fill="auto"/>
            <w:noWrap/>
            <w:vAlign w:val="center"/>
          </w:tcPr>
          <w:p w14:paraId="006D6CC5" w14:textId="77777777" w:rsidR="00F16B11" w:rsidRPr="0077453B" w:rsidRDefault="00F16B11" w:rsidP="00B47FF2">
            <w:pPr>
              <w:spacing w:before="0" w:after="0"/>
              <w:ind w:right="-149"/>
              <w:rPr>
                <w:color w:val="000000"/>
                <w:sz w:val="23"/>
                <w:szCs w:val="23"/>
              </w:rPr>
            </w:pPr>
            <w:r w:rsidRPr="0077453B">
              <w:rPr>
                <w:color w:val="000000"/>
                <w:sz w:val="23"/>
                <w:szCs w:val="23"/>
              </w:rPr>
              <w:t>2017 Non-Resource True Up</w:t>
            </w:r>
          </w:p>
        </w:tc>
        <w:tc>
          <w:tcPr>
            <w:tcW w:w="1417" w:type="dxa"/>
            <w:tcBorders>
              <w:left w:val="single" w:sz="4" w:space="0" w:color="auto"/>
              <w:bottom w:val="single" w:sz="4" w:space="0" w:color="auto"/>
              <w:right w:val="single" w:sz="4" w:space="0" w:color="auto"/>
            </w:tcBorders>
            <w:shd w:val="clear" w:color="auto" w:fill="auto"/>
            <w:noWrap/>
            <w:vAlign w:val="center"/>
          </w:tcPr>
          <w:p w14:paraId="00F260E4" w14:textId="77777777" w:rsidR="00F16B11" w:rsidRPr="0077453B" w:rsidRDefault="00F16B11" w:rsidP="00B47FF2">
            <w:pPr>
              <w:spacing w:before="0" w:after="0"/>
              <w:ind w:left="-198" w:right="15" w:hanging="89"/>
              <w:jc w:val="right"/>
              <w:rPr>
                <w:rFonts w:cs="Calibri"/>
                <w:color w:val="000000"/>
                <w:sz w:val="23"/>
                <w:szCs w:val="23"/>
              </w:rPr>
            </w:pPr>
            <w:r w:rsidRPr="0077453B">
              <w:rPr>
                <w:rFonts w:cs="Calibri"/>
                <w:color w:val="000000"/>
                <w:sz w:val="23"/>
                <w:szCs w:val="23"/>
              </w:rPr>
              <w:t>$14,050</w:t>
            </w:r>
          </w:p>
        </w:tc>
        <w:tc>
          <w:tcPr>
            <w:tcW w:w="1418" w:type="dxa"/>
            <w:tcBorders>
              <w:left w:val="single" w:sz="4" w:space="0" w:color="auto"/>
              <w:bottom w:val="single" w:sz="4" w:space="0" w:color="auto"/>
              <w:right w:val="single" w:sz="4" w:space="0" w:color="auto"/>
            </w:tcBorders>
            <w:shd w:val="clear" w:color="auto" w:fill="auto"/>
            <w:noWrap/>
            <w:vAlign w:val="center"/>
          </w:tcPr>
          <w:p w14:paraId="6D7BBB75" w14:textId="77777777" w:rsidR="00F16B11" w:rsidRPr="0077453B" w:rsidRDefault="00F16B11" w:rsidP="00B47FF2">
            <w:pPr>
              <w:spacing w:before="0" w:after="0"/>
              <w:ind w:left="-198" w:firstLineChars="100" w:firstLine="230"/>
              <w:jc w:val="right"/>
              <w:rPr>
                <w:rFonts w:cs="Calibri"/>
                <w:color w:val="000000"/>
                <w:sz w:val="23"/>
                <w:szCs w:val="23"/>
              </w:rPr>
            </w:pPr>
            <w:r w:rsidRPr="0077453B">
              <w:rPr>
                <w:rFonts w:cs="Calibri"/>
                <w:color w:val="000000"/>
                <w:sz w:val="23"/>
                <w:szCs w:val="23"/>
              </w:rPr>
              <w:t>-</w:t>
            </w:r>
          </w:p>
        </w:tc>
        <w:tc>
          <w:tcPr>
            <w:tcW w:w="1417" w:type="dxa"/>
            <w:tcBorders>
              <w:left w:val="single" w:sz="4" w:space="0" w:color="auto"/>
              <w:bottom w:val="single" w:sz="4" w:space="0" w:color="auto"/>
              <w:right w:val="single" w:sz="4" w:space="0" w:color="auto"/>
            </w:tcBorders>
            <w:shd w:val="clear" w:color="auto" w:fill="auto"/>
            <w:noWrap/>
            <w:vAlign w:val="center"/>
          </w:tcPr>
          <w:p w14:paraId="3ED3586C" w14:textId="77777777" w:rsidR="00F16B11" w:rsidRPr="00FD382B" w:rsidRDefault="00F16B11" w:rsidP="00B47FF2">
            <w:pPr>
              <w:spacing w:before="0" w:after="0"/>
              <w:ind w:firstLineChars="100" w:firstLine="230"/>
              <w:jc w:val="right"/>
              <w:rPr>
                <w:rFonts w:cs="Calibri"/>
                <w:color w:val="000000"/>
                <w:sz w:val="23"/>
                <w:szCs w:val="23"/>
              </w:rPr>
            </w:pPr>
            <w:r w:rsidRPr="00FD382B">
              <w:rPr>
                <w:rFonts w:cs="Calibri"/>
                <w:color w:val="000000"/>
                <w:sz w:val="23"/>
                <w:szCs w:val="23"/>
              </w:rPr>
              <w:t>$</w:t>
            </w:r>
            <w:r w:rsidR="00A47A92" w:rsidRPr="00FD382B">
              <w:rPr>
                <w:rFonts w:cs="Calibri"/>
                <w:color w:val="000000"/>
                <w:sz w:val="23"/>
                <w:szCs w:val="23"/>
              </w:rPr>
              <w:t>3,867</w:t>
            </w:r>
          </w:p>
        </w:tc>
        <w:tc>
          <w:tcPr>
            <w:tcW w:w="1418" w:type="dxa"/>
            <w:tcBorders>
              <w:left w:val="single" w:sz="4" w:space="0" w:color="auto"/>
              <w:bottom w:val="single" w:sz="4" w:space="0" w:color="auto"/>
              <w:right w:val="single" w:sz="4" w:space="0" w:color="auto"/>
            </w:tcBorders>
            <w:shd w:val="clear" w:color="auto" w:fill="auto"/>
            <w:noWrap/>
            <w:vAlign w:val="center"/>
          </w:tcPr>
          <w:p w14:paraId="4CF3FB87" w14:textId="77777777" w:rsidR="00F16B11" w:rsidRPr="0077453B" w:rsidRDefault="00F16B11" w:rsidP="00B47FF2">
            <w:pPr>
              <w:spacing w:before="0" w:after="0"/>
              <w:ind w:firstLineChars="100" w:firstLine="230"/>
              <w:jc w:val="right"/>
              <w:rPr>
                <w:rFonts w:cs="Calibri"/>
                <w:color w:val="000000"/>
                <w:sz w:val="23"/>
                <w:szCs w:val="23"/>
              </w:rPr>
            </w:pPr>
            <w:r w:rsidRPr="0077453B">
              <w:rPr>
                <w:rFonts w:cs="Calibri"/>
                <w:color w:val="000000"/>
                <w:sz w:val="23"/>
                <w:szCs w:val="23"/>
              </w:rPr>
              <w:t>-</w:t>
            </w:r>
          </w:p>
        </w:tc>
      </w:tr>
      <w:tr w:rsidR="00A52B69" w14:paraId="562AEC34" w14:textId="77777777">
        <w:trPr>
          <w:cantSplit/>
          <w:trHeight w:val="288"/>
        </w:trPr>
        <w:tc>
          <w:tcPr>
            <w:tcW w:w="3690" w:type="dxa"/>
            <w:tcBorders>
              <w:top w:val="single" w:sz="4" w:space="0" w:color="auto"/>
              <w:left w:val="single" w:sz="8" w:space="0" w:color="auto"/>
              <w:bottom w:val="single" w:sz="8" w:space="0" w:color="auto"/>
              <w:right w:val="nil"/>
            </w:tcBorders>
            <w:shd w:val="clear" w:color="auto" w:fill="auto"/>
            <w:noWrap/>
            <w:vAlign w:val="center"/>
          </w:tcPr>
          <w:p w14:paraId="3206CFE2" w14:textId="77777777" w:rsidR="00A1361A" w:rsidRPr="0077453B" w:rsidRDefault="00F16B11" w:rsidP="00B47FF2">
            <w:pPr>
              <w:spacing w:before="0" w:after="0"/>
              <w:ind w:right="-15"/>
              <w:jc w:val="center"/>
              <w:rPr>
                <w:b/>
                <w:color w:val="000000"/>
                <w:sz w:val="23"/>
                <w:szCs w:val="23"/>
              </w:rPr>
            </w:pPr>
            <w:r w:rsidRPr="0077453B">
              <w:rPr>
                <w:b/>
                <w:color w:val="000000"/>
                <w:sz w:val="23"/>
                <w:szCs w:val="23"/>
              </w:rPr>
              <w:t>Awards for P</w:t>
            </w:r>
            <w:r w:rsidR="00636F40" w:rsidRPr="0077453B">
              <w:rPr>
                <w:b/>
                <w:color w:val="000000"/>
                <w:sz w:val="23"/>
                <w:szCs w:val="23"/>
              </w:rPr>
              <w:t xml:space="preserve">rogram </w:t>
            </w:r>
            <w:r w:rsidRPr="0077453B">
              <w:rPr>
                <w:b/>
                <w:color w:val="000000"/>
                <w:sz w:val="23"/>
                <w:szCs w:val="23"/>
              </w:rPr>
              <w:t>Y</w:t>
            </w:r>
            <w:r w:rsidR="00636F40" w:rsidRPr="0077453B">
              <w:rPr>
                <w:b/>
                <w:color w:val="000000"/>
                <w:sz w:val="23"/>
                <w:szCs w:val="23"/>
              </w:rPr>
              <w:t>ears</w:t>
            </w:r>
            <w:r w:rsidRPr="0077453B">
              <w:rPr>
                <w:b/>
                <w:color w:val="000000"/>
                <w:sz w:val="23"/>
                <w:szCs w:val="23"/>
              </w:rPr>
              <w:t xml:space="preserve"> </w:t>
            </w:r>
          </w:p>
          <w:p w14:paraId="4A61E9F7" w14:textId="77777777" w:rsidR="00F16B11" w:rsidRPr="0077453B" w:rsidRDefault="00F16B11" w:rsidP="00B47FF2">
            <w:pPr>
              <w:spacing w:before="0" w:after="0"/>
              <w:ind w:right="-15"/>
              <w:jc w:val="center"/>
              <w:rPr>
                <w:b/>
                <w:color w:val="000000"/>
                <w:sz w:val="23"/>
                <w:szCs w:val="23"/>
              </w:rPr>
            </w:pPr>
            <w:r w:rsidRPr="0077453B">
              <w:rPr>
                <w:b/>
                <w:color w:val="000000"/>
                <w:sz w:val="23"/>
                <w:szCs w:val="23"/>
              </w:rPr>
              <w:t>2016 and 2017</w:t>
            </w:r>
          </w:p>
        </w:tc>
        <w:tc>
          <w:tcPr>
            <w:tcW w:w="141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95992E8" w14:textId="77777777" w:rsidR="00F16B11" w:rsidRPr="000A337C" w:rsidRDefault="00CB00DE" w:rsidP="00B47FF2">
            <w:pPr>
              <w:spacing w:before="0" w:after="0"/>
              <w:ind w:right="15" w:hanging="89"/>
              <w:jc w:val="right"/>
              <w:rPr>
                <w:b/>
                <w:color w:val="000000"/>
                <w:sz w:val="23"/>
                <w:szCs w:val="23"/>
                <w:highlight w:val="yellow"/>
              </w:rPr>
            </w:pPr>
            <w:r w:rsidRPr="00CB00DE">
              <w:rPr>
                <w:rFonts w:cs="Calibri"/>
                <w:b/>
                <w:bCs/>
                <w:color w:val="000000"/>
                <w:sz w:val="23"/>
                <w:szCs w:val="23"/>
              </w:rPr>
              <w:t>$13,428,6</w:t>
            </w:r>
            <w:r w:rsidR="009A3BD9">
              <w:rPr>
                <w:rFonts w:cs="Calibri"/>
                <w:b/>
                <w:bCs/>
                <w:color w:val="000000"/>
                <w:sz w:val="23"/>
                <w:szCs w:val="23"/>
              </w:rPr>
              <w:t>6</w:t>
            </w:r>
            <w:r w:rsidRPr="00CB00DE">
              <w:rPr>
                <w:rFonts w:cs="Calibri"/>
                <w:b/>
                <w:bCs/>
                <w:color w:val="000000"/>
                <w:sz w:val="23"/>
                <w:szCs w:val="23"/>
              </w:rPr>
              <w:t>4</w:t>
            </w:r>
          </w:p>
        </w:tc>
        <w:tc>
          <w:tcPr>
            <w:tcW w:w="1418" w:type="dxa"/>
            <w:tcBorders>
              <w:top w:val="single" w:sz="4" w:space="0" w:color="auto"/>
              <w:left w:val="nil"/>
              <w:bottom w:val="single" w:sz="8" w:space="0" w:color="auto"/>
              <w:right w:val="single" w:sz="8" w:space="0" w:color="auto"/>
            </w:tcBorders>
            <w:shd w:val="clear" w:color="auto" w:fill="auto"/>
            <w:noWrap/>
            <w:vAlign w:val="center"/>
          </w:tcPr>
          <w:p w14:paraId="6C659084" w14:textId="77777777" w:rsidR="00F16B11" w:rsidRPr="00F179B9" w:rsidRDefault="00F179B9" w:rsidP="00B47FF2">
            <w:pPr>
              <w:spacing w:before="0" w:after="0"/>
              <w:jc w:val="right"/>
              <w:rPr>
                <w:b/>
                <w:sz w:val="23"/>
                <w:szCs w:val="23"/>
              </w:rPr>
            </w:pPr>
            <w:r w:rsidRPr="00F179B9">
              <w:rPr>
                <w:b/>
                <w:sz w:val="23"/>
                <w:szCs w:val="23"/>
              </w:rPr>
              <w:t>$10,574,269</w:t>
            </w:r>
          </w:p>
        </w:tc>
        <w:tc>
          <w:tcPr>
            <w:tcW w:w="1417" w:type="dxa"/>
            <w:tcBorders>
              <w:top w:val="single" w:sz="4" w:space="0" w:color="auto"/>
              <w:left w:val="nil"/>
              <w:bottom w:val="single" w:sz="8" w:space="0" w:color="auto"/>
              <w:right w:val="single" w:sz="8" w:space="0" w:color="auto"/>
            </w:tcBorders>
            <w:shd w:val="clear" w:color="auto" w:fill="auto"/>
            <w:noWrap/>
            <w:vAlign w:val="center"/>
          </w:tcPr>
          <w:p w14:paraId="0F6607AD" w14:textId="77777777" w:rsidR="00F16B11" w:rsidRPr="00FD382B" w:rsidRDefault="004E4E3A" w:rsidP="00CE6758">
            <w:pPr>
              <w:spacing w:before="0" w:after="0"/>
              <w:ind w:firstLineChars="68" w:firstLine="157"/>
              <w:jc w:val="right"/>
              <w:rPr>
                <w:b/>
                <w:sz w:val="23"/>
                <w:szCs w:val="23"/>
              </w:rPr>
            </w:pPr>
            <w:r w:rsidRPr="004E4E3A">
              <w:rPr>
                <w:b/>
                <w:bCs/>
                <w:color w:val="000000"/>
                <w:sz w:val="23"/>
                <w:szCs w:val="23"/>
              </w:rPr>
              <w:t xml:space="preserve">$3,875,481 </w:t>
            </w:r>
          </w:p>
        </w:tc>
        <w:tc>
          <w:tcPr>
            <w:tcW w:w="1418" w:type="dxa"/>
            <w:tcBorders>
              <w:top w:val="single" w:sz="4" w:space="0" w:color="auto"/>
              <w:left w:val="nil"/>
              <w:bottom w:val="single" w:sz="8" w:space="0" w:color="auto"/>
              <w:right w:val="single" w:sz="8" w:space="0" w:color="auto"/>
            </w:tcBorders>
            <w:shd w:val="clear" w:color="auto" w:fill="auto"/>
            <w:noWrap/>
            <w:vAlign w:val="center"/>
          </w:tcPr>
          <w:p w14:paraId="584124BB" w14:textId="77777777" w:rsidR="00F16B11" w:rsidRPr="00832918" w:rsidRDefault="00764ACD" w:rsidP="00B47FF2">
            <w:pPr>
              <w:spacing w:before="0" w:after="0"/>
              <w:jc w:val="right"/>
              <w:rPr>
                <w:rFonts w:cs="Calibri"/>
                <w:b/>
                <w:color w:val="000000"/>
                <w:sz w:val="23"/>
                <w:szCs w:val="23"/>
              </w:rPr>
            </w:pPr>
            <w:r w:rsidRPr="00832918">
              <w:rPr>
                <w:rFonts w:cs="Calibri"/>
                <w:b/>
                <w:color w:val="000000"/>
                <w:sz w:val="23"/>
                <w:szCs w:val="23"/>
              </w:rPr>
              <w:t>$</w:t>
            </w:r>
            <w:r w:rsidR="00FD215F" w:rsidRPr="00832918">
              <w:rPr>
                <w:rFonts w:cs="Calibri"/>
                <w:b/>
                <w:color w:val="000000"/>
                <w:sz w:val="23"/>
                <w:szCs w:val="23"/>
              </w:rPr>
              <w:t>2,227,252</w:t>
            </w:r>
          </w:p>
        </w:tc>
      </w:tr>
      <w:tr w:rsidR="00A52B69" w14:paraId="490D30BE" w14:textId="77777777">
        <w:trPr>
          <w:cantSplit/>
          <w:trHeight w:val="288"/>
        </w:trPr>
        <w:tc>
          <w:tcPr>
            <w:tcW w:w="3690" w:type="dxa"/>
            <w:tcBorders>
              <w:top w:val="single" w:sz="8" w:space="0" w:color="auto"/>
              <w:left w:val="single" w:sz="8" w:space="0" w:color="auto"/>
              <w:bottom w:val="single" w:sz="8" w:space="0" w:color="auto"/>
              <w:right w:val="nil"/>
            </w:tcBorders>
            <w:shd w:val="clear" w:color="auto" w:fill="auto"/>
            <w:noWrap/>
            <w:vAlign w:val="center"/>
            <w:hideMark/>
          </w:tcPr>
          <w:p w14:paraId="47B471AA" w14:textId="6955D15C" w:rsidR="00F16B11" w:rsidRPr="0077453B" w:rsidRDefault="00F16B11" w:rsidP="00B47FF2">
            <w:pPr>
              <w:spacing w:before="0" w:after="0"/>
              <w:ind w:right="-149"/>
              <w:jc w:val="center"/>
              <w:rPr>
                <w:color w:val="000000"/>
                <w:sz w:val="23"/>
                <w:szCs w:val="23"/>
              </w:rPr>
            </w:pPr>
            <w:r w:rsidRPr="0077453B">
              <w:rPr>
                <w:color w:val="000000"/>
                <w:sz w:val="23"/>
                <w:szCs w:val="23"/>
              </w:rPr>
              <w:t>2006-2008 RRIM Adjustment</w:t>
            </w:r>
            <w:r w:rsidR="00471DD8" w:rsidRPr="0077453B">
              <w:rPr>
                <w:color w:val="000000"/>
                <w:sz w:val="23"/>
                <w:szCs w:val="23"/>
                <w:vertAlign w:val="superscript"/>
              </w:rPr>
              <w:fldChar w:fldCharType="begin"/>
            </w:r>
            <w:r w:rsidR="00471DD8" w:rsidRPr="0077453B">
              <w:rPr>
                <w:color w:val="000000"/>
                <w:sz w:val="23"/>
                <w:szCs w:val="23"/>
                <w:vertAlign w:val="superscript"/>
              </w:rPr>
              <w:instrText xml:space="preserve"> NOTEREF _Ref267889 \h  \* MERGEFORMAT </w:instrText>
            </w:r>
            <w:r w:rsidR="00471DD8" w:rsidRPr="0077453B">
              <w:rPr>
                <w:color w:val="000000"/>
                <w:sz w:val="23"/>
                <w:szCs w:val="23"/>
                <w:vertAlign w:val="superscript"/>
              </w:rPr>
            </w:r>
            <w:r w:rsidR="00471DD8" w:rsidRPr="0077453B">
              <w:rPr>
                <w:color w:val="000000"/>
                <w:sz w:val="23"/>
                <w:szCs w:val="23"/>
                <w:vertAlign w:val="superscript"/>
              </w:rPr>
              <w:fldChar w:fldCharType="separate"/>
            </w:r>
            <w:r w:rsidR="00CE6758">
              <w:rPr>
                <w:color w:val="000000"/>
                <w:sz w:val="23"/>
                <w:szCs w:val="23"/>
                <w:vertAlign w:val="superscript"/>
              </w:rPr>
              <w:t>1</w:t>
            </w:r>
            <w:r w:rsidR="00471DD8" w:rsidRPr="0077453B">
              <w:rPr>
                <w:color w:val="000000"/>
                <w:sz w:val="23"/>
                <w:szCs w:val="23"/>
                <w:vertAlign w:val="superscript"/>
              </w:rPr>
              <w:fldChar w:fldCharType="end"/>
            </w:r>
          </w:p>
        </w:tc>
        <w:tc>
          <w:tcPr>
            <w:tcW w:w="1417" w:type="dxa"/>
            <w:tcBorders>
              <w:top w:val="single" w:sz="8" w:space="0" w:color="auto"/>
              <w:left w:val="single" w:sz="8" w:space="0" w:color="auto"/>
              <w:bottom w:val="nil"/>
              <w:right w:val="single" w:sz="8" w:space="0" w:color="auto"/>
            </w:tcBorders>
            <w:shd w:val="clear" w:color="auto" w:fill="auto"/>
            <w:noWrap/>
            <w:vAlign w:val="center"/>
          </w:tcPr>
          <w:p w14:paraId="70795A60" w14:textId="77777777" w:rsidR="00F16B11" w:rsidRPr="0077453B" w:rsidRDefault="00F16B11" w:rsidP="00B47FF2">
            <w:pPr>
              <w:spacing w:before="0" w:after="0"/>
              <w:ind w:right="15" w:hanging="89"/>
              <w:jc w:val="right"/>
              <w:rPr>
                <w:rFonts w:ascii="Calibri" w:hAnsi="Calibri" w:cs="Calibri"/>
                <w:color w:val="FF0000"/>
                <w:sz w:val="23"/>
                <w:szCs w:val="23"/>
              </w:rPr>
            </w:pPr>
            <w:r w:rsidRPr="0077453B">
              <w:rPr>
                <w:color w:val="FF0000"/>
                <w:sz w:val="23"/>
                <w:szCs w:val="23"/>
              </w:rPr>
              <w:t>($1,376,910)</w:t>
            </w:r>
          </w:p>
        </w:tc>
        <w:tc>
          <w:tcPr>
            <w:tcW w:w="1418" w:type="dxa"/>
            <w:tcBorders>
              <w:top w:val="single" w:sz="8" w:space="0" w:color="auto"/>
              <w:left w:val="nil"/>
              <w:bottom w:val="nil"/>
              <w:right w:val="single" w:sz="8" w:space="0" w:color="auto"/>
            </w:tcBorders>
            <w:shd w:val="clear" w:color="auto" w:fill="auto"/>
            <w:noWrap/>
            <w:vAlign w:val="center"/>
          </w:tcPr>
          <w:p w14:paraId="7A8D09FC" w14:textId="77777777" w:rsidR="00F16B11" w:rsidRPr="00F179B9" w:rsidRDefault="00F16B11" w:rsidP="00B47FF2">
            <w:pPr>
              <w:spacing w:before="0" w:after="0"/>
              <w:jc w:val="right"/>
              <w:rPr>
                <w:rFonts w:ascii="Calibri" w:hAnsi="Calibri" w:cs="Calibri"/>
                <w:color w:val="000000"/>
                <w:sz w:val="23"/>
                <w:szCs w:val="23"/>
              </w:rPr>
            </w:pPr>
            <w:r w:rsidRPr="00F179B9">
              <w:rPr>
                <w:rFonts w:ascii="Calibri" w:hAnsi="Calibri" w:cs="Calibri"/>
                <w:color w:val="000000"/>
                <w:sz w:val="23"/>
                <w:szCs w:val="23"/>
              </w:rPr>
              <w:t>-</w:t>
            </w:r>
          </w:p>
        </w:tc>
        <w:tc>
          <w:tcPr>
            <w:tcW w:w="1417" w:type="dxa"/>
            <w:tcBorders>
              <w:top w:val="single" w:sz="8" w:space="0" w:color="auto"/>
              <w:left w:val="nil"/>
              <w:bottom w:val="nil"/>
              <w:right w:val="single" w:sz="8" w:space="0" w:color="auto"/>
            </w:tcBorders>
            <w:shd w:val="clear" w:color="auto" w:fill="auto"/>
            <w:noWrap/>
            <w:vAlign w:val="center"/>
          </w:tcPr>
          <w:p w14:paraId="0FC50528" w14:textId="77777777" w:rsidR="00F16B11" w:rsidRPr="00FD382B" w:rsidRDefault="00F16B11" w:rsidP="00B47FF2">
            <w:pPr>
              <w:spacing w:before="0" w:after="0"/>
              <w:jc w:val="right"/>
              <w:rPr>
                <w:rFonts w:ascii="Calibri" w:hAnsi="Calibri" w:cs="Calibri"/>
                <w:color w:val="FF0000"/>
                <w:sz w:val="23"/>
                <w:szCs w:val="23"/>
              </w:rPr>
            </w:pPr>
            <w:r w:rsidRPr="00FD382B">
              <w:rPr>
                <w:color w:val="FF0000"/>
                <w:sz w:val="23"/>
                <w:szCs w:val="23"/>
              </w:rPr>
              <w:t>($1,200,000)</w:t>
            </w:r>
          </w:p>
        </w:tc>
        <w:tc>
          <w:tcPr>
            <w:tcW w:w="1418" w:type="dxa"/>
            <w:tcBorders>
              <w:top w:val="single" w:sz="8" w:space="0" w:color="auto"/>
              <w:left w:val="nil"/>
              <w:bottom w:val="nil"/>
              <w:right w:val="single" w:sz="8" w:space="0" w:color="auto"/>
            </w:tcBorders>
            <w:shd w:val="clear" w:color="auto" w:fill="auto"/>
            <w:noWrap/>
            <w:vAlign w:val="center"/>
          </w:tcPr>
          <w:p w14:paraId="146385B5" w14:textId="77777777" w:rsidR="00F16B11" w:rsidRPr="0077453B" w:rsidRDefault="00F16B11" w:rsidP="00B47FF2">
            <w:pPr>
              <w:spacing w:before="0" w:after="0"/>
              <w:ind w:right="-108"/>
              <w:jc w:val="center"/>
              <w:rPr>
                <w:rFonts w:ascii="Calibri" w:hAnsi="Calibri" w:cs="Calibri"/>
                <w:color w:val="FF0000"/>
                <w:sz w:val="23"/>
                <w:szCs w:val="23"/>
              </w:rPr>
            </w:pPr>
            <w:r w:rsidRPr="0077453B">
              <w:rPr>
                <w:color w:val="FF0000"/>
                <w:sz w:val="23"/>
                <w:szCs w:val="23"/>
              </w:rPr>
              <w:t>($1,700,000)</w:t>
            </w:r>
          </w:p>
        </w:tc>
      </w:tr>
      <w:tr w:rsidR="00A52B69" w14:paraId="1CBBDBCE" w14:textId="77777777">
        <w:trPr>
          <w:cantSplit/>
          <w:trHeight w:val="288"/>
        </w:trPr>
        <w:tc>
          <w:tcPr>
            <w:tcW w:w="3690" w:type="dxa"/>
            <w:tcBorders>
              <w:top w:val="nil"/>
              <w:left w:val="single" w:sz="8" w:space="0" w:color="auto"/>
              <w:bottom w:val="single" w:sz="8" w:space="0" w:color="000000"/>
              <w:right w:val="single" w:sz="8" w:space="0" w:color="auto"/>
            </w:tcBorders>
            <w:shd w:val="clear" w:color="auto" w:fill="auto"/>
            <w:noWrap/>
            <w:vAlign w:val="center"/>
            <w:hideMark/>
          </w:tcPr>
          <w:p w14:paraId="1A13C783" w14:textId="77777777" w:rsidR="00F16B11" w:rsidRPr="0077453B" w:rsidRDefault="00F16B11" w:rsidP="00B47FF2">
            <w:pPr>
              <w:spacing w:before="0" w:after="0"/>
              <w:jc w:val="center"/>
              <w:rPr>
                <w:b/>
                <w:color w:val="000000"/>
                <w:sz w:val="23"/>
                <w:szCs w:val="23"/>
              </w:rPr>
            </w:pPr>
            <w:r w:rsidRPr="0077453B">
              <w:rPr>
                <w:b/>
                <w:color w:val="000000"/>
                <w:sz w:val="23"/>
                <w:szCs w:val="23"/>
              </w:rPr>
              <w:t>Total Payment</w:t>
            </w:r>
          </w:p>
        </w:tc>
        <w:tc>
          <w:tcPr>
            <w:tcW w:w="1417" w:type="dxa"/>
            <w:tcBorders>
              <w:top w:val="single" w:sz="8" w:space="0" w:color="auto"/>
              <w:left w:val="nil"/>
              <w:bottom w:val="single" w:sz="8" w:space="0" w:color="auto"/>
              <w:right w:val="single" w:sz="8" w:space="0" w:color="auto"/>
            </w:tcBorders>
            <w:shd w:val="clear" w:color="auto" w:fill="auto"/>
            <w:noWrap/>
            <w:vAlign w:val="center"/>
          </w:tcPr>
          <w:p w14:paraId="03D9A1F1" w14:textId="77777777" w:rsidR="00F16B11" w:rsidRPr="00EB0950" w:rsidRDefault="00200276" w:rsidP="00B47FF2">
            <w:pPr>
              <w:spacing w:before="0" w:after="0"/>
              <w:ind w:right="15" w:hanging="89"/>
              <w:jc w:val="right"/>
              <w:rPr>
                <w:rFonts w:cs="Calibri"/>
                <w:b/>
                <w:bCs/>
                <w:color w:val="000000"/>
                <w:sz w:val="23"/>
                <w:szCs w:val="23"/>
              </w:rPr>
            </w:pPr>
            <w:r w:rsidRPr="00EB0950">
              <w:rPr>
                <w:rFonts w:cs="Calibri"/>
                <w:b/>
                <w:bCs/>
                <w:color w:val="000000"/>
                <w:sz w:val="23"/>
                <w:szCs w:val="23"/>
              </w:rPr>
              <w:t>$12,</w:t>
            </w:r>
            <w:r w:rsidR="00891D9C" w:rsidRPr="00EB0950">
              <w:rPr>
                <w:rFonts w:cs="Calibri"/>
                <w:b/>
                <w:bCs/>
                <w:color w:val="000000"/>
                <w:sz w:val="23"/>
                <w:szCs w:val="23"/>
              </w:rPr>
              <w:t>0</w:t>
            </w:r>
            <w:r w:rsidR="00EB0950" w:rsidRPr="00EB0950">
              <w:rPr>
                <w:rFonts w:cs="Calibri"/>
                <w:b/>
                <w:bCs/>
                <w:color w:val="000000"/>
                <w:sz w:val="23"/>
                <w:szCs w:val="23"/>
              </w:rPr>
              <w:t>51,7</w:t>
            </w:r>
            <w:r w:rsidR="00810094">
              <w:rPr>
                <w:rFonts w:cs="Calibri"/>
                <w:b/>
                <w:bCs/>
                <w:color w:val="000000"/>
                <w:sz w:val="23"/>
                <w:szCs w:val="23"/>
              </w:rPr>
              <w:t>5</w:t>
            </w:r>
            <w:r w:rsidR="00EB0950" w:rsidRPr="00EB0950">
              <w:rPr>
                <w:rFonts w:cs="Calibri"/>
                <w:b/>
                <w:bCs/>
                <w:color w:val="000000"/>
                <w:sz w:val="23"/>
                <w:szCs w:val="23"/>
              </w:rPr>
              <w:t>4</w:t>
            </w:r>
            <w:r w:rsidR="00E72C20" w:rsidRPr="00EB0950">
              <w:rPr>
                <w:rFonts w:cs="Calibri"/>
                <w:b/>
                <w:bCs/>
                <w:color w:val="000000"/>
                <w:sz w:val="23"/>
                <w:szCs w:val="23"/>
              </w:rPr>
              <w:t xml:space="preserve"> </w:t>
            </w:r>
          </w:p>
        </w:tc>
        <w:tc>
          <w:tcPr>
            <w:tcW w:w="1418" w:type="dxa"/>
            <w:tcBorders>
              <w:top w:val="single" w:sz="8" w:space="0" w:color="auto"/>
              <w:left w:val="nil"/>
              <w:bottom w:val="single" w:sz="8" w:space="0" w:color="auto"/>
              <w:right w:val="single" w:sz="8" w:space="0" w:color="auto"/>
            </w:tcBorders>
            <w:shd w:val="clear" w:color="auto" w:fill="auto"/>
            <w:noWrap/>
            <w:vAlign w:val="center"/>
          </w:tcPr>
          <w:p w14:paraId="4F265A9D" w14:textId="77777777" w:rsidR="00F16B11" w:rsidRPr="00F179B9" w:rsidRDefault="00F179B9" w:rsidP="00B47FF2">
            <w:pPr>
              <w:spacing w:before="0" w:after="0"/>
              <w:jc w:val="right"/>
              <w:rPr>
                <w:b/>
                <w:color w:val="000000"/>
                <w:sz w:val="23"/>
                <w:szCs w:val="23"/>
              </w:rPr>
            </w:pPr>
            <w:r w:rsidRPr="00F179B9">
              <w:rPr>
                <w:b/>
                <w:color w:val="000000"/>
                <w:sz w:val="23"/>
                <w:szCs w:val="23"/>
              </w:rPr>
              <w:t>$10,574,269</w:t>
            </w:r>
          </w:p>
        </w:tc>
        <w:tc>
          <w:tcPr>
            <w:tcW w:w="1417" w:type="dxa"/>
            <w:tcBorders>
              <w:top w:val="single" w:sz="8" w:space="0" w:color="auto"/>
              <w:left w:val="nil"/>
              <w:bottom w:val="single" w:sz="8" w:space="0" w:color="auto"/>
              <w:right w:val="single" w:sz="8" w:space="0" w:color="auto"/>
            </w:tcBorders>
            <w:shd w:val="clear" w:color="auto" w:fill="auto"/>
            <w:noWrap/>
            <w:vAlign w:val="center"/>
          </w:tcPr>
          <w:p w14:paraId="0D6F1E7E" w14:textId="77777777" w:rsidR="00F16B11" w:rsidRPr="00FD382B" w:rsidRDefault="004E4E3A" w:rsidP="00B47FF2">
            <w:pPr>
              <w:spacing w:before="0" w:after="0"/>
              <w:jc w:val="right"/>
              <w:rPr>
                <w:b/>
                <w:color w:val="000000"/>
                <w:sz w:val="23"/>
                <w:szCs w:val="23"/>
              </w:rPr>
            </w:pPr>
            <w:r w:rsidRPr="004E4E3A">
              <w:rPr>
                <w:b/>
                <w:bCs/>
                <w:color w:val="000000"/>
                <w:sz w:val="23"/>
                <w:szCs w:val="23"/>
              </w:rPr>
              <w:t xml:space="preserve">$2,675,481 </w:t>
            </w:r>
          </w:p>
        </w:tc>
        <w:tc>
          <w:tcPr>
            <w:tcW w:w="1418" w:type="dxa"/>
            <w:tcBorders>
              <w:top w:val="single" w:sz="8" w:space="0" w:color="auto"/>
              <w:left w:val="nil"/>
              <w:bottom w:val="single" w:sz="8" w:space="0" w:color="auto"/>
              <w:right w:val="single" w:sz="8" w:space="0" w:color="auto"/>
            </w:tcBorders>
            <w:shd w:val="clear" w:color="auto" w:fill="auto"/>
            <w:noWrap/>
            <w:vAlign w:val="center"/>
          </w:tcPr>
          <w:p w14:paraId="7AF17900" w14:textId="77777777" w:rsidR="00F16B11" w:rsidRPr="00AA3BE7" w:rsidRDefault="00764ACD" w:rsidP="00B47FF2">
            <w:pPr>
              <w:spacing w:before="0" w:after="0"/>
              <w:ind w:left="-18"/>
              <w:jc w:val="right"/>
              <w:rPr>
                <w:b/>
                <w:color w:val="000000"/>
                <w:sz w:val="23"/>
                <w:szCs w:val="23"/>
                <w:highlight w:val="yellow"/>
              </w:rPr>
            </w:pPr>
            <w:r w:rsidRPr="00832918">
              <w:rPr>
                <w:b/>
                <w:bCs/>
                <w:color w:val="000000"/>
                <w:sz w:val="23"/>
                <w:szCs w:val="23"/>
              </w:rPr>
              <w:t>$</w:t>
            </w:r>
            <w:r w:rsidR="00FD215F" w:rsidRPr="00832918">
              <w:rPr>
                <w:b/>
                <w:bCs/>
                <w:color w:val="000000"/>
                <w:sz w:val="23"/>
                <w:szCs w:val="23"/>
              </w:rPr>
              <w:t>527,252</w:t>
            </w:r>
          </w:p>
        </w:tc>
      </w:tr>
    </w:tbl>
    <w:p w14:paraId="6DEC2967" w14:textId="77777777" w:rsidR="00CF17DE" w:rsidRPr="00673DF0" w:rsidRDefault="00CF17DE" w:rsidP="00F77BA1">
      <w:pPr>
        <w:pStyle w:val="Heading1"/>
        <w:spacing w:before="360" w:after="0"/>
        <w:jc w:val="both"/>
        <w:rPr>
          <w:rFonts w:cs="Helvetica"/>
        </w:rPr>
      </w:pPr>
      <w:bookmarkStart w:id="5" w:name="_Toc497338852"/>
      <w:bookmarkEnd w:id="4"/>
      <w:r w:rsidRPr="00673DF0">
        <w:rPr>
          <w:rFonts w:cs="Helvetica"/>
        </w:rPr>
        <w:t>Background</w:t>
      </w:r>
      <w:bookmarkEnd w:id="5"/>
    </w:p>
    <w:p w14:paraId="17FD3DC5" w14:textId="77777777" w:rsidR="00DC7486" w:rsidRDefault="00950EDE" w:rsidP="00F77BA1">
      <w:pPr>
        <w:jc w:val="both"/>
      </w:pPr>
      <w:r>
        <w:t>This section summarizes the history of the ESPI mechanism and its predecessor, the Risk/Reward Incentive Mechanism (RRIM)</w:t>
      </w:r>
      <w:r w:rsidR="006C268E">
        <w:t xml:space="preserve">. </w:t>
      </w:r>
      <w:r w:rsidR="009523C1" w:rsidRPr="009523C1">
        <w:t>It also summarizes the modified process adopted this year</w:t>
      </w:r>
      <w:r w:rsidR="009523C1">
        <w:t xml:space="preserve"> and how it differed from prior years.</w:t>
      </w:r>
    </w:p>
    <w:p w14:paraId="69377107" w14:textId="77777777" w:rsidR="00E741ED" w:rsidRPr="00AD6B15" w:rsidRDefault="00E741ED" w:rsidP="00AD6B15">
      <w:pPr>
        <w:pStyle w:val="Heading2"/>
      </w:pPr>
      <w:r w:rsidRPr="00AD6B15">
        <w:t>2006 - 2008 Risk/Reward Incentive Mechanism (RRIM)</w:t>
      </w:r>
    </w:p>
    <w:p w14:paraId="0EF7F7CE" w14:textId="77777777" w:rsidR="00E741ED" w:rsidRPr="00323614" w:rsidRDefault="00E741ED" w:rsidP="00F77BA1">
      <w:pPr>
        <w:jc w:val="both"/>
        <w:rPr>
          <w:b/>
        </w:rPr>
      </w:pPr>
      <w:r w:rsidRPr="00323614">
        <w:rPr>
          <w:b/>
        </w:rPr>
        <w:t>The IOUs were ordered to return $</w:t>
      </w:r>
      <w:r w:rsidR="00213DCE">
        <w:rPr>
          <w:b/>
        </w:rPr>
        <w:t>50,015,011 by three Decisions released in 2016 and 2017.</w:t>
      </w:r>
      <w:r w:rsidRPr="00323614">
        <w:rPr>
          <w:b/>
        </w:rPr>
        <w:t xml:space="preserve"> To date the four IOUs have collectively returned </w:t>
      </w:r>
      <w:r w:rsidR="00213DCE" w:rsidRPr="00213DCE">
        <w:rPr>
          <w:b/>
        </w:rPr>
        <w:t xml:space="preserve">$45,738,101 </w:t>
      </w:r>
      <w:r w:rsidRPr="00323614">
        <w:rPr>
          <w:b/>
        </w:rPr>
        <w:t>to ratepayers</w:t>
      </w:r>
      <w:r w:rsidR="006C268E">
        <w:rPr>
          <w:b/>
        </w:rPr>
        <w:t xml:space="preserve">. </w:t>
      </w:r>
    </w:p>
    <w:p w14:paraId="59EA60A4" w14:textId="77777777" w:rsidR="00E741ED" w:rsidRPr="00136784" w:rsidRDefault="00D92BD5" w:rsidP="00F77BA1">
      <w:pPr>
        <w:jc w:val="both"/>
      </w:pPr>
      <w:r>
        <w:t>In</w:t>
      </w:r>
      <w:r w:rsidR="00E741ED">
        <w:t xml:space="preserve"> Decision </w:t>
      </w:r>
      <w:r w:rsidR="00E741ED" w:rsidRPr="00AA4B8D">
        <w:rPr>
          <w:rStyle w:val="Hyperlink"/>
          <w:color w:val="auto"/>
          <w:u w:val="none"/>
        </w:rPr>
        <w:t>D.07-09-043</w:t>
      </w:r>
      <w:r w:rsidR="00E741ED">
        <w:t>,</w:t>
      </w:r>
      <w:r w:rsidR="00E741ED" w:rsidRPr="00136784">
        <w:t xml:space="preserve"> the </w:t>
      </w:r>
      <w:r w:rsidR="00E741ED">
        <w:t>Commission</w:t>
      </w:r>
      <w:r w:rsidR="00E741ED" w:rsidRPr="00136784">
        <w:t xml:space="preserve"> adopted the </w:t>
      </w:r>
      <w:r w:rsidR="00E741ED">
        <w:t>RRIM</w:t>
      </w:r>
      <w:r w:rsidR="00E741ED" w:rsidRPr="00136784">
        <w:t xml:space="preserve"> to motivate </w:t>
      </w:r>
      <w:r w:rsidR="00BC7BB3">
        <w:t>the IOUs</w:t>
      </w:r>
      <w:r w:rsidR="00E741ED" w:rsidRPr="00136784">
        <w:t xml:space="preserve"> to pursue energy efficiency as a core business strategy.</w:t>
      </w:r>
      <w:r w:rsidR="00E741ED">
        <w:t xml:space="preserve"> </w:t>
      </w:r>
      <w:r w:rsidR="00E741ED" w:rsidRPr="00136784">
        <w:t>Under the RRIM</w:t>
      </w:r>
      <w:r w:rsidR="00E741ED">
        <w:t>,</w:t>
      </w:r>
      <w:r w:rsidR="00E741ED" w:rsidRPr="00136784">
        <w:t xml:space="preserve"> utilities </w:t>
      </w:r>
      <w:r w:rsidR="00E741ED">
        <w:t xml:space="preserve">were </w:t>
      </w:r>
      <w:r w:rsidR="00E741ED" w:rsidRPr="00136784">
        <w:lastRenderedPageBreak/>
        <w:t>rewarded or penalized based on evaluated energy savings for the 2006-2008 and subsequent program cycles.</w:t>
      </w:r>
      <w:r w:rsidR="00E741ED" w:rsidRPr="00AA4B8D">
        <w:rPr>
          <w:rStyle w:val="FootnoteReference"/>
          <w:iCs/>
        </w:rPr>
        <w:footnoteReference w:id="3"/>
      </w:r>
      <w:r w:rsidR="00E741ED" w:rsidRPr="00136784">
        <w:t xml:space="preserve"> </w:t>
      </w:r>
    </w:p>
    <w:p w14:paraId="0F8A665F" w14:textId="77777777" w:rsidR="00E22CBB" w:rsidRPr="00136784" w:rsidRDefault="00E741ED" w:rsidP="00F77BA1">
      <w:pPr>
        <w:jc w:val="both"/>
      </w:pPr>
      <w:r>
        <w:t>Due</w:t>
      </w:r>
      <w:r w:rsidRPr="00136784">
        <w:t xml:space="preserve"> to challenges </w:t>
      </w:r>
      <w:r>
        <w:t xml:space="preserve">associated </w:t>
      </w:r>
      <w:r w:rsidRPr="00136784">
        <w:t>with the RRIM</w:t>
      </w:r>
      <w:r>
        <w:t>,</w:t>
      </w:r>
      <w:r w:rsidRPr="00136784">
        <w:t xml:space="preserve"> the </w:t>
      </w:r>
      <w:r>
        <w:t>Commission</w:t>
      </w:r>
      <w:r w:rsidRPr="00136784">
        <w:t xml:space="preserve"> opened a new proceeding (R.12-01-005)</w:t>
      </w:r>
      <w:r>
        <w:t xml:space="preserve"> </w:t>
      </w:r>
      <w:r w:rsidRPr="005327A7">
        <w:t xml:space="preserve">in 2012 </w:t>
      </w:r>
      <w:r w:rsidRPr="00136784">
        <w:t xml:space="preserve">to consider reforms to the </w:t>
      </w:r>
      <w:r>
        <w:t>m</w:t>
      </w:r>
      <w:r w:rsidRPr="00136784">
        <w:t xml:space="preserve">echanism. </w:t>
      </w:r>
      <w:r w:rsidR="00741613">
        <w:t>T</w:t>
      </w:r>
      <w:r w:rsidR="00590874">
        <w:t xml:space="preserve">aking into consideration extensive discussions and feedback from stakeholders, </w:t>
      </w:r>
      <w:r w:rsidR="00E22CBB" w:rsidRPr="00136784">
        <w:t xml:space="preserve">the </w:t>
      </w:r>
      <w:r w:rsidR="00E22CBB">
        <w:t>Commission</w:t>
      </w:r>
      <w:r w:rsidR="00E22CBB" w:rsidRPr="00136784">
        <w:t xml:space="preserve"> </w:t>
      </w:r>
      <w:r w:rsidR="00590874">
        <w:t xml:space="preserve">decided to sunset the RRIM, eventually </w:t>
      </w:r>
      <w:r w:rsidR="00E22CBB" w:rsidRPr="00136784">
        <w:t>adopt</w:t>
      </w:r>
      <w:r w:rsidR="00590874">
        <w:t>ing</w:t>
      </w:r>
      <w:r w:rsidR="00E22CBB" w:rsidRPr="00136784">
        <w:t xml:space="preserve"> </w:t>
      </w:r>
      <w:r w:rsidR="00590874">
        <w:t>t</w:t>
      </w:r>
      <w:r w:rsidR="00E22CBB" w:rsidRPr="00136784">
        <w:t>he Efficiency Savings and Performance Incentive (ESPI) mechanism via D.13-09-023</w:t>
      </w:r>
      <w:r w:rsidR="00590874">
        <w:t xml:space="preserve"> </w:t>
      </w:r>
      <w:r w:rsidR="00BD77F8">
        <w:t>i</w:t>
      </w:r>
      <w:r w:rsidR="00590874" w:rsidRPr="00590874">
        <w:t>n September 2013</w:t>
      </w:r>
      <w:r w:rsidR="00E22CBB" w:rsidRPr="00136784">
        <w:t>.</w:t>
      </w:r>
      <w:r w:rsidR="00590874">
        <w:t xml:space="preserve"> </w:t>
      </w:r>
      <w:r w:rsidR="003F46CE">
        <w:t xml:space="preserve">Please see the section below for </w:t>
      </w:r>
      <w:r w:rsidR="004908A0">
        <w:t>relevant working details of the ESPI mechanism.</w:t>
      </w:r>
    </w:p>
    <w:p w14:paraId="4B86087A" w14:textId="77777777" w:rsidR="00127C71" w:rsidRDefault="00FA09C3" w:rsidP="00F77BA1">
      <w:pPr>
        <w:jc w:val="both"/>
      </w:pPr>
      <w:r>
        <w:t>I</w:t>
      </w:r>
      <w:r w:rsidR="00C403E6" w:rsidRPr="00136784">
        <w:t>n September 2015</w:t>
      </w:r>
      <w:r w:rsidR="00E22CBB">
        <w:t>,</w:t>
      </w:r>
      <w:r w:rsidR="00C403E6" w:rsidRPr="00136784">
        <w:t xml:space="preserve"> the </w:t>
      </w:r>
      <w:r w:rsidR="00623F57">
        <w:t>Commission</w:t>
      </w:r>
      <w:r w:rsidR="00C403E6" w:rsidRPr="00136784">
        <w:t xml:space="preserve"> re-examined </w:t>
      </w:r>
      <w:r w:rsidR="005327A7" w:rsidRPr="005327A7">
        <w:t xml:space="preserve">three Decisions involving </w:t>
      </w:r>
      <w:r w:rsidR="00C403E6" w:rsidRPr="00136784">
        <w:t>the shareholder incentives awards paid for program years 2006-20</w:t>
      </w:r>
      <w:r w:rsidR="005327A7">
        <w:t>08 under the RRIM</w:t>
      </w:r>
      <w:r w:rsidR="00C403E6" w:rsidRPr="00136784">
        <w:t xml:space="preserve">. </w:t>
      </w:r>
      <w:r w:rsidR="00741613">
        <w:t>In response to s</w:t>
      </w:r>
      <w:r w:rsidR="00C403E6">
        <w:t>ettlements among parties in the course of this re-examination</w:t>
      </w:r>
      <w:r w:rsidR="00741613">
        <w:t xml:space="preserve">, the Commission ordered </w:t>
      </w:r>
      <w:r w:rsidR="00C403E6">
        <w:t>t</w:t>
      </w:r>
      <w:r w:rsidR="00C403E6" w:rsidRPr="00136784">
        <w:t>he four IOUs to return portions of the</w:t>
      </w:r>
      <w:r w:rsidR="00741613">
        <w:t xml:space="preserve"> RRIM</w:t>
      </w:r>
      <w:r w:rsidR="00C403E6" w:rsidRPr="00136784">
        <w:t xml:space="preserve"> </w:t>
      </w:r>
      <w:r w:rsidR="00C403E6">
        <w:t>incentive awards</w:t>
      </w:r>
      <w:r w:rsidR="00C403E6" w:rsidRPr="00136784">
        <w:t xml:space="preserve"> to ratepayers</w:t>
      </w:r>
      <w:r w:rsidR="00741613">
        <w:t xml:space="preserve"> via offsets to the </w:t>
      </w:r>
      <w:r w:rsidR="00741613" w:rsidRPr="00741613">
        <w:t>otherwise authorized ESPI incentive award</w:t>
      </w:r>
      <w:r w:rsidR="00741613">
        <w:t>s</w:t>
      </w:r>
      <w:r w:rsidR="00C403E6" w:rsidRPr="00136784">
        <w:t>.</w:t>
      </w:r>
      <w:r w:rsidR="000E5820">
        <w:rPr>
          <w:rStyle w:val="FootnoteReference"/>
        </w:rPr>
        <w:footnoteReference w:id="4"/>
      </w:r>
      <w:r w:rsidR="00BC7BB3">
        <w:t xml:space="preserve"> </w:t>
      </w:r>
      <w:r w:rsidR="00BD77F8">
        <w:t>A s</w:t>
      </w:r>
      <w:r w:rsidR="00BC7BB3">
        <w:t xml:space="preserve">ummary of RRIM </w:t>
      </w:r>
      <w:r w:rsidR="00741613">
        <w:t xml:space="preserve">offsets </w:t>
      </w:r>
      <w:r w:rsidR="00BC7BB3">
        <w:t xml:space="preserve">and </w:t>
      </w:r>
      <w:r w:rsidR="00741613">
        <w:t xml:space="preserve">current </w:t>
      </w:r>
      <w:r w:rsidR="00BC7BB3">
        <w:t>balance</w:t>
      </w:r>
      <w:r w:rsidR="00741613">
        <w:t>s</w:t>
      </w:r>
      <w:r w:rsidR="00BC7BB3">
        <w:t xml:space="preserve"> due </w:t>
      </w:r>
      <w:r w:rsidR="00213DCE">
        <w:t xml:space="preserve">is provided </w:t>
      </w:r>
      <w:r w:rsidR="007C434F">
        <w:t>in Table 3.</w:t>
      </w:r>
    </w:p>
    <w:tbl>
      <w:tblPr>
        <w:tblStyle w:val="TableGrid"/>
        <w:tblW w:w="9468" w:type="dxa"/>
        <w:jc w:val="center"/>
        <w:tblLook w:val="04A0" w:firstRow="1" w:lastRow="0" w:firstColumn="1" w:lastColumn="0" w:noHBand="0" w:noVBand="1"/>
      </w:tblPr>
      <w:tblGrid>
        <w:gridCol w:w="1925"/>
        <w:gridCol w:w="1963"/>
        <w:gridCol w:w="2581"/>
        <w:gridCol w:w="2999"/>
      </w:tblGrid>
      <w:tr w:rsidR="00A52B69" w14:paraId="4DD1AA36" w14:textId="77777777">
        <w:trPr>
          <w:jc w:val="center"/>
        </w:trPr>
        <w:tc>
          <w:tcPr>
            <w:tcW w:w="9468" w:type="dxa"/>
            <w:gridSpan w:val="4"/>
            <w:tcBorders>
              <w:top w:val="nil"/>
              <w:left w:val="nil"/>
              <w:right w:val="nil"/>
            </w:tcBorders>
          </w:tcPr>
          <w:p w14:paraId="70001279" w14:textId="70377FC1" w:rsidR="00127C71" w:rsidRPr="00127C71" w:rsidRDefault="00127C71" w:rsidP="00AD6B15">
            <w:pPr>
              <w:spacing w:before="0" w:after="0"/>
              <w:jc w:val="center"/>
              <w:rPr>
                <w:b/>
              </w:rPr>
            </w:pPr>
            <w:r>
              <w:t xml:space="preserve">Table </w:t>
            </w:r>
            <w:r w:rsidR="009004E8">
              <w:rPr>
                <w:noProof/>
              </w:rPr>
              <w:fldChar w:fldCharType="begin"/>
            </w:r>
            <w:r w:rsidR="009004E8">
              <w:rPr>
                <w:noProof/>
              </w:rPr>
              <w:instrText xml:space="preserve"> SEQ Table \* ARABIC </w:instrText>
            </w:r>
            <w:r w:rsidR="009004E8">
              <w:rPr>
                <w:noProof/>
              </w:rPr>
              <w:fldChar w:fldCharType="separate"/>
            </w:r>
            <w:r w:rsidR="00CE6758">
              <w:rPr>
                <w:noProof/>
              </w:rPr>
              <w:t>3</w:t>
            </w:r>
            <w:r w:rsidR="009004E8">
              <w:rPr>
                <w:noProof/>
              </w:rPr>
              <w:fldChar w:fldCharType="end"/>
            </w:r>
            <w:r>
              <w:t xml:space="preserve">: Summary of </w:t>
            </w:r>
            <w:r w:rsidR="00362B7C">
              <w:t xml:space="preserve">RRIM </w:t>
            </w:r>
            <w:r>
              <w:t>Settlement</w:t>
            </w:r>
            <w:r w:rsidR="00362B7C">
              <w:t>s</w:t>
            </w:r>
          </w:p>
        </w:tc>
      </w:tr>
      <w:tr w:rsidR="00A52B69" w14:paraId="7C027EC3" w14:textId="77777777">
        <w:trPr>
          <w:jc w:val="center"/>
        </w:trPr>
        <w:tc>
          <w:tcPr>
            <w:tcW w:w="1925" w:type="dxa"/>
          </w:tcPr>
          <w:p w14:paraId="7F7BB600" w14:textId="77777777" w:rsidR="00F4494C" w:rsidRPr="00127C71" w:rsidRDefault="00F4494C" w:rsidP="00F77BA1">
            <w:pPr>
              <w:spacing w:before="0" w:after="0"/>
              <w:jc w:val="both"/>
              <w:rPr>
                <w:b/>
              </w:rPr>
            </w:pPr>
            <w:r w:rsidRPr="00127C71">
              <w:rPr>
                <w:b/>
              </w:rPr>
              <w:t>IOU</w:t>
            </w:r>
          </w:p>
        </w:tc>
        <w:tc>
          <w:tcPr>
            <w:tcW w:w="1963" w:type="dxa"/>
          </w:tcPr>
          <w:p w14:paraId="48021CC7" w14:textId="77777777" w:rsidR="00F4494C" w:rsidRPr="00127C71" w:rsidRDefault="00F4494C" w:rsidP="00F77BA1">
            <w:pPr>
              <w:spacing w:before="0" w:after="0"/>
              <w:jc w:val="both"/>
              <w:rPr>
                <w:b/>
              </w:rPr>
            </w:pPr>
            <w:r w:rsidRPr="00127C71">
              <w:rPr>
                <w:b/>
              </w:rPr>
              <w:t xml:space="preserve">Decision </w:t>
            </w:r>
          </w:p>
        </w:tc>
        <w:tc>
          <w:tcPr>
            <w:tcW w:w="2581" w:type="dxa"/>
          </w:tcPr>
          <w:p w14:paraId="1416E506" w14:textId="77777777" w:rsidR="00F4494C" w:rsidRPr="00127C71" w:rsidRDefault="00F4494C" w:rsidP="00F77BA1">
            <w:pPr>
              <w:spacing w:before="0" w:after="0"/>
              <w:jc w:val="both"/>
              <w:rPr>
                <w:b/>
              </w:rPr>
            </w:pPr>
            <w:r w:rsidRPr="00127C71">
              <w:rPr>
                <w:b/>
              </w:rPr>
              <w:t xml:space="preserve">Amount </w:t>
            </w:r>
            <w:r w:rsidR="00BD77F8">
              <w:rPr>
                <w:b/>
              </w:rPr>
              <w:t>o</w:t>
            </w:r>
            <w:r w:rsidRPr="00127C71">
              <w:rPr>
                <w:b/>
              </w:rPr>
              <w:t>rdered for reimbursement</w:t>
            </w:r>
          </w:p>
        </w:tc>
        <w:tc>
          <w:tcPr>
            <w:tcW w:w="2999" w:type="dxa"/>
          </w:tcPr>
          <w:p w14:paraId="4D5CCBC7" w14:textId="77777777" w:rsidR="00F4494C" w:rsidRPr="00127C71" w:rsidRDefault="00F4494C" w:rsidP="00F77BA1">
            <w:pPr>
              <w:spacing w:before="0" w:after="0"/>
              <w:jc w:val="both"/>
              <w:rPr>
                <w:b/>
              </w:rPr>
            </w:pPr>
            <w:r w:rsidRPr="00127C71">
              <w:rPr>
                <w:b/>
              </w:rPr>
              <w:t>Balance remaining after the current payout</w:t>
            </w:r>
          </w:p>
        </w:tc>
      </w:tr>
      <w:tr w:rsidR="00A52B69" w14:paraId="7E1054C8" w14:textId="77777777">
        <w:trPr>
          <w:jc w:val="center"/>
        </w:trPr>
        <w:tc>
          <w:tcPr>
            <w:tcW w:w="1925" w:type="dxa"/>
          </w:tcPr>
          <w:p w14:paraId="06C5E725" w14:textId="77777777" w:rsidR="00F4494C" w:rsidRDefault="00F4494C" w:rsidP="00F77BA1">
            <w:pPr>
              <w:spacing w:before="0" w:after="0"/>
              <w:jc w:val="both"/>
            </w:pPr>
            <w:r>
              <w:t>PG&amp;E</w:t>
            </w:r>
          </w:p>
        </w:tc>
        <w:tc>
          <w:tcPr>
            <w:tcW w:w="1963" w:type="dxa"/>
          </w:tcPr>
          <w:p w14:paraId="714123EC" w14:textId="77777777" w:rsidR="00F4494C" w:rsidRDefault="00F4494C" w:rsidP="00F77BA1">
            <w:pPr>
              <w:spacing w:before="0" w:after="0"/>
              <w:jc w:val="both"/>
            </w:pPr>
            <w:r w:rsidRPr="00136784">
              <w:t>D.16-09-019</w:t>
            </w:r>
          </w:p>
        </w:tc>
        <w:tc>
          <w:tcPr>
            <w:tcW w:w="2581" w:type="dxa"/>
          </w:tcPr>
          <w:p w14:paraId="6B0BF863" w14:textId="77777777" w:rsidR="00F4494C" w:rsidRDefault="00F4494C" w:rsidP="00F77BA1">
            <w:pPr>
              <w:spacing w:before="0" w:after="0"/>
              <w:jc w:val="both"/>
            </w:pPr>
            <w:r w:rsidRPr="00136784">
              <w:t>$29,115,011</w:t>
            </w:r>
          </w:p>
        </w:tc>
        <w:tc>
          <w:tcPr>
            <w:tcW w:w="2999" w:type="dxa"/>
          </w:tcPr>
          <w:p w14:paraId="4544DE48" w14:textId="77777777" w:rsidR="00F4494C" w:rsidRDefault="00362B7C" w:rsidP="00F77BA1">
            <w:pPr>
              <w:spacing w:before="0" w:after="0"/>
              <w:jc w:val="both"/>
            </w:pPr>
            <w:r>
              <w:t>$0</w:t>
            </w:r>
          </w:p>
        </w:tc>
      </w:tr>
      <w:tr w:rsidR="00A52B69" w14:paraId="5337FD03" w14:textId="77777777">
        <w:trPr>
          <w:jc w:val="center"/>
        </w:trPr>
        <w:tc>
          <w:tcPr>
            <w:tcW w:w="1925" w:type="dxa"/>
          </w:tcPr>
          <w:p w14:paraId="53917AAF" w14:textId="77777777" w:rsidR="00F4494C" w:rsidRDefault="00362B7C" w:rsidP="00F77BA1">
            <w:pPr>
              <w:spacing w:before="0" w:after="0"/>
              <w:jc w:val="both"/>
            </w:pPr>
            <w:r>
              <w:t>SCE</w:t>
            </w:r>
          </w:p>
        </w:tc>
        <w:tc>
          <w:tcPr>
            <w:tcW w:w="1963" w:type="dxa"/>
          </w:tcPr>
          <w:p w14:paraId="0F1C797F" w14:textId="77777777" w:rsidR="00F4494C" w:rsidRDefault="00362B7C" w:rsidP="00F77BA1">
            <w:pPr>
              <w:spacing w:before="0" w:after="0"/>
              <w:jc w:val="both"/>
            </w:pPr>
            <w:r w:rsidRPr="00362B7C">
              <w:t>D.16-10-008</w:t>
            </w:r>
          </w:p>
        </w:tc>
        <w:tc>
          <w:tcPr>
            <w:tcW w:w="2581" w:type="dxa"/>
          </w:tcPr>
          <w:p w14:paraId="526DC285" w14:textId="77777777" w:rsidR="00F4494C" w:rsidRDefault="00362B7C" w:rsidP="00F77BA1">
            <w:pPr>
              <w:spacing w:before="0" w:after="0"/>
              <w:jc w:val="both"/>
            </w:pPr>
            <w:r>
              <w:t>$13,500,000</w:t>
            </w:r>
          </w:p>
        </w:tc>
        <w:tc>
          <w:tcPr>
            <w:tcW w:w="2999" w:type="dxa"/>
          </w:tcPr>
          <w:p w14:paraId="57CC49CC" w14:textId="77777777" w:rsidR="00F4494C" w:rsidRDefault="00362B7C" w:rsidP="00F77BA1">
            <w:pPr>
              <w:spacing w:before="0" w:after="0"/>
              <w:jc w:val="both"/>
            </w:pPr>
            <w:r>
              <w:t>N/A</w:t>
            </w:r>
            <w:r>
              <w:rPr>
                <w:rStyle w:val="FootnoteReference"/>
              </w:rPr>
              <w:footnoteReference w:id="5"/>
            </w:r>
          </w:p>
        </w:tc>
      </w:tr>
      <w:tr w:rsidR="00A52B69" w14:paraId="7D928DE7" w14:textId="77777777">
        <w:trPr>
          <w:jc w:val="center"/>
        </w:trPr>
        <w:tc>
          <w:tcPr>
            <w:tcW w:w="1925" w:type="dxa"/>
          </w:tcPr>
          <w:p w14:paraId="25F23721" w14:textId="77777777" w:rsidR="00F4494C" w:rsidRDefault="00362B7C" w:rsidP="00F77BA1">
            <w:pPr>
              <w:spacing w:before="0" w:after="0"/>
              <w:jc w:val="both"/>
            </w:pPr>
            <w:r>
              <w:t>SDG&amp;E</w:t>
            </w:r>
          </w:p>
        </w:tc>
        <w:tc>
          <w:tcPr>
            <w:tcW w:w="1963" w:type="dxa"/>
          </w:tcPr>
          <w:p w14:paraId="5839BB10" w14:textId="77777777" w:rsidR="00F4494C" w:rsidRDefault="00362B7C" w:rsidP="00F77BA1">
            <w:pPr>
              <w:spacing w:before="0" w:after="0"/>
              <w:jc w:val="both"/>
            </w:pPr>
            <w:r>
              <w:t>D.</w:t>
            </w:r>
            <w:r w:rsidRPr="00362B7C">
              <w:t>17-03-003</w:t>
            </w:r>
          </w:p>
        </w:tc>
        <w:tc>
          <w:tcPr>
            <w:tcW w:w="2581" w:type="dxa"/>
          </w:tcPr>
          <w:p w14:paraId="39CA38FE" w14:textId="77777777" w:rsidR="00F4494C" w:rsidRDefault="00362B7C" w:rsidP="00F77BA1">
            <w:pPr>
              <w:spacing w:before="0" w:after="0"/>
              <w:jc w:val="both"/>
            </w:pPr>
            <w:r>
              <w:t>$3,700,000</w:t>
            </w:r>
          </w:p>
        </w:tc>
        <w:tc>
          <w:tcPr>
            <w:tcW w:w="2999" w:type="dxa"/>
          </w:tcPr>
          <w:p w14:paraId="1DF93C7F" w14:textId="77777777" w:rsidR="00F4494C" w:rsidRDefault="00362B7C" w:rsidP="00F77BA1">
            <w:pPr>
              <w:spacing w:before="0" w:after="0"/>
              <w:jc w:val="both"/>
            </w:pPr>
            <w:r>
              <w:t>$0</w:t>
            </w:r>
          </w:p>
        </w:tc>
      </w:tr>
      <w:tr w:rsidR="00A52B69" w14:paraId="79BDCBF0" w14:textId="77777777">
        <w:trPr>
          <w:jc w:val="center"/>
        </w:trPr>
        <w:tc>
          <w:tcPr>
            <w:tcW w:w="1925" w:type="dxa"/>
          </w:tcPr>
          <w:p w14:paraId="7A5AD8D7" w14:textId="77777777" w:rsidR="00F4494C" w:rsidRDefault="00362B7C" w:rsidP="00F77BA1">
            <w:pPr>
              <w:spacing w:before="0" w:after="0"/>
              <w:jc w:val="both"/>
            </w:pPr>
            <w:r>
              <w:t>SoCalGas</w:t>
            </w:r>
          </w:p>
        </w:tc>
        <w:tc>
          <w:tcPr>
            <w:tcW w:w="1963" w:type="dxa"/>
          </w:tcPr>
          <w:p w14:paraId="0A3DAF1D" w14:textId="77777777" w:rsidR="00F4494C" w:rsidRDefault="00362B7C" w:rsidP="00F77BA1">
            <w:pPr>
              <w:spacing w:before="0" w:after="0"/>
              <w:jc w:val="both"/>
            </w:pPr>
            <w:r w:rsidRPr="00362B7C">
              <w:t>D.17-03-003</w:t>
            </w:r>
          </w:p>
        </w:tc>
        <w:tc>
          <w:tcPr>
            <w:tcW w:w="2581" w:type="dxa"/>
          </w:tcPr>
          <w:p w14:paraId="7B739A83" w14:textId="77777777" w:rsidR="00F4494C" w:rsidRDefault="00362B7C" w:rsidP="00F77BA1">
            <w:pPr>
              <w:spacing w:before="0" w:after="0"/>
              <w:jc w:val="both"/>
            </w:pPr>
            <w:r w:rsidRPr="00362B7C">
              <w:t>$3,700,000</w:t>
            </w:r>
          </w:p>
        </w:tc>
        <w:tc>
          <w:tcPr>
            <w:tcW w:w="2999" w:type="dxa"/>
          </w:tcPr>
          <w:p w14:paraId="1CFB8F86" w14:textId="77777777" w:rsidR="00F4494C" w:rsidRDefault="00362B7C" w:rsidP="00F77BA1">
            <w:pPr>
              <w:spacing w:before="0" w:after="0"/>
              <w:jc w:val="both"/>
            </w:pPr>
            <w:r>
              <w:t>$0</w:t>
            </w:r>
          </w:p>
        </w:tc>
      </w:tr>
    </w:tbl>
    <w:p w14:paraId="0145A23D" w14:textId="77777777" w:rsidR="00AD6B15" w:rsidRDefault="00AD6B15" w:rsidP="00AD6B15">
      <w:pPr>
        <w:pStyle w:val="Heading2"/>
      </w:pPr>
    </w:p>
    <w:p w14:paraId="676DAEF0" w14:textId="77777777" w:rsidR="00AD6B15" w:rsidRDefault="00AD6B15">
      <w:pPr>
        <w:spacing w:before="0" w:after="0"/>
        <w:rPr>
          <w:b/>
          <w:sz w:val="28"/>
        </w:rPr>
      </w:pPr>
      <w:r>
        <w:br w:type="page"/>
      </w:r>
    </w:p>
    <w:p w14:paraId="75DD108A" w14:textId="77777777" w:rsidR="006D1654" w:rsidRPr="006B49DA" w:rsidRDefault="006D1654" w:rsidP="00AD6B15">
      <w:pPr>
        <w:pStyle w:val="Heading2"/>
      </w:pPr>
      <w:r w:rsidRPr="006B49DA">
        <w:lastRenderedPageBreak/>
        <w:t>2013 - Present Efficiency Savings and Performance Incentive (ESPI) Mechanism</w:t>
      </w:r>
    </w:p>
    <w:p w14:paraId="3CD08441" w14:textId="77777777" w:rsidR="000F1EF4" w:rsidRPr="00136784" w:rsidRDefault="00D92BD5" w:rsidP="008E7BDB">
      <w:pPr>
        <w:jc w:val="both"/>
      </w:pPr>
      <w:r w:rsidRPr="00D735BD">
        <w:t xml:space="preserve">D.13-09-023 adopted </w:t>
      </w:r>
      <w:r w:rsidR="008F5303" w:rsidRPr="00D735BD">
        <w:t xml:space="preserve">the </w:t>
      </w:r>
      <w:r w:rsidR="006D1654" w:rsidRPr="00D735BD">
        <w:t>ESPI</w:t>
      </w:r>
      <w:r w:rsidR="00A85DAC" w:rsidRPr="00D735BD">
        <w:t xml:space="preserve"> mechanism</w:t>
      </w:r>
      <w:r w:rsidR="00464839" w:rsidRPr="00D735BD">
        <w:t>.</w:t>
      </w:r>
      <w:r w:rsidR="00F12669" w:rsidRPr="00D735BD">
        <w:t xml:space="preserve"> </w:t>
      </w:r>
      <w:r w:rsidR="00A0582F" w:rsidRPr="00D735BD">
        <w:t xml:space="preserve">Later, </w:t>
      </w:r>
      <w:r w:rsidR="00CC30BD" w:rsidRPr="00D735BD">
        <w:t>D.15-10-028</w:t>
      </w:r>
      <w:r w:rsidR="00C37797" w:rsidRPr="00D735BD">
        <w:rPr>
          <w:rStyle w:val="FootnoteReference"/>
        </w:rPr>
        <w:footnoteReference w:id="6"/>
      </w:r>
      <w:r w:rsidR="00CC30BD" w:rsidRPr="00D735BD">
        <w:t xml:space="preserve"> updated </w:t>
      </w:r>
      <w:r w:rsidR="00CC30BD" w:rsidRPr="00136784">
        <w:t>t</w:t>
      </w:r>
      <w:r w:rsidR="000F1EF4" w:rsidRPr="00136784">
        <w:t xml:space="preserve">he timelines for ESPI review to comply with the new </w:t>
      </w:r>
      <w:r w:rsidR="00063A81">
        <w:t>energy efficiency</w:t>
      </w:r>
      <w:r w:rsidR="000F1EF4" w:rsidRPr="00136784">
        <w:t xml:space="preserve"> planning, budget, and review processes adopted </w:t>
      </w:r>
      <w:r w:rsidR="00CC30BD" w:rsidRPr="00136784">
        <w:t>in the same Decision</w:t>
      </w:r>
      <w:r w:rsidR="000F1EF4" w:rsidRPr="00136784">
        <w:t>.</w:t>
      </w:r>
      <w:r w:rsidR="00822C8D">
        <w:t xml:space="preserve"> </w:t>
      </w:r>
      <w:r w:rsidR="000F1EF4" w:rsidRPr="00136784">
        <w:t xml:space="preserve">The framework of the ESPI </w:t>
      </w:r>
      <w:r w:rsidR="00BD77F8">
        <w:t>mechanism</w:t>
      </w:r>
      <w:r w:rsidR="00BD77F8" w:rsidRPr="00136784">
        <w:t xml:space="preserve"> </w:t>
      </w:r>
      <w:r w:rsidR="000F1EF4" w:rsidRPr="00136784">
        <w:t xml:space="preserve">was </w:t>
      </w:r>
      <w:r w:rsidR="003E74CC">
        <w:t xml:space="preserve">otherwise </w:t>
      </w:r>
      <w:r w:rsidR="00AE36E5" w:rsidRPr="00136784">
        <w:t>retained.</w:t>
      </w:r>
    </w:p>
    <w:p w14:paraId="266E90D9" w14:textId="77777777" w:rsidR="0071760C" w:rsidRDefault="00F90BD4" w:rsidP="008E7BDB">
      <w:pPr>
        <w:jc w:val="both"/>
      </w:pPr>
      <w:r w:rsidRPr="00174B6A">
        <w:rPr>
          <w:spacing w:val="-1"/>
        </w:rPr>
        <w:t xml:space="preserve">The ESPI mechanism is a </w:t>
      </w:r>
      <w:r w:rsidR="003F1003" w:rsidRPr="00174B6A">
        <w:rPr>
          <w:spacing w:val="-1"/>
        </w:rPr>
        <w:t>set of rules for calculating</w:t>
      </w:r>
      <w:r w:rsidR="00733A1A" w:rsidRPr="00174B6A">
        <w:rPr>
          <w:spacing w:val="-1"/>
        </w:rPr>
        <w:t xml:space="preserve"> </w:t>
      </w:r>
      <w:r w:rsidR="003F1003" w:rsidRPr="00174B6A">
        <w:rPr>
          <w:spacing w:val="-1"/>
        </w:rPr>
        <w:t>incentive awards</w:t>
      </w:r>
      <w:r w:rsidR="00733A1A" w:rsidRPr="00174B6A">
        <w:rPr>
          <w:spacing w:val="-1"/>
        </w:rPr>
        <w:t xml:space="preserve"> </w:t>
      </w:r>
      <w:r w:rsidRPr="00174B6A">
        <w:rPr>
          <w:spacing w:val="-1"/>
        </w:rPr>
        <w:t>intended to motivate</w:t>
      </w:r>
      <w:r w:rsidRPr="00136784">
        <w:t xml:space="preserve"> IOUs to </w:t>
      </w:r>
      <w:r w:rsidR="00733A1A">
        <w:t xml:space="preserve">achieve </w:t>
      </w:r>
      <w:r w:rsidR="00733A1A" w:rsidRPr="003A7AF8">
        <w:t xml:space="preserve">their Commission-authorized </w:t>
      </w:r>
      <w:r w:rsidR="00733A1A">
        <w:t xml:space="preserve">energy </w:t>
      </w:r>
      <w:r w:rsidR="00733A1A" w:rsidRPr="003A7AF8">
        <w:t>savings goals</w:t>
      </w:r>
      <w:r w:rsidR="00733A1A" w:rsidRPr="00136784">
        <w:t xml:space="preserve"> </w:t>
      </w:r>
      <w:r w:rsidR="00733A1A">
        <w:t xml:space="preserve">by </w:t>
      </w:r>
      <w:r w:rsidR="00733A1A" w:rsidRPr="00136784">
        <w:t>invest</w:t>
      </w:r>
      <w:r w:rsidR="00733A1A">
        <w:t>ing</w:t>
      </w:r>
      <w:r w:rsidR="00733A1A" w:rsidRPr="00136784">
        <w:t xml:space="preserve"> in</w:t>
      </w:r>
      <w:r w:rsidR="00733A1A">
        <w:t xml:space="preserve"> energy efficiency programs as a core business strategy. Without such incentives, IOUs might instead devote scarce resources to supply-side procurement on which they earn a return.</w:t>
      </w:r>
      <w:r w:rsidR="00733A1A">
        <w:rPr>
          <w:rStyle w:val="FootnoteReference"/>
        </w:rPr>
        <w:footnoteReference w:id="7"/>
      </w:r>
      <w:r w:rsidR="00733A1A" w:rsidRPr="00136784">
        <w:t xml:space="preserve"> </w:t>
      </w:r>
      <w:r w:rsidR="00733A1A">
        <w:t>By means of the ESPI mechanism, t</w:t>
      </w:r>
      <w:r w:rsidR="00733A1A" w:rsidRPr="00F87FD0">
        <w:t xml:space="preserve">he IOUs are given </w:t>
      </w:r>
      <w:r w:rsidR="00733A1A">
        <w:t xml:space="preserve">annual </w:t>
      </w:r>
      <w:r w:rsidR="00B2576A">
        <w:t xml:space="preserve">monetary </w:t>
      </w:r>
      <w:r w:rsidR="00733A1A" w:rsidRPr="00F87FD0">
        <w:t>awards based on their portfolio performance</w:t>
      </w:r>
      <w:r w:rsidR="00733A1A">
        <w:t xml:space="preserve"> in the areas of </w:t>
      </w:r>
      <w:r w:rsidRPr="00136784">
        <w:t xml:space="preserve">energy efficiency </w:t>
      </w:r>
      <w:r w:rsidR="00AB65B3">
        <w:t>r</w:t>
      </w:r>
      <w:r w:rsidRPr="00136784">
        <w:t>esource programs</w:t>
      </w:r>
      <w:r w:rsidR="00F05B68">
        <w:t>,</w:t>
      </w:r>
      <w:r w:rsidRPr="00136784">
        <w:rPr>
          <w:vertAlign w:val="superscript"/>
        </w:rPr>
        <w:footnoteReference w:id="8"/>
      </w:r>
      <w:r w:rsidRPr="00136784">
        <w:t xml:space="preserve"> </w:t>
      </w:r>
      <w:r w:rsidR="00AB65B3">
        <w:t>n</w:t>
      </w:r>
      <w:r w:rsidRPr="00136784">
        <w:t>on-</w:t>
      </w:r>
      <w:r w:rsidR="00AB65B3">
        <w:t>r</w:t>
      </w:r>
      <w:r w:rsidRPr="00136784">
        <w:t>esource</w:t>
      </w:r>
      <w:r w:rsidR="00F05B68" w:rsidRPr="00136784">
        <w:t xml:space="preserve"> programs</w:t>
      </w:r>
      <w:r w:rsidR="00AB65B3">
        <w:t>,</w:t>
      </w:r>
      <w:r w:rsidRPr="00136784">
        <w:rPr>
          <w:vertAlign w:val="superscript"/>
        </w:rPr>
        <w:footnoteReference w:id="9"/>
      </w:r>
      <w:r w:rsidRPr="00136784">
        <w:t xml:space="preserve"> </w:t>
      </w:r>
      <w:r w:rsidR="00075615">
        <w:t>and</w:t>
      </w:r>
      <w:r w:rsidRPr="00136784">
        <w:t xml:space="preserve"> </w:t>
      </w:r>
      <w:bookmarkStart w:id="6" w:name="_Hlk8378907"/>
      <w:r w:rsidR="00445B9B">
        <w:t xml:space="preserve">codes &amp; standards </w:t>
      </w:r>
      <w:bookmarkEnd w:id="6"/>
      <w:r w:rsidR="00445B9B">
        <w:t>(</w:t>
      </w:r>
      <w:r w:rsidR="00D97074">
        <w:t>C&amp;S</w:t>
      </w:r>
      <w:r w:rsidR="00445B9B">
        <w:t>)</w:t>
      </w:r>
      <w:r w:rsidRPr="00136784">
        <w:t xml:space="preserve"> advocacy programs</w:t>
      </w:r>
      <w:r w:rsidR="00174B6A">
        <w:t xml:space="preserve">. </w:t>
      </w:r>
      <w:r w:rsidR="00F87FD0" w:rsidRPr="00F87FD0">
        <w:t xml:space="preserve">These awards are separate from </w:t>
      </w:r>
      <w:r w:rsidR="003A7AF8">
        <w:t>the</w:t>
      </w:r>
      <w:r w:rsidR="00BD77F8">
        <w:t xml:space="preserve"> IOUs’</w:t>
      </w:r>
      <w:r w:rsidR="003A7AF8">
        <w:t xml:space="preserve"> </w:t>
      </w:r>
      <w:r w:rsidR="00BC7BB3">
        <w:t xml:space="preserve">authorized </w:t>
      </w:r>
      <w:r w:rsidR="003A7AF8">
        <w:t>annual budgets</w:t>
      </w:r>
      <w:r w:rsidR="006E4133">
        <w:t xml:space="preserve"> and approved annual expenditures. </w:t>
      </w:r>
      <w:r w:rsidR="00174B6A">
        <w:t xml:space="preserve">They can be allocated toward capital projects or dividends. </w:t>
      </w:r>
      <w:r w:rsidR="006E4133">
        <w:t>The budgets are authorized via Annual Budget Advice Letters typically submitted in September for the upcoming year</w:t>
      </w:r>
      <w:r w:rsidR="00BD77F8">
        <w:t>.</w:t>
      </w:r>
      <w:r w:rsidR="006E4133">
        <w:t xml:space="preserve"> </w:t>
      </w:r>
    </w:p>
    <w:p w14:paraId="7AB7A97F" w14:textId="77777777" w:rsidR="00F90BD4" w:rsidRPr="00136784" w:rsidRDefault="00952C89" w:rsidP="008E7BDB">
      <w:pPr>
        <w:jc w:val="both"/>
      </w:pPr>
      <w:r>
        <w:t xml:space="preserve">The </w:t>
      </w:r>
      <w:r w:rsidR="00674D69">
        <w:t xml:space="preserve">Commission’s </w:t>
      </w:r>
      <w:r w:rsidR="003A7AF8">
        <w:t>Utility</w:t>
      </w:r>
      <w:r w:rsidR="007E1F8D">
        <w:t>,</w:t>
      </w:r>
      <w:r w:rsidR="003A7AF8">
        <w:t xml:space="preserve"> Audit</w:t>
      </w:r>
      <w:r w:rsidR="007E1F8D">
        <w:t>,</w:t>
      </w:r>
      <w:r w:rsidR="003A7AF8">
        <w:t xml:space="preserve"> Finance</w:t>
      </w:r>
      <w:r w:rsidR="00455416">
        <w:t xml:space="preserve"> and Compliance Branch</w:t>
      </w:r>
      <w:r w:rsidR="00BE2BD4">
        <w:t xml:space="preserve"> </w:t>
      </w:r>
      <w:r w:rsidR="00674D69">
        <w:t xml:space="preserve">(UAFCB) </w:t>
      </w:r>
      <w:r>
        <w:t>reviews each IOU’s program year expenditure</w:t>
      </w:r>
      <w:r w:rsidR="00BD77F8">
        <w:t>s</w:t>
      </w:r>
      <w:r>
        <w:t xml:space="preserve">. </w:t>
      </w:r>
      <w:r w:rsidRPr="00832918">
        <w:t xml:space="preserve">The Commission approves ESPI awards </w:t>
      </w:r>
      <w:r w:rsidR="00EC07BA" w:rsidRPr="00832918">
        <w:t xml:space="preserve">consistent with D.05-09-043 and </w:t>
      </w:r>
      <w:r w:rsidR="00455416" w:rsidRPr="00832918">
        <w:t>D.13-09-023</w:t>
      </w:r>
      <w:r w:rsidR="00EC07BA" w:rsidRPr="00832918">
        <w:t>, which</w:t>
      </w:r>
      <w:r w:rsidR="00F87FD0" w:rsidRPr="00832918">
        <w:t xml:space="preserve"> determines how these awards are to be calculated.</w:t>
      </w:r>
    </w:p>
    <w:p w14:paraId="72EE7714" w14:textId="77777777" w:rsidR="00A85DAC" w:rsidRPr="00136784" w:rsidRDefault="003A7AF8" w:rsidP="008E7BDB">
      <w:pPr>
        <w:pStyle w:val="Heading6"/>
        <w:jc w:val="both"/>
      </w:pPr>
      <w:r>
        <w:lastRenderedPageBreak/>
        <w:t xml:space="preserve">Portfolio </w:t>
      </w:r>
      <w:r w:rsidR="005E0EFC">
        <w:t>Categories for</w:t>
      </w:r>
      <w:r>
        <w:t xml:space="preserve"> </w:t>
      </w:r>
      <w:r w:rsidR="00325505">
        <w:t xml:space="preserve">the </w:t>
      </w:r>
      <w:r>
        <w:t>ESPI Mechanism</w:t>
      </w:r>
    </w:p>
    <w:p w14:paraId="415B238A" w14:textId="77777777" w:rsidR="00184784" w:rsidRPr="00136784" w:rsidRDefault="00AD6EB7" w:rsidP="008E7BDB">
      <w:pPr>
        <w:pStyle w:val="ListParagraph"/>
        <w:numPr>
          <w:ilvl w:val="0"/>
          <w:numId w:val="16"/>
        </w:numPr>
        <w:jc w:val="both"/>
      </w:pPr>
      <w:r w:rsidRPr="00813A19">
        <w:rPr>
          <w:rStyle w:val="Heading3Char"/>
          <w:b/>
        </w:rPr>
        <w:t>Energy Efficiency Resource Savings</w:t>
      </w:r>
      <w:r w:rsidR="009F04DC" w:rsidRPr="00813A19">
        <w:rPr>
          <w:rStyle w:val="Heading3Char"/>
          <w:b/>
        </w:rPr>
        <w:t>:</w:t>
      </w:r>
      <w:r w:rsidR="009F04DC" w:rsidRPr="00813A19">
        <w:rPr>
          <w:b/>
        </w:rPr>
        <w:t xml:space="preserve"> </w:t>
      </w:r>
      <w:r w:rsidR="00A85DAC" w:rsidRPr="00136784">
        <w:t>A performance award</w:t>
      </w:r>
      <w:r w:rsidR="00075615">
        <w:t xml:space="preserve"> for</w:t>
      </w:r>
      <w:r w:rsidR="00A85DAC" w:rsidRPr="00136784">
        <w:t xml:space="preserve"> </w:t>
      </w:r>
      <w:r w:rsidR="00512D8D" w:rsidRPr="00136784">
        <w:t>net lifecycle resource program energy savings measured in MW, GWh and MMT. This component is capped at</w:t>
      </w:r>
      <w:r w:rsidR="00A85DAC" w:rsidRPr="00136784">
        <w:t xml:space="preserve"> 9% of </w:t>
      </w:r>
      <w:r w:rsidR="00EE398C" w:rsidRPr="00136784">
        <w:t xml:space="preserve">the </w:t>
      </w:r>
      <w:r w:rsidR="00AB65B3">
        <w:t>r</w:t>
      </w:r>
      <w:r w:rsidR="00512D8D" w:rsidRPr="00136784">
        <w:t>esource program</w:t>
      </w:r>
      <w:r w:rsidR="00A85DAC" w:rsidRPr="00136784">
        <w:t xml:space="preserve"> budget</w:t>
      </w:r>
      <w:r w:rsidR="00075615">
        <w:t>,</w:t>
      </w:r>
      <w:r w:rsidR="00A85DAC" w:rsidRPr="00136784">
        <w:t xml:space="preserve"> </w:t>
      </w:r>
      <w:r w:rsidR="00184784" w:rsidRPr="00136784">
        <w:t xml:space="preserve">excluding funding dedicated to administrative activities, </w:t>
      </w:r>
      <w:r w:rsidR="00D97074">
        <w:t>C&amp;S advocacy</w:t>
      </w:r>
      <w:r w:rsidR="00184784" w:rsidRPr="00136784">
        <w:t xml:space="preserve"> programs, </w:t>
      </w:r>
      <w:r w:rsidR="009C03F6" w:rsidRPr="00136784">
        <w:t>Evaluation, Measurement</w:t>
      </w:r>
      <w:r w:rsidR="00325505">
        <w:t>,</w:t>
      </w:r>
      <w:r w:rsidR="009C03F6" w:rsidRPr="00136784">
        <w:t xml:space="preserve"> and Verification (</w:t>
      </w:r>
      <w:r w:rsidR="00184784" w:rsidRPr="00136784">
        <w:t>EM&amp;V</w:t>
      </w:r>
      <w:r w:rsidR="009C03F6" w:rsidRPr="00136784">
        <w:t>)</w:t>
      </w:r>
      <w:r w:rsidR="00184784" w:rsidRPr="00136784">
        <w:t xml:space="preserve">, and </w:t>
      </w:r>
      <w:r w:rsidR="009C03F6" w:rsidRPr="00136784">
        <w:t>Community Choice Aggregators (CCA</w:t>
      </w:r>
      <w:r w:rsidR="003C6C6C">
        <w:t>s</w:t>
      </w:r>
      <w:r w:rsidR="009C03F6" w:rsidRPr="00136784">
        <w:t>)/Regional Energy Networks (RENs)</w:t>
      </w:r>
      <w:r w:rsidR="00000AF3" w:rsidRPr="00136784">
        <w:t>.</w:t>
      </w:r>
    </w:p>
    <w:p w14:paraId="606F46EA" w14:textId="77777777" w:rsidR="00DD3281" w:rsidRDefault="00DD3281" w:rsidP="008E7BDB">
      <w:pPr>
        <w:ind w:left="720"/>
        <w:jc w:val="both"/>
      </w:pPr>
      <w:r>
        <w:t>T</w:t>
      </w:r>
      <w:r w:rsidR="002E7074">
        <w:t xml:space="preserve">he energy savings of the portfolio are determined through a combination of ex-ante calculations </w:t>
      </w:r>
      <w:r w:rsidR="002E7074" w:rsidRPr="00136784">
        <w:t xml:space="preserve">(i.e., estimated savings pre-implementation) and ex-post </w:t>
      </w:r>
      <w:r w:rsidR="002E7074">
        <w:t xml:space="preserve">calculations </w:t>
      </w:r>
      <w:r w:rsidR="002E7074" w:rsidRPr="00136784">
        <w:t>(i.e., evaluated savings post</w:t>
      </w:r>
      <w:r w:rsidR="002E7074">
        <w:t>-</w:t>
      </w:r>
      <w:r w:rsidR="002E7074" w:rsidRPr="00136784">
        <w:t>implementation)</w:t>
      </w:r>
      <w:r w:rsidR="00D63323">
        <w:t>.</w:t>
      </w:r>
      <w:r w:rsidR="002E7074" w:rsidRPr="00136784">
        <w:t xml:space="preserve"> </w:t>
      </w:r>
      <w:r>
        <w:t xml:space="preserve">Consequently, </w:t>
      </w:r>
      <w:r w:rsidR="002E7074">
        <w:t>t</w:t>
      </w:r>
      <w:r w:rsidR="002E7074" w:rsidRPr="00136784">
        <w:t xml:space="preserve">he </w:t>
      </w:r>
      <w:r w:rsidR="00310536" w:rsidRPr="00136784">
        <w:t xml:space="preserve">energy savings performance award is </w:t>
      </w:r>
      <w:r w:rsidR="002E7074">
        <w:t>a sum of</w:t>
      </w:r>
      <w:r w:rsidR="002E7074" w:rsidRPr="00136784">
        <w:t xml:space="preserve"> </w:t>
      </w:r>
      <w:r w:rsidR="00310536" w:rsidRPr="00136784">
        <w:t>ex</w:t>
      </w:r>
      <w:r w:rsidR="00CC30BD" w:rsidRPr="00136784">
        <w:t>-</w:t>
      </w:r>
      <w:r w:rsidR="00310536" w:rsidRPr="00136784">
        <w:t>ante</w:t>
      </w:r>
      <w:r w:rsidR="002E7074">
        <w:t xml:space="preserve"> savings award and </w:t>
      </w:r>
      <w:r w:rsidR="002445E5">
        <w:t>ex-post</w:t>
      </w:r>
      <w:r w:rsidR="002E7074">
        <w:t xml:space="preserve"> savings award.</w:t>
      </w:r>
      <w:r w:rsidR="00310536" w:rsidRPr="00136784">
        <w:t xml:space="preserve"> IOUs fil</w:t>
      </w:r>
      <w:r w:rsidR="00575AA7" w:rsidRPr="00136784">
        <w:t xml:space="preserve">e for </w:t>
      </w:r>
      <w:r>
        <w:t>awards based on their</w:t>
      </w:r>
      <w:r w:rsidRPr="00136784">
        <w:t xml:space="preserve"> </w:t>
      </w:r>
      <w:r w:rsidR="00575AA7" w:rsidRPr="00136784">
        <w:t>ex-</w:t>
      </w:r>
      <w:r w:rsidR="00310536" w:rsidRPr="00136784">
        <w:t xml:space="preserve">ante savings </w:t>
      </w:r>
      <w:r w:rsidR="001D0F6B">
        <w:t xml:space="preserve">determination </w:t>
      </w:r>
      <w:r w:rsidR="00310536" w:rsidRPr="00136784">
        <w:t>in the year following the program year (i.e., in 201</w:t>
      </w:r>
      <w:r w:rsidR="00F87FD0">
        <w:t>8</w:t>
      </w:r>
      <w:r w:rsidR="00310536" w:rsidRPr="00136784">
        <w:t xml:space="preserve"> for program year 201</w:t>
      </w:r>
      <w:r w:rsidR="00F87FD0">
        <w:t>7</w:t>
      </w:r>
      <w:r w:rsidR="00575AA7" w:rsidRPr="00136784">
        <w:t xml:space="preserve">) and </w:t>
      </w:r>
      <w:r w:rsidR="001D0F6B">
        <w:t>based on their</w:t>
      </w:r>
      <w:r w:rsidR="00575AA7" w:rsidRPr="00136784">
        <w:t xml:space="preserve"> ex-</w:t>
      </w:r>
      <w:r w:rsidR="00310536" w:rsidRPr="00136784">
        <w:t>post savings</w:t>
      </w:r>
      <w:r w:rsidR="001D0F6B">
        <w:t xml:space="preserve"> determination</w:t>
      </w:r>
      <w:r w:rsidR="00310536" w:rsidRPr="00136784">
        <w:t xml:space="preserve"> two years following the program year (i.e., in 201</w:t>
      </w:r>
      <w:r w:rsidR="00575AA7" w:rsidRPr="00136784">
        <w:t>8</w:t>
      </w:r>
      <w:r w:rsidR="00310536" w:rsidRPr="00136784">
        <w:t xml:space="preserve"> for program year 201</w:t>
      </w:r>
      <w:r w:rsidR="00575AA7" w:rsidRPr="00136784">
        <w:t>6</w:t>
      </w:r>
      <w:r w:rsidR="00310536" w:rsidRPr="00136784">
        <w:t>)</w:t>
      </w:r>
      <w:r w:rsidR="006C268E">
        <w:t xml:space="preserve">. </w:t>
      </w:r>
    </w:p>
    <w:p w14:paraId="28005A6C" w14:textId="77777777" w:rsidR="00310536" w:rsidRDefault="0078188A" w:rsidP="008E7BDB">
      <w:pPr>
        <w:ind w:left="720"/>
        <w:jc w:val="both"/>
      </w:pPr>
      <w:r>
        <w:t>To determine which measures will be subject to evaluation</w:t>
      </w:r>
      <w:r w:rsidR="00A3186D">
        <w:t xml:space="preserve"> and therefore come under ex-post calculations, the Commission annually releases the “Uncertain measures list”</w:t>
      </w:r>
      <w:bookmarkStart w:id="7" w:name="_Ref1661745"/>
      <w:r w:rsidR="00AE1D0B">
        <w:rPr>
          <w:rStyle w:val="FootnoteReference"/>
        </w:rPr>
        <w:footnoteReference w:id="10"/>
      </w:r>
      <w:bookmarkEnd w:id="7"/>
      <w:r w:rsidR="00A3186D">
        <w:t xml:space="preserve"> prior to the start of the program year.</w:t>
      </w:r>
      <w:r w:rsidR="00A3186D" w:rsidRPr="00A3186D">
        <w:t xml:space="preserve"> The list of uncertain measures for </w:t>
      </w:r>
      <w:r w:rsidR="00636F40">
        <w:t>program year (</w:t>
      </w:r>
      <w:r w:rsidR="00A3186D" w:rsidRPr="00A3186D">
        <w:t>PY</w:t>
      </w:r>
      <w:r w:rsidR="00636F40">
        <w:t>)</w:t>
      </w:r>
      <w:r w:rsidR="00A3186D" w:rsidRPr="00A3186D">
        <w:t xml:space="preserve"> 2017 was released by Commission </w:t>
      </w:r>
      <w:r w:rsidR="003C6C6C">
        <w:t>S</w:t>
      </w:r>
      <w:r w:rsidR="00A3186D" w:rsidRPr="00A3186D">
        <w:t>taff on December 22, 2016</w:t>
      </w:r>
      <w:r w:rsidR="006C268E">
        <w:t xml:space="preserve">. </w:t>
      </w:r>
      <w:r w:rsidR="001D0F6B">
        <w:t>Savings of measures</w:t>
      </w:r>
      <w:r w:rsidR="00325505">
        <w:t xml:space="preserve"> that</w:t>
      </w:r>
      <w:r w:rsidR="001D0F6B">
        <w:t xml:space="preserve"> are not on the Uncertain measure list </w:t>
      </w:r>
      <w:r w:rsidR="00EB17A3">
        <w:t xml:space="preserve">are </w:t>
      </w:r>
      <w:r w:rsidR="004A7F29">
        <w:t xml:space="preserve">determined </w:t>
      </w:r>
      <w:r w:rsidR="004A7F29" w:rsidRPr="00136784">
        <w:t>using</w:t>
      </w:r>
      <w:r w:rsidR="004A7F29">
        <w:t xml:space="preserve"> e</w:t>
      </w:r>
      <w:r w:rsidR="00310536" w:rsidRPr="00136784">
        <w:t>x-ante</w:t>
      </w:r>
      <w:r w:rsidR="00EB17A3">
        <w:t xml:space="preserve"> savings</w:t>
      </w:r>
      <w:r w:rsidR="004A7F29">
        <w:t xml:space="preserve"> estimates.</w:t>
      </w:r>
      <w:r w:rsidR="00310536" w:rsidRPr="00136784">
        <w:t xml:space="preserve"> </w:t>
      </w:r>
    </w:p>
    <w:p w14:paraId="3099ABCA" w14:textId="77777777" w:rsidR="00A85DAC" w:rsidRPr="00136784" w:rsidRDefault="00512D8D" w:rsidP="008E7BDB">
      <w:pPr>
        <w:pStyle w:val="ListParagraph"/>
        <w:numPr>
          <w:ilvl w:val="0"/>
          <w:numId w:val="16"/>
        </w:numPr>
        <w:jc w:val="both"/>
      </w:pPr>
      <w:r w:rsidRPr="00F16B11">
        <w:rPr>
          <w:b/>
        </w:rPr>
        <w:t>Ex-</w:t>
      </w:r>
      <w:r w:rsidR="00AD6EB7" w:rsidRPr="00F16B11">
        <w:rPr>
          <w:b/>
        </w:rPr>
        <w:t>Ante Review (EAR) Process Performance</w:t>
      </w:r>
      <w:r w:rsidR="009F04DC">
        <w:t xml:space="preserve">: </w:t>
      </w:r>
      <w:r w:rsidR="00FD480A" w:rsidRPr="00136784">
        <w:t>A</w:t>
      </w:r>
      <w:r w:rsidR="00A85DAC" w:rsidRPr="00136784">
        <w:t xml:space="preserve"> performance award for </w:t>
      </w:r>
      <w:r w:rsidRPr="00136784">
        <w:t>IOUs</w:t>
      </w:r>
      <w:r w:rsidR="00075615">
        <w:t>’</w:t>
      </w:r>
      <w:r w:rsidRPr="00136784">
        <w:t xml:space="preserve"> conformance</w:t>
      </w:r>
      <w:r w:rsidR="00FA7E44">
        <w:t xml:space="preserve"> to </w:t>
      </w:r>
      <w:r w:rsidR="00F81CF4">
        <w:t>EAR</w:t>
      </w:r>
      <w:r w:rsidR="00FA7E44">
        <w:t xml:space="preserve"> standards</w:t>
      </w:r>
      <w:r w:rsidR="00A85DAC" w:rsidRPr="00136784">
        <w:t xml:space="preserve"> of up to 3% of </w:t>
      </w:r>
      <w:r w:rsidR="00C37797" w:rsidRPr="00136784">
        <w:t xml:space="preserve">authorized </w:t>
      </w:r>
      <w:r w:rsidR="00A85DAC" w:rsidRPr="00136784">
        <w:t xml:space="preserve">resource program </w:t>
      </w:r>
      <w:r w:rsidR="00AD6EB7" w:rsidRPr="00136784">
        <w:t>expenditures</w:t>
      </w:r>
      <w:r w:rsidR="00A0582F" w:rsidRPr="00136784">
        <w:t>, excluding</w:t>
      </w:r>
      <w:r w:rsidR="00000AF3" w:rsidRPr="00136784">
        <w:t xml:space="preserve"> administrative costs.</w:t>
      </w:r>
    </w:p>
    <w:p w14:paraId="126033F6" w14:textId="56A84DBB" w:rsidR="00C966CB" w:rsidRPr="0077453B" w:rsidRDefault="0079070B" w:rsidP="008E7BDB">
      <w:pPr>
        <w:ind w:left="720"/>
        <w:jc w:val="both"/>
      </w:pPr>
      <w:r w:rsidRPr="0055525C">
        <w:lastRenderedPageBreak/>
        <w:t>The</w:t>
      </w:r>
      <w:r w:rsidR="00CC30BD" w:rsidRPr="0055525C">
        <w:t xml:space="preserve"> </w:t>
      </w:r>
      <w:r w:rsidR="00CE1D26" w:rsidRPr="0055525C">
        <w:t>EAR</w:t>
      </w:r>
      <w:r w:rsidR="005253C3" w:rsidRPr="0055525C">
        <w:t xml:space="preserve"> performance </w:t>
      </w:r>
      <w:r w:rsidR="00000AF3" w:rsidRPr="0055525C">
        <w:t xml:space="preserve">award </w:t>
      </w:r>
      <w:r w:rsidRPr="0055525C">
        <w:t>is</w:t>
      </w:r>
      <w:r w:rsidR="005253C3" w:rsidRPr="0055525C">
        <w:t xml:space="preserve"> the product of the</w:t>
      </w:r>
      <w:r w:rsidR="009A4F01" w:rsidRPr="0055525C">
        <w:t xml:space="preserve">se expenditures </w:t>
      </w:r>
      <w:r w:rsidR="004D0ED4" w:rsidRPr="0055525C">
        <w:t>and the total</w:t>
      </w:r>
      <w:r w:rsidR="005253C3" w:rsidRPr="0055525C">
        <w:t xml:space="preserve"> </w:t>
      </w:r>
      <w:r w:rsidR="004D0ED4" w:rsidRPr="0055525C">
        <w:t xml:space="preserve">EAR performance </w:t>
      </w:r>
      <w:r w:rsidR="005253C3" w:rsidRPr="0055525C">
        <w:t xml:space="preserve">score. Each IOU’s </w:t>
      </w:r>
      <w:r w:rsidR="004D0ED4" w:rsidRPr="0055525C">
        <w:t>total</w:t>
      </w:r>
      <w:r w:rsidR="00B937C1" w:rsidRPr="0055525C">
        <w:t xml:space="preserve"> </w:t>
      </w:r>
      <w:r w:rsidR="005253C3" w:rsidRPr="0055525C">
        <w:t xml:space="preserve">score is based on </w:t>
      </w:r>
      <w:r w:rsidR="00621983" w:rsidRPr="0055525C">
        <w:t>a</w:t>
      </w:r>
      <w:r w:rsidR="008E2BEC">
        <w:t xml:space="preserve"> </w:t>
      </w:r>
      <w:r w:rsidR="00621983" w:rsidRPr="0055525C">
        <w:t xml:space="preserve">performance review </w:t>
      </w:r>
      <w:r w:rsidR="00F90BD4" w:rsidRPr="0055525C">
        <w:t xml:space="preserve">of </w:t>
      </w:r>
      <w:r w:rsidR="005253C3" w:rsidRPr="0055525C">
        <w:t>their</w:t>
      </w:r>
      <w:r w:rsidR="00310536" w:rsidRPr="0055525C">
        <w:t xml:space="preserve"> respective </w:t>
      </w:r>
      <w:r w:rsidR="00E714E7" w:rsidRPr="0055525C">
        <w:t>EAR</w:t>
      </w:r>
      <w:r w:rsidR="00310536" w:rsidRPr="0055525C">
        <w:t xml:space="preserve"> activities in accordance with </w:t>
      </w:r>
      <w:r w:rsidR="002E0D3C" w:rsidRPr="0055525C">
        <w:t>the metric</w:t>
      </w:r>
      <w:r w:rsidR="00E714E7" w:rsidRPr="0055525C">
        <w:t>s</w:t>
      </w:r>
      <w:r w:rsidR="002E0D3C" w:rsidRPr="0055525C">
        <w:t xml:space="preserve"> </w:t>
      </w:r>
      <w:r w:rsidR="00E714E7" w:rsidRPr="0055525C">
        <w:t xml:space="preserve">in Table </w:t>
      </w:r>
      <w:r w:rsidR="000F16E9" w:rsidRPr="0055525C">
        <w:rPr>
          <w:noProof/>
        </w:rPr>
        <w:fldChar w:fldCharType="begin"/>
      </w:r>
      <w:r w:rsidR="000F16E9" w:rsidRPr="0055525C">
        <w:rPr>
          <w:noProof/>
        </w:rPr>
        <w:instrText xml:space="preserve"> SEQ Table \* ARABIC </w:instrText>
      </w:r>
      <w:r w:rsidR="000F16E9" w:rsidRPr="0055525C">
        <w:rPr>
          <w:noProof/>
        </w:rPr>
        <w:fldChar w:fldCharType="separate"/>
      </w:r>
      <w:r w:rsidR="00CE6758">
        <w:rPr>
          <w:noProof/>
        </w:rPr>
        <w:t>4</w:t>
      </w:r>
      <w:r w:rsidR="000F16E9" w:rsidRPr="0055525C">
        <w:rPr>
          <w:noProof/>
        </w:rPr>
        <w:fldChar w:fldCharType="end"/>
      </w:r>
      <w:r w:rsidR="00276DAD" w:rsidRPr="0055525C">
        <w:rPr>
          <w:noProof/>
        </w:rPr>
        <w:t>.</w:t>
      </w:r>
      <w:r w:rsidR="002E0D3C" w:rsidRPr="0055525C">
        <w:rPr>
          <w:rStyle w:val="FootnoteReference"/>
        </w:rPr>
        <w:footnoteReference w:id="11"/>
      </w:r>
      <w:r w:rsidR="00814B53">
        <w:rPr>
          <w:noProof/>
        </w:rPr>
        <w:t xml:space="preserve">  </w:t>
      </w:r>
    </w:p>
    <w:p w14:paraId="0FB6141A" w14:textId="36DAB140" w:rsidR="005807B4" w:rsidRDefault="005807B4"/>
    <w:tbl>
      <w:tblPr>
        <w:tblStyle w:val="TableGrid"/>
        <w:tblW w:w="7920" w:type="dxa"/>
        <w:jc w:val="center"/>
        <w:tblLook w:val="04A0" w:firstRow="1" w:lastRow="0" w:firstColumn="1" w:lastColumn="0" w:noHBand="0" w:noVBand="1"/>
      </w:tblPr>
      <w:tblGrid>
        <w:gridCol w:w="6300"/>
        <w:gridCol w:w="1620"/>
      </w:tblGrid>
      <w:tr w:rsidR="00A52B69" w14:paraId="13CF0EF0" w14:textId="77777777">
        <w:trPr>
          <w:jc w:val="center"/>
        </w:trPr>
        <w:tc>
          <w:tcPr>
            <w:tcW w:w="7920" w:type="dxa"/>
            <w:gridSpan w:val="2"/>
            <w:tcBorders>
              <w:top w:val="nil"/>
              <w:left w:val="nil"/>
              <w:bottom w:val="single" w:sz="4" w:space="0" w:color="auto"/>
              <w:right w:val="nil"/>
            </w:tcBorders>
          </w:tcPr>
          <w:p w14:paraId="572DD19B" w14:textId="77777777" w:rsidR="0077453B" w:rsidRPr="0077453B" w:rsidRDefault="0077453B" w:rsidP="0077453B">
            <w:pPr>
              <w:spacing w:before="0" w:after="0"/>
              <w:jc w:val="center"/>
            </w:pPr>
            <w:r w:rsidRPr="0077453B">
              <w:t>Table 4: Weights Adopted for the EAR Performance Metric Categories</w:t>
            </w:r>
          </w:p>
        </w:tc>
      </w:tr>
      <w:tr w:rsidR="00A52B69" w14:paraId="0B4996A8" w14:textId="77777777">
        <w:trPr>
          <w:jc w:val="center"/>
        </w:trPr>
        <w:tc>
          <w:tcPr>
            <w:tcW w:w="6300" w:type="dxa"/>
            <w:tcBorders>
              <w:top w:val="single" w:sz="4" w:space="0" w:color="auto"/>
            </w:tcBorders>
          </w:tcPr>
          <w:p w14:paraId="097CC8AF" w14:textId="77777777" w:rsidR="0038256F" w:rsidRPr="006C5C89" w:rsidRDefault="0038256F" w:rsidP="00EB6163">
            <w:pPr>
              <w:spacing w:before="0" w:after="0"/>
              <w:jc w:val="center"/>
              <w:rPr>
                <w:b/>
              </w:rPr>
            </w:pPr>
            <w:r w:rsidRPr="006C5C89">
              <w:rPr>
                <w:b/>
              </w:rPr>
              <w:t>Metric Category</w:t>
            </w:r>
          </w:p>
        </w:tc>
        <w:tc>
          <w:tcPr>
            <w:tcW w:w="1620" w:type="dxa"/>
            <w:tcBorders>
              <w:top w:val="single" w:sz="4" w:space="0" w:color="auto"/>
            </w:tcBorders>
          </w:tcPr>
          <w:p w14:paraId="132B9D98" w14:textId="77777777" w:rsidR="0038256F" w:rsidRPr="006C5C89" w:rsidRDefault="0038256F" w:rsidP="00EB6163">
            <w:pPr>
              <w:spacing w:before="0" w:after="0"/>
              <w:jc w:val="center"/>
              <w:rPr>
                <w:b/>
              </w:rPr>
            </w:pPr>
            <w:r w:rsidRPr="006C5C89">
              <w:rPr>
                <w:b/>
              </w:rPr>
              <w:t>Adopted Weighting</w:t>
            </w:r>
          </w:p>
        </w:tc>
      </w:tr>
      <w:tr w:rsidR="00A52B69" w14:paraId="23A12161" w14:textId="77777777">
        <w:trPr>
          <w:jc w:val="center"/>
        </w:trPr>
        <w:tc>
          <w:tcPr>
            <w:tcW w:w="6300" w:type="dxa"/>
          </w:tcPr>
          <w:p w14:paraId="2125549E" w14:textId="77777777" w:rsidR="0038256F" w:rsidRPr="006C5C89" w:rsidRDefault="0038256F" w:rsidP="00B47FF2">
            <w:pPr>
              <w:spacing w:before="0" w:after="0"/>
              <w:ind w:left="240" w:hanging="240"/>
            </w:pPr>
            <w:r w:rsidRPr="006C5C89">
              <w:t>1. Timing and Timeliness of Submittals</w:t>
            </w:r>
          </w:p>
        </w:tc>
        <w:tc>
          <w:tcPr>
            <w:tcW w:w="1620" w:type="dxa"/>
          </w:tcPr>
          <w:p w14:paraId="302C03F9" w14:textId="77777777" w:rsidR="0038256F" w:rsidRPr="006C5C89" w:rsidRDefault="0038256F" w:rsidP="00EB6163">
            <w:pPr>
              <w:spacing w:before="0" w:after="0"/>
              <w:jc w:val="center"/>
            </w:pPr>
            <w:r w:rsidRPr="006C5C89">
              <w:t>10%</w:t>
            </w:r>
          </w:p>
        </w:tc>
      </w:tr>
      <w:tr w:rsidR="00A52B69" w14:paraId="67FD6BC7" w14:textId="77777777">
        <w:trPr>
          <w:jc w:val="center"/>
        </w:trPr>
        <w:tc>
          <w:tcPr>
            <w:tcW w:w="6300" w:type="dxa"/>
          </w:tcPr>
          <w:p w14:paraId="778A495F" w14:textId="77777777" w:rsidR="0038256F" w:rsidRPr="006C5C89" w:rsidRDefault="0038256F" w:rsidP="00B47FF2">
            <w:pPr>
              <w:spacing w:before="0" w:after="0"/>
              <w:ind w:left="240" w:hanging="240"/>
            </w:pPr>
            <w:r w:rsidRPr="006C5C89">
              <w:t>2. Content, Completeness, and Quality of Submittals</w:t>
            </w:r>
          </w:p>
        </w:tc>
        <w:tc>
          <w:tcPr>
            <w:tcW w:w="1620" w:type="dxa"/>
          </w:tcPr>
          <w:p w14:paraId="0F2DB820" w14:textId="77777777" w:rsidR="0038256F" w:rsidRPr="006C5C89" w:rsidRDefault="0038256F" w:rsidP="00EB6163">
            <w:pPr>
              <w:spacing w:before="0" w:after="0"/>
              <w:jc w:val="center"/>
            </w:pPr>
            <w:r w:rsidRPr="006C5C89">
              <w:t>30%</w:t>
            </w:r>
          </w:p>
        </w:tc>
      </w:tr>
      <w:tr w:rsidR="00A52B69" w14:paraId="5AE0B712" w14:textId="77777777">
        <w:trPr>
          <w:jc w:val="center"/>
        </w:trPr>
        <w:tc>
          <w:tcPr>
            <w:tcW w:w="6300" w:type="dxa"/>
          </w:tcPr>
          <w:p w14:paraId="001CAE6D" w14:textId="77777777" w:rsidR="0038256F" w:rsidRPr="006C5C89" w:rsidRDefault="0038256F" w:rsidP="00B47FF2">
            <w:pPr>
              <w:spacing w:before="0" w:after="0"/>
              <w:ind w:left="240" w:hanging="240"/>
            </w:pPr>
            <w:r w:rsidRPr="006C5C89">
              <w:t>3. Proactive Initiative of Collaboration</w:t>
            </w:r>
          </w:p>
        </w:tc>
        <w:tc>
          <w:tcPr>
            <w:tcW w:w="1620" w:type="dxa"/>
          </w:tcPr>
          <w:p w14:paraId="675C4C1C" w14:textId="77777777" w:rsidR="0038256F" w:rsidRPr="006C5C89" w:rsidRDefault="0038256F" w:rsidP="00EB6163">
            <w:pPr>
              <w:spacing w:before="0" w:after="0"/>
              <w:jc w:val="center"/>
            </w:pPr>
            <w:r w:rsidRPr="006C5C89">
              <w:t>10%</w:t>
            </w:r>
          </w:p>
        </w:tc>
      </w:tr>
      <w:tr w:rsidR="00A52B69" w14:paraId="0A063F93" w14:textId="77777777">
        <w:trPr>
          <w:jc w:val="center"/>
        </w:trPr>
        <w:tc>
          <w:tcPr>
            <w:tcW w:w="6300" w:type="dxa"/>
          </w:tcPr>
          <w:p w14:paraId="79DC2126" w14:textId="77777777" w:rsidR="0038256F" w:rsidRPr="006C5C89" w:rsidRDefault="0038256F" w:rsidP="00B47FF2">
            <w:pPr>
              <w:spacing w:before="0" w:after="0"/>
              <w:ind w:left="240" w:hanging="240"/>
            </w:pPr>
            <w:r w:rsidRPr="006C5C89">
              <w:t>4. Program Administrator’s Due Diligence and Quality Assurance/Quality Control Effectiveness</w:t>
            </w:r>
          </w:p>
        </w:tc>
        <w:tc>
          <w:tcPr>
            <w:tcW w:w="1620" w:type="dxa"/>
          </w:tcPr>
          <w:p w14:paraId="0CF0B96D" w14:textId="77777777" w:rsidR="0038256F" w:rsidRPr="006C5C89" w:rsidRDefault="0038256F" w:rsidP="00EB6163">
            <w:pPr>
              <w:spacing w:before="0" w:after="0"/>
              <w:jc w:val="center"/>
            </w:pPr>
            <w:r w:rsidRPr="006C5C89">
              <w:t>25%</w:t>
            </w:r>
          </w:p>
        </w:tc>
      </w:tr>
      <w:tr w:rsidR="00A52B69" w14:paraId="386A8E07" w14:textId="77777777">
        <w:trPr>
          <w:jc w:val="center"/>
        </w:trPr>
        <w:tc>
          <w:tcPr>
            <w:tcW w:w="6300" w:type="dxa"/>
          </w:tcPr>
          <w:p w14:paraId="2CC1ADFD" w14:textId="77777777" w:rsidR="0038256F" w:rsidRPr="006C5C89" w:rsidRDefault="0038256F" w:rsidP="00B47FF2">
            <w:pPr>
              <w:spacing w:before="0" w:after="0"/>
              <w:ind w:left="240" w:hanging="240"/>
            </w:pPr>
            <w:r w:rsidRPr="006C5C89">
              <w:t>5. Program Administrator’s Responsiveness to Needs for Process and Program Improvements</w:t>
            </w:r>
          </w:p>
        </w:tc>
        <w:tc>
          <w:tcPr>
            <w:tcW w:w="1620" w:type="dxa"/>
          </w:tcPr>
          <w:p w14:paraId="1D3C969C" w14:textId="77777777" w:rsidR="0038256F" w:rsidRPr="006C5C89" w:rsidRDefault="0038256F" w:rsidP="00EB6163">
            <w:pPr>
              <w:spacing w:before="0" w:after="0"/>
              <w:jc w:val="center"/>
            </w:pPr>
            <w:r w:rsidRPr="006C5C89">
              <w:t>25%</w:t>
            </w:r>
          </w:p>
        </w:tc>
      </w:tr>
    </w:tbl>
    <w:p w14:paraId="6AD77496" w14:textId="77777777" w:rsidR="0079070B" w:rsidRPr="006C5C89" w:rsidRDefault="00AD6EB7" w:rsidP="006C5C89">
      <w:pPr>
        <w:pStyle w:val="ListParagraph"/>
        <w:numPr>
          <w:ilvl w:val="0"/>
          <w:numId w:val="16"/>
        </w:numPr>
        <w:contextualSpacing w:val="0"/>
        <w:jc w:val="both"/>
      </w:pPr>
      <w:r w:rsidRPr="006C5C89">
        <w:rPr>
          <w:b/>
        </w:rPr>
        <w:t>Codes and Standards</w:t>
      </w:r>
      <w:r w:rsidR="00D97074" w:rsidRPr="006C5C89">
        <w:rPr>
          <w:b/>
        </w:rPr>
        <w:t xml:space="preserve"> (C&amp;S) Advocacy Programs</w:t>
      </w:r>
      <w:r w:rsidR="009F04DC" w:rsidRPr="006C5C89">
        <w:rPr>
          <w:b/>
        </w:rPr>
        <w:t>:</w:t>
      </w:r>
      <w:r w:rsidR="009F04DC" w:rsidRPr="006C5C89">
        <w:t xml:space="preserve"> </w:t>
      </w:r>
      <w:r w:rsidR="00A85DAC" w:rsidRPr="006C5C89">
        <w:t xml:space="preserve">A management </w:t>
      </w:r>
      <w:r w:rsidR="009F394A" w:rsidRPr="006C5C89">
        <w:t xml:space="preserve">fee </w:t>
      </w:r>
      <w:r w:rsidR="00A85DAC" w:rsidRPr="006C5C89">
        <w:t xml:space="preserve">for </w:t>
      </w:r>
      <w:r w:rsidR="00512D8D" w:rsidRPr="006C5C89">
        <w:t>the IOUs</w:t>
      </w:r>
      <w:r w:rsidR="00CE1D26" w:rsidRPr="006C5C89">
        <w:t>’</w:t>
      </w:r>
      <w:r w:rsidR="00512D8D" w:rsidRPr="006C5C89">
        <w:t xml:space="preserve"> advocacy of </w:t>
      </w:r>
      <w:r w:rsidR="00D97074" w:rsidRPr="006C5C89">
        <w:t>C&amp;S</w:t>
      </w:r>
      <w:r w:rsidR="00512D8D" w:rsidRPr="006C5C89">
        <w:t xml:space="preserve">. </w:t>
      </w:r>
      <w:r w:rsidR="00427C87" w:rsidRPr="006C5C89">
        <w:t>Calculated based on</w:t>
      </w:r>
      <w:r w:rsidR="00512D8D" w:rsidRPr="006C5C89">
        <w:t xml:space="preserve"> </w:t>
      </w:r>
      <w:r w:rsidR="00A85DAC" w:rsidRPr="006C5C89">
        <w:t xml:space="preserve">12% of </w:t>
      </w:r>
      <w:r w:rsidR="00512D8D" w:rsidRPr="006C5C89">
        <w:t xml:space="preserve">the </w:t>
      </w:r>
      <w:r w:rsidR="00C54874" w:rsidRPr="006C5C89">
        <w:t xml:space="preserve">authorized </w:t>
      </w:r>
      <w:r w:rsidR="00D97074" w:rsidRPr="006C5C89">
        <w:t>C&amp;S advocacy</w:t>
      </w:r>
      <w:r w:rsidR="00A85DAC" w:rsidRPr="006C5C89">
        <w:t xml:space="preserve"> program </w:t>
      </w:r>
      <w:r w:rsidR="00512D8D" w:rsidRPr="006C5C89">
        <w:t xml:space="preserve">expenses, </w:t>
      </w:r>
      <w:r w:rsidRPr="006C5C89">
        <w:t>excluding administrative costs</w:t>
      </w:r>
      <w:r w:rsidR="00CE1D26" w:rsidRPr="006C5C89">
        <w:t>.</w:t>
      </w:r>
    </w:p>
    <w:p w14:paraId="66A09AB9" w14:textId="77777777" w:rsidR="00A85DAC" w:rsidRPr="00136784" w:rsidRDefault="00AD6EB7" w:rsidP="008E7BDB">
      <w:pPr>
        <w:pStyle w:val="ListParagraph"/>
        <w:numPr>
          <w:ilvl w:val="0"/>
          <w:numId w:val="16"/>
        </w:numPr>
        <w:jc w:val="both"/>
      </w:pPr>
      <w:r w:rsidRPr="00F16B11">
        <w:rPr>
          <w:b/>
        </w:rPr>
        <w:t>Non-Resource Programs</w:t>
      </w:r>
      <w:r w:rsidR="009F04DC" w:rsidRPr="00F16B11">
        <w:rPr>
          <w:b/>
        </w:rPr>
        <w:t>:</w:t>
      </w:r>
      <w:r w:rsidR="009F04DC" w:rsidRPr="00136784">
        <w:t xml:space="preserve"> </w:t>
      </w:r>
      <w:r w:rsidR="00A85DAC" w:rsidRPr="00136784">
        <w:t xml:space="preserve">A management fee for </w:t>
      </w:r>
      <w:r w:rsidR="00512D8D" w:rsidRPr="00136784">
        <w:t xml:space="preserve">implementing </w:t>
      </w:r>
      <w:r w:rsidR="00A85DAC" w:rsidRPr="00136784">
        <w:t>non-resource</w:t>
      </w:r>
      <w:r w:rsidR="000E7CF6" w:rsidRPr="00136784">
        <w:t xml:space="preserve"> programs </w:t>
      </w:r>
      <w:r w:rsidR="00512D8D" w:rsidRPr="00136784">
        <w:t>equal</w:t>
      </w:r>
      <w:r w:rsidR="00A85DAC" w:rsidRPr="00136784">
        <w:t xml:space="preserve"> </w:t>
      </w:r>
      <w:r w:rsidR="00E00252" w:rsidRPr="00E00252">
        <w:t>to 3% of the authorized non-resource program expenses, excluding administrative costs.</w:t>
      </w:r>
    </w:p>
    <w:p w14:paraId="3A5C8B57" w14:textId="77777777" w:rsidR="00AD6EB7" w:rsidRPr="00952C89" w:rsidRDefault="00AD6EB7" w:rsidP="008E7BDB">
      <w:pPr>
        <w:jc w:val="both"/>
        <w:rPr>
          <w:b/>
        </w:rPr>
      </w:pPr>
      <w:r w:rsidRPr="00952C89">
        <w:rPr>
          <w:b/>
        </w:rPr>
        <w:t xml:space="preserve">For the purposes of calculating the ESPI awards, program expenditures shall not exceed authorized budgets. </w:t>
      </w:r>
    </w:p>
    <w:p w14:paraId="0B5A642C" w14:textId="77777777" w:rsidR="00924FAF" w:rsidRDefault="006C408F" w:rsidP="008E7BDB">
      <w:pPr>
        <w:jc w:val="both"/>
      </w:pPr>
      <w:r w:rsidRPr="00136784">
        <w:t xml:space="preserve">Per D.13-09-023, the IOUs must rely on public versions of </w:t>
      </w:r>
      <w:r w:rsidR="001D5D44" w:rsidRPr="00136784">
        <w:t>UAFCB</w:t>
      </w:r>
      <w:r w:rsidR="007815CF" w:rsidRPr="00136784">
        <w:t xml:space="preserve"> </w:t>
      </w:r>
      <w:r w:rsidR="00325505">
        <w:t xml:space="preserve">audit </w:t>
      </w:r>
      <w:r w:rsidR="007815CF" w:rsidRPr="00136784">
        <w:t>reports</w:t>
      </w:r>
      <w:r w:rsidRPr="00136784">
        <w:t xml:space="preserve"> to determine the actual expenditures </w:t>
      </w:r>
      <w:r w:rsidR="00325505">
        <w:t xml:space="preserve">with which </w:t>
      </w:r>
      <w:r w:rsidRPr="00136784">
        <w:t xml:space="preserve">to calculate their incentive awards. </w:t>
      </w:r>
    </w:p>
    <w:p w14:paraId="25C19E1D" w14:textId="77777777" w:rsidR="00A4376A" w:rsidRDefault="00A4376A" w:rsidP="008E7BDB">
      <w:pPr>
        <w:pStyle w:val="Heading6"/>
        <w:jc w:val="both"/>
      </w:pPr>
      <w:r>
        <w:t xml:space="preserve">Modified Timeline of the 2018 </w:t>
      </w:r>
      <w:r w:rsidRPr="00455416">
        <w:t xml:space="preserve">ESPI </w:t>
      </w:r>
      <w:r>
        <w:t>Resolution</w:t>
      </w:r>
    </w:p>
    <w:p w14:paraId="0FDB85DF" w14:textId="77777777" w:rsidR="00A4376A" w:rsidRDefault="00A4376A" w:rsidP="008E7BDB">
      <w:pPr>
        <w:jc w:val="both"/>
      </w:pPr>
      <w:r>
        <w:t>On April 20, 2018</w:t>
      </w:r>
      <w:r w:rsidR="00325505">
        <w:t>, an</w:t>
      </w:r>
      <w:r>
        <w:t xml:space="preserve"> Assigned Commissioner’s Ruling was issued for the 2016 Ex-Post and 2017 Ex-Ante Savings calculations.</w:t>
      </w:r>
      <w:r w:rsidR="005C628B">
        <w:rPr>
          <w:rStyle w:val="FootnoteReference"/>
        </w:rPr>
        <w:footnoteReference w:id="12"/>
      </w:r>
      <w:r>
        <w:t xml:space="preserve"> It noted Commission contracting delays in </w:t>
      </w:r>
      <w:r>
        <w:lastRenderedPageBreak/>
        <w:t xml:space="preserve">2017 resulting in Commission </w:t>
      </w:r>
      <w:r w:rsidR="00C50203">
        <w:t>S</w:t>
      </w:r>
      <w:r>
        <w:t xml:space="preserve">taff lacking sufficient resources to undertake impact evaluation for program year 2016. The ruling directed Commission </w:t>
      </w:r>
      <w:r w:rsidR="00C50203">
        <w:t>S</w:t>
      </w:r>
      <w:r>
        <w:t xml:space="preserve">taff to base their analysis on the application of the most appropriate recent (i.e., 2015) evaluated results to similar measures in 2016. Additionally, Commission </w:t>
      </w:r>
      <w:r w:rsidR="00C50203">
        <w:t>S</w:t>
      </w:r>
      <w:r>
        <w:t xml:space="preserve">taff was directed to follow the same timeline and dispute resolution process for the ex-ante savings as the timeline and process conducted for the ex-post savings, as set forth in Attachment 6 of D.13-09-023 and updated in D.15-10-028. </w:t>
      </w:r>
    </w:p>
    <w:p w14:paraId="73AB6C7D" w14:textId="77777777" w:rsidR="00A4376A" w:rsidRDefault="00A4376A" w:rsidP="008E7BDB">
      <w:pPr>
        <w:jc w:val="both"/>
      </w:pPr>
      <w:r>
        <w:t xml:space="preserve">With this </w:t>
      </w:r>
      <w:r w:rsidR="00325505">
        <w:t>direction,</w:t>
      </w:r>
      <w:r>
        <w:t xml:space="preserve"> the Commission released 2017 </w:t>
      </w:r>
      <w:r w:rsidR="002445E5">
        <w:t>ex-ante</w:t>
      </w:r>
      <w:r>
        <w:t xml:space="preserve"> savings estimates along with the 2016 </w:t>
      </w:r>
      <w:r w:rsidR="002445E5">
        <w:t>ex-post</w:t>
      </w:r>
      <w:r>
        <w:t xml:space="preserve"> savings estimates in the Performance Statement Report.</w:t>
      </w:r>
      <w:bookmarkStart w:id="8" w:name="_Ref1661382"/>
      <w:r w:rsidR="001839A7">
        <w:rPr>
          <w:rStyle w:val="FootnoteReference"/>
        </w:rPr>
        <w:footnoteReference w:id="13"/>
      </w:r>
      <w:bookmarkEnd w:id="8"/>
      <w:r>
        <w:t xml:space="preserve"> SDG&amp;E found exceptionally large errors in the report </w:t>
      </w:r>
      <w:r w:rsidR="00325505">
        <w:t>that</w:t>
      </w:r>
      <w:r>
        <w:t xml:space="preserve"> needed correction and delayed the final Performance Statement report release. </w:t>
      </w:r>
    </w:p>
    <w:p w14:paraId="126DE542" w14:textId="77777777" w:rsidR="00CF17DE" w:rsidRPr="00673DF0" w:rsidRDefault="00CF17DE" w:rsidP="008E7BDB">
      <w:pPr>
        <w:pStyle w:val="Heading1"/>
        <w:spacing w:before="360" w:after="0"/>
        <w:jc w:val="both"/>
        <w:rPr>
          <w:rFonts w:cs="Helvetica"/>
        </w:rPr>
      </w:pPr>
      <w:bookmarkStart w:id="9" w:name="_Toc497338853"/>
      <w:r w:rsidRPr="00673DF0">
        <w:rPr>
          <w:rFonts w:cs="Helvetica"/>
        </w:rPr>
        <w:t>Notice</w:t>
      </w:r>
      <w:bookmarkEnd w:id="9"/>
    </w:p>
    <w:p w14:paraId="1D00D38B" w14:textId="77777777" w:rsidR="00F4021F" w:rsidRPr="00F4021F" w:rsidRDefault="00F4021F" w:rsidP="008E7BDB">
      <w:pPr>
        <w:jc w:val="both"/>
      </w:pPr>
      <w:bookmarkStart w:id="10" w:name="_Hlk536025210"/>
      <w:bookmarkStart w:id="11" w:name="_Toc497338854"/>
      <w:r w:rsidRPr="00F4021F">
        <w:t>Notice of PG&amp;E AL 4044-G/5430-E, SCE AL 3901-E, SDG&amp;E AL 3307-E/2722-G, and SoCalGas AL 5386 w</w:t>
      </w:r>
      <w:r w:rsidR="00C966CB">
        <w:t>as</w:t>
      </w:r>
      <w:r w:rsidRPr="00F4021F">
        <w:t xml:space="preserve"> made by publication in the CPUC’s Daily Calendar. PG&amp;E, SCE, SDG&amp;E, and SoCalGas state that </w:t>
      </w:r>
      <w:r w:rsidR="00AA478B">
        <w:t xml:space="preserve">copies of </w:t>
      </w:r>
      <w:r w:rsidRPr="00F4021F">
        <w:t>the</w:t>
      </w:r>
      <w:r w:rsidR="00C966CB">
        <w:t>ir</w:t>
      </w:r>
      <w:r w:rsidRPr="00F4021F">
        <w:t xml:space="preserve"> Advice Letter</w:t>
      </w:r>
      <w:r w:rsidR="00E714E7">
        <w:t>s were</w:t>
      </w:r>
      <w:r w:rsidRPr="00F4021F">
        <w:t xml:space="preserve"> mailed and distributed in accordance with Section 4 of General Order 96-B</w:t>
      </w:r>
      <w:bookmarkEnd w:id="10"/>
      <w:r w:rsidRPr="00F4021F">
        <w:t xml:space="preserve">. </w:t>
      </w:r>
    </w:p>
    <w:p w14:paraId="43C048AC" w14:textId="77777777" w:rsidR="00897112" w:rsidRPr="00897112" w:rsidRDefault="00897112" w:rsidP="00AD6B15">
      <w:pPr>
        <w:pStyle w:val="Heading1"/>
        <w:spacing w:after="0"/>
      </w:pPr>
      <w:r w:rsidRPr="00897112">
        <w:t>Protests</w:t>
      </w:r>
      <w:bookmarkEnd w:id="11"/>
    </w:p>
    <w:p w14:paraId="42B0CBC5" w14:textId="77777777" w:rsidR="00E72D83" w:rsidRPr="00FA62C0" w:rsidRDefault="00C55AF4" w:rsidP="00AD6B15">
      <w:pPr>
        <w:pStyle w:val="Heading6"/>
      </w:pPr>
      <w:r>
        <w:t xml:space="preserve">SoCalGas’ </w:t>
      </w:r>
      <w:r w:rsidR="00E72D83" w:rsidRPr="00FA62C0">
        <w:t>Advice Letter 5386-G was protested.</w:t>
      </w:r>
    </w:p>
    <w:p w14:paraId="138623E1" w14:textId="77777777" w:rsidR="00E72D83" w:rsidRDefault="00C55AF4" w:rsidP="008E7BDB">
      <w:pPr>
        <w:jc w:val="both"/>
      </w:pPr>
      <w:r>
        <w:t xml:space="preserve">On December 17, 2018 </w:t>
      </w:r>
      <w:r w:rsidR="00E72D83">
        <w:t xml:space="preserve">SoCalGas’ Advice Letter 5386-G was timely protested by </w:t>
      </w:r>
      <w:r>
        <w:t xml:space="preserve">the </w:t>
      </w:r>
      <w:r w:rsidR="00B468C3">
        <w:t xml:space="preserve">California </w:t>
      </w:r>
      <w:r w:rsidR="00E72D83">
        <w:t>Public Advocates Office</w:t>
      </w:r>
      <w:r>
        <w:t xml:space="preserve"> at the Commission </w:t>
      </w:r>
      <w:r w:rsidRPr="00C55AF4">
        <w:t>(Cal</w:t>
      </w:r>
      <w:r>
        <w:t xml:space="preserve"> Advocates</w:t>
      </w:r>
      <w:r w:rsidRPr="00C55AF4">
        <w:t>)</w:t>
      </w:r>
      <w:r w:rsidR="00FA62C0">
        <w:t xml:space="preserve">. </w:t>
      </w:r>
      <w:r w:rsidR="00325505">
        <w:t xml:space="preserve">The </w:t>
      </w:r>
      <w:r w:rsidR="00E72D83">
        <w:t>Natural Resources Defense Council (NRDC)</w:t>
      </w:r>
      <w:r w:rsidR="00FA62C0">
        <w:t xml:space="preserve"> filed a </w:t>
      </w:r>
      <w:r w:rsidRPr="00C55AF4">
        <w:t>Response</w:t>
      </w:r>
      <w:r w:rsidR="00FA62C0">
        <w:t xml:space="preserve"> to the Advice Letter</w:t>
      </w:r>
      <w:r w:rsidR="006C268E">
        <w:t xml:space="preserve">. </w:t>
      </w:r>
    </w:p>
    <w:p w14:paraId="1C1B2404" w14:textId="77777777" w:rsidR="00E72D83" w:rsidRDefault="00E72D83" w:rsidP="008E7BDB">
      <w:pPr>
        <w:jc w:val="both"/>
      </w:pPr>
      <w:r>
        <w:t xml:space="preserve">SoCalGas responded to the Protest and Response of </w:t>
      </w:r>
      <w:r w:rsidR="007B0678">
        <w:t>Cal Advocates</w:t>
      </w:r>
      <w:r>
        <w:t xml:space="preserve"> and NRDC, respectively, on December 21, 2018.</w:t>
      </w:r>
    </w:p>
    <w:p w14:paraId="5841668C" w14:textId="77777777" w:rsidR="00897112" w:rsidRPr="00897112" w:rsidRDefault="009877E6" w:rsidP="008E7BDB">
      <w:pPr>
        <w:jc w:val="both"/>
      </w:pPr>
      <w:bookmarkStart w:id="12" w:name="_Hlk13729808"/>
      <w:r>
        <w:t xml:space="preserve">In its Protest, </w:t>
      </w:r>
      <w:r w:rsidR="00C55AF4">
        <w:t>Cal Advocates</w:t>
      </w:r>
      <w:r w:rsidR="00897112" w:rsidRPr="00897112">
        <w:t xml:space="preserve"> requests the </w:t>
      </w:r>
      <w:r w:rsidR="00E72D83">
        <w:t>Commission</w:t>
      </w:r>
      <w:r w:rsidR="00897112" w:rsidRPr="00897112">
        <w:t xml:space="preserve"> to deny SoCalGas’</w:t>
      </w:r>
      <w:r w:rsidR="00515AC4">
        <w:t xml:space="preserve"> </w:t>
      </w:r>
      <w:r w:rsidR="00897112" w:rsidRPr="00897112">
        <w:t xml:space="preserve">request for $91,293 in ESPI payments for its </w:t>
      </w:r>
      <w:r w:rsidR="00D97074">
        <w:t>C&amp;S</w:t>
      </w:r>
      <w:r w:rsidR="00897112" w:rsidRPr="00897112">
        <w:t xml:space="preserve"> advocacy </w:t>
      </w:r>
      <w:r w:rsidR="000F494A">
        <w:t>programs</w:t>
      </w:r>
      <w:r w:rsidR="00636F40" w:rsidRPr="00897112">
        <w:t xml:space="preserve"> </w:t>
      </w:r>
      <w:r w:rsidR="00636F40">
        <w:t>in</w:t>
      </w:r>
      <w:r w:rsidR="00897112" w:rsidRPr="00897112">
        <w:t xml:space="preserve"> </w:t>
      </w:r>
      <w:r w:rsidR="00636F40">
        <w:t>PY</w:t>
      </w:r>
      <w:r>
        <w:t xml:space="preserve"> </w:t>
      </w:r>
      <w:r w:rsidR="00897112" w:rsidRPr="00897112">
        <w:t xml:space="preserve">2017. </w:t>
      </w:r>
      <w:r w:rsidR="00636F40">
        <w:t>Cal Advocates</w:t>
      </w:r>
      <w:r w:rsidR="00897112" w:rsidRPr="00897112">
        <w:t xml:space="preserve"> also requests the </w:t>
      </w:r>
      <w:r w:rsidR="00E72D83">
        <w:t>Commission</w:t>
      </w:r>
      <w:r w:rsidR="00897112" w:rsidRPr="00897112">
        <w:t xml:space="preserve"> </w:t>
      </w:r>
      <w:r w:rsidR="00636F40">
        <w:t xml:space="preserve">to </w:t>
      </w:r>
      <w:r w:rsidR="00897112" w:rsidRPr="00897112">
        <w:t xml:space="preserve">true up SoCalGas’ PY 2016 </w:t>
      </w:r>
      <w:r w:rsidR="00D97074">
        <w:t>C&amp;S</w:t>
      </w:r>
      <w:r w:rsidR="00D97074" w:rsidRPr="00897112">
        <w:t xml:space="preserve"> </w:t>
      </w:r>
      <w:r w:rsidR="00897112" w:rsidRPr="00897112">
        <w:t>advocacy</w:t>
      </w:r>
      <w:r w:rsidR="00D97074">
        <w:t xml:space="preserve"> programs award</w:t>
      </w:r>
      <w:r w:rsidR="00897112" w:rsidRPr="00897112">
        <w:t xml:space="preserve"> to $0 and require SoCalGas to return the entire $91,293 award for </w:t>
      </w:r>
      <w:r w:rsidR="00D97074">
        <w:t>C&amp;S</w:t>
      </w:r>
      <w:r w:rsidR="00D97074" w:rsidRPr="00897112">
        <w:t xml:space="preserve"> </w:t>
      </w:r>
      <w:r w:rsidR="00D97074">
        <w:t xml:space="preserve">advocacy </w:t>
      </w:r>
      <w:r w:rsidR="00897112" w:rsidRPr="00897112">
        <w:t xml:space="preserve">authorized by Resolution E-4897 to ratepayers. </w:t>
      </w:r>
      <w:bookmarkEnd w:id="12"/>
      <w:r w:rsidR="00897112" w:rsidRPr="00897112">
        <w:t xml:space="preserve">Finally, it requests </w:t>
      </w:r>
      <w:r w:rsidR="00E72D83">
        <w:t>the Commission</w:t>
      </w:r>
      <w:r w:rsidR="00897112" w:rsidRPr="00897112">
        <w:t xml:space="preserve"> </w:t>
      </w:r>
      <w:r w:rsidR="007B0678" w:rsidRPr="007B0678">
        <w:t xml:space="preserve">to </w:t>
      </w:r>
      <w:r w:rsidR="007B0678" w:rsidRPr="007B0678">
        <w:lastRenderedPageBreak/>
        <w:t xml:space="preserve">instruct the </w:t>
      </w:r>
      <w:r w:rsidR="00636F40">
        <w:t>UAFCB</w:t>
      </w:r>
      <w:r w:rsidR="007B0678" w:rsidRPr="007B0678">
        <w:t xml:space="preserve"> to investigate SoCalGas’ request of $20,763 for energy savings associated with pre-2016 </w:t>
      </w:r>
      <w:r w:rsidR="00952C89">
        <w:t xml:space="preserve">custom project </w:t>
      </w:r>
      <w:r w:rsidR="007B0678" w:rsidRPr="007B0678">
        <w:t>installation dates to ensure its accuracy.</w:t>
      </w:r>
    </w:p>
    <w:p w14:paraId="6007F26F" w14:textId="77777777" w:rsidR="00897112" w:rsidRDefault="00897112" w:rsidP="008E7BDB">
      <w:pPr>
        <w:jc w:val="both"/>
      </w:pPr>
      <w:r w:rsidRPr="00897112">
        <w:t>NRDC</w:t>
      </w:r>
      <w:r w:rsidR="009877E6">
        <w:t>’s</w:t>
      </w:r>
      <w:r w:rsidRPr="00897112">
        <w:t xml:space="preserve"> </w:t>
      </w:r>
      <w:r w:rsidR="009877E6">
        <w:t>R</w:t>
      </w:r>
      <w:r w:rsidR="00DD2C96">
        <w:t>esponse</w:t>
      </w:r>
      <w:r w:rsidR="00DD2C96" w:rsidRPr="00897112">
        <w:t xml:space="preserve"> </w:t>
      </w:r>
      <w:r w:rsidR="00636F40">
        <w:t>requests</w:t>
      </w:r>
      <w:r w:rsidRPr="00897112">
        <w:t xml:space="preserve"> the Commission to scrutinize</w:t>
      </w:r>
      <w:r w:rsidR="00636F40">
        <w:t xml:space="preserve"> SoCalGas’</w:t>
      </w:r>
      <w:r w:rsidRPr="00897112">
        <w:t xml:space="preserve"> request </w:t>
      </w:r>
      <w:r w:rsidR="00636F40">
        <w:t xml:space="preserve">for ESPI payments </w:t>
      </w:r>
      <w:r w:rsidRPr="00897112">
        <w:t xml:space="preserve">for </w:t>
      </w:r>
      <w:r w:rsidR="00636F40">
        <w:t xml:space="preserve">its </w:t>
      </w:r>
      <w:r w:rsidR="00D97074">
        <w:t>C&amp;S</w:t>
      </w:r>
      <w:r w:rsidR="00D97074" w:rsidRPr="00897112">
        <w:t xml:space="preserve"> </w:t>
      </w:r>
      <w:r w:rsidRPr="00897112">
        <w:t xml:space="preserve">advocacy </w:t>
      </w:r>
      <w:r w:rsidR="00636F40">
        <w:t>work</w:t>
      </w:r>
      <w:r w:rsidR="002C7AE0">
        <w:t>,</w:t>
      </w:r>
      <w:r w:rsidR="009877E6">
        <w:t xml:space="preserve"> given the unresolved concerns originally raised in Application (A).17-01-013 et al. through the Business Plan process.</w:t>
      </w:r>
    </w:p>
    <w:p w14:paraId="2BEC638B" w14:textId="77777777" w:rsidR="00A910AC" w:rsidRDefault="00A910AC" w:rsidP="008E7BDB">
      <w:pPr>
        <w:jc w:val="both"/>
      </w:pPr>
      <w:r>
        <w:t>SoCalGas</w:t>
      </w:r>
      <w:r w:rsidR="00481BAD">
        <w:t>, in</w:t>
      </w:r>
      <w:r>
        <w:t xml:space="preserve"> its </w:t>
      </w:r>
      <w:r w:rsidR="00481BAD">
        <w:t>reply comments</w:t>
      </w:r>
      <w:r w:rsidR="006A4693">
        <w:t>,</w:t>
      </w:r>
      <w:r w:rsidR="00481BAD">
        <w:t xml:space="preserve"> argues that</w:t>
      </w:r>
      <w:r w:rsidR="00636F40">
        <w:t xml:space="preserve"> in</w:t>
      </w:r>
      <w:r w:rsidR="00481BAD">
        <w:t xml:space="preserve"> D.18-05-041</w:t>
      </w:r>
      <w:r w:rsidR="00636F40">
        <w:t>, the Commission</w:t>
      </w:r>
      <w:r w:rsidR="00481BAD">
        <w:t xml:space="preserve"> declined to consider a penalty for SoCalGas’ past conduct, but instead limited its role in future </w:t>
      </w:r>
      <w:r w:rsidR="00D97074">
        <w:t>C&amp;S</w:t>
      </w:r>
      <w:r w:rsidR="00481BAD">
        <w:t xml:space="preserve"> advocacy </w:t>
      </w:r>
      <w:r w:rsidR="00367387">
        <w:t>programs</w:t>
      </w:r>
      <w:r w:rsidR="00481BAD">
        <w:t xml:space="preserve">. SoCalGas also argues that </w:t>
      </w:r>
      <w:r w:rsidR="00481BAD" w:rsidRPr="00481BAD">
        <w:t>D.18-05-041</w:t>
      </w:r>
      <w:r w:rsidR="00481BAD">
        <w:t xml:space="preserve"> does not support adjudicating these issues through an ESPI Advice Letter. Finally, SoCalGas states that while its activities in certain instances did not support more stringent standards, its efforts were a) in accordance with the approved statewide program implementation plan, b) reflected </w:t>
      </w:r>
      <w:r w:rsidR="00515AC4">
        <w:t xml:space="preserve">SoCalGas </w:t>
      </w:r>
      <w:r w:rsidR="00481BAD">
        <w:t>concerns such as high costs to low-income customers and</w:t>
      </w:r>
      <w:r w:rsidR="00F4021F">
        <w:t>,</w:t>
      </w:r>
      <w:r w:rsidR="00481BAD">
        <w:t xml:space="preserve"> c) were openly communicated.</w:t>
      </w:r>
    </w:p>
    <w:p w14:paraId="26B38F75" w14:textId="77777777" w:rsidR="000377DD" w:rsidRPr="00897112" w:rsidRDefault="000377DD" w:rsidP="008E7BDB">
      <w:pPr>
        <w:jc w:val="both"/>
      </w:pPr>
      <w:r>
        <w:t>No other Protests were filed to dispute the IOU-requested incentive award amounts.</w:t>
      </w:r>
    </w:p>
    <w:p w14:paraId="51934BAD" w14:textId="77777777" w:rsidR="00897112" w:rsidRDefault="00897112" w:rsidP="001B5022">
      <w:pPr>
        <w:pStyle w:val="Heading1"/>
      </w:pPr>
      <w:bookmarkStart w:id="13" w:name="_Toc497338855"/>
      <w:r w:rsidRPr="00897112">
        <w:t>Discussion</w:t>
      </w:r>
      <w:bookmarkEnd w:id="13"/>
    </w:p>
    <w:p w14:paraId="1ACB1354" w14:textId="77777777" w:rsidR="00897112" w:rsidRPr="006B49DA" w:rsidRDefault="00897112" w:rsidP="00AD6B15">
      <w:pPr>
        <w:pStyle w:val="Heading2"/>
      </w:pPr>
      <w:r w:rsidRPr="006B49DA">
        <w:t>2016 and 2017 Earning</w:t>
      </w:r>
      <w:r w:rsidR="0038256F" w:rsidRPr="006B49DA">
        <w:t>s</w:t>
      </w:r>
      <w:r w:rsidRPr="006B49DA">
        <w:t xml:space="preserve"> Coefficients</w:t>
      </w:r>
    </w:p>
    <w:p w14:paraId="7BB12B12" w14:textId="77777777" w:rsidR="007B0678" w:rsidRDefault="007B0678" w:rsidP="008E7BDB">
      <w:pPr>
        <w:jc w:val="both"/>
        <w:rPr>
          <w:b/>
          <w:bCs/>
        </w:rPr>
      </w:pPr>
      <w:r w:rsidRPr="007B0678">
        <w:rPr>
          <w:b/>
          <w:bCs/>
        </w:rPr>
        <w:t xml:space="preserve">This </w:t>
      </w:r>
      <w:r>
        <w:rPr>
          <w:b/>
          <w:bCs/>
        </w:rPr>
        <w:t>R</w:t>
      </w:r>
      <w:r w:rsidRPr="007B0678">
        <w:rPr>
          <w:b/>
          <w:bCs/>
        </w:rPr>
        <w:t xml:space="preserve">esolution uses 2016 and 2017 approved </w:t>
      </w:r>
      <w:r>
        <w:rPr>
          <w:b/>
          <w:bCs/>
        </w:rPr>
        <w:t>E</w:t>
      </w:r>
      <w:r w:rsidRPr="007B0678">
        <w:rPr>
          <w:b/>
          <w:bCs/>
        </w:rPr>
        <w:t>arning</w:t>
      </w:r>
      <w:r w:rsidR="0080669F">
        <w:rPr>
          <w:b/>
          <w:bCs/>
        </w:rPr>
        <w:t>s</w:t>
      </w:r>
      <w:r w:rsidRPr="007B0678">
        <w:rPr>
          <w:b/>
          <w:bCs/>
        </w:rPr>
        <w:t xml:space="preserve"> </w:t>
      </w:r>
      <w:r w:rsidR="00D24CF9">
        <w:rPr>
          <w:b/>
          <w:bCs/>
        </w:rPr>
        <w:t>C</w:t>
      </w:r>
      <w:r w:rsidRPr="007B0678">
        <w:rPr>
          <w:b/>
          <w:bCs/>
        </w:rPr>
        <w:t>oefficient</w:t>
      </w:r>
      <w:r>
        <w:rPr>
          <w:b/>
          <w:bCs/>
        </w:rPr>
        <w:t>s</w:t>
      </w:r>
      <w:r w:rsidRPr="007B0678">
        <w:rPr>
          <w:b/>
          <w:bCs/>
        </w:rPr>
        <w:t xml:space="preserve"> to calculate ESPI awards</w:t>
      </w:r>
      <w:r w:rsidR="006C268E">
        <w:rPr>
          <w:b/>
          <w:bCs/>
        </w:rPr>
        <w:t>.</w:t>
      </w:r>
      <w:r w:rsidRPr="007B0678">
        <w:rPr>
          <w:b/>
          <w:bCs/>
        </w:rPr>
        <w:t xml:space="preserve"> </w:t>
      </w:r>
      <w:r w:rsidR="00674D69">
        <w:rPr>
          <w:b/>
          <w:bCs/>
        </w:rPr>
        <w:t>T</w:t>
      </w:r>
      <w:r w:rsidRPr="007B0678">
        <w:rPr>
          <w:b/>
          <w:bCs/>
        </w:rPr>
        <w:t xml:space="preserve">he Commission finds that </w:t>
      </w:r>
      <w:r>
        <w:rPr>
          <w:b/>
          <w:bCs/>
        </w:rPr>
        <w:t xml:space="preserve">the </w:t>
      </w:r>
      <w:r w:rsidRPr="007B0678">
        <w:rPr>
          <w:b/>
          <w:bCs/>
        </w:rPr>
        <w:t xml:space="preserve">IOUs are not consistent in </w:t>
      </w:r>
      <w:r w:rsidR="00D24CF9">
        <w:rPr>
          <w:b/>
          <w:bCs/>
        </w:rPr>
        <w:t>assigning</w:t>
      </w:r>
      <w:r w:rsidRPr="007B0678">
        <w:rPr>
          <w:b/>
          <w:bCs/>
        </w:rPr>
        <w:t xml:space="preserve"> program categories </w:t>
      </w:r>
      <w:r>
        <w:rPr>
          <w:b/>
          <w:bCs/>
        </w:rPr>
        <w:t xml:space="preserve">for </w:t>
      </w:r>
      <w:r w:rsidRPr="007B0678">
        <w:rPr>
          <w:b/>
          <w:bCs/>
        </w:rPr>
        <w:t xml:space="preserve">determining </w:t>
      </w:r>
      <w:r w:rsidR="0080669F">
        <w:rPr>
          <w:b/>
          <w:bCs/>
        </w:rPr>
        <w:t>E</w:t>
      </w:r>
      <w:r w:rsidRPr="007B0678">
        <w:rPr>
          <w:b/>
          <w:bCs/>
        </w:rPr>
        <w:t xml:space="preserve">arnings </w:t>
      </w:r>
      <w:r w:rsidR="0080669F">
        <w:rPr>
          <w:b/>
          <w:bCs/>
        </w:rPr>
        <w:t>C</w:t>
      </w:r>
      <w:r w:rsidRPr="007B0678">
        <w:rPr>
          <w:b/>
          <w:bCs/>
        </w:rPr>
        <w:t>oefficient</w:t>
      </w:r>
      <w:r w:rsidR="0080669F">
        <w:rPr>
          <w:b/>
          <w:bCs/>
        </w:rPr>
        <w:t>s</w:t>
      </w:r>
      <w:r w:rsidRPr="007B0678">
        <w:rPr>
          <w:b/>
          <w:bCs/>
        </w:rPr>
        <w:t xml:space="preserve"> across their </w:t>
      </w:r>
      <w:r>
        <w:rPr>
          <w:b/>
          <w:bCs/>
        </w:rPr>
        <w:t>A</w:t>
      </w:r>
      <w:r w:rsidRPr="007B0678">
        <w:rPr>
          <w:b/>
          <w:bCs/>
        </w:rPr>
        <w:t xml:space="preserve">dvice </w:t>
      </w:r>
      <w:r>
        <w:rPr>
          <w:b/>
          <w:bCs/>
        </w:rPr>
        <w:t>L</w:t>
      </w:r>
      <w:r w:rsidRPr="007B0678">
        <w:rPr>
          <w:b/>
          <w:bCs/>
        </w:rPr>
        <w:t>etter filings</w:t>
      </w:r>
      <w:r w:rsidR="006C268E">
        <w:rPr>
          <w:b/>
          <w:bCs/>
        </w:rPr>
        <w:t xml:space="preserve">. </w:t>
      </w:r>
    </w:p>
    <w:p w14:paraId="56CE3C29" w14:textId="77777777" w:rsidR="00D24CF9" w:rsidRPr="00897112" w:rsidRDefault="00D24CF9" w:rsidP="008E7BDB">
      <w:pPr>
        <w:jc w:val="both"/>
      </w:pPr>
      <w:r w:rsidRPr="00897112">
        <w:t xml:space="preserve">The </w:t>
      </w:r>
      <w:r>
        <w:t xml:space="preserve">approved </w:t>
      </w:r>
      <w:r w:rsidRPr="00897112">
        <w:t xml:space="preserve">2016 and 2017 </w:t>
      </w:r>
      <w:r>
        <w:t>E</w:t>
      </w:r>
      <w:r w:rsidRPr="00897112">
        <w:t>arning</w:t>
      </w:r>
      <w:r w:rsidR="0074226F">
        <w:t>s</w:t>
      </w:r>
      <w:r w:rsidRPr="00897112">
        <w:t xml:space="preserve"> </w:t>
      </w:r>
      <w:r>
        <w:t>C</w:t>
      </w:r>
      <w:r w:rsidRPr="00897112">
        <w:t>oefficients</w:t>
      </w:r>
      <w:r w:rsidR="00DC7ACC">
        <w:rPr>
          <w:bCs/>
        </w:rPr>
        <w:t>, or Rates,</w:t>
      </w:r>
      <w:r w:rsidRPr="00897112">
        <w:t xml:space="preserve"> are</w:t>
      </w:r>
      <w:r w:rsidR="006274B4">
        <w:t xml:space="preserve"> shown in Table 5</w:t>
      </w:r>
      <w:r w:rsidR="0071760C">
        <w:t>.</w:t>
      </w:r>
    </w:p>
    <w:tbl>
      <w:tblPr>
        <w:tblW w:w="7920" w:type="dxa"/>
        <w:jc w:val="center"/>
        <w:tblLayout w:type="fixed"/>
        <w:tblCellMar>
          <w:left w:w="0" w:type="dxa"/>
          <w:right w:w="0" w:type="dxa"/>
        </w:tblCellMar>
        <w:tblLook w:val="0620" w:firstRow="1" w:lastRow="0" w:firstColumn="0" w:lastColumn="0" w:noHBand="1" w:noVBand="1"/>
      </w:tblPr>
      <w:tblGrid>
        <w:gridCol w:w="4204"/>
        <w:gridCol w:w="1858"/>
        <w:gridCol w:w="1858"/>
      </w:tblGrid>
      <w:tr w:rsidR="00A52B69" w14:paraId="73B9C069" w14:textId="77777777">
        <w:trPr>
          <w:cantSplit/>
          <w:trHeight w:val="460"/>
          <w:tblHeader/>
          <w:jc w:val="center"/>
        </w:trPr>
        <w:tc>
          <w:tcPr>
            <w:tcW w:w="7290" w:type="dxa"/>
            <w:gridSpan w:val="3"/>
            <w:tcBorders>
              <w:bottom w:val="single" w:sz="8" w:space="0" w:color="000000"/>
            </w:tcBorders>
            <w:shd w:val="clear" w:color="auto" w:fill="auto"/>
            <w:tcMar>
              <w:top w:w="15" w:type="dxa"/>
              <w:left w:w="108" w:type="dxa"/>
              <w:bottom w:w="0" w:type="dxa"/>
              <w:right w:w="108" w:type="dxa"/>
            </w:tcMar>
            <w:vAlign w:val="center"/>
          </w:tcPr>
          <w:p w14:paraId="40E6DD04" w14:textId="77777777" w:rsidR="00D24CF9" w:rsidRPr="00C966CB" w:rsidRDefault="00D24CF9" w:rsidP="00B47FF2">
            <w:pPr>
              <w:spacing w:before="0" w:after="0"/>
              <w:ind w:right="137" w:firstLine="90"/>
              <w:jc w:val="center"/>
              <w:rPr>
                <w:bCs/>
              </w:rPr>
            </w:pPr>
            <w:r w:rsidRPr="00C966CB">
              <w:rPr>
                <w:bCs/>
              </w:rPr>
              <w:t xml:space="preserve">Table </w:t>
            </w:r>
            <w:r w:rsidR="006274B4">
              <w:t>5</w:t>
            </w:r>
            <w:r w:rsidRPr="00C966CB">
              <w:rPr>
                <w:bCs/>
              </w:rPr>
              <w:t>: 2016 and 2017 Statewide Earning</w:t>
            </w:r>
            <w:r w:rsidR="0074226F">
              <w:rPr>
                <w:bCs/>
              </w:rPr>
              <w:t>s</w:t>
            </w:r>
            <w:r w:rsidRPr="00C966CB">
              <w:rPr>
                <w:bCs/>
              </w:rPr>
              <w:t xml:space="preserve"> Coefficients</w:t>
            </w:r>
          </w:p>
        </w:tc>
      </w:tr>
      <w:tr w:rsidR="00A52B69" w14:paraId="676DE41D" w14:textId="77777777">
        <w:trPr>
          <w:cantSplit/>
          <w:trHeight w:val="145"/>
          <w:tblHeader/>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1773CE" w14:textId="77777777" w:rsidR="00D24CF9" w:rsidRPr="00270BCD" w:rsidRDefault="00D24CF9" w:rsidP="00B47FF2">
            <w:pPr>
              <w:spacing w:before="0" w:after="0"/>
              <w:jc w:val="center"/>
              <w:rPr>
                <w:b/>
                <w:bCs/>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C282D2" w14:textId="77777777" w:rsidR="00D24CF9" w:rsidRPr="00270BCD" w:rsidRDefault="00D24CF9" w:rsidP="00B47FF2">
            <w:pPr>
              <w:spacing w:before="0" w:after="0"/>
              <w:jc w:val="center"/>
              <w:rPr>
                <w:b/>
                <w:bCs/>
              </w:rPr>
            </w:pPr>
            <w:r w:rsidRPr="00270BCD">
              <w:rPr>
                <w:b/>
                <w:bCs/>
              </w:rPr>
              <w:t>2016</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219C17" w14:textId="77777777" w:rsidR="00D24CF9" w:rsidRPr="00270BCD" w:rsidRDefault="00D24CF9" w:rsidP="00B47FF2">
            <w:pPr>
              <w:spacing w:before="0" w:after="0"/>
              <w:ind w:right="137" w:firstLine="90"/>
              <w:jc w:val="center"/>
              <w:rPr>
                <w:b/>
                <w:bCs/>
              </w:rPr>
            </w:pPr>
            <w:r w:rsidRPr="00270BCD">
              <w:rPr>
                <w:b/>
                <w:bCs/>
              </w:rPr>
              <w:t xml:space="preserve">2017 </w:t>
            </w:r>
          </w:p>
        </w:tc>
      </w:tr>
      <w:tr w:rsidR="00A52B69" w14:paraId="2ED97693" w14:textId="77777777">
        <w:trPr>
          <w:cantSplit/>
          <w:tblHeader/>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D50A7E" w14:textId="77777777" w:rsidR="00D24CF9" w:rsidRPr="00897112" w:rsidRDefault="00D24CF9" w:rsidP="00B47FF2">
            <w:pPr>
              <w:spacing w:before="0" w:after="0"/>
              <w:rPr>
                <w:bCs/>
              </w:rPr>
            </w:pPr>
            <w:r w:rsidRPr="00897112">
              <w:rPr>
                <w:bCs/>
              </w:rPr>
              <w:t>Electricity ($/GWh)</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007B6E" w14:textId="77777777" w:rsidR="00D24CF9" w:rsidRPr="00897112" w:rsidRDefault="00D24CF9" w:rsidP="00B47FF2">
            <w:pPr>
              <w:spacing w:before="0" w:after="0"/>
              <w:ind w:right="90"/>
              <w:jc w:val="right"/>
              <w:rPr>
                <w:bCs/>
              </w:rPr>
            </w:pPr>
            <w:r w:rsidRPr="00897112">
              <w:rPr>
                <w:bCs/>
              </w:rPr>
              <w:t>$2,411</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8C2E50" w14:textId="77777777" w:rsidR="00D24CF9" w:rsidRPr="00897112" w:rsidRDefault="00D24CF9" w:rsidP="00B47FF2">
            <w:pPr>
              <w:spacing w:before="0" w:after="0"/>
              <w:ind w:right="90"/>
              <w:jc w:val="right"/>
              <w:rPr>
                <w:bCs/>
              </w:rPr>
            </w:pPr>
            <w:r w:rsidRPr="00897112">
              <w:rPr>
                <w:bCs/>
              </w:rPr>
              <w:t>$2,368</w:t>
            </w:r>
          </w:p>
        </w:tc>
      </w:tr>
      <w:tr w:rsidR="00A52B69" w14:paraId="68C69453" w14:textId="77777777">
        <w:trPr>
          <w:cantSplit/>
          <w:tblHeader/>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A6B220" w14:textId="77777777" w:rsidR="00D24CF9" w:rsidRPr="00897112" w:rsidRDefault="00D24CF9" w:rsidP="00B47FF2">
            <w:pPr>
              <w:spacing w:before="0" w:after="0"/>
              <w:rPr>
                <w:bCs/>
              </w:rPr>
            </w:pPr>
            <w:r w:rsidRPr="00897112">
              <w:rPr>
                <w:bCs/>
              </w:rPr>
              <w:t>Peak Demand: ($/MW)</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0C75D5" w14:textId="77777777" w:rsidR="00D24CF9" w:rsidRPr="00897112" w:rsidRDefault="00D24CF9" w:rsidP="00B47FF2">
            <w:pPr>
              <w:spacing w:before="0" w:after="0"/>
              <w:ind w:right="90"/>
              <w:jc w:val="right"/>
              <w:rPr>
                <w:bCs/>
              </w:rPr>
            </w:pPr>
            <w:r w:rsidRPr="00897112">
              <w:rPr>
                <w:bCs/>
              </w:rPr>
              <w:t>$7,670</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1117B0" w14:textId="77777777" w:rsidR="00D24CF9" w:rsidRPr="00897112" w:rsidRDefault="00D24CF9" w:rsidP="00B47FF2">
            <w:pPr>
              <w:spacing w:before="0" w:after="0"/>
              <w:ind w:right="90"/>
              <w:jc w:val="right"/>
              <w:rPr>
                <w:bCs/>
              </w:rPr>
            </w:pPr>
            <w:r w:rsidRPr="00897112">
              <w:rPr>
                <w:bCs/>
              </w:rPr>
              <w:t>$7,549</w:t>
            </w:r>
          </w:p>
        </w:tc>
      </w:tr>
      <w:tr w:rsidR="00A52B69" w14:paraId="0586B8FA" w14:textId="77777777">
        <w:trPr>
          <w:cantSplit/>
          <w:trHeight w:val="253"/>
          <w:tblHeader/>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353435" w14:textId="77777777" w:rsidR="00D24CF9" w:rsidRPr="00897112" w:rsidRDefault="00D24CF9" w:rsidP="00B47FF2">
            <w:pPr>
              <w:spacing w:before="0" w:after="0"/>
              <w:rPr>
                <w:bCs/>
              </w:rPr>
            </w:pPr>
            <w:bookmarkStart w:id="14" w:name="_Hlk2080301"/>
            <w:r w:rsidRPr="00897112">
              <w:rPr>
                <w:bCs/>
              </w:rPr>
              <w:t>Natural Gas: ($/MM</w:t>
            </w:r>
            <w:r w:rsidR="003B39A8">
              <w:rPr>
                <w:bCs/>
              </w:rPr>
              <w:t>T</w:t>
            </w:r>
            <w:r w:rsidR="00275E9F">
              <w:rPr>
                <w:bCs/>
              </w:rPr>
              <w:t>h</w:t>
            </w:r>
            <w:r w:rsidRPr="00897112">
              <w:rPr>
                <w:bCs/>
              </w:rPr>
              <w:t>)</w:t>
            </w:r>
            <w:bookmarkEnd w:id="14"/>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2098FE" w14:textId="77777777" w:rsidR="00D24CF9" w:rsidRPr="00897112" w:rsidRDefault="00D24CF9" w:rsidP="00B47FF2">
            <w:pPr>
              <w:spacing w:before="0" w:after="0"/>
              <w:ind w:right="90"/>
              <w:jc w:val="right"/>
              <w:rPr>
                <w:bCs/>
              </w:rPr>
            </w:pPr>
            <w:r w:rsidRPr="00897112">
              <w:rPr>
                <w:bCs/>
              </w:rPr>
              <w:t>$26,048</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9A038B" w14:textId="77777777" w:rsidR="00D24CF9" w:rsidRPr="00897112" w:rsidRDefault="00D24CF9" w:rsidP="00B47FF2">
            <w:pPr>
              <w:spacing w:before="0" w:after="0"/>
              <w:ind w:right="90"/>
              <w:jc w:val="right"/>
              <w:rPr>
                <w:bCs/>
              </w:rPr>
            </w:pPr>
            <w:r w:rsidRPr="00897112">
              <w:rPr>
                <w:bCs/>
              </w:rPr>
              <w:t>$25,106</w:t>
            </w:r>
          </w:p>
        </w:tc>
      </w:tr>
    </w:tbl>
    <w:p w14:paraId="5BB89187" w14:textId="77777777" w:rsidR="004E330C" w:rsidRDefault="004E330C" w:rsidP="008E7BDB">
      <w:pPr>
        <w:jc w:val="both"/>
        <w:rPr>
          <w:bCs/>
        </w:rPr>
      </w:pPr>
    </w:p>
    <w:p w14:paraId="5663BE4A" w14:textId="77777777" w:rsidR="004E330C" w:rsidRDefault="004E330C" w:rsidP="008E7BDB">
      <w:pPr>
        <w:jc w:val="both"/>
        <w:rPr>
          <w:bCs/>
        </w:rPr>
      </w:pPr>
    </w:p>
    <w:p w14:paraId="1C72FB41" w14:textId="52B3CA46" w:rsidR="00AC71AC" w:rsidRPr="007B0678" w:rsidRDefault="00603289" w:rsidP="008E7BDB">
      <w:pPr>
        <w:jc w:val="both"/>
        <w:rPr>
          <w:bCs/>
        </w:rPr>
      </w:pPr>
      <w:r w:rsidRPr="007B0678">
        <w:rPr>
          <w:bCs/>
        </w:rPr>
        <w:lastRenderedPageBreak/>
        <w:t>Earnings Coefficient</w:t>
      </w:r>
      <w:r w:rsidR="0074226F">
        <w:rPr>
          <w:bCs/>
        </w:rPr>
        <w:t>s</w:t>
      </w:r>
      <w:r w:rsidRPr="007B0678">
        <w:rPr>
          <w:bCs/>
        </w:rPr>
        <w:t xml:space="preserve"> determine the rate at which the IOUs will be paid for each unit of energy or demand saving</w:t>
      </w:r>
      <w:r w:rsidR="00F46754" w:rsidRPr="007B0678">
        <w:rPr>
          <w:bCs/>
        </w:rPr>
        <w:t>s</w:t>
      </w:r>
      <w:r w:rsidRPr="007B0678">
        <w:rPr>
          <w:bCs/>
        </w:rPr>
        <w:t xml:space="preserve"> achieved. </w:t>
      </w:r>
      <w:r w:rsidR="0074226F">
        <w:rPr>
          <w:bCs/>
        </w:rPr>
        <w:t>They are</w:t>
      </w:r>
      <w:r w:rsidRPr="007B0678">
        <w:rPr>
          <w:bCs/>
        </w:rPr>
        <w:t xml:space="preserve"> derived by dividing the IOU</w:t>
      </w:r>
      <w:r w:rsidR="00E93A5D" w:rsidRPr="007B0678">
        <w:rPr>
          <w:bCs/>
        </w:rPr>
        <w:t>s</w:t>
      </w:r>
      <w:r w:rsidR="002C7AE0" w:rsidRPr="007B0678">
        <w:rPr>
          <w:bCs/>
        </w:rPr>
        <w:t>’</w:t>
      </w:r>
      <w:r w:rsidRPr="007B0678">
        <w:rPr>
          <w:bCs/>
        </w:rPr>
        <w:t xml:space="preserve"> </w:t>
      </w:r>
      <w:r w:rsidR="00841E76" w:rsidRPr="007B0678">
        <w:rPr>
          <w:bCs/>
        </w:rPr>
        <w:t>authorized resource program</w:t>
      </w:r>
      <w:r w:rsidRPr="007B0678">
        <w:rPr>
          <w:bCs/>
        </w:rPr>
        <w:t xml:space="preserve"> budget</w:t>
      </w:r>
      <w:r w:rsidR="0074226F">
        <w:rPr>
          <w:bCs/>
        </w:rPr>
        <w:t>s</w:t>
      </w:r>
      <w:r w:rsidRPr="007B0678">
        <w:rPr>
          <w:bCs/>
        </w:rPr>
        <w:t xml:space="preserve"> by the</w:t>
      </w:r>
      <w:r w:rsidR="0074226F">
        <w:rPr>
          <w:bCs/>
        </w:rPr>
        <w:t>ir</w:t>
      </w:r>
      <w:r w:rsidRPr="007B0678">
        <w:rPr>
          <w:bCs/>
        </w:rPr>
        <w:t xml:space="preserve"> Net Lifecycle Goal</w:t>
      </w:r>
      <w:r w:rsidR="00841E76" w:rsidRPr="007B0678">
        <w:rPr>
          <w:bCs/>
        </w:rPr>
        <w:t>s</w:t>
      </w:r>
      <w:r w:rsidR="00841E76" w:rsidRPr="007B0678">
        <w:rPr>
          <w:rStyle w:val="FootnoteReference"/>
          <w:bCs/>
        </w:rPr>
        <w:footnoteReference w:id="14"/>
      </w:r>
      <w:r w:rsidRPr="007B0678">
        <w:rPr>
          <w:bCs/>
        </w:rPr>
        <w:t xml:space="preserve"> </w:t>
      </w:r>
      <w:r w:rsidR="00C116A2" w:rsidRPr="007B0678">
        <w:rPr>
          <w:bCs/>
        </w:rPr>
        <w:t xml:space="preserve">and </w:t>
      </w:r>
      <w:r w:rsidR="0074226F">
        <w:rPr>
          <w:bCs/>
        </w:rPr>
        <w:t>are</w:t>
      </w:r>
      <w:r w:rsidR="00C116A2" w:rsidRPr="007B0678">
        <w:rPr>
          <w:bCs/>
        </w:rPr>
        <w:t xml:space="preserve"> submitted </w:t>
      </w:r>
      <w:r w:rsidR="00F0525E" w:rsidRPr="007B0678">
        <w:rPr>
          <w:bCs/>
        </w:rPr>
        <w:t>by the IOUs for Commission approval in a Tier 1 Advice Letter earlier in the annual process</w:t>
      </w:r>
      <w:r w:rsidRPr="007B0678">
        <w:rPr>
          <w:bCs/>
        </w:rPr>
        <w:t>.</w:t>
      </w:r>
      <w:r w:rsidR="00841E76" w:rsidRPr="007B0678">
        <w:rPr>
          <w:bCs/>
        </w:rPr>
        <w:t xml:space="preserve"> </w:t>
      </w:r>
    </w:p>
    <w:p w14:paraId="021DBB71" w14:textId="77777777" w:rsidR="00603289" w:rsidRPr="00AC71AC" w:rsidRDefault="00AC71AC" w:rsidP="008E7BDB">
      <w:pPr>
        <w:jc w:val="both"/>
        <w:rPr>
          <w:bCs/>
        </w:rPr>
      </w:pPr>
      <w:r w:rsidRPr="00AC71AC">
        <w:rPr>
          <w:bCs/>
        </w:rPr>
        <w:t>Once savings are finalized and approved</w:t>
      </w:r>
      <w:r>
        <w:rPr>
          <w:bCs/>
        </w:rPr>
        <w:t xml:space="preserve"> in the Performance Statement Report</w:t>
      </w:r>
      <w:r w:rsidRPr="00AC71AC">
        <w:rPr>
          <w:bCs/>
        </w:rPr>
        <w:t>, they are</w:t>
      </w:r>
      <w:r w:rsidR="00841E76" w:rsidRPr="00AC71AC">
        <w:rPr>
          <w:bCs/>
        </w:rPr>
        <w:t xml:space="preserve"> multiplied by th</w:t>
      </w:r>
      <w:r>
        <w:rPr>
          <w:bCs/>
        </w:rPr>
        <w:t>e Earning</w:t>
      </w:r>
      <w:r w:rsidR="0074226F">
        <w:rPr>
          <w:bCs/>
        </w:rPr>
        <w:t>s</w:t>
      </w:r>
      <w:r>
        <w:rPr>
          <w:bCs/>
        </w:rPr>
        <w:t xml:space="preserve"> C</w:t>
      </w:r>
      <w:r w:rsidR="00841E76" w:rsidRPr="00AC71AC">
        <w:rPr>
          <w:bCs/>
        </w:rPr>
        <w:t>oefficient</w:t>
      </w:r>
      <w:r>
        <w:rPr>
          <w:bCs/>
        </w:rPr>
        <w:t>s</w:t>
      </w:r>
      <w:r w:rsidR="00841E76" w:rsidRPr="00AC71AC">
        <w:rPr>
          <w:bCs/>
        </w:rPr>
        <w:t xml:space="preserve"> to determine the </w:t>
      </w:r>
      <w:r w:rsidR="00DC7ACC">
        <w:rPr>
          <w:bCs/>
        </w:rPr>
        <w:t>r</w:t>
      </w:r>
      <w:r w:rsidR="00841E76" w:rsidRPr="00AC71AC">
        <w:rPr>
          <w:bCs/>
        </w:rPr>
        <w:t>esource savings</w:t>
      </w:r>
      <w:r>
        <w:rPr>
          <w:bCs/>
        </w:rPr>
        <w:t xml:space="preserve"> award component</w:t>
      </w:r>
      <w:r w:rsidR="00841E76" w:rsidRPr="00AC71AC">
        <w:rPr>
          <w:bCs/>
        </w:rPr>
        <w:t>.</w:t>
      </w:r>
      <w:r>
        <w:rPr>
          <w:bCs/>
        </w:rPr>
        <w:t xml:space="preserve"> </w:t>
      </w:r>
      <w:r w:rsidR="00CB73CB">
        <w:rPr>
          <w:bCs/>
        </w:rPr>
        <w:t>Earning</w:t>
      </w:r>
      <w:r w:rsidR="0074226F">
        <w:rPr>
          <w:bCs/>
        </w:rPr>
        <w:t>s</w:t>
      </w:r>
      <w:r w:rsidR="00CB73CB">
        <w:rPr>
          <w:bCs/>
        </w:rPr>
        <w:t xml:space="preserve"> Coefficient</w:t>
      </w:r>
      <w:r w:rsidR="0074226F">
        <w:rPr>
          <w:bCs/>
        </w:rPr>
        <w:t>s</w:t>
      </w:r>
      <w:r w:rsidR="00CB73CB">
        <w:rPr>
          <w:bCs/>
        </w:rPr>
        <w:t xml:space="preserve"> only affect the </w:t>
      </w:r>
      <w:r w:rsidR="00AB65B3">
        <w:rPr>
          <w:bCs/>
        </w:rPr>
        <w:t>r</w:t>
      </w:r>
      <w:r w:rsidR="00CB73CB">
        <w:rPr>
          <w:bCs/>
        </w:rPr>
        <w:t xml:space="preserve">esource </w:t>
      </w:r>
      <w:r w:rsidR="00DC7ACC">
        <w:rPr>
          <w:bCs/>
        </w:rPr>
        <w:t>savings</w:t>
      </w:r>
      <w:r w:rsidR="00CB73CB">
        <w:rPr>
          <w:bCs/>
        </w:rPr>
        <w:t xml:space="preserve"> award component.</w:t>
      </w:r>
    </w:p>
    <w:p w14:paraId="49AC94D3" w14:textId="77777777" w:rsidR="0071760C" w:rsidRDefault="0086263D" w:rsidP="008E7BDB">
      <w:pPr>
        <w:jc w:val="both"/>
        <w:rPr>
          <w:bCs/>
        </w:rPr>
      </w:pPr>
      <w:r>
        <w:rPr>
          <w:bCs/>
        </w:rPr>
        <w:t xml:space="preserve">The </w:t>
      </w:r>
      <w:r w:rsidR="009A0008">
        <w:rPr>
          <w:bCs/>
        </w:rPr>
        <w:t>E</w:t>
      </w:r>
      <w:r>
        <w:rPr>
          <w:bCs/>
        </w:rPr>
        <w:t>arning</w:t>
      </w:r>
      <w:r w:rsidR="0074226F">
        <w:rPr>
          <w:bCs/>
        </w:rPr>
        <w:t>s</w:t>
      </w:r>
      <w:r>
        <w:rPr>
          <w:bCs/>
        </w:rPr>
        <w:t xml:space="preserve"> </w:t>
      </w:r>
      <w:r w:rsidR="009A0008">
        <w:rPr>
          <w:bCs/>
        </w:rPr>
        <w:t>C</w:t>
      </w:r>
      <w:r>
        <w:rPr>
          <w:bCs/>
        </w:rPr>
        <w:t xml:space="preserve">oefficients for </w:t>
      </w:r>
      <w:r w:rsidR="0074226F">
        <w:rPr>
          <w:bCs/>
        </w:rPr>
        <w:t>PY</w:t>
      </w:r>
      <w:r>
        <w:rPr>
          <w:bCs/>
        </w:rPr>
        <w:t xml:space="preserve"> 2016 (used to calculate the 2016 ex-post </w:t>
      </w:r>
      <w:r w:rsidR="0074226F">
        <w:rPr>
          <w:bCs/>
        </w:rPr>
        <w:t>Resource</w:t>
      </w:r>
      <w:r>
        <w:rPr>
          <w:bCs/>
        </w:rPr>
        <w:t xml:space="preserve"> savings award) were </w:t>
      </w:r>
      <w:r w:rsidR="000377DD">
        <w:rPr>
          <w:bCs/>
        </w:rPr>
        <w:t>finalized</w:t>
      </w:r>
      <w:r>
        <w:rPr>
          <w:bCs/>
        </w:rPr>
        <w:t xml:space="preserve"> in 2017 via approval of a joint Tier 1 Advice Letter filed by the California IOUs.</w:t>
      </w:r>
      <w:bookmarkStart w:id="15" w:name="_Ref32157"/>
      <w:r>
        <w:rPr>
          <w:rStyle w:val="FootnoteReference"/>
          <w:bCs/>
        </w:rPr>
        <w:footnoteReference w:id="15"/>
      </w:r>
      <w:bookmarkEnd w:id="15"/>
      <w:r>
        <w:rPr>
          <w:bCs/>
        </w:rPr>
        <w:t xml:space="preserve"> </w:t>
      </w:r>
      <w:r w:rsidR="00F66C6B" w:rsidRPr="00F66C6B">
        <w:rPr>
          <w:bCs/>
        </w:rPr>
        <w:t xml:space="preserve">The </w:t>
      </w:r>
      <w:r w:rsidR="000377DD">
        <w:rPr>
          <w:bCs/>
        </w:rPr>
        <w:t>E</w:t>
      </w:r>
      <w:r w:rsidR="00F66C6B" w:rsidRPr="00F66C6B">
        <w:rPr>
          <w:bCs/>
        </w:rPr>
        <w:t xml:space="preserve">arnings </w:t>
      </w:r>
      <w:r w:rsidR="000377DD">
        <w:rPr>
          <w:bCs/>
        </w:rPr>
        <w:t>C</w:t>
      </w:r>
      <w:r w:rsidR="00F66C6B">
        <w:rPr>
          <w:bCs/>
        </w:rPr>
        <w:t xml:space="preserve">oefficients </w:t>
      </w:r>
      <w:r w:rsidR="00F66C6B" w:rsidRPr="00F66C6B">
        <w:rPr>
          <w:bCs/>
        </w:rPr>
        <w:t xml:space="preserve">for </w:t>
      </w:r>
      <w:r w:rsidR="0074226F">
        <w:rPr>
          <w:bCs/>
        </w:rPr>
        <w:t>PY</w:t>
      </w:r>
      <w:r w:rsidR="00F66C6B" w:rsidRPr="00F66C6B">
        <w:rPr>
          <w:bCs/>
        </w:rPr>
        <w:t xml:space="preserve"> 2017 were </w:t>
      </w:r>
      <w:r w:rsidR="000377DD">
        <w:rPr>
          <w:bCs/>
        </w:rPr>
        <w:t>finalized</w:t>
      </w:r>
      <w:r w:rsidR="00F66C6B" w:rsidRPr="00F66C6B">
        <w:rPr>
          <w:bCs/>
        </w:rPr>
        <w:t xml:space="preserve"> in 2018 via approval of a</w:t>
      </w:r>
      <w:r w:rsidR="00EF582A">
        <w:rPr>
          <w:bCs/>
        </w:rPr>
        <w:t xml:space="preserve"> similar</w:t>
      </w:r>
      <w:r w:rsidR="00F66C6B" w:rsidRPr="00F66C6B">
        <w:rPr>
          <w:bCs/>
        </w:rPr>
        <w:t xml:space="preserve"> joint Tier 1 Advice Letter.</w:t>
      </w:r>
      <w:bookmarkStart w:id="16" w:name="_Ref32405"/>
      <w:r w:rsidR="00F66C6B" w:rsidRPr="00F66C6B">
        <w:rPr>
          <w:bCs/>
          <w:vertAlign w:val="superscript"/>
        </w:rPr>
        <w:footnoteReference w:id="16"/>
      </w:r>
      <w:bookmarkEnd w:id="16"/>
      <w:r w:rsidR="00F66C6B">
        <w:rPr>
          <w:bCs/>
        </w:rPr>
        <w:t xml:space="preserve"> </w:t>
      </w:r>
      <w:bookmarkStart w:id="17" w:name="_Hlk276038"/>
      <w:bookmarkStart w:id="18" w:name="_Toc130835"/>
    </w:p>
    <w:p w14:paraId="7CD63406" w14:textId="77777777" w:rsidR="00FC1103" w:rsidRPr="0071760C" w:rsidRDefault="00DC7C54" w:rsidP="008E7BDB">
      <w:pPr>
        <w:jc w:val="both"/>
        <w:rPr>
          <w:bCs/>
        </w:rPr>
      </w:pPr>
      <w:r w:rsidRPr="00F3328F">
        <w:t>In their Earning</w:t>
      </w:r>
      <w:r w:rsidR="0074226F" w:rsidRPr="00F3328F">
        <w:t>s</w:t>
      </w:r>
      <w:r w:rsidRPr="00F3328F">
        <w:t xml:space="preserve"> Coefficient Advice Letters, </w:t>
      </w:r>
      <w:bookmarkStart w:id="19" w:name="_Hlk1749606"/>
      <w:r w:rsidR="00FB532D" w:rsidRPr="00F3328F">
        <w:t>PG&amp;E and SDG&amp;E</w:t>
      </w:r>
      <w:r w:rsidR="00F037AB" w:rsidRPr="00F3328F">
        <w:t xml:space="preserve"> used the original program categories as approved in their Annual Budget Advice Letters while </w:t>
      </w:r>
      <w:r w:rsidR="00FB532D" w:rsidRPr="00F3328F">
        <w:t xml:space="preserve">SCE and SoCalGas </w:t>
      </w:r>
      <w:r w:rsidR="00F037AB" w:rsidRPr="00F3328F">
        <w:t>used their revised program categories as the programs changed during</w:t>
      </w:r>
      <w:r w:rsidR="0071760C" w:rsidRPr="00F3328F">
        <w:t xml:space="preserve"> </w:t>
      </w:r>
      <w:r w:rsidR="00F037AB" w:rsidRPr="00F3328F">
        <w:t>implementation</w:t>
      </w:r>
      <w:bookmarkEnd w:id="19"/>
      <w:r w:rsidR="00F037AB" w:rsidRPr="00F3328F">
        <w:t>.</w:t>
      </w:r>
      <w:r w:rsidR="000E5820" w:rsidRPr="00F3328F">
        <w:rPr>
          <w:rStyle w:val="FootnoteReference"/>
        </w:rPr>
        <w:footnoteReference w:id="17"/>
      </w:r>
      <w:r w:rsidR="000E5820" w:rsidRPr="00F3328F">
        <w:rPr>
          <w:vertAlign w:val="superscript"/>
        </w:rPr>
        <w:t>,</w:t>
      </w:r>
      <w:r w:rsidR="00585A25" w:rsidRPr="00F3328F">
        <w:rPr>
          <w:rStyle w:val="FootnoteReference"/>
        </w:rPr>
        <w:footnoteReference w:id="18"/>
      </w:r>
      <w:r w:rsidR="00F037AB" w:rsidRPr="00F3328F">
        <w:t xml:space="preserve"> </w:t>
      </w:r>
      <w:bookmarkEnd w:id="17"/>
      <w:r w:rsidRPr="00F3328F">
        <w:t>The ESPI Advice Letters also included new programs that were not</w:t>
      </w:r>
      <w:r>
        <w:t xml:space="preserve"> </w:t>
      </w:r>
      <w:r>
        <w:lastRenderedPageBreak/>
        <w:t>in the Annual Budget Advice Letters.</w:t>
      </w:r>
      <w:r w:rsidR="00B4605D">
        <w:t xml:space="preserve"> </w:t>
      </w:r>
      <w:r w:rsidR="004359B0">
        <w:t>Energy Division</w:t>
      </w:r>
      <w:r w:rsidR="00D5627D">
        <w:t xml:space="preserve"> </w:t>
      </w:r>
      <w:r w:rsidR="001324A4">
        <w:t>S</w:t>
      </w:r>
      <w:r w:rsidR="00D5627D">
        <w:t>taff will work with the Assigned Commissioner Office and Assigned Administrative Law Judge to determine how</w:t>
      </w:r>
      <w:r w:rsidR="00FC1103" w:rsidRPr="00D24CF9">
        <w:rPr>
          <w:b/>
        </w:rPr>
        <w:t xml:space="preserve"> </w:t>
      </w:r>
      <w:r w:rsidR="00FC1103" w:rsidRPr="000A49D0">
        <w:t>to clarify which program categories should be used by IOUs</w:t>
      </w:r>
      <w:r w:rsidR="00F037AB" w:rsidRPr="000A49D0">
        <w:t xml:space="preserve"> </w:t>
      </w:r>
      <w:r w:rsidR="00FC1103" w:rsidRPr="000A49D0">
        <w:t>to compute annual Earnings Coefficients</w:t>
      </w:r>
      <w:r w:rsidR="0074226F" w:rsidRPr="000A49D0">
        <w:t>,</w:t>
      </w:r>
      <w:r w:rsidR="00FC1103" w:rsidRPr="000A49D0">
        <w:t xml:space="preserve"> considering recent changes to fund-shifting rules that do</w:t>
      </w:r>
      <w:r w:rsidR="00F46754" w:rsidRPr="000A49D0">
        <w:t xml:space="preserve"> </w:t>
      </w:r>
      <w:r w:rsidR="00FC1103" w:rsidRPr="000A49D0">
        <w:t>n</w:t>
      </w:r>
      <w:r w:rsidR="00F46754" w:rsidRPr="000A49D0">
        <w:t>o</w:t>
      </w:r>
      <w:r w:rsidR="00FC1103" w:rsidRPr="000A49D0">
        <w:t xml:space="preserve">t require IOUs to seek approval for moving budgets </w:t>
      </w:r>
      <w:r w:rsidR="002F7184" w:rsidRPr="000A49D0">
        <w:t>among</w:t>
      </w:r>
      <w:r w:rsidR="00FC1103" w:rsidRPr="000A49D0">
        <w:t xml:space="preserve"> programs.</w:t>
      </w:r>
      <w:bookmarkEnd w:id="18"/>
      <w:r w:rsidR="00BD16ED" w:rsidRPr="000A49D0">
        <w:rPr>
          <w:rStyle w:val="FootnoteReference"/>
        </w:rPr>
        <w:footnoteReference w:id="19"/>
      </w:r>
    </w:p>
    <w:p w14:paraId="4096C510" w14:textId="77777777" w:rsidR="002F7184" w:rsidRDefault="002F7184" w:rsidP="008E7BDB">
      <w:pPr>
        <w:pStyle w:val="Heading6"/>
        <w:jc w:val="both"/>
      </w:pPr>
      <w:bookmarkStart w:id="22" w:name="_Toc130836"/>
      <w:r>
        <w:t xml:space="preserve">Resource Programs with </w:t>
      </w:r>
      <w:r w:rsidR="003F0590">
        <w:t>No</w:t>
      </w:r>
      <w:r w:rsidR="004359B0">
        <w:t xml:space="preserve"> Reported</w:t>
      </w:r>
      <w:r>
        <w:t xml:space="preserve"> Savings</w:t>
      </w:r>
    </w:p>
    <w:p w14:paraId="7312CC74" w14:textId="77777777" w:rsidR="006274B4" w:rsidRDefault="00575045" w:rsidP="004D0ED4">
      <w:pPr>
        <w:jc w:val="both"/>
      </w:pPr>
      <w:r w:rsidRPr="00D503DB">
        <w:t xml:space="preserve">Finance Programs are categorized as </w:t>
      </w:r>
      <w:r w:rsidR="00AB65B3">
        <w:t>r</w:t>
      </w:r>
      <w:r w:rsidRPr="00D503DB">
        <w:t xml:space="preserve">esource </w:t>
      </w:r>
      <w:r w:rsidR="00AB65B3">
        <w:t>p</w:t>
      </w:r>
      <w:r w:rsidRPr="00D503DB">
        <w:t>rograms per D.13-09-023. The</w:t>
      </w:r>
      <w:r w:rsidR="0059647A">
        <w:t xml:space="preserve"> collective </w:t>
      </w:r>
      <w:r w:rsidR="00E728C5">
        <w:t xml:space="preserve">IOU </w:t>
      </w:r>
      <w:r w:rsidR="0059647A">
        <w:t xml:space="preserve">budget of </w:t>
      </w:r>
      <w:r w:rsidR="00E728C5">
        <w:t>Finance</w:t>
      </w:r>
      <w:r w:rsidR="0059647A">
        <w:t xml:space="preserve"> programs in 2017 was </w:t>
      </w:r>
      <w:r w:rsidR="00E728C5">
        <w:t xml:space="preserve">almost $13 million, </w:t>
      </w:r>
      <w:r w:rsidRPr="00D503DB">
        <w:t xml:space="preserve">but </w:t>
      </w:r>
      <w:r w:rsidR="00E728C5">
        <w:t xml:space="preserve">they </w:t>
      </w:r>
      <w:r w:rsidRPr="00D503DB">
        <w:t xml:space="preserve">have </w:t>
      </w:r>
      <w:r w:rsidR="00D24CF9">
        <w:t>reported</w:t>
      </w:r>
      <w:r w:rsidR="00D24CF9" w:rsidRPr="00D503DB">
        <w:t xml:space="preserve"> </w:t>
      </w:r>
      <w:r w:rsidR="003F0590">
        <w:t>no</w:t>
      </w:r>
      <w:r w:rsidRPr="00D503DB">
        <w:t xml:space="preserve"> savings</w:t>
      </w:r>
      <w:r w:rsidR="00434EAC" w:rsidRPr="00434EAC">
        <w:t xml:space="preserve"> since the first program was approved in 2006</w:t>
      </w:r>
      <w:r w:rsidRPr="00D503DB">
        <w:t xml:space="preserve">. </w:t>
      </w:r>
      <w:bookmarkEnd w:id="22"/>
      <w:r w:rsidR="00081E92">
        <w:t xml:space="preserve">There were at least five </w:t>
      </w:r>
      <w:r w:rsidR="00081E92" w:rsidRPr="008E7BDB">
        <w:rPr>
          <w:spacing w:val="-2"/>
        </w:rPr>
        <w:t xml:space="preserve">approved </w:t>
      </w:r>
      <w:r w:rsidR="00AB65B3" w:rsidRPr="008E7BDB">
        <w:rPr>
          <w:spacing w:val="-2"/>
        </w:rPr>
        <w:t>r</w:t>
      </w:r>
      <w:r w:rsidR="00081E92" w:rsidRPr="008E7BDB">
        <w:rPr>
          <w:spacing w:val="-2"/>
        </w:rPr>
        <w:t xml:space="preserve">esource programs in 2017 that also reported </w:t>
      </w:r>
      <w:r w:rsidR="003F0590" w:rsidRPr="008E7BDB">
        <w:rPr>
          <w:spacing w:val="-2"/>
        </w:rPr>
        <w:t>no</w:t>
      </w:r>
      <w:r w:rsidR="00081E92" w:rsidRPr="008E7BDB">
        <w:rPr>
          <w:spacing w:val="-2"/>
        </w:rPr>
        <w:t xml:space="preserve"> expenditures</w:t>
      </w:r>
      <w:r w:rsidR="006274B4" w:rsidRPr="008E7BDB">
        <w:rPr>
          <w:spacing w:val="-2"/>
        </w:rPr>
        <w:t>, shown in Table 6</w:t>
      </w:r>
      <w:r w:rsidR="00734BAE" w:rsidRPr="008E7BDB">
        <w:rPr>
          <w:spacing w:val="-2"/>
        </w:rPr>
        <w:t>.</w:t>
      </w:r>
      <w:r w:rsidR="00734BAE">
        <w:t xml:space="preserve"> </w:t>
      </w:r>
    </w:p>
    <w:tbl>
      <w:tblPr>
        <w:tblW w:w="9350" w:type="dxa"/>
        <w:jc w:val="center"/>
        <w:tblCellMar>
          <w:left w:w="0" w:type="dxa"/>
          <w:right w:w="0" w:type="dxa"/>
        </w:tblCellMar>
        <w:tblLook w:val="04A0" w:firstRow="1" w:lastRow="0" w:firstColumn="1" w:lastColumn="0" w:noHBand="0" w:noVBand="1"/>
      </w:tblPr>
      <w:tblGrid>
        <w:gridCol w:w="2040"/>
        <w:gridCol w:w="5690"/>
        <w:gridCol w:w="1620"/>
      </w:tblGrid>
      <w:tr w:rsidR="00A52B69" w14:paraId="63D78144" w14:textId="77777777">
        <w:trPr>
          <w:trHeight w:val="263"/>
          <w:jc w:val="center"/>
        </w:trPr>
        <w:tc>
          <w:tcPr>
            <w:tcW w:w="9350" w:type="dxa"/>
            <w:gridSpan w:val="3"/>
            <w:tcBorders>
              <w:bottom w:val="single" w:sz="4" w:space="0" w:color="auto"/>
            </w:tcBorders>
            <w:noWrap/>
            <w:tcMar>
              <w:top w:w="0" w:type="dxa"/>
              <w:left w:w="108" w:type="dxa"/>
              <w:bottom w:w="0" w:type="dxa"/>
              <w:right w:w="108" w:type="dxa"/>
            </w:tcMar>
            <w:vAlign w:val="bottom"/>
          </w:tcPr>
          <w:p w14:paraId="333A6F95" w14:textId="77777777" w:rsidR="0077453B" w:rsidRPr="003644D0" w:rsidRDefault="0077453B" w:rsidP="00B47FF2">
            <w:pPr>
              <w:spacing w:before="0" w:after="0"/>
              <w:jc w:val="center"/>
              <w:rPr>
                <w:rFonts w:eastAsia="Calibri" w:cs="Calibri"/>
                <w:b/>
                <w:bCs/>
                <w:color w:val="000000"/>
              </w:rPr>
            </w:pPr>
            <w:r w:rsidRPr="00C966CB">
              <w:rPr>
                <w:bCs/>
              </w:rPr>
              <w:t>Table</w:t>
            </w:r>
            <w:r>
              <w:rPr>
                <w:bCs/>
              </w:rPr>
              <w:t xml:space="preserve"> 6: Resource Programs Without Reported Expenditures or Savings</w:t>
            </w:r>
          </w:p>
        </w:tc>
      </w:tr>
      <w:tr w:rsidR="00A52B69" w14:paraId="4DABBEA4" w14:textId="77777777">
        <w:trPr>
          <w:trHeight w:val="263"/>
          <w:jc w:val="center"/>
        </w:trPr>
        <w:tc>
          <w:tcPr>
            <w:tcW w:w="2040" w:type="dxa"/>
            <w:tcBorders>
              <w:top w:val="single" w:sz="4" w:space="0" w:color="auto"/>
              <w:left w:val="single" w:sz="8" w:space="0" w:color="auto"/>
              <w:bottom w:val="nil"/>
              <w:right w:val="single" w:sz="4" w:space="0" w:color="auto"/>
            </w:tcBorders>
            <w:noWrap/>
            <w:tcMar>
              <w:top w:w="0" w:type="dxa"/>
              <w:left w:w="108" w:type="dxa"/>
              <w:bottom w:w="0" w:type="dxa"/>
              <w:right w:w="108" w:type="dxa"/>
            </w:tcMar>
            <w:vAlign w:val="bottom"/>
            <w:hideMark/>
          </w:tcPr>
          <w:p w14:paraId="5D86FB3F" w14:textId="77777777" w:rsidR="00081E92" w:rsidRPr="003644D0" w:rsidRDefault="00081E92" w:rsidP="00B47FF2">
            <w:pPr>
              <w:spacing w:before="0" w:after="0"/>
              <w:jc w:val="center"/>
              <w:rPr>
                <w:rFonts w:eastAsia="Calibri" w:cs="Calibri"/>
                <w:b/>
                <w:bCs/>
                <w:color w:val="000000"/>
              </w:rPr>
            </w:pPr>
            <w:r w:rsidRPr="003644D0">
              <w:rPr>
                <w:rFonts w:eastAsia="Calibri" w:cs="Calibri"/>
                <w:b/>
                <w:bCs/>
                <w:color w:val="000000"/>
              </w:rPr>
              <w:t>ProgramID</w:t>
            </w:r>
          </w:p>
        </w:tc>
        <w:tc>
          <w:tcPr>
            <w:tcW w:w="56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E618F28" w14:textId="77777777" w:rsidR="00081E92" w:rsidRPr="003644D0" w:rsidRDefault="00081E92" w:rsidP="00B47FF2">
            <w:pPr>
              <w:spacing w:before="0" w:after="0"/>
              <w:jc w:val="center"/>
              <w:rPr>
                <w:rFonts w:eastAsia="Calibri" w:cs="Calibri"/>
                <w:b/>
                <w:bCs/>
                <w:color w:val="000000"/>
              </w:rPr>
            </w:pPr>
            <w:r w:rsidRPr="003644D0">
              <w:rPr>
                <w:rFonts w:eastAsia="Calibri" w:cs="Calibri"/>
                <w:b/>
                <w:bCs/>
                <w:color w:val="000000"/>
              </w:rPr>
              <w:t>Program Name</w:t>
            </w:r>
          </w:p>
        </w:tc>
        <w:tc>
          <w:tcPr>
            <w:tcW w:w="1620" w:type="dxa"/>
            <w:tcBorders>
              <w:top w:val="single" w:sz="4" w:space="0" w:color="auto"/>
              <w:left w:val="single" w:sz="4" w:space="0" w:color="auto"/>
              <w:bottom w:val="nil"/>
              <w:right w:val="single" w:sz="8" w:space="0" w:color="auto"/>
            </w:tcBorders>
            <w:noWrap/>
            <w:tcMar>
              <w:top w:w="0" w:type="dxa"/>
              <w:left w:w="108" w:type="dxa"/>
              <w:bottom w:w="0" w:type="dxa"/>
              <w:right w:w="108" w:type="dxa"/>
            </w:tcMar>
            <w:vAlign w:val="bottom"/>
            <w:hideMark/>
          </w:tcPr>
          <w:p w14:paraId="1FBDC142" w14:textId="77777777" w:rsidR="00081E92" w:rsidRPr="003644D0" w:rsidRDefault="00081E92" w:rsidP="00B47FF2">
            <w:pPr>
              <w:spacing w:before="0" w:after="0"/>
              <w:jc w:val="center"/>
              <w:rPr>
                <w:rFonts w:eastAsia="Calibri" w:cs="Calibri"/>
                <w:b/>
                <w:bCs/>
                <w:color w:val="000000"/>
              </w:rPr>
            </w:pPr>
            <w:r w:rsidRPr="003644D0">
              <w:rPr>
                <w:rFonts w:eastAsia="Calibri" w:cs="Calibri"/>
                <w:b/>
                <w:bCs/>
                <w:color w:val="000000"/>
              </w:rPr>
              <w:t>2017 Budget</w:t>
            </w:r>
          </w:p>
        </w:tc>
      </w:tr>
      <w:tr w:rsidR="00A52B69" w14:paraId="4D0FB795" w14:textId="77777777">
        <w:trPr>
          <w:trHeight w:val="281"/>
          <w:jc w:val="center"/>
        </w:trPr>
        <w:tc>
          <w:tcPr>
            <w:tcW w:w="20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BD8639" w14:textId="77777777" w:rsidR="00081E92" w:rsidRPr="003644D0" w:rsidRDefault="00081E92" w:rsidP="00B47FF2">
            <w:pPr>
              <w:spacing w:before="0" w:after="0"/>
              <w:rPr>
                <w:rFonts w:eastAsia="Calibri" w:cs="Calibri"/>
              </w:rPr>
            </w:pPr>
            <w:r w:rsidRPr="003644D0">
              <w:rPr>
                <w:rFonts w:eastAsia="Calibri" w:cs="Calibri"/>
              </w:rPr>
              <w:t>SCE-13-L-002C</w:t>
            </w:r>
          </w:p>
        </w:tc>
        <w:tc>
          <w:tcPr>
            <w:tcW w:w="5690" w:type="dxa"/>
            <w:tcBorders>
              <w:top w:val="single" w:sz="4" w:space="0" w:color="auto"/>
              <w:left w:val="nil"/>
              <w:bottom w:val="single" w:sz="8" w:space="0" w:color="auto"/>
              <w:right w:val="nil"/>
            </w:tcBorders>
            <w:shd w:val="clear" w:color="auto" w:fill="FFFFFF"/>
            <w:noWrap/>
            <w:tcMar>
              <w:top w:w="0" w:type="dxa"/>
              <w:left w:w="108" w:type="dxa"/>
              <w:bottom w:w="0" w:type="dxa"/>
              <w:right w:w="108" w:type="dxa"/>
            </w:tcMar>
            <w:vAlign w:val="bottom"/>
            <w:hideMark/>
          </w:tcPr>
          <w:p w14:paraId="11D32116" w14:textId="77777777" w:rsidR="00081E92" w:rsidRPr="003644D0" w:rsidRDefault="00081E92" w:rsidP="00B47FF2">
            <w:pPr>
              <w:spacing w:before="0" w:after="0"/>
              <w:rPr>
                <w:rFonts w:eastAsia="Calibri" w:cs="Calibri"/>
              </w:rPr>
            </w:pPr>
            <w:r w:rsidRPr="003644D0">
              <w:rPr>
                <w:rFonts w:eastAsia="Calibri" w:cs="Calibri"/>
              </w:rPr>
              <w:t>City of Redlands Energy Leader Partnership</w:t>
            </w:r>
          </w:p>
        </w:tc>
        <w:tc>
          <w:tcPr>
            <w:tcW w:w="16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A8FD71" w14:textId="77777777" w:rsidR="00081E92" w:rsidRPr="003644D0" w:rsidRDefault="00081E92" w:rsidP="00B47FF2">
            <w:pPr>
              <w:spacing w:before="0" w:after="0"/>
              <w:jc w:val="center"/>
              <w:rPr>
                <w:rFonts w:eastAsia="Calibri" w:cs="Calibri"/>
              </w:rPr>
            </w:pPr>
            <w:r w:rsidRPr="003644D0">
              <w:rPr>
                <w:rFonts w:eastAsia="Calibri" w:cs="Calibri"/>
              </w:rPr>
              <w:t>$221,128</w:t>
            </w:r>
          </w:p>
        </w:tc>
      </w:tr>
      <w:tr w:rsidR="00A52B69" w14:paraId="644945D3" w14:textId="77777777">
        <w:trPr>
          <w:trHeight w:val="281"/>
          <w:jc w:val="center"/>
        </w:trPr>
        <w:tc>
          <w:tcPr>
            <w:tcW w:w="20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02BFBE" w14:textId="77777777" w:rsidR="00081E92" w:rsidRPr="003644D0" w:rsidRDefault="00081E92" w:rsidP="00B47FF2">
            <w:pPr>
              <w:spacing w:before="0" w:after="0"/>
              <w:rPr>
                <w:rFonts w:eastAsia="Calibri" w:cs="Calibri"/>
              </w:rPr>
            </w:pPr>
            <w:r w:rsidRPr="003644D0">
              <w:rPr>
                <w:rFonts w:eastAsia="Calibri" w:cs="Calibri"/>
              </w:rPr>
              <w:t>SCE-13-L-002D</w:t>
            </w:r>
          </w:p>
        </w:tc>
        <w:tc>
          <w:tcPr>
            <w:tcW w:w="5690"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14:paraId="5782DC73" w14:textId="77777777" w:rsidR="00081E92" w:rsidRPr="003644D0" w:rsidRDefault="00081E92" w:rsidP="00B47FF2">
            <w:pPr>
              <w:spacing w:before="0" w:after="0"/>
              <w:rPr>
                <w:rFonts w:eastAsia="Calibri" w:cs="Calibri"/>
              </w:rPr>
            </w:pPr>
            <w:r w:rsidRPr="003644D0">
              <w:rPr>
                <w:rFonts w:eastAsia="Calibri" w:cs="Calibri"/>
              </w:rPr>
              <w:t>City of Santa Ana Energy Leader Partnership</w:t>
            </w:r>
          </w:p>
        </w:tc>
        <w:tc>
          <w:tcPr>
            <w:tcW w:w="1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500E81" w14:textId="77777777" w:rsidR="00081E92" w:rsidRPr="003644D0" w:rsidRDefault="00081E92" w:rsidP="00B47FF2">
            <w:pPr>
              <w:spacing w:before="0" w:after="0"/>
              <w:jc w:val="center"/>
              <w:rPr>
                <w:rFonts w:eastAsia="Calibri" w:cs="Calibri"/>
              </w:rPr>
            </w:pPr>
            <w:r w:rsidRPr="003644D0">
              <w:rPr>
                <w:rFonts w:eastAsia="Calibri" w:cs="Calibri"/>
              </w:rPr>
              <w:t>$162,159</w:t>
            </w:r>
          </w:p>
        </w:tc>
      </w:tr>
      <w:tr w:rsidR="00A52B69" w14:paraId="2EB67030" w14:textId="77777777">
        <w:trPr>
          <w:trHeight w:val="281"/>
          <w:jc w:val="center"/>
        </w:trPr>
        <w:tc>
          <w:tcPr>
            <w:tcW w:w="20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A089D1F" w14:textId="77777777" w:rsidR="00081E92" w:rsidRPr="003644D0" w:rsidRDefault="00081E92" w:rsidP="00B47FF2">
            <w:pPr>
              <w:spacing w:before="0" w:after="0"/>
              <w:rPr>
                <w:rFonts w:eastAsia="Calibri" w:cs="Calibri"/>
              </w:rPr>
            </w:pPr>
            <w:r w:rsidRPr="003644D0">
              <w:rPr>
                <w:rFonts w:eastAsia="Calibri" w:cs="Calibri"/>
              </w:rPr>
              <w:t>SDGE3215</w:t>
            </w:r>
          </w:p>
        </w:tc>
        <w:tc>
          <w:tcPr>
            <w:tcW w:w="5690"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14:paraId="6780968F" w14:textId="77777777" w:rsidR="00081E92" w:rsidRPr="003644D0" w:rsidRDefault="00081E92" w:rsidP="00B47FF2">
            <w:pPr>
              <w:spacing w:before="0" w:after="0"/>
              <w:rPr>
                <w:rFonts w:eastAsia="Calibri" w:cs="Calibri"/>
              </w:rPr>
            </w:pPr>
            <w:r w:rsidRPr="003644D0">
              <w:rPr>
                <w:rFonts w:eastAsia="Calibri" w:cs="Calibri"/>
              </w:rPr>
              <w:t>SW-COM-Strategic Energy Management</w:t>
            </w:r>
          </w:p>
        </w:tc>
        <w:tc>
          <w:tcPr>
            <w:tcW w:w="1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1CE628" w14:textId="77777777" w:rsidR="00081E92" w:rsidRPr="003644D0" w:rsidRDefault="00081E92" w:rsidP="00B47FF2">
            <w:pPr>
              <w:spacing w:before="0" w:after="0"/>
              <w:jc w:val="center"/>
              <w:rPr>
                <w:rFonts w:eastAsia="Calibri" w:cs="Calibri"/>
              </w:rPr>
            </w:pPr>
            <w:r w:rsidRPr="003644D0">
              <w:rPr>
                <w:rFonts w:eastAsia="Calibri" w:cs="Calibri"/>
              </w:rPr>
              <w:t>$275,034</w:t>
            </w:r>
          </w:p>
        </w:tc>
      </w:tr>
      <w:tr w:rsidR="00A52B69" w14:paraId="6E1C5098" w14:textId="77777777">
        <w:trPr>
          <w:trHeight w:val="281"/>
          <w:jc w:val="center"/>
        </w:trPr>
        <w:tc>
          <w:tcPr>
            <w:tcW w:w="20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7FAAB3E" w14:textId="77777777" w:rsidR="00081E92" w:rsidRPr="003644D0" w:rsidRDefault="00081E92" w:rsidP="00B47FF2">
            <w:pPr>
              <w:spacing w:before="0" w:after="0"/>
              <w:rPr>
                <w:rFonts w:eastAsia="Calibri" w:cs="Calibri"/>
              </w:rPr>
            </w:pPr>
            <w:r w:rsidRPr="003644D0">
              <w:rPr>
                <w:rFonts w:eastAsia="Calibri" w:cs="Calibri"/>
              </w:rPr>
              <w:t>SCG3810</w:t>
            </w:r>
          </w:p>
        </w:tc>
        <w:tc>
          <w:tcPr>
            <w:tcW w:w="5690"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14:paraId="56884024" w14:textId="77777777" w:rsidR="00081E92" w:rsidRPr="003644D0" w:rsidRDefault="00081E92" w:rsidP="00B47FF2">
            <w:pPr>
              <w:spacing w:before="0" w:after="0"/>
              <w:rPr>
                <w:rFonts w:eastAsia="Calibri" w:cs="Calibri"/>
              </w:rPr>
            </w:pPr>
            <w:r w:rsidRPr="003644D0">
              <w:rPr>
                <w:rFonts w:eastAsia="Calibri" w:cs="Calibri"/>
              </w:rPr>
              <w:t>RES-AB793-REMTS Program</w:t>
            </w:r>
          </w:p>
        </w:tc>
        <w:tc>
          <w:tcPr>
            <w:tcW w:w="1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4117E05" w14:textId="77777777" w:rsidR="00081E92" w:rsidRPr="003644D0" w:rsidRDefault="00081E92" w:rsidP="00B47FF2">
            <w:pPr>
              <w:spacing w:before="0" w:after="0"/>
              <w:jc w:val="center"/>
              <w:rPr>
                <w:rFonts w:eastAsia="Calibri" w:cs="Calibri"/>
              </w:rPr>
            </w:pPr>
            <w:r w:rsidRPr="003644D0">
              <w:rPr>
                <w:rFonts w:eastAsia="Calibri" w:cs="Calibri"/>
              </w:rPr>
              <w:t>$363,000</w:t>
            </w:r>
          </w:p>
        </w:tc>
      </w:tr>
      <w:tr w:rsidR="00A52B69" w14:paraId="32F84F94" w14:textId="77777777">
        <w:trPr>
          <w:trHeight w:val="290"/>
          <w:jc w:val="center"/>
        </w:trPr>
        <w:tc>
          <w:tcPr>
            <w:tcW w:w="20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4CBBB2" w14:textId="77777777" w:rsidR="00081E92" w:rsidRPr="003644D0" w:rsidRDefault="00081E92" w:rsidP="00B47FF2">
            <w:pPr>
              <w:spacing w:before="0" w:after="0"/>
              <w:rPr>
                <w:rFonts w:eastAsia="Calibri" w:cs="Calibri"/>
              </w:rPr>
            </w:pPr>
            <w:r w:rsidRPr="003644D0">
              <w:rPr>
                <w:rFonts w:eastAsia="Calibri" w:cs="Calibri"/>
              </w:rPr>
              <w:t>SCG3809</w:t>
            </w:r>
          </w:p>
        </w:tc>
        <w:tc>
          <w:tcPr>
            <w:tcW w:w="5690"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14:paraId="4DC98BD5" w14:textId="77777777" w:rsidR="00081E92" w:rsidRPr="003644D0" w:rsidRDefault="00081E92" w:rsidP="00B47FF2">
            <w:pPr>
              <w:spacing w:before="0" w:after="0"/>
              <w:rPr>
                <w:rFonts w:eastAsia="Calibri" w:cs="Calibri"/>
              </w:rPr>
            </w:pPr>
            <w:r w:rsidRPr="003644D0">
              <w:rPr>
                <w:rFonts w:eastAsia="Calibri" w:cs="Calibri"/>
              </w:rPr>
              <w:t>COM-AB793-CEMTL Program</w:t>
            </w:r>
          </w:p>
        </w:tc>
        <w:tc>
          <w:tcPr>
            <w:tcW w:w="1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0640FF" w14:textId="77777777" w:rsidR="00081E92" w:rsidRPr="003644D0" w:rsidRDefault="00081E92" w:rsidP="00B47FF2">
            <w:pPr>
              <w:spacing w:before="0" w:after="0"/>
              <w:jc w:val="center"/>
              <w:rPr>
                <w:rFonts w:eastAsia="Calibri" w:cs="Calibri"/>
              </w:rPr>
            </w:pPr>
            <w:r w:rsidRPr="003644D0">
              <w:rPr>
                <w:rFonts w:eastAsia="Calibri" w:cs="Calibri"/>
              </w:rPr>
              <w:t>$595,000</w:t>
            </w:r>
          </w:p>
        </w:tc>
      </w:tr>
    </w:tbl>
    <w:p w14:paraId="7B11AB8A" w14:textId="77777777" w:rsidR="00081E92" w:rsidRDefault="00A65DD8" w:rsidP="008E7BDB">
      <w:pPr>
        <w:jc w:val="both"/>
      </w:pPr>
      <w:r>
        <w:t>D</w:t>
      </w:r>
      <w:r w:rsidRPr="00D503DB">
        <w:t>ue to being</w:t>
      </w:r>
      <w:r>
        <w:t xml:space="preserve"> categorized as</w:t>
      </w:r>
      <w:r w:rsidRPr="00D503DB">
        <w:t xml:space="preserve"> </w:t>
      </w:r>
      <w:r w:rsidR="00AB65B3">
        <w:t>r</w:t>
      </w:r>
      <w:r w:rsidRPr="00D503DB">
        <w:t>esource programs, the budgets</w:t>
      </w:r>
      <w:r>
        <w:t xml:space="preserve"> of Finance and other </w:t>
      </w:r>
      <w:r w:rsidR="003F0590">
        <w:t>no</w:t>
      </w:r>
      <w:r>
        <w:t xml:space="preserve">-savings </w:t>
      </w:r>
      <w:r w:rsidR="00AB65B3">
        <w:t>r</w:t>
      </w:r>
      <w:r>
        <w:t>esource programs</w:t>
      </w:r>
      <w:r w:rsidRPr="00D503DB">
        <w:t xml:space="preserve"> increase the Earnings Coefficient and Award </w:t>
      </w:r>
      <w:r>
        <w:t>C</w:t>
      </w:r>
      <w:r w:rsidRPr="00D503DB">
        <w:t>aps for the IOUs.</w:t>
      </w:r>
      <w:r>
        <w:t xml:space="preserve"> Although D.13-09-023 stated that the incentives for Finance programs would be based around a uniquely designed component, the Commission has not yet designed the component.</w:t>
      </w:r>
      <w:r>
        <w:rPr>
          <w:rStyle w:val="FootnoteReference"/>
        </w:rPr>
        <w:footnoteReference w:id="20"/>
      </w:r>
      <w:r>
        <w:t xml:space="preserve"> </w:t>
      </w:r>
      <w:r w:rsidRPr="00A65DD8">
        <w:t xml:space="preserve">As such, the budgets of all </w:t>
      </w:r>
      <w:r w:rsidR="00AB65B3">
        <w:t>r</w:t>
      </w:r>
      <w:r w:rsidRPr="00A65DD8">
        <w:t>esource programs were used in the calculation of Earnings Coefficients and Award Caps this year.</w:t>
      </w:r>
      <w:r w:rsidR="00734BAE">
        <w:t xml:space="preserve"> Energy Division will continue to work with the Assigned Commissioner Office and Assigned Administrative Law Judge to understand the </w:t>
      </w:r>
      <w:r w:rsidR="007928D3">
        <w:t>cause</w:t>
      </w:r>
      <w:r w:rsidR="00734BAE">
        <w:t xml:space="preserve"> of programs reporting </w:t>
      </w:r>
      <w:r w:rsidR="003F0590">
        <w:t>no</w:t>
      </w:r>
      <w:r w:rsidR="000A49D0">
        <w:t xml:space="preserve"> </w:t>
      </w:r>
      <w:r w:rsidR="00734BAE">
        <w:t>savings and whether they deserve different treatment in the ESPI</w:t>
      </w:r>
      <w:r w:rsidR="000A49D0">
        <w:t xml:space="preserve"> mechanism</w:t>
      </w:r>
      <w:r w:rsidR="00734BAE">
        <w:t>.</w:t>
      </w:r>
    </w:p>
    <w:p w14:paraId="39D1ABBA" w14:textId="77777777" w:rsidR="004E330C" w:rsidRDefault="004E330C" w:rsidP="00AD6B15">
      <w:pPr>
        <w:pStyle w:val="Heading2"/>
      </w:pPr>
    </w:p>
    <w:p w14:paraId="6FEED7F9" w14:textId="4B87F513" w:rsidR="00FC1103" w:rsidRPr="006B49DA" w:rsidRDefault="00FC1103" w:rsidP="00AD6B15">
      <w:pPr>
        <w:pStyle w:val="Heading2"/>
      </w:pPr>
      <w:r w:rsidRPr="006B49DA">
        <w:lastRenderedPageBreak/>
        <w:t>2016 and 2017 Award Caps</w:t>
      </w:r>
    </w:p>
    <w:p w14:paraId="38E05BA0" w14:textId="77777777" w:rsidR="005E0EFC" w:rsidRPr="00F037AB" w:rsidRDefault="00D503DB" w:rsidP="006E416F">
      <w:pPr>
        <w:pStyle w:val="Heading6"/>
      </w:pPr>
      <w:r w:rsidRPr="00D503DB">
        <w:t xml:space="preserve">The IOUs are within their award caps </w:t>
      </w:r>
      <w:r w:rsidR="00A4376A">
        <w:t>in</w:t>
      </w:r>
      <w:r w:rsidRPr="00D503DB">
        <w:t xml:space="preserve"> the four different incentive categories. </w:t>
      </w:r>
    </w:p>
    <w:p w14:paraId="1227DFD2" w14:textId="77777777" w:rsidR="00CB73CB" w:rsidRDefault="001B7AA9" w:rsidP="006E416F">
      <w:pPr>
        <w:jc w:val="both"/>
      </w:pPr>
      <w:r w:rsidRPr="001B7AA9">
        <w:t xml:space="preserve">The </w:t>
      </w:r>
      <w:r w:rsidR="00AC71AC">
        <w:t xml:space="preserve">Award </w:t>
      </w:r>
      <w:r w:rsidR="005E0EFC">
        <w:t>C</w:t>
      </w:r>
      <w:r w:rsidRPr="001B7AA9">
        <w:t xml:space="preserve">ap for </w:t>
      </w:r>
      <w:r w:rsidR="00106336">
        <w:t>each category</w:t>
      </w:r>
      <w:r w:rsidRPr="001B7AA9">
        <w:t xml:space="preserve"> is a percentage of the </w:t>
      </w:r>
      <w:r w:rsidR="008D5C12">
        <w:t>authorized</w:t>
      </w:r>
      <w:r w:rsidR="00106336">
        <w:t xml:space="preserve"> </w:t>
      </w:r>
      <w:r w:rsidR="001329BC">
        <w:t xml:space="preserve">budget </w:t>
      </w:r>
      <w:r w:rsidR="00106336">
        <w:t>for that category</w:t>
      </w:r>
      <w:r w:rsidR="00AC71AC">
        <w:t>.</w:t>
      </w:r>
      <w:r w:rsidR="00106336">
        <w:t xml:space="preserve"> If the </w:t>
      </w:r>
      <w:r w:rsidR="00575045">
        <w:t xml:space="preserve">approved </w:t>
      </w:r>
      <w:r w:rsidR="00106336">
        <w:t xml:space="preserve">expenditures are </w:t>
      </w:r>
      <w:r w:rsidR="001329BC">
        <w:t xml:space="preserve">less </w:t>
      </w:r>
      <w:r w:rsidR="00106336">
        <w:t xml:space="preserve">than the </w:t>
      </w:r>
      <w:r w:rsidR="00575045">
        <w:t xml:space="preserve">previously </w:t>
      </w:r>
      <w:r w:rsidR="00106336">
        <w:t xml:space="preserve">authorized budget for that category, the </w:t>
      </w:r>
      <w:r w:rsidR="001329BC">
        <w:t>expenditures are</w:t>
      </w:r>
      <w:r w:rsidR="00106336">
        <w:t xml:space="preserve"> used to calculate the </w:t>
      </w:r>
      <w:r w:rsidR="001329BC">
        <w:t>award (which will be less than the cap)</w:t>
      </w:r>
      <w:r w:rsidR="00106336">
        <w:t>.</w:t>
      </w:r>
      <w:bookmarkStart w:id="23" w:name="_Ref280504"/>
      <w:r w:rsidR="00143EA6">
        <w:rPr>
          <w:rStyle w:val="FootnoteReference"/>
        </w:rPr>
        <w:footnoteReference w:id="21"/>
      </w:r>
      <w:bookmarkEnd w:id="23"/>
    </w:p>
    <w:p w14:paraId="1EC234D6" w14:textId="77777777" w:rsidR="004B6227" w:rsidRDefault="004B6227" w:rsidP="006E416F">
      <w:pPr>
        <w:jc w:val="both"/>
      </w:pPr>
      <w:r>
        <w:t>As discussed under “</w:t>
      </w:r>
      <w:r w:rsidRPr="004B6227">
        <w:t>2016 and 2017 Earning</w:t>
      </w:r>
      <w:r w:rsidR="0038256F">
        <w:t>s</w:t>
      </w:r>
      <w:r w:rsidRPr="004B6227">
        <w:t xml:space="preserve"> Coefficients</w:t>
      </w:r>
      <w:r>
        <w:t xml:space="preserve">,” the budgets of </w:t>
      </w:r>
      <w:r w:rsidR="00AB65B3">
        <w:t>r</w:t>
      </w:r>
      <w:r>
        <w:t xml:space="preserve">esource programs </w:t>
      </w:r>
      <w:r w:rsidR="00EB0E9A">
        <w:t xml:space="preserve">are </w:t>
      </w:r>
      <w:r w:rsidR="007E5C2E">
        <w:t xml:space="preserve">currently </w:t>
      </w:r>
      <w:r w:rsidR="00EB0E9A">
        <w:t>included in the calculation of</w:t>
      </w:r>
      <w:r>
        <w:t xml:space="preserve"> Award caps for the IOUs even if the programs result in </w:t>
      </w:r>
      <w:r w:rsidR="003F0590">
        <w:t>no</w:t>
      </w:r>
      <w:r>
        <w:t xml:space="preserve"> savings.</w:t>
      </w:r>
      <w:r w:rsidR="003D40BF">
        <w:t xml:space="preserve"> </w:t>
      </w:r>
    </w:p>
    <w:p w14:paraId="4681B0C1" w14:textId="77777777" w:rsidR="004E330C" w:rsidRDefault="004E330C" w:rsidP="00E72DD1">
      <w:pPr>
        <w:jc w:val="both"/>
      </w:pPr>
    </w:p>
    <w:p w14:paraId="155F7A56" w14:textId="77777777" w:rsidR="004E330C" w:rsidRDefault="004E330C" w:rsidP="00E72DD1">
      <w:pPr>
        <w:jc w:val="both"/>
      </w:pPr>
    </w:p>
    <w:p w14:paraId="0B61A547" w14:textId="77777777" w:rsidR="004E330C" w:rsidRDefault="004E330C" w:rsidP="00E72DD1">
      <w:pPr>
        <w:jc w:val="both"/>
      </w:pPr>
    </w:p>
    <w:p w14:paraId="0ACF128D" w14:textId="77777777" w:rsidR="004E330C" w:rsidRDefault="004E330C" w:rsidP="00E72DD1">
      <w:pPr>
        <w:jc w:val="both"/>
      </w:pPr>
    </w:p>
    <w:p w14:paraId="499D2A1C" w14:textId="77777777" w:rsidR="004E330C" w:rsidRDefault="004E330C" w:rsidP="00E72DD1">
      <w:pPr>
        <w:jc w:val="both"/>
      </w:pPr>
    </w:p>
    <w:p w14:paraId="21F5E032" w14:textId="77777777" w:rsidR="004E330C" w:rsidRDefault="004E330C" w:rsidP="00E72DD1">
      <w:pPr>
        <w:jc w:val="both"/>
      </w:pPr>
    </w:p>
    <w:p w14:paraId="440DF125" w14:textId="77777777" w:rsidR="004E330C" w:rsidRDefault="004E330C" w:rsidP="00E72DD1">
      <w:pPr>
        <w:jc w:val="both"/>
      </w:pPr>
    </w:p>
    <w:p w14:paraId="31B82774" w14:textId="77777777" w:rsidR="004E330C" w:rsidRDefault="004E330C" w:rsidP="00E72DD1">
      <w:pPr>
        <w:jc w:val="both"/>
      </w:pPr>
    </w:p>
    <w:p w14:paraId="08D8C24A" w14:textId="77777777" w:rsidR="004E330C" w:rsidRDefault="004E330C" w:rsidP="00E72DD1">
      <w:pPr>
        <w:jc w:val="both"/>
      </w:pPr>
    </w:p>
    <w:p w14:paraId="3505397D" w14:textId="77777777" w:rsidR="004E330C" w:rsidRDefault="004E330C" w:rsidP="00E72DD1">
      <w:pPr>
        <w:jc w:val="both"/>
      </w:pPr>
    </w:p>
    <w:p w14:paraId="281E9376" w14:textId="77777777" w:rsidR="004E330C" w:rsidRDefault="004E330C" w:rsidP="00E72DD1">
      <w:pPr>
        <w:jc w:val="both"/>
      </w:pPr>
    </w:p>
    <w:p w14:paraId="37AB0178" w14:textId="77777777" w:rsidR="004E330C" w:rsidRDefault="004E330C" w:rsidP="00E72DD1">
      <w:pPr>
        <w:jc w:val="both"/>
      </w:pPr>
    </w:p>
    <w:p w14:paraId="3B29726E" w14:textId="77777777" w:rsidR="004E330C" w:rsidRDefault="004E330C" w:rsidP="00E72DD1">
      <w:pPr>
        <w:jc w:val="both"/>
      </w:pPr>
    </w:p>
    <w:p w14:paraId="69EC6FBB" w14:textId="77777777" w:rsidR="004E330C" w:rsidRDefault="004E330C" w:rsidP="00E72DD1">
      <w:pPr>
        <w:jc w:val="both"/>
      </w:pPr>
    </w:p>
    <w:p w14:paraId="147CDE8D" w14:textId="77777777" w:rsidR="004E330C" w:rsidRDefault="004E330C" w:rsidP="00E72DD1">
      <w:pPr>
        <w:jc w:val="both"/>
      </w:pPr>
    </w:p>
    <w:p w14:paraId="668BD7A9" w14:textId="77777777" w:rsidR="004E330C" w:rsidRDefault="004E330C" w:rsidP="00E72DD1">
      <w:pPr>
        <w:jc w:val="both"/>
      </w:pPr>
    </w:p>
    <w:p w14:paraId="755579E8" w14:textId="15728CAF" w:rsidR="007922A1" w:rsidRDefault="001B7AA9" w:rsidP="00E72DD1">
      <w:pPr>
        <w:jc w:val="both"/>
      </w:pPr>
      <w:r w:rsidRPr="006F1C7F">
        <w:lastRenderedPageBreak/>
        <w:t xml:space="preserve">The 2016 </w:t>
      </w:r>
      <w:r w:rsidR="00686E85">
        <w:t>Award Caps</w:t>
      </w:r>
      <w:r w:rsidR="003D40BF">
        <w:rPr>
          <w:rStyle w:val="FootnoteReference"/>
        </w:rPr>
        <w:footnoteReference w:id="22"/>
      </w:r>
      <w:r w:rsidRPr="006F1C7F">
        <w:t xml:space="preserve"> are </w:t>
      </w:r>
      <w:r w:rsidR="006547BA">
        <w:t xml:space="preserve">provided </w:t>
      </w:r>
      <w:r w:rsidR="00FC1103">
        <w:t xml:space="preserve">in </w:t>
      </w:r>
      <w:r w:rsidR="000A49D0">
        <w:t xml:space="preserve">Table </w:t>
      </w:r>
      <w:r w:rsidR="005D40C3">
        <w:t>7</w:t>
      </w:r>
      <w:r w:rsidR="00FC1103">
        <w:t xml:space="preserve"> below.</w:t>
      </w:r>
    </w:p>
    <w:tbl>
      <w:tblPr>
        <w:tblW w:w="9360" w:type="dxa"/>
        <w:tblInd w:w="108" w:type="dxa"/>
        <w:tblLayout w:type="fixed"/>
        <w:tblCellMar>
          <w:left w:w="0" w:type="dxa"/>
          <w:right w:w="0" w:type="dxa"/>
        </w:tblCellMar>
        <w:tblLook w:val="0620" w:firstRow="1" w:lastRow="0" w:firstColumn="0" w:lastColumn="0" w:noHBand="1" w:noVBand="1"/>
      </w:tblPr>
      <w:tblGrid>
        <w:gridCol w:w="1440"/>
        <w:gridCol w:w="2142"/>
        <w:gridCol w:w="2088"/>
        <w:gridCol w:w="1890"/>
        <w:gridCol w:w="1800"/>
      </w:tblGrid>
      <w:tr w:rsidR="00A52B69" w14:paraId="11117DAE" w14:textId="77777777">
        <w:trPr>
          <w:cantSplit/>
          <w:tblHeader/>
        </w:trPr>
        <w:tc>
          <w:tcPr>
            <w:tcW w:w="9360" w:type="dxa"/>
            <w:gridSpan w:val="5"/>
            <w:tcBorders>
              <w:bottom w:val="single" w:sz="4" w:space="0" w:color="auto"/>
            </w:tcBorders>
            <w:shd w:val="clear" w:color="auto" w:fill="auto"/>
            <w:tcMar>
              <w:top w:w="15" w:type="dxa"/>
              <w:left w:w="108" w:type="dxa"/>
              <w:bottom w:w="0" w:type="dxa"/>
              <w:right w:w="108" w:type="dxa"/>
            </w:tcMar>
            <w:vAlign w:val="center"/>
          </w:tcPr>
          <w:p w14:paraId="6B32A5DA" w14:textId="77777777" w:rsidR="00EB6163" w:rsidRPr="00CB73CB" w:rsidRDefault="00EB6163" w:rsidP="00B47FF2">
            <w:pPr>
              <w:spacing w:before="0" w:after="0"/>
              <w:ind w:right="137"/>
              <w:jc w:val="center"/>
              <w:rPr>
                <w:b/>
                <w:bCs/>
              </w:rPr>
            </w:pPr>
            <w:r w:rsidRPr="00C966CB">
              <w:rPr>
                <w:bCs/>
              </w:rPr>
              <w:t>Table</w:t>
            </w:r>
            <w:r>
              <w:rPr>
                <w:bCs/>
              </w:rPr>
              <w:t xml:space="preserve"> 7</w:t>
            </w:r>
            <w:r w:rsidRPr="00C966CB">
              <w:rPr>
                <w:bCs/>
              </w:rPr>
              <w:t>: 2016 Award Caps by Category and IOU ($)</w:t>
            </w:r>
          </w:p>
        </w:tc>
      </w:tr>
      <w:tr w:rsidR="00A52B69" w14:paraId="3686425F" w14:textId="77777777">
        <w:trPr>
          <w:cantSplit/>
          <w:tblHeader/>
        </w:trPr>
        <w:tc>
          <w:tcPr>
            <w:tcW w:w="1440"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0F3BD3" w14:textId="77777777" w:rsidR="00F17BB8" w:rsidRPr="00CB73CB" w:rsidRDefault="00F17BB8" w:rsidP="00B47FF2">
            <w:pPr>
              <w:spacing w:before="0" w:after="0"/>
              <w:jc w:val="center"/>
              <w:rPr>
                <w:b/>
                <w:bCs/>
              </w:rPr>
            </w:pPr>
          </w:p>
        </w:tc>
        <w:tc>
          <w:tcPr>
            <w:tcW w:w="2142" w:type="dxa"/>
            <w:tcBorders>
              <w:top w:val="single" w:sz="4" w:space="0" w:color="auto"/>
              <w:left w:val="single" w:sz="8" w:space="0" w:color="000000"/>
              <w:bottom w:val="single" w:sz="8" w:space="0" w:color="000000"/>
              <w:right w:val="single" w:sz="8" w:space="0" w:color="000000"/>
            </w:tcBorders>
            <w:shd w:val="clear" w:color="auto" w:fill="auto"/>
            <w:vAlign w:val="center"/>
          </w:tcPr>
          <w:p w14:paraId="4E76EFA8" w14:textId="77777777" w:rsidR="00F17BB8" w:rsidRPr="00CB73CB" w:rsidRDefault="00F17BB8" w:rsidP="00B47FF2">
            <w:pPr>
              <w:spacing w:before="0" w:after="0"/>
              <w:jc w:val="center"/>
              <w:rPr>
                <w:b/>
                <w:bCs/>
              </w:rPr>
            </w:pPr>
            <w:r w:rsidRPr="00CB73CB">
              <w:rPr>
                <w:b/>
                <w:bCs/>
              </w:rPr>
              <w:t>Resource Savings</w:t>
            </w:r>
          </w:p>
          <w:p w14:paraId="43D4F059" w14:textId="77777777" w:rsidR="00575045" w:rsidRPr="00CB73CB" w:rsidRDefault="00575045" w:rsidP="00B47FF2">
            <w:pPr>
              <w:spacing w:before="0" w:after="0"/>
              <w:jc w:val="center"/>
              <w:rPr>
                <w:b/>
                <w:bCs/>
              </w:rPr>
            </w:pPr>
            <w:r w:rsidRPr="00CB73CB">
              <w:rPr>
                <w:b/>
                <w:bCs/>
              </w:rPr>
              <w:t>(9% of</w:t>
            </w:r>
            <w:r w:rsidR="00AB0324">
              <w:rPr>
                <w:b/>
                <w:bCs/>
              </w:rPr>
              <w:t xml:space="preserve"> </w:t>
            </w:r>
            <w:r w:rsidR="005C5967">
              <w:rPr>
                <w:b/>
                <w:bCs/>
              </w:rPr>
              <w:t>resource program budget</w:t>
            </w:r>
            <w:r w:rsidRPr="00CB73CB">
              <w:rPr>
                <w:b/>
                <w:bCs/>
              </w:rPr>
              <w:t>)</w:t>
            </w:r>
          </w:p>
        </w:tc>
        <w:tc>
          <w:tcPr>
            <w:tcW w:w="2088" w:type="dxa"/>
            <w:tcBorders>
              <w:top w:val="single" w:sz="4" w:space="0" w:color="auto"/>
              <w:left w:val="single" w:sz="8" w:space="0" w:color="000000"/>
              <w:bottom w:val="single" w:sz="8" w:space="0" w:color="000000"/>
              <w:right w:val="single" w:sz="8" w:space="0" w:color="000000"/>
            </w:tcBorders>
            <w:shd w:val="clear" w:color="auto" w:fill="auto"/>
            <w:vAlign w:val="center"/>
          </w:tcPr>
          <w:p w14:paraId="5B156AE2" w14:textId="77777777" w:rsidR="00F17BB8" w:rsidRPr="00CB73CB" w:rsidRDefault="00F17BB8" w:rsidP="00B47FF2">
            <w:pPr>
              <w:spacing w:before="0" w:after="0"/>
              <w:ind w:right="137" w:firstLine="90"/>
              <w:jc w:val="center"/>
              <w:rPr>
                <w:b/>
                <w:bCs/>
              </w:rPr>
            </w:pPr>
            <w:r w:rsidRPr="00CB73CB">
              <w:rPr>
                <w:b/>
                <w:bCs/>
              </w:rPr>
              <w:t xml:space="preserve">EAR Performance </w:t>
            </w:r>
          </w:p>
          <w:p w14:paraId="5FB25729" w14:textId="77777777" w:rsidR="00CB73CB" w:rsidRPr="00CB73CB" w:rsidRDefault="00CB73CB" w:rsidP="00B47FF2">
            <w:pPr>
              <w:spacing w:before="0" w:after="0"/>
              <w:ind w:right="137" w:firstLine="90"/>
              <w:jc w:val="center"/>
              <w:rPr>
                <w:b/>
                <w:bCs/>
              </w:rPr>
            </w:pPr>
            <w:r w:rsidRPr="00CB73CB">
              <w:rPr>
                <w:b/>
                <w:bCs/>
              </w:rPr>
              <w:t>(3% of</w:t>
            </w:r>
            <w:r w:rsidR="00BD16ED" w:rsidRPr="00BD16ED">
              <w:rPr>
                <w:b/>
                <w:bCs/>
              </w:rPr>
              <w:t xml:space="preserve"> </w:t>
            </w:r>
            <w:r w:rsidRPr="00CB73CB">
              <w:rPr>
                <w:b/>
                <w:bCs/>
              </w:rPr>
              <w:t xml:space="preserve">resource </w:t>
            </w:r>
            <w:r w:rsidR="005C5967">
              <w:rPr>
                <w:b/>
                <w:bCs/>
              </w:rPr>
              <w:t>program budget</w:t>
            </w:r>
            <w:r w:rsidRPr="00CB73CB">
              <w:rPr>
                <w:b/>
                <w:bCs/>
              </w:rPr>
              <w:t>)</w:t>
            </w:r>
          </w:p>
        </w:tc>
        <w:tc>
          <w:tcPr>
            <w:tcW w:w="1890" w:type="dxa"/>
            <w:tcBorders>
              <w:top w:val="single" w:sz="4" w:space="0" w:color="auto"/>
              <w:left w:val="single" w:sz="8" w:space="0" w:color="000000"/>
              <w:bottom w:val="single" w:sz="8" w:space="0" w:color="000000"/>
              <w:right w:val="single" w:sz="8" w:space="0" w:color="000000"/>
            </w:tcBorders>
            <w:shd w:val="clear" w:color="auto" w:fill="auto"/>
            <w:vAlign w:val="center"/>
          </w:tcPr>
          <w:p w14:paraId="57C6B1C9" w14:textId="77777777" w:rsidR="00F17BB8" w:rsidRPr="00CB73CB" w:rsidRDefault="00F17BB8" w:rsidP="00B47FF2">
            <w:pPr>
              <w:spacing w:before="0" w:after="0"/>
              <w:ind w:right="90"/>
              <w:jc w:val="center"/>
              <w:rPr>
                <w:b/>
                <w:bCs/>
              </w:rPr>
            </w:pPr>
            <w:r w:rsidRPr="00CB73CB">
              <w:rPr>
                <w:b/>
                <w:bCs/>
              </w:rPr>
              <w:t>Codes &amp; Standards</w:t>
            </w:r>
          </w:p>
          <w:p w14:paraId="7C9F4974" w14:textId="77777777" w:rsidR="00CB73CB" w:rsidRPr="00CB73CB" w:rsidRDefault="00CB73CB" w:rsidP="00B47FF2">
            <w:pPr>
              <w:spacing w:before="0" w:after="0"/>
              <w:ind w:right="90"/>
              <w:jc w:val="center"/>
              <w:rPr>
                <w:b/>
                <w:bCs/>
              </w:rPr>
            </w:pPr>
            <w:r w:rsidRPr="00CB73CB">
              <w:rPr>
                <w:b/>
                <w:bCs/>
              </w:rPr>
              <w:t>(12% of</w:t>
            </w:r>
            <w:r w:rsidR="00BD16ED" w:rsidRPr="00BD16ED">
              <w:rPr>
                <w:b/>
                <w:bCs/>
              </w:rPr>
              <w:t xml:space="preserve"> </w:t>
            </w:r>
            <w:r w:rsidRPr="00CB73CB">
              <w:rPr>
                <w:b/>
                <w:bCs/>
              </w:rPr>
              <w:t xml:space="preserve">C&amp;S </w:t>
            </w:r>
            <w:r w:rsidR="00881045">
              <w:rPr>
                <w:b/>
                <w:bCs/>
              </w:rPr>
              <w:t>program budget</w:t>
            </w:r>
            <w:r w:rsidRPr="00CB73CB">
              <w:rPr>
                <w:b/>
                <w:bCs/>
              </w:rPr>
              <w:t>)</w:t>
            </w:r>
          </w:p>
        </w:tc>
        <w:tc>
          <w:tcPr>
            <w:tcW w:w="1800" w:type="dxa"/>
            <w:tcBorders>
              <w:top w:val="single" w:sz="4" w:space="0" w:color="auto"/>
              <w:left w:val="single" w:sz="8" w:space="0" w:color="000000"/>
              <w:bottom w:val="single" w:sz="8" w:space="0" w:color="000000"/>
              <w:right w:val="single" w:sz="8" w:space="0" w:color="000000"/>
            </w:tcBorders>
            <w:shd w:val="clear" w:color="auto" w:fill="auto"/>
            <w:vAlign w:val="center"/>
          </w:tcPr>
          <w:p w14:paraId="05D1D464" w14:textId="77777777" w:rsidR="00F17BB8" w:rsidRPr="00CB73CB" w:rsidRDefault="00F17BB8" w:rsidP="00B47FF2">
            <w:pPr>
              <w:spacing w:before="0" w:after="0"/>
              <w:ind w:right="137"/>
              <w:jc w:val="center"/>
              <w:rPr>
                <w:b/>
                <w:bCs/>
              </w:rPr>
            </w:pPr>
            <w:r w:rsidRPr="00CB73CB">
              <w:rPr>
                <w:b/>
                <w:bCs/>
              </w:rPr>
              <w:t>Non-Resource</w:t>
            </w:r>
          </w:p>
          <w:p w14:paraId="5DCDAD82" w14:textId="77777777" w:rsidR="00CB73CB" w:rsidRPr="00CB73CB" w:rsidRDefault="00CB73CB" w:rsidP="00B47FF2">
            <w:pPr>
              <w:spacing w:before="0" w:after="0"/>
              <w:ind w:right="137"/>
              <w:jc w:val="center"/>
              <w:rPr>
                <w:b/>
                <w:bCs/>
              </w:rPr>
            </w:pPr>
            <w:r w:rsidRPr="00CB73CB">
              <w:rPr>
                <w:b/>
                <w:bCs/>
              </w:rPr>
              <w:t>(3% of</w:t>
            </w:r>
            <w:r w:rsidR="00BD16ED" w:rsidRPr="00BD16ED">
              <w:rPr>
                <w:b/>
                <w:bCs/>
              </w:rPr>
              <w:t xml:space="preserve"> </w:t>
            </w:r>
            <w:r w:rsidRPr="00CB73CB">
              <w:rPr>
                <w:b/>
                <w:bCs/>
              </w:rPr>
              <w:t xml:space="preserve">non-resource </w:t>
            </w:r>
            <w:r w:rsidR="00881045">
              <w:rPr>
                <w:b/>
                <w:bCs/>
              </w:rPr>
              <w:t>program budget</w:t>
            </w:r>
            <w:r w:rsidRPr="00CB73CB">
              <w:rPr>
                <w:b/>
                <w:bCs/>
              </w:rPr>
              <w:t xml:space="preserve">) </w:t>
            </w:r>
          </w:p>
        </w:tc>
      </w:tr>
      <w:tr w:rsidR="00A52B69" w14:paraId="4A2D8181" w14:textId="77777777">
        <w:trPr>
          <w:cantSplit/>
          <w:tblHead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AD10CD" w14:textId="77777777" w:rsidR="00F7211E" w:rsidRPr="00722370" w:rsidRDefault="00F7211E" w:rsidP="00B47FF2">
            <w:pPr>
              <w:spacing w:before="0" w:after="0"/>
              <w:jc w:val="center"/>
              <w:rPr>
                <w:bCs/>
              </w:rPr>
            </w:pPr>
            <w:r w:rsidRPr="00722370">
              <w:rPr>
                <w:bCs/>
              </w:rPr>
              <w:t>PG</w:t>
            </w:r>
            <w:r w:rsidR="007D4994">
              <w:rPr>
                <w:bCs/>
              </w:rPr>
              <w:t>&amp;</w:t>
            </w:r>
            <w:r w:rsidRPr="00722370">
              <w:rPr>
                <w:bCs/>
              </w:rPr>
              <w:t>E</w:t>
            </w:r>
          </w:p>
        </w:tc>
        <w:tc>
          <w:tcPr>
            <w:tcW w:w="21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6A5D98" w14:textId="77777777" w:rsidR="00F7211E" w:rsidRPr="00722370" w:rsidRDefault="007D4994" w:rsidP="00B47FF2">
            <w:pPr>
              <w:spacing w:before="0" w:after="0"/>
              <w:ind w:right="90"/>
              <w:jc w:val="right"/>
              <w:rPr>
                <w:bCs/>
              </w:rPr>
            </w:pPr>
            <w:r w:rsidRPr="007D4994">
              <w:rPr>
                <w:bCs/>
              </w:rPr>
              <w:t>$27,457,245</w:t>
            </w:r>
          </w:p>
        </w:tc>
        <w:tc>
          <w:tcPr>
            <w:tcW w:w="20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9550E1" w14:textId="77777777" w:rsidR="00F7211E" w:rsidRPr="00722370" w:rsidRDefault="00F7211E" w:rsidP="00B47FF2">
            <w:pPr>
              <w:spacing w:before="0" w:after="0"/>
              <w:ind w:right="90"/>
              <w:jc w:val="right"/>
              <w:rPr>
                <w:bCs/>
              </w:rPr>
            </w:pPr>
            <w:r w:rsidRPr="00022B2B">
              <w:rPr>
                <w:bCs/>
              </w:rPr>
              <w:t>$9,152,415</w:t>
            </w:r>
          </w:p>
        </w:tc>
        <w:tc>
          <w:tcPr>
            <w:tcW w:w="18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4CBE94" w14:textId="77777777" w:rsidR="00F7211E" w:rsidRPr="00722370" w:rsidRDefault="00F7211E" w:rsidP="00B47FF2">
            <w:pPr>
              <w:spacing w:before="0" w:after="0"/>
              <w:ind w:right="90"/>
              <w:jc w:val="right"/>
              <w:rPr>
                <w:bCs/>
              </w:rPr>
            </w:pPr>
            <w:r>
              <w:rPr>
                <w:bCs/>
              </w:rPr>
              <w:t>$</w:t>
            </w:r>
            <w:r w:rsidRPr="00235811">
              <w:rPr>
                <w:bCs/>
              </w:rPr>
              <w:t>1,752,163</w:t>
            </w:r>
          </w:p>
        </w:tc>
        <w:tc>
          <w:tcPr>
            <w:tcW w:w="18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37EA8A" w14:textId="77777777" w:rsidR="00F7211E" w:rsidRPr="00722370" w:rsidRDefault="00F7211E" w:rsidP="00B47FF2">
            <w:pPr>
              <w:spacing w:before="0" w:after="0"/>
              <w:ind w:right="108"/>
              <w:jc w:val="right"/>
              <w:rPr>
                <w:bCs/>
              </w:rPr>
            </w:pPr>
            <w:r>
              <w:rPr>
                <w:bCs/>
              </w:rPr>
              <w:t>$</w:t>
            </w:r>
            <w:r w:rsidRPr="00235811">
              <w:rPr>
                <w:bCs/>
              </w:rPr>
              <w:t>709,323</w:t>
            </w:r>
          </w:p>
        </w:tc>
      </w:tr>
      <w:tr w:rsidR="00A52B69" w14:paraId="3094001C" w14:textId="77777777">
        <w:trPr>
          <w:cantSplit/>
          <w:tblHead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CE15BE" w14:textId="77777777" w:rsidR="00F7211E" w:rsidRPr="00722370" w:rsidRDefault="00F7211E" w:rsidP="00B47FF2">
            <w:pPr>
              <w:spacing w:before="0" w:after="0"/>
              <w:jc w:val="center"/>
              <w:rPr>
                <w:bCs/>
              </w:rPr>
            </w:pPr>
            <w:r w:rsidRPr="00722370">
              <w:rPr>
                <w:bCs/>
              </w:rPr>
              <w:t>SCE</w:t>
            </w:r>
          </w:p>
        </w:tc>
        <w:tc>
          <w:tcPr>
            <w:tcW w:w="21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24F8BB" w14:textId="77777777" w:rsidR="00F7211E" w:rsidRPr="00722370" w:rsidRDefault="00F7211E" w:rsidP="00B47FF2">
            <w:pPr>
              <w:spacing w:before="0" w:after="0"/>
              <w:ind w:right="90"/>
              <w:jc w:val="right"/>
              <w:rPr>
                <w:bCs/>
              </w:rPr>
            </w:pPr>
            <w:r w:rsidRPr="00317C17">
              <w:rPr>
                <w:bCs/>
              </w:rPr>
              <w:t>$20,966,541</w:t>
            </w:r>
          </w:p>
        </w:tc>
        <w:tc>
          <w:tcPr>
            <w:tcW w:w="20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670E8D" w14:textId="77777777" w:rsidR="00F7211E" w:rsidRPr="00722370" w:rsidRDefault="00F7211E" w:rsidP="00B47FF2">
            <w:pPr>
              <w:spacing w:before="0" w:after="0"/>
              <w:ind w:right="90"/>
              <w:jc w:val="right"/>
              <w:rPr>
                <w:bCs/>
              </w:rPr>
            </w:pPr>
            <w:r w:rsidRPr="00022B2B">
              <w:rPr>
                <w:bCs/>
              </w:rPr>
              <w:t>$6,988,847</w:t>
            </w:r>
          </w:p>
        </w:tc>
        <w:tc>
          <w:tcPr>
            <w:tcW w:w="18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A6114A" w14:textId="77777777" w:rsidR="00F7211E" w:rsidRPr="00722370" w:rsidRDefault="00F7211E" w:rsidP="00B47FF2">
            <w:pPr>
              <w:spacing w:before="0" w:after="0"/>
              <w:ind w:right="90"/>
              <w:jc w:val="right"/>
              <w:rPr>
                <w:bCs/>
              </w:rPr>
            </w:pPr>
            <w:r>
              <w:rPr>
                <w:bCs/>
              </w:rPr>
              <w:t>$581,031</w:t>
            </w:r>
          </w:p>
        </w:tc>
        <w:tc>
          <w:tcPr>
            <w:tcW w:w="18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F2041A" w14:textId="77777777" w:rsidR="00F7211E" w:rsidRPr="00722370" w:rsidRDefault="00F7211E" w:rsidP="00B47FF2">
            <w:pPr>
              <w:spacing w:before="0" w:after="0"/>
              <w:ind w:right="108"/>
              <w:jc w:val="right"/>
              <w:rPr>
                <w:bCs/>
              </w:rPr>
            </w:pPr>
            <w:r>
              <w:rPr>
                <w:bCs/>
              </w:rPr>
              <w:t>$788,930</w:t>
            </w:r>
          </w:p>
        </w:tc>
      </w:tr>
      <w:tr w:rsidR="00A52B69" w14:paraId="4487B0E1" w14:textId="77777777">
        <w:trPr>
          <w:cantSplit/>
          <w:tblHead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D50186" w14:textId="77777777" w:rsidR="00F7211E" w:rsidRPr="00722370" w:rsidRDefault="00F7211E" w:rsidP="00B47FF2">
            <w:pPr>
              <w:spacing w:before="0" w:after="0"/>
              <w:jc w:val="center"/>
              <w:rPr>
                <w:bCs/>
              </w:rPr>
            </w:pPr>
            <w:r w:rsidRPr="00722370">
              <w:rPr>
                <w:bCs/>
              </w:rPr>
              <w:t>SDG</w:t>
            </w:r>
            <w:r w:rsidR="007D4994">
              <w:rPr>
                <w:bCs/>
              </w:rPr>
              <w:t>&amp;</w:t>
            </w:r>
            <w:r w:rsidRPr="00722370">
              <w:rPr>
                <w:bCs/>
              </w:rPr>
              <w:t>E</w:t>
            </w:r>
          </w:p>
        </w:tc>
        <w:tc>
          <w:tcPr>
            <w:tcW w:w="21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A832DE" w14:textId="77777777" w:rsidR="00F7211E" w:rsidRPr="00722370" w:rsidRDefault="00F7211E" w:rsidP="00B47FF2">
            <w:pPr>
              <w:spacing w:before="0" w:after="0"/>
              <w:ind w:right="90"/>
              <w:jc w:val="right"/>
              <w:rPr>
                <w:bCs/>
              </w:rPr>
            </w:pPr>
            <w:r w:rsidRPr="00317C17">
              <w:rPr>
                <w:bCs/>
              </w:rPr>
              <w:t>$8,193,593</w:t>
            </w:r>
          </w:p>
        </w:tc>
        <w:tc>
          <w:tcPr>
            <w:tcW w:w="20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B44989" w14:textId="77777777" w:rsidR="00F7211E" w:rsidRPr="00722370" w:rsidRDefault="00F7211E" w:rsidP="00B47FF2">
            <w:pPr>
              <w:spacing w:before="0" w:after="0"/>
              <w:ind w:right="90"/>
              <w:jc w:val="right"/>
              <w:rPr>
                <w:bCs/>
              </w:rPr>
            </w:pPr>
            <w:r w:rsidRPr="00022B2B">
              <w:rPr>
                <w:bCs/>
              </w:rPr>
              <w:t>$2,731,198</w:t>
            </w:r>
          </w:p>
        </w:tc>
        <w:tc>
          <w:tcPr>
            <w:tcW w:w="18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75F346" w14:textId="77777777" w:rsidR="00F7211E" w:rsidRPr="00722370" w:rsidRDefault="00F7211E" w:rsidP="00B47FF2">
            <w:pPr>
              <w:spacing w:before="0" w:after="0"/>
              <w:ind w:right="90"/>
              <w:jc w:val="right"/>
              <w:rPr>
                <w:bCs/>
              </w:rPr>
            </w:pPr>
            <w:r>
              <w:rPr>
                <w:bCs/>
              </w:rPr>
              <w:t>$</w:t>
            </w:r>
            <w:r w:rsidRPr="00235811">
              <w:rPr>
                <w:bCs/>
              </w:rPr>
              <w:t>110,875</w:t>
            </w:r>
          </w:p>
        </w:tc>
        <w:tc>
          <w:tcPr>
            <w:tcW w:w="18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028A7C" w14:textId="77777777" w:rsidR="00F7211E" w:rsidRPr="00722370" w:rsidRDefault="00F7211E" w:rsidP="00B47FF2">
            <w:pPr>
              <w:spacing w:before="0" w:after="0"/>
              <w:ind w:right="108"/>
              <w:jc w:val="right"/>
              <w:rPr>
                <w:bCs/>
              </w:rPr>
            </w:pPr>
            <w:r>
              <w:rPr>
                <w:bCs/>
              </w:rPr>
              <w:t>$</w:t>
            </w:r>
            <w:r w:rsidRPr="00235811">
              <w:rPr>
                <w:bCs/>
              </w:rPr>
              <w:t>288,590</w:t>
            </w:r>
          </w:p>
        </w:tc>
      </w:tr>
      <w:tr w:rsidR="00A52B69" w14:paraId="7854205E" w14:textId="77777777">
        <w:trPr>
          <w:cantSplit/>
          <w:tblHead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998EEB" w14:textId="77777777" w:rsidR="00F7211E" w:rsidRPr="00722370" w:rsidRDefault="00F7211E" w:rsidP="00B47FF2">
            <w:pPr>
              <w:spacing w:before="0" w:after="0"/>
              <w:jc w:val="center"/>
              <w:rPr>
                <w:bCs/>
              </w:rPr>
            </w:pPr>
            <w:r>
              <w:rPr>
                <w:bCs/>
              </w:rPr>
              <w:t>SoCalGas</w:t>
            </w:r>
          </w:p>
        </w:tc>
        <w:tc>
          <w:tcPr>
            <w:tcW w:w="21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0C856B" w14:textId="77777777" w:rsidR="00F7211E" w:rsidRPr="00722370" w:rsidRDefault="00F7211E" w:rsidP="00B47FF2">
            <w:pPr>
              <w:spacing w:before="0" w:after="0"/>
              <w:ind w:right="90"/>
              <w:jc w:val="right"/>
              <w:rPr>
                <w:bCs/>
              </w:rPr>
            </w:pPr>
            <w:r w:rsidRPr="00317C17">
              <w:rPr>
                <w:bCs/>
              </w:rPr>
              <w:t>$4,904,746</w:t>
            </w:r>
          </w:p>
        </w:tc>
        <w:tc>
          <w:tcPr>
            <w:tcW w:w="20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672E9E" w14:textId="77777777" w:rsidR="00F7211E" w:rsidRPr="00722370" w:rsidRDefault="00F7211E" w:rsidP="00B47FF2">
            <w:pPr>
              <w:spacing w:before="0" w:after="0"/>
              <w:ind w:right="90"/>
              <w:jc w:val="right"/>
              <w:rPr>
                <w:bCs/>
              </w:rPr>
            </w:pPr>
            <w:r w:rsidRPr="00022B2B">
              <w:rPr>
                <w:bCs/>
              </w:rPr>
              <w:t>$1,634,915</w:t>
            </w:r>
          </w:p>
        </w:tc>
        <w:tc>
          <w:tcPr>
            <w:tcW w:w="18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742796" w14:textId="77777777" w:rsidR="00F7211E" w:rsidRPr="00722370" w:rsidRDefault="00F7211E" w:rsidP="00B47FF2">
            <w:pPr>
              <w:spacing w:before="0" w:after="0"/>
              <w:ind w:right="90"/>
              <w:jc w:val="right"/>
              <w:rPr>
                <w:bCs/>
              </w:rPr>
            </w:pPr>
            <w:r>
              <w:rPr>
                <w:bCs/>
              </w:rPr>
              <w:t>$</w:t>
            </w:r>
            <w:r w:rsidRPr="00235811">
              <w:rPr>
                <w:bCs/>
              </w:rPr>
              <w:t>91,293</w:t>
            </w:r>
          </w:p>
        </w:tc>
        <w:tc>
          <w:tcPr>
            <w:tcW w:w="18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1F6435" w14:textId="77777777" w:rsidR="00F7211E" w:rsidRPr="00722370" w:rsidRDefault="00F7211E" w:rsidP="00B47FF2">
            <w:pPr>
              <w:spacing w:before="0" w:after="0"/>
              <w:ind w:right="108"/>
              <w:jc w:val="right"/>
              <w:rPr>
                <w:bCs/>
              </w:rPr>
            </w:pPr>
            <w:r>
              <w:rPr>
                <w:bCs/>
              </w:rPr>
              <w:t>$</w:t>
            </w:r>
            <w:r w:rsidRPr="00235811">
              <w:rPr>
                <w:bCs/>
              </w:rPr>
              <w:t>392,899</w:t>
            </w:r>
          </w:p>
        </w:tc>
      </w:tr>
    </w:tbl>
    <w:p w14:paraId="4E6AA232" w14:textId="77777777" w:rsidR="004D0ED4" w:rsidRDefault="00EB0E9A" w:rsidP="007922A1">
      <w:pPr>
        <w:spacing w:before="240"/>
      </w:pPr>
      <w:r>
        <w:t>The 2017 Award Caps</w:t>
      </w:r>
      <w:r w:rsidR="003D40BF">
        <w:rPr>
          <w:rStyle w:val="FootnoteReference"/>
        </w:rPr>
        <w:footnoteReference w:id="23"/>
      </w:r>
      <w:r w:rsidRPr="00FC1103">
        <w:t xml:space="preserve"> </w:t>
      </w:r>
      <w:r>
        <w:t>are provided in</w:t>
      </w:r>
      <w:r w:rsidR="0038256F">
        <w:t xml:space="preserve"> Table 8</w:t>
      </w:r>
      <w:r>
        <w:t xml:space="preserve"> below. </w:t>
      </w:r>
      <w:bookmarkStart w:id="24" w:name="_Ref132079"/>
    </w:p>
    <w:tbl>
      <w:tblPr>
        <w:tblW w:w="9360" w:type="dxa"/>
        <w:jc w:val="center"/>
        <w:tblLayout w:type="fixed"/>
        <w:tblCellMar>
          <w:left w:w="0" w:type="dxa"/>
          <w:right w:w="0" w:type="dxa"/>
        </w:tblCellMar>
        <w:tblLook w:val="0620" w:firstRow="1" w:lastRow="0" w:firstColumn="0" w:lastColumn="0" w:noHBand="1" w:noVBand="1"/>
      </w:tblPr>
      <w:tblGrid>
        <w:gridCol w:w="1308"/>
        <w:gridCol w:w="2013"/>
        <w:gridCol w:w="2013"/>
        <w:gridCol w:w="2013"/>
        <w:gridCol w:w="2013"/>
      </w:tblGrid>
      <w:tr w:rsidR="00A52B69" w14:paraId="1F6CA6B1" w14:textId="77777777">
        <w:trPr>
          <w:cantSplit/>
          <w:tblHeader/>
          <w:jc w:val="center"/>
        </w:trPr>
        <w:tc>
          <w:tcPr>
            <w:tcW w:w="9360" w:type="dxa"/>
            <w:gridSpan w:val="5"/>
            <w:tcBorders>
              <w:bottom w:val="single" w:sz="4" w:space="0" w:color="auto"/>
            </w:tcBorders>
            <w:shd w:val="clear" w:color="auto" w:fill="auto"/>
            <w:tcMar>
              <w:top w:w="15" w:type="dxa"/>
              <w:left w:w="108" w:type="dxa"/>
              <w:bottom w:w="0" w:type="dxa"/>
              <w:right w:w="108" w:type="dxa"/>
            </w:tcMar>
            <w:vAlign w:val="center"/>
          </w:tcPr>
          <w:p w14:paraId="6BDD2F4E" w14:textId="77777777" w:rsidR="00EB6163" w:rsidRPr="00881045" w:rsidRDefault="00EB6163" w:rsidP="00B47FF2">
            <w:pPr>
              <w:spacing w:before="0" w:after="0"/>
              <w:ind w:right="137"/>
              <w:jc w:val="center"/>
              <w:rPr>
                <w:b/>
                <w:bCs/>
                <w:sz w:val="22"/>
              </w:rPr>
            </w:pPr>
            <w:r w:rsidRPr="00FC1103">
              <w:t>Table</w:t>
            </w:r>
            <w:r>
              <w:t xml:space="preserve"> 8</w:t>
            </w:r>
            <w:bookmarkEnd w:id="24"/>
            <w:r w:rsidRPr="00C966CB">
              <w:t>: 2017 Award Caps by C</w:t>
            </w:r>
            <w:r>
              <w:t>ategory</w:t>
            </w:r>
            <w:r w:rsidRPr="00C966CB">
              <w:t xml:space="preserve"> and IOU ($)</w:t>
            </w:r>
          </w:p>
        </w:tc>
      </w:tr>
      <w:tr w:rsidR="00A52B69" w14:paraId="19D7AFA4" w14:textId="77777777">
        <w:trPr>
          <w:cantSplit/>
          <w:tblHeader/>
          <w:jc w:val="center"/>
        </w:trPr>
        <w:tc>
          <w:tcPr>
            <w:tcW w:w="1308"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43A8BF" w14:textId="77777777" w:rsidR="00EB0E9A" w:rsidRPr="00881045" w:rsidRDefault="00EB0E9A" w:rsidP="00B47FF2">
            <w:pPr>
              <w:spacing w:before="0" w:after="0"/>
              <w:jc w:val="center"/>
              <w:rPr>
                <w:b/>
                <w:bCs/>
                <w:sz w:val="22"/>
              </w:rPr>
            </w:pPr>
          </w:p>
        </w:tc>
        <w:tc>
          <w:tcPr>
            <w:tcW w:w="2013" w:type="dxa"/>
            <w:tcBorders>
              <w:top w:val="single" w:sz="4" w:space="0" w:color="auto"/>
              <w:left w:val="single" w:sz="8" w:space="0" w:color="000000"/>
              <w:bottom w:val="single" w:sz="8" w:space="0" w:color="000000"/>
              <w:right w:val="single" w:sz="8" w:space="0" w:color="000000"/>
            </w:tcBorders>
            <w:shd w:val="clear" w:color="auto" w:fill="auto"/>
            <w:vAlign w:val="center"/>
          </w:tcPr>
          <w:p w14:paraId="0CAD7611" w14:textId="77777777" w:rsidR="00EB0E9A" w:rsidRPr="00881045" w:rsidRDefault="00EB0E9A" w:rsidP="00B47FF2">
            <w:pPr>
              <w:spacing w:before="0" w:after="0"/>
              <w:jc w:val="center"/>
              <w:rPr>
                <w:b/>
                <w:bCs/>
                <w:sz w:val="22"/>
              </w:rPr>
            </w:pPr>
            <w:r w:rsidRPr="00881045">
              <w:rPr>
                <w:b/>
                <w:bCs/>
                <w:sz w:val="22"/>
              </w:rPr>
              <w:t xml:space="preserve">Resource Savings </w:t>
            </w:r>
            <w:r w:rsidRPr="00881045">
              <w:rPr>
                <w:b/>
                <w:bCs/>
              </w:rPr>
              <w:t>(9% of resource program budget)</w:t>
            </w:r>
          </w:p>
        </w:tc>
        <w:tc>
          <w:tcPr>
            <w:tcW w:w="2013" w:type="dxa"/>
            <w:tcBorders>
              <w:top w:val="single" w:sz="4" w:space="0" w:color="auto"/>
              <w:left w:val="single" w:sz="8" w:space="0" w:color="000000"/>
              <w:bottom w:val="single" w:sz="8" w:space="0" w:color="000000"/>
              <w:right w:val="single" w:sz="8" w:space="0" w:color="000000"/>
            </w:tcBorders>
            <w:shd w:val="clear" w:color="auto" w:fill="auto"/>
            <w:vAlign w:val="center"/>
          </w:tcPr>
          <w:p w14:paraId="75971302" w14:textId="77777777" w:rsidR="00EB0E9A" w:rsidRPr="00881045" w:rsidRDefault="00EB0E9A" w:rsidP="00EB6163">
            <w:pPr>
              <w:spacing w:before="0" w:after="0"/>
              <w:ind w:firstLine="90"/>
              <w:jc w:val="center"/>
              <w:rPr>
                <w:b/>
                <w:bCs/>
                <w:sz w:val="22"/>
              </w:rPr>
            </w:pPr>
            <w:r w:rsidRPr="00881045">
              <w:rPr>
                <w:b/>
                <w:bCs/>
                <w:sz w:val="22"/>
              </w:rPr>
              <w:t xml:space="preserve">EAR </w:t>
            </w:r>
            <w:r w:rsidRPr="001C741D">
              <w:rPr>
                <w:b/>
                <w:bCs/>
              </w:rPr>
              <w:t>Performance</w:t>
            </w:r>
          </w:p>
          <w:p w14:paraId="3FC133B4" w14:textId="77777777" w:rsidR="00EB0E9A" w:rsidRPr="00881045" w:rsidRDefault="00EB0E9A" w:rsidP="00EB6163">
            <w:pPr>
              <w:spacing w:before="0" w:after="0"/>
              <w:ind w:firstLine="90"/>
              <w:jc w:val="center"/>
              <w:rPr>
                <w:b/>
                <w:bCs/>
                <w:sz w:val="22"/>
              </w:rPr>
            </w:pPr>
            <w:r w:rsidRPr="00881045">
              <w:rPr>
                <w:b/>
                <w:bCs/>
              </w:rPr>
              <w:t xml:space="preserve">(3% of </w:t>
            </w:r>
            <w:r w:rsidR="001C741D">
              <w:rPr>
                <w:b/>
                <w:bCs/>
              </w:rPr>
              <w:t>r</w:t>
            </w:r>
            <w:r w:rsidRPr="00881045">
              <w:rPr>
                <w:b/>
                <w:bCs/>
              </w:rPr>
              <w:t>esource program budget)</w:t>
            </w:r>
            <w:r w:rsidRPr="00881045">
              <w:rPr>
                <w:b/>
                <w:bCs/>
                <w:sz w:val="22"/>
              </w:rPr>
              <w:t xml:space="preserve"> </w:t>
            </w:r>
          </w:p>
        </w:tc>
        <w:tc>
          <w:tcPr>
            <w:tcW w:w="2013" w:type="dxa"/>
            <w:tcBorders>
              <w:top w:val="single" w:sz="4" w:space="0" w:color="auto"/>
              <w:left w:val="single" w:sz="8" w:space="0" w:color="000000"/>
              <w:bottom w:val="single" w:sz="8" w:space="0" w:color="000000"/>
              <w:right w:val="single" w:sz="8" w:space="0" w:color="000000"/>
            </w:tcBorders>
            <w:shd w:val="clear" w:color="auto" w:fill="auto"/>
            <w:vAlign w:val="center"/>
          </w:tcPr>
          <w:p w14:paraId="71E96385" w14:textId="77777777" w:rsidR="001C741D" w:rsidRDefault="00EB0E9A" w:rsidP="00EB6163">
            <w:pPr>
              <w:spacing w:before="0" w:after="0"/>
              <w:jc w:val="center"/>
              <w:rPr>
                <w:b/>
                <w:bCs/>
                <w:sz w:val="22"/>
              </w:rPr>
            </w:pPr>
            <w:r w:rsidRPr="00881045">
              <w:rPr>
                <w:b/>
                <w:bCs/>
                <w:sz w:val="22"/>
              </w:rPr>
              <w:t xml:space="preserve">Codes &amp; Standards </w:t>
            </w:r>
          </w:p>
          <w:p w14:paraId="219BCB12" w14:textId="77777777" w:rsidR="00EB0E9A" w:rsidRPr="00881045" w:rsidRDefault="005C44F1" w:rsidP="00EB6163">
            <w:pPr>
              <w:spacing w:before="0" w:after="0"/>
              <w:jc w:val="center"/>
              <w:rPr>
                <w:b/>
                <w:bCs/>
                <w:sz w:val="22"/>
              </w:rPr>
            </w:pPr>
            <w:r w:rsidRPr="00CB73CB">
              <w:rPr>
                <w:b/>
                <w:bCs/>
              </w:rPr>
              <w:t xml:space="preserve">(12% of C&amp;S </w:t>
            </w:r>
            <w:r>
              <w:rPr>
                <w:b/>
                <w:bCs/>
              </w:rPr>
              <w:t>program budget</w:t>
            </w:r>
            <w:r w:rsidRPr="00CB73CB">
              <w:rPr>
                <w:b/>
                <w:bCs/>
              </w:rPr>
              <w:t>)</w:t>
            </w:r>
          </w:p>
        </w:tc>
        <w:tc>
          <w:tcPr>
            <w:tcW w:w="2013" w:type="dxa"/>
            <w:tcBorders>
              <w:top w:val="single" w:sz="4" w:space="0" w:color="auto"/>
              <w:left w:val="single" w:sz="8" w:space="0" w:color="000000"/>
              <w:bottom w:val="single" w:sz="8" w:space="0" w:color="000000"/>
              <w:right w:val="single" w:sz="8" w:space="0" w:color="000000"/>
            </w:tcBorders>
            <w:shd w:val="clear" w:color="auto" w:fill="auto"/>
            <w:vAlign w:val="center"/>
          </w:tcPr>
          <w:p w14:paraId="70CA3ECA" w14:textId="77777777" w:rsidR="00EB0E9A" w:rsidRPr="00881045" w:rsidRDefault="00EB0E9A" w:rsidP="00EB6163">
            <w:pPr>
              <w:spacing w:before="0" w:after="0"/>
              <w:ind w:right="-14"/>
              <w:jc w:val="center"/>
              <w:rPr>
                <w:b/>
                <w:bCs/>
                <w:sz w:val="22"/>
              </w:rPr>
            </w:pPr>
            <w:r w:rsidRPr="00881045">
              <w:rPr>
                <w:b/>
                <w:bCs/>
                <w:sz w:val="22"/>
              </w:rPr>
              <w:t xml:space="preserve">Non-Resource </w:t>
            </w:r>
            <w:r w:rsidR="005C44F1" w:rsidRPr="00CB73CB">
              <w:rPr>
                <w:b/>
                <w:bCs/>
              </w:rPr>
              <w:t xml:space="preserve">(3% of non-resource </w:t>
            </w:r>
            <w:r w:rsidR="005C44F1">
              <w:rPr>
                <w:b/>
                <w:bCs/>
              </w:rPr>
              <w:t>program budget</w:t>
            </w:r>
            <w:r w:rsidR="005C44F1" w:rsidRPr="00CB73CB">
              <w:rPr>
                <w:b/>
                <w:bCs/>
              </w:rPr>
              <w:t>)</w:t>
            </w:r>
          </w:p>
        </w:tc>
      </w:tr>
      <w:tr w:rsidR="00A52B69" w14:paraId="4E3F5287" w14:textId="77777777">
        <w:trPr>
          <w:cantSplit/>
          <w:tblHeader/>
          <w:jc w:val="center"/>
        </w:trPr>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79DB8E" w14:textId="77777777" w:rsidR="00EB0E9A" w:rsidRPr="001C741D" w:rsidRDefault="00EB0E9A" w:rsidP="00B47FF2">
            <w:pPr>
              <w:spacing w:before="0" w:after="0"/>
              <w:jc w:val="center"/>
              <w:rPr>
                <w:bCs/>
              </w:rPr>
            </w:pPr>
            <w:r w:rsidRPr="001C741D">
              <w:rPr>
                <w:bCs/>
              </w:rPr>
              <w:t>PG</w:t>
            </w:r>
            <w:r w:rsidR="00E714E7" w:rsidRPr="001C741D">
              <w:rPr>
                <w:bCs/>
              </w:rPr>
              <w:t>&amp;</w:t>
            </w:r>
            <w:r w:rsidRPr="001C741D">
              <w:rPr>
                <w:bCs/>
              </w:rPr>
              <w:t>E</w:t>
            </w:r>
          </w:p>
        </w:tc>
        <w:tc>
          <w:tcPr>
            <w:tcW w:w="201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E89A2D" w14:textId="77777777" w:rsidR="00EB0E9A" w:rsidRPr="001C741D" w:rsidRDefault="00EB0E9A" w:rsidP="00B47FF2">
            <w:pPr>
              <w:spacing w:before="0" w:after="0"/>
              <w:ind w:right="108"/>
              <w:jc w:val="right"/>
              <w:rPr>
                <w:bCs/>
              </w:rPr>
            </w:pPr>
            <w:r w:rsidRPr="001C741D">
              <w:rPr>
                <w:bCs/>
              </w:rPr>
              <w:t>$26,374,389</w:t>
            </w:r>
          </w:p>
        </w:tc>
        <w:tc>
          <w:tcPr>
            <w:tcW w:w="201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6F5DAE" w14:textId="77777777" w:rsidR="00EB0E9A" w:rsidRPr="001C741D" w:rsidRDefault="00EB0E9A" w:rsidP="00B47FF2">
            <w:pPr>
              <w:spacing w:before="0" w:after="0"/>
              <w:ind w:right="108"/>
              <w:jc w:val="right"/>
              <w:rPr>
                <w:bCs/>
              </w:rPr>
            </w:pPr>
            <w:r w:rsidRPr="001C741D">
              <w:rPr>
                <w:bCs/>
              </w:rPr>
              <w:t>$8,791,463</w:t>
            </w:r>
          </w:p>
        </w:tc>
        <w:tc>
          <w:tcPr>
            <w:tcW w:w="2013" w:type="dxa"/>
            <w:tcBorders>
              <w:top w:val="single" w:sz="8" w:space="0" w:color="000000"/>
              <w:left w:val="single" w:sz="8" w:space="0" w:color="000000"/>
              <w:bottom w:val="single" w:sz="8" w:space="0" w:color="000000"/>
              <w:right w:val="single" w:sz="8" w:space="0" w:color="000000"/>
            </w:tcBorders>
            <w:shd w:val="clear" w:color="auto" w:fill="auto"/>
          </w:tcPr>
          <w:p w14:paraId="3869C8EF" w14:textId="77777777" w:rsidR="00EB0E9A" w:rsidRPr="001C741D" w:rsidRDefault="00EB0E9A" w:rsidP="00B47FF2">
            <w:pPr>
              <w:spacing w:before="0" w:after="0"/>
              <w:ind w:right="108"/>
              <w:jc w:val="right"/>
              <w:rPr>
                <w:bCs/>
              </w:rPr>
            </w:pPr>
            <w:r w:rsidRPr="001C741D">
              <w:rPr>
                <w:bCs/>
              </w:rPr>
              <w:t>$1,973,606</w:t>
            </w:r>
          </w:p>
        </w:tc>
        <w:tc>
          <w:tcPr>
            <w:tcW w:w="2013" w:type="dxa"/>
            <w:tcBorders>
              <w:top w:val="single" w:sz="8" w:space="0" w:color="000000"/>
              <w:left w:val="single" w:sz="8" w:space="0" w:color="000000"/>
              <w:bottom w:val="single" w:sz="8" w:space="0" w:color="000000"/>
              <w:right w:val="single" w:sz="8" w:space="0" w:color="000000"/>
            </w:tcBorders>
            <w:shd w:val="clear" w:color="auto" w:fill="auto"/>
          </w:tcPr>
          <w:p w14:paraId="4D4E41CE" w14:textId="77777777" w:rsidR="00EB0E9A" w:rsidRPr="001C741D" w:rsidRDefault="00EB0E9A" w:rsidP="00B47FF2">
            <w:pPr>
              <w:spacing w:before="0" w:after="0"/>
              <w:ind w:right="108"/>
              <w:jc w:val="right"/>
              <w:rPr>
                <w:bCs/>
              </w:rPr>
            </w:pPr>
            <w:r w:rsidRPr="001C741D">
              <w:rPr>
                <w:bCs/>
              </w:rPr>
              <w:t>$908,786</w:t>
            </w:r>
          </w:p>
        </w:tc>
      </w:tr>
      <w:tr w:rsidR="00A52B69" w14:paraId="7664BFDA" w14:textId="77777777">
        <w:trPr>
          <w:cantSplit/>
          <w:tblHeader/>
          <w:jc w:val="center"/>
        </w:trPr>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4DE4F3" w14:textId="77777777" w:rsidR="00EB0E9A" w:rsidRPr="001C741D" w:rsidRDefault="00EB0E9A" w:rsidP="00B47FF2">
            <w:pPr>
              <w:spacing w:before="0" w:after="0"/>
              <w:jc w:val="center"/>
              <w:rPr>
                <w:bCs/>
              </w:rPr>
            </w:pPr>
            <w:r w:rsidRPr="001C741D">
              <w:rPr>
                <w:bCs/>
              </w:rPr>
              <w:t>SCE</w:t>
            </w:r>
          </w:p>
        </w:tc>
        <w:tc>
          <w:tcPr>
            <w:tcW w:w="201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552B4C" w14:textId="77777777" w:rsidR="00EB0E9A" w:rsidRPr="001C741D" w:rsidRDefault="00EB0E9A" w:rsidP="00B47FF2">
            <w:pPr>
              <w:spacing w:before="0" w:after="0"/>
              <w:ind w:right="108"/>
              <w:jc w:val="right"/>
              <w:rPr>
                <w:bCs/>
              </w:rPr>
            </w:pPr>
            <w:r w:rsidRPr="001C741D">
              <w:rPr>
                <w:bCs/>
              </w:rPr>
              <w:t>$21,863,178</w:t>
            </w:r>
          </w:p>
        </w:tc>
        <w:tc>
          <w:tcPr>
            <w:tcW w:w="201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6AE78B" w14:textId="77777777" w:rsidR="00EB0E9A" w:rsidRPr="001C741D" w:rsidRDefault="00EB0E9A" w:rsidP="00B47FF2">
            <w:pPr>
              <w:spacing w:before="0" w:after="0"/>
              <w:ind w:right="108"/>
              <w:jc w:val="right"/>
              <w:rPr>
                <w:bCs/>
              </w:rPr>
            </w:pPr>
            <w:r w:rsidRPr="001C741D">
              <w:rPr>
                <w:bCs/>
              </w:rPr>
              <w:t>$7,287,726</w:t>
            </w:r>
          </w:p>
        </w:tc>
        <w:tc>
          <w:tcPr>
            <w:tcW w:w="2013" w:type="dxa"/>
            <w:tcBorders>
              <w:top w:val="single" w:sz="8" w:space="0" w:color="000000"/>
              <w:left w:val="single" w:sz="8" w:space="0" w:color="000000"/>
              <w:bottom w:val="single" w:sz="8" w:space="0" w:color="000000"/>
              <w:right w:val="single" w:sz="8" w:space="0" w:color="000000"/>
            </w:tcBorders>
            <w:shd w:val="clear" w:color="auto" w:fill="auto"/>
          </w:tcPr>
          <w:p w14:paraId="2B41664F" w14:textId="77777777" w:rsidR="00EB0E9A" w:rsidRPr="001C741D" w:rsidRDefault="00EB0E9A" w:rsidP="00B47FF2">
            <w:pPr>
              <w:spacing w:before="0" w:after="0"/>
              <w:ind w:right="108"/>
              <w:jc w:val="right"/>
              <w:rPr>
                <w:bCs/>
              </w:rPr>
            </w:pPr>
            <w:r w:rsidRPr="001C741D">
              <w:rPr>
                <w:bCs/>
              </w:rPr>
              <w:t>$671,252</w:t>
            </w:r>
          </w:p>
        </w:tc>
        <w:tc>
          <w:tcPr>
            <w:tcW w:w="2013" w:type="dxa"/>
            <w:tcBorders>
              <w:top w:val="single" w:sz="8" w:space="0" w:color="000000"/>
              <w:left w:val="single" w:sz="8" w:space="0" w:color="000000"/>
              <w:bottom w:val="single" w:sz="8" w:space="0" w:color="000000"/>
              <w:right w:val="single" w:sz="8" w:space="0" w:color="000000"/>
            </w:tcBorders>
            <w:shd w:val="clear" w:color="auto" w:fill="auto"/>
          </w:tcPr>
          <w:p w14:paraId="06FEC1FD" w14:textId="77777777" w:rsidR="00EB0E9A" w:rsidRPr="001C741D" w:rsidRDefault="00EB0E9A" w:rsidP="00B47FF2">
            <w:pPr>
              <w:spacing w:before="0" w:after="0"/>
              <w:ind w:right="108"/>
              <w:jc w:val="right"/>
              <w:rPr>
                <w:bCs/>
              </w:rPr>
            </w:pPr>
            <w:r w:rsidRPr="001C741D">
              <w:rPr>
                <w:bCs/>
              </w:rPr>
              <w:t>$678,887</w:t>
            </w:r>
          </w:p>
        </w:tc>
      </w:tr>
      <w:tr w:rsidR="00A52B69" w14:paraId="6C144E8E" w14:textId="77777777">
        <w:trPr>
          <w:cantSplit/>
          <w:tblHeader/>
          <w:jc w:val="center"/>
        </w:trPr>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211033" w14:textId="77777777" w:rsidR="00EB0E9A" w:rsidRPr="001C741D" w:rsidRDefault="00EB0E9A" w:rsidP="00B47FF2">
            <w:pPr>
              <w:spacing w:before="0" w:after="0"/>
              <w:jc w:val="center"/>
              <w:rPr>
                <w:bCs/>
              </w:rPr>
            </w:pPr>
            <w:r w:rsidRPr="001C741D">
              <w:rPr>
                <w:bCs/>
              </w:rPr>
              <w:t>SDG</w:t>
            </w:r>
            <w:r w:rsidR="00E714E7" w:rsidRPr="001C741D">
              <w:rPr>
                <w:bCs/>
              </w:rPr>
              <w:t>&amp;</w:t>
            </w:r>
            <w:r w:rsidRPr="001C741D">
              <w:rPr>
                <w:bCs/>
              </w:rPr>
              <w:t>E</w:t>
            </w:r>
          </w:p>
        </w:tc>
        <w:tc>
          <w:tcPr>
            <w:tcW w:w="201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772DB3" w14:textId="77777777" w:rsidR="00EB0E9A" w:rsidRPr="001C741D" w:rsidRDefault="00EB0E9A" w:rsidP="00B47FF2">
            <w:pPr>
              <w:spacing w:before="0" w:after="0"/>
              <w:ind w:right="108"/>
              <w:jc w:val="right"/>
              <w:rPr>
                <w:bCs/>
              </w:rPr>
            </w:pPr>
            <w:r w:rsidRPr="001C741D">
              <w:rPr>
                <w:bCs/>
              </w:rPr>
              <w:t>$8,567,851</w:t>
            </w:r>
          </w:p>
        </w:tc>
        <w:tc>
          <w:tcPr>
            <w:tcW w:w="201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20F636" w14:textId="77777777" w:rsidR="00EB0E9A" w:rsidRPr="001C741D" w:rsidRDefault="00EB0E9A" w:rsidP="00B47FF2">
            <w:pPr>
              <w:spacing w:before="0" w:after="0"/>
              <w:ind w:right="108"/>
              <w:jc w:val="right"/>
              <w:rPr>
                <w:bCs/>
              </w:rPr>
            </w:pPr>
            <w:r w:rsidRPr="001C741D">
              <w:rPr>
                <w:bCs/>
              </w:rPr>
              <w:t>$2,855,950</w:t>
            </w:r>
          </w:p>
        </w:tc>
        <w:tc>
          <w:tcPr>
            <w:tcW w:w="2013" w:type="dxa"/>
            <w:tcBorders>
              <w:top w:val="single" w:sz="8" w:space="0" w:color="000000"/>
              <w:left w:val="single" w:sz="8" w:space="0" w:color="000000"/>
              <w:bottom w:val="single" w:sz="8" w:space="0" w:color="000000"/>
              <w:right w:val="single" w:sz="8" w:space="0" w:color="000000"/>
            </w:tcBorders>
            <w:shd w:val="clear" w:color="auto" w:fill="auto"/>
          </w:tcPr>
          <w:p w14:paraId="67922259" w14:textId="77777777" w:rsidR="00EB0E9A" w:rsidRPr="001C741D" w:rsidRDefault="00EB0E9A" w:rsidP="00B47FF2">
            <w:pPr>
              <w:spacing w:before="0" w:after="0"/>
              <w:ind w:right="108"/>
              <w:jc w:val="right"/>
              <w:rPr>
                <w:bCs/>
              </w:rPr>
            </w:pPr>
            <w:r w:rsidRPr="001C741D">
              <w:rPr>
                <w:bCs/>
              </w:rPr>
              <w:t>$109,303</w:t>
            </w:r>
          </w:p>
        </w:tc>
        <w:tc>
          <w:tcPr>
            <w:tcW w:w="2013" w:type="dxa"/>
            <w:tcBorders>
              <w:top w:val="single" w:sz="8" w:space="0" w:color="000000"/>
              <w:left w:val="single" w:sz="8" w:space="0" w:color="000000"/>
              <w:bottom w:val="single" w:sz="8" w:space="0" w:color="000000"/>
              <w:right w:val="single" w:sz="8" w:space="0" w:color="000000"/>
            </w:tcBorders>
            <w:shd w:val="clear" w:color="auto" w:fill="auto"/>
          </w:tcPr>
          <w:p w14:paraId="6C3C9B07" w14:textId="77777777" w:rsidR="00EB0E9A" w:rsidRPr="001C741D" w:rsidRDefault="00EB0E9A" w:rsidP="00B47FF2">
            <w:pPr>
              <w:spacing w:before="0" w:after="0"/>
              <w:ind w:right="108"/>
              <w:jc w:val="right"/>
              <w:rPr>
                <w:bCs/>
              </w:rPr>
            </w:pPr>
            <w:r w:rsidRPr="001C741D">
              <w:rPr>
                <w:bCs/>
              </w:rPr>
              <w:t>$248,726</w:t>
            </w:r>
          </w:p>
        </w:tc>
      </w:tr>
      <w:tr w:rsidR="00A52B69" w14:paraId="53592CFD" w14:textId="77777777">
        <w:trPr>
          <w:cantSplit/>
          <w:tblHeader/>
          <w:jc w:val="center"/>
        </w:trPr>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1696E5" w14:textId="77777777" w:rsidR="00EB0E9A" w:rsidRPr="001C741D" w:rsidRDefault="00EB0E9A" w:rsidP="00B47FF2">
            <w:pPr>
              <w:spacing w:before="0" w:after="0"/>
              <w:jc w:val="center"/>
              <w:rPr>
                <w:bCs/>
              </w:rPr>
            </w:pPr>
            <w:r w:rsidRPr="001C741D">
              <w:rPr>
                <w:bCs/>
              </w:rPr>
              <w:t>SoCalGas</w:t>
            </w:r>
          </w:p>
        </w:tc>
        <w:tc>
          <w:tcPr>
            <w:tcW w:w="201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A7AC08" w14:textId="77777777" w:rsidR="00EB0E9A" w:rsidRPr="001C741D" w:rsidRDefault="00EB0E9A" w:rsidP="00B47FF2">
            <w:pPr>
              <w:spacing w:before="0" w:after="0"/>
              <w:ind w:right="108"/>
              <w:jc w:val="right"/>
              <w:rPr>
                <w:bCs/>
              </w:rPr>
            </w:pPr>
            <w:r w:rsidRPr="001C741D">
              <w:rPr>
                <w:bCs/>
              </w:rPr>
              <w:t>$4,911,369</w:t>
            </w:r>
          </w:p>
        </w:tc>
        <w:tc>
          <w:tcPr>
            <w:tcW w:w="201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7F6468" w14:textId="77777777" w:rsidR="00EB0E9A" w:rsidRPr="001C741D" w:rsidRDefault="00EB0E9A" w:rsidP="00B47FF2">
            <w:pPr>
              <w:spacing w:before="0" w:after="0"/>
              <w:ind w:right="108"/>
              <w:jc w:val="right"/>
              <w:rPr>
                <w:bCs/>
              </w:rPr>
            </w:pPr>
            <w:r w:rsidRPr="001C741D">
              <w:rPr>
                <w:bCs/>
              </w:rPr>
              <w:t>$1,637,123</w:t>
            </w:r>
          </w:p>
        </w:tc>
        <w:tc>
          <w:tcPr>
            <w:tcW w:w="2013" w:type="dxa"/>
            <w:tcBorders>
              <w:top w:val="single" w:sz="8" w:space="0" w:color="000000"/>
              <w:left w:val="single" w:sz="8" w:space="0" w:color="000000"/>
              <w:bottom w:val="single" w:sz="8" w:space="0" w:color="000000"/>
              <w:right w:val="single" w:sz="8" w:space="0" w:color="000000"/>
            </w:tcBorders>
            <w:shd w:val="clear" w:color="auto" w:fill="auto"/>
          </w:tcPr>
          <w:p w14:paraId="303BB7C8" w14:textId="77777777" w:rsidR="00EB0E9A" w:rsidRPr="001C741D" w:rsidRDefault="00EB0E9A" w:rsidP="00B47FF2">
            <w:pPr>
              <w:spacing w:before="0" w:after="0"/>
              <w:ind w:right="108"/>
              <w:jc w:val="right"/>
              <w:rPr>
                <w:bCs/>
              </w:rPr>
            </w:pPr>
            <w:r w:rsidRPr="001C741D">
              <w:rPr>
                <w:bCs/>
              </w:rPr>
              <w:t>$91,293</w:t>
            </w:r>
          </w:p>
        </w:tc>
        <w:tc>
          <w:tcPr>
            <w:tcW w:w="2013" w:type="dxa"/>
            <w:tcBorders>
              <w:top w:val="single" w:sz="8" w:space="0" w:color="000000"/>
              <w:left w:val="single" w:sz="8" w:space="0" w:color="000000"/>
              <w:bottom w:val="single" w:sz="8" w:space="0" w:color="000000"/>
              <w:right w:val="single" w:sz="8" w:space="0" w:color="000000"/>
            </w:tcBorders>
            <w:shd w:val="clear" w:color="auto" w:fill="auto"/>
          </w:tcPr>
          <w:p w14:paraId="7E0650DD" w14:textId="77777777" w:rsidR="00EB0E9A" w:rsidRPr="001C741D" w:rsidRDefault="00EB0E9A" w:rsidP="00B47FF2">
            <w:pPr>
              <w:spacing w:before="0" w:after="0"/>
              <w:ind w:right="108"/>
              <w:jc w:val="right"/>
              <w:rPr>
                <w:bCs/>
              </w:rPr>
            </w:pPr>
            <w:r w:rsidRPr="001C741D">
              <w:rPr>
                <w:bCs/>
              </w:rPr>
              <w:t>$376,441</w:t>
            </w:r>
          </w:p>
        </w:tc>
      </w:tr>
    </w:tbl>
    <w:p w14:paraId="1F1FC5BF" w14:textId="36E0E790" w:rsidR="00E67F55" w:rsidRPr="006B49DA" w:rsidRDefault="00E67F55" w:rsidP="00AD6B15">
      <w:pPr>
        <w:pStyle w:val="Heading2"/>
      </w:pPr>
      <w:bookmarkStart w:id="25" w:name="_Toc497338856"/>
      <w:r w:rsidRPr="006B49DA">
        <w:t>Ex-Ante Review</w:t>
      </w:r>
      <w:r w:rsidR="0041406D">
        <w:t xml:space="preserve"> (EAR)</w:t>
      </w:r>
      <w:r w:rsidRPr="006B49DA">
        <w:t xml:space="preserve"> Performance Scores</w:t>
      </w:r>
      <w:bookmarkEnd w:id="25"/>
    </w:p>
    <w:p w14:paraId="20F1F014" w14:textId="77777777" w:rsidR="003B669E" w:rsidRPr="000A1C63" w:rsidRDefault="003B669E" w:rsidP="008E7BDB">
      <w:pPr>
        <w:spacing w:after="160"/>
        <w:jc w:val="both"/>
        <w:rPr>
          <w:b/>
        </w:rPr>
      </w:pPr>
      <w:r w:rsidRPr="003B669E">
        <w:rPr>
          <w:b/>
        </w:rPr>
        <w:t xml:space="preserve">The </w:t>
      </w:r>
      <w:r w:rsidR="002F7184">
        <w:rPr>
          <w:b/>
        </w:rPr>
        <w:t xml:space="preserve">EAR </w:t>
      </w:r>
      <w:r w:rsidRPr="003B669E">
        <w:rPr>
          <w:b/>
        </w:rPr>
        <w:t>Process Performance award is determined by multiplying the IOU</w:t>
      </w:r>
      <w:r w:rsidR="002F7184">
        <w:rPr>
          <w:b/>
        </w:rPr>
        <w:t>s</w:t>
      </w:r>
      <w:r w:rsidRPr="003B669E">
        <w:rPr>
          <w:b/>
        </w:rPr>
        <w:t>’ annual performance scores for custom projects and workpaper processes with 3% of</w:t>
      </w:r>
      <w:r w:rsidR="002F7184">
        <w:rPr>
          <w:b/>
        </w:rPr>
        <w:t xml:space="preserve"> their</w:t>
      </w:r>
      <w:r w:rsidRPr="003B669E">
        <w:rPr>
          <w:b/>
        </w:rPr>
        <w:t xml:space="preserve"> approved resource program expenditures (excluding administrative costs).</w:t>
      </w:r>
      <w:r w:rsidR="006E416F">
        <w:rPr>
          <w:b/>
        </w:rPr>
        <w:t xml:space="preserve"> </w:t>
      </w:r>
      <w:r w:rsidR="00CF26F8">
        <w:rPr>
          <w:b/>
        </w:rPr>
        <w:t xml:space="preserve">Pursuant to </w:t>
      </w:r>
      <w:r w:rsidR="0041406D">
        <w:rPr>
          <w:b/>
        </w:rPr>
        <w:t>D</w:t>
      </w:r>
      <w:r w:rsidR="008151FD">
        <w:rPr>
          <w:b/>
        </w:rPr>
        <w:t>.</w:t>
      </w:r>
      <w:r w:rsidR="00C67054">
        <w:rPr>
          <w:b/>
        </w:rPr>
        <w:t>16-08-019</w:t>
      </w:r>
      <w:r w:rsidR="0041406D">
        <w:rPr>
          <w:b/>
        </w:rPr>
        <w:t xml:space="preserve">, </w:t>
      </w:r>
      <w:r w:rsidR="006E416F">
        <w:rPr>
          <w:b/>
        </w:rPr>
        <w:t xml:space="preserve">the </w:t>
      </w:r>
      <w:r w:rsidR="001355AE">
        <w:rPr>
          <w:b/>
        </w:rPr>
        <w:t>EAR</w:t>
      </w:r>
      <w:r w:rsidR="006E416F">
        <w:rPr>
          <w:b/>
        </w:rPr>
        <w:t xml:space="preserve"> </w:t>
      </w:r>
      <w:r w:rsidR="004D0ED4">
        <w:rPr>
          <w:b/>
        </w:rPr>
        <w:t>P</w:t>
      </w:r>
      <w:r w:rsidR="006E416F">
        <w:rPr>
          <w:b/>
        </w:rPr>
        <w:t xml:space="preserve">erformance scores </w:t>
      </w:r>
      <w:r w:rsidR="00822910">
        <w:rPr>
          <w:b/>
        </w:rPr>
        <w:t>are</w:t>
      </w:r>
      <w:r w:rsidR="006E416F">
        <w:rPr>
          <w:b/>
        </w:rPr>
        <w:t xml:space="preserve"> weighted by </w:t>
      </w:r>
      <w:r w:rsidR="001355AE">
        <w:rPr>
          <w:b/>
        </w:rPr>
        <w:t xml:space="preserve">the </w:t>
      </w:r>
      <w:r w:rsidR="006E416F">
        <w:rPr>
          <w:b/>
        </w:rPr>
        <w:t>contribution</w:t>
      </w:r>
      <w:r w:rsidR="001355AE">
        <w:rPr>
          <w:b/>
        </w:rPr>
        <w:t>s</w:t>
      </w:r>
      <w:r w:rsidR="006E416F">
        <w:rPr>
          <w:b/>
        </w:rPr>
        <w:t xml:space="preserve"> of </w:t>
      </w:r>
      <w:r w:rsidR="002F2D6A">
        <w:rPr>
          <w:b/>
        </w:rPr>
        <w:t>workpaper</w:t>
      </w:r>
      <w:r w:rsidR="006E416F">
        <w:rPr>
          <w:b/>
        </w:rPr>
        <w:t xml:space="preserve"> and custom projects to net lifecycle savings.</w:t>
      </w:r>
    </w:p>
    <w:p w14:paraId="7C93F1E0" w14:textId="77777777" w:rsidR="00822910" w:rsidRDefault="000A1C63" w:rsidP="004F232E">
      <w:pPr>
        <w:spacing w:after="160"/>
        <w:jc w:val="both"/>
      </w:pPr>
      <w:r>
        <w:lastRenderedPageBreak/>
        <w:t xml:space="preserve">Twice each year, the Commission provides feedback to the IOUs on their </w:t>
      </w:r>
      <w:r w:rsidR="00C67054">
        <w:t xml:space="preserve">EAR </w:t>
      </w:r>
      <w:r>
        <w:t xml:space="preserve">process performance by issuing midyear and final performance memos. </w:t>
      </w:r>
      <w:r w:rsidR="00E67F55">
        <w:t xml:space="preserve">Midyear performance </w:t>
      </w:r>
      <w:r>
        <w:t>memos</w:t>
      </w:r>
      <w:r w:rsidR="00E67F55">
        <w:t xml:space="preserve"> were not issued for PY 2017.</w:t>
      </w:r>
      <w:r w:rsidR="00E67F55" w:rsidRPr="00897112">
        <w:t xml:space="preserve"> Final </w:t>
      </w:r>
      <w:r>
        <w:t xml:space="preserve">2017 </w:t>
      </w:r>
      <w:r w:rsidR="00C67054">
        <w:t>p</w:t>
      </w:r>
      <w:r w:rsidR="00E67F55" w:rsidRPr="00897112">
        <w:t xml:space="preserve">erformance </w:t>
      </w:r>
      <w:r>
        <w:t>memos</w:t>
      </w:r>
      <w:r w:rsidR="00E67F55" w:rsidRPr="00897112">
        <w:t xml:space="preserve"> were released</w:t>
      </w:r>
      <w:r w:rsidR="00E67F55">
        <w:t xml:space="preserve"> on</w:t>
      </w:r>
      <w:r w:rsidR="00E67F55" w:rsidRPr="00897112">
        <w:t xml:space="preserve"> March 26, 2018.</w:t>
      </w:r>
      <w:bookmarkStart w:id="26" w:name="_Ref521102"/>
      <w:r w:rsidR="00E67F55" w:rsidRPr="00897112">
        <w:rPr>
          <w:vertAlign w:val="superscript"/>
        </w:rPr>
        <w:footnoteReference w:id="24"/>
      </w:r>
      <w:bookmarkEnd w:id="26"/>
      <w:r w:rsidR="00E67F55" w:rsidRPr="00897112">
        <w:t xml:space="preserve"> </w:t>
      </w:r>
      <w:r w:rsidR="00822910">
        <w:t>However, the scores were not weighted at that time.</w:t>
      </w:r>
    </w:p>
    <w:p w14:paraId="52B30A92" w14:textId="77777777" w:rsidR="004F232E" w:rsidRDefault="004F232E" w:rsidP="004F232E">
      <w:pPr>
        <w:spacing w:after="160"/>
        <w:jc w:val="both"/>
      </w:pPr>
      <w:r>
        <w:t xml:space="preserve">In previous years, </w:t>
      </w:r>
      <w:r w:rsidR="002F2D6A">
        <w:t>workpaper</w:t>
      </w:r>
      <w:r>
        <w:t xml:space="preserve"> </w:t>
      </w:r>
      <w:r w:rsidR="007922A1">
        <w:t xml:space="preserve">or “deemed” </w:t>
      </w:r>
      <w:r>
        <w:t>and custom EAR performance scores were equally weighted at 50 percent; the total performance score was a simple addition of deemed and custom EAR performance scores. D.</w:t>
      </w:r>
      <w:r w:rsidRPr="000C1219">
        <w:t>16-08-019</w:t>
      </w:r>
      <w:r>
        <w:t xml:space="preserve"> ordered that ESPI</w:t>
      </w:r>
      <w:r w:rsidRPr="000C1219">
        <w:t xml:space="preserve"> scores be weighted based on the proportion of deemed</w:t>
      </w:r>
      <w:r w:rsidR="007922A1">
        <w:t xml:space="preserve"> </w:t>
      </w:r>
      <w:r w:rsidRPr="000C1219">
        <w:t>savings</w:t>
      </w:r>
      <w:r>
        <w:t xml:space="preserve"> measures</w:t>
      </w:r>
      <w:r w:rsidRPr="000C1219">
        <w:t xml:space="preserve"> and custom measures in each utility’s portfolio</w:t>
      </w:r>
      <w:r>
        <w:t>.</w:t>
      </w:r>
      <w:r>
        <w:rPr>
          <w:rStyle w:val="FootnoteReference"/>
        </w:rPr>
        <w:footnoteReference w:id="25"/>
      </w:r>
      <w:r>
        <w:t xml:space="preserve"> </w:t>
      </w:r>
      <w:r w:rsidR="00822910">
        <w:t>To correctly apply the intent of the decision</w:t>
      </w:r>
      <w:r w:rsidR="00137E82">
        <w:t>,</w:t>
      </w:r>
      <w:r w:rsidR="00822910">
        <w:t xml:space="preserve"> </w:t>
      </w:r>
      <w:r>
        <w:t xml:space="preserve">Commission Staff </w:t>
      </w:r>
      <w:r w:rsidR="00822910">
        <w:t xml:space="preserve">has amended the 2017 </w:t>
      </w:r>
      <w:r w:rsidR="00E577EB">
        <w:t>EAR</w:t>
      </w:r>
      <w:r w:rsidR="00822910">
        <w:t xml:space="preserve"> scores by </w:t>
      </w:r>
      <w:r>
        <w:t>appl</w:t>
      </w:r>
      <w:r w:rsidR="00822910">
        <w:t xml:space="preserve">ying </w:t>
      </w:r>
      <w:r>
        <w:t xml:space="preserve">weights to the </w:t>
      </w:r>
      <w:r w:rsidR="00074862">
        <w:t xml:space="preserve">deemed </w:t>
      </w:r>
      <w:r>
        <w:t xml:space="preserve">and </w:t>
      </w:r>
      <w:r w:rsidR="00074862">
        <w:t xml:space="preserve">custom </w:t>
      </w:r>
      <w:r>
        <w:t>EAR performance scores based on their respective proportions of net lifecycle savings (including market effects)</w:t>
      </w:r>
      <w:r w:rsidR="00822910">
        <w:t xml:space="preserve">.  </w:t>
      </w:r>
    </w:p>
    <w:p w14:paraId="39A967F8" w14:textId="77777777" w:rsidR="00822910" w:rsidRPr="00822910" w:rsidRDefault="00822910" w:rsidP="004F232E">
      <w:pPr>
        <w:rPr>
          <w:b/>
        </w:rPr>
      </w:pPr>
      <w:r w:rsidRPr="00822910">
        <w:rPr>
          <w:b/>
        </w:rPr>
        <w:t xml:space="preserve">Methodology to calculate weighted </w:t>
      </w:r>
      <w:r w:rsidR="00031930">
        <w:rPr>
          <w:b/>
        </w:rPr>
        <w:t>EAR performance</w:t>
      </w:r>
      <w:r w:rsidRPr="00822910">
        <w:rPr>
          <w:b/>
        </w:rPr>
        <w:t xml:space="preserve"> score</w:t>
      </w:r>
      <w:r w:rsidR="00031930">
        <w:rPr>
          <w:b/>
        </w:rPr>
        <w:t>s</w:t>
      </w:r>
    </w:p>
    <w:p w14:paraId="33066245" w14:textId="77777777" w:rsidR="00074862" w:rsidRDefault="004F232E" w:rsidP="002E171E">
      <w:pPr>
        <w:jc w:val="both"/>
      </w:pPr>
      <w:r>
        <w:t>Commission Staff used the savings reported in kWh and therms in the 2017 ex-ante savings workbook,</w:t>
      </w:r>
      <w:r>
        <w:rPr>
          <w:rStyle w:val="FootnoteReference"/>
        </w:rPr>
        <w:footnoteReference w:id="26"/>
      </w:r>
      <w:r>
        <w:t xml:space="preserve"> filtered to exclude</w:t>
      </w:r>
      <w:r w:rsidRPr="00D51B78">
        <w:t xml:space="preserve"> </w:t>
      </w:r>
      <w:r>
        <w:t>C&amp;S advocacy</w:t>
      </w:r>
      <w:r w:rsidRPr="00D51B78">
        <w:t>, non-resource</w:t>
      </w:r>
      <w:r>
        <w:t>,</w:t>
      </w:r>
      <w:r w:rsidRPr="00D51B78">
        <w:t xml:space="preserve"> audit, and</w:t>
      </w:r>
      <w:r w:rsidRPr="001355AE">
        <w:t xml:space="preserve"> </w:t>
      </w:r>
      <w:r w:rsidR="00F81CF4" w:rsidRPr="00276DAD">
        <w:rPr>
          <w:sz w:val="22"/>
        </w:rPr>
        <w:t xml:space="preserve">database of energy efficiency resources </w:t>
      </w:r>
      <w:r w:rsidR="00F81CF4">
        <w:rPr>
          <w:sz w:val="22"/>
        </w:rPr>
        <w:t>(</w:t>
      </w:r>
      <w:r>
        <w:t>DEER</w:t>
      </w:r>
      <w:r w:rsidR="00F81CF4">
        <w:t>)</w:t>
      </w:r>
      <w:r>
        <w:t xml:space="preserve"> </w:t>
      </w:r>
      <w:r w:rsidRPr="00D51B78">
        <w:t>measures</w:t>
      </w:r>
      <w:r>
        <w:t xml:space="preserve">. </w:t>
      </w:r>
      <w:r w:rsidR="00074862">
        <w:t xml:space="preserve">Although </w:t>
      </w:r>
      <w:r w:rsidR="00074862" w:rsidRPr="00374A9F">
        <w:rPr>
          <w:sz w:val="22"/>
        </w:rPr>
        <w:t xml:space="preserve">D.16-08-019 </w:t>
      </w:r>
      <w:r w:rsidR="00074862">
        <w:rPr>
          <w:sz w:val="22"/>
        </w:rPr>
        <w:t>says to count</w:t>
      </w:r>
      <w:r w:rsidR="00074862" w:rsidRPr="00374A9F">
        <w:rPr>
          <w:sz w:val="22"/>
        </w:rPr>
        <w:t xml:space="preserve"> savings </w:t>
      </w:r>
      <w:r w:rsidR="00074862">
        <w:rPr>
          <w:sz w:val="22"/>
        </w:rPr>
        <w:t>from n</w:t>
      </w:r>
      <w:r w:rsidR="00074862" w:rsidRPr="00074862">
        <w:rPr>
          <w:sz w:val="22"/>
        </w:rPr>
        <w:t>ormalized metered energy consumption</w:t>
      </w:r>
      <w:r w:rsidR="00074862">
        <w:rPr>
          <w:sz w:val="22"/>
        </w:rPr>
        <w:t xml:space="preserve"> (NMEC) programs </w:t>
      </w:r>
      <w:r w:rsidR="00074862" w:rsidRPr="00374A9F">
        <w:rPr>
          <w:sz w:val="22"/>
        </w:rPr>
        <w:t xml:space="preserve">in the custom category until </w:t>
      </w:r>
      <w:r w:rsidR="00074862">
        <w:rPr>
          <w:sz w:val="22"/>
        </w:rPr>
        <w:t>they exceed</w:t>
      </w:r>
      <w:r w:rsidR="00074862" w:rsidRPr="00374A9F">
        <w:rPr>
          <w:sz w:val="22"/>
        </w:rPr>
        <w:t xml:space="preserve"> ten percent of the portfolio</w:t>
      </w:r>
      <w:r w:rsidR="00074862">
        <w:rPr>
          <w:sz w:val="22"/>
        </w:rPr>
        <w:t>,</w:t>
      </w:r>
      <w:r w:rsidR="00074862">
        <w:rPr>
          <w:rStyle w:val="FootnoteReference"/>
        </w:rPr>
        <w:footnoteReference w:id="27"/>
      </w:r>
      <w:r w:rsidR="00074862">
        <w:rPr>
          <w:sz w:val="22"/>
        </w:rPr>
        <w:t xml:space="preserve"> w</w:t>
      </w:r>
      <w:r w:rsidR="00074862" w:rsidRPr="00EC1768">
        <w:rPr>
          <w:sz w:val="22"/>
        </w:rPr>
        <w:t xml:space="preserve">e </w:t>
      </w:r>
      <w:r w:rsidR="00074862">
        <w:rPr>
          <w:sz w:val="22"/>
        </w:rPr>
        <w:t>did</w:t>
      </w:r>
      <w:r w:rsidR="00074862" w:rsidRPr="00EC1768">
        <w:rPr>
          <w:sz w:val="22"/>
        </w:rPr>
        <w:t xml:space="preserve"> not change the category of any measures</w:t>
      </w:r>
      <w:r w:rsidR="00074862">
        <w:rPr>
          <w:sz w:val="22"/>
        </w:rPr>
        <w:t xml:space="preserve"> as t</w:t>
      </w:r>
      <w:r w:rsidR="00074862" w:rsidRPr="00EC1768">
        <w:rPr>
          <w:sz w:val="22"/>
        </w:rPr>
        <w:t>he NMEC programs did not claim savings in 2017 and any custom NMEC projects are marked as custom.</w:t>
      </w:r>
      <w:r w:rsidR="00AC1070">
        <w:rPr>
          <w:rStyle w:val="FootnoteReference"/>
          <w:sz w:val="22"/>
        </w:rPr>
        <w:footnoteReference w:id="28"/>
      </w:r>
    </w:p>
    <w:p w14:paraId="16F4CE5B" w14:textId="77777777" w:rsidR="004F232E" w:rsidRPr="00D51B78" w:rsidRDefault="004F232E" w:rsidP="002E171E">
      <w:pPr>
        <w:jc w:val="both"/>
      </w:pPr>
      <w:r>
        <w:t>We included both kWh and therm savings for PG&amp;E and SDG&amp;E, but only included kWh savings for SCE and therm savings for SoCalGas</w:t>
      </w:r>
      <w:r w:rsidRPr="00D51B78">
        <w:t>.</w:t>
      </w:r>
      <w:r>
        <w:t xml:space="preserve"> </w:t>
      </w:r>
      <w:r w:rsidRPr="00D51B78">
        <w:t xml:space="preserve">In order to </w:t>
      </w:r>
      <w:r>
        <w:t>sum</w:t>
      </w:r>
      <w:r w:rsidRPr="00D51B78">
        <w:t xml:space="preserve"> </w:t>
      </w:r>
      <w:r>
        <w:t xml:space="preserve">the </w:t>
      </w:r>
      <w:r w:rsidRPr="00D51B78">
        <w:t xml:space="preserve">savings </w:t>
      </w:r>
      <w:r>
        <w:t>of both</w:t>
      </w:r>
      <w:r w:rsidRPr="00D51B78">
        <w:t xml:space="preserve"> </w:t>
      </w:r>
      <w:r>
        <w:t>units,</w:t>
      </w:r>
      <w:r w:rsidRPr="00D51B78">
        <w:t xml:space="preserve"> we converted kWh and therms to MMBtu using the </w:t>
      </w:r>
      <w:r>
        <w:t>equation</w:t>
      </w:r>
      <w:r w:rsidRPr="00D51B78">
        <w:t>:</w:t>
      </w:r>
    </w:p>
    <w:p w14:paraId="489D3201" w14:textId="77777777" w:rsidR="004F232E" w:rsidRPr="00D51B78" w:rsidRDefault="004F232E" w:rsidP="004F232E">
      <w:pPr>
        <w:jc w:val="center"/>
      </w:pPr>
      <m:oMathPara>
        <m:oMath>
          <m:r>
            <w:rPr>
              <w:rFonts w:ascii="Cambria Math" w:hAnsi="Cambria Math"/>
            </w:rPr>
            <m:t>MMBtu=</m:t>
          </m:r>
          <m:f>
            <m:fPr>
              <m:ctrlPr>
                <w:rPr>
                  <w:rFonts w:ascii="Cambria Math" w:hAnsi="Cambria Math"/>
                  <w:i/>
                </w:rPr>
              </m:ctrlPr>
            </m:fPr>
            <m:num>
              <m:r>
                <w:rPr>
                  <w:rFonts w:ascii="Cambria Math" w:hAnsi="Cambria Math"/>
                </w:rPr>
                <m:t>(kWh*3,413)+(therms*100,000)</m:t>
              </m:r>
            </m:num>
            <m:den>
              <m:r>
                <w:rPr>
                  <w:rFonts w:ascii="Cambria Math" w:hAnsi="Cambria Math"/>
                </w:rPr>
                <m:t>1,000,000</m:t>
              </m:r>
            </m:den>
          </m:f>
        </m:oMath>
      </m:oMathPara>
    </w:p>
    <w:p w14:paraId="51942C00" w14:textId="77777777" w:rsidR="004F232E" w:rsidRPr="00D51B78" w:rsidRDefault="004F232E" w:rsidP="004F232E">
      <w:r w:rsidRPr="00D51B78">
        <w:lastRenderedPageBreak/>
        <w:t xml:space="preserve">We calculated </w:t>
      </w:r>
      <w:r>
        <w:t>each IOU’s</w:t>
      </w:r>
      <w:r w:rsidRPr="00D51B78">
        <w:t xml:space="preserve"> weighted EAR </w:t>
      </w:r>
      <w:r>
        <w:t xml:space="preserve">performance </w:t>
      </w:r>
      <w:r w:rsidRPr="00D51B78">
        <w:t xml:space="preserve">score using the </w:t>
      </w:r>
      <w:r>
        <w:t>equation</w:t>
      </w:r>
      <w:r w:rsidRPr="00D51B78">
        <w:t>:</w:t>
      </w:r>
    </w:p>
    <w:p w14:paraId="3C68DB76" w14:textId="77777777" w:rsidR="004F232E" w:rsidRPr="00FA7EF5" w:rsidRDefault="004F232E" w:rsidP="004F232E">
      <m:oMathPara>
        <m:oMath>
          <m:r>
            <w:rPr>
              <w:rFonts w:ascii="Cambria Math" w:hAnsi="Cambria Math"/>
            </w:rPr>
            <m:t>EAR Performance Score=</m:t>
          </m:r>
          <m:d>
            <m:dPr>
              <m:ctrlPr>
                <w:rPr>
                  <w:rFonts w:ascii="Cambria Math" w:hAnsi="Cambria Math"/>
                  <w:i/>
                </w:rPr>
              </m:ctrlPr>
            </m:dPr>
            <m:e>
              <m:sSub>
                <m:sSubPr>
                  <m:ctrlPr>
                    <w:rPr>
                      <w:rFonts w:ascii="Cambria Math" w:hAnsi="Cambria Math"/>
                    </w:rPr>
                  </m:ctrlPr>
                </m:sSubPr>
                <m:e>
                  <m:r>
                    <m:rPr>
                      <m:sty m:val="p"/>
                    </m:rPr>
                    <w:rPr>
                      <w:rFonts w:ascii="Cambria Math" w:hAnsi="Cambria Math"/>
                    </w:rPr>
                    <m:t>β</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EAR</m:t>
                  </m:r>
                </m:e>
                <m:sub>
                  <m:r>
                    <w:rPr>
                      <w:rFonts w:ascii="Cambria Math" w:hAnsi="Cambria Math"/>
                    </w:rPr>
                    <m:t>D</m:t>
                  </m:r>
                </m:sub>
              </m:sSub>
              <m:r>
                <w:rPr>
                  <w:rFonts w:ascii="Cambria Math" w:hAnsi="Cambria Math"/>
                </w:rPr>
                <m:t>+</m:t>
              </m:r>
              <m:sSub>
                <m:sSubPr>
                  <m:ctrlPr>
                    <w:rPr>
                      <w:rFonts w:ascii="Cambria Math" w:hAnsi="Cambria Math"/>
                    </w:rPr>
                  </m:ctrlPr>
                </m:sSubPr>
                <m:e>
                  <m:r>
                    <m:rPr>
                      <m:sty m:val="p"/>
                    </m:rPr>
                    <w:rPr>
                      <w:rFonts w:ascii="Cambria Math" w:hAnsi="Cambria Math"/>
                    </w:rPr>
                    <m:t>β</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EAR</m:t>
                  </m:r>
                </m:e>
                <m:sub>
                  <m:r>
                    <w:rPr>
                      <w:rFonts w:ascii="Cambria Math" w:hAnsi="Cambria Math"/>
                    </w:rPr>
                    <m:t>C</m:t>
                  </m:r>
                </m:sub>
              </m:sSub>
            </m:e>
          </m:d>
          <m:r>
            <w:rPr>
              <w:rFonts w:ascii="Cambria Math" w:hAnsi="Cambria Math"/>
            </w:rPr>
            <m:t>×2</m:t>
          </m:r>
        </m:oMath>
      </m:oMathPara>
    </w:p>
    <w:p w14:paraId="1DB80115" w14:textId="77777777" w:rsidR="004F232E" w:rsidRPr="00D51B78" w:rsidRDefault="004F232E" w:rsidP="004F232E">
      <w:r w:rsidRPr="00D51B78">
        <w:t xml:space="preserve">Where: </w:t>
      </w:r>
    </w:p>
    <w:p w14:paraId="370E337C" w14:textId="77777777" w:rsidR="004F232E" w:rsidRPr="00D51B78" w:rsidRDefault="00CE6758" w:rsidP="004F232E">
      <m:oMathPara>
        <m:oMathParaPr>
          <m:jc m:val="left"/>
        </m:oMathParaPr>
        <m:oMath>
          <m:sSub>
            <m:sSubPr>
              <m:ctrlPr>
                <w:rPr>
                  <w:rFonts w:ascii="Cambria Math" w:hAnsi="Cambria Math"/>
                </w:rPr>
              </m:ctrlPr>
            </m:sSubPr>
            <m:e>
              <m:r>
                <m:rPr>
                  <m:sty m:val="p"/>
                </m:rPr>
                <w:rPr>
                  <w:rFonts w:ascii="Cambria Math" w:hAnsi="Cambria Math"/>
                </w:rPr>
                <m:t>β</m:t>
              </m:r>
            </m:e>
            <m:sub>
              <m:r>
                <w:rPr>
                  <w:rFonts w:ascii="Cambria Math" w:hAnsi="Cambria Math"/>
                </w:rPr>
                <m:t>D</m:t>
              </m:r>
            </m:sub>
          </m:sSub>
          <m:r>
            <w:rPr>
              <w:rFonts w:ascii="Cambria Math" w:hAnsi="Cambria Math"/>
            </w:rPr>
            <m:t>≔percentage of portfolio savings from deemed measures</m:t>
          </m:r>
        </m:oMath>
      </m:oMathPara>
    </w:p>
    <w:p w14:paraId="36D9E002" w14:textId="77777777" w:rsidR="004F232E" w:rsidRPr="00D51B78" w:rsidRDefault="00CE6758" w:rsidP="004F232E">
      <m:oMath>
        <m:sSub>
          <m:sSubPr>
            <m:ctrlPr>
              <w:rPr>
                <w:rFonts w:ascii="Cambria Math" w:hAnsi="Cambria Math"/>
              </w:rPr>
            </m:ctrlPr>
          </m:sSubPr>
          <m:e>
            <m:r>
              <m:rPr>
                <m:sty m:val="p"/>
              </m:rPr>
              <w:rPr>
                <w:rFonts w:ascii="Cambria Math" w:hAnsi="Cambria Math"/>
              </w:rPr>
              <m:t>β</m:t>
            </m:r>
          </m:e>
          <m:sub>
            <m:r>
              <w:rPr>
                <w:rFonts w:ascii="Cambria Math" w:hAnsi="Cambria Math"/>
              </w:rPr>
              <m:t>C</m:t>
            </m:r>
          </m:sub>
        </m:sSub>
        <m:r>
          <w:rPr>
            <w:rFonts w:ascii="Cambria Math" w:hAnsi="Cambria Math"/>
          </w:rPr>
          <m:t>≔percentage of portfolio savings from custom measures</m:t>
        </m:r>
      </m:oMath>
      <w:r w:rsidR="004F232E">
        <w:t xml:space="preserve"> </w:t>
      </w:r>
    </w:p>
    <w:p w14:paraId="5F737CE6" w14:textId="77777777" w:rsidR="004F232E" w:rsidRPr="00D51B78" w:rsidRDefault="00CE6758" w:rsidP="004F232E">
      <m:oMathPara>
        <m:oMathParaPr>
          <m:jc m:val="left"/>
        </m:oMathParaPr>
        <m:oMath>
          <m:sSub>
            <m:sSubPr>
              <m:ctrlPr>
                <w:rPr>
                  <w:rFonts w:ascii="Cambria Math" w:hAnsi="Cambria Math"/>
                  <w:i/>
                </w:rPr>
              </m:ctrlPr>
            </m:sSubPr>
            <m:e>
              <m:r>
                <w:rPr>
                  <w:rFonts w:ascii="Cambria Math" w:hAnsi="Cambria Math"/>
                </w:rPr>
                <m:t>EAR</m:t>
              </m:r>
            </m:e>
            <m:sub>
              <m:r>
                <w:rPr>
                  <w:rFonts w:ascii="Cambria Math" w:hAnsi="Cambria Math"/>
                </w:rPr>
                <m:t>D</m:t>
              </m:r>
            </m:sub>
          </m:sSub>
          <m:r>
            <w:rPr>
              <w:rFonts w:ascii="Cambria Math" w:hAnsi="Cambria Math"/>
            </w:rPr>
            <m:t>≔EAR score for deemed me</m:t>
          </m:r>
          <m:r>
            <w:rPr>
              <w:rFonts w:ascii="Cambria Math" w:hAnsi="Cambria Math"/>
            </w:rPr>
            <m:t>asures</m:t>
          </m:r>
        </m:oMath>
      </m:oMathPara>
    </w:p>
    <w:p w14:paraId="6C8B6B07" w14:textId="77777777" w:rsidR="004F232E" w:rsidRPr="00D51B78" w:rsidRDefault="00CE6758" w:rsidP="004F232E">
      <m:oMath>
        <m:sSub>
          <m:sSubPr>
            <m:ctrlPr>
              <w:rPr>
                <w:rFonts w:ascii="Cambria Math" w:hAnsi="Cambria Math"/>
                <w:i/>
              </w:rPr>
            </m:ctrlPr>
          </m:sSubPr>
          <m:e>
            <m:r>
              <w:rPr>
                <w:rFonts w:ascii="Cambria Math" w:hAnsi="Cambria Math"/>
              </w:rPr>
              <m:t>EAR</m:t>
            </m:r>
          </m:e>
          <m:sub>
            <m:r>
              <w:rPr>
                <w:rFonts w:ascii="Cambria Math" w:hAnsi="Cambria Math"/>
              </w:rPr>
              <m:t>C</m:t>
            </m:r>
          </m:sub>
        </m:sSub>
        <m:r>
          <w:rPr>
            <w:rFonts w:ascii="Cambria Math" w:hAnsi="Cambria Math"/>
          </w:rPr>
          <m:t>≔EAR score for custom measures</m:t>
        </m:r>
      </m:oMath>
      <w:r w:rsidR="004F232E" w:rsidRPr="00D51B78">
        <w:t xml:space="preserve"> </w:t>
      </w:r>
    </w:p>
    <w:p w14:paraId="3B95E5D4" w14:textId="77777777" w:rsidR="004F232E" w:rsidRDefault="004F232E" w:rsidP="002E171E">
      <w:pPr>
        <w:jc w:val="both"/>
      </w:pPr>
      <w:r w:rsidRPr="00EC1768">
        <w:t xml:space="preserve">The deemed </w:t>
      </w:r>
      <w:r w:rsidR="00074862" w:rsidRPr="00EC1768">
        <w:t xml:space="preserve">and custom </w:t>
      </w:r>
      <w:r w:rsidRPr="00EC1768">
        <w:t xml:space="preserve">scores are </w:t>
      </w:r>
      <w:r>
        <w:t xml:space="preserve">multiplied by 2 (or 100/50) in the above equation as they are </w:t>
      </w:r>
      <w:r w:rsidRPr="00EC1768">
        <w:t xml:space="preserve">each out of 50 points and need to be weighted out of </w:t>
      </w:r>
      <w:r w:rsidRPr="0055525C">
        <w:t>100 points.</w:t>
      </w:r>
      <w:r>
        <w:t xml:space="preserve"> </w:t>
      </w:r>
    </w:p>
    <w:p w14:paraId="009EBA48" w14:textId="77777777" w:rsidR="004F232E" w:rsidRDefault="004F232E" w:rsidP="002E171E">
      <w:pPr>
        <w:jc w:val="both"/>
      </w:pPr>
      <w:r>
        <w:t xml:space="preserve">In the future, Commission </w:t>
      </w:r>
      <w:r w:rsidR="00527159">
        <w:t>S</w:t>
      </w:r>
      <w:r>
        <w:t xml:space="preserve">taff will continue to release deemed </w:t>
      </w:r>
      <w:r w:rsidR="00074862">
        <w:t xml:space="preserve">and custom </w:t>
      </w:r>
      <w:r>
        <w:t xml:space="preserve">EAR performance scores in the final EAR performance memos by </w:t>
      </w:r>
      <w:r w:rsidR="00E16435">
        <w:t>March 31st</w:t>
      </w:r>
      <w:r>
        <w:t xml:space="preserve"> of each year. For use in their ESPI advice letters, the IOUs should calculate weighted total EAR performance scores using the methods described above, and based on the Commission Staff’s ex-ante workbook, if available. If the ex-ante workbook is not yet available, the IOUs should base their calculations on their own ex-ante savings data as uploaded into CEDARS and the </w:t>
      </w:r>
      <w:r w:rsidRPr="001355AE">
        <w:t>Energy Division Central Server</w:t>
      </w:r>
      <w:r>
        <w:t xml:space="preserve"> on May 1</w:t>
      </w:r>
      <w:r w:rsidRPr="004F232E">
        <w:rPr>
          <w:vertAlign w:val="superscript"/>
        </w:rPr>
        <w:t>st</w:t>
      </w:r>
      <w:r>
        <w:t xml:space="preserve"> of each year.</w:t>
      </w:r>
    </w:p>
    <w:p w14:paraId="645CFB79" w14:textId="77777777" w:rsidR="00E67F55" w:rsidRDefault="0038256F" w:rsidP="008E7BDB">
      <w:pPr>
        <w:spacing w:after="160"/>
        <w:jc w:val="both"/>
      </w:pPr>
      <w:r>
        <w:t xml:space="preserve">Table 9 </w:t>
      </w:r>
      <w:r w:rsidR="00E67F55" w:rsidRPr="00897112">
        <w:t xml:space="preserve">shows the IOUs’ 2017 </w:t>
      </w:r>
      <w:r w:rsidR="00C67054">
        <w:t>deemed, custom, and total</w:t>
      </w:r>
      <w:r w:rsidR="0055525C">
        <w:t xml:space="preserve"> weighted</w:t>
      </w:r>
      <w:r w:rsidR="00C67054">
        <w:t xml:space="preserve"> </w:t>
      </w:r>
      <w:r w:rsidR="00E67F55" w:rsidRPr="00897112">
        <w:t xml:space="preserve">scores. </w:t>
      </w:r>
    </w:p>
    <w:tbl>
      <w:tblPr>
        <w:tblStyle w:val="TableGrid"/>
        <w:tblpPr w:leftFromText="187" w:rightFromText="187" w:bottomFromText="288" w:vertAnchor="text" w:horzAnchor="margin" w:tblpXSpec="center" w:tblpY="73"/>
        <w:tblW w:w="8640" w:type="dxa"/>
        <w:tblLook w:val="04A0" w:firstRow="1" w:lastRow="0" w:firstColumn="1" w:lastColumn="0" w:noHBand="0" w:noVBand="1"/>
      </w:tblPr>
      <w:tblGrid>
        <w:gridCol w:w="1998"/>
        <w:gridCol w:w="2250"/>
        <w:gridCol w:w="2250"/>
        <w:gridCol w:w="2142"/>
      </w:tblGrid>
      <w:tr w:rsidR="00A52B69" w14:paraId="4B5133F2" w14:textId="77777777">
        <w:trPr>
          <w:trHeight w:val="446"/>
        </w:trPr>
        <w:tc>
          <w:tcPr>
            <w:tcW w:w="8640" w:type="dxa"/>
            <w:gridSpan w:val="4"/>
            <w:tcBorders>
              <w:top w:val="nil"/>
              <w:left w:val="nil"/>
              <w:right w:val="nil"/>
            </w:tcBorders>
            <w:vAlign w:val="center"/>
          </w:tcPr>
          <w:p w14:paraId="5E284E50" w14:textId="77777777" w:rsidR="00E67F55" w:rsidRPr="00C966CB" w:rsidRDefault="00E67F55" w:rsidP="00EB6163">
            <w:pPr>
              <w:spacing w:before="0" w:after="0"/>
              <w:jc w:val="center"/>
            </w:pPr>
            <w:bookmarkStart w:id="27" w:name="_Ref132160"/>
            <w:r w:rsidRPr="00C966CB">
              <w:t>Table</w:t>
            </w:r>
            <w:r w:rsidR="0038256F">
              <w:t xml:space="preserve"> 9</w:t>
            </w:r>
            <w:bookmarkEnd w:id="27"/>
            <w:r w:rsidRPr="00C966CB">
              <w:t xml:space="preserve">: </w:t>
            </w:r>
            <w:r w:rsidR="002F7184" w:rsidRPr="00C966CB">
              <w:t>2017</w:t>
            </w:r>
            <w:r w:rsidR="002F7184">
              <w:t xml:space="preserve"> EAR</w:t>
            </w:r>
            <w:r w:rsidRPr="00C966CB">
              <w:t xml:space="preserve"> Performance Score</w:t>
            </w:r>
            <w:r w:rsidR="007C40F2" w:rsidRPr="00C966CB">
              <w:t>s</w:t>
            </w:r>
            <w:r w:rsidRPr="00C966CB">
              <w:t xml:space="preserve"> </w:t>
            </w:r>
          </w:p>
        </w:tc>
      </w:tr>
      <w:tr w:rsidR="00A52B69" w14:paraId="760ABC10" w14:textId="77777777">
        <w:tc>
          <w:tcPr>
            <w:tcW w:w="1998" w:type="dxa"/>
            <w:vAlign w:val="center"/>
          </w:tcPr>
          <w:p w14:paraId="05429F70" w14:textId="77777777" w:rsidR="00E67F55" w:rsidRPr="002304A9" w:rsidRDefault="00E67F55" w:rsidP="00B47FF2">
            <w:pPr>
              <w:spacing w:before="0" w:after="0"/>
              <w:jc w:val="center"/>
              <w:rPr>
                <w:b/>
              </w:rPr>
            </w:pPr>
            <w:r w:rsidRPr="002304A9">
              <w:rPr>
                <w:b/>
              </w:rPr>
              <w:t>IOU</w:t>
            </w:r>
          </w:p>
        </w:tc>
        <w:tc>
          <w:tcPr>
            <w:tcW w:w="2250" w:type="dxa"/>
          </w:tcPr>
          <w:p w14:paraId="67EB3AF7" w14:textId="77777777" w:rsidR="00E67F55" w:rsidRPr="002304A9" w:rsidRDefault="00074862" w:rsidP="00B47FF2">
            <w:pPr>
              <w:spacing w:before="0" w:after="0"/>
              <w:jc w:val="center"/>
              <w:rPr>
                <w:b/>
              </w:rPr>
            </w:pPr>
            <w:r>
              <w:rPr>
                <w:b/>
              </w:rPr>
              <w:t>Deemed</w:t>
            </w:r>
            <w:r w:rsidRPr="002304A9">
              <w:rPr>
                <w:b/>
              </w:rPr>
              <w:t xml:space="preserve"> </w:t>
            </w:r>
            <w:r w:rsidR="00E67F55" w:rsidRPr="002304A9">
              <w:rPr>
                <w:b/>
              </w:rPr>
              <w:t>Score</w:t>
            </w:r>
            <w:r w:rsidR="00C966CB">
              <w:rPr>
                <w:b/>
              </w:rPr>
              <w:t xml:space="preserve"> </w:t>
            </w:r>
            <w:r w:rsidR="00E67F55" w:rsidRPr="002304A9">
              <w:rPr>
                <w:b/>
              </w:rPr>
              <w:t>(%)</w:t>
            </w:r>
          </w:p>
        </w:tc>
        <w:tc>
          <w:tcPr>
            <w:tcW w:w="2250" w:type="dxa"/>
          </w:tcPr>
          <w:p w14:paraId="4642072C" w14:textId="77777777" w:rsidR="00E67F55" w:rsidRPr="002304A9" w:rsidRDefault="00074862" w:rsidP="00B47FF2">
            <w:pPr>
              <w:spacing w:before="0" w:after="0"/>
              <w:jc w:val="center"/>
              <w:rPr>
                <w:b/>
              </w:rPr>
            </w:pPr>
            <w:r>
              <w:rPr>
                <w:b/>
              </w:rPr>
              <w:t>Custom</w:t>
            </w:r>
            <w:r w:rsidRPr="002304A9">
              <w:rPr>
                <w:b/>
              </w:rPr>
              <w:t xml:space="preserve"> </w:t>
            </w:r>
            <w:r w:rsidR="00E67F55" w:rsidRPr="002304A9">
              <w:rPr>
                <w:b/>
              </w:rPr>
              <w:t>Score (%)</w:t>
            </w:r>
          </w:p>
        </w:tc>
        <w:tc>
          <w:tcPr>
            <w:tcW w:w="2142" w:type="dxa"/>
          </w:tcPr>
          <w:p w14:paraId="6E19FCF9" w14:textId="77777777" w:rsidR="00E67F55" w:rsidRPr="002304A9" w:rsidRDefault="00074862" w:rsidP="00B47FF2">
            <w:pPr>
              <w:spacing w:before="0" w:after="0"/>
              <w:jc w:val="center"/>
              <w:rPr>
                <w:b/>
              </w:rPr>
            </w:pPr>
            <w:r>
              <w:rPr>
                <w:b/>
              </w:rPr>
              <w:t>Total</w:t>
            </w:r>
            <w:r w:rsidR="0055525C">
              <w:rPr>
                <w:b/>
              </w:rPr>
              <w:t xml:space="preserve"> Weighted</w:t>
            </w:r>
            <w:r>
              <w:rPr>
                <w:b/>
              </w:rPr>
              <w:t xml:space="preserve"> </w:t>
            </w:r>
            <w:r w:rsidR="00E67F55" w:rsidRPr="002304A9">
              <w:rPr>
                <w:b/>
              </w:rPr>
              <w:t>Score (%)</w:t>
            </w:r>
          </w:p>
        </w:tc>
      </w:tr>
      <w:tr w:rsidR="00A52B69" w14:paraId="00DCF95E" w14:textId="77777777">
        <w:trPr>
          <w:trHeight w:val="368"/>
        </w:trPr>
        <w:tc>
          <w:tcPr>
            <w:tcW w:w="1998" w:type="dxa"/>
            <w:vAlign w:val="center"/>
          </w:tcPr>
          <w:p w14:paraId="14DDA953" w14:textId="77777777" w:rsidR="00E67F55" w:rsidRPr="00897112" w:rsidRDefault="00E67F55" w:rsidP="00B47FF2">
            <w:pPr>
              <w:spacing w:before="0" w:after="0"/>
              <w:jc w:val="center"/>
            </w:pPr>
            <w:r w:rsidRPr="00897112">
              <w:t>PG&amp;E</w:t>
            </w:r>
          </w:p>
        </w:tc>
        <w:tc>
          <w:tcPr>
            <w:tcW w:w="2250" w:type="dxa"/>
            <w:vAlign w:val="center"/>
          </w:tcPr>
          <w:p w14:paraId="16B5A434" w14:textId="77777777" w:rsidR="00E67F55" w:rsidRPr="00897112" w:rsidRDefault="00074862" w:rsidP="00B47FF2">
            <w:pPr>
              <w:spacing w:before="0" w:after="0"/>
              <w:jc w:val="center"/>
            </w:pPr>
            <w:r>
              <w:t>33.63</w:t>
            </w:r>
          </w:p>
        </w:tc>
        <w:tc>
          <w:tcPr>
            <w:tcW w:w="2250" w:type="dxa"/>
            <w:vAlign w:val="center"/>
          </w:tcPr>
          <w:p w14:paraId="51692A91" w14:textId="77777777" w:rsidR="00E67F55" w:rsidRPr="00897112" w:rsidRDefault="00074862" w:rsidP="00B47FF2">
            <w:pPr>
              <w:spacing w:before="0" w:after="0"/>
              <w:jc w:val="center"/>
            </w:pPr>
            <w:r>
              <w:t>33.96</w:t>
            </w:r>
          </w:p>
        </w:tc>
        <w:tc>
          <w:tcPr>
            <w:tcW w:w="2142" w:type="dxa"/>
            <w:vAlign w:val="center"/>
          </w:tcPr>
          <w:p w14:paraId="4A92E80C" w14:textId="77777777" w:rsidR="00E67F55" w:rsidRPr="00897112" w:rsidRDefault="00E67F55" w:rsidP="00B47FF2">
            <w:pPr>
              <w:spacing w:before="0" w:after="0"/>
              <w:jc w:val="center"/>
            </w:pPr>
            <w:r w:rsidRPr="00897112">
              <w:t>67.</w:t>
            </w:r>
            <w:r w:rsidR="006E416F">
              <w:t>70</w:t>
            </w:r>
          </w:p>
        </w:tc>
      </w:tr>
      <w:tr w:rsidR="00A52B69" w14:paraId="4E16288D" w14:textId="77777777">
        <w:trPr>
          <w:trHeight w:val="350"/>
        </w:trPr>
        <w:tc>
          <w:tcPr>
            <w:tcW w:w="1998" w:type="dxa"/>
            <w:vAlign w:val="center"/>
          </w:tcPr>
          <w:p w14:paraId="385738EE" w14:textId="77777777" w:rsidR="00E67F55" w:rsidRPr="00897112" w:rsidRDefault="00E67F55" w:rsidP="00B47FF2">
            <w:pPr>
              <w:spacing w:before="0" w:after="0"/>
              <w:jc w:val="center"/>
            </w:pPr>
            <w:r w:rsidRPr="00897112">
              <w:t>SCE</w:t>
            </w:r>
          </w:p>
        </w:tc>
        <w:tc>
          <w:tcPr>
            <w:tcW w:w="2250" w:type="dxa"/>
            <w:vAlign w:val="center"/>
          </w:tcPr>
          <w:p w14:paraId="052FDBA1" w14:textId="77777777" w:rsidR="00E67F55" w:rsidRPr="00897112" w:rsidRDefault="00074862" w:rsidP="00B47FF2">
            <w:pPr>
              <w:spacing w:before="0" w:after="0"/>
              <w:jc w:val="center"/>
            </w:pPr>
            <w:r>
              <w:t>20.59</w:t>
            </w:r>
          </w:p>
        </w:tc>
        <w:tc>
          <w:tcPr>
            <w:tcW w:w="2250" w:type="dxa"/>
            <w:vAlign w:val="center"/>
          </w:tcPr>
          <w:p w14:paraId="18097446" w14:textId="77777777" w:rsidR="00E67F55" w:rsidRPr="00897112" w:rsidRDefault="00074862" w:rsidP="00B47FF2">
            <w:pPr>
              <w:spacing w:before="0" w:after="0"/>
              <w:jc w:val="center"/>
            </w:pPr>
            <w:r>
              <w:t>39.55</w:t>
            </w:r>
          </w:p>
        </w:tc>
        <w:tc>
          <w:tcPr>
            <w:tcW w:w="2142" w:type="dxa"/>
            <w:vAlign w:val="center"/>
          </w:tcPr>
          <w:p w14:paraId="3DBE7187" w14:textId="77777777" w:rsidR="00E67F55" w:rsidRPr="00897112" w:rsidRDefault="006E416F" w:rsidP="00B47FF2">
            <w:pPr>
              <w:spacing w:before="0" w:after="0"/>
              <w:jc w:val="center"/>
            </w:pPr>
            <w:r>
              <w:t>52.63</w:t>
            </w:r>
          </w:p>
        </w:tc>
      </w:tr>
      <w:tr w:rsidR="00A52B69" w14:paraId="7DE48DE7" w14:textId="77777777">
        <w:tc>
          <w:tcPr>
            <w:tcW w:w="1998" w:type="dxa"/>
            <w:vAlign w:val="center"/>
          </w:tcPr>
          <w:p w14:paraId="431E8143" w14:textId="77777777" w:rsidR="00E67F55" w:rsidRPr="00897112" w:rsidRDefault="00E67F55" w:rsidP="00B47FF2">
            <w:pPr>
              <w:spacing w:before="0" w:after="0"/>
              <w:jc w:val="center"/>
            </w:pPr>
            <w:r w:rsidRPr="00897112">
              <w:t>SDG&amp;E</w:t>
            </w:r>
          </w:p>
        </w:tc>
        <w:tc>
          <w:tcPr>
            <w:tcW w:w="2250" w:type="dxa"/>
            <w:vAlign w:val="center"/>
          </w:tcPr>
          <w:p w14:paraId="0451D198" w14:textId="77777777" w:rsidR="00E67F55" w:rsidRPr="00897112" w:rsidRDefault="00074862" w:rsidP="00B47FF2">
            <w:pPr>
              <w:spacing w:before="0" w:after="0"/>
              <w:jc w:val="center"/>
            </w:pPr>
            <w:r>
              <w:t>21.37</w:t>
            </w:r>
          </w:p>
        </w:tc>
        <w:tc>
          <w:tcPr>
            <w:tcW w:w="2250" w:type="dxa"/>
            <w:vAlign w:val="center"/>
          </w:tcPr>
          <w:p w14:paraId="51E2570F" w14:textId="77777777" w:rsidR="00E67F55" w:rsidRPr="00897112" w:rsidRDefault="00074862" w:rsidP="00B47FF2">
            <w:pPr>
              <w:spacing w:before="0" w:after="0"/>
              <w:jc w:val="center"/>
            </w:pPr>
            <w:r>
              <w:t>30.18</w:t>
            </w:r>
          </w:p>
        </w:tc>
        <w:tc>
          <w:tcPr>
            <w:tcW w:w="2142" w:type="dxa"/>
            <w:vAlign w:val="center"/>
          </w:tcPr>
          <w:p w14:paraId="7332C60B" w14:textId="77777777" w:rsidR="00E67F55" w:rsidRPr="00897112" w:rsidRDefault="002C1161" w:rsidP="00B47FF2">
            <w:pPr>
              <w:spacing w:before="0" w:after="0"/>
              <w:jc w:val="center"/>
            </w:pPr>
            <w:r>
              <w:t>47.29</w:t>
            </w:r>
          </w:p>
        </w:tc>
      </w:tr>
      <w:tr w:rsidR="00A52B69" w14:paraId="3CD7CFA7" w14:textId="77777777">
        <w:trPr>
          <w:trHeight w:val="368"/>
        </w:trPr>
        <w:tc>
          <w:tcPr>
            <w:tcW w:w="1998" w:type="dxa"/>
            <w:vAlign w:val="center"/>
          </w:tcPr>
          <w:p w14:paraId="4424C523" w14:textId="77777777" w:rsidR="00E67F55" w:rsidRPr="00897112" w:rsidRDefault="00E67F55" w:rsidP="00B47FF2">
            <w:pPr>
              <w:spacing w:before="0" w:after="0"/>
              <w:jc w:val="center"/>
            </w:pPr>
            <w:r w:rsidRPr="00897112">
              <w:t>SoCalGas</w:t>
            </w:r>
          </w:p>
        </w:tc>
        <w:tc>
          <w:tcPr>
            <w:tcW w:w="2250" w:type="dxa"/>
            <w:vAlign w:val="center"/>
          </w:tcPr>
          <w:p w14:paraId="51ABB10C" w14:textId="77777777" w:rsidR="00E67F55" w:rsidRPr="00897112" w:rsidRDefault="00074862" w:rsidP="00B47FF2">
            <w:pPr>
              <w:spacing w:before="0" w:after="0"/>
              <w:jc w:val="center"/>
            </w:pPr>
            <w:r>
              <w:t>19.85</w:t>
            </w:r>
          </w:p>
        </w:tc>
        <w:tc>
          <w:tcPr>
            <w:tcW w:w="2250" w:type="dxa"/>
            <w:vAlign w:val="center"/>
          </w:tcPr>
          <w:p w14:paraId="42B3F153" w14:textId="77777777" w:rsidR="00E67F55" w:rsidRPr="00897112" w:rsidRDefault="00074862" w:rsidP="00B47FF2">
            <w:pPr>
              <w:spacing w:before="0" w:after="0"/>
              <w:jc w:val="center"/>
            </w:pPr>
            <w:r>
              <w:t>26.49</w:t>
            </w:r>
          </w:p>
        </w:tc>
        <w:tc>
          <w:tcPr>
            <w:tcW w:w="2142" w:type="dxa"/>
            <w:vAlign w:val="center"/>
          </w:tcPr>
          <w:p w14:paraId="0C3DE070" w14:textId="77777777" w:rsidR="00E67F55" w:rsidRPr="00897112" w:rsidRDefault="002C1161" w:rsidP="00B47FF2">
            <w:pPr>
              <w:spacing w:before="0" w:after="0"/>
              <w:jc w:val="center"/>
            </w:pPr>
            <w:r>
              <w:t>45.5</w:t>
            </w:r>
            <w:r w:rsidR="00807C28">
              <w:t>9</w:t>
            </w:r>
            <w:r w:rsidR="00807C28" w:rsidRPr="00807C28">
              <w:rPr>
                <w:sz w:val="16"/>
                <w:szCs w:val="16"/>
                <w:vertAlign w:val="superscript"/>
              </w:rPr>
              <w:t xml:space="preserve"> </w:t>
            </w:r>
            <w:r w:rsidR="00807C28">
              <w:rPr>
                <w:rStyle w:val="FootnoteReference"/>
              </w:rPr>
              <w:footnoteReference w:id="29"/>
            </w:r>
          </w:p>
        </w:tc>
      </w:tr>
    </w:tbl>
    <w:p w14:paraId="723B068E" w14:textId="77777777" w:rsidR="007C40F2" w:rsidRPr="006B49DA" w:rsidRDefault="007A5098" w:rsidP="009A0544">
      <w:pPr>
        <w:pStyle w:val="Heading2"/>
        <w:spacing w:before="120"/>
      </w:pPr>
      <w:r w:rsidRPr="006B49DA">
        <w:lastRenderedPageBreak/>
        <w:t>C</w:t>
      </w:r>
      <w:r w:rsidR="00F96126" w:rsidRPr="006B49DA">
        <w:t>ommission</w:t>
      </w:r>
      <w:r w:rsidRPr="006B49DA">
        <w:t xml:space="preserve"> </w:t>
      </w:r>
      <w:r w:rsidR="007C40F2" w:rsidRPr="006B49DA">
        <w:t xml:space="preserve">Adjustments of </w:t>
      </w:r>
      <w:r w:rsidRPr="006B49DA">
        <w:t>ESPI Awards</w:t>
      </w:r>
    </w:p>
    <w:p w14:paraId="5D77745D" w14:textId="77777777" w:rsidR="008970C9" w:rsidRPr="008970C9" w:rsidRDefault="000A1C63" w:rsidP="00B47FF2">
      <w:pPr>
        <w:jc w:val="both"/>
        <w:rPr>
          <w:b/>
        </w:rPr>
      </w:pPr>
      <w:r w:rsidRPr="00EA4672">
        <w:rPr>
          <w:b/>
        </w:rPr>
        <w:t>T</w:t>
      </w:r>
      <w:r w:rsidR="0086263D" w:rsidRPr="00EA4672">
        <w:rPr>
          <w:b/>
        </w:rPr>
        <w:t>his Resolution modif</w:t>
      </w:r>
      <w:r w:rsidRPr="00EA4672">
        <w:rPr>
          <w:b/>
        </w:rPr>
        <w:t>ies</w:t>
      </w:r>
      <w:r w:rsidR="0086263D" w:rsidRPr="00EA4672">
        <w:rPr>
          <w:b/>
        </w:rPr>
        <w:t xml:space="preserve"> the total award requested by </w:t>
      </w:r>
      <w:r w:rsidR="00FD428F" w:rsidRPr="00EA4672">
        <w:rPr>
          <w:b/>
        </w:rPr>
        <w:t xml:space="preserve">each </w:t>
      </w:r>
      <w:r w:rsidR="0086263D" w:rsidRPr="00EA4672">
        <w:rPr>
          <w:b/>
        </w:rPr>
        <w:t>IOU</w:t>
      </w:r>
      <w:r w:rsidRPr="00EA4672">
        <w:rPr>
          <w:b/>
        </w:rPr>
        <w:t xml:space="preserve"> by adjusting </w:t>
      </w:r>
      <w:r w:rsidR="00416F33" w:rsidRPr="00EA4672">
        <w:rPr>
          <w:b/>
        </w:rPr>
        <w:t xml:space="preserve">ESPI </w:t>
      </w:r>
      <w:r w:rsidR="008F5303" w:rsidRPr="00EA4672">
        <w:rPr>
          <w:b/>
        </w:rPr>
        <w:t>Advice Letter filing</w:t>
      </w:r>
      <w:r w:rsidR="00416F33" w:rsidRPr="00EA4672">
        <w:rPr>
          <w:b/>
        </w:rPr>
        <w:t>s</w:t>
      </w:r>
      <w:r w:rsidR="008F5303" w:rsidRPr="00EA4672">
        <w:rPr>
          <w:b/>
        </w:rPr>
        <w:t xml:space="preserve"> to align with</w:t>
      </w:r>
      <w:r w:rsidR="008970C9" w:rsidRPr="00EA4672">
        <w:rPr>
          <w:b/>
        </w:rPr>
        <w:t xml:space="preserve"> official claims data filed in </w:t>
      </w:r>
      <w:r w:rsidR="003B669E" w:rsidRPr="00EA4672">
        <w:rPr>
          <w:b/>
        </w:rPr>
        <w:t>California Energy Data and Reporting System (</w:t>
      </w:r>
      <w:r w:rsidR="008970C9" w:rsidRPr="00EA4672">
        <w:rPr>
          <w:b/>
        </w:rPr>
        <w:t>CEDARS</w:t>
      </w:r>
      <w:bookmarkStart w:id="28" w:name="_Ref108001"/>
      <w:r w:rsidR="003B669E" w:rsidRPr="00EA4672">
        <w:rPr>
          <w:b/>
        </w:rPr>
        <w:t>)</w:t>
      </w:r>
      <w:r w:rsidR="008970C9" w:rsidRPr="00EA4672">
        <w:rPr>
          <w:rStyle w:val="FootnoteReference"/>
          <w:b/>
        </w:rPr>
        <w:footnoteReference w:id="30"/>
      </w:r>
      <w:bookmarkEnd w:id="28"/>
      <w:r w:rsidR="008970C9" w:rsidRPr="00EA4672">
        <w:rPr>
          <w:b/>
        </w:rPr>
        <w:t xml:space="preserve">, </w:t>
      </w:r>
      <w:r w:rsidRPr="00EA4672">
        <w:rPr>
          <w:b/>
        </w:rPr>
        <w:t xml:space="preserve">errors from </w:t>
      </w:r>
      <w:r w:rsidR="006D5939" w:rsidRPr="00EA4672">
        <w:rPr>
          <w:b/>
        </w:rPr>
        <w:t>2016 and 2017</w:t>
      </w:r>
      <w:r w:rsidR="00FD428F" w:rsidRPr="00EA4672">
        <w:rPr>
          <w:b/>
        </w:rPr>
        <w:t>,</w:t>
      </w:r>
      <w:r w:rsidR="008970C9" w:rsidRPr="00EA4672">
        <w:rPr>
          <w:b/>
        </w:rPr>
        <w:t xml:space="preserve"> recommendations from the UAFCB </w:t>
      </w:r>
      <w:r w:rsidR="002F7184" w:rsidRPr="00EA4672">
        <w:rPr>
          <w:b/>
        </w:rPr>
        <w:t xml:space="preserve">audit </w:t>
      </w:r>
      <w:r w:rsidR="008970C9" w:rsidRPr="00EA4672">
        <w:rPr>
          <w:b/>
        </w:rPr>
        <w:t>report</w:t>
      </w:r>
      <w:r w:rsidR="006E416F" w:rsidRPr="00EA4672">
        <w:rPr>
          <w:b/>
        </w:rPr>
        <w:t xml:space="preserve">, weighted </w:t>
      </w:r>
      <w:r w:rsidR="001355AE" w:rsidRPr="00EA4672">
        <w:rPr>
          <w:b/>
        </w:rPr>
        <w:t>EAR</w:t>
      </w:r>
      <w:r w:rsidR="006E416F" w:rsidRPr="00EA4672">
        <w:rPr>
          <w:b/>
        </w:rPr>
        <w:t xml:space="preserve"> performance scores</w:t>
      </w:r>
      <w:r w:rsidR="00BA3772" w:rsidRPr="00EA4672">
        <w:rPr>
          <w:b/>
        </w:rPr>
        <w:t>, and in response to protests/comments</w:t>
      </w:r>
      <w:r w:rsidR="008970C9" w:rsidRPr="00EA4672">
        <w:rPr>
          <w:b/>
        </w:rPr>
        <w:t>.</w:t>
      </w:r>
    </w:p>
    <w:p w14:paraId="4AB7FA83" w14:textId="77777777" w:rsidR="00E67F55" w:rsidRPr="00136784" w:rsidRDefault="008970C9" w:rsidP="00B47FF2">
      <w:pPr>
        <w:pStyle w:val="ListParagraph"/>
        <w:spacing w:after="240"/>
        <w:ind w:left="0"/>
        <w:contextualSpacing w:val="0"/>
        <w:jc w:val="both"/>
      </w:pPr>
      <w:r>
        <w:t xml:space="preserve">The original submissions from the IOUs as well as workbooks showing </w:t>
      </w:r>
      <w:r w:rsidR="0086263D" w:rsidRPr="00136784">
        <w:t xml:space="preserve">the </w:t>
      </w:r>
      <w:r w:rsidR="002F7184">
        <w:t xml:space="preserve">Commission’s </w:t>
      </w:r>
      <w:r w:rsidR="0086263D" w:rsidRPr="00136784">
        <w:t xml:space="preserve">adjustments </w:t>
      </w:r>
      <w:r w:rsidR="00926F22">
        <w:t>to</w:t>
      </w:r>
      <w:r w:rsidR="0086263D" w:rsidRPr="00136784">
        <w:t xml:space="preserve"> </w:t>
      </w:r>
      <w:r w:rsidR="00105210" w:rsidRPr="00136784">
        <w:t xml:space="preserve">energy savings values and </w:t>
      </w:r>
      <w:r w:rsidR="0086263D" w:rsidRPr="00136784">
        <w:t xml:space="preserve">program expenditures are available on </w:t>
      </w:r>
      <w:r w:rsidR="0086263D">
        <w:t>the Commission’s</w:t>
      </w:r>
      <w:r w:rsidR="0086263D" w:rsidRPr="00136784">
        <w:t xml:space="preserve"> ESPI website.</w:t>
      </w:r>
      <w:bookmarkStart w:id="29" w:name="_Hlk48347"/>
      <w:r w:rsidR="0086263D" w:rsidRPr="00136784">
        <w:rPr>
          <w:rStyle w:val="FootnoteReference"/>
        </w:rPr>
        <w:footnoteReference w:id="31"/>
      </w:r>
      <w:bookmarkEnd w:id="29"/>
      <w:r w:rsidR="00CD6B4A">
        <w:t xml:space="preserve"> </w:t>
      </w:r>
      <w:r w:rsidR="00926F22">
        <w:t>The a</w:t>
      </w:r>
      <w:r w:rsidR="00A33DBA" w:rsidRPr="00487100">
        <w:t>djustments</w:t>
      </w:r>
      <w:r>
        <w:t xml:space="preserve"> are explained below</w:t>
      </w:r>
      <w:r w:rsidR="00926F22">
        <w:t>.</w:t>
      </w:r>
    </w:p>
    <w:p w14:paraId="0F124E8E" w14:textId="77777777" w:rsidR="00356D9E" w:rsidRPr="006B49DA" w:rsidRDefault="00356D9E" w:rsidP="00AD6B15">
      <w:pPr>
        <w:pStyle w:val="Heading2"/>
        <w:numPr>
          <w:ilvl w:val="0"/>
          <w:numId w:val="27"/>
        </w:numPr>
      </w:pPr>
      <w:r w:rsidRPr="006B49DA">
        <w:t xml:space="preserve">Summary of Adjustments to Ex-Post Energy Savings Data </w:t>
      </w:r>
    </w:p>
    <w:p w14:paraId="4C5C64B1" w14:textId="77777777" w:rsidR="00356D9E" w:rsidRDefault="00356D9E" w:rsidP="00B47FF2">
      <w:pPr>
        <w:spacing w:after="160"/>
        <w:jc w:val="both"/>
      </w:pPr>
      <w:r w:rsidRPr="003B081E">
        <w:t xml:space="preserve">This Resolution makes the following adjustments to </w:t>
      </w:r>
      <w:r>
        <w:t xml:space="preserve">the </w:t>
      </w:r>
      <w:r w:rsidR="00946FE3">
        <w:t>2016</w:t>
      </w:r>
      <w:r w:rsidR="00946FE3" w:rsidRPr="003B081E">
        <w:t xml:space="preserve"> </w:t>
      </w:r>
      <w:r w:rsidRPr="003B081E">
        <w:t>ex-post savings awards</w:t>
      </w:r>
      <w:r>
        <w:t xml:space="preserve">, </w:t>
      </w:r>
      <w:r w:rsidRPr="002812AA">
        <w:t xml:space="preserve">as previously published in the Commission </w:t>
      </w:r>
      <w:r w:rsidR="00FD428F">
        <w:t>S</w:t>
      </w:r>
      <w:r w:rsidRPr="002812AA">
        <w:t>taff Performance Statement Report</w:t>
      </w:r>
      <w:r w:rsidR="000620D9">
        <w:rPr>
          <w:rStyle w:val="FootnoteReference"/>
        </w:rPr>
        <w:footnoteReference w:id="32"/>
      </w:r>
      <w:r w:rsidRPr="003B081E">
        <w:t>:</w:t>
      </w:r>
    </w:p>
    <w:p w14:paraId="0F8FC29B" w14:textId="77777777" w:rsidR="00356D9E" w:rsidRPr="002812AA" w:rsidRDefault="00356D9E" w:rsidP="008E7BDB">
      <w:pPr>
        <w:pStyle w:val="Heading3"/>
        <w:keepNext w:val="0"/>
        <w:widowControl w:val="0"/>
        <w:numPr>
          <w:ilvl w:val="0"/>
          <w:numId w:val="14"/>
        </w:numPr>
        <w:ind w:left="907" w:hanging="547"/>
        <w:jc w:val="both"/>
      </w:pPr>
      <w:r w:rsidRPr="002812AA">
        <w:t>Appl</w:t>
      </w:r>
      <w:r w:rsidR="00105210">
        <w:t>ication of</w:t>
      </w:r>
      <w:r w:rsidRPr="002812AA">
        <w:t xml:space="preserve"> Evaluation Contractor Proposed </w:t>
      </w:r>
      <w:r w:rsidR="002445E5">
        <w:t>Ex-Post</w:t>
      </w:r>
      <w:r w:rsidRPr="002812AA">
        <w:t xml:space="preserve"> Modifications (statewide ESPI payment impact: a reduction of $6,915,912)</w:t>
      </w:r>
    </w:p>
    <w:p w14:paraId="192961CB" w14:textId="77777777" w:rsidR="00356D9E" w:rsidRPr="002812AA" w:rsidRDefault="00356D9E" w:rsidP="008E7BDB">
      <w:pPr>
        <w:pStyle w:val="Heading3"/>
        <w:keepNext w:val="0"/>
        <w:widowControl w:val="0"/>
        <w:ind w:left="864" w:hanging="432"/>
        <w:jc w:val="both"/>
      </w:pPr>
      <w:r w:rsidRPr="002812AA">
        <w:t xml:space="preserve">Removal of pre-2016 installed measures in 2016 claims, with an exception of 2015 non-small Custom Projects (statewide ESPI payment impact: a reduction of </w:t>
      </w:r>
      <w:r w:rsidRPr="00402144">
        <w:rPr>
          <w:strike/>
        </w:rPr>
        <w:t>$1,994,536</w:t>
      </w:r>
      <w:r w:rsidR="00402144">
        <w:t xml:space="preserve"> </w:t>
      </w:r>
      <w:r w:rsidR="00402144" w:rsidRPr="00C81438">
        <w:rPr>
          <w:b/>
        </w:rPr>
        <w:t>$1,973,773</w:t>
      </w:r>
      <w:r w:rsidRPr="002812AA">
        <w:t>)</w:t>
      </w:r>
      <w:r w:rsidR="00402144">
        <w:t xml:space="preserve">. </w:t>
      </w:r>
      <w:r w:rsidR="00402144" w:rsidRPr="00402144">
        <w:t>SoCalGas</w:t>
      </w:r>
      <w:r w:rsidR="00105210">
        <w:t>’</w:t>
      </w:r>
      <w:r w:rsidR="00402144" w:rsidRPr="00402144">
        <w:t xml:space="preserve"> </w:t>
      </w:r>
      <w:r w:rsidR="00402144">
        <w:t xml:space="preserve">Advice Letter </w:t>
      </w:r>
      <w:r w:rsidR="00402144" w:rsidRPr="00402144">
        <w:t>proposed an increase of $20,763 that the Performance Statement had denied on the basis that th</w:t>
      </w:r>
      <w:r w:rsidR="00402144">
        <w:t xml:space="preserve">ose savings </w:t>
      </w:r>
      <w:r w:rsidR="00402144" w:rsidRPr="00402144">
        <w:t xml:space="preserve">were </w:t>
      </w:r>
      <w:r w:rsidR="00402144">
        <w:t xml:space="preserve">already </w:t>
      </w:r>
      <w:r w:rsidR="00402144" w:rsidRPr="00402144">
        <w:t xml:space="preserve">reported in 2015. Staff </w:t>
      </w:r>
      <w:r w:rsidR="006D5939">
        <w:t>considered the evidence and accepted</w:t>
      </w:r>
      <w:r w:rsidR="00402144" w:rsidRPr="00402144">
        <w:t xml:space="preserve"> the adjustment.</w:t>
      </w:r>
    </w:p>
    <w:p w14:paraId="63996609" w14:textId="77777777" w:rsidR="00356D9E" w:rsidRPr="00212069" w:rsidRDefault="00356D9E" w:rsidP="008E7BDB">
      <w:pPr>
        <w:pStyle w:val="Heading3"/>
        <w:keepNext w:val="0"/>
        <w:widowControl w:val="0"/>
        <w:ind w:left="864" w:hanging="432"/>
        <w:jc w:val="both"/>
      </w:pPr>
      <w:r w:rsidRPr="002812AA">
        <w:t xml:space="preserve">Adjustment of Industrial/ Agriculture/ Large Commercial (IALC) claims to </w:t>
      </w:r>
      <w:r w:rsidRPr="00212069">
        <w:t xml:space="preserve">utilize 2015 </w:t>
      </w:r>
      <w:r w:rsidR="002445E5" w:rsidRPr="00212069">
        <w:t>Ex-Post</w:t>
      </w:r>
      <w:r w:rsidRPr="00212069">
        <w:t xml:space="preserve"> Results (statewide ESPI payment impact: a reduction of $929,092)</w:t>
      </w:r>
    </w:p>
    <w:p w14:paraId="0EEC5771" w14:textId="1DDD502E" w:rsidR="00356D9E" w:rsidRDefault="00356D9E" w:rsidP="008E7BDB">
      <w:pPr>
        <w:pStyle w:val="Heading3"/>
        <w:keepNext w:val="0"/>
        <w:widowControl w:val="0"/>
        <w:ind w:left="864" w:hanging="432"/>
        <w:jc w:val="both"/>
      </w:pPr>
      <w:r w:rsidRPr="002812AA">
        <w:t>Adjustment of Energy Advisor Home Energy Report savings (statewide ESPI payment impact: a reduction of $1,348,969)</w:t>
      </w:r>
    </w:p>
    <w:p w14:paraId="4E59A9C2" w14:textId="77777777" w:rsidR="004E330C" w:rsidRPr="004E330C" w:rsidRDefault="004E330C" w:rsidP="004E330C">
      <w:pPr>
        <w:pStyle w:val="sub2"/>
      </w:pPr>
    </w:p>
    <w:p w14:paraId="1BE33A4F" w14:textId="77777777" w:rsidR="00356D9E" w:rsidRPr="002812AA" w:rsidRDefault="00356D9E" w:rsidP="008E7BDB">
      <w:pPr>
        <w:pStyle w:val="Heading3"/>
        <w:keepNext w:val="0"/>
        <w:widowControl w:val="0"/>
        <w:ind w:left="864" w:hanging="432"/>
        <w:jc w:val="both"/>
      </w:pPr>
      <w:r w:rsidRPr="002812AA">
        <w:lastRenderedPageBreak/>
        <w:t>Adjustment of Energy Upgrade California claims (S</w:t>
      </w:r>
      <w:r w:rsidR="00D92BD5">
        <w:t>o</w:t>
      </w:r>
      <w:r w:rsidRPr="002812AA">
        <w:t>C</w:t>
      </w:r>
      <w:r w:rsidR="00D92BD5">
        <w:t>al</w:t>
      </w:r>
      <w:r w:rsidRPr="002812AA">
        <w:t>G</w:t>
      </w:r>
      <w:r w:rsidR="00D92BD5">
        <w:t>as</w:t>
      </w:r>
      <w:r w:rsidRPr="002812AA">
        <w:t xml:space="preserve"> ESPI payment impact: a reduction of $54,437)</w:t>
      </w:r>
    </w:p>
    <w:p w14:paraId="77409B46" w14:textId="77777777" w:rsidR="00356D9E" w:rsidRPr="002812AA" w:rsidRDefault="00356D9E" w:rsidP="008E7BDB">
      <w:pPr>
        <w:pStyle w:val="Heading3"/>
        <w:keepNext w:val="0"/>
        <w:widowControl w:val="0"/>
        <w:ind w:left="864" w:hanging="432"/>
        <w:jc w:val="both"/>
      </w:pPr>
      <w:r w:rsidRPr="002812AA">
        <w:t>Reduc</w:t>
      </w:r>
      <w:r w:rsidR="00C966CB">
        <w:t>tion of</w:t>
      </w:r>
      <w:r w:rsidRPr="002812AA">
        <w:t xml:space="preserve"> Negative Therm Impacts for Indoor Lighting HVAC Interactive Effects (statewide ESPI payment impact: an increase of $14,462)</w:t>
      </w:r>
    </w:p>
    <w:p w14:paraId="0491BD93" w14:textId="77777777" w:rsidR="00356D9E" w:rsidRPr="002812AA" w:rsidRDefault="00356D9E" w:rsidP="008E7BDB">
      <w:pPr>
        <w:pStyle w:val="Heading3"/>
        <w:keepNext w:val="0"/>
        <w:widowControl w:val="0"/>
        <w:spacing w:after="160"/>
        <w:ind w:left="864" w:hanging="432"/>
        <w:jc w:val="both"/>
      </w:pPr>
      <w:r w:rsidRPr="002812AA">
        <w:t>Allow</w:t>
      </w:r>
      <w:r w:rsidR="00C966CB">
        <w:t>ance of</w:t>
      </w:r>
      <w:r w:rsidRPr="002812AA">
        <w:t xml:space="preserve"> S</w:t>
      </w:r>
      <w:r w:rsidR="00D92BD5">
        <w:t>o</w:t>
      </w:r>
      <w:r w:rsidRPr="002812AA">
        <w:t>C</w:t>
      </w:r>
      <w:r w:rsidR="00D92BD5">
        <w:t>al</w:t>
      </w:r>
      <w:r w:rsidRPr="002812AA">
        <w:t>G</w:t>
      </w:r>
      <w:r w:rsidR="00D92BD5">
        <w:t>as</w:t>
      </w:r>
      <w:r w:rsidRPr="002812AA">
        <w:t>’s request for exception to claim savings for four custom projects (S</w:t>
      </w:r>
      <w:r w:rsidR="00D92BD5">
        <w:t>o</w:t>
      </w:r>
      <w:r w:rsidRPr="002812AA">
        <w:t>C</w:t>
      </w:r>
      <w:r w:rsidR="00D92BD5">
        <w:t>al</w:t>
      </w:r>
      <w:r w:rsidRPr="002812AA">
        <w:t>G</w:t>
      </w:r>
      <w:r w:rsidR="00D92BD5">
        <w:t>as</w:t>
      </w:r>
      <w:r w:rsidRPr="002812AA">
        <w:t xml:space="preserve"> ESPI payment impact: an increase of $91,257) </w:t>
      </w:r>
    </w:p>
    <w:p w14:paraId="66226EAA" w14:textId="77777777" w:rsidR="00356D9E" w:rsidRDefault="00356D9E" w:rsidP="008E7BDB">
      <w:pPr>
        <w:pStyle w:val="Heading3"/>
        <w:keepNext w:val="0"/>
        <w:widowControl w:val="0"/>
        <w:ind w:left="864" w:hanging="432"/>
        <w:jc w:val="both"/>
      </w:pPr>
      <w:r w:rsidRPr="002812AA">
        <w:t>Adjust</w:t>
      </w:r>
      <w:r w:rsidR="00C966CB">
        <w:t>ment of</w:t>
      </w:r>
      <w:r w:rsidRPr="002812AA">
        <w:t xml:space="preserve"> Total Evaluator “All Things Recorded” File Claims to Account for Measure Reclassification from Resolution E-4897 2016 ESPI PY+1 payment: (statewide ESPI payment impact: an increase of $2,271,312, plus an added $41,699 2016 PY+1 deemed payment increase for PG&amp;E)</w:t>
      </w:r>
    </w:p>
    <w:p w14:paraId="51FC6DC9" w14:textId="77777777" w:rsidR="00D63323" w:rsidRPr="003B669E" w:rsidRDefault="00D63323" w:rsidP="008E7BDB">
      <w:pPr>
        <w:pStyle w:val="Caption"/>
        <w:spacing w:line="240" w:lineRule="auto"/>
        <w:jc w:val="both"/>
        <w:rPr>
          <w:b w:val="0"/>
        </w:rPr>
      </w:pPr>
      <w:bookmarkStart w:id="30" w:name="_Toc122707"/>
      <w:bookmarkStart w:id="31" w:name="_Toc122798"/>
      <w:bookmarkStart w:id="32" w:name="_Toc122855"/>
      <w:bookmarkStart w:id="33" w:name="_Toc130839"/>
      <w:r w:rsidRPr="003B669E">
        <w:rPr>
          <w:b w:val="0"/>
        </w:rPr>
        <w:t xml:space="preserve">The </w:t>
      </w:r>
      <w:r w:rsidRPr="00D651A4">
        <w:rPr>
          <w:b w:val="0"/>
        </w:rPr>
        <w:t xml:space="preserve">Uncertain </w:t>
      </w:r>
      <w:r w:rsidR="004366CA" w:rsidRPr="00D651A4">
        <w:rPr>
          <w:b w:val="0"/>
        </w:rPr>
        <w:t>M</w:t>
      </w:r>
      <w:r w:rsidRPr="00D651A4">
        <w:rPr>
          <w:b w:val="0"/>
        </w:rPr>
        <w:t xml:space="preserve">easure </w:t>
      </w:r>
      <w:r w:rsidR="004366CA" w:rsidRPr="00D651A4">
        <w:rPr>
          <w:b w:val="0"/>
        </w:rPr>
        <w:t>L</w:t>
      </w:r>
      <w:r w:rsidRPr="00D651A4">
        <w:rPr>
          <w:b w:val="0"/>
        </w:rPr>
        <w:t>ist</w:t>
      </w:r>
      <w:r w:rsidR="004359B0" w:rsidRPr="00D651A4">
        <w:rPr>
          <w:rStyle w:val="FootnoteReference"/>
          <w:b w:val="0"/>
        </w:rPr>
        <w:footnoteReference w:id="33"/>
      </w:r>
      <w:r w:rsidRPr="00D651A4">
        <w:rPr>
          <w:b w:val="0"/>
        </w:rPr>
        <w:t xml:space="preserve"> </w:t>
      </w:r>
      <w:r w:rsidRPr="003B669E">
        <w:rPr>
          <w:b w:val="0"/>
        </w:rPr>
        <w:t xml:space="preserve">for 2017 was </w:t>
      </w:r>
      <w:r w:rsidR="004366CA" w:rsidRPr="003B669E">
        <w:rPr>
          <w:b w:val="0"/>
        </w:rPr>
        <w:t xml:space="preserve">greatly </w:t>
      </w:r>
      <w:r w:rsidRPr="003B669E">
        <w:rPr>
          <w:b w:val="0"/>
        </w:rPr>
        <w:t>expanded in comparison to previous program years. This expansion resulted in many measures classified as not uncertain in PY 2016 to be</w:t>
      </w:r>
      <w:r w:rsidR="004366CA" w:rsidRPr="003B669E">
        <w:rPr>
          <w:b w:val="0"/>
        </w:rPr>
        <w:t>ing</w:t>
      </w:r>
      <w:r w:rsidRPr="003B669E">
        <w:rPr>
          <w:b w:val="0"/>
        </w:rPr>
        <w:t xml:space="preserve"> uncertain for PY 2017. </w:t>
      </w:r>
      <w:r w:rsidR="004366CA" w:rsidRPr="003B669E">
        <w:rPr>
          <w:b w:val="0"/>
        </w:rPr>
        <w:t>This greatly reduced</w:t>
      </w:r>
      <w:r w:rsidRPr="003B669E">
        <w:rPr>
          <w:b w:val="0"/>
        </w:rPr>
        <w:t xml:space="preserve"> the </w:t>
      </w:r>
      <w:r w:rsidR="002445E5">
        <w:rPr>
          <w:b w:val="0"/>
        </w:rPr>
        <w:t>ex-ante</w:t>
      </w:r>
      <w:r w:rsidRPr="003B669E">
        <w:rPr>
          <w:b w:val="0"/>
        </w:rPr>
        <w:t xml:space="preserve"> savings for PY 2017 (PY+1)</w:t>
      </w:r>
      <w:r w:rsidR="004366CA" w:rsidRPr="003B669E">
        <w:rPr>
          <w:b w:val="0"/>
        </w:rPr>
        <w:t xml:space="preserve">. It means that </w:t>
      </w:r>
      <w:r w:rsidRPr="003B669E">
        <w:rPr>
          <w:b w:val="0"/>
        </w:rPr>
        <w:t xml:space="preserve">the </w:t>
      </w:r>
      <w:r w:rsidR="002445E5">
        <w:rPr>
          <w:b w:val="0"/>
        </w:rPr>
        <w:t>ex-post</w:t>
      </w:r>
      <w:r w:rsidRPr="003B669E">
        <w:rPr>
          <w:b w:val="0"/>
        </w:rPr>
        <w:t xml:space="preserve"> saving</w:t>
      </w:r>
      <w:r w:rsidR="00E577EB">
        <w:rPr>
          <w:b w:val="0"/>
        </w:rPr>
        <w:t>s</w:t>
      </w:r>
      <w:r w:rsidRPr="003B669E">
        <w:rPr>
          <w:b w:val="0"/>
        </w:rPr>
        <w:t xml:space="preserve"> for PY 2017 (PY+2) will </w:t>
      </w:r>
      <w:r w:rsidR="004366CA" w:rsidRPr="003B669E">
        <w:rPr>
          <w:b w:val="0"/>
        </w:rPr>
        <w:t xml:space="preserve">likely </w:t>
      </w:r>
      <w:r w:rsidRPr="003B669E">
        <w:rPr>
          <w:b w:val="0"/>
        </w:rPr>
        <w:t>be greatly increased</w:t>
      </w:r>
      <w:r w:rsidR="004366CA" w:rsidRPr="003B669E">
        <w:rPr>
          <w:b w:val="0"/>
        </w:rPr>
        <w:t xml:space="preserve"> next year</w:t>
      </w:r>
      <w:r w:rsidRPr="003B669E">
        <w:rPr>
          <w:b w:val="0"/>
        </w:rPr>
        <w:t>.</w:t>
      </w:r>
      <w:bookmarkEnd w:id="30"/>
      <w:bookmarkEnd w:id="31"/>
      <w:bookmarkEnd w:id="32"/>
      <w:bookmarkEnd w:id="33"/>
    </w:p>
    <w:p w14:paraId="5C0CA5CA" w14:textId="77777777" w:rsidR="00356D9E" w:rsidRPr="006B49DA" w:rsidRDefault="00356D9E" w:rsidP="00AD6B15">
      <w:pPr>
        <w:pStyle w:val="Heading2"/>
        <w:numPr>
          <w:ilvl w:val="0"/>
          <w:numId w:val="27"/>
        </w:numPr>
      </w:pPr>
      <w:r w:rsidRPr="006B49DA">
        <w:t xml:space="preserve">Summary of Adjustments to 2017 Ex-Ante Energy Savings Data </w:t>
      </w:r>
    </w:p>
    <w:p w14:paraId="6C411431" w14:textId="77777777" w:rsidR="00985AE5" w:rsidRDefault="00985AE5" w:rsidP="008E7BDB">
      <w:pPr>
        <w:jc w:val="both"/>
      </w:pPr>
      <w:r>
        <w:t>Typically, the Commission reviews and finalizes the IOU</w:t>
      </w:r>
      <w:r w:rsidR="00926F22">
        <w:t>s</w:t>
      </w:r>
      <w:r w:rsidR="00402144">
        <w:t>’</w:t>
      </w:r>
      <w:r>
        <w:t xml:space="preserve"> </w:t>
      </w:r>
      <w:r w:rsidR="002445E5">
        <w:t>ex-post</w:t>
      </w:r>
      <w:r>
        <w:t xml:space="preserve"> savings in the Performance Statement report, which is issued prior to the filing of the Advice Letters </w:t>
      </w:r>
      <w:r w:rsidR="00674D69">
        <w:t xml:space="preserve">of which </w:t>
      </w:r>
      <w:r>
        <w:t xml:space="preserve">this Resolution is disposing. The </w:t>
      </w:r>
      <w:r w:rsidR="002445E5">
        <w:t>ex-ante</w:t>
      </w:r>
      <w:r>
        <w:t xml:space="preserve"> savings estimates are filed by the IOUs with their Advice Letters and reviewed by the Commission as part of this Resolution.</w:t>
      </w:r>
    </w:p>
    <w:p w14:paraId="17B08587" w14:textId="77777777" w:rsidR="00985AE5" w:rsidRDefault="00985AE5" w:rsidP="008E7BDB">
      <w:pPr>
        <w:jc w:val="both"/>
      </w:pPr>
      <w:r>
        <w:t xml:space="preserve">This year, to streamline the overall process, the Commission issued its assessment of the program year 2017 </w:t>
      </w:r>
      <w:r w:rsidR="002445E5">
        <w:t>ex-ante</w:t>
      </w:r>
      <w:r>
        <w:t xml:space="preserve"> savings along with the ex-post savings in the Performance Statement Report. </w:t>
      </w:r>
    </w:p>
    <w:p w14:paraId="69FF4AE8" w14:textId="77777777" w:rsidR="00A83D57" w:rsidRDefault="00356D9E" w:rsidP="00A83D57">
      <w:pPr>
        <w:jc w:val="both"/>
      </w:pPr>
      <w:r w:rsidRPr="003B081E">
        <w:lastRenderedPageBreak/>
        <w:t xml:space="preserve">This Resolution makes the following adjustments to energy savings values used to calculate the </w:t>
      </w:r>
      <w:r w:rsidR="00C966CB">
        <w:t xml:space="preserve">2017 </w:t>
      </w:r>
      <w:r w:rsidRPr="003B081E">
        <w:t>ESPI ex-ante savings awards</w:t>
      </w:r>
      <w:r>
        <w:t xml:space="preserve">, as previously published in the Commission </w:t>
      </w:r>
      <w:r w:rsidR="00C50203">
        <w:t>S</w:t>
      </w:r>
      <w:r>
        <w:t>taff Performance Statement Report</w:t>
      </w:r>
      <w:r>
        <w:rPr>
          <w:rStyle w:val="FootnoteReference"/>
        </w:rPr>
        <w:footnoteReference w:id="34"/>
      </w:r>
      <w:r w:rsidRPr="003B081E">
        <w:t>:</w:t>
      </w:r>
    </w:p>
    <w:p w14:paraId="01E98F56" w14:textId="77777777" w:rsidR="00A83D57" w:rsidRDefault="00356D9E" w:rsidP="00212069">
      <w:pPr>
        <w:pStyle w:val="ListParagraph"/>
        <w:numPr>
          <w:ilvl w:val="0"/>
          <w:numId w:val="42"/>
        </w:numPr>
        <w:ind w:left="810"/>
        <w:contextualSpacing w:val="0"/>
        <w:jc w:val="both"/>
      </w:pPr>
      <w:r w:rsidRPr="002A433C">
        <w:t>Application of Accelerated Replacement, Normal Replacement, Add-On Equipment, and Behavioral, Retrocommissioning and Operational policy (statewide ESPI payment impact: a reduction of $171,448)</w:t>
      </w:r>
    </w:p>
    <w:p w14:paraId="782C7CAD" w14:textId="77777777" w:rsidR="00A83D57" w:rsidRDefault="00356D9E" w:rsidP="00212069">
      <w:pPr>
        <w:pStyle w:val="ListParagraph"/>
        <w:numPr>
          <w:ilvl w:val="0"/>
          <w:numId w:val="42"/>
        </w:numPr>
        <w:ind w:left="810"/>
        <w:contextualSpacing w:val="0"/>
        <w:jc w:val="both"/>
      </w:pPr>
      <w:r w:rsidRPr="002A433C">
        <w:t>Removal of pre-2017 installed measures in 2017 claims policy (statewide ESPI payment impact: a reduction of $146,239)</w:t>
      </w:r>
    </w:p>
    <w:p w14:paraId="5DB80005" w14:textId="77777777" w:rsidR="00356D9E" w:rsidRPr="002A433C" w:rsidRDefault="00356D9E" w:rsidP="00212069">
      <w:pPr>
        <w:pStyle w:val="ListParagraph"/>
        <w:numPr>
          <w:ilvl w:val="0"/>
          <w:numId w:val="42"/>
        </w:numPr>
        <w:ind w:left="810"/>
        <w:contextualSpacing w:val="0"/>
        <w:jc w:val="both"/>
      </w:pPr>
      <w:r w:rsidRPr="002A433C">
        <w:t>Proper application of net-to-gross values (statewide ESPI payment impact: a reduction of $7,376)</w:t>
      </w:r>
    </w:p>
    <w:p w14:paraId="76E5A471" w14:textId="77777777" w:rsidR="00356D9E" w:rsidRPr="002A433C" w:rsidRDefault="00356D9E" w:rsidP="00212069">
      <w:pPr>
        <w:pStyle w:val="ListParagraph"/>
        <w:numPr>
          <w:ilvl w:val="0"/>
          <w:numId w:val="42"/>
        </w:numPr>
        <w:ind w:left="810"/>
        <w:contextualSpacing w:val="0"/>
      </w:pPr>
      <w:r w:rsidRPr="002A433C">
        <w:t>Observation 1: Proper application of net-to-gross values (no payment adjustments)</w:t>
      </w:r>
    </w:p>
    <w:p w14:paraId="62E28114" w14:textId="77777777" w:rsidR="00356D9E" w:rsidRPr="002A433C" w:rsidRDefault="00356D9E" w:rsidP="00212069">
      <w:pPr>
        <w:pStyle w:val="ListParagraph"/>
        <w:numPr>
          <w:ilvl w:val="0"/>
          <w:numId w:val="42"/>
        </w:numPr>
        <w:ind w:left="810"/>
        <w:contextualSpacing w:val="0"/>
      </w:pPr>
      <w:r w:rsidRPr="002A433C">
        <w:t>Observation 2: Proper application of Commission direction for schools that allows only above code measures to be claimed (no payment adjustments)</w:t>
      </w:r>
    </w:p>
    <w:p w14:paraId="267ECA30" w14:textId="77777777" w:rsidR="00356D9E" w:rsidRDefault="00356D9E" w:rsidP="00212069">
      <w:pPr>
        <w:pStyle w:val="ListParagraph"/>
        <w:numPr>
          <w:ilvl w:val="0"/>
          <w:numId w:val="42"/>
        </w:numPr>
        <w:ind w:left="810"/>
        <w:contextualSpacing w:val="0"/>
      </w:pPr>
      <w:r w:rsidRPr="002A433C">
        <w:t>Observation 3: Proper assignment of behavioral, retro-commissioning and operational measure application types (no payment adjustments)</w:t>
      </w:r>
    </w:p>
    <w:p w14:paraId="691F58D2" w14:textId="77777777" w:rsidR="00356D9E" w:rsidRPr="006B49DA" w:rsidRDefault="00356D9E" w:rsidP="00AD6B15">
      <w:pPr>
        <w:pStyle w:val="Heading2"/>
        <w:numPr>
          <w:ilvl w:val="0"/>
          <w:numId w:val="27"/>
        </w:numPr>
      </w:pPr>
      <w:r w:rsidRPr="006B49DA">
        <w:t xml:space="preserve">2017 </w:t>
      </w:r>
      <w:r w:rsidR="002F2D6A">
        <w:t>Eligible</w:t>
      </w:r>
      <w:r w:rsidR="002F2D6A" w:rsidRPr="006B49DA">
        <w:t xml:space="preserve"> </w:t>
      </w:r>
      <w:r w:rsidRPr="006B49DA">
        <w:t xml:space="preserve">Expenditures </w:t>
      </w:r>
    </w:p>
    <w:p w14:paraId="729F51C5" w14:textId="77777777" w:rsidR="007E0BFC" w:rsidRPr="006B49DA" w:rsidRDefault="007E0BFC" w:rsidP="00AD6B15">
      <w:pPr>
        <w:pStyle w:val="Heading2"/>
        <w:numPr>
          <w:ilvl w:val="0"/>
          <w:numId w:val="8"/>
        </w:numPr>
      </w:pPr>
      <w:r w:rsidRPr="006B49DA">
        <w:t>Reconciliation of ESPI Advice Letters and CEDARS filings</w:t>
      </w:r>
    </w:p>
    <w:p w14:paraId="6510D878" w14:textId="77777777" w:rsidR="00D472E2" w:rsidRPr="007E0BFC" w:rsidRDefault="00D472E2" w:rsidP="001314FA">
      <w:pPr>
        <w:pStyle w:val="Heading6"/>
      </w:pPr>
      <w:bookmarkStart w:id="34" w:name="_Hlk270870"/>
      <w:r w:rsidRPr="007E0BFC">
        <w:t xml:space="preserve">Commission </w:t>
      </w:r>
      <w:r w:rsidR="00C50203">
        <w:t>S</w:t>
      </w:r>
      <w:r w:rsidRPr="007E0BFC">
        <w:t xml:space="preserve">taff </w:t>
      </w:r>
      <w:r w:rsidR="003B669E">
        <w:t>relied on</w:t>
      </w:r>
      <w:r w:rsidRPr="007E0BFC">
        <w:t xml:space="preserve"> the </w:t>
      </w:r>
      <w:r w:rsidR="003B669E">
        <w:t xml:space="preserve">official </w:t>
      </w:r>
      <w:r w:rsidRPr="007E0BFC">
        <w:t xml:space="preserve">annual CEDARS filings as the main source for reviewing expenditures. </w:t>
      </w:r>
      <w:bookmarkEnd w:id="34"/>
    </w:p>
    <w:p w14:paraId="524D4EA1" w14:textId="77777777" w:rsidR="00D472E2" w:rsidRDefault="00D472E2" w:rsidP="008E7BDB">
      <w:pPr>
        <w:spacing w:after="160"/>
        <w:jc w:val="both"/>
      </w:pPr>
      <w:r w:rsidRPr="00D472E2">
        <w:t xml:space="preserve">Commission </w:t>
      </w:r>
      <w:r w:rsidR="00C50203">
        <w:t>S</w:t>
      </w:r>
      <w:r w:rsidR="00D65211">
        <w:t xml:space="preserve">taff issued the 2018 ESPI Guidelines on </w:t>
      </w:r>
      <w:r w:rsidR="00B80C0A">
        <w:t>June 6</w:t>
      </w:r>
      <w:r w:rsidR="00D65211">
        <w:t>, 2018</w:t>
      </w:r>
      <w:r w:rsidR="00B80C0A">
        <w:t>. The Guidelines included</w:t>
      </w:r>
      <w:r w:rsidR="00D65211">
        <w:t xml:space="preserve"> a spreadsheet template for the IOUs to </w:t>
      </w:r>
      <w:r w:rsidR="00926F22">
        <w:t>use</w:t>
      </w:r>
      <w:r w:rsidR="00A33DBA">
        <w:t xml:space="preserve"> </w:t>
      </w:r>
      <w:r w:rsidR="00D65211">
        <w:t xml:space="preserve">for filing their annual expenditures. </w:t>
      </w:r>
      <w:r w:rsidR="00A33DBA">
        <w:t xml:space="preserve">The </w:t>
      </w:r>
      <w:r w:rsidR="00A33DBA" w:rsidRPr="00487100">
        <w:t xml:space="preserve">Commission </w:t>
      </w:r>
      <w:r w:rsidR="00A33DBA">
        <w:t>reviewed the attachments for completeness and compared the expenditures to the IOUs</w:t>
      </w:r>
      <w:r w:rsidR="002070DC">
        <w:t>’</w:t>
      </w:r>
      <w:r w:rsidR="00A33DBA">
        <w:t xml:space="preserve"> official expenditures reported in the Annual Claims submittal via CEDAR</w:t>
      </w:r>
      <w:r w:rsidR="002070DC">
        <w:t>S</w:t>
      </w:r>
      <w:r w:rsidR="00A33DBA">
        <w:t>.</w:t>
      </w:r>
      <w:r w:rsidR="00A33DBA" w:rsidRPr="00136784">
        <w:rPr>
          <w:rStyle w:val="FootnoteReference"/>
        </w:rPr>
        <w:footnoteReference w:id="35"/>
      </w:r>
      <w:r w:rsidR="00A33DBA" w:rsidRPr="00487100">
        <w:t xml:space="preserve"> </w:t>
      </w:r>
    </w:p>
    <w:p w14:paraId="7ACE6AEC" w14:textId="77777777" w:rsidR="00895D38" w:rsidRDefault="00895D38" w:rsidP="008E7BDB">
      <w:pPr>
        <w:pStyle w:val="ListParagraph"/>
        <w:numPr>
          <w:ilvl w:val="0"/>
          <w:numId w:val="19"/>
        </w:numPr>
        <w:spacing w:after="0"/>
        <w:contextualSpacing w:val="0"/>
        <w:jc w:val="both"/>
      </w:pPr>
      <w:r w:rsidRPr="001C3E0B">
        <w:rPr>
          <w:b/>
        </w:rPr>
        <w:lastRenderedPageBreak/>
        <w:t>PG&amp;E</w:t>
      </w:r>
      <w:r w:rsidR="001C3E0B" w:rsidRPr="001C3E0B">
        <w:rPr>
          <w:b/>
        </w:rPr>
        <w:t xml:space="preserve">: Advice Letter filings </w:t>
      </w:r>
      <w:r w:rsidR="003B669E" w:rsidRPr="00926F22">
        <w:rPr>
          <w:b/>
        </w:rPr>
        <w:t>were $1,225 lower</w:t>
      </w:r>
      <w:r w:rsidR="003B669E">
        <w:t xml:space="preserve"> </w:t>
      </w:r>
      <w:r w:rsidR="00926F22">
        <w:rPr>
          <w:b/>
        </w:rPr>
        <w:t>than their</w:t>
      </w:r>
      <w:r w:rsidR="003B669E">
        <w:rPr>
          <w:b/>
        </w:rPr>
        <w:t xml:space="preserve"> annual</w:t>
      </w:r>
      <w:r w:rsidR="001C3E0B" w:rsidRPr="001C3E0B">
        <w:rPr>
          <w:b/>
        </w:rPr>
        <w:t xml:space="preserve"> </w:t>
      </w:r>
      <w:r w:rsidR="004366CA" w:rsidRPr="001C3E0B">
        <w:rPr>
          <w:b/>
        </w:rPr>
        <w:t>CEDARS</w:t>
      </w:r>
      <w:r w:rsidR="004366CA">
        <w:rPr>
          <w:b/>
        </w:rPr>
        <w:t xml:space="preserve"> </w:t>
      </w:r>
      <w:r w:rsidR="003B669E">
        <w:rPr>
          <w:b/>
        </w:rPr>
        <w:t>filing</w:t>
      </w:r>
      <w:r w:rsidR="001C3E0B" w:rsidRPr="001C3E0B">
        <w:rPr>
          <w:b/>
        </w:rPr>
        <w:t>.</w:t>
      </w:r>
      <w:r w:rsidR="003B669E">
        <w:t xml:space="preserve"> </w:t>
      </w:r>
      <w:r w:rsidR="003B669E" w:rsidRPr="003B669E">
        <w:t>PG&amp;E followed the 2018 ESPI Guidelines in their ESPI Advice Letter attachment</w:t>
      </w:r>
      <w:r w:rsidR="00FB7DC7">
        <w:t>.</w:t>
      </w:r>
    </w:p>
    <w:p w14:paraId="5BE8EA47" w14:textId="4806D682" w:rsidR="002070DC" w:rsidRDefault="002070DC" w:rsidP="008E7BDB">
      <w:pPr>
        <w:pStyle w:val="ListParagraph"/>
        <w:numPr>
          <w:ilvl w:val="0"/>
          <w:numId w:val="19"/>
        </w:numPr>
        <w:spacing w:after="0"/>
        <w:contextualSpacing w:val="0"/>
        <w:jc w:val="both"/>
      </w:pPr>
      <w:r w:rsidRPr="003F1003">
        <w:rPr>
          <w:b/>
        </w:rPr>
        <w:t>SCE</w:t>
      </w:r>
      <w:r w:rsidR="001C3E0B" w:rsidRPr="003F1003">
        <w:rPr>
          <w:b/>
        </w:rPr>
        <w:t>: Advice</w:t>
      </w:r>
      <w:r w:rsidR="001C3E0B" w:rsidRPr="001C3E0B">
        <w:rPr>
          <w:b/>
        </w:rPr>
        <w:t xml:space="preserve"> Letter </w:t>
      </w:r>
      <w:r w:rsidR="00926F22">
        <w:rPr>
          <w:b/>
        </w:rPr>
        <w:t xml:space="preserve">and </w:t>
      </w:r>
      <w:r w:rsidR="004F0843">
        <w:rPr>
          <w:b/>
        </w:rPr>
        <w:t xml:space="preserve">annual </w:t>
      </w:r>
      <w:r w:rsidR="00926F22">
        <w:rPr>
          <w:b/>
        </w:rPr>
        <w:t xml:space="preserve">CEDARS </w:t>
      </w:r>
      <w:r w:rsidR="001C3E0B" w:rsidRPr="001C3E0B">
        <w:rPr>
          <w:b/>
        </w:rPr>
        <w:t>filings matched</w:t>
      </w:r>
      <w:r w:rsidR="001C3E0B" w:rsidRPr="001C3E0B">
        <w:t>.</w:t>
      </w:r>
      <w:r>
        <w:t xml:space="preserve"> </w:t>
      </w:r>
      <w:r w:rsidR="001C3E0B">
        <w:t xml:space="preserve">SCE </w:t>
      </w:r>
      <w:r>
        <w:t xml:space="preserve">followed the </w:t>
      </w:r>
      <w:r w:rsidR="00AF4743">
        <w:t>G</w:t>
      </w:r>
      <w:r>
        <w:t xml:space="preserve">uidelines </w:t>
      </w:r>
      <w:r w:rsidR="00AF4743">
        <w:t>in</w:t>
      </w:r>
      <w:r>
        <w:t xml:space="preserve"> their 2018 ESPI </w:t>
      </w:r>
      <w:r w:rsidR="00AF4743">
        <w:t>A</w:t>
      </w:r>
      <w:r>
        <w:t xml:space="preserve">dvice </w:t>
      </w:r>
      <w:r w:rsidR="00AF4743">
        <w:t>L</w:t>
      </w:r>
      <w:r>
        <w:t>etter attachment, except that their attachment was missing some columns</w:t>
      </w:r>
      <w:r w:rsidR="006A4693">
        <w:t xml:space="preserve"> from the template</w:t>
      </w:r>
      <w:r>
        <w:t>. Th</w:t>
      </w:r>
      <w:r w:rsidR="006A4693">
        <w:t>ey later submitted a complete version that</w:t>
      </w:r>
      <w:r>
        <w:t xml:space="preserve"> did not affect their</w:t>
      </w:r>
      <w:r w:rsidR="00FB7DC7">
        <w:t xml:space="preserve"> award</w:t>
      </w:r>
      <w:r>
        <w:t xml:space="preserve"> request.</w:t>
      </w:r>
      <w:r w:rsidR="00AF4743" w:rsidRPr="00AF4743">
        <w:rPr>
          <w:rStyle w:val="FootnoteReference"/>
        </w:rPr>
        <w:t xml:space="preserve"> </w:t>
      </w:r>
      <w:r w:rsidR="00AF4743">
        <w:fldChar w:fldCharType="begin"/>
      </w:r>
      <w:r w:rsidR="00AF4743">
        <w:rPr>
          <w:rStyle w:val="FootnoteReference"/>
        </w:rPr>
        <w:instrText xml:space="preserve"> NOTEREF _Hlk48347 \h </w:instrText>
      </w:r>
      <w:r w:rsidR="00C504D0">
        <w:instrText xml:space="preserve"> \* MERGEFORMAT </w:instrText>
      </w:r>
      <w:r w:rsidR="00AF4743">
        <w:fldChar w:fldCharType="separate"/>
      </w:r>
      <w:r w:rsidR="00CE6758">
        <w:rPr>
          <w:rStyle w:val="FootnoteReference"/>
        </w:rPr>
        <w:t>30</w:t>
      </w:r>
      <w:r w:rsidR="00AF4743">
        <w:fldChar w:fldCharType="end"/>
      </w:r>
      <w:r w:rsidR="00AF4743">
        <w:t xml:space="preserve"> </w:t>
      </w:r>
    </w:p>
    <w:p w14:paraId="11707A17" w14:textId="77777777" w:rsidR="000943A2" w:rsidRDefault="00895D38" w:rsidP="008E7BDB">
      <w:pPr>
        <w:pStyle w:val="ListParagraph"/>
        <w:numPr>
          <w:ilvl w:val="0"/>
          <w:numId w:val="19"/>
        </w:numPr>
        <w:spacing w:after="0"/>
        <w:contextualSpacing w:val="0"/>
        <w:jc w:val="both"/>
      </w:pPr>
      <w:bookmarkStart w:id="35" w:name="_Hlk857988"/>
      <w:bookmarkStart w:id="36" w:name="_Hlk857939"/>
      <w:r w:rsidRPr="001C3E0B">
        <w:rPr>
          <w:b/>
        </w:rPr>
        <w:t>SDG&amp;E</w:t>
      </w:r>
      <w:r w:rsidR="001C3E0B" w:rsidRPr="001C3E0B">
        <w:rPr>
          <w:b/>
        </w:rPr>
        <w:t xml:space="preserve">: Advice Letter filings </w:t>
      </w:r>
      <w:r w:rsidR="000A1917">
        <w:rPr>
          <w:b/>
        </w:rPr>
        <w:t>were</w:t>
      </w:r>
      <w:r w:rsidR="006637B9">
        <w:rPr>
          <w:b/>
        </w:rPr>
        <w:t xml:space="preserve"> originally</w:t>
      </w:r>
      <w:r w:rsidR="000A1917">
        <w:rPr>
          <w:b/>
        </w:rPr>
        <w:t xml:space="preserve"> </w:t>
      </w:r>
      <w:r w:rsidR="000A1917" w:rsidRPr="000A1917">
        <w:rPr>
          <w:b/>
        </w:rPr>
        <w:t>$357,417</w:t>
      </w:r>
      <w:r w:rsidR="000A1917">
        <w:rPr>
          <w:b/>
        </w:rPr>
        <w:t xml:space="preserve"> lower than their annual</w:t>
      </w:r>
      <w:r w:rsidR="001C3E0B" w:rsidRPr="001C3E0B">
        <w:rPr>
          <w:b/>
        </w:rPr>
        <w:t xml:space="preserve"> CEDARS</w:t>
      </w:r>
      <w:r w:rsidR="000A1917">
        <w:rPr>
          <w:b/>
        </w:rPr>
        <w:t xml:space="preserve"> filing, and omitted </w:t>
      </w:r>
      <w:r w:rsidR="00AF4743" w:rsidRPr="000A1917">
        <w:rPr>
          <w:b/>
        </w:rPr>
        <w:t xml:space="preserve">2017 expenditures </w:t>
      </w:r>
      <w:r w:rsidR="00D472E2" w:rsidRPr="000A1917">
        <w:rPr>
          <w:b/>
        </w:rPr>
        <w:t xml:space="preserve">funded </w:t>
      </w:r>
      <w:r w:rsidR="00AF4743" w:rsidRPr="000A1917">
        <w:rPr>
          <w:b/>
        </w:rPr>
        <w:t xml:space="preserve">from </w:t>
      </w:r>
      <w:r w:rsidR="007B2445" w:rsidRPr="000A1917">
        <w:rPr>
          <w:b/>
        </w:rPr>
        <w:t>prior</w:t>
      </w:r>
      <w:r w:rsidR="00AF4743" w:rsidRPr="000A1917">
        <w:rPr>
          <w:b/>
        </w:rPr>
        <w:t xml:space="preserve"> budget years</w:t>
      </w:r>
      <w:r w:rsidR="000943A2" w:rsidRPr="000A1917">
        <w:rPr>
          <w:b/>
        </w:rPr>
        <w:t>.</w:t>
      </w:r>
      <w:r w:rsidR="000943A2">
        <w:t xml:space="preserve"> </w:t>
      </w:r>
      <w:r w:rsidR="001C3E0B">
        <w:t xml:space="preserve">SDG&amp;E submitted revised expenditures </w:t>
      </w:r>
      <w:r w:rsidR="000A1917">
        <w:t xml:space="preserve">to correct these problems </w:t>
      </w:r>
      <w:r w:rsidR="00C166F4">
        <w:t>at</w:t>
      </w:r>
      <w:r w:rsidR="001C3E0B">
        <w:t xml:space="preserve"> the Commission’s request</w:t>
      </w:r>
      <w:r w:rsidR="00C166F4">
        <w:t xml:space="preserve"> during the drafting of this Resolution</w:t>
      </w:r>
      <w:r w:rsidR="000A1917">
        <w:t>.</w:t>
      </w:r>
      <w:r w:rsidR="00674D69">
        <w:t xml:space="preserve"> These</w:t>
      </w:r>
      <w:r w:rsidR="000A1917">
        <w:t xml:space="preserve"> revised expenditures were higher than their CEDARS filing by $3,828,048</w:t>
      </w:r>
      <w:r w:rsidR="001C3E0B">
        <w:t xml:space="preserve">. </w:t>
      </w:r>
      <w:r w:rsidR="000A1917">
        <w:t>T</w:t>
      </w:r>
      <w:r w:rsidR="001C3E0B">
        <w:t>he</w:t>
      </w:r>
      <w:r w:rsidR="007B2445">
        <w:t xml:space="preserve"> Performance Statement report relie</w:t>
      </w:r>
      <w:r w:rsidR="00C64A78">
        <w:t>d</w:t>
      </w:r>
      <w:r w:rsidR="007B2445">
        <w:t xml:space="preserve"> on the CEDARS filing to </w:t>
      </w:r>
      <w:r w:rsidR="001C3E0B">
        <w:t>scrutinize</w:t>
      </w:r>
      <w:r w:rsidR="007B2445">
        <w:t xml:space="preserve"> </w:t>
      </w:r>
      <w:r w:rsidR="000A1917">
        <w:t>SDG&amp;E’s</w:t>
      </w:r>
      <w:r w:rsidR="007B2445">
        <w:t xml:space="preserve"> savings claims</w:t>
      </w:r>
      <w:r w:rsidR="00371376">
        <w:t xml:space="preserve">, </w:t>
      </w:r>
      <w:r w:rsidR="001C3E0B">
        <w:t xml:space="preserve">so </w:t>
      </w:r>
      <w:r w:rsidR="00C64A78">
        <w:t xml:space="preserve">to remain consistent with </w:t>
      </w:r>
      <w:r w:rsidR="00C166F4">
        <w:t xml:space="preserve">the </w:t>
      </w:r>
      <w:r w:rsidR="00C64A78">
        <w:t>approved savings claims</w:t>
      </w:r>
      <w:r w:rsidR="001C3E0B">
        <w:t xml:space="preserve"> </w:t>
      </w:r>
      <w:r w:rsidR="000B4638">
        <w:t xml:space="preserve">we </w:t>
      </w:r>
      <w:r w:rsidR="001C3E0B">
        <w:t xml:space="preserve">used the </w:t>
      </w:r>
      <w:r w:rsidR="00A65DD8">
        <w:t xml:space="preserve">official annual </w:t>
      </w:r>
      <w:r w:rsidR="001C3E0B">
        <w:t xml:space="preserve">CEDARS </w:t>
      </w:r>
      <w:r w:rsidR="00A65DD8">
        <w:t xml:space="preserve">claims </w:t>
      </w:r>
      <w:r w:rsidR="009A60C1">
        <w:t>to</w:t>
      </w:r>
      <w:r w:rsidR="001C3E0B">
        <w:t xml:space="preserve"> calculat</w:t>
      </w:r>
      <w:r w:rsidR="009A60C1">
        <w:t>e</w:t>
      </w:r>
      <w:r w:rsidR="001C3E0B">
        <w:t xml:space="preserve"> </w:t>
      </w:r>
      <w:r w:rsidR="00371376">
        <w:t>SDG&amp;E’s</w:t>
      </w:r>
      <w:r w:rsidR="000943A2">
        <w:t xml:space="preserve"> </w:t>
      </w:r>
      <w:r w:rsidR="00371376">
        <w:t xml:space="preserve">2017 </w:t>
      </w:r>
      <w:r w:rsidR="000943A2">
        <w:t>ESPI award</w:t>
      </w:r>
      <w:r w:rsidR="001C3E0B">
        <w:t xml:space="preserve">. </w:t>
      </w:r>
      <w:bookmarkEnd w:id="35"/>
    </w:p>
    <w:p w14:paraId="23088518" w14:textId="77777777" w:rsidR="00126882" w:rsidRDefault="003F1003" w:rsidP="008E7BDB">
      <w:pPr>
        <w:pStyle w:val="ListParagraph"/>
        <w:numPr>
          <w:ilvl w:val="0"/>
          <w:numId w:val="19"/>
        </w:numPr>
        <w:spacing w:after="160"/>
        <w:contextualSpacing w:val="0"/>
        <w:jc w:val="both"/>
      </w:pPr>
      <w:bookmarkStart w:id="37" w:name="_Hlk366854"/>
      <w:bookmarkEnd w:id="36"/>
      <w:r w:rsidRPr="00126882">
        <w:rPr>
          <w:b/>
        </w:rPr>
        <w:t xml:space="preserve">SoCalGas: Advice Letter filings </w:t>
      </w:r>
      <w:r w:rsidR="004F0843" w:rsidRPr="004F0843">
        <w:rPr>
          <w:b/>
        </w:rPr>
        <w:t>we</w:t>
      </w:r>
      <w:r w:rsidR="00374FB0" w:rsidRPr="004F0843">
        <w:rPr>
          <w:b/>
        </w:rPr>
        <w:t>re $88,752 l</w:t>
      </w:r>
      <w:r w:rsidR="004F0843" w:rsidRPr="004F0843">
        <w:rPr>
          <w:b/>
        </w:rPr>
        <w:t>ower</w:t>
      </w:r>
      <w:r w:rsidR="00374FB0" w:rsidRPr="004F0843">
        <w:rPr>
          <w:b/>
        </w:rPr>
        <w:t xml:space="preserve"> than their </w:t>
      </w:r>
      <w:r w:rsidR="004F0843" w:rsidRPr="004F0843">
        <w:rPr>
          <w:b/>
        </w:rPr>
        <w:t xml:space="preserve">annual </w:t>
      </w:r>
      <w:r w:rsidR="00374FB0" w:rsidRPr="004F0843">
        <w:rPr>
          <w:b/>
        </w:rPr>
        <w:t>CEDARS filing.</w:t>
      </w:r>
      <w:r w:rsidR="00374FB0">
        <w:t xml:space="preserve"> </w:t>
      </w:r>
      <w:bookmarkEnd w:id="37"/>
    </w:p>
    <w:p w14:paraId="18E6C12A" w14:textId="77777777" w:rsidR="00EF299C" w:rsidRDefault="00EF299C" w:rsidP="008E7BDB">
      <w:pPr>
        <w:pStyle w:val="ListParagraph"/>
        <w:spacing w:after="160"/>
        <w:ind w:left="0"/>
        <w:contextualSpacing w:val="0"/>
        <w:jc w:val="both"/>
      </w:pPr>
      <w:r w:rsidRPr="00EF299C">
        <w:t xml:space="preserve">The eligible expenditures are determined by summing expenditures that occurred in 2017 for attaining 2017 and </w:t>
      </w:r>
      <w:r w:rsidR="00224D7A">
        <w:t xml:space="preserve">some </w:t>
      </w:r>
      <w:r w:rsidRPr="00EF299C">
        <w:t xml:space="preserve">pre-2017 savings as approved in the </w:t>
      </w:r>
      <w:r>
        <w:t>Performance Statement Report.</w:t>
      </w:r>
      <w:r w:rsidR="00224D7A">
        <w:rPr>
          <w:rStyle w:val="FootnoteReference"/>
        </w:rPr>
        <w:footnoteReference w:id="36"/>
      </w:r>
      <w:r w:rsidR="00057C85">
        <w:t xml:space="preserve"> </w:t>
      </w:r>
      <w:r w:rsidRPr="00EF299C">
        <w:t xml:space="preserve">The budget year from which the expenditure is funded does not </w:t>
      </w:r>
      <w:r w:rsidR="00057C85">
        <w:t>affect</w:t>
      </w:r>
      <w:r w:rsidRPr="00EF299C">
        <w:t xml:space="preserve"> expenditure</w:t>
      </w:r>
      <w:r w:rsidR="00057C85">
        <w:t xml:space="preserve"> approval</w:t>
      </w:r>
      <w:r w:rsidRPr="00EF299C">
        <w:t xml:space="preserve"> </w:t>
      </w:r>
      <w:r>
        <w:t>provided</w:t>
      </w:r>
      <w:r w:rsidRPr="00EF299C">
        <w:t xml:space="preserve"> a) the claims are from PY 2014 and onward</w:t>
      </w:r>
      <w:r>
        <w:rPr>
          <w:rStyle w:val="FootnoteReference"/>
        </w:rPr>
        <w:footnoteReference w:id="37"/>
      </w:r>
      <w:r w:rsidRPr="00EF299C">
        <w:t xml:space="preserve"> and b) the expenditures did not exceed the authorized budget.</w:t>
      </w:r>
    </w:p>
    <w:p w14:paraId="678D1AC2" w14:textId="77777777" w:rsidR="00C166F4" w:rsidRDefault="002D5BD1" w:rsidP="008E7BDB">
      <w:pPr>
        <w:spacing w:after="0"/>
        <w:jc w:val="both"/>
      </w:pPr>
      <w:r>
        <w:lastRenderedPageBreak/>
        <w:t xml:space="preserve">The </w:t>
      </w:r>
      <w:r w:rsidR="004123B4">
        <w:t xml:space="preserve">eligible </w:t>
      </w:r>
      <w:r>
        <w:t xml:space="preserve">expenditures accepted by the Commission </w:t>
      </w:r>
      <w:r w:rsidR="00FD0208">
        <w:t>prior</w:t>
      </w:r>
      <w:r>
        <w:t xml:space="preserve"> to </w:t>
      </w:r>
      <w:r w:rsidR="00C166F4">
        <w:t xml:space="preserve">other necessary exclusions </w:t>
      </w:r>
      <w:r>
        <w:t xml:space="preserve">are shown in </w:t>
      </w:r>
      <w:r w:rsidR="005807B4">
        <w:t>T</w:t>
      </w:r>
      <w:r>
        <w:t xml:space="preserve">able </w:t>
      </w:r>
      <w:r w:rsidR="0038256F">
        <w:t xml:space="preserve">10 </w:t>
      </w:r>
      <w:r>
        <w:t>below</w:t>
      </w:r>
      <w:r w:rsidR="00C166F4">
        <w:t>. This is followed by a discussion on the other exclusions.</w:t>
      </w:r>
    </w:p>
    <w:tbl>
      <w:tblPr>
        <w:tblpPr w:leftFromText="180" w:rightFromText="180" w:vertAnchor="text" w:horzAnchor="margin" w:tblpXSpec="center" w:tblpY="184"/>
        <w:tblW w:w="9360" w:type="dxa"/>
        <w:tblLayout w:type="fixed"/>
        <w:tblLook w:val="04A0" w:firstRow="1" w:lastRow="0" w:firstColumn="1" w:lastColumn="0" w:noHBand="0" w:noVBand="1"/>
      </w:tblPr>
      <w:tblGrid>
        <w:gridCol w:w="3420"/>
        <w:gridCol w:w="1530"/>
        <w:gridCol w:w="1440"/>
        <w:gridCol w:w="1530"/>
        <w:gridCol w:w="1440"/>
      </w:tblGrid>
      <w:tr w:rsidR="00A52B69" w14:paraId="14C9BEE8" w14:textId="77777777">
        <w:trPr>
          <w:cantSplit/>
          <w:trHeight w:val="360"/>
        </w:trPr>
        <w:tc>
          <w:tcPr>
            <w:tcW w:w="9360" w:type="dxa"/>
            <w:gridSpan w:val="5"/>
            <w:tcBorders>
              <w:bottom w:val="single" w:sz="4" w:space="0" w:color="auto"/>
            </w:tcBorders>
            <w:shd w:val="clear" w:color="auto" w:fill="auto"/>
            <w:noWrap/>
            <w:vAlign w:val="center"/>
          </w:tcPr>
          <w:p w14:paraId="2B486EA7" w14:textId="77777777" w:rsidR="00EF299C" w:rsidRPr="006274B4" w:rsidRDefault="00EF299C" w:rsidP="00B47FF2">
            <w:pPr>
              <w:spacing w:before="0" w:after="0"/>
              <w:ind w:left="-198"/>
              <w:jc w:val="center"/>
              <w:rPr>
                <w:color w:val="000000"/>
                <w:sz w:val="22"/>
                <w:szCs w:val="22"/>
              </w:rPr>
            </w:pPr>
            <w:r w:rsidRPr="006274B4">
              <w:rPr>
                <w:color w:val="000000"/>
              </w:rPr>
              <w:t>Table</w:t>
            </w:r>
            <w:r w:rsidR="0038256F">
              <w:rPr>
                <w:color w:val="000000"/>
              </w:rPr>
              <w:t xml:space="preserve"> 10</w:t>
            </w:r>
            <w:r w:rsidRPr="006274B4">
              <w:rPr>
                <w:color w:val="000000"/>
              </w:rPr>
              <w:t xml:space="preserve">: </w:t>
            </w:r>
            <w:r w:rsidR="009552E6" w:rsidRPr="006274B4">
              <w:rPr>
                <w:color w:val="000000"/>
              </w:rPr>
              <w:t xml:space="preserve">2017 </w:t>
            </w:r>
            <w:r w:rsidR="004123B4" w:rsidRPr="006274B4">
              <w:rPr>
                <w:color w:val="000000"/>
              </w:rPr>
              <w:t>Eligible</w:t>
            </w:r>
            <w:r w:rsidR="009552E6" w:rsidRPr="006274B4">
              <w:rPr>
                <w:color w:val="000000"/>
              </w:rPr>
              <w:t xml:space="preserve"> Expenditures </w:t>
            </w:r>
            <w:r w:rsidRPr="006274B4">
              <w:rPr>
                <w:color w:val="000000"/>
              </w:rPr>
              <w:t>Prior to Adjustments</w:t>
            </w:r>
          </w:p>
        </w:tc>
      </w:tr>
      <w:tr w:rsidR="00A52B69" w14:paraId="48D42A49" w14:textId="77777777">
        <w:trPr>
          <w:cantSplit/>
          <w:trHeight w:val="17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D93A3" w14:textId="77777777" w:rsidR="00EF299C" w:rsidRPr="007C458C" w:rsidRDefault="00EF299C" w:rsidP="00B47FF2">
            <w:pPr>
              <w:spacing w:before="0" w:after="0"/>
              <w:ind w:right="-149"/>
              <w:rPr>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5A763" w14:textId="77777777" w:rsidR="00EF299C" w:rsidRPr="006F7142" w:rsidRDefault="00EF299C" w:rsidP="00B47FF2">
            <w:pPr>
              <w:spacing w:before="0" w:after="0"/>
              <w:ind w:firstLineChars="100" w:firstLine="240"/>
              <w:jc w:val="center"/>
              <w:rPr>
                <w:color w:val="000000"/>
                <w:sz w:val="22"/>
                <w:szCs w:val="22"/>
              </w:rPr>
            </w:pPr>
            <w:r w:rsidRPr="007C458C">
              <w:rPr>
                <w:color w:val="000000"/>
              </w:rPr>
              <w:t>PG&amp;E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34C45" w14:textId="77777777" w:rsidR="00EF299C" w:rsidRPr="006F7142" w:rsidRDefault="00EF299C" w:rsidP="00B47FF2">
            <w:pPr>
              <w:spacing w:before="0" w:after="0"/>
              <w:ind w:leftChars="-49" w:left="-101" w:hangingChars="7" w:hanging="17"/>
              <w:jc w:val="center"/>
              <w:rPr>
                <w:color w:val="000000"/>
                <w:sz w:val="22"/>
                <w:szCs w:val="22"/>
              </w:rPr>
            </w:pPr>
            <w:r w:rsidRPr="007C458C">
              <w:rPr>
                <w:color w:val="000000"/>
              </w:rPr>
              <w:t>SCE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1BB98" w14:textId="77777777" w:rsidR="00EF299C" w:rsidRPr="006F7142" w:rsidRDefault="00EF299C" w:rsidP="00B47FF2">
            <w:pPr>
              <w:spacing w:before="0" w:after="0"/>
              <w:jc w:val="center"/>
              <w:rPr>
                <w:color w:val="000000"/>
                <w:sz w:val="22"/>
                <w:szCs w:val="22"/>
              </w:rPr>
            </w:pPr>
            <w:r w:rsidRPr="007C458C">
              <w:rPr>
                <w:color w:val="000000"/>
              </w:rPr>
              <w:t>SDG&amp;E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6AFD5" w14:textId="77777777" w:rsidR="00EF299C" w:rsidRDefault="00EF299C" w:rsidP="00B47FF2">
            <w:pPr>
              <w:spacing w:before="0" w:after="0"/>
              <w:ind w:left="-198"/>
              <w:jc w:val="center"/>
              <w:rPr>
                <w:color w:val="000000"/>
                <w:sz w:val="22"/>
                <w:szCs w:val="22"/>
              </w:rPr>
            </w:pPr>
            <w:r>
              <w:rPr>
                <w:color w:val="000000"/>
              </w:rPr>
              <w:t>SoCalGas</w:t>
            </w:r>
          </w:p>
        </w:tc>
      </w:tr>
      <w:tr w:rsidR="00A52B69" w14:paraId="0CA50709" w14:textId="77777777">
        <w:trPr>
          <w:cantSplit/>
          <w:trHeight w:val="360"/>
        </w:trPr>
        <w:tc>
          <w:tcPr>
            <w:tcW w:w="342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hideMark/>
          </w:tcPr>
          <w:p w14:paraId="0E671D4C" w14:textId="77777777" w:rsidR="00EF299C" w:rsidRPr="00FD0208" w:rsidRDefault="00EF299C" w:rsidP="00B47FF2">
            <w:pPr>
              <w:spacing w:before="0" w:after="0"/>
              <w:ind w:right="-149"/>
              <w:rPr>
                <w:color w:val="000000"/>
                <w:sz w:val="22"/>
                <w:szCs w:val="22"/>
              </w:rPr>
            </w:pPr>
            <w:r w:rsidRPr="00FD0208">
              <w:rPr>
                <w:sz w:val="22"/>
              </w:rPr>
              <w:t>2017 Resource Expenditures</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24DB99DE" w14:textId="77777777" w:rsidR="00EF299C" w:rsidRPr="00FD0208" w:rsidRDefault="00EF299C" w:rsidP="00B47FF2">
            <w:pPr>
              <w:spacing w:before="0" w:after="0"/>
              <w:jc w:val="right"/>
              <w:rPr>
                <w:color w:val="000000"/>
                <w:sz w:val="22"/>
                <w:szCs w:val="22"/>
              </w:rPr>
            </w:pPr>
            <w:r w:rsidRPr="00FD0208">
              <w:rPr>
                <w:sz w:val="22"/>
              </w:rPr>
              <w:t>$231,</w:t>
            </w:r>
            <w:r w:rsidR="00B2057C">
              <w:rPr>
                <w:sz w:val="22"/>
              </w:rPr>
              <w:t>575,986</w:t>
            </w:r>
          </w:p>
        </w:tc>
        <w:tc>
          <w:tcPr>
            <w:tcW w:w="144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17AAA867" w14:textId="77777777" w:rsidR="00EF299C" w:rsidRPr="00FD0208" w:rsidRDefault="00EF299C" w:rsidP="00B47FF2">
            <w:pPr>
              <w:spacing w:before="0" w:after="0"/>
              <w:ind w:leftChars="-49" w:left="-103" w:hangingChars="7" w:hanging="15"/>
              <w:jc w:val="right"/>
              <w:rPr>
                <w:color w:val="000000"/>
                <w:sz w:val="22"/>
                <w:szCs w:val="22"/>
              </w:rPr>
            </w:pPr>
            <w:r w:rsidRPr="00FD0208">
              <w:rPr>
                <w:sz w:val="22"/>
              </w:rPr>
              <w:t>$205,831,828</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090B273A" w14:textId="77777777" w:rsidR="00EF299C" w:rsidRPr="00FD0208" w:rsidRDefault="00EF299C" w:rsidP="00B47FF2">
            <w:pPr>
              <w:spacing w:before="0" w:after="0"/>
              <w:jc w:val="right"/>
              <w:rPr>
                <w:color w:val="000000"/>
                <w:sz w:val="22"/>
                <w:szCs w:val="22"/>
              </w:rPr>
            </w:pPr>
            <w:r w:rsidRPr="00FD0208">
              <w:rPr>
                <w:sz w:val="22"/>
              </w:rPr>
              <w:t>$78,165,601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0BEC8B34" w14:textId="77777777" w:rsidR="00EF299C" w:rsidRPr="00FD0208" w:rsidRDefault="00EF299C" w:rsidP="00B47FF2">
            <w:pPr>
              <w:spacing w:before="0" w:after="0"/>
              <w:ind w:left="-198"/>
              <w:jc w:val="right"/>
              <w:rPr>
                <w:color w:val="000000"/>
                <w:sz w:val="22"/>
                <w:szCs w:val="22"/>
              </w:rPr>
            </w:pPr>
            <w:r w:rsidRPr="00FD0208">
              <w:rPr>
                <w:sz w:val="22"/>
              </w:rPr>
              <w:t>$47,</w:t>
            </w:r>
            <w:r w:rsidR="00B2057C">
              <w:rPr>
                <w:sz w:val="22"/>
              </w:rPr>
              <w:t>784,341</w:t>
            </w:r>
          </w:p>
        </w:tc>
      </w:tr>
      <w:tr w:rsidR="00A52B69" w14:paraId="088972A7" w14:textId="77777777">
        <w:trPr>
          <w:cantSplit/>
          <w:trHeight w:val="360"/>
        </w:trPr>
        <w:tc>
          <w:tcPr>
            <w:tcW w:w="342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hideMark/>
          </w:tcPr>
          <w:p w14:paraId="320BA023" w14:textId="77777777" w:rsidR="00EF299C" w:rsidRPr="00FD0208" w:rsidRDefault="00EF299C" w:rsidP="00B47FF2">
            <w:pPr>
              <w:spacing w:before="0" w:after="0"/>
              <w:ind w:right="-149"/>
              <w:rPr>
                <w:color w:val="000000"/>
                <w:sz w:val="22"/>
                <w:szCs w:val="22"/>
              </w:rPr>
            </w:pPr>
            <w:r w:rsidRPr="00FD0208">
              <w:rPr>
                <w:sz w:val="22"/>
              </w:rPr>
              <w:t xml:space="preserve">2017 </w:t>
            </w:r>
            <w:r w:rsidR="00D97074">
              <w:t>C&amp;S</w:t>
            </w:r>
            <w:r w:rsidR="00D97074" w:rsidRPr="00897112">
              <w:t xml:space="preserve"> </w:t>
            </w:r>
            <w:r w:rsidRPr="00FD0208">
              <w:rPr>
                <w:sz w:val="22"/>
              </w:rPr>
              <w:t>Ex</w:t>
            </w:r>
            <w:r>
              <w:rPr>
                <w:sz w:val="22"/>
              </w:rPr>
              <w:t>p</w:t>
            </w:r>
            <w:r w:rsidRPr="00FD0208">
              <w:rPr>
                <w:sz w:val="22"/>
              </w:rPr>
              <w:t>enditures</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030B3D94" w14:textId="77777777" w:rsidR="00EF299C" w:rsidRPr="00FD0208" w:rsidRDefault="00EF299C" w:rsidP="00B47FF2">
            <w:pPr>
              <w:spacing w:before="0" w:after="0"/>
              <w:ind w:leftChars="-48" w:left="-100" w:hangingChars="7" w:hanging="15"/>
              <w:jc w:val="right"/>
              <w:rPr>
                <w:color w:val="000000"/>
                <w:sz w:val="22"/>
                <w:szCs w:val="22"/>
              </w:rPr>
            </w:pPr>
            <w:r w:rsidRPr="00FD0208">
              <w:rPr>
                <w:sz w:val="22"/>
              </w:rPr>
              <w:t>$15,327,236</w:t>
            </w:r>
          </w:p>
        </w:tc>
        <w:tc>
          <w:tcPr>
            <w:tcW w:w="144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61460897" w14:textId="77777777" w:rsidR="00EF299C" w:rsidRPr="00FD0208" w:rsidRDefault="00EF299C" w:rsidP="00B47FF2">
            <w:pPr>
              <w:spacing w:before="0" w:after="0"/>
              <w:jc w:val="right"/>
              <w:rPr>
                <w:color w:val="000000"/>
                <w:sz w:val="22"/>
                <w:szCs w:val="22"/>
              </w:rPr>
            </w:pPr>
            <w:r w:rsidRPr="00FD0208">
              <w:rPr>
                <w:sz w:val="22"/>
              </w:rPr>
              <w:t>$3,953,363</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56C4810B" w14:textId="77777777" w:rsidR="00EF299C" w:rsidRPr="00FD0208" w:rsidRDefault="00EF299C" w:rsidP="00B47FF2">
            <w:pPr>
              <w:spacing w:before="0" w:after="0"/>
              <w:ind w:firstLineChars="100" w:firstLine="220"/>
              <w:jc w:val="right"/>
              <w:rPr>
                <w:color w:val="000000"/>
                <w:sz w:val="22"/>
                <w:szCs w:val="22"/>
              </w:rPr>
            </w:pPr>
            <w:r w:rsidRPr="00FD0208">
              <w:rPr>
                <w:sz w:val="22"/>
              </w:rPr>
              <w:t>$1,101,074</w:t>
            </w:r>
          </w:p>
        </w:tc>
        <w:tc>
          <w:tcPr>
            <w:tcW w:w="144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4B975AF6" w14:textId="77777777" w:rsidR="00EF299C" w:rsidRPr="00FD0208" w:rsidRDefault="00EF299C" w:rsidP="00B47FF2">
            <w:pPr>
              <w:spacing w:before="0" w:after="0"/>
              <w:ind w:left="-198"/>
              <w:jc w:val="right"/>
              <w:rPr>
                <w:color w:val="000000"/>
                <w:sz w:val="22"/>
                <w:szCs w:val="22"/>
              </w:rPr>
            </w:pPr>
            <w:r w:rsidRPr="00FD0208">
              <w:rPr>
                <w:sz w:val="22"/>
              </w:rPr>
              <w:t>$931,572</w:t>
            </w:r>
          </w:p>
        </w:tc>
      </w:tr>
      <w:tr w:rsidR="00A52B69" w14:paraId="1F78F1E3" w14:textId="77777777">
        <w:trPr>
          <w:cantSplit/>
          <w:trHeight w:val="360"/>
        </w:trPr>
        <w:tc>
          <w:tcPr>
            <w:tcW w:w="342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hideMark/>
          </w:tcPr>
          <w:p w14:paraId="1C0017A2" w14:textId="77777777" w:rsidR="00EF299C" w:rsidRPr="00FD0208" w:rsidRDefault="00EF299C" w:rsidP="00B47FF2">
            <w:pPr>
              <w:spacing w:before="0" w:after="0"/>
              <w:ind w:right="-149"/>
              <w:rPr>
                <w:color w:val="000000"/>
                <w:sz w:val="22"/>
                <w:szCs w:val="22"/>
              </w:rPr>
            </w:pPr>
            <w:r w:rsidRPr="00FD0208">
              <w:rPr>
                <w:sz w:val="22"/>
              </w:rPr>
              <w:t>2017 Non-Resource Expenditures</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4A9766B6" w14:textId="77777777" w:rsidR="00EF299C" w:rsidRPr="00FD0208" w:rsidRDefault="00EF299C" w:rsidP="00B47FF2">
            <w:pPr>
              <w:spacing w:before="0" w:after="0"/>
              <w:jc w:val="right"/>
              <w:rPr>
                <w:rFonts w:cs="Calibri"/>
                <w:color w:val="000000"/>
                <w:sz w:val="22"/>
                <w:szCs w:val="22"/>
              </w:rPr>
            </w:pPr>
            <w:r w:rsidRPr="00FD0208">
              <w:rPr>
                <w:sz w:val="22"/>
              </w:rPr>
              <w:t>$20,514,186</w:t>
            </w:r>
          </w:p>
        </w:tc>
        <w:tc>
          <w:tcPr>
            <w:tcW w:w="144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2D4C2B2F" w14:textId="77777777" w:rsidR="00EF299C" w:rsidRPr="00FD0208" w:rsidRDefault="00EF299C" w:rsidP="00B47FF2">
            <w:pPr>
              <w:spacing w:before="0" w:after="0"/>
              <w:ind w:firstLineChars="15" w:firstLine="33"/>
              <w:jc w:val="right"/>
              <w:rPr>
                <w:color w:val="000000"/>
                <w:sz w:val="22"/>
                <w:szCs w:val="22"/>
              </w:rPr>
            </w:pPr>
            <w:r w:rsidRPr="00FD0208">
              <w:rPr>
                <w:sz w:val="22"/>
              </w:rPr>
              <w:t>$15,565,627</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5E218676" w14:textId="77777777" w:rsidR="00EF299C" w:rsidRPr="00FD0208" w:rsidRDefault="00EF299C" w:rsidP="00B47FF2">
            <w:pPr>
              <w:spacing w:before="0" w:after="0"/>
              <w:ind w:firstLineChars="100" w:firstLine="220"/>
              <w:jc w:val="right"/>
              <w:rPr>
                <w:color w:val="000000"/>
                <w:sz w:val="22"/>
                <w:szCs w:val="22"/>
              </w:rPr>
            </w:pPr>
            <w:r w:rsidRPr="00FD0208">
              <w:rPr>
                <w:sz w:val="22"/>
              </w:rPr>
              <w:t>$6,137,018</w:t>
            </w:r>
          </w:p>
        </w:tc>
        <w:tc>
          <w:tcPr>
            <w:tcW w:w="144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47303548" w14:textId="77777777" w:rsidR="00EF299C" w:rsidRPr="00FD0208" w:rsidRDefault="00EF299C" w:rsidP="00B47FF2">
            <w:pPr>
              <w:spacing w:before="0" w:after="0"/>
              <w:ind w:left="-198"/>
              <w:jc w:val="right"/>
              <w:rPr>
                <w:color w:val="000000"/>
                <w:sz w:val="22"/>
                <w:szCs w:val="22"/>
              </w:rPr>
            </w:pPr>
            <w:r w:rsidRPr="00FD0208">
              <w:rPr>
                <w:sz w:val="22"/>
              </w:rPr>
              <w:t>$9,528,862</w:t>
            </w:r>
          </w:p>
        </w:tc>
      </w:tr>
    </w:tbl>
    <w:p w14:paraId="7DE44610" w14:textId="77777777" w:rsidR="007E4847" w:rsidRDefault="007E4847" w:rsidP="008E7BDB">
      <w:pPr>
        <w:tabs>
          <w:tab w:val="left" w:pos="0"/>
        </w:tabs>
        <w:jc w:val="both"/>
      </w:pPr>
      <w:bookmarkStart w:id="38" w:name="_Toc122709"/>
      <w:bookmarkStart w:id="39" w:name="_Toc122800"/>
      <w:bookmarkStart w:id="40" w:name="_Toc122857"/>
      <w:bookmarkStart w:id="41" w:name="_Toc130841"/>
      <w:r w:rsidRPr="004123B4">
        <w:t xml:space="preserve">The IOUs </w:t>
      </w:r>
      <w:r w:rsidR="000F2D4F">
        <w:t>must</w:t>
      </w:r>
      <w:r w:rsidRPr="004123B4">
        <w:t xml:space="preserve"> </w:t>
      </w:r>
      <w:r w:rsidR="009552E6" w:rsidRPr="004123B4">
        <w:t>inform</w:t>
      </w:r>
      <w:r w:rsidRPr="004123B4">
        <w:t xml:space="preserve"> the Commission </w:t>
      </w:r>
      <w:r w:rsidR="00C50203">
        <w:t>S</w:t>
      </w:r>
      <w:r w:rsidRPr="004123B4">
        <w:t>taff</w:t>
      </w:r>
      <w:r w:rsidR="000F2D4F">
        <w:t xml:space="preserve"> at the time of filing their ESPI advice letters,</w:t>
      </w:r>
      <w:r w:rsidRPr="004123B4">
        <w:t xml:space="preserve"> if any information sought in the template will result in a </w:t>
      </w:r>
      <w:r w:rsidR="00EF299C" w:rsidRPr="004123B4">
        <w:t>discrepancy</w:t>
      </w:r>
      <w:r w:rsidR="009552E6" w:rsidRPr="004123B4">
        <w:t xml:space="preserve"> between their Advice Letter filings</w:t>
      </w:r>
      <w:r w:rsidR="00EF299C" w:rsidRPr="004123B4">
        <w:t xml:space="preserve"> </w:t>
      </w:r>
      <w:r w:rsidR="009552E6" w:rsidRPr="004123B4">
        <w:t>and</w:t>
      </w:r>
      <w:r w:rsidRPr="004123B4">
        <w:t xml:space="preserve"> </w:t>
      </w:r>
      <w:r w:rsidR="00EF299C" w:rsidRPr="004123B4">
        <w:t xml:space="preserve">their official </w:t>
      </w:r>
      <w:r w:rsidR="00057C85">
        <w:t xml:space="preserve">annual </w:t>
      </w:r>
      <w:r w:rsidRPr="004123B4">
        <w:t>CEDARS</w:t>
      </w:r>
      <w:r w:rsidR="00EF299C" w:rsidRPr="004123B4">
        <w:t xml:space="preserve"> </w:t>
      </w:r>
      <w:bookmarkEnd w:id="38"/>
      <w:bookmarkEnd w:id="39"/>
      <w:bookmarkEnd w:id="40"/>
      <w:bookmarkEnd w:id="41"/>
      <w:r w:rsidR="004123B4" w:rsidRPr="004123B4">
        <w:t xml:space="preserve">filing. </w:t>
      </w:r>
    </w:p>
    <w:p w14:paraId="3960C149" w14:textId="77777777" w:rsidR="00356D9E" w:rsidRPr="006B49DA" w:rsidRDefault="00356D9E" w:rsidP="00AD6B15">
      <w:pPr>
        <w:pStyle w:val="Heading2"/>
        <w:numPr>
          <w:ilvl w:val="0"/>
          <w:numId w:val="8"/>
        </w:numPr>
      </w:pPr>
      <w:r w:rsidRPr="006B49DA">
        <w:t xml:space="preserve">Exclusions from </w:t>
      </w:r>
      <w:r w:rsidR="00530C1B" w:rsidRPr="006B49DA">
        <w:t>a</w:t>
      </w:r>
      <w:r w:rsidRPr="006B49DA">
        <w:t>ward calculations - Statewide Marketing Education &amp; Outreach (ME&amp;O), C</w:t>
      </w:r>
      <w:r w:rsidR="004123B4" w:rsidRPr="006B49DA">
        <w:t>ommunity Choice Aggregators (CCAs)</w:t>
      </w:r>
      <w:r w:rsidRPr="006B49DA">
        <w:t>/</w:t>
      </w:r>
      <w:r w:rsidR="004123B4" w:rsidRPr="006B49DA">
        <w:t>Regional Energy Networks (</w:t>
      </w:r>
      <w:r w:rsidRPr="006B49DA">
        <w:t>RENs</w:t>
      </w:r>
      <w:r w:rsidR="004123B4" w:rsidRPr="006B49DA">
        <w:t>)</w:t>
      </w:r>
      <w:r w:rsidRPr="006B49DA">
        <w:t xml:space="preserve">, </w:t>
      </w:r>
      <w:r w:rsidR="004123B4" w:rsidRPr="006B49DA">
        <w:t>Evaluation Measurement and Verification (</w:t>
      </w:r>
      <w:r w:rsidRPr="006B49DA">
        <w:t>EM&amp;V</w:t>
      </w:r>
      <w:r w:rsidR="004123B4" w:rsidRPr="006B49DA">
        <w:t>)</w:t>
      </w:r>
      <w:r w:rsidRPr="006B49DA">
        <w:t>, and On-bill Financing</w:t>
      </w:r>
      <w:r w:rsidR="004123B4" w:rsidRPr="006B49DA">
        <w:t xml:space="preserve"> (OBF)</w:t>
      </w:r>
      <w:r w:rsidRPr="006B49DA">
        <w:t xml:space="preserve"> Loan Pool</w:t>
      </w:r>
    </w:p>
    <w:p w14:paraId="4FE3CF88" w14:textId="77777777" w:rsidR="007E0BFC" w:rsidRDefault="00C166F4" w:rsidP="008E7BDB">
      <w:pPr>
        <w:autoSpaceDE w:val="0"/>
        <w:autoSpaceDN w:val="0"/>
        <w:adjustRightInd w:val="0"/>
        <w:jc w:val="both"/>
      </w:pPr>
      <w:r w:rsidRPr="00C166F4">
        <w:rPr>
          <w:b/>
        </w:rPr>
        <w:t>No adjustments by the Commission were necessary.</w:t>
      </w:r>
      <w:r>
        <w:t xml:space="preserve"> </w:t>
      </w:r>
    </w:p>
    <w:p w14:paraId="719D6F37" w14:textId="77777777" w:rsidR="00B47FF2" w:rsidRDefault="00356D9E" w:rsidP="001314FA">
      <w:pPr>
        <w:autoSpaceDE w:val="0"/>
        <w:autoSpaceDN w:val="0"/>
        <w:adjustRightInd w:val="0"/>
        <w:jc w:val="both"/>
      </w:pPr>
      <w:r>
        <w:t>A</w:t>
      </w:r>
      <w:r w:rsidR="000620D9">
        <w:t>ll IOUs properly excluded expenditures related to Statewide ME&amp;O,</w:t>
      </w:r>
      <w:r w:rsidR="00FC4F76">
        <w:rPr>
          <w:rStyle w:val="FootnoteReference"/>
        </w:rPr>
        <w:footnoteReference w:id="38"/>
      </w:r>
      <w:r w:rsidR="000620D9">
        <w:t xml:space="preserve"> CCA/RENs, EM&amp;V,</w:t>
      </w:r>
      <w:r w:rsidR="00FC4F76" w:rsidRPr="00136784">
        <w:rPr>
          <w:rStyle w:val="FootnoteReference"/>
        </w:rPr>
        <w:footnoteReference w:id="39"/>
      </w:r>
      <w:r w:rsidR="000620D9">
        <w:t xml:space="preserve"> and OBF Loan Pool from their award calculations.</w:t>
      </w:r>
      <w:r>
        <w:t xml:space="preserve"> </w:t>
      </w:r>
    </w:p>
    <w:p w14:paraId="3FC096E1" w14:textId="77777777" w:rsidR="00356D9E" w:rsidRPr="006B49DA" w:rsidRDefault="00356D9E" w:rsidP="00AD6B15">
      <w:pPr>
        <w:pStyle w:val="Heading2"/>
        <w:numPr>
          <w:ilvl w:val="0"/>
          <w:numId w:val="24"/>
        </w:numPr>
      </w:pPr>
      <w:r w:rsidRPr="006B49DA">
        <w:t>Expenditures over the Commission</w:t>
      </w:r>
      <w:r w:rsidR="001314FA">
        <w:t>-e</w:t>
      </w:r>
      <w:r w:rsidRPr="006B49DA">
        <w:t xml:space="preserve">stablished </w:t>
      </w:r>
      <w:r w:rsidR="001314FA">
        <w:t>h</w:t>
      </w:r>
      <w:r w:rsidR="001314FA" w:rsidRPr="006B49DA">
        <w:t xml:space="preserve">ard </w:t>
      </w:r>
      <w:r w:rsidRPr="006B49DA">
        <w:t xml:space="preserve">and </w:t>
      </w:r>
      <w:r w:rsidR="001314FA">
        <w:t>s</w:t>
      </w:r>
      <w:r w:rsidR="001314FA" w:rsidRPr="006B49DA">
        <w:t xml:space="preserve">oft </w:t>
      </w:r>
      <w:r w:rsidR="001314FA">
        <w:t>c</w:t>
      </w:r>
      <w:r w:rsidR="001314FA" w:rsidRPr="006B49DA">
        <w:t>aps</w:t>
      </w:r>
    </w:p>
    <w:p w14:paraId="5A68FFFE" w14:textId="77777777" w:rsidR="001A7904" w:rsidRDefault="00440A46" w:rsidP="008E7BDB">
      <w:pPr>
        <w:jc w:val="both"/>
      </w:pPr>
      <w:r w:rsidRPr="008C7F72">
        <w:t xml:space="preserve">The </w:t>
      </w:r>
      <w:r>
        <w:t>Commission</w:t>
      </w:r>
      <w:r w:rsidRPr="008C7F72">
        <w:t xml:space="preserve"> has set a 10% hard cap for administrative costs, a 6% soft cap for ME&amp;O</w:t>
      </w:r>
      <w:r>
        <w:t xml:space="preserve"> costs</w:t>
      </w:r>
      <w:r w:rsidRPr="008C7F72">
        <w:t xml:space="preserve">, and a 20% target for </w:t>
      </w:r>
      <w:r w:rsidR="007A64B7" w:rsidRPr="00440A46">
        <w:t>Direct Implementation Non-Incentive (DINI)</w:t>
      </w:r>
      <w:r w:rsidR="00057C85" w:rsidRPr="008C7F72">
        <w:rPr>
          <w:rStyle w:val="FootnoteReference"/>
        </w:rPr>
        <w:footnoteReference w:id="40"/>
      </w:r>
      <w:r w:rsidRPr="008C7F72">
        <w:t xml:space="preserve"> </w:t>
      </w:r>
      <w:r>
        <w:t>c</w:t>
      </w:r>
      <w:r w:rsidRPr="008C7F72">
        <w:t xml:space="preserve">osts. </w:t>
      </w:r>
      <w:r w:rsidRPr="00146C34">
        <w:rPr>
          <w:b/>
        </w:rPr>
        <w:t>No IOUs exceeded the hard cap on administrative costs. All IOUs besides SCE exceeded the</w:t>
      </w:r>
      <w:r>
        <w:rPr>
          <w:b/>
        </w:rPr>
        <w:t xml:space="preserve"> DINI</w:t>
      </w:r>
      <w:r w:rsidRPr="00146C34">
        <w:rPr>
          <w:b/>
        </w:rPr>
        <w:t xml:space="preserve"> </w:t>
      </w:r>
      <w:r w:rsidR="00057C85">
        <w:rPr>
          <w:b/>
        </w:rPr>
        <w:t xml:space="preserve">cost </w:t>
      </w:r>
      <w:r>
        <w:rPr>
          <w:b/>
        </w:rPr>
        <w:t>target</w:t>
      </w:r>
      <w:r w:rsidR="00E27DF4">
        <w:rPr>
          <w:b/>
        </w:rPr>
        <w:t>, and SoCalGas also exceeded the ME&amp;O cost soft cap</w:t>
      </w:r>
      <w:r w:rsidR="001A7904" w:rsidRPr="00146C34">
        <w:rPr>
          <w:b/>
        </w:rPr>
        <w:t xml:space="preserve">. </w:t>
      </w:r>
      <w:r w:rsidR="001A7904" w:rsidRPr="00146C34">
        <w:rPr>
          <w:b/>
        </w:rPr>
        <w:lastRenderedPageBreak/>
        <w:t>Expenditures in excess of the caps</w:t>
      </w:r>
      <w:r>
        <w:rPr>
          <w:b/>
        </w:rPr>
        <w:t xml:space="preserve"> and target</w:t>
      </w:r>
      <w:r w:rsidR="001A7904" w:rsidRPr="00146C34">
        <w:rPr>
          <w:b/>
        </w:rPr>
        <w:t xml:space="preserve"> were denied for award calculation.</w:t>
      </w:r>
      <w:r w:rsidR="001A7904" w:rsidRPr="00487100">
        <w:rPr>
          <w:rStyle w:val="FootnoteReference"/>
        </w:rPr>
        <w:footnoteReference w:id="41"/>
      </w:r>
      <w:r w:rsidR="001A7904">
        <w:t xml:space="preserve"> </w:t>
      </w:r>
      <w:r>
        <w:t>Table 11 shows the IOUs’ expenditure percentages in these cost categories.</w:t>
      </w:r>
    </w:p>
    <w:tbl>
      <w:tblPr>
        <w:tblW w:w="8640" w:type="dxa"/>
        <w:jc w:val="center"/>
        <w:tblLayout w:type="fixed"/>
        <w:tblLook w:val="04A0" w:firstRow="1" w:lastRow="0" w:firstColumn="1" w:lastColumn="0" w:noHBand="0" w:noVBand="1"/>
      </w:tblPr>
      <w:tblGrid>
        <w:gridCol w:w="2798"/>
        <w:gridCol w:w="1460"/>
        <w:gridCol w:w="1461"/>
        <w:gridCol w:w="1460"/>
        <w:gridCol w:w="1461"/>
      </w:tblGrid>
      <w:tr w:rsidR="00A52B69" w14:paraId="4D0802D2" w14:textId="77777777">
        <w:trPr>
          <w:cantSplit/>
          <w:trHeight w:val="360"/>
          <w:jc w:val="center"/>
        </w:trPr>
        <w:tc>
          <w:tcPr>
            <w:tcW w:w="8640" w:type="dxa"/>
            <w:gridSpan w:val="5"/>
            <w:tcBorders>
              <w:bottom w:val="single" w:sz="4" w:space="0" w:color="auto"/>
            </w:tcBorders>
            <w:shd w:val="clear" w:color="auto" w:fill="auto"/>
            <w:noWrap/>
            <w:vAlign w:val="center"/>
          </w:tcPr>
          <w:p w14:paraId="09318D57" w14:textId="77777777" w:rsidR="00F84625" w:rsidRDefault="00F84625" w:rsidP="00B47FF2">
            <w:pPr>
              <w:spacing w:before="0" w:after="0"/>
              <w:ind w:left="-198"/>
              <w:jc w:val="center"/>
              <w:rPr>
                <w:color w:val="000000"/>
                <w:sz w:val="22"/>
                <w:szCs w:val="22"/>
              </w:rPr>
            </w:pPr>
            <w:r w:rsidRPr="004917C4">
              <w:rPr>
                <w:color w:val="000000"/>
              </w:rPr>
              <w:t>Table</w:t>
            </w:r>
            <w:r w:rsidR="0038256F">
              <w:rPr>
                <w:color w:val="000000"/>
              </w:rPr>
              <w:t xml:space="preserve"> 11</w:t>
            </w:r>
            <w:r w:rsidRPr="004917C4">
              <w:rPr>
                <w:color w:val="000000"/>
              </w:rPr>
              <w:t xml:space="preserve">: </w:t>
            </w:r>
            <w:r>
              <w:rPr>
                <w:color w:val="000000"/>
              </w:rPr>
              <w:t xml:space="preserve">2017 </w:t>
            </w:r>
            <w:r w:rsidR="00E27DF4">
              <w:rPr>
                <w:color w:val="000000"/>
              </w:rPr>
              <w:t>Category Expenditures as a Percentage of Total Expenditures</w:t>
            </w:r>
          </w:p>
        </w:tc>
      </w:tr>
      <w:tr w:rsidR="00A52B69" w14:paraId="56C88E56" w14:textId="77777777">
        <w:trPr>
          <w:cantSplit/>
          <w:trHeight w:val="170"/>
          <w:jc w:val="center"/>
        </w:trPr>
        <w:tc>
          <w:tcPr>
            <w:tcW w:w="27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0FF51" w14:textId="77777777" w:rsidR="00F84625" w:rsidRPr="007C458C" w:rsidRDefault="00F84625" w:rsidP="00B47FF2">
            <w:pPr>
              <w:spacing w:before="0" w:after="0"/>
              <w:ind w:right="-149"/>
              <w:rPr>
                <w:color w:val="000000"/>
                <w:sz w:val="22"/>
                <w:szCs w:val="22"/>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F95C6" w14:textId="77777777" w:rsidR="00F84625" w:rsidRPr="00AC4616" w:rsidRDefault="00F84625" w:rsidP="00B47FF2">
            <w:pPr>
              <w:spacing w:before="0" w:after="0"/>
              <w:ind w:left="-106" w:right="-129"/>
              <w:jc w:val="center"/>
              <w:rPr>
                <w:b/>
                <w:color w:val="000000"/>
                <w:sz w:val="22"/>
                <w:szCs w:val="22"/>
              </w:rPr>
            </w:pPr>
            <w:r w:rsidRPr="00AC4616">
              <w:rPr>
                <w:b/>
                <w:color w:val="000000"/>
              </w:rPr>
              <w:t>PG&amp;E</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1B47C" w14:textId="77777777" w:rsidR="00F84625" w:rsidRPr="00AC4616" w:rsidRDefault="00F84625" w:rsidP="00427C87">
            <w:pPr>
              <w:spacing w:before="0" w:after="0"/>
              <w:ind w:leftChars="-49" w:left="-101" w:hangingChars="7" w:hanging="17"/>
              <w:jc w:val="center"/>
              <w:rPr>
                <w:b/>
                <w:color w:val="000000"/>
                <w:sz w:val="22"/>
                <w:szCs w:val="22"/>
              </w:rPr>
            </w:pPr>
            <w:r w:rsidRPr="00AC4616">
              <w:rPr>
                <w:b/>
                <w:color w:val="000000"/>
              </w:rPr>
              <w:t>SCE</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5ADB8" w14:textId="77777777" w:rsidR="00F84625" w:rsidRPr="00AC4616" w:rsidRDefault="00F84625" w:rsidP="00B47FF2">
            <w:pPr>
              <w:spacing w:before="0" w:after="0"/>
              <w:ind w:right="-188" w:hanging="153"/>
              <w:jc w:val="center"/>
              <w:rPr>
                <w:b/>
                <w:color w:val="000000"/>
                <w:sz w:val="22"/>
                <w:szCs w:val="22"/>
              </w:rPr>
            </w:pPr>
            <w:r w:rsidRPr="00AC4616">
              <w:rPr>
                <w:b/>
                <w:color w:val="000000"/>
              </w:rPr>
              <w:t>SDG&amp;E</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66049" w14:textId="77777777" w:rsidR="00F84625" w:rsidRPr="00AC4616" w:rsidRDefault="00F84625" w:rsidP="00B47FF2">
            <w:pPr>
              <w:spacing w:before="0" w:after="0"/>
              <w:ind w:left="-63" w:right="-141"/>
              <w:jc w:val="center"/>
              <w:rPr>
                <w:b/>
                <w:color w:val="000000"/>
                <w:sz w:val="22"/>
                <w:szCs w:val="22"/>
              </w:rPr>
            </w:pPr>
            <w:r w:rsidRPr="00AC4616">
              <w:rPr>
                <w:b/>
                <w:color w:val="000000"/>
              </w:rPr>
              <w:t>SoCalGas</w:t>
            </w:r>
          </w:p>
        </w:tc>
      </w:tr>
      <w:tr w:rsidR="00A52B69" w14:paraId="0DDE853F" w14:textId="77777777">
        <w:trPr>
          <w:cantSplit/>
          <w:trHeight w:val="360"/>
          <w:jc w:val="center"/>
        </w:trPr>
        <w:tc>
          <w:tcPr>
            <w:tcW w:w="279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hideMark/>
          </w:tcPr>
          <w:p w14:paraId="67094D76" w14:textId="77777777" w:rsidR="00F84625" w:rsidRPr="00FD0208" w:rsidRDefault="00F84625" w:rsidP="00B47FF2">
            <w:pPr>
              <w:spacing w:before="0" w:after="0"/>
              <w:ind w:right="-149"/>
              <w:rPr>
                <w:color w:val="000000"/>
                <w:sz w:val="22"/>
                <w:szCs w:val="22"/>
              </w:rPr>
            </w:pPr>
            <w:r>
              <w:rPr>
                <w:sz w:val="22"/>
              </w:rPr>
              <w:t xml:space="preserve">Administrative Cap </w:t>
            </w:r>
            <w:r w:rsidR="00440A46">
              <w:rPr>
                <w:sz w:val="22"/>
              </w:rPr>
              <w:t>(</w:t>
            </w:r>
            <w:r>
              <w:rPr>
                <w:sz w:val="22"/>
              </w:rPr>
              <w:t>10%</w:t>
            </w:r>
            <w:r w:rsidR="00440A46">
              <w:rPr>
                <w:sz w:val="22"/>
              </w:rPr>
              <w:t>)</w:t>
            </w:r>
          </w:p>
        </w:tc>
        <w:tc>
          <w:tcPr>
            <w:tcW w:w="146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6AED87FF" w14:textId="77777777" w:rsidR="00F84625" w:rsidRPr="00FD0208" w:rsidRDefault="00F84625" w:rsidP="00B47FF2">
            <w:pPr>
              <w:spacing w:before="0" w:after="0"/>
              <w:ind w:left="-121" w:right="-129"/>
              <w:jc w:val="center"/>
              <w:rPr>
                <w:color w:val="000000"/>
                <w:sz w:val="22"/>
                <w:szCs w:val="22"/>
              </w:rPr>
            </w:pPr>
            <w:r>
              <w:t>9%</w:t>
            </w:r>
          </w:p>
        </w:tc>
        <w:tc>
          <w:tcPr>
            <w:tcW w:w="1461"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35874390" w14:textId="77777777" w:rsidR="00F84625" w:rsidRPr="00FD0208" w:rsidRDefault="00F84625" w:rsidP="00B47FF2">
            <w:pPr>
              <w:spacing w:before="0" w:after="0"/>
              <w:ind w:leftChars="-49" w:left="-101" w:hangingChars="7" w:hanging="17"/>
              <w:jc w:val="center"/>
              <w:rPr>
                <w:color w:val="000000"/>
                <w:sz w:val="22"/>
                <w:szCs w:val="22"/>
              </w:rPr>
            </w:pPr>
            <w:r>
              <w:t>5%</w:t>
            </w:r>
          </w:p>
        </w:tc>
        <w:tc>
          <w:tcPr>
            <w:tcW w:w="146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2137C3F4" w14:textId="77777777" w:rsidR="00F84625" w:rsidRPr="00FD0208" w:rsidRDefault="00B3339B" w:rsidP="00B47FF2">
            <w:pPr>
              <w:spacing w:before="0" w:after="0"/>
              <w:ind w:right="-188" w:hanging="153"/>
              <w:jc w:val="center"/>
              <w:rPr>
                <w:color w:val="000000"/>
                <w:sz w:val="22"/>
                <w:szCs w:val="22"/>
              </w:rPr>
            </w:pPr>
            <w:r>
              <w:t>7</w:t>
            </w:r>
            <w:r w:rsidR="00F84625">
              <w:t>%</w:t>
            </w:r>
          </w:p>
        </w:tc>
        <w:tc>
          <w:tcPr>
            <w:tcW w:w="1461"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73653CE8" w14:textId="77777777" w:rsidR="00F84625" w:rsidRPr="00FD0208" w:rsidRDefault="00F84625" w:rsidP="00B47FF2">
            <w:pPr>
              <w:spacing w:before="0" w:after="0"/>
              <w:ind w:left="-78" w:right="-172" w:hanging="31"/>
              <w:jc w:val="center"/>
              <w:rPr>
                <w:color w:val="000000"/>
                <w:sz w:val="22"/>
                <w:szCs w:val="22"/>
              </w:rPr>
            </w:pPr>
            <w:r>
              <w:t>7%</w:t>
            </w:r>
          </w:p>
        </w:tc>
      </w:tr>
      <w:tr w:rsidR="00A52B69" w14:paraId="669D9017" w14:textId="77777777">
        <w:trPr>
          <w:cantSplit/>
          <w:trHeight w:val="360"/>
          <w:jc w:val="center"/>
        </w:trPr>
        <w:tc>
          <w:tcPr>
            <w:tcW w:w="279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hideMark/>
          </w:tcPr>
          <w:p w14:paraId="2CAA8A32" w14:textId="77777777" w:rsidR="00F84625" w:rsidRPr="00FD0208" w:rsidRDefault="00F84625" w:rsidP="00B47FF2">
            <w:pPr>
              <w:spacing w:before="0" w:after="0"/>
              <w:ind w:right="-149"/>
              <w:rPr>
                <w:color w:val="000000"/>
                <w:sz w:val="22"/>
                <w:szCs w:val="22"/>
              </w:rPr>
            </w:pPr>
            <w:r>
              <w:rPr>
                <w:sz w:val="22"/>
              </w:rPr>
              <w:t xml:space="preserve">DINI </w:t>
            </w:r>
            <w:r w:rsidR="00440A46">
              <w:rPr>
                <w:sz w:val="22"/>
              </w:rPr>
              <w:t>Target</w:t>
            </w:r>
            <w:r>
              <w:rPr>
                <w:sz w:val="22"/>
              </w:rPr>
              <w:t xml:space="preserve"> </w:t>
            </w:r>
            <w:r w:rsidR="00440A46">
              <w:rPr>
                <w:sz w:val="22"/>
              </w:rPr>
              <w:t>(</w:t>
            </w:r>
            <w:r>
              <w:rPr>
                <w:sz w:val="22"/>
              </w:rPr>
              <w:t>20%</w:t>
            </w:r>
            <w:r w:rsidR="00440A46">
              <w:rPr>
                <w:sz w:val="22"/>
              </w:rPr>
              <w:t>)</w:t>
            </w:r>
          </w:p>
        </w:tc>
        <w:tc>
          <w:tcPr>
            <w:tcW w:w="146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25845E82" w14:textId="77777777" w:rsidR="00F84625" w:rsidRPr="00FD0208" w:rsidRDefault="00F84625" w:rsidP="00B47FF2">
            <w:pPr>
              <w:tabs>
                <w:tab w:val="left" w:pos="1190"/>
              </w:tabs>
              <w:spacing w:before="0" w:after="0"/>
              <w:ind w:left="-121" w:right="-129"/>
              <w:jc w:val="center"/>
              <w:rPr>
                <w:color w:val="000000"/>
                <w:sz w:val="22"/>
                <w:szCs w:val="22"/>
              </w:rPr>
            </w:pPr>
            <w:r>
              <w:t>27%</w:t>
            </w:r>
          </w:p>
        </w:tc>
        <w:tc>
          <w:tcPr>
            <w:tcW w:w="1461"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622A597F" w14:textId="77777777" w:rsidR="00F84625" w:rsidRPr="00FD0208" w:rsidRDefault="00A764D5" w:rsidP="00B47FF2">
            <w:pPr>
              <w:spacing w:before="0" w:after="0"/>
              <w:ind w:hanging="31"/>
              <w:jc w:val="center"/>
              <w:rPr>
                <w:color w:val="000000"/>
                <w:sz w:val="22"/>
                <w:szCs w:val="22"/>
              </w:rPr>
            </w:pPr>
            <w:r>
              <w:t>14%</w:t>
            </w:r>
          </w:p>
        </w:tc>
        <w:tc>
          <w:tcPr>
            <w:tcW w:w="146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0DB846CA" w14:textId="77777777" w:rsidR="00F84625" w:rsidRPr="00FD0208" w:rsidRDefault="00B3339B" w:rsidP="00B47FF2">
            <w:pPr>
              <w:spacing w:before="0" w:after="0"/>
              <w:ind w:right="-188" w:hanging="153"/>
              <w:jc w:val="center"/>
              <w:rPr>
                <w:color w:val="000000"/>
                <w:sz w:val="22"/>
                <w:szCs w:val="22"/>
              </w:rPr>
            </w:pPr>
            <w:r>
              <w:t>34</w:t>
            </w:r>
            <w:r w:rsidR="00A764D5">
              <w:t>%</w:t>
            </w:r>
          </w:p>
        </w:tc>
        <w:tc>
          <w:tcPr>
            <w:tcW w:w="1461"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71806B34" w14:textId="77777777" w:rsidR="00F84625" w:rsidRPr="00FD0208" w:rsidRDefault="00A764D5" w:rsidP="00B47FF2">
            <w:pPr>
              <w:spacing w:before="0" w:after="0"/>
              <w:ind w:left="-78" w:right="-172" w:hanging="31"/>
              <w:jc w:val="center"/>
              <w:rPr>
                <w:color w:val="000000"/>
                <w:sz w:val="22"/>
                <w:szCs w:val="22"/>
              </w:rPr>
            </w:pPr>
            <w:r>
              <w:t>30%</w:t>
            </w:r>
          </w:p>
        </w:tc>
      </w:tr>
      <w:tr w:rsidR="00A52B69" w14:paraId="74C3AEFD" w14:textId="77777777">
        <w:trPr>
          <w:cantSplit/>
          <w:trHeight w:val="360"/>
          <w:jc w:val="center"/>
        </w:trPr>
        <w:tc>
          <w:tcPr>
            <w:tcW w:w="279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hideMark/>
          </w:tcPr>
          <w:p w14:paraId="45ADB944" w14:textId="77777777" w:rsidR="00F84625" w:rsidRPr="00FD0208" w:rsidRDefault="00F84625" w:rsidP="00B47FF2">
            <w:pPr>
              <w:spacing w:before="0" w:after="0"/>
              <w:ind w:right="-149"/>
              <w:rPr>
                <w:color w:val="000000"/>
                <w:sz w:val="22"/>
                <w:szCs w:val="22"/>
              </w:rPr>
            </w:pPr>
            <w:r>
              <w:rPr>
                <w:sz w:val="22"/>
              </w:rPr>
              <w:t xml:space="preserve">ME&amp;O </w:t>
            </w:r>
            <w:r w:rsidR="00A764D5">
              <w:rPr>
                <w:sz w:val="22"/>
              </w:rPr>
              <w:t>Soft Cap</w:t>
            </w:r>
            <w:r>
              <w:rPr>
                <w:sz w:val="22"/>
              </w:rPr>
              <w:t xml:space="preserve"> </w:t>
            </w:r>
            <w:r w:rsidR="00440A46">
              <w:rPr>
                <w:sz w:val="22"/>
              </w:rPr>
              <w:t>(</w:t>
            </w:r>
            <w:r>
              <w:rPr>
                <w:sz w:val="22"/>
              </w:rPr>
              <w:t>6%</w:t>
            </w:r>
            <w:r w:rsidR="00440A46">
              <w:rPr>
                <w:sz w:val="22"/>
              </w:rPr>
              <w:t>)</w:t>
            </w:r>
          </w:p>
        </w:tc>
        <w:tc>
          <w:tcPr>
            <w:tcW w:w="146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34A949A9" w14:textId="77777777" w:rsidR="00F84625" w:rsidRPr="00FD0208" w:rsidRDefault="00A764D5" w:rsidP="00B47FF2">
            <w:pPr>
              <w:spacing w:before="0" w:after="0"/>
              <w:ind w:left="-121" w:right="-129"/>
              <w:jc w:val="center"/>
              <w:rPr>
                <w:rFonts w:cs="Calibri"/>
                <w:color w:val="000000"/>
                <w:sz w:val="22"/>
                <w:szCs w:val="22"/>
              </w:rPr>
            </w:pPr>
            <w:r>
              <w:t>5%</w:t>
            </w:r>
          </w:p>
        </w:tc>
        <w:tc>
          <w:tcPr>
            <w:tcW w:w="1461"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5D7B97B5" w14:textId="77777777" w:rsidR="00F84625" w:rsidRPr="00FD0208" w:rsidRDefault="00A764D5" w:rsidP="00B47FF2">
            <w:pPr>
              <w:spacing w:before="0" w:after="0"/>
              <w:ind w:firstLineChars="15" w:firstLine="36"/>
              <w:jc w:val="center"/>
              <w:rPr>
                <w:color w:val="000000"/>
                <w:sz w:val="22"/>
                <w:szCs w:val="22"/>
              </w:rPr>
            </w:pPr>
            <w:r>
              <w:t>3%</w:t>
            </w:r>
          </w:p>
        </w:tc>
        <w:tc>
          <w:tcPr>
            <w:tcW w:w="146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6977E73F" w14:textId="77777777" w:rsidR="00F84625" w:rsidRPr="00FD0208" w:rsidRDefault="00A764D5" w:rsidP="00B47FF2">
            <w:pPr>
              <w:spacing w:before="0" w:after="0"/>
              <w:ind w:right="-188" w:hanging="153"/>
              <w:jc w:val="center"/>
              <w:rPr>
                <w:color w:val="000000"/>
                <w:sz w:val="22"/>
                <w:szCs w:val="22"/>
              </w:rPr>
            </w:pPr>
            <w:r>
              <w:t>2%</w:t>
            </w:r>
          </w:p>
        </w:tc>
        <w:tc>
          <w:tcPr>
            <w:tcW w:w="1461"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37EF5CB0" w14:textId="77777777" w:rsidR="00F84625" w:rsidRPr="00FD0208" w:rsidRDefault="00A764D5" w:rsidP="00B47FF2">
            <w:pPr>
              <w:spacing w:before="0" w:after="0"/>
              <w:ind w:left="-78" w:right="-172" w:hanging="31"/>
              <w:jc w:val="center"/>
              <w:rPr>
                <w:color w:val="000000"/>
                <w:sz w:val="22"/>
                <w:szCs w:val="22"/>
              </w:rPr>
            </w:pPr>
            <w:r>
              <w:t>7%</w:t>
            </w:r>
          </w:p>
        </w:tc>
      </w:tr>
    </w:tbl>
    <w:p w14:paraId="121D2510" w14:textId="77777777" w:rsidR="00356D9E" w:rsidRDefault="00356D9E" w:rsidP="00B47FF2">
      <w:pPr>
        <w:spacing w:before="240"/>
      </w:pPr>
      <w:r>
        <w:t>Table</w:t>
      </w:r>
      <w:r w:rsidR="00440A46">
        <w:t xml:space="preserve"> 12</w:t>
      </w:r>
      <w:r>
        <w:t xml:space="preserve"> shows the final expenditure amounts approved and used in the award calculation</w:t>
      </w:r>
      <w:r w:rsidR="00057C85">
        <w:t>s</w:t>
      </w:r>
      <w:r>
        <w:t>.</w:t>
      </w:r>
    </w:p>
    <w:tbl>
      <w:tblPr>
        <w:tblpPr w:leftFromText="180" w:rightFromText="180" w:vertAnchor="text" w:horzAnchor="margin" w:tblpXSpec="center" w:tblpY="61"/>
        <w:tblW w:w="8640" w:type="dxa"/>
        <w:jc w:val="center"/>
        <w:tblLayout w:type="fixed"/>
        <w:tblLook w:val="04A0" w:firstRow="1" w:lastRow="0" w:firstColumn="1" w:lastColumn="0" w:noHBand="0" w:noVBand="1"/>
      </w:tblPr>
      <w:tblGrid>
        <w:gridCol w:w="2528"/>
        <w:gridCol w:w="1625"/>
        <w:gridCol w:w="1535"/>
        <w:gridCol w:w="1535"/>
        <w:gridCol w:w="1417"/>
      </w:tblGrid>
      <w:tr w:rsidR="00A52B69" w14:paraId="0435594D" w14:textId="77777777">
        <w:trPr>
          <w:cantSplit/>
          <w:trHeight w:val="360"/>
          <w:jc w:val="center"/>
        </w:trPr>
        <w:tc>
          <w:tcPr>
            <w:tcW w:w="8612" w:type="dxa"/>
            <w:gridSpan w:val="5"/>
            <w:tcBorders>
              <w:bottom w:val="single" w:sz="4" w:space="0" w:color="auto"/>
            </w:tcBorders>
            <w:shd w:val="clear" w:color="auto" w:fill="auto"/>
            <w:noWrap/>
            <w:vAlign w:val="center"/>
          </w:tcPr>
          <w:p w14:paraId="032381C0" w14:textId="77777777" w:rsidR="003439F3" w:rsidRDefault="003439F3" w:rsidP="00EB6163">
            <w:pPr>
              <w:spacing w:before="0" w:after="0"/>
              <w:ind w:left="-198"/>
              <w:jc w:val="center"/>
              <w:rPr>
                <w:color w:val="000000"/>
                <w:sz w:val="22"/>
                <w:szCs w:val="22"/>
              </w:rPr>
            </w:pPr>
            <w:bookmarkStart w:id="42" w:name="_Ref32222"/>
            <w:r w:rsidRPr="004917C4">
              <w:rPr>
                <w:color w:val="000000"/>
              </w:rPr>
              <w:t>Table</w:t>
            </w:r>
            <w:r w:rsidR="0038256F">
              <w:rPr>
                <w:color w:val="000000"/>
              </w:rPr>
              <w:t xml:space="preserve"> 12</w:t>
            </w:r>
            <w:bookmarkEnd w:id="42"/>
            <w:r w:rsidRPr="004917C4">
              <w:rPr>
                <w:color w:val="000000"/>
              </w:rPr>
              <w:t xml:space="preserve">: </w:t>
            </w:r>
            <w:r>
              <w:rPr>
                <w:color w:val="000000"/>
              </w:rPr>
              <w:t>2017 Authorized Expenditures Used for Award Calculation</w:t>
            </w:r>
          </w:p>
        </w:tc>
      </w:tr>
      <w:tr w:rsidR="00A52B69" w14:paraId="08057F91" w14:textId="77777777">
        <w:trPr>
          <w:cantSplit/>
          <w:trHeight w:val="170"/>
          <w:jc w:val="center"/>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F9B72" w14:textId="77777777" w:rsidR="003439F3" w:rsidRPr="007C458C" w:rsidRDefault="003439F3" w:rsidP="00EB6163">
            <w:pPr>
              <w:spacing w:before="0" w:after="0"/>
              <w:ind w:right="-149"/>
              <w:rPr>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B1EED" w14:textId="77777777" w:rsidR="003439F3" w:rsidRPr="00AC4616" w:rsidRDefault="003439F3" w:rsidP="00427C87">
            <w:pPr>
              <w:spacing w:before="0" w:after="0"/>
              <w:ind w:leftChars="-12" w:right="-90" w:hangingChars="12" w:hanging="29"/>
              <w:jc w:val="center"/>
              <w:rPr>
                <w:b/>
                <w:color w:val="000000"/>
                <w:sz w:val="22"/>
                <w:szCs w:val="22"/>
              </w:rPr>
            </w:pPr>
            <w:r w:rsidRPr="00AC4616">
              <w:rPr>
                <w:b/>
                <w:color w:val="000000"/>
              </w:rPr>
              <w:t>PG&amp;E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E2F5E" w14:textId="77777777" w:rsidR="003439F3" w:rsidRPr="00AC4616" w:rsidRDefault="003439F3" w:rsidP="00427C87">
            <w:pPr>
              <w:spacing w:before="0" w:after="0"/>
              <w:ind w:leftChars="-49" w:left="-101" w:right="-180" w:hangingChars="7" w:hanging="17"/>
              <w:jc w:val="center"/>
              <w:rPr>
                <w:b/>
                <w:color w:val="000000"/>
                <w:sz w:val="22"/>
                <w:szCs w:val="22"/>
              </w:rPr>
            </w:pPr>
            <w:r w:rsidRPr="00AC4616">
              <w:rPr>
                <w:b/>
                <w:color w:val="000000"/>
              </w:rPr>
              <w:t>SCE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C135D" w14:textId="77777777" w:rsidR="003439F3" w:rsidRPr="00AC4616" w:rsidRDefault="003439F3" w:rsidP="00EB6163">
            <w:pPr>
              <w:spacing w:before="0" w:after="0"/>
              <w:jc w:val="center"/>
              <w:rPr>
                <w:b/>
                <w:color w:val="000000"/>
                <w:sz w:val="22"/>
                <w:szCs w:val="22"/>
              </w:rPr>
            </w:pPr>
            <w:r w:rsidRPr="00AC4616">
              <w:rPr>
                <w:b/>
                <w:color w:val="000000"/>
              </w:rPr>
              <w:t>SDG&amp;E</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F895D" w14:textId="77777777" w:rsidR="003439F3" w:rsidRPr="00AC4616" w:rsidRDefault="003439F3" w:rsidP="00EB6163">
            <w:pPr>
              <w:spacing w:before="0" w:after="0"/>
              <w:ind w:left="-44"/>
              <w:jc w:val="center"/>
              <w:rPr>
                <w:b/>
                <w:color w:val="000000"/>
                <w:sz w:val="22"/>
                <w:szCs w:val="22"/>
              </w:rPr>
            </w:pPr>
            <w:r w:rsidRPr="00AC4616">
              <w:rPr>
                <w:b/>
                <w:color w:val="000000"/>
              </w:rPr>
              <w:t>SoCalGas</w:t>
            </w:r>
          </w:p>
        </w:tc>
      </w:tr>
      <w:tr w:rsidR="00A52B69" w14:paraId="3A197AFD" w14:textId="77777777">
        <w:trPr>
          <w:cantSplit/>
          <w:trHeight w:val="360"/>
          <w:jc w:val="center"/>
        </w:trPr>
        <w:tc>
          <w:tcPr>
            <w:tcW w:w="252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hideMark/>
          </w:tcPr>
          <w:p w14:paraId="55FB9BCA" w14:textId="77777777" w:rsidR="004C196D" w:rsidRPr="00FD0208" w:rsidRDefault="004C196D" w:rsidP="00EB6163">
            <w:pPr>
              <w:spacing w:before="0" w:after="0"/>
              <w:ind w:right="-149"/>
              <w:rPr>
                <w:color w:val="000000"/>
                <w:sz w:val="22"/>
                <w:szCs w:val="22"/>
              </w:rPr>
            </w:pPr>
            <w:r w:rsidRPr="00FD0208">
              <w:rPr>
                <w:sz w:val="22"/>
              </w:rPr>
              <w:t>2017 Resource Expenditures</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3094847A" w14:textId="77777777" w:rsidR="0016169D" w:rsidRPr="005E3089" w:rsidRDefault="0016169D" w:rsidP="00EB6163">
            <w:pPr>
              <w:spacing w:before="0" w:after="0"/>
              <w:ind w:left="-29"/>
              <w:jc w:val="right"/>
            </w:pPr>
            <w:r w:rsidRPr="005E3089">
              <w:t>$225,</w:t>
            </w:r>
            <w:r w:rsidR="00B2057C">
              <w:t>974,016</w:t>
            </w:r>
          </w:p>
          <w:p w14:paraId="4CAB0BF8" w14:textId="77777777" w:rsidR="004C196D" w:rsidRPr="005E3089" w:rsidRDefault="004C196D" w:rsidP="00EB6163">
            <w:pPr>
              <w:spacing w:before="0" w:after="0"/>
              <w:ind w:hanging="29"/>
              <w:jc w:val="right"/>
              <w:rPr>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58F70627" w14:textId="77777777" w:rsidR="004C196D" w:rsidRPr="005E3089" w:rsidRDefault="004C196D" w:rsidP="00EB6163">
            <w:pPr>
              <w:spacing w:before="0" w:after="0"/>
              <w:ind w:leftChars="-49" w:left="-101" w:hangingChars="7" w:hanging="17"/>
              <w:jc w:val="right"/>
              <w:rPr>
                <w:color w:val="000000"/>
                <w:sz w:val="22"/>
                <w:szCs w:val="22"/>
              </w:rPr>
            </w:pPr>
            <w:r w:rsidRPr="005E3089">
              <w:t xml:space="preserve"> $205,831,828 </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17B3F6F0" w14:textId="77777777" w:rsidR="004C196D" w:rsidRPr="005E3089" w:rsidRDefault="004C196D" w:rsidP="00EB6163">
            <w:pPr>
              <w:spacing w:before="0" w:after="0"/>
              <w:jc w:val="right"/>
            </w:pPr>
            <w:r w:rsidRPr="005E3089">
              <w:t>$</w:t>
            </w:r>
            <w:r w:rsidR="00891D9C" w:rsidRPr="005E3089">
              <w:t>75,117,533</w:t>
            </w:r>
          </w:p>
        </w:tc>
        <w:tc>
          <w:tcPr>
            <w:tcW w:w="1412"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6E1516D2" w14:textId="77777777" w:rsidR="004C196D" w:rsidRPr="005E3089" w:rsidRDefault="00CA2DA1" w:rsidP="00EB6163">
            <w:pPr>
              <w:spacing w:before="0" w:after="0"/>
              <w:ind w:leftChars="-49" w:left="-101" w:right="-59" w:hangingChars="7" w:hanging="17"/>
              <w:jc w:val="right"/>
            </w:pPr>
            <w:r w:rsidRPr="009061A0">
              <w:t>$45,833,210</w:t>
            </w:r>
          </w:p>
        </w:tc>
      </w:tr>
      <w:tr w:rsidR="00A52B69" w14:paraId="162E5106" w14:textId="77777777">
        <w:trPr>
          <w:cantSplit/>
          <w:trHeight w:val="360"/>
          <w:jc w:val="center"/>
        </w:trPr>
        <w:tc>
          <w:tcPr>
            <w:tcW w:w="252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hideMark/>
          </w:tcPr>
          <w:p w14:paraId="7E9009C2" w14:textId="77777777" w:rsidR="003439F3" w:rsidRPr="00FD0208" w:rsidRDefault="003439F3" w:rsidP="00EB6163">
            <w:pPr>
              <w:spacing w:before="0" w:after="0"/>
              <w:ind w:right="-149"/>
              <w:rPr>
                <w:color w:val="000000"/>
                <w:sz w:val="22"/>
                <w:szCs w:val="22"/>
              </w:rPr>
            </w:pPr>
            <w:r w:rsidRPr="00FD0208">
              <w:rPr>
                <w:sz w:val="22"/>
              </w:rPr>
              <w:t xml:space="preserve">2017 </w:t>
            </w:r>
            <w:r w:rsidR="00D97074">
              <w:t>C&amp;S</w:t>
            </w:r>
            <w:r w:rsidR="00D97074" w:rsidRPr="00897112">
              <w:t xml:space="preserve"> </w:t>
            </w:r>
            <w:r w:rsidRPr="00FD0208">
              <w:rPr>
                <w:sz w:val="22"/>
              </w:rPr>
              <w:t>Ex</w:t>
            </w:r>
            <w:r>
              <w:rPr>
                <w:sz w:val="22"/>
              </w:rPr>
              <w:t>p</w:t>
            </w:r>
            <w:r w:rsidRPr="00FD0208">
              <w:rPr>
                <w:sz w:val="22"/>
              </w:rPr>
              <w:t>enditures</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76D34D1C" w14:textId="77777777" w:rsidR="003439F3" w:rsidRPr="00FD0208" w:rsidRDefault="003439F3" w:rsidP="00EB6163">
            <w:pPr>
              <w:spacing w:before="0" w:after="0"/>
              <w:ind w:leftChars="-48" w:left="-98" w:hangingChars="7" w:hanging="17"/>
              <w:jc w:val="right"/>
              <w:rPr>
                <w:color w:val="000000"/>
                <w:sz w:val="22"/>
                <w:szCs w:val="22"/>
              </w:rPr>
            </w:pPr>
            <w:r w:rsidRPr="004D260C">
              <w:t xml:space="preserve"> $15,327,236 </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23423245" w14:textId="77777777" w:rsidR="003439F3" w:rsidRPr="00FD0208" w:rsidRDefault="003439F3" w:rsidP="00EB6163">
            <w:pPr>
              <w:spacing w:before="0" w:after="0"/>
              <w:jc w:val="right"/>
              <w:rPr>
                <w:color w:val="000000"/>
                <w:sz w:val="22"/>
                <w:szCs w:val="22"/>
              </w:rPr>
            </w:pPr>
            <w:r w:rsidRPr="004D260C">
              <w:t xml:space="preserve"> $3,953,363 </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3D8F47B9" w14:textId="77777777" w:rsidR="003439F3" w:rsidRPr="00FD0208" w:rsidRDefault="003439F3" w:rsidP="00EB6163">
            <w:pPr>
              <w:spacing w:before="0" w:after="0"/>
              <w:jc w:val="right"/>
              <w:rPr>
                <w:color w:val="000000"/>
                <w:sz w:val="22"/>
                <w:szCs w:val="22"/>
              </w:rPr>
            </w:pPr>
            <w:r w:rsidRPr="004D260C">
              <w:t xml:space="preserve">$1,101,074 </w:t>
            </w:r>
          </w:p>
        </w:tc>
        <w:tc>
          <w:tcPr>
            <w:tcW w:w="1412"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3CBF6910" w14:textId="77777777" w:rsidR="003439F3" w:rsidRPr="00FD0208" w:rsidRDefault="003439F3" w:rsidP="00EB6163">
            <w:pPr>
              <w:spacing w:before="0" w:after="0"/>
              <w:ind w:left="-198" w:right="-59"/>
              <w:jc w:val="right"/>
              <w:rPr>
                <w:color w:val="000000"/>
                <w:sz w:val="22"/>
                <w:szCs w:val="22"/>
              </w:rPr>
            </w:pPr>
            <w:r w:rsidRPr="004D260C">
              <w:t xml:space="preserve"> $931,572 </w:t>
            </w:r>
          </w:p>
        </w:tc>
      </w:tr>
      <w:tr w:rsidR="00A52B69" w14:paraId="71B6EC6B" w14:textId="77777777">
        <w:trPr>
          <w:cantSplit/>
          <w:trHeight w:val="360"/>
          <w:jc w:val="center"/>
        </w:trPr>
        <w:tc>
          <w:tcPr>
            <w:tcW w:w="252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hideMark/>
          </w:tcPr>
          <w:p w14:paraId="09E70E3A" w14:textId="77777777" w:rsidR="003439F3" w:rsidRPr="00FD0208" w:rsidRDefault="003439F3" w:rsidP="00EB6163">
            <w:pPr>
              <w:spacing w:before="0" w:after="0"/>
              <w:ind w:right="-149"/>
              <w:rPr>
                <w:color w:val="000000"/>
                <w:sz w:val="22"/>
                <w:szCs w:val="22"/>
              </w:rPr>
            </w:pPr>
            <w:r w:rsidRPr="00FD0208">
              <w:rPr>
                <w:sz w:val="22"/>
              </w:rPr>
              <w:t>2017 Non-Resource Expenditures</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00197FA5" w14:textId="77777777" w:rsidR="003439F3" w:rsidRPr="00FD0208" w:rsidRDefault="003439F3" w:rsidP="00EB6163">
            <w:pPr>
              <w:spacing w:before="0" w:after="0"/>
              <w:ind w:hanging="29"/>
              <w:jc w:val="right"/>
              <w:rPr>
                <w:rFonts w:cs="Calibri"/>
                <w:color w:val="000000"/>
                <w:sz w:val="22"/>
                <w:szCs w:val="22"/>
              </w:rPr>
            </w:pPr>
            <w:r w:rsidRPr="004D260C">
              <w:t xml:space="preserve"> $20,514,186 </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6D4295BC" w14:textId="77777777" w:rsidR="003439F3" w:rsidRPr="00FD0208" w:rsidRDefault="003439F3" w:rsidP="00EB6163">
            <w:pPr>
              <w:spacing w:before="0" w:after="0"/>
              <w:ind w:firstLineChars="15" w:firstLine="36"/>
              <w:jc w:val="right"/>
              <w:rPr>
                <w:color w:val="000000"/>
                <w:sz w:val="22"/>
                <w:szCs w:val="22"/>
              </w:rPr>
            </w:pPr>
            <w:r w:rsidRPr="004D260C">
              <w:t xml:space="preserve">$15,565,627 </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2E77415D" w14:textId="77777777" w:rsidR="003439F3" w:rsidRPr="00FD0208" w:rsidRDefault="003439F3" w:rsidP="00EB6163">
            <w:pPr>
              <w:spacing w:before="0" w:after="0"/>
              <w:jc w:val="right"/>
              <w:rPr>
                <w:color w:val="000000"/>
                <w:sz w:val="22"/>
                <w:szCs w:val="22"/>
              </w:rPr>
            </w:pPr>
            <w:r w:rsidRPr="004D260C">
              <w:t>$6,</w:t>
            </w:r>
            <w:r w:rsidR="00B2057C">
              <w:t>137,018</w:t>
            </w:r>
            <w:r w:rsidRPr="004D260C">
              <w:t xml:space="preserve"> </w:t>
            </w:r>
          </w:p>
        </w:tc>
        <w:tc>
          <w:tcPr>
            <w:tcW w:w="1412"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30135BD6" w14:textId="77777777" w:rsidR="003439F3" w:rsidRPr="00FD0208" w:rsidRDefault="003439F3" w:rsidP="00EB6163">
            <w:pPr>
              <w:spacing w:before="0" w:after="0"/>
              <w:ind w:left="-198" w:right="-59"/>
              <w:jc w:val="right"/>
              <w:rPr>
                <w:color w:val="000000"/>
                <w:sz w:val="22"/>
                <w:szCs w:val="22"/>
              </w:rPr>
            </w:pPr>
            <w:r w:rsidRPr="004D260C">
              <w:t xml:space="preserve"> $9,524,942 </w:t>
            </w:r>
          </w:p>
        </w:tc>
      </w:tr>
    </w:tbl>
    <w:p w14:paraId="1198B03F" w14:textId="77777777" w:rsidR="00356D9E" w:rsidRDefault="00356D9E" w:rsidP="00CA2DA1">
      <w:pPr>
        <w:spacing w:before="240"/>
        <w:jc w:val="both"/>
      </w:pPr>
      <w:r>
        <w:t>S</w:t>
      </w:r>
      <w:r w:rsidRPr="008C7F72">
        <w:t xml:space="preserve">ince the RRIM and throughout </w:t>
      </w:r>
      <w:r w:rsidR="001A7904">
        <w:t>prior</w:t>
      </w:r>
      <w:r w:rsidRPr="008C7F72">
        <w:t xml:space="preserve"> budget cycles</w:t>
      </w:r>
      <w:r>
        <w:t>,</w:t>
      </w:r>
      <w:r w:rsidRPr="008C7F72">
        <w:t xml:space="preserve"> the </w:t>
      </w:r>
      <w:r>
        <w:t>Commission</w:t>
      </w:r>
      <w:r w:rsidRPr="008C7F72">
        <w:t xml:space="preserve"> has addressed overspending on ME&amp;O and DINI expenditures and has required </w:t>
      </w:r>
      <w:r w:rsidRPr="008C7F72">
        <w:rPr>
          <w:rFonts w:cs="Book Antiqua"/>
          <w:color w:val="000000"/>
          <w:szCs w:val="26"/>
        </w:rPr>
        <w:t>the utilities to minimize their non-incentive expenditures to achieve the 20% DINI cost target.</w:t>
      </w:r>
      <w:r w:rsidRPr="008C7F72">
        <w:rPr>
          <w:rStyle w:val="FootnoteReference"/>
        </w:rPr>
        <w:footnoteReference w:id="42"/>
      </w:r>
      <w:r w:rsidRPr="008C7F72">
        <w:t xml:space="preserve"> While the </w:t>
      </w:r>
      <w:r>
        <w:t>Commission</w:t>
      </w:r>
      <w:r w:rsidRPr="008C7F72">
        <w:t xml:space="preserve"> has </w:t>
      </w:r>
      <w:r>
        <w:t>allowed</w:t>
      </w:r>
      <w:r w:rsidRPr="008C7F72">
        <w:t xml:space="preserve"> over-expenditures in these two categories, it does not intend to reward the IOUs based on these excess expenditures. Therefore</w:t>
      </w:r>
      <w:r>
        <w:t>,</w:t>
      </w:r>
      <w:r w:rsidRPr="008C7F72">
        <w:t xml:space="preserve"> </w:t>
      </w:r>
      <w:r>
        <w:t>we</w:t>
      </w:r>
      <w:r w:rsidRPr="008C7F72">
        <w:t xml:space="preserve"> remov</w:t>
      </w:r>
      <w:r>
        <w:t>e</w:t>
      </w:r>
      <w:r w:rsidRPr="008C7F72">
        <w:t xml:space="preserve"> any excess ME&amp;O expenditures (over 6%) and non-exempted DINI expenditures (over 20%) from the total program expenditures</w:t>
      </w:r>
      <w:r w:rsidR="00FE464A">
        <w:t>,</w:t>
      </w:r>
      <w:r w:rsidRPr="008C7F72">
        <w:t xml:space="preserve"> and exclud</w:t>
      </w:r>
      <w:r>
        <w:t>e</w:t>
      </w:r>
      <w:r w:rsidRPr="008C7F72">
        <w:t xml:space="preserve"> the excess expenditures from earning shareholder incentive awards.</w:t>
      </w:r>
    </w:p>
    <w:p w14:paraId="29AE1F9A" w14:textId="77777777" w:rsidR="0029725B" w:rsidRDefault="0029725B" w:rsidP="008E7BDB">
      <w:pPr>
        <w:tabs>
          <w:tab w:val="left" w:pos="720"/>
        </w:tabs>
        <w:jc w:val="both"/>
      </w:pPr>
      <w:bookmarkStart w:id="43" w:name="_Toc122711"/>
      <w:bookmarkStart w:id="44" w:name="_Toc122802"/>
      <w:bookmarkStart w:id="45" w:name="_Toc122859"/>
      <w:bookmarkStart w:id="46" w:name="_Toc130843"/>
      <w:r w:rsidRPr="007A64B7">
        <w:t xml:space="preserve">The current ESPI mechanism does not </w:t>
      </w:r>
      <w:r w:rsidR="006F4D71" w:rsidRPr="007A64B7">
        <w:t>provide</w:t>
      </w:r>
      <w:r w:rsidRPr="007A64B7">
        <w:t xml:space="preserve"> an insight into whether certain programs show larger energy savings as a result of higher ME&amp;O and DINI expenditures.</w:t>
      </w:r>
      <w:bookmarkEnd w:id="43"/>
      <w:bookmarkEnd w:id="44"/>
      <w:bookmarkEnd w:id="45"/>
      <w:bookmarkEnd w:id="46"/>
    </w:p>
    <w:p w14:paraId="17FF3210" w14:textId="77777777" w:rsidR="00A81B69" w:rsidRPr="006B49DA" w:rsidRDefault="00A81B69" w:rsidP="001314FA">
      <w:pPr>
        <w:pStyle w:val="Heading2"/>
        <w:ind w:left="720" w:hanging="360"/>
      </w:pPr>
      <w:r w:rsidRPr="006B49DA">
        <w:lastRenderedPageBreak/>
        <w:t xml:space="preserve">d) Inclusion of </w:t>
      </w:r>
      <w:r w:rsidR="00530C1B" w:rsidRPr="006B49DA">
        <w:t>e</w:t>
      </w:r>
      <w:r w:rsidRPr="006B49DA">
        <w:t xml:space="preserve">xpenditures for </w:t>
      </w:r>
      <w:r w:rsidR="00530C1B" w:rsidRPr="006B49DA">
        <w:t>r</w:t>
      </w:r>
      <w:r w:rsidRPr="006B49DA">
        <w:t xml:space="preserve">esource </w:t>
      </w:r>
      <w:r w:rsidR="00530C1B" w:rsidRPr="006B49DA">
        <w:t>p</w:t>
      </w:r>
      <w:r w:rsidRPr="006B49DA">
        <w:t xml:space="preserve">rograms without </w:t>
      </w:r>
      <w:r w:rsidR="00530C1B" w:rsidRPr="006B49DA">
        <w:t>s</w:t>
      </w:r>
      <w:r w:rsidRPr="006B49DA">
        <w:t>avings</w:t>
      </w:r>
    </w:p>
    <w:p w14:paraId="34303E7E" w14:textId="77777777" w:rsidR="00A81B69" w:rsidRPr="009768FE" w:rsidRDefault="00530C1B" w:rsidP="008E7BDB">
      <w:pPr>
        <w:spacing w:before="0" w:after="0"/>
        <w:jc w:val="both"/>
        <w:rPr>
          <w:rFonts w:ascii="Times New Roman" w:hAnsi="Times New Roman"/>
        </w:rPr>
      </w:pPr>
      <w:r w:rsidRPr="00B36F8F">
        <w:t>SDG&amp;</w:t>
      </w:r>
      <w:r>
        <w:t xml:space="preserve">E excluded expenditures for resource programs that did not achieve savings from their award request. </w:t>
      </w:r>
      <w:r w:rsidR="007F690E">
        <w:t xml:space="preserve">There is no prior Commission guidance on how to treat expenditures for resource programs with no savings for </w:t>
      </w:r>
      <w:r w:rsidR="004B1A02">
        <w:t xml:space="preserve">the </w:t>
      </w:r>
      <w:r w:rsidR="007F690E">
        <w:t xml:space="preserve">ESPI mechanism.  </w:t>
      </w:r>
      <w:r>
        <w:t xml:space="preserve">For consistency with the other IOUs, </w:t>
      </w:r>
      <w:r w:rsidR="007F690E">
        <w:t>Commission Staff</w:t>
      </w:r>
      <w:r>
        <w:t xml:space="preserve"> added back </w:t>
      </w:r>
      <w:r w:rsidR="007F690E">
        <w:t>SDG&amp;E’s</w:t>
      </w:r>
      <w:r>
        <w:t xml:space="preserve"> full expenditures for all resource programs as filed in their Authorized Budget Advice Letter and in CEDARS. Energy Division will work with the Assigned Commissioner Office and Assigned Administrative Law Judge to understand the cause of resource programs reporting no savings and whether their expenditures deserve different treatment in the ESPI mechanism.</w:t>
      </w:r>
      <w:r>
        <w:rPr>
          <w:rFonts w:ascii="Times New Roman" w:hAnsi="Times New Roman"/>
        </w:rPr>
        <w:t xml:space="preserve"> </w:t>
      </w:r>
    </w:p>
    <w:p w14:paraId="39DA47D5" w14:textId="77777777" w:rsidR="008466E9" w:rsidRPr="006B49DA" w:rsidRDefault="00C3554D" w:rsidP="00AD6B15">
      <w:pPr>
        <w:pStyle w:val="Heading2"/>
        <w:numPr>
          <w:ilvl w:val="0"/>
          <w:numId w:val="27"/>
        </w:numPr>
      </w:pPr>
      <w:r w:rsidRPr="006B49DA">
        <w:t xml:space="preserve">True </w:t>
      </w:r>
      <w:r w:rsidR="001314FA">
        <w:t>u</w:t>
      </w:r>
      <w:r w:rsidRPr="006B49DA">
        <w:t>ps</w:t>
      </w:r>
      <w:r w:rsidR="008466E9" w:rsidRPr="006B49DA">
        <w:t xml:space="preserve"> based on the 201</w:t>
      </w:r>
      <w:r w:rsidR="002E3312" w:rsidRPr="006B49DA">
        <w:t>6</w:t>
      </w:r>
      <w:r w:rsidR="008466E9" w:rsidRPr="006B49DA">
        <w:t xml:space="preserve"> Audit Reports</w:t>
      </w:r>
    </w:p>
    <w:p w14:paraId="06028AFA" w14:textId="77777777" w:rsidR="006F4D71" w:rsidRDefault="006F4D71" w:rsidP="008E7BDB">
      <w:pPr>
        <w:jc w:val="both"/>
        <w:rPr>
          <w:b/>
        </w:rPr>
      </w:pPr>
      <w:r>
        <w:rPr>
          <w:b/>
        </w:rPr>
        <w:t>The IOUs submitted their ESPI Advice Letters</w:t>
      </w:r>
      <w:r w:rsidR="009A60C1">
        <w:rPr>
          <w:b/>
        </w:rPr>
        <w:t>,</w:t>
      </w:r>
      <w:r>
        <w:rPr>
          <w:b/>
        </w:rPr>
        <w:t xml:space="preserve"> </w:t>
      </w:r>
      <w:r w:rsidR="00AC077D">
        <w:rPr>
          <w:b/>
        </w:rPr>
        <w:t xml:space="preserve">which </w:t>
      </w:r>
      <w:r w:rsidR="00C504D0">
        <w:rPr>
          <w:b/>
        </w:rPr>
        <w:t>largely</w:t>
      </w:r>
      <w:r w:rsidR="00AC077D">
        <w:rPr>
          <w:b/>
        </w:rPr>
        <w:t xml:space="preserve"> accepted </w:t>
      </w:r>
      <w:r>
        <w:rPr>
          <w:b/>
        </w:rPr>
        <w:t xml:space="preserve">the recommendations from the 2016 Audit reports. </w:t>
      </w:r>
      <w:r w:rsidR="00823349">
        <w:rPr>
          <w:b/>
        </w:rPr>
        <w:t>Where the ESPI Advice Letters differed from the audit reports, s</w:t>
      </w:r>
      <w:r w:rsidR="00823349" w:rsidRPr="00823349">
        <w:rPr>
          <w:b/>
        </w:rPr>
        <w:t xml:space="preserve">taff </w:t>
      </w:r>
      <w:r w:rsidR="00823349">
        <w:rPr>
          <w:b/>
        </w:rPr>
        <w:t xml:space="preserve">verified and </w:t>
      </w:r>
      <w:r w:rsidR="00823349" w:rsidRPr="00823349">
        <w:rPr>
          <w:b/>
        </w:rPr>
        <w:t xml:space="preserve">corrected </w:t>
      </w:r>
      <w:r w:rsidR="00823349">
        <w:rPr>
          <w:b/>
        </w:rPr>
        <w:t>the discrepancies</w:t>
      </w:r>
      <w:r w:rsidR="00823349" w:rsidRPr="00823349">
        <w:rPr>
          <w:b/>
        </w:rPr>
        <w:t xml:space="preserve"> based on </w:t>
      </w:r>
      <w:r w:rsidR="00823349">
        <w:rPr>
          <w:b/>
        </w:rPr>
        <w:t xml:space="preserve">discussions with IOUs and </w:t>
      </w:r>
      <w:r w:rsidR="00823349" w:rsidRPr="00823349">
        <w:rPr>
          <w:b/>
        </w:rPr>
        <w:t>UAFCB</w:t>
      </w:r>
      <w:r w:rsidR="00823349">
        <w:rPr>
          <w:b/>
        </w:rPr>
        <w:t xml:space="preserve"> staff</w:t>
      </w:r>
      <w:r w:rsidR="00823349" w:rsidRPr="00823349">
        <w:rPr>
          <w:b/>
        </w:rPr>
        <w:t>.</w:t>
      </w:r>
    </w:p>
    <w:p w14:paraId="2A9A4F12" w14:textId="77777777" w:rsidR="00C504D0" w:rsidRDefault="00AC077D" w:rsidP="008E7BDB">
      <w:pPr>
        <w:jc w:val="both"/>
      </w:pPr>
      <w:bookmarkStart w:id="47" w:name="_Hlk866349"/>
      <w:r w:rsidRPr="00AC077D">
        <w:t xml:space="preserve">In August 2018, the Utility Audit, Finance and Compliance Branch (UAFCB) issued the 2016 </w:t>
      </w:r>
      <w:r w:rsidR="00042635">
        <w:t>e</w:t>
      </w:r>
      <w:r w:rsidRPr="00AC077D">
        <w:t xml:space="preserve">nergy </w:t>
      </w:r>
      <w:r w:rsidR="00042635">
        <w:t>e</w:t>
      </w:r>
      <w:r w:rsidRPr="00AC077D">
        <w:t>fficiency audit reports.</w:t>
      </w:r>
      <w:r w:rsidR="00616BC3">
        <w:rPr>
          <w:rStyle w:val="FootnoteReference"/>
        </w:rPr>
        <w:footnoteReference w:id="43"/>
      </w:r>
      <w:r w:rsidRPr="00AC077D">
        <w:t xml:space="preserve"> </w:t>
      </w:r>
      <w:bookmarkEnd w:id="47"/>
      <w:r>
        <w:t xml:space="preserve">The IOUs are responsible for addressing the audit report findings in their ESPI Advice Letters and all </w:t>
      </w:r>
      <w:r w:rsidR="005C66AC">
        <w:t xml:space="preserve">IOUs </w:t>
      </w:r>
      <w:r>
        <w:t xml:space="preserve">followed this protocol. </w:t>
      </w:r>
    </w:p>
    <w:p w14:paraId="7CD82C7E" w14:textId="77777777" w:rsidR="001362FE" w:rsidRDefault="001362FE" w:rsidP="008E7BDB">
      <w:pPr>
        <w:jc w:val="both"/>
      </w:pPr>
      <w:r w:rsidRPr="00217389">
        <w:t>SCE and SDG&amp;E’s ESPI Advice Letters</w:t>
      </w:r>
      <w:r w:rsidR="00674D69">
        <w:t>, however,</w:t>
      </w:r>
      <w:r w:rsidRPr="00217389">
        <w:t xml:space="preserve"> demonstrated </w:t>
      </w:r>
      <w:r>
        <w:t>disagreements or confusion with the audit report findings</w:t>
      </w:r>
      <w:r w:rsidR="00674D69">
        <w:t>. This</w:t>
      </w:r>
      <w:r w:rsidRPr="00217389">
        <w:t xml:space="preserve"> result</w:t>
      </w:r>
      <w:r w:rsidR="00674D69">
        <w:t>ed</w:t>
      </w:r>
      <w:r w:rsidRPr="00217389">
        <w:t xml:space="preserve"> in additional time and resources being spent by both the IOUs and Commission </w:t>
      </w:r>
      <w:r w:rsidR="002F62CE">
        <w:t>S</w:t>
      </w:r>
      <w:r w:rsidRPr="00217389">
        <w:t>taff to resolve the discrepancies</w:t>
      </w:r>
      <w:r>
        <w:t>.</w:t>
      </w:r>
      <w:r w:rsidR="00B47FF2">
        <w:t xml:space="preserve"> </w:t>
      </w:r>
      <w:r>
        <w:t>SDG&amp;E’s issue had also not been raised with the UAFCB staff during the development and finalization of the audit reports.</w:t>
      </w:r>
    </w:p>
    <w:p w14:paraId="0C2FDE81" w14:textId="77777777" w:rsidR="00A8340A" w:rsidRPr="006C28FC" w:rsidRDefault="001362FE" w:rsidP="008E7BDB">
      <w:pPr>
        <w:tabs>
          <w:tab w:val="left" w:pos="720"/>
        </w:tabs>
        <w:jc w:val="both"/>
        <w:rPr>
          <w:b/>
        </w:rPr>
      </w:pPr>
      <w:r w:rsidRPr="00217389">
        <w:rPr>
          <w:snapToGrid w:val="0"/>
          <w:szCs w:val="26"/>
        </w:rPr>
        <w:t xml:space="preserve">Commission </w:t>
      </w:r>
      <w:r w:rsidR="00C50203">
        <w:rPr>
          <w:snapToGrid w:val="0"/>
          <w:szCs w:val="26"/>
        </w:rPr>
        <w:t>S</w:t>
      </w:r>
      <w:r w:rsidRPr="00217389">
        <w:rPr>
          <w:snapToGrid w:val="0"/>
          <w:szCs w:val="26"/>
        </w:rPr>
        <w:t>taff resolved the discrepancies during the ESPI process this year.</w:t>
      </w:r>
      <w:r w:rsidR="007F690E">
        <w:rPr>
          <w:snapToGrid w:val="0"/>
          <w:szCs w:val="26"/>
        </w:rPr>
        <w:t xml:space="preserve"> </w:t>
      </w:r>
      <w:r w:rsidR="00674D69">
        <w:rPr>
          <w:snapToGrid w:val="0"/>
          <w:szCs w:val="26"/>
        </w:rPr>
        <w:t>I</w:t>
      </w:r>
      <w:r w:rsidRPr="00217389">
        <w:rPr>
          <w:snapToGrid w:val="0"/>
          <w:szCs w:val="26"/>
        </w:rPr>
        <w:t>n future years,</w:t>
      </w:r>
      <w:r w:rsidR="00674D69">
        <w:rPr>
          <w:snapToGrid w:val="0"/>
          <w:szCs w:val="26"/>
        </w:rPr>
        <w:t xml:space="preserve"> however,</w:t>
      </w:r>
      <w:r w:rsidRPr="00217389">
        <w:rPr>
          <w:snapToGrid w:val="0"/>
          <w:szCs w:val="26"/>
        </w:rPr>
        <w:t xml:space="preserve"> the </w:t>
      </w:r>
      <w:r>
        <w:rPr>
          <w:snapToGrid w:val="0"/>
          <w:szCs w:val="26"/>
        </w:rPr>
        <w:t>IOUs shall raise all concerns with the UAFCB Audit reports during the stakeholder review process that results in the final reports. Concerns will not be investigated within the Resolution.</w:t>
      </w:r>
    </w:p>
    <w:p w14:paraId="2377B0BD" w14:textId="77777777" w:rsidR="006F4D71" w:rsidRDefault="008466E9" w:rsidP="008E7BDB">
      <w:pPr>
        <w:jc w:val="both"/>
      </w:pPr>
      <w:r w:rsidRPr="00823349">
        <w:lastRenderedPageBreak/>
        <w:t>The net present value of the</w:t>
      </w:r>
      <w:r w:rsidR="00CA7752">
        <w:t xml:space="preserve"> audit</w:t>
      </w:r>
      <w:r w:rsidRPr="00823349">
        <w:t xml:space="preserve"> adjustments together with other 201</w:t>
      </w:r>
      <w:r w:rsidR="00487100" w:rsidRPr="00823349">
        <w:t>6</w:t>
      </w:r>
      <w:r w:rsidRPr="00823349">
        <w:t xml:space="preserve"> true ups were calculated considering each IOU’s respective authorized weighted average cost of capital.</w:t>
      </w:r>
      <w:r w:rsidRPr="00823349">
        <w:rPr>
          <w:rStyle w:val="FootnoteReference"/>
        </w:rPr>
        <w:footnoteReference w:id="44"/>
      </w:r>
      <w:r w:rsidRPr="00823349">
        <w:t xml:space="preserve">  </w:t>
      </w:r>
    </w:p>
    <w:p w14:paraId="41C40D24" w14:textId="77777777" w:rsidR="001314FA" w:rsidRDefault="001314FA" w:rsidP="001314FA">
      <w:pPr>
        <w:pStyle w:val="Heading2"/>
        <w:ind w:left="720" w:hanging="360"/>
      </w:pPr>
      <w:r>
        <w:t>5) Weighting of E</w:t>
      </w:r>
      <w:r w:rsidR="0041406D">
        <w:t>x</w:t>
      </w:r>
      <w:r w:rsidR="00E577EB">
        <w:t>-</w:t>
      </w:r>
      <w:r w:rsidR="0041406D">
        <w:t xml:space="preserve">Ante Review </w:t>
      </w:r>
      <w:r>
        <w:t>performance scores</w:t>
      </w:r>
    </w:p>
    <w:p w14:paraId="1938E6B0" w14:textId="77777777" w:rsidR="004F232E" w:rsidRDefault="008151FD" w:rsidP="00157C8D">
      <w:pPr>
        <w:jc w:val="both"/>
      </w:pPr>
      <w:r>
        <w:t xml:space="preserve">As described in the Discussion section’s </w:t>
      </w:r>
      <w:r w:rsidRPr="008151FD">
        <w:t>Ex-Ante Review (EAR) Performance Scores</w:t>
      </w:r>
      <w:r>
        <w:t xml:space="preserve"> subsection above, </w:t>
      </w:r>
      <w:r w:rsidR="00E17309">
        <w:t xml:space="preserve">Commission Staff applied </w:t>
      </w:r>
      <w:r w:rsidR="0083429D">
        <w:t xml:space="preserve">weights to </w:t>
      </w:r>
      <w:r w:rsidR="00E17309">
        <w:t xml:space="preserve">the </w:t>
      </w:r>
      <w:r w:rsidR="0083429D">
        <w:t>custom and deemed EAR performance scores based on their respective proportions of net lifecycle savings (including market effects)</w:t>
      </w:r>
      <w:r w:rsidR="00E17309">
        <w:t>, before adding these to calculate the 2017 total EAR performance scores</w:t>
      </w:r>
      <w:r w:rsidR="0083429D">
        <w:t xml:space="preserve">. </w:t>
      </w:r>
      <w:r>
        <w:t>Compared to the total scores provided in the final EAR performance memos and used in the IOUs’ ESPI Advice Letters, the weighted total scores were lower for SCE, SDG&amp;E, and SoCalGas, and &lt;1% higher for PG&amp;E.</w:t>
      </w:r>
    </w:p>
    <w:p w14:paraId="36F6A1CA" w14:textId="77777777" w:rsidR="006C5C89" w:rsidRPr="001314FA" w:rsidRDefault="006C5C89" w:rsidP="00157C8D">
      <w:pPr>
        <w:jc w:val="both"/>
      </w:pPr>
    </w:p>
    <w:p w14:paraId="2EA99089" w14:textId="77777777" w:rsidR="004A4850" w:rsidRPr="006B49DA" w:rsidRDefault="004A4850" w:rsidP="00AD6B15">
      <w:pPr>
        <w:pStyle w:val="Heading2"/>
      </w:pPr>
      <w:r w:rsidRPr="006B49DA">
        <w:t>IOU-</w:t>
      </w:r>
      <w:r w:rsidR="00A8340A" w:rsidRPr="006B49DA">
        <w:t>S</w:t>
      </w:r>
      <w:r w:rsidRPr="006B49DA">
        <w:t>pecific Adjustments</w:t>
      </w:r>
    </w:p>
    <w:p w14:paraId="3A1A9C8E" w14:textId="77777777" w:rsidR="003439F3" w:rsidRDefault="003439F3" w:rsidP="00B47FF2">
      <w:r>
        <w:t xml:space="preserve">We provide </w:t>
      </w:r>
      <w:r w:rsidR="00A8340A">
        <w:t xml:space="preserve">an </w:t>
      </w:r>
      <w:r>
        <w:t xml:space="preserve">IOU-specific breakdown of adjustments and explanation below. </w:t>
      </w:r>
    </w:p>
    <w:p w14:paraId="29F4C3B0" w14:textId="77777777" w:rsidR="00D35263" w:rsidRPr="006B49DA" w:rsidRDefault="00A43746" w:rsidP="00AD6B15">
      <w:pPr>
        <w:pStyle w:val="Heading2"/>
        <w:numPr>
          <w:ilvl w:val="0"/>
          <w:numId w:val="6"/>
        </w:numPr>
      </w:pPr>
      <w:bookmarkStart w:id="51" w:name="_Toc497338861"/>
      <w:r w:rsidRPr="006B49DA">
        <w:t>Pacific Gas and Electric (PG&amp;E)</w:t>
      </w:r>
      <w:bookmarkEnd w:id="51"/>
    </w:p>
    <w:p w14:paraId="2E03F115" w14:textId="77777777" w:rsidR="007A64B7" w:rsidRPr="007A64B7" w:rsidRDefault="007A64B7" w:rsidP="008E7BDB">
      <w:pPr>
        <w:jc w:val="both"/>
        <w:rPr>
          <w:b/>
        </w:rPr>
      </w:pPr>
      <w:r w:rsidRPr="007A64B7">
        <w:rPr>
          <w:b/>
        </w:rPr>
        <w:t xml:space="preserve">The Commission approves an incentive amount of </w:t>
      </w:r>
      <w:r w:rsidRPr="00EB0950">
        <w:rPr>
          <w:b/>
        </w:rPr>
        <w:t>$</w:t>
      </w:r>
      <w:r w:rsidR="00293C92" w:rsidRPr="00EB0950">
        <w:rPr>
          <w:b/>
        </w:rPr>
        <w:t>12,0</w:t>
      </w:r>
      <w:r w:rsidR="00EB0950" w:rsidRPr="00EB0950">
        <w:rPr>
          <w:b/>
        </w:rPr>
        <w:t>51,7</w:t>
      </w:r>
      <w:r w:rsidR="006A6017">
        <w:rPr>
          <w:b/>
        </w:rPr>
        <w:t>5</w:t>
      </w:r>
      <w:r w:rsidR="00EB0950" w:rsidRPr="00EB0950">
        <w:rPr>
          <w:b/>
        </w:rPr>
        <w:t>4</w:t>
      </w:r>
      <w:r>
        <w:rPr>
          <w:b/>
        </w:rPr>
        <w:t xml:space="preserve"> </w:t>
      </w:r>
      <w:r w:rsidRPr="007A64B7">
        <w:rPr>
          <w:b/>
        </w:rPr>
        <w:t xml:space="preserve">for PG&amp;E, which is </w:t>
      </w:r>
      <w:r w:rsidRPr="00EB0950">
        <w:rPr>
          <w:b/>
        </w:rPr>
        <w:t>$50</w:t>
      </w:r>
      <w:r w:rsidR="00EB0950">
        <w:rPr>
          <w:b/>
        </w:rPr>
        <w:t>7,</w:t>
      </w:r>
      <w:r w:rsidR="006A6017">
        <w:rPr>
          <w:b/>
        </w:rPr>
        <w:t>90</w:t>
      </w:r>
      <w:r w:rsidR="00EB0950">
        <w:rPr>
          <w:b/>
        </w:rPr>
        <w:t>5</w:t>
      </w:r>
      <w:r w:rsidRPr="007A64B7">
        <w:rPr>
          <w:b/>
        </w:rPr>
        <w:t xml:space="preserve"> more than their requested amount</w:t>
      </w:r>
      <w:r w:rsidR="00C33526">
        <w:rPr>
          <w:b/>
        </w:rPr>
        <w:t xml:space="preserve"> of </w:t>
      </w:r>
      <w:r w:rsidR="00C33526" w:rsidRPr="00C33526">
        <w:rPr>
          <w:b/>
        </w:rPr>
        <w:t>$11,543,849</w:t>
      </w:r>
      <w:r w:rsidRPr="007A64B7">
        <w:rPr>
          <w:b/>
        </w:rPr>
        <w:t>.</w:t>
      </w:r>
    </w:p>
    <w:p w14:paraId="68448AAB" w14:textId="60D26864" w:rsidR="00D15621" w:rsidRDefault="00D15621" w:rsidP="008E7BDB">
      <w:pPr>
        <w:jc w:val="both"/>
        <w:rPr>
          <w:b/>
        </w:rPr>
      </w:pPr>
      <w:r w:rsidRPr="003B081E">
        <w:t xml:space="preserve">PG&amp;E requests </w:t>
      </w:r>
      <w:r w:rsidR="003529E6">
        <w:t xml:space="preserve">a performance award of </w:t>
      </w:r>
      <w:r w:rsidRPr="00FD1DAC">
        <w:t>$</w:t>
      </w:r>
      <w:r w:rsidR="00FE148D" w:rsidRPr="00FE148D">
        <w:t>11,543,849</w:t>
      </w:r>
      <w:r w:rsidR="00FE148D">
        <w:t xml:space="preserve"> </w:t>
      </w:r>
      <w:r w:rsidRPr="003B081E">
        <w:t>in their 201</w:t>
      </w:r>
      <w:r w:rsidR="003957FB">
        <w:t>8</w:t>
      </w:r>
      <w:r w:rsidRPr="003B081E">
        <w:t xml:space="preserve"> ESPI Advice Letter as detailed below</w:t>
      </w:r>
      <w:r w:rsidR="00717F1F">
        <w:t xml:space="preserve">. PG&amp;E’s </w:t>
      </w:r>
      <w:r w:rsidR="00A65DD8">
        <w:t xml:space="preserve">annual </w:t>
      </w:r>
      <w:r w:rsidR="00717F1F" w:rsidRPr="00D93C72">
        <w:t>CEDAR</w:t>
      </w:r>
      <w:r w:rsidR="00717F1F">
        <w:t>S</w:t>
      </w:r>
      <w:r w:rsidR="00717F1F" w:rsidRPr="00D93C72">
        <w:t xml:space="preserve"> filing </w:t>
      </w:r>
      <w:r w:rsidR="00717F1F">
        <w:t xml:space="preserve">was higher </w:t>
      </w:r>
      <w:r w:rsidR="00717F1F" w:rsidRPr="00D93C72">
        <w:t xml:space="preserve">by </w:t>
      </w:r>
      <w:r w:rsidR="00717F1F">
        <w:t>$1,225 than their ESPI Advice Letter</w:t>
      </w:r>
      <w:r w:rsidR="00717F1F" w:rsidRPr="00CE3566">
        <w:t>.</w:t>
      </w:r>
      <w:r w:rsidR="00717F1F">
        <w:t xml:space="preserve"> </w:t>
      </w:r>
      <w:r w:rsidR="00717F1F" w:rsidRPr="00C966CB">
        <w:rPr>
          <w:b/>
        </w:rPr>
        <w:t xml:space="preserve">The Commission </w:t>
      </w:r>
      <w:r w:rsidR="00C50203">
        <w:rPr>
          <w:b/>
        </w:rPr>
        <w:t>S</w:t>
      </w:r>
      <w:r w:rsidR="00717F1F" w:rsidRPr="00C966CB">
        <w:rPr>
          <w:b/>
        </w:rPr>
        <w:t xml:space="preserve">taff used </w:t>
      </w:r>
      <w:r w:rsidR="00717F1F">
        <w:rPr>
          <w:b/>
        </w:rPr>
        <w:t xml:space="preserve">the CEDARS </w:t>
      </w:r>
      <w:r w:rsidR="00717F1F" w:rsidRPr="00C966CB">
        <w:rPr>
          <w:b/>
        </w:rPr>
        <w:t>filing to calculate the awards</w:t>
      </w:r>
      <w:r w:rsidR="00717F1F">
        <w:rPr>
          <w:b/>
        </w:rPr>
        <w:t>.</w:t>
      </w:r>
    </w:p>
    <w:p w14:paraId="02FBBA45" w14:textId="0E2598CD" w:rsidR="004E330C" w:rsidRDefault="004E330C" w:rsidP="008E7BDB">
      <w:pPr>
        <w:jc w:val="both"/>
        <w:rPr>
          <w:b/>
        </w:rPr>
      </w:pPr>
    </w:p>
    <w:p w14:paraId="536398A3" w14:textId="20EBF52A" w:rsidR="004E330C" w:rsidRDefault="004E330C" w:rsidP="008E7BDB">
      <w:pPr>
        <w:jc w:val="both"/>
        <w:rPr>
          <w:b/>
        </w:rPr>
      </w:pPr>
    </w:p>
    <w:p w14:paraId="1729129E" w14:textId="77777777" w:rsidR="004E330C" w:rsidRPr="003B081E" w:rsidRDefault="004E330C" w:rsidP="008E7BDB">
      <w:pPr>
        <w:jc w:val="both"/>
      </w:pPr>
    </w:p>
    <w:p w14:paraId="2888AC5F" w14:textId="77777777" w:rsidR="001624E1" w:rsidRPr="00FB2F09" w:rsidRDefault="00FB2F09" w:rsidP="00B47FF2">
      <w:pPr>
        <w:pStyle w:val="Heading3"/>
        <w:numPr>
          <w:ilvl w:val="0"/>
          <w:numId w:val="0"/>
        </w:numPr>
        <w:spacing w:before="240" w:after="240"/>
        <w:jc w:val="both"/>
        <w:rPr>
          <w:u w:val="single"/>
        </w:rPr>
      </w:pPr>
      <w:bookmarkStart w:id="52" w:name="_Toc496813996"/>
      <w:bookmarkStart w:id="53" w:name="_Toc497338862"/>
      <w:r w:rsidRPr="00FB2F09">
        <w:lastRenderedPageBreak/>
        <w:t xml:space="preserve">1.1 </w:t>
      </w:r>
      <w:r>
        <w:rPr>
          <w:u w:val="single"/>
        </w:rPr>
        <w:t>Energy</w:t>
      </w:r>
      <w:r w:rsidR="001624E1" w:rsidRPr="00FB2F09">
        <w:rPr>
          <w:u w:val="single"/>
        </w:rPr>
        <w:t xml:space="preserve"> Efficiency Resource Savings</w:t>
      </w:r>
      <w:bookmarkEnd w:id="52"/>
      <w:bookmarkEnd w:id="53"/>
      <w:r w:rsidR="001624E1" w:rsidRPr="00FB2F09">
        <w:rPr>
          <w:u w:val="single"/>
        </w:rPr>
        <w:t xml:space="preserve"> </w:t>
      </w:r>
    </w:p>
    <w:p w14:paraId="1E4981B8" w14:textId="77777777" w:rsidR="00342659" w:rsidRDefault="001624E1" w:rsidP="00B47FF2">
      <w:pPr>
        <w:pStyle w:val="ListParagraph"/>
        <w:numPr>
          <w:ilvl w:val="0"/>
          <w:numId w:val="5"/>
        </w:numPr>
        <w:spacing w:after="60"/>
        <w:ind w:left="778"/>
        <w:contextualSpacing w:val="0"/>
        <w:jc w:val="both"/>
      </w:pPr>
      <w:r w:rsidRPr="00F275DE">
        <w:t>201</w:t>
      </w:r>
      <w:r w:rsidR="003957FB">
        <w:t>6</w:t>
      </w:r>
      <w:r w:rsidRPr="00F275DE">
        <w:t xml:space="preserve"> Ex-Post Energy Savings </w:t>
      </w:r>
    </w:p>
    <w:tbl>
      <w:tblPr>
        <w:tblW w:w="9000" w:type="dxa"/>
        <w:jc w:val="right"/>
        <w:tblCellMar>
          <w:left w:w="0" w:type="dxa"/>
          <w:right w:w="0" w:type="dxa"/>
        </w:tblCellMar>
        <w:tblLook w:val="04A0" w:firstRow="1" w:lastRow="0" w:firstColumn="1" w:lastColumn="0" w:noHBand="0" w:noVBand="1"/>
      </w:tblPr>
      <w:tblGrid>
        <w:gridCol w:w="2960"/>
        <w:gridCol w:w="2013"/>
        <w:gridCol w:w="2013"/>
        <w:gridCol w:w="2014"/>
      </w:tblGrid>
      <w:tr w:rsidR="00A52B69" w14:paraId="79708518" w14:textId="77777777">
        <w:trPr>
          <w:trHeight w:val="385"/>
          <w:jc w:val="right"/>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5023515" w14:textId="77777777" w:rsidR="00342659" w:rsidRPr="00342659" w:rsidRDefault="00342659" w:rsidP="00B47FF2">
            <w:pPr>
              <w:spacing w:before="60" w:after="60"/>
              <w:jc w:val="center"/>
              <w:rPr>
                <w:b/>
              </w:rPr>
            </w:pPr>
            <w:r w:rsidRPr="00547822">
              <w:rPr>
                <w:b/>
              </w:rPr>
              <w:t>ESPI Component</w:t>
            </w:r>
          </w:p>
        </w:tc>
        <w:tc>
          <w:tcPr>
            <w:tcW w:w="2013" w:type="dxa"/>
            <w:tcBorders>
              <w:top w:val="single" w:sz="8" w:space="0" w:color="auto"/>
              <w:left w:val="single" w:sz="4" w:space="0" w:color="auto"/>
              <w:bottom w:val="single" w:sz="8" w:space="0" w:color="auto"/>
              <w:right w:val="single" w:sz="4" w:space="0" w:color="auto"/>
            </w:tcBorders>
            <w:vAlign w:val="center"/>
          </w:tcPr>
          <w:p w14:paraId="40BB13D0" w14:textId="77777777" w:rsidR="00342659" w:rsidRDefault="00342659" w:rsidP="00B47FF2">
            <w:pPr>
              <w:spacing w:before="60" w:after="60"/>
              <w:jc w:val="center"/>
              <w:rPr>
                <w:b/>
              </w:rPr>
            </w:pPr>
            <w:r w:rsidRPr="00342659">
              <w:rPr>
                <w:b/>
              </w:rPr>
              <w:t>201</w:t>
            </w:r>
            <w:r w:rsidR="003957FB">
              <w:rPr>
                <w:b/>
              </w:rPr>
              <w:t>6</w:t>
            </w:r>
            <w:r w:rsidRPr="00342659">
              <w:rPr>
                <w:b/>
              </w:rPr>
              <w:t xml:space="preserve"> Cap</w:t>
            </w:r>
            <w:r w:rsidR="002A620F">
              <w:rPr>
                <w:b/>
              </w:rPr>
              <w:t>*</w:t>
            </w:r>
          </w:p>
        </w:tc>
        <w:tc>
          <w:tcPr>
            <w:tcW w:w="201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63F3DA58" w14:textId="77777777" w:rsidR="00342659" w:rsidRPr="00547822" w:rsidRDefault="00342659" w:rsidP="00B47FF2">
            <w:pPr>
              <w:spacing w:before="60" w:after="60"/>
              <w:jc w:val="center"/>
              <w:rPr>
                <w:rFonts w:eastAsiaTheme="minorHAnsi"/>
                <w:b/>
              </w:rPr>
            </w:pPr>
            <w:r>
              <w:rPr>
                <w:b/>
              </w:rPr>
              <w:t>Request</w:t>
            </w:r>
            <w:r w:rsidR="00095CC1">
              <w:rPr>
                <w:b/>
              </w:rPr>
              <w:t>ed</w:t>
            </w:r>
          </w:p>
        </w:tc>
        <w:tc>
          <w:tcPr>
            <w:tcW w:w="20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D0C3C43" w14:textId="77777777" w:rsidR="00342659" w:rsidRPr="00670027" w:rsidRDefault="00095CC1" w:rsidP="00B47FF2">
            <w:pPr>
              <w:spacing w:before="60" w:after="60"/>
              <w:jc w:val="center"/>
              <w:rPr>
                <w:rFonts w:eastAsiaTheme="minorHAnsi"/>
                <w:b/>
              </w:rPr>
            </w:pPr>
            <w:r>
              <w:rPr>
                <w:b/>
              </w:rPr>
              <w:t>Approved</w:t>
            </w:r>
          </w:p>
        </w:tc>
      </w:tr>
      <w:tr w:rsidR="00A52B69" w14:paraId="4D374A7B" w14:textId="77777777">
        <w:trPr>
          <w:trHeight w:val="340"/>
          <w:jc w:val="right"/>
        </w:trPr>
        <w:tc>
          <w:tcPr>
            <w:tcW w:w="29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CAED0BE" w14:textId="77777777" w:rsidR="00FD1DAC" w:rsidRPr="001F5F04" w:rsidRDefault="00FD1DAC" w:rsidP="00B47FF2">
            <w:pPr>
              <w:spacing w:before="60" w:after="60"/>
              <w:jc w:val="center"/>
              <w:rPr>
                <w:rFonts w:eastAsiaTheme="minorHAnsi"/>
                <w:szCs w:val="26"/>
              </w:rPr>
            </w:pPr>
            <w:r w:rsidRPr="001F5F04">
              <w:rPr>
                <w:szCs w:val="26"/>
              </w:rPr>
              <w:t>201</w:t>
            </w:r>
            <w:r>
              <w:rPr>
                <w:szCs w:val="26"/>
              </w:rPr>
              <w:t>6</w:t>
            </w:r>
            <w:r w:rsidRPr="001F5F04">
              <w:rPr>
                <w:szCs w:val="26"/>
              </w:rPr>
              <w:t xml:space="preserve"> Ex-Post Savings</w:t>
            </w:r>
          </w:p>
        </w:tc>
        <w:tc>
          <w:tcPr>
            <w:tcW w:w="2013" w:type="dxa"/>
            <w:tcBorders>
              <w:top w:val="single" w:sz="8" w:space="0" w:color="auto"/>
              <w:left w:val="single" w:sz="4" w:space="0" w:color="auto"/>
              <w:bottom w:val="single" w:sz="4" w:space="0" w:color="auto"/>
              <w:right w:val="single" w:sz="4" w:space="0" w:color="auto"/>
            </w:tcBorders>
            <w:vAlign w:val="center"/>
          </w:tcPr>
          <w:p w14:paraId="098AFFF0" w14:textId="77777777" w:rsidR="00FD1DAC" w:rsidRPr="001F5F04" w:rsidRDefault="00FD1DAC" w:rsidP="00B47FF2">
            <w:pPr>
              <w:spacing w:before="60" w:after="60"/>
              <w:jc w:val="center"/>
              <w:rPr>
                <w:rFonts w:eastAsiaTheme="minorHAnsi"/>
                <w:szCs w:val="26"/>
              </w:rPr>
            </w:pPr>
            <w:r>
              <w:rPr>
                <w:rFonts w:eastAsiaTheme="minorHAnsi"/>
                <w:szCs w:val="26"/>
              </w:rPr>
              <w:t>$</w:t>
            </w:r>
            <w:r w:rsidRPr="00230D80">
              <w:rPr>
                <w:rFonts w:eastAsiaTheme="minorHAnsi"/>
                <w:szCs w:val="26"/>
              </w:rPr>
              <w:t>21,090,429</w:t>
            </w:r>
          </w:p>
        </w:tc>
        <w:tc>
          <w:tcPr>
            <w:tcW w:w="2013"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348957DB" w14:textId="77777777" w:rsidR="00FD1DAC" w:rsidRPr="001F5F04" w:rsidRDefault="00FD1DAC" w:rsidP="00B47FF2">
            <w:pPr>
              <w:spacing w:before="60" w:after="60"/>
              <w:jc w:val="center"/>
              <w:rPr>
                <w:rFonts w:eastAsiaTheme="minorHAnsi"/>
                <w:szCs w:val="26"/>
              </w:rPr>
            </w:pPr>
            <w:r>
              <w:rPr>
                <w:rFonts w:eastAsiaTheme="minorHAnsi"/>
                <w:szCs w:val="26"/>
              </w:rPr>
              <w:t>$</w:t>
            </w:r>
            <w:r w:rsidRPr="00D01C74">
              <w:rPr>
                <w:rFonts w:eastAsiaTheme="minorHAnsi"/>
                <w:szCs w:val="26"/>
              </w:rPr>
              <w:t>4,667,189</w:t>
            </w:r>
          </w:p>
        </w:tc>
        <w:tc>
          <w:tcPr>
            <w:tcW w:w="201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3FC32D8" w14:textId="77777777" w:rsidR="00FD1DAC" w:rsidRPr="001F5F04" w:rsidRDefault="00FD1DAC" w:rsidP="00B47FF2">
            <w:pPr>
              <w:spacing w:before="60" w:after="60"/>
              <w:jc w:val="center"/>
              <w:rPr>
                <w:szCs w:val="26"/>
              </w:rPr>
            </w:pPr>
            <w:r>
              <w:rPr>
                <w:szCs w:val="26"/>
              </w:rPr>
              <w:t>$</w:t>
            </w:r>
            <w:r w:rsidRPr="00D01C74">
              <w:rPr>
                <w:szCs w:val="26"/>
              </w:rPr>
              <w:t>4,667,189</w:t>
            </w:r>
          </w:p>
        </w:tc>
      </w:tr>
    </w:tbl>
    <w:p w14:paraId="5D312B7F" w14:textId="77777777" w:rsidR="002055E1" w:rsidRPr="002A620F" w:rsidRDefault="002A620F" w:rsidP="00B47FF2">
      <w:pPr>
        <w:jc w:val="center"/>
        <w:rPr>
          <w:sz w:val="22"/>
          <w:szCs w:val="22"/>
        </w:rPr>
      </w:pPr>
      <w:r w:rsidRPr="002A620F">
        <w:rPr>
          <w:sz w:val="22"/>
          <w:szCs w:val="22"/>
        </w:rPr>
        <w:t>*201</w:t>
      </w:r>
      <w:r w:rsidR="0015526B">
        <w:rPr>
          <w:sz w:val="22"/>
          <w:szCs w:val="22"/>
        </w:rPr>
        <w:t>6</w:t>
      </w:r>
      <w:r w:rsidRPr="002A620F">
        <w:rPr>
          <w:sz w:val="22"/>
          <w:szCs w:val="22"/>
        </w:rPr>
        <w:t xml:space="preserve"> Savings award Cap minus 201</w:t>
      </w:r>
      <w:r w:rsidR="0015526B">
        <w:rPr>
          <w:sz w:val="22"/>
          <w:szCs w:val="22"/>
        </w:rPr>
        <w:t>6</w:t>
      </w:r>
      <w:r w:rsidRPr="002A620F">
        <w:rPr>
          <w:sz w:val="22"/>
          <w:szCs w:val="22"/>
        </w:rPr>
        <w:t xml:space="preserve"> Ex-Ante Savings Awards Earned in 201</w:t>
      </w:r>
      <w:r w:rsidR="0015526B">
        <w:rPr>
          <w:sz w:val="22"/>
          <w:szCs w:val="22"/>
        </w:rPr>
        <w:t>7</w:t>
      </w:r>
    </w:p>
    <w:p w14:paraId="425E86AC" w14:textId="77777777" w:rsidR="00342659" w:rsidRPr="00A53C26" w:rsidRDefault="001624E1" w:rsidP="00B47FF2">
      <w:pPr>
        <w:pStyle w:val="ListParagraph"/>
        <w:numPr>
          <w:ilvl w:val="0"/>
          <w:numId w:val="5"/>
        </w:numPr>
        <w:spacing w:before="240" w:after="60"/>
        <w:ind w:left="778"/>
        <w:contextualSpacing w:val="0"/>
        <w:jc w:val="both"/>
        <w:rPr>
          <w:szCs w:val="26"/>
        </w:rPr>
      </w:pPr>
      <w:r w:rsidRPr="00F170DD">
        <w:rPr>
          <w:szCs w:val="26"/>
        </w:rPr>
        <w:t>201</w:t>
      </w:r>
      <w:r w:rsidR="003957FB">
        <w:rPr>
          <w:szCs w:val="26"/>
        </w:rPr>
        <w:t>7</w:t>
      </w:r>
      <w:r w:rsidRPr="00F170DD">
        <w:rPr>
          <w:szCs w:val="26"/>
        </w:rPr>
        <w:t xml:space="preserve"> Ex-Ante Energy Savings</w:t>
      </w:r>
      <w:r w:rsidR="0031235F" w:rsidRPr="00F170DD">
        <w:rPr>
          <w:szCs w:val="26"/>
        </w:rPr>
        <w:t xml:space="preserve"> </w:t>
      </w:r>
    </w:p>
    <w:tbl>
      <w:tblPr>
        <w:tblW w:w="9000" w:type="dxa"/>
        <w:jc w:val="right"/>
        <w:tblCellMar>
          <w:left w:w="0" w:type="dxa"/>
          <w:right w:w="0" w:type="dxa"/>
        </w:tblCellMar>
        <w:tblLook w:val="04A0" w:firstRow="1" w:lastRow="0" w:firstColumn="1" w:lastColumn="0" w:noHBand="0" w:noVBand="1"/>
      </w:tblPr>
      <w:tblGrid>
        <w:gridCol w:w="2960"/>
        <w:gridCol w:w="2013"/>
        <w:gridCol w:w="2013"/>
        <w:gridCol w:w="2014"/>
      </w:tblGrid>
      <w:tr w:rsidR="00A52B69" w14:paraId="57D8D16A" w14:textId="77777777">
        <w:trPr>
          <w:trHeight w:val="475"/>
          <w:jc w:val="right"/>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F613EAA" w14:textId="77777777" w:rsidR="00095CC1" w:rsidRPr="00670027" w:rsidRDefault="00095CC1" w:rsidP="00B47FF2">
            <w:pPr>
              <w:spacing w:before="60" w:after="60"/>
              <w:jc w:val="center"/>
              <w:rPr>
                <w:b/>
              </w:rPr>
            </w:pPr>
            <w:r w:rsidRPr="00670027">
              <w:rPr>
                <w:b/>
              </w:rPr>
              <w:t>ESPI Component</w:t>
            </w:r>
          </w:p>
        </w:tc>
        <w:tc>
          <w:tcPr>
            <w:tcW w:w="2013" w:type="dxa"/>
            <w:tcBorders>
              <w:top w:val="single" w:sz="8" w:space="0" w:color="auto"/>
              <w:left w:val="nil"/>
              <w:bottom w:val="single" w:sz="8" w:space="0" w:color="auto"/>
              <w:right w:val="single" w:sz="4" w:space="0" w:color="auto"/>
            </w:tcBorders>
            <w:vAlign w:val="center"/>
          </w:tcPr>
          <w:p w14:paraId="10ADD2DB" w14:textId="77777777" w:rsidR="00095CC1" w:rsidRPr="00670027" w:rsidRDefault="00095CC1" w:rsidP="00B47FF2">
            <w:pPr>
              <w:spacing w:before="60" w:after="60"/>
              <w:jc w:val="center"/>
              <w:rPr>
                <w:b/>
              </w:rPr>
            </w:pPr>
            <w:r w:rsidRPr="00670027">
              <w:rPr>
                <w:b/>
              </w:rPr>
              <w:t>201</w:t>
            </w:r>
            <w:r w:rsidR="003957FB">
              <w:rPr>
                <w:b/>
              </w:rPr>
              <w:t>7</w:t>
            </w:r>
            <w:r w:rsidRPr="00670027">
              <w:rPr>
                <w:b/>
              </w:rPr>
              <w:t xml:space="preserve"> Cap</w:t>
            </w:r>
          </w:p>
        </w:tc>
        <w:tc>
          <w:tcPr>
            <w:tcW w:w="201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777EDFE4" w14:textId="77777777" w:rsidR="00095CC1" w:rsidRPr="00670027" w:rsidRDefault="00095CC1" w:rsidP="00B47FF2">
            <w:pPr>
              <w:spacing w:before="60" w:after="60"/>
              <w:jc w:val="center"/>
              <w:rPr>
                <w:b/>
              </w:rPr>
            </w:pPr>
            <w:r>
              <w:rPr>
                <w:b/>
              </w:rPr>
              <w:t>Requested</w:t>
            </w:r>
          </w:p>
        </w:tc>
        <w:tc>
          <w:tcPr>
            <w:tcW w:w="20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96020D8" w14:textId="77777777" w:rsidR="00095CC1" w:rsidRPr="00670027" w:rsidRDefault="00095CC1" w:rsidP="00B47FF2">
            <w:pPr>
              <w:spacing w:before="60" w:after="60"/>
              <w:jc w:val="center"/>
              <w:rPr>
                <w:b/>
              </w:rPr>
            </w:pPr>
            <w:r>
              <w:rPr>
                <w:b/>
              </w:rPr>
              <w:t>Approved</w:t>
            </w:r>
          </w:p>
        </w:tc>
      </w:tr>
      <w:tr w:rsidR="00A52B69" w14:paraId="7FE82EBF" w14:textId="77777777">
        <w:trPr>
          <w:trHeight w:val="502"/>
          <w:jc w:val="right"/>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3E6AC45" w14:textId="77777777" w:rsidR="00FD1DAC" w:rsidRPr="001F5F04" w:rsidRDefault="00FD1DAC" w:rsidP="00B47FF2">
            <w:pPr>
              <w:spacing w:before="60" w:after="60"/>
              <w:jc w:val="center"/>
              <w:rPr>
                <w:szCs w:val="26"/>
              </w:rPr>
            </w:pPr>
            <w:r w:rsidRPr="001F5F04">
              <w:rPr>
                <w:szCs w:val="26"/>
              </w:rPr>
              <w:t>201</w:t>
            </w:r>
            <w:r>
              <w:rPr>
                <w:szCs w:val="26"/>
              </w:rPr>
              <w:t>7</w:t>
            </w:r>
            <w:r w:rsidRPr="001F5F04">
              <w:rPr>
                <w:szCs w:val="26"/>
              </w:rPr>
              <w:t xml:space="preserve"> Ex-Ante Savings</w:t>
            </w:r>
          </w:p>
        </w:tc>
        <w:tc>
          <w:tcPr>
            <w:tcW w:w="2013" w:type="dxa"/>
            <w:tcBorders>
              <w:top w:val="single" w:sz="8" w:space="0" w:color="auto"/>
              <w:left w:val="nil"/>
              <w:bottom w:val="single" w:sz="8" w:space="0" w:color="auto"/>
              <w:right w:val="single" w:sz="4" w:space="0" w:color="auto"/>
            </w:tcBorders>
            <w:vAlign w:val="center"/>
          </w:tcPr>
          <w:p w14:paraId="336BA7F6" w14:textId="77777777" w:rsidR="00FD1DAC" w:rsidRPr="001F5F04" w:rsidRDefault="00FD1DAC" w:rsidP="00B47FF2">
            <w:pPr>
              <w:spacing w:before="60" w:after="60"/>
              <w:jc w:val="center"/>
              <w:rPr>
                <w:szCs w:val="26"/>
              </w:rPr>
            </w:pPr>
            <w:r>
              <w:rPr>
                <w:bCs/>
              </w:rPr>
              <w:t>$25,194,103</w:t>
            </w:r>
          </w:p>
        </w:tc>
        <w:tc>
          <w:tcPr>
            <w:tcW w:w="201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44175A7D" w14:textId="77777777" w:rsidR="00FD1DAC" w:rsidRPr="001F5F04" w:rsidRDefault="00FD1DAC" w:rsidP="00B47FF2">
            <w:pPr>
              <w:spacing w:before="60" w:after="60"/>
              <w:jc w:val="center"/>
              <w:rPr>
                <w:color w:val="000000"/>
                <w:szCs w:val="26"/>
              </w:rPr>
            </w:pPr>
            <w:r>
              <w:rPr>
                <w:color w:val="000000"/>
                <w:szCs w:val="26"/>
              </w:rPr>
              <w:t>$</w:t>
            </w:r>
            <w:r w:rsidRPr="00D01C74">
              <w:rPr>
                <w:color w:val="000000"/>
                <w:szCs w:val="26"/>
              </w:rPr>
              <w:t>1,708,917</w:t>
            </w:r>
          </w:p>
        </w:tc>
        <w:tc>
          <w:tcPr>
            <w:tcW w:w="20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F74A3F" w14:textId="77777777" w:rsidR="00FD1DAC" w:rsidRPr="001F5F04" w:rsidRDefault="00FD1DAC" w:rsidP="00B47FF2">
            <w:pPr>
              <w:spacing w:before="60" w:after="60"/>
              <w:jc w:val="center"/>
              <w:rPr>
                <w:color w:val="000000"/>
                <w:szCs w:val="26"/>
              </w:rPr>
            </w:pPr>
            <w:r>
              <w:rPr>
                <w:color w:val="000000"/>
                <w:szCs w:val="26"/>
              </w:rPr>
              <w:t>$</w:t>
            </w:r>
            <w:r w:rsidRPr="00D01C74">
              <w:rPr>
                <w:color w:val="000000"/>
                <w:szCs w:val="26"/>
              </w:rPr>
              <w:t>1,708,917</w:t>
            </w:r>
          </w:p>
        </w:tc>
      </w:tr>
    </w:tbl>
    <w:p w14:paraId="095649C1" w14:textId="77777777" w:rsidR="00342659" w:rsidRPr="00BA675B" w:rsidRDefault="00BA675B" w:rsidP="00B47FF2">
      <w:pPr>
        <w:pStyle w:val="Heading3"/>
        <w:numPr>
          <w:ilvl w:val="0"/>
          <w:numId w:val="0"/>
        </w:numPr>
        <w:spacing w:before="240" w:after="240"/>
        <w:jc w:val="both"/>
      </w:pPr>
      <w:bookmarkStart w:id="54" w:name="_Toc496813997"/>
      <w:bookmarkStart w:id="55" w:name="_Toc497338863"/>
      <w:r>
        <w:t xml:space="preserve">1.2 </w:t>
      </w:r>
      <w:r w:rsidR="001624E1" w:rsidRPr="00BA675B">
        <w:rPr>
          <w:u w:val="single"/>
        </w:rPr>
        <w:t>Ex-Ante Review (EAR) Process Performance</w:t>
      </w:r>
      <w:bookmarkEnd w:id="54"/>
      <w:bookmarkEnd w:id="55"/>
    </w:p>
    <w:p w14:paraId="4E582809" w14:textId="77777777" w:rsidR="0088258A" w:rsidRPr="00FE7591" w:rsidRDefault="00BA675B" w:rsidP="008E7BDB">
      <w:pPr>
        <w:ind w:left="360"/>
        <w:jc w:val="both"/>
      </w:pPr>
      <w:r w:rsidRPr="008168CC">
        <w:t>PG&amp;E’s award was reduced by the excess DINI expenditures</w:t>
      </w:r>
      <w:r w:rsidR="008168CC">
        <w:t xml:space="preserve"> (s</w:t>
      </w:r>
      <w:r w:rsidR="003529E6" w:rsidRPr="008168CC">
        <w:t>ee section 3</w:t>
      </w:r>
      <w:r w:rsidR="000B3320" w:rsidRPr="008168CC">
        <w:t xml:space="preserve">) </w:t>
      </w:r>
      <w:r w:rsidR="003F61BF">
        <w:t>c</w:t>
      </w:r>
      <w:r w:rsidR="000B3320" w:rsidRPr="008168CC">
        <w:t>)</w:t>
      </w:r>
      <w:r w:rsidR="003529E6" w:rsidRPr="000B3320">
        <w:t>.</w:t>
      </w:r>
      <w:r w:rsidR="009768FE">
        <w:t xml:space="preserve"> </w:t>
      </w:r>
      <w:r w:rsidR="0088258A">
        <w:t xml:space="preserve">PG&amp;E’s 2017 EAR Performance </w:t>
      </w:r>
      <w:r w:rsidR="00541BEA">
        <w:t>s</w:t>
      </w:r>
      <w:r w:rsidR="0088258A">
        <w:t>core</w:t>
      </w:r>
      <w:r w:rsidR="00541BEA">
        <w:t xml:space="preserve"> was weighted by </w:t>
      </w:r>
      <w:r w:rsidR="00264683">
        <w:t xml:space="preserve">their </w:t>
      </w:r>
      <w:r w:rsidR="00541BEA">
        <w:t>deemed and custom savings (</w:t>
      </w:r>
      <w:r w:rsidR="00264683">
        <w:t xml:space="preserve">see </w:t>
      </w:r>
      <w:r w:rsidR="00541BEA">
        <w:t>section 5).</w:t>
      </w:r>
      <w:r w:rsidR="0088258A">
        <w:t xml:space="preserve"> </w:t>
      </w:r>
    </w:p>
    <w:tbl>
      <w:tblPr>
        <w:tblW w:w="9000" w:type="dxa"/>
        <w:jc w:val="right"/>
        <w:tblCellMar>
          <w:left w:w="0" w:type="dxa"/>
          <w:right w:w="0" w:type="dxa"/>
        </w:tblCellMar>
        <w:tblLook w:val="04A0" w:firstRow="1" w:lastRow="0" w:firstColumn="1" w:lastColumn="0" w:noHBand="0" w:noVBand="1"/>
      </w:tblPr>
      <w:tblGrid>
        <w:gridCol w:w="2960"/>
        <w:gridCol w:w="2013"/>
        <w:gridCol w:w="2013"/>
        <w:gridCol w:w="2014"/>
      </w:tblGrid>
      <w:tr w:rsidR="00A52B69" w14:paraId="57DC7E3C" w14:textId="77777777">
        <w:trPr>
          <w:trHeight w:val="457"/>
          <w:jc w:val="right"/>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704C095" w14:textId="77777777" w:rsidR="00F275DE" w:rsidRPr="00547822" w:rsidRDefault="00F275DE" w:rsidP="00B47FF2">
            <w:pPr>
              <w:spacing w:before="60" w:after="60"/>
              <w:jc w:val="center"/>
              <w:rPr>
                <w:rFonts w:ascii="Calibri" w:eastAsiaTheme="minorHAnsi" w:hAnsi="Calibri"/>
              </w:rPr>
            </w:pPr>
            <w:r w:rsidRPr="00547822">
              <w:rPr>
                <w:b/>
              </w:rPr>
              <w:t>ESPI Component</w:t>
            </w:r>
          </w:p>
        </w:tc>
        <w:tc>
          <w:tcPr>
            <w:tcW w:w="2013" w:type="dxa"/>
            <w:tcBorders>
              <w:top w:val="single" w:sz="8" w:space="0" w:color="auto"/>
              <w:left w:val="nil"/>
              <w:bottom w:val="single" w:sz="8" w:space="0" w:color="auto"/>
              <w:right w:val="single" w:sz="4" w:space="0" w:color="auto"/>
            </w:tcBorders>
            <w:vAlign w:val="center"/>
          </w:tcPr>
          <w:p w14:paraId="7C5CC966" w14:textId="77777777" w:rsidR="00F275DE" w:rsidRPr="00547822" w:rsidRDefault="00F275DE" w:rsidP="00B47FF2">
            <w:pPr>
              <w:spacing w:before="60" w:after="60"/>
              <w:jc w:val="center"/>
              <w:rPr>
                <w:b/>
              </w:rPr>
            </w:pPr>
            <w:r w:rsidRPr="00547822">
              <w:rPr>
                <w:b/>
              </w:rPr>
              <w:t>201</w:t>
            </w:r>
            <w:r w:rsidR="003957FB">
              <w:rPr>
                <w:b/>
              </w:rPr>
              <w:t>7</w:t>
            </w:r>
            <w:r w:rsidRPr="00547822">
              <w:rPr>
                <w:b/>
              </w:rPr>
              <w:t xml:space="preserve"> Cap</w:t>
            </w:r>
          </w:p>
        </w:tc>
        <w:tc>
          <w:tcPr>
            <w:tcW w:w="201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0EA753E1" w14:textId="77777777" w:rsidR="00F275DE" w:rsidRPr="00547822" w:rsidRDefault="00EB6C5D" w:rsidP="00B47FF2">
            <w:pPr>
              <w:spacing w:before="60" w:after="60"/>
              <w:jc w:val="center"/>
              <w:rPr>
                <w:rFonts w:ascii="Calibri" w:eastAsiaTheme="minorHAnsi" w:hAnsi="Calibri"/>
                <w:b/>
              </w:rPr>
            </w:pPr>
            <w:r>
              <w:rPr>
                <w:b/>
              </w:rPr>
              <w:t>Request</w:t>
            </w:r>
            <w:r w:rsidR="00095CC1">
              <w:rPr>
                <w:b/>
              </w:rPr>
              <w:t>ed</w:t>
            </w:r>
          </w:p>
        </w:tc>
        <w:tc>
          <w:tcPr>
            <w:tcW w:w="2014" w:type="dxa"/>
            <w:tcBorders>
              <w:top w:val="single" w:sz="8" w:space="0" w:color="auto"/>
              <w:left w:val="single" w:sz="4" w:space="0" w:color="auto"/>
              <w:bottom w:val="single" w:sz="8" w:space="0" w:color="auto"/>
              <w:right w:val="single" w:sz="8" w:space="0" w:color="auto"/>
            </w:tcBorders>
            <w:vAlign w:val="center"/>
          </w:tcPr>
          <w:p w14:paraId="4449A219" w14:textId="77777777" w:rsidR="00F275DE" w:rsidRPr="00547822" w:rsidRDefault="00095CC1" w:rsidP="00B47FF2">
            <w:pPr>
              <w:spacing w:before="60" w:after="60"/>
              <w:jc w:val="center"/>
              <w:rPr>
                <w:b/>
              </w:rPr>
            </w:pPr>
            <w:r>
              <w:rPr>
                <w:b/>
              </w:rPr>
              <w:t>Approved</w:t>
            </w:r>
          </w:p>
        </w:tc>
      </w:tr>
      <w:tr w:rsidR="00A52B69" w14:paraId="5594003C" w14:textId="77777777">
        <w:trPr>
          <w:trHeight w:val="520"/>
          <w:jc w:val="right"/>
        </w:trPr>
        <w:tc>
          <w:tcPr>
            <w:tcW w:w="29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0E3A5E1" w14:textId="77777777" w:rsidR="00777365" w:rsidRPr="00515AC4" w:rsidRDefault="00777365" w:rsidP="00B47FF2">
            <w:pPr>
              <w:spacing w:before="60" w:after="60"/>
              <w:jc w:val="center"/>
              <w:rPr>
                <w:rFonts w:eastAsiaTheme="minorHAnsi"/>
                <w:szCs w:val="26"/>
              </w:rPr>
            </w:pPr>
            <w:r w:rsidRPr="00515AC4">
              <w:rPr>
                <w:rFonts w:eastAsiaTheme="minorHAnsi"/>
                <w:szCs w:val="26"/>
              </w:rPr>
              <w:t>2017 EAR Performance</w:t>
            </w:r>
          </w:p>
        </w:tc>
        <w:tc>
          <w:tcPr>
            <w:tcW w:w="2013" w:type="dxa"/>
            <w:tcBorders>
              <w:top w:val="single" w:sz="8" w:space="0" w:color="auto"/>
              <w:left w:val="nil"/>
              <w:bottom w:val="single" w:sz="4" w:space="0" w:color="auto"/>
              <w:right w:val="single" w:sz="4" w:space="0" w:color="auto"/>
            </w:tcBorders>
            <w:vAlign w:val="center"/>
          </w:tcPr>
          <w:p w14:paraId="785F79A8" w14:textId="77777777" w:rsidR="00777365" w:rsidRPr="00515AC4" w:rsidRDefault="00A4271D" w:rsidP="00B47FF2">
            <w:pPr>
              <w:spacing w:before="60" w:after="60"/>
              <w:jc w:val="center"/>
              <w:rPr>
                <w:rFonts w:eastAsiaTheme="minorHAnsi"/>
                <w:szCs w:val="26"/>
              </w:rPr>
            </w:pPr>
            <w:r w:rsidRPr="00515AC4">
              <w:rPr>
                <w:rFonts w:eastAsiaTheme="minorHAnsi"/>
                <w:szCs w:val="26"/>
              </w:rPr>
              <w:t xml:space="preserve">$8,398,034 </w:t>
            </w:r>
          </w:p>
        </w:tc>
        <w:tc>
          <w:tcPr>
            <w:tcW w:w="2013"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01CB28D5" w14:textId="77777777" w:rsidR="00777365" w:rsidRPr="00515AC4" w:rsidRDefault="00777365" w:rsidP="00B47FF2">
            <w:pPr>
              <w:spacing w:before="60" w:after="60"/>
              <w:jc w:val="center"/>
              <w:rPr>
                <w:rFonts w:eastAsiaTheme="minorHAnsi"/>
                <w:szCs w:val="26"/>
              </w:rPr>
            </w:pPr>
            <w:r w:rsidRPr="00515AC4">
              <w:rPr>
                <w:rFonts w:eastAsiaTheme="minorHAnsi"/>
                <w:szCs w:val="26"/>
              </w:rPr>
              <w:t xml:space="preserve"> $4,695,641 </w:t>
            </w:r>
          </w:p>
        </w:tc>
        <w:tc>
          <w:tcPr>
            <w:tcW w:w="2014" w:type="dxa"/>
            <w:tcBorders>
              <w:top w:val="single" w:sz="8" w:space="0" w:color="auto"/>
              <w:left w:val="single" w:sz="4" w:space="0" w:color="auto"/>
              <w:bottom w:val="single" w:sz="4" w:space="0" w:color="auto"/>
              <w:right w:val="single" w:sz="8" w:space="0" w:color="auto"/>
            </w:tcBorders>
            <w:vAlign w:val="center"/>
          </w:tcPr>
          <w:p w14:paraId="69EA1E29" w14:textId="77777777" w:rsidR="00777365" w:rsidRPr="00541BEA" w:rsidRDefault="00891D9C" w:rsidP="00B47FF2">
            <w:pPr>
              <w:spacing w:before="60" w:after="60"/>
              <w:jc w:val="center"/>
              <w:rPr>
                <w:rFonts w:eastAsiaTheme="minorHAnsi"/>
                <w:szCs w:val="26"/>
              </w:rPr>
            </w:pPr>
            <w:r w:rsidRPr="00541BEA">
              <w:rPr>
                <w:rFonts w:eastAsiaTheme="minorHAnsi"/>
                <w:szCs w:val="26"/>
              </w:rPr>
              <w:t xml:space="preserve"> $4,58</w:t>
            </w:r>
            <w:r w:rsidR="00B43B35" w:rsidRPr="00541BEA">
              <w:rPr>
                <w:rFonts w:eastAsiaTheme="minorHAnsi"/>
                <w:szCs w:val="26"/>
              </w:rPr>
              <w:t>9,853</w:t>
            </w:r>
          </w:p>
        </w:tc>
      </w:tr>
    </w:tbl>
    <w:p w14:paraId="29D9D983" w14:textId="77777777" w:rsidR="001624E1" w:rsidRDefault="00480348" w:rsidP="00B47FF2">
      <w:pPr>
        <w:pStyle w:val="Heading3"/>
        <w:numPr>
          <w:ilvl w:val="0"/>
          <w:numId w:val="0"/>
        </w:numPr>
        <w:spacing w:before="240"/>
        <w:jc w:val="both"/>
      </w:pPr>
      <w:bookmarkStart w:id="56" w:name="_Toc496813998"/>
      <w:bookmarkStart w:id="57" w:name="_Toc497338864"/>
      <w:r w:rsidRPr="00DA06ED">
        <w:t xml:space="preserve">1.3 </w:t>
      </w:r>
      <w:r w:rsidR="001624E1" w:rsidRPr="00DA06ED">
        <w:rPr>
          <w:u w:val="single"/>
        </w:rPr>
        <w:t>Codes and Standards</w:t>
      </w:r>
      <w:bookmarkEnd w:id="56"/>
      <w:bookmarkEnd w:id="57"/>
      <w:r w:rsidR="0098585C">
        <w:rPr>
          <w:u w:val="single"/>
        </w:rPr>
        <w:t xml:space="preserve"> </w:t>
      </w:r>
      <w:r w:rsidR="0098585C" w:rsidRPr="0098585C">
        <w:rPr>
          <w:u w:val="single"/>
        </w:rPr>
        <w:t>(C&amp;S) Advocacy Programs</w:t>
      </w:r>
    </w:p>
    <w:p w14:paraId="257A36A8" w14:textId="77777777" w:rsidR="00BA675B" w:rsidRPr="008168CC" w:rsidRDefault="00BA675B" w:rsidP="00B47FF2">
      <w:pPr>
        <w:ind w:firstLine="360"/>
      </w:pPr>
      <w:r w:rsidRPr="008168CC">
        <w:t>PG&amp;E’s award was accepted as requested.</w:t>
      </w:r>
    </w:p>
    <w:tbl>
      <w:tblPr>
        <w:tblW w:w="9000" w:type="dxa"/>
        <w:jc w:val="right"/>
        <w:tblCellMar>
          <w:left w:w="0" w:type="dxa"/>
          <w:right w:w="0" w:type="dxa"/>
        </w:tblCellMar>
        <w:tblLook w:val="04A0" w:firstRow="1" w:lastRow="0" w:firstColumn="1" w:lastColumn="0" w:noHBand="0" w:noVBand="1"/>
      </w:tblPr>
      <w:tblGrid>
        <w:gridCol w:w="2960"/>
        <w:gridCol w:w="2004"/>
        <w:gridCol w:w="2190"/>
        <w:gridCol w:w="1846"/>
      </w:tblGrid>
      <w:tr w:rsidR="00A52B69" w14:paraId="32034B07" w14:textId="77777777">
        <w:trPr>
          <w:trHeight w:val="520"/>
          <w:jc w:val="right"/>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C8F8A1F" w14:textId="77777777" w:rsidR="00014E0F" w:rsidRPr="00670027" w:rsidRDefault="00014E0F" w:rsidP="00B47FF2">
            <w:pPr>
              <w:spacing w:before="60" w:after="60"/>
              <w:jc w:val="center"/>
              <w:rPr>
                <w:rFonts w:ascii="Calibri" w:eastAsiaTheme="minorHAnsi" w:hAnsi="Calibri"/>
              </w:rPr>
            </w:pPr>
            <w:r w:rsidRPr="00670027">
              <w:rPr>
                <w:b/>
              </w:rPr>
              <w:t>ESPI Component</w:t>
            </w:r>
          </w:p>
        </w:tc>
        <w:tc>
          <w:tcPr>
            <w:tcW w:w="2004" w:type="dxa"/>
            <w:tcBorders>
              <w:top w:val="single" w:sz="8" w:space="0" w:color="auto"/>
              <w:left w:val="nil"/>
              <w:bottom w:val="single" w:sz="8" w:space="0" w:color="auto"/>
              <w:right w:val="single" w:sz="4" w:space="0" w:color="auto"/>
            </w:tcBorders>
            <w:vAlign w:val="center"/>
          </w:tcPr>
          <w:p w14:paraId="09B29EDB" w14:textId="77777777" w:rsidR="00014E0F" w:rsidRPr="00670027" w:rsidRDefault="00014E0F" w:rsidP="00B47FF2">
            <w:pPr>
              <w:spacing w:before="60" w:after="60"/>
              <w:jc w:val="center"/>
              <w:rPr>
                <w:b/>
              </w:rPr>
            </w:pPr>
            <w:r w:rsidRPr="00670027">
              <w:rPr>
                <w:b/>
              </w:rPr>
              <w:t>201</w:t>
            </w:r>
            <w:r>
              <w:rPr>
                <w:b/>
              </w:rPr>
              <w:t>7</w:t>
            </w:r>
            <w:r w:rsidRPr="00670027">
              <w:rPr>
                <w:b/>
              </w:rPr>
              <w:t xml:space="preserve"> Cap</w:t>
            </w:r>
          </w:p>
        </w:tc>
        <w:tc>
          <w:tcPr>
            <w:tcW w:w="219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2484F800" w14:textId="77777777" w:rsidR="00014E0F" w:rsidRPr="00670027" w:rsidRDefault="00014E0F" w:rsidP="00B47FF2">
            <w:pPr>
              <w:spacing w:before="60" w:after="60"/>
              <w:jc w:val="center"/>
              <w:rPr>
                <w:rFonts w:ascii="Calibri" w:eastAsiaTheme="minorHAnsi" w:hAnsi="Calibri"/>
                <w:b/>
              </w:rPr>
            </w:pPr>
            <w:r>
              <w:rPr>
                <w:b/>
              </w:rPr>
              <w:t>Requested</w:t>
            </w:r>
          </w:p>
        </w:tc>
        <w:tc>
          <w:tcPr>
            <w:tcW w:w="1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C2AD392" w14:textId="77777777" w:rsidR="00014E0F" w:rsidRPr="00670027" w:rsidRDefault="00014E0F" w:rsidP="00B47FF2">
            <w:pPr>
              <w:spacing w:before="60" w:after="60"/>
              <w:jc w:val="center"/>
              <w:rPr>
                <w:rFonts w:ascii="Calibri" w:eastAsiaTheme="minorHAnsi" w:hAnsi="Calibri"/>
                <w:b/>
              </w:rPr>
            </w:pPr>
            <w:r>
              <w:rPr>
                <w:b/>
              </w:rPr>
              <w:t>Approved</w:t>
            </w:r>
          </w:p>
        </w:tc>
      </w:tr>
      <w:tr w:rsidR="00A52B69" w14:paraId="0C7717D8" w14:textId="77777777">
        <w:trPr>
          <w:trHeight w:val="475"/>
          <w:jc w:val="right"/>
        </w:trPr>
        <w:tc>
          <w:tcPr>
            <w:tcW w:w="29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3620DDB" w14:textId="77777777" w:rsidR="00014E0F" w:rsidRPr="001F5F04" w:rsidRDefault="00014E0F" w:rsidP="00B47FF2">
            <w:pPr>
              <w:spacing w:before="60" w:after="60"/>
              <w:jc w:val="center"/>
              <w:rPr>
                <w:rFonts w:ascii="Calibri" w:eastAsiaTheme="minorHAnsi" w:hAnsi="Calibri"/>
                <w:szCs w:val="26"/>
              </w:rPr>
            </w:pPr>
            <w:r w:rsidRPr="001F5F04">
              <w:rPr>
                <w:szCs w:val="26"/>
              </w:rPr>
              <w:t>201</w:t>
            </w:r>
            <w:r>
              <w:rPr>
                <w:szCs w:val="26"/>
              </w:rPr>
              <w:t>7</w:t>
            </w:r>
            <w:r w:rsidRPr="001F5F04">
              <w:rPr>
                <w:szCs w:val="26"/>
              </w:rPr>
              <w:t xml:space="preserve"> </w:t>
            </w:r>
            <w:r>
              <w:t>C&amp;S</w:t>
            </w:r>
            <w:r w:rsidRPr="00897112">
              <w:t xml:space="preserve"> </w:t>
            </w:r>
            <w:r>
              <w:t xml:space="preserve">Advocacy </w:t>
            </w:r>
          </w:p>
        </w:tc>
        <w:tc>
          <w:tcPr>
            <w:tcW w:w="2004" w:type="dxa"/>
            <w:tcBorders>
              <w:top w:val="single" w:sz="8" w:space="0" w:color="auto"/>
              <w:left w:val="nil"/>
              <w:bottom w:val="single" w:sz="4" w:space="0" w:color="auto"/>
              <w:right w:val="single" w:sz="4" w:space="0" w:color="auto"/>
            </w:tcBorders>
            <w:vAlign w:val="center"/>
          </w:tcPr>
          <w:p w14:paraId="23BA5AE2" w14:textId="77777777" w:rsidR="00014E0F" w:rsidRPr="00DD2C96" w:rsidRDefault="00014E0F" w:rsidP="00B47FF2">
            <w:pPr>
              <w:spacing w:before="60" w:after="60"/>
              <w:jc w:val="center"/>
              <w:rPr>
                <w:szCs w:val="26"/>
              </w:rPr>
            </w:pPr>
            <w:r w:rsidRPr="00DD2C96">
              <w:rPr>
                <w:rFonts w:cs="Calibri"/>
                <w:color w:val="000000"/>
                <w:szCs w:val="26"/>
              </w:rPr>
              <w:t xml:space="preserve"> $1,973,606 </w:t>
            </w:r>
          </w:p>
        </w:tc>
        <w:tc>
          <w:tcPr>
            <w:tcW w:w="219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3F3D5F27" w14:textId="77777777" w:rsidR="00014E0F" w:rsidRPr="00DD2C96" w:rsidRDefault="00014E0F" w:rsidP="00B47FF2">
            <w:pPr>
              <w:spacing w:before="60" w:after="60"/>
              <w:jc w:val="center"/>
              <w:rPr>
                <w:rFonts w:cs="Calibri"/>
                <w:color w:val="000000"/>
                <w:szCs w:val="26"/>
              </w:rPr>
            </w:pPr>
            <w:r w:rsidRPr="00DD2C96">
              <w:rPr>
                <w:rFonts w:cs="Calibri"/>
                <w:color w:val="000000"/>
                <w:szCs w:val="26"/>
              </w:rPr>
              <w:t xml:space="preserve"> $1,839,268 </w:t>
            </w:r>
          </w:p>
        </w:tc>
        <w:tc>
          <w:tcPr>
            <w:tcW w:w="184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07826D9" w14:textId="77777777" w:rsidR="00014E0F" w:rsidRPr="00DD2C96" w:rsidRDefault="00014E0F" w:rsidP="00B47FF2">
            <w:pPr>
              <w:spacing w:before="60" w:after="60"/>
              <w:jc w:val="center"/>
              <w:rPr>
                <w:rFonts w:cs="Calibri"/>
                <w:color w:val="000000"/>
                <w:szCs w:val="26"/>
              </w:rPr>
            </w:pPr>
            <w:r w:rsidRPr="00DD2C96">
              <w:rPr>
                <w:rFonts w:cs="Calibri"/>
                <w:color w:val="000000"/>
                <w:szCs w:val="26"/>
              </w:rPr>
              <w:t xml:space="preserve"> $1,839,268 </w:t>
            </w:r>
          </w:p>
        </w:tc>
      </w:tr>
    </w:tbl>
    <w:p w14:paraId="4FDA781C" w14:textId="77777777" w:rsidR="001624E1" w:rsidRDefault="00DA06ED" w:rsidP="00B47FF2">
      <w:pPr>
        <w:pStyle w:val="Heading3"/>
        <w:numPr>
          <w:ilvl w:val="0"/>
          <w:numId w:val="0"/>
        </w:numPr>
        <w:spacing w:before="200"/>
        <w:rPr>
          <w:u w:val="single"/>
        </w:rPr>
      </w:pPr>
      <w:bookmarkStart w:id="58" w:name="_Toc496813999"/>
      <w:bookmarkStart w:id="59" w:name="_Toc497338865"/>
      <w:r w:rsidRPr="00DA06ED">
        <w:t xml:space="preserve">1.4 </w:t>
      </w:r>
      <w:r w:rsidR="001624E1" w:rsidRPr="00DA06ED">
        <w:rPr>
          <w:u w:val="single"/>
        </w:rPr>
        <w:t>Non-Resource Programs</w:t>
      </w:r>
      <w:bookmarkEnd w:id="58"/>
      <w:bookmarkEnd w:id="59"/>
    </w:p>
    <w:p w14:paraId="0B3E9E52" w14:textId="77777777" w:rsidR="00BA675B" w:rsidRPr="008168CC" w:rsidRDefault="00BA675B" w:rsidP="0070418B">
      <w:pPr>
        <w:pStyle w:val="sub2"/>
        <w:spacing w:line="240" w:lineRule="auto"/>
        <w:ind w:firstLine="360"/>
      </w:pPr>
      <w:r w:rsidRPr="008168CC">
        <w:t>PG&amp;E’s award was accepted as requested.</w:t>
      </w:r>
    </w:p>
    <w:tbl>
      <w:tblPr>
        <w:tblW w:w="9000" w:type="dxa"/>
        <w:jc w:val="right"/>
        <w:tblCellMar>
          <w:left w:w="0" w:type="dxa"/>
          <w:right w:w="0" w:type="dxa"/>
        </w:tblCellMar>
        <w:tblLook w:val="04A0" w:firstRow="1" w:lastRow="0" w:firstColumn="1" w:lastColumn="0" w:noHBand="0" w:noVBand="1"/>
      </w:tblPr>
      <w:tblGrid>
        <w:gridCol w:w="2960"/>
        <w:gridCol w:w="2013"/>
        <w:gridCol w:w="2013"/>
        <w:gridCol w:w="2014"/>
      </w:tblGrid>
      <w:tr w:rsidR="00A52B69" w14:paraId="73C08CC8" w14:textId="77777777">
        <w:trPr>
          <w:trHeight w:val="448"/>
          <w:jc w:val="right"/>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C4C6296" w14:textId="77777777" w:rsidR="00AB06B4" w:rsidRPr="00C60E4A" w:rsidRDefault="00440C06" w:rsidP="00B47FF2">
            <w:pPr>
              <w:spacing w:before="60" w:after="60"/>
              <w:jc w:val="center"/>
              <w:rPr>
                <w:rFonts w:ascii="Calibri" w:eastAsiaTheme="minorHAnsi" w:hAnsi="Calibri"/>
              </w:rPr>
            </w:pPr>
            <w:r>
              <w:br w:type="page"/>
            </w:r>
            <w:r w:rsidR="00AB06B4" w:rsidRPr="00C60E4A">
              <w:rPr>
                <w:b/>
              </w:rPr>
              <w:t>ESPI Component</w:t>
            </w:r>
          </w:p>
        </w:tc>
        <w:tc>
          <w:tcPr>
            <w:tcW w:w="2013" w:type="dxa"/>
            <w:tcBorders>
              <w:top w:val="single" w:sz="8" w:space="0" w:color="auto"/>
              <w:left w:val="nil"/>
              <w:bottom w:val="single" w:sz="8" w:space="0" w:color="auto"/>
              <w:right w:val="single" w:sz="4" w:space="0" w:color="auto"/>
            </w:tcBorders>
            <w:vAlign w:val="center"/>
          </w:tcPr>
          <w:p w14:paraId="196F1A8B" w14:textId="77777777" w:rsidR="00AB06B4" w:rsidRPr="00C60E4A" w:rsidRDefault="00AB06B4" w:rsidP="00B47FF2">
            <w:pPr>
              <w:spacing w:before="60" w:after="60"/>
              <w:jc w:val="center"/>
              <w:rPr>
                <w:b/>
              </w:rPr>
            </w:pPr>
            <w:r w:rsidRPr="00C60E4A">
              <w:rPr>
                <w:b/>
              </w:rPr>
              <w:t>201</w:t>
            </w:r>
            <w:r w:rsidR="003957FB">
              <w:rPr>
                <w:b/>
              </w:rPr>
              <w:t>7</w:t>
            </w:r>
            <w:r w:rsidRPr="00C60E4A">
              <w:rPr>
                <w:b/>
              </w:rPr>
              <w:t xml:space="preserve"> Cap</w:t>
            </w:r>
          </w:p>
        </w:tc>
        <w:tc>
          <w:tcPr>
            <w:tcW w:w="201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5659F853" w14:textId="77777777" w:rsidR="00AB06B4" w:rsidRPr="00C60E4A" w:rsidRDefault="00EB6C5D" w:rsidP="00B47FF2">
            <w:pPr>
              <w:spacing w:before="60" w:after="60"/>
              <w:jc w:val="center"/>
              <w:rPr>
                <w:rFonts w:ascii="Calibri" w:eastAsiaTheme="minorHAnsi" w:hAnsi="Calibri"/>
                <w:b/>
              </w:rPr>
            </w:pPr>
            <w:r>
              <w:rPr>
                <w:b/>
              </w:rPr>
              <w:t>Request</w:t>
            </w:r>
            <w:r w:rsidR="00095CC1">
              <w:rPr>
                <w:b/>
              </w:rPr>
              <w:t>ed</w:t>
            </w:r>
          </w:p>
        </w:tc>
        <w:tc>
          <w:tcPr>
            <w:tcW w:w="20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49859F9" w14:textId="77777777" w:rsidR="00AB06B4" w:rsidRPr="00C60E4A" w:rsidRDefault="00095CC1" w:rsidP="00B47FF2">
            <w:pPr>
              <w:spacing w:before="60" w:after="60"/>
              <w:jc w:val="center"/>
              <w:rPr>
                <w:rFonts w:ascii="Calibri" w:eastAsiaTheme="minorHAnsi" w:hAnsi="Calibri"/>
                <w:b/>
              </w:rPr>
            </w:pPr>
            <w:r>
              <w:rPr>
                <w:b/>
              </w:rPr>
              <w:t>Approved</w:t>
            </w:r>
          </w:p>
        </w:tc>
      </w:tr>
      <w:tr w:rsidR="00A52B69" w14:paraId="243549EE" w14:textId="77777777">
        <w:trPr>
          <w:trHeight w:val="448"/>
          <w:jc w:val="right"/>
        </w:trPr>
        <w:tc>
          <w:tcPr>
            <w:tcW w:w="29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CE5C101" w14:textId="77777777" w:rsidR="00777365" w:rsidRPr="001F5F04" w:rsidRDefault="00777365" w:rsidP="00B47FF2">
            <w:pPr>
              <w:spacing w:before="60" w:after="60"/>
              <w:jc w:val="center"/>
              <w:rPr>
                <w:rFonts w:ascii="Calibri" w:eastAsiaTheme="minorHAnsi" w:hAnsi="Calibri"/>
                <w:szCs w:val="26"/>
              </w:rPr>
            </w:pPr>
            <w:r w:rsidRPr="001F5F04">
              <w:rPr>
                <w:szCs w:val="26"/>
              </w:rPr>
              <w:t>201</w:t>
            </w:r>
            <w:r>
              <w:rPr>
                <w:szCs w:val="26"/>
              </w:rPr>
              <w:t>7</w:t>
            </w:r>
            <w:r w:rsidRPr="001F5F04">
              <w:rPr>
                <w:szCs w:val="26"/>
              </w:rPr>
              <w:t xml:space="preserve"> Non-Resource </w:t>
            </w:r>
          </w:p>
        </w:tc>
        <w:tc>
          <w:tcPr>
            <w:tcW w:w="2013" w:type="dxa"/>
            <w:tcBorders>
              <w:top w:val="single" w:sz="8" w:space="0" w:color="auto"/>
              <w:left w:val="nil"/>
              <w:bottom w:val="single" w:sz="4" w:space="0" w:color="auto"/>
              <w:right w:val="single" w:sz="4" w:space="0" w:color="auto"/>
            </w:tcBorders>
            <w:vAlign w:val="center"/>
          </w:tcPr>
          <w:p w14:paraId="552A1004" w14:textId="77777777" w:rsidR="00777365" w:rsidRPr="00DD2C96" w:rsidRDefault="00777365" w:rsidP="00B47FF2">
            <w:pPr>
              <w:spacing w:before="60" w:after="60"/>
              <w:jc w:val="center"/>
              <w:rPr>
                <w:rFonts w:eastAsiaTheme="minorHAnsi"/>
                <w:szCs w:val="26"/>
              </w:rPr>
            </w:pPr>
            <w:r w:rsidRPr="00DD2C96">
              <w:rPr>
                <w:rFonts w:cs="Calibri"/>
                <w:color w:val="000000"/>
                <w:szCs w:val="26"/>
              </w:rPr>
              <w:t xml:space="preserve"> $908,786 </w:t>
            </w:r>
          </w:p>
        </w:tc>
        <w:tc>
          <w:tcPr>
            <w:tcW w:w="2013"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49B53C53" w14:textId="77777777" w:rsidR="00777365" w:rsidRPr="00DD2C96" w:rsidRDefault="00777365" w:rsidP="00B47FF2">
            <w:pPr>
              <w:spacing w:before="60" w:after="60"/>
              <w:jc w:val="center"/>
              <w:rPr>
                <w:rFonts w:cs="Calibri"/>
                <w:color w:val="000000"/>
                <w:szCs w:val="26"/>
              </w:rPr>
            </w:pPr>
            <w:r w:rsidRPr="00DD2C96">
              <w:rPr>
                <w:rFonts w:cs="Calibri"/>
                <w:color w:val="000000"/>
                <w:szCs w:val="26"/>
              </w:rPr>
              <w:t xml:space="preserve"> $615,426 </w:t>
            </w:r>
          </w:p>
        </w:tc>
        <w:tc>
          <w:tcPr>
            <w:tcW w:w="201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8D811F2" w14:textId="77777777" w:rsidR="00777365" w:rsidRPr="00DD2C96" w:rsidRDefault="00777365" w:rsidP="00B47FF2">
            <w:pPr>
              <w:spacing w:before="60" w:after="60"/>
              <w:jc w:val="center"/>
              <w:rPr>
                <w:rFonts w:cs="Calibri"/>
                <w:color w:val="000000"/>
                <w:szCs w:val="26"/>
              </w:rPr>
            </w:pPr>
            <w:r w:rsidRPr="00DD2C96">
              <w:rPr>
                <w:rFonts w:cs="Calibri"/>
                <w:color w:val="000000"/>
                <w:szCs w:val="26"/>
              </w:rPr>
              <w:t xml:space="preserve"> $615,426 </w:t>
            </w:r>
          </w:p>
        </w:tc>
      </w:tr>
    </w:tbl>
    <w:p w14:paraId="0385BC2C" w14:textId="77777777" w:rsidR="004E330C" w:rsidRDefault="004E330C" w:rsidP="008E7BDB">
      <w:pPr>
        <w:pStyle w:val="Heading3"/>
        <w:numPr>
          <w:ilvl w:val="0"/>
          <w:numId w:val="0"/>
        </w:numPr>
        <w:spacing w:before="200"/>
      </w:pPr>
      <w:bookmarkStart w:id="60" w:name="_Toc496814000"/>
      <w:bookmarkStart w:id="61" w:name="_Toc497338866"/>
    </w:p>
    <w:p w14:paraId="2B620136" w14:textId="28D80D5F" w:rsidR="007D0832" w:rsidRPr="00DA06ED" w:rsidRDefault="00DA06ED" w:rsidP="008E7BDB">
      <w:pPr>
        <w:pStyle w:val="Heading3"/>
        <w:numPr>
          <w:ilvl w:val="0"/>
          <w:numId w:val="0"/>
        </w:numPr>
        <w:spacing w:before="200"/>
        <w:rPr>
          <w:u w:val="single"/>
        </w:rPr>
      </w:pPr>
      <w:r w:rsidRPr="00DA06ED">
        <w:t xml:space="preserve">1.5 </w:t>
      </w:r>
      <w:r w:rsidR="007D0832" w:rsidRPr="00DA06ED">
        <w:rPr>
          <w:u w:val="single"/>
        </w:rPr>
        <w:t>True Ups</w:t>
      </w:r>
      <w:bookmarkEnd w:id="60"/>
      <w:bookmarkEnd w:id="61"/>
    </w:p>
    <w:tbl>
      <w:tblPr>
        <w:tblW w:w="7920" w:type="dxa"/>
        <w:jc w:val="center"/>
        <w:tblLayout w:type="fixed"/>
        <w:tblLook w:val="04A0" w:firstRow="1" w:lastRow="0" w:firstColumn="1" w:lastColumn="0" w:noHBand="0" w:noVBand="1"/>
      </w:tblPr>
      <w:tblGrid>
        <w:gridCol w:w="4502"/>
        <w:gridCol w:w="1709"/>
        <w:gridCol w:w="1709"/>
      </w:tblGrid>
      <w:tr w:rsidR="00A52B69" w14:paraId="396105B6" w14:textId="77777777">
        <w:trPr>
          <w:trHeight w:val="502"/>
          <w:tblHeader/>
          <w:jc w:val="center"/>
        </w:trPr>
        <w:tc>
          <w:tcPr>
            <w:tcW w:w="450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52E9C" w14:textId="77777777" w:rsidR="009F5519" w:rsidRPr="00806F1C" w:rsidRDefault="009F5519" w:rsidP="00B47FF2">
            <w:pPr>
              <w:spacing w:before="60" w:after="60"/>
              <w:jc w:val="center"/>
              <w:rPr>
                <w:b/>
                <w:bCs/>
                <w:color w:val="000000"/>
              </w:rPr>
            </w:pPr>
            <w:r w:rsidRPr="00806F1C">
              <w:rPr>
                <w:b/>
                <w:bCs/>
                <w:color w:val="000000"/>
              </w:rPr>
              <w:t>Component</w:t>
            </w:r>
          </w:p>
        </w:tc>
        <w:tc>
          <w:tcPr>
            <w:tcW w:w="1709" w:type="dxa"/>
            <w:tcBorders>
              <w:top w:val="single" w:sz="8" w:space="0" w:color="auto"/>
              <w:left w:val="nil"/>
              <w:bottom w:val="single" w:sz="8" w:space="0" w:color="auto"/>
              <w:right w:val="single" w:sz="8" w:space="0" w:color="auto"/>
            </w:tcBorders>
            <w:shd w:val="clear" w:color="auto" w:fill="auto"/>
            <w:vAlign w:val="center"/>
            <w:hideMark/>
          </w:tcPr>
          <w:p w14:paraId="326A0724" w14:textId="77777777" w:rsidR="009F5519" w:rsidRPr="00806F1C" w:rsidRDefault="009F5519" w:rsidP="00B47FF2">
            <w:pPr>
              <w:spacing w:before="60" w:after="60"/>
              <w:jc w:val="center"/>
              <w:rPr>
                <w:b/>
                <w:bCs/>
                <w:color w:val="000000"/>
              </w:rPr>
            </w:pPr>
            <w:r>
              <w:rPr>
                <w:b/>
                <w:bCs/>
                <w:color w:val="000000"/>
              </w:rPr>
              <w:t>Request</w:t>
            </w:r>
            <w:r w:rsidR="00095CC1">
              <w:rPr>
                <w:b/>
                <w:bCs/>
                <w:color w:val="000000"/>
              </w:rPr>
              <w:t>ed</w:t>
            </w:r>
          </w:p>
        </w:tc>
        <w:tc>
          <w:tcPr>
            <w:tcW w:w="1709" w:type="dxa"/>
            <w:tcBorders>
              <w:top w:val="single" w:sz="8" w:space="0" w:color="auto"/>
              <w:left w:val="nil"/>
              <w:bottom w:val="single" w:sz="8" w:space="0" w:color="auto"/>
              <w:right w:val="single" w:sz="8" w:space="0" w:color="auto"/>
            </w:tcBorders>
            <w:vAlign w:val="center"/>
          </w:tcPr>
          <w:p w14:paraId="28A0BC35" w14:textId="77777777" w:rsidR="009F5519" w:rsidRPr="00A377B2" w:rsidRDefault="00095CC1" w:rsidP="00B47FF2">
            <w:pPr>
              <w:spacing w:before="60" w:after="60"/>
              <w:jc w:val="center"/>
              <w:rPr>
                <w:b/>
                <w:bCs/>
                <w:color w:val="000000"/>
              </w:rPr>
            </w:pPr>
            <w:r>
              <w:rPr>
                <w:b/>
                <w:bCs/>
                <w:color w:val="000000"/>
              </w:rPr>
              <w:t>Approved</w:t>
            </w:r>
          </w:p>
        </w:tc>
      </w:tr>
      <w:tr w:rsidR="00A52B69" w14:paraId="361FA3AF" w14:textId="77777777">
        <w:trPr>
          <w:trHeight w:val="360"/>
          <w:jc w:val="center"/>
        </w:trPr>
        <w:tc>
          <w:tcPr>
            <w:tcW w:w="4502" w:type="dxa"/>
            <w:tcBorders>
              <w:top w:val="single" w:sz="8" w:space="0" w:color="auto"/>
              <w:left w:val="single" w:sz="8" w:space="0" w:color="auto"/>
              <w:bottom w:val="nil"/>
              <w:right w:val="single" w:sz="8" w:space="0" w:color="auto"/>
            </w:tcBorders>
            <w:shd w:val="clear" w:color="auto" w:fill="auto"/>
            <w:hideMark/>
          </w:tcPr>
          <w:p w14:paraId="5A24E365" w14:textId="77777777" w:rsidR="00A53C26" w:rsidRPr="001F5F04" w:rsidRDefault="00A53C26" w:rsidP="00B47FF2">
            <w:pPr>
              <w:spacing w:before="0" w:after="0"/>
              <w:rPr>
                <w:color w:val="000000"/>
                <w:szCs w:val="26"/>
              </w:rPr>
            </w:pPr>
            <w:r w:rsidRPr="001F5F04">
              <w:rPr>
                <w:szCs w:val="26"/>
              </w:rPr>
              <w:t>201</w:t>
            </w:r>
            <w:r w:rsidR="003957FB">
              <w:rPr>
                <w:szCs w:val="26"/>
              </w:rPr>
              <w:t>6</w:t>
            </w:r>
            <w:r w:rsidRPr="001F5F04">
              <w:rPr>
                <w:szCs w:val="26"/>
              </w:rPr>
              <w:t xml:space="preserve"> Ex-Ante Savings True Up</w:t>
            </w:r>
          </w:p>
        </w:tc>
        <w:tc>
          <w:tcPr>
            <w:tcW w:w="1709" w:type="dxa"/>
            <w:tcBorders>
              <w:top w:val="nil"/>
              <w:left w:val="nil"/>
              <w:bottom w:val="nil"/>
              <w:right w:val="single" w:sz="8" w:space="0" w:color="auto"/>
            </w:tcBorders>
            <w:shd w:val="clear" w:color="auto" w:fill="auto"/>
            <w:noWrap/>
            <w:vAlign w:val="center"/>
          </w:tcPr>
          <w:p w14:paraId="54347015" w14:textId="77777777" w:rsidR="00A53C26" w:rsidRPr="004E3015" w:rsidRDefault="004E3015" w:rsidP="00B47FF2">
            <w:pPr>
              <w:spacing w:before="0" w:after="0"/>
              <w:jc w:val="right"/>
              <w:rPr>
                <w:color w:val="000000"/>
              </w:rPr>
            </w:pPr>
            <w:r w:rsidRPr="00DD2C96">
              <w:rPr>
                <w:color w:val="FF0000"/>
              </w:rPr>
              <w:t xml:space="preserve">  ($579,741)</w:t>
            </w:r>
          </w:p>
        </w:tc>
        <w:tc>
          <w:tcPr>
            <w:tcW w:w="1709" w:type="dxa"/>
            <w:tcBorders>
              <w:top w:val="nil"/>
              <w:left w:val="nil"/>
              <w:bottom w:val="nil"/>
              <w:right w:val="single" w:sz="8" w:space="0" w:color="auto"/>
            </w:tcBorders>
          </w:tcPr>
          <w:p w14:paraId="7ABCC006" w14:textId="77777777" w:rsidR="00A53C26" w:rsidRPr="004E3015" w:rsidRDefault="004E3015" w:rsidP="00B47FF2">
            <w:pPr>
              <w:spacing w:before="0" w:after="0"/>
              <w:jc w:val="right"/>
              <w:rPr>
                <w:color w:val="FF0000"/>
              </w:rPr>
            </w:pPr>
            <w:r w:rsidRPr="004E3015">
              <w:rPr>
                <w:rFonts w:cs="Calibri"/>
                <w:color w:val="000000"/>
              </w:rPr>
              <w:t>$41,699</w:t>
            </w:r>
          </w:p>
        </w:tc>
      </w:tr>
      <w:tr w:rsidR="00A52B69" w14:paraId="4E10595E" w14:textId="77777777">
        <w:trPr>
          <w:trHeight w:val="360"/>
          <w:jc w:val="center"/>
        </w:trPr>
        <w:tc>
          <w:tcPr>
            <w:tcW w:w="4502" w:type="dxa"/>
            <w:tcBorders>
              <w:top w:val="nil"/>
              <w:left w:val="single" w:sz="8" w:space="0" w:color="auto"/>
              <w:bottom w:val="nil"/>
              <w:right w:val="single" w:sz="8" w:space="0" w:color="auto"/>
            </w:tcBorders>
            <w:shd w:val="clear" w:color="auto" w:fill="auto"/>
            <w:noWrap/>
            <w:hideMark/>
          </w:tcPr>
          <w:p w14:paraId="76D75400" w14:textId="77777777" w:rsidR="00812C6B" w:rsidRPr="001F5F04" w:rsidRDefault="00812C6B" w:rsidP="00B47FF2">
            <w:pPr>
              <w:spacing w:before="0" w:after="0"/>
              <w:rPr>
                <w:color w:val="000000"/>
                <w:szCs w:val="26"/>
              </w:rPr>
            </w:pPr>
            <w:r w:rsidRPr="001F5F04">
              <w:rPr>
                <w:szCs w:val="26"/>
              </w:rPr>
              <w:t>201</w:t>
            </w:r>
            <w:r>
              <w:rPr>
                <w:szCs w:val="26"/>
              </w:rPr>
              <w:t>6</w:t>
            </w:r>
            <w:r w:rsidRPr="001F5F04">
              <w:rPr>
                <w:szCs w:val="26"/>
              </w:rPr>
              <w:t xml:space="preserve"> EAR Performance True Up</w:t>
            </w:r>
          </w:p>
        </w:tc>
        <w:tc>
          <w:tcPr>
            <w:tcW w:w="1709" w:type="dxa"/>
            <w:tcBorders>
              <w:top w:val="nil"/>
              <w:left w:val="single" w:sz="8" w:space="0" w:color="auto"/>
              <w:bottom w:val="nil"/>
              <w:right w:val="single" w:sz="8" w:space="0" w:color="auto"/>
            </w:tcBorders>
            <w:shd w:val="clear" w:color="auto" w:fill="auto"/>
            <w:noWrap/>
            <w:vAlign w:val="bottom"/>
          </w:tcPr>
          <w:p w14:paraId="3DBE85A0" w14:textId="77777777" w:rsidR="00812C6B" w:rsidRPr="00DD2C96" w:rsidRDefault="00812C6B" w:rsidP="00B47FF2">
            <w:pPr>
              <w:spacing w:before="0" w:after="0"/>
              <w:jc w:val="right"/>
              <w:rPr>
                <w:rFonts w:cs="Calibri"/>
                <w:color w:val="FF0000"/>
              </w:rPr>
            </w:pPr>
            <w:r w:rsidRPr="00DD2C96">
              <w:rPr>
                <w:rFonts w:cs="Calibri"/>
                <w:color w:val="FF0000"/>
              </w:rPr>
              <w:t xml:space="preserve"> </w:t>
            </w:r>
            <w:r w:rsidR="00DD2C96" w:rsidRPr="00DD2C96">
              <w:rPr>
                <w:rFonts w:cs="Calibri"/>
                <w:color w:val="FF0000"/>
              </w:rPr>
              <w:t>($</w:t>
            </w:r>
            <w:r w:rsidRPr="00DD2C96">
              <w:rPr>
                <w:rFonts w:cs="Calibri"/>
                <w:color w:val="FF0000"/>
              </w:rPr>
              <w:t>70,447)</w:t>
            </w:r>
          </w:p>
        </w:tc>
        <w:tc>
          <w:tcPr>
            <w:tcW w:w="1709" w:type="dxa"/>
            <w:tcBorders>
              <w:top w:val="nil"/>
              <w:left w:val="nil"/>
              <w:bottom w:val="nil"/>
              <w:right w:val="single" w:sz="8" w:space="0" w:color="auto"/>
            </w:tcBorders>
            <w:vAlign w:val="center"/>
          </w:tcPr>
          <w:p w14:paraId="51192E41" w14:textId="77777777" w:rsidR="00812C6B" w:rsidRPr="00DD2C96" w:rsidRDefault="00812C6B" w:rsidP="00B47FF2">
            <w:pPr>
              <w:spacing w:before="0" w:after="0"/>
              <w:jc w:val="right"/>
              <w:rPr>
                <w:color w:val="FF0000"/>
              </w:rPr>
            </w:pPr>
            <w:r w:rsidRPr="00DD2C96">
              <w:rPr>
                <w:rFonts w:cs="Calibri"/>
                <w:color w:val="FF0000"/>
              </w:rPr>
              <w:t xml:space="preserve"> </w:t>
            </w:r>
            <w:r w:rsidR="00DD2C96" w:rsidRPr="00DD2C96">
              <w:rPr>
                <w:rFonts w:cs="Calibri"/>
                <w:color w:val="FF0000"/>
              </w:rPr>
              <w:t>($</w:t>
            </w:r>
            <w:r w:rsidRPr="00DD2C96">
              <w:rPr>
                <w:rFonts w:cs="Calibri"/>
                <w:color w:val="FF0000"/>
              </w:rPr>
              <w:t>76,125)</w:t>
            </w:r>
          </w:p>
        </w:tc>
      </w:tr>
      <w:tr w:rsidR="00A52B69" w14:paraId="5132FA12" w14:textId="77777777">
        <w:trPr>
          <w:trHeight w:val="360"/>
          <w:jc w:val="center"/>
        </w:trPr>
        <w:tc>
          <w:tcPr>
            <w:tcW w:w="4502" w:type="dxa"/>
            <w:tcBorders>
              <w:top w:val="nil"/>
              <w:left w:val="single" w:sz="8" w:space="0" w:color="auto"/>
              <w:bottom w:val="nil"/>
              <w:right w:val="single" w:sz="8" w:space="0" w:color="auto"/>
            </w:tcBorders>
            <w:shd w:val="clear" w:color="auto" w:fill="auto"/>
            <w:noWrap/>
            <w:hideMark/>
          </w:tcPr>
          <w:p w14:paraId="6441383F" w14:textId="77777777" w:rsidR="00812C6B" w:rsidRPr="001F5F04" w:rsidRDefault="00812C6B" w:rsidP="00B47FF2">
            <w:pPr>
              <w:spacing w:before="0" w:after="0"/>
              <w:rPr>
                <w:color w:val="000000"/>
                <w:szCs w:val="26"/>
              </w:rPr>
            </w:pPr>
            <w:r w:rsidRPr="001F5F04">
              <w:rPr>
                <w:szCs w:val="26"/>
              </w:rPr>
              <w:t>201</w:t>
            </w:r>
            <w:r>
              <w:rPr>
                <w:szCs w:val="26"/>
              </w:rPr>
              <w:t>6</w:t>
            </w:r>
            <w:r w:rsidRPr="001F5F04">
              <w:rPr>
                <w:szCs w:val="26"/>
              </w:rPr>
              <w:t xml:space="preserve"> Codes &amp; Standards True Up</w:t>
            </w:r>
          </w:p>
        </w:tc>
        <w:tc>
          <w:tcPr>
            <w:tcW w:w="1709" w:type="dxa"/>
            <w:tcBorders>
              <w:top w:val="nil"/>
              <w:left w:val="single" w:sz="8" w:space="0" w:color="auto"/>
              <w:bottom w:val="nil"/>
              <w:right w:val="single" w:sz="8" w:space="0" w:color="auto"/>
            </w:tcBorders>
            <w:shd w:val="clear" w:color="auto" w:fill="auto"/>
            <w:noWrap/>
            <w:vAlign w:val="bottom"/>
          </w:tcPr>
          <w:p w14:paraId="3517C592" w14:textId="77777777" w:rsidR="00812C6B" w:rsidRPr="00DD2C96" w:rsidRDefault="00812C6B" w:rsidP="00B47FF2">
            <w:pPr>
              <w:spacing w:before="0" w:after="0"/>
              <w:jc w:val="right"/>
              <w:rPr>
                <w:rFonts w:cs="Calibri"/>
                <w:color w:val="FF0000"/>
              </w:rPr>
            </w:pPr>
            <w:r w:rsidRPr="00DD2C96">
              <w:rPr>
                <w:rFonts w:cs="Calibri"/>
                <w:color w:val="FF0000"/>
              </w:rPr>
              <w:t xml:space="preserve"> </w:t>
            </w:r>
            <w:r w:rsidR="00DD2C96" w:rsidRPr="00DD2C96">
              <w:rPr>
                <w:rFonts w:cs="Calibri"/>
                <w:color w:val="FF0000"/>
              </w:rPr>
              <w:t>($</w:t>
            </w:r>
            <w:r w:rsidRPr="00DD2C96">
              <w:rPr>
                <w:rFonts w:cs="Calibri"/>
                <w:color w:val="FF0000"/>
              </w:rPr>
              <w:t>12,068)</w:t>
            </w:r>
          </w:p>
        </w:tc>
        <w:tc>
          <w:tcPr>
            <w:tcW w:w="1709" w:type="dxa"/>
            <w:tcBorders>
              <w:top w:val="nil"/>
              <w:left w:val="nil"/>
              <w:bottom w:val="nil"/>
              <w:right w:val="single" w:sz="8" w:space="0" w:color="auto"/>
            </w:tcBorders>
            <w:vAlign w:val="center"/>
          </w:tcPr>
          <w:p w14:paraId="6C032F1A" w14:textId="77777777" w:rsidR="00812C6B" w:rsidRPr="00DD2C96" w:rsidRDefault="00812C6B" w:rsidP="00B47FF2">
            <w:pPr>
              <w:spacing w:before="0" w:after="0"/>
              <w:jc w:val="right"/>
              <w:rPr>
                <w:color w:val="FF0000"/>
              </w:rPr>
            </w:pPr>
            <w:r w:rsidRPr="00DD2C96">
              <w:rPr>
                <w:rFonts w:cs="Calibri"/>
                <w:color w:val="FF0000"/>
              </w:rPr>
              <w:t xml:space="preserve"> </w:t>
            </w:r>
            <w:r w:rsidR="00DD2C96" w:rsidRPr="00DD2C96">
              <w:rPr>
                <w:rFonts w:cs="Calibri"/>
                <w:color w:val="FF0000"/>
              </w:rPr>
              <w:t>($</w:t>
            </w:r>
            <w:r w:rsidRPr="00DD2C96">
              <w:rPr>
                <w:rFonts w:cs="Calibri"/>
                <w:color w:val="FF0000"/>
              </w:rPr>
              <w:t>13,041)</w:t>
            </w:r>
          </w:p>
        </w:tc>
      </w:tr>
      <w:tr w:rsidR="00A52B69" w14:paraId="6944B4A3" w14:textId="77777777">
        <w:trPr>
          <w:trHeight w:val="375"/>
          <w:jc w:val="center"/>
        </w:trPr>
        <w:tc>
          <w:tcPr>
            <w:tcW w:w="4502" w:type="dxa"/>
            <w:tcBorders>
              <w:top w:val="nil"/>
              <w:left w:val="single" w:sz="8" w:space="0" w:color="auto"/>
              <w:bottom w:val="nil"/>
              <w:right w:val="single" w:sz="8" w:space="0" w:color="auto"/>
            </w:tcBorders>
            <w:shd w:val="clear" w:color="auto" w:fill="auto"/>
            <w:noWrap/>
            <w:hideMark/>
          </w:tcPr>
          <w:p w14:paraId="2BB067AC" w14:textId="77777777" w:rsidR="00812C6B" w:rsidRPr="001F5F04" w:rsidRDefault="000E7F32" w:rsidP="00B47FF2">
            <w:pPr>
              <w:spacing w:before="0" w:after="0"/>
              <w:rPr>
                <w:color w:val="000000"/>
                <w:szCs w:val="26"/>
              </w:rPr>
            </w:pPr>
            <w:r w:rsidRPr="001F5F04">
              <w:rPr>
                <w:szCs w:val="26"/>
              </w:rPr>
              <w:t>201</w:t>
            </w:r>
            <w:r>
              <w:rPr>
                <w:szCs w:val="26"/>
              </w:rPr>
              <w:t>6</w:t>
            </w:r>
            <w:r w:rsidRPr="001F5F04">
              <w:rPr>
                <w:szCs w:val="26"/>
              </w:rPr>
              <w:t xml:space="preserve"> Non-Resource True Up</w:t>
            </w:r>
          </w:p>
        </w:tc>
        <w:tc>
          <w:tcPr>
            <w:tcW w:w="1709" w:type="dxa"/>
            <w:tcBorders>
              <w:top w:val="nil"/>
              <w:left w:val="single" w:sz="8" w:space="0" w:color="auto"/>
              <w:bottom w:val="nil"/>
              <w:right w:val="single" w:sz="8" w:space="0" w:color="auto"/>
            </w:tcBorders>
            <w:shd w:val="clear" w:color="auto" w:fill="auto"/>
            <w:noWrap/>
            <w:vAlign w:val="bottom"/>
          </w:tcPr>
          <w:p w14:paraId="2985F0E0" w14:textId="77777777" w:rsidR="00812C6B" w:rsidRPr="00DD2C96" w:rsidRDefault="00812C6B" w:rsidP="00B47FF2">
            <w:pPr>
              <w:spacing w:before="0" w:after="0"/>
              <w:jc w:val="right"/>
              <w:rPr>
                <w:rFonts w:cs="Calibri"/>
                <w:color w:val="FF0000"/>
              </w:rPr>
            </w:pPr>
            <w:r w:rsidRPr="00DD2C96">
              <w:rPr>
                <w:rFonts w:cs="Calibri"/>
                <w:color w:val="FF0000"/>
              </w:rPr>
              <w:t xml:space="preserve"> </w:t>
            </w:r>
            <w:r w:rsidR="00DD2C96" w:rsidRPr="00DD2C96">
              <w:rPr>
                <w:rFonts w:cs="Calibri"/>
                <w:color w:val="FF0000"/>
              </w:rPr>
              <w:t>($</w:t>
            </w:r>
            <w:r w:rsidRPr="00DD2C96">
              <w:rPr>
                <w:rFonts w:cs="Calibri"/>
                <w:color w:val="FF0000"/>
              </w:rPr>
              <w:t>14,815)</w:t>
            </w:r>
          </w:p>
        </w:tc>
        <w:tc>
          <w:tcPr>
            <w:tcW w:w="1709" w:type="dxa"/>
            <w:tcBorders>
              <w:top w:val="nil"/>
              <w:left w:val="nil"/>
              <w:bottom w:val="nil"/>
              <w:right w:val="single" w:sz="8" w:space="0" w:color="auto"/>
            </w:tcBorders>
            <w:vAlign w:val="center"/>
          </w:tcPr>
          <w:p w14:paraId="12768E7B" w14:textId="77777777" w:rsidR="00812C6B" w:rsidRPr="00DD2C96" w:rsidRDefault="00812C6B" w:rsidP="00B47FF2">
            <w:pPr>
              <w:spacing w:before="0" w:after="0"/>
              <w:jc w:val="right"/>
              <w:rPr>
                <w:color w:val="FF0000"/>
              </w:rPr>
            </w:pPr>
            <w:r w:rsidRPr="00DD2C96">
              <w:rPr>
                <w:rFonts w:cs="Calibri"/>
                <w:color w:val="FF0000"/>
              </w:rPr>
              <w:t xml:space="preserve"> </w:t>
            </w:r>
            <w:r w:rsidR="00DD2C96" w:rsidRPr="00DD2C96">
              <w:rPr>
                <w:rFonts w:cs="Calibri"/>
                <w:color w:val="FF0000"/>
              </w:rPr>
              <w:t>($</w:t>
            </w:r>
            <w:r w:rsidRPr="00DD2C96">
              <w:rPr>
                <w:rFonts w:cs="Calibri"/>
                <w:color w:val="FF0000"/>
              </w:rPr>
              <w:t>16,009)</w:t>
            </w:r>
          </w:p>
        </w:tc>
      </w:tr>
      <w:tr w:rsidR="00A52B69" w14:paraId="719F9CD3" w14:textId="77777777">
        <w:trPr>
          <w:trHeight w:val="375"/>
          <w:jc w:val="center"/>
        </w:trPr>
        <w:tc>
          <w:tcPr>
            <w:tcW w:w="4502" w:type="dxa"/>
            <w:tcBorders>
              <w:top w:val="nil"/>
              <w:left w:val="single" w:sz="8" w:space="0" w:color="auto"/>
              <w:bottom w:val="nil"/>
              <w:right w:val="single" w:sz="8" w:space="0" w:color="auto"/>
            </w:tcBorders>
            <w:shd w:val="clear" w:color="auto" w:fill="auto"/>
            <w:noWrap/>
          </w:tcPr>
          <w:p w14:paraId="0BD2B4A6" w14:textId="77777777" w:rsidR="000E7F32" w:rsidRPr="00E612ED" w:rsidRDefault="000E7F32" w:rsidP="00B47FF2">
            <w:pPr>
              <w:spacing w:before="0" w:after="0"/>
              <w:rPr>
                <w:szCs w:val="26"/>
              </w:rPr>
            </w:pPr>
            <w:r w:rsidRPr="001F5F04">
              <w:rPr>
                <w:szCs w:val="26"/>
              </w:rPr>
              <w:t>201</w:t>
            </w:r>
            <w:r>
              <w:rPr>
                <w:szCs w:val="26"/>
              </w:rPr>
              <w:t>7</w:t>
            </w:r>
            <w:r w:rsidRPr="001F5F04">
              <w:rPr>
                <w:szCs w:val="26"/>
              </w:rPr>
              <w:t xml:space="preserve"> EAR Performance True Up</w:t>
            </w:r>
          </w:p>
        </w:tc>
        <w:tc>
          <w:tcPr>
            <w:tcW w:w="1709" w:type="dxa"/>
            <w:tcBorders>
              <w:top w:val="nil"/>
              <w:left w:val="single" w:sz="8" w:space="0" w:color="auto"/>
              <w:bottom w:val="nil"/>
              <w:right w:val="single" w:sz="8" w:space="0" w:color="auto"/>
            </w:tcBorders>
            <w:shd w:val="clear" w:color="auto" w:fill="auto"/>
            <w:noWrap/>
          </w:tcPr>
          <w:p w14:paraId="2D68F935" w14:textId="77777777" w:rsidR="000E7F32" w:rsidRPr="00541BEA" w:rsidRDefault="000E7F32" w:rsidP="00B47FF2">
            <w:pPr>
              <w:spacing w:before="0" w:after="0"/>
              <w:jc w:val="right"/>
              <w:rPr>
                <w:rFonts w:cs="Calibri"/>
                <w:color w:val="000000"/>
              </w:rPr>
            </w:pPr>
            <w:r w:rsidRPr="00541BEA">
              <w:rPr>
                <w:rFonts w:cs="Calibri"/>
                <w:color w:val="000000"/>
              </w:rPr>
              <w:t>$57,339</w:t>
            </w:r>
          </w:p>
        </w:tc>
        <w:tc>
          <w:tcPr>
            <w:tcW w:w="1709" w:type="dxa"/>
            <w:tcBorders>
              <w:top w:val="nil"/>
              <w:left w:val="nil"/>
              <w:bottom w:val="nil"/>
              <w:right w:val="single" w:sz="8" w:space="0" w:color="auto"/>
            </w:tcBorders>
          </w:tcPr>
          <w:p w14:paraId="2F2D22DF" w14:textId="77777777" w:rsidR="000E7F32" w:rsidRPr="00541BEA" w:rsidRDefault="000E7F32" w:rsidP="00B47FF2">
            <w:pPr>
              <w:spacing w:before="0" w:after="0"/>
              <w:jc w:val="right"/>
              <w:rPr>
                <w:rFonts w:cs="Calibri"/>
                <w:color w:val="000000"/>
              </w:rPr>
            </w:pPr>
            <w:r w:rsidRPr="00541BEA">
              <w:rPr>
                <w:rFonts w:cs="Calibri"/>
                <w:color w:val="000000"/>
              </w:rPr>
              <w:t>$57,</w:t>
            </w:r>
            <w:r w:rsidR="00541BEA" w:rsidRPr="00541BEA">
              <w:rPr>
                <w:rFonts w:cs="Calibri"/>
                <w:color w:val="000000"/>
              </w:rPr>
              <w:t>436</w:t>
            </w:r>
          </w:p>
        </w:tc>
      </w:tr>
      <w:tr w:rsidR="00A52B69" w14:paraId="101E679B" w14:textId="77777777">
        <w:trPr>
          <w:trHeight w:val="375"/>
          <w:jc w:val="center"/>
        </w:trPr>
        <w:tc>
          <w:tcPr>
            <w:tcW w:w="4502" w:type="dxa"/>
            <w:tcBorders>
              <w:top w:val="nil"/>
              <w:left w:val="single" w:sz="8" w:space="0" w:color="auto"/>
              <w:bottom w:val="nil"/>
              <w:right w:val="single" w:sz="8" w:space="0" w:color="auto"/>
            </w:tcBorders>
            <w:shd w:val="clear" w:color="auto" w:fill="auto"/>
            <w:noWrap/>
          </w:tcPr>
          <w:p w14:paraId="1350465D" w14:textId="77777777" w:rsidR="000E7F32" w:rsidRPr="00E612ED" w:rsidRDefault="000E7F32" w:rsidP="00B47FF2">
            <w:pPr>
              <w:spacing w:before="0" w:after="0"/>
              <w:rPr>
                <w:szCs w:val="26"/>
              </w:rPr>
            </w:pPr>
            <w:r w:rsidRPr="001F5F04">
              <w:rPr>
                <w:szCs w:val="26"/>
              </w:rPr>
              <w:t>201</w:t>
            </w:r>
            <w:r>
              <w:rPr>
                <w:szCs w:val="26"/>
              </w:rPr>
              <w:t>7</w:t>
            </w:r>
            <w:r w:rsidRPr="001F5F04">
              <w:rPr>
                <w:szCs w:val="26"/>
              </w:rPr>
              <w:t xml:space="preserve"> Non-Resource True Up</w:t>
            </w:r>
          </w:p>
        </w:tc>
        <w:tc>
          <w:tcPr>
            <w:tcW w:w="1709" w:type="dxa"/>
            <w:tcBorders>
              <w:top w:val="nil"/>
              <w:left w:val="single" w:sz="8" w:space="0" w:color="auto"/>
              <w:bottom w:val="nil"/>
              <w:right w:val="single" w:sz="8" w:space="0" w:color="auto"/>
            </w:tcBorders>
            <w:shd w:val="clear" w:color="auto" w:fill="auto"/>
            <w:noWrap/>
          </w:tcPr>
          <w:p w14:paraId="09A80D12" w14:textId="77777777" w:rsidR="000E7F32" w:rsidRPr="004E3015" w:rsidRDefault="000E7F32" w:rsidP="00B47FF2">
            <w:pPr>
              <w:spacing w:before="0" w:after="0"/>
              <w:jc w:val="right"/>
              <w:rPr>
                <w:rFonts w:cs="Calibri"/>
                <w:color w:val="000000"/>
              </w:rPr>
            </w:pPr>
            <w:r w:rsidRPr="004E3015">
              <w:rPr>
                <w:rFonts w:cs="Calibri"/>
                <w:color w:val="000000"/>
              </w:rPr>
              <w:t>$14,050</w:t>
            </w:r>
          </w:p>
        </w:tc>
        <w:tc>
          <w:tcPr>
            <w:tcW w:w="1709" w:type="dxa"/>
            <w:tcBorders>
              <w:top w:val="nil"/>
              <w:left w:val="nil"/>
              <w:bottom w:val="nil"/>
              <w:right w:val="single" w:sz="8" w:space="0" w:color="auto"/>
            </w:tcBorders>
          </w:tcPr>
          <w:p w14:paraId="0F0A1042" w14:textId="77777777" w:rsidR="000E7F32" w:rsidRPr="004E3015" w:rsidRDefault="000E7F32" w:rsidP="00B47FF2">
            <w:pPr>
              <w:spacing w:before="0" w:after="0"/>
              <w:jc w:val="right"/>
              <w:rPr>
                <w:rFonts w:cs="Calibri"/>
                <w:color w:val="000000"/>
              </w:rPr>
            </w:pPr>
            <w:r w:rsidRPr="004E3015">
              <w:rPr>
                <w:rFonts w:cs="Calibri"/>
                <w:color w:val="000000"/>
              </w:rPr>
              <w:t>$14,050</w:t>
            </w:r>
          </w:p>
        </w:tc>
      </w:tr>
      <w:tr w:rsidR="00A52B69" w14:paraId="1A8AFF03" w14:textId="77777777">
        <w:trPr>
          <w:trHeight w:val="375"/>
          <w:jc w:val="center"/>
        </w:trPr>
        <w:tc>
          <w:tcPr>
            <w:tcW w:w="4502" w:type="dxa"/>
            <w:tcBorders>
              <w:top w:val="nil"/>
              <w:left w:val="single" w:sz="8" w:space="0" w:color="auto"/>
              <w:bottom w:val="nil"/>
              <w:right w:val="single" w:sz="8" w:space="0" w:color="auto"/>
            </w:tcBorders>
            <w:shd w:val="clear" w:color="auto" w:fill="auto"/>
            <w:noWrap/>
          </w:tcPr>
          <w:p w14:paraId="79795E8D" w14:textId="77777777" w:rsidR="00E612ED" w:rsidRPr="001F5F04" w:rsidRDefault="00E612ED" w:rsidP="00B47FF2">
            <w:pPr>
              <w:spacing w:before="0" w:after="0"/>
              <w:rPr>
                <w:szCs w:val="26"/>
              </w:rPr>
            </w:pPr>
            <w:r w:rsidRPr="00E612ED">
              <w:rPr>
                <w:szCs w:val="26"/>
              </w:rPr>
              <w:t>201</w:t>
            </w:r>
            <w:r w:rsidR="004E3015">
              <w:rPr>
                <w:szCs w:val="26"/>
              </w:rPr>
              <w:t>7 Codes &amp; Standards</w:t>
            </w:r>
            <w:r w:rsidRPr="00E612ED">
              <w:rPr>
                <w:szCs w:val="26"/>
              </w:rPr>
              <w:t xml:space="preserve"> True Up</w:t>
            </w:r>
          </w:p>
        </w:tc>
        <w:tc>
          <w:tcPr>
            <w:tcW w:w="1709" w:type="dxa"/>
            <w:tcBorders>
              <w:top w:val="nil"/>
              <w:left w:val="single" w:sz="8" w:space="0" w:color="auto"/>
              <w:bottom w:val="nil"/>
              <w:right w:val="single" w:sz="8" w:space="0" w:color="auto"/>
            </w:tcBorders>
            <w:shd w:val="clear" w:color="auto" w:fill="auto"/>
            <w:noWrap/>
          </w:tcPr>
          <w:p w14:paraId="402D3EBC" w14:textId="77777777" w:rsidR="00E612ED" w:rsidRPr="004E3015" w:rsidRDefault="004E3015" w:rsidP="00B47FF2">
            <w:pPr>
              <w:spacing w:before="0" w:after="0"/>
              <w:jc w:val="right"/>
              <w:rPr>
                <w:rFonts w:cs="Calibri"/>
                <w:color w:val="000000"/>
              </w:rPr>
            </w:pPr>
            <w:r w:rsidRPr="004E3015">
              <w:rPr>
                <w:rFonts w:cs="Calibri"/>
                <w:color w:val="000000"/>
              </w:rPr>
              <w:t>-</w:t>
            </w:r>
          </w:p>
        </w:tc>
        <w:tc>
          <w:tcPr>
            <w:tcW w:w="1709" w:type="dxa"/>
            <w:tcBorders>
              <w:top w:val="nil"/>
              <w:left w:val="nil"/>
              <w:bottom w:val="nil"/>
              <w:right w:val="single" w:sz="8" w:space="0" w:color="auto"/>
            </w:tcBorders>
          </w:tcPr>
          <w:p w14:paraId="22CC8159" w14:textId="77777777" w:rsidR="00E612ED" w:rsidRPr="004E3015" w:rsidRDefault="004E3015" w:rsidP="00B47FF2">
            <w:pPr>
              <w:spacing w:before="0" w:after="0"/>
              <w:jc w:val="right"/>
              <w:rPr>
                <w:rFonts w:cs="Calibri"/>
                <w:color w:val="000000"/>
              </w:rPr>
            </w:pPr>
            <w:r w:rsidRPr="004E3015">
              <w:rPr>
                <w:rFonts w:cs="Calibri"/>
                <w:color w:val="000000"/>
              </w:rPr>
              <w:t>-</w:t>
            </w:r>
          </w:p>
        </w:tc>
      </w:tr>
      <w:tr w:rsidR="00A52B69" w14:paraId="34E7C2E1" w14:textId="77777777">
        <w:trPr>
          <w:trHeight w:val="270"/>
          <w:jc w:val="center"/>
        </w:trPr>
        <w:tc>
          <w:tcPr>
            <w:tcW w:w="4502" w:type="dxa"/>
            <w:tcBorders>
              <w:top w:val="nil"/>
              <w:left w:val="single" w:sz="8" w:space="0" w:color="auto"/>
              <w:bottom w:val="single" w:sz="8" w:space="0" w:color="auto"/>
              <w:right w:val="single" w:sz="8" w:space="0" w:color="auto"/>
            </w:tcBorders>
            <w:shd w:val="clear" w:color="auto" w:fill="auto"/>
            <w:vAlign w:val="center"/>
            <w:hideMark/>
          </w:tcPr>
          <w:p w14:paraId="6165DB19" w14:textId="77777777" w:rsidR="004E3015" w:rsidRPr="001F5F04" w:rsidRDefault="004E3015" w:rsidP="00B47FF2">
            <w:pPr>
              <w:spacing w:before="0" w:after="0"/>
              <w:rPr>
                <w:color w:val="000000"/>
                <w:szCs w:val="26"/>
              </w:rPr>
            </w:pPr>
            <w:r w:rsidRPr="001F5F04">
              <w:rPr>
                <w:color w:val="000000"/>
                <w:szCs w:val="26"/>
              </w:rPr>
              <w:t>2006-2008 RRIM Adjustment</w:t>
            </w:r>
          </w:p>
        </w:tc>
        <w:tc>
          <w:tcPr>
            <w:tcW w:w="1709" w:type="dxa"/>
            <w:tcBorders>
              <w:top w:val="nil"/>
              <w:left w:val="nil"/>
              <w:bottom w:val="single" w:sz="8" w:space="0" w:color="auto"/>
              <w:right w:val="single" w:sz="8" w:space="0" w:color="auto"/>
            </w:tcBorders>
            <w:shd w:val="clear" w:color="auto" w:fill="auto"/>
            <w:noWrap/>
          </w:tcPr>
          <w:p w14:paraId="1B933317" w14:textId="77777777" w:rsidR="004E3015" w:rsidRPr="00DD2C96" w:rsidRDefault="004E3015" w:rsidP="00B47FF2">
            <w:pPr>
              <w:spacing w:before="0" w:after="0"/>
              <w:jc w:val="right"/>
              <w:rPr>
                <w:rFonts w:cs="Calibri"/>
                <w:color w:val="FF0000"/>
              </w:rPr>
            </w:pPr>
            <w:r w:rsidRPr="00DD2C96">
              <w:rPr>
                <w:rFonts w:cs="Calibri"/>
                <w:color w:val="FF0000"/>
              </w:rPr>
              <w:t>($1,376,910)</w:t>
            </w:r>
          </w:p>
        </w:tc>
        <w:tc>
          <w:tcPr>
            <w:tcW w:w="1709" w:type="dxa"/>
            <w:tcBorders>
              <w:top w:val="nil"/>
              <w:left w:val="nil"/>
              <w:bottom w:val="single" w:sz="8" w:space="0" w:color="auto"/>
              <w:right w:val="single" w:sz="8" w:space="0" w:color="auto"/>
            </w:tcBorders>
          </w:tcPr>
          <w:p w14:paraId="791BA722" w14:textId="77777777" w:rsidR="004E3015" w:rsidRPr="00DD2C96" w:rsidRDefault="004E3015" w:rsidP="00B47FF2">
            <w:pPr>
              <w:spacing w:before="0" w:after="0"/>
              <w:jc w:val="right"/>
              <w:rPr>
                <w:rFonts w:cs="Calibri"/>
                <w:color w:val="FF0000"/>
              </w:rPr>
            </w:pPr>
            <w:r w:rsidRPr="00DD2C96">
              <w:rPr>
                <w:rFonts w:cs="Calibri"/>
                <w:color w:val="FF0000"/>
              </w:rPr>
              <w:t>($1,376,910)</w:t>
            </w:r>
          </w:p>
        </w:tc>
      </w:tr>
    </w:tbl>
    <w:p w14:paraId="3A2C1192" w14:textId="77777777" w:rsidR="004E3015" w:rsidRDefault="00515AC4" w:rsidP="00B47FF2">
      <w:pPr>
        <w:spacing w:before="240"/>
        <w:jc w:val="both"/>
        <w:rPr>
          <w:szCs w:val="26"/>
        </w:rPr>
      </w:pPr>
      <w:r w:rsidRPr="00515AC4">
        <w:rPr>
          <w:szCs w:val="26"/>
        </w:rPr>
        <w:t>The 2016 ex-ante savings true up results from a correction to the award granted in Resolution E-4897, shown in Appendix A of the Energy Division’s Final 2018 ESPI Performance Statement Report.</w:t>
      </w:r>
      <w:r w:rsidR="00A4376A">
        <w:rPr>
          <w:rStyle w:val="FootnoteReference"/>
          <w:szCs w:val="26"/>
        </w:rPr>
        <w:footnoteReference w:id="45"/>
      </w:r>
    </w:p>
    <w:p w14:paraId="47AAF417" w14:textId="77777777" w:rsidR="0014199A" w:rsidRDefault="0014199A" w:rsidP="00B47FF2">
      <w:pPr>
        <w:jc w:val="both"/>
        <w:rPr>
          <w:szCs w:val="26"/>
        </w:rPr>
      </w:pPr>
      <w:r w:rsidRPr="00C966CB">
        <w:rPr>
          <w:szCs w:val="26"/>
        </w:rPr>
        <w:t xml:space="preserve">The 2016 true ups include PG&amp;E’s </w:t>
      </w:r>
      <w:r w:rsidR="00E437BD">
        <w:rPr>
          <w:szCs w:val="26"/>
        </w:rPr>
        <w:t>w</w:t>
      </w:r>
      <w:r>
        <w:rPr>
          <w:szCs w:val="26"/>
        </w:rPr>
        <w:t xml:space="preserve">eighted </w:t>
      </w:r>
      <w:r w:rsidR="00E437BD">
        <w:rPr>
          <w:szCs w:val="26"/>
        </w:rPr>
        <w:t>a</w:t>
      </w:r>
      <w:r>
        <w:rPr>
          <w:szCs w:val="26"/>
        </w:rPr>
        <w:t xml:space="preserve">verage </w:t>
      </w:r>
      <w:r w:rsidR="00E437BD">
        <w:rPr>
          <w:szCs w:val="26"/>
        </w:rPr>
        <w:t>c</w:t>
      </w:r>
      <w:r>
        <w:rPr>
          <w:szCs w:val="26"/>
        </w:rPr>
        <w:t xml:space="preserve">ost of </w:t>
      </w:r>
      <w:r w:rsidR="00E437BD">
        <w:rPr>
          <w:szCs w:val="26"/>
        </w:rPr>
        <w:t>c</w:t>
      </w:r>
      <w:r>
        <w:rPr>
          <w:szCs w:val="26"/>
        </w:rPr>
        <w:t>apital.</w:t>
      </w:r>
    </w:p>
    <w:p w14:paraId="0462FF55" w14:textId="77777777" w:rsidR="00D53875" w:rsidRDefault="008A096D" w:rsidP="00B47FF2">
      <w:pPr>
        <w:jc w:val="both"/>
        <w:rPr>
          <w:szCs w:val="26"/>
        </w:rPr>
      </w:pPr>
      <w:r>
        <w:rPr>
          <w:szCs w:val="26"/>
        </w:rPr>
        <w:t>PG&amp;E proposed a true up to their 2017 EAR Performance Expenditures and their 2017 Non-Resource Expenditures based on finding 1 in the UAFCB report. Finding 1 stated that PG&amp;E incorrectly recorded $3,296,123 in PY2016 prepaid expenditures belonging to 2017</w:t>
      </w:r>
      <w:r w:rsidR="006C268E">
        <w:rPr>
          <w:szCs w:val="26"/>
        </w:rPr>
        <w:t xml:space="preserve">. </w:t>
      </w:r>
      <w:r>
        <w:rPr>
          <w:szCs w:val="26"/>
        </w:rPr>
        <w:t>The Commission approves this adjustment.</w:t>
      </w:r>
      <w:r w:rsidRPr="008A096D" w:rsidDel="00F47ACF">
        <w:rPr>
          <w:szCs w:val="26"/>
        </w:rPr>
        <w:t xml:space="preserve"> </w:t>
      </w:r>
      <w:r w:rsidR="009B1E62">
        <w:rPr>
          <w:szCs w:val="26"/>
        </w:rPr>
        <w:t>PG&amp;E’s 2017 EAR Performance true up used the weighted EAR performance score.</w:t>
      </w:r>
    </w:p>
    <w:p w14:paraId="64EA25B6" w14:textId="3C90A27A" w:rsidR="008A096D" w:rsidRDefault="00D53875" w:rsidP="00B47FF2">
      <w:pPr>
        <w:jc w:val="both"/>
        <w:rPr>
          <w:szCs w:val="26"/>
        </w:rPr>
      </w:pPr>
      <w:r w:rsidRPr="004E3015">
        <w:rPr>
          <w:szCs w:val="26"/>
        </w:rPr>
        <w:t>With this year’s RRIM adjustment of $1,376,910, PG&amp;E completes the payment of their RRIM settlement amount that they started in Resolutions E-4807 and E-4897.</w:t>
      </w:r>
      <w:bookmarkStart w:id="62" w:name="_Hlk8379136"/>
    </w:p>
    <w:p w14:paraId="13B5E888" w14:textId="742389FD" w:rsidR="004E330C" w:rsidRDefault="004E330C" w:rsidP="00B47FF2">
      <w:pPr>
        <w:jc w:val="both"/>
        <w:rPr>
          <w:szCs w:val="26"/>
        </w:rPr>
      </w:pPr>
    </w:p>
    <w:p w14:paraId="1271A30D" w14:textId="7DA9B24D" w:rsidR="004E330C" w:rsidRDefault="004E330C" w:rsidP="00B47FF2">
      <w:pPr>
        <w:jc w:val="both"/>
        <w:rPr>
          <w:szCs w:val="26"/>
        </w:rPr>
      </w:pPr>
    </w:p>
    <w:p w14:paraId="722A1E5E" w14:textId="54DBF9A7" w:rsidR="004E330C" w:rsidRDefault="004E330C" w:rsidP="00B47FF2">
      <w:pPr>
        <w:jc w:val="both"/>
        <w:rPr>
          <w:szCs w:val="26"/>
        </w:rPr>
      </w:pPr>
    </w:p>
    <w:p w14:paraId="16055F1A" w14:textId="77777777" w:rsidR="004E330C" w:rsidRDefault="004E330C" w:rsidP="00B47FF2">
      <w:pPr>
        <w:jc w:val="both"/>
        <w:rPr>
          <w:szCs w:val="26"/>
        </w:rPr>
      </w:pPr>
    </w:p>
    <w:p w14:paraId="05B59C0D" w14:textId="77777777" w:rsidR="005807B4" w:rsidRDefault="005807B4" w:rsidP="00B47FF2">
      <w:pPr>
        <w:jc w:val="both"/>
        <w:rPr>
          <w:szCs w:val="26"/>
        </w:rPr>
      </w:pPr>
      <w:r>
        <w:rPr>
          <w:szCs w:val="26"/>
        </w:rPr>
        <w:lastRenderedPageBreak/>
        <w:t>PG&amp;</w:t>
      </w:r>
      <w:r w:rsidRPr="00B24C75">
        <w:rPr>
          <w:szCs w:val="26"/>
        </w:rPr>
        <w:t xml:space="preserve">E’s </w:t>
      </w:r>
      <w:r>
        <w:rPr>
          <w:szCs w:val="26"/>
        </w:rPr>
        <w:t xml:space="preserve">final </w:t>
      </w:r>
      <w:r w:rsidRPr="00B24C75">
        <w:rPr>
          <w:szCs w:val="26"/>
        </w:rPr>
        <w:t>201</w:t>
      </w:r>
      <w:r>
        <w:rPr>
          <w:szCs w:val="26"/>
        </w:rPr>
        <w:t>8</w:t>
      </w:r>
      <w:r w:rsidRPr="00B24C75">
        <w:rPr>
          <w:szCs w:val="26"/>
        </w:rPr>
        <w:t xml:space="preserve"> award values including all adjustments</w:t>
      </w:r>
      <w:r>
        <w:rPr>
          <w:szCs w:val="26"/>
        </w:rPr>
        <w:t xml:space="preserve"> are shown below:</w:t>
      </w:r>
      <w:bookmarkEnd w:id="62"/>
    </w:p>
    <w:tbl>
      <w:tblPr>
        <w:tblW w:w="7928" w:type="dxa"/>
        <w:jc w:val="center"/>
        <w:tblBorders>
          <w:top w:val="single" w:sz="8" w:space="0" w:color="auto"/>
          <w:left w:val="single" w:sz="8" w:space="0" w:color="auto"/>
          <w:bottom w:val="single" w:sz="8" w:space="0" w:color="auto"/>
          <w:right w:val="single" w:sz="8" w:space="0" w:color="auto"/>
          <w:insideH w:val="dotted" w:sz="4" w:space="0" w:color="auto"/>
          <w:insideV w:val="single" w:sz="8" w:space="0" w:color="auto"/>
        </w:tblBorders>
        <w:tblLayout w:type="fixed"/>
        <w:tblLook w:val="04A0" w:firstRow="1" w:lastRow="0" w:firstColumn="1" w:lastColumn="0" w:noHBand="0" w:noVBand="1"/>
      </w:tblPr>
      <w:tblGrid>
        <w:gridCol w:w="4050"/>
        <w:gridCol w:w="1939"/>
        <w:gridCol w:w="1939"/>
      </w:tblGrid>
      <w:tr w:rsidR="00A52B69" w14:paraId="0DE8760F" w14:textId="77777777">
        <w:trPr>
          <w:trHeight w:val="486"/>
          <w:tblHeader/>
          <w:jc w:val="center"/>
        </w:trPr>
        <w:tc>
          <w:tcPr>
            <w:tcW w:w="7928" w:type="dxa"/>
            <w:gridSpan w:val="3"/>
            <w:tcBorders>
              <w:top w:val="nil"/>
              <w:left w:val="nil"/>
              <w:bottom w:val="single" w:sz="8" w:space="0" w:color="auto"/>
              <w:right w:val="nil"/>
            </w:tcBorders>
            <w:shd w:val="clear" w:color="auto" w:fill="auto"/>
            <w:vAlign w:val="center"/>
          </w:tcPr>
          <w:p w14:paraId="2330458A" w14:textId="77777777" w:rsidR="007D603E" w:rsidRPr="0015526B" w:rsidRDefault="007D603E" w:rsidP="00B47FF2">
            <w:pPr>
              <w:pStyle w:val="Caption"/>
              <w:spacing w:before="0" w:after="0" w:line="240" w:lineRule="auto"/>
              <w:jc w:val="center"/>
              <w:rPr>
                <w:b w:val="0"/>
                <w:sz w:val="26"/>
                <w:szCs w:val="26"/>
              </w:rPr>
            </w:pPr>
            <w:r w:rsidRPr="00440A46">
              <w:rPr>
                <w:b w:val="0"/>
                <w:szCs w:val="26"/>
              </w:rPr>
              <w:t>Table</w:t>
            </w:r>
            <w:r w:rsidR="0038256F">
              <w:rPr>
                <w:b w:val="0"/>
                <w:szCs w:val="26"/>
              </w:rPr>
              <w:t xml:space="preserve"> 13</w:t>
            </w:r>
            <w:r w:rsidRPr="00440A46">
              <w:rPr>
                <w:b w:val="0"/>
                <w:szCs w:val="26"/>
              </w:rPr>
              <w:t>: PG&amp;E 2018 ESPI Awards</w:t>
            </w:r>
          </w:p>
        </w:tc>
      </w:tr>
      <w:tr w:rsidR="00A52B69" w14:paraId="739D5707" w14:textId="77777777">
        <w:trPr>
          <w:trHeight w:val="250"/>
          <w:tblHeader/>
          <w:jc w:val="center"/>
        </w:trPr>
        <w:tc>
          <w:tcPr>
            <w:tcW w:w="4050" w:type="dxa"/>
            <w:tcBorders>
              <w:top w:val="single" w:sz="8" w:space="0" w:color="auto"/>
              <w:bottom w:val="single" w:sz="4" w:space="0" w:color="auto"/>
              <w:right w:val="single" w:sz="8" w:space="0" w:color="auto"/>
            </w:tcBorders>
            <w:shd w:val="clear" w:color="auto" w:fill="auto"/>
            <w:vAlign w:val="center"/>
            <w:hideMark/>
          </w:tcPr>
          <w:p w14:paraId="2A05D665" w14:textId="77777777" w:rsidR="007D603E" w:rsidRPr="0032525B" w:rsidRDefault="007D603E" w:rsidP="00B47FF2">
            <w:pPr>
              <w:spacing w:before="60" w:after="60"/>
              <w:jc w:val="center"/>
              <w:rPr>
                <w:b/>
                <w:bCs/>
                <w:color w:val="000000"/>
              </w:rPr>
            </w:pPr>
            <w:r w:rsidRPr="0032525B">
              <w:rPr>
                <w:b/>
                <w:bCs/>
                <w:color w:val="000000"/>
              </w:rPr>
              <w:t>Component</w:t>
            </w:r>
          </w:p>
        </w:tc>
        <w:tc>
          <w:tcPr>
            <w:tcW w:w="193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CFEBC54" w14:textId="77777777" w:rsidR="007D603E" w:rsidRPr="0032525B" w:rsidRDefault="007D603E" w:rsidP="00B47FF2">
            <w:pPr>
              <w:spacing w:before="60" w:after="60"/>
              <w:jc w:val="center"/>
              <w:rPr>
                <w:b/>
                <w:bCs/>
                <w:color w:val="000000"/>
              </w:rPr>
            </w:pPr>
            <w:r w:rsidRPr="0032525B">
              <w:rPr>
                <w:b/>
                <w:bCs/>
                <w:color w:val="000000"/>
              </w:rPr>
              <w:t>Request</w:t>
            </w:r>
            <w:r>
              <w:rPr>
                <w:b/>
                <w:bCs/>
                <w:color w:val="000000"/>
              </w:rPr>
              <w:t>ed</w:t>
            </w:r>
          </w:p>
        </w:tc>
        <w:tc>
          <w:tcPr>
            <w:tcW w:w="1939" w:type="dxa"/>
            <w:tcBorders>
              <w:top w:val="single" w:sz="8" w:space="0" w:color="auto"/>
              <w:left w:val="single" w:sz="8" w:space="0" w:color="auto"/>
              <w:bottom w:val="single" w:sz="4" w:space="0" w:color="auto"/>
            </w:tcBorders>
            <w:shd w:val="clear" w:color="auto" w:fill="auto"/>
            <w:vAlign w:val="center"/>
            <w:hideMark/>
          </w:tcPr>
          <w:p w14:paraId="138BC1FA" w14:textId="77777777" w:rsidR="007D603E" w:rsidRPr="0032525B" w:rsidRDefault="007D603E" w:rsidP="00B47FF2">
            <w:pPr>
              <w:spacing w:before="60" w:after="60"/>
              <w:jc w:val="center"/>
              <w:rPr>
                <w:b/>
                <w:bCs/>
                <w:color w:val="000000"/>
              </w:rPr>
            </w:pPr>
            <w:r>
              <w:rPr>
                <w:b/>
                <w:bCs/>
                <w:color w:val="000000"/>
              </w:rPr>
              <w:t>Approved</w:t>
            </w:r>
          </w:p>
        </w:tc>
      </w:tr>
      <w:tr w:rsidR="00A52B69" w14:paraId="6ADEA31A" w14:textId="77777777">
        <w:trPr>
          <w:trHeight w:val="300"/>
          <w:jc w:val="center"/>
        </w:trPr>
        <w:tc>
          <w:tcPr>
            <w:tcW w:w="4050" w:type="dxa"/>
            <w:tcBorders>
              <w:top w:val="single" w:sz="4" w:space="0" w:color="auto"/>
              <w:left w:val="single" w:sz="4" w:space="0" w:color="auto"/>
              <w:bottom w:val="nil"/>
              <w:right w:val="single" w:sz="4" w:space="0" w:color="auto"/>
            </w:tcBorders>
            <w:shd w:val="clear" w:color="auto" w:fill="auto"/>
            <w:vAlign w:val="center"/>
            <w:hideMark/>
          </w:tcPr>
          <w:p w14:paraId="7620A51F" w14:textId="77777777" w:rsidR="007D603E" w:rsidRPr="007174DE" w:rsidRDefault="007D603E" w:rsidP="00B47FF2">
            <w:pPr>
              <w:spacing w:before="0" w:after="0"/>
              <w:rPr>
                <w:color w:val="000000"/>
                <w:szCs w:val="26"/>
              </w:rPr>
            </w:pPr>
            <w:r w:rsidRPr="007174DE">
              <w:rPr>
                <w:color w:val="000000"/>
                <w:szCs w:val="26"/>
              </w:rPr>
              <w:t xml:space="preserve">2016 Ex-Post Savings </w:t>
            </w:r>
          </w:p>
        </w:tc>
        <w:tc>
          <w:tcPr>
            <w:tcW w:w="1939" w:type="dxa"/>
            <w:tcBorders>
              <w:top w:val="single" w:sz="4" w:space="0" w:color="auto"/>
              <w:left w:val="single" w:sz="4" w:space="0" w:color="auto"/>
              <w:bottom w:val="nil"/>
              <w:right w:val="single" w:sz="4" w:space="0" w:color="auto"/>
            </w:tcBorders>
            <w:shd w:val="clear" w:color="auto" w:fill="auto"/>
            <w:noWrap/>
            <w:vAlign w:val="center"/>
          </w:tcPr>
          <w:p w14:paraId="5D6B8095" w14:textId="77777777" w:rsidR="007D603E" w:rsidRPr="001F5F04" w:rsidRDefault="007D603E" w:rsidP="00B47FF2">
            <w:pPr>
              <w:spacing w:before="0" w:after="0"/>
              <w:ind w:firstLineChars="100" w:firstLine="240"/>
              <w:jc w:val="right"/>
              <w:rPr>
                <w:color w:val="000000"/>
                <w:szCs w:val="26"/>
              </w:rPr>
            </w:pPr>
            <w:r>
              <w:rPr>
                <w:color w:val="000000"/>
                <w:szCs w:val="26"/>
              </w:rPr>
              <w:t>$</w:t>
            </w:r>
            <w:r w:rsidRPr="0039308C">
              <w:rPr>
                <w:color w:val="000000"/>
                <w:szCs w:val="26"/>
              </w:rPr>
              <w:t>4,667,189</w:t>
            </w:r>
          </w:p>
        </w:tc>
        <w:tc>
          <w:tcPr>
            <w:tcW w:w="1939" w:type="dxa"/>
            <w:tcBorders>
              <w:top w:val="single" w:sz="4" w:space="0" w:color="auto"/>
              <w:left w:val="single" w:sz="4" w:space="0" w:color="auto"/>
              <w:bottom w:val="nil"/>
              <w:right w:val="single" w:sz="4" w:space="0" w:color="auto"/>
            </w:tcBorders>
            <w:shd w:val="clear" w:color="auto" w:fill="auto"/>
            <w:noWrap/>
            <w:vAlign w:val="center"/>
          </w:tcPr>
          <w:p w14:paraId="0030CABF" w14:textId="77777777" w:rsidR="007D603E" w:rsidRPr="001F5F04" w:rsidRDefault="007D603E" w:rsidP="00B47FF2">
            <w:pPr>
              <w:spacing w:before="0" w:after="0"/>
              <w:ind w:firstLineChars="100" w:firstLine="240"/>
              <w:jc w:val="right"/>
              <w:rPr>
                <w:color w:val="000000"/>
                <w:szCs w:val="26"/>
              </w:rPr>
            </w:pPr>
            <w:r>
              <w:rPr>
                <w:color w:val="000000"/>
                <w:szCs w:val="26"/>
              </w:rPr>
              <w:t>$</w:t>
            </w:r>
            <w:r w:rsidRPr="0039308C">
              <w:rPr>
                <w:color w:val="000000"/>
                <w:szCs w:val="26"/>
              </w:rPr>
              <w:t>4,667,189</w:t>
            </w:r>
          </w:p>
        </w:tc>
      </w:tr>
      <w:tr w:rsidR="00A52B69" w14:paraId="3D3C3471" w14:textId="77777777">
        <w:trPr>
          <w:trHeight w:val="300"/>
          <w:jc w:val="center"/>
        </w:trPr>
        <w:tc>
          <w:tcPr>
            <w:tcW w:w="4050" w:type="dxa"/>
            <w:tcBorders>
              <w:top w:val="nil"/>
              <w:left w:val="single" w:sz="4" w:space="0" w:color="auto"/>
              <w:bottom w:val="nil"/>
              <w:right w:val="single" w:sz="4" w:space="0" w:color="auto"/>
            </w:tcBorders>
            <w:shd w:val="clear" w:color="auto" w:fill="auto"/>
            <w:vAlign w:val="center"/>
            <w:hideMark/>
          </w:tcPr>
          <w:p w14:paraId="7A24129B" w14:textId="77777777" w:rsidR="007D603E" w:rsidRPr="007174DE" w:rsidRDefault="007D603E" w:rsidP="00B47FF2">
            <w:pPr>
              <w:spacing w:before="0" w:after="0"/>
              <w:rPr>
                <w:color w:val="000000"/>
                <w:szCs w:val="26"/>
              </w:rPr>
            </w:pPr>
            <w:r w:rsidRPr="007174DE">
              <w:rPr>
                <w:color w:val="000000"/>
                <w:szCs w:val="26"/>
              </w:rPr>
              <w:t xml:space="preserve">2017 Ex-Ante Savings </w:t>
            </w:r>
          </w:p>
        </w:tc>
        <w:tc>
          <w:tcPr>
            <w:tcW w:w="1939" w:type="dxa"/>
            <w:tcBorders>
              <w:top w:val="nil"/>
              <w:left w:val="single" w:sz="4" w:space="0" w:color="auto"/>
              <w:bottom w:val="nil"/>
              <w:right w:val="single" w:sz="4" w:space="0" w:color="auto"/>
            </w:tcBorders>
            <w:shd w:val="clear" w:color="auto" w:fill="auto"/>
            <w:noWrap/>
            <w:vAlign w:val="center"/>
          </w:tcPr>
          <w:p w14:paraId="54EABDC4" w14:textId="77777777" w:rsidR="007D603E" w:rsidRPr="001F5F04" w:rsidRDefault="007D603E" w:rsidP="00B47FF2">
            <w:pPr>
              <w:spacing w:before="0" w:after="0"/>
              <w:ind w:firstLineChars="100" w:firstLine="240"/>
              <w:jc w:val="right"/>
              <w:rPr>
                <w:color w:val="000000"/>
                <w:szCs w:val="26"/>
              </w:rPr>
            </w:pPr>
            <w:r>
              <w:rPr>
                <w:color w:val="000000"/>
                <w:szCs w:val="26"/>
              </w:rPr>
              <w:t>$</w:t>
            </w:r>
            <w:r w:rsidRPr="0039308C">
              <w:rPr>
                <w:color w:val="000000"/>
                <w:szCs w:val="26"/>
              </w:rPr>
              <w:t>1,708,917</w:t>
            </w:r>
          </w:p>
        </w:tc>
        <w:tc>
          <w:tcPr>
            <w:tcW w:w="1939" w:type="dxa"/>
            <w:tcBorders>
              <w:top w:val="nil"/>
              <w:left w:val="single" w:sz="4" w:space="0" w:color="auto"/>
              <w:bottom w:val="nil"/>
              <w:right w:val="single" w:sz="4" w:space="0" w:color="auto"/>
            </w:tcBorders>
            <w:shd w:val="clear" w:color="auto" w:fill="auto"/>
            <w:noWrap/>
            <w:vAlign w:val="center"/>
          </w:tcPr>
          <w:p w14:paraId="4C7EF2FA" w14:textId="77777777" w:rsidR="007D603E" w:rsidRPr="001F5F04" w:rsidRDefault="007D603E" w:rsidP="00B47FF2">
            <w:pPr>
              <w:spacing w:before="0" w:after="0"/>
              <w:ind w:firstLineChars="100" w:firstLine="240"/>
              <w:jc w:val="right"/>
              <w:rPr>
                <w:color w:val="000000"/>
                <w:szCs w:val="26"/>
              </w:rPr>
            </w:pPr>
            <w:r>
              <w:rPr>
                <w:color w:val="000000"/>
                <w:szCs w:val="26"/>
              </w:rPr>
              <w:t>$</w:t>
            </w:r>
            <w:r w:rsidRPr="0039308C">
              <w:rPr>
                <w:color w:val="000000"/>
                <w:szCs w:val="26"/>
              </w:rPr>
              <w:t>1,708,917</w:t>
            </w:r>
          </w:p>
        </w:tc>
      </w:tr>
      <w:tr w:rsidR="00A52B69" w14:paraId="35945E0B" w14:textId="77777777">
        <w:trPr>
          <w:trHeight w:val="300"/>
          <w:jc w:val="center"/>
        </w:trPr>
        <w:tc>
          <w:tcPr>
            <w:tcW w:w="4050" w:type="dxa"/>
            <w:tcBorders>
              <w:top w:val="nil"/>
              <w:left w:val="single" w:sz="4" w:space="0" w:color="auto"/>
              <w:bottom w:val="nil"/>
              <w:right w:val="single" w:sz="4" w:space="0" w:color="auto"/>
            </w:tcBorders>
            <w:shd w:val="clear" w:color="auto" w:fill="auto"/>
            <w:vAlign w:val="center"/>
            <w:hideMark/>
          </w:tcPr>
          <w:p w14:paraId="49B4A1CD" w14:textId="77777777" w:rsidR="007D603E" w:rsidRPr="007174DE" w:rsidRDefault="007174DE" w:rsidP="00B47FF2">
            <w:pPr>
              <w:spacing w:before="0" w:after="0"/>
              <w:rPr>
                <w:color w:val="000000"/>
                <w:szCs w:val="26"/>
              </w:rPr>
            </w:pPr>
            <w:r w:rsidRPr="007174DE">
              <w:rPr>
                <w:color w:val="000000"/>
                <w:szCs w:val="26"/>
              </w:rPr>
              <w:t>20</w:t>
            </w:r>
            <w:r w:rsidR="007D603E" w:rsidRPr="007174DE">
              <w:rPr>
                <w:color w:val="000000"/>
                <w:szCs w:val="26"/>
              </w:rPr>
              <w:t xml:space="preserve">17 Ex-Ante Review Performance </w:t>
            </w:r>
          </w:p>
        </w:tc>
        <w:tc>
          <w:tcPr>
            <w:tcW w:w="1939" w:type="dxa"/>
            <w:tcBorders>
              <w:top w:val="nil"/>
              <w:left w:val="single" w:sz="4" w:space="0" w:color="auto"/>
              <w:bottom w:val="nil"/>
              <w:right w:val="single" w:sz="4" w:space="0" w:color="auto"/>
            </w:tcBorders>
            <w:shd w:val="clear" w:color="auto" w:fill="auto"/>
            <w:noWrap/>
            <w:vAlign w:val="center"/>
          </w:tcPr>
          <w:p w14:paraId="31B00BA4" w14:textId="77777777" w:rsidR="007D603E" w:rsidRPr="001F5F04" w:rsidRDefault="007D603E" w:rsidP="00B47FF2">
            <w:pPr>
              <w:spacing w:before="0" w:after="0"/>
              <w:ind w:firstLineChars="100" w:firstLine="240"/>
              <w:jc w:val="right"/>
              <w:rPr>
                <w:color w:val="000000"/>
                <w:szCs w:val="26"/>
              </w:rPr>
            </w:pPr>
            <w:r>
              <w:rPr>
                <w:color w:val="000000"/>
                <w:szCs w:val="26"/>
              </w:rPr>
              <w:t>$</w:t>
            </w:r>
            <w:r w:rsidRPr="00991C79">
              <w:rPr>
                <w:color w:val="000000"/>
                <w:szCs w:val="26"/>
              </w:rPr>
              <w:t>4,695,641</w:t>
            </w:r>
          </w:p>
        </w:tc>
        <w:tc>
          <w:tcPr>
            <w:tcW w:w="1939" w:type="dxa"/>
            <w:tcBorders>
              <w:top w:val="nil"/>
              <w:left w:val="single" w:sz="4" w:space="0" w:color="auto"/>
              <w:bottom w:val="nil"/>
              <w:right w:val="single" w:sz="4" w:space="0" w:color="auto"/>
            </w:tcBorders>
            <w:shd w:val="clear" w:color="auto" w:fill="auto"/>
            <w:noWrap/>
            <w:vAlign w:val="center"/>
          </w:tcPr>
          <w:p w14:paraId="49BB6812" w14:textId="77777777" w:rsidR="007D603E" w:rsidRPr="009B1E62" w:rsidRDefault="00891D9C" w:rsidP="00B47FF2">
            <w:pPr>
              <w:spacing w:before="0" w:after="0"/>
              <w:ind w:firstLineChars="100" w:firstLine="240"/>
              <w:jc w:val="right"/>
              <w:rPr>
                <w:color w:val="000000"/>
                <w:szCs w:val="26"/>
              </w:rPr>
            </w:pPr>
            <w:r w:rsidRPr="009B1E62">
              <w:rPr>
                <w:color w:val="000000"/>
                <w:szCs w:val="26"/>
              </w:rPr>
              <w:t>$4,58</w:t>
            </w:r>
            <w:r w:rsidR="009B1E62" w:rsidRPr="009B1E62">
              <w:rPr>
                <w:color w:val="000000"/>
                <w:szCs w:val="26"/>
              </w:rPr>
              <w:t>9,853</w:t>
            </w:r>
          </w:p>
        </w:tc>
      </w:tr>
      <w:tr w:rsidR="00A52B69" w14:paraId="380CBF7E" w14:textId="77777777">
        <w:trPr>
          <w:trHeight w:val="390"/>
          <w:jc w:val="center"/>
        </w:trPr>
        <w:tc>
          <w:tcPr>
            <w:tcW w:w="4050" w:type="dxa"/>
            <w:tcBorders>
              <w:top w:val="nil"/>
              <w:left w:val="single" w:sz="4" w:space="0" w:color="auto"/>
              <w:bottom w:val="nil"/>
              <w:right w:val="single" w:sz="4" w:space="0" w:color="auto"/>
            </w:tcBorders>
            <w:shd w:val="clear" w:color="auto" w:fill="auto"/>
            <w:vAlign w:val="center"/>
            <w:hideMark/>
          </w:tcPr>
          <w:p w14:paraId="17E8AE3B" w14:textId="77777777" w:rsidR="007D603E" w:rsidRPr="007174DE" w:rsidRDefault="007D603E" w:rsidP="00B47FF2">
            <w:pPr>
              <w:spacing w:before="0" w:after="0"/>
              <w:rPr>
                <w:color w:val="000000"/>
                <w:szCs w:val="26"/>
              </w:rPr>
            </w:pPr>
            <w:r w:rsidRPr="007174DE">
              <w:rPr>
                <w:color w:val="000000"/>
                <w:szCs w:val="26"/>
              </w:rPr>
              <w:t xml:space="preserve">2017 Codes &amp; Standards </w:t>
            </w:r>
          </w:p>
        </w:tc>
        <w:tc>
          <w:tcPr>
            <w:tcW w:w="1939" w:type="dxa"/>
            <w:tcBorders>
              <w:top w:val="nil"/>
              <w:left w:val="single" w:sz="4" w:space="0" w:color="auto"/>
              <w:bottom w:val="nil"/>
              <w:right w:val="single" w:sz="4" w:space="0" w:color="auto"/>
            </w:tcBorders>
            <w:shd w:val="clear" w:color="auto" w:fill="auto"/>
            <w:noWrap/>
            <w:vAlign w:val="center"/>
          </w:tcPr>
          <w:p w14:paraId="5470C5EE" w14:textId="77777777" w:rsidR="007D603E" w:rsidRPr="001F5F04" w:rsidRDefault="007D603E" w:rsidP="00B47FF2">
            <w:pPr>
              <w:spacing w:before="0" w:after="0"/>
              <w:ind w:firstLineChars="100" w:firstLine="240"/>
              <w:jc w:val="right"/>
              <w:rPr>
                <w:color w:val="000000"/>
                <w:szCs w:val="26"/>
              </w:rPr>
            </w:pPr>
            <w:r>
              <w:rPr>
                <w:color w:val="000000"/>
                <w:szCs w:val="26"/>
              </w:rPr>
              <w:t>$</w:t>
            </w:r>
            <w:r w:rsidRPr="00991C79">
              <w:rPr>
                <w:color w:val="000000"/>
                <w:szCs w:val="26"/>
              </w:rPr>
              <w:t>1,839,268</w:t>
            </w:r>
          </w:p>
        </w:tc>
        <w:tc>
          <w:tcPr>
            <w:tcW w:w="1939" w:type="dxa"/>
            <w:tcBorders>
              <w:top w:val="nil"/>
              <w:left w:val="single" w:sz="4" w:space="0" w:color="auto"/>
              <w:bottom w:val="nil"/>
              <w:right w:val="single" w:sz="4" w:space="0" w:color="auto"/>
            </w:tcBorders>
            <w:shd w:val="clear" w:color="auto" w:fill="auto"/>
            <w:noWrap/>
            <w:vAlign w:val="center"/>
          </w:tcPr>
          <w:p w14:paraId="056613A8" w14:textId="77777777" w:rsidR="007D603E" w:rsidRPr="00991C79" w:rsidRDefault="007D603E" w:rsidP="00B47FF2">
            <w:pPr>
              <w:spacing w:before="0" w:after="0"/>
              <w:ind w:firstLineChars="100" w:firstLine="240"/>
              <w:jc w:val="right"/>
              <w:rPr>
                <w:color w:val="000000"/>
                <w:szCs w:val="26"/>
              </w:rPr>
            </w:pPr>
            <w:r w:rsidRPr="00991C79">
              <w:rPr>
                <w:color w:val="000000"/>
                <w:szCs w:val="26"/>
              </w:rPr>
              <w:t xml:space="preserve"> $1,839,268 </w:t>
            </w:r>
          </w:p>
        </w:tc>
      </w:tr>
      <w:tr w:rsidR="00A52B69" w14:paraId="230E795A" w14:textId="77777777">
        <w:trPr>
          <w:trHeight w:val="300"/>
          <w:jc w:val="center"/>
        </w:trPr>
        <w:tc>
          <w:tcPr>
            <w:tcW w:w="4050" w:type="dxa"/>
            <w:tcBorders>
              <w:top w:val="nil"/>
              <w:left w:val="single" w:sz="4" w:space="0" w:color="auto"/>
              <w:bottom w:val="nil"/>
              <w:right w:val="single" w:sz="4" w:space="0" w:color="auto"/>
            </w:tcBorders>
            <w:shd w:val="clear" w:color="auto" w:fill="auto"/>
            <w:vAlign w:val="center"/>
            <w:hideMark/>
          </w:tcPr>
          <w:p w14:paraId="5C1B05BC" w14:textId="77777777" w:rsidR="007D603E" w:rsidRPr="007174DE" w:rsidRDefault="007D603E" w:rsidP="00B47FF2">
            <w:pPr>
              <w:spacing w:before="0" w:after="0"/>
              <w:rPr>
                <w:color w:val="000000"/>
                <w:szCs w:val="26"/>
              </w:rPr>
            </w:pPr>
            <w:r w:rsidRPr="007174DE">
              <w:rPr>
                <w:color w:val="000000"/>
                <w:szCs w:val="26"/>
              </w:rPr>
              <w:t>2017 Non-Resource</w:t>
            </w:r>
          </w:p>
        </w:tc>
        <w:tc>
          <w:tcPr>
            <w:tcW w:w="1939" w:type="dxa"/>
            <w:tcBorders>
              <w:top w:val="nil"/>
              <w:left w:val="single" w:sz="4" w:space="0" w:color="auto"/>
              <w:bottom w:val="nil"/>
              <w:right w:val="single" w:sz="4" w:space="0" w:color="auto"/>
            </w:tcBorders>
            <w:shd w:val="clear" w:color="auto" w:fill="auto"/>
            <w:noWrap/>
            <w:vAlign w:val="center"/>
          </w:tcPr>
          <w:p w14:paraId="13B7E9A5" w14:textId="77777777" w:rsidR="007D603E" w:rsidRPr="001F5F04" w:rsidRDefault="007D603E" w:rsidP="00B47FF2">
            <w:pPr>
              <w:spacing w:before="0" w:after="0"/>
              <w:ind w:firstLineChars="100" w:firstLine="240"/>
              <w:jc w:val="right"/>
              <w:rPr>
                <w:color w:val="000000"/>
                <w:szCs w:val="26"/>
              </w:rPr>
            </w:pPr>
            <w:r>
              <w:rPr>
                <w:color w:val="000000"/>
                <w:szCs w:val="26"/>
              </w:rPr>
              <w:t>$</w:t>
            </w:r>
            <w:r w:rsidRPr="00991C79">
              <w:rPr>
                <w:color w:val="000000"/>
                <w:szCs w:val="26"/>
              </w:rPr>
              <w:t>615,426</w:t>
            </w:r>
          </w:p>
        </w:tc>
        <w:tc>
          <w:tcPr>
            <w:tcW w:w="1939" w:type="dxa"/>
            <w:tcBorders>
              <w:top w:val="nil"/>
              <w:left w:val="single" w:sz="4" w:space="0" w:color="auto"/>
              <w:bottom w:val="nil"/>
              <w:right w:val="single" w:sz="4" w:space="0" w:color="auto"/>
            </w:tcBorders>
            <w:shd w:val="clear" w:color="auto" w:fill="auto"/>
            <w:noWrap/>
            <w:vAlign w:val="center"/>
          </w:tcPr>
          <w:p w14:paraId="118B2B72" w14:textId="77777777" w:rsidR="007D603E" w:rsidRPr="00991C79" w:rsidRDefault="007D603E" w:rsidP="00B47FF2">
            <w:pPr>
              <w:spacing w:before="0" w:after="0"/>
              <w:ind w:firstLineChars="100" w:firstLine="240"/>
              <w:jc w:val="right"/>
              <w:rPr>
                <w:color w:val="000000"/>
                <w:szCs w:val="26"/>
              </w:rPr>
            </w:pPr>
            <w:r w:rsidRPr="00991C79">
              <w:rPr>
                <w:color w:val="000000"/>
                <w:szCs w:val="26"/>
              </w:rPr>
              <w:t xml:space="preserve"> $615,426 </w:t>
            </w:r>
          </w:p>
        </w:tc>
      </w:tr>
      <w:tr w:rsidR="00A52B69" w14:paraId="61CDA08E" w14:textId="77777777">
        <w:trPr>
          <w:trHeight w:val="300"/>
          <w:jc w:val="center"/>
        </w:trPr>
        <w:tc>
          <w:tcPr>
            <w:tcW w:w="4050" w:type="dxa"/>
            <w:tcBorders>
              <w:top w:val="nil"/>
              <w:left w:val="single" w:sz="4" w:space="0" w:color="auto"/>
              <w:bottom w:val="nil"/>
              <w:right w:val="single" w:sz="4" w:space="0" w:color="auto"/>
            </w:tcBorders>
            <w:shd w:val="clear" w:color="auto" w:fill="auto"/>
            <w:vAlign w:val="center"/>
            <w:hideMark/>
          </w:tcPr>
          <w:p w14:paraId="7D52295D" w14:textId="77777777" w:rsidR="007D603E" w:rsidRPr="007174DE" w:rsidRDefault="007D603E" w:rsidP="00B47FF2">
            <w:pPr>
              <w:spacing w:before="0" w:after="0"/>
              <w:rPr>
                <w:color w:val="000000"/>
                <w:szCs w:val="26"/>
              </w:rPr>
            </w:pPr>
            <w:r w:rsidRPr="007174DE">
              <w:rPr>
                <w:color w:val="000000"/>
                <w:szCs w:val="26"/>
              </w:rPr>
              <w:t>2016 Ex-Ante Savings True Up</w:t>
            </w:r>
          </w:p>
        </w:tc>
        <w:tc>
          <w:tcPr>
            <w:tcW w:w="1939" w:type="dxa"/>
            <w:tcBorders>
              <w:top w:val="nil"/>
              <w:left w:val="single" w:sz="4" w:space="0" w:color="auto"/>
              <w:bottom w:val="nil"/>
              <w:right w:val="single" w:sz="4" w:space="0" w:color="auto"/>
            </w:tcBorders>
            <w:shd w:val="clear" w:color="auto" w:fill="auto"/>
            <w:noWrap/>
            <w:vAlign w:val="center"/>
          </w:tcPr>
          <w:p w14:paraId="5409D36A" w14:textId="77777777" w:rsidR="007D603E" w:rsidRPr="00DD2C96" w:rsidRDefault="007D603E" w:rsidP="00B47FF2">
            <w:pPr>
              <w:spacing w:before="0" w:after="0"/>
              <w:ind w:firstLineChars="100" w:firstLine="240"/>
              <w:jc w:val="right"/>
              <w:rPr>
                <w:color w:val="FF0000"/>
                <w:szCs w:val="26"/>
              </w:rPr>
            </w:pPr>
            <w:r w:rsidRPr="00DD2C96">
              <w:rPr>
                <w:color w:val="FF0000"/>
                <w:szCs w:val="26"/>
              </w:rPr>
              <w:t>($579,741)</w:t>
            </w:r>
          </w:p>
        </w:tc>
        <w:tc>
          <w:tcPr>
            <w:tcW w:w="1939" w:type="dxa"/>
            <w:tcBorders>
              <w:top w:val="nil"/>
              <w:left w:val="single" w:sz="4" w:space="0" w:color="auto"/>
              <w:bottom w:val="nil"/>
              <w:right w:val="single" w:sz="4" w:space="0" w:color="auto"/>
            </w:tcBorders>
            <w:shd w:val="clear" w:color="auto" w:fill="auto"/>
            <w:noWrap/>
            <w:vAlign w:val="center"/>
          </w:tcPr>
          <w:p w14:paraId="18006273" w14:textId="77777777" w:rsidR="007D603E" w:rsidRPr="00991C79" w:rsidRDefault="007D603E" w:rsidP="00B47FF2">
            <w:pPr>
              <w:spacing w:before="0" w:after="0"/>
              <w:ind w:firstLineChars="100" w:firstLine="240"/>
              <w:jc w:val="right"/>
              <w:rPr>
                <w:color w:val="000000"/>
                <w:szCs w:val="26"/>
              </w:rPr>
            </w:pPr>
            <w:r>
              <w:rPr>
                <w:color w:val="000000"/>
                <w:szCs w:val="26"/>
              </w:rPr>
              <w:t>$</w:t>
            </w:r>
            <w:r w:rsidRPr="0039308C">
              <w:rPr>
                <w:color w:val="000000"/>
                <w:szCs w:val="26"/>
              </w:rPr>
              <w:t>41,699</w:t>
            </w:r>
          </w:p>
        </w:tc>
      </w:tr>
      <w:tr w:rsidR="00A52B69" w14:paraId="19602787" w14:textId="77777777">
        <w:trPr>
          <w:trHeight w:val="300"/>
          <w:jc w:val="center"/>
        </w:trPr>
        <w:tc>
          <w:tcPr>
            <w:tcW w:w="4050" w:type="dxa"/>
            <w:tcBorders>
              <w:top w:val="nil"/>
              <w:left w:val="single" w:sz="4" w:space="0" w:color="auto"/>
              <w:bottom w:val="nil"/>
              <w:right w:val="single" w:sz="4" w:space="0" w:color="auto"/>
            </w:tcBorders>
            <w:shd w:val="clear" w:color="auto" w:fill="auto"/>
            <w:noWrap/>
            <w:vAlign w:val="center"/>
            <w:hideMark/>
          </w:tcPr>
          <w:p w14:paraId="28954C11" w14:textId="77777777" w:rsidR="007D603E" w:rsidRPr="007174DE" w:rsidRDefault="007D603E" w:rsidP="00B47FF2">
            <w:pPr>
              <w:spacing w:before="0" w:after="0"/>
              <w:rPr>
                <w:color w:val="000000"/>
                <w:szCs w:val="26"/>
              </w:rPr>
            </w:pPr>
            <w:r w:rsidRPr="007174DE">
              <w:rPr>
                <w:color w:val="000000"/>
                <w:szCs w:val="26"/>
              </w:rPr>
              <w:t>2016 EAR Performance True Up</w:t>
            </w:r>
          </w:p>
        </w:tc>
        <w:tc>
          <w:tcPr>
            <w:tcW w:w="1939" w:type="dxa"/>
            <w:tcBorders>
              <w:top w:val="nil"/>
              <w:left w:val="single" w:sz="4" w:space="0" w:color="auto"/>
              <w:bottom w:val="nil"/>
              <w:right w:val="single" w:sz="4" w:space="0" w:color="auto"/>
            </w:tcBorders>
            <w:shd w:val="clear" w:color="auto" w:fill="auto"/>
            <w:noWrap/>
            <w:vAlign w:val="center"/>
          </w:tcPr>
          <w:p w14:paraId="0293F1E9" w14:textId="77777777" w:rsidR="007D603E" w:rsidRPr="00DD2C96" w:rsidRDefault="007D603E" w:rsidP="00B47FF2">
            <w:pPr>
              <w:spacing w:before="0" w:after="0"/>
              <w:ind w:firstLineChars="100" w:firstLine="240"/>
              <w:jc w:val="right"/>
              <w:rPr>
                <w:color w:val="FF0000"/>
                <w:szCs w:val="26"/>
              </w:rPr>
            </w:pPr>
            <w:r w:rsidRPr="00DD2C96">
              <w:rPr>
                <w:color w:val="FF0000"/>
                <w:szCs w:val="26"/>
              </w:rPr>
              <w:t xml:space="preserve"> ($70,447)</w:t>
            </w:r>
          </w:p>
        </w:tc>
        <w:tc>
          <w:tcPr>
            <w:tcW w:w="1939" w:type="dxa"/>
            <w:tcBorders>
              <w:top w:val="nil"/>
              <w:left w:val="single" w:sz="4" w:space="0" w:color="auto"/>
              <w:bottom w:val="nil"/>
              <w:right w:val="single" w:sz="4" w:space="0" w:color="auto"/>
            </w:tcBorders>
            <w:shd w:val="clear" w:color="auto" w:fill="auto"/>
            <w:noWrap/>
            <w:vAlign w:val="center"/>
          </w:tcPr>
          <w:p w14:paraId="00B420EF" w14:textId="77777777" w:rsidR="007D603E" w:rsidRPr="00DD2C96" w:rsidRDefault="007D603E" w:rsidP="00B47FF2">
            <w:pPr>
              <w:spacing w:before="0" w:after="0"/>
              <w:ind w:firstLineChars="100" w:firstLine="240"/>
              <w:jc w:val="right"/>
              <w:rPr>
                <w:color w:val="FF0000"/>
                <w:szCs w:val="26"/>
              </w:rPr>
            </w:pPr>
            <w:r w:rsidRPr="00DD2C96">
              <w:rPr>
                <w:color w:val="FF0000"/>
                <w:szCs w:val="26"/>
              </w:rPr>
              <w:t xml:space="preserve"> ($76,125)</w:t>
            </w:r>
          </w:p>
        </w:tc>
      </w:tr>
      <w:tr w:rsidR="00A52B69" w14:paraId="7F8C6B15" w14:textId="77777777">
        <w:trPr>
          <w:trHeight w:val="300"/>
          <w:jc w:val="center"/>
        </w:trPr>
        <w:tc>
          <w:tcPr>
            <w:tcW w:w="4050" w:type="dxa"/>
            <w:tcBorders>
              <w:top w:val="nil"/>
              <w:left w:val="single" w:sz="4" w:space="0" w:color="auto"/>
              <w:bottom w:val="nil"/>
              <w:right w:val="single" w:sz="4" w:space="0" w:color="auto"/>
            </w:tcBorders>
            <w:shd w:val="clear" w:color="auto" w:fill="auto"/>
            <w:noWrap/>
            <w:vAlign w:val="center"/>
            <w:hideMark/>
          </w:tcPr>
          <w:p w14:paraId="18D92115" w14:textId="77777777" w:rsidR="007D603E" w:rsidRPr="007174DE" w:rsidRDefault="007D603E" w:rsidP="00B47FF2">
            <w:pPr>
              <w:spacing w:before="0" w:after="0"/>
              <w:rPr>
                <w:color w:val="000000"/>
                <w:szCs w:val="26"/>
              </w:rPr>
            </w:pPr>
            <w:r w:rsidRPr="007174DE">
              <w:rPr>
                <w:color w:val="000000"/>
                <w:szCs w:val="26"/>
              </w:rPr>
              <w:t>2016 Codes &amp; Standards True Up</w:t>
            </w:r>
          </w:p>
        </w:tc>
        <w:tc>
          <w:tcPr>
            <w:tcW w:w="1939" w:type="dxa"/>
            <w:tcBorders>
              <w:top w:val="nil"/>
              <w:left w:val="single" w:sz="4" w:space="0" w:color="auto"/>
              <w:bottom w:val="nil"/>
              <w:right w:val="single" w:sz="4" w:space="0" w:color="auto"/>
            </w:tcBorders>
            <w:shd w:val="clear" w:color="auto" w:fill="auto"/>
            <w:noWrap/>
            <w:vAlign w:val="center"/>
          </w:tcPr>
          <w:p w14:paraId="5CD6EE70" w14:textId="77777777" w:rsidR="007D603E" w:rsidRPr="00DD2C96" w:rsidRDefault="007D603E" w:rsidP="00B47FF2">
            <w:pPr>
              <w:spacing w:before="0" w:after="0"/>
              <w:ind w:firstLineChars="100" w:firstLine="240"/>
              <w:jc w:val="right"/>
              <w:rPr>
                <w:color w:val="FF0000"/>
                <w:szCs w:val="26"/>
              </w:rPr>
            </w:pPr>
            <w:r w:rsidRPr="00DD2C96">
              <w:rPr>
                <w:color w:val="FF0000"/>
                <w:szCs w:val="26"/>
              </w:rPr>
              <w:t xml:space="preserve"> ($12,068)</w:t>
            </w:r>
          </w:p>
        </w:tc>
        <w:tc>
          <w:tcPr>
            <w:tcW w:w="1939" w:type="dxa"/>
            <w:tcBorders>
              <w:top w:val="nil"/>
              <w:left w:val="single" w:sz="4" w:space="0" w:color="auto"/>
              <w:bottom w:val="nil"/>
              <w:right w:val="single" w:sz="4" w:space="0" w:color="auto"/>
            </w:tcBorders>
            <w:shd w:val="clear" w:color="auto" w:fill="auto"/>
            <w:vAlign w:val="center"/>
          </w:tcPr>
          <w:p w14:paraId="3C86197B" w14:textId="77777777" w:rsidR="007D603E" w:rsidRPr="00DD2C96" w:rsidRDefault="007D603E" w:rsidP="00B47FF2">
            <w:pPr>
              <w:spacing w:before="0" w:after="0"/>
              <w:ind w:firstLineChars="100" w:firstLine="240"/>
              <w:jc w:val="right"/>
              <w:rPr>
                <w:color w:val="FF0000"/>
                <w:szCs w:val="26"/>
              </w:rPr>
            </w:pPr>
            <w:r w:rsidRPr="00DD2C96">
              <w:rPr>
                <w:color w:val="FF0000"/>
                <w:szCs w:val="26"/>
              </w:rPr>
              <w:t xml:space="preserve"> ($13,041)</w:t>
            </w:r>
          </w:p>
        </w:tc>
      </w:tr>
      <w:tr w:rsidR="00A52B69" w14:paraId="5D4C42EC" w14:textId="77777777">
        <w:trPr>
          <w:trHeight w:val="360"/>
          <w:jc w:val="center"/>
        </w:trPr>
        <w:tc>
          <w:tcPr>
            <w:tcW w:w="4050" w:type="dxa"/>
            <w:tcBorders>
              <w:top w:val="nil"/>
              <w:left w:val="single" w:sz="4" w:space="0" w:color="auto"/>
              <w:bottom w:val="nil"/>
              <w:right w:val="single" w:sz="4" w:space="0" w:color="auto"/>
            </w:tcBorders>
            <w:shd w:val="clear" w:color="auto" w:fill="auto"/>
            <w:noWrap/>
            <w:vAlign w:val="center"/>
            <w:hideMark/>
          </w:tcPr>
          <w:p w14:paraId="48F4F7F1" w14:textId="77777777" w:rsidR="007D603E" w:rsidRPr="007174DE" w:rsidRDefault="007D603E" w:rsidP="00B47FF2">
            <w:pPr>
              <w:spacing w:before="0" w:after="0"/>
              <w:rPr>
                <w:color w:val="000000"/>
                <w:szCs w:val="26"/>
              </w:rPr>
            </w:pPr>
            <w:r w:rsidRPr="007174DE">
              <w:rPr>
                <w:color w:val="000000"/>
                <w:szCs w:val="26"/>
              </w:rPr>
              <w:t>2016 Non-Resource True Up</w:t>
            </w:r>
          </w:p>
        </w:tc>
        <w:tc>
          <w:tcPr>
            <w:tcW w:w="1939" w:type="dxa"/>
            <w:tcBorders>
              <w:top w:val="nil"/>
              <w:left w:val="single" w:sz="4" w:space="0" w:color="auto"/>
              <w:bottom w:val="nil"/>
              <w:right w:val="single" w:sz="4" w:space="0" w:color="auto"/>
            </w:tcBorders>
            <w:shd w:val="clear" w:color="auto" w:fill="auto"/>
            <w:noWrap/>
            <w:vAlign w:val="center"/>
          </w:tcPr>
          <w:p w14:paraId="78D8C75E" w14:textId="77777777" w:rsidR="007D603E" w:rsidRPr="00DD2C96" w:rsidRDefault="007D603E" w:rsidP="00B47FF2">
            <w:pPr>
              <w:spacing w:before="0" w:after="0"/>
              <w:ind w:firstLineChars="100" w:firstLine="240"/>
              <w:jc w:val="right"/>
              <w:rPr>
                <w:color w:val="FF0000"/>
                <w:szCs w:val="26"/>
              </w:rPr>
            </w:pPr>
            <w:r w:rsidRPr="00DD2C96">
              <w:rPr>
                <w:color w:val="FF0000"/>
                <w:szCs w:val="26"/>
              </w:rPr>
              <w:t xml:space="preserve"> ($14,815)</w:t>
            </w:r>
          </w:p>
        </w:tc>
        <w:tc>
          <w:tcPr>
            <w:tcW w:w="1939" w:type="dxa"/>
            <w:tcBorders>
              <w:top w:val="nil"/>
              <w:left w:val="single" w:sz="4" w:space="0" w:color="auto"/>
              <w:bottom w:val="nil"/>
              <w:right w:val="single" w:sz="4" w:space="0" w:color="auto"/>
            </w:tcBorders>
            <w:shd w:val="clear" w:color="auto" w:fill="auto"/>
            <w:vAlign w:val="center"/>
          </w:tcPr>
          <w:p w14:paraId="2F6553CA" w14:textId="77777777" w:rsidR="007D603E" w:rsidRPr="00DD2C96" w:rsidRDefault="007D603E" w:rsidP="00B47FF2">
            <w:pPr>
              <w:spacing w:before="0" w:after="0"/>
              <w:ind w:firstLineChars="100" w:firstLine="240"/>
              <w:jc w:val="right"/>
              <w:rPr>
                <w:color w:val="FF0000"/>
                <w:szCs w:val="26"/>
              </w:rPr>
            </w:pPr>
            <w:r w:rsidRPr="00DD2C96">
              <w:rPr>
                <w:color w:val="FF0000"/>
                <w:szCs w:val="26"/>
              </w:rPr>
              <w:t xml:space="preserve"> ($16,009)</w:t>
            </w:r>
          </w:p>
        </w:tc>
      </w:tr>
      <w:tr w:rsidR="00A52B69" w14:paraId="13D58E00" w14:textId="77777777">
        <w:trPr>
          <w:trHeight w:val="360"/>
          <w:jc w:val="center"/>
        </w:trPr>
        <w:tc>
          <w:tcPr>
            <w:tcW w:w="4050" w:type="dxa"/>
            <w:tcBorders>
              <w:top w:val="nil"/>
              <w:left w:val="single" w:sz="4" w:space="0" w:color="auto"/>
              <w:bottom w:val="nil"/>
              <w:right w:val="single" w:sz="4" w:space="0" w:color="auto"/>
            </w:tcBorders>
            <w:shd w:val="clear" w:color="auto" w:fill="auto"/>
            <w:noWrap/>
            <w:vAlign w:val="center"/>
          </w:tcPr>
          <w:p w14:paraId="51B05012" w14:textId="77777777" w:rsidR="007D603E" w:rsidRPr="007174DE" w:rsidRDefault="007D603E" w:rsidP="00B47FF2">
            <w:pPr>
              <w:spacing w:before="0" w:after="0"/>
              <w:rPr>
                <w:color w:val="000000"/>
                <w:szCs w:val="26"/>
              </w:rPr>
            </w:pPr>
            <w:r w:rsidRPr="007174DE">
              <w:rPr>
                <w:color w:val="000000"/>
                <w:szCs w:val="26"/>
              </w:rPr>
              <w:t>2017 EAR Performance True Up</w:t>
            </w:r>
          </w:p>
        </w:tc>
        <w:tc>
          <w:tcPr>
            <w:tcW w:w="1939" w:type="dxa"/>
            <w:tcBorders>
              <w:top w:val="nil"/>
              <w:left w:val="single" w:sz="4" w:space="0" w:color="auto"/>
              <w:bottom w:val="nil"/>
              <w:right w:val="single" w:sz="4" w:space="0" w:color="auto"/>
            </w:tcBorders>
            <w:shd w:val="clear" w:color="auto" w:fill="auto"/>
            <w:noWrap/>
            <w:vAlign w:val="center"/>
          </w:tcPr>
          <w:p w14:paraId="73FC9170" w14:textId="77777777" w:rsidR="007D603E" w:rsidRPr="001F5F04" w:rsidDel="00E612ED" w:rsidRDefault="007D603E" w:rsidP="00B47FF2">
            <w:pPr>
              <w:spacing w:before="0" w:after="0"/>
              <w:ind w:firstLineChars="100" w:firstLine="240"/>
              <w:jc w:val="right"/>
              <w:rPr>
                <w:color w:val="000000"/>
                <w:szCs w:val="26"/>
              </w:rPr>
            </w:pPr>
            <w:r>
              <w:rPr>
                <w:color w:val="000000"/>
                <w:szCs w:val="26"/>
              </w:rPr>
              <w:t>$</w:t>
            </w:r>
            <w:r w:rsidRPr="000E7F32">
              <w:rPr>
                <w:color w:val="000000"/>
                <w:szCs w:val="26"/>
              </w:rPr>
              <w:t>57,339</w:t>
            </w:r>
          </w:p>
        </w:tc>
        <w:tc>
          <w:tcPr>
            <w:tcW w:w="1939" w:type="dxa"/>
            <w:tcBorders>
              <w:top w:val="nil"/>
              <w:left w:val="single" w:sz="4" w:space="0" w:color="auto"/>
              <w:bottom w:val="nil"/>
              <w:right w:val="single" w:sz="4" w:space="0" w:color="auto"/>
            </w:tcBorders>
            <w:shd w:val="clear" w:color="auto" w:fill="auto"/>
            <w:vAlign w:val="center"/>
          </w:tcPr>
          <w:p w14:paraId="3B6459CB" w14:textId="77777777" w:rsidR="007D603E" w:rsidRPr="009B1E62" w:rsidDel="00E612ED" w:rsidRDefault="007D603E" w:rsidP="00B47FF2">
            <w:pPr>
              <w:spacing w:before="0" w:after="0"/>
              <w:ind w:firstLineChars="100" w:firstLine="240"/>
              <w:jc w:val="right"/>
              <w:rPr>
                <w:color w:val="000000"/>
                <w:szCs w:val="26"/>
              </w:rPr>
            </w:pPr>
            <w:r w:rsidRPr="009B1E62">
              <w:rPr>
                <w:color w:val="000000"/>
                <w:szCs w:val="26"/>
              </w:rPr>
              <w:t>$57,</w:t>
            </w:r>
            <w:r w:rsidR="009B1E62" w:rsidRPr="009B1E62">
              <w:rPr>
                <w:color w:val="000000"/>
                <w:szCs w:val="26"/>
              </w:rPr>
              <w:t>436</w:t>
            </w:r>
          </w:p>
        </w:tc>
      </w:tr>
      <w:tr w:rsidR="00A52B69" w14:paraId="171C9E2B" w14:textId="77777777">
        <w:trPr>
          <w:trHeight w:val="360"/>
          <w:jc w:val="center"/>
        </w:trPr>
        <w:tc>
          <w:tcPr>
            <w:tcW w:w="4050" w:type="dxa"/>
            <w:tcBorders>
              <w:top w:val="nil"/>
              <w:left w:val="single" w:sz="4" w:space="0" w:color="auto"/>
              <w:bottom w:val="nil"/>
              <w:right w:val="single" w:sz="4" w:space="0" w:color="auto"/>
            </w:tcBorders>
            <w:shd w:val="clear" w:color="auto" w:fill="auto"/>
            <w:noWrap/>
            <w:vAlign w:val="center"/>
          </w:tcPr>
          <w:p w14:paraId="02B553E5" w14:textId="77777777" w:rsidR="00ED46BA" w:rsidRPr="007174DE" w:rsidRDefault="00ED46BA" w:rsidP="00B47FF2">
            <w:pPr>
              <w:spacing w:before="0" w:after="0"/>
              <w:rPr>
                <w:color w:val="000000"/>
                <w:szCs w:val="26"/>
              </w:rPr>
            </w:pPr>
            <w:r w:rsidRPr="007174DE">
              <w:rPr>
                <w:color w:val="000000"/>
                <w:szCs w:val="26"/>
              </w:rPr>
              <w:t>2017 Codes &amp; Standards True Up</w:t>
            </w:r>
          </w:p>
        </w:tc>
        <w:tc>
          <w:tcPr>
            <w:tcW w:w="1939" w:type="dxa"/>
            <w:tcBorders>
              <w:top w:val="nil"/>
              <w:left w:val="single" w:sz="4" w:space="0" w:color="auto"/>
              <w:bottom w:val="nil"/>
              <w:right w:val="single" w:sz="4" w:space="0" w:color="auto"/>
            </w:tcBorders>
            <w:shd w:val="clear" w:color="auto" w:fill="auto"/>
            <w:noWrap/>
            <w:vAlign w:val="center"/>
          </w:tcPr>
          <w:p w14:paraId="01602D05" w14:textId="77777777" w:rsidR="00ED46BA" w:rsidRDefault="00ED46BA" w:rsidP="00B47FF2">
            <w:pPr>
              <w:spacing w:before="0" w:after="0"/>
              <w:ind w:firstLineChars="100" w:firstLine="240"/>
              <w:jc w:val="right"/>
              <w:rPr>
                <w:color w:val="000000"/>
                <w:szCs w:val="26"/>
              </w:rPr>
            </w:pPr>
            <w:r>
              <w:rPr>
                <w:color w:val="000000"/>
                <w:szCs w:val="26"/>
              </w:rPr>
              <w:t>-</w:t>
            </w:r>
          </w:p>
        </w:tc>
        <w:tc>
          <w:tcPr>
            <w:tcW w:w="1939" w:type="dxa"/>
            <w:tcBorders>
              <w:top w:val="nil"/>
              <w:left w:val="single" w:sz="4" w:space="0" w:color="auto"/>
              <w:bottom w:val="nil"/>
              <w:right w:val="single" w:sz="4" w:space="0" w:color="auto"/>
            </w:tcBorders>
            <w:shd w:val="clear" w:color="auto" w:fill="auto"/>
            <w:vAlign w:val="center"/>
          </w:tcPr>
          <w:p w14:paraId="61ABCE77" w14:textId="77777777" w:rsidR="00ED46BA" w:rsidRDefault="00ED46BA" w:rsidP="00B47FF2">
            <w:pPr>
              <w:spacing w:before="0" w:after="0"/>
              <w:ind w:firstLineChars="100" w:firstLine="240"/>
              <w:jc w:val="right"/>
              <w:rPr>
                <w:color w:val="000000"/>
                <w:szCs w:val="26"/>
              </w:rPr>
            </w:pPr>
            <w:r>
              <w:rPr>
                <w:color w:val="000000"/>
                <w:szCs w:val="26"/>
              </w:rPr>
              <w:t>-</w:t>
            </w:r>
          </w:p>
        </w:tc>
      </w:tr>
      <w:tr w:rsidR="00A52B69" w14:paraId="1E3CB97D" w14:textId="77777777">
        <w:trPr>
          <w:trHeight w:val="360"/>
          <w:jc w:val="center"/>
        </w:trPr>
        <w:tc>
          <w:tcPr>
            <w:tcW w:w="4050" w:type="dxa"/>
            <w:tcBorders>
              <w:top w:val="nil"/>
              <w:left w:val="single" w:sz="4" w:space="0" w:color="auto"/>
              <w:bottom w:val="single" w:sz="4" w:space="0" w:color="auto"/>
              <w:right w:val="single" w:sz="4" w:space="0" w:color="auto"/>
            </w:tcBorders>
            <w:shd w:val="clear" w:color="auto" w:fill="auto"/>
            <w:noWrap/>
            <w:vAlign w:val="center"/>
          </w:tcPr>
          <w:p w14:paraId="3FEC906B" w14:textId="77777777" w:rsidR="007D603E" w:rsidRPr="007174DE" w:rsidRDefault="007D603E" w:rsidP="00B47FF2">
            <w:pPr>
              <w:spacing w:before="0" w:after="0"/>
              <w:rPr>
                <w:color w:val="000000"/>
                <w:szCs w:val="26"/>
              </w:rPr>
            </w:pPr>
            <w:r w:rsidRPr="007174DE">
              <w:rPr>
                <w:color w:val="000000"/>
                <w:szCs w:val="26"/>
              </w:rPr>
              <w:t>2017 Non-Resource True Up</w:t>
            </w:r>
          </w:p>
        </w:tc>
        <w:tc>
          <w:tcPr>
            <w:tcW w:w="1939" w:type="dxa"/>
            <w:tcBorders>
              <w:top w:val="nil"/>
              <w:left w:val="single" w:sz="4" w:space="0" w:color="auto"/>
              <w:bottom w:val="single" w:sz="4" w:space="0" w:color="auto"/>
              <w:right w:val="single" w:sz="4" w:space="0" w:color="auto"/>
            </w:tcBorders>
            <w:shd w:val="clear" w:color="auto" w:fill="auto"/>
            <w:noWrap/>
            <w:vAlign w:val="center"/>
          </w:tcPr>
          <w:p w14:paraId="716D2692" w14:textId="77777777" w:rsidR="007D603E" w:rsidRPr="001F5F04" w:rsidDel="00E612ED" w:rsidRDefault="007D603E" w:rsidP="00B47FF2">
            <w:pPr>
              <w:spacing w:before="0" w:after="0"/>
              <w:ind w:firstLineChars="100" w:firstLine="240"/>
              <w:jc w:val="right"/>
              <w:rPr>
                <w:color w:val="000000"/>
                <w:szCs w:val="26"/>
              </w:rPr>
            </w:pPr>
            <w:r>
              <w:rPr>
                <w:color w:val="000000"/>
                <w:szCs w:val="26"/>
              </w:rPr>
              <w:t>$</w:t>
            </w:r>
            <w:r w:rsidRPr="000E7F32">
              <w:rPr>
                <w:color w:val="000000"/>
                <w:szCs w:val="26"/>
              </w:rPr>
              <w:t>14,050</w:t>
            </w:r>
          </w:p>
        </w:tc>
        <w:tc>
          <w:tcPr>
            <w:tcW w:w="1939" w:type="dxa"/>
            <w:tcBorders>
              <w:top w:val="nil"/>
              <w:left w:val="single" w:sz="4" w:space="0" w:color="auto"/>
              <w:bottom w:val="single" w:sz="4" w:space="0" w:color="auto"/>
              <w:right w:val="single" w:sz="4" w:space="0" w:color="auto"/>
            </w:tcBorders>
            <w:shd w:val="clear" w:color="auto" w:fill="auto"/>
            <w:vAlign w:val="center"/>
          </w:tcPr>
          <w:p w14:paraId="036D96BE" w14:textId="77777777" w:rsidR="007D603E" w:rsidRPr="000E7F32" w:rsidDel="00E612ED" w:rsidRDefault="007D603E" w:rsidP="00B47FF2">
            <w:pPr>
              <w:spacing w:before="0" w:after="0"/>
              <w:ind w:firstLineChars="100" w:firstLine="240"/>
              <w:jc w:val="right"/>
              <w:rPr>
                <w:color w:val="000000"/>
                <w:szCs w:val="26"/>
              </w:rPr>
            </w:pPr>
            <w:r>
              <w:rPr>
                <w:color w:val="000000"/>
                <w:szCs w:val="26"/>
              </w:rPr>
              <w:t>$</w:t>
            </w:r>
            <w:r w:rsidRPr="000E7F32">
              <w:rPr>
                <w:color w:val="000000"/>
                <w:szCs w:val="26"/>
              </w:rPr>
              <w:t>14,050</w:t>
            </w:r>
          </w:p>
        </w:tc>
      </w:tr>
      <w:tr w:rsidR="00A52B69" w14:paraId="761D42FE" w14:textId="77777777">
        <w:trPr>
          <w:trHeight w:val="300"/>
          <w:jc w:val="center"/>
        </w:trPr>
        <w:tc>
          <w:tcPr>
            <w:tcW w:w="4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4A84F" w14:textId="77777777" w:rsidR="007D603E" w:rsidRPr="00AC35F4" w:rsidRDefault="007D603E" w:rsidP="00B47FF2">
            <w:pPr>
              <w:spacing w:before="0" w:after="0"/>
              <w:jc w:val="center"/>
              <w:rPr>
                <w:b/>
                <w:bCs/>
                <w:color w:val="000000"/>
                <w:szCs w:val="26"/>
              </w:rPr>
            </w:pPr>
            <w:r w:rsidRPr="00AC35F4">
              <w:rPr>
                <w:b/>
              </w:rPr>
              <w:t>Award for PY 201</w:t>
            </w:r>
            <w:r>
              <w:rPr>
                <w:b/>
              </w:rPr>
              <w:t>6</w:t>
            </w:r>
            <w:r w:rsidRPr="00AC35F4">
              <w:rPr>
                <w:b/>
              </w:rPr>
              <w:t xml:space="preserve"> and 201</w:t>
            </w:r>
            <w:r>
              <w:rPr>
                <w:b/>
              </w:rPr>
              <w:t>7</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39D9A582" w14:textId="77777777" w:rsidR="007D603E" w:rsidRPr="0039308C" w:rsidRDefault="007D603E" w:rsidP="00CE6758">
            <w:pPr>
              <w:spacing w:before="0" w:after="0"/>
              <w:ind w:firstLineChars="100" w:firstLine="241"/>
              <w:jc w:val="right"/>
              <w:rPr>
                <w:b/>
                <w:color w:val="000000"/>
                <w:szCs w:val="26"/>
              </w:rPr>
            </w:pPr>
            <w:r w:rsidRPr="0039308C">
              <w:rPr>
                <w:b/>
                <w:color w:val="000000"/>
                <w:szCs w:val="26"/>
              </w:rPr>
              <w:t>$12,920,759</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6DAF38A7" w14:textId="77777777" w:rsidR="007D603E" w:rsidRPr="005101BC" w:rsidRDefault="007D603E" w:rsidP="00CE6758">
            <w:pPr>
              <w:spacing w:before="0" w:after="0"/>
              <w:ind w:firstLineChars="100" w:firstLine="241"/>
              <w:jc w:val="right"/>
              <w:rPr>
                <w:b/>
                <w:color w:val="000000"/>
                <w:szCs w:val="26"/>
              </w:rPr>
            </w:pPr>
            <w:r w:rsidRPr="005101BC">
              <w:rPr>
                <w:rFonts w:cs="Calibri"/>
                <w:b/>
                <w:bCs/>
                <w:color w:val="000000"/>
                <w:szCs w:val="26"/>
              </w:rPr>
              <w:t>$13,</w:t>
            </w:r>
            <w:r w:rsidR="008A63DA" w:rsidRPr="005101BC">
              <w:rPr>
                <w:rFonts w:cs="Calibri"/>
                <w:b/>
                <w:bCs/>
                <w:color w:val="000000"/>
                <w:szCs w:val="26"/>
              </w:rPr>
              <w:t>42</w:t>
            </w:r>
            <w:r w:rsidR="005101BC" w:rsidRPr="005101BC">
              <w:rPr>
                <w:rFonts w:cs="Calibri"/>
                <w:b/>
                <w:bCs/>
                <w:color w:val="000000"/>
                <w:szCs w:val="26"/>
              </w:rPr>
              <w:t>8,6</w:t>
            </w:r>
            <w:r w:rsidR="006A6017">
              <w:rPr>
                <w:rFonts w:cs="Calibri"/>
                <w:b/>
                <w:bCs/>
                <w:color w:val="000000"/>
                <w:szCs w:val="26"/>
              </w:rPr>
              <w:t>6</w:t>
            </w:r>
            <w:r w:rsidR="005101BC" w:rsidRPr="005101BC">
              <w:rPr>
                <w:rFonts w:cs="Calibri"/>
                <w:b/>
                <w:bCs/>
                <w:color w:val="000000"/>
                <w:szCs w:val="26"/>
              </w:rPr>
              <w:t>4</w:t>
            </w:r>
            <w:r w:rsidR="00B2057C" w:rsidRPr="005101BC">
              <w:rPr>
                <w:rFonts w:cs="Calibri"/>
                <w:b/>
                <w:bCs/>
                <w:color w:val="000000"/>
                <w:szCs w:val="26"/>
              </w:rPr>
              <w:t xml:space="preserve"> </w:t>
            </w:r>
          </w:p>
        </w:tc>
      </w:tr>
      <w:tr w:rsidR="00A52B69" w14:paraId="62B44095" w14:textId="77777777">
        <w:trPr>
          <w:trHeight w:val="300"/>
          <w:jc w:val="center"/>
        </w:trPr>
        <w:tc>
          <w:tcPr>
            <w:tcW w:w="4050" w:type="dxa"/>
            <w:tcBorders>
              <w:top w:val="single" w:sz="4" w:space="0" w:color="auto"/>
              <w:bottom w:val="single" w:sz="4" w:space="0" w:color="auto"/>
            </w:tcBorders>
            <w:shd w:val="clear" w:color="auto" w:fill="auto"/>
            <w:vAlign w:val="center"/>
            <w:hideMark/>
          </w:tcPr>
          <w:p w14:paraId="5BA012DE" w14:textId="77777777" w:rsidR="007D603E" w:rsidRPr="001F5F04" w:rsidRDefault="007D603E" w:rsidP="00B47FF2">
            <w:pPr>
              <w:spacing w:before="0" w:after="0"/>
              <w:jc w:val="center"/>
              <w:rPr>
                <w:color w:val="000000"/>
                <w:szCs w:val="26"/>
              </w:rPr>
            </w:pPr>
            <w:r w:rsidRPr="004568E0">
              <w:t>2006-2008 RRIM Adjustment</w:t>
            </w:r>
          </w:p>
        </w:tc>
        <w:tc>
          <w:tcPr>
            <w:tcW w:w="1939" w:type="dxa"/>
            <w:tcBorders>
              <w:top w:val="single" w:sz="4" w:space="0" w:color="auto"/>
              <w:bottom w:val="single" w:sz="4" w:space="0" w:color="auto"/>
            </w:tcBorders>
            <w:shd w:val="clear" w:color="auto" w:fill="auto"/>
            <w:noWrap/>
            <w:vAlign w:val="center"/>
          </w:tcPr>
          <w:p w14:paraId="2700AD96" w14:textId="77777777" w:rsidR="007D603E" w:rsidRPr="00DD2C96" w:rsidRDefault="007D603E" w:rsidP="00B47FF2">
            <w:pPr>
              <w:spacing w:before="0" w:after="0"/>
              <w:ind w:firstLineChars="100" w:firstLine="240"/>
              <w:jc w:val="right"/>
              <w:rPr>
                <w:color w:val="FF0000"/>
                <w:szCs w:val="26"/>
              </w:rPr>
            </w:pPr>
            <w:r w:rsidRPr="00DD2C96">
              <w:rPr>
                <w:color w:val="FF0000"/>
                <w:szCs w:val="26"/>
              </w:rPr>
              <w:t>($1,376,910)</w:t>
            </w:r>
          </w:p>
        </w:tc>
        <w:tc>
          <w:tcPr>
            <w:tcW w:w="1939" w:type="dxa"/>
            <w:tcBorders>
              <w:top w:val="single" w:sz="4" w:space="0" w:color="auto"/>
              <w:bottom w:val="single" w:sz="4" w:space="0" w:color="auto"/>
            </w:tcBorders>
            <w:shd w:val="clear" w:color="auto" w:fill="auto"/>
            <w:noWrap/>
            <w:vAlign w:val="center"/>
          </w:tcPr>
          <w:p w14:paraId="60100C49" w14:textId="77777777" w:rsidR="007D603E" w:rsidRPr="00EB7A8C" w:rsidRDefault="007D603E" w:rsidP="00B47FF2">
            <w:pPr>
              <w:spacing w:before="0" w:after="0"/>
              <w:ind w:firstLineChars="100" w:firstLine="240"/>
              <w:jc w:val="right"/>
              <w:rPr>
                <w:color w:val="000000"/>
                <w:szCs w:val="26"/>
              </w:rPr>
            </w:pPr>
            <w:r>
              <w:rPr>
                <w:rFonts w:cs="Calibri"/>
                <w:color w:val="FF0000"/>
                <w:szCs w:val="26"/>
              </w:rPr>
              <w:t>($1,376,910)</w:t>
            </w:r>
          </w:p>
        </w:tc>
      </w:tr>
      <w:tr w:rsidR="00A52B69" w14:paraId="5A3D16F4" w14:textId="77777777">
        <w:trPr>
          <w:trHeight w:val="315"/>
          <w:jc w:val="center"/>
        </w:trPr>
        <w:tc>
          <w:tcPr>
            <w:tcW w:w="4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E7BD5" w14:textId="77777777" w:rsidR="007D603E" w:rsidRPr="00ED46BA" w:rsidRDefault="007D603E" w:rsidP="00B47FF2">
            <w:pPr>
              <w:spacing w:before="0" w:after="0"/>
              <w:jc w:val="center"/>
              <w:rPr>
                <w:b/>
                <w:bCs/>
                <w:color w:val="000000"/>
                <w:sz w:val="28"/>
                <w:szCs w:val="28"/>
              </w:rPr>
            </w:pPr>
            <w:r w:rsidRPr="00ED46BA">
              <w:rPr>
                <w:b/>
                <w:sz w:val="28"/>
                <w:szCs w:val="28"/>
              </w:rPr>
              <w:t>Total Payment</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04815CD8" w14:textId="77777777" w:rsidR="007D603E" w:rsidRPr="00ED46BA" w:rsidRDefault="007D603E" w:rsidP="00CE6758">
            <w:pPr>
              <w:spacing w:before="0" w:after="0"/>
              <w:ind w:firstLineChars="100" w:firstLine="281"/>
              <w:jc w:val="right"/>
              <w:rPr>
                <w:b/>
                <w:color w:val="000000"/>
                <w:sz w:val="28"/>
                <w:szCs w:val="28"/>
              </w:rPr>
            </w:pPr>
            <w:r w:rsidRPr="00ED46BA">
              <w:rPr>
                <w:b/>
                <w:color w:val="000000"/>
                <w:sz w:val="28"/>
                <w:szCs w:val="28"/>
              </w:rPr>
              <w:t>$11,543,849</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71D3825D" w14:textId="77777777" w:rsidR="007D603E" w:rsidRPr="005101BC" w:rsidRDefault="007D603E" w:rsidP="00CE6758">
            <w:pPr>
              <w:spacing w:before="0" w:after="0"/>
              <w:ind w:firstLineChars="100" w:firstLine="281"/>
              <w:jc w:val="right"/>
              <w:rPr>
                <w:b/>
                <w:color w:val="000000"/>
                <w:sz w:val="28"/>
                <w:szCs w:val="28"/>
              </w:rPr>
            </w:pPr>
            <w:r w:rsidRPr="005101BC">
              <w:rPr>
                <w:rFonts w:cs="Calibri"/>
                <w:b/>
                <w:bCs/>
                <w:color w:val="000000"/>
                <w:sz w:val="28"/>
                <w:szCs w:val="28"/>
              </w:rPr>
              <w:t>$12,</w:t>
            </w:r>
            <w:r w:rsidR="00891D9C" w:rsidRPr="005101BC">
              <w:rPr>
                <w:rFonts w:cs="Calibri"/>
                <w:b/>
                <w:bCs/>
                <w:color w:val="000000"/>
                <w:sz w:val="28"/>
                <w:szCs w:val="28"/>
              </w:rPr>
              <w:t>0</w:t>
            </w:r>
            <w:r w:rsidR="005101BC" w:rsidRPr="005101BC">
              <w:rPr>
                <w:rFonts w:cs="Calibri"/>
                <w:b/>
                <w:bCs/>
                <w:color w:val="000000"/>
                <w:sz w:val="28"/>
                <w:szCs w:val="28"/>
              </w:rPr>
              <w:t>51,7</w:t>
            </w:r>
            <w:r w:rsidR="006A6017">
              <w:rPr>
                <w:rFonts w:cs="Calibri"/>
                <w:b/>
                <w:bCs/>
                <w:color w:val="000000"/>
                <w:sz w:val="28"/>
                <w:szCs w:val="28"/>
              </w:rPr>
              <w:t>5</w:t>
            </w:r>
            <w:r w:rsidR="005101BC" w:rsidRPr="005101BC">
              <w:rPr>
                <w:rFonts w:cs="Calibri"/>
                <w:b/>
                <w:bCs/>
                <w:color w:val="000000"/>
                <w:sz w:val="28"/>
                <w:szCs w:val="28"/>
              </w:rPr>
              <w:t>4</w:t>
            </w:r>
            <w:r w:rsidR="00B2057C" w:rsidRPr="005101BC">
              <w:rPr>
                <w:rFonts w:cs="Calibri"/>
                <w:b/>
                <w:bCs/>
                <w:color w:val="000000"/>
                <w:sz w:val="28"/>
                <w:szCs w:val="28"/>
              </w:rPr>
              <w:t xml:space="preserve"> </w:t>
            </w:r>
          </w:p>
        </w:tc>
      </w:tr>
    </w:tbl>
    <w:p w14:paraId="74A68181" w14:textId="77777777" w:rsidR="00291682" w:rsidRDefault="00291682">
      <w:pPr>
        <w:spacing w:before="0" w:after="0"/>
        <w:rPr>
          <w:b/>
          <w:sz w:val="28"/>
        </w:rPr>
      </w:pPr>
      <w:bookmarkStart w:id="63" w:name="_Toc497338867"/>
      <w:r>
        <w:rPr>
          <w:sz w:val="28"/>
        </w:rPr>
        <w:br w:type="page"/>
      </w:r>
    </w:p>
    <w:p w14:paraId="32C31D29" w14:textId="77777777" w:rsidR="00F77C05" w:rsidRPr="006B49DA" w:rsidRDefault="007D603E" w:rsidP="00AD6B15">
      <w:pPr>
        <w:pStyle w:val="Heading2"/>
        <w:numPr>
          <w:ilvl w:val="0"/>
          <w:numId w:val="6"/>
        </w:numPr>
      </w:pPr>
      <w:r w:rsidRPr="006B49DA">
        <w:lastRenderedPageBreak/>
        <w:t>S</w:t>
      </w:r>
      <w:r w:rsidR="00F77C05" w:rsidRPr="006B49DA">
        <w:t>o</w:t>
      </w:r>
      <w:r w:rsidR="00183373" w:rsidRPr="006B49DA">
        <w:t>u</w:t>
      </w:r>
      <w:r w:rsidR="00F77C05" w:rsidRPr="006B49DA">
        <w:t>thern California Edison (SCE)</w:t>
      </w:r>
      <w:bookmarkEnd w:id="63"/>
    </w:p>
    <w:p w14:paraId="02428BEF" w14:textId="77777777" w:rsidR="007A64B7" w:rsidRPr="007A64B7" w:rsidRDefault="007A64B7" w:rsidP="008E7BDB">
      <w:pPr>
        <w:jc w:val="both"/>
        <w:rPr>
          <w:b/>
          <w:szCs w:val="26"/>
        </w:rPr>
      </w:pPr>
      <w:r w:rsidRPr="00F179B9">
        <w:rPr>
          <w:b/>
          <w:szCs w:val="26"/>
        </w:rPr>
        <w:t xml:space="preserve">The Commission approves </w:t>
      </w:r>
      <w:r w:rsidR="00264683" w:rsidRPr="00F179B9">
        <w:rPr>
          <w:b/>
          <w:szCs w:val="26"/>
        </w:rPr>
        <w:t>an</w:t>
      </w:r>
      <w:r w:rsidR="00A4376A" w:rsidRPr="00F179B9">
        <w:rPr>
          <w:b/>
          <w:szCs w:val="26"/>
        </w:rPr>
        <w:t xml:space="preserve"> </w:t>
      </w:r>
      <w:r w:rsidRPr="00F179B9">
        <w:rPr>
          <w:b/>
          <w:szCs w:val="26"/>
        </w:rPr>
        <w:t>incentive amount of</w:t>
      </w:r>
      <w:r w:rsidR="00264683" w:rsidRPr="00F179B9">
        <w:rPr>
          <w:b/>
          <w:szCs w:val="26"/>
        </w:rPr>
        <w:t xml:space="preserve"> </w:t>
      </w:r>
      <w:r w:rsidR="00F179B9">
        <w:rPr>
          <w:b/>
          <w:szCs w:val="26"/>
        </w:rPr>
        <w:t>$</w:t>
      </w:r>
      <w:r w:rsidR="00F179B9" w:rsidRPr="00F179B9">
        <w:rPr>
          <w:b/>
          <w:szCs w:val="26"/>
        </w:rPr>
        <w:t>10,574,269</w:t>
      </w:r>
      <w:r w:rsidR="00264683">
        <w:rPr>
          <w:b/>
          <w:szCs w:val="26"/>
        </w:rPr>
        <w:t xml:space="preserve"> </w:t>
      </w:r>
      <w:r w:rsidR="00264683">
        <w:rPr>
          <w:b/>
        </w:rPr>
        <w:t xml:space="preserve">for SCE, which is </w:t>
      </w:r>
      <w:r w:rsidR="00264683" w:rsidRPr="00F179B9">
        <w:rPr>
          <w:b/>
        </w:rPr>
        <w:t>$</w:t>
      </w:r>
      <w:r w:rsidR="00CB00DE" w:rsidRPr="00CB00DE">
        <w:rPr>
          <w:b/>
        </w:rPr>
        <w:t>463,996</w:t>
      </w:r>
      <w:r w:rsidR="00264683">
        <w:rPr>
          <w:b/>
        </w:rPr>
        <w:t xml:space="preserve"> less than their requested amount of</w:t>
      </w:r>
      <w:r w:rsidRPr="00F179B9">
        <w:rPr>
          <w:b/>
          <w:szCs w:val="26"/>
        </w:rPr>
        <w:t xml:space="preserve"> $11,038,265</w:t>
      </w:r>
      <w:r w:rsidR="00A4376A" w:rsidRPr="00F179B9">
        <w:rPr>
          <w:b/>
          <w:szCs w:val="26"/>
        </w:rPr>
        <w:t>.</w:t>
      </w:r>
    </w:p>
    <w:p w14:paraId="4DFF01BA" w14:textId="77777777" w:rsidR="00C3640F" w:rsidRPr="00C3640F" w:rsidRDefault="00C3640F" w:rsidP="008E7BDB">
      <w:pPr>
        <w:jc w:val="both"/>
        <w:rPr>
          <w:szCs w:val="26"/>
        </w:rPr>
      </w:pPr>
      <w:r>
        <w:rPr>
          <w:szCs w:val="26"/>
        </w:rPr>
        <w:t>SC</w:t>
      </w:r>
      <w:r w:rsidRPr="00C3640F">
        <w:rPr>
          <w:szCs w:val="26"/>
        </w:rPr>
        <w:t xml:space="preserve">E’s submitted program </w:t>
      </w:r>
      <w:r w:rsidR="006A4693" w:rsidRPr="00C3640F">
        <w:rPr>
          <w:szCs w:val="26"/>
        </w:rPr>
        <w:t xml:space="preserve">savings and </w:t>
      </w:r>
      <w:r w:rsidRPr="00C3640F">
        <w:rPr>
          <w:szCs w:val="26"/>
        </w:rPr>
        <w:t xml:space="preserve">expenditures were both modified based on the adjustments listed earlier. </w:t>
      </w:r>
      <w:r w:rsidR="003C6EBC" w:rsidRPr="00BA0502">
        <w:rPr>
          <w:b/>
          <w:szCs w:val="26"/>
        </w:rPr>
        <w:t xml:space="preserve">SCE’s </w:t>
      </w:r>
      <w:r w:rsidR="001D3A73" w:rsidRPr="00BA0502">
        <w:rPr>
          <w:b/>
        </w:rPr>
        <w:t>ESPI Advice Letter</w:t>
      </w:r>
      <w:r w:rsidR="003C6EBC" w:rsidRPr="00BA0502">
        <w:rPr>
          <w:b/>
        </w:rPr>
        <w:t xml:space="preserve"> </w:t>
      </w:r>
      <w:r w:rsidR="003C6EBC" w:rsidRPr="00BA0502">
        <w:rPr>
          <w:b/>
          <w:szCs w:val="26"/>
        </w:rPr>
        <w:t>matched their CEDARS filing.</w:t>
      </w:r>
    </w:p>
    <w:p w14:paraId="4AF2155D" w14:textId="77777777" w:rsidR="00494142" w:rsidRDefault="00494142" w:rsidP="008E7BDB">
      <w:pPr>
        <w:jc w:val="both"/>
      </w:pPr>
      <w:r>
        <w:t>SC</w:t>
      </w:r>
      <w:r w:rsidRPr="009960A6">
        <w:t xml:space="preserve">E requests </w:t>
      </w:r>
      <w:r w:rsidR="00EB5149" w:rsidRPr="002F089E">
        <w:t>$</w:t>
      </w:r>
      <w:r w:rsidR="002F089E" w:rsidRPr="002F089E">
        <w:t xml:space="preserve">11,038,265 </w:t>
      </w:r>
      <w:r w:rsidR="00EB5149" w:rsidRPr="009960A6">
        <w:t>in</w:t>
      </w:r>
      <w:r w:rsidR="00EB5149">
        <w:t xml:space="preserve"> their 2018 ESPI Advice Letter as detailed below:</w:t>
      </w:r>
    </w:p>
    <w:p w14:paraId="442A64A1" w14:textId="77777777" w:rsidR="0015526B" w:rsidRPr="00FB2F09" w:rsidRDefault="0015526B" w:rsidP="00B47FF2">
      <w:pPr>
        <w:pStyle w:val="Heading3"/>
        <w:numPr>
          <w:ilvl w:val="0"/>
          <w:numId w:val="0"/>
        </w:numPr>
        <w:spacing w:before="240" w:after="240"/>
        <w:jc w:val="both"/>
        <w:rPr>
          <w:u w:val="single"/>
        </w:rPr>
      </w:pPr>
      <w:bookmarkStart w:id="64" w:name="_Toc496814006"/>
      <w:bookmarkStart w:id="65" w:name="_Toc497338872"/>
      <w:r w:rsidRPr="00FB2F09">
        <w:t xml:space="preserve">1.1 </w:t>
      </w:r>
      <w:r>
        <w:rPr>
          <w:u w:val="single"/>
        </w:rPr>
        <w:t>Energy</w:t>
      </w:r>
      <w:r w:rsidRPr="00FB2F09">
        <w:rPr>
          <w:u w:val="single"/>
        </w:rPr>
        <w:t xml:space="preserve"> Efficiency Resource Savings </w:t>
      </w:r>
    </w:p>
    <w:p w14:paraId="29635825" w14:textId="77777777" w:rsidR="0015526B" w:rsidRDefault="0015526B" w:rsidP="00B47FF2">
      <w:pPr>
        <w:pStyle w:val="ListParagraph"/>
        <w:numPr>
          <w:ilvl w:val="0"/>
          <w:numId w:val="5"/>
        </w:numPr>
        <w:spacing w:after="60"/>
        <w:ind w:left="778"/>
        <w:contextualSpacing w:val="0"/>
        <w:jc w:val="both"/>
      </w:pPr>
      <w:r w:rsidRPr="00F275DE">
        <w:t>201</w:t>
      </w:r>
      <w:r>
        <w:t>6</w:t>
      </w:r>
      <w:r w:rsidRPr="00F275DE">
        <w:t xml:space="preserve"> Ex-Post Energy Savings </w:t>
      </w:r>
    </w:p>
    <w:tbl>
      <w:tblPr>
        <w:tblW w:w="9000" w:type="dxa"/>
        <w:jc w:val="right"/>
        <w:tblCellMar>
          <w:left w:w="0" w:type="dxa"/>
          <w:right w:w="0" w:type="dxa"/>
        </w:tblCellMar>
        <w:tblLook w:val="04A0" w:firstRow="1" w:lastRow="0" w:firstColumn="1" w:lastColumn="0" w:noHBand="0" w:noVBand="1"/>
      </w:tblPr>
      <w:tblGrid>
        <w:gridCol w:w="2960"/>
        <w:gridCol w:w="2013"/>
        <w:gridCol w:w="2013"/>
        <w:gridCol w:w="2014"/>
      </w:tblGrid>
      <w:tr w:rsidR="00A52B69" w14:paraId="393D6584" w14:textId="77777777">
        <w:trPr>
          <w:trHeight w:val="493"/>
          <w:jc w:val="right"/>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3394D3E" w14:textId="77777777" w:rsidR="0015526B" w:rsidRPr="00342659" w:rsidRDefault="0015526B" w:rsidP="00B47FF2">
            <w:pPr>
              <w:spacing w:before="60" w:after="60"/>
              <w:jc w:val="center"/>
              <w:rPr>
                <w:b/>
              </w:rPr>
            </w:pPr>
            <w:r w:rsidRPr="00547822">
              <w:rPr>
                <w:b/>
              </w:rPr>
              <w:t>ESPI Component</w:t>
            </w:r>
          </w:p>
        </w:tc>
        <w:tc>
          <w:tcPr>
            <w:tcW w:w="2013" w:type="dxa"/>
            <w:tcBorders>
              <w:top w:val="single" w:sz="8" w:space="0" w:color="auto"/>
              <w:left w:val="single" w:sz="4" w:space="0" w:color="auto"/>
              <w:bottom w:val="single" w:sz="8" w:space="0" w:color="auto"/>
              <w:right w:val="single" w:sz="4" w:space="0" w:color="auto"/>
            </w:tcBorders>
            <w:vAlign w:val="center"/>
          </w:tcPr>
          <w:p w14:paraId="28554081" w14:textId="77777777" w:rsidR="0015526B" w:rsidRDefault="0015526B" w:rsidP="00B47FF2">
            <w:pPr>
              <w:spacing w:before="60" w:after="60"/>
              <w:jc w:val="center"/>
              <w:rPr>
                <w:b/>
              </w:rPr>
            </w:pPr>
            <w:r w:rsidRPr="00342659">
              <w:rPr>
                <w:b/>
              </w:rPr>
              <w:t>201</w:t>
            </w:r>
            <w:r>
              <w:rPr>
                <w:b/>
              </w:rPr>
              <w:t>6</w:t>
            </w:r>
            <w:r w:rsidRPr="00342659">
              <w:rPr>
                <w:b/>
              </w:rPr>
              <w:t xml:space="preserve"> Cap</w:t>
            </w:r>
            <w:r>
              <w:rPr>
                <w:b/>
              </w:rPr>
              <w:t>*</w:t>
            </w:r>
          </w:p>
        </w:tc>
        <w:tc>
          <w:tcPr>
            <w:tcW w:w="201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69986DCD" w14:textId="77777777" w:rsidR="0015526B" w:rsidRPr="00547822" w:rsidRDefault="0015526B" w:rsidP="00B47FF2">
            <w:pPr>
              <w:spacing w:before="60" w:after="60"/>
              <w:jc w:val="center"/>
              <w:rPr>
                <w:rFonts w:eastAsiaTheme="minorHAnsi"/>
                <w:b/>
              </w:rPr>
            </w:pPr>
            <w:r>
              <w:rPr>
                <w:b/>
              </w:rPr>
              <w:t>Requested</w:t>
            </w:r>
          </w:p>
        </w:tc>
        <w:tc>
          <w:tcPr>
            <w:tcW w:w="20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7B9429E" w14:textId="77777777" w:rsidR="0015526B" w:rsidRPr="00670027" w:rsidRDefault="0015526B" w:rsidP="00B47FF2">
            <w:pPr>
              <w:spacing w:before="60" w:after="60"/>
              <w:jc w:val="center"/>
              <w:rPr>
                <w:rFonts w:eastAsiaTheme="minorHAnsi"/>
                <w:b/>
              </w:rPr>
            </w:pPr>
            <w:r>
              <w:rPr>
                <w:b/>
              </w:rPr>
              <w:t>Approved</w:t>
            </w:r>
          </w:p>
        </w:tc>
      </w:tr>
      <w:tr w:rsidR="00A52B69" w14:paraId="36E472D6" w14:textId="77777777">
        <w:trPr>
          <w:trHeight w:val="520"/>
          <w:jc w:val="right"/>
        </w:trPr>
        <w:tc>
          <w:tcPr>
            <w:tcW w:w="29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36C42B0" w14:textId="77777777" w:rsidR="002F089E" w:rsidRPr="001F5F04" w:rsidRDefault="002F089E" w:rsidP="00B47FF2">
            <w:pPr>
              <w:spacing w:before="60" w:after="60"/>
              <w:jc w:val="center"/>
              <w:rPr>
                <w:rFonts w:eastAsiaTheme="minorHAnsi"/>
                <w:szCs w:val="26"/>
              </w:rPr>
            </w:pPr>
            <w:r w:rsidRPr="001F5F04">
              <w:rPr>
                <w:szCs w:val="26"/>
              </w:rPr>
              <w:t>201</w:t>
            </w:r>
            <w:r>
              <w:rPr>
                <w:szCs w:val="26"/>
              </w:rPr>
              <w:t>6</w:t>
            </w:r>
            <w:r w:rsidRPr="001F5F04">
              <w:rPr>
                <w:szCs w:val="26"/>
              </w:rPr>
              <w:t xml:space="preserve"> Ex-Post Savings</w:t>
            </w:r>
          </w:p>
        </w:tc>
        <w:tc>
          <w:tcPr>
            <w:tcW w:w="2013" w:type="dxa"/>
            <w:tcBorders>
              <w:top w:val="single" w:sz="8" w:space="0" w:color="auto"/>
              <w:left w:val="single" w:sz="4" w:space="0" w:color="auto"/>
              <w:bottom w:val="single" w:sz="4" w:space="0" w:color="auto"/>
              <w:right w:val="single" w:sz="4" w:space="0" w:color="auto"/>
            </w:tcBorders>
            <w:vAlign w:val="center"/>
          </w:tcPr>
          <w:p w14:paraId="6B470338" w14:textId="77777777" w:rsidR="002F089E" w:rsidRPr="001F5F04" w:rsidRDefault="002F089E" w:rsidP="00B47FF2">
            <w:pPr>
              <w:spacing w:before="60" w:after="60"/>
              <w:jc w:val="center"/>
              <w:rPr>
                <w:rFonts w:eastAsiaTheme="minorHAnsi"/>
                <w:szCs w:val="26"/>
              </w:rPr>
            </w:pPr>
            <w:r>
              <w:rPr>
                <w:rFonts w:eastAsiaTheme="minorHAnsi"/>
                <w:szCs w:val="26"/>
              </w:rPr>
              <w:t>$</w:t>
            </w:r>
            <w:r w:rsidRPr="00230D80">
              <w:rPr>
                <w:rFonts w:eastAsiaTheme="minorHAnsi"/>
                <w:szCs w:val="26"/>
              </w:rPr>
              <w:t>14,244,395</w:t>
            </w:r>
          </w:p>
        </w:tc>
        <w:tc>
          <w:tcPr>
            <w:tcW w:w="2013"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1E537EC5" w14:textId="77777777" w:rsidR="002F089E" w:rsidRPr="001F5F04" w:rsidRDefault="002F089E" w:rsidP="00B47FF2">
            <w:pPr>
              <w:spacing w:before="60" w:after="60"/>
              <w:jc w:val="center"/>
              <w:rPr>
                <w:rFonts w:eastAsiaTheme="minorHAnsi"/>
                <w:szCs w:val="26"/>
              </w:rPr>
            </w:pPr>
            <w:r>
              <w:rPr>
                <w:rFonts w:eastAsiaTheme="minorHAnsi"/>
                <w:szCs w:val="26"/>
              </w:rPr>
              <w:t>$</w:t>
            </w:r>
            <w:r w:rsidRPr="00EA69FA">
              <w:rPr>
                <w:rFonts w:eastAsiaTheme="minorHAnsi"/>
                <w:szCs w:val="26"/>
              </w:rPr>
              <w:t>4,460,393</w:t>
            </w:r>
          </w:p>
        </w:tc>
        <w:tc>
          <w:tcPr>
            <w:tcW w:w="201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4331620" w14:textId="77777777" w:rsidR="002F089E" w:rsidRPr="001F5F04" w:rsidRDefault="002F089E" w:rsidP="00B47FF2">
            <w:pPr>
              <w:spacing w:before="60" w:after="60"/>
              <w:jc w:val="center"/>
              <w:rPr>
                <w:szCs w:val="26"/>
              </w:rPr>
            </w:pPr>
            <w:r>
              <w:rPr>
                <w:rFonts w:eastAsiaTheme="minorHAnsi"/>
                <w:szCs w:val="26"/>
              </w:rPr>
              <w:t>$</w:t>
            </w:r>
            <w:r w:rsidRPr="00EA69FA">
              <w:rPr>
                <w:rFonts w:eastAsiaTheme="minorHAnsi"/>
                <w:szCs w:val="26"/>
              </w:rPr>
              <w:t>4,460,393</w:t>
            </w:r>
          </w:p>
        </w:tc>
      </w:tr>
    </w:tbl>
    <w:p w14:paraId="751651D5" w14:textId="77777777" w:rsidR="009768FE" w:rsidRPr="006B49DA" w:rsidRDefault="0015526B" w:rsidP="00B47FF2">
      <w:pPr>
        <w:jc w:val="center"/>
        <w:rPr>
          <w:sz w:val="22"/>
          <w:szCs w:val="22"/>
        </w:rPr>
      </w:pPr>
      <w:r w:rsidRPr="002A620F">
        <w:rPr>
          <w:sz w:val="22"/>
          <w:szCs w:val="22"/>
        </w:rPr>
        <w:t>*201</w:t>
      </w:r>
      <w:r>
        <w:rPr>
          <w:sz w:val="22"/>
          <w:szCs w:val="22"/>
        </w:rPr>
        <w:t>6</w:t>
      </w:r>
      <w:r w:rsidRPr="002A620F">
        <w:rPr>
          <w:sz w:val="22"/>
          <w:szCs w:val="22"/>
        </w:rPr>
        <w:t xml:space="preserve"> Savings award Cap minus 201</w:t>
      </w:r>
      <w:r>
        <w:rPr>
          <w:sz w:val="22"/>
          <w:szCs w:val="22"/>
        </w:rPr>
        <w:t>6</w:t>
      </w:r>
      <w:r w:rsidRPr="002A620F">
        <w:rPr>
          <w:sz w:val="22"/>
          <w:szCs w:val="22"/>
        </w:rPr>
        <w:t xml:space="preserve"> Ex-Ante Savings Awards Earned in 201</w:t>
      </w:r>
      <w:r>
        <w:rPr>
          <w:sz w:val="22"/>
          <w:szCs w:val="22"/>
        </w:rPr>
        <w:t>7</w:t>
      </w:r>
    </w:p>
    <w:p w14:paraId="744E4D44" w14:textId="77777777" w:rsidR="0015526B" w:rsidRPr="00A53C26" w:rsidRDefault="0015526B" w:rsidP="00B47FF2">
      <w:pPr>
        <w:pStyle w:val="ListParagraph"/>
        <w:numPr>
          <w:ilvl w:val="0"/>
          <w:numId w:val="5"/>
        </w:numPr>
        <w:spacing w:before="240" w:after="60"/>
        <w:ind w:left="778"/>
        <w:contextualSpacing w:val="0"/>
        <w:jc w:val="both"/>
        <w:rPr>
          <w:szCs w:val="26"/>
        </w:rPr>
      </w:pPr>
      <w:r w:rsidRPr="00F170DD">
        <w:rPr>
          <w:szCs w:val="26"/>
        </w:rPr>
        <w:t>201</w:t>
      </w:r>
      <w:r>
        <w:rPr>
          <w:szCs w:val="26"/>
        </w:rPr>
        <w:t>7</w:t>
      </w:r>
      <w:r w:rsidRPr="00F170DD">
        <w:rPr>
          <w:szCs w:val="26"/>
        </w:rPr>
        <w:t xml:space="preserve"> Ex-Ante Energy Savings </w:t>
      </w:r>
    </w:p>
    <w:tbl>
      <w:tblPr>
        <w:tblW w:w="9000" w:type="dxa"/>
        <w:jc w:val="right"/>
        <w:tblCellMar>
          <w:left w:w="0" w:type="dxa"/>
          <w:right w:w="0" w:type="dxa"/>
        </w:tblCellMar>
        <w:tblLook w:val="04A0" w:firstRow="1" w:lastRow="0" w:firstColumn="1" w:lastColumn="0" w:noHBand="0" w:noVBand="1"/>
      </w:tblPr>
      <w:tblGrid>
        <w:gridCol w:w="2960"/>
        <w:gridCol w:w="2013"/>
        <w:gridCol w:w="2013"/>
        <w:gridCol w:w="2014"/>
      </w:tblGrid>
      <w:tr w:rsidR="00A52B69" w14:paraId="5A7B8609" w14:textId="77777777">
        <w:trPr>
          <w:trHeight w:val="475"/>
          <w:jc w:val="right"/>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F71153" w14:textId="77777777" w:rsidR="0015526B" w:rsidRPr="00670027" w:rsidRDefault="0015526B" w:rsidP="00B47FF2">
            <w:pPr>
              <w:spacing w:before="60" w:after="60"/>
              <w:jc w:val="center"/>
              <w:rPr>
                <w:b/>
              </w:rPr>
            </w:pPr>
            <w:r w:rsidRPr="00670027">
              <w:rPr>
                <w:b/>
              </w:rPr>
              <w:t>ESPI Component</w:t>
            </w:r>
          </w:p>
        </w:tc>
        <w:tc>
          <w:tcPr>
            <w:tcW w:w="2013" w:type="dxa"/>
            <w:tcBorders>
              <w:top w:val="single" w:sz="8" w:space="0" w:color="auto"/>
              <w:left w:val="nil"/>
              <w:bottom w:val="single" w:sz="8" w:space="0" w:color="auto"/>
              <w:right w:val="single" w:sz="4" w:space="0" w:color="auto"/>
            </w:tcBorders>
            <w:vAlign w:val="center"/>
          </w:tcPr>
          <w:p w14:paraId="7360A572" w14:textId="77777777" w:rsidR="0015526B" w:rsidRPr="00670027" w:rsidRDefault="0015526B" w:rsidP="00B47FF2">
            <w:pPr>
              <w:spacing w:before="60" w:after="60"/>
              <w:jc w:val="center"/>
              <w:rPr>
                <w:b/>
              </w:rPr>
            </w:pPr>
            <w:r w:rsidRPr="00670027">
              <w:rPr>
                <w:b/>
              </w:rPr>
              <w:t>201</w:t>
            </w:r>
            <w:r>
              <w:rPr>
                <w:b/>
              </w:rPr>
              <w:t>7</w:t>
            </w:r>
            <w:r w:rsidRPr="00670027">
              <w:rPr>
                <w:b/>
              </w:rPr>
              <w:t xml:space="preserve"> Cap</w:t>
            </w:r>
          </w:p>
        </w:tc>
        <w:tc>
          <w:tcPr>
            <w:tcW w:w="201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5DB7EFD6" w14:textId="77777777" w:rsidR="0015526B" w:rsidRPr="00670027" w:rsidRDefault="0015526B" w:rsidP="00B47FF2">
            <w:pPr>
              <w:spacing w:before="60" w:after="60"/>
              <w:jc w:val="center"/>
              <w:rPr>
                <w:b/>
              </w:rPr>
            </w:pPr>
            <w:r>
              <w:rPr>
                <w:b/>
              </w:rPr>
              <w:t>Requested</w:t>
            </w:r>
          </w:p>
        </w:tc>
        <w:tc>
          <w:tcPr>
            <w:tcW w:w="20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478D475" w14:textId="77777777" w:rsidR="0015526B" w:rsidRPr="00670027" w:rsidRDefault="0015526B" w:rsidP="00B47FF2">
            <w:pPr>
              <w:spacing w:before="60" w:after="60"/>
              <w:jc w:val="center"/>
              <w:rPr>
                <w:b/>
              </w:rPr>
            </w:pPr>
            <w:r>
              <w:rPr>
                <w:b/>
              </w:rPr>
              <w:t>Approved</w:t>
            </w:r>
          </w:p>
        </w:tc>
      </w:tr>
      <w:tr w:rsidR="00A52B69" w14:paraId="56CC90A2" w14:textId="77777777">
        <w:trPr>
          <w:trHeight w:val="502"/>
          <w:jc w:val="right"/>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FD1F916" w14:textId="77777777" w:rsidR="002F089E" w:rsidRPr="001F5F04" w:rsidRDefault="002F089E" w:rsidP="00B47FF2">
            <w:pPr>
              <w:spacing w:before="60" w:after="60"/>
              <w:jc w:val="center"/>
              <w:rPr>
                <w:szCs w:val="26"/>
              </w:rPr>
            </w:pPr>
            <w:r w:rsidRPr="001F5F04">
              <w:rPr>
                <w:szCs w:val="26"/>
              </w:rPr>
              <w:t>201</w:t>
            </w:r>
            <w:r>
              <w:rPr>
                <w:szCs w:val="26"/>
              </w:rPr>
              <w:t>7</w:t>
            </w:r>
            <w:r w:rsidRPr="001F5F04">
              <w:rPr>
                <w:szCs w:val="26"/>
              </w:rPr>
              <w:t xml:space="preserve"> Ex-Ante Savings</w:t>
            </w:r>
          </w:p>
        </w:tc>
        <w:tc>
          <w:tcPr>
            <w:tcW w:w="2013" w:type="dxa"/>
            <w:tcBorders>
              <w:top w:val="single" w:sz="8" w:space="0" w:color="auto"/>
              <w:left w:val="nil"/>
              <w:bottom w:val="single" w:sz="8" w:space="0" w:color="auto"/>
              <w:right w:val="single" w:sz="4" w:space="0" w:color="auto"/>
            </w:tcBorders>
            <w:vAlign w:val="center"/>
          </w:tcPr>
          <w:p w14:paraId="454D9776" w14:textId="77777777" w:rsidR="002F089E" w:rsidRPr="001F5F04" w:rsidRDefault="002F089E" w:rsidP="00B47FF2">
            <w:pPr>
              <w:spacing w:before="60" w:after="60"/>
              <w:jc w:val="center"/>
              <w:rPr>
                <w:szCs w:val="26"/>
              </w:rPr>
            </w:pPr>
            <w:r>
              <w:rPr>
                <w:bCs/>
              </w:rPr>
              <w:t>$21,115,891</w:t>
            </w:r>
          </w:p>
        </w:tc>
        <w:tc>
          <w:tcPr>
            <w:tcW w:w="201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4CB854DF" w14:textId="77777777" w:rsidR="002F089E" w:rsidRPr="001F5F04" w:rsidRDefault="002F089E" w:rsidP="00B47FF2">
            <w:pPr>
              <w:spacing w:before="60" w:after="60"/>
              <w:jc w:val="center"/>
              <w:rPr>
                <w:color w:val="000000"/>
                <w:szCs w:val="26"/>
              </w:rPr>
            </w:pPr>
            <w:r>
              <w:rPr>
                <w:color w:val="000000"/>
                <w:szCs w:val="26"/>
              </w:rPr>
              <w:t>$</w:t>
            </w:r>
            <w:r w:rsidRPr="00EA69FA">
              <w:rPr>
                <w:color w:val="000000"/>
                <w:szCs w:val="26"/>
              </w:rPr>
              <w:t>1,947,142</w:t>
            </w:r>
          </w:p>
        </w:tc>
        <w:tc>
          <w:tcPr>
            <w:tcW w:w="20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69CC208" w14:textId="77777777" w:rsidR="002F089E" w:rsidRPr="001F5F04" w:rsidRDefault="002F089E" w:rsidP="00B47FF2">
            <w:pPr>
              <w:spacing w:before="60" w:after="60"/>
              <w:jc w:val="center"/>
              <w:rPr>
                <w:color w:val="000000"/>
                <w:szCs w:val="26"/>
              </w:rPr>
            </w:pPr>
            <w:r>
              <w:rPr>
                <w:color w:val="000000"/>
                <w:szCs w:val="26"/>
              </w:rPr>
              <w:t>$</w:t>
            </w:r>
            <w:r w:rsidRPr="00EA69FA">
              <w:rPr>
                <w:color w:val="000000"/>
                <w:szCs w:val="26"/>
              </w:rPr>
              <w:t>1,947,142</w:t>
            </w:r>
          </w:p>
        </w:tc>
      </w:tr>
    </w:tbl>
    <w:p w14:paraId="00D58DFE" w14:textId="77777777" w:rsidR="0015526B" w:rsidRDefault="0015526B" w:rsidP="00B47FF2">
      <w:pPr>
        <w:pStyle w:val="Heading3"/>
        <w:numPr>
          <w:ilvl w:val="0"/>
          <w:numId w:val="0"/>
        </w:numPr>
        <w:spacing w:before="240"/>
        <w:jc w:val="both"/>
        <w:rPr>
          <w:u w:val="single"/>
        </w:rPr>
      </w:pPr>
      <w:r w:rsidRPr="00F275DE">
        <w:t xml:space="preserve">1.2 </w:t>
      </w:r>
      <w:r w:rsidRPr="00F275DE">
        <w:rPr>
          <w:u w:val="single"/>
        </w:rPr>
        <w:t>Ex-Ante Review (EAR) Process Performance</w:t>
      </w:r>
    </w:p>
    <w:p w14:paraId="1BB4F569" w14:textId="77777777" w:rsidR="00FE7591" w:rsidRPr="00FE7591" w:rsidRDefault="00264683" w:rsidP="00264683">
      <w:pPr>
        <w:ind w:left="360"/>
        <w:jc w:val="both"/>
      </w:pPr>
      <w:r>
        <w:t xml:space="preserve">SCE’s 2017 EAR </w:t>
      </w:r>
      <w:r w:rsidR="006F16AE">
        <w:t>P</w:t>
      </w:r>
      <w:r>
        <w:t>erformance score was weighted by their deemed and custom savings (see section 5).</w:t>
      </w:r>
      <w:r w:rsidRPr="008168CC" w:rsidDel="00264683">
        <w:t xml:space="preserve"> </w:t>
      </w:r>
    </w:p>
    <w:tbl>
      <w:tblPr>
        <w:tblW w:w="90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6"/>
        <w:gridCol w:w="2011"/>
        <w:gridCol w:w="2011"/>
        <w:gridCol w:w="2012"/>
      </w:tblGrid>
      <w:tr w:rsidR="00A52B69" w14:paraId="7B21FD1C" w14:textId="77777777">
        <w:trPr>
          <w:trHeight w:val="500"/>
          <w:jc w:val="right"/>
        </w:trPr>
        <w:tc>
          <w:tcPr>
            <w:tcW w:w="2966" w:type="dxa"/>
            <w:tcMar>
              <w:top w:w="0" w:type="dxa"/>
              <w:left w:w="108" w:type="dxa"/>
              <w:bottom w:w="0" w:type="dxa"/>
              <w:right w:w="108" w:type="dxa"/>
            </w:tcMar>
            <w:vAlign w:val="center"/>
          </w:tcPr>
          <w:p w14:paraId="0837701A" w14:textId="77777777" w:rsidR="0015526B" w:rsidRPr="00547822" w:rsidRDefault="0015526B" w:rsidP="00B47FF2">
            <w:pPr>
              <w:spacing w:before="60" w:after="60"/>
              <w:jc w:val="center"/>
              <w:rPr>
                <w:rFonts w:ascii="Calibri" w:eastAsiaTheme="minorHAnsi" w:hAnsi="Calibri"/>
              </w:rPr>
            </w:pPr>
            <w:r w:rsidRPr="00547822">
              <w:rPr>
                <w:b/>
              </w:rPr>
              <w:t>ESPI Component</w:t>
            </w:r>
          </w:p>
        </w:tc>
        <w:tc>
          <w:tcPr>
            <w:tcW w:w="2011" w:type="dxa"/>
            <w:vAlign w:val="center"/>
          </w:tcPr>
          <w:p w14:paraId="51D441D7" w14:textId="77777777" w:rsidR="0015526B" w:rsidRPr="00547822" w:rsidRDefault="0015526B" w:rsidP="00B47FF2">
            <w:pPr>
              <w:spacing w:before="60" w:after="60"/>
              <w:jc w:val="center"/>
              <w:rPr>
                <w:b/>
              </w:rPr>
            </w:pPr>
            <w:r w:rsidRPr="00547822">
              <w:rPr>
                <w:b/>
              </w:rPr>
              <w:t>201</w:t>
            </w:r>
            <w:r>
              <w:rPr>
                <w:b/>
              </w:rPr>
              <w:t>7</w:t>
            </w:r>
            <w:r w:rsidRPr="00547822">
              <w:rPr>
                <w:b/>
              </w:rPr>
              <w:t xml:space="preserve"> Cap</w:t>
            </w:r>
          </w:p>
        </w:tc>
        <w:tc>
          <w:tcPr>
            <w:tcW w:w="2011" w:type="dxa"/>
            <w:tcMar>
              <w:top w:w="0" w:type="dxa"/>
              <w:left w:w="108" w:type="dxa"/>
              <w:bottom w:w="0" w:type="dxa"/>
              <w:right w:w="108" w:type="dxa"/>
            </w:tcMar>
            <w:vAlign w:val="center"/>
          </w:tcPr>
          <w:p w14:paraId="56EEB3A0" w14:textId="77777777" w:rsidR="0015526B" w:rsidRPr="00547822" w:rsidRDefault="0015526B" w:rsidP="00B47FF2">
            <w:pPr>
              <w:spacing w:before="60" w:after="60"/>
              <w:jc w:val="center"/>
              <w:rPr>
                <w:rFonts w:ascii="Calibri" w:eastAsiaTheme="minorHAnsi" w:hAnsi="Calibri"/>
                <w:b/>
              </w:rPr>
            </w:pPr>
            <w:r>
              <w:rPr>
                <w:b/>
              </w:rPr>
              <w:t>Requested</w:t>
            </w:r>
          </w:p>
        </w:tc>
        <w:tc>
          <w:tcPr>
            <w:tcW w:w="2012" w:type="dxa"/>
            <w:vAlign w:val="center"/>
          </w:tcPr>
          <w:p w14:paraId="1E6DF378" w14:textId="77777777" w:rsidR="0015526B" w:rsidRPr="00547822" w:rsidRDefault="0015526B" w:rsidP="00B47FF2">
            <w:pPr>
              <w:spacing w:before="60" w:after="60"/>
              <w:jc w:val="center"/>
              <w:rPr>
                <w:b/>
              </w:rPr>
            </w:pPr>
            <w:r>
              <w:rPr>
                <w:b/>
              </w:rPr>
              <w:t>Approved</w:t>
            </w:r>
          </w:p>
        </w:tc>
      </w:tr>
      <w:tr w:rsidR="00A52B69" w14:paraId="344A8CE0" w14:textId="77777777">
        <w:trPr>
          <w:trHeight w:val="569"/>
          <w:jc w:val="right"/>
        </w:trPr>
        <w:tc>
          <w:tcPr>
            <w:tcW w:w="2966" w:type="dxa"/>
            <w:tcMar>
              <w:top w:w="0" w:type="dxa"/>
              <w:left w:w="108" w:type="dxa"/>
              <w:bottom w:w="0" w:type="dxa"/>
              <w:right w:w="108" w:type="dxa"/>
            </w:tcMar>
            <w:vAlign w:val="center"/>
          </w:tcPr>
          <w:p w14:paraId="61F8160D" w14:textId="77777777" w:rsidR="00777365" w:rsidRPr="002F089E" w:rsidRDefault="00777365" w:rsidP="00B47FF2">
            <w:pPr>
              <w:spacing w:before="60" w:after="60"/>
              <w:jc w:val="center"/>
              <w:rPr>
                <w:szCs w:val="26"/>
              </w:rPr>
            </w:pPr>
            <w:r w:rsidRPr="001F5F04">
              <w:rPr>
                <w:szCs w:val="26"/>
              </w:rPr>
              <w:t>201</w:t>
            </w:r>
            <w:r>
              <w:rPr>
                <w:szCs w:val="26"/>
              </w:rPr>
              <w:t>7</w:t>
            </w:r>
            <w:r w:rsidRPr="001F5F04">
              <w:rPr>
                <w:szCs w:val="26"/>
              </w:rPr>
              <w:t xml:space="preserve"> EAR Performance</w:t>
            </w:r>
          </w:p>
        </w:tc>
        <w:tc>
          <w:tcPr>
            <w:tcW w:w="2011" w:type="dxa"/>
            <w:tcMar>
              <w:left w:w="14" w:type="dxa"/>
              <w:right w:w="14" w:type="dxa"/>
            </w:tcMar>
            <w:vAlign w:val="center"/>
          </w:tcPr>
          <w:p w14:paraId="0572ECBC" w14:textId="77777777" w:rsidR="00777365" w:rsidRPr="002F089E" w:rsidRDefault="00A4271D" w:rsidP="00B47FF2">
            <w:pPr>
              <w:spacing w:before="60" w:after="60"/>
              <w:jc w:val="center"/>
              <w:rPr>
                <w:szCs w:val="26"/>
              </w:rPr>
            </w:pPr>
            <w:r w:rsidRPr="002F089E">
              <w:rPr>
                <w:szCs w:val="26"/>
              </w:rPr>
              <w:t>$7,038,630</w:t>
            </w:r>
          </w:p>
        </w:tc>
        <w:tc>
          <w:tcPr>
            <w:tcW w:w="2011" w:type="dxa"/>
            <w:tcMar>
              <w:top w:w="0" w:type="dxa"/>
              <w:left w:w="14" w:type="dxa"/>
              <w:bottom w:w="0" w:type="dxa"/>
              <w:right w:w="14" w:type="dxa"/>
            </w:tcMar>
            <w:vAlign w:val="center"/>
          </w:tcPr>
          <w:p w14:paraId="24F08D04" w14:textId="77777777" w:rsidR="00777365" w:rsidRPr="002F089E" w:rsidRDefault="00777365" w:rsidP="00B47FF2">
            <w:pPr>
              <w:spacing w:before="60" w:after="60"/>
              <w:jc w:val="center"/>
              <w:rPr>
                <w:szCs w:val="26"/>
              </w:rPr>
            </w:pPr>
            <w:r w:rsidRPr="002F089E">
              <w:rPr>
                <w:szCs w:val="26"/>
              </w:rPr>
              <w:t xml:space="preserve"> $3,713,618 </w:t>
            </w:r>
          </w:p>
        </w:tc>
        <w:tc>
          <w:tcPr>
            <w:tcW w:w="2012" w:type="dxa"/>
            <w:tcMar>
              <w:left w:w="14" w:type="dxa"/>
              <w:right w:w="14" w:type="dxa"/>
            </w:tcMar>
            <w:vAlign w:val="center"/>
          </w:tcPr>
          <w:p w14:paraId="3B5E8614" w14:textId="77777777" w:rsidR="00777365" w:rsidRPr="00EA12B5" w:rsidRDefault="00CB00DE" w:rsidP="00B47FF2">
            <w:pPr>
              <w:spacing w:before="60" w:after="60"/>
              <w:jc w:val="center"/>
              <w:rPr>
                <w:szCs w:val="26"/>
                <w:highlight w:val="yellow"/>
              </w:rPr>
            </w:pPr>
            <w:r w:rsidRPr="00CB00DE">
              <w:rPr>
                <w:szCs w:val="26"/>
              </w:rPr>
              <w:t>$3,249,622</w:t>
            </w:r>
          </w:p>
        </w:tc>
      </w:tr>
    </w:tbl>
    <w:p w14:paraId="2B0B3E86" w14:textId="77777777" w:rsidR="0015526B" w:rsidRDefault="0015526B" w:rsidP="00B47FF2">
      <w:pPr>
        <w:pStyle w:val="Heading3"/>
        <w:numPr>
          <w:ilvl w:val="0"/>
          <w:numId w:val="0"/>
        </w:numPr>
        <w:spacing w:before="240"/>
        <w:jc w:val="both"/>
      </w:pPr>
      <w:r w:rsidRPr="00DA06ED">
        <w:t xml:space="preserve">1.3 </w:t>
      </w:r>
      <w:r w:rsidRPr="00DA06ED">
        <w:rPr>
          <w:u w:val="single"/>
        </w:rPr>
        <w:t>Codes and Standards</w:t>
      </w:r>
      <w:r w:rsidR="0098585C" w:rsidRPr="0098585C">
        <w:rPr>
          <w:u w:val="single"/>
        </w:rPr>
        <w:t xml:space="preserve"> (C&amp;S) Advocacy Programs</w:t>
      </w:r>
    </w:p>
    <w:p w14:paraId="696A69A7" w14:textId="77777777" w:rsidR="00BA0502" w:rsidRPr="008168CC" w:rsidRDefault="00BA0502" w:rsidP="00B47FF2">
      <w:pPr>
        <w:pStyle w:val="sub2"/>
        <w:spacing w:line="240" w:lineRule="auto"/>
        <w:ind w:firstLine="360"/>
      </w:pPr>
      <w:r w:rsidRPr="008168CC">
        <w:t>SCE’s award is approved as requested.</w:t>
      </w:r>
    </w:p>
    <w:tbl>
      <w:tblPr>
        <w:tblW w:w="9000" w:type="dxa"/>
        <w:jc w:val="right"/>
        <w:tblCellMar>
          <w:left w:w="0" w:type="dxa"/>
          <w:right w:w="0" w:type="dxa"/>
        </w:tblCellMar>
        <w:tblLook w:val="04A0" w:firstRow="1" w:lastRow="0" w:firstColumn="1" w:lastColumn="0" w:noHBand="0" w:noVBand="1"/>
      </w:tblPr>
      <w:tblGrid>
        <w:gridCol w:w="2960"/>
        <w:gridCol w:w="2013"/>
        <w:gridCol w:w="2013"/>
        <w:gridCol w:w="2014"/>
      </w:tblGrid>
      <w:tr w:rsidR="00A52B69" w14:paraId="17F59ADA" w14:textId="77777777">
        <w:trPr>
          <w:trHeight w:val="520"/>
          <w:jc w:val="right"/>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26416BE" w14:textId="77777777" w:rsidR="0015526B" w:rsidRPr="00670027" w:rsidRDefault="0015526B" w:rsidP="00B47FF2">
            <w:pPr>
              <w:spacing w:before="60" w:after="60"/>
              <w:jc w:val="center"/>
              <w:rPr>
                <w:rFonts w:ascii="Calibri" w:eastAsiaTheme="minorHAnsi" w:hAnsi="Calibri"/>
              </w:rPr>
            </w:pPr>
            <w:r w:rsidRPr="00670027">
              <w:rPr>
                <w:b/>
              </w:rPr>
              <w:t>ESPI Component</w:t>
            </w:r>
          </w:p>
        </w:tc>
        <w:tc>
          <w:tcPr>
            <w:tcW w:w="2013" w:type="dxa"/>
            <w:tcBorders>
              <w:top w:val="single" w:sz="8" w:space="0" w:color="auto"/>
              <w:left w:val="nil"/>
              <w:bottom w:val="single" w:sz="8" w:space="0" w:color="auto"/>
              <w:right w:val="single" w:sz="4" w:space="0" w:color="auto"/>
            </w:tcBorders>
            <w:vAlign w:val="center"/>
          </w:tcPr>
          <w:p w14:paraId="44C94027" w14:textId="77777777" w:rsidR="0015526B" w:rsidRPr="00670027" w:rsidRDefault="0015526B" w:rsidP="00B47FF2">
            <w:pPr>
              <w:spacing w:before="60" w:after="60"/>
              <w:jc w:val="center"/>
              <w:rPr>
                <w:b/>
              </w:rPr>
            </w:pPr>
            <w:r w:rsidRPr="00670027">
              <w:rPr>
                <w:b/>
              </w:rPr>
              <w:t>201</w:t>
            </w:r>
            <w:r>
              <w:rPr>
                <w:b/>
              </w:rPr>
              <w:t>7</w:t>
            </w:r>
            <w:r w:rsidRPr="00670027">
              <w:rPr>
                <w:b/>
              </w:rPr>
              <w:t xml:space="preserve"> Cap</w:t>
            </w:r>
          </w:p>
        </w:tc>
        <w:tc>
          <w:tcPr>
            <w:tcW w:w="201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77AEFCCB" w14:textId="77777777" w:rsidR="0015526B" w:rsidRPr="00670027" w:rsidRDefault="0015526B" w:rsidP="00B47FF2">
            <w:pPr>
              <w:spacing w:before="60" w:after="60"/>
              <w:jc w:val="center"/>
              <w:rPr>
                <w:rFonts w:ascii="Calibri" w:eastAsiaTheme="minorHAnsi" w:hAnsi="Calibri"/>
                <w:b/>
              </w:rPr>
            </w:pPr>
            <w:r>
              <w:rPr>
                <w:b/>
              </w:rPr>
              <w:t>Requested</w:t>
            </w:r>
          </w:p>
        </w:tc>
        <w:tc>
          <w:tcPr>
            <w:tcW w:w="20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F24F5C7" w14:textId="77777777" w:rsidR="0015526B" w:rsidRPr="00670027" w:rsidRDefault="0015526B" w:rsidP="00B47FF2">
            <w:pPr>
              <w:spacing w:before="60" w:after="60"/>
              <w:jc w:val="center"/>
              <w:rPr>
                <w:rFonts w:ascii="Calibri" w:eastAsiaTheme="minorHAnsi" w:hAnsi="Calibri"/>
                <w:b/>
              </w:rPr>
            </w:pPr>
            <w:r>
              <w:rPr>
                <w:b/>
              </w:rPr>
              <w:t>Approved</w:t>
            </w:r>
          </w:p>
        </w:tc>
      </w:tr>
      <w:tr w:rsidR="00A52B69" w14:paraId="4496704F" w14:textId="77777777">
        <w:trPr>
          <w:trHeight w:val="475"/>
          <w:jc w:val="right"/>
        </w:trPr>
        <w:tc>
          <w:tcPr>
            <w:tcW w:w="29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4426294" w14:textId="77777777" w:rsidR="00777365" w:rsidRPr="002F089E" w:rsidRDefault="00777365" w:rsidP="00B47FF2">
            <w:pPr>
              <w:spacing w:before="60" w:after="60"/>
              <w:jc w:val="center"/>
              <w:rPr>
                <w:szCs w:val="26"/>
              </w:rPr>
            </w:pPr>
            <w:r w:rsidRPr="001F5F04">
              <w:rPr>
                <w:szCs w:val="26"/>
              </w:rPr>
              <w:t>201</w:t>
            </w:r>
            <w:r>
              <w:rPr>
                <w:szCs w:val="26"/>
              </w:rPr>
              <w:t>7</w:t>
            </w:r>
            <w:r w:rsidRPr="001F5F04">
              <w:rPr>
                <w:szCs w:val="26"/>
              </w:rPr>
              <w:t xml:space="preserve"> </w:t>
            </w:r>
            <w:r w:rsidR="00D97074">
              <w:t>C&amp;S</w:t>
            </w:r>
            <w:r w:rsidR="00D97074" w:rsidRPr="00897112">
              <w:t xml:space="preserve"> </w:t>
            </w:r>
            <w:r w:rsidR="0098585C">
              <w:t>Advocacy</w:t>
            </w:r>
          </w:p>
        </w:tc>
        <w:tc>
          <w:tcPr>
            <w:tcW w:w="2013" w:type="dxa"/>
            <w:tcBorders>
              <w:top w:val="single" w:sz="8" w:space="0" w:color="auto"/>
              <w:left w:val="nil"/>
              <w:bottom w:val="single" w:sz="4" w:space="0" w:color="auto"/>
              <w:right w:val="single" w:sz="4" w:space="0" w:color="auto"/>
            </w:tcBorders>
            <w:vAlign w:val="center"/>
          </w:tcPr>
          <w:p w14:paraId="41CCA93F" w14:textId="77777777" w:rsidR="00777365" w:rsidRPr="001F5F04" w:rsidRDefault="00777365" w:rsidP="00B47FF2">
            <w:pPr>
              <w:spacing w:before="60" w:after="60"/>
              <w:jc w:val="center"/>
              <w:rPr>
                <w:szCs w:val="26"/>
              </w:rPr>
            </w:pPr>
            <w:r w:rsidRPr="002F089E">
              <w:rPr>
                <w:szCs w:val="26"/>
              </w:rPr>
              <w:t xml:space="preserve"> $671,252 </w:t>
            </w:r>
          </w:p>
        </w:tc>
        <w:tc>
          <w:tcPr>
            <w:tcW w:w="2013"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6385BBCA" w14:textId="77777777" w:rsidR="00777365" w:rsidRPr="002F089E" w:rsidRDefault="00777365" w:rsidP="00B47FF2">
            <w:pPr>
              <w:spacing w:before="60" w:after="60"/>
              <w:jc w:val="center"/>
              <w:rPr>
                <w:szCs w:val="26"/>
              </w:rPr>
            </w:pPr>
            <w:r w:rsidRPr="002F089E">
              <w:rPr>
                <w:szCs w:val="26"/>
              </w:rPr>
              <w:t xml:space="preserve"> $474,404 </w:t>
            </w:r>
          </w:p>
        </w:tc>
        <w:tc>
          <w:tcPr>
            <w:tcW w:w="201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C820F6C" w14:textId="77777777" w:rsidR="00777365" w:rsidRPr="002F089E" w:rsidRDefault="00777365" w:rsidP="00B47FF2">
            <w:pPr>
              <w:spacing w:before="60" w:after="60"/>
              <w:jc w:val="center"/>
              <w:rPr>
                <w:szCs w:val="26"/>
              </w:rPr>
            </w:pPr>
            <w:r w:rsidRPr="002F089E">
              <w:rPr>
                <w:szCs w:val="26"/>
              </w:rPr>
              <w:t xml:space="preserve"> $474,404 </w:t>
            </w:r>
          </w:p>
        </w:tc>
      </w:tr>
    </w:tbl>
    <w:p w14:paraId="09589BF4" w14:textId="77777777" w:rsidR="004E330C" w:rsidRDefault="004E330C" w:rsidP="00B47FF2">
      <w:pPr>
        <w:pStyle w:val="Heading3"/>
        <w:numPr>
          <w:ilvl w:val="0"/>
          <w:numId w:val="0"/>
        </w:numPr>
        <w:spacing w:before="200"/>
      </w:pPr>
    </w:p>
    <w:p w14:paraId="5A5F6AE1" w14:textId="671E1D58" w:rsidR="0015526B" w:rsidRDefault="0015526B" w:rsidP="00B47FF2">
      <w:pPr>
        <w:pStyle w:val="Heading3"/>
        <w:numPr>
          <w:ilvl w:val="0"/>
          <w:numId w:val="0"/>
        </w:numPr>
        <w:spacing w:before="200"/>
        <w:rPr>
          <w:u w:val="single"/>
        </w:rPr>
      </w:pPr>
      <w:r w:rsidRPr="00DA06ED">
        <w:t xml:space="preserve">1.4 </w:t>
      </w:r>
      <w:r w:rsidRPr="00DA06ED">
        <w:rPr>
          <w:u w:val="single"/>
        </w:rPr>
        <w:t>Non-Resource Programs</w:t>
      </w:r>
    </w:p>
    <w:p w14:paraId="19940DF6" w14:textId="77777777" w:rsidR="00BA0502" w:rsidRPr="008168CC" w:rsidRDefault="00BA0502" w:rsidP="00B47FF2">
      <w:pPr>
        <w:ind w:firstLine="360"/>
      </w:pPr>
      <w:r w:rsidRPr="008168CC">
        <w:t>SCE’s award is approved as requested.</w:t>
      </w:r>
    </w:p>
    <w:tbl>
      <w:tblPr>
        <w:tblW w:w="9000" w:type="dxa"/>
        <w:jc w:val="right"/>
        <w:tblCellMar>
          <w:left w:w="0" w:type="dxa"/>
          <w:right w:w="0" w:type="dxa"/>
        </w:tblCellMar>
        <w:tblLook w:val="04A0" w:firstRow="1" w:lastRow="0" w:firstColumn="1" w:lastColumn="0" w:noHBand="0" w:noVBand="1"/>
      </w:tblPr>
      <w:tblGrid>
        <w:gridCol w:w="2960"/>
        <w:gridCol w:w="2013"/>
        <w:gridCol w:w="2013"/>
        <w:gridCol w:w="2014"/>
      </w:tblGrid>
      <w:tr w:rsidR="00A52B69" w14:paraId="76780AE8" w14:textId="77777777">
        <w:trPr>
          <w:trHeight w:val="448"/>
          <w:jc w:val="right"/>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FE85023" w14:textId="77777777" w:rsidR="0015526B" w:rsidRPr="00C60E4A" w:rsidRDefault="0015526B" w:rsidP="00B47FF2">
            <w:pPr>
              <w:spacing w:before="60" w:after="60"/>
              <w:jc w:val="center"/>
              <w:rPr>
                <w:rFonts w:ascii="Calibri" w:eastAsiaTheme="minorHAnsi" w:hAnsi="Calibri"/>
              </w:rPr>
            </w:pPr>
            <w:r>
              <w:br w:type="page"/>
            </w:r>
            <w:r w:rsidRPr="00C60E4A">
              <w:rPr>
                <w:b/>
              </w:rPr>
              <w:t>ESPI Component</w:t>
            </w:r>
          </w:p>
        </w:tc>
        <w:tc>
          <w:tcPr>
            <w:tcW w:w="2013" w:type="dxa"/>
            <w:tcBorders>
              <w:top w:val="single" w:sz="8" w:space="0" w:color="auto"/>
              <w:left w:val="nil"/>
              <w:bottom w:val="single" w:sz="8" w:space="0" w:color="auto"/>
              <w:right w:val="single" w:sz="4" w:space="0" w:color="auto"/>
            </w:tcBorders>
            <w:vAlign w:val="center"/>
          </w:tcPr>
          <w:p w14:paraId="6E572A46" w14:textId="77777777" w:rsidR="0015526B" w:rsidRPr="00C60E4A" w:rsidRDefault="0015526B" w:rsidP="00B47FF2">
            <w:pPr>
              <w:spacing w:before="60" w:after="60"/>
              <w:jc w:val="center"/>
              <w:rPr>
                <w:b/>
              </w:rPr>
            </w:pPr>
            <w:r w:rsidRPr="00C60E4A">
              <w:rPr>
                <w:b/>
              </w:rPr>
              <w:t>201</w:t>
            </w:r>
            <w:r>
              <w:rPr>
                <w:b/>
              </w:rPr>
              <w:t>7</w:t>
            </w:r>
            <w:r w:rsidRPr="00C60E4A">
              <w:rPr>
                <w:b/>
              </w:rPr>
              <w:t xml:space="preserve"> Cap</w:t>
            </w:r>
          </w:p>
        </w:tc>
        <w:tc>
          <w:tcPr>
            <w:tcW w:w="201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20FDBE49" w14:textId="77777777" w:rsidR="0015526B" w:rsidRPr="00C60E4A" w:rsidRDefault="0015526B" w:rsidP="00B47FF2">
            <w:pPr>
              <w:spacing w:before="60" w:after="60"/>
              <w:jc w:val="center"/>
              <w:rPr>
                <w:rFonts w:ascii="Calibri" w:eastAsiaTheme="minorHAnsi" w:hAnsi="Calibri"/>
                <w:b/>
              </w:rPr>
            </w:pPr>
            <w:r>
              <w:rPr>
                <w:b/>
              </w:rPr>
              <w:t>Requested</w:t>
            </w:r>
          </w:p>
        </w:tc>
        <w:tc>
          <w:tcPr>
            <w:tcW w:w="20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179BDED" w14:textId="77777777" w:rsidR="0015526B" w:rsidRPr="00C60E4A" w:rsidRDefault="0015526B" w:rsidP="00B47FF2">
            <w:pPr>
              <w:spacing w:before="60" w:after="60"/>
              <w:jc w:val="center"/>
              <w:rPr>
                <w:rFonts w:ascii="Calibri" w:eastAsiaTheme="minorHAnsi" w:hAnsi="Calibri"/>
                <w:b/>
              </w:rPr>
            </w:pPr>
            <w:r>
              <w:rPr>
                <w:b/>
              </w:rPr>
              <w:t>Approved</w:t>
            </w:r>
          </w:p>
        </w:tc>
      </w:tr>
      <w:tr w:rsidR="00A52B69" w14:paraId="45713554" w14:textId="77777777">
        <w:trPr>
          <w:trHeight w:val="448"/>
          <w:jc w:val="right"/>
        </w:trPr>
        <w:tc>
          <w:tcPr>
            <w:tcW w:w="29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6475001" w14:textId="77777777" w:rsidR="00777365" w:rsidRPr="001F5F04" w:rsidRDefault="00777365" w:rsidP="00B47FF2">
            <w:pPr>
              <w:spacing w:before="60" w:after="60"/>
              <w:jc w:val="center"/>
              <w:rPr>
                <w:rFonts w:ascii="Calibri" w:eastAsiaTheme="minorHAnsi" w:hAnsi="Calibri"/>
                <w:szCs w:val="26"/>
              </w:rPr>
            </w:pPr>
            <w:r w:rsidRPr="001F5F04">
              <w:rPr>
                <w:szCs w:val="26"/>
              </w:rPr>
              <w:t>201</w:t>
            </w:r>
            <w:r>
              <w:rPr>
                <w:szCs w:val="26"/>
              </w:rPr>
              <w:t>7</w:t>
            </w:r>
            <w:r w:rsidRPr="001F5F04">
              <w:rPr>
                <w:szCs w:val="26"/>
              </w:rPr>
              <w:t xml:space="preserve"> Non-Resource</w:t>
            </w:r>
          </w:p>
        </w:tc>
        <w:tc>
          <w:tcPr>
            <w:tcW w:w="2013" w:type="dxa"/>
            <w:tcBorders>
              <w:top w:val="single" w:sz="8" w:space="0" w:color="auto"/>
              <w:left w:val="nil"/>
              <w:bottom w:val="single" w:sz="4" w:space="0" w:color="auto"/>
              <w:right w:val="single" w:sz="4" w:space="0" w:color="auto"/>
            </w:tcBorders>
            <w:vAlign w:val="center"/>
          </w:tcPr>
          <w:p w14:paraId="28D51B98" w14:textId="77777777" w:rsidR="00777365" w:rsidRPr="00DD2C96" w:rsidRDefault="00777365" w:rsidP="00B47FF2">
            <w:pPr>
              <w:spacing w:before="60" w:after="60"/>
              <w:jc w:val="center"/>
              <w:rPr>
                <w:rFonts w:eastAsiaTheme="minorHAnsi"/>
                <w:szCs w:val="26"/>
              </w:rPr>
            </w:pPr>
            <w:r w:rsidRPr="00DD2C96">
              <w:rPr>
                <w:rFonts w:cs="Calibri"/>
                <w:color w:val="000000"/>
                <w:szCs w:val="26"/>
              </w:rPr>
              <w:t xml:space="preserve"> $678,887 </w:t>
            </w:r>
          </w:p>
        </w:tc>
        <w:tc>
          <w:tcPr>
            <w:tcW w:w="2013"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129058FC" w14:textId="77777777" w:rsidR="00777365" w:rsidRPr="00DD2C96" w:rsidRDefault="00777365" w:rsidP="00B47FF2">
            <w:pPr>
              <w:spacing w:before="60" w:after="60"/>
              <w:jc w:val="center"/>
              <w:rPr>
                <w:rFonts w:cs="Calibri"/>
                <w:color w:val="000000"/>
                <w:szCs w:val="26"/>
              </w:rPr>
            </w:pPr>
            <w:r w:rsidRPr="00DD2C96">
              <w:rPr>
                <w:rFonts w:cs="Calibri"/>
                <w:color w:val="000000"/>
                <w:szCs w:val="26"/>
              </w:rPr>
              <w:t xml:space="preserve"> $466,969 </w:t>
            </w:r>
          </w:p>
        </w:tc>
        <w:tc>
          <w:tcPr>
            <w:tcW w:w="201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6B268F4" w14:textId="77777777" w:rsidR="00777365" w:rsidRPr="00DD2C96" w:rsidRDefault="00777365" w:rsidP="00B47FF2">
            <w:pPr>
              <w:spacing w:before="60" w:after="60"/>
              <w:jc w:val="center"/>
              <w:rPr>
                <w:rFonts w:cs="Calibri"/>
                <w:color w:val="000000"/>
                <w:szCs w:val="26"/>
              </w:rPr>
            </w:pPr>
            <w:r w:rsidRPr="00DD2C96">
              <w:rPr>
                <w:rFonts w:cs="Calibri"/>
                <w:color w:val="000000"/>
                <w:szCs w:val="26"/>
              </w:rPr>
              <w:t xml:space="preserve"> $466,969 </w:t>
            </w:r>
          </w:p>
        </w:tc>
      </w:tr>
    </w:tbl>
    <w:p w14:paraId="2317A571" w14:textId="77777777" w:rsidR="00494142" w:rsidRPr="00494142" w:rsidRDefault="00494142" w:rsidP="00B47FF2">
      <w:pPr>
        <w:pStyle w:val="Heading3"/>
        <w:numPr>
          <w:ilvl w:val="0"/>
          <w:numId w:val="0"/>
        </w:numPr>
        <w:spacing w:before="200"/>
        <w:rPr>
          <w:u w:val="single"/>
        </w:rPr>
      </w:pPr>
      <w:r w:rsidRPr="00DA06ED">
        <w:t xml:space="preserve">1.5 </w:t>
      </w:r>
      <w:r w:rsidRPr="00DA06ED">
        <w:rPr>
          <w:u w:val="single"/>
        </w:rPr>
        <w:t>True Ups</w:t>
      </w:r>
      <w:bookmarkEnd w:id="64"/>
      <w:bookmarkEnd w:id="65"/>
    </w:p>
    <w:tbl>
      <w:tblPr>
        <w:tblW w:w="7920" w:type="dxa"/>
        <w:jc w:val="center"/>
        <w:tblLayout w:type="fixed"/>
        <w:tblLook w:val="04A0" w:firstRow="1" w:lastRow="0" w:firstColumn="1" w:lastColumn="0" w:noHBand="0" w:noVBand="1"/>
      </w:tblPr>
      <w:tblGrid>
        <w:gridCol w:w="4490"/>
        <w:gridCol w:w="1715"/>
        <w:gridCol w:w="1715"/>
      </w:tblGrid>
      <w:tr w:rsidR="00A52B69" w14:paraId="1201F366" w14:textId="77777777">
        <w:trPr>
          <w:trHeight w:val="358"/>
          <w:jc w:val="center"/>
        </w:trPr>
        <w:tc>
          <w:tcPr>
            <w:tcW w:w="44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32B64B" w14:textId="77777777" w:rsidR="00AD7B7C" w:rsidRPr="00806F1C" w:rsidRDefault="00AD7B7C" w:rsidP="00B47FF2">
            <w:pPr>
              <w:spacing w:before="60" w:after="60"/>
              <w:jc w:val="center"/>
              <w:rPr>
                <w:b/>
                <w:bCs/>
                <w:color w:val="000000"/>
              </w:rPr>
            </w:pPr>
            <w:r w:rsidRPr="00806F1C">
              <w:rPr>
                <w:b/>
                <w:bCs/>
                <w:color w:val="000000"/>
              </w:rPr>
              <w:t>Component</w:t>
            </w:r>
          </w:p>
        </w:tc>
        <w:tc>
          <w:tcPr>
            <w:tcW w:w="1715" w:type="dxa"/>
            <w:tcBorders>
              <w:top w:val="single" w:sz="8" w:space="0" w:color="auto"/>
              <w:left w:val="nil"/>
              <w:bottom w:val="single" w:sz="8" w:space="0" w:color="auto"/>
              <w:right w:val="single" w:sz="8" w:space="0" w:color="auto"/>
            </w:tcBorders>
            <w:shd w:val="clear" w:color="auto" w:fill="auto"/>
            <w:vAlign w:val="center"/>
            <w:hideMark/>
          </w:tcPr>
          <w:p w14:paraId="7D8837B4" w14:textId="77777777" w:rsidR="00AD7B7C" w:rsidRPr="00806F1C" w:rsidRDefault="00AD7B7C" w:rsidP="00B47FF2">
            <w:pPr>
              <w:spacing w:before="60" w:after="60"/>
              <w:jc w:val="center"/>
              <w:rPr>
                <w:b/>
                <w:bCs/>
                <w:color w:val="000000"/>
              </w:rPr>
            </w:pPr>
            <w:r>
              <w:rPr>
                <w:b/>
                <w:bCs/>
                <w:color w:val="000000"/>
              </w:rPr>
              <w:t>Requested</w:t>
            </w:r>
          </w:p>
        </w:tc>
        <w:tc>
          <w:tcPr>
            <w:tcW w:w="1715" w:type="dxa"/>
            <w:tcBorders>
              <w:top w:val="single" w:sz="8" w:space="0" w:color="auto"/>
              <w:left w:val="nil"/>
              <w:bottom w:val="single" w:sz="8" w:space="0" w:color="auto"/>
              <w:right w:val="single" w:sz="8" w:space="0" w:color="auto"/>
            </w:tcBorders>
            <w:vAlign w:val="center"/>
          </w:tcPr>
          <w:p w14:paraId="6DCDFA23" w14:textId="77777777" w:rsidR="00AD7B7C" w:rsidRPr="00A377B2" w:rsidRDefault="00AD7B7C" w:rsidP="00B47FF2">
            <w:pPr>
              <w:spacing w:before="60" w:after="60"/>
              <w:jc w:val="center"/>
              <w:rPr>
                <w:b/>
                <w:bCs/>
                <w:color w:val="000000"/>
              </w:rPr>
            </w:pPr>
            <w:r>
              <w:rPr>
                <w:b/>
                <w:bCs/>
                <w:color w:val="000000"/>
              </w:rPr>
              <w:t>Approved</w:t>
            </w:r>
          </w:p>
        </w:tc>
      </w:tr>
      <w:tr w:rsidR="00A52B69" w14:paraId="13738473" w14:textId="77777777">
        <w:trPr>
          <w:trHeight w:val="360"/>
          <w:jc w:val="center"/>
        </w:trPr>
        <w:tc>
          <w:tcPr>
            <w:tcW w:w="4490" w:type="dxa"/>
            <w:tcBorders>
              <w:top w:val="single" w:sz="8" w:space="0" w:color="auto"/>
              <w:left w:val="single" w:sz="8" w:space="0" w:color="auto"/>
              <w:bottom w:val="nil"/>
              <w:right w:val="single" w:sz="8" w:space="0" w:color="auto"/>
            </w:tcBorders>
            <w:shd w:val="clear" w:color="auto" w:fill="auto"/>
            <w:hideMark/>
          </w:tcPr>
          <w:p w14:paraId="6FE34C12" w14:textId="77777777" w:rsidR="00AD7B7C" w:rsidRPr="001F5F04" w:rsidRDefault="00AD7B7C" w:rsidP="00B47FF2">
            <w:pPr>
              <w:spacing w:before="0" w:after="0"/>
              <w:rPr>
                <w:color w:val="000000"/>
                <w:szCs w:val="26"/>
              </w:rPr>
            </w:pPr>
            <w:r w:rsidRPr="001F5F04">
              <w:rPr>
                <w:szCs w:val="26"/>
              </w:rPr>
              <w:t>201</w:t>
            </w:r>
            <w:r>
              <w:rPr>
                <w:szCs w:val="26"/>
              </w:rPr>
              <w:t>6</w:t>
            </w:r>
            <w:r w:rsidRPr="001F5F04">
              <w:rPr>
                <w:szCs w:val="26"/>
              </w:rPr>
              <w:t xml:space="preserve"> Ex-Ante Savings True Up</w:t>
            </w:r>
          </w:p>
        </w:tc>
        <w:tc>
          <w:tcPr>
            <w:tcW w:w="1715" w:type="dxa"/>
            <w:tcBorders>
              <w:top w:val="nil"/>
              <w:left w:val="nil"/>
              <w:bottom w:val="nil"/>
              <w:right w:val="single" w:sz="8" w:space="0" w:color="auto"/>
            </w:tcBorders>
            <w:shd w:val="clear" w:color="auto" w:fill="auto"/>
            <w:noWrap/>
            <w:vAlign w:val="center"/>
          </w:tcPr>
          <w:p w14:paraId="7DEA3B55" w14:textId="77777777" w:rsidR="00AD7B7C" w:rsidRPr="001F5F04" w:rsidRDefault="002F089E" w:rsidP="00B47FF2">
            <w:pPr>
              <w:spacing w:before="0" w:after="0"/>
              <w:jc w:val="right"/>
              <w:rPr>
                <w:color w:val="000000"/>
                <w:szCs w:val="26"/>
              </w:rPr>
            </w:pPr>
            <w:r>
              <w:rPr>
                <w:color w:val="000000"/>
                <w:szCs w:val="26"/>
              </w:rPr>
              <w:t>-</w:t>
            </w:r>
          </w:p>
        </w:tc>
        <w:tc>
          <w:tcPr>
            <w:tcW w:w="1715" w:type="dxa"/>
            <w:tcBorders>
              <w:top w:val="nil"/>
              <w:left w:val="nil"/>
              <w:bottom w:val="nil"/>
              <w:right w:val="single" w:sz="8" w:space="0" w:color="auto"/>
            </w:tcBorders>
          </w:tcPr>
          <w:p w14:paraId="1DF32231" w14:textId="77777777" w:rsidR="00AD7B7C" w:rsidRPr="001F5F04" w:rsidRDefault="002F089E" w:rsidP="00B47FF2">
            <w:pPr>
              <w:spacing w:before="0" w:after="0"/>
              <w:jc w:val="right"/>
              <w:rPr>
                <w:color w:val="FF0000"/>
                <w:szCs w:val="26"/>
              </w:rPr>
            </w:pPr>
            <w:r w:rsidRPr="003454DA">
              <w:rPr>
                <w:color w:val="000000"/>
                <w:szCs w:val="26"/>
              </w:rPr>
              <w:t>-</w:t>
            </w:r>
          </w:p>
        </w:tc>
      </w:tr>
      <w:tr w:rsidR="00A52B69" w14:paraId="2907882B" w14:textId="77777777">
        <w:trPr>
          <w:trHeight w:val="360"/>
          <w:jc w:val="center"/>
        </w:trPr>
        <w:tc>
          <w:tcPr>
            <w:tcW w:w="4490" w:type="dxa"/>
            <w:tcBorders>
              <w:top w:val="nil"/>
              <w:left w:val="single" w:sz="8" w:space="0" w:color="auto"/>
              <w:bottom w:val="nil"/>
              <w:right w:val="single" w:sz="8" w:space="0" w:color="auto"/>
            </w:tcBorders>
            <w:shd w:val="clear" w:color="auto" w:fill="auto"/>
            <w:noWrap/>
            <w:hideMark/>
          </w:tcPr>
          <w:p w14:paraId="51ACF0AA" w14:textId="77777777" w:rsidR="00FA6251" w:rsidRPr="001F5F04" w:rsidRDefault="00FA6251" w:rsidP="00B47FF2">
            <w:pPr>
              <w:spacing w:before="0" w:after="0"/>
              <w:rPr>
                <w:color w:val="000000"/>
                <w:szCs w:val="26"/>
              </w:rPr>
            </w:pPr>
            <w:r w:rsidRPr="001F5F04">
              <w:rPr>
                <w:szCs w:val="26"/>
              </w:rPr>
              <w:t>201</w:t>
            </w:r>
            <w:r>
              <w:rPr>
                <w:szCs w:val="26"/>
              </w:rPr>
              <w:t>6</w:t>
            </w:r>
            <w:r w:rsidRPr="001F5F04">
              <w:rPr>
                <w:szCs w:val="26"/>
              </w:rPr>
              <w:t xml:space="preserve"> EAR Performance True Up</w:t>
            </w:r>
          </w:p>
        </w:tc>
        <w:tc>
          <w:tcPr>
            <w:tcW w:w="1715" w:type="dxa"/>
            <w:tcBorders>
              <w:top w:val="nil"/>
              <w:left w:val="single" w:sz="8" w:space="0" w:color="auto"/>
              <w:bottom w:val="nil"/>
              <w:right w:val="single" w:sz="8" w:space="0" w:color="auto"/>
            </w:tcBorders>
            <w:shd w:val="clear" w:color="auto" w:fill="auto"/>
            <w:noWrap/>
            <w:vAlign w:val="center"/>
          </w:tcPr>
          <w:p w14:paraId="72998F22" w14:textId="77777777" w:rsidR="00FA6251" w:rsidRPr="00DD2C96" w:rsidRDefault="00FA6251" w:rsidP="00B47FF2">
            <w:pPr>
              <w:spacing w:before="0" w:after="0"/>
              <w:ind w:firstLineChars="100" w:firstLine="240"/>
              <w:jc w:val="right"/>
              <w:rPr>
                <w:color w:val="FF0000"/>
                <w:szCs w:val="26"/>
              </w:rPr>
            </w:pPr>
            <w:r w:rsidRPr="00DD2C96">
              <w:rPr>
                <w:rFonts w:cs="Calibri"/>
                <w:color w:val="FF0000"/>
                <w:szCs w:val="22"/>
              </w:rPr>
              <w:t xml:space="preserve"> </w:t>
            </w:r>
            <w:r w:rsidR="00DD2C96" w:rsidRPr="00DD2C96">
              <w:rPr>
                <w:rFonts w:cs="Calibri"/>
                <w:color w:val="FF0000"/>
                <w:szCs w:val="22"/>
              </w:rPr>
              <w:t>($</w:t>
            </w:r>
            <w:r w:rsidRPr="00DD2C96">
              <w:rPr>
                <w:rFonts w:cs="Calibri"/>
                <w:color w:val="FF0000"/>
                <w:szCs w:val="22"/>
              </w:rPr>
              <w:t>16,843)</w:t>
            </w:r>
          </w:p>
        </w:tc>
        <w:tc>
          <w:tcPr>
            <w:tcW w:w="1715" w:type="dxa"/>
            <w:tcBorders>
              <w:top w:val="nil"/>
              <w:left w:val="nil"/>
              <w:bottom w:val="nil"/>
              <w:right w:val="single" w:sz="8" w:space="0" w:color="auto"/>
            </w:tcBorders>
            <w:vAlign w:val="center"/>
          </w:tcPr>
          <w:p w14:paraId="08150257" w14:textId="77777777" w:rsidR="00FA6251" w:rsidRPr="00DD2C96" w:rsidRDefault="00FA6251" w:rsidP="00B47FF2">
            <w:pPr>
              <w:spacing w:before="0" w:after="0"/>
              <w:jc w:val="right"/>
              <w:rPr>
                <w:color w:val="FF0000"/>
                <w:szCs w:val="26"/>
              </w:rPr>
            </w:pPr>
            <w:r w:rsidRPr="00DD2C96">
              <w:rPr>
                <w:rFonts w:cs="Calibri"/>
                <w:color w:val="FF0000"/>
                <w:szCs w:val="22"/>
              </w:rPr>
              <w:t xml:space="preserve"> </w:t>
            </w:r>
            <w:r w:rsidR="00DD2C96" w:rsidRPr="00DD2C96">
              <w:rPr>
                <w:rFonts w:cs="Calibri"/>
                <w:color w:val="FF0000"/>
                <w:szCs w:val="22"/>
              </w:rPr>
              <w:t>($</w:t>
            </w:r>
            <w:r w:rsidRPr="00DD2C96">
              <w:rPr>
                <w:rFonts w:cs="Calibri"/>
                <w:color w:val="FF0000"/>
                <w:szCs w:val="22"/>
              </w:rPr>
              <w:t>16,843)</w:t>
            </w:r>
          </w:p>
        </w:tc>
      </w:tr>
      <w:tr w:rsidR="00A52B69" w14:paraId="6CB5C9F9" w14:textId="77777777">
        <w:trPr>
          <w:trHeight w:val="360"/>
          <w:jc w:val="center"/>
        </w:trPr>
        <w:tc>
          <w:tcPr>
            <w:tcW w:w="4490" w:type="dxa"/>
            <w:tcBorders>
              <w:top w:val="nil"/>
              <w:left w:val="single" w:sz="8" w:space="0" w:color="auto"/>
              <w:bottom w:val="nil"/>
              <w:right w:val="single" w:sz="8" w:space="0" w:color="auto"/>
            </w:tcBorders>
            <w:shd w:val="clear" w:color="auto" w:fill="auto"/>
            <w:noWrap/>
            <w:hideMark/>
          </w:tcPr>
          <w:p w14:paraId="20FF94D1" w14:textId="77777777" w:rsidR="003759C0" w:rsidRPr="001F5F04" w:rsidRDefault="003759C0" w:rsidP="00B47FF2">
            <w:pPr>
              <w:spacing w:before="0" w:after="0"/>
              <w:rPr>
                <w:color w:val="000000"/>
                <w:szCs w:val="26"/>
              </w:rPr>
            </w:pPr>
            <w:r w:rsidRPr="001F5F04">
              <w:rPr>
                <w:szCs w:val="26"/>
              </w:rPr>
              <w:t>201</w:t>
            </w:r>
            <w:r>
              <w:rPr>
                <w:szCs w:val="26"/>
              </w:rPr>
              <w:t>6</w:t>
            </w:r>
            <w:r w:rsidRPr="001F5F04">
              <w:rPr>
                <w:szCs w:val="26"/>
              </w:rPr>
              <w:t xml:space="preserve"> Codes &amp; Standards True Up</w:t>
            </w:r>
          </w:p>
        </w:tc>
        <w:tc>
          <w:tcPr>
            <w:tcW w:w="1715" w:type="dxa"/>
            <w:tcBorders>
              <w:top w:val="nil"/>
              <w:left w:val="single" w:sz="8" w:space="0" w:color="auto"/>
              <w:bottom w:val="nil"/>
              <w:right w:val="single" w:sz="8" w:space="0" w:color="auto"/>
            </w:tcBorders>
            <w:shd w:val="clear" w:color="auto" w:fill="auto"/>
            <w:noWrap/>
            <w:vAlign w:val="bottom"/>
          </w:tcPr>
          <w:p w14:paraId="07FCDC70" w14:textId="77777777" w:rsidR="003759C0" w:rsidRPr="00DD2C96" w:rsidRDefault="003759C0" w:rsidP="00B47FF2">
            <w:pPr>
              <w:spacing w:before="0" w:after="0"/>
              <w:ind w:firstLineChars="100" w:firstLine="240"/>
              <w:jc w:val="right"/>
              <w:rPr>
                <w:color w:val="FF0000"/>
                <w:szCs w:val="26"/>
              </w:rPr>
            </w:pPr>
            <w:r w:rsidRPr="00DD2C96">
              <w:rPr>
                <w:rFonts w:cs="Calibri"/>
                <w:color w:val="FF0000"/>
                <w:szCs w:val="22"/>
              </w:rPr>
              <w:t xml:space="preserve"> </w:t>
            </w:r>
            <w:r w:rsidR="009E7E4C" w:rsidRPr="00DD2C96">
              <w:rPr>
                <w:rFonts w:cs="Calibri"/>
                <w:color w:val="FF0000"/>
                <w:szCs w:val="22"/>
              </w:rPr>
              <w:t>($</w:t>
            </w:r>
            <w:r w:rsidRPr="00DD2C96">
              <w:rPr>
                <w:rFonts w:cs="Calibri"/>
                <w:color w:val="FF0000"/>
                <w:szCs w:val="22"/>
              </w:rPr>
              <w:t>5,462)</w:t>
            </w:r>
          </w:p>
        </w:tc>
        <w:tc>
          <w:tcPr>
            <w:tcW w:w="1715" w:type="dxa"/>
            <w:tcBorders>
              <w:top w:val="nil"/>
              <w:left w:val="nil"/>
              <w:bottom w:val="nil"/>
              <w:right w:val="single" w:sz="8" w:space="0" w:color="auto"/>
            </w:tcBorders>
            <w:vAlign w:val="center"/>
          </w:tcPr>
          <w:p w14:paraId="0AA1653F" w14:textId="77777777" w:rsidR="003759C0" w:rsidRPr="00DD2C96" w:rsidRDefault="003759C0" w:rsidP="00B47FF2">
            <w:pPr>
              <w:spacing w:before="0" w:after="0"/>
              <w:jc w:val="right"/>
              <w:rPr>
                <w:color w:val="FF0000"/>
                <w:szCs w:val="26"/>
              </w:rPr>
            </w:pPr>
            <w:r w:rsidRPr="00DD2C96">
              <w:rPr>
                <w:rFonts w:cs="Calibri"/>
                <w:color w:val="FF0000"/>
                <w:szCs w:val="22"/>
              </w:rPr>
              <w:t xml:space="preserve"> </w:t>
            </w:r>
            <w:r w:rsidR="009E7E4C" w:rsidRPr="00DD2C96">
              <w:rPr>
                <w:rFonts w:cs="Calibri"/>
                <w:color w:val="FF0000"/>
                <w:szCs w:val="22"/>
              </w:rPr>
              <w:t>($</w:t>
            </w:r>
            <w:r w:rsidRPr="00DD2C96">
              <w:rPr>
                <w:rFonts w:cs="Calibri"/>
                <w:color w:val="FF0000"/>
                <w:szCs w:val="22"/>
              </w:rPr>
              <w:t>5,462)</w:t>
            </w:r>
          </w:p>
        </w:tc>
      </w:tr>
      <w:tr w:rsidR="00A52B69" w14:paraId="08CCDE79" w14:textId="77777777">
        <w:trPr>
          <w:trHeight w:val="375"/>
          <w:jc w:val="center"/>
        </w:trPr>
        <w:tc>
          <w:tcPr>
            <w:tcW w:w="4490" w:type="dxa"/>
            <w:tcBorders>
              <w:top w:val="nil"/>
              <w:left w:val="single" w:sz="8" w:space="0" w:color="auto"/>
              <w:bottom w:val="nil"/>
              <w:right w:val="single" w:sz="8" w:space="0" w:color="auto"/>
            </w:tcBorders>
            <w:shd w:val="clear" w:color="auto" w:fill="auto"/>
            <w:noWrap/>
            <w:hideMark/>
          </w:tcPr>
          <w:p w14:paraId="1512361E" w14:textId="77777777" w:rsidR="003759C0" w:rsidRPr="001F5F04" w:rsidRDefault="003759C0" w:rsidP="00B47FF2">
            <w:pPr>
              <w:spacing w:before="0" w:after="0"/>
              <w:rPr>
                <w:color w:val="000000"/>
                <w:szCs w:val="26"/>
              </w:rPr>
            </w:pPr>
            <w:r w:rsidRPr="001F5F04">
              <w:rPr>
                <w:szCs w:val="26"/>
              </w:rPr>
              <w:t>201</w:t>
            </w:r>
            <w:r>
              <w:rPr>
                <w:szCs w:val="26"/>
              </w:rPr>
              <w:t>6</w:t>
            </w:r>
            <w:r w:rsidRPr="001F5F04">
              <w:rPr>
                <w:szCs w:val="26"/>
              </w:rPr>
              <w:t xml:space="preserve"> Non-Resource True Up</w:t>
            </w:r>
          </w:p>
        </w:tc>
        <w:tc>
          <w:tcPr>
            <w:tcW w:w="1715" w:type="dxa"/>
            <w:tcBorders>
              <w:top w:val="nil"/>
              <w:left w:val="single" w:sz="8" w:space="0" w:color="auto"/>
              <w:bottom w:val="nil"/>
              <w:right w:val="single" w:sz="8" w:space="0" w:color="auto"/>
            </w:tcBorders>
            <w:shd w:val="clear" w:color="auto" w:fill="auto"/>
            <w:noWrap/>
            <w:vAlign w:val="bottom"/>
          </w:tcPr>
          <w:p w14:paraId="76B2DCA9" w14:textId="77777777" w:rsidR="003759C0" w:rsidRPr="00DD2C96" w:rsidRDefault="003759C0" w:rsidP="00B47FF2">
            <w:pPr>
              <w:spacing w:before="0" w:after="0"/>
              <w:ind w:firstLineChars="100" w:firstLine="240"/>
              <w:jc w:val="right"/>
              <w:rPr>
                <w:color w:val="FF0000"/>
                <w:szCs w:val="26"/>
              </w:rPr>
            </w:pPr>
            <w:r w:rsidRPr="00DD2C96">
              <w:rPr>
                <w:rFonts w:cs="Calibri"/>
                <w:color w:val="FF0000"/>
                <w:szCs w:val="22"/>
              </w:rPr>
              <w:t xml:space="preserve"> </w:t>
            </w:r>
            <w:r w:rsidR="009E7E4C" w:rsidRPr="00DD2C96">
              <w:rPr>
                <w:rFonts w:cs="Calibri"/>
                <w:color w:val="FF0000"/>
                <w:szCs w:val="22"/>
              </w:rPr>
              <w:t>($</w:t>
            </w:r>
            <w:r w:rsidRPr="00DD2C96">
              <w:rPr>
                <w:rFonts w:cs="Calibri"/>
                <w:color w:val="FF0000"/>
                <w:szCs w:val="22"/>
              </w:rPr>
              <w:t>1,956)</w:t>
            </w:r>
          </w:p>
        </w:tc>
        <w:tc>
          <w:tcPr>
            <w:tcW w:w="1715" w:type="dxa"/>
            <w:tcBorders>
              <w:top w:val="nil"/>
              <w:left w:val="nil"/>
              <w:bottom w:val="nil"/>
              <w:right w:val="single" w:sz="8" w:space="0" w:color="auto"/>
            </w:tcBorders>
            <w:vAlign w:val="center"/>
          </w:tcPr>
          <w:p w14:paraId="46C82F56" w14:textId="77777777" w:rsidR="003759C0" w:rsidRPr="00DD2C96" w:rsidRDefault="003759C0" w:rsidP="00B47FF2">
            <w:pPr>
              <w:spacing w:before="0" w:after="0"/>
              <w:jc w:val="right"/>
              <w:rPr>
                <w:color w:val="FF0000"/>
                <w:szCs w:val="26"/>
              </w:rPr>
            </w:pPr>
            <w:r w:rsidRPr="00DD2C96">
              <w:rPr>
                <w:rFonts w:cs="Calibri"/>
                <w:color w:val="FF0000"/>
                <w:szCs w:val="22"/>
              </w:rPr>
              <w:t xml:space="preserve"> </w:t>
            </w:r>
            <w:r w:rsidR="009E7E4C" w:rsidRPr="00DD2C96">
              <w:rPr>
                <w:rFonts w:cs="Calibri"/>
                <w:color w:val="FF0000"/>
                <w:szCs w:val="22"/>
              </w:rPr>
              <w:t>($</w:t>
            </w:r>
            <w:r w:rsidRPr="00DD2C96">
              <w:rPr>
                <w:rFonts w:cs="Calibri"/>
                <w:color w:val="FF0000"/>
                <w:szCs w:val="22"/>
              </w:rPr>
              <w:t>1,956)</w:t>
            </w:r>
          </w:p>
        </w:tc>
      </w:tr>
      <w:tr w:rsidR="00A52B69" w14:paraId="350429B1" w14:textId="77777777">
        <w:trPr>
          <w:trHeight w:val="270"/>
          <w:jc w:val="center"/>
        </w:trPr>
        <w:tc>
          <w:tcPr>
            <w:tcW w:w="4490" w:type="dxa"/>
            <w:tcBorders>
              <w:top w:val="nil"/>
              <w:left w:val="single" w:sz="8" w:space="0" w:color="auto"/>
              <w:bottom w:val="single" w:sz="8" w:space="0" w:color="auto"/>
              <w:right w:val="single" w:sz="8" w:space="0" w:color="auto"/>
            </w:tcBorders>
            <w:shd w:val="clear" w:color="auto" w:fill="auto"/>
            <w:vAlign w:val="center"/>
            <w:hideMark/>
          </w:tcPr>
          <w:p w14:paraId="367F6E79" w14:textId="77777777" w:rsidR="003454DA" w:rsidRPr="001F5F04" w:rsidRDefault="003454DA" w:rsidP="00B47FF2">
            <w:pPr>
              <w:spacing w:before="0" w:after="0"/>
              <w:rPr>
                <w:color w:val="000000"/>
                <w:szCs w:val="26"/>
              </w:rPr>
            </w:pPr>
            <w:r w:rsidRPr="001F5F04">
              <w:rPr>
                <w:color w:val="000000"/>
                <w:szCs w:val="26"/>
              </w:rPr>
              <w:t>2006-2008 RRIM Adjustment</w:t>
            </w:r>
          </w:p>
        </w:tc>
        <w:tc>
          <w:tcPr>
            <w:tcW w:w="1715" w:type="dxa"/>
            <w:tcBorders>
              <w:top w:val="nil"/>
              <w:left w:val="nil"/>
              <w:bottom w:val="single" w:sz="8" w:space="0" w:color="auto"/>
              <w:right w:val="single" w:sz="8" w:space="0" w:color="auto"/>
            </w:tcBorders>
            <w:shd w:val="clear" w:color="auto" w:fill="auto"/>
            <w:noWrap/>
            <w:vAlign w:val="center"/>
          </w:tcPr>
          <w:p w14:paraId="51BDD95E" w14:textId="77777777" w:rsidR="003454DA" w:rsidRPr="00DD2C96" w:rsidRDefault="003454DA" w:rsidP="00B47FF2">
            <w:pPr>
              <w:spacing w:before="0" w:after="0"/>
              <w:ind w:firstLineChars="14" w:firstLine="34"/>
              <w:jc w:val="right"/>
              <w:rPr>
                <w:color w:val="FF0000"/>
                <w:szCs w:val="26"/>
              </w:rPr>
            </w:pPr>
            <w:r w:rsidRPr="00DD2C96">
              <w:rPr>
                <w:color w:val="000000"/>
                <w:szCs w:val="26"/>
              </w:rPr>
              <w:t>-</w:t>
            </w:r>
          </w:p>
        </w:tc>
        <w:tc>
          <w:tcPr>
            <w:tcW w:w="1715" w:type="dxa"/>
            <w:tcBorders>
              <w:top w:val="nil"/>
              <w:left w:val="nil"/>
              <w:bottom w:val="single" w:sz="8" w:space="0" w:color="auto"/>
              <w:right w:val="single" w:sz="8" w:space="0" w:color="auto"/>
            </w:tcBorders>
          </w:tcPr>
          <w:p w14:paraId="7B48DAF0" w14:textId="77777777" w:rsidR="003454DA" w:rsidRPr="00DD2C96" w:rsidRDefault="003454DA" w:rsidP="00B47FF2">
            <w:pPr>
              <w:spacing w:before="0" w:after="0"/>
              <w:jc w:val="right"/>
              <w:rPr>
                <w:color w:val="FF0000"/>
                <w:szCs w:val="26"/>
              </w:rPr>
            </w:pPr>
            <w:r w:rsidRPr="00DD2C96">
              <w:rPr>
                <w:color w:val="000000"/>
                <w:szCs w:val="26"/>
              </w:rPr>
              <w:t>-</w:t>
            </w:r>
          </w:p>
        </w:tc>
      </w:tr>
    </w:tbl>
    <w:p w14:paraId="7BC0328E" w14:textId="77777777" w:rsidR="00FA6251" w:rsidRDefault="00FA6251" w:rsidP="008E7BDB">
      <w:pPr>
        <w:jc w:val="both"/>
        <w:rPr>
          <w:szCs w:val="26"/>
        </w:rPr>
      </w:pPr>
      <w:r w:rsidRPr="00FA6251">
        <w:rPr>
          <w:szCs w:val="26"/>
        </w:rPr>
        <w:t>SCE</w:t>
      </w:r>
      <w:r w:rsidR="005F7064">
        <w:rPr>
          <w:szCs w:val="26"/>
        </w:rPr>
        <w:t xml:space="preserve"> disagreed with finding 2 in the UAFCB report and </w:t>
      </w:r>
      <w:r w:rsidRPr="00FA6251">
        <w:rPr>
          <w:szCs w:val="26"/>
        </w:rPr>
        <w:t>request</w:t>
      </w:r>
      <w:r>
        <w:rPr>
          <w:szCs w:val="26"/>
        </w:rPr>
        <w:t xml:space="preserve">ed </w:t>
      </w:r>
      <w:r w:rsidR="00BA2D70">
        <w:rPr>
          <w:szCs w:val="26"/>
        </w:rPr>
        <w:t xml:space="preserve">that </w:t>
      </w:r>
      <w:r>
        <w:rPr>
          <w:szCs w:val="26"/>
        </w:rPr>
        <w:t xml:space="preserve">a subset of expenditures from the UAFCB true up </w:t>
      </w:r>
      <w:r w:rsidRPr="00FA6251">
        <w:rPr>
          <w:szCs w:val="26"/>
        </w:rPr>
        <w:t xml:space="preserve">be included </w:t>
      </w:r>
      <w:r w:rsidR="00BA2D70">
        <w:rPr>
          <w:szCs w:val="26"/>
        </w:rPr>
        <w:t>in</w:t>
      </w:r>
      <w:r w:rsidRPr="00FA6251">
        <w:rPr>
          <w:szCs w:val="26"/>
        </w:rPr>
        <w:t xml:space="preserve"> the basis for its ESPI award</w:t>
      </w:r>
      <w:r w:rsidR="00BA2D70">
        <w:rPr>
          <w:szCs w:val="26"/>
        </w:rPr>
        <w:t>,</w:t>
      </w:r>
      <w:r w:rsidR="005F7064">
        <w:rPr>
          <w:szCs w:val="26"/>
        </w:rPr>
        <w:t xml:space="preserve"> as the</w:t>
      </w:r>
      <w:r w:rsidR="00C966CB">
        <w:rPr>
          <w:szCs w:val="26"/>
        </w:rPr>
        <w:t xml:space="preserve"> expenditures</w:t>
      </w:r>
      <w:r w:rsidR="005F7064">
        <w:rPr>
          <w:szCs w:val="26"/>
        </w:rPr>
        <w:t xml:space="preserve"> were paid in 2016 and comply with the Commission direction</w:t>
      </w:r>
      <w:r w:rsidR="00E437BD">
        <w:rPr>
          <w:szCs w:val="26"/>
        </w:rPr>
        <w:t xml:space="preserve"> from E-4897</w:t>
      </w:r>
      <w:r w:rsidRPr="00FA6251">
        <w:rPr>
          <w:szCs w:val="26"/>
        </w:rPr>
        <w:t xml:space="preserve">. This adjustment </w:t>
      </w:r>
      <w:r>
        <w:rPr>
          <w:szCs w:val="26"/>
        </w:rPr>
        <w:t>would</w:t>
      </w:r>
      <w:r w:rsidRPr="00FA6251">
        <w:rPr>
          <w:szCs w:val="26"/>
        </w:rPr>
        <w:t xml:space="preserve"> result in a net increase of $235,724 to the ESPI award</w:t>
      </w:r>
      <w:r w:rsidR="005F7064">
        <w:rPr>
          <w:szCs w:val="26"/>
        </w:rPr>
        <w:t xml:space="preserve"> ($94,216 to the 2016 Non-Resource true up and $141,508 to the 2016 </w:t>
      </w:r>
      <w:r w:rsidR="00D97074">
        <w:t>C&amp;S</w:t>
      </w:r>
      <w:r w:rsidR="00D97074" w:rsidRPr="00897112">
        <w:t xml:space="preserve"> </w:t>
      </w:r>
      <w:r w:rsidR="00D97074">
        <w:t xml:space="preserve">advocacy programs </w:t>
      </w:r>
      <w:r w:rsidR="005F7064">
        <w:rPr>
          <w:szCs w:val="26"/>
        </w:rPr>
        <w:t>true up)</w:t>
      </w:r>
      <w:r w:rsidRPr="00FA6251">
        <w:rPr>
          <w:szCs w:val="26"/>
        </w:rPr>
        <w:t xml:space="preserve">. </w:t>
      </w:r>
      <w:r>
        <w:rPr>
          <w:szCs w:val="26"/>
        </w:rPr>
        <w:t xml:space="preserve">The Commission </w:t>
      </w:r>
      <w:r w:rsidR="00E25AD2" w:rsidRPr="00E25AD2">
        <w:rPr>
          <w:szCs w:val="26"/>
        </w:rPr>
        <w:t xml:space="preserve">agrees that SCE </w:t>
      </w:r>
      <w:r w:rsidR="005F7064">
        <w:rPr>
          <w:szCs w:val="26"/>
        </w:rPr>
        <w:t>can</w:t>
      </w:r>
      <w:r w:rsidR="005F7064" w:rsidRPr="00E25AD2">
        <w:rPr>
          <w:szCs w:val="26"/>
        </w:rPr>
        <w:t xml:space="preserve"> </w:t>
      </w:r>
      <w:r w:rsidR="00E25AD2" w:rsidRPr="00E25AD2">
        <w:rPr>
          <w:szCs w:val="26"/>
        </w:rPr>
        <w:t xml:space="preserve">claim expenditures for activities committed to in years prior to 2016 with the work completed and paid for in 2016. </w:t>
      </w:r>
      <w:r w:rsidR="005F7064">
        <w:rPr>
          <w:szCs w:val="26"/>
        </w:rPr>
        <w:t>Therefore, the Commission accepts this adjustment</w:t>
      </w:r>
      <w:r w:rsidR="00E25AD2" w:rsidRPr="00E25AD2">
        <w:rPr>
          <w:szCs w:val="26"/>
        </w:rPr>
        <w:t>.</w:t>
      </w:r>
    </w:p>
    <w:p w14:paraId="176067D3" w14:textId="27639118" w:rsidR="00C966CB" w:rsidRDefault="00C966CB" w:rsidP="008E7BDB">
      <w:pPr>
        <w:jc w:val="both"/>
        <w:rPr>
          <w:szCs w:val="26"/>
        </w:rPr>
      </w:pPr>
      <w:r w:rsidRPr="00C966CB">
        <w:rPr>
          <w:szCs w:val="26"/>
        </w:rPr>
        <w:t xml:space="preserve">The 2016 true ups include SCE’s </w:t>
      </w:r>
      <w:r w:rsidR="00E437BD">
        <w:rPr>
          <w:szCs w:val="26"/>
        </w:rPr>
        <w:t>w</w:t>
      </w:r>
      <w:r w:rsidRPr="00C966CB">
        <w:rPr>
          <w:szCs w:val="26"/>
        </w:rPr>
        <w:t xml:space="preserve">eighted </w:t>
      </w:r>
      <w:r w:rsidR="00E437BD">
        <w:rPr>
          <w:szCs w:val="26"/>
        </w:rPr>
        <w:t>a</w:t>
      </w:r>
      <w:r w:rsidRPr="00C966CB">
        <w:rPr>
          <w:szCs w:val="26"/>
        </w:rPr>
        <w:t xml:space="preserve">verage </w:t>
      </w:r>
      <w:r w:rsidR="00E437BD">
        <w:rPr>
          <w:szCs w:val="26"/>
        </w:rPr>
        <w:t>c</w:t>
      </w:r>
      <w:r w:rsidRPr="00C966CB">
        <w:rPr>
          <w:szCs w:val="26"/>
        </w:rPr>
        <w:t xml:space="preserve">ost of </w:t>
      </w:r>
      <w:r w:rsidR="00E437BD">
        <w:rPr>
          <w:szCs w:val="26"/>
        </w:rPr>
        <w:t>c</w:t>
      </w:r>
      <w:r w:rsidRPr="00C966CB">
        <w:rPr>
          <w:szCs w:val="26"/>
        </w:rPr>
        <w:t>apital.</w:t>
      </w:r>
    </w:p>
    <w:p w14:paraId="31C21B10" w14:textId="7E950A61" w:rsidR="004E330C" w:rsidRDefault="004E330C" w:rsidP="008E7BDB">
      <w:pPr>
        <w:jc w:val="both"/>
        <w:rPr>
          <w:szCs w:val="26"/>
        </w:rPr>
      </w:pPr>
    </w:p>
    <w:p w14:paraId="36BC15B6" w14:textId="6899C54D" w:rsidR="004E330C" w:rsidRDefault="004E330C" w:rsidP="008E7BDB">
      <w:pPr>
        <w:jc w:val="both"/>
        <w:rPr>
          <w:szCs w:val="26"/>
        </w:rPr>
      </w:pPr>
    </w:p>
    <w:p w14:paraId="6E33012C" w14:textId="35C0EBE6" w:rsidR="004E330C" w:rsidRDefault="004E330C" w:rsidP="008E7BDB">
      <w:pPr>
        <w:jc w:val="both"/>
        <w:rPr>
          <w:szCs w:val="26"/>
        </w:rPr>
      </w:pPr>
    </w:p>
    <w:p w14:paraId="45269438" w14:textId="741114FD" w:rsidR="004E330C" w:rsidRDefault="004E330C" w:rsidP="008E7BDB">
      <w:pPr>
        <w:jc w:val="both"/>
        <w:rPr>
          <w:szCs w:val="26"/>
        </w:rPr>
      </w:pPr>
    </w:p>
    <w:p w14:paraId="4E5F1649" w14:textId="30E6C969" w:rsidR="004E330C" w:rsidRDefault="004E330C" w:rsidP="008E7BDB">
      <w:pPr>
        <w:jc w:val="both"/>
        <w:rPr>
          <w:szCs w:val="26"/>
        </w:rPr>
      </w:pPr>
    </w:p>
    <w:p w14:paraId="20C98149" w14:textId="6D719393" w:rsidR="004E330C" w:rsidRDefault="004E330C" w:rsidP="008E7BDB">
      <w:pPr>
        <w:jc w:val="both"/>
        <w:rPr>
          <w:szCs w:val="26"/>
        </w:rPr>
      </w:pPr>
    </w:p>
    <w:p w14:paraId="3937683D" w14:textId="1DA6AD20" w:rsidR="004E330C" w:rsidRDefault="004E330C" w:rsidP="008E7BDB">
      <w:pPr>
        <w:jc w:val="both"/>
        <w:rPr>
          <w:szCs w:val="26"/>
        </w:rPr>
      </w:pPr>
    </w:p>
    <w:p w14:paraId="1E4C6A9C" w14:textId="74A2AF2C" w:rsidR="004E330C" w:rsidRDefault="004E330C" w:rsidP="008E7BDB">
      <w:pPr>
        <w:jc w:val="both"/>
        <w:rPr>
          <w:szCs w:val="26"/>
        </w:rPr>
      </w:pPr>
    </w:p>
    <w:p w14:paraId="20271649" w14:textId="77777777" w:rsidR="004E330C" w:rsidRDefault="004E330C" w:rsidP="008E7BDB">
      <w:pPr>
        <w:jc w:val="both"/>
        <w:rPr>
          <w:szCs w:val="26"/>
        </w:rPr>
      </w:pPr>
    </w:p>
    <w:p w14:paraId="687BD567" w14:textId="77777777" w:rsidR="00EB1F34" w:rsidRDefault="003954B3" w:rsidP="008E7BDB">
      <w:pPr>
        <w:jc w:val="both"/>
        <w:rPr>
          <w:szCs w:val="26"/>
        </w:rPr>
      </w:pPr>
      <w:r>
        <w:rPr>
          <w:szCs w:val="26"/>
        </w:rPr>
        <w:lastRenderedPageBreak/>
        <w:t>SC</w:t>
      </w:r>
      <w:r w:rsidR="00494142" w:rsidRPr="00B24C75">
        <w:rPr>
          <w:szCs w:val="26"/>
        </w:rPr>
        <w:t xml:space="preserve">E’s </w:t>
      </w:r>
      <w:r w:rsidR="00494142">
        <w:rPr>
          <w:szCs w:val="26"/>
        </w:rPr>
        <w:t xml:space="preserve">final </w:t>
      </w:r>
      <w:r w:rsidR="00494142" w:rsidRPr="00B24C75">
        <w:rPr>
          <w:szCs w:val="26"/>
        </w:rPr>
        <w:t>201</w:t>
      </w:r>
      <w:r w:rsidR="00EB5149">
        <w:rPr>
          <w:szCs w:val="26"/>
        </w:rPr>
        <w:t>8</w:t>
      </w:r>
      <w:r w:rsidR="00494142" w:rsidRPr="00B24C75">
        <w:rPr>
          <w:szCs w:val="26"/>
        </w:rPr>
        <w:t xml:space="preserve"> award values including all adjustments</w:t>
      </w:r>
      <w:r w:rsidR="00494142">
        <w:rPr>
          <w:szCs w:val="26"/>
        </w:rPr>
        <w:t xml:space="preserve"> are shown below:</w:t>
      </w:r>
    </w:p>
    <w:tbl>
      <w:tblPr>
        <w:tblW w:w="7920" w:type="dxa"/>
        <w:jc w:val="center"/>
        <w:tblLayout w:type="fixed"/>
        <w:tblLook w:val="04A0" w:firstRow="1" w:lastRow="0" w:firstColumn="1" w:lastColumn="0" w:noHBand="0" w:noVBand="1"/>
      </w:tblPr>
      <w:tblGrid>
        <w:gridCol w:w="4235"/>
        <w:gridCol w:w="1842"/>
        <w:gridCol w:w="1843"/>
      </w:tblGrid>
      <w:tr w:rsidR="00A52B69" w14:paraId="0B5A6D5D" w14:textId="77777777">
        <w:trPr>
          <w:trHeight w:val="297"/>
          <w:jc w:val="center"/>
        </w:trPr>
        <w:tc>
          <w:tcPr>
            <w:tcW w:w="7920" w:type="dxa"/>
            <w:gridSpan w:val="3"/>
            <w:tcBorders>
              <w:bottom w:val="single" w:sz="8" w:space="0" w:color="auto"/>
            </w:tcBorders>
            <w:shd w:val="clear" w:color="auto" w:fill="auto"/>
            <w:vAlign w:val="center"/>
          </w:tcPr>
          <w:p w14:paraId="71B6C2C1" w14:textId="77777777" w:rsidR="00AD7B7C" w:rsidRPr="0015526B" w:rsidRDefault="00AD7B7C" w:rsidP="00B47FF2">
            <w:pPr>
              <w:pStyle w:val="Caption"/>
              <w:spacing w:before="0" w:after="0" w:line="240" w:lineRule="auto"/>
              <w:jc w:val="center"/>
              <w:rPr>
                <w:b w:val="0"/>
                <w:sz w:val="26"/>
                <w:szCs w:val="26"/>
              </w:rPr>
            </w:pPr>
            <w:r w:rsidRPr="00440A46">
              <w:rPr>
                <w:b w:val="0"/>
                <w:szCs w:val="26"/>
              </w:rPr>
              <w:t>Table</w:t>
            </w:r>
            <w:r w:rsidR="0038256F">
              <w:rPr>
                <w:b w:val="0"/>
                <w:szCs w:val="26"/>
              </w:rPr>
              <w:t xml:space="preserve"> 14</w:t>
            </w:r>
            <w:r w:rsidRPr="00440A46">
              <w:rPr>
                <w:b w:val="0"/>
                <w:szCs w:val="26"/>
              </w:rPr>
              <w:t>: SCE 2018 ESPI Awards</w:t>
            </w:r>
          </w:p>
        </w:tc>
      </w:tr>
      <w:tr w:rsidR="00A52B69" w14:paraId="4147D2B7" w14:textId="77777777">
        <w:trPr>
          <w:trHeight w:val="232"/>
          <w:jc w:val="center"/>
        </w:trPr>
        <w:tc>
          <w:tcPr>
            <w:tcW w:w="423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7223705" w14:textId="77777777" w:rsidR="00AD7B7C" w:rsidRPr="0032525B" w:rsidRDefault="00AD7B7C" w:rsidP="00B47FF2">
            <w:pPr>
              <w:spacing w:before="60" w:after="60"/>
              <w:jc w:val="center"/>
              <w:rPr>
                <w:b/>
                <w:bCs/>
                <w:color w:val="000000"/>
              </w:rPr>
            </w:pPr>
            <w:r w:rsidRPr="0032525B">
              <w:rPr>
                <w:b/>
                <w:bCs/>
                <w:color w:val="000000"/>
              </w:rPr>
              <w:t>Component</w:t>
            </w:r>
          </w:p>
        </w:tc>
        <w:tc>
          <w:tcPr>
            <w:tcW w:w="1842" w:type="dxa"/>
            <w:tcBorders>
              <w:top w:val="single" w:sz="8" w:space="0" w:color="auto"/>
              <w:left w:val="nil"/>
              <w:bottom w:val="single" w:sz="4" w:space="0" w:color="auto"/>
              <w:right w:val="single" w:sz="8" w:space="0" w:color="auto"/>
            </w:tcBorders>
            <w:shd w:val="clear" w:color="auto" w:fill="auto"/>
            <w:vAlign w:val="center"/>
            <w:hideMark/>
          </w:tcPr>
          <w:p w14:paraId="66A57110" w14:textId="77777777" w:rsidR="00AD7B7C" w:rsidRPr="0032525B" w:rsidRDefault="00AD7B7C" w:rsidP="00B47FF2">
            <w:pPr>
              <w:spacing w:before="60" w:after="60"/>
              <w:jc w:val="center"/>
              <w:rPr>
                <w:b/>
                <w:bCs/>
                <w:color w:val="000000"/>
              </w:rPr>
            </w:pPr>
            <w:r w:rsidRPr="0032525B">
              <w:rPr>
                <w:b/>
                <w:bCs/>
                <w:color w:val="000000"/>
              </w:rPr>
              <w:t>Request</w:t>
            </w:r>
            <w:r>
              <w:rPr>
                <w:b/>
                <w:bCs/>
                <w:color w:val="000000"/>
              </w:rPr>
              <w:t>ed</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14:paraId="73EF6021" w14:textId="77777777" w:rsidR="00AD7B7C" w:rsidRPr="0032525B" w:rsidRDefault="00AD7B7C" w:rsidP="00B47FF2">
            <w:pPr>
              <w:spacing w:before="60" w:after="60"/>
              <w:jc w:val="center"/>
              <w:rPr>
                <w:b/>
                <w:bCs/>
                <w:color w:val="000000"/>
              </w:rPr>
            </w:pPr>
            <w:r>
              <w:rPr>
                <w:b/>
                <w:bCs/>
                <w:color w:val="000000"/>
              </w:rPr>
              <w:t>Approved</w:t>
            </w:r>
          </w:p>
        </w:tc>
      </w:tr>
      <w:tr w:rsidR="00A52B69" w14:paraId="7D2CE36E" w14:textId="77777777">
        <w:trPr>
          <w:trHeight w:val="300"/>
          <w:jc w:val="center"/>
        </w:trPr>
        <w:tc>
          <w:tcPr>
            <w:tcW w:w="4235" w:type="dxa"/>
            <w:tcBorders>
              <w:top w:val="single" w:sz="4" w:space="0" w:color="auto"/>
              <w:left w:val="single" w:sz="4" w:space="0" w:color="auto"/>
              <w:right w:val="single" w:sz="4" w:space="0" w:color="auto"/>
            </w:tcBorders>
            <w:shd w:val="clear" w:color="auto" w:fill="auto"/>
            <w:vAlign w:val="center"/>
            <w:hideMark/>
          </w:tcPr>
          <w:p w14:paraId="7B6B92B7" w14:textId="77777777" w:rsidR="003454DA" w:rsidRPr="001F5F04" w:rsidRDefault="003454DA" w:rsidP="00B47FF2">
            <w:pPr>
              <w:spacing w:before="0" w:after="0"/>
              <w:rPr>
                <w:color w:val="000000"/>
                <w:szCs w:val="26"/>
              </w:rPr>
            </w:pPr>
            <w:r w:rsidRPr="001F5F04">
              <w:rPr>
                <w:color w:val="000000"/>
                <w:szCs w:val="26"/>
              </w:rPr>
              <w:t>201</w:t>
            </w:r>
            <w:r>
              <w:rPr>
                <w:color w:val="000000"/>
                <w:szCs w:val="26"/>
              </w:rPr>
              <w:t>6</w:t>
            </w:r>
            <w:r w:rsidRPr="001F5F04">
              <w:rPr>
                <w:color w:val="000000"/>
                <w:szCs w:val="26"/>
              </w:rPr>
              <w:t xml:space="preserve"> Ex-Post Savings </w:t>
            </w:r>
          </w:p>
        </w:tc>
        <w:tc>
          <w:tcPr>
            <w:tcW w:w="1842" w:type="dxa"/>
            <w:tcBorders>
              <w:top w:val="single" w:sz="4" w:space="0" w:color="auto"/>
              <w:left w:val="single" w:sz="4" w:space="0" w:color="auto"/>
              <w:right w:val="single" w:sz="4" w:space="0" w:color="auto"/>
            </w:tcBorders>
            <w:shd w:val="clear" w:color="auto" w:fill="auto"/>
            <w:noWrap/>
            <w:vAlign w:val="center"/>
          </w:tcPr>
          <w:p w14:paraId="68E86752" w14:textId="77777777" w:rsidR="003454DA" w:rsidRPr="001F5F04" w:rsidRDefault="003454DA" w:rsidP="00B47FF2">
            <w:pPr>
              <w:spacing w:before="0" w:after="0"/>
              <w:ind w:firstLineChars="100" w:firstLine="240"/>
              <w:jc w:val="right"/>
              <w:rPr>
                <w:color w:val="000000"/>
                <w:szCs w:val="26"/>
              </w:rPr>
            </w:pPr>
            <w:r>
              <w:rPr>
                <w:color w:val="000000"/>
                <w:szCs w:val="26"/>
              </w:rPr>
              <w:t>$</w:t>
            </w:r>
            <w:r w:rsidRPr="00007280">
              <w:rPr>
                <w:color w:val="000000"/>
                <w:szCs w:val="26"/>
              </w:rPr>
              <w:t>4,460,393</w:t>
            </w:r>
          </w:p>
        </w:tc>
        <w:tc>
          <w:tcPr>
            <w:tcW w:w="1843" w:type="dxa"/>
            <w:tcBorders>
              <w:top w:val="single" w:sz="4" w:space="0" w:color="auto"/>
              <w:left w:val="single" w:sz="4" w:space="0" w:color="auto"/>
              <w:right w:val="single" w:sz="4" w:space="0" w:color="auto"/>
            </w:tcBorders>
            <w:shd w:val="clear" w:color="auto" w:fill="auto"/>
            <w:noWrap/>
            <w:vAlign w:val="center"/>
          </w:tcPr>
          <w:p w14:paraId="36D0A3E9" w14:textId="77777777" w:rsidR="003454DA" w:rsidRPr="001F5F04" w:rsidRDefault="003454DA" w:rsidP="00B47FF2">
            <w:pPr>
              <w:spacing w:before="0" w:after="0"/>
              <w:ind w:firstLineChars="100" w:firstLine="240"/>
              <w:jc w:val="right"/>
              <w:rPr>
                <w:color w:val="000000"/>
                <w:szCs w:val="26"/>
              </w:rPr>
            </w:pPr>
            <w:r>
              <w:rPr>
                <w:color w:val="000000"/>
                <w:szCs w:val="26"/>
              </w:rPr>
              <w:t>$</w:t>
            </w:r>
            <w:r w:rsidRPr="00007280">
              <w:rPr>
                <w:color w:val="000000"/>
                <w:szCs w:val="26"/>
              </w:rPr>
              <w:t>4,460,393</w:t>
            </w:r>
          </w:p>
        </w:tc>
      </w:tr>
      <w:tr w:rsidR="00A52B69" w14:paraId="5754DF60" w14:textId="77777777">
        <w:trPr>
          <w:trHeight w:val="300"/>
          <w:jc w:val="center"/>
        </w:trPr>
        <w:tc>
          <w:tcPr>
            <w:tcW w:w="4235" w:type="dxa"/>
            <w:tcBorders>
              <w:left w:val="single" w:sz="4" w:space="0" w:color="auto"/>
              <w:right w:val="single" w:sz="4" w:space="0" w:color="auto"/>
            </w:tcBorders>
            <w:shd w:val="clear" w:color="auto" w:fill="auto"/>
            <w:vAlign w:val="center"/>
            <w:hideMark/>
          </w:tcPr>
          <w:p w14:paraId="3E1DDF3C" w14:textId="77777777" w:rsidR="003454DA" w:rsidRPr="001F5F04" w:rsidRDefault="003454DA" w:rsidP="00B47FF2">
            <w:pPr>
              <w:spacing w:before="0" w:after="0"/>
              <w:rPr>
                <w:color w:val="000000"/>
                <w:szCs w:val="26"/>
              </w:rPr>
            </w:pPr>
            <w:r w:rsidRPr="001F5F04">
              <w:rPr>
                <w:color w:val="000000"/>
                <w:szCs w:val="26"/>
              </w:rPr>
              <w:t>201</w:t>
            </w:r>
            <w:r>
              <w:rPr>
                <w:color w:val="000000"/>
                <w:szCs w:val="26"/>
              </w:rPr>
              <w:t>7</w:t>
            </w:r>
            <w:r w:rsidRPr="001F5F04">
              <w:rPr>
                <w:color w:val="000000"/>
                <w:szCs w:val="26"/>
              </w:rPr>
              <w:t xml:space="preserve"> Ex-Ante Savings </w:t>
            </w:r>
          </w:p>
        </w:tc>
        <w:tc>
          <w:tcPr>
            <w:tcW w:w="1842" w:type="dxa"/>
            <w:tcBorders>
              <w:left w:val="single" w:sz="4" w:space="0" w:color="auto"/>
              <w:right w:val="single" w:sz="4" w:space="0" w:color="auto"/>
            </w:tcBorders>
            <w:shd w:val="clear" w:color="auto" w:fill="auto"/>
            <w:noWrap/>
            <w:vAlign w:val="center"/>
          </w:tcPr>
          <w:p w14:paraId="1B09C668" w14:textId="77777777" w:rsidR="003454DA" w:rsidRPr="001F5F04" w:rsidRDefault="003454DA" w:rsidP="00B47FF2">
            <w:pPr>
              <w:spacing w:before="0" w:after="0"/>
              <w:ind w:firstLineChars="100" w:firstLine="240"/>
              <w:jc w:val="right"/>
              <w:rPr>
                <w:color w:val="000000"/>
                <w:szCs w:val="26"/>
              </w:rPr>
            </w:pPr>
            <w:r>
              <w:rPr>
                <w:color w:val="000000"/>
                <w:szCs w:val="26"/>
              </w:rPr>
              <w:t>$</w:t>
            </w:r>
            <w:r w:rsidRPr="00007280">
              <w:rPr>
                <w:color w:val="000000"/>
                <w:szCs w:val="26"/>
              </w:rPr>
              <w:t>1,947,142</w:t>
            </w:r>
          </w:p>
        </w:tc>
        <w:tc>
          <w:tcPr>
            <w:tcW w:w="1843" w:type="dxa"/>
            <w:tcBorders>
              <w:left w:val="single" w:sz="4" w:space="0" w:color="auto"/>
              <w:right w:val="single" w:sz="4" w:space="0" w:color="auto"/>
            </w:tcBorders>
            <w:shd w:val="clear" w:color="auto" w:fill="auto"/>
            <w:noWrap/>
            <w:vAlign w:val="center"/>
          </w:tcPr>
          <w:p w14:paraId="610D53CE" w14:textId="77777777" w:rsidR="003454DA" w:rsidRPr="001F5F04" w:rsidRDefault="003454DA" w:rsidP="00B47FF2">
            <w:pPr>
              <w:spacing w:before="0" w:after="0"/>
              <w:ind w:firstLineChars="100" w:firstLine="240"/>
              <w:jc w:val="right"/>
              <w:rPr>
                <w:color w:val="000000"/>
                <w:szCs w:val="26"/>
              </w:rPr>
            </w:pPr>
            <w:r>
              <w:rPr>
                <w:color w:val="000000"/>
                <w:szCs w:val="26"/>
              </w:rPr>
              <w:t>$</w:t>
            </w:r>
            <w:r w:rsidRPr="00007280">
              <w:rPr>
                <w:color w:val="000000"/>
                <w:szCs w:val="26"/>
              </w:rPr>
              <w:t>1,947,142</w:t>
            </w:r>
          </w:p>
        </w:tc>
      </w:tr>
      <w:tr w:rsidR="00A52B69" w14:paraId="7C3D0854" w14:textId="77777777">
        <w:trPr>
          <w:trHeight w:val="300"/>
          <w:jc w:val="center"/>
        </w:trPr>
        <w:tc>
          <w:tcPr>
            <w:tcW w:w="4235" w:type="dxa"/>
            <w:tcBorders>
              <w:left w:val="single" w:sz="4" w:space="0" w:color="auto"/>
              <w:right w:val="single" w:sz="4" w:space="0" w:color="auto"/>
            </w:tcBorders>
            <w:shd w:val="clear" w:color="auto" w:fill="auto"/>
            <w:vAlign w:val="center"/>
            <w:hideMark/>
          </w:tcPr>
          <w:p w14:paraId="6E0A4209" w14:textId="77777777" w:rsidR="003454DA" w:rsidRPr="001F5F04" w:rsidRDefault="003454DA" w:rsidP="00B47FF2">
            <w:pPr>
              <w:spacing w:before="0" w:after="0"/>
              <w:rPr>
                <w:color w:val="000000"/>
                <w:szCs w:val="26"/>
              </w:rPr>
            </w:pPr>
            <w:r w:rsidRPr="001F5F04">
              <w:rPr>
                <w:color w:val="000000"/>
                <w:szCs w:val="26"/>
              </w:rPr>
              <w:t>201</w:t>
            </w:r>
            <w:r>
              <w:rPr>
                <w:color w:val="000000"/>
                <w:szCs w:val="26"/>
              </w:rPr>
              <w:t>7</w:t>
            </w:r>
            <w:r w:rsidRPr="001F5F04">
              <w:rPr>
                <w:color w:val="000000"/>
                <w:szCs w:val="26"/>
              </w:rPr>
              <w:t xml:space="preserve"> Ex-Ante Review Performance </w:t>
            </w:r>
          </w:p>
        </w:tc>
        <w:tc>
          <w:tcPr>
            <w:tcW w:w="1842" w:type="dxa"/>
            <w:tcBorders>
              <w:left w:val="single" w:sz="4" w:space="0" w:color="auto"/>
              <w:right w:val="single" w:sz="4" w:space="0" w:color="auto"/>
            </w:tcBorders>
            <w:shd w:val="clear" w:color="auto" w:fill="auto"/>
            <w:noWrap/>
            <w:vAlign w:val="center"/>
          </w:tcPr>
          <w:p w14:paraId="1A943D25" w14:textId="77777777" w:rsidR="003454DA" w:rsidRPr="001F5F04" w:rsidRDefault="003454DA" w:rsidP="00B47FF2">
            <w:pPr>
              <w:spacing w:before="0" w:after="0"/>
              <w:ind w:firstLineChars="100" w:firstLine="240"/>
              <w:jc w:val="right"/>
              <w:rPr>
                <w:color w:val="000000"/>
                <w:szCs w:val="26"/>
              </w:rPr>
            </w:pPr>
            <w:r w:rsidRPr="00991C79">
              <w:rPr>
                <w:color w:val="000000"/>
                <w:szCs w:val="26"/>
              </w:rPr>
              <w:t>$3,713,618</w:t>
            </w:r>
          </w:p>
        </w:tc>
        <w:tc>
          <w:tcPr>
            <w:tcW w:w="1843" w:type="dxa"/>
            <w:tcBorders>
              <w:left w:val="single" w:sz="4" w:space="0" w:color="auto"/>
              <w:right w:val="single" w:sz="4" w:space="0" w:color="auto"/>
            </w:tcBorders>
            <w:shd w:val="clear" w:color="auto" w:fill="auto"/>
            <w:noWrap/>
            <w:vAlign w:val="center"/>
          </w:tcPr>
          <w:p w14:paraId="43FA813E" w14:textId="77777777" w:rsidR="003454DA" w:rsidRPr="00EA12B5" w:rsidRDefault="00CB00DE" w:rsidP="00B47FF2">
            <w:pPr>
              <w:spacing w:before="0" w:after="0"/>
              <w:ind w:firstLineChars="100" w:firstLine="240"/>
              <w:jc w:val="right"/>
              <w:rPr>
                <w:color w:val="000000"/>
                <w:szCs w:val="26"/>
                <w:highlight w:val="yellow"/>
              </w:rPr>
            </w:pPr>
            <w:r w:rsidRPr="00CB00DE">
              <w:rPr>
                <w:color w:val="000000"/>
                <w:szCs w:val="26"/>
              </w:rPr>
              <w:t>$3,249,622</w:t>
            </w:r>
          </w:p>
        </w:tc>
      </w:tr>
      <w:tr w:rsidR="00A52B69" w14:paraId="02837DD6" w14:textId="77777777">
        <w:trPr>
          <w:trHeight w:val="390"/>
          <w:jc w:val="center"/>
        </w:trPr>
        <w:tc>
          <w:tcPr>
            <w:tcW w:w="4235" w:type="dxa"/>
            <w:tcBorders>
              <w:left w:val="single" w:sz="4" w:space="0" w:color="auto"/>
              <w:right w:val="single" w:sz="4" w:space="0" w:color="auto"/>
            </w:tcBorders>
            <w:shd w:val="clear" w:color="auto" w:fill="auto"/>
            <w:vAlign w:val="center"/>
            <w:hideMark/>
          </w:tcPr>
          <w:p w14:paraId="4C75726E" w14:textId="77777777" w:rsidR="003454DA" w:rsidRPr="001F5F04" w:rsidRDefault="003454DA" w:rsidP="00B47FF2">
            <w:pPr>
              <w:spacing w:before="0" w:after="0"/>
              <w:rPr>
                <w:color w:val="000000"/>
                <w:szCs w:val="26"/>
              </w:rPr>
            </w:pPr>
            <w:r w:rsidRPr="001F5F04">
              <w:rPr>
                <w:color w:val="000000"/>
                <w:szCs w:val="26"/>
              </w:rPr>
              <w:t>201</w:t>
            </w:r>
            <w:r>
              <w:rPr>
                <w:color w:val="000000"/>
                <w:szCs w:val="26"/>
              </w:rPr>
              <w:t>7</w:t>
            </w:r>
            <w:r w:rsidRPr="001F5F04">
              <w:rPr>
                <w:color w:val="000000"/>
                <w:szCs w:val="26"/>
              </w:rPr>
              <w:t xml:space="preserve"> Codes &amp; Standards </w:t>
            </w:r>
          </w:p>
        </w:tc>
        <w:tc>
          <w:tcPr>
            <w:tcW w:w="1842" w:type="dxa"/>
            <w:tcBorders>
              <w:left w:val="single" w:sz="4" w:space="0" w:color="auto"/>
              <w:right w:val="single" w:sz="4" w:space="0" w:color="auto"/>
            </w:tcBorders>
            <w:shd w:val="clear" w:color="auto" w:fill="auto"/>
            <w:noWrap/>
            <w:vAlign w:val="center"/>
          </w:tcPr>
          <w:p w14:paraId="50B3BFCD" w14:textId="77777777" w:rsidR="003454DA" w:rsidRPr="001F5F04" w:rsidRDefault="003454DA" w:rsidP="00B47FF2">
            <w:pPr>
              <w:spacing w:before="0" w:after="0"/>
              <w:ind w:firstLineChars="100" w:firstLine="240"/>
              <w:jc w:val="right"/>
              <w:rPr>
                <w:color w:val="000000"/>
                <w:szCs w:val="26"/>
              </w:rPr>
            </w:pPr>
            <w:r w:rsidRPr="00991C79">
              <w:rPr>
                <w:color w:val="000000"/>
                <w:szCs w:val="26"/>
              </w:rPr>
              <w:t>$474,404</w:t>
            </w:r>
          </w:p>
        </w:tc>
        <w:tc>
          <w:tcPr>
            <w:tcW w:w="1843" w:type="dxa"/>
            <w:tcBorders>
              <w:left w:val="single" w:sz="4" w:space="0" w:color="auto"/>
              <w:right w:val="single" w:sz="4" w:space="0" w:color="auto"/>
            </w:tcBorders>
            <w:shd w:val="clear" w:color="auto" w:fill="auto"/>
            <w:noWrap/>
            <w:vAlign w:val="center"/>
          </w:tcPr>
          <w:p w14:paraId="1AD1ED26" w14:textId="77777777" w:rsidR="003454DA" w:rsidRPr="001F5F04" w:rsidRDefault="003454DA" w:rsidP="00B47FF2">
            <w:pPr>
              <w:spacing w:before="0" w:after="0"/>
              <w:ind w:firstLineChars="100" w:firstLine="240"/>
              <w:jc w:val="right"/>
              <w:rPr>
                <w:color w:val="000000"/>
                <w:szCs w:val="26"/>
              </w:rPr>
            </w:pPr>
            <w:r w:rsidRPr="00991C79">
              <w:rPr>
                <w:color w:val="000000"/>
                <w:szCs w:val="26"/>
              </w:rPr>
              <w:t xml:space="preserve"> $474,404 </w:t>
            </w:r>
          </w:p>
        </w:tc>
      </w:tr>
      <w:tr w:rsidR="00A52B69" w14:paraId="1E2A6FA1" w14:textId="77777777">
        <w:trPr>
          <w:trHeight w:val="300"/>
          <w:jc w:val="center"/>
        </w:trPr>
        <w:tc>
          <w:tcPr>
            <w:tcW w:w="4235" w:type="dxa"/>
            <w:tcBorders>
              <w:left w:val="single" w:sz="4" w:space="0" w:color="auto"/>
              <w:right w:val="single" w:sz="4" w:space="0" w:color="auto"/>
            </w:tcBorders>
            <w:shd w:val="clear" w:color="auto" w:fill="auto"/>
            <w:vAlign w:val="center"/>
            <w:hideMark/>
          </w:tcPr>
          <w:p w14:paraId="097F229C" w14:textId="77777777" w:rsidR="003454DA" w:rsidRPr="001F5F04" w:rsidRDefault="003454DA" w:rsidP="00B47FF2">
            <w:pPr>
              <w:spacing w:before="0" w:after="0"/>
              <w:rPr>
                <w:color w:val="000000"/>
                <w:szCs w:val="26"/>
              </w:rPr>
            </w:pPr>
            <w:r w:rsidRPr="001F5F04">
              <w:rPr>
                <w:color w:val="000000"/>
                <w:szCs w:val="26"/>
              </w:rPr>
              <w:t>201</w:t>
            </w:r>
            <w:r>
              <w:rPr>
                <w:color w:val="000000"/>
                <w:szCs w:val="26"/>
              </w:rPr>
              <w:t>7</w:t>
            </w:r>
            <w:r w:rsidRPr="001F5F04">
              <w:rPr>
                <w:color w:val="000000"/>
                <w:szCs w:val="26"/>
              </w:rPr>
              <w:t xml:space="preserve"> Non-Resource</w:t>
            </w:r>
          </w:p>
        </w:tc>
        <w:tc>
          <w:tcPr>
            <w:tcW w:w="1842" w:type="dxa"/>
            <w:tcBorders>
              <w:left w:val="single" w:sz="4" w:space="0" w:color="auto"/>
              <w:right w:val="single" w:sz="4" w:space="0" w:color="auto"/>
            </w:tcBorders>
            <w:shd w:val="clear" w:color="auto" w:fill="auto"/>
            <w:noWrap/>
            <w:vAlign w:val="center"/>
          </w:tcPr>
          <w:p w14:paraId="6D5F6010" w14:textId="77777777" w:rsidR="003454DA" w:rsidRPr="001F5F04" w:rsidRDefault="003454DA" w:rsidP="00B47FF2">
            <w:pPr>
              <w:spacing w:before="0" w:after="0"/>
              <w:ind w:firstLineChars="100" w:firstLine="240"/>
              <w:jc w:val="right"/>
              <w:rPr>
                <w:color w:val="000000"/>
                <w:szCs w:val="26"/>
              </w:rPr>
            </w:pPr>
            <w:r w:rsidRPr="00991C79">
              <w:rPr>
                <w:color w:val="000000"/>
                <w:szCs w:val="26"/>
              </w:rPr>
              <w:t>$466,969</w:t>
            </w:r>
          </w:p>
        </w:tc>
        <w:tc>
          <w:tcPr>
            <w:tcW w:w="1843" w:type="dxa"/>
            <w:tcBorders>
              <w:left w:val="single" w:sz="4" w:space="0" w:color="auto"/>
              <w:right w:val="single" w:sz="4" w:space="0" w:color="auto"/>
            </w:tcBorders>
            <w:shd w:val="clear" w:color="auto" w:fill="auto"/>
            <w:noWrap/>
            <w:vAlign w:val="center"/>
          </w:tcPr>
          <w:p w14:paraId="7EF528C8" w14:textId="77777777" w:rsidR="003454DA" w:rsidRPr="001F5F04" w:rsidRDefault="003454DA" w:rsidP="00B47FF2">
            <w:pPr>
              <w:spacing w:before="0" w:after="0"/>
              <w:ind w:firstLineChars="100" w:firstLine="240"/>
              <w:jc w:val="right"/>
              <w:rPr>
                <w:color w:val="000000"/>
                <w:szCs w:val="26"/>
              </w:rPr>
            </w:pPr>
            <w:r w:rsidRPr="00991C79">
              <w:rPr>
                <w:color w:val="000000"/>
                <w:szCs w:val="26"/>
              </w:rPr>
              <w:t xml:space="preserve"> $466,969 </w:t>
            </w:r>
          </w:p>
        </w:tc>
      </w:tr>
      <w:tr w:rsidR="00A52B69" w14:paraId="132AD7A5" w14:textId="77777777">
        <w:trPr>
          <w:trHeight w:val="300"/>
          <w:jc w:val="center"/>
        </w:trPr>
        <w:tc>
          <w:tcPr>
            <w:tcW w:w="4235" w:type="dxa"/>
            <w:tcBorders>
              <w:left w:val="single" w:sz="4" w:space="0" w:color="auto"/>
              <w:right w:val="single" w:sz="4" w:space="0" w:color="auto"/>
            </w:tcBorders>
            <w:shd w:val="clear" w:color="auto" w:fill="auto"/>
            <w:vAlign w:val="center"/>
            <w:hideMark/>
          </w:tcPr>
          <w:p w14:paraId="5D09276A" w14:textId="77777777" w:rsidR="003454DA" w:rsidRPr="001F5F04" w:rsidRDefault="003454DA" w:rsidP="00B47FF2">
            <w:pPr>
              <w:spacing w:before="0" w:after="0"/>
              <w:rPr>
                <w:color w:val="000000"/>
                <w:szCs w:val="26"/>
              </w:rPr>
            </w:pPr>
            <w:r w:rsidRPr="001F5F04">
              <w:rPr>
                <w:color w:val="000000"/>
                <w:szCs w:val="26"/>
              </w:rPr>
              <w:t>201</w:t>
            </w:r>
            <w:r>
              <w:rPr>
                <w:color w:val="000000"/>
                <w:szCs w:val="26"/>
              </w:rPr>
              <w:t>6</w:t>
            </w:r>
            <w:r w:rsidRPr="001F5F04">
              <w:rPr>
                <w:color w:val="000000"/>
                <w:szCs w:val="26"/>
              </w:rPr>
              <w:t xml:space="preserve"> Ex-Ante Savings True Up</w:t>
            </w:r>
          </w:p>
        </w:tc>
        <w:tc>
          <w:tcPr>
            <w:tcW w:w="1842" w:type="dxa"/>
            <w:tcBorders>
              <w:left w:val="single" w:sz="4" w:space="0" w:color="auto"/>
              <w:right w:val="single" w:sz="4" w:space="0" w:color="auto"/>
            </w:tcBorders>
            <w:shd w:val="clear" w:color="auto" w:fill="auto"/>
            <w:noWrap/>
            <w:vAlign w:val="center"/>
          </w:tcPr>
          <w:p w14:paraId="4339E2A0" w14:textId="77777777" w:rsidR="003454DA" w:rsidRPr="001F5F04" w:rsidRDefault="00F47ACF" w:rsidP="00B47FF2">
            <w:pPr>
              <w:spacing w:before="0" w:after="0"/>
              <w:ind w:firstLineChars="100" w:firstLine="240"/>
              <w:jc w:val="right"/>
              <w:rPr>
                <w:color w:val="000000"/>
                <w:szCs w:val="26"/>
              </w:rPr>
            </w:pPr>
            <w:r>
              <w:rPr>
                <w:color w:val="000000"/>
                <w:szCs w:val="26"/>
              </w:rPr>
              <w:t>-</w:t>
            </w:r>
          </w:p>
        </w:tc>
        <w:tc>
          <w:tcPr>
            <w:tcW w:w="1843" w:type="dxa"/>
            <w:tcBorders>
              <w:left w:val="single" w:sz="4" w:space="0" w:color="auto"/>
              <w:right w:val="single" w:sz="4" w:space="0" w:color="auto"/>
            </w:tcBorders>
            <w:shd w:val="clear" w:color="auto" w:fill="auto"/>
            <w:noWrap/>
            <w:vAlign w:val="center"/>
          </w:tcPr>
          <w:p w14:paraId="1EB7FB27" w14:textId="77777777" w:rsidR="003454DA" w:rsidRPr="00991C79" w:rsidRDefault="00F47ACF" w:rsidP="00B47FF2">
            <w:pPr>
              <w:spacing w:before="0" w:after="0"/>
              <w:ind w:firstLineChars="100" w:firstLine="240"/>
              <w:jc w:val="right"/>
              <w:rPr>
                <w:color w:val="000000"/>
                <w:szCs w:val="26"/>
              </w:rPr>
            </w:pPr>
            <w:r>
              <w:rPr>
                <w:color w:val="000000"/>
                <w:szCs w:val="26"/>
              </w:rPr>
              <w:t>-</w:t>
            </w:r>
          </w:p>
        </w:tc>
      </w:tr>
      <w:tr w:rsidR="00A52B69" w14:paraId="1B94A635" w14:textId="77777777">
        <w:trPr>
          <w:trHeight w:val="300"/>
          <w:jc w:val="center"/>
        </w:trPr>
        <w:tc>
          <w:tcPr>
            <w:tcW w:w="4235" w:type="dxa"/>
            <w:tcBorders>
              <w:left w:val="single" w:sz="4" w:space="0" w:color="auto"/>
              <w:right w:val="single" w:sz="4" w:space="0" w:color="auto"/>
            </w:tcBorders>
            <w:shd w:val="clear" w:color="auto" w:fill="auto"/>
            <w:noWrap/>
            <w:vAlign w:val="center"/>
            <w:hideMark/>
          </w:tcPr>
          <w:p w14:paraId="6D9F8B90" w14:textId="77777777" w:rsidR="003454DA" w:rsidRPr="001F5F04" w:rsidRDefault="003454DA" w:rsidP="00B47FF2">
            <w:pPr>
              <w:spacing w:before="0" w:after="0"/>
              <w:rPr>
                <w:color w:val="000000"/>
                <w:szCs w:val="26"/>
              </w:rPr>
            </w:pPr>
            <w:r w:rsidRPr="001F5F04">
              <w:rPr>
                <w:color w:val="000000"/>
                <w:szCs w:val="26"/>
              </w:rPr>
              <w:t>201</w:t>
            </w:r>
            <w:r>
              <w:rPr>
                <w:color w:val="000000"/>
                <w:szCs w:val="26"/>
              </w:rPr>
              <w:t>6</w:t>
            </w:r>
            <w:r w:rsidRPr="001F5F04">
              <w:rPr>
                <w:color w:val="000000"/>
                <w:szCs w:val="26"/>
              </w:rPr>
              <w:t xml:space="preserve"> EAR Performance True Up</w:t>
            </w:r>
          </w:p>
        </w:tc>
        <w:tc>
          <w:tcPr>
            <w:tcW w:w="1842" w:type="dxa"/>
            <w:tcBorders>
              <w:left w:val="single" w:sz="4" w:space="0" w:color="auto"/>
              <w:right w:val="single" w:sz="4" w:space="0" w:color="auto"/>
            </w:tcBorders>
            <w:shd w:val="clear" w:color="auto" w:fill="auto"/>
            <w:noWrap/>
            <w:vAlign w:val="center"/>
          </w:tcPr>
          <w:p w14:paraId="1CB9FD1D" w14:textId="77777777" w:rsidR="003454DA" w:rsidRPr="00DD2C96" w:rsidRDefault="003454DA" w:rsidP="00B47FF2">
            <w:pPr>
              <w:spacing w:before="0" w:after="0"/>
              <w:ind w:firstLineChars="100" w:firstLine="240"/>
              <w:jc w:val="right"/>
              <w:rPr>
                <w:color w:val="FF0000"/>
                <w:szCs w:val="26"/>
              </w:rPr>
            </w:pPr>
            <w:r w:rsidRPr="00DD2C96">
              <w:rPr>
                <w:color w:val="FF0000"/>
                <w:szCs w:val="26"/>
              </w:rPr>
              <w:t xml:space="preserve"> </w:t>
            </w:r>
            <w:r w:rsidR="009E7E4C" w:rsidRPr="00DD2C96">
              <w:rPr>
                <w:color w:val="FF0000"/>
                <w:szCs w:val="26"/>
              </w:rPr>
              <w:t>($</w:t>
            </w:r>
            <w:r w:rsidRPr="00DD2C96">
              <w:rPr>
                <w:color w:val="FF0000"/>
                <w:szCs w:val="26"/>
              </w:rPr>
              <w:t>16,843)</w:t>
            </w:r>
          </w:p>
        </w:tc>
        <w:tc>
          <w:tcPr>
            <w:tcW w:w="1843" w:type="dxa"/>
            <w:tcBorders>
              <w:left w:val="single" w:sz="4" w:space="0" w:color="auto"/>
              <w:right w:val="single" w:sz="4" w:space="0" w:color="auto"/>
            </w:tcBorders>
            <w:shd w:val="clear" w:color="auto" w:fill="auto"/>
            <w:noWrap/>
            <w:vAlign w:val="center"/>
          </w:tcPr>
          <w:p w14:paraId="2630074C" w14:textId="77777777" w:rsidR="003454DA" w:rsidRPr="00DD2C96" w:rsidRDefault="003454DA" w:rsidP="00B47FF2">
            <w:pPr>
              <w:spacing w:before="0" w:after="0"/>
              <w:ind w:firstLineChars="100" w:firstLine="240"/>
              <w:jc w:val="right"/>
              <w:rPr>
                <w:color w:val="FF0000"/>
                <w:szCs w:val="26"/>
              </w:rPr>
            </w:pPr>
            <w:r w:rsidRPr="00DD2C96">
              <w:rPr>
                <w:color w:val="FF0000"/>
                <w:szCs w:val="26"/>
              </w:rPr>
              <w:t xml:space="preserve"> </w:t>
            </w:r>
            <w:r w:rsidR="009E7E4C" w:rsidRPr="00DD2C96">
              <w:rPr>
                <w:color w:val="FF0000"/>
                <w:szCs w:val="26"/>
              </w:rPr>
              <w:t>($</w:t>
            </w:r>
            <w:r w:rsidRPr="00DD2C96">
              <w:rPr>
                <w:color w:val="FF0000"/>
                <w:szCs w:val="26"/>
              </w:rPr>
              <w:t>16,843)</w:t>
            </w:r>
          </w:p>
        </w:tc>
      </w:tr>
      <w:tr w:rsidR="00A52B69" w14:paraId="3C31C1F4" w14:textId="77777777">
        <w:trPr>
          <w:trHeight w:val="300"/>
          <w:jc w:val="center"/>
        </w:trPr>
        <w:tc>
          <w:tcPr>
            <w:tcW w:w="4235" w:type="dxa"/>
            <w:tcBorders>
              <w:left w:val="single" w:sz="4" w:space="0" w:color="auto"/>
              <w:right w:val="single" w:sz="4" w:space="0" w:color="auto"/>
            </w:tcBorders>
            <w:shd w:val="clear" w:color="auto" w:fill="auto"/>
            <w:noWrap/>
            <w:vAlign w:val="center"/>
            <w:hideMark/>
          </w:tcPr>
          <w:p w14:paraId="30B9108D" w14:textId="77777777" w:rsidR="003454DA" w:rsidRPr="001F5F04" w:rsidRDefault="003454DA" w:rsidP="00B47FF2">
            <w:pPr>
              <w:spacing w:before="0" w:after="0"/>
              <w:rPr>
                <w:color w:val="000000"/>
                <w:szCs w:val="26"/>
              </w:rPr>
            </w:pPr>
            <w:r w:rsidRPr="001F5F04">
              <w:rPr>
                <w:color w:val="000000"/>
                <w:szCs w:val="26"/>
              </w:rPr>
              <w:t>201</w:t>
            </w:r>
            <w:r>
              <w:rPr>
                <w:color w:val="000000"/>
                <w:szCs w:val="26"/>
              </w:rPr>
              <w:t>6</w:t>
            </w:r>
            <w:r w:rsidRPr="001F5F04">
              <w:rPr>
                <w:color w:val="000000"/>
                <w:szCs w:val="26"/>
              </w:rPr>
              <w:t xml:space="preserve"> Codes &amp; Standards True Up</w:t>
            </w:r>
          </w:p>
        </w:tc>
        <w:tc>
          <w:tcPr>
            <w:tcW w:w="1842" w:type="dxa"/>
            <w:tcBorders>
              <w:left w:val="single" w:sz="4" w:space="0" w:color="auto"/>
              <w:right w:val="single" w:sz="4" w:space="0" w:color="auto"/>
            </w:tcBorders>
            <w:shd w:val="clear" w:color="auto" w:fill="auto"/>
            <w:noWrap/>
            <w:vAlign w:val="bottom"/>
          </w:tcPr>
          <w:p w14:paraId="46BCCE22" w14:textId="77777777" w:rsidR="003454DA" w:rsidRPr="00DD2C96" w:rsidRDefault="003454DA" w:rsidP="00B47FF2">
            <w:pPr>
              <w:spacing w:before="0" w:after="0"/>
              <w:ind w:firstLineChars="100" w:firstLine="240"/>
              <w:jc w:val="right"/>
              <w:rPr>
                <w:color w:val="FF0000"/>
                <w:szCs w:val="26"/>
              </w:rPr>
            </w:pPr>
            <w:r w:rsidRPr="00DD2C96">
              <w:rPr>
                <w:color w:val="FF0000"/>
                <w:szCs w:val="26"/>
              </w:rPr>
              <w:t xml:space="preserve"> </w:t>
            </w:r>
            <w:r w:rsidR="009E7E4C" w:rsidRPr="00DD2C96">
              <w:rPr>
                <w:color w:val="FF0000"/>
                <w:szCs w:val="26"/>
              </w:rPr>
              <w:t>($</w:t>
            </w:r>
            <w:r w:rsidR="006665E2" w:rsidRPr="00DD2C96">
              <w:rPr>
                <w:color w:val="FF0000"/>
                <w:szCs w:val="26"/>
              </w:rPr>
              <w:t>5,462)</w:t>
            </w:r>
          </w:p>
        </w:tc>
        <w:tc>
          <w:tcPr>
            <w:tcW w:w="1843" w:type="dxa"/>
            <w:tcBorders>
              <w:left w:val="single" w:sz="4" w:space="0" w:color="auto"/>
              <w:right w:val="single" w:sz="4" w:space="0" w:color="auto"/>
            </w:tcBorders>
            <w:shd w:val="clear" w:color="auto" w:fill="auto"/>
            <w:vAlign w:val="center"/>
          </w:tcPr>
          <w:p w14:paraId="543CD12E" w14:textId="77777777" w:rsidR="003454DA" w:rsidRPr="00DD2C96" w:rsidRDefault="003454DA" w:rsidP="00B47FF2">
            <w:pPr>
              <w:spacing w:before="0" w:after="0"/>
              <w:ind w:firstLineChars="100" w:firstLine="240"/>
              <w:jc w:val="right"/>
              <w:rPr>
                <w:color w:val="FF0000"/>
                <w:szCs w:val="26"/>
              </w:rPr>
            </w:pPr>
            <w:r w:rsidRPr="00DD2C96">
              <w:rPr>
                <w:color w:val="FF0000"/>
                <w:szCs w:val="26"/>
              </w:rPr>
              <w:t xml:space="preserve"> </w:t>
            </w:r>
            <w:r w:rsidR="009E7E4C" w:rsidRPr="00DD2C96">
              <w:rPr>
                <w:color w:val="FF0000"/>
                <w:szCs w:val="26"/>
              </w:rPr>
              <w:t>($</w:t>
            </w:r>
            <w:r w:rsidRPr="00DD2C96">
              <w:rPr>
                <w:color w:val="FF0000"/>
                <w:szCs w:val="26"/>
              </w:rPr>
              <w:t>5,462)</w:t>
            </w:r>
          </w:p>
        </w:tc>
      </w:tr>
      <w:tr w:rsidR="00A52B69" w14:paraId="6EE2A323" w14:textId="77777777">
        <w:trPr>
          <w:trHeight w:val="360"/>
          <w:jc w:val="center"/>
        </w:trPr>
        <w:tc>
          <w:tcPr>
            <w:tcW w:w="4235" w:type="dxa"/>
            <w:tcBorders>
              <w:left w:val="single" w:sz="4" w:space="0" w:color="auto"/>
              <w:bottom w:val="single" w:sz="4" w:space="0" w:color="auto"/>
              <w:right w:val="single" w:sz="4" w:space="0" w:color="auto"/>
            </w:tcBorders>
            <w:shd w:val="clear" w:color="auto" w:fill="auto"/>
            <w:noWrap/>
            <w:vAlign w:val="center"/>
            <w:hideMark/>
          </w:tcPr>
          <w:p w14:paraId="5BEA8B3A" w14:textId="77777777" w:rsidR="003454DA" w:rsidRPr="001F5F04" w:rsidRDefault="003454DA" w:rsidP="00B47FF2">
            <w:pPr>
              <w:spacing w:before="0" w:after="0"/>
              <w:rPr>
                <w:color w:val="000000"/>
                <w:szCs w:val="26"/>
              </w:rPr>
            </w:pPr>
            <w:r w:rsidRPr="001F5F04">
              <w:rPr>
                <w:color w:val="000000"/>
                <w:szCs w:val="26"/>
              </w:rPr>
              <w:t>201</w:t>
            </w:r>
            <w:r>
              <w:rPr>
                <w:color w:val="000000"/>
                <w:szCs w:val="26"/>
              </w:rPr>
              <w:t>6</w:t>
            </w:r>
            <w:r w:rsidRPr="001F5F04">
              <w:rPr>
                <w:color w:val="000000"/>
                <w:szCs w:val="26"/>
              </w:rPr>
              <w:t xml:space="preserve"> Non-Resource True Up</w:t>
            </w:r>
          </w:p>
        </w:tc>
        <w:tc>
          <w:tcPr>
            <w:tcW w:w="1842" w:type="dxa"/>
            <w:tcBorders>
              <w:left w:val="single" w:sz="4" w:space="0" w:color="auto"/>
              <w:bottom w:val="single" w:sz="4" w:space="0" w:color="auto"/>
              <w:right w:val="single" w:sz="4" w:space="0" w:color="auto"/>
            </w:tcBorders>
            <w:shd w:val="clear" w:color="auto" w:fill="auto"/>
            <w:noWrap/>
            <w:vAlign w:val="bottom"/>
          </w:tcPr>
          <w:p w14:paraId="4FEC04E3" w14:textId="77777777" w:rsidR="003454DA" w:rsidRPr="00DD2C96" w:rsidRDefault="003454DA" w:rsidP="00B47FF2">
            <w:pPr>
              <w:spacing w:before="0" w:after="0"/>
              <w:ind w:firstLineChars="100" w:firstLine="240"/>
              <w:jc w:val="right"/>
              <w:rPr>
                <w:color w:val="FF0000"/>
                <w:szCs w:val="26"/>
              </w:rPr>
            </w:pPr>
            <w:r w:rsidRPr="00DD2C96">
              <w:rPr>
                <w:color w:val="FF0000"/>
                <w:szCs w:val="26"/>
              </w:rPr>
              <w:t xml:space="preserve"> </w:t>
            </w:r>
            <w:r w:rsidR="009E7E4C" w:rsidRPr="00DD2C96">
              <w:rPr>
                <w:color w:val="FF0000"/>
                <w:szCs w:val="26"/>
              </w:rPr>
              <w:t>($</w:t>
            </w:r>
            <w:r w:rsidR="006665E2" w:rsidRPr="00DD2C96">
              <w:rPr>
                <w:color w:val="FF0000"/>
                <w:szCs w:val="26"/>
              </w:rPr>
              <w:t>1,956)</w:t>
            </w:r>
          </w:p>
        </w:tc>
        <w:tc>
          <w:tcPr>
            <w:tcW w:w="1843" w:type="dxa"/>
            <w:tcBorders>
              <w:left w:val="single" w:sz="4" w:space="0" w:color="auto"/>
              <w:bottom w:val="single" w:sz="4" w:space="0" w:color="auto"/>
              <w:right w:val="single" w:sz="4" w:space="0" w:color="auto"/>
            </w:tcBorders>
            <w:shd w:val="clear" w:color="auto" w:fill="auto"/>
            <w:vAlign w:val="center"/>
          </w:tcPr>
          <w:p w14:paraId="2C8469FC" w14:textId="77777777" w:rsidR="003454DA" w:rsidRPr="00DD2C96" w:rsidRDefault="003454DA" w:rsidP="00B47FF2">
            <w:pPr>
              <w:spacing w:before="0" w:after="0"/>
              <w:ind w:firstLineChars="100" w:firstLine="240"/>
              <w:jc w:val="right"/>
              <w:rPr>
                <w:color w:val="FF0000"/>
                <w:szCs w:val="26"/>
              </w:rPr>
            </w:pPr>
            <w:r w:rsidRPr="00DD2C96">
              <w:rPr>
                <w:color w:val="FF0000"/>
                <w:szCs w:val="26"/>
              </w:rPr>
              <w:t xml:space="preserve"> </w:t>
            </w:r>
            <w:r w:rsidR="009E7E4C" w:rsidRPr="00DD2C96">
              <w:rPr>
                <w:color w:val="FF0000"/>
                <w:szCs w:val="26"/>
              </w:rPr>
              <w:t>($</w:t>
            </w:r>
            <w:r w:rsidRPr="00DD2C96">
              <w:rPr>
                <w:color w:val="FF0000"/>
                <w:szCs w:val="26"/>
              </w:rPr>
              <w:t>1,956)</w:t>
            </w:r>
          </w:p>
        </w:tc>
      </w:tr>
      <w:tr w:rsidR="00A52B69" w14:paraId="4BD26F8B" w14:textId="77777777">
        <w:trPr>
          <w:trHeight w:val="300"/>
          <w:jc w:val="center"/>
        </w:trPr>
        <w:tc>
          <w:tcPr>
            <w:tcW w:w="4235" w:type="dxa"/>
            <w:tcBorders>
              <w:top w:val="single" w:sz="4" w:space="0" w:color="auto"/>
              <w:left w:val="single" w:sz="8" w:space="0" w:color="auto"/>
              <w:bottom w:val="single" w:sz="8" w:space="0" w:color="auto"/>
              <w:right w:val="single" w:sz="8" w:space="0" w:color="auto"/>
            </w:tcBorders>
            <w:shd w:val="clear" w:color="auto" w:fill="auto"/>
            <w:hideMark/>
          </w:tcPr>
          <w:p w14:paraId="07997792" w14:textId="77777777" w:rsidR="003454DA" w:rsidRPr="00AC35F4" w:rsidRDefault="003454DA" w:rsidP="00B47FF2">
            <w:pPr>
              <w:spacing w:before="0" w:after="0"/>
              <w:jc w:val="center"/>
              <w:rPr>
                <w:b/>
                <w:bCs/>
                <w:color w:val="000000"/>
                <w:szCs w:val="26"/>
              </w:rPr>
            </w:pPr>
            <w:r w:rsidRPr="00AC35F4">
              <w:rPr>
                <w:b/>
              </w:rPr>
              <w:t>Award for PY 201</w:t>
            </w:r>
            <w:r>
              <w:rPr>
                <w:b/>
              </w:rPr>
              <w:t>6</w:t>
            </w:r>
            <w:r w:rsidRPr="00AC35F4">
              <w:rPr>
                <w:b/>
              </w:rPr>
              <w:t xml:space="preserve"> and 201</w:t>
            </w:r>
            <w:r>
              <w:rPr>
                <w:b/>
              </w:rPr>
              <w:t>7</w:t>
            </w:r>
          </w:p>
        </w:tc>
        <w:tc>
          <w:tcPr>
            <w:tcW w:w="1842" w:type="dxa"/>
            <w:tcBorders>
              <w:top w:val="single" w:sz="4" w:space="0" w:color="auto"/>
              <w:left w:val="nil"/>
              <w:bottom w:val="single" w:sz="8" w:space="0" w:color="auto"/>
              <w:right w:val="single" w:sz="8" w:space="0" w:color="auto"/>
            </w:tcBorders>
            <w:shd w:val="clear" w:color="auto" w:fill="auto"/>
            <w:vAlign w:val="center"/>
          </w:tcPr>
          <w:p w14:paraId="258CC746" w14:textId="77777777" w:rsidR="003454DA" w:rsidRPr="00D11CE6" w:rsidRDefault="00D11CE6" w:rsidP="00B47FF2">
            <w:pPr>
              <w:spacing w:before="0" w:after="0"/>
              <w:jc w:val="right"/>
              <w:rPr>
                <w:rFonts w:cs="Calibri"/>
                <w:b/>
                <w:bCs/>
                <w:color w:val="000000"/>
                <w:sz w:val="22"/>
                <w:szCs w:val="22"/>
              </w:rPr>
            </w:pPr>
            <w:r>
              <w:rPr>
                <w:rFonts w:cs="Calibri"/>
                <w:b/>
                <w:bCs/>
                <w:color w:val="000000"/>
                <w:sz w:val="22"/>
                <w:szCs w:val="22"/>
              </w:rPr>
              <w:t xml:space="preserve">$11,038,265 </w:t>
            </w:r>
          </w:p>
        </w:tc>
        <w:tc>
          <w:tcPr>
            <w:tcW w:w="1843" w:type="dxa"/>
            <w:tcBorders>
              <w:top w:val="single" w:sz="4" w:space="0" w:color="auto"/>
              <w:left w:val="nil"/>
              <w:bottom w:val="single" w:sz="8" w:space="0" w:color="auto"/>
              <w:right w:val="single" w:sz="8" w:space="0" w:color="auto"/>
            </w:tcBorders>
            <w:shd w:val="clear" w:color="auto" w:fill="auto"/>
            <w:vAlign w:val="center"/>
          </w:tcPr>
          <w:p w14:paraId="24C59ADA" w14:textId="77777777" w:rsidR="003454DA" w:rsidRPr="00EA12B5" w:rsidRDefault="00D11CE6" w:rsidP="00B47FF2">
            <w:pPr>
              <w:spacing w:before="0" w:after="0"/>
              <w:jc w:val="right"/>
              <w:rPr>
                <w:rFonts w:cs="Calibri"/>
                <w:b/>
                <w:bCs/>
                <w:color w:val="000000"/>
                <w:sz w:val="22"/>
                <w:szCs w:val="22"/>
                <w:highlight w:val="yellow"/>
              </w:rPr>
            </w:pPr>
            <w:r w:rsidRPr="00F179B9">
              <w:rPr>
                <w:rFonts w:cs="Calibri"/>
                <w:b/>
                <w:bCs/>
                <w:color w:val="000000"/>
                <w:sz w:val="22"/>
                <w:szCs w:val="22"/>
              </w:rPr>
              <w:t>$</w:t>
            </w:r>
            <w:r w:rsidR="00F179B9" w:rsidRPr="00F179B9">
              <w:rPr>
                <w:rFonts w:cs="Calibri"/>
                <w:b/>
                <w:bCs/>
                <w:color w:val="000000"/>
                <w:sz w:val="22"/>
                <w:szCs w:val="22"/>
              </w:rPr>
              <w:t xml:space="preserve"> 10,574,269 </w:t>
            </w:r>
            <w:r w:rsidRPr="00F179B9">
              <w:rPr>
                <w:rFonts w:cs="Calibri"/>
                <w:b/>
                <w:bCs/>
                <w:color w:val="000000"/>
                <w:sz w:val="22"/>
                <w:szCs w:val="22"/>
              </w:rPr>
              <w:t xml:space="preserve"> </w:t>
            </w:r>
          </w:p>
        </w:tc>
      </w:tr>
      <w:tr w:rsidR="00A52B69" w14:paraId="5BD7FB25" w14:textId="77777777">
        <w:trPr>
          <w:trHeight w:val="300"/>
          <w:jc w:val="center"/>
        </w:trPr>
        <w:tc>
          <w:tcPr>
            <w:tcW w:w="4235" w:type="dxa"/>
            <w:tcBorders>
              <w:top w:val="nil"/>
              <w:left w:val="single" w:sz="8" w:space="0" w:color="auto"/>
              <w:bottom w:val="single" w:sz="8" w:space="0" w:color="auto"/>
              <w:right w:val="single" w:sz="8" w:space="0" w:color="auto"/>
            </w:tcBorders>
            <w:shd w:val="clear" w:color="auto" w:fill="auto"/>
            <w:hideMark/>
          </w:tcPr>
          <w:p w14:paraId="630DF2DF" w14:textId="77777777" w:rsidR="003454DA" w:rsidRPr="001F5F04" w:rsidRDefault="003454DA" w:rsidP="00B47FF2">
            <w:pPr>
              <w:spacing w:before="0" w:after="0"/>
              <w:jc w:val="center"/>
              <w:rPr>
                <w:color w:val="000000"/>
                <w:szCs w:val="26"/>
              </w:rPr>
            </w:pPr>
            <w:r w:rsidRPr="004568E0">
              <w:t>2006-2008 RRIM Adjustment</w:t>
            </w:r>
          </w:p>
        </w:tc>
        <w:tc>
          <w:tcPr>
            <w:tcW w:w="1842" w:type="dxa"/>
            <w:tcBorders>
              <w:top w:val="nil"/>
              <w:left w:val="nil"/>
              <w:bottom w:val="nil"/>
              <w:right w:val="single" w:sz="8" w:space="0" w:color="auto"/>
            </w:tcBorders>
            <w:shd w:val="clear" w:color="auto" w:fill="auto"/>
            <w:noWrap/>
            <w:vAlign w:val="center"/>
          </w:tcPr>
          <w:p w14:paraId="292B4AE0" w14:textId="77777777" w:rsidR="003454DA" w:rsidRPr="001F5F04" w:rsidRDefault="003454DA" w:rsidP="00B47FF2">
            <w:pPr>
              <w:spacing w:before="0" w:after="0"/>
              <w:ind w:firstLineChars="100" w:firstLine="240"/>
              <w:jc w:val="right"/>
              <w:rPr>
                <w:color w:val="000000"/>
                <w:szCs w:val="26"/>
              </w:rPr>
            </w:pPr>
            <w:r>
              <w:rPr>
                <w:color w:val="000000"/>
                <w:szCs w:val="26"/>
              </w:rPr>
              <w:t>-</w:t>
            </w:r>
          </w:p>
        </w:tc>
        <w:tc>
          <w:tcPr>
            <w:tcW w:w="1843" w:type="dxa"/>
            <w:tcBorders>
              <w:top w:val="nil"/>
              <w:left w:val="nil"/>
              <w:bottom w:val="nil"/>
              <w:right w:val="single" w:sz="8" w:space="0" w:color="auto"/>
            </w:tcBorders>
            <w:shd w:val="clear" w:color="auto" w:fill="auto"/>
            <w:noWrap/>
            <w:vAlign w:val="center"/>
          </w:tcPr>
          <w:p w14:paraId="7CE4427F" w14:textId="77777777" w:rsidR="003454DA" w:rsidRPr="00EB7A8C" w:rsidRDefault="003454DA" w:rsidP="00B47FF2">
            <w:pPr>
              <w:spacing w:before="0" w:after="0"/>
              <w:ind w:firstLineChars="100" w:firstLine="240"/>
              <w:jc w:val="right"/>
              <w:rPr>
                <w:color w:val="000000"/>
                <w:szCs w:val="26"/>
              </w:rPr>
            </w:pPr>
            <w:r>
              <w:rPr>
                <w:color w:val="000000"/>
                <w:szCs w:val="26"/>
              </w:rPr>
              <w:t>-</w:t>
            </w:r>
          </w:p>
        </w:tc>
      </w:tr>
      <w:tr w:rsidR="00A52B69" w14:paraId="29FAC582" w14:textId="77777777">
        <w:trPr>
          <w:trHeight w:val="315"/>
          <w:jc w:val="center"/>
        </w:trPr>
        <w:tc>
          <w:tcPr>
            <w:tcW w:w="4235" w:type="dxa"/>
            <w:tcBorders>
              <w:top w:val="nil"/>
              <w:left w:val="single" w:sz="8" w:space="0" w:color="auto"/>
              <w:bottom w:val="single" w:sz="8" w:space="0" w:color="auto"/>
              <w:right w:val="single" w:sz="8" w:space="0" w:color="auto"/>
            </w:tcBorders>
            <w:shd w:val="clear" w:color="auto" w:fill="auto"/>
            <w:hideMark/>
          </w:tcPr>
          <w:p w14:paraId="07CAA1C5" w14:textId="77777777" w:rsidR="00094801" w:rsidRPr="00ED6C33" w:rsidRDefault="00094801" w:rsidP="00B47FF2">
            <w:pPr>
              <w:spacing w:before="0" w:after="0"/>
              <w:jc w:val="center"/>
              <w:rPr>
                <w:b/>
                <w:bCs/>
                <w:color w:val="000000"/>
                <w:sz w:val="28"/>
                <w:szCs w:val="28"/>
              </w:rPr>
            </w:pPr>
            <w:r w:rsidRPr="00ED6C33">
              <w:rPr>
                <w:b/>
                <w:sz w:val="28"/>
                <w:szCs w:val="28"/>
              </w:rPr>
              <w:t>Total Payment</w:t>
            </w:r>
          </w:p>
        </w:tc>
        <w:tc>
          <w:tcPr>
            <w:tcW w:w="1842" w:type="dxa"/>
            <w:tcBorders>
              <w:top w:val="single" w:sz="8" w:space="0" w:color="auto"/>
              <w:left w:val="nil"/>
              <w:bottom w:val="single" w:sz="8" w:space="0" w:color="auto"/>
              <w:right w:val="single" w:sz="8" w:space="0" w:color="auto"/>
            </w:tcBorders>
            <w:shd w:val="clear" w:color="auto" w:fill="auto"/>
            <w:vAlign w:val="center"/>
          </w:tcPr>
          <w:p w14:paraId="03ACC88E" w14:textId="77777777" w:rsidR="00094801" w:rsidRPr="00ED6C33" w:rsidRDefault="00D11CE6" w:rsidP="00B47FF2">
            <w:pPr>
              <w:spacing w:before="0" w:after="0"/>
              <w:jc w:val="right"/>
              <w:rPr>
                <w:b/>
                <w:bCs/>
                <w:color w:val="000000"/>
                <w:sz w:val="28"/>
                <w:szCs w:val="28"/>
              </w:rPr>
            </w:pPr>
            <w:r w:rsidRPr="00ED6C33">
              <w:rPr>
                <w:rFonts w:cs="Calibri"/>
                <w:b/>
                <w:bCs/>
                <w:color w:val="000000"/>
                <w:sz w:val="28"/>
                <w:szCs w:val="28"/>
              </w:rPr>
              <w:t xml:space="preserve">$11,038,265 </w:t>
            </w:r>
          </w:p>
        </w:tc>
        <w:tc>
          <w:tcPr>
            <w:tcW w:w="1843" w:type="dxa"/>
            <w:tcBorders>
              <w:top w:val="single" w:sz="8" w:space="0" w:color="auto"/>
              <w:left w:val="nil"/>
              <w:bottom w:val="single" w:sz="8" w:space="0" w:color="auto"/>
              <w:right w:val="single" w:sz="8" w:space="0" w:color="auto"/>
            </w:tcBorders>
            <w:shd w:val="clear" w:color="auto" w:fill="auto"/>
            <w:vAlign w:val="center"/>
          </w:tcPr>
          <w:p w14:paraId="169695BA" w14:textId="77777777" w:rsidR="00094801" w:rsidRPr="00EA12B5" w:rsidRDefault="00D11CE6" w:rsidP="00B47FF2">
            <w:pPr>
              <w:spacing w:before="0" w:after="0"/>
              <w:jc w:val="right"/>
              <w:rPr>
                <w:rFonts w:cs="Calibri"/>
                <w:b/>
                <w:bCs/>
                <w:color w:val="000000"/>
                <w:sz w:val="28"/>
                <w:szCs w:val="28"/>
                <w:highlight w:val="yellow"/>
              </w:rPr>
            </w:pPr>
            <w:r w:rsidRPr="00F179B9">
              <w:rPr>
                <w:rFonts w:cs="Calibri"/>
                <w:b/>
                <w:bCs/>
                <w:color w:val="000000"/>
                <w:sz w:val="28"/>
                <w:szCs w:val="28"/>
              </w:rPr>
              <w:t>$</w:t>
            </w:r>
            <w:r w:rsidR="00F179B9" w:rsidRPr="00F179B9">
              <w:rPr>
                <w:rFonts w:cs="Calibri"/>
                <w:b/>
                <w:bCs/>
                <w:color w:val="000000"/>
                <w:sz w:val="28"/>
                <w:szCs w:val="28"/>
              </w:rPr>
              <w:t>10,574,269</w:t>
            </w:r>
          </w:p>
        </w:tc>
      </w:tr>
    </w:tbl>
    <w:p w14:paraId="1477C3E7" w14:textId="77777777" w:rsidR="0016362E" w:rsidRPr="00291682" w:rsidRDefault="00DA68BA" w:rsidP="00AD6B15">
      <w:pPr>
        <w:pStyle w:val="Heading2"/>
        <w:numPr>
          <w:ilvl w:val="0"/>
          <w:numId w:val="6"/>
        </w:numPr>
      </w:pPr>
      <w:bookmarkStart w:id="66" w:name="_Toc497338873"/>
      <w:r w:rsidRPr="00291682">
        <w:t>San Diego Gas &amp; Electric</w:t>
      </w:r>
      <w:r w:rsidR="0016362E" w:rsidRPr="00291682">
        <w:t xml:space="preserve"> (SDG&amp;E)</w:t>
      </w:r>
      <w:bookmarkEnd w:id="66"/>
    </w:p>
    <w:p w14:paraId="51A326D2" w14:textId="77777777" w:rsidR="003529E6" w:rsidRDefault="003529E6" w:rsidP="008E7BDB">
      <w:pPr>
        <w:jc w:val="both"/>
        <w:rPr>
          <w:b/>
          <w:szCs w:val="26"/>
        </w:rPr>
      </w:pPr>
      <w:r w:rsidRPr="003529E6">
        <w:rPr>
          <w:b/>
          <w:szCs w:val="26"/>
        </w:rPr>
        <w:t xml:space="preserve">The Commission approves an incentive amount of </w:t>
      </w:r>
      <w:r w:rsidRPr="00FD382B">
        <w:rPr>
          <w:b/>
          <w:szCs w:val="26"/>
        </w:rPr>
        <w:t>$</w:t>
      </w:r>
      <w:r w:rsidR="004E4E3A" w:rsidRPr="004E4E3A">
        <w:rPr>
          <w:b/>
          <w:szCs w:val="26"/>
        </w:rPr>
        <w:t>2,675,481</w:t>
      </w:r>
      <w:r w:rsidR="0061517D">
        <w:rPr>
          <w:b/>
          <w:szCs w:val="26"/>
        </w:rPr>
        <w:t xml:space="preserve"> </w:t>
      </w:r>
      <w:r w:rsidRPr="003529E6">
        <w:rPr>
          <w:b/>
          <w:szCs w:val="26"/>
        </w:rPr>
        <w:t xml:space="preserve">for </w:t>
      </w:r>
      <w:r>
        <w:rPr>
          <w:b/>
          <w:szCs w:val="26"/>
        </w:rPr>
        <w:t>SD</w:t>
      </w:r>
      <w:r w:rsidRPr="003529E6">
        <w:rPr>
          <w:b/>
          <w:szCs w:val="26"/>
        </w:rPr>
        <w:t xml:space="preserve">G&amp;E, which is </w:t>
      </w:r>
      <w:r w:rsidRPr="00FD382B">
        <w:rPr>
          <w:b/>
          <w:szCs w:val="26"/>
        </w:rPr>
        <w:t>$</w:t>
      </w:r>
      <w:r w:rsidR="004E4E3A" w:rsidRPr="004E4E3A">
        <w:rPr>
          <w:b/>
          <w:szCs w:val="26"/>
        </w:rPr>
        <w:t>35,067</w:t>
      </w:r>
      <w:r w:rsidRPr="003529E6">
        <w:rPr>
          <w:b/>
          <w:szCs w:val="26"/>
        </w:rPr>
        <w:t xml:space="preserve"> more than their requested amount</w:t>
      </w:r>
      <w:r w:rsidR="00C33526">
        <w:rPr>
          <w:b/>
          <w:szCs w:val="26"/>
        </w:rPr>
        <w:t xml:space="preserve"> of </w:t>
      </w:r>
      <w:r w:rsidR="00C33526" w:rsidRPr="00C33526">
        <w:rPr>
          <w:b/>
          <w:szCs w:val="26"/>
        </w:rPr>
        <w:t>$2,640,414</w:t>
      </w:r>
      <w:r w:rsidRPr="003529E6">
        <w:rPr>
          <w:b/>
          <w:szCs w:val="26"/>
        </w:rPr>
        <w:t xml:space="preserve">. </w:t>
      </w:r>
    </w:p>
    <w:p w14:paraId="7B151F13" w14:textId="77777777" w:rsidR="00CE15D9" w:rsidRDefault="00CE15D9" w:rsidP="008E7BDB">
      <w:pPr>
        <w:jc w:val="both"/>
        <w:rPr>
          <w:szCs w:val="26"/>
        </w:rPr>
      </w:pPr>
      <w:r w:rsidRPr="00FE7591">
        <w:rPr>
          <w:szCs w:val="26"/>
        </w:rPr>
        <w:t>For 2016, SDG&amp;E exceeded their portfolio budget</w:t>
      </w:r>
      <w:r>
        <w:rPr>
          <w:szCs w:val="26"/>
        </w:rPr>
        <w:t xml:space="preserve"> </w:t>
      </w:r>
      <w:r w:rsidRPr="00D31E41">
        <w:rPr>
          <w:szCs w:val="26"/>
        </w:rPr>
        <w:t>by</w:t>
      </w:r>
      <w:r>
        <w:rPr>
          <w:szCs w:val="26"/>
        </w:rPr>
        <w:t xml:space="preserve"> </w:t>
      </w:r>
      <w:r w:rsidR="00D31E41" w:rsidRPr="00D31E41">
        <w:rPr>
          <w:szCs w:val="26"/>
        </w:rPr>
        <w:t>$12,786,111</w:t>
      </w:r>
      <w:r w:rsidR="00636A7D">
        <w:rPr>
          <w:szCs w:val="26"/>
        </w:rPr>
        <w:t xml:space="preserve">, </w:t>
      </w:r>
      <w:r w:rsidR="007F690E">
        <w:rPr>
          <w:szCs w:val="26"/>
        </w:rPr>
        <w:t>and</w:t>
      </w:r>
      <w:r w:rsidR="00636A7D">
        <w:rPr>
          <w:szCs w:val="26"/>
        </w:rPr>
        <w:t xml:space="preserve"> the</w:t>
      </w:r>
      <w:r w:rsidR="007F690E">
        <w:rPr>
          <w:szCs w:val="26"/>
        </w:rPr>
        <w:t>se</w:t>
      </w:r>
      <w:r w:rsidR="00636A7D">
        <w:rPr>
          <w:szCs w:val="26"/>
        </w:rPr>
        <w:t xml:space="preserve"> excess expenditures were excluded from ESPI award calculations</w:t>
      </w:r>
      <w:r w:rsidR="00D31E41">
        <w:rPr>
          <w:szCs w:val="26"/>
        </w:rPr>
        <w:t>.</w:t>
      </w:r>
    </w:p>
    <w:p w14:paraId="74562578" w14:textId="77777777" w:rsidR="00751906" w:rsidRDefault="00C3640F" w:rsidP="008E7BDB">
      <w:pPr>
        <w:jc w:val="both"/>
        <w:rPr>
          <w:szCs w:val="26"/>
        </w:rPr>
      </w:pPr>
      <w:bookmarkStart w:id="67" w:name="_Hlk369374"/>
      <w:r>
        <w:rPr>
          <w:szCs w:val="26"/>
        </w:rPr>
        <w:t>SDG&amp;</w:t>
      </w:r>
      <w:r w:rsidRPr="00C3640F">
        <w:rPr>
          <w:szCs w:val="26"/>
        </w:rPr>
        <w:t xml:space="preserve">E’s submitted program </w:t>
      </w:r>
      <w:r w:rsidR="006A4693" w:rsidRPr="00C3640F">
        <w:rPr>
          <w:szCs w:val="26"/>
        </w:rPr>
        <w:t xml:space="preserve">savings and </w:t>
      </w:r>
      <w:r w:rsidRPr="00C3640F">
        <w:rPr>
          <w:szCs w:val="26"/>
        </w:rPr>
        <w:t xml:space="preserve">expenditures were both modified based on the adjustments listed earlier. </w:t>
      </w:r>
      <w:r w:rsidR="00706DE8">
        <w:rPr>
          <w:szCs w:val="26"/>
        </w:rPr>
        <w:t xml:space="preserve">SDG&amp;E’s </w:t>
      </w:r>
      <w:r w:rsidR="006A4693">
        <w:rPr>
          <w:szCs w:val="26"/>
        </w:rPr>
        <w:t xml:space="preserve">Advice Letter attachment and </w:t>
      </w:r>
      <w:r w:rsidR="00706DE8">
        <w:rPr>
          <w:szCs w:val="26"/>
        </w:rPr>
        <w:t xml:space="preserve">CEDARS filings had </w:t>
      </w:r>
      <w:r w:rsidR="00751906">
        <w:rPr>
          <w:szCs w:val="26"/>
        </w:rPr>
        <w:t xml:space="preserve">omissions and </w:t>
      </w:r>
      <w:r w:rsidR="00706DE8">
        <w:rPr>
          <w:szCs w:val="26"/>
        </w:rPr>
        <w:t xml:space="preserve">errors. </w:t>
      </w:r>
      <w:r w:rsidR="00751906">
        <w:rPr>
          <w:szCs w:val="26"/>
        </w:rPr>
        <w:t xml:space="preserve">During discussions leading to this Resolution, </w:t>
      </w:r>
      <w:r w:rsidR="00BA2D70">
        <w:rPr>
          <w:szCs w:val="26"/>
        </w:rPr>
        <w:t xml:space="preserve">Commission </w:t>
      </w:r>
      <w:r w:rsidR="005B739D">
        <w:rPr>
          <w:szCs w:val="26"/>
        </w:rPr>
        <w:t>S</w:t>
      </w:r>
      <w:r w:rsidR="00C264AD">
        <w:rPr>
          <w:szCs w:val="26"/>
        </w:rPr>
        <w:t xml:space="preserve">taff </w:t>
      </w:r>
      <w:r w:rsidR="0014199A">
        <w:rPr>
          <w:szCs w:val="26"/>
        </w:rPr>
        <w:t>clarified</w:t>
      </w:r>
      <w:r w:rsidR="00C264AD">
        <w:rPr>
          <w:szCs w:val="26"/>
        </w:rPr>
        <w:t xml:space="preserve"> that </w:t>
      </w:r>
      <w:r w:rsidR="00D31E41" w:rsidRPr="00D31E41">
        <w:rPr>
          <w:szCs w:val="26"/>
        </w:rPr>
        <w:t>2017 expenditures associated with 2017 savings (as approved in the 2018 Final Performance Statement) from pre-2017 budgets were eligible for ESPI funding</w:t>
      </w:r>
      <w:r w:rsidR="00D31E41">
        <w:rPr>
          <w:szCs w:val="26"/>
        </w:rPr>
        <w:t>.</w:t>
      </w:r>
      <w:r w:rsidR="00751906">
        <w:rPr>
          <w:szCs w:val="26"/>
        </w:rPr>
        <w:t xml:space="preserve"> </w:t>
      </w:r>
      <w:bookmarkEnd w:id="67"/>
      <w:r w:rsidR="00D31E41">
        <w:rPr>
          <w:szCs w:val="26"/>
        </w:rPr>
        <w:t>Consequently</w:t>
      </w:r>
      <w:r w:rsidR="00751906">
        <w:rPr>
          <w:szCs w:val="26"/>
        </w:rPr>
        <w:t xml:space="preserve">, </w:t>
      </w:r>
      <w:r w:rsidR="00C264AD">
        <w:rPr>
          <w:szCs w:val="26"/>
        </w:rPr>
        <w:t>SDG&amp;E submitted additional expenditures</w:t>
      </w:r>
      <w:r w:rsidR="00751906">
        <w:rPr>
          <w:szCs w:val="26"/>
        </w:rPr>
        <w:t xml:space="preserve"> </w:t>
      </w:r>
      <w:r w:rsidR="00AF5021">
        <w:rPr>
          <w:szCs w:val="26"/>
        </w:rPr>
        <w:t xml:space="preserve">for </w:t>
      </w:r>
      <w:r w:rsidR="00673E63">
        <w:rPr>
          <w:szCs w:val="26"/>
        </w:rPr>
        <w:t xml:space="preserve">the </w:t>
      </w:r>
      <w:r w:rsidR="00AF5021">
        <w:rPr>
          <w:szCs w:val="26"/>
        </w:rPr>
        <w:t>Commission’s review</w:t>
      </w:r>
      <w:r w:rsidR="005B739D">
        <w:rPr>
          <w:szCs w:val="26"/>
        </w:rPr>
        <w:t>, but</w:t>
      </w:r>
      <w:r w:rsidR="00C264AD">
        <w:rPr>
          <w:szCs w:val="26"/>
        </w:rPr>
        <w:t xml:space="preserve"> these expenditures were not associated with </w:t>
      </w:r>
      <w:r w:rsidR="00C264AD" w:rsidRPr="006E427D">
        <w:rPr>
          <w:szCs w:val="26"/>
        </w:rPr>
        <w:t>approved</w:t>
      </w:r>
      <w:r w:rsidR="00C264AD">
        <w:rPr>
          <w:szCs w:val="26"/>
        </w:rPr>
        <w:t xml:space="preserve"> savings</w:t>
      </w:r>
      <w:r w:rsidR="00751906">
        <w:rPr>
          <w:szCs w:val="26"/>
        </w:rPr>
        <w:t xml:space="preserve"> from the Performance Statement Report (which used CEDARS official claims data)</w:t>
      </w:r>
      <w:r w:rsidR="005B739D">
        <w:rPr>
          <w:szCs w:val="26"/>
        </w:rPr>
        <w:t>. Therefore</w:t>
      </w:r>
      <w:r w:rsidR="00C264AD">
        <w:rPr>
          <w:szCs w:val="26"/>
        </w:rPr>
        <w:t xml:space="preserve">, they </w:t>
      </w:r>
      <w:r w:rsidR="00751906">
        <w:rPr>
          <w:szCs w:val="26"/>
        </w:rPr>
        <w:t>could not be included in the</w:t>
      </w:r>
      <w:r w:rsidR="00C264AD">
        <w:rPr>
          <w:szCs w:val="26"/>
        </w:rPr>
        <w:t xml:space="preserve"> ESPI award. </w:t>
      </w:r>
      <w:r w:rsidR="00717F1F" w:rsidRPr="00C966CB">
        <w:rPr>
          <w:b/>
        </w:rPr>
        <w:t xml:space="preserve">The Commission </w:t>
      </w:r>
      <w:r w:rsidR="00C50203">
        <w:rPr>
          <w:b/>
        </w:rPr>
        <w:t>S</w:t>
      </w:r>
      <w:r w:rsidR="00717F1F" w:rsidRPr="00C966CB">
        <w:rPr>
          <w:b/>
        </w:rPr>
        <w:t xml:space="preserve">taff used </w:t>
      </w:r>
      <w:r w:rsidR="00717F1F">
        <w:rPr>
          <w:b/>
        </w:rPr>
        <w:t xml:space="preserve">the </w:t>
      </w:r>
      <w:r w:rsidR="00D06D6D">
        <w:rPr>
          <w:b/>
        </w:rPr>
        <w:t xml:space="preserve">official annual </w:t>
      </w:r>
      <w:r w:rsidR="00717F1F">
        <w:rPr>
          <w:b/>
        </w:rPr>
        <w:t xml:space="preserve">CEDARS </w:t>
      </w:r>
      <w:r w:rsidR="00717F1F" w:rsidRPr="00C966CB">
        <w:rPr>
          <w:b/>
        </w:rPr>
        <w:t>filing to calculate the awards</w:t>
      </w:r>
      <w:r w:rsidR="00717F1F">
        <w:rPr>
          <w:b/>
        </w:rPr>
        <w:t>.</w:t>
      </w:r>
    </w:p>
    <w:p w14:paraId="27E85951" w14:textId="77777777" w:rsidR="00C3640F" w:rsidRPr="006E427D" w:rsidRDefault="00C264AD" w:rsidP="008E7BDB">
      <w:pPr>
        <w:jc w:val="both"/>
        <w:rPr>
          <w:szCs w:val="26"/>
        </w:rPr>
      </w:pPr>
      <w:r>
        <w:rPr>
          <w:szCs w:val="26"/>
        </w:rPr>
        <w:t>In the future, SDG&amp;E</w:t>
      </w:r>
      <w:r w:rsidR="00751906">
        <w:rPr>
          <w:szCs w:val="26"/>
        </w:rPr>
        <w:t xml:space="preserve"> (and other IOUs)</w:t>
      </w:r>
      <w:r>
        <w:rPr>
          <w:szCs w:val="26"/>
        </w:rPr>
        <w:t xml:space="preserve"> should report all eligible savings</w:t>
      </w:r>
      <w:r w:rsidR="00751906">
        <w:rPr>
          <w:szCs w:val="26"/>
        </w:rPr>
        <w:t xml:space="preserve"> and program year expenditures</w:t>
      </w:r>
      <w:r>
        <w:rPr>
          <w:szCs w:val="26"/>
        </w:rPr>
        <w:t xml:space="preserve"> in CEDARS. </w:t>
      </w:r>
      <w:r w:rsidR="00CE15D9">
        <w:rPr>
          <w:szCs w:val="26"/>
        </w:rPr>
        <w:t xml:space="preserve">Commission </w:t>
      </w:r>
      <w:r w:rsidR="00C50203">
        <w:rPr>
          <w:szCs w:val="26"/>
        </w:rPr>
        <w:t>S</w:t>
      </w:r>
      <w:r w:rsidR="00CE15D9">
        <w:rPr>
          <w:szCs w:val="26"/>
        </w:rPr>
        <w:t xml:space="preserve">taff </w:t>
      </w:r>
      <w:r w:rsidR="00706DE8">
        <w:rPr>
          <w:szCs w:val="26"/>
        </w:rPr>
        <w:t>appreciate</w:t>
      </w:r>
      <w:r w:rsidR="00CE15D9">
        <w:rPr>
          <w:szCs w:val="26"/>
        </w:rPr>
        <w:t>s</w:t>
      </w:r>
      <w:r w:rsidR="00706DE8">
        <w:rPr>
          <w:szCs w:val="26"/>
        </w:rPr>
        <w:t xml:space="preserve"> SDG&amp;E’s quick turnaround time in addressing the discrepancies identified by staff in finalizing this </w:t>
      </w:r>
      <w:r>
        <w:rPr>
          <w:szCs w:val="26"/>
        </w:rPr>
        <w:t>R</w:t>
      </w:r>
      <w:r w:rsidR="00706DE8">
        <w:rPr>
          <w:szCs w:val="26"/>
        </w:rPr>
        <w:t>esolution.</w:t>
      </w:r>
      <w:r w:rsidR="00C3640F" w:rsidRPr="00C3640F">
        <w:rPr>
          <w:szCs w:val="26"/>
        </w:rPr>
        <w:t xml:space="preserve"> </w:t>
      </w:r>
    </w:p>
    <w:p w14:paraId="17B7417C" w14:textId="77777777" w:rsidR="003954B3" w:rsidRDefault="003954B3" w:rsidP="008E7BDB">
      <w:pPr>
        <w:jc w:val="both"/>
      </w:pPr>
      <w:r>
        <w:lastRenderedPageBreak/>
        <w:t>SDG&amp;</w:t>
      </w:r>
      <w:r w:rsidR="00E86722">
        <w:t>E</w:t>
      </w:r>
      <w:r w:rsidRPr="009960A6">
        <w:t xml:space="preserve"> requests </w:t>
      </w:r>
      <w:r w:rsidR="00093B0D" w:rsidRPr="00093B0D">
        <w:t xml:space="preserve">$2,640,414 </w:t>
      </w:r>
      <w:r w:rsidR="00F75B15" w:rsidRPr="009960A6">
        <w:t>in</w:t>
      </w:r>
      <w:r>
        <w:t xml:space="preserve"> their 201</w:t>
      </w:r>
      <w:r w:rsidR="00EB5149">
        <w:t>8</w:t>
      </w:r>
      <w:r>
        <w:t xml:space="preserve"> ESPI </w:t>
      </w:r>
      <w:r w:rsidR="0032525B">
        <w:t xml:space="preserve">Advice Letter </w:t>
      </w:r>
      <w:r>
        <w:t>as detailed below:</w:t>
      </w:r>
    </w:p>
    <w:p w14:paraId="6C57E957" w14:textId="77777777" w:rsidR="0015526B" w:rsidRPr="00FB2F09" w:rsidRDefault="0015526B" w:rsidP="00B47FF2">
      <w:pPr>
        <w:pStyle w:val="Heading3"/>
        <w:numPr>
          <w:ilvl w:val="0"/>
          <w:numId w:val="0"/>
        </w:numPr>
        <w:spacing w:before="240" w:after="240"/>
        <w:jc w:val="both"/>
        <w:rPr>
          <w:u w:val="single"/>
        </w:rPr>
      </w:pPr>
      <w:r w:rsidRPr="00FB2F09">
        <w:t xml:space="preserve">1.1 </w:t>
      </w:r>
      <w:r>
        <w:rPr>
          <w:u w:val="single"/>
        </w:rPr>
        <w:t>Energy</w:t>
      </w:r>
      <w:r w:rsidRPr="00FB2F09">
        <w:rPr>
          <w:u w:val="single"/>
        </w:rPr>
        <w:t xml:space="preserve"> Efficiency Resource Savings </w:t>
      </w:r>
    </w:p>
    <w:p w14:paraId="039FB0C3" w14:textId="77777777" w:rsidR="0015526B" w:rsidRDefault="0015526B" w:rsidP="00B47FF2">
      <w:pPr>
        <w:pStyle w:val="ListParagraph"/>
        <w:numPr>
          <w:ilvl w:val="0"/>
          <w:numId w:val="5"/>
        </w:numPr>
        <w:spacing w:after="60"/>
        <w:ind w:left="778"/>
        <w:contextualSpacing w:val="0"/>
        <w:jc w:val="both"/>
      </w:pPr>
      <w:r w:rsidRPr="00F275DE">
        <w:t>201</w:t>
      </w:r>
      <w:r>
        <w:t>6</w:t>
      </w:r>
      <w:r w:rsidRPr="00F275DE">
        <w:t xml:space="preserve"> Ex-Post Energy Savings </w:t>
      </w:r>
    </w:p>
    <w:tbl>
      <w:tblPr>
        <w:tblW w:w="9000" w:type="dxa"/>
        <w:jc w:val="right"/>
        <w:tblCellMar>
          <w:left w:w="0" w:type="dxa"/>
          <w:right w:w="0" w:type="dxa"/>
        </w:tblCellMar>
        <w:tblLook w:val="04A0" w:firstRow="1" w:lastRow="0" w:firstColumn="1" w:lastColumn="0" w:noHBand="0" w:noVBand="1"/>
      </w:tblPr>
      <w:tblGrid>
        <w:gridCol w:w="2960"/>
        <w:gridCol w:w="2013"/>
        <w:gridCol w:w="2013"/>
        <w:gridCol w:w="2014"/>
      </w:tblGrid>
      <w:tr w:rsidR="00A52B69" w14:paraId="3D467194" w14:textId="77777777">
        <w:trPr>
          <w:trHeight w:val="493"/>
          <w:jc w:val="right"/>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04CC996" w14:textId="77777777" w:rsidR="0015526B" w:rsidRPr="00342659" w:rsidRDefault="0015526B" w:rsidP="00B47FF2">
            <w:pPr>
              <w:spacing w:before="60" w:after="60"/>
              <w:jc w:val="center"/>
              <w:rPr>
                <w:b/>
              </w:rPr>
            </w:pPr>
            <w:r w:rsidRPr="00547822">
              <w:rPr>
                <w:b/>
              </w:rPr>
              <w:t>ESPI Component</w:t>
            </w:r>
          </w:p>
        </w:tc>
        <w:tc>
          <w:tcPr>
            <w:tcW w:w="2013" w:type="dxa"/>
            <w:tcBorders>
              <w:top w:val="single" w:sz="8" w:space="0" w:color="auto"/>
              <w:left w:val="single" w:sz="4" w:space="0" w:color="auto"/>
              <w:bottom w:val="single" w:sz="8" w:space="0" w:color="auto"/>
              <w:right w:val="single" w:sz="4" w:space="0" w:color="auto"/>
            </w:tcBorders>
            <w:vAlign w:val="center"/>
          </w:tcPr>
          <w:p w14:paraId="3CDE416E" w14:textId="77777777" w:rsidR="0015526B" w:rsidRDefault="0015526B" w:rsidP="00B47FF2">
            <w:pPr>
              <w:spacing w:before="60" w:after="60"/>
              <w:jc w:val="center"/>
              <w:rPr>
                <w:b/>
              </w:rPr>
            </w:pPr>
            <w:r w:rsidRPr="00342659">
              <w:rPr>
                <w:b/>
              </w:rPr>
              <w:t>201</w:t>
            </w:r>
            <w:r>
              <w:rPr>
                <w:b/>
              </w:rPr>
              <w:t>6</w:t>
            </w:r>
            <w:r w:rsidRPr="00342659">
              <w:rPr>
                <w:b/>
              </w:rPr>
              <w:t xml:space="preserve"> Cap</w:t>
            </w:r>
            <w:r>
              <w:rPr>
                <w:b/>
              </w:rPr>
              <w:t>*</w:t>
            </w:r>
          </w:p>
        </w:tc>
        <w:tc>
          <w:tcPr>
            <w:tcW w:w="201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3580ECCF" w14:textId="77777777" w:rsidR="0015526B" w:rsidRPr="00547822" w:rsidRDefault="0015526B" w:rsidP="00B47FF2">
            <w:pPr>
              <w:spacing w:before="60" w:after="60"/>
              <w:jc w:val="center"/>
              <w:rPr>
                <w:rFonts w:eastAsiaTheme="minorHAnsi"/>
                <w:b/>
              </w:rPr>
            </w:pPr>
            <w:r>
              <w:rPr>
                <w:b/>
              </w:rPr>
              <w:t>Requested</w:t>
            </w:r>
          </w:p>
        </w:tc>
        <w:tc>
          <w:tcPr>
            <w:tcW w:w="20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E097E7E" w14:textId="77777777" w:rsidR="0015526B" w:rsidRPr="00670027" w:rsidRDefault="0015526B" w:rsidP="00B47FF2">
            <w:pPr>
              <w:spacing w:before="60" w:after="60"/>
              <w:jc w:val="center"/>
              <w:rPr>
                <w:rFonts w:eastAsiaTheme="minorHAnsi"/>
                <w:b/>
              </w:rPr>
            </w:pPr>
            <w:r>
              <w:rPr>
                <w:b/>
              </w:rPr>
              <w:t>Approved</w:t>
            </w:r>
          </w:p>
        </w:tc>
      </w:tr>
      <w:tr w:rsidR="00A52B69" w14:paraId="4F0B5160" w14:textId="77777777">
        <w:trPr>
          <w:trHeight w:val="520"/>
          <w:jc w:val="right"/>
        </w:trPr>
        <w:tc>
          <w:tcPr>
            <w:tcW w:w="29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2801162" w14:textId="77777777" w:rsidR="00584C61" w:rsidRPr="001F5F04" w:rsidRDefault="00584C61" w:rsidP="00B47FF2">
            <w:pPr>
              <w:spacing w:before="60" w:after="60"/>
              <w:jc w:val="center"/>
              <w:rPr>
                <w:rFonts w:eastAsiaTheme="minorHAnsi"/>
                <w:szCs w:val="26"/>
              </w:rPr>
            </w:pPr>
            <w:r w:rsidRPr="001F5F04">
              <w:rPr>
                <w:szCs w:val="26"/>
              </w:rPr>
              <w:t>201</w:t>
            </w:r>
            <w:r>
              <w:rPr>
                <w:szCs w:val="26"/>
              </w:rPr>
              <w:t>6</w:t>
            </w:r>
            <w:r w:rsidRPr="001F5F04">
              <w:rPr>
                <w:szCs w:val="26"/>
              </w:rPr>
              <w:t xml:space="preserve"> Ex-Post Savings</w:t>
            </w:r>
          </w:p>
        </w:tc>
        <w:tc>
          <w:tcPr>
            <w:tcW w:w="2013" w:type="dxa"/>
            <w:tcBorders>
              <w:top w:val="single" w:sz="8" w:space="0" w:color="auto"/>
              <w:left w:val="single" w:sz="4" w:space="0" w:color="auto"/>
              <w:bottom w:val="single" w:sz="4" w:space="0" w:color="auto"/>
              <w:right w:val="single" w:sz="4" w:space="0" w:color="auto"/>
            </w:tcBorders>
            <w:vAlign w:val="center"/>
          </w:tcPr>
          <w:p w14:paraId="1627B58B" w14:textId="77777777" w:rsidR="00584C61" w:rsidRPr="001F5F04" w:rsidRDefault="00584C61" w:rsidP="00B47FF2">
            <w:pPr>
              <w:spacing w:before="60" w:after="60"/>
              <w:jc w:val="center"/>
              <w:rPr>
                <w:rFonts w:eastAsiaTheme="minorHAnsi"/>
                <w:szCs w:val="26"/>
              </w:rPr>
            </w:pPr>
            <w:r>
              <w:rPr>
                <w:rFonts w:eastAsiaTheme="minorHAnsi"/>
                <w:szCs w:val="26"/>
              </w:rPr>
              <w:t>$</w:t>
            </w:r>
            <w:r w:rsidRPr="00230D80">
              <w:rPr>
                <w:rFonts w:eastAsiaTheme="minorHAnsi"/>
                <w:szCs w:val="26"/>
              </w:rPr>
              <w:t>5,936,221</w:t>
            </w:r>
          </w:p>
        </w:tc>
        <w:tc>
          <w:tcPr>
            <w:tcW w:w="2013"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0C6C6047" w14:textId="77777777" w:rsidR="00584C61" w:rsidRPr="001F5F04" w:rsidRDefault="00584C61" w:rsidP="00B47FF2">
            <w:pPr>
              <w:spacing w:before="60" w:after="60"/>
              <w:jc w:val="center"/>
              <w:rPr>
                <w:rFonts w:eastAsiaTheme="minorHAnsi"/>
                <w:szCs w:val="26"/>
              </w:rPr>
            </w:pPr>
            <w:r>
              <w:rPr>
                <w:rFonts w:eastAsiaTheme="minorHAnsi"/>
                <w:szCs w:val="26"/>
              </w:rPr>
              <w:t>$</w:t>
            </w:r>
            <w:r w:rsidRPr="00341B2B">
              <w:t>1,104,315</w:t>
            </w:r>
          </w:p>
        </w:tc>
        <w:tc>
          <w:tcPr>
            <w:tcW w:w="201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4B641E9" w14:textId="77777777" w:rsidR="00584C61" w:rsidRPr="001F5F04" w:rsidRDefault="00584C61" w:rsidP="00B47FF2">
            <w:pPr>
              <w:spacing w:before="60" w:after="60"/>
              <w:jc w:val="center"/>
              <w:rPr>
                <w:szCs w:val="26"/>
              </w:rPr>
            </w:pPr>
            <w:r>
              <w:rPr>
                <w:szCs w:val="26"/>
              </w:rPr>
              <w:t>$</w:t>
            </w:r>
            <w:r w:rsidRPr="00523C2E">
              <w:rPr>
                <w:szCs w:val="26"/>
              </w:rPr>
              <w:t>2,263,942</w:t>
            </w:r>
          </w:p>
        </w:tc>
      </w:tr>
    </w:tbl>
    <w:p w14:paraId="003D9F87" w14:textId="77777777" w:rsidR="0015526B" w:rsidRDefault="0015526B" w:rsidP="00B47FF2">
      <w:pPr>
        <w:jc w:val="center"/>
        <w:rPr>
          <w:sz w:val="22"/>
          <w:szCs w:val="22"/>
        </w:rPr>
      </w:pPr>
      <w:r w:rsidRPr="002A620F">
        <w:rPr>
          <w:sz w:val="22"/>
          <w:szCs w:val="22"/>
        </w:rPr>
        <w:t>*201</w:t>
      </w:r>
      <w:r>
        <w:rPr>
          <w:sz w:val="22"/>
          <w:szCs w:val="22"/>
        </w:rPr>
        <w:t>6</w:t>
      </w:r>
      <w:r w:rsidRPr="002A620F">
        <w:rPr>
          <w:sz w:val="22"/>
          <w:szCs w:val="22"/>
        </w:rPr>
        <w:t xml:space="preserve"> Savings award Cap minus 201</w:t>
      </w:r>
      <w:r>
        <w:rPr>
          <w:sz w:val="22"/>
          <w:szCs w:val="22"/>
        </w:rPr>
        <w:t>6</w:t>
      </w:r>
      <w:r w:rsidRPr="002A620F">
        <w:rPr>
          <w:sz w:val="22"/>
          <w:szCs w:val="22"/>
        </w:rPr>
        <w:t xml:space="preserve"> Ex-Ante Savings Awards Earned in 201</w:t>
      </w:r>
      <w:r>
        <w:rPr>
          <w:sz w:val="22"/>
          <w:szCs w:val="22"/>
        </w:rPr>
        <w:t>7</w:t>
      </w:r>
    </w:p>
    <w:p w14:paraId="571DB4BD" w14:textId="77777777" w:rsidR="00584C61" w:rsidRPr="002A620F" w:rsidRDefault="00584C61" w:rsidP="008E7BDB">
      <w:pPr>
        <w:ind w:left="360"/>
        <w:jc w:val="both"/>
      </w:pPr>
      <w:r w:rsidRPr="00584C61">
        <w:t xml:space="preserve">In their request, SDG&amp;E split the 2016 ex-post energy savings amount recommended by the CPUC Final Performance Statement between this award and the 2016 </w:t>
      </w:r>
      <w:r w:rsidR="002445E5">
        <w:t>ex-ante</w:t>
      </w:r>
      <w:r w:rsidRPr="00584C61">
        <w:t xml:space="preserve"> savings true-up award. We award the full amount here.</w:t>
      </w:r>
    </w:p>
    <w:p w14:paraId="29ABA76E" w14:textId="77777777" w:rsidR="0015526B" w:rsidRPr="00A53C26" w:rsidRDefault="0015526B" w:rsidP="00B47FF2">
      <w:pPr>
        <w:pStyle w:val="ListParagraph"/>
        <w:numPr>
          <w:ilvl w:val="0"/>
          <w:numId w:val="5"/>
        </w:numPr>
        <w:spacing w:before="240" w:after="60"/>
        <w:ind w:left="778"/>
        <w:contextualSpacing w:val="0"/>
        <w:jc w:val="both"/>
        <w:rPr>
          <w:szCs w:val="26"/>
        </w:rPr>
      </w:pPr>
      <w:r w:rsidRPr="00F170DD">
        <w:rPr>
          <w:szCs w:val="26"/>
        </w:rPr>
        <w:t>201</w:t>
      </w:r>
      <w:r>
        <w:rPr>
          <w:szCs w:val="26"/>
        </w:rPr>
        <w:t>7</w:t>
      </w:r>
      <w:r w:rsidRPr="00F170DD">
        <w:rPr>
          <w:szCs w:val="26"/>
        </w:rPr>
        <w:t xml:space="preserve"> Ex-Ante Energy Savings </w:t>
      </w:r>
    </w:p>
    <w:tbl>
      <w:tblPr>
        <w:tblW w:w="9000" w:type="dxa"/>
        <w:jc w:val="right"/>
        <w:tblCellMar>
          <w:left w:w="0" w:type="dxa"/>
          <w:right w:w="0" w:type="dxa"/>
        </w:tblCellMar>
        <w:tblLook w:val="04A0" w:firstRow="1" w:lastRow="0" w:firstColumn="1" w:lastColumn="0" w:noHBand="0" w:noVBand="1"/>
      </w:tblPr>
      <w:tblGrid>
        <w:gridCol w:w="2960"/>
        <w:gridCol w:w="2013"/>
        <w:gridCol w:w="2013"/>
        <w:gridCol w:w="2014"/>
      </w:tblGrid>
      <w:tr w:rsidR="00A52B69" w14:paraId="292C3BCD" w14:textId="77777777">
        <w:trPr>
          <w:trHeight w:val="475"/>
          <w:jc w:val="right"/>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942F6FC" w14:textId="77777777" w:rsidR="0015526B" w:rsidRPr="00670027" w:rsidRDefault="0015526B" w:rsidP="00B47FF2">
            <w:pPr>
              <w:spacing w:before="60" w:after="60"/>
              <w:jc w:val="center"/>
              <w:rPr>
                <w:b/>
              </w:rPr>
            </w:pPr>
            <w:r w:rsidRPr="00670027">
              <w:rPr>
                <w:b/>
              </w:rPr>
              <w:t>ESPI Component</w:t>
            </w:r>
          </w:p>
        </w:tc>
        <w:tc>
          <w:tcPr>
            <w:tcW w:w="2013" w:type="dxa"/>
            <w:tcBorders>
              <w:top w:val="single" w:sz="8" w:space="0" w:color="auto"/>
              <w:left w:val="nil"/>
              <w:bottom w:val="single" w:sz="8" w:space="0" w:color="auto"/>
              <w:right w:val="single" w:sz="4" w:space="0" w:color="auto"/>
            </w:tcBorders>
            <w:vAlign w:val="center"/>
          </w:tcPr>
          <w:p w14:paraId="5909FB16" w14:textId="77777777" w:rsidR="0015526B" w:rsidRPr="00670027" w:rsidRDefault="0015526B" w:rsidP="00B47FF2">
            <w:pPr>
              <w:spacing w:before="60" w:after="60"/>
              <w:jc w:val="center"/>
              <w:rPr>
                <w:b/>
              </w:rPr>
            </w:pPr>
            <w:r w:rsidRPr="00670027">
              <w:rPr>
                <w:b/>
              </w:rPr>
              <w:t>201</w:t>
            </w:r>
            <w:r>
              <w:rPr>
                <w:b/>
              </w:rPr>
              <w:t>7</w:t>
            </w:r>
            <w:r w:rsidRPr="00670027">
              <w:rPr>
                <w:b/>
              </w:rPr>
              <w:t xml:space="preserve"> Cap</w:t>
            </w:r>
          </w:p>
        </w:tc>
        <w:tc>
          <w:tcPr>
            <w:tcW w:w="201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6EF25727" w14:textId="77777777" w:rsidR="0015526B" w:rsidRPr="00670027" w:rsidRDefault="0015526B" w:rsidP="00B47FF2">
            <w:pPr>
              <w:spacing w:before="60" w:after="60"/>
              <w:jc w:val="center"/>
              <w:rPr>
                <w:b/>
              </w:rPr>
            </w:pPr>
            <w:r>
              <w:rPr>
                <w:b/>
              </w:rPr>
              <w:t>Requested</w:t>
            </w:r>
          </w:p>
        </w:tc>
        <w:tc>
          <w:tcPr>
            <w:tcW w:w="20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2065D0A" w14:textId="77777777" w:rsidR="0015526B" w:rsidRPr="00670027" w:rsidRDefault="0015526B" w:rsidP="00B47FF2">
            <w:pPr>
              <w:spacing w:before="60" w:after="60"/>
              <w:jc w:val="center"/>
              <w:rPr>
                <w:b/>
              </w:rPr>
            </w:pPr>
            <w:r>
              <w:rPr>
                <w:b/>
              </w:rPr>
              <w:t>Approved</w:t>
            </w:r>
          </w:p>
        </w:tc>
      </w:tr>
      <w:tr w:rsidR="00A52B69" w14:paraId="22D0D125" w14:textId="77777777">
        <w:trPr>
          <w:trHeight w:val="502"/>
          <w:jc w:val="right"/>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0FEE1EB" w14:textId="77777777" w:rsidR="00584C61" w:rsidRPr="001F5F04" w:rsidRDefault="00584C61" w:rsidP="00B47FF2">
            <w:pPr>
              <w:spacing w:before="60" w:after="60"/>
              <w:jc w:val="center"/>
              <w:rPr>
                <w:szCs w:val="26"/>
              </w:rPr>
            </w:pPr>
            <w:r w:rsidRPr="001F5F04">
              <w:rPr>
                <w:szCs w:val="26"/>
              </w:rPr>
              <w:t>201</w:t>
            </w:r>
            <w:r>
              <w:rPr>
                <w:szCs w:val="26"/>
              </w:rPr>
              <w:t>7</w:t>
            </w:r>
            <w:r w:rsidRPr="001F5F04">
              <w:rPr>
                <w:szCs w:val="26"/>
              </w:rPr>
              <w:t xml:space="preserve"> Ex-Ante Savings</w:t>
            </w:r>
          </w:p>
        </w:tc>
        <w:tc>
          <w:tcPr>
            <w:tcW w:w="2013" w:type="dxa"/>
            <w:tcBorders>
              <w:top w:val="single" w:sz="8" w:space="0" w:color="auto"/>
              <w:left w:val="nil"/>
              <w:bottom w:val="single" w:sz="8" w:space="0" w:color="auto"/>
              <w:right w:val="single" w:sz="4" w:space="0" w:color="auto"/>
            </w:tcBorders>
            <w:vAlign w:val="center"/>
          </w:tcPr>
          <w:p w14:paraId="6D2DC1EB" w14:textId="77777777" w:rsidR="00584C61" w:rsidRPr="001F5F04" w:rsidRDefault="00584C61" w:rsidP="00B47FF2">
            <w:pPr>
              <w:spacing w:before="60" w:after="60"/>
              <w:jc w:val="center"/>
              <w:rPr>
                <w:szCs w:val="26"/>
              </w:rPr>
            </w:pPr>
            <w:r>
              <w:rPr>
                <w:bCs/>
              </w:rPr>
              <w:t>$6,702,301</w:t>
            </w:r>
          </w:p>
        </w:tc>
        <w:tc>
          <w:tcPr>
            <w:tcW w:w="201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0F755480" w14:textId="77777777" w:rsidR="00584C61" w:rsidRPr="001F5F04" w:rsidRDefault="00584C61" w:rsidP="00B47FF2">
            <w:pPr>
              <w:spacing w:before="60" w:after="60"/>
              <w:jc w:val="center"/>
              <w:rPr>
                <w:color w:val="000000"/>
                <w:szCs w:val="26"/>
              </w:rPr>
            </w:pPr>
            <w:r>
              <w:rPr>
                <w:color w:val="000000"/>
                <w:szCs w:val="26"/>
              </w:rPr>
              <w:t>$</w:t>
            </w:r>
            <w:r w:rsidRPr="00523C2E">
              <w:rPr>
                <w:color w:val="000000"/>
                <w:szCs w:val="26"/>
              </w:rPr>
              <w:t>267,957</w:t>
            </w:r>
          </w:p>
        </w:tc>
        <w:tc>
          <w:tcPr>
            <w:tcW w:w="20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3377D5B" w14:textId="77777777" w:rsidR="00584C61" w:rsidRPr="001F5F04" w:rsidRDefault="00584C61" w:rsidP="00B47FF2">
            <w:pPr>
              <w:spacing w:before="60" w:after="60"/>
              <w:jc w:val="center"/>
              <w:rPr>
                <w:color w:val="000000"/>
                <w:szCs w:val="26"/>
              </w:rPr>
            </w:pPr>
            <w:r>
              <w:rPr>
                <w:color w:val="000000"/>
                <w:szCs w:val="26"/>
              </w:rPr>
              <w:t>$</w:t>
            </w:r>
            <w:r w:rsidRPr="00523C2E">
              <w:rPr>
                <w:color w:val="000000"/>
                <w:szCs w:val="26"/>
              </w:rPr>
              <w:t>267,957</w:t>
            </w:r>
          </w:p>
        </w:tc>
      </w:tr>
    </w:tbl>
    <w:p w14:paraId="3FF43E0D" w14:textId="77777777" w:rsidR="0015526B" w:rsidRDefault="0015526B" w:rsidP="00B47FF2">
      <w:pPr>
        <w:pStyle w:val="Heading3"/>
        <w:numPr>
          <w:ilvl w:val="0"/>
          <w:numId w:val="0"/>
        </w:numPr>
        <w:spacing w:before="240"/>
        <w:jc w:val="both"/>
        <w:rPr>
          <w:u w:val="single"/>
        </w:rPr>
      </w:pPr>
      <w:r w:rsidRPr="00F275DE">
        <w:t xml:space="preserve">1.2 </w:t>
      </w:r>
      <w:r w:rsidRPr="00F275DE">
        <w:rPr>
          <w:u w:val="single"/>
        </w:rPr>
        <w:t>Ex-Ante Review (EAR) Process Performance</w:t>
      </w:r>
    </w:p>
    <w:p w14:paraId="17FD48C0" w14:textId="77777777" w:rsidR="0088258A" w:rsidRPr="00FE7591" w:rsidRDefault="00AF5021" w:rsidP="00264683">
      <w:pPr>
        <w:ind w:left="360"/>
        <w:jc w:val="both"/>
      </w:pPr>
      <w:r w:rsidRPr="00AB5EB4">
        <w:rPr>
          <w:szCs w:val="26"/>
        </w:rPr>
        <w:t>SDG&amp;E’s award was reduced by the excess DINI expenditures</w:t>
      </w:r>
      <w:r w:rsidR="00AB5EB4">
        <w:rPr>
          <w:szCs w:val="26"/>
        </w:rPr>
        <w:t xml:space="preserve"> (</w:t>
      </w:r>
      <w:r w:rsidR="00CE15D9" w:rsidRPr="00AB5EB4">
        <w:rPr>
          <w:szCs w:val="26"/>
        </w:rPr>
        <w:t xml:space="preserve">see section 3) </w:t>
      </w:r>
      <w:r w:rsidR="003F61BF">
        <w:rPr>
          <w:szCs w:val="26"/>
        </w:rPr>
        <w:t>c</w:t>
      </w:r>
      <w:r w:rsidR="00CE15D9" w:rsidRPr="00AB5EB4">
        <w:rPr>
          <w:szCs w:val="26"/>
        </w:rPr>
        <w:t>).</w:t>
      </w:r>
      <w:r w:rsidR="00291682">
        <w:rPr>
          <w:szCs w:val="26"/>
        </w:rPr>
        <w:t xml:space="preserve"> </w:t>
      </w:r>
      <w:r w:rsidR="00264683">
        <w:t xml:space="preserve">SDG&amp;E’s 2017 EAR </w:t>
      </w:r>
      <w:r w:rsidR="006F16AE">
        <w:t>P</w:t>
      </w:r>
      <w:r w:rsidR="00264683">
        <w:t xml:space="preserve">erformance score was weighted by their deemed and custom savings (see section 5). </w:t>
      </w:r>
    </w:p>
    <w:tbl>
      <w:tblPr>
        <w:tblW w:w="9000" w:type="dxa"/>
        <w:jc w:val="right"/>
        <w:tblCellMar>
          <w:left w:w="0" w:type="dxa"/>
          <w:right w:w="0" w:type="dxa"/>
        </w:tblCellMar>
        <w:tblLook w:val="04A0" w:firstRow="1" w:lastRow="0" w:firstColumn="1" w:lastColumn="0" w:noHBand="0" w:noVBand="1"/>
      </w:tblPr>
      <w:tblGrid>
        <w:gridCol w:w="2960"/>
        <w:gridCol w:w="2013"/>
        <w:gridCol w:w="2013"/>
        <w:gridCol w:w="2014"/>
      </w:tblGrid>
      <w:tr w:rsidR="00A52B69" w14:paraId="199BBB5B" w14:textId="77777777">
        <w:trPr>
          <w:trHeight w:val="457"/>
          <w:jc w:val="right"/>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ADCA0EC" w14:textId="77777777" w:rsidR="0015526B" w:rsidRPr="00547822" w:rsidRDefault="0015526B" w:rsidP="00B47FF2">
            <w:pPr>
              <w:spacing w:before="60" w:after="60"/>
              <w:jc w:val="center"/>
              <w:rPr>
                <w:rFonts w:ascii="Calibri" w:eastAsiaTheme="minorHAnsi" w:hAnsi="Calibri"/>
              </w:rPr>
            </w:pPr>
            <w:r w:rsidRPr="00547822">
              <w:rPr>
                <w:b/>
              </w:rPr>
              <w:t>ESPI Component</w:t>
            </w:r>
          </w:p>
        </w:tc>
        <w:tc>
          <w:tcPr>
            <w:tcW w:w="2013" w:type="dxa"/>
            <w:tcBorders>
              <w:top w:val="single" w:sz="8" w:space="0" w:color="auto"/>
              <w:left w:val="nil"/>
              <w:bottom w:val="single" w:sz="8" w:space="0" w:color="auto"/>
              <w:right w:val="single" w:sz="4" w:space="0" w:color="auto"/>
            </w:tcBorders>
            <w:vAlign w:val="center"/>
          </w:tcPr>
          <w:p w14:paraId="2D168043" w14:textId="77777777" w:rsidR="0015526B" w:rsidRPr="00547822" w:rsidRDefault="0015526B" w:rsidP="00B47FF2">
            <w:pPr>
              <w:spacing w:before="60" w:after="60"/>
              <w:jc w:val="center"/>
              <w:rPr>
                <w:b/>
              </w:rPr>
            </w:pPr>
            <w:r w:rsidRPr="00547822">
              <w:rPr>
                <w:b/>
              </w:rPr>
              <w:t>201</w:t>
            </w:r>
            <w:r>
              <w:rPr>
                <w:b/>
              </w:rPr>
              <w:t>7</w:t>
            </w:r>
            <w:r w:rsidRPr="00547822">
              <w:rPr>
                <w:b/>
              </w:rPr>
              <w:t xml:space="preserve"> Cap</w:t>
            </w:r>
          </w:p>
        </w:tc>
        <w:tc>
          <w:tcPr>
            <w:tcW w:w="201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53434E00" w14:textId="77777777" w:rsidR="0015526B" w:rsidRPr="00547822" w:rsidRDefault="0015526B" w:rsidP="00B47FF2">
            <w:pPr>
              <w:spacing w:before="60" w:after="60"/>
              <w:jc w:val="center"/>
              <w:rPr>
                <w:rFonts w:ascii="Calibri" w:eastAsiaTheme="minorHAnsi" w:hAnsi="Calibri"/>
                <w:b/>
              </w:rPr>
            </w:pPr>
            <w:r>
              <w:rPr>
                <w:b/>
              </w:rPr>
              <w:t>Requested</w:t>
            </w:r>
          </w:p>
        </w:tc>
        <w:tc>
          <w:tcPr>
            <w:tcW w:w="2014" w:type="dxa"/>
            <w:tcBorders>
              <w:top w:val="single" w:sz="8" w:space="0" w:color="auto"/>
              <w:left w:val="single" w:sz="4" w:space="0" w:color="auto"/>
              <w:bottom w:val="single" w:sz="8" w:space="0" w:color="auto"/>
              <w:right w:val="single" w:sz="8" w:space="0" w:color="auto"/>
            </w:tcBorders>
            <w:vAlign w:val="center"/>
          </w:tcPr>
          <w:p w14:paraId="581430A9" w14:textId="77777777" w:rsidR="0015526B" w:rsidRPr="00547822" w:rsidRDefault="0015526B" w:rsidP="00B47FF2">
            <w:pPr>
              <w:spacing w:before="60" w:after="60"/>
              <w:jc w:val="center"/>
              <w:rPr>
                <w:b/>
              </w:rPr>
            </w:pPr>
            <w:r>
              <w:rPr>
                <w:b/>
              </w:rPr>
              <w:t>Approved</w:t>
            </w:r>
          </w:p>
        </w:tc>
      </w:tr>
      <w:tr w:rsidR="00A52B69" w14:paraId="254765C2" w14:textId="77777777">
        <w:trPr>
          <w:trHeight w:val="520"/>
          <w:jc w:val="right"/>
        </w:trPr>
        <w:tc>
          <w:tcPr>
            <w:tcW w:w="29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66F647C" w14:textId="77777777" w:rsidR="00777365" w:rsidRPr="001F5F04" w:rsidRDefault="00777365" w:rsidP="00B47FF2">
            <w:pPr>
              <w:spacing w:before="60" w:after="60"/>
              <w:jc w:val="center"/>
              <w:rPr>
                <w:rFonts w:ascii="Calibri" w:eastAsiaTheme="minorHAnsi" w:hAnsi="Calibri"/>
                <w:szCs w:val="26"/>
              </w:rPr>
            </w:pPr>
            <w:r w:rsidRPr="001F5F04">
              <w:rPr>
                <w:szCs w:val="26"/>
              </w:rPr>
              <w:t>201</w:t>
            </w:r>
            <w:r>
              <w:rPr>
                <w:szCs w:val="26"/>
              </w:rPr>
              <w:t>7</w:t>
            </w:r>
            <w:r w:rsidRPr="001F5F04">
              <w:rPr>
                <w:szCs w:val="26"/>
              </w:rPr>
              <w:t xml:space="preserve"> EAR Performance</w:t>
            </w:r>
          </w:p>
        </w:tc>
        <w:tc>
          <w:tcPr>
            <w:tcW w:w="2013" w:type="dxa"/>
            <w:tcBorders>
              <w:top w:val="single" w:sz="8" w:space="0" w:color="auto"/>
              <w:left w:val="nil"/>
              <w:bottom w:val="single" w:sz="4" w:space="0" w:color="auto"/>
              <w:right w:val="single" w:sz="4" w:space="0" w:color="auto"/>
            </w:tcBorders>
            <w:shd w:val="clear" w:color="auto" w:fill="auto"/>
            <w:vAlign w:val="center"/>
          </w:tcPr>
          <w:p w14:paraId="7A6E9507" w14:textId="77777777" w:rsidR="00777365" w:rsidRPr="0043455F" w:rsidRDefault="00777365" w:rsidP="00B47FF2">
            <w:pPr>
              <w:spacing w:before="60" w:after="60"/>
              <w:jc w:val="center"/>
              <w:rPr>
                <w:bCs/>
              </w:rPr>
            </w:pPr>
            <w:r w:rsidRPr="0043455F">
              <w:rPr>
                <w:bCs/>
              </w:rPr>
              <w:t xml:space="preserve"> $2,</w:t>
            </w:r>
            <w:r w:rsidR="00A4271D" w:rsidRPr="0043455F">
              <w:rPr>
                <w:bCs/>
              </w:rPr>
              <w:t>234</w:t>
            </w:r>
            <w:r w:rsidRPr="0043455F">
              <w:rPr>
                <w:bCs/>
              </w:rPr>
              <w:t>,</w:t>
            </w:r>
            <w:r w:rsidR="00A4271D" w:rsidRPr="0043455F">
              <w:rPr>
                <w:bCs/>
              </w:rPr>
              <w:t>10</w:t>
            </w:r>
            <w:r w:rsidRPr="0043455F">
              <w:rPr>
                <w:bCs/>
              </w:rPr>
              <w:t xml:space="preserve">0 </w:t>
            </w:r>
          </w:p>
        </w:tc>
        <w:tc>
          <w:tcPr>
            <w:tcW w:w="2013"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F581F48" w14:textId="77777777" w:rsidR="00777365" w:rsidRPr="0043455F" w:rsidRDefault="00777365" w:rsidP="00B47FF2">
            <w:pPr>
              <w:spacing w:before="60" w:after="60"/>
              <w:jc w:val="center"/>
              <w:rPr>
                <w:bCs/>
              </w:rPr>
            </w:pPr>
            <w:r w:rsidRPr="0043455F">
              <w:rPr>
                <w:bCs/>
              </w:rPr>
              <w:t xml:space="preserve"> $1,023,604 </w:t>
            </w:r>
          </w:p>
        </w:tc>
        <w:tc>
          <w:tcPr>
            <w:tcW w:w="2014" w:type="dxa"/>
            <w:tcBorders>
              <w:top w:val="single" w:sz="8" w:space="0" w:color="auto"/>
              <w:left w:val="single" w:sz="4" w:space="0" w:color="auto"/>
              <w:bottom w:val="single" w:sz="4" w:space="0" w:color="auto"/>
              <w:right w:val="single" w:sz="8" w:space="0" w:color="auto"/>
            </w:tcBorders>
            <w:shd w:val="clear" w:color="auto" w:fill="auto"/>
            <w:vAlign w:val="center"/>
          </w:tcPr>
          <w:p w14:paraId="72B5032A" w14:textId="77777777" w:rsidR="00777365" w:rsidRPr="00265EE3" w:rsidRDefault="00AE1C4D" w:rsidP="00B47FF2">
            <w:pPr>
              <w:spacing w:before="60" w:after="60"/>
              <w:jc w:val="center"/>
              <w:rPr>
                <w:bCs/>
                <w:highlight w:val="yellow"/>
              </w:rPr>
            </w:pPr>
            <w:r w:rsidRPr="00AE1C4D">
              <w:rPr>
                <w:bCs/>
              </w:rPr>
              <w:t xml:space="preserve">$1,065,791 </w:t>
            </w:r>
          </w:p>
        </w:tc>
      </w:tr>
    </w:tbl>
    <w:p w14:paraId="3F1794ED" w14:textId="77777777" w:rsidR="0043455F" w:rsidRDefault="00B36F8F" w:rsidP="008E7BDB">
      <w:pPr>
        <w:ind w:left="360"/>
        <w:jc w:val="both"/>
      </w:pPr>
      <w:r w:rsidRPr="00B36F8F">
        <w:t>SDG&amp;</w:t>
      </w:r>
      <w:r>
        <w:t xml:space="preserve">E excluded expenditures for </w:t>
      </w:r>
      <w:r w:rsidR="00AB65B3">
        <w:t>r</w:t>
      </w:r>
      <w:r>
        <w:t>esource programs that did not achieve savings</w:t>
      </w:r>
      <w:r w:rsidR="006C268E">
        <w:t xml:space="preserve">. </w:t>
      </w:r>
      <w:r>
        <w:t xml:space="preserve">For consistency with the other IOUs, we have added back the full expenditures for all </w:t>
      </w:r>
      <w:r w:rsidR="00AB65B3">
        <w:t>r</w:t>
      </w:r>
      <w:r>
        <w:t>esource programs as filed in their Authorized Budget Advice Letter filing.</w:t>
      </w:r>
    </w:p>
    <w:p w14:paraId="06B90C96" w14:textId="77777777" w:rsidR="0015526B" w:rsidRPr="00DA06ED" w:rsidRDefault="0015526B" w:rsidP="00B47FF2">
      <w:pPr>
        <w:pStyle w:val="Heading3"/>
        <w:numPr>
          <w:ilvl w:val="0"/>
          <w:numId w:val="0"/>
        </w:numPr>
        <w:spacing w:before="240"/>
        <w:jc w:val="both"/>
      </w:pPr>
      <w:r w:rsidRPr="00DA06ED">
        <w:t xml:space="preserve">1.3 </w:t>
      </w:r>
      <w:r w:rsidRPr="00DA06ED">
        <w:rPr>
          <w:u w:val="single"/>
        </w:rPr>
        <w:t>Codes and Standards</w:t>
      </w:r>
      <w:r w:rsidR="0098585C" w:rsidRPr="0098585C">
        <w:rPr>
          <w:u w:val="single"/>
        </w:rPr>
        <w:t xml:space="preserve"> (C&amp;S) Advocacy Programs</w:t>
      </w:r>
    </w:p>
    <w:tbl>
      <w:tblPr>
        <w:tblW w:w="9000" w:type="dxa"/>
        <w:jc w:val="right"/>
        <w:tblCellMar>
          <w:left w:w="0" w:type="dxa"/>
          <w:right w:w="0" w:type="dxa"/>
        </w:tblCellMar>
        <w:tblLook w:val="04A0" w:firstRow="1" w:lastRow="0" w:firstColumn="1" w:lastColumn="0" w:noHBand="0" w:noVBand="1"/>
      </w:tblPr>
      <w:tblGrid>
        <w:gridCol w:w="2960"/>
        <w:gridCol w:w="2013"/>
        <w:gridCol w:w="2013"/>
        <w:gridCol w:w="2014"/>
      </w:tblGrid>
      <w:tr w:rsidR="00A52B69" w14:paraId="72F423DB" w14:textId="77777777">
        <w:trPr>
          <w:trHeight w:val="520"/>
          <w:jc w:val="right"/>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4248AB9" w14:textId="77777777" w:rsidR="0015526B" w:rsidRPr="00670027" w:rsidRDefault="0015526B" w:rsidP="00B47FF2">
            <w:pPr>
              <w:spacing w:before="60" w:after="60"/>
              <w:jc w:val="center"/>
              <w:rPr>
                <w:rFonts w:ascii="Calibri" w:eastAsiaTheme="minorHAnsi" w:hAnsi="Calibri"/>
              </w:rPr>
            </w:pPr>
            <w:r w:rsidRPr="00670027">
              <w:rPr>
                <w:b/>
              </w:rPr>
              <w:t>ESPI Component</w:t>
            </w:r>
          </w:p>
        </w:tc>
        <w:tc>
          <w:tcPr>
            <w:tcW w:w="2013" w:type="dxa"/>
            <w:tcBorders>
              <w:top w:val="single" w:sz="8" w:space="0" w:color="auto"/>
              <w:left w:val="nil"/>
              <w:bottom w:val="single" w:sz="8" w:space="0" w:color="auto"/>
              <w:right w:val="single" w:sz="4" w:space="0" w:color="auto"/>
            </w:tcBorders>
            <w:vAlign w:val="center"/>
          </w:tcPr>
          <w:p w14:paraId="08EA7F7A" w14:textId="77777777" w:rsidR="0015526B" w:rsidRPr="00670027" w:rsidRDefault="0015526B" w:rsidP="00B47FF2">
            <w:pPr>
              <w:spacing w:before="60" w:after="60"/>
              <w:jc w:val="center"/>
              <w:rPr>
                <w:b/>
              </w:rPr>
            </w:pPr>
            <w:r w:rsidRPr="00670027">
              <w:rPr>
                <w:b/>
              </w:rPr>
              <w:t>201</w:t>
            </w:r>
            <w:r>
              <w:rPr>
                <w:b/>
              </w:rPr>
              <w:t>7</w:t>
            </w:r>
            <w:r w:rsidRPr="00670027">
              <w:rPr>
                <w:b/>
              </w:rPr>
              <w:t xml:space="preserve"> Cap</w:t>
            </w:r>
          </w:p>
        </w:tc>
        <w:tc>
          <w:tcPr>
            <w:tcW w:w="201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27291B80" w14:textId="77777777" w:rsidR="0015526B" w:rsidRPr="00670027" w:rsidRDefault="0015526B" w:rsidP="00B47FF2">
            <w:pPr>
              <w:spacing w:before="60" w:after="60"/>
              <w:jc w:val="center"/>
              <w:rPr>
                <w:rFonts w:ascii="Calibri" w:eastAsiaTheme="minorHAnsi" w:hAnsi="Calibri"/>
                <w:b/>
              </w:rPr>
            </w:pPr>
            <w:r>
              <w:rPr>
                <w:b/>
              </w:rPr>
              <w:t>Requested</w:t>
            </w:r>
          </w:p>
        </w:tc>
        <w:tc>
          <w:tcPr>
            <w:tcW w:w="20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F10CF78" w14:textId="77777777" w:rsidR="0015526B" w:rsidRPr="00670027" w:rsidRDefault="0015526B" w:rsidP="00B47FF2">
            <w:pPr>
              <w:spacing w:before="60" w:after="60"/>
              <w:jc w:val="center"/>
              <w:rPr>
                <w:rFonts w:ascii="Calibri" w:eastAsiaTheme="minorHAnsi" w:hAnsi="Calibri"/>
                <w:b/>
              </w:rPr>
            </w:pPr>
            <w:r>
              <w:rPr>
                <w:b/>
              </w:rPr>
              <w:t>Approved</w:t>
            </w:r>
          </w:p>
        </w:tc>
      </w:tr>
      <w:tr w:rsidR="00A52B69" w14:paraId="760C1718" w14:textId="77777777">
        <w:trPr>
          <w:trHeight w:val="475"/>
          <w:jc w:val="right"/>
        </w:trPr>
        <w:tc>
          <w:tcPr>
            <w:tcW w:w="29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B106CBE" w14:textId="77777777" w:rsidR="00777365" w:rsidRPr="001F5F04" w:rsidRDefault="00777365" w:rsidP="00014E0F">
            <w:pPr>
              <w:spacing w:before="60" w:after="60"/>
              <w:jc w:val="center"/>
              <w:rPr>
                <w:rFonts w:ascii="Calibri" w:eastAsiaTheme="minorHAnsi" w:hAnsi="Calibri"/>
                <w:szCs w:val="26"/>
              </w:rPr>
            </w:pPr>
            <w:r w:rsidRPr="001F5F04">
              <w:rPr>
                <w:szCs w:val="26"/>
              </w:rPr>
              <w:t>201</w:t>
            </w:r>
            <w:r>
              <w:rPr>
                <w:szCs w:val="26"/>
              </w:rPr>
              <w:t>7</w:t>
            </w:r>
            <w:r w:rsidRPr="001F5F04">
              <w:rPr>
                <w:szCs w:val="26"/>
              </w:rPr>
              <w:t xml:space="preserve"> </w:t>
            </w:r>
            <w:r w:rsidR="00D97074">
              <w:t>C&amp;S Advocacy</w:t>
            </w:r>
          </w:p>
        </w:tc>
        <w:tc>
          <w:tcPr>
            <w:tcW w:w="2013" w:type="dxa"/>
            <w:tcBorders>
              <w:top w:val="single" w:sz="8" w:space="0" w:color="auto"/>
              <w:left w:val="nil"/>
              <w:bottom w:val="single" w:sz="4" w:space="0" w:color="auto"/>
              <w:right w:val="single" w:sz="4" w:space="0" w:color="auto"/>
            </w:tcBorders>
            <w:vAlign w:val="center"/>
          </w:tcPr>
          <w:p w14:paraId="602862F4" w14:textId="77777777" w:rsidR="00777365" w:rsidRPr="0043455F" w:rsidRDefault="00777365" w:rsidP="00B47FF2">
            <w:pPr>
              <w:spacing w:before="60" w:after="60"/>
              <w:jc w:val="center"/>
              <w:rPr>
                <w:bCs/>
              </w:rPr>
            </w:pPr>
            <w:r w:rsidRPr="0043455F">
              <w:rPr>
                <w:bCs/>
              </w:rPr>
              <w:t xml:space="preserve"> $109,303 </w:t>
            </w:r>
          </w:p>
        </w:tc>
        <w:tc>
          <w:tcPr>
            <w:tcW w:w="2013"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086911BF" w14:textId="77777777" w:rsidR="00777365" w:rsidRPr="0043455F" w:rsidRDefault="00777365" w:rsidP="00B47FF2">
            <w:pPr>
              <w:spacing w:before="60" w:after="60"/>
              <w:jc w:val="center"/>
              <w:rPr>
                <w:bCs/>
              </w:rPr>
            </w:pPr>
            <w:r w:rsidRPr="0043455F">
              <w:rPr>
                <w:bCs/>
              </w:rPr>
              <w:t xml:space="preserve"> $109,303 </w:t>
            </w:r>
          </w:p>
        </w:tc>
        <w:tc>
          <w:tcPr>
            <w:tcW w:w="201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1DA7D77" w14:textId="77777777" w:rsidR="00777365" w:rsidRPr="0043455F" w:rsidRDefault="00777365" w:rsidP="00B47FF2">
            <w:pPr>
              <w:spacing w:before="60" w:after="60"/>
              <w:jc w:val="center"/>
              <w:rPr>
                <w:bCs/>
              </w:rPr>
            </w:pPr>
            <w:r w:rsidRPr="0043455F">
              <w:rPr>
                <w:bCs/>
              </w:rPr>
              <w:t xml:space="preserve"> $109,303 </w:t>
            </w:r>
          </w:p>
        </w:tc>
      </w:tr>
    </w:tbl>
    <w:p w14:paraId="48DEDDE4" w14:textId="77777777" w:rsidR="00AF5021" w:rsidRDefault="00E25AD2" w:rsidP="00291682">
      <w:pPr>
        <w:ind w:firstLine="360"/>
      </w:pPr>
      <w:r w:rsidRPr="00AB5EB4">
        <w:t>SDG&amp;E’s award was approved as requested.</w:t>
      </w:r>
    </w:p>
    <w:p w14:paraId="28F35C81" w14:textId="77777777" w:rsidR="0015526B" w:rsidRDefault="0015526B" w:rsidP="00B47FF2">
      <w:pPr>
        <w:pStyle w:val="Heading3"/>
        <w:numPr>
          <w:ilvl w:val="0"/>
          <w:numId w:val="0"/>
        </w:numPr>
        <w:spacing w:before="200"/>
        <w:rPr>
          <w:u w:val="single"/>
        </w:rPr>
      </w:pPr>
      <w:r w:rsidRPr="00DA06ED">
        <w:lastRenderedPageBreak/>
        <w:t xml:space="preserve">1.4 </w:t>
      </w:r>
      <w:r w:rsidRPr="00DA06ED">
        <w:rPr>
          <w:u w:val="single"/>
        </w:rPr>
        <w:t>Non-Resource Programs</w:t>
      </w:r>
    </w:p>
    <w:p w14:paraId="1B309130" w14:textId="77777777" w:rsidR="00AF5021" w:rsidRPr="00AB5EB4" w:rsidRDefault="0061517D" w:rsidP="0061517D">
      <w:pPr>
        <w:tabs>
          <w:tab w:val="left" w:pos="360"/>
        </w:tabs>
        <w:ind w:left="360"/>
      </w:pPr>
      <w:r w:rsidRPr="0061517D">
        <w:t>SDG&amp;E’s award was calculated using the CEDARS approved expenditures.</w:t>
      </w:r>
    </w:p>
    <w:tbl>
      <w:tblPr>
        <w:tblW w:w="9000" w:type="dxa"/>
        <w:jc w:val="right"/>
        <w:tblCellMar>
          <w:left w:w="0" w:type="dxa"/>
          <w:right w:w="0" w:type="dxa"/>
        </w:tblCellMar>
        <w:tblLook w:val="04A0" w:firstRow="1" w:lastRow="0" w:firstColumn="1" w:lastColumn="0" w:noHBand="0" w:noVBand="1"/>
      </w:tblPr>
      <w:tblGrid>
        <w:gridCol w:w="2960"/>
        <w:gridCol w:w="2013"/>
        <w:gridCol w:w="2013"/>
        <w:gridCol w:w="2014"/>
      </w:tblGrid>
      <w:tr w:rsidR="00A52B69" w14:paraId="2A942C87" w14:textId="77777777">
        <w:trPr>
          <w:trHeight w:val="448"/>
          <w:jc w:val="right"/>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3EAD7D" w14:textId="77777777" w:rsidR="0015526B" w:rsidRPr="00C60E4A" w:rsidRDefault="0015526B" w:rsidP="00B47FF2">
            <w:pPr>
              <w:spacing w:before="60" w:after="60"/>
              <w:jc w:val="center"/>
              <w:rPr>
                <w:rFonts w:ascii="Calibri" w:eastAsiaTheme="minorHAnsi" w:hAnsi="Calibri"/>
              </w:rPr>
            </w:pPr>
            <w:r>
              <w:br w:type="page"/>
            </w:r>
            <w:r w:rsidRPr="00C60E4A">
              <w:rPr>
                <w:b/>
              </w:rPr>
              <w:t>ESPI Component</w:t>
            </w:r>
          </w:p>
        </w:tc>
        <w:tc>
          <w:tcPr>
            <w:tcW w:w="2013" w:type="dxa"/>
            <w:tcBorders>
              <w:top w:val="single" w:sz="8" w:space="0" w:color="auto"/>
              <w:left w:val="nil"/>
              <w:bottom w:val="single" w:sz="8" w:space="0" w:color="auto"/>
              <w:right w:val="single" w:sz="4" w:space="0" w:color="auto"/>
            </w:tcBorders>
            <w:vAlign w:val="center"/>
          </w:tcPr>
          <w:p w14:paraId="4C926016" w14:textId="77777777" w:rsidR="0015526B" w:rsidRPr="00C60E4A" w:rsidRDefault="0015526B" w:rsidP="00B47FF2">
            <w:pPr>
              <w:spacing w:before="60" w:after="60"/>
              <w:jc w:val="center"/>
              <w:rPr>
                <w:b/>
              </w:rPr>
            </w:pPr>
            <w:r w:rsidRPr="00C60E4A">
              <w:rPr>
                <w:b/>
              </w:rPr>
              <w:t>201</w:t>
            </w:r>
            <w:r>
              <w:rPr>
                <w:b/>
              </w:rPr>
              <w:t>7</w:t>
            </w:r>
            <w:r w:rsidRPr="00C60E4A">
              <w:rPr>
                <w:b/>
              </w:rPr>
              <w:t xml:space="preserve"> Cap</w:t>
            </w:r>
          </w:p>
        </w:tc>
        <w:tc>
          <w:tcPr>
            <w:tcW w:w="201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267D175E" w14:textId="77777777" w:rsidR="0015526B" w:rsidRPr="00C60E4A" w:rsidRDefault="0015526B" w:rsidP="00B47FF2">
            <w:pPr>
              <w:spacing w:before="60" w:after="60"/>
              <w:jc w:val="center"/>
              <w:rPr>
                <w:rFonts w:ascii="Calibri" w:eastAsiaTheme="minorHAnsi" w:hAnsi="Calibri"/>
                <w:b/>
              </w:rPr>
            </w:pPr>
            <w:r>
              <w:rPr>
                <w:b/>
              </w:rPr>
              <w:t>Requested</w:t>
            </w:r>
          </w:p>
        </w:tc>
        <w:tc>
          <w:tcPr>
            <w:tcW w:w="20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7F62FCA" w14:textId="77777777" w:rsidR="0015526B" w:rsidRPr="00C60E4A" w:rsidRDefault="0015526B" w:rsidP="00B47FF2">
            <w:pPr>
              <w:spacing w:before="60" w:after="60"/>
              <w:jc w:val="center"/>
              <w:rPr>
                <w:rFonts w:ascii="Calibri" w:eastAsiaTheme="minorHAnsi" w:hAnsi="Calibri"/>
                <w:b/>
              </w:rPr>
            </w:pPr>
            <w:r>
              <w:rPr>
                <w:b/>
              </w:rPr>
              <w:t>Approved</w:t>
            </w:r>
          </w:p>
        </w:tc>
      </w:tr>
      <w:tr w:rsidR="00A52B69" w14:paraId="3AD272E3" w14:textId="77777777">
        <w:trPr>
          <w:trHeight w:val="448"/>
          <w:jc w:val="right"/>
        </w:trPr>
        <w:tc>
          <w:tcPr>
            <w:tcW w:w="29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17D1036" w14:textId="77777777" w:rsidR="00777365" w:rsidRPr="001F5F04" w:rsidRDefault="00777365" w:rsidP="00014E0F">
            <w:pPr>
              <w:spacing w:before="60" w:after="60"/>
              <w:jc w:val="center"/>
              <w:rPr>
                <w:rFonts w:ascii="Calibri" w:eastAsiaTheme="minorHAnsi" w:hAnsi="Calibri"/>
                <w:szCs w:val="26"/>
              </w:rPr>
            </w:pPr>
            <w:r w:rsidRPr="001F5F04">
              <w:rPr>
                <w:szCs w:val="26"/>
              </w:rPr>
              <w:t>201</w:t>
            </w:r>
            <w:r>
              <w:rPr>
                <w:szCs w:val="26"/>
              </w:rPr>
              <w:t>7</w:t>
            </w:r>
            <w:r w:rsidRPr="001F5F04">
              <w:rPr>
                <w:szCs w:val="26"/>
              </w:rPr>
              <w:t xml:space="preserve"> Non-Resource</w:t>
            </w:r>
          </w:p>
        </w:tc>
        <w:tc>
          <w:tcPr>
            <w:tcW w:w="2013" w:type="dxa"/>
            <w:tcBorders>
              <w:top w:val="single" w:sz="8" w:space="0" w:color="auto"/>
              <w:left w:val="nil"/>
              <w:bottom w:val="single" w:sz="4" w:space="0" w:color="auto"/>
              <w:right w:val="single" w:sz="4" w:space="0" w:color="auto"/>
            </w:tcBorders>
            <w:vAlign w:val="center"/>
          </w:tcPr>
          <w:p w14:paraId="05E3A0F1" w14:textId="77777777" w:rsidR="00777365" w:rsidRPr="0043455F" w:rsidRDefault="00777365" w:rsidP="00B47FF2">
            <w:pPr>
              <w:spacing w:before="60" w:after="60"/>
              <w:jc w:val="center"/>
              <w:rPr>
                <w:bCs/>
              </w:rPr>
            </w:pPr>
            <w:r w:rsidRPr="0043455F">
              <w:rPr>
                <w:bCs/>
              </w:rPr>
              <w:t xml:space="preserve"> $248,726 </w:t>
            </w:r>
          </w:p>
        </w:tc>
        <w:tc>
          <w:tcPr>
            <w:tcW w:w="2013"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08A1EF4F" w14:textId="77777777" w:rsidR="00777365" w:rsidRPr="0043455F" w:rsidRDefault="00777365" w:rsidP="00B47FF2">
            <w:pPr>
              <w:spacing w:before="60" w:after="60"/>
              <w:jc w:val="center"/>
              <w:rPr>
                <w:bCs/>
              </w:rPr>
            </w:pPr>
            <w:r w:rsidRPr="0043455F">
              <w:rPr>
                <w:bCs/>
              </w:rPr>
              <w:t xml:space="preserve"> $196,882 </w:t>
            </w:r>
          </w:p>
        </w:tc>
        <w:tc>
          <w:tcPr>
            <w:tcW w:w="201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7664E30" w14:textId="77777777" w:rsidR="00777365" w:rsidRPr="0043455F" w:rsidRDefault="00777365" w:rsidP="00B47FF2">
            <w:pPr>
              <w:spacing w:before="60" w:after="60"/>
              <w:jc w:val="center"/>
              <w:rPr>
                <w:bCs/>
              </w:rPr>
            </w:pPr>
            <w:r w:rsidRPr="0043455F">
              <w:rPr>
                <w:bCs/>
              </w:rPr>
              <w:t xml:space="preserve"> $</w:t>
            </w:r>
            <w:r w:rsidR="0061517D" w:rsidRPr="0061517D">
              <w:rPr>
                <w:bCs/>
              </w:rPr>
              <w:t>184,111</w:t>
            </w:r>
            <w:r w:rsidRPr="0043455F">
              <w:rPr>
                <w:bCs/>
              </w:rPr>
              <w:t xml:space="preserve"> </w:t>
            </w:r>
          </w:p>
        </w:tc>
      </w:tr>
    </w:tbl>
    <w:p w14:paraId="368E3413" w14:textId="77777777" w:rsidR="003954B3" w:rsidRPr="00494142" w:rsidRDefault="003954B3" w:rsidP="0070418B">
      <w:pPr>
        <w:pStyle w:val="Heading3"/>
        <w:numPr>
          <w:ilvl w:val="0"/>
          <w:numId w:val="0"/>
        </w:numPr>
        <w:spacing w:after="200"/>
        <w:rPr>
          <w:u w:val="single"/>
        </w:rPr>
      </w:pPr>
      <w:bookmarkStart w:id="68" w:name="_Toc496814012"/>
      <w:bookmarkStart w:id="69" w:name="_Toc497338878"/>
      <w:r w:rsidRPr="00DA06ED">
        <w:t xml:space="preserve">1.5 </w:t>
      </w:r>
      <w:r w:rsidRPr="00DA06ED">
        <w:rPr>
          <w:u w:val="single"/>
        </w:rPr>
        <w:t>True Ups</w:t>
      </w:r>
      <w:bookmarkEnd w:id="68"/>
      <w:bookmarkEnd w:id="69"/>
    </w:p>
    <w:tbl>
      <w:tblPr>
        <w:tblStyle w:val="TableGrid"/>
        <w:tblW w:w="7920" w:type="dxa"/>
        <w:jc w:val="center"/>
        <w:tblBorders>
          <w:insideH w:val="none" w:sz="0" w:space="0" w:color="auto"/>
          <w:insideV w:val="none" w:sz="0" w:space="0" w:color="auto"/>
        </w:tblBorders>
        <w:tblLayout w:type="fixed"/>
        <w:tblLook w:val="04A0" w:firstRow="1" w:lastRow="0" w:firstColumn="1" w:lastColumn="0" w:noHBand="0" w:noVBand="1"/>
      </w:tblPr>
      <w:tblGrid>
        <w:gridCol w:w="4495"/>
        <w:gridCol w:w="1712"/>
        <w:gridCol w:w="1713"/>
      </w:tblGrid>
      <w:tr w:rsidR="00A52B69" w14:paraId="6CB192BF" w14:textId="77777777">
        <w:trPr>
          <w:trHeight w:val="323"/>
          <w:jc w:val="center"/>
        </w:trPr>
        <w:tc>
          <w:tcPr>
            <w:tcW w:w="4495" w:type="dxa"/>
            <w:tcBorders>
              <w:top w:val="single" w:sz="4" w:space="0" w:color="auto"/>
              <w:bottom w:val="single" w:sz="4" w:space="0" w:color="auto"/>
              <w:right w:val="single" w:sz="4" w:space="0" w:color="auto"/>
            </w:tcBorders>
            <w:vAlign w:val="center"/>
            <w:hideMark/>
          </w:tcPr>
          <w:p w14:paraId="08708CEE" w14:textId="77777777" w:rsidR="0043455F" w:rsidRPr="0043455F" w:rsidRDefault="0043455F" w:rsidP="00B47FF2">
            <w:pPr>
              <w:spacing w:before="60" w:after="60"/>
              <w:jc w:val="center"/>
              <w:rPr>
                <w:b/>
                <w:bCs/>
                <w:color w:val="000000"/>
              </w:rPr>
            </w:pPr>
            <w:r w:rsidRPr="0043455F">
              <w:rPr>
                <w:b/>
                <w:bCs/>
                <w:color w:val="000000"/>
              </w:rPr>
              <w:t>Component</w:t>
            </w:r>
          </w:p>
        </w:tc>
        <w:tc>
          <w:tcPr>
            <w:tcW w:w="1712" w:type="dxa"/>
            <w:tcBorders>
              <w:top w:val="single" w:sz="4" w:space="0" w:color="auto"/>
              <w:left w:val="single" w:sz="4" w:space="0" w:color="auto"/>
              <w:bottom w:val="single" w:sz="4" w:space="0" w:color="auto"/>
              <w:right w:val="single" w:sz="4" w:space="0" w:color="auto"/>
            </w:tcBorders>
            <w:vAlign w:val="center"/>
            <w:hideMark/>
          </w:tcPr>
          <w:p w14:paraId="60DB39A3" w14:textId="77777777" w:rsidR="0043455F" w:rsidRPr="0043455F" w:rsidRDefault="0043455F" w:rsidP="00B47FF2">
            <w:pPr>
              <w:spacing w:before="60" w:after="60"/>
              <w:jc w:val="center"/>
              <w:rPr>
                <w:b/>
                <w:bCs/>
                <w:color w:val="000000"/>
              </w:rPr>
            </w:pPr>
            <w:r w:rsidRPr="0043455F">
              <w:rPr>
                <w:b/>
                <w:bCs/>
                <w:color w:val="000000"/>
              </w:rPr>
              <w:t>Requested</w:t>
            </w:r>
          </w:p>
        </w:tc>
        <w:tc>
          <w:tcPr>
            <w:tcW w:w="1713" w:type="dxa"/>
            <w:tcBorders>
              <w:top w:val="single" w:sz="4" w:space="0" w:color="auto"/>
              <w:left w:val="single" w:sz="4" w:space="0" w:color="auto"/>
              <w:bottom w:val="single" w:sz="4" w:space="0" w:color="auto"/>
            </w:tcBorders>
            <w:vAlign w:val="center"/>
          </w:tcPr>
          <w:p w14:paraId="553EFE60" w14:textId="77777777" w:rsidR="0043455F" w:rsidRPr="0043455F" w:rsidRDefault="0043455F" w:rsidP="00B47FF2">
            <w:pPr>
              <w:spacing w:before="60" w:after="60"/>
              <w:jc w:val="center"/>
              <w:rPr>
                <w:b/>
                <w:bCs/>
                <w:color w:val="000000"/>
              </w:rPr>
            </w:pPr>
            <w:r w:rsidRPr="0043455F">
              <w:rPr>
                <w:b/>
                <w:bCs/>
                <w:color w:val="000000"/>
              </w:rPr>
              <w:t>Approved</w:t>
            </w:r>
          </w:p>
        </w:tc>
      </w:tr>
      <w:tr w:rsidR="00A52B69" w14:paraId="2DAE8FF1" w14:textId="77777777">
        <w:trPr>
          <w:trHeight w:val="360"/>
          <w:jc w:val="center"/>
        </w:trPr>
        <w:tc>
          <w:tcPr>
            <w:tcW w:w="4495" w:type="dxa"/>
            <w:tcBorders>
              <w:top w:val="single" w:sz="4" w:space="0" w:color="auto"/>
              <w:right w:val="single" w:sz="4" w:space="0" w:color="auto"/>
            </w:tcBorders>
            <w:hideMark/>
          </w:tcPr>
          <w:p w14:paraId="73579C79" w14:textId="77777777" w:rsidR="0043455F" w:rsidRPr="0043455F" w:rsidRDefault="0043455F" w:rsidP="00B47FF2">
            <w:pPr>
              <w:spacing w:before="0" w:after="0"/>
              <w:rPr>
                <w:color w:val="000000"/>
              </w:rPr>
            </w:pPr>
            <w:r w:rsidRPr="0043455F">
              <w:t>2016 Ex-Ante Savings True Up</w:t>
            </w:r>
          </w:p>
        </w:tc>
        <w:tc>
          <w:tcPr>
            <w:tcW w:w="1712" w:type="dxa"/>
            <w:tcBorders>
              <w:top w:val="single" w:sz="4" w:space="0" w:color="auto"/>
              <w:left w:val="single" w:sz="4" w:space="0" w:color="auto"/>
              <w:right w:val="single" w:sz="4" w:space="0" w:color="auto"/>
            </w:tcBorders>
            <w:noWrap/>
            <w:vAlign w:val="center"/>
          </w:tcPr>
          <w:p w14:paraId="031ACE2A" w14:textId="77777777" w:rsidR="0043455F" w:rsidRPr="0043455F" w:rsidRDefault="0043455F" w:rsidP="00B47FF2">
            <w:pPr>
              <w:spacing w:before="0" w:after="0"/>
              <w:jc w:val="right"/>
            </w:pPr>
            <w:r w:rsidRPr="0043455F">
              <w:t>$1,159,627</w:t>
            </w:r>
          </w:p>
        </w:tc>
        <w:tc>
          <w:tcPr>
            <w:tcW w:w="1713" w:type="dxa"/>
            <w:tcBorders>
              <w:top w:val="single" w:sz="4" w:space="0" w:color="auto"/>
              <w:left w:val="single" w:sz="4" w:space="0" w:color="auto"/>
            </w:tcBorders>
          </w:tcPr>
          <w:p w14:paraId="3663CCA4" w14:textId="77777777" w:rsidR="0043455F" w:rsidRPr="0043455F" w:rsidRDefault="0043455F" w:rsidP="00B47FF2">
            <w:pPr>
              <w:spacing w:before="0" w:after="0"/>
              <w:jc w:val="right"/>
            </w:pPr>
            <w:r w:rsidRPr="0043455F">
              <w:t>-</w:t>
            </w:r>
          </w:p>
        </w:tc>
      </w:tr>
      <w:tr w:rsidR="00A52B69" w14:paraId="4529EB68" w14:textId="77777777">
        <w:trPr>
          <w:trHeight w:val="360"/>
          <w:jc w:val="center"/>
        </w:trPr>
        <w:tc>
          <w:tcPr>
            <w:tcW w:w="4495" w:type="dxa"/>
            <w:tcBorders>
              <w:right w:val="single" w:sz="4" w:space="0" w:color="auto"/>
            </w:tcBorders>
            <w:noWrap/>
            <w:hideMark/>
          </w:tcPr>
          <w:p w14:paraId="1CD4CB4C" w14:textId="77777777" w:rsidR="0043455F" w:rsidRPr="0043455F" w:rsidRDefault="0043455F" w:rsidP="00B47FF2">
            <w:pPr>
              <w:spacing w:before="0" w:after="0"/>
              <w:rPr>
                <w:color w:val="000000"/>
              </w:rPr>
            </w:pPr>
            <w:r w:rsidRPr="0043455F">
              <w:t>2016 EAR Performance True Up</w:t>
            </w:r>
          </w:p>
        </w:tc>
        <w:tc>
          <w:tcPr>
            <w:tcW w:w="1712" w:type="dxa"/>
            <w:tcBorders>
              <w:left w:val="single" w:sz="4" w:space="0" w:color="auto"/>
              <w:right w:val="single" w:sz="4" w:space="0" w:color="auto"/>
            </w:tcBorders>
            <w:noWrap/>
          </w:tcPr>
          <w:p w14:paraId="2A87E5AC" w14:textId="77777777" w:rsidR="0043455F" w:rsidRPr="0043455F" w:rsidRDefault="0043455F" w:rsidP="00B47FF2">
            <w:pPr>
              <w:spacing w:before="0" w:after="0"/>
              <w:ind w:firstLineChars="100" w:firstLine="240"/>
              <w:jc w:val="right"/>
            </w:pPr>
            <w:r w:rsidRPr="0043455F">
              <w:t>-</w:t>
            </w:r>
          </w:p>
        </w:tc>
        <w:tc>
          <w:tcPr>
            <w:tcW w:w="1713" w:type="dxa"/>
            <w:tcBorders>
              <w:left w:val="single" w:sz="4" w:space="0" w:color="auto"/>
            </w:tcBorders>
            <w:shd w:val="clear" w:color="auto" w:fill="auto"/>
          </w:tcPr>
          <w:p w14:paraId="3A82C0C4" w14:textId="77777777" w:rsidR="0043455F" w:rsidRPr="00DD2C96" w:rsidRDefault="009E7E4C" w:rsidP="00B47FF2">
            <w:pPr>
              <w:spacing w:before="0" w:after="0"/>
              <w:jc w:val="right"/>
              <w:rPr>
                <w:color w:val="FF0000"/>
              </w:rPr>
            </w:pPr>
            <w:r w:rsidRPr="00DD2C96">
              <w:rPr>
                <w:color w:val="FF0000"/>
              </w:rPr>
              <w:t>($</w:t>
            </w:r>
            <w:r w:rsidR="0043455F" w:rsidRPr="00DD2C96">
              <w:rPr>
                <w:color w:val="FF0000"/>
              </w:rPr>
              <w:t>4,475)</w:t>
            </w:r>
          </w:p>
        </w:tc>
      </w:tr>
      <w:tr w:rsidR="00A52B69" w14:paraId="7355D064" w14:textId="77777777">
        <w:trPr>
          <w:trHeight w:val="360"/>
          <w:jc w:val="center"/>
        </w:trPr>
        <w:tc>
          <w:tcPr>
            <w:tcW w:w="4495" w:type="dxa"/>
            <w:tcBorders>
              <w:right w:val="single" w:sz="4" w:space="0" w:color="auto"/>
            </w:tcBorders>
            <w:noWrap/>
            <w:hideMark/>
          </w:tcPr>
          <w:p w14:paraId="7438C434" w14:textId="77777777" w:rsidR="0043455F" w:rsidRPr="0043455F" w:rsidRDefault="0043455F" w:rsidP="00B47FF2">
            <w:pPr>
              <w:spacing w:before="0" w:after="0"/>
              <w:rPr>
                <w:color w:val="000000"/>
              </w:rPr>
            </w:pPr>
            <w:r w:rsidRPr="0043455F">
              <w:t>2016 Codes &amp; Standards True Up</w:t>
            </w:r>
          </w:p>
        </w:tc>
        <w:tc>
          <w:tcPr>
            <w:tcW w:w="1712" w:type="dxa"/>
            <w:tcBorders>
              <w:left w:val="single" w:sz="4" w:space="0" w:color="auto"/>
              <w:right w:val="single" w:sz="4" w:space="0" w:color="auto"/>
            </w:tcBorders>
            <w:shd w:val="clear" w:color="auto" w:fill="auto"/>
            <w:noWrap/>
          </w:tcPr>
          <w:p w14:paraId="40CBED69" w14:textId="77777777" w:rsidR="0043455F" w:rsidRPr="00DD2C96" w:rsidRDefault="0043455F" w:rsidP="00B47FF2">
            <w:pPr>
              <w:spacing w:before="0" w:after="0"/>
              <w:ind w:firstLineChars="100" w:firstLine="240"/>
              <w:jc w:val="right"/>
              <w:rPr>
                <w:color w:val="FF0000"/>
              </w:rPr>
            </w:pPr>
            <w:r w:rsidRPr="00DD2C96">
              <w:rPr>
                <w:color w:val="FF0000"/>
              </w:rPr>
              <w:t>(</w:t>
            </w:r>
            <w:r w:rsidR="00DD2C96" w:rsidRPr="00DD2C96">
              <w:rPr>
                <w:color w:val="FF0000"/>
              </w:rPr>
              <w:t>$</w:t>
            </w:r>
            <w:r w:rsidRPr="00DD2C96">
              <w:rPr>
                <w:color w:val="FF0000"/>
              </w:rPr>
              <w:t>10,178)</w:t>
            </w:r>
          </w:p>
        </w:tc>
        <w:tc>
          <w:tcPr>
            <w:tcW w:w="1713" w:type="dxa"/>
            <w:tcBorders>
              <w:left w:val="single" w:sz="4" w:space="0" w:color="auto"/>
            </w:tcBorders>
            <w:shd w:val="clear" w:color="auto" w:fill="auto"/>
          </w:tcPr>
          <w:p w14:paraId="6A5FABFC" w14:textId="77777777" w:rsidR="0043455F" w:rsidRPr="00DD2C96" w:rsidRDefault="009E7E4C" w:rsidP="00B47FF2">
            <w:pPr>
              <w:spacing w:before="0" w:after="0"/>
              <w:jc w:val="right"/>
              <w:rPr>
                <w:color w:val="FF0000"/>
              </w:rPr>
            </w:pPr>
            <w:r w:rsidRPr="00DD2C96">
              <w:rPr>
                <w:color w:val="FF0000"/>
              </w:rPr>
              <w:t>($</w:t>
            </w:r>
            <w:r w:rsidR="0043455F" w:rsidRPr="00DD2C96">
              <w:rPr>
                <w:color w:val="FF0000"/>
              </w:rPr>
              <w:t>10,971)</w:t>
            </w:r>
          </w:p>
        </w:tc>
      </w:tr>
      <w:tr w:rsidR="00A52B69" w14:paraId="2605F9F0" w14:textId="77777777">
        <w:trPr>
          <w:trHeight w:val="375"/>
          <w:jc w:val="center"/>
        </w:trPr>
        <w:tc>
          <w:tcPr>
            <w:tcW w:w="4495" w:type="dxa"/>
            <w:tcBorders>
              <w:right w:val="single" w:sz="4" w:space="0" w:color="auto"/>
            </w:tcBorders>
            <w:noWrap/>
            <w:hideMark/>
          </w:tcPr>
          <w:p w14:paraId="3E28711B" w14:textId="77777777" w:rsidR="0043455F" w:rsidRPr="0043455F" w:rsidRDefault="0043455F" w:rsidP="00B47FF2">
            <w:pPr>
              <w:spacing w:before="0" w:after="0"/>
              <w:rPr>
                <w:color w:val="000000"/>
              </w:rPr>
            </w:pPr>
            <w:r w:rsidRPr="0043455F">
              <w:t>2016 Non-Resource True Up</w:t>
            </w:r>
          </w:p>
        </w:tc>
        <w:tc>
          <w:tcPr>
            <w:tcW w:w="1712" w:type="dxa"/>
            <w:tcBorders>
              <w:left w:val="single" w:sz="4" w:space="0" w:color="auto"/>
              <w:right w:val="single" w:sz="4" w:space="0" w:color="auto"/>
            </w:tcBorders>
            <w:shd w:val="clear" w:color="auto" w:fill="auto"/>
            <w:noWrap/>
          </w:tcPr>
          <w:p w14:paraId="3087FE7D" w14:textId="77777777" w:rsidR="0043455F" w:rsidRPr="00DD2C96" w:rsidRDefault="0043455F" w:rsidP="00B47FF2">
            <w:pPr>
              <w:spacing w:before="0" w:after="0"/>
              <w:ind w:firstLineChars="100" w:firstLine="240"/>
              <w:jc w:val="right"/>
              <w:rPr>
                <w:color w:val="FF0000"/>
              </w:rPr>
            </w:pPr>
            <w:r w:rsidRPr="00DD2C96">
              <w:rPr>
                <w:color w:val="FF0000"/>
              </w:rPr>
              <w:t>(</w:t>
            </w:r>
            <w:r w:rsidR="00DD2C96" w:rsidRPr="00DD2C96">
              <w:rPr>
                <w:color w:val="FF0000"/>
              </w:rPr>
              <w:t>$</w:t>
            </w:r>
            <w:r w:rsidRPr="00DD2C96">
              <w:rPr>
                <w:color w:val="FF0000"/>
              </w:rPr>
              <w:t>11,096)</w:t>
            </w:r>
          </w:p>
        </w:tc>
        <w:tc>
          <w:tcPr>
            <w:tcW w:w="1713" w:type="dxa"/>
            <w:tcBorders>
              <w:left w:val="single" w:sz="4" w:space="0" w:color="auto"/>
            </w:tcBorders>
            <w:shd w:val="clear" w:color="auto" w:fill="auto"/>
          </w:tcPr>
          <w:p w14:paraId="6C3AC78A" w14:textId="77777777" w:rsidR="0043455F" w:rsidRPr="00DD2C96" w:rsidRDefault="009E7E4C" w:rsidP="00B47FF2">
            <w:pPr>
              <w:spacing w:before="0" w:after="0"/>
              <w:jc w:val="right"/>
              <w:rPr>
                <w:color w:val="FF0000"/>
              </w:rPr>
            </w:pPr>
            <w:r w:rsidRPr="00DD2C96">
              <w:rPr>
                <w:color w:val="FF0000"/>
              </w:rPr>
              <w:t>($</w:t>
            </w:r>
            <w:r w:rsidR="0043455F" w:rsidRPr="00DD2C96">
              <w:rPr>
                <w:color w:val="FF0000"/>
              </w:rPr>
              <w:t>11,960)</w:t>
            </w:r>
          </w:p>
        </w:tc>
      </w:tr>
      <w:tr w:rsidR="00A52B69" w14:paraId="30998311" w14:textId="77777777">
        <w:trPr>
          <w:trHeight w:val="375"/>
          <w:jc w:val="center"/>
        </w:trPr>
        <w:tc>
          <w:tcPr>
            <w:tcW w:w="4495" w:type="dxa"/>
            <w:tcBorders>
              <w:right w:val="single" w:sz="4" w:space="0" w:color="auto"/>
            </w:tcBorders>
            <w:noWrap/>
          </w:tcPr>
          <w:p w14:paraId="4E5228F4" w14:textId="77777777" w:rsidR="00F179B9" w:rsidRPr="0043455F" w:rsidRDefault="00F179B9" w:rsidP="00B47FF2">
            <w:pPr>
              <w:spacing w:before="0" w:after="0"/>
            </w:pPr>
            <w:r w:rsidRPr="00F179B9">
              <w:t>2017 EAR Performance True Up</w:t>
            </w:r>
          </w:p>
        </w:tc>
        <w:tc>
          <w:tcPr>
            <w:tcW w:w="1712" w:type="dxa"/>
            <w:tcBorders>
              <w:left w:val="single" w:sz="4" w:space="0" w:color="auto"/>
              <w:right w:val="single" w:sz="4" w:space="0" w:color="auto"/>
            </w:tcBorders>
            <w:shd w:val="clear" w:color="auto" w:fill="auto"/>
            <w:noWrap/>
          </w:tcPr>
          <w:p w14:paraId="40F9FE65" w14:textId="77777777" w:rsidR="00F179B9" w:rsidRPr="00F179B9" w:rsidRDefault="00F179B9" w:rsidP="00B47FF2">
            <w:pPr>
              <w:spacing w:before="0" w:after="0"/>
              <w:ind w:firstLineChars="100" w:firstLine="240"/>
              <w:jc w:val="right"/>
            </w:pPr>
            <w:r w:rsidRPr="00F179B9">
              <w:t>-</w:t>
            </w:r>
          </w:p>
        </w:tc>
        <w:tc>
          <w:tcPr>
            <w:tcW w:w="1713" w:type="dxa"/>
            <w:tcBorders>
              <w:left w:val="single" w:sz="4" w:space="0" w:color="auto"/>
            </w:tcBorders>
            <w:shd w:val="clear" w:color="auto" w:fill="auto"/>
          </w:tcPr>
          <w:p w14:paraId="51A135CB" w14:textId="77777777" w:rsidR="00F179B9" w:rsidRPr="00F179B9" w:rsidRDefault="00FD382B" w:rsidP="00B47FF2">
            <w:pPr>
              <w:spacing w:before="0" w:after="0"/>
              <w:jc w:val="right"/>
            </w:pPr>
            <w:r w:rsidRPr="00FD382B">
              <w:t>$</w:t>
            </w:r>
            <w:r w:rsidR="004E4E3A" w:rsidRPr="004E4E3A">
              <w:t xml:space="preserve">1,913 </w:t>
            </w:r>
          </w:p>
        </w:tc>
      </w:tr>
      <w:tr w:rsidR="00A52B69" w14:paraId="0909FEE5" w14:textId="77777777">
        <w:trPr>
          <w:trHeight w:val="375"/>
          <w:jc w:val="center"/>
        </w:trPr>
        <w:tc>
          <w:tcPr>
            <w:tcW w:w="4495" w:type="dxa"/>
            <w:tcBorders>
              <w:right w:val="single" w:sz="4" w:space="0" w:color="auto"/>
            </w:tcBorders>
            <w:noWrap/>
          </w:tcPr>
          <w:p w14:paraId="0C45E03F" w14:textId="77777777" w:rsidR="00F179B9" w:rsidRPr="0043455F" w:rsidRDefault="00F179B9" w:rsidP="00B47FF2">
            <w:pPr>
              <w:spacing w:before="0" w:after="0"/>
            </w:pPr>
            <w:r w:rsidRPr="00F179B9">
              <w:t>2017 Codes &amp; Standards True Up</w:t>
            </w:r>
          </w:p>
        </w:tc>
        <w:tc>
          <w:tcPr>
            <w:tcW w:w="1712" w:type="dxa"/>
            <w:tcBorders>
              <w:left w:val="single" w:sz="4" w:space="0" w:color="auto"/>
              <w:right w:val="single" w:sz="4" w:space="0" w:color="auto"/>
            </w:tcBorders>
            <w:shd w:val="clear" w:color="auto" w:fill="auto"/>
            <w:noWrap/>
          </w:tcPr>
          <w:p w14:paraId="6FB885C9" w14:textId="77777777" w:rsidR="00F179B9" w:rsidRPr="00F179B9" w:rsidRDefault="00F179B9" w:rsidP="00B47FF2">
            <w:pPr>
              <w:spacing w:before="0" w:after="0"/>
              <w:ind w:firstLineChars="100" w:firstLine="240"/>
              <w:jc w:val="right"/>
            </w:pPr>
            <w:r w:rsidRPr="00F179B9">
              <w:t>-</w:t>
            </w:r>
          </w:p>
        </w:tc>
        <w:tc>
          <w:tcPr>
            <w:tcW w:w="1713" w:type="dxa"/>
            <w:tcBorders>
              <w:left w:val="single" w:sz="4" w:space="0" w:color="auto"/>
            </w:tcBorders>
            <w:shd w:val="clear" w:color="auto" w:fill="auto"/>
          </w:tcPr>
          <w:p w14:paraId="14F15301" w14:textId="77777777" w:rsidR="00F179B9" w:rsidRPr="00F179B9" w:rsidRDefault="00F179B9" w:rsidP="00B47FF2">
            <w:pPr>
              <w:spacing w:before="0" w:after="0"/>
              <w:jc w:val="right"/>
            </w:pPr>
            <w:r w:rsidRPr="00F179B9">
              <w:t>$6,004</w:t>
            </w:r>
          </w:p>
        </w:tc>
      </w:tr>
      <w:tr w:rsidR="00A52B69" w14:paraId="09DF9FC9" w14:textId="77777777">
        <w:trPr>
          <w:trHeight w:val="375"/>
          <w:jc w:val="center"/>
        </w:trPr>
        <w:tc>
          <w:tcPr>
            <w:tcW w:w="4495" w:type="dxa"/>
            <w:tcBorders>
              <w:right w:val="single" w:sz="4" w:space="0" w:color="auto"/>
            </w:tcBorders>
            <w:noWrap/>
          </w:tcPr>
          <w:p w14:paraId="5F844D23" w14:textId="77777777" w:rsidR="00F179B9" w:rsidRPr="0043455F" w:rsidRDefault="00F179B9" w:rsidP="00B47FF2">
            <w:pPr>
              <w:spacing w:before="0" w:after="0"/>
            </w:pPr>
            <w:r w:rsidRPr="00F179B9">
              <w:t>2017 Non-Resource True Up</w:t>
            </w:r>
          </w:p>
        </w:tc>
        <w:tc>
          <w:tcPr>
            <w:tcW w:w="1712" w:type="dxa"/>
            <w:tcBorders>
              <w:left w:val="single" w:sz="4" w:space="0" w:color="auto"/>
              <w:right w:val="single" w:sz="4" w:space="0" w:color="auto"/>
            </w:tcBorders>
            <w:shd w:val="clear" w:color="auto" w:fill="auto"/>
            <w:noWrap/>
          </w:tcPr>
          <w:p w14:paraId="71902F86" w14:textId="77777777" w:rsidR="00F179B9" w:rsidRPr="00F179B9" w:rsidRDefault="00F179B9" w:rsidP="00B47FF2">
            <w:pPr>
              <w:spacing w:before="0" w:after="0"/>
              <w:ind w:firstLineChars="100" w:firstLine="240"/>
              <w:jc w:val="right"/>
            </w:pPr>
            <w:r w:rsidRPr="00F179B9">
              <w:t>-</w:t>
            </w:r>
          </w:p>
        </w:tc>
        <w:tc>
          <w:tcPr>
            <w:tcW w:w="1713" w:type="dxa"/>
            <w:tcBorders>
              <w:left w:val="single" w:sz="4" w:space="0" w:color="auto"/>
            </w:tcBorders>
            <w:shd w:val="clear" w:color="auto" w:fill="auto"/>
          </w:tcPr>
          <w:p w14:paraId="437C1287" w14:textId="77777777" w:rsidR="00F179B9" w:rsidRPr="00F179B9" w:rsidRDefault="00F179B9" w:rsidP="00B47FF2">
            <w:pPr>
              <w:spacing w:before="0" w:after="0"/>
              <w:jc w:val="right"/>
            </w:pPr>
            <w:r w:rsidRPr="00F179B9">
              <w:t>$3,867</w:t>
            </w:r>
          </w:p>
        </w:tc>
      </w:tr>
      <w:tr w:rsidR="00A52B69" w14:paraId="759C0BA1" w14:textId="77777777">
        <w:trPr>
          <w:trHeight w:val="270"/>
          <w:jc w:val="center"/>
        </w:trPr>
        <w:tc>
          <w:tcPr>
            <w:tcW w:w="4495" w:type="dxa"/>
            <w:tcBorders>
              <w:right w:val="single" w:sz="4" w:space="0" w:color="auto"/>
            </w:tcBorders>
            <w:vAlign w:val="center"/>
            <w:hideMark/>
          </w:tcPr>
          <w:p w14:paraId="63019438" w14:textId="77777777" w:rsidR="0043455F" w:rsidRPr="0043455F" w:rsidRDefault="0043455F" w:rsidP="00B47FF2">
            <w:pPr>
              <w:spacing w:before="0" w:after="0"/>
              <w:rPr>
                <w:color w:val="000000"/>
              </w:rPr>
            </w:pPr>
            <w:r w:rsidRPr="0043455F">
              <w:rPr>
                <w:color w:val="000000"/>
              </w:rPr>
              <w:t>2006-2008 RRIM Adjustment</w:t>
            </w:r>
          </w:p>
        </w:tc>
        <w:tc>
          <w:tcPr>
            <w:tcW w:w="1712" w:type="dxa"/>
            <w:tcBorders>
              <w:left w:val="single" w:sz="4" w:space="0" w:color="auto"/>
              <w:bottom w:val="single" w:sz="4" w:space="0" w:color="auto"/>
              <w:right w:val="single" w:sz="4" w:space="0" w:color="auto"/>
            </w:tcBorders>
            <w:noWrap/>
          </w:tcPr>
          <w:p w14:paraId="4EA01D02" w14:textId="77777777" w:rsidR="0043455F" w:rsidRPr="00DD2C96" w:rsidRDefault="0043455F" w:rsidP="00B47FF2">
            <w:pPr>
              <w:spacing w:before="0" w:after="0"/>
              <w:ind w:firstLineChars="14" w:firstLine="34"/>
              <w:jc w:val="right"/>
              <w:rPr>
                <w:color w:val="FF0000"/>
              </w:rPr>
            </w:pPr>
            <w:r w:rsidRPr="00DD2C96">
              <w:rPr>
                <w:color w:val="FF0000"/>
              </w:rPr>
              <w:t>($1,200,000)</w:t>
            </w:r>
          </w:p>
        </w:tc>
        <w:tc>
          <w:tcPr>
            <w:tcW w:w="1713" w:type="dxa"/>
            <w:tcBorders>
              <w:left w:val="single" w:sz="4" w:space="0" w:color="auto"/>
            </w:tcBorders>
          </w:tcPr>
          <w:p w14:paraId="6F85A872" w14:textId="77777777" w:rsidR="0043455F" w:rsidRPr="00DD2C96" w:rsidRDefault="0043455F" w:rsidP="00B47FF2">
            <w:pPr>
              <w:spacing w:before="0" w:after="0"/>
              <w:jc w:val="right"/>
              <w:rPr>
                <w:color w:val="FF0000"/>
              </w:rPr>
            </w:pPr>
            <w:r w:rsidRPr="00DD2C96">
              <w:rPr>
                <w:color w:val="FF0000"/>
              </w:rPr>
              <w:t>($1,200,000)</w:t>
            </w:r>
          </w:p>
        </w:tc>
      </w:tr>
    </w:tbl>
    <w:p w14:paraId="7E77272E" w14:textId="77777777" w:rsidR="003612B7" w:rsidRDefault="00ED5DFF" w:rsidP="00B47FF2">
      <w:pPr>
        <w:spacing w:before="360"/>
        <w:jc w:val="both"/>
        <w:rPr>
          <w:szCs w:val="26"/>
        </w:rPr>
      </w:pPr>
      <w:r w:rsidRPr="00ED5DFF">
        <w:rPr>
          <w:szCs w:val="26"/>
        </w:rPr>
        <w:t xml:space="preserve">SDG&amp;E's request for a 2016 </w:t>
      </w:r>
      <w:r w:rsidR="002445E5">
        <w:rPr>
          <w:szCs w:val="26"/>
        </w:rPr>
        <w:t>ex-ante</w:t>
      </w:r>
      <w:r w:rsidRPr="00ED5DFF">
        <w:rPr>
          <w:szCs w:val="26"/>
        </w:rPr>
        <w:t xml:space="preserve"> savings true-up award is denied as the amount is included in their 2016 ex-post energy savings award. </w:t>
      </w:r>
    </w:p>
    <w:p w14:paraId="3C270E1E" w14:textId="77777777" w:rsidR="00ED5DFF" w:rsidRDefault="003612B7" w:rsidP="00291682">
      <w:pPr>
        <w:spacing w:before="240"/>
        <w:jc w:val="both"/>
        <w:rPr>
          <w:szCs w:val="26"/>
        </w:rPr>
      </w:pPr>
      <w:r>
        <w:rPr>
          <w:szCs w:val="26"/>
        </w:rPr>
        <w:t xml:space="preserve">In discussions with Commission </w:t>
      </w:r>
      <w:r w:rsidR="00C50203">
        <w:rPr>
          <w:szCs w:val="26"/>
        </w:rPr>
        <w:t>S</w:t>
      </w:r>
      <w:r>
        <w:rPr>
          <w:szCs w:val="26"/>
        </w:rPr>
        <w:t xml:space="preserve">taff, </w:t>
      </w:r>
      <w:r w:rsidR="00ED5DFF" w:rsidRPr="00ED5DFF">
        <w:rPr>
          <w:szCs w:val="26"/>
        </w:rPr>
        <w:t xml:space="preserve">SDG&amp;E </w:t>
      </w:r>
      <w:r>
        <w:rPr>
          <w:szCs w:val="26"/>
        </w:rPr>
        <w:t xml:space="preserve">explained that they </w:t>
      </w:r>
      <w:r w:rsidR="00ED5DFF" w:rsidRPr="00ED5DFF">
        <w:rPr>
          <w:szCs w:val="26"/>
        </w:rPr>
        <w:t xml:space="preserve">omitted the 2016 EAR performance true up </w:t>
      </w:r>
      <w:r w:rsidR="00AB5EB4">
        <w:rPr>
          <w:szCs w:val="26"/>
        </w:rPr>
        <w:t>because</w:t>
      </w:r>
      <w:r w:rsidR="00ED5DFF" w:rsidRPr="00ED5DFF">
        <w:rPr>
          <w:szCs w:val="26"/>
        </w:rPr>
        <w:t xml:space="preserve"> the UAFCB audit report did not specify whether its recommended adjustments were administrative costs or in other cost categories. Commission </w:t>
      </w:r>
      <w:r w:rsidR="00C50203">
        <w:rPr>
          <w:szCs w:val="26"/>
        </w:rPr>
        <w:t>S</w:t>
      </w:r>
      <w:r w:rsidR="00ED5DFF" w:rsidRPr="00ED5DFF">
        <w:rPr>
          <w:szCs w:val="26"/>
        </w:rPr>
        <w:t>taff obtained clarification from UAFCB that all the adjustments were in the Direct Implementation category, meaning they impact the ESPI payment</w:t>
      </w:r>
      <w:r>
        <w:rPr>
          <w:szCs w:val="26"/>
        </w:rPr>
        <w:t>.</w:t>
      </w:r>
      <w:r w:rsidR="00CD6C06">
        <w:rPr>
          <w:rStyle w:val="FootnoteReference"/>
          <w:szCs w:val="26"/>
        </w:rPr>
        <w:footnoteReference w:id="46"/>
      </w:r>
      <w:r>
        <w:rPr>
          <w:szCs w:val="26"/>
        </w:rPr>
        <w:t xml:space="preserve"> Therefore, the audit report</w:t>
      </w:r>
      <w:r w:rsidRPr="00ED5DFF">
        <w:rPr>
          <w:szCs w:val="26"/>
        </w:rPr>
        <w:t xml:space="preserve"> </w:t>
      </w:r>
      <w:r>
        <w:rPr>
          <w:szCs w:val="26"/>
        </w:rPr>
        <w:t xml:space="preserve">Finding 1 ($276,450 expenditure adjustment) </w:t>
      </w:r>
      <w:r w:rsidRPr="003612B7">
        <w:rPr>
          <w:szCs w:val="26"/>
        </w:rPr>
        <w:t>was taken in</w:t>
      </w:r>
      <w:r>
        <w:rPr>
          <w:szCs w:val="26"/>
        </w:rPr>
        <w:t xml:space="preserve"> </w:t>
      </w:r>
      <w:r w:rsidR="00ED5DFF" w:rsidRPr="00ED5DFF">
        <w:rPr>
          <w:szCs w:val="26"/>
        </w:rPr>
        <w:t xml:space="preserve">resulting in the </w:t>
      </w:r>
      <w:r w:rsidR="00CD6C06">
        <w:rPr>
          <w:szCs w:val="26"/>
        </w:rPr>
        <w:t>2016 and 2017</w:t>
      </w:r>
      <w:r w:rsidR="00ED5DFF" w:rsidRPr="00ED5DFF">
        <w:rPr>
          <w:szCs w:val="26"/>
        </w:rPr>
        <w:t xml:space="preserve"> true up</w:t>
      </w:r>
      <w:r w:rsidR="00CD6C06">
        <w:rPr>
          <w:szCs w:val="26"/>
        </w:rPr>
        <w:t>s</w:t>
      </w:r>
      <w:r>
        <w:rPr>
          <w:szCs w:val="26"/>
        </w:rPr>
        <w:t xml:space="preserve">. </w:t>
      </w:r>
      <w:r w:rsidR="00F65784">
        <w:rPr>
          <w:szCs w:val="26"/>
        </w:rPr>
        <w:t>SDG&amp;E’s 2017 EAR Performance true up used the weighted EAR performance score.</w:t>
      </w:r>
    </w:p>
    <w:p w14:paraId="415558DC" w14:textId="168EA632" w:rsidR="00E25AD2" w:rsidRDefault="00105210" w:rsidP="00B47FF2">
      <w:pPr>
        <w:jc w:val="both"/>
        <w:rPr>
          <w:szCs w:val="26"/>
        </w:rPr>
      </w:pPr>
      <w:r>
        <w:rPr>
          <w:szCs w:val="26"/>
        </w:rPr>
        <w:t>The 2016</w:t>
      </w:r>
      <w:r w:rsidR="00E25AD2">
        <w:rPr>
          <w:szCs w:val="26"/>
        </w:rPr>
        <w:t xml:space="preserve"> true-ups </w:t>
      </w:r>
      <w:r>
        <w:rPr>
          <w:szCs w:val="26"/>
        </w:rPr>
        <w:t>include SDG&amp;E’s</w:t>
      </w:r>
      <w:r w:rsidR="00E25AD2">
        <w:rPr>
          <w:szCs w:val="26"/>
        </w:rPr>
        <w:t xml:space="preserve"> </w:t>
      </w:r>
      <w:r w:rsidR="00E437BD">
        <w:rPr>
          <w:szCs w:val="26"/>
        </w:rPr>
        <w:t>w</w:t>
      </w:r>
      <w:r w:rsidR="00AA4676">
        <w:rPr>
          <w:szCs w:val="26"/>
        </w:rPr>
        <w:t xml:space="preserve">eighted </w:t>
      </w:r>
      <w:r w:rsidR="00E437BD">
        <w:rPr>
          <w:szCs w:val="26"/>
        </w:rPr>
        <w:t>a</w:t>
      </w:r>
      <w:r w:rsidR="00AA4676">
        <w:rPr>
          <w:szCs w:val="26"/>
        </w:rPr>
        <w:t xml:space="preserve">verage </w:t>
      </w:r>
      <w:r w:rsidR="00E437BD">
        <w:rPr>
          <w:szCs w:val="26"/>
        </w:rPr>
        <w:t>c</w:t>
      </w:r>
      <w:r w:rsidR="00AA4676">
        <w:rPr>
          <w:szCs w:val="26"/>
        </w:rPr>
        <w:t xml:space="preserve">ost of </w:t>
      </w:r>
      <w:r w:rsidR="00E437BD">
        <w:rPr>
          <w:szCs w:val="26"/>
        </w:rPr>
        <w:t>c</w:t>
      </w:r>
      <w:r w:rsidR="00AA4676">
        <w:rPr>
          <w:szCs w:val="26"/>
        </w:rPr>
        <w:t>apital</w:t>
      </w:r>
      <w:r w:rsidR="00E25AD2">
        <w:rPr>
          <w:szCs w:val="26"/>
        </w:rPr>
        <w:t>.</w:t>
      </w:r>
    </w:p>
    <w:p w14:paraId="798A7E10" w14:textId="77777777" w:rsidR="004E330C" w:rsidRDefault="004E330C" w:rsidP="00B47FF2">
      <w:pPr>
        <w:jc w:val="both"/>
        <w:rPr>
          <w:szCs w:val="26"/>
        </w:rPr>
      </w:pPr>
    </w:p>
    <w:p w14:paraId="023EC019" w14:textId="77777777" w:rsidR="003954B3" w:rsidRDefault="003954B3" w:rsidP="00B47FF2">
      <w:pPr>
        <w:jc w:val="both"/>
        <w:rPr>
          <w:szCs w:val="26"/>
        </w:rPr>
      </w:pPr>
      <w:r>
        <w:rPr>
          <w:szCs w:val="26"/>
        </w:rPr>
        <w:lastRenderedPageBreak/>
        <w:t>SDG&amp;</w:t>
      </w:r>
      <w:r w:rsidRPr="00B24C75">
        <w:rPr>
          <w:szCs w:val="26"/>
        </w:rPr>
        <w:t xml:space="preserve">E’s </w:t>
      </w:r>
      <w:r>
        <w:rPr>
          <w:szCs w:val="26"/>
        </w:rPr>
        <w:t xml:space="preserve">final </w:t>
      </w:r>
      <w:r w:rsidRPr="00B24C75">
        <w:rPr>
          <w:szCs w:val="26"/>
        </w:rPr>
        <w:t>201</w:t>
      </w:r>
      <w:r w:rsidR="00EB5149">
        <w:rPr>
          <w:szCs w:val="26"/>
        </w:rPr>
        <w:t>8</w:t>
      </w:r>
      <w:r w:rsidRPr="00B24C75">
        <w:rPr>
          <w:szCs w:val="26"/>
        </w:rPr>
        <w:t xml:space="preserve"> award values including all adjustments</w:t>
      </w:r>
      <w:r>
        <w:rPr>
          <w:szCs w:val="26"/>
        </w:rPr>
        <w:t xml:space="preserve"> are shown below:</w:t>
      </w:r>
    </w:p>
    <w:tbl>
      <w:tblPr>
        <w:tblW w:w="7920" w:type="dxa"/>
        <w:jc w:val="center"/>
        <w:tblLayout w:type="fixed"/>
        <w:tblLook w:val="04A0" w:firstRow="1" w:lastRow="0" w:firstColumn="1" w:lastColumn="0" w:noHBand="0" w:noVBand="1"/>
      </w:tblPr>
      <w:tblGrid>
        <w:gridCol w:w="4140"/>
        <w:gridCol w:w="1890"/>
        <w:gridCol w:w="1890"/>
      </w:tblGrid>
      <w:tr w:rsidR="00A52B69" w14:paraId="3A179216" w14:textId="77777777">
        <w:trPr>
          <w:trHeight w:val="432"/>
          <w:jc w:val="center"/>
        </w:trPr>
        <w:tc>
          <w:tcPr>
            <w:tcW w:w="7920" w:type="dxa"/>
            <w:gridSpan w:val="3"/>
            <w:tcBorders>
              <w:bottom w:val="single" w:sz="8" w:space="0" w:color="auto"/>
            </w:tcBorders>
            <w:shd w:val="clear" w:color="auto" w:fill="auto"/>
            <w:vAlign w:val="center"/>
          </w:tcPr>
          <w:p w14:paraId="3C5C4032" w14:textId="77777777" w:rsidR="00ED5DFF" w:rsidRPr="00ED5DFF" w:rsidRDefault="00ED5DFF" w:rsidP="00B47FF2">
            <w:pPr>
              <w:spacing w:before="0" w:after="0"/>
              <w:jc w:val="center"/>
              <w:rPr>
                <w:rFonts w:eastAsia="Calibri"/>
                <w:bCs/>
                <w:sz w:val="26"/>
                <w:szCs w:val="26"/>
              </w:rPr>
            </w:pPr>
            <w:r w:rsidRPr="00440A46">
              <w:rPr>
                <w:rFonts w:eastAsia="Calibri"/>
                <w:bCs/>
                <w:szCs w:val="26"/>
              </w:rPr>
              <w:t>Table</w:t>
            </w:r>
            <w:r w:rsidR="0038256F">
              <w:rPr>
                <w:rFonts w:eastAsia="Calibri"/>
                <w:bCs/>
                <w:szCs w:val="26"/>
              </w:rPr>
              <w:t xml:space="preserve"> 15</w:t>
            </w:r>
            <w:r w:rsidRPr="00440A46">
              <w:rPr>
                <w:rFonts w:eastAsia="Calibri"/>
                <w:bCs/>
                <w:szCs w:val="26"/>
              </w:rPr>
              <w:t xml:space="preserve">: SDG&amp;E 2018 ESPI </w:t>
            </w:r>
            <w:r w:rsidR="007A6CC1" w:rsidRPr="00440A46">
              <w:rPr>
                <w:rFonts w:eastAsia="Calibri"/>
                <w:bCs/>
                <w:szCs w:val="26"/>
              </w:rPr>
              <w:t>Awards</w:t>
            </w:r>
          </w:p>
        </w:tc>
      </w:tr>
      <w:tr w:rsidR="00A52B69" w14:paraId="0D41869E" w14:textId="77777777">
        <w:trPr>
          <w:trHeight w:val="205"/>
          <w:jc w:val="center"/>
        </w:trPr>
        <w:tc>
          <w:tcPr>
            <w:tcW w:w="414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54C3141" w14:textId="77777777" w:rsidR="00ED5DFF" w:rsidRPr="00ED5DFF" w:rsidRDefault="00ED5DFF" w:rsidP="00B47FF2">
            <w:pPr>
              <w:spacing w:before="60" w:after="60"/>
              <w:jc w:val="center"/>
              <w:rPr>
                <w:b/>
                <w:bCs/>
                <w:color w:val="000000"/>
              </w:rPr>
            </w:pPr>
            <w:r w:rsidRPr="00ED5DFF">
              <w:rPr>
                <w:b/>
                <w:bCs/>
                <w:color w:val="000000"/>
              </w:rPr>
              <w:t>Component</w:t>
            </w:r>
          </w:p>
        </w:tc>
        <w:tc>
          <w:tcPr>
            <w:tcW w:w="1890" w:type="dxa"/>
            <w:tcBorders>
              <w:top w:val="single" w:sz="8" w:space="0" w:color="auto"/>
              <w:left w:val="nil"/>
              <w:bottom w:val="single" w:sz="4" w:space="0" w:color="auto"/>
              <w:right w:val="single" w:sz="8" w:space="0" w:color="auto"/>
            </w:tcBorders>
            <w:shd w:val="clear" w:color="auto" w:fill="auto"/>
            <w:vAlign w:val="center"/>
            <w:hideMark/>
          </w:tcPr>
          <w:p w14:paraId="470A6D98" w14:textId="77777777" w:rsidR="00ED5DFF" w:rsidRPr="00ED5DFF" w:rsidRDefault="00ED5DFF" w:rsidP="00B47FF2">
            <w:pPr>
              <w:spacing w:before="60" w:after="60"/>
              <w:jc w:val="center"/>
              <w:rPr>
                <w:b/>
                <w:bCs/>
                <w:color w:val="000000"/>
              </w:rPr>
            </w:pPr>
            <w:r w:rsidRPr="00ED5DFF">
              <w:rPr>
                <w:b/>
                <w:bCs/>
                <w:color w:val="000000"/>
              </w:rPr>
              <w:t>Requested</w:t>
            </w:r>
          </w:p>
        </w:tc>
        <w:tc>
          <w:tcPr>
            <w:tcW w:w="1890" w:type="dxa"/>
            <w:tcBorders>
              <w:top w:val="single" w:sz="8" w:space="0" w:color="auto"/>
              <w:left w:val="nil"/>
              <w:bottom w:val="single" w:sz="4" w:space="0" w:color="auto"/>
              <w:right w:val="single" w:sz="8" w:space="0" w:color="auto"/>
            </w:tcBorders>
            <w:shd w:val="clear" w:color="auto" w:fill="auto"/>
            <w:vAlign w:val="center"/>
            <w:hideMark/>
          </w:tcPr>
          <w:p w14:paraId="761B3808" w14:textId="77777777" w:rsidR="00ED5DFF" w:rsidRPr="00ED5DFF" w:rsidRDefault="00ED5DFF" w:rsidP="00B47FF2">
            <w:pPr>
              <w:spacing w:before="60" w:after="60"/>
              <w:jc w:val="center"/>
              <w:rPr>
                <w:b/>
                <w:bCs/>
                <w:color w:val="000000"/>
              </w:rPr>
            </w:pPr>
            <w:r w:rsidRPr="00ED5DFF">
              <w:rPr>
                <w:b/>
                <w:bCs/>
                <w:color w:val="000000"/>
              </w:rPr>
              <w:t>Approved</w:t>
            </w:r>
          </w:p>
        </w:tc>
      </w:tr>
      <w:tr w:rsidR="00A52B69" w14:paraId="58E8FA9E" w14:textId="77777777">
        <w:trPr>
          <w:trHeight w:val="300"/>
          <w:jc w:val="center"/>
        </w:trPr>
        <w:tc>
          <w:tcPr>
            <w:tcW w:w="4140" w:type="dxa"/>
            <w:tcBorders>
              <w:top w:val="single" w:sz="4" w:space="0" w:color="auto"/>
              <w:left w:val="single" w:sz="4" w:space="0" w:color="auto"/>
              <w:right w:val="single" w:sz="4" w:space="0" w:color="auto"/>
            </w:tcBorders>
            <w:shd w:val="clear" w:color="auto" w:fill="auto"/>
            <w:vAlign w:val="center"/>
            <w:hideMark/>
          </w:tcPr>
          <w:p w14:paraId="25D60AAE" w14:textId="77777777" w:rsidR="00ED5DFF" w:rsidRPr="00ED5DFF" w:rsidRDefault="00ED5DFF" w:rsidP="00B47FF2">
            <w:pPr>
              <w:spacing w:before="0" w:after="0"/>
              <w:rPr>
                <w:color w:val="000000"/>
              </w:rPr>
            </w:pPr>
            <w:r w:rsidRPr="00ED5DFF">
              <w:rPr>
                <w:color w:val="000000"/>
              </w:rPr>
              <w:t xml:space="preserve">2016 Ex-Post Savings </w:t>
            </w:r>
          </w:p>
        </w:tc>
        <w:tc>
          <w:tcPr>
            <w:tcW w:w="1890" w:type="dxa"/>
            <w:tcBorders>
              <w:top w:val="single" w:sz="4" w:space="0" w:color="auto"/>
              <w:left w:val="single" w:sz="4" w:space="0" w:color="auto"/>
              <w:right w:val="single" w:sz="4" w:space="0" w:color="auto"/>
            </w:tcBorders>
            <w:shd w:val="clear" w:color="auto" w:fill="auto"/>
            <w:noWrap/>
            <w:vAlign w:val="center"/>
          </w:tcPr>
          <w:p w14:paraId="1F64804B" w14:textId="77777777" w:rsidR="00ED5DFF" w:rsidRPr="00ED5DFF" w:rsidRDefault="00ED5DFF" w:rsidP="00B47FF2">
            <w:pPr>
              <w:spacing w:before="0" w:after="0"/>
              <w:ind w:firstLineChars="100" w:firstLine="240"/>
              <w:jc w:val="right"/>
              <w:rPr>
                <w:color w:val="000000"/>
              </w:rPr>
            </w:pPr>
            <w:r w:rsidRPr="00ED5DFF">
              <w:rPr>
                <w:rFonts w:eastAsiaTheme="minorHAnsi"/>
              </w:rPr>
              <w:t>$</w:t>
            </w:r>
            <w:r w:rsidRPr="00ED5DFF">
              <w:t>1,104,315</w:t>
            </w:r>
          </w:p>
        </w:tc>
        <w:tc>
          <w:tcPr>
            <w:tcW w:w="1890" w:type="dxa"/>
            <w:tcBorders>
              <w:top w:val="single" w:sz="4" w:space="0" w:color="auto"/>
              <w:left w:val="single" w:sz="4" w:space="0" w:color="auto"/>
              <w:right w:val="single" w:sz="4" w:space="0" w:color="auto"/>
            </w:tcBorders>
            <w:shd w:val="clear" w:color="auto" w:fill="auto"/>
            <w:noWrap/>
            <w:vAlign w:val="center"/>
          </w:tcPr>
          <w:p w14:paraId="6D9A70DF" w14:textId="77777777" w:rsidR="00ED5DFF" w:rsidRPr="00ED5DFF" w:rsidRDefault="00ED5DFF" w:rsidP="00B47FF2">
            <w:pPr>
              <w:spacing w:before="0" w:after="0"/>
              <w:ind w:firstLineChars="100" w:firstLine="240"/>
              <w:jc w:val="right"/>
              <w:rPr>
                <w:color w:val="000000"/>
              </w:rPr>
            </w:pPr>
            <w:r w:rsidRPr="00ED5DFF">
              <w:t>$2,263,942</w:t>
            </w:r>
          </w:p>
        </w:tc>
      </w:tr>
      <w:tr w:rsidR="00A52B69" w14:paraId="67AE71D4" w14:textId="77777777">
        <w:trPr>
          <w:trHeight w:val="300"/>
          <w:jc w:val="center"/>
        </w:trPr>
        <w:tc>
          <w:tcPr>
            <w:tcW w:w="4140" w:type="dxa"/>
            <w:tcBorders>
              <w:left w:val="single" w:sz="4" w:space="0" w:color="auto"/>
              <w:right w:val="single" w:sz="4" w:space="0" w:color="auto"/>
            </w:tcBorders>
            <w:shd w:val="clear" w:color="auto" w:fill="auto"/>
            <w:vAlign w:val="center"/>
            <w:hideMark/>
          </w:tcPr>
          <w:p w14:paraId="7CE376E8" w14:textId="77777777" w:rsidR="00ED5DFF" w:rsidRPr="00ED5DFF" w:rsidRDefault="00ED5DFF" w:rsidP="00B47FF2">
            <w:pPr>
              <w:spacing w:before="0" w:after="0"/>
              <w:rPr>
                <w:color w:val="000000"/>
              </w:rPr>
            </w:pPr>
            <w:r w:rsidRPr="00ED5DFF">
              <w:rPr>
                <w:color w:val="000000"/>
              </w:rPr>
              <w:t xml:space="preserve">2017 Ex-Ante Savings </w:t>
            </w:r>
          </w:p>
        </w:tc>
        <w:tc>
          <w:tcPr>
            <w:tcW w:w="1890" w:type="dxa"/>
            <w:tcBorders>
              <w:left w:val="single" w:sz="4" w:space="0" w:color="auto"/>
              <w:right w:val="single" w:sz="4" w:space="0" w:color="auto"/>
            </w:tcBorders>
            <w:shd w:val="clear" w:color="auto" w:fill="auto"/>
            <w:noWrap/>
            <w:vAlign w:val="center"/>
          </w:tcPr>
          <w:p w14:paraId="3D55979F" w14:textId="77777777" w:rsidR="00ED5DFF" w:rsidRPr="00ED5DFF" w:rsidRDefault="00ED5DFF" w:rsidP="00B47FF2">
            <w:pPr>
              <w:spacing w:before="0" w:after="0"/>
              <w:ind w:firstLineChars="100" w:firstLine="240"/>
              <w:jc w:val="right"/>
              <w:rPr>
                <w:color w:val="000000"/>
              </w:rPr>
            </w:pPr>
            <w:r w:rsidRPr="00ED5DFF">
              <w:rPr>
                <w:color w:val="000000"/>
              </w:rPr>
              <w:t>$267,957</w:t>
            </w:r>
          </w:p>
        </w:tc>
        <w:tc>
          <w:tcPr>
            <w:tcW w:w="1890" w:type="dxa"/>
            <w:tcBorders>
              <w:left w:val="single" w:sz="4" w:space="0" w:color="auto"/>
              <w:right w:val="single" w:sz="4" w:space="0" w:color="auto"/>
            </w:tcBorders>
            <w:shd w:val="clear" w:color="auto" w:fill="auto"/>
            <w:noWrap/>
            <w:vAlign w:val="center"/>
          </w:tcPr>
          <w:p w14:paraId="17A673A0" w14:textId="77777777" w:rsidR="00ED5DFF" w:rsidRPr="00ED5DFF" w:rsidRDefault="00ED5DFF" w:rsidP="00B47FF2">
            <w:pPr>
              <w:spacing w:before="0" w:after="0"/>
              <w:ind w:firstLineChars="100" w:firstLine="240"/>
              <w:jc w:val="right"/>
              <w:rPr>
                <w:color w:val="000000"/>
              </w:rPr>
            </w:pPr>
            <w:r w:rsidRPr="00ED5DFF">
              <w:rPr>
                <w:color w:val="000000"/>
              </w:rPr>
              <w:t>$267,957</w:t>
            </w:r>
          </w:p>
        </w:tc>
      </w:tr>
      <w:tr w:rsidR="00A52B69" w14:paraId="51AC55C5" w14:textId="77777777">
        <w:trPr>
          <w:trHeight w:val="300"/>
          <w:jc w:val="center"/>
        </w:trPr>
        <w:tc>
          <w:tcPr>
            <w:tcW w:w="4140" w:type="dxa"/>
            <w:tcBorders>
              <w:left w:val="single" w:sz="4" w:space="0" w:color="auto"/>
              <w:right w:val="single" w:sz="4" w:space="0" w:color="auto"/>
            </w:tcBorders>
            <w:shd w:val="clear" w:color="auto" w:fill="auto"/>
            <w:vAlign w:val="center"/>
            <w:hideMark/>
          </w:tcPr>
          <w:p w14:paraId="2A51AE67" w14:textId="77777777" w:rsidR="00ED5DFF" w:rsidRPr="00ED5DFF" w:rsidRDefault="00ED5DFF" w:rsidP="00B47FF2">
            <w:pPr>
              <w:spacing w:before="0" w:after="0"/>
              <w:rPr>
                <w:color w:val="000000"/>
              </w:rPr>
            </w:pPr>
            <w:r w:rsidRPr="00ED5DFF">
              <w:rPr>
                <w:color w:val="000000"/>
              </w:rPr>
              <w:t xml:space="preserve">2017 Ex-Ante Review Performance </w:t>
            </w:r>
          </w:p>
        </w:tc>
        <w:tc>
          <w:tcPr>
            <w:tcW w:w="1890" w:type="dxa"/>
            <w:tcBorders>
              <w:left w:val="single" w:sz="4" w:space="0" w:color="auto"/>
              <w:right w:val="single" w:sz="4" w:space="0" w:color="auto"/>
            </w:tcBorders>
            <w:shd w:val="clear" w:color="auto" w:fill="auto"/>
            <w:noWrap/>
            <w:vAlign w:val="center"/>
          </w:tcPr>
          <w:p w14:paraId="1A9C7DD6" w14:textId="77777777" w:rsidR="00ED5DFF" w:rsidRPr="00ED5DFF" w:rsidRDefault="00ED5DFF" w:rsidP="00B47FF2">
            <w:pPr>
              <w:spacing w:before="0" w:after="0"/>
              <w:ind w:firstLineChars="100" w:firstLine="240"/>
              <w:jc w:val="right"/>
              <w:rPr>
                <w:color w:val="000000"/>
              </w:rPr>
            </w:pPr>
            <w:r w:rsidRPr="00ED5DFF">
              <w:rPr>
                <w:color w:val="000000"/>
              </w:rPr>
              <w:t>$1,023,604</w:t>
            </w:r>
          </w:p>
        </w:tc>
        <w:tc>
          <w:tcPr>
            <w:tcW w:w="1890" w:type="dxa"/>
            <w:tcBorders>
              <w:left w:val="single" w:sz="4" w:space="0" w:color="auto"/>
              <w:right w:val="single" w:sz="4" w:space="0" w:color="auto"/>
            </w:tcBorders>
            <w:shd w:val="clear" w:color="auto" w:fill="auto"/>
            <w:noWrap/>
            <w:vAlign w:val="center"/>
          </w:tcPr>
          <w:p w14:paraId="00943B1C" w14:textId="77777777" w:rsidR="00ED5DFF" w:rsidRPr="00DE121B" w:rsidRDefault="004E4E3A" w:rsidP="00B47FF2">
            <w:pPr>
              <w:spacing w:before="0" w:after="0"/>
              <w:ind w:firstLineChars="100" w:firstLine="240"/>
              <w:jc w:val="right"/>
              <w:rPr>
                <w:color w:val="000000"/>
              </w:rPr>
            </w:pPr>
            <w:r w:rsidRPr="004E4E3A">
              <w:rPr>
                <w:color w:val="000000"/>
              </w:rPr>
              <w:t xml:space="preserve">$1,065,791 </w:t>
            </w:r>
          </w:p>
        </w:tc>
      </w:tr>
      <w:tr w:rsidR="00A52B69" w14:paraId="67561C07" w14:textId="77777777">
        <w:trPr>
          <w:trHeight w:val="390"/>
          <w:jc w:val="center"/>
        </w:trPr>
        <w:tc>
          <w:tcPr>
            <w:tcW w:w="4140" w:type="dxa"/>
            <w:tcBorders>
              <w:left w:val="single" w:sz="4" w:space="0" w:color="auto"/>
              <w:right w:val="single" w:sz="4" w:space="0" w:color="auto"/>
            </w:tcBorders>
            <w:shd w:val="clear" w:color="auto" w:fill="auto"/>
            <w:vAlign w:val="center"/>
            <w:hideMark/>
          </w:tcPr>
          <w:p w14:paraId="5B635409" w14:textId="77777777" w:rsidR="00ED5DFF" w:rsidRPr="00ED5DFF" w:rsidRDefault="00ED5DFF" w:rsidP="00B47FF2">
            <w:pPr>
              <w:spacing w:before="0" w:after="0"/>
              <w:rPr>
                <w:color w:val="000000"/>
              </w:rPr>
            </w:pPr>
            <w:r w:rsidRPr="00ED5DFF">
              <w:rPr>
                <w:color w:val="000000"/>
              </w:rPr>
              <w:t xml:space="preserve">2017 Codes &amp; Standards </w:t>
            </w:r>
          </w:p>
        </w:tc>
        <w:tc>
          <w:tcPr>
            <w:tcW w:w="1890" w:type="dxa"/>
            <w:tcBorders>
              <w:left w:val="single" w:sz="4" w:space="0" w:color="auto"/>
              <w:right w:val="single" w:sz="4" w:space="0" w:color="auto"/>
            </w:tcBorders>
            <w:shd w:val="clear" w:color="auto" w:fill="auto"/>
            <w:noWrap/>
            <w:vAlign w:val="center"/>
          </w:tcPr>
          <w:p w14:paraId="0C9BD10A" w14:textId="77777777" w:rsidR="00ED5DFF" w:rsidRPr="00ED5DFF" w:rsidRDefault="00ED5DFF" w:rsidP="00B47FF2">
            <w:pPr>
              <w:spacing w:before="0" w:after="0"/>
              <w:ind w:firstLineChars="100" w:firstLine="240"/>
              <w:jc w:val="right"/>
              <w:rPr>
                <w:color w:val="000000"/>
              </w:rPr>
            </w:pPr>
            <w:r w:rsidRPr="00ED5DFF">
              <w:rPr>
                <w:color w:val="000000"/>
              </w:rPr>
              <w:t>$109,303</w:t>
            </w:r>
          </w:p>
        </w:tc>
        <w:tc>
          <w:tcPr>
            <w:tcW w:w="1890" w:type="dxa"/>
            <w:tcBorders>
              <w:left w:val="single" w:sz="4" w:space="0" w:color="auto"/>
              <w:right w:val="single" w:sz="4" w:space="0" w:color="auto"/>
            </w:tcBorders>
            <w:shd w:val="clear" w:color="auto" w:fill="auto"/>
            <w:noWrap/>
            <w:vAlign w:val="center"/>
          </w:tcPr>
          <w:p w14:paraId="50AF1219" w14:textId="77777777" w:rsidR="00ED5DFF" w:rsidRPr="00CE15D9" w:rsidRDefault="00ED5DFF" w:rsidP="00B47FF2">
            <w:pPr>
              <w:spacing w:before="0" w:after="0"/>
              <w:ind w:firstLineChars="100" w:firstLine="240"/>
              <w:jc w:val="right"/>
              <w:rPr>
                <w:color w:val="000000"/>
              </w:rPr>
            </w:pPr>
            <w:r w:rsidRPr="00CE15D9">
              <w:rPr>
                <w:color w:val="000000"/>
              </w:rPr>
              <w:t xml:space="preserve"> $109,303 </w:t>
            </w:r>
          </w:p>
        </w:tc>
      </w:tr>
      <w:tr w:rsidR="00A52B69" w14:paraId="37693F4B" w14:textId="77777777">
        <w:trPr>
          <w:trHeight w:val="300"/>
          <w:jc w:val="center"/>
        </w:trPr>
        <w:tc>
          <w:tcPr>
            <w:tcW w:w="4140" w:type="dxa"/>
            <w:tcBorders>
              <w:left w:val="single" w:sz="4" w:space="0" w:color="auto"/>
              <w:right w:val="single" w:sz="4" w:space="0" w:color="auto"/>
            </w:tcBorders>
            <w:shd w:val="clear" w:color="auto" w:fill="auto"/>
            <w:vAlign w:val="center"/>
            <w:hideMark/>
          </w:tcPr>
          <w:p w14:paraId="6D7E154D" w14:textId="77777777" w:rsidR="00ED5DFF" w:rsidRPr="00ED5DFF" w:rsidRDefault="00ED5DFF" w:rsidP="00B47FF2">
            <w:pPr>
              <w:spacing w:before="0" w:after="0"/>
              <w:rPr>
                <w:color w:val="000000"/>
              </w:rPr>
            </w:pPr>
            <w:r w:rsidRPr="00ED5DFF">
              <w:rPr>
                <w:color w:val="000000"/>
              </w:rPr>
              <w:t>2017 Non-Resource</w:t>
            </w:r>
          </w:p>
        </w:tc>
        <w:tc>
          <w:tcPr>
            <w:tcW w:w="1890" w:type="dxa"/>
            <w:tcBorders>
              <w:left w:val="single" w:sz="4" w:space="0" w:color="auto"/>
              <w:right w:val="single" w:sz="4" w:space="0" w:color="auto"/>
            </w:tcBorders>
            <w:shd w:val="clear" w:color="auto" w:fill="auto"/>
            <w:noWrap/>
            <w:vAlign w:val="center"/>
          </w:tcPr>
          <w:p w14:paraId="1904263B" w14:textId="77777777" w:rsidR="00ED5DFF" w:rsidRPr="00ED5DFF" w:rsidRDefault="00ED5DFF" w:rsidP="00B47FF2">
            <w:pPr>
              <w:spacing w:before="0" w:after="0"/>
              <w:ind w:firstLineChars="100" w:firstLine="240"/>
              <w:jc w:val="right"/>
              <w:rPr>
                <w:color w:val="000000"/>
              </w:rPr>
            </w:pPr>
            <w:r w:rsidRPr="00ED5DFF">
              <w:rPr>
                <w:color w:val="000000"/>
              </w:rPr>
              <w:t>$196,882</w:t>
            </w:r>
          </w:p>
        </w:tc>
        <w:tc>
          <w:tcPr>
            <w:tcW w:w="1890" w:type="dxa"/>
            <w:tcBorders>
              <w:left w:val="single" w:sz="4" w:space="0" w:color="auto"/>
              <w:right w:val="single" w:sz="4" w:space="0" w:color="auto"/>
            </w:tcBorders>
            <w:shd w:val="clear" w:color="auto" w:fill="auto"/>
            <w:noWrap/>
            <w:vAlign w:val="center"/>
          </w:tcPr>
          <w:p w14:paraId="4F3B77A1" w14:textId="77777777" w:rsidR="00ED5DFF" w:rsidRPr="00CE15D9" w:rsidRDefault="00ED5DFF" w:rsidP="00B47FF2">
            <w:pPr>
              <w:spacing w:before="0" w:after="0"/>
              <w:ind w:firstLineChars="100" w:firstLine="240"/>
              <w:jc w:val="right"/>
              <w:rPr>
                <w:color w:val="000000"/>
              </w:rPr>
            </w:pPr>
            <w:r w:rsidRPr="00CE15D9">
              <w:rPr>
                <w:color w:val="000000"/>
              </w:rPr>
              <w:t xml:space="preserve"> $</w:t>
            </w:r>
            <w:r w:rsidR="0061517D" w:rsidRPr="0061517D">
              <w:rPr>
                <w:color w:val="000000"/>
              </w:rPr>
              <w:t>184,111</w:t>
            </w:r>
            <w:r w:rsidRPr="00CE15D9">
              <w:rPr>
                <w:color w:val="000000"/>
              </w:rPr>
              <w:t xml:space="preserve"> </w:t>
            </w:r>
          </w:p>
        </w:tc>
      </w:tr>
      <w:tr w:rsidR="00A52B69" w14:paraId="57BD885A" w14:textId="77777777">
        <w:trPr>
          <w:trHeight w:val="300"/>
          <w:jc w:val="center"/>
        </w:trPr>
        <w:tc>
          <w:tcPr>
            <w:tcW w:w="4140" w:type="dxa"/>
            <w:tcBorders>
              <w:left w:val="single" w:sz="4" w:space="0" w:color="auto"/>
              <w:right w:val="single" w:sz="4" w:space="0" w:color="auto"/>
            </w:tcBorders>
            <w:shd w:val="clear" w:color="auto" w:fill="auto"/>
            <w:vAlign w:val="center"/>
            <w:hideMark/>
          </w:tcPr>
          <w:p w14:paraId="5BADF7FC" w14:textId="77777777" w:rsidR="00ED5DFF" w:rsidRPr="00ED5DFF" w:rsidRDefault="00ED5DFF" w:rsidP="00B47FF2">
            <w:pPr>
              <w:spacing w:before="0" w:after="0"/>
              <w:rPr>
                <w:color w:val="000000"/>
              </w:rPr>
            </w:pPr>
            <w:r w:rsidRPr="00ED5DFF">
              <w:rPr>
                <w:color w:val="000000"/>
              </w:rPr>
              <w:t>2016 Ex-Ante Savings True Up</w:t>
            </w:r>
          </w:p>
        </w:tc>
        <w:tc>
          <w:tcPr>
            <w:tcW w:w="1890" w:type="dxa"/>
            <w:tcBorders>
              <w:left w:val="single" w:sz="4" w:space="0" w:color="auto"/>
              <w:right w:val="single" w:sz="4" w:space="0" w:color="auto"/>
            </w:tcBorders>
            <w:shd w:val="clear" w:color="auto" w:fill="auto"/>
            <w:noWrap/>
            <w:vAlign w:val="center"/>
          </w:tcPr>
          <w:p w14:paraId="3C0F7349" w14:textId="77777777" w:rsidR="00ED5DFF" w:rsidRPr="00ED5DFF" w:rsidRDefault="00C966CB" w:rsidP="00B47FF2">
            <w:pPr>
              <w:spacing w:before="0" w:after="0"/>
              <w:ind w:firstLineChars="100" w:firstLine="240"/>
              <w:jc w:val="right"/>
              <w:rPr>
                <w:color w:val="000000"/>
              </w:rPr>
            </w:pPr>
            <w:r>
              <w:t>$</w:t>
            </w:r>
            <w:r w:rsidR="00ED5DFF" w:rsidRPr="00ED5DFF">
              <w:t>1,159,627</w:t>
            </w:r>
          </w:p>
        </w:tc>
        <w:tc>
          <w:tcPr>
            <w:tcW w:w="1890" w:type="dxa"/>
            <w:tcBorders>
              <w:left w:val="single" w:sz="4" w:space="0" w:color="auto"/>
              <w:right w:val="single" w:sz="4" w:space="0" w:color="auto"/>
            </w:tcBorders>
            <w:shd w:val="clear" w:color="auto" w:fill="auto"/>
            <w:noWrap/>
          </w:tcPr>
          <w:p w14:paraId="37C69136" w14:textId="77777777" w:rsidR="00ED5DFF" w:rsidRPr="00CE15D9" w:rsidRDefault="00ED5DFF" w:rsidP="00B47FF2">
            <w:pPr>
              <w:spacing w:before="0" w:after="0"/>
              <w:ind w:firstLineChars="100" w:firstLine="240"/>
              <w:jc w:val="right"/>
              <w:rPr>
                <w:color w:val="FF0000"/>
              </w:rPr>
            </w:pPr>
            <w:r w:rsidRPr="00CE15D9">
              <w:t>-</w:t>
            </w:r>
          </w:p>
        </w:tc>
      </w:tr>
      <w:tr w:rsidR="00A52B69" w14:paraId="6AAB915D" w14:textId="77777777">
        <w:trPr>
          <w:trHeight w:val="300"/>
          <w:jc w:val="center"/>
        </w:trPr>
        <w:tc>
          <w:tcPr>
            <w:tcW w:w="4140" w:type="dxa"/>
            <w:tcBorders>
              <w:left w:val="single" w:sz="4" w:space="0" w:color="auto"/>
              <w:right w:val="single" w:sz="4" w:space="0" w:color="auto"/>
            </w:tcBorders>
            <w:shd w:val="clear" w:color="auto" w:fill="auto"/>
            <w:noWrap/>
            <w:vAlign w:val="center"/>
            <w:hideMark/>
          </w:tcPr>
          <w:p w14:paraId="1D24C654" w14:textId="77777777" w:rsidR="00ED5DFF" w:rsidRPr="00ED5DFF" w:rsidRDefault="00ED5DFF" w:rsidP="00B47FF2">
            <w:pPr>
              <w:spacing w:before="0" w:after="0"/>
              <w:rPr>
                <w:color w:val="000000"/>
              </w:rPr>
            </w:pPr>
            <w:r w:rsidRPr="00ED5DFF">
              <w:rPr>
                <w:color w:val="000000"/>
              </w:rPr>
              <w:t>2016 EAR Performance True Up</w:t>
            </w:r>
          </w:p>
        </w:tc>
        <w:tc>
          <w:tcPr>
            <w:tcW w:w="1890" w:type="dxa"/>
            <w:tcBorders>
              <w:left w:val="single" w:sz="4" w:space="0" w:color="auto"/>
              <w:right w:val="single" w:sz="4" w:space="0" w:color="auto"/>
            </w:tcBorders>
            <w:shd w:val="clear" w:color="auto" w:fill="auto"/>
            <w:noWrap/>
            <w:vAlign w:val="center"/>
          </w:tcPr>
          <w:p w14:paraId="26D951FE" w14:textId="77777777" w:rsidR="00ED5DFF" w:rsidRPr="00ED5DFF" w:rsidRDefault="00ED5DFF" w:rsidP="00B47FF2">
            <w:pPr>
              <w:spacing w:before="0" w:after="0"/>
              <w:ind w:firstLineChars="100" w:firstLine="240"/>
              <w:jc w:val="right"/>
              <w:rPr>
                <w:color w:val="000000"/>
              </w:rPr>
            </w:pPr>
            <w:r w:rsidRPr="00ED5DFF">
              <w:rPr>
                <w:color w:val="000000"/>
              </w:rPr>
              <w:t>-</w:t>
            </w:r>
          </w:p>
        </w:tc>
        <w:tc>
          <w:tcPr>
            <w:tcW w:w="1890" w:type="dxa"/>
            <w:tcBorders>
              <w:left w:val="single" w:sz="4" w:space="0" w:color="auto"/>
              <w:right w:val="single" w:sz="4" w:space="0" w:color="auto"/>
            </w:tcBorders>
            <w:shd w:val="clear" w:color="auto" w:fill="auto"/>
            <w:noWrap/>
            <w:vAlign w:val="center"/>
          </w:tcPr>
          <w:p w14:paraId="7A2B5011" w14:textId="77777777" w:rsidR="00ED5DFF" w:rsidRPr="00CE15D9" w:rsidRDefault="00ED5DFF" w:rsidP="00B47FF2">
            <w:pPr>
              <w:spacing w:before="0" w:after="0"/>
              <w:ind w:firstLineChars="100" w:firstLine="240"/>
              <w:jc w:val="right"/>
              <w:rPr>
                <w:color w:val="FF0000"/>
              </w:rPr>
            </w:pPr>
            <w:r w:rsidRPr="00CE15D9">
              <w:rPr>
                <w:color w:val="FF0000"/>
              </w:rPr>
              <w:t xml:space="preserve"> </w:t>
            </w:r>
            <w:r w:rsidR="009E7E4C" w:rsidRPr="00CE15D9">
              <w:rPr>
                <w:color w:val="FF0000"/>
              </w:rPr>
              <w:t>($</w:t>
            </w:r>
            <w:r w:rsidRPr="00CE15D9">
              <w:rPr>
                <w:color w:val="FF0000"/>
              </w:rPr>
              <w:t>4,475)</w:t>
            </w:r>
          </w:p>
        </w:tc>
      </w:tr>
      <w:tr w:rsidR="00A52B69" w14:paraId="489E55A6" w14:textId="77777777">
        <w:trPr>
          <w:trHeight w:val="300"/>
          <w:jc w:val="center"/>
        </w:trPr>
        <w:tc>
          <w:tcPr>
            <w:tcW w:w="4140" w:type="dxa"/>
            <w:tcBorders>
              <w:left w:val="single" w:sz="4" w:space="0" w:color="auto"/>
              <w:right w:val="single" w:sz="4" w:space="0" w:color="auto"/>
            </w:tcBorders>
            <w:shd w:val="clear" w:color="auto" w:fill="auto"/>
            <w:noWrap/>
            <w:vAlign w:val="center"/>
            <w:hideMark/>
          </w:tcPr>
          <w:p w14:paraId="52F479EC" w14:textId="77777777" w:rsidR="00ED5DFF" w:rsidRPr="00ED5DFF" w:rsidRDefault="00ED5DFF" w:rsidP="00B47FF2">
            <w:pPr>
              <w:spacing w:before="0" w:after="0"/>
              <w:rPr>
                <w:color w:val="000000"/>
              </w:rPr>
            </w:pPr>
            <w:r w:rsidRPr="00ED5DFF">
              <w:rPr>
                <w:color w:val="000000"/>
              </w:rPr>
              <w:t>2016 Codes &amp; Standards True Up</w:t>
            </w:r>
          </w:p>
        </w:tc>
        <w:tc>
          <w:tcPr>
            <w:tcW w:w="1890" w:type="dxa"/>
            <w:tcBorders>
              <w:left w:val="single" w:sz="4" w:space="0" w:color="auto"/>
              <w:right w:val="single" w:sz="4" w:space="0" w:color="auto"/>
            </w:tcBorders>
            <w:shd w:val="clear" w:color="auto" w:fill="auto"/>
            <w:noWrap/>
            <w:vAlign w:val="bottom"/>
          </w:tcPr>
          <w:p w14:paraId="07F6241C" w14:textId="77777777" w:rsidR="00ED5DFF" w:rsidRPr="00DD2C96" w:rsidRDefault="00ED5DFF" w:rsidP="00B47FF2">
            <w:pPr>
              <w:spacing w:before="0" w:after="0"/>
              <w:ind w:firstLineChars="100" w:firstLine="240"/>
              <w:jc w:val="right"/>
              <w:rPr>
                <w:color w:val="FF0000"/>
              </w:rPr>
            </w:pPr>
            <w:r w:rsidRPr="00DD2C96">
              <w:rPr>
                <w:color w:val="FF0000"/>
              </w:rPr>
              <w:t xml:space="preserve"> (</w:t>
            </w:r>
            <w:r w:rsidR="00DD2C96" w:rsidRPr="00DD2C96">
              <w:rPr>
                <w:color w:val="FF0000"/>
              </w:rPr>
              <w:t>$</w:t>
            </w:r>
            <w:r w:rsidRPr="00DD2C96">
              <w:rPr>
                <w:color w:val="FF0000"/>
              </w:rPr>
              <w:t>10,178)</w:t>
            </w:r>
          </w:p>
        </w:tc>
        <w:tc>
          <w:tcPr>
            <w:tcW w:w="1890" w:type="dxa"/>
            <w:tcBorders>
              <w:left w:val="single" w:sz="4" w:space="0" w:color="auto"/>
              <w:right w:val="single" w:sz="4" w:space="0" w:color="auto"/>
            </w:tcBorders>
            <w:shd w:val="clear" w:color="auto" w:fill="auto"/>
            <w:vAlign w:val="center"/>
          </w:tcPr>
          <w:p w14:paraId="08D403B1" w14:textId="77777777" w:rsidR="00ED5DFF" w:rsidRPr="00CE15D9" w:rsidRDefault="00ED5DFF" w:rsidP="00B47FF2">
            <w:pPr>
              <w:spacing w:before="0" w:after="0"/>
              <w:ind w:firstLineChars="100" w:firstLine="240"/>
              <w:jc w:val="right"/>
              <w:rPr>
                <w:color w:val="FF0000"/>
              </w:rPr>
            </w:pPr>
            <w:r w:rsidRPr="00CE15D9">
              <w:rPr>
                <w:color w:val="FF0000"/>
              </w:rPr>
              <w:t xml:space="preserve"> </w:t>
            </w:r>
            <w:r w:rsidR="009E7E4C" w:rsidRPr="00CE15D9">
              <w:rPr>
                <w:color w:val="FF0000"/>
              </w:rPr>
              <w:t>($</w:t>
            </w:r>
            <w:r w:rsidRPr="00CE15D9">
              <w:rPr>
                <w:color w:val="FF0000"/>
              </w:rPr>
              <w:t>10,971)</w:t>
            </w:r>
          </w:p>
        </w:tc>
      </w:tr>
      <w:tr w:rsidR="00A52B69" w14:paraId="6F50C0E3" w14:textId="77777777">
        <w:trPr>
          <w:trHeight w:val="360"/>
          <w:jc w:val="center"/>
        </w:trPr>
        <w:tc>
          <w:tcPr>
            <w:tcW w:w="4140" w:type="dxa"/>
            <w:tcBorders>
              <w:left w:val="single" w:sz="4" w:space="0" w:color="auto"/>
              <w:right w:val="single" w:sz="4" w:space="0" w:color="auto"/>
            </w:tcBorders>
            <w:shd w:val="clear" w:color="auto" w:fill="auto"/>
            <w:noWrap/>
            <w:vAlign w:val="center"/>
            <w:hideMark/>
          </w:tcPr>
          <w:p w14:paraId="7D488B8E" w14:textId="77777777" w:rsidR="00ED5DFF" w:rsidRPr="00ED5DFF" w:rsidRDefault="00ED5DFF" w:rsidP="00B47FF2">
            <w:pPr>
              <w:spacing w:before="0" w:after="0"/>
              <w:rPr>
                <w:color w:val="000000"/>
              </w:rPr>
            </w:pPr>
            <w:r w:rsidRPr="00ED5DFF">
              <w:rPr>
                <w:color w:val="000000"/>
              </w:rPr>
              <w:t>2016 Non-Resource True Up</w:t>
            </w:r>
          </w:p>
        </w:tc>
        <w:tc>
          <w:tcPr>
            <w:tcW w:w="1890" w:type="dxa"/>
            <w:tcBorders>
              <w:left w:val="single" w:sz="4" w:space="0" w:color="auto"/>
              <w:right w:val="single" w:sz="4" w:space="0" w:color="auto"/>
            </w:tcBorders>
            <w:shd w:val="clear" w:color="auto" w:fill="auto"/>
            <w:noWrap/>
            <w:vAlign w:val="bottom"/>
          </w:tcPr>
          <w:p w14:paraId="631EC703" w14:textId="77777777" w:rsidR="00ED5DFF" w:rsidRPr="00DD2C96" w:rsidRDefault="00ED5DFF" w:rsidP="00B47FF2">
            <w:pPr>
              <w:spacing w:before="0" w:after="0"/>
              <w:ind w:firstLineChars="100" w:firstLine="240"/>
              <w:jc w:val="right"/>
              <w:rPr>
                <w:color w:val="FF0000"/>
              </w:rPr>
            </w:pPr>
            <w:r w:rsidRPr="00DD2C96">
              <w:rPr>
                <w:color w:val="FF0000"/>
              </w:rPr>
              <w:t xml:space="preserve"> (</w:t>
            </w:r>
            <w:r w:rsidR="00DD2C96" w:rsidRPr="00DD2C96">
              <w:rPr>
                <w:color w:val="FF0000"/>
              </w:rPr>
              <w:t>$</w:t>
            </w:r>
            <w:r w:rsidRPr="00DD2C96">
              <w:rPr>
                <w:color w:val="FF0000"/>
              </w:rPr>
              <w:t>11,096)</w:t>
            </w:r>
          </w:p>
        </w:tc>
        <w:tc>
          <w:tcPr>
            <w:tcW w:w="1890" w:type="dxa"/>
            <w:tcBorders>
              <w:left w:val="single" w:sz="4" w:space="0" w:color="auto"/>
              <w:right w:val="single" w:sz="4" w:space="0" w:color="auto"/>
            </w:tcBorders>
            <w:shd w:val="clear" w:color="auto" w:fill="auto"/>
            <w:vAlign w:val="center"/>
          </w:tcPr>
          <w:p w14:paraId="2EC5A4D1" w14:textId="77777777" w:rsidR="00ED5DFF" w:rsidRPr="00CE15D9" w:rsidRDefault="00ED5DFF" w:rsidP="00B47FF2">
            <w:pPr>
              <w:spacing w:before="0" w:after="0"/>
              <w:ind w:firstLineChars="100" w:firstLine="240"/>
              <w:jc w:val="right"/>
              <w:rPr>
                <w:color w:val="FF0000"/>
              </w:rPr>
            </w:pPr>
            <w:r w:rsidRPr="00CE15D9">
              <w:rPr>
                <w:color w:val="FF0000"/>
              </w:rPr>
              <w:t xml:space="preserve"> </w:t>
            </w:r>
            <w:r w:rsidR="009E7E4C" w:rsidRPr="00CE15D9">
              <w:rPr>
                <w:color w:val="FF0000"/>
              </w:rPr>
              <w:t>($</w:t>
            </w:r>
            <w:r w:rsidRPr="00CE15D9">
              <w:rPr>
                <w:color w:val="FF0000"/>
              </w:rPr>
              <w:t>11,960)</w:t>
            </w:r>
          </w:p>
        </w:tc>
      </w:tr>
      <w:tr w:rsidR="00A52B69" w14:paraId="0A9BC225" w14:textId="77777777">
        <w:trPr>
          <w:trHeight w:val="360"/>
          <w:jc w:val="center"/>
        </w:trPr>
        <w:tc>
          <w:tcPr>
            <w:tcW w:w="4140" w:type="dxa"/>
            <w:tcBorders>
              <w:left w:val="single" w:sz="4" w:space="0" w:color="auto"/>
              <w:right w:val="single" w:sz="4" w:space="0" w:color="auto"/>
            </w:tcBorders>
            <w:shd w:val="clear" w:color="auto" w:fill="auto"/>
            <w:noWrap/>
            <w:vAlign w:val="center"/>
          </w:tcPr>
          <w:p w14:paraId="0804B1F0" w14:textId="77777777" w:rsidR="00ED5DFF" w:rsidRPr="00ED5DFF" w:rsidRDefault="00ED5DFF" w:rsidP="00B47FF2">
            <w:pPr>
              <w:spacing w:before="0" w:after="0"/>
            </w:pPr>
            <w:r w:rsidRPr="00ED5DFF">
              <w:t>2017 EAR Performance True Up</w:t>
            </w:r>
          </w:p>
        </w:tc>
        <w:tc>
          <w:tcPr>
            <w:tcW w:w="1890" w:type="dxa"/>
            <w:tcBorders>
              <w:left w:val="single" w:sz="4" w:space="0" w:color="auto"/>
              <w:right w:val="single" w:sz="4" w:space="0" w:color="auto"/>
            </w:tcBorders>
            <w:shd w:val="clear" w:color="auto" w:fill="auto"/>
            <w:noWrap/>
            <w:vAlign w:val="center"/>
          </w:tcPr>
          <w:p w14:paraId="372B0633" w14:textId="77777777" w:rsidR="00ED5DFF" w:rsidRPr="00ED5DFF" w:rsidRDefault="00ED5DFF" w:rsidP="00B47FF2">
            <w:pPr>
              <w:spacing w:before="0" w:after="0"/>
              <w:ind w:firstLineChars="100" w:firstLine="240"/>
              <w:jc w:val="right"/>
              <w:rPr>
                <w:color w:val="000000"/>
              </w:rPr>
            </w:pPr>
            <w:r w:rsidRPr="00ED5DFF">
              <w:rPr>
                <w:color w:val="000000"/>
              </w:rPr>
              <w:t>-</w:t>
            </w:r>
          </w:p>
        </w:tc>
        <w:tc>
          <w:tcPr>
            <w:tcW w:w="1890" w:type="dxa"/>
            <w:tcBorders>
              <w:left w:val="single" w:sz="4" w:space="0" w:color="auto"/>
              <w:right w:val="single" w:sz="4" w:space="0" w:color="auto"/>
            </w:tcBorders>
            <w:shd w:val="clear" w:color="auto" w:fill="auto"/>
          </w:tcPr>
          <w:p w14:paraId="0899AD58" w14:textId="77777777" w:rsidR="00ED5DFF" w:rsidRPr="00FD382B" w:rsidRDefault="004E4E3A" w:rsidP="00B47FF2">
            <w:pPr>
              <w:spacing w:before="0" w:after="0"/>
              <w:ind w:firstLineChars="100" w:firstLine="240"/>
              <w:jc w:val="right"/>
            </w:pPr>
            <w:r w:rsidRPr="004E4E3A">
              <w:t xml:space="preserve">$1,913 </w:t>
            </w:r>
          </w:p>
        </w:tc>
      </w:tr>
      <w:tr w:rsidR="00A52B69" w14:paraId="614AF5CF" w14:textId="77777777">
        <w:trPr>
          <w:trHeight w:val="360"/>
          <w:jc w:val="center"/>
        </w:trPr>
        <w:tc>
          <w:tcPr>
            <w:tcW w:w="4140" w:type="dxa"/>
            <w:tcBorders>
              <w:left w:val="single" w:sz="4" w:space="0" w:color="auto"/>
              <w:right w:val="single" w:sz="4" w:space="0" w:color="auto"/>
            </w:tcBorders>
            <w:shd w:val="clear" w:color="auto" w:fill="auto"/>
            <w:noWrap/>
            <w:vAlign w:val="center"/>
          </w:tcPr>
          <w:p w14:paraId="1473A943" w14:textId="77777777" w:rsidR="00ED5DFF" w:rsidRPr="00ED5DFF" w:rsidRDefault="00ED5DFF" w:rsidP="00B47FF2">
            <w:pPr>
              <w:spacing w:before="0" w:after="0"/>
            </w:pPr>
            <w:r w:rsidRPr="00ED5DFF">
              <w:t>2017 Codes &amp; Standards True Up</w:t>
            </w:r>
          </w:p>
        </w:tc>
        <w:tc>
          <w:tcPr>
            <w:tcW w:w="1890" w:type="dxa"/>
            <w:tcBorders>
              <w:left w:val="single" w:sz="4" w:space="0" w:color="auto"/>
              <w:right w:val="single" w:sz="4" w:space="0" w:color="auto"/>
            </w:tcBorders>
            <w:shd w:val="clear" w:color="auto" w:fill="auto"/>
            <w:noWrap/>
            <w:vAlign w:val="center"/>
          </w:tcPr>
          <w:p w14:paraId="34311C13" w14:textId="77777777" w:rsidR="00ED5DFF" w:rsidRPr="00ED5DFF" w:rsidRDefault="00ED5DFF" w:rsidP="00B47FF2">
            <w:pPr>
              <w:spacing w:before="0" w:after="0"/>
              <w:ind w:firstLineChars="100" w:firstLine="240"/>
              <w:jc w:val="right"/>
              <w:rPr>
                <w:color w:val="000000"/>
              </w:rPr>
            </w:pPr>
            <w:r w:rsidRPr="00ED5DFF">
              <w:rPr>
                <w:color w:val="000000"/>
              </w:rPr>
              <w:t>-</w:t>
            </w:r>
          </w:p>
        </w:tc>
        <w:tc>
          <w:tcPr>
            <w:tcW w:w="1890" w:type="dxa"/>
            <w:tcBorders>
              <w:left w:val="single" w:sz="4" w:space="0" w:color="auto"/>
              <w:right w:val="single" w:sz="4" w:space="0" w:color="auto"/>
            </w:tcBorders>
            <w:shd w:val="clear" w:color="auto" w:fill="auto"/>
          </w:tcPr>
          <w:p w14:paraId="5B0EC93C" w14:textId="77777777" w:rsidR="00ED5DFF" w:rsidRPr="00CE15D9" w:rsidRDefault="00ED5DFF" w:rsidP="00B47FF2">
            <w:pPr>
              <w:spacing w:before="0" w:after="0"/>
              <w:ind w:firstLineChars="100" w:firstLine="240"/>
              <w:jc w:val="right"/>
            </w:pPr>
            <w:r w:rsidRPr="00CE15D9">
              <w:t>$</w:t>
            </w:r>
            <w:r w:rsidR="003475CD" w:rsidRPr="00CE15D9">
              <w:t>6,004</w:t>
            </w:r>
          </w:p>
        </w:tc>
      </w:tr>
      <w:tr w:rsidR="00A52B69" w14:paraId="0E32B0C2" w14:textId="77777777">
        <w:trPr>
          <w:trHeight w:val="360"/>
          <w:jc w:val="center"/>
        </w:trPr>
        <w:tc>
          <w:tcPr>
            <w:tcW w:w="4140" w:type="dxa"/>
            <w:tcBorders>
              <w:left w:val="single" w:sz="4" w:space="0" w:color="auto"/>
              <w:bottom w:val="single" w:sz="4" w:space="0" w:color="auto"/>
              <w:right w:val="single" w:sz="4" w:space="0" w:color="auto"/>
            </w:tcBorders>
            <w:shd w:val="clear" w:color="auto" w:fill="auto"/>
            <w:noWrap/>
            <w:vAlign w:val="center"/>
          </w:tcPr>
          <w:p w14:paraId="13C4FF70" w14:textId="77777777" w:rsidR="00ED5DFF" w:rsidRPr="00ED5DFF" w:rsidRDefault="00ED5DFF" w:rsidP="00B47FF2">
            <w:pPr>
              <w:spacing w:before="0" w:after="0"/>
            </w:pPr>
            <w:r w:rsidRPr="00ED5DFF">
              <w:t>2017 Non-Resource True Up</w:t>
            </w:r>
          </w:p>
        </w:tc>
        <w:tc>
          <w:tcPr>
            <w:tcW w:w="1890" w:type="dxa"/>
            <w:tcBorders>
              <w:left w:val="single" w:sz="4" w:space="0" w:color="auto"/>
              <w:bottom w:val="single" w:sz="4" w:space="0" w:color="auto"/>
              <w:right w:val="single" w:sz="4" w:space="0" w:color="auto"/>
            </w:tcBorders>
            <w:shd w:val="clear" w:color="auto" w:fill="auto"/>
            <w:noWrap/>
            <w:vAlign w:val="center"/>
          </w:tcPr>
          <w:p w14:paraId="07881B1F" w14:textId="77777777" w:rsidR="00ED5DFF" w:rsidRPr="00ED5DFF" w:rsidRDefault="00ED5DFF" w:rsidP="00B47FF2">
            <w:pPr>
              <w:spacing w:before="0" w:after="0"/>
              <w:ind w:firstLineChars="100" w:firstLine="240"/>
              <w:jc w:val="right"/>
              <w:rPr>
                <w:color w:val="000000"/>
              </w:rPr>
            </w:pPr>
            <w:r w:rsidRPr="00ED5DFF">
              <w:rPr>
                <w:color w:val="000000"/>
              </w:rPr>
              <w:t>-</w:t>
            </w:r>
          </w:p>
        </w:tc>
        <w:tc>
          <w:tcPr>
            <w:tcW w:w="1890" w:type="dxa"/>
            <w:tcBorders>
              <w:left w:val="single" w:sz="4" w:space="0" w:color="auto"/>
              <w:bottom w:val="single" w:sz="4" w:space="0" w:color="auto"/>
              <w:right w:val="single" w:sz="4" w:space="0" w:color="auto"/>
            </w:tcBorders>
            <w:shd w:val="clear" w:color="auto" w:fill="auto"/>
          </w:tcPr>
          <w:p w14:paraId="0B8526EB" w14:textId="77777777" w:rsidR="00ED5DFF" w:rsidRPr="00CE15D9" w:rsidRDefault="00ED5DFF" w:rsidP="00B47FF2">
            <w:pPr>
              <w:spacing w:before="0" w:after="0"/>
              <w:ind w:firstLineChars="100" w:firstLine="240"/>
              <w:jc w:val="right"/>
            </w:pPr>
            <w:r w:rsidRPr="00CE15D9">
              <w:t>$</w:t>
            </w:r>
            <w:r w:rsidR="003475CD" w:rsidRPr="00CE15D9">
              <w:t>3,867</w:t>
            </w:r>
          </w:p>
        </w:tc>
      </w:tr>
      <w:tr w:rsidR="00A52B69" w14:paraId="33E1AB02" w14:textId="77777777">
        <w:trPr>
          <w:trHeight w:val="300"/>
          <w:jc w:val="center"/>
        </w:trPr>
        <w:tc>
          <w:tcPr>
            <w:tcW w:w="4140" w:type="dxa"/>
            <w:tcBorders>
              <w:top w:val="single" w:sz="4" w:space="0" w:color="auto"/>
              <w:left w:val="single" w:sz="8" w:space="0" w:color="auto"/>
              <w:bottom w:val="single" w:sz="8" w:space="0" w:color="auto"/>
              <w:right w:val="single" w:sz="8" w:space="0" w:color="auto"/>
            </w:tcBorders>
            <w:shd w:val="clear" w:color="auto" w:fill="auto"/>
            <w:hideMark/>
          </w:tcPr>
          <w:p w14:paraId="49B3BC79" w14:textId="77777777" w:rsidR="00ED5DFF" w:rsidRPr="00ED5DFF" w:rsidRDefault="00ED5DFF" w:rsidP="00B47FF2">
            <w:pPr>
              <w:spacing w:before="0" w:after="0"/>
              <w:jc w:val="center"/>
              <w:rPr>
                <w:b/>
                <w:bCs/>
                <w:color w:val="000000"/>
              </w:rPr>
            </w:pPr>
            <w:r w:rsidRPr="00ED5DFF">
              <w:rPr>
                <w:b/>
              </w:rPr>
              <w:t>Award for PY 2016 and 2017</w:t>
            </w:r>
          </w:p>
        </w:tc>
        <w:tc>
          <w:tcPr>
            <w:tcW w:w="1890" w:type="dxa"/>
            <w:tcBorders>
              <w:top w:val="single" w:sz="4" w:space="0" w:color="auto"/>
              <w:left w:val="nil"/>
              <w:bottom w:val="single" w:sz="8" w:space="0" w:color="auto"/>
              <w:right w:val="single" w:sz="8" w:space="0" w:color="auto"/>
            </w:tcBorders>
            <w:shd w:val="clear" w:color="auto" w:fill="auto"/>
            <w:vAlign w:val="center"/>
          </w:tcPr>
          <w:p w14:paraId="0F523810" w14:textId="77777777" w:rsidR="00ED5DFF" w:rsidRPr="00ED5DFF" w:rsidRDefault="00ED5DFF" w:rsidP="00B47FF2">
            <w:pPr>
              <w:spacing w:before="0" w:after="0"/>
              <w:jc w:val="right"/>
              <w:rPr>
                <w:b/>
                <w:bCs/>
                <w:color w:val="000000"/>
              </w:rPr>
            </w:pPr>
            <w:r w:rsidRPr="00ED5DFF">
              <w:rPr>
                <w:b/>
                <w:bCs/>
                <w:color w:val="000000"/>
              </w:rPr>
              <w:t>$3,840,414</w:t>
            </w:r>
          </w:p>
        </w:tc>
        <w:tc>
          <w:tcPr>
            <w:tcW w:w="1890" w:type="dxa"/>
            <w:tcBorders>
              <w:top w:val="single" w:sz="4" w:space="0" w:color="auto"/>
              <w:left w:val="nil"/>
              <w:bottom w:val="single" w:sz="8" w:space="0" w:color="auto"/>
              <w:right w:val="single" w:sz="8" w:space="0" w:color="auto"/>
            </w:tcBorders>
            <w:shd w:val="clear" w:color="auto" w:fill="auto"/>
            <w:vAlign w:val="center"/>
          </w:tcPr>
          <w:p w14:paraId="603D89F0" w14:textId="77777777" w:rsidR="00ED5DFF" w:rsidRPr="00FD382B" w:rsidRDefault="004E4E3A" w:rsidP="00B47FF2">
            <w:pPr>
              <w:spacing w:before="0" w:after="0"/>
              <w:jc w:val="right"/>
              <w:rPr>
                <w:b/>
                <w:bCs/>
                <w:color w:val="000000"/>
              </w:rPr>
            </w:pPr>
            <w:r w:rsidRPr="004E4E3A">
              <w:rPr>
                <w:b/>
                <w:bCs/>
                <w:color w:val="000000"/>
              </w:rPr>
              <w:t xml:space="preserve">$3,875,481 </w:t>
            </w:r>
          </w:p>
        </w:tc>
      </w:tr>
      <w:tr w:rsidR="00A52B69" w14:paraId="6B2B0A9A" w14:textId="77777777">
        <w:trPr>
          <w:trHeight w:val="300"/>
          <w:jc w:val="center"/>
        </w:trPr>
        <w:tc>
          <w:tcPr>
            <w:tcW w:w="4140" w:type="dxa"/>
            <w:tcBorders>
              <w:top w:val="nil"/>
              <w:left w:val="single" w:sz="8" w:space="0" w:color="auto"/>
              <w:bottom w:val="single" w:sz="8" w:space="0" w:color="auto"/>
              <w:right w:val="single" w:sz="8" w:space="0" w:color="auto"/>
            </w:tcBorders>
            <w:shd w:val="clear" w:color="auto" w:fill="auto"/>
            <w:hideMark/>
          </w:tcPr>
          <w:p w14:paraId="736A3800" w14:textId="77777777" w:rsidR="00ED5DFF" w:rsidRPr="00ED5DFF" w:rsidRDefault="00ED5DFF" w:rsidP="00B47FF2">
            <w:pPr>
              <w:spacing w:before="0" w:after="0"/>
              <w:jc w:val="center"/>
              <w:rPr>
                <w:color w:val="000000"/>
              </w:rPr>
            </w:pPr>
            <w:r w:rsidRPr="00ED5DFF">
              <w:t>2006-2008 RRIM Adjustment</w:t>
            </w:r>
          </w:p>
        </w:tc>
        <w:tc>
          <w:tcPr>
            <w:tcW w:w="1890" w:type="dxa"/>
            <w:tcBorders>
              <w:top w:val="nil"/>
              <w:left w:val="nil"/>
              <w:bottom w:val="nil"/>
              <w:right w:val="single" w:sz="8" w:space="0" w:color="auto"/>
            </w:tcBorders>
            <w:shd w:val="clear" w:color="auto" w:fill="auto"/>
            <w:noWrap/>
          </w:tcPr>
          <w:p w14:paraId="4CF354C1" w14:textId="77777777" w:rsidR="00ED5DFF" w:rsidRPr="00DD2C96" w:rsidRDefault="00ED5DFF" w:rsidP="00B47FF2">
            <w:pPr>
              <w:spacing w:before="0" w:after="0"/>
              <w:ind w:firstLineChars="100" w:firstLine="240"/>
              <w:jc w:val="right"/>
              <w:rPr>
                <w:color w:val="FF0000"/>
              </w:rPr>
            </w:pPr>
            <w:r w:rsidRPr="00DD2C96">
              <w:rPr>
                <w:color w:val="FF0000"/>
              </w:rPr>
              <w:t>($1,200,000)</w:t>
            </w:r>
          </w:p>
        </w:tc>
        <w:tc>
          <w:tcPr>
            <w:tcW w:w="1890" w:type="dxa"/>
            <w:tcBorders>
              <w:top w:val="nil"/>
              <w:left w:val="nil"/>
              <w:bottom w:val="nil"/>
              <w:right w:val="single" w:sz="8" w:space="0" w:color="auto"/>
            </w:tcBorders>
            <w:shd w:val="clear" w:color="auto" w:fill="auto"/>
            <w:noWrap/>
          </w:tcPr>
          <w:p w14:paraId="2E075A96" w14:textId="77777777" w:rsidR="00ED5DFF" w:rsidRPr="00CE15D9" w:rsidRDefault="00ED5DFF" w:rsidP="00B47FF2">
            <w:pPr>
              <w:spacing w:before="0" w:after="0"/>
              <w:ind w:firstLineChars="100" w:firstLine="240"/>
              <w:jc w:val="right"/>
              <w:rPr>
                <w:color w:val="FF0000"/>
              </w:rPr>
            </w:pPr>
            <w:r w:rsidRPr="00CE15D9">
              <w:rPr>
                <w:color w:val="FF0000"/>
              </w:rPr>
              <w:t>($1,200,000)</w:t>
            </w:r>
          </w:p>
        </w:tc>
      </w:tr>
      <w:tr w:rsidR="00A52B69" w14:paraId="4339EAE3" w14:textId="77777777">
        <w:trPr>
          <w:trHeight w:val="315"/>
          <w:jc w:val="center"/>
        </w:trPr>
        <w:tc>
          <w:tcPr>
            <w:tcW w:w="4140" w:type="dxa"/>
            <w:tcBorders>
              <w:top w:val="nil"/>
              <w:left w:val="single" w:sz="8" w:space="0" w:color="auto"/>
              <w:bottom w:val="single" w:sz="8" w:space="0" w:color="auto"/>
              <w:right w:val="single" w:sz="8" w:space="0" w:color="auto"/>
            </w:tcBorders>
            <w:shd w:val="clear" w:color="auto" w:fill="auto"/>
            <w:hideMark/>
          </w:tcPr>
          <w:p w14:paraId="6D42952D" w14:textId="77777777" w:rsidR="00ED5DFF" w:rsidRPr="003612B7" w:rsidRDefault="00ED5DFF" w:rsidP="00B47FF2">
            <w:pPr>
              <w:spacing w:before="0" w:after="0"/>
              <w:jc w:val="center"/>
              <w:rPr>
                <w:b/>
                <w:bCs/>
                <w:color w:val="000000"/>
                <w:sz w:val="28"/>
                <w:szCs w:val="28"/>
              </w:rPr>
            </w:pPr>
            <w:r w:rsidRPr="003612B7">
              <w:rPr>
                <w:b/>
                <w:sz w:val="28"/>
                <w:szCs w:val="28"/>
              </w:rPr>
              <w:t>Total Payment</w:t>
            </w:r>
          </w:p>
        </w:tc>
        <w:tc>
          <w:tcPr>
            <w:tcW w:w="1890" w:type="dxa"/>
            <w:tcBorders>
              <w:top w:val="single" w:sz="8" w:space="0" w:color="auto"/>
              <w:left w:val="nil"/>
              <w:bottom w:val="single" w:sz="8" w:space="0" w:color="auto"/>
              <w:right w:val="single" w:sz="8" w:space="0" w:color="auto"/>
            </w:tcBorders>
            <w:shd w:val="clear" w:color="auto" w:fill="auto"/>
            <w:vAlign w:val="center"/>
          </w:tcPr>
          <w:p w14:paraId="2E61DA75" w14:textId="77777777" w:rsidR="00ED5DFF" w:rsidRPr="003612B7" w:rsidRDefault="00ED5DFF" w:rsidP="00B47FF2">
            <w:pPr>
              <w:spacing w:before="0" w:after="0"/>
              <w:jc w:val="right"/>
              <w:rPr>
                <w:b/>
                <w:bCs/>
                <w:color w:val="000000"/>
                <w:sz w:val="28"/>
                <w:szCs w:val="28"/>
              </w:rPr>
            </w:pPr>
            <w:r w:rsidRPr="003612B7">
              <w:rPr>
                <w:b/>
                <w:bCs/>
                <w:color w:val="000000"/>
                <w:sz w:val="28"/>
                <w:szCs w:val="28"/>
              </w:rPr>
              <w:t>$2,640,414</w:t>
            </w:r>
          </w:p>
        </w:tc>
        <w:tc>
          <w:tcPr>
            <w:tcW w:w="1890" w:type="dxa"/>
            <w:tcBorders>
              <w:top w:val="single" w:sz="8" w:space="0" w:color="auto"/>
              <w:left w:val="nil"/>
              <w:bottom w:val="single" w:sz="8" w:space="0" w:color="auto"/>
              <w:right w:val="single" w:sz="8" w:space="0" w:color="auto"/>
            </w:tcBorders>
            <w:shd w:val="clear" w:color="auto" w:fill="auto"/>
            <w:vAlign w:val="center"/>
          </w:tcPr>
          <w:p w14:paraId="7B067EC3" w14:textId="77777777" w:rsidR="00ED5DFF" w:rsidRPr="00FD382B" w:rsidRDefault="004E4E3A" w:rsidP="00B47FF2">
            <w:pPr>
              <w:spacing w:before="0" w:after="0"/>
              <w:jc w:val="right"/>
              <w:rPr>
                <w:b/>
                <w:bCs/>
                <w:color w:val="000000"/>
                <w:sz w:val="28"/>
                <w:szCs w:val="28"/>
              </w:rPr>
            </w:pPr>
            <w:r w:rsidRPr="004E4E3A">
              <w:rPr>
                <w:b/>
                <w:bCs/>
                <w:color w:val="000000"/>
                <w:sz w:val="28"/>
                <w:szCs w:val="28"/>
              </w:rPr>
              <w:t xml:space="preserve">$2,675,481 </w:t>
            </w:r>
          </w:p>
        </w:tc>
      </w:tr>
    </w:tbl>
    <w:p w14:paraId="1FF4DD9C" w14:textId="77777777" w:rsidR="006C5C89" w:rsidRDefault="006C5C89" w:rsidP="006C5C89">
      <w:pPr>
        <w:pStyle w:val="Heading2"/>
        <w:ind w:left="720"/>
      </w:pPr>
      <w:bookmarkStart w:id="70" w:name="_Toc497338879"/>
    </w:p>
    <w:p w14:paraId="0FE666AB" w14:textId="77777777" w:rsidR="00CB5409" w:rsidRPr="00291682" w:rsidRDefault="00CB5409" w:rsidP="00AD6B15">
      <w:pPr>
        <w:pStyle w:val="Heading2"/>
        <w:numPr>
          <w:ilvl w:val="0"/>
          <w:numId w:val="6"/>
        </w:numPr>
      </w:pPr>
      <w:r w:rsidRPr="00291682">
        <w:t>So</w:t>
      </w:r>
      <w:r w:rsidR="00C04405" w:rsidRPr="00291682">
        <w:t>u</w:t>
      </w:r>
      <w:r w:rsidRPr="00291682">
        <w:t>thern California Gas (</w:t>
      </w:r>
      <w:r w:rsidR="003954B3" w:rsidRPr="00291682">
        <w:t>SoCalGas</w:t>
      </w:r>
      <w:r w:rsidRPr="00291682">
        <w:t>)</w:t>
      </w:r>
      <w:bookmarkEnd w:id="70"/>
    </w:p>
    <w:p w14:paraId="14FD5C0E" w14:textId="77777777" w:rsidR="007A1F1D" w:rsidRPr="007813C9" w:rsidRDefault="007A1F1D" w:rsidP="008E7BDB">
      <w:pPr>
        <w:ind w:left="360"/>
        <w:jc w:val="both"/>
        <w:rPr>
          <w:b/>
          <w:u w:val="single"/>
        </w:rPr>
      </w:pPr>
      <w:r w:rsidRPr="007A1F1D">
        <w:rPr>
          <w:b/>
          <w:szCs w:val="26"/>
        </w:rPr>
        <w:t xml:space="preserve">The Commission approves an incentive amount of </w:t>
      </w:r>
      <w:r w:rsidR="000D4334" w:rsidRPr="006C5C89">
        <w:rPr>
          <w:b/>
          <w:szCs w:val="26"/>
        </w:rPr>
        <w:t>$</w:t>
      </w:r>
      <w:r w:rsidR="00977EBC" w:rsidRPr="006C5C89">
        <w:rPr>
          <w:b/>
          <w:szCs w:val="26"/>
        </w:rPr>
        <w:t>527,252</w:t>
      </w:r>
      <w:r w:rsidRPr="007A1F1D">
        <w:rPr>
          <w:b/>
          <w:szCs w:val="26"/>
        </w:rPr>
        <w:t xml:space="preserve"> for SoCalGas, which is</w:t>
      </w:r>
      <w:r w:rsidR="004C6AEE">
        <w:rPr>
          <w:b/>
          <w:szCs w:val="26"/>
        </w:rPr>
        <w:t xml:space="preserve"> </w:t>
      </w:r>
      <w:r w:rsidR="000D4334" w:rsidRPr="006C5C89">
        <w:rPr>
          <w:b/>
          <w:szCs w:val="26"/>
        </w:rPr>
        <w:t>$</w:t>
      </w:r>
      <w:r w:rsidR="00977EBC" w:rsidRPr="006C5C89">
        <w:rPr>
          <w:b/>
          <w:szCs w:val="26"/>
        </w:rPr>
        <w:t>128,372</w:t>
      </w:r>
      <w:r w:rsidRPr="007A1F1D">
        <w:rPr>
          <w:b/>
          <w:szCs w:val="26"/>
        </w:rPr>
        <w:t xml:space="preserve"> less than their requested amount</w:t>
      </w:r>
      <w:r w:rsidR="00C33526">
        <w:rPr>
          <w:b/>
          <w:szCs w:val="26"/>
        </w:rPr>
        <w:t xml:space="preserve"> of </w:t>
      </w:r>
      <w:r w:rsidR="00C33526" w:rsidRPr="00C33526">
        <w:rPr>
          <w:b/>
          <w:szCs w:val="26"/>
        </w:rPr>
        <w:t>$655,624</w:t>
      </w:r>
      <w:r w:rsidRPr="007A1F1D">
        <w:rPr>
          <w:b/>
          <w:szCs w:val="26"/>
        </w:rPr>
        <w:t xml:space="preserve">. </w:t>
      </w:r>
    </w:p>
    <w:p w14:paraId="56C145D3" w14:textId="77777777" w:rsidR="00C966CB" w:rsidRDefault="00C966CB" w:rsidP="008E7BDB">
      <w:pPr>
        <w:jc w:val="both"/>
        <w:rPr>
          <w:b/>
        </w:rPr>
      </w:pPr>
      <w:r w:rsidRPr="00291682">
        <w:rPr>
          <w:b/>
        </w:rPr>
        <w:t>Codes &amp; Standards</w:t>
      </w:r>
      <w:r w:rsidR="00585EA3">
        <w:rPr>
          <w:b/>
        </w:rPr>
        <w:t xml:space="preserve"> --</w:t>
      </w:r>
      <w:r w:rsidRPr="00291682">
        <w:rPr>
          <w:b/>
        </w:rPr>
        <w:t xml:space="preserve"> Advocacy in 2016 and 2017</w:t>
      </w:r>
    </w:p>
    <w:p w14:paraId="4FA08718" w14:textId="77777777" w:rsidR="0046744B" w:rsidRPr="00291682" w:rsidRDefault="0046744B" w:rsidP="008E7BDB">
      <w:pPr>
        <w:jc w:val="both"/>
        <w:rPr>
          <w:b/>
        </w:rPr>
      </w:pPr>
      <w:r>
        <w:t xml:space="preserve">Energy Division issued draft </w:t>
      </w:r>
      <w:r w:rsidR="00387B47">
        <w:t xml:space="preserve">agenda </w:t>
      </w:r>
      <w:r>
        <w:t>Resolution E-5007</w:t>
      </w:r>
      <w:r w:rsidR="00387B47">
        <w:t xml:space="preserve"> on July 2, 2019</w:t>
      </w:r>
      <w:r>
        <w:t>;</w:t>
      </w:r>
      <w:r w:rsidR="00387B47">
        <w:rPr>
          <w:rStyle w:val="FootnoteReference"/>
        </w:rPr>
        <w:footnoteReference w:id="47"/>
      </w:r>
      <w:r>
        <w:t xml:space="preserve"> this alternate draft Resolution differs from the revised Energy Division resolution only with regards to SoCalGas’ C&amp;S advocacy. In comments on Energy Division’s draft, Cal Advocates requested that the Commission</w:t>
      </w:r>
      <w:r w:rsidRPr="00D12DB9">
        <w:t xml:space="preserve"> </w:t>
      </w:r>
      <w:r>
        <w:t xml:space="preserve">deny SoCalGas an ESPI award for its PY 2017 C&amp;S advocacy programs, and true up to zero SoCalGas’ ESPI award for its PY 2016 C&amp;S </w:t>
      </w:r>
      <w:r>
        <w:lastRenderedPageBreak/>
        <w:t>advocacy programs. Cal Advocates’ request cites a finding in D.18-05-041 that SoCalGas had not used ratepayer funds to advocate for more stringent C&amp;S</w:t>
      </w:r>
      <w:r w:rsidR="00B360F8">
        <w:t xml:space="preserve"> </w:t>
      </w:r>
      <w:r w:rsidR="00B360F8" w:rsidRPr="006C5C89">
        <w:t>that would save energy</w:t>
      </w:r>
      <w:r w:rsidRPr="006C5C89">
        <w:t>.</w:t>
      </w:r>
      <w:r>
        <w:t xml:space="preserve"> </w:t>
      </w:r>
    </w:p>
    <w:p w14:paraId="5C6B7C95" w14:textId="77777777" w:rsidR="00A1356C" w:rsidRDefault="00A1356C" w:rsidP="00A1356C">
      <w:pPr>
        <w:jc w:val="both"/>
      </w:pPr>
      <w:r>
        <w:t>In May 2018, the Commission found in D.18-05-041 that SoCalGas had not used ratepayer funds to advocate for more stringent but cost-effective C&amp;S,</w:t>
      </w:r>
      <w:r w:rsidR="003911FD">
        <w:rPr>
          <w:rStyle w:val="FootnoteReference"/>
        </w:rPr>
        <w:footnoteReference w:id="48"/>
      </w:r>
      <w:r>
        <w:t xml:space="preserve"> despite the Commission’s clear intent for the funds. </w:t>
      </w:r>
      <w:r w:rsidR="001C4260">
        <w:t xml:space="preserve">For example, in the proceeding leading to that Decision, Cal Advocates submitted evidence showing that SoCalGas argued </w:t>
      </w:r>
      <w:r w:rsidR="001C4260">
        <w:rPr>
          <w:i/>
          <w:iCs/>
        </w:rPr>
        <w:t>against</w:t>
      </w:r>
      <w:r w:rsidR="001C4260">
        <w:t xml:space="preserve"> federal rules that would have increased efficiency standards for gas furnaces, but would also have </w:t>
      </w:r>
      <w:r w:rsidR="00427C87">
        <w:t>led to</w:t>
      </w:r>
      <w:r w:rsidR="001C4260">
        <w:t xml:space="preserve"> fuel switching away from gas.</w:t>
      </w:r>
      <w:r w:rsidR="001C4260">
        <w:rPr>
          <w:rStyle w:val="FootnoteReference"/>
        </w:rPr>
        <w:footnoteReference w:id="49"/>
      </w:r>
      <w:r w:rsidR="001C4260">
        <w:t xml:space="preserve"> </w:t>
      </w:r>
      <w:r w:rsidR="00126BAE">
        <w:t xml:space="preserve"> </w:t>
      </w:r>
      <w:r w:rsidR="001C4260">
        <w:t>SoCalGas challenged how Cal Advocates characterized SoCalGas’ motives, but did not challenge the basic premise: that SoCalGas had argued against stricter codes and standards.</w:t>
      </w:r>
      <w:r w:rsidR="001C4260">
        <w:rPr>
          <w:rStyle w:val="FootnoteReference"/>
        </w:rPr>
        <w:footnoteReference w:id="50"/>
      </w:r>
      <w:r w:rsidR="001C4260">
        <w:t xml:space="preserve">  </w:t>
      </w:r>
      <w:r w:rsidR="000869F7">
        <w:t>In responding to this evidence and argument, the Commission explained that it had a “clear policy intent” that the ratepayer money used to fund C&amp;S advocacy lead to stricter standards, and found that SoCalGas had contravened that clear intent.</w:t>
      </w:r>
      <w:r w:rsidR="000869F7">
        <w:rPr>
          <w:rStyle w:val="FootnoteReference"/>
        </w:rPr>
        <w:footnoteReference w:id="51"/>
      </w:r>
      <w:r w:rsidR="000869F7">
        <w:t xml:space="preserve">  “[O]ur initial authorization of energy efficiency funding for codes and standards advocacy makes clear our intent for those funds: ‘[u]sing ratepayer dollars to work towards adoption of higher appliance and building standards may be one of the most cost-effective ways to tap the savings potential for EE and procure least-cost energy resources on behalf of all ratepayers.’”</w:t>
      </w:r>
      <w:r w:rsidR="000869F7">
        <w:rPr>
          <w:rStyle w:val="FootnoteReference"/>
        </w:rPr>
        <w:footnoteReference w:id="52"/>
      </w:r>
      <w:r w:rsidR="000869F7">
        <w:t xml:space="preserve">  </w:t>
      </w:r>
      <w:r>
        <w:t>Based on the potential for misuse of ratepayer funds, the Commission determined that SoCalGas’ involvement in C&amp;S should be limited to the transfer of funds to the statewide C&amp;S lead for program implementation.</w:t>
      </w:r>
      <w:r w:rsidR="002364EF">
        <w:rPr>
          <w:rStyle w:val="FootnoteReference"/>
        </w:rPr>
        <w:footnoteReference w:id="53"/>
      </w:r>
    </w:p>
    <w:p w14:paraId="22974A4E" w14:textId="77777777" w:rsidR="0046744B" w:rsidRPr="006C5C89" w:rsidRDefault="0046744B" w:rsidP="00B612FD">
      <w:pPr>
        <w:jc w:val="both"/>
      </w:pPr>
      <w:r w:rsidRPr="006C5C89">
        <w:t>Importantly, however, the Commission’s task in D.18-05-041 was “limited to consideration of the 2018 –2025 business plans . . . .”</w:t>
      </w:r>
      <w:r w:rsidRPr="006C5C89">
        <w:rPr>
          <w:rStyle w:val="FootnoteReference"/>
        </w:rPr>
        <w:footnoteReference w:id="54"/>
      </w:r>
      <w:r w:rsidRPr="006C5C89">
        <w:t xml:space="preserve">  The Commission thus expressly declined to weigh the competing evidence submitted by Cal Advocates and SoCalGas.</w:t>
      </w:r>
      <w:r w:rsidR="00B612FD" w:rsidRPr="006C5C89">
        <w:rPr>
          <w:rStyle w:val="FootnoteReference"/>
        </w:rPr>
        <w:footnoteReference w:id="55"/>
      </w:r>
      <w:r w:rsidRPr="006C5C89">
        <w:t xml:space="preserve">  </w:t>
      </w:r>
      <w:r w:rsidR="00B612FD" w:rsidRPr="006C5C89">
        <w:lastRenderedPageBreak/>
        <w:t>The Commission also expressly declined Cal Advocates’ request to sanction SoCalGas for its behavior, inviting Cal Advocates instead to “file a motion renewing its request for sanctions in R.13-11-005 or its successor.”</w:t>
      </w:r>
      <w:r w:rsidR="00B612FD" w:rsidRPr="006C5C89">
        <w:rPr>
          <w:rStyle w:val="FootnoteReference"/>
        </w:rPr>
        <w:footnoteReference w:id="56"/>
      </w:r>
    </w:p>
    <w:p w14:paraId="210A5493" w14:textId="77777777" w:rsidR="00B612FD" w:rsidRDefault="002677F3" w:rsidP="00B612FD">
      <w:pPr>
        <w:jc w:val="both"/>
      </w:pPr>
      <w:r w:rsidRPr="006C5C89">
        <w:t>We have</w:t>
      </w:r>
      <w:r w:rsidR="00B612FD" w:rsidRPr="006C5C89">
        <w:t xml:space="preserve"> serious questions about whether SoCalGas followed the clear intent of the C&amp;S incentive program and, if it failed to do so, what consequences should flow from that.</w:t>
      </w:r>
      <w:r w:rsidR="000F348C" w:rsidRPr="006C5C89">
        <w:t xml:space="preserve">  </w:t>
      </w:r>
      <w:r w:rsidR="00B360F8" w:rsidRPr="006C5C89">
        <w:t xml:space="preserve">We do not include the contested </w:t>
      </w:r>
      <w:r w:rsidR="0008581C" w:rsidRPr="006C5C89">
        <w:t xml:space="preserve">2017 </w:t>
      </w:r>
      <w:r w:rsidR="00B360F8" w:rsidRPr="006C5C89">
        <w:t>amount in the SoCalGas award approved in this Resolution</w:t>
      </w:r>
      <w:r w:rsidR="000B7058" w:rsidRPr="006C5C89">
        <w:t xml:space="preserve"> nor do we specifically address or resolve Cal Advocates</w:t>
      </w:r>
      <w:r w:rsidR="00E02BEE" w:rsidRPr="006C5C89">
        <w:t>’</w:t>
      </w:r>
      <w:r w:rsidR="000B7058" w:rsidRPr="006C5C89">
        <w:t xml:space="preserve"> request regarding the 2016 awards</w:t>
      </w:r>
      <w:r w:rsidR="00B360F8" w:rsidRPr="006C5C89">
        <w:t xml:space="preserve">. </w:t>
      </w:r>
      <w:r w:rsidR="00171BD2" w:rsidRPr="006C5C89">
        <w:t>Within 60 days of the date of this Resolution, t</w:t>
      </w:r>
      <w:r w:rsidR="000F348C" w:rsidRPr="006C5C89">
        <w:t xml:space="preserve">he Commission will issue an Order to Show Cause in R.13-11-005; </w:t>
      </w:r>
      <w:r w:rsidR="000B7058" w:rsidRPr="006C5C89">
        <w:t>giving parties the opportunity to address and resolve issues regarding the 2016 and 2017 awards.</w:t>
      </w:r>
      <w:r w:rsidR="000F348C" w:rsidRPr="006C5C89">
        <w:t xml:space="preserve"> </w:t>
      </w:r>
      <w:r w:rsidR="005A1AB4" w:rsidRPr="006C5C89">
        <w:t>Parties may renew their</w:t>
      </w:r>
      <w:r w:rsidR="000F348C" w:rsidRPr="006C5C89">
        <w:t xml:space="preserve"> arguments in R.13-11-005.</w:t>
      </w:r>
    </w:p>
    <w:p w14:paraId="245B54C2" w14:textId="77777777" w:rsidR="00C966CB" w:rsidRPr="00291682" w:rsidRDefault="00C966CB" w:rsidP="00AD0796">
      <w:pPr>
        <w:rPr>
          <w:b/>
        </w:rPr>
      </w:pPr>
      <w:r w:rsidRPr="00291682">
        <w:rPr>
          <w:b/>
        </w:rPr>
        <w:t>Category-</w:t>
      </w:r>
      <w:r w:rsidR="00291682">
        <w:rPr>
          <w:b/>
        </w:rPr>
        <w:t>S</w:t>
      </w:r>
      <w:r w:rsidRPr="00291682">
        <w:rPr>
          <w:b/>
        </w:rPr>
        <w:t>pecific Adjustments</w:t>
      </w:r>
    </w:p>
    <w:p w14:paraId="5ECF69A5" w14:textId="77777777" w:rsidR="00B36F8F" w:rsidRPr="00D326F2" w:rsidRDefault="00C3640F" w:rsidP="002E171E">
      <w:pPr>
        <w:spacing w:after="240"/>
        <w:jc w:val="both"/>
        <w:rPr>
          <w:szCs w:val="26"/>
        </w:rPr>
      </w:pPr>
      <w:r>
        <w:rPr>
          <w:szCs w:val="26"/>
        </w:rPr>
        <w:t>SoCalGas’</w:t>
      </w:r>
      <w:r w:rsidRPr="009960A6">
        <w:rPr>
          <w:szCs w:val="26"/>
        </w:rPr>
        <w:t xml:space="preserve"> </w:t>
      </w:r>
      <w:r w:rsidRPr="00C3640F">
        <w:rPr>
          <w:szCs w:val="26"/>
        </w:rPr>
        <w:t xml:space="preserve">submitted program </w:t>
      </w:r>
      <w:r w:rsidR="00C264AD" w:rsidRPr="00C3640F">
        <w:rPr>
          <w:szCs w:val="26"/>
        </w:rPr>
        <w:t xml:space="preserve">savings and </w:t>
      </w:r>
      <w:r w:rsidRPr="00C3640F">
        <w:rPr>
          <w:szCs w:val="26"/>
        </w:rPr>
        <w:t xml:space="preserve">expenditures were both modified based on the adjustments listed earlier. </w:t>
      </w:r>
      <w:r w:rsidR="00B36F8F">
        <w:t xml:space="preserve">SoCalGas’ </w:t>
      </w:r>
      <w:r w:rsidR="00A65DD8">
        <w:t xml:space="preserve">official annual </w:t>
      </w:r>
      <w:r w:rsidR="00323B76" w:rsidRPr="00D93C72">
        <w:t>CEDAR</w:t>
      </w:r>
      <w:r w:rsidR="00323B76">
        <w:t>S</w:t>
      </w:r>
      <w:r w:rsidR="00323B76" w:rsidRPr="00D93C72">
        <w:t xml:space="preserve"> </w:t>
      </w:r>
      <w:r w:rsidR="00B36F8F" w:rsidRPr="00D93C72">
        <w:t xml:space="preserve">filing </w:t>
      </w:r>
      <w:r w:rsidR="00B36F8F">
        <w:t xml:space="preserve">was higher for </w:t>
      </w:r>
      <w:r w:rsidR="00B36F8F" w:rsidRPr="00D93C72">
        <w:t xml:space="preserve">Program ID </w:t>
      </w:r>
      <w:r w:rsidR="00B36F8F">
        <w:t>SCG3707</w:t>
      </w:r>
      <w:r w:rsidR="00B36F8F" w:rsidRPr="00D93C72">
        <w:t xml:space="preserve"> by $</w:t>
      </w:r>
      <w:r w:rsidR="00B36F8F">
        <w:t>88,753 than their ESPI Advice Letter</w:t>
      </w:r>
      <w:r w:rsidR="00B36F8F" w:rsidRPr="00CE3566">
        <w:t>.</w:t>
      </w:r>
      <w:r w:rsidR="00CE3566">
        <w:t xml:space="preserve"> </w:t>
      </w:r>
      <w:r w:rsidR="00CE3566" w:rsidRPr="00C966CB">
        <w:rPr>
          <w:b/>
        </w:rPr>
        <w:t xml:space="preserve">The Commission </w:t>
      </w:r>
      <w:r w:rsidR="00C50203">
        <w:rPr>
          <w:b/>
        </w:rPr>
        <w:t>S</w:t>
      </w:r>
      <w:r w:rsidR="00CE3566" w:rsidRPr="00C966CB">
        <w:rPr>
          <w:b/>
        </w:rPr>
        <w:t xml:space="preserve">taff used </w:t>
      </w:r>
      <w:r w:rsidR="00F43AF1">
        <w:rPr>
          <w:b/>
        </w:rPr>
        <w:t xml:space="preserve">the </w:t>
      </w:r>
      <w:r w:rsidR="00D06D6D">
        <w:rPr>
          <w:b/>
        </w:rPr>
        <w:t xml:space="preserve">annual </w:t>
      </w:r>
      <w:r w:rsidR="00F43AF1">
        <w:rPr>
          <w:b/>
        </w:rPr>
        <w:t xml:space="preserve">CEDARS </w:t>
      </w:r>
      <w:r w:rsidR="00CE3566" w:rsidRPr="00C966CB">
        <w:rPr>
          <w:b/>
        </w:rPr>
        <w:t>filing to calculate the awards.</w:t>
      </w:r>
    </w:p>
    <w:p w14:paraId="5614D09B" w14:textId="77777777" w:rsidR="003954B3" w:rsidRDefault="003954B3" w:rsidP="002E171E">
      <w:pPr>
        <w:jc w:val="both"/>
      </w:pPr>
      <w:r>
        <w:t>SoCalGas</w:t>
      </w:r>
      <w:r w:rsidRPr="009960A6">
        <w:t xml:space="preserve"> requests </w:t>
      </w:r>
      <w:r w:rsidR="0016075E" w:rsidRPr="0016075E">
        <w:t xml:space="preserve">$655,624 </w:t>
      </w:r>
      <w:r w:rsidR="00D465CC" w:rsidRPr="009960A6">
        <w:t>in</w:t>
      </w:r>
      <w:r>
        <w:t xml:space="preserve"> their 201</w:t>
      </w:r>
      <w:r w:rsidR="00EB5149">
        <w:t xml:space="preserve">8 </w:t>
      </w:r>
      <w:r>
        <w:t xml:space="preserve">ESPI </w:t>
      </w:r>
      <w:r w:rsidR="0032525B">
        <w:t xml:space="preserve">Advice Letter </w:t>
      </w:r>
      <w:r>
        <w:t>as detailed below:</w:t>
      </w:r>
    </w:p>
    <w:p w14:paraId="7793B933" w14:textId="77777777" w:rsidR="0015526B" w:rsidRPr="00FB2F09" w:rsidRDefault="0015526B" w:rsidP="00B47FF2">
      <w:pPr>
        <w:pStyle w:val="Heading3"/>
        <w:numPr>
          <w:ilvl w:val="0"/>
          <w:numId w:val="0"/>
        </w:numPr>
        <w:spacing w:before="240" w:after="240"/>
        <w:jc w:val="both"/>
        <w:rPr>
          <w:u w:val="single"/>
        </w:rPr>
      </w:pPr>
      <w:bookmarkStart w:id="71" w:name="_Toc496814018"/>
      <w:bookmarkStart w:id="72" w:name="_Toc497338884"/>
      <w:r w:rsidRPr="00FB2F09">
        <w:t xml:space="preserve">1.1 </w:t>
      </w:r>
      <w:r>
        <w:rPr>
          <w:u w:val="single"/>
        </w:rPr>
        <w:t>Energy</w:t>
      </w:r>
      <w:r w:rsidRPr="00FB2F09">
        <w:rPr>
          <w:u w:val="single"/>
        </w:rPr>
        <w:t xml:space="preserve"> Efficiency Resource Savings </w:t>
      </w:r>
    </w:p>
    <w:p w14:paraId="7934D322" w14:textId="77777777" w:rsidR="0015526B" w:rsidRDefault="0015526B" w:rsidP="00B47FF2">
      <w:pPr>
        <w:pStyle w:val="ListParagraph"/>
        <w:numPr>
          <w:ilvl w:val="0"/>
          <w:numId w:val="5"/>
        </w:numPr>
        <w:spacing w:after="60"/>
        <w:ind w:left="778"/>
        <w:contextualSpacing w:val="0"/>
        <w:jc w:val="both"/>
      </w:pPr>
      <w:r w:rsidRPr="00F275DE">
        <w:t>201</w:t>
      </w:r>
      <w:r>
        <w:t>6</w:t>
      </w:r>
      <w:r w:rsidRPr="00F275DE">
        <w:t xml:space="preserve"> Ex-Post Energy Savings </w:t>
      </w:r>
    </w:p>
    <w:p w14:paraId="7A94B80F" w14:textId="77777777" w:rsidR="00170A6A" w:rsidRPr="00AB5EB4" w:rsidRDefault="00170A6A" w:rsidP="00B47FF2">
      <w:pPr>
        <w:spacing w:after="60"/>
        <w:ind w:left="418"/>
        <w:jc w:val="both"/>
      </w:pPr>
      <w:bookmarkStart w:id="73" w:name="_Hlk2078210"/>
      <w:r w:rsidRPr="00AB5EB4">
        <w:t>The Commission accepts SoCalGas</w:t>
      </w:r>
      <w:r w:rsidR="009A02CF" w:rsidRPr="00AB5EB4">
        <w:t>’</w:t>
      </w:r>
      <w:r w:rsidRPr="00AB5EB4">
        <w:t xml:space="preserve"> adjustment of $20,763.</w:t>
      </w:r>
      <w:bookmarkEnd w:id="73"/>
    </w:p>
    <w:tbl>
      <w:tblPr>
        <w:tblW w:w="9000" w:type="dxa"/>
        <w:jc w:val="right"/>
        <w:tblCellMar>
          <w:left w:w="0" w:type="dxa"/>
          <w:right w:w="0" w:type="dxa"/>
        </w:tblCellMar>
        <w:tblLook w:val="04A0" w:firstRow="1" w:lastRow="0" w:firstColumn="1" w:lastColumn="0" w:noHBand="0" w:noVBand="1"/>
      </w:tblPr>
      <w:tblGrid>
        <w:gridCol w:w="2960"/>
        <w:gridCol w:w="2013"/>
        <w:gridCol w:w="2013"/>
        <w:gridCol w:w="2014"/>
      </w:tblGrid>
      <w:tr w:rsidR="00A52B69" w14:paraId="183C9865" w14:textId="77777777">
        <w:trPr>
          <w:trHeight w:val="493"/>
          <w:jc w:val="right"/>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6660944" w14:textId="77777777" w:rsidR="00170A6A" w:rsidRPr="00342659" w:rsidRDefault="00170A6A" w:rsidP="00B47FF2">
            <w:pPr>
              <w:spacing w:before="60" w:after="60"/>
              <w:jc w:val="center"/>
              <w:rPr>
                <w:b/>
              </w:rPr>
            </w:pPr>
            <w:r w:rsidRPr="00547822">
              <w:rPr>
                <w:b/>
              </w:rPr>
              <w:t>ESPI Component</w:t>
            </w:r>
          </w:p>
        </w:tc>
        <w:tc>
          <w:tcPr>
            <w:tcW w:w="2013" w:type="dxa"/>
            <w:tcBorders>
              <w:top w:val="single" w:sz="8" w:space="0" w:color="auto"/>
              <w:left w:val="single" w:sz="4" w:space="0" w:color="auto"/>
              <w:bottom w:val="single" w:sz="8" w:space="0" w:color="auto"/>
              <w:right w:val="single" w:sz="4" w:space="0" w:color="auto"/>
            </w:tcBorders>
            <w:vAlign w:val="center"/>
          </w:tcPr>
          <w:p w14:paraId="037E4C40" w14:textId="77777777" w:rsidR="00170A6A" w:rsidRDefault="00170A6A" w:rsidP="00B47FF2">
            <w:pPr>
              <w:spacing w:before="60" w:after="60"/>
              <w:jc w:val="center"/>
              <w:rPr>
                <w:b/>
              </w:rPr>
            </w:pPr>
            <w:r w:rsidRPr="00342659">
              <w:rPr>
                <w:b/>
              </w:rPr>
              <w:t>201</w:t>
            </w:r>
            <w:r>
              <w:rPr>
                <w:b/>
              </w:rPr>
              <w:t>6</w:t>
            </w:r>
            <w:r w:rsidRPr="00342659">
              <w:rPr>
                <w:b/>
              </w:rPr>
              <w:t xml:space="preserve"> Cap</w:t>
            </w:r>
            <w:r>
              <w:rPr>
                <w:b/>
              </w:rPr>
              <w:t>*</w:t>
            </w:r>
          </w:p>
        </w:tc>
        <w:tc>
          <w:tcPr>
            <w:tcW w:w="201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1F3FDEDC" w14:textId="77777777" w:rsidR="00170A6A" w:rsidRPr="00547822" w:rsidRDefault="00170A6A" w:rsidP="00B47FF2">
            <w:pPr>
              <w:spacing w:before="60" w:after="60"/>
              <w:jc w:val="center"/>
              <w:rPr>
                <w:rFonts w:eastAsiaTheme="minorHAnsi"/>
                <w:b/>
              </w:rPr>
            </w:pPr>
            <w:r>
              <w:rPr>
                <w:b/>
              </w:rPr>
              <w:t xml:space="preserve">Requested </w:t>
            </w:r>
          </w:p>
        </w:tc>
        <w:tc>
          <w:tcPr>
            <w:tcW w:w="20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0556CD2" w14:textId="77777777" w:rsidR="00170A6A" w:rsidRPr="00670027" w:rsidRDefault="00170A6A" w:rsidP="00B47FF2">
            <w:pPr>
              <w:spacing w:before="60" w:after="60"/>
              <w:jc w:val="center"/>
              <w:rPr>
                <w:rFonts w:eastAsiaTheme="minorHAnsi"/>
                <w:b/>
              </w:rPr>
            </w:pPr>
            <w:r>
              <w:rPr>
                <w:b/>
              </w:rPr>
              <w:t xml:space="preserve">Approved </w:t>
            </w:r>
          </w:p>
        </w:tc>
      </w:tr>
      <w:tr w:rsidR="00A52B69" w14:paraId="7FF393BC" w14:textId="77777777">
        <w:trPr>
          <w:trHeight w:val="520"/>
          <w:jc w:val="right"/>
        </w:trPr>
        <w:tc>
          <w:tcPr>
            <w:tcW w:w="29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7AF27F1" w14:textId="77777777" w:rsidR="0016075E" w:rsidRPr="001F5F04" w:rsidRDefault="0016075E" w:rsidP="00B47FF2">
            <w:pPr>
              <w:spacing w:before="60" w:after="60"/>
              <w:jc w:val="center"/>
              <w:rPr>
                <w:rFonts w:eastAsiaTheme="minorHAnsi"/>
                <w:szCs w:val="26"/>
              </w:rPr>
            </w:pPr>
            <w:r w:rsidRPr="001F5F04">
              <w:rPr>
                <w:szCs w:val="26"/>
              </w:rPr>
              <w:t>201</w:t>
            </w:r>
            <w:r>
              <w:rPr>
                <w:szCs w:val="26"/>
              </w:rPr>
              <w:t>6</w:t>
            </w:r>
            <w:r w:rsidRPr="001F5F04">
              <w:rPr>
                <w:szCs w:val="26"/>
              </w:rPr>
              <w:t xml:space="preserve"> Ex-Post Savings</w:t>
            </w:r>
          </w:p>
        </w:tc>
        <w:tc>
          <w:tcPr>
            <w:tcW w:w="2013" w:type="dxa"/>
            <w:tcBorders>
              <w:top w:val="single" w:sz="8" w:space="0" w:color="auto"/>
              <w:left w:val="single" w:sz="4" w:space="0" w:color="auto"/>
              <w:bottom w:val="single" w:sz="4" w:space="0" w:color="auto"/>
              <w:right w:val="single" w:sz="4" w:space="0" w:color="auto"/>
            </w:tcBorders>
            <w:vAlign w:val="center"/>
          </w:tcPr>
          <w:p w14:paraId="459C2CCE" w14:textId="77777777" w:rsidR="0016075E" w:rsidRPr="001F5F04" w:rsidRDefault="0016075E" w:rsidP="00B47FF2">
            <w:pPr>
              <w:spacing w:before="60" w:after="60"/>
              <w:jc w:val="center"/>
              <w:rPr>
                <w:rFonts w:eastAsiaTheme="minorHAnsi"/>
                <w:szCs w:val="26"/>
              </w:rPr>
            </w:pPr>
            <w:r>
              <w:rPr>
                <w:rFonts w:eastAsiaTheme="minorHAnsi"/>
                <w:szCs w:val="26"/>
              </w:rPr>
              <w:t>$</w:t>
            </w:r>
            <w:r w:rsidRPr="00230D80">
              <w:rPr>
                <w:rFonts w:eastAsiaTheme="minorHAnsi"/>
                <w:szCs w:val="26"/>
              </w:rPr>
              <w:t>4,323,800</w:t>
            </w:r>
          </w:p>
        </w:tc>
        <w:tc>
          <w:tcPr>
            <w:tcW w:w="2013"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136FB607" w14:textId="77777777" w:rsidR="0016075E" w:rsidRPr="001F5F04" w:rsidRDefault="0016075E" w:rsidP="00B47FF2">
            <w:pPr>
              <w:spacing w:before="60" w:after="60"/>
              <w:jc w:val="center"/>
              <w:rPr>
                <w:rFonts w:eastAsiaTheme="minorHAnsi"/>
                <w:szCs w:val="26"/>
              </w:rPr>
            </w:pPr>
            <w:r>
              <w:t>$</w:t>
            </w:r>
            <w:r w:rsidRPr="00BC2F60">
              <w:t>1,136,886</w:t>
            </w:r>
          </w:p>
        </w:tc>
        <w:tc>
          <w:tcPr>
            <w:tcW w:w="201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FA6E031" w14:textId="77777777" w:rsidR="0016075E" w:rsidRPr="001F5F04" w:rsidRDefault="0016075E" w:rsidP="00B47FF2">
            <w:pPr>
              <w:spacing w:before="60" w:after="60"/>
              <w:jc w:val="center"/>
              <w:rPr>
                <w:szCs w:val="26"/>
              </w:rPr>
            </w:pPr>
            <w:r>
              <w:rPr>
                <w:szCs w:val="26"/>
              </w:rPr>
              <w:t>$</w:t>
            </w:r>
            <w:r w:rsidRPr="00BC2F60">
              <w:t>1,136,886</w:t>
            </w:r>
          </w:p>
        </w:tc>
      </w:tr>
    </w:tbl>
    <w:p w14:paraId="3E778EA1" w14:textId="77777777" w:rsidR="0015526B" w:rsidRPr="002A620F" w:rsidRDefault="0015526B" w:rsidP="00B47FF2">
      <w:pPr>
        <w:jc w:val="center"/>
        <w:rPr>
          <w:sz w:val="22"/>
          <w:szCs w:val="22"/>
        </w:rPr>
      </w:pPr>
      <w:r w:rsidRPr="002A620F">
        <w:rPr>
          <w:sz w:val="22"/>
          <w:szCs w:val="22"/>
        </w:rPr>
        <w:t>*201</w:t>
      </w:r>
      <w:r>
        <w:rPr>
          <w:sz w:val="22"/>
          <w:szCs w:val="22"/>
        </w:rPr>
        <w:t>6</w:t>
      </w:r>
      <w:r w:rsidRPr="002A620F">
        <w:rPr>
          <w:sz w:val="22"/>
          <w:szCs w:val="22"/>
        </w:rPr>
        <w:t xml:space="preserve"> Savings award Cap minus 201</w:t>
      </w:r>
      <w:r>
        <w:rPr>
          <w:sz w:val="22"/>
          <w:szCs w:val="22"/>
        </w:rPr>
        <w:t>6</w:t>
      </w:r>
      <w:r w:rsidRPr="002A620F">
        <w:rPr>
          <w:sz w:val="22"/>
          <w:szCs w:val="22"/>
        </w:rPr>
        <w:t xml:space="preserve"> Ex-Ante Savings Awards Earned in 201</w:t>
      </w:r>
      <w:r>
        <w:rPr>
          <w:sz w:val="22"/>
          <w:szCs w:val="22"/>
        </w:rPr>
        <w:t>7</w:t>
      </w:r>
    </w:p>
    <w:p w14:paraId="0BA78FBB" w14:textId="77777777" w:rsidR="00CD3E68" w:rsidRPr="00CD3E68" w:rsidRDefault="00CD3E68" w:rsidP="00291682">
      <w:pPr>
        <w:spacing w:before="240" w:after="60"/>
        <w:ind w:left="360"/>
        <w:jc w:val="both"/>
        <w:rPr>
          <w:szCs w:val="26"/>
        </w:rPr>
      </w:pPr>
      <w:r>
        <w:rPr>
          <w:szCs w:val="26"/>
        </w:rPr>
        <w:t xml:space="preserve">SoCalGas proposed an adjustment </w:t>
      </w:r>
      <w:r w:rsidR="005F3224">
        <w:rPr>
          <w:szCs w:val="26"/>
        </w:rPr>
        <w:t xml:space="preserve">for pre-2016 Home Upgrade Program (HUP) claims </w:t>
      </w:r>
      <w:r>
        <w:rPr>
          <w:szCs w:val="26"/>
        </w:rPr>
        <w:t>to the Performance Statement</w:t>
      </w:r>
      <w:r w:rsidR="00170A6A">
        <w:rPr>
          <w:szCs w:val="26"/>
        </w:rPr>
        <w:t xml:space="preserve"> Report amounting to </w:t>
      </w:r>
      <w:r w:rsidR="00170A6A" w:rsidRPr="00170A6A">
        <w:rPr>
          <w:szCs w:val="26"/>
        </w:rPr>
        <w:t>$20,763</w:t>
      </w:r>
      <w:r w:rsidR="005F3224">
        <w:rPr>
          <w:szCs w:val="26"/>
        </w:rPr>
        <w:t xml:space="preserve"> in awards</w:t>
      </w:r>
      <w:r w:rsidR="00170A6A">
        <w:rPr>
          <w:szCs w:val="26"/>
        </w:rPr>
        <w:t>. SoCalGas</w:t>
      </w:r>
      <w:r>
        <w:rPr>
          <w:szCs w:val="26"/>
        </w:rPr>
        <w:t xml:space="preserve"> request</w:t>
      </w:r>
      <w:r w:rsidR="00170A6A">
        <w:rPr>
          <w:szCs w:val="26"/>
        </w:rPr>
        <w:t>s</w:t>
      </w:r>
      <w:r>
        <w:rPr>
          <w:szCs w:val="26"/>
        </w:rPr>
        <w:t xml:space="preserve"> that shared claims with SCE with pre-2016 installation dates be </w:t>
      </w:r>
      <w:r>
        <w:rPr>
          <w:szCs w:val="26"/>
        </w:rPr>
        <w:lastRenderedPageBreak/>
        <w:t xml:space="preserve">included in the basis for its ESPI </w:t>
      </w:r>
      <w:r>
        <w:rPr>
          <w:color w:val="000000"/>
          <w:szCs w:val="26"/>
        </w:rPr>
        <w:t xml:space="preserve">2016 Ex-Post Savings </w:t>
      </w:r>
      <w:r>
        <w:rPr>
          <w:szCs w:val="26"/>
        </w:rPr>
        <w:t xml:space="preserve">award as they were paid in 2016 and comply with the Commission direction. </w:t>
      </w:r>
      <w:bookmarkStart w:id="74" w:name="_Hlk371156"/>
      <w:r w:rsidR="005F3224" w:rsidRPr="005F3224">
        <w:rPr>
          <w:szCs w:val="26"/>
        </w:rPr>
        <w:t>The Performance Statement denied these records on the basis that they were reported in 2015, but after further review, the Commission accepts this adjustment.</w:t>
      </w:r>
      <w:bookmarkEnd w:id="74"/>
    </w:p>
    <w:p w14:paraId="3641B939" w14:textId="77777777" w:rsidR="0015526B" w:rsidRPr="00A53C26" w:rsidRDefault="0015526B" w:rsidP="00B47FF2">
      <w:pPr>
        <w:pStyle w:val="ListParagraph"/>
        <w:numPr>
          <w:ilvl w:val="0"/>
          <w:numId w:val="5"/>
        </w:numPr>
        <w:spacing w:before="240" w:after="60"/>
        <w:ind w:left="778"/>
        <w:contextualSpacing w:val="0"/>
        <w:jc w:val="both"/>
        <w:rPr>
          <w:szCs w:val="26"/>
        </w:rPr>
      </w:pPr>
      <w:r w:rsidRPr="00F170DD">
        <w:rPr>
          <w:szCs w:val="26"/>
        </w:rPr>
        <w:t>201</w:t>
      </w:r>
      <w:r>
        <w:rPr>
          <w:szCs w:val="26"/>
        </w:rPr>
        <w:t>7</w:t>
      </w:r>
      <w:r w:rsidRPr="00F170DD">
        <w:rPr>
          <w:szCs w:val="26"/>
        </w:rPr>
        <w:t xml:space="preserve"> Ex-Ante Energy Savings </w:t>
      </w:r>
    </w:p>
    <w:tbl>
      <w:tblPr>
        <w:tblW w:w="9000" w:type="dxa"/>
        <w:jc w:val="right"/>
        <w:tblCellMar>
          <w:left w:w="0" w:type="dxa"/>
          <w:right w:w="0" w:type="dxa"/>
        </w:tblCellMar>
        <w:tblLook w:val="04A0" w:firstRow="1" w:lastRow="0" w:firstColumn="1" w:lastColumn="0" w:noHBand="0" w:noVBand="1"/>
      </w:tblPr>
      <w:tblGrid>
        <w:gridCol w:w="2960"/>
        <w:gridCol w:w="2013"/>
        <w:gridCol w:w="2013"/>
        <w:gridCol w:w="2014"/>
      </w:tblGrid>
      <w:tr w:rsidR="00A52B69" w14:paraId="07725F5E" w14:textId="77777777">
        <w:trPr>
          <w:trHeight w:val="475"/>
          <w:jc w:val="right"/>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26B93B4" w14:textId="77777777" w:rsidR="0015526B" w:rsidRPr="00670027" w:rsidRDefault="0015526B" w:rsidP="00B47FF2">
            <w:pPr>
              <w:spacing w:before="60" w:after="60"/>
              <w:jc w:val="center"/>
              <w:rPr>
                <w:b/>
              </w:rPr>
            </w:pPr>
            <w:r w:rsidRPr="00670027">
              <w:rPr>
                <w:b/>
              </w:rPr>
              <w:t>ESPI Component</w:t>
            </w:r>
          </w:p>
        </w:tc>
        <w:tc>
          <w:tcPr>
            <w:tcW w:w="2013" w:type="dxa"/>
            <w:tcBorders>
              <w:top w:val="single" w:sz="8" w:space="0" w:color="auto"/>
              <w:left w:val="nil"/>
              <w:bottom w:val="single" w:sz="8" w:space="0" w:color="auto"/>
              <w:right w:val="single" w:sz="4" w:space="0" w:color="auto"/>
            </w:tcBorders>
            <w:vAlign w:val="center"/>
          </w:tcPr>
          <w:p w14:paraId="440E2B9E" w14:textId="77777777" w:rsidR="0015526B" w:rsidRPr="00670027" w:rsidRDefault="0015526B" w:rsidP="00B47FF2">
            <w:pPr>
              <w:spacing w:before="60" w:after="60"/>
              <w:jc w:val="center"/>
              <w:rPr>
                <w:b/>
              </w:rPr>
            </w:pPr>
            <w:r w:rsidRPr="00670027">
              <w:rPr>
                <w:b/>
              </w:rPr>
              <w:t>201</w:t>
            </w:r>
            <w:r>
              <w:rPr>
                <w:b/>
              </w:rPr>
              <w:t>7</w:t>
            </w:r>
            <w:r w:rsidRPr="00670027">
              <w:rPr>
                <w:b/>
              </w:rPr>
              <w:t xml:space="preserve"> Cap</w:t>
            </w:r>
          </w:p>
        </w:tc>
        <w:tc>
          <w:tcPr>
            <w:tcW w:w="201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6EAC3452" w14:textId="77777777" w:rsidR="0015526B" w:rsidRPr="00670027" w:rsidRDefault="0015526B" w:rsidP="00B47FF2">
            <w:pPr>
              <w:spacing w:before="60" w:after="60"/>
              <w:jc w:val="center"/>
              <w:rPr>
                <w:b/>
              </w:rPr>
            </w:pPr>
            <w:r>
              <w:rPr>
                <w:b/>
              </w:rPr>
              <w:t>Requested</w:t>
            </w:r>
            <w:r w:rsidR="00170A6A">
              <w:rPr>
                <w:b/>
              </w:rPr>
              <w:t xml:space="preserve"> </w:t>
            </w:r>
          </w:p>
        </w:tc>
        <w:tc>
          <w:tcPr>
            <w:tcW w:w="20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602B84" w14:textId="77777777" w:rsidR="0015526B" w:rsidRPr="00670027" w:rsidRDefault="0015526B" w:rsidP="00B47FF2">
            <w:pPr>
              <w:spacing w:before="60" w:after="60"/>
              <w:jc w:val="center"/>
              <w:rPr>
                <w:b/>
              </w:rPr>
            </w:pPr>
            <w:r>
              <w:rPr>
                <w:b/>
              </w:rPr>
              <w:t>Approved</w:t>
            </w:r>
            <w:r w:rsidR="00170A6A">
              <w:rPr>
                <w:b/>
              </w:rPr>
              <w:t xml:space="preserve"> </w:t>
            </w:r>
          </w:p>
        </w:tc>
      </w:tr>
      <w:tr w:rsidR="00A52B69" w14:paraId="21ABA6D8" w14:textId="77777777">
        <w:trPr>
          <w:trHeight w:val="502"/>
          <w:jc w:val="right"/>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9C148A7" w14:textId="77777777" w:rsidR="0016075E" w:rsidRPr="001F5F04" w:rsidRDefault="0016075E" w:rsidP="00B47FF2">
            <w:pPr>
              <w:spacing w:before="60" w:after="60"/>
              <w:jc w:val="center"/>
              <w:rPr>
                <w:szCs w:val="26"/>
              </w:rPr>
            </w:pPr>
            <w:r w:rsidRPr="001F5F04">
              <w:rPr>
                <w:szCs w:val="26"/>
              </w:rPr>
              <w:t>201</w:t>
            </w:r>
            <w:r>
              <w:rPr>
                <w:szCs w:val="26"/>
              </w:rPr>
              <w:t>7</w:t>
            </w:r>
            <w:r w:rsidRPr="001F5F04">
              <w:rPr>
                <w:szCs w:val="26"/>
              </w:rPr>
              <w:t xml:space="preserve"> Ex-Ante Savings</w:t>
            </w:r>
          </w:p>
        </w:tc>
        <w:tc>
          <w:tcPr>
            <w:tcW w:w="2013" w:type="dxa"/>
            <w:tcBorders>
              <w:top w:val="single" w:sz="8" w:space="0" w:color="auto"/>
              <w:left w:val="nil"/>
              <w:bottom w:val="single" w:sz="8" w:space="0" w:color="auto"/>
              <w:right w:val="single" w:sz="4" w:space="0" w:color="auto"/>
            </w:tcBorders>
            <w:vAlign w:val="center"/>
          </w:tcPr>
          <w:p w14:paraId="170D0EA7" w14:textId="77777777" w:rsidR="0016075E" w:rsidRPr="001F5F04" w:rsidRDefault="0016075E" w:rsidP="00B47FF2">
            <w:pPr>
              <w:spacing w:before="60" w:after="60"/>
              <w:jc w:val="center"/>
              <w:rPr>
                <w:szCs w:val="26"/>
              </w:rPr>
            </w:pPr>
            <w:r>
              <w:rPr>
                <w:bCs/>
              </w:rPr>
              <w:t>$4,453,120</w:t>
            </w:r>
          </w:p>
        </w:tc>
        <w:tc>
          <w:tcPr>
            <w:tcW w:w="201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6AF7EA4B" w14:textId="77777777" w:rsidR="0016075E" w:rsidRPr="001F5F04" w:rsidRDefault="0016075E" w:rsidP="00B47FF2">
            <w:pPr>
              <w:spacing w:before="60" w:after="60"/>
              <w:jc w:val="center"/>
              <w:rPr>
                <w:color w:val="000000"/>
                <w:szCs w:val="26"/>
              </w:rPr>
            </w:pPr>
            <w:r>
              <w:t>$</w:t>
            </w:r>
            <w:r w:rsidRPr="0055620E">
              <w:t>188,272</w:t>
            </w:r>
          </w:p>
        </w:tc>
        <w:tc>
          <w:tcPr>
            <w:tcW w:w="20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3E41FFB" w14:textId="77777777" w:rsidR="0016075E" w:rsidRPr="001F5F04" w:rsidRDefault="0016075E" w:rsidP="00B47FF2">
            <w:pPr>
              <w:spacing w:before="60" w:after="60"/>
              <w:jc w:val="center"/>
              <w:rPr>
                <w:color w:val="000000"/>
                <w:szCs w:val="26"/>
              </w:rPr>
            </w:pPr>
            <w:r>
              <w:rPr>
                <w:color w:val="000000"/>
                <w:szCs w:val="26"/>
              </w:rPr>
              <w:t>$</w:t>
            </w:r>
            <w:r w:rsidRPr="0055620E">
              <w:t>188,272</w:t>
            </w:r>
          </w:p>
        </w:tc>
      </w:tr>
    </w:tbl>
    <w:p w14:paraId="512C6AF5" w14:textId="77777777" w:rsidR="0015526B" w:rsidRDefault="0015526B" w:rsidP="00B47FF2">
      <w:pPr>
        <w:pStyle w:val="Heading3"/>
        <w:numPr>
          <w:ilvl w:val="0"/>
          <w:numId w:val="0"/>
        </w:numPr>
        <w:spacing w:before="240"/>
        <w:jc w:val="both"/>
        <w:rPr>
          <w:u w:val="single"/>
        </w:rPr>
      </w:pPr>
      <w:r w:rsidRPr="00F275DE">
        <w:t xml:space="preserve">1.2 </w:t>
      </w:r>
      <w:r w:rsidRPr="00F275DE">
        <w:rPr>
          <w:u w:val="single"/>
        </w:rPr>
        <w:t>Ex-Ante Review (EAR) Process Performance</w:t>
      </w:r>
    </w:p>
    <w:p w14:paraId="30102594" w14:textId="77777777" w:rsidR="0088258A" w:rsidRPr="00FE7591" w:rsidRDefault="00F65784" w:rsidP="00F65784">
      <w:pPr>
        <w:ind w:left="360"/>
        <w:jc w:val="both"/>
      </w:pPr>
      <w:r w:rsidRPr="00E25AD2">
        <w:t xml:space="preserve">SoCalGas’ award was reduced by </w:t>
      </w:r>
      <w:r>
        <w:t xml:space="preserve">the </w:t>
      </w:r>
      <w:r w:rsidRPr="00E25AD2">
        <w:t>excess DINI and ME&amp;O expenditures</w:t>
      </w:r>
      <w:r>
        <w:t xml:space="preserve"> (see section 3) </w:t>
      </w:r>
      <w:r w:rsidR="003F61BF">
        <w:t>c</w:t>
      </w:r>
      <w:r>
        <w:t>)</w:t>
      </w:r>
      <w:r w:rsidRPr="00E25AD2">
        <w:t>.</w:t>
      </w:r>
      <w:r>
        <w:t xml:space="preserve"> SoCalGas’ 2017 EAR </w:t>
      </w:r>
      <w:r w:rsidR="006F16AE">
        <w:t>P</w:t>
      </w:r>
      <w:r>
        <w:t>erformance score was weighted by their deemed and custom savings (see section 5).</w:t>
      </w:r>
      <w:r w:rsidDel="00F65784">
        <w:t xml:space="preserve"> </w:t>
      </w:r>
    </w:p>
    <w:tbl>
      <w:tblPr>
        <w:tblW w:w="9000" w:type="dxa"/>
        <w:jc w:val="right"/>
        <w:tblCellMar>
          <w:left w:w="0" w:type="dxa"/>
          <w:right w:w="0" w:type="dxa"/>
        </w:tblCellMar>
        <w:tblLook w:val="04A0" w:firstRow="1" w:lastRow="0" w:firstColumn="1" w:lastColumn="0" w:noHBand="0" w:noVBand="1"/>
      </w:tblPr>
      <w:tblGrid>
        <w:gridCol w:w="2960"/>
        <w:gridCol w:w="2013"/>
        <w:gridCol w:w="2013"/>
        <w:gridCol w:w="2014"/>
      </w:tblGrid>
      <w:tr w:rsidR="00A52B69" w14:paraId="7307C779" w14:textId="77777777">
        <w:trPr>
          <w:trHeight w:val="457"/>
          <w:jc w:val="right"/>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67E59CE" w14:textId="77777777" w:rsidR="0015526B" w:rsidRPr="00547822" w:rsidRDefault="0015526B" w:rsidP="00B47FF2">
            <w:pPr>
              <w:spacing w:before="60" w:after="60"/>
              <w:jc w:val="center"/>
              <w:rPr>
                <w:rFonts w:ascii="Calibri" w:eastAsiaTheme="minorHAnsi" w:hAnsi="Calibri"/>
              </w:rPr>
            </w:pPr>
            <w:r w:rsidRPr="00547822">
              <w:rPr>
                <w:b/>
              </w:rPr>
              <w:t>ESPI Component</w:t>
            </w:r>
          </w:p>
        </w:tc>
        <w:tc>
          <w:tcPr>
            <w:tcW w:w="2013" w:type="dxa"/>
            <w:tcBorders>
              <w:top w:val="single" w:sz="8" w:space="0" w:color="auto"/>
              <w:left w:val="nil"/>
              <w:bottom w:val="single" w:sz="8" w:space="0" w:color="auto"/>
              <w:right w:val="single" w:sz="4" w:space="0" w:color="auto"/>
            </w:tcBorders>
            <w:vAlign w:val="center"/>
          </w:tcPr>
          <w:p w14:paraId="68483922" w14:textId="77777777" w:rsidR="0015526B" w:rsidRPr="00547822" w:rsidRDefault="0015526B" w:rsidP="00B47FF2">
            <w:pPr>
              <w:spacing w:before="60" w:after="60"/>
              <w:jc w:val="center"/>
              <w:rPr>
                <w:b/>
              </w:rPr>
            </w:pPr>
            <w:r w:rsidRPr="00547822">
              <w:rPr>
                <w:b/>
              </w:rPr>
              <w:t>201</w:t>
            </w:r>
            <w:r>
              <w:rPr>
                <w:b/>
              </w:rPr>
              <w:t>7</w:t>
            </w:r>
            <w:r w:rsidRPr="00547822">
              <w:rPr>
                <w:b/>
              </w:rPr>
              <w:t xml:space="preserve"> Cap</w:t>
            </w:r>
          </w:p>
        </w:tc>
        <w:tc>
          <w:tcPr>
            <w:tcW w:w="201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35C4AC96" w14:textId="77777777" w:rsidR="0015526B" w:rsidRPr="00547822" w:rsidRDefault="0015526B" w:rsidP="00B47FF2">
            <w:pPr>
              <w:spacing w:before="60" w:after="60"/>
              <w:jc w:val="center"/>
              <w:rPr>
                <w:rFonts w:ascii="Calibri" w:eastAsiaTheme="minorHAnsi" w:hAnsi="Calibri"/>
                <w:b/>
              </w:rPr>
            </w:pPr>
            <w:r>
              <w:rPr>
                <w:b/>
              </w:rPr>
              <w:t>Requested</w:t>
            </w:r>
          </w:p>
        </w:tc>
        <w:tc>
          <w:tcPr>
            <w:tcW w:w="2014" w:type="dxa"/>
            <w:tcBorders>
              <w:top w:val="single" w:sz="8" w:space="0" w:color="auto"/>
              <w:left w:val="single" w:sz="4" w:space="0" w:color="auto"/>
              <w:bottom w:val="single" w:sz="8" w:space="0" w:color="auto"/>
              <w:right w:val="single" w:sz="8" w:space="0" w:color="auto"/>
            </w:tcBorders>
            <w:vAlign w:val="center"/>
          </w:tcPr>
          <w:p w14:paraId="551DCB29" w14:textId="77777777" w:rsidR="0015526B" w:rsidRPr="00547822" w:rsidRDefault="0015526B" w:rsidP="00B47FF2">
            <w:pPr>
              <w:spacing w:before="60" w:after="60"/>
              <w:jc w:val="center"/>
              <w:rPr>
                <w:b/>
              </w:rPr>
            </w:pPr>
            <w:r>
              <w:rPr>
                <w:b/>
              </w:rPr>
              <w:t>Approved</w:t>
            </w:r>
          </w:p>
        </w:tc>
      </w:tr>
      <w:tr w:rsidR="00A52B69" w14:paraId="0092A5E5" w14:textId="77777777">
        <w:trPr>
          <w:trHeight w:val="520"/>
          <w:jc w:val="right"/>
        </w:trPr>
        <w:tc>
          <w:tcPr>
            <w:tcW w:w="29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C7C5629" w14:textId="77777777" w:rsidR="00E14035" w:rsidRPr="001F5F04" w:rsidRDefault="00E14035" w:rsidP="00B47FF2">
            <w:pPr>
              <w:spacing w:before="60" w:after="60"/>
              <w:jc w:val="center"/>
              <w:rPr>
                <w:rFonts w:ascii="Calibri" w:eastAsiaTheme="minorHAnsi" w:hAnsi="Calibri"/>
                <w:szCs w:val="26"/>
              </w:rPr>
            </w:pPr>
            <w:r w:rsidRPr="001F5F04">
              <w:rPr>
                <w:szCs w:val="26"/>
              </w:rPr>
              <w:t>201</w:t>
            </w:r>
            <w:r>
              <w:rPr>
                <w:szCs w:val="26"/>
              </w:rPr>
              <w:t>7</w:t>
            </w:r>
            <w:r w:rsidRPr="001F5F04">
              <w:rPr>
                <w:szCs w:val="26"/>
              </w:rPr>
              <w:t xml:space="preserve"> EAR Performance</w:t>
            </w:r>
          </w:p>
        </w:tc>
        <w:tc>
          <w:tcPr>
            <w:tcW w:w="2013" w:type="dxa"/>
            <w:tcBorders>
              <w:top w:val="single" w:sz="8" w:space="0" w:color="auto"/>
              <w:left w:val="nil"/>
              <w:bottom w:val="single" w:sz="4" w:space="0" w:color="auto"/>
              <w:right w:val="single" w:sz="4" w:space="0" w:color="auto"/>
            </w:tcBorders>
            <w:vAlign w:val="center"/>
          </w:tcPr>
          <w:p w14:paraId="19021746" w14:textId="77777777" w:rsidR="00E14035" w:rsidRPr="0016075E" w:rsidRDefault="00E14035" w:rsidP="00B47FF2">
            <w:pPr>
              <w:spacing w:before="60" w:after="60"/>
              <w:jc w:val="center"/>
              <w:rPr>
                <w:bCs/>
              </w:rPr>
            </w:pPr>
            <w:r w:rsidRPr="0016075E">
              <w:rPr>
                <w:bCs/>
              </w:rPr>
              <w:t xml:space="preserve"> $1,</w:t>
            </w:r>
            <w:r w:rsidR="00A4271D" w:rsidRPr="0016075E">
              <w:rPr>
                <w:bCs/>
              </w:rPr>
              <w:t>484</w:t>
            </w:r>
            <w:r w:rsidRPr="0016075E">
              <w:rPr>
                <w:bCs/>
              </w:rPr>
              <w:t>,</w:t>
            </w:r>
            <w:r w:rsidR="00A4271D" w:rsidRPr="0016075E">
              <w:rPr>
                <w:bCs/>
              </w:rPr>
              <w:t>37</w:t>
            </w:r>
            <w:r w:rsidRPr="0016075E">
              <w:rPr>
                <w:bCs/>
              </w:rPr>
              <w:t xml:space="preserve">3 </w:t>
            </w:r>
          </w:p>
        </w:tc>
        <w:tc>
          <w:tcPr>
            <w:tcW w:w="2013"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00438AA3" w14:textId="77777777" w:rsidR="00E14035" w:rsidRPr="0016075E" w:rsidRDefault="00E14035" w:rsidP="00B47FF2">
            <w:pPr>
              <w:spacing w:before="60" w:after="60"/>
              <w:jc w:val="center"/>
              <w:rPr>
                <w:bCs/>
              </w:rPr>
            </w:pPr>
            <w:r w:rsidRPr="0016075E">
              <w:rPr>
                <w:bCs/>
              </w:rPr>
              <w:t xml:space="preserve"> $663,025 </w:t>
            </w:r>
          </w:p>
        </w:tc>
        <w:tc>
          <w:tcPr>
            <w:tcW w:w="2014" w:type="dxa"/>
            <w:tcBorders>
              <w:top w:val="single" w:sz="8" w:space="0" w:color="auto"/>
              <w:left w:val="single" w:sz="4" w:space="0" w:color="auto"/>
              <w:bottom w:val="single" w:sz="4" w:space="0" w:color="auto"/>
              <w:right w:val="single" w:sz="8" w:space="0" w:color="auto"/>
            </w:tcBorders>
            <w:vAlign w:val="center"/>
          </w:tcPr>
          <w:p w14:paraId="3A2A3727" w14:textId="77777777" w:rsidR="00E14035" w:rsidRPr="000A337C" w:rsidRDefault="00ED5234" w:rsidP="00B47FF2">
            <w:pPr>
              <w:spacing w:before="60" w:after="60"/>
              <w:jc w:val="center"/>
              <w:rPr>
                <w:bCs/>
                <w:highlight w:val="yellow"/>
              </w:rPr>
            </w:pPr>
            <w:r w:rsidRPr="00ED5234">
              <w:rPr>
                <w:bCs/>
              </w:rPr>
              <w:t>$</w:t>
            </w:r>
            <w:r w:rsidR="00E55406">
              <w:rPr>
                <w:bCs/>
              </w:rPr>
              <w:t>626,844</w:t>
            </w:r>
            <w:r w:rsidR="000D4334" w:rsidRPr="000D4334">
              <w:rPr>
                <w:bCs/>
              </w:rPr>
              <w:t xml:space="preserve"> </w:t>
            </w:r>
          </w:p>
        </w:tc>
      </w:tr>
    </w:tbl>
    <w:p w14:paraId="14F2F213" w14:textId="77777777" w:rsidR="0015526B" w:rsidRDefault="0015526B" w:rsidP="00F65784">
      <w:pPr>
        <w:spacing w:before="240"/>
      </w:pPr>
      <w:r w:rsidRPr="00AA3BE7">
        <w:t xml:space="preserve">1.3 </w:t>
      </w:r>
      <w:r w:rsidRPr="00AA3BE7">
        <w:rPr>
          <w:u w:val="single"/>
        </w:rPr>
        <w:t>Codes and Standards</w:t>
      </w:r>
      <w:r w:rsidR="0098585C" w:rsidRPr="00AA3BE7">
        <w:rPr>
          <w:u w:val="single"/>
        </w:rPr>
        <w:t xml:space="preserve"> (C&amp;S) Advocacy Programs</w:t>
      </w:r>
    </w:p>
    <w:p w14:paraId="473D7900" w14:textId="77777777" w:rsidR="00EF75B9" w:rsidRPr="00AB5EB4" w:rsidRDefault="00EF75B9" w:rsidP="005D4363">
      <w:pPr>
        <w:ind w:left="360"/>
      </w:pPr>
      <w:r w:rsidRPr="006C5C89">
        <w:t xml:space="preserve">SoCalGas </w:t>
      </w:r>
      <w:r w:rsidR="00B360F8" w:rsidRPr="006C5C89">
        <w:t xml:space="preserve">is not </w:t>
      </w:r>
      <w:r w:rsidRPr="006C5C89">
        <w:t>award</w:t>
      </w:r>
      <w:r w:rsidR="00B360F8" w:rsidRPr="006C5C89">
        <w:t>ed these amounts</w:t>
      </w:r>
      <w:r w:rsidRPr="006C5C89">
        <w:t xml:space="preserve"> </w:t>
      </w:r>
      <w:r w:rsidR="00832918" w:rsidRPr="006C5C89">
        <w:t xml:space="preserve">for 2017 </w:t>
      </w:r>
      <w:r w:rsidR="002677F3" w:rsidRPr="006C5C89">
        <w:t xml:space="preserve">pending </w:t>
      </w:r>
      <w:r w:rsidR="00B360F8" w:rsidRPr="006C5C89">
        <w:t xml:space="preserve">further </w:t>
      </w:r>
      <w:r w:rsidR="002677F3" w:rsidRPr="006C5C89">
        <w:t>consideration of this issue in R.13-11-005</w:t>
      </w:r>
      <w:r w:rsidRPr="006C5C89">
        <w:t>.</w:t>
      </w:r>
      <w:r w:rsidR="00171BD2">
        <w:t xml:space="preserve">  SoCalGas was previously awarded a shareholder incentive award for its 2016 C&amp;S advocacy.  In its protest, Cal</w:t>
      </w:r>
      <w:r w:rsidR="00E02BEE">
        <w:t xml:space="preserve"> Advocates</w:t>
      </w:r>
      <w:r w:rsidR="00171BD2">
        <w:t xml:space="preserve"> asked the Commission to true that 2016 award up to zero.  Although the Commission declines to do so</w:t>
      </w:r>
      <w:r w:rsidR="00E02BEE">
        <w:t xml:space="preserve"> now</w:t>
      </w:r>
      <w:r w:rsidR="00171BD2">
        <w:t xml:space="preserve">, it will consider </w:t>
      </w:r>
      <w:r w:rsidR="00E02BEE">
        <w:t xml:space="preserve">that question </w:t>
      </w:r>
      <w:r w:rsidR="00171BD2">
        <w:t>in R.13-11-005</w:t>
      </w:r>
      <w:r w:rsidR="00E02BEE">
        <w:t>.</w:t>
      </w:r>
    </w:p>
    <w:tbl>
      <w:tblPr>
        <w:tblW w:w="9000" w:type="dxa"/>
        <w:jc w:val="right"/>
        <w:tblCellMar>
          <w:left w:w="0" w:type="dxa"/>
          <w:right w:w="0" w:type="dxa"/>
        </w:tblCellMar>
        <w:tblLook w:val="04A0" w:firstRow="1" w:lastRow="0" w:firstColumn="1" w:lastColumn="0" w:noHBand="0" w:noVBand="1"/>
      </w:tblPr>
      <w:tblGrid>
        <w:gridCol w:w="2960"/>
        <w:gridCol w:w="2013"/>
        <w:gridCol w:w="2013"/>
        <w:gridCol w:w="2014"/>
      </w:tblGrid>
      <w:tr w:rsidR="00A52B69" w14:paraId="2C3519B8" w14:textId="77777777">
        <w:trPr>
          <w:trHeight w:val="520"/>
          <w:jc w:val="right"/>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C57DFE3" w14:textId="77777777" w:rsidR="0015526B" w:rsidRPr="00670027" w:rsidRDefault="0015526B" w:rsidP="00B47FF2">
            <w:pPr>
              <w:spacing w:before="60" w:after="60"/>
              <w:jc w:val="center"/>
              <w:rPr>
                <w:rFonts w:ascii="Calibri" w:eastAsiaTheme="minorHAnsi" w:hAnsi="Calibri"/>
              </w:rPr>
            </w:pPr>
            <w:r w:rsidRPr="00670027">
              <w:rPr>
                <w:b/>
              </w:rPr>
              <w:t>ESPI Component</w:t>
            </w:r>
          </w:p>
        </w:tc>
        <w:tc>
          <w:tcPr>
            <w:tcW w:w="2013" w:type="dxa"/>
            <w:tcBorders>
              <w:top w:val="single" w:sz="8" w:space="0" w:color="auto"/>
              <w:left w:val="nil"/>
              <w:bottom w:val="single" w:sz="8" w:space="0" w:color="auto"/>
              <w:right w:val="single" w:sz="4" w:space="0" w:color="auto"/>
            </w:tcBorders>
            <w:vAlign w:val="center"/>
          </w:tcPr>
          <w:p w14:paraId="7234D264" w14:textId="77777777" w:rsidR="0015526B" w:rsidRPr="00670027" w:rsidRDefault="0015526B" w:rsidP="00B47FF2">
            <w:pPr>
              <w:spacing w:before="60" w:after="60"/>
              <w:jc w:val="center"/>
              <w:rPr>
                <w:b/>
              </w:rPr>
            </w:pPr>
            <w:r w:rsidRPr="00670027">
              <w:rPr>
                <w:b/>
              </w:rPr>
              <w:t>201</w:t>
            </w:r>
            <w:r>
              <w:rPr>
                <w:b/>
              </w:rPr>
              <w:t>7</w:t>
            </w:r>
            <w:r w:rsidRPr="00670027">
              <w:rPr>
                <w:b/>
              </w:rPr>
              <w:t xml:space="preserve"> Cap</w:t>
            </w:r>
          </w:p>
        </w:tc>
        <w:tc>
          <w:tcPr>
            <w:tcW w:w="201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6F7838BE" w14:textId="77777777" w:rsidR="0015526B" w:rsidRPr="00670027" w:rsidRDefault="0015526B" w:rsidP="00B47FF2">
            <w:pPr>
              <w:spacing w:before="60" w:after="60"/>
              <w:jc w:val="center"/>
              <w:rPr>
                <w:rFonts w:ascii="Calibri" w:eastAsiaTheme="minorHAnsi" w:hAnsi="Calibri"/>
                <w:b/>
              </w:rPr>
            </w:pPr>
            <w:r>
              <w:rPr>
                <w:b/>
              </w:rPr>
              <w:t>Requested</w:t>
            </w:r>
          </w:p>
        </w:tc>
        <w:tc>
          <w:tcPr>
            <w:tcW w:w="20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225B8F2" w14:textId="77777777" w:rsidR="0015526B" w:rsidRPr="00670027" w:rsidRDefault="0015526B" w:rsidP="00B47FF2">
            <w:pPr>
              <w:spacing w:before="60" w:after="60"/>
              <w:jc w:val="center"/>
              <w:rPr>
                <w:rFonts w:ascii="Calibri" w:eastAsiaTheme="minorHAnsi" w:hAnsi="Calibri"/>
                <w:b/>
              </w:rPr>
            </w:pPr>
            <w:r>
              <w:rPr>
                <w:b/>
              </w:rPr>
              <w:t>Approved</w:t>
            </w:r>
          </w:p>
        </w:tc>
      </w:tr>
      <w:tr w:rsidR="00A52B69" w14:paraId="7F697F23" w14:textId="77777777">
        <w:trPr>
          <w:trHeight w:val="475"/>
          <w:jc w:val="right"/>
        </w:trPr>
        <w:tc>
          <w:tcPr>
            <w:tcW w:w="29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C2880CA" w14:textId="77777777" w:rsidR="00E14035" w:rsidRPr="001F5F04" w:rsidRDefault="00E14035" w:rsidP="00014E0F">
            <w:pPr>
              <w:spacing w:before="60" w:after="60"/>
              <w:jc w:val="center"/>
              <w:rPr>
                <w:rFonts w:ascii="Calibri" w:eastAsiaTheme="minorHAnsi" w:hAnsi="Calibri"/>
                <w:szCs w:val="26"/>
              </w:rPr>
            </w:pPr>
            <w:r w:rsidRPr="001F5F04">
              <w:rPr>
                <w:szCs w:val="26"/>
              </w:rPr>
              <w:t>201</w:t>
            </w:r>
            <w:r>
              <w:rPr>
                <w:szCs w:val="26"/>
              </w:rPr>
              <w:t>7</w:t>
            </w:r>
            <w:r w:rsidRPr="001F5F04">
              <w:rPr>
                <w:szCs w:val="26"/>
              </w:rPr>
              <w:t xml:space="preserve"> </w:t>
            </w:r>
            <w:r w:rsidR="0098585C">
              <w:t>C&amp;S</w:t>
            </w:r>
            <w:r w:rsidR="0098585C" w:rsidRPr="00897112">
              <w:t xml:space="preserve"> </w:t>
            </w:r>
            <w:r w:rsidR="0098585C">
              <w:t>Advocacy</w:t>
            </w:r>
          </w:p>
        </w:tc>
        <w:tc>
          <w:tcPr>
            <w:tcW w:w="2013" w:type="dxa"/>
            <w:tcBorders>
              <w:top w:val="single" w:sz="8" w:space="0" w:color="auto"/>
              <w:left w:val="nil"/>
              <w:bottom w:val="single" w:sz="4" w:space="0" w:color="auto"/>
              <w:right w:val="single" w:sz="4" w:space="0" w:color="auto"/>
            </w:tcBorders>
            <w:vAlign w:val="center"/>
          </w:tcPr>
          <w:p w14:paraId="08E169CD" w14:textId="77777777" w:rsidR="00E14035" w:rsidRPr="0016075E" w:rsidRDefault="00E14035" w:rsidP="00B47FF2">
            <w:pPr>
              <w:spacing w:before="60" w:after="60"/>
              <w:jc w:val="center"/>
              <w:rPr>
                <w:bCs/>
              </w:rPr>
            </w:pPr>
            <w:r w:rsidRPr="0016075E">
              <w:rPr>
                <w:bCs/>
              </w:rPr>
              <w:t xml:space="preserve"> $91,293 </w:t>
            </w:r>
          </w:p>
        </w:tc>
        <w:tc>
          <w:tcPr>
            <w:tcW w:w="2013"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4AA49B96" w14:textId="77777777" w:rsidR="00E14035" w:rsidRPr="0016075E" w:rsidRDefault="00E14035" w:rsidP="00B47FF2">
            <w:pPr>
              <w:spacing w:before="60" w:after="60"/>
              <w:jc w:val="center"/>
              <w:rPr>
                <w:bCs/>
              </w:rPr>
            </w:pPr>
            <w:r w:rsidRPr="0016075E">
              <w:rPr>
                <w:bCs/>
              </w:rPr>
              <w:t xml:space="preserve"> $91,293 </w:t>
            </w:r>
          </w:p>
        </w:tc>
        <w:tc>
          <w:tcPr>
            <w:tcW w:w="201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7F1B996" w14:textId="77777777" w:rsidR="00E14035" w:rsidRPr="00AA3BE7" w:rsidRDefault="00E14035" w:rsidP="00B47FF2">
            <w:pPr>
              <w:spacing w:before="60" w:after="60"/>
              <w:jc w:val="center"/>
              <w:rPr>
                <w:bCs/>
                <w:highlight w:val="yellow"/>
              </w:rPr>
            </w:pPr>
            <w:r w:rsidRPr="006C5C89">
              <w:rPr>
                <w:bCs/>
              </w:rPr>
              <w:t xml:space="preserve"> $</w:t>
            </w:r>
            <w:r w:rsidR="002F70D0" w:rsidRPr="006C5C89">
              <w:rPr>
                <w:bCs/>
              </w:rPr>
              <w:t>0</w:t>
            </w:r>
          </w:p>
        </w:tc>
      </w:tr>
    </w:tbl>
    <w:p w14:paraId="0D3F6524" w14:textId="77777777" w:rsidR="0015526B" w:rsidRPr="00DA06ED" w:rsidRDefault="0015526B" w:rsidP="00B47FF2">
      <w:pPr>
        <w:pStyle w:val="Heading3"/>
        <w:numPr>
          <w:ilvl w:val="0"/>
          <w:numId w:val="0"/>
        </w:numPr>
        <w:spacing w:before="200"/>
        <w:rPr>
          <w:u w:val="single"/>
        </w:rPr>
      </w:pPr>
      <w:r w:rsidRPr="00DA06ED">
        <w:t xml:space="preserve">1.4 </w:t>
      </w:r>
      <w:r w:rsidRPr="00DA06ED">
        <w:rPr>
          <w:u w:val="single"/>
        </w:rPr>
        <w:t>Non-Resource Programs</w:t>
      </w:r>
    </w:p>
    <w:tbl>
      <w:tblPr>
        <w:tblW w:w="9000" w:type="dxa"/>
        <w:jc w:val="right"/>
        <w:tblCellMar>
          <w:left w:w="0" w:type="dxa"/>
          <w:right w:w="0" w:type="dxa"/>
        </w:tblCellMar>
        <w:tblLook w:val="04A0" w:firstRow="1" w:lastRow="0" w:firstColumn="1" w:lastColumn="0" w:noHBand="0" w:noVBand="1"/>
      </w:tblPr>
      <w:tblGrid>
        <w:gridCol w:w="2960"/>
        <w:gridCol w:w="2013"/>
        <w:gridCol w:w="2013"/>
        <w:gridCol w:w="2014"/>
      </w:tblGrid>
      <w:tr w:rsidR="00A52B69" w14:paraId="1C1B1B48" w14:textId="77777777">
        <w:trPr>
          <w:trHeight w:val="448"/>
          <w:jc w:val="right"/>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417E0A2" w14:textId="77777777" w:rsidR="0015526B" w:rsidRPr="00C60E4A" w:rsidRDefault="0015526B" w:rsidP="00B47FF2">
            <w:pPr>
              <w:spacing w:before="60" w:after="60"/>
              <w:jc w:val="center"/>
              <w:rPr>
                <w:rFonts w:ascii="Calibri" w:eastAsiaTheme="minorHAnsi" w:hAnsi="Calibri"/>
              </w:rPr>
            </w:pPr>
            <w:r>
              <w:br w:type="page"/>
            </w:r>
            <w:r w:rsidRPr="00C60E4A">
              <w:rPr>
                <w:b/>
              </w:rPr>
              <w:t>ESPI Component</w:t>
            </w:r>
          </w:p>
        </w:tc>
        <w:tc>
          <w:tcPr>
            <w:tcW w:w="2013" w:type="dxa"/>
            <w:tcBorders>
              <w:top w:val="single" w:sz="8" w:space="0" w:color="auto"/>
              <w:left w:val="nil"/>
              <w:bottom w:val="single" w:sz="8" w:space="0" w:color="auto"/>
              <w:right w:val="single" w:sz="4" w:space="0" w:color="auto"/>
            </w:tcBorders>
            <w:vAlign w:val="center"/>
          </w:tcPr>
          <w:p w14:paraId="3311766D" w14:textId="77777777" w:rsidR="0015526B" w:rsidRPr="00C60E4A" w:rsidRDefault="0015526B" w:rsidP="00B47FF2">
            <w:pPr>
              <w:spacing w:before="60" w:after="60"/>
              <w:jc w:val="center"/>
              <w:rPr>
                <w:b/>
              </w:rPr>
            </w:pPr>
            <w:r w:rsidRPr="00C60E4A">
              <w:rPr>
                <w:b/>
              </w:rPr>
              <w:t>201</w:t>
            </w:r>
            <w:r>
              <w:rPr>
                <w:b/>
              </w:rPr>
              <w:t>7</w:t>
            </w:r>
            <w:r w:rsidRPr="00C60E4A">
              <w:rPr>
                <w:b/>
              </w:rPr>
              <w:t xml:space="preserve"> Cap</w:t>
            </w:r>
          </w:p>
        </w:tc>
        <w:tc>
          <w:tcPr>
            <w:tcW w:w="201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3FF909B1" w14:textId="77777777" w:rsidR="0015526B" w:rsidRPr="00C60E4A" w:rsidRDefault="0015526B" w:rsidP="00B47FF2">
            <w:pPr>
              <w:spacing w:before="60" w:after="60"/>
              <w:jc w:val="center"/>
              <w:rPr>
                <w:rFonts w:ascii="Calibri" w:eastAsiaTheme="minorHAnsi" w:hAnsi="Calibri"/>
                <w:b/>
              </w:rPr>
            </w:pPr>
            <w:r>
              <w:rPr>
                <w:b/>
              </w:rPr>
              <w:t>Requested</w:t>
            </w:r>
          </w:p>
        </w:tc>
        <w:tc>
          <w:tcPr>
            <w:tcW w:w="20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FF599D3" w14:textId="77777777" w:rsidR="0015526B" w:rsidRPr="00C60E4A" w:rsidRDefault="0015526B" w:rsidP="00B47FF2">
            <w:pPr>
              <w:spacing w:before="60" w:after="60"/>
              <w:jc w:val="center"/>
              <w:rPr>
                <w:rFonts w:ascii="Calibri" w:eastAsiaTheme="minorHAnsi" w:hAnsi="Calibri"/>
                <w:b/>
              </w:rPr>
            </w:pPr>
            <w:r>
              <w:rPr>
                <w:b/>
              </w:rPr>
              <w:t>Approved</w:t>
            </w:r>
          </w:p>
        </w:tc>
      </w:tr>
      <w:tr w:rsidR="00A52B69" w14:paraId="73741183" w14:textId="77777777">
        <w:trPr>
          <w:trHeight w:val="448"/>
          <w:jc w:val="right"/>
        </w:trPr>
        <w:tc>
          <w:tcPr>
            <w:tcW w:w="29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6F254A6" w14:textId="77777777" w:rsidR="00E14035" w:rsidRPr="001F5F04" w:rsidRDefault="00E14035" w:rsidP="00B47FF2">
            <w:pPr>
              <w:spacing w:before="60" w:after="60"/>
              <w:jc w:val="center"/>
              <w:rPr>
                <w:rFonts w:ascii="Calibri" w:eastAsiaTheme="minorHAnsi" w:hAnsi="Calibri"/>
                <w:szCs w:val="26"/>
              </w:rPr>
            </w:pPr>
            <w:r w:rsidRPr="001F5F04">
              <w:rPr>
                <w:szCs w:val="26"/>
              </w:rPr>
              <w:t>201</w:t>
            </w:r>
            <w:r>
              <w:rPr>
                <w:szCs w:val="26"/>
              </w:rPr>
              <w:t>7</w:t>
            </w:r>
            <w:r w:rsidRPr="001F5F04">
              <w:rPr>
                <w:szCs w:val="26"/>
              </w:rPr>
              <w:t xml:space="preserve"> Non-Resource</w:t>
            </w:r>
          </w:p>
        </w:tc>
        <w:tc>
          <w:tcPr>
            <w:tcW w:w="2013" w:type="dxa"/>
            <w:tcBorders>
              <w:top w:val="single" w:sz="8" w:space="0" w:color="auto"/>
              <w:left w:val="nil"/>
              <w:bottom w:val="single" w:sz="4" w:space="0" w:color="auto"/>
              <w:right w:val="single" w:sz="4" w:space="0" w:color="auto"/>
            </w:tcBorders>
            <w:vAlign w:val="center"/>
          </w:tcPr>
          <w:p w14:paraId="29A646B0" w14:textId="77777777" w:rsidR="00E14035" w:rsidRPr="0016075E" w:rsidRDefault="00E14035" w:rsidP="00B47FF2">
            <w:pPr>
              <w:spacing w:before="60" w:after="60"/>
              <w:jc w:val="center"/>
              <w:rPr>
                <w:bCs/>
              </w:rPr>
            </w:pPr>
            <w:r w:rsidRPr="0016075E">
              <w:rPr>
                <w:bCs/>
              </w:rPr>
              <w:t xml:space="preserve"> $376,441 </w:t>
            </w:r>
          </w:p>
        </w:tc>
        <w:tc>
          <w:tcPr>
            <w:tcW w:w="2013"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6AF2945E" w14:textId="77777777" w:rsidR="00E14035" w:rsidRPr="0016075E" w:rsidRDefault="00E14035" w:rsidP="00B47FF2">
            <w:pPr>
              <w:spacing w:before="60" w:after="60"/>
              <w:jc w:val="center"/>
              <w:rPr>
                <w:bCs/>
              </w:rPr>
            </w:pPr>
            <w:r w:rsidRPr="0016075E">
              <w:rPr>
                <w:bCs/>
              </w:rPr>
              <w:t xml:space="preserve"> $285,866 </w:t>
            </w:r>
          </w:p>
        </w:tc>
        <w:tc>
          <w:tcPr>
            <w:tcW w:w="201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732D075" w14:textId="77777777" w:rsidR="00E14035" w:rsidRPr="0016075E" w:rsidRDefault="00E14035" w:rsidP="00B47FF2">
            <w:pPr>
              <w:spacing w:before="60" w:after="60"/>
              <w:jc w:val="center"/>
              <w:rPr>
                <w:bCs/>
              </w:rPr>
            </w:pPr>
            <w:r w:rsidRPr="0016075E">
              <w:rPr>
                <w:bCs/>
              </w:rPr>
              <w:t xml:space="preserve"> $285,</w:t>
            </w:r>
            <w:r w:rsidR="00E25AD2" w:rsidRPr="0016075E">
              <w:rPr>
                <w:bCs/>
              </w:rPr>
              <w:t>748</w:t>
            </w:r>
          </w:p>
        </w:tc>
      </w:tr>
    </w:tbl>
    <w:p w14:paraId="46D0B5EA" w14:textId="51132AF7" w:rsidR="00E25AD2" w:rsidRDefault="00E25AD2" w:rsidP="00291682">
      <w:pPr>
        <w:ind w:left="360"/>
      </w:pPr>
      <w:r w:rsidRPr="00E25AD2">
        <w:t>SoCalGas’ award was reduced by excess ME&amp;O expenditures.</w:t>
      </w:r>
    </w:p>
    <w:p w14:paraId="67642902" w14:textId="77777777" w:rsidR="004E330C" w:rsidRPr="00E25AD2" w:rsidRDefault="004E330C" w:rsidP="00291682">
      <w:pPr>
        <w:ind w:left="360"/>
      </w:pPr>
    </w:p>
    <w:p w14:paraId="4FDFBE6E" w14:textId="77777777" w:rsidR="003954B3" w:rsidRPr="00494142" w:rsidRDefault="003954B3" w:rsidP="00B47FF2">
      <w:pPr>
        <w:pStyle w:val="Heading3"/>
        <w:numPr>
          <w:ilvl w:val="0"/>
          <w:numId w:val="0"/>
        </w:numPr>
        <w:spacing w:before="200"/>
        <w:rPr>
          <w:u w:val="single"/>
        </w:rPr>
      </w:pPr>
      <w:r w:rsidRPr="00DA06ED">
        <w:lastRenderedPageBreak/>
        <w:t xml:space="preserve">1.5 </w:t>
      </w:r>
      <w:r w:rsidRPr="00DA06ED">
        <w:rPr>
          <w:u w:val="single"/>
        </w:rPr>
        <w:t>True Ups</w:t>
      </w:r>
      <w:bookmarkEnd w:id="71"/>
      <w:bookmarkEnd w:id="72"/>
    </w:p>
    <w:tbl>
      <w:tblPr>
        <w:tblW w:w="7918" w:type="dxa"/>
        <w:jc w:val="center"/>
        <w:tblLayout w:type="fixed"/>
        <w:tblLook w:val="04A0" w:firstRow="1" w:lastRow="0" w:firstColumn="1" w:lastColumn="0" w:noHBand="0" w:noVBand="1"/>
      </w:tblPr>
      <w:tblGrid>
        <w:gridCol w:w="4490"/>
        <w:gridCol w:w="1714"/>
        <w:gridCol w:w="1714"/>
      </w:tblGrid>
      <w:tr w:rsidR="00A52B69" w14:paraId="7F848D5E" w14:textId="77777777">
        <w:trPr>
          <w:trHeight w:val="277"/>
          <w:tblHeader/>
          <w:jc w:val="center"/>
        </w:trPr>
        <w:tc>
          <w:tcPr>
            <w:tcW w:w="44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99556E" w14:textId="77777777" w:rsidR="00AD7B7C" w:rsidRPr="00806F1C" w:rsidRDefault="00AD7B7C" w:rsidP="00B47FF2">
            <w:pPr>
              <w:spacing w:before="60" w:after="60"/>
              <w:jc w:val="center"/>
              <w:rPr>
                <w:b/>
                <w:bCs/>
                <w:color w:val="000000"/>
              </w:rPr>
            </w:pPr>
            <w:r w:rsidRPr="00806F1C">
              <w:rPr>
                <w:b/>
                <w:bCs/>
                <w:color w:val="000000"/>
              </w:rPr>
              <w:t>Component</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14:paraId="766F4422" w14:textId="77777777" w:rsidR="00AD7B7C" w:rsidRPr="00806F1C" w:rsidRDefault="00AD7B7C" w:rsidP="00B47FF2">
            <w:pPr>
              <w:spacing w:before="60" w:after="60"/>
              <w:jc w:val="center"/>
              <w:rPr>
                <w:b/>
                <w:bCs/>
                <w:color w:val="000000"/>
              </w:rPr>
            </w:pPr>
            <w:r>
              <w:rPr>
                <w:b/>
                <w:bCs/>
                <w:color w:val="000000"/>
              </w:rPr>
              <w:t>Requested</w:t>
            </w:r>
          </w:p>
        </w:tc>
        <w:tc>
          <w:tcPr>
            <w:tcW w:w="1714" w:type="dxa"/>
            <w:tcBorders>
              <w:top w:val="single" w:sz="8" w:space="0" w:color="auto"/>
              <w:left w:val="nil"/>
              <w:bottom w:val="single" w:sz="8" w:space="0" w:color="auto"/>
              <w:right w:val="single" w:sz="8" w:space="0" w:color="auto"/>
            </w:tcBorders>
            <w:vAlign w:val="center"/>
          </w:tcPr>
          <w:p w14:paraId="2595D120" w14:textId="77777777" w:rsidR="00AD7B7C" w:rsidRPr="00A377B2" w:rsidRDefault="00AD7B7C" w:rsidP="00B47FF2">
            <w:pPr>
              <w:spacing w:before="60" w:after="60"/>
              <w:jc w:val="center"/>
              <w:rPr>
                <w:b/>
                <w:bCs/>
                <w:color w:val="000000"/>
              </w:rPr>
            </w:pPr>
            <w:r>
              <w:rPr>
                <w:b/>
                <w:bCs/>
                <w:color w:val="000000"/>
              </w:rPr>
              <w:t>Approved</w:t>
            </w:r>
          </w:p>
        </w:tc>
      </w:tr>
      <w:tr w:rsidR="00A52B69" w14:paraId="5EB1618A" w14:textId="77777777">
        <w:trPr>
          <w:trHeight w:val="360"/>
          <w:jc w:val="center"/>
        </w:trPr>
        <w:tc>
          <w:tcPr>
            <w:tcW w:w="4490" w:type="dxa"/>
            <w:tcBorders>
              <w:top w:val="single" w:sz="8" w:space="0" w:color="auto"/>
              <w:left w:val="single" w:sz="8" w:space="0" w:color="auto"/>
              <w:bottom w:val="nil"/>
              <w:right w:val="single" w:sz="8" w:space="0" w:color="auto"/>
            </w:tcBorders>
            <w:shd w:val="clear" w:color="auto" w:fill="auto"/>
            <w:hideMark/>
          </w:tcPr>
          <w:p w14:paraId="1B3039B3" w14:textId="77777777" w:rsidR="00AD7B7C" w:rsidRPr="001F5F04" w:rsidRDefault="00AD7B7C" w:rsidP="00B47FF2">
            <w:pPr>
              <w:spacing w:before="0" w:after="0"/>
              <w:rPr>
                <w:color w:val="000000"/>
                <w:szCs w:val="26"/>
              </w:rPr>
            </w:pPr>
            <w:r w:rsidRPr="001F5F04">
              <w:rPr>
                <w:szCs w:val="26"/>
              </w:rPr>
              <w:t>201</w:t>
            </w:r>
            <w:r>
              <w:rPr>
                <w:szCs w:val="26"/>
              </w:rPr>
              <w:t>6</w:t>
            </w:r>
            <w:r w:rsidRPr="001F5F04">
              <w:rPr>
                <w:szCs w:val="26"/>
              </w:rPr>
              <w:t xml:space="preserve"> Ex-Ante Savings True Up</w:t>
            </w:r>
          </w:p>
        </w:tc>
        <w:tc>
          <w:tcPr>
            <w:tcW w:w="1714" w:type="dxa"/>
            <w:tcBorders>
              <w:top w:val="nil"/>
              <w:left w:val="nil"/>
              <w:bottom w:val="nil"/>
              <w:right w:val="single" w:sz="8" w:space="0" w:color="auto"/>
            </w:tcBorders>
            <w:shd w:val="clear" w:color="auto" w:fill="auto"/>
            <w:noWrap/>
            <w:vAlign w:val="center"/>
          </w:tcPr>
          <w:p w14:paraId="242246E5" w14:textId="77777777" w:rsidR="00AD7B7C" w:rsidRPr="001F5F04" w:rsidRDefault="00561A37" w:rsidP="00B47FF2">
            <w:pPr>
              <w:spacing w:before="0" w:after="0"/>
              <w:jc w:val="right"/>
              <w:rPr>
                <w:color w:val="000000"/>
                <w:szCs w:val="26"/>
              </w:rPr>
            </w:pPr>
            <w:r>
              <w:rPr>
                <w:color w:val="000000"/>
                <w:szCs w:val="26"/>
              </w:rPr>
              <w:t>-</w:t>
            </w:r>
          </w:p>
        </w:tc>
        <w:tc>
          <w:tcPr>
            <w:tcW w:w="1714" w:type="dxa"/>
            <w:tcBorders>
              <w:top w:val="nil"/>
              <w:left w:val="nil"/>
              <w:bottom w:val="nil"/>
              <w:right w:val="single" w:sz="8" w:space="0" w:color="auto"/>
            </w:tcBorders>
          </w:tcPr>
          <w:p w14:paraId="520681E0" w14:textId="77777777" w:rsidR="00AD7B7C" w:rsidRPr="001F5F04" w:rsidRDefault="00561A37" w:rsidP="00B47FF2">
            <w:pPr>
              <w:spacing w:before="0" w:after="0"/>
              <w:jc w:val="right"/>
              <w:rPr>
                <w:color w:val="FF0000"/>
                <w:szCs w:val="26"/>
              </w:rPr>
            </w:pPr>
            <w:r w:rsidRPr="00561A37">
              <w:rPr>
                <w:szCs w:val="26"/>
              </w:rPr>
              <w:t>-</w:t>
            </w:r>
          </w:p>
        </w:tc>
      </w:tr>
      <w:tr w:rsidR="00A52B69" w14:paraId="4DDABF52" w14:textId="77777777">
        <w:trPr>
          <w:trHeight w:val="360"/>
          <w:jc w:val="center"/>
        </w:trPr>
        <w:tc>
          <w:tcPr>
            <w:tcW w:w="4490" w:type="dxa"/>
            <w:tcBorders>
              <w:top w:val="nil"/>
              <w:left w:val="single" w:sz="8" w:space="0" w:color="auto"/>
              <w:bottom w:val="nil"/>
              <w:right w:val="single" w:sz="8" w:space="0" w:color="auto"/>
            </w:tcBorders>
            <w:shd w:val="clear" w:color="auto" w:fill="auto"/>
            <w:noWrap/>
            <w:hideMark/>
          </w:tcPr>
          <w:p w14:paraId="55F7CBF0" w14:textId="77777777" w:rsidR="00991C79" w:rsidRPr="001F5F04" w:rsidRDefault="00991C79" w:rsidP="00B47FF2">
            <w:pPr>
              <w:spacing w:before="0" w:after="0"/>
              <w:rPr>
                <w:color w:val="000000"/>
                <w:szCs w:val="26"/>
              </w:rPr>
            </w:pPr>
            <w:r w:rsidRPr="001F5F04">
              <w:rPr>
                <w:szCs w:val="26"/>
              </w:rPr>
              <w:t>201</w:t>
            </w:r>
            <w:r>
              <w:rPr>
                <w:szCs w:val="26"/>
              </w:rPr>
              <w:t>6</w:t>
            </w:r>
            <w:r w:rsidRPr="001F5F04">
              <w:rPr>
                <w:szCs w:val="26"/>
              </w:rPr>
              <w:t xml:space="preserve"> EAR Performance True Up</w:t>
            </w:r>
          </w:p>
        </w:tc>
        <w:tc>
          <w:tcPr>
            <w:tcW w:w="1714" w:type="dxa"/>
            <w:tcBorders>
              <w:top w:val="nil"/>
              <w:left w:val="single" w:sz="8" w:space="0" w:color="auto"/>
              <w:bottom w:val="nil"/>
              <w:right w:val="single" w:sz="8" w:space="0" w:color="auto"/>
            </w:tcBorders>
            <w:shd w:val="clear" w:color="auto" w:fill="auto"/>
            <w:noWrap/>
            <w:vAlign w:val="bottom"/>
          </w:tcPr>
          <w:p w14:paraId="1E57AA1B" w14:textId="77777777" w:rsidR="00991C79" w:rsidRPr="00F037D4" w:rsidRDefault="00991C79" w:rsidP="00B47FF2">
            <w:pPr>
              <w:spacing w:before="0" w:after="0"/>
              <w:jc w:val="right"/>
              <w:rPr>
                <w:color w:val="FF0000"/>
                <w:szCs w:val="26"/>
              </w:rPr>
            </w:pPr>
            <w:r w:rsidRPr="00F037D4">
              <w:rPr>
                <w:color w:val="FF0000"/>
                <w:szCs w:val="26"/>
              </w:rPr>
              <w:t xml:space="preserve"> </w:t>
            </w:r>
            <w:r w:rsidR="009E7E4C" w:rsidRPr="00F037D4">
              <w:rPr>
                <w:color w:val="FF0000"/>
                <w:szCs w:val="26"/>
              </w:rPr>
              <w:t>($</w:t>
            </w:r>
            <w:r w:rsidRPr="00F037D4">
              <w:rPr>
                <w:color w:val="FF0000"/>
                <w:szCs w:val="26"/>
              </w:rPr>
              <w:t>5,281)</w:t>
            </w:r>
          </w:p>
        </w:tc>
        <w:tc>
          <w:tcPr>
            <w:tcW w:w="1714" w:type="dxa"/>
            <w:tcBorders>
              <w:top w:val="nil"/>
              <w:left w:val="nil"/>
              <w:bottom w:val="nil"/>
              <w:right w:val="single" w:sz="8" w:space="0" w:color="auto"/>
            </w:tcBorders>
            <w:vAlign w:val="center"/>
          </w:tcPr>
          <w:p w14:paraId="24258136" w14:textId="77777777" w:rsidR="00991C79" w:rsidRPr="00F037D4" w:rsidRDefault="00991C79" w:rsidP="00B47FF2">
            <w:pPr>
              <w:spacing w:before="0" w:after="0"/>
              <w:jc w:val="right"/>
              <w:rPr>
                <w:color w:val="FF0000"/>
                <w:szCs w:val="26"/>
              </w:rPr>
            </w:pPr>
            <w:r w:rsidRPr="00F037D4">
              <w:rPr>
                <w:color w:val="FF0000"/>
                <w:szCs w:val="26"/>
              </w:rPr>
              <w:t xml:space="preserve"> </w:t>
            </w:r>
            <w:r w:rsidR="009E7E4C" w:rsidRPr="00F037D4">
              <w:rPr>
                <w:color w:val="FF0000"/>
                <w:szCs w:val="26"/>
              </w:rPr>
              <w:t>($</w:t>
            </w:r>
            <w:r w:rsidRPr="00F037D4">
              <w:rPr>
                <w:color w:val="FF0000"/>
                <w:szCs w:val="26"/>
              </w:rPr>
              <w:t>5,705)</w:t>
            </w:r>
          </w:p>
        </w:tc>
      </w:tr>
      <w:tr w:rsidR="00A52B69" w14:paraId="7F3DFEAD" w14:textId="77777777">
        <w:trPr>
          <w:trHeight w:val="360"/>
          <w:jc w:val="center"/>
        </w:trPr>
        <w:tc>
          <w:tcPr>
            <w:tcW w:w="4490" w:type="dxa"/>
            <w:tcBorders>
              <w:top w:val="nil"/>
              <w:left w:val="single" w:sz="8" w:space="0" w:color="auto"/>
              <w:bottom w:val="nil"/>
              <w:right w:val="single" w:sz="8" w:space="0" w:color="auto"/>
            </w:tcBorders>
            <w:shd w:val="clear" w:color="auto" w:fill="auto"/>
            <w:noWrap/>
            <w:hideMark/>
          </w:tcPr>
          <w:p w14:paraId="5BEA8A4C" w14:textId="77777777" w:rsidR="00991C79" w:rsidRPr="001F5F04" w:rsidRDefault="00991C79" w:rsidP="00B47FF2">
            <w:pPr>
              <w:spacing w:before="0" w:after="0"/>
              <w:rPr>
                <w:color w:val="000000"/>
                <w:szCs w:val="26"/>
              </w:rPr>
            </w:pPr>
            <w:r w:rsidRPr="001F5F04">
              <w:rPr>
                <w:szCs w:val="26"/>
              </w:rPr>
              <w:t>201</w:t>
            </w:r>
            <w:r>
              <w:rPr>
                <w:szCs w:val="26"/>
              </w:rPr>
              <w:t>6</w:t>
            </w:r>
            <w:r w:rsidRPr="001F5F04">
              <w:rPr>
                <w:szCs w:val="26"/>
              </w:rPr>
              <w:t xml:space="preserve"> Codes &amp; Standards True Up</w:t>
            </w:r>
          </w:p>
        </w:tc>
        <w:tc>
          <w:tcPr>
            <w:tcW w:w="1714" w:type="dxa"/>
            <w:tcBorders>
              <w:top w:val="nil"/>
              <w:left w:val="single" w:sz="8" w:space="0" w:color="auto"/>
              <w:bottom w:val="nil"/>
              <w:right w:val="single" w:sz="8" w:space="0" w:color="auto"/>
            </w:tcBorders>
            <w:shd w:val="clear" w:color="auto" w:fill="auto"/>
            <w:noWrap/>
            <w:vAlign w:val="bottom"/>
          </w:tcPr>
          <w:p w14:paraId="4FC879D3" w14:textId="77777777" w:rsidR="00991C79" w:rsidRPr="00F037D4" w:rsidRDefault="00991C79" w:rsidP="00B47FF2">
            <w:pPr>
              <w:spacing w:before="0" w:after="0"/>
              <w:jc w:val="right"/>
              <w:rPr>
                <w:color w:val="FF0000"/>
                <w:szCs w:val="26"/>
              </w:rPr>
            </w:pPr>
            <w:r w:rsidRPr="00F037D4">
              <w:rPr>
                <w:color w:val="FF0000"/>
                <w:szCs w:val="26"/>
              </w:rPr>
              <w:t xml:space="preserve"> </w:t>
            </w:r>
            <w:r w:rsidR="009E7E4C" w:rsidRPr="00F037D4">
              <w:rPr>
                <w:color w:val="FF0000"/>
                <w:szCs w:val="26"/>
              </w:rPr>
              <w:t>($</w:t>
            </w:r>
            <w:r w:rsidRPr="00F037D4">
              <w:rPr>
                <w:color w:val="FF0000"/>
                <w:szCs w:val="26"/>
              </w:rPr>
              <w:t>317)</w:t>
            </w:r>
          </w:p>
        </w:tc>
        <w:tc>
          <w:tcPr>
            <w:tcW w:w="1714" w:type="dxa"/>
            <w:tcBorders>
              <w:top w:val="nil"/>
              <w:left w:val="nil"/>
              <w:bottom w:val="nil"/>
              <w:right w:val="single" w:sz="8" w:space="0" w:color="auto"/>
            </w:tcBorders>
            <w:vAlign w:val="center"/>
          </w:tcPr>
          <w:p w14:paraId="58F662ED" w14:textId="77777777" w:rsidR="00991C79" w:rsidRPr="006C5C89" w:rsidRDefault="00991C79" w:rsidP="00B47FF2">
            <w:pPr>
              <w:spacing w:before="0" w:after="0"/>
              <w:jc w:val="right"/>
              <w:rPr>
                <w:color w:val="FF0000"/>
                <w:szCs w:val="26"/>
              </w:rPr>
            </w:pPr>
            <w:r w:rsidRPr="006C5C89">
              <w:rPr>
                <w:color w:val="FF0000"/>
                <w:szCs w:val="26"/>
              </w:rPr>
              <w:t xml:space="preserve"> </w:t>
            </w:r>
            <w:r w:rsidR="009E7E4C" w:rsidRPr="006C5C89">
              <w:rPr>
                <w:color w:val="FF0000"/>
                <w:szCs w:val="26"/>
              </w:rPr>
              <w:t>($</w:t>
            </w:r>
            <w:r w:rsidR="00977EBC" w:rsidRPr="006C5C89">
              <w:rPr>
                <w:color w:val="FF0000"/>
                <w:szCs w:val="26"/>
              </w:rPr>
              <w:t>343</w:t>
            </w:r>
            <w:r w:rsidRPr="006C5C89">
              <w:rPr>
                <w:color w:val="FF0000"/>
                <w:szCs w:val="26"/>
              </w:rPr>
              <w:t>)</w:t>
            </w:r>
          </w:p>
        </w:tc>
      </w:tr>
      <w:tr w:rsidR="00A52B69" w14:paraId="3B3900FF" w14:textId="77777777">
        <w:trPr>
          <w:trHeight w:val="375"/>
          <w:jc w:val="center"/>
        </w:trPr>
        <w:tc>
          <w:tcPr>
            <w:tcW w:w="4490" w:type="dxa"/>
            <w:tcBorders>
              <w:top w:val="nil"/>
              <w:left w:val="single" w:sz="8" w:space="0" w:color="auto"/>
              <w:bottom w:val="nil"/>
              <w:right w:val="single" w:sz="8" w:space="0" w:color="auto"/>
            </w:tcBorders>
            <w:shd w:val="clear" w:color="auto" w:fill="auto"/>
            <w:noWrap/>
            <w:hideMark/>
          </w:tcPr>
          <w:p w14:paraId="08603839" w14:textId="77777777" w:rsidR="00991C79" w:rsidRPr="001F5F04" w:rsidRDefault="00991C79" w:rsidP="00B47FF2">
            <w:pPr>
              <w:spacing w:before="0" w:after="0"/>
              <w:rPr>
                <w:color w:val="000000"/>
                <w:szCs w:val="26"/>
              </w:rPr>
            </w:pPr>
            <w:r w:rsidRPr="001F5F04">
              <w:rPr>
                <w:szCs w:val="26"/>
              </w:rPr>
              <w:t>201</w:t>
            </w:r>
            <w:r>
              <w:rPr>
                <w:szCs w:val="26"/>
              </w:rPr>
              <w:t>6</w:t>
            </w:r>
            <w:r w:rsidRPr="001F5F04">
              <w:rPr>
                <w:szCs w:val="26"/>
              </w:rPr>
              <w:t xml:space="preserve"> Non-Resource True Up</w:t>
            </w:r>
          </w:p>
        </w:tc>
        <w:tc>
          <w:tcPr>
            <w:tcW w:w="1714" w:type="dxa"/>
            <w:tcBorders>
              <w:top w:val="nil"/>
              <w:left w:val="single" w:sz="8" w:space="0" w:color="auto"/>
              <w:bottom w:val="nil"/>
              <w:right w:val="single" w:sz="8" w:space="0" w:color="auto"/>
            </w:tcBorders>
            <w:shd w:val="clear" w:color="auto" w:fill="auto"/>
            <w:noWrap/>
            <w:vAlign w:val="bottom"/>
          </w:tcPr>
          <w:p w14:paraId="6E59A278" w14:textId="77777777" w:rsidR="00991C79" w:rsidRPr="00F037D4" w:rsidRDefault="00991C79" w:rsidP="00B47FF2">
            <w:pPr>
              <w:spacing w:before="0" w:after="0"/>
              <w:jc w:val="right"/>
              <w:rPr>
                <w:color w:val="FF0000"/>
                <w:szCs w:val="26"/>
              </w:rPr>
            </w:pPr>
            <w:r w:rsidRPr="00F037D4">
              <w:rPr>
                <w:color w:val="FF0000"/>
                <w:szCs w:val="26"/>
              </w:rPr>
              <w:t xml:space="preserve"> </w:t>
            </w:r>
            <w:r w:rsidR="009E7E4C" w:rsidRPr="00F037D4">
              <w:rPr>
                <w:color w:val="FF0000"/>
                <w:szCs w:val="26"/>
              </w:rPr>
              <w:t>($</w:t>
            </w:r>
            <w:r w:rsidRPr="00F037D4">
              <w:rPr>
                <w:color w:val="FF0000"/>
                <w:szCs w:val="26"/>
              </w:rPr>
              <w:t>4,120)</w:t>
            </w:r>
          </w:p>
        </w:tc>
        <w:tc>
          <w:tcPr>
            <w:tcW w:w="1714" w:type="dxa"/>
            <w:tcBorders>
              <w:top w:val="nil"/>
              <w:left w:val="nil"/>
              <w:bottom w:val="nil"/>
              <w:right w:val="single" w:sz="8" w:space="0" w:color="auto"/>
            </w:tcBorders>
            <w:vAlign w:val="center"/>
          </w:tcPr>
          <w:p w14:paraId="7FBAC588" w14:textId="77777777" w:rsidR="00991C79" w:rsidRPr="00F037D4" w:rsidRDefault="00991C79" w:rsidP="00B47FF2">
            <w:pPr>
              <w:spacing w:before="0" w:after="0"/>
              <w:jc w:val="right"/>
              <w:rPr>
                <w:color w:val="FF0000"/>
                <w:szCs w:val="26"/>
              </w:rPr>
            </w:pPr>
            <w:r w:rsidRPr="00F037D4">
              <w:rPr>
                <w:color w:val="FF0000"/>
                <w:szCs w:val="26"/>
              </w:rPr>
              <w:t xml:space="preserve"> </w:t>
            </w:r>
            <w:r w:rsidR="009E7E4C" w:rsidRPr="00F037D4">
              <w:rPr>
                <w:color w:val="FF0000"/>
                <w:szCs w:val="26"/>
              </w:rPr>
              <w:t>($</w:t>
            </w:r>
            <w:r w:rsidRPr="00F037D4">
              <w:rPr>
                <w:color w:val="FF0000"/>
                <w:szCs w:val="26"/>
              </w:rPr>
              <w:t>4,451)</w:t>
            </w:r>
          </w:p>
        </w:tc>
      </w:tr>
      <w:tr w:rsidR="00A52B69" w14:paraId="20DCFB1C" w14:textId="77777777">
        <w:trPr>
          <w:trHeight w:val="270"/>
          <w:jc w:val="center"/>
        </w:trPr>
        <w:tc>
          <w:tcPr>
            <w:tcW w:w="4490" w:type="dxa"/>
            <w:tcBorders>
              <w:top w:val="nil"/>
              <w:left w:val="single" w:sz="8" w:space="0" w:color="auto"/>
              <w:bottom w:val="single" w:sz="8" w:space="0" w:color="auto"/>
              <w:right w:val="single" w:sz="8" w:space="0" w:color="auto"/>
            </w:tcBorders>
            <w:shd w:val="clear" w:color="auto" w:fill="auto"/>
            <w:vAlign w:val="center"/>
            <w:hideMark/>
          </w:tcPr>
          <w:p w14:paraId="14E80397" w14:textId="77777777" w:rsidR="00A471AC" w:rsidRPr="001F5F04" w:rsidRDefault="00A471AC" w:rsidP="00B47FF2">
            <w:pPr>
              <w:spacing w:before="0" w:after="0"/>
              <w:rPr>
                <w:color w:val="000000"/>
                <w:szCs w:val="26"/>
              </w:rPr>
            </w:pPr>
            <w:r w:rsidRPr="001F5F04">
              <w:rPr>
                <w:color w:val="000000"/>
                <w:szCs w:val="26"/>
              </w:rPr>
              <w:t>2006-2008 RRIM Adjustment</w:t>
            </w:r>
          </w:p>
        </w:tc>
        <w:tc>
          <w:tcPr>
            <w:tcW w:w="1714" w:type="dxa"/>
            <w:tcBorders>
              <w:top w:val="nil"/>
              <w:left w:val="nil"/>
              <w:bottom w:val="single" w:sz="8" w:space="0" w:color="auto"/>
              <w:right w:val="single" w:sz="8" w:space="0" w:color="auto"/>
            </w:tcBorders>
            <w:shd w:val="clear" w:color="auto" w:fill="auto"/>
            <w:noWrap/>
          </w:tcPr>
          <w:p w14:paraId="23DE803D" w14:textId="77777777" w:rsidR="00A471AC" w:rsidRPr="00F037D4" w:rsidRDefault="00A471AC" w:rsidP="00B47FF2">
            <w:pPr>
              <w:spacing w:before="0" w:after="0"/>
              <w:jc w:val="right"/>
              <w:rPr>
                <w:color w:val="FF0000"/>
                <w:szCs w:val="26"/>
              </w:rPr>
            </w:pPr>
            <w:r w:rsidRPr="00F037D4">
              <w:rPr>
                <w:color w:val="FF0000"/>
                <w:szCs w:val="26"/>
              </w:rPr>
              <w:t>($1,700,000)</w:t>
            </w:r>
          </w:p>
        </w:tc>
        <w:tc>
          <w:tcPr>
            <w:tcW w:w="1714" w:type="dxa"/>
            <w:tcBorders>
              <w:top w:val="nil"/>
              <w:left w:val="nil"/>
              <w:bottom w:val="single" w:sz="8" w:space="0" w:color="auto"/>
              <w:right w:val="single" w:sz="8" w:space="0" w:color="auto"/>
            </w:tcBorders>
          </w:tcPr>
          <w:p w14:paraId="29EA6978" w14:textId="77777777" w:rsidR="00A471AC" w:rsidRPr="00F037D4" w:rsidRDefault="00A471AC" w:rsidP="00B47FF2">
            <w:pPr>
              <w:spacing w:before="0" w:after="0"/>
              <w:jc w:val="right"/>
              <w:rPr>
                <w:color w:val="FF0000"/>
                <w:szCs w:val="26"/>
              </w:rPr>
            </w:pPr>
            <w:r w:rsidRPr="00F037D4">
              <w:rPr>
                <w:color w:val="FF0000"/>
                <w:szCs w:val="26"/>
              </w:rPr>
              <w:t>($1,700,000)</w:t>
            </w:r>
          </w:p>
        </w:tc>
      </w:tr>
    </w:tbl>
    <w:p w14:paraId="589A24D5" w14:textId="77777777" w:rsidR="00E25AD2" w:rsidRDefault="00C966CB" w:rsidP="00B47FF2">
      <w:pPr>
        <w:jc w:val="both"/>
        <w:rPr>
          <w:szCs w:val="26"/>
        </w:rPr>
      </w:pPr>
      <w:r w:rsidRPr="00C966CB">
        <w:rPr>
          <w:szCs w:val="26"/>
        </w:rPr>
        <w:t xml:space="preserve">The 2016 true ups include SoCalGas’ </w:t>
      </w:r>
      <w:r w:rsidR="00042635">
        <w:rPr>
          <w:szCs w:val="26"/>
        </w:rPr>
        <w:t>w</w:t>
      </w:r>
      <w:r w:rsidR="00AA4676">
        <w:rPr>
          <w:szCs w:val="26"/>
        </w:rPr>
        <w:t xml:space="preserve">eighted </w:t>
      </w:r>
      <w:r w:rsidR="00042635">
        <w:rPr>
          <w:szCs w:val="26"/>
        </w:rPr>
        <w:t>a</w:t>
      </w:r>
      <w:r w:rsidR="00AA4676">
        <w:rPr>
          <w:szCs w:val="26"/>
        </w:rPr>
        <w:t xml:space="preserve">verage </w:t>
      </w:r>
      <w:r w:rsidR="00042635">
        <w:rPr>
          <w:szCs w:val="26"/>
        </w:rPr>
        <w:t>c</w:t>
      </w:r>
      <w:r w:rsidR="00AA4676">
        <w:rPr>
          <w:szCs w:val="26"/>
        </w:rPr>
        <w:t xml:space="preserve">ost of </w:t>
      </w:r>
      <w:r w:rsidR="00042635">
        <w:rPr>
          <w:szCs w:val="26"/>
        </w:rPr>
        <w:t>c</w:t>
      </w:r>
      <w:r w:rsidR="00AA4676">
        <w:rPr>
          <w:szCs w:val="26"/>
        </w:rPr>
        <w:t>apital</w:t>
      </w:r>
      <w:r w:rsidR="008628BA">
        <w:rPr>
          <w:szCs w:val="26"/>
        </w:rPr>
        <w:t>.</w:t>
      </w:r>
    </w:p>
    <w:p w14:paraId="2C83DA0B" w14:textId="77777777" w:rsidR="003954B3" w:rsidRDefault="003954B3" w:rsidP="00B47FF2">
      <w:pPr>
        <w:jc w:val="both"/>
        <w:rPr>
          <w:szCs w:val="26"/>
        </w:rPr>
      </w:pPr>
      <w:r>
        <w:rPr>
          <w:szCs w:val="26"/>
        </w:rPr>
        <w:t>SoCalGas’</w:t>
      </w:r>
      <w:r w:rsidRPr="00B24C75">
        <w:rPr>
          <w:szCs w:val="26"/>
        </w:rPr>
        <w:t xml:space="preserve"> </w:t>
      </w:r>
      <w:r>
        <w:rPr>
          <w:szCs w:val="26"/>
        </w:rPr>
        <w:t xml:space="preserve">final </w:t>
      </w:r>
      <w:r w:rsidRPr="00B24C75">
        <w:rPr>
          <w:szCs w:val="26"/>
        </w:rPr>
        <w:t>201</w:t>
      </w:r>
      <w:r w:rsidR="00EB5149">
        <w:rPr>
          <w:szCs w:val="26"/>
        </w:rPr>
        <w:t>8</w:t>
      </w:r>
      <w:r w:rsidRPr="00B24C75">
        <w:rPr>
          <w:szCs w:val="26"/>
        </w:rPr>
        <w:t xml:space="preserve"> award values including all adjustments</w:t>
      </w:r>
      <w:r>
        <w:rPr>
          <w:szCs w:val="26"/>
        </w:rPr>
        <w:t xml:space="preserve"> are shown below:</w:t>
      </w:r>
    </w:p>
    <w:tbl>
      <w:tblPr>
        <w:tblW w:w="7920" w:type="dxa"/>
        <w:jc w:val="center"/>
        <w:tblLayout w:type="fixed"/>
        <w:tblLook w:val="04A0" w:firstRow="1" w:lastRow="0" w:firstColumn="1" w:lastColumn="0" w:noHBand="0" w:noVBand="1"/>
      </w:tblPr>
      <w:tblGrid>
        <w:gridCol w:w="4055"/>
        <w:gridCol w:w="1932"/>
        <w:gridCol w:w="1933"/>
      </w:tblGrid>
      <w:tr w:rsidR="00A52B69" w14:paraId="0686FEA5" w14:textId="77777777">
        <w:trPr>
          <w:trHeight w:val="441"/>
          <w:jc w:val="center"/>
        </w:trPr>
        <w:tc>
          <w:tcPr>
            <w:tcW w:w="7920" w:type="dxa"/>
            <w:gridSpan w:val="3"/>
            <w:tcBorders>
              <w:bottom w:val="single" w:sz="8" w:space="0" w:color="auto"/>
            </w:tcBorders>
            <w:shd w:val="clear" w:color="auto" w:fill="auto"/>
            <w:vAlign w:val="center"/>
          </w:tcPr>
          <w:p w14:paraId="5950A997" w14:textId="77777777" w:rsidR="00AD7B7C" w:rsidRPr="0015526B" w:rsidRDefault="00AD7B7C" w:rsidP="00B47FF2">
            <w:pPr>
              <w:pStyle w:val="Caption"/>
              <w:spacing w:before="0" w:after="0" w:line="240" w:lineRule="auto"/>
              <w:jc w:val="center"/>
              <w:rPr>
                <w:b w:val="0"/>
                <w:sz w:val="26"/>
                <w:szCs w:val="26"/>
              </w:rPr>
            </w:pPr>
            <w:r w:rsidRPr="00440A46">
              <w:rPr>
                <w:b w:val="0"/>
                <w:szCs w:val="26"/>
              </w:rPr>
              <w:t>Table</w:t>
            </w:r>
            <w:r w:rsidR="0038256F">
              <w:rPr>
                <w:b w:val="0"/>
                <w:szCs w:val="26"/>
              </w:rPr>
              <w:t xml:space="preserve"> 16</w:t>
            </w:r>
            <w:r w:rsidRPr="00440A46">
              <w:rPr>
                <w:b w:val="0"/>
                <w:szCs w:val="26"/>
              </w:rPr>
              <w:t>: SoCalGas 2018 ESPI</w:t>
            </w:r>
            <w:r w:rsidR="007A6CC1" w:rsidRPr="00440A46">
              <w:rPr>
                <w:b w:val="0"/>
                <w:szCs w:val="26"/>
              </w:rPr>
              <w:t xml:space="preserve"> Awards</w:t>
            </w:r>
          </w:p>
        </w:tc>
      </w:tr>
      <w:tr w:rsidR="00A52B69" w14:paraId="692D0069" w14:textId="77777777">
        <w:trPr>
          <w:trHeight w:val="322"/>
          <w:jc w:val="center"/>
        </w:trPr>
        <w:tc>
          <w:tcPr>
            <w:tcW w:w="405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3E3ABEE" w14:textId="77777777" w:rsidR="00AD7B7C" w:rsidRPr="0032525B" w:rsidRDefault="00AD7B7C" w:rsidP="00B47FF2">
            <w:pPr>
              <w:spacing w:before="60" w:after="60"/>
              <w:jc w:val="center"/>
              <w:rPr>
                <w:b/>
                <w:bCs/>
                <w:color w:val="000000"/>
              </w:rPr>
            </w:pPr>
            <w:r w:rsidRPr="0032525B">
              <w:rPr>
                <w:b/>
                <w:bCs/>
                <w:color w:val="000000"/>
              </w:rPr>
              <w:t>Component</w:t>
            </w:r>
          </w:p>
        </w:tc>
        <w:tc>
          <w:tcPr>
            <w:tcW w:w="1932" w:type="dxa"/>
            <w:tcBorders>
              <w:top w:val="single" w:sz="8" w:space="0" w:color="auto"/>
              <w:left w:val="nil"/>
              <w:bottom w:val="single" w:sz="4" w:space="0" w:color="auto"/>
              <w:right w:val="single" w:sz="8" w:space="0" w:color="auto"/>
            </w:tcBorders>
            <w:shd w:val="clear" w:color="auto" w:fill="auto"/>
            <w:vAlign w:val="center"/>
            <w:hideMark/>
          </w:tcPr>
          <w:p w14:paraId="50476E7A" w14:textId="77777777" w:rsidR="00AD7B7C" w:rsidRPr="0032525B" w:rsidRDefault="00AD7B7C" w:rsidP="00B47FF2">
            <w:pPr>
              <w:spacing w:before="60" w:after="60"/>
              <w:jc w:val="center"/>
              <w:rPr>
                <w:b/>
                <w:bCs/>
                <w:color w:val="000000"/>
              </w:rPr>
            </w:pPr>
            <w:r w:rsidRPr="0032525B">
              <w:rPr>
                <w:b/>
                <w:bCs/>
                <w:color w:val="000000"/>
              </w:rPr>
              <w:t>Request</w:t>
            </w:r>
            <w:r>
              <w:rPr>
                <w:b/>
                <w:bCs/>
                <w:color w:val="000000"/>
              </w:rPr>
              <w:t>ed</w:t>
            </w:r>
          </w:p>
        </w:tc>
        <w:tc>
          <w:tcPr>
            <w:tcW w:w="1933" w:type="dxa"/>
            <w:tcBorders>
              <w:top w:val="single" w:sz="8" w:space="0" w:color="auto"/>
              <w:left w:val="nil"/>
              <w:bottom w:val="single" w:sz="4" w:space="0" w:color="auto"/>
              <w:right w:val="single" w:sz="8" w:space="0" w:color="auto"/>
            </w:tcBorders>
            <w:shd w:val="clear" w:color="auto" w:fill="auto"/>
            <w:vAlign w:val="center"/>
            <w:hideMark/>
          </w:tcPr>
          <w:p w14:paraId="5F660DD1" w14:textId="77777777" w:rsidR="00AD7B7C" w:rsidRPr="0032525B" w:rsidRDefault="00AD7B7C" w:rsidP="00B47FF2">
            <w:pPr>
              <w:spacing w:before="60" w:after="60"/>
              <w:jc w:val="center"/>
              <w:rPr>
                <w:b/>
                <w:bCs/>
                <w:color w:val="000000"/>
              </w:rPr>
            </w:pPr>
            <w:r>
              <w:rPr>
                <w:b/>
                <w:bCs/>
                <w:color w:val="000000"/>
              </w:rPr>
              <w:t>Approved</w:t>
            </w:r>
          </w:p>
        </w:tc>
      </w:tr>
      <w:tr w:rsidR="00A52B69" w14:paraId="76621D9C" w14:textId="77777777">
        <w:trPr>
          <w:trHeight w:val="300"/>
          <w:jc w:val="center"/>
        </w:trPr>
        <w:tc>
          <w:tcPr>
            <w:tcW w:w="4055" w:type="dxa"/>
            <w:tcBorders>
              <w:top w:val="single" w:sz="4" w:space="0" w:color="auto"/>
              <w:left w:val="single" w:sz="4" w:space="0" w:color="auto"/>
              <w:right w:val="single" w:sz="4" w:space="0" w:color="auto"/>
            </w:tcBorders>
            <w:shd w:val="clear" w:color="auto" w:fill="auto"/>
            <w:vAlign w:val="center"/>
            <w:hideMark/>
          </w:tcPr>
          <w:p w14:paraId="7E75B526" w14:textId="77777777" w:rsidR="009D2260" w:rsidRPr="001F5F04" w:rsidRDefault="009D2260" w:rsidP="00B47FF2">
            <w:pPr>
              <w:spacing w:before="0" w:after="0"/>
              <w:rPr>
                <w:color w:val="000000"/>
                <w:szCs w:val="26"/>
              </w:rPr>
            </w:pPr>
            <w:r w:rsidRPr="001F5F04">
              <w:rPr>
                <w:color w:val="000000"/>
                <w:szCs w:val="26"/>
              </w:rPr>
              <w:t>201</w:t>
            </w:r>
            <w:r>
              <w:rPr>
                <w:color w:val="000000"/>
                <w:szCs w:val="26"/>
              </w:rPr>
              <w:t>6</w:t>
            </w:r>
            <w:r w:rsidRPr="001F5F04">
              <w:rPr>
                <w:color w:val="000000"/>
                <w:szCs w:val="26"/>
              </w:rPr>
              <w:t xml:space="preserve"> Ex-Post Savings </w:t>
            </w:r>
          </w:p>
        </w:tc>
        <w:tc>
          <w:tcPr>
            <w:tcW w:w="1932" w:type="dxa"/>
            <w:tcBorders>
              <w:top w:val="single" w:sz="4" w:space="0" w:color="auto"/>
              <w:left w:val="single" w:sz="4" w:space="0" w:color="auto"/>
              <w:right w:val="single" w:sz="4" w:space="0" w:color="auto"/>
            </w:tcBorders>
            <w:shd w:val="clear" w:color="auto" w:fill="auto"/>
            <w:noWrap/>
            <w:vAlign w:val="center"/>
          </w:tcPr>
          <w:p w14:paraId="04B3806C" w14:textId="77777777" w:rsidR="009D2260" w:rsidRPr="001F5F04" w:rsidRDefault="009D2260" w:rsidP="00B47FF2">
            <w:pPr>
              <w:spacing w:before="0" w:after="0"/>
              <w:ind w:firstLineChars="100" w:firstLine="240"/>
              <w:jc w:val="right"/>
              <w:rPr>
                <w:color w:val="000000"/>
                <w:szCs w:val="26"/>
              </w:rPr>
            </w:pPr>
            <w:r w:rsidRPr="009D2260">
              <w:rPr>
                <w:color w:val="000000"/>
                <w:szCs w:val="26"/>
              </w:rPr>
              <w:t>$1,136,886</w:t>
            </w:r>
          </w:p>
        </w:tc>
        <w:tc>
          <w:tcPr>
            <w:tcW w:w="1933" w:type="dxa"/>
            <w:tcBorders>
              <w:top w:val="single" w:sz="4" w:space="0" w:color="auto"/>
              <w:left w:val="single" w:sz="4" w:space="0" w:color="auto"/>
              <w:right w:val="single" w:sz="4" w:space="0" w:color="auto"/>
            </w:tcBorders>
            <w:shd w:val="clear" w:color="auto" w:fill="auto"/>
            <w:noWrap/>
            <w:vAlign w:val="center"/>
          </w:tcPr>
          <w:p w14:paraId="75526E65" w14:textId="77777777" w:rsidR="009D2260" w:rsidRPr="001F5F04" w:rsidRDefault="009D2260" w:rsidP="00B47FF2">
            <w:pPr>
              <w:spacing w:before="0" w:after="0"/>
              <w:ind w:firstLineChars="100" w:firstLine="240"/>
              <w:jc w:val="right"/>
              <w:rPr>
                <w:color w:val="000000"/>
                <w:szCs w:val="26"/>
              </w:rPr>
            </w:pPr>
            <w:r w:rsidRPr="009D2260">
              <w:rPr>
                <w:color w:val="000000"/>
                <w:szCs w:val="26"/>
              </w:rPr>
              <w:t>$1,136,886</w:t>
            </w:r>
          </w:p>
        </w:tc>
      </w:tr>
      <w:tr w:rsidR="00A52B69" w14:paraId="5C02CF32" w14:textId="77777777">
        <w:trPr>
          <w:trHeight w:val="300"/>
          <w:jc w:val="center"/>
        </w:trPr>
        <w:tc>
          <w:tcPr>
            <w:tcW w:w="4055" w:type="dxa"/>
            <w:tcBorders>
              <w:left w:val="single" w:sz="4" w:space="0" w:color="auto"/>
              <w:right w:val="single" w:sz="4" w:space="0" w:color="auto"/>
            </w:tcBorders>
            <w:shd w:val="clear" w:color="auto" w:fill="auto"/>
            <w:vAlign w:val="center"/>
            <w:hideMark/>
          </w:tcPr>
          <w:p w14:paraId="2D16F2DE" w14:textId="77777777" w:rsidR="009D2260" w:rsidRPr="001F5F04" w:rsidRDefault="009D2260" w:rsidP="00B47FF2">
            <w:pPr>
              <w:spacing w:before="0" w:after="0"/>
              <w:rPr>
                <w:color w:val="000000"/>
                <w:szCs w:val="26"/>
              </w:rPr>
            </w:pPr>
            <w:r w:rsidRPr="001F5F04">
              <w:rPr>
                <w:color w:val="000000"/>
                <w:szCs w:val="26"/>
              </w:rPr>
              <w:t>201</w:t>
            </w:r>
            <w:r>
              <w:rPr>
                <w:color w:val="000000"/>
                <w:szCs w:val="26"/>
              </w:rPr>
              <w:t>7</w:t>
            </w:r>
            <w:r w:rsidRPr="001F5F04">
              <w:rPr>
                <w:color w:val="000000"/>
                <w:szCs w:val="26"/>
              </w:rPr>
              <w:t xml:space="preserve"> Ex-Ante Savings </w:t>
            </w:r>
          </w:p>
        </w:tc>
        <w:tc>
          <w:tcPr>
            <w:tcW w:w="1932" w:type="dxa"/>
            <w:tcBorders>
              <w:left w:val="single" w:sz="4" w:space="0" w:color="auto"/>
              <w:right w:val="single" w:sz="4" w:space="0" w:color="auto"/>
            </w:tcBorders>
            <w:shd w:val="clear" w:color="auto" w:fill="auto"/>
            <w:noWrap/>
            <w:vAlign w:val="center"/>
          </w:tcPr>
          <w:p w14:paraId="646FF89A" w14:textId="77777777" w:rsidR="009D2260" w:rsidRPr="001F5F04" w:rsidRDefault="009D2260" w:rsidP="00B47FF2">
            <w:pPr>
              <w:spacing w:before="0" w:after="0"/>
              <w:ind w:firstLineChars="100" w:firstLine="240"/>
              <w:jc w:val="right"/>
              <w:rPr>
                <w:color w:val="000000"/>
                <w:szCs w:val="26"/>
              </w:rPr>
            </w:pPr>
            <w:r w:rsidRPr="009D2260">
              <w:rPr>
                <w:color w:val="000000"/>
                <w:szCs w:val="26"/>
              </w:rPr>
              <w:t>$188,272</w:t>
            </w:r>
          </w:p>
        </w:tc>
        <w:tc>
          <w:tcPr>
            <w:tcW w:w="1933" w:type="dxa"/>
            <w:tcBorders>
              <w:left w:val="single" w:sz="4" w:space="0" w:color="auto"/>
              <w:right w:val="single" w:sz="4" w:space="0" w:color="auto"/>
            </w:tcBorders>
            <w:shd w:val="clear" w:color="auto" w:fill="auto"/>
            <w:noWrap/>
            <w:vAlign w:val="center"/>
          </w:tcPr>
          <w:p w14:paraId="36A11080" w14:textId="77777777" w:rsidR="009D2260" w:rsidRPr="001F5F04" w:rsidRDefault="009D2260" w:rsidP="00B47FF2">
            <w:pPr>
              <w:spacing w:before="0" w:after="0"/>
              <w:ind w:firstLineChars="100" w:firstLine="240"/>
              <w:jc w:val="right"/>
              <w:rPr>
                <w:color w:val="000000"/>
                <w:szCs w:val="26"/>
              </w:rPr>
            </w:pPr>
            <w:r w:rsidRPr="009D2260">
              <w:rPr>
                <w:color w:val="000000"/>
                <w:szCs w:val="26"/>
              </w:rPr>
              <w:t>$188,272</w:t>
            </w:r>
          </w:p>
        </w:tc>
      </w:tr>
      <w:tr w:rsidR="00A52B69" w14:paraId="196E2B95" w14:textId="77777777">
        <w:trPr>
          <w:trHeight w:val="300"/>
          <w:jc w:val="center"/>
        </w:trPr>
        <w:tc>
          <w:tcPr>
            <w:tcW w:w="4055" w:type="dxa"/>
            <w:tcBorders>
              <w:left w:val="single" w:sz="4" w:space="0" w:color="auto"/>
              <w:right w:val="single" w:sz="4" w:space="0" w:color="auto"/>
            </w:tcBorders>
            <w:shd w:val="clear" w:color="auto" w:fill="auto"/>
            <w:vAlign w:val="center"/>
            <w:hideMark/>
          </w:tcPr>
          <w:p w14:paraId="72D3A30D" w14:textId="77777777" w:rsidR="009D2260" w:rsidRPr="001F5F04" w:rsidRDefault="009D2260" w:rsidP="00B47FF2">
            <w:pPr>
              <w:spacing w:before="0" w:after="0"/>
              <w:rPr>
                <w:color w:val="000000"/>
                <w:szCs w:val="26"/>
              </w:rPr>
            </w:pPr>
            <w:r w:rsidRPr="001F5F04">
              <w:rPr>
                <w:color w:val="000000"/>
                <w:szCs w:val="26"/>
              </w:rPr>
              <w:t>201</w:t>
            </w:r>
            <w:r>
              <w:rPr>
                <w:color w:val="000000"/>
                <w:szCs w:val="26"/>
              </w:rPr>
              <w:t>7</w:t>
            </w:r>
            <w:r w:rsidRPr="001F5F04">
              <w:rPr>
                <w:color w:val="000000"/>
                <w:szCs w:val="26"/>
              </w:rPr>
              <w:t xml:space="preserve"> Ex-Ante Review Performance </w:t>
            </w:r>
          </w:p>
        </w:tc>
        <w:tc>
          <w:tcPr>
            <w:tcW w:w="1932" w:type="dxa"/>
            <w:tcBorders>
              <w:left w:val="single" w:sz="4" w:space="0" w:color="auto"/>
              <w:right w:val="single" w:sz="4" w:space="0" w:color="auto"/>
            </w:tcBorders>
            <w:shd w:val="clear" w:color="auto" w:fill="auto"/>
            <w:noWrap/>
            <w:vAlign w:val="center"/>
          </w:tcPr>
          <w:p w14:paraId="3C232D86" w14:textId="77777777" w:rsidR="009D2260" w:rsidRPr="001F5F04" w:rsidRDefault="009D2260" w:rsidP="00B47FF2">
            <w:pPr>
              <w:spacing w:before="0" w:after="0"/>
              <w:ind w:firstLineChars="100" w:firstLine="240"/>
              <w:jc w:val="right"/>
              <w:rPr>
                <w:color w:val="000000"/>
                <w:szCs w:val="26"/>
              </w:rPr>
            </w:pPr>
            <w:r w:rsidRPr="00991C79">
              <w:rPr>
                <w:color w:val="000000"/>
                <w:szCs w:val="26"/>
              </w:rPr>
              <w:t>$663,025</w:t>
            </w:r>
          </w:p>
        </w:tc>
        <w:tc>
          <w:tcPr>
            <w:tcW w:w="1933" w:type="dxa"/>
            <w:tcBorders>
              <w:left w:val="single" w:sz="4" w:space="0" w:color="auto"/>
              <w:right w:val="single" w:sz="4" w:space="0" w:color="auto"/>
            </w:tcBorders>
            <w:shd w:val="clear" w:color="auto" w:fill="auto"/>
            <w:noWrap/>
            <w:vAlign w:val="center"/>
          </w:tcPr>
          <w:p w14:paraId="2C9634A3" w14:textId="77777777" w:rsidR="009D2260" w:rsidRPr="000A337C" w:rsidRDefault="000D4334" w:rsidP="00B47FF2">
            <w:pPr>
              <w:spacing w:before="0" w:after="0"/>
              <w:ind w:firstLineChars="100" w:firstLine="240"/>
              <w:jc w:val="right"/>
              <w:rPr>
                <w:color w:val="000000"/>
                <w:szCs w:val="26"/>
                <w:highlight w:val="yellow"/>
              </w:rPr>
            </w:pPr>
            <w:r w:rsidRPr="000D4334">
              <w:rPr>
                <w:color w:val="000000"/>
                <w:szCs w:val="26"/>
              </w:rPr>
              <w:t>$</w:t>
            </w:r>
            <w:r w:rsidR="00E55406">
              <w:rPr>
                <w:color w:val="000000"/>
                <w:szCs w:val="26"/>
              </w:rPr>
              <w:t>626,844</w:t>
            </w:r>
            <w:r w:rsidRPr="000D4334">
              <w:rPr>
                <w:color w:val="000000"/>
                <w:szCs w:val="26"/>
              </w:rPr>
              <w:t xml:space="preserve"> </w:t>
            </w:r>
          </w:p>
        </w:tc>
      </w:tr>
      <w:tr w:rsidR="00A52B69" w14:paraId="1DBDFAB7" w14:textId="77777777">
        <w:trPr>
          <w:trHeight w:val="278"/>
          <w:jc w:val="center"/>
        </w:trPr>
        <w:tc>
          <w:tcPr>
            <w:tcW w:w="4055" w:type="dxa"/>
            <w:tcBorders>
              <w:left w:val="single" w:sz="4" w:space="0" w:color="auto"/>
              <w:right w:val="single" w:sz="4" w:space="0" w:color="auto"/>
            </w:tcBorders>
            <w:shd w:val="clear" w:color="auto" w:fill="auto"/>
            <w:vAlign w:val="center"/>
            <w:hideMark/>
          </w:tcPr>
          <w:p w14:paraId="328AA8DB" w14:textId="77777777" w:rsidR="009D2260" w:rsidRPr="001F5F04" w:rsidRDefault="009D2260" w:rsidP="00B47FF2">
            <w:pPr>
              <w:spacing w:before="0" w:after="0"/>
              <w:rPr>
                <w:color w:val="000000"/>
                <w:szCs w:val="26"/>
              </w:rPr>
            </w:pPr>
            <w:r w:rsidRPr="001F5F04">
              <w:rPr>
                <w:color w:val="000000"/>
                <w:szCs w:val="26"/>
              </w:rPr>
              <w:t>201</w:t>
            </w:r>
            <w:r>
              <w:rPr>
                <w:color w:val="000000"/>
                <w:szCs w:val="26"/>
              </w:rPr>
              <w:t>7</w:t>
            </w:r>
            <w:r w:rsidRPr="001F5F04">
              <w:rPr>
                <w:color w:val="000000"/>
                <w:szCs w:val="26"/>
              </w:rPr>
              <w:t xml:space="preserve"> Codes &amp; Standards </w:t>
            </w:r>
          </w:p>
        </w:tc>
        <w:tc>
          <w:tcPr>
            <w:tcW w:w="1932" w:type="dxa"/>
            <w:tcBorders>
              <w:left w:val="single" w:sz="4" w:space="0" w:color="auto"/>
              <w:right w:val="single" w:sz="4" w:space="0" w:color="auto"/>
            </w:tcBorders>
            <w:shd w:val="clear" w:color="auto" w:fill="auto"/>
            <w:noWrap/>
            <w:vAlign w:val="center"/>
          </w:tcPr>
          <w:p w14:paraId="0C7C961B" w14:textId="77777777" w:rsidR="009D2260" w:rsidRPr="001F5F04" w:rsidRDefault="009D2260" w:rsidP="00B47FF2">
            <w:pPr>
              <w:spacing w:before="0" w:after="0"/>
              <w:ind w:firstLineChars="100" w:firstLine="240"/>
              <w:jc w:val="right"/>
              <w:rPr>
                <w:color w:val="000000"/>
                <w:szCs w:val="26"/>
              </w:rPr>
            </w:pPr>
            <w:r w:rsidRPr="00991C79">
              <w:rPr>
                <w:color w:val="000000"/>
                <w:szCs w:val="26"/>
              </w:rPr>
              <w:t>$91,293</w:t>
            </w:r>
          </w:p>
        </w:tc>
        <w:tc>
          <w:tcPr>
            <w:tcW w:w="1933" w:type="dxa"/>
            <w:tcBorders>
              <w:left w:val="single" w:sz="4" w:space="0" w:color="auto"/>
              <w:right w:val="single" w:sz="4" w:space="0" w:color="auto"/>
            </w:tcBorders>
            <w:shd w:val="clear" w:color="auto" w:fill="auto"/>
            <w:noWrap/>
            <w:vAlign w:val="center"/>
          </w:tcPr>
          <w:p w14:paraId="2297344C" w14:textId="77777777" w:rsidR="009D2260" w:rsidRPr="00AA3BE7" w:rsidRDefault="009D2260" w:rsidP="00B47FF2">
            <w:pPr>
              <w:spacing w:before="0" w:after="0"/>
              <w:ind w:firstLineChars="100" w:firstLine="240"/>
              <w:jc w:val="right"/>
              <w:rPr>
                <w:color w:val="000000"/>
                <w:szCs w:val="26"/>
                <w:highlight w:val="yellow"/>
              </w:rPr>
            </w:pPr>
            <w:r w:rsidRPr="006C5C89">
              <w:rPr>
                <w:color w:val="000000"/>
                <w:szCs w:val="26"/>
              </w:rPr>
              <w:t xml:space="preserve"> $</w:t>
            </w:r>
            <w:r w:rsidR="002F70D0" w:rsidRPr="006C5C89">
              <w:rPr>
                <w:color w:val="000000"/>
                <w:szCs w:val="26"/>
              </w:rPr>
              <w:t>0</w:t>
            </w:r>
            <w:r w:rsidRPr="006C5C89">
              <w:rPr>
                <w:color w:val="000000"/>
                <w:szCs w:val="26"/>
              </w:rPr>
              <w:t xml:space="preserve"> </w:t>
            </w:r>
          </w:p>
        </w:tc>
      </w:tr>
      <w:tr w:rsidR="00A52B69" w14:paraId="350FF0D1" w14:textId="77777777">
        <w:trPr>
          <w:trHeight w:val="300"/>
          <w:jc w:val="center"/>
        </w:trPr>
        <w:tc>
          <w:tcPr>
            <w:tcW w:w="4055" w:type="dxa"/>
            <w:tcBorders>
              <w:left w:val="single" w:sz="4" w:space="0" w:color="auto"/>
              <w:right w:val="single" w:sz="4" w:space="0" w:color="auto"/>
            </w:tcBorders>
            <w:shd w:val="clear" w:color="auto" w:fill="auto"/>
            <w:vAlign w:val="center"/>
            <w:hideMark/>
          </w:tcPr>
          <w:p w14:paraId="1C47ED50" w14:textId="77777777" w:rsidR="009D2260" w:rsidRPr="001F5F04" w:rsidRDefault="009D2260" w:rsidP="00B47FF2">
            <w:pPr>
              <w:spacing w:before="0" w:after="0"/>
              <w:rPr>
                <w:color w:val="000000"/>
                <w:szCs w:val="26"/>
              </w:rPr>
            </w:pPr>
            <w:r w:rsidRPr="001F5F04">
              <w:rPr>
                <w:color w:val="000000"/>
                <w:szCs w:val="26"/>
              </w:rPr>
              <w:t>201</w:t>
            </w:r>
            <w:r>
              <w:rPr>
                <w:color w:val="000000"/>
                <w:szCs w:val="26"/>
              </w:rPr>
              <w:t>7</w:t>
            </w:r>
            <w:r w:rsidRPr="001F5F04">
              <w:rPr>
                <w:color w:val="000000"/>
                <w:szCs w:val="26"/>
              </w:rPr>
              <w:t xml:space="preserve"> Non-Resource</w:t>
            </w:r>
          </w:p>
        </w:tc>
        <w:tc>
          <w:tcPr>
            <w:tcW w:w="1932" w:type="dxa"/>
            <w:tcBorders>
              <w:left w:val="single" w:sz="4" w:space="0" w:color="auto"/>
              <w:right w:val="single" w:sz="4" w:space="0" w:color="auto"/>
            </w:tcBorders>
            <w:shd w:val="clear" w:color="auto" w:fill="auto"/>
            <w:noWrap/>
            <w:vAlign w:val="center"/>
          </w:tcPr>
          <w:p w14:paraId="0E67DDB3" w14:textId="77777777" w:rsidR="009D2260" w:rsidRPr="001F5F04" w:rsidRDefault="009D2260" w:rsidP="00B47FF2">
            <w:pPr>
              <w:spacing w:before="0" w:after="0"/>
              <w:ind w:firstLineChars="100" w:firstLine="240"/>
              <w:jc w:val="right"/>
              <w:rPr>
                <w:color w:val="000000"/>
                <w:szCs w:val="26"/>
              </w:rPr>
            </w:pPr>
            <w:r w:rsidRPr="00991C79">
              <w:rPr>
                <w:color w:val="000000"/>
                <w:szCs w:val="26"/>
              </w:rPr>
              <w:t>$285,866</w:t>
            </w:r>
          </w:p>
        </w:tc>
        <w:tc>
          <w:tcPr>
            <w:tcW w:w="1933" w:type="dxa"/>
            <w:tcBorders>
              <w:left w:val="single" w:sz="4" w:space="0" w:color="auto"/>
              <w:right w:val="single" w:sz="4" w:space="0" w:color="auto"/>
            </w:tcBorders>
            <w:shd w:val="clear" w:color="auto" w:fill="auto"/>
            <w:noWrap/>
            <w:vAlign w:val="center"/>
          </w:tcPr>
          <w:p w14:paraId="41B0C204" w14:textId="77777777" w:rsidR="009D2260" w:rsidRPr="005F3224" w:rsidRDefault="009D2260" w:rsidP="00B47FF2">
            <w:pPr>
              <w:spacing w:before="0" w:after="0"/>
              <w:ind w:firstLineChars="100" w:firstLine="240"/>
              <w:jc w:val="right"/>
              <w:rPr>
                <w:color w:val="000000"/>
                <w:szCs w:val="26"/>
              </w:rPr>
            </w:pPr>
            <w:r w:rsidRPr="005F3224">
              <w:rPr>
                <w:color w:val="000000"/>
                <w:szCs w:val="26"/>
              </w:rPr>
              <w:t>$285,748</w:t>
            </w:r>
          </w:p>
        </w:tc>
      </w:tr>
      <w:tr w:rsidR="00A52B69" w14:paraId="6935C045" w14:textId="77777777">
        <w:trPr>
          <w:trHeight w:val="300"/>
          <w:jc w:val="center"/>
        </w:trPr>
        <w:tc>
          <w:tcPr>
            <w:tcW w:w="4055" w:type="dxa"/>
            <w:tcBorders>
              <w:left w:val="single" w:sz="4" w:space="0" w:color="auto"/>
              <w:right w:val="single" w:sz="4" w:space="0" w:color="auto"/>
            </w:tcBorders>
            <w:shd w:val="clear" w:color="auto" w:fill="auto"/>
            <w:vAlign w:val="center"/>
            <w:hideMark/>
          </w:tcPr>
          <w:p w14:paraId="3F9641D7" w14:textId="77777777" w:rsidR="009D2260" w:rsidRPr="001F5F04" w:rsidRDefault="009D2260" w:rsidP="00B47FF2">
            <w:pPr>
              <w:spacing w:before="0" w:after="0"/>
              <w:rPr>
                <w:color w:val="000000"/>
                <w:szCs w:val="26"/>
              </w:rPr>
            </w:pPr>
            <w:r w:rsidRPr="001F5F04">
              <w:rPr>
                <w:color w:val="000000"/>
                <w:szCs w:val="26"/>
              </w:rPr>
              <w:t>201</w:t>
            </w:r>
            <w:r>
              <w:rPr>
                <w:color w:val="000000"/>
                <w:szCs w:val="26"/>
              </w:rPr>
              <w:t>6</w:t>
            </w:r>
            <w:r w:rsidRPr="001F5F04">
              <w:rPr>
                <w:color w:val="000000"/>
                <w:szCs w:val="26"/>
              </w:rPr>
              <w:t xml:space="preserve"> Ex-Ante Savings True Up</w:t>
            </w:r>
          </w:p>
        </w:tc>
        <w:tc>
          <w:tcPr>
            <w:tcW w:w="1932" w:type="dxa"/>
            <w:tcBorders>
              <w:left w:val="single" w:sz="4" w:space="0" w:color="auto"/>
              <w:right w:val="single" w:sz="4" w:space="0" w:color="auto"/>
            </w:tcBorders>
            <w:shd w:val="clear" w:color="auto" w:fill="auto"/>
            <w:noWrap/>
            <w:vAlign w:val="center"/>
          </w:tcPr>
          <w:p w14:paraId="0268ACA0" w14:textId="77777777" w:rsidR="009D2260" w:rsidRPr="001F5F04" w:rsidRDefault="009D2260" w:rsidP="00B47FF2">
            <w:pPr>
              <w:spacing w:before="0" w:after="0"/>
              <w:ind w:firstLineChars="100" w:firstLine="240"/>
              <w:jc w:val="right"/>
              <w:rPr>
                <w:color w:val="000000"/>
                <w:szCs w:val="26"/>
              </w:rPr>
            </w:pPr>
            <w:r>
              <w:rPr>
                <w:color w:val="000000"/>
                <w:szCs w:val="26"/>
              </w:rPr>
              <w:t>-</w:t>
            </w:r>
          </w:p>
        </w:tc>
        <w:tc>
          <w:tcPr>
            <w:tcW w:w="1933" w:type="dxa"/>
            <w:tcBorders>
              <w:left w:val="single" w:sz="4" w:space="0" w:color="auto"/>
              <w:right w:val="single" w:sz="4" w:space="0" w:color="auto"/>
            </w:tcBorders>
            <w:shd w:val="clear" w:color="auto" w:fill="auto"/>
            <w:noWrap/>
            <w:vAlign w:val="center"/>
          </w:tcPr>
          <w:p w14:paraId="04B32F99" w14:textId="77777777" w:rsidR="009D2260" w:rsidRPr="005F3224" w:rsidRDefault="009D2260" w:rsidP="00B47FF2">
            <w:pPr>
              <w:spacing w:before="0" w:after="0"/>
              <w:ind w:firstLineChars="100" w:firstLine="240"/>
              <w:jc w:val="right"/>
              <w:rPr>
                <w:color w:val="000000"/>
                <w:szCs w:val="26"/>
              </w:rPr>
            </w:pPr>
            <w:r w:rsidRPr="005F3224">
              <w:rPr>
                <w:color w:val="000000"/>
                <w:szCs w:val="26"/>
              </w:rPr>
              <w:t>-</w:t>
            </w:r>
          </w:p>
        </w:tc>
      </w:tr>
      <w:tr w:rsidR="00A52B69" w14:paraId="4527B5C1" w14:textId="77777777">
        <w:trPr>
          <w:trHeight w:val="300"/>
          <w:jc w:val="center"/>
        </w:trPr>
        <w:tc>
          <w:tcPr>
            <w:tcW w:w="4055" w:type="dxa"/>
            <w:tcBorders>
              <w:left w:val="single" w:sz="4" w:space="0" w:color="auto"/>
              <w:right w:val="single" w:sz="4" w:space="0" w:color="auto"/>
            </w:tcBorders>
            <w:shd w:val="clear" w:color="auto" w:fill="auto"/>
            <w:noWrap/>
            <w:vAlign w:val="center"/>
            <w:hideMark/>
          </w:tcPr>
          <w:p w14:paraId="4E1E1709" w14:textId="77777777" w:rsidR="009D2260" w:rsidRPr="001F5F04" w:rsidRDefault="009D2260" w:rsidP="00B47FF2">
            <w:pPr>
              <w:spacing w:before="0" w:after="0"/>
              <w:rPr>
                <w:color w:val="000000"/>
                <w:szCs w:val="26"/>
              </w:rPr>
            </w:pPr>
            <w:r w:rsidRPr="001F5F04">
              <w:rPr>
                <w:color w:val="000000"/>
                <w:szCs w:val="26"/>
              </w:rPr>
              <w:t>201</w:t>
            </w:r>
            <w:r>
              <w:rPr>
                <w:color w:val="000000"/>
                <w:szCs w:val="26"/>
              </w:rPr>
              <w:t>6</w:t>
            </w:r>
            <w:r w:rsidRPr="001F5F04">
              <w:rPr>
                <w:color w:val="000000"/>
                <w:szCs w:val="26"/>
              </w:rPr>
              <w:t xml:space="preserve"> EAR Performance True Up</w:t>
            </w:r>
          </w:p>
        </w:tc>
        <w:tc>
          <w:tcPr>
            <w:tcW w:w="1932" w:type="dxa"/>
            <w:tcBorders>
              <w:left w:val="single" w:sz="4" w:space="0" w:color="auto"/>
              <w:right w:val="single" w:sz="4" w:space="0" w:color="auto"/>
            </w:tcBorders>
            <w:shd w:val="clear" w:color="auto" w:fill="auto"/>
            <w:noWrap/>
            <w:vAlign w:val="bottom"/>
          </w:tcPr>
          <w:p w14:paraId="7366881D" w14:textId="77777777" w:rsidR="009D2260" w:rsidRPr="00F037D4" w:rsidRDefault="009D2260" w:rsidP="00B47FF2">
            <w:pPr>
              <w:spacing w:before="0" w:after="0"/>
              <w:ind w:firstLineChars="100" w:firstLine="240"/>
              <w:jc w:val="right"/>
              <w:rPr>
                <w:color w:val="FF0000"/>
                <w:szCs w:val="26"/>
              </w:rPr>
            </w:pPr>
            <w:r w:rsidRPr="00F037D4">
              <w:rPr>
                <w:color w:val="FF0000"/>
                <w:szCs w:val="26"/>
              </w:rPr>
              <w:t xml:space="preserve"> </w:t>
            </w:r>
            <w:r w:rsidR="009E7E4C" w:rsidRPr="00F037D4">
              <w:rPr>
                <w:color w:val="FF0000"/>
                <w:szCs w:val="26"/>
              </w:rPr>
              <w:t>($</w:t>
            </w:r>
            <w:r w:rsidRPr="00F037D4">
              <w:rPr>
                <w:color w:val="FF0000"/>
                <w:szCs w:val="26"/>
              </w:rPr>
              <w:t>5,281)</w:t>
            </w:r>
          </w:p>
        </w:tc>
        <w:tc>
          <w:tcPr>
            <w:tcW w:w="1933" w:type="dxa"/>
            <w:tcBorders>
              <w:left w:val="single" w:sz="4" w:space="0" w:color="auto"/>
              <w:right w:val="single" w:sz="4" w:space="0" w:color="auto"/>
            </w:tcBorders>
            <w:shd w:val="clear" w:color="auto" w:fill="auto"/>
            <w:noWrap/>
            <w:vAlign w:val="center"/>
          </w:tcPr>
          <w:p w14:paraId="3F80A431" w14:textId="77777777" w:rsidR="009D2260" w:rsidRPr="005F3224" w:rsidRDefault="009D2260" w:rsidP="00B47FF2">
            <w:pPr>
              <w:spacing w:before="0" w:after="0"/>
              <w:ind w:firstLineChars="100" w:firstLine="240"/>
              <w:jc w:val="right"/>
              <w:rPr>
                <w:color w:val="FF0000"/>
                <w:szCs w:val="26"/>
              </w:rPr>
            </w:pPr>
            <w:r w:rsidRPr="005F3224">
              <w:rPr>
                <w:color w:val="FF0000"/>
                <w:szCs w:val="26"/>
              </w:rPr>
              <w:t xml:space="preserve"> </w:t>
            </w:r>
            <w:r w:rsidR="009E7E4C" w:rsidRPr="005F3224">
              <w:rPr>
                <w:color w:val="FF0000"/>
                <w:szCs w:val="26"/>
              </w:rPr>
              <w:t>($</w:t>
            </w:r>
            <w:r w:rsidRPr="005F3224">
              <w:rPr>
                <w:color w:val="FF0000"/>
                <w:szCs w:val="26"/>
              </w:rPr>
              <w:t>5,705)</w:t>
            </w:r>
          </w:p>
        </w:tc>
      </w:tr>
      <w:tr w:rsidR="00A52B69" w14:paraId="7F9F4B5C" w14:textId="77777777">
        <w:trPr>
          <w:trHeight w:val="300"/>
          <w:jc w:val="center"/>
        </w:trPr>
        <w:tc>
          <w:tcPr>
            <w:tcW w:w="4055" w:type="dxa"/>
            <w:tcBorders>
              <w:left w:val="single" w:sz="4" w:space="0" w:color="auto"/>
              <w:right w:val="single" w:sz="4" w:space="0" w:color="auto"/>
            </w:tcBorders>
            <w:shd w:val="clear" w:color="auto" w:fill="auto"/>
            <w:noWrap/>
            <w:vAlign w:val="center"/>
            <w:hideMark/>
          </w:tcPr>
          <w:p w14:paraId="1F7491AB" w14:textId="77777777" w:rsidR="009D2260" w:rsidRPr="001F5F04" w:rsidRDefault="009D2260" w:rsidP="00B47FF2">
            <w:pPr>
              <w:spacing w:before="0" w:after="0"/>
              <w:rPr>
                <w:color w:val="000000"/>
                <w:szCs w:val="26"/>
              </w:rPr>
            </w:pPr>
            <w:r w:rsidRPr="001F5F04">
              <w:rPr>
                <w:color w:val="000000"/>
                <w:szCs w:val="26"/>
              </w:rPr>
              <w:t>201</w:t>
            </w:r>
            <w:r>
              <w:rPr>
                <w:color w:val="000000"/>
                <w:szCs w:val="26"/>
              </w:rPr>
              <w:t>6</w:t>
            </w:r>
            <w:r w:rsidRPr="001F5F04">
              <w:rPr>
                <w:color w:val="000000"/>
                <w:szCs w:val="26"/>
              </w:rPr>
              <w:t xml:space="preserve"> Codes &amp; Standards True Up</w:t>
            </w:r>
          </w:p>
        </w:tc>
        <w:tc>
          <w:tcPr>
            <w:tcW w:w="1932" w:type="dxa"/>
            <w:tcBorders>
              <w:left w:val="single" w:sz="4" w:space="0" w:color="auto"/>
              <w:right w:val="single" w:sz="4" w:space="0" w:color="auto"/>
            </w:tcBorders>
            <w:shd w:val="clear" w:color="auto" w:fill="auto"/>
            <w:noWrap/>
            <w:vAlign w:val="bottom"/>
          </w:tcPr>
          <w:p w14:paraId="56051DD1" w14:textId="77777777" w:rsidR="009D2260" w:rsidRPr="00F037D4" w:rsidRDefault="009D2260" w:rsidP="00B47FF2">
            <w:pPr>
              <w:spacing w:before="0" w:after="0"/>
              <w:ind w:firstLineChars="100" w:firstLine="240"/>
              <w:jc w:val="right"/>
              <w:rPr>
                <w:color w:val="FF0000"/>
                <w:szCs w:val="26"/>
              </w:rPr>
            </w:pPr>
            <w:r w:rsidRPr="00F037D4">
              <w:rPr>
                <w:color w:val="FF0000"/>
                <w:szCs w:val="26"/>
              </w:rPr>
              <w:t xml:space="preserve"> </w:t>
            </w:r>
            <w:r w:rsidR="009E7E4C" w:rsidRPr="00F037D4">
              <w:rPr>
                <w:color w:val="FF0000"/>
                <w:szCs w:val="26"/>
              </w:rPr>
              <w:t>($</w:t>
            </w:r>
            <w:r w:rsidRPr="00F037D4">
              <w:rPr>
                <w:color w:val="FF0000"/>
                <w:szCs w:val="26"/>
              </w:rPr>
              <w:t>317)</w:t>
            </w:r>
          </w:p>
        </w:tc>
        <w:tc>
          <w:tcPr>
            <w:tcW w:w="1933" w:type="dxa"/>
            <w:tcBorders>
              <w:left w:val="single" w:sz="4" w:space="0" w:color="auto"/>
              <w:right w:val="single" w:sz="4" w:space="0" w:color="auto"/>
            </w:tcBorders>
            <w:shd w:val="clear" w:color="auto" w:fill="auto"/>
            <w:vAlign w:val="center"/>
          </w:tcPr>
          <w:p w14:paraId="1D55CCD2" w14:textId="77777777" w:rsidR="009D2260" w:rsidRPr="00AA3BE7" w:rsidRDefault="009D2260" w:rsidP="00B47FF2">
            <w:pPr>
              <w:spacing w:before="0" w:after="0"/>
              <w:ind w:firstLineChars="100" w:firstLine="240"/>
              <w:jc w:val="right"/>
              <w:rPr>
                <w:color w:val="FF0000"/>
                <w:szCs w:val="26"/>
                <w:highlight w:val="yellow"/>
              </w:rPr>
            </w:pPr>
            <w:r w:rsidRPr="006C5C89">
              <w:rPr>
                <w:color w:val="FF0000"/>
                <w:szCs w:val="26"/>
              </w:rPr>
              <w:t xml:space="preserve"> </w:t>
            </w:r>
            <w:r w:rsidR="009E7E4C" w:rsidRPr="006C5C89">
              <w:rPr>
                <w:color w:val="FF0000"/>
                <w:szCs w:val="26"/>
              </w:rPr>
              <w:t>($</w:t>
            </w:r>
            <w:r w:rsidRPr="006C5C89">
              <w:rPr>
                <w:color w:val="FF0000"/>
                <w:szCs w:val="26"/>
              </w:rPr>
              <w:t>343)</w:t>
            </w:r>
            <w:r w:rsidR="00BF7868" w:rsidRPr="006C5C89">
              <w:rPr>
                <w:rStyle w:val="FootnoteReference"/>
                <w:color w:val="FF0000"/>
                <w:szCs w:val="26"/>
              </w:rPr>
              <w:footnoteReference w:id="57"/>
            </w:r>
          </w:p>
        </w:tc>
      </w:tr>
      <w:tr w:rsidR="00A52B69" w14:paraId="3C72F735" w14:textId="77777777">
        <w:trPr>
          <w:trHeight w:val="323"/>
          <w:jc w:val="center"/>
        </w:trPr>
        <w:tc>
          <w:tcPr>
            <w:tcW w:w="4055" w:type="dxa"/>
            <w:tcBorders>
              <w:left w:val="single" w:sz="4" w:space="0" w:color="auto"/>
              <w:bottom w:val="single" w:sz="4" w:space="0" w:color="auto"/>
              <w:right w:val="single" w:sz="4" w:space="0" w:color="auto"/>
            </w:tcBorders>
            <w:shd w:val="clear" w:color="auto" w:fill="auto"/>
            <w:noWrap/>
            <w:vAlign w:val="center"/>
            <w:hideMark/>
          </w:tcPr>
          <w:p w14:paraId="1D1AF5AB" w14:textId="77777777" w:rsidR="009D2260" w:rsidRPr="001F5F04" w:rsidRDefault="009D2260" w:rsidP="00B47FF2">
            <w:pPr>
              <w:spacing w:before="0" w:after="0"/>
              <w:rPr>
                <w:color w:val="000000"/>
                <w:szCs w:val="26"/>
              </w:rPr>
            </w:pPr>
            <w:r w:rsidRPr="001F5F04">
              <w:rPr>
                <w:color w:val="000000"/>
                <w:szCs w:val="26"/>
              </w:rPr>
              <w:t>201</w:t>
            </w:r>
            <w:r>
              <w:rPr>
                <w:color w:val="000000"/>
                <w:szCs w:val="26"/>
              </w:rPr>
              <w:t>6</w:t>
            </w:r>
            <w:r w:rsidRPr="001F5F04">
              <w:rPr>
                <w:color w:val="000000"/>
                <w:szCs w:val="26"/>
              </w:rPr>
              <w:t xml:space="preserve"> Non-Resource True Up</w:t>
            </w:r>
          </w:p>
        </w:tc>
        <w:tc>
          <w:tcPr>
            <w:tcW w:w="1932" w:type="dxa"/>
            <w:tcBorders>
              <w:left w:val="single" w:sz="4" w:space="0" w:color="auto"/>
              <w:bottom w:val="single" w:sz="4" w:space="0" w:color="auto"/>
              <w:right w:val="single" w:sz="4" w:space="0" w:color="auto"/>
            </w:tcBorders>
            <w:shd w:val="clear" w:color="auto" w:fill="auto"/>
            <w:noWrap/>
            <w:vAlign w:val="bottom"/>
          </w:tcPr>
          <w:p w14:paraId="2E4F74AB" w14:textId="77777777" w:rsidR="009D2260" w:rsidRPr="00F037D4" w:rsidRDefault="009D2260" w:rsidP="00B47FF2">
            <w:pPr>
              <w:spacing w:before="0" w:after="0"/>
              <w:ind w:firstLineChars="100" w:firstLine="240"/>
              <w:jc w:val="right"/>
              <w:rPr>
                <w:color w:val="FF0000"/>
                <w:szCs w:val="26"/>
              </w:rPr>
            </w:pPr>
            <w:r w:rsidRPr="00F037D4">
              <w:rPr>
                <w:color w:val="FF0000"/>
                <w:szCs w:val="26"/>
              </w:rPr>
              <w:t xml:space="preserve"> </w:t>
            </w:r>
            <w:r w:rsidR="009E7E4C" w:rsidRPr="00F037D4">
              <w:rPr>
                <w:color w:val="FF0000"/>
                <w:szCs w:val="26"/>
              </w:rPr>
              <w:t>($</w:t>
            </w:r>
            <w:r w:rsidRPr="00F037D4">
              <w:rPr>
                <w:color w:val="FF0000"/>
                <w:szCs w:val="26"/>
              </w:rPr>
              <w:t>4,120)</w:t>
            </w:r>
          </w:p>
        </w:tc>
        <w:tc>
          <w:tcPr>
            <w:tcW w:w="1933" w:type="dxa"/>
            <w:tcBorders>
              <w:left w:val="single" w:sz="4" w:space="0" w:color="auto"/>
              <w:bottom w:val="single" w:sz="4" w:space="0" w:color="auto"/>
              <w:right w:val="single" w:sz="4" w:space="0" w:color="auto"/>
            </w:tcBorders>
            <w:shd w:val="clear" w:color="auto" w:fill="auto"/>
            <w:vAlign w:val="center"/>
          </w:tcPr>
          <w:p w14:paraId="393B8BE7" w14:textId="77777777" w:rsidR="009D2260" w:rsidRPr="005F3224" w:rsidRDefault="009D2260" w:rsidP="00B47FF2">
            <w:pPr>
              <w:spacing w:before="0" w:after="0"/>
              <w:ind w:firstLineChars="100" w:firstLine="240"/>
              <w:jc w:val="right"/>
              <w:rPr>
                <w:color w:val="FF0000"/>
                <w:szCs w:val="26"/>
              </w:rPr>
            </w:pPr>
            <w:r w:rsidRPr="005F3224">
              <w:rPr>
                <w:color w:val="FF0000"/>
                <w:szCs w:val="26"/>
              </w:rPr>
              <w:t xml:space="preserve"> </w:t>
            </w:r>
            <w:r w:rsidR="009E7E4C" w:rsidRPr="005F3224">
              <w:rPr>
                <w:color w:val="FF0000"/>
                <w:szCs w:val="26"/>
              </w:rPr>
              <w:t>($</w:t>
            </w:r>
            <w:r w:rsidRPr="005F3224">
              <w:rPr>
                <w:color w:val="FF0000"/>
                <w:szCs w:val="26"/>
              </w:rPr>
              <w:t>4,451)</w:t>
            </w:r>
          </w:p>
        </w:tc>
      </w:tr>
      <w:tr w:rsidR="00A52B69" w14:paraId="4C7CDD4B" w14:textId="77777777">
        <w:trPr>
          <w:trHeight w:val="300"/>
          <w:jc w:val="center"/>
        </w:trPr>
        <w:tc>
          <w:tcPr>
            <w:tcW w:w="4055" w:type="dxa"/>
            <w:tcBorders>
              <w:top w:val="single" w:sz="4" w:space="0" w:color="auto"/>
              <w:left w:val="single" w:sz="8" w:space="0" w:color="auto"/>
              <w:bottom w:val="single" w:sz="8" w:space="0" w:color="auto"/>
              <w:right w:val="single" w:sz="8" w:space="0" w:color="auto"/>
            </w:tcBorders>
            <w:shd w:val="clear" w:color="auto" w:fill="auto"/>
            <w:hideMark/>
          </w:tcPr>
          <w:p w14:paraId="21828160" w14:textId="77777777" w:rsidR="009D2260" w:rsidRPr="00AC35F4" w:rsidRDefault="009D2260" w:rsidP="00B47FF2">
            <w:pPr>
              <w:spacing w:before="0" w:after="0"/>
              <w:jc w:val="center"/>
              <w:rPr>
                <w:b/>
                <w:bCs/>
                <w:color w:val="000000"/>
                <w:szCs w:val="26"/>
              </w:rPr>
            </w:pPr>
            <w:r w:rsidRPr="00AC35F4">
              <w:rPr>
                <w:b/>
              </w:rPr>
              <w:t>Award for PY 201</w:t>
            </w:r>
            <w:r>
              <w:rPr>
                <w:b/>
              </w:rPr>
              <w:t>6</w:t>
            </w:r>
            <w:r w:rsidRPr="00AC35F4">
              <w:rPr>
                <w:b/>
              </w:rPr>
              <w:t xml:space="preserve"> and 201</w:t>
            </w:r>
            <w:r>
              <w:rPr>
                <w:b/>
              </w:rPr>
              <w:t>7</w:t>
            </w:r>
          </w:p>
        </w:tc>
        <w:tc>
          <w:tcPr>
            <w:tcW w:w="1932" w:type="dxa"/>
            <w:tcBorders>
              <w:top w:val="single" w:sz="4" w:space="0" w:color="auto"/>
              <w:left w:val="nil"/>
              <w:bottom w:val="single" w:sz="8" w:space="0" w:color="auto"/>
              <w:right w:val="single" w:sz="8" w:space="0" w:color="auto"/>
            </w:tcBorders>
            <w:shd w:val="clear" w:color="auto" w:fill="auto"/>
            <w:vAlign w:val="center"/>
          </w:tcPr>
          <w:p w14:paraId="26AA008A" w14:textId="77777777" w:rsidR="009D2260" w:rsidRPr="001F5F04" w:rsidRDefault="00363824" w:rsidP="00B47FF2">
            <w:pPr>
              <w:spacing w:before="0" w:after="0"/>
              <w:jc w:val="right"/>
              <w:rPr>
                <w:b/>
                <w:bCs/>
                <w:color w:val="000000"/>
                <w:szCs w:val="26"/>
              </w:rPr>
            </w:pPr>
            <w:r>
              <w:rPr>
                <w:b/>
                <w:bCs/>
                <w:color w:val="000000"/>
                <w:szCs w:val="26"/>
              </w:rPr>
              <w:t>$2,355,624</w:t>
            </w:r>
          </w:p>
        </w:tc>
        <w:tc>
          <w:tcPr>
            <w:tcW w:w="1933" w:type="dxa"/>
            <w:tcBorders>
              <w:top w:val="single" w:sz="4" w:space="0" w:color="auto"/>
              <w:left w:val="nil"/>
              <w:bottom w:val="single" w:sz="8" w:space="0" w:color="auto"/>
              <w:right w:val="single" w:sz="8" w:space="0" w:color="auto"/>
            </w:tcBorders>
            <w:shd w:val="clear" w:color="auto" w:fill="auto"/>
            <w:vAlign w:val="center"/>
          </w:tcPr>
          <w:p w14:paraId="62E37E9B" w14:textId="77777777" w:rsidR="009D2260" w:rsidRPr="006C5C89" w:rsidRDefault="00AD78CB" w:rsidP="00B47FF2">
            <w:pPr>
              <w:spacing w:before="0" w:after="0"/>
              <w:jc w:val="right"/>
              <w:rPr>
                <w:b/>
                <w:bCs/>
                <w:color w:val="000000"/>
                <w:szCs w:val="26"/>
              </w:rPr>
            </w:pPr>
            <w:r w:rsidRPr="006C5C89">
              <w:rPr>
                <w:b/>
                <w:bCs/>
                <w:color w:val="000000"/>
                <w:szCs w:val="26"/>
              </w:rPr>
              <w:t>$</w:t>
            </w:r>
            <w:r w:rsidR="00977EBC" w:rsidRPr="006C5C89">
              <w:rPr>
                <w:b/>
                <w:bCs/>
                <w:color w:val="000000"/>
                <w:szCs w:val="26"/>
              </w:rPr>
              <w:t>2,227,252</w:t>
            </w:r>
            <w:r w:rsidRPr="006C5C89">
              <w:rPr>
                <w:b/>
                <w:bCs/>
                <w:color w:val="000000"/>
                <w:szCs w:val="26"/>
              </w:rPr>
              <w:t xml:space="preserve"> </w:t>
            </w:r>
          </w:p>
        </w:tc>
      </w:tr>
      <w:tr w:rsidR="00A52B69" w14:paraId="4C2DE717" w14:textId="77777777">
        <w:trPr>
          <w:trHeight w:val="300"/>
          <w:jc w:val="center"/>
        </w:trPr>
        <w:tc>
          <w:tcPr>
            <w:tcW w:w="4055" w:type="dxa"/>
            <w:tcBorders>
              <w:top w:val="nil"/>
              <w:left w:val="single" w:sz="8" w:space="0" w:color="auto"/>
              <w:bottom w:val="single" w:sz="8" w:space="0" w:color="auto"/>
              <w:right w:val="single" w:sz="8" w:space="0" w:color="auto"/>
            </w:tcBorders>
            <w:shd w:val="clear" w:color="auto" w:fill="auto"/>
            <w:hideMark/>
          </w:tcPr>
          <w:p w14:paraId="6D42700B" w14:textId="77777777" w:rsidR="00363824" w:rsidRPr="001F5F04" w:rsidRDefault="00363824" w:rsidP="00B47FF2">
            <w:pPr>
              <w:spacing w:before="0" w:after="0"/>
              <w:jc w:val="center"/>
              <w:rPr>
                <w:color w:val="000000"/>
                <w:szCs w:val="26"/>
              </w:rPr>
            </w:pPr>
            <w:r w:rsidRPr="004568E0">
              <w:t>2006-2008 RRIM Adjustment</w:t>
            </w:r>
          </w:p>
        </w:tc>
        <w:tc>
          <w:tcPr>
            <w:tcW w:w="1932" w:type="dxa"/>
            <w:tcBorders>
              <w:top w:val="nil"/>
              <w:left w:val="nil"/>
              <w:bottom w:val="nil"/>
              <w:right w:val="single" w:sz="8" w:space="0" w:color="auto"/>
            </w:tcBorders>
            <w:shd w:val="clear" w:color="auto" w:fill="auto"/>
            <w:noWrap/>
            <w:vAlign w:val="center"/>
          </w:tcPr>
          <w:p w14:paraId="28D1421F" w14:textId="77777777" w:rsidR="00363824" w:rsidRPr="00F037D4" w:rsidRDefault="00363824" w:rsidP="00B47FF2">
            <w:pPr>
              <w:spacing w:before="0" w:after="0"/>
              <w:ind w:firstLineChars="100" w:firstLine="240"/>
              <w:jc w:val="right"/>
              <w:rPr>
                <w:color w:val="FF0000"/>
                <w:szCs w:val="26"/>
              </w:rPr>
            </w:pPr>
            <w:r w:rsidRPr="00F037D4">
              <w:rPr>
                <w:color w:val="FF0000"/>
                <w:szCs w:val="26"/>
              </w:rPr>
              <w:t>($1,700,000)</w:t>
            </w:r>
          </w:p>
        </w:tc>
        <w:tc>
          <w:tcPr>
            <w:tcW w:w="1933" w:type="dxa"/>
            <w:tcBorders>
              <w:top w:val="nil"/>
              <w:left w:val="nil"/>
              <w:bottom w:val="nil"/>
              <w:right w:val="single" w:sz="8" w:space="0" w:color="auto"/>
            </w:tcBorders>
            <w:shd w:val="clear" w:color="auto" w:fill="auto"/>
            <w:noWrap/>
            <w:vAlign w:val="center"/>
          </w:tcPr>
          <w:p w14:paraId="7EE256EE" w14:textId="77777777" w:rsidR="00363824" w:rsidRPr="005F3224" w:rsidRDefault="00363824" w:rsidP="00B47FF2">
            <w:pPr>
              <w:spacing w:before="0" w:after="0"/>
              <w:ind w:firstLineChars="100" w:firstLine="240"/>
              <w:jc w:val="right"/>
              <w:rPr>
                <w:color w:val="FF0000"/>
                <w:szCs w:val="26"/>
              </w:rPr>
            </w:pPr>
            <w:r w:rsidRPr="005F3224">
              <w:rPr>
                <w:color w:val="FF0000"/>
                <w:szCs w:val="26"/>
              </w:rPr>
              <w:t>($1,700,000)</w:t>
            </w:r>
          </w:p>
        </w:tc>
      </w:tr>
      <w:tr w:rsidR="00A52B69" w14:paraId="20129D25" w14:textId="77777777">
        <w:trPr>
          <w:trHeight w:val="315"/>
          <w:jc w:val="center"/>
        </w:trPr>
        <w:tc>
          <w:tcPr>
            <w:tcW w:w="4055" w:type="dxa"/>
            <w:tcBorders>
              <w:top w:val="nil"/>
              <w:left w:val="single" w:sz="8" w:space="0" w:color="auto"/>
              <w:bottom w:val="single" w:sz="8" w:space="0" w:color="auto"/>
              <w:right w:val="single" w:sz="8" w:space="0" w:color="auto"/>
            </w:tcBorders>
            <w:shd w:val="clear" w:color="auto" w:fill="auto"/>
            <w:hideMark/>
          </w:tcPr>
          <w:p w14:paraId="1807364C" w14:textId="77777777" w:rsidR="00363824" w:rsidRPr="00B82C09" w:rsidRDefault="00363824" w:rsidP="00B47FF2">
            <w:pPr>
              <w:spacing w:before="0" w:after="0"/>
              <w:jc w:val="center"/>
              <w:rPr>
                <w:b/>
                <w:bCs/>
                <w:color w:val="000000"/>
                <w:sz w:val="28"/>
                <w:szCs w:val="28"/>
              </w:rPr>
            </w:pPr>
            <w:r w:rsidRPr="00B82C09">
              <w:rPr>
                <w:b/>
                <w:sz w:val="28"/>
                <w:szCs w:val="28"/>
              </w:rPr>
              <w:t>Total Payment</w:t>
            </w:r>
          </w:p>
        </w:tc>
        <w:tc>
          <w:tcPr>
            <w:tcW w:w="1932" w:type="dxa"/>
            <w:tcBorders>
              <w:top w:val="single" w:sz="8" w:space="0" w:color="auto"/>
              <w:left w:val="nil"/>
              <w:bottom w:val="single" w:sz="8" w:space="0" w:color="auto"/>
              <w:right w:val="single" w:sz="8" w:space="0" w:color="auto"/>
            </w:tcBorders>
            <w:shd w:val="clear" w:color="auto" w:fill="auto"/>
            <w:vAlign w:val="center"/>
          </w:tcPr>
          <w:p w14:paraId="67BACC63" w14:textId="77777777" w:rsidR="00363824" w:rsidRPr="00B82C09" w:rsidRDefault="00363824" w:rsidP="00B47FF2">
            <w:pPr>
              <w:spacing w:before="0" w:after="0"/>
              <w:jc w:val="right"/>
              <w:rPr>
                <w:b/>
                <w:bCs/>
                <w:color w:val="000000"/>
                <w:sz w:val="28"/>
                <w:szCs w:val="28"/>
              </w:rPr>
            </w:pPr>
            <w:r w:rsidRPr="00B82C09">
              <w:rPr>
                <w:b/>
                <w:bCs/>
                <w:color w:val="000000"/>
                <w:sz w:val="28"/>
                <w:szCs w:val="28"/>
              </w:rPr>
              <w:t>$655,624</w:t>
            </w:r>
          </w:p>
        </w:tc>
        <w:tc>
          <w:tcPr>
            <w:tcW w:w="1933" w:type="dxa"/>
            <w:tcBorders>
              <w:top w:val="single" w:sz="8" w:space="0" w:color="auto"/>
              <w:left w:val="nil"/>
              <w:bottom w:val="single" w:sz="8" w:space="0" w:color="auto"/>
              <w:right w:val="single" w:sz="8" w:space="0" w:color="auto"/>
            </w:tcBorders>
            <w:shd w:val="clear" w:color="auto" w:fill="auto"/>
            <w:vAlign w:val="center"/>
          </w:tcPr>
          <w:p w14:paraId="043FD673" w14:textId="77777777" w:rsidR="00363824" w:rsidRPr="00AA3BE7" w:rsidRDefault="00764ACD" w:rsidP="00B47FF2">
            <w:pPr>
              <w:spacing w:before="0" w:after="0"/>
              <w:jc w:val="right"/>
              <w:rPr>
                <w:b/>
                <w:bCs/>
                <w:color w:val="000000"/>
                <w:sz w:val="28"/>
                <w:szCs w:val="28"/>
                <w:highlight w:val="yellow"/>
              </w:rPr>
            </w:pPr>
            <w:r w:rsidRPr="006C5C89">
              <w:rPr>
                <w:b/>
                <w:bCs/>
                <w:color w:val="000000"/>
                <w:sz w:val="28"/>
                <w:szCs w:val="28"/>
              </w:rPr>
              <w:t>$</w:t>
            </w:r>
            <w:r w:rsidR="00977EBC" w:rsidRPr="006C5C89">
              <w:rPr>
                <w:b/>
                <w:bCs/>
                <w:color w:val="000000"/>
                <w:sz w:val="28"/>
                <w:szCs w:val="28"/>
              </w:rPr>
              <w:t>527,252</w:t>
            </w:r>
          </w:p>
        </w:tc>
      </w:tr>
    </w:tbl>
    <w:p w14:paraId="05236418" w14:textId="77777777" w:rsidR="00CF17DE" w:rsidRPr="00673DF0" w:rsidRDefault="00CF17DE" w:rsidP="00B47FF2">
      <w:pPr>
        <w:pStyle w:val="Heading1"/>
        <w:spacing w:before="360"/>
        <w:rPr>
          <w:rFonts w:cs="Helvetica"/>
        </w:rPr>
      </w:pPr>
      <w:bookmarkStart w:id="75" w:name="_Toc497338885"/>
      <w:r w:rsidRPr="00673DF0">
        <w:rPr>
          <w:rFonts w:cs="Helvetica"/>
        </w:rPr>
        <w:t>Comments</w:t>
      </w:r>
      <w:bookmarkEnd w:id="75"/>
    </w:p>
    <w:p w14:paraId="39C3A36B" w14:textId="77777777" w:rsidR="00CF17DE" w:rsidRPr="006C5C89" w:rsidRDefault="00CF17DE" w:rsidP="00B47FF2">
      <w:pPr>
        <w:jc w:val="both"/>
      </w:pPr>
      <w:r w:rsidRPr="006C5C89">
        <w:t xml:space="preserve">Public Utilities Code section 311(g)(1) provides that this </w:t>
      </w:r>
      <w:r w:rsidR="00C264AD" w:rsidRPr="006C5C89">
        <w:t>R</w:t>
      </w:r>
      <w:r w:rsidRPr="006C5C89">
        <w:t>esolution must be served on all parties and subject to at least 30 days</w:t>
      </w:r>
      <w:r w:rsidR="00C966CB" w:rsidRPr="006C5C89">
        <w:t>’</w:t>
      </w:r>
      <w:r w:rsidRPr="006C5C89">
        <w:t xml:space="preserve"> public review and </w:t>
      </w:r>
      <w:r w:rsidR="00922C04" w:rsidRPr="006C5C89">
        <w:t xml:space="preserve">20-day </w:t>
      </w:r>
      <w:r w:rsidRPr="006C5C89">
        <w:t xml:space="preserve">comment prior to a </w:t>
      </w:r>
      <w:r w:rsidRPr="006C5C89">
        <w:lastRenderedPageBreak/>
        <w:t xml:space="preserve">vote of the </w:t>
      </w:r>
      <w:r w:rsidR="00623F57" w:rsidRPr="006C5C89">
        <w:t>Commission</w:t>
      </w:r>
      <w:r w:rsidRPr="006C5C89">
        <w:t>. Section 311(g)(2) provides that this 30-day period may be reduced or waived upon the stipulation of all parties in the proceeding</w:t>
      </w:r>
      <w:r w:rsidR="006C268E" w:rsidRPr="006C5C89">
        <w:t xml:space="preserve">. </w:t>
      </w:r>
    </w:p>
    <w:p w14:paraId="21610A47" w14:textId="77777777" w:rsidR="00CD1500" w:rsidRDefault="00CF17DE" w:rsidP="00CD1500">
      <w:pPr>
        <w:jc w:val="both"/>
      </w:pPr>
      <w:r w:rsidRPr="006C5C89">
        <w:t xml:space="preserve">The 30-day </w:t>
      </w:r>
      <w:r w:rsidR="00E97802" w:rsidRPr="006C5C89">
        <w:t xml:space="preserve">review </w:t>
      </w:r>
      <w:r w:rsidR="00214B0C" w:rsidRPr="006C5C89">
        <w:t xml:space="preserve">and 20-day </w:t>
      </w:r>
      <w:r w:rsidRPr="006C5C89">
        <w:t>comment period for the draft of thi</w:t>
      </w:r>
      <w:r w:rsidR="009D7160" w:rsidRPr="006C5C89">
        <w:t xml:space="preserve">s </w:t>
      </w:r>
      <w:r w:rsidR="00C264AD" w:rsidRPr="006C5C89">
        <w:t>R</w:t>
      </w:r>
      <w:r w:rsidR="009D7160" w:rsidRPr="006C5C89">
        <w:t xml:space="preserve">esolution was neither waived </w:t>
      </w:r>
      <w:r w:rsidR="00C013F7" w:rsidRPr="006C5C89">
        <w:t>n</w:t>
      </w:r>
      <w:r w:rsidRPr="006C5C89">
        <w:t>or reduced</w:t>
      </w:r>
      <w:r w:rsidR="006C268E" w:rsidRPr="006C5C89">
        <w:t>.</w:t>
      </w:r>
      <w:r w:rsidR="00EA61A1" w:rsidRPr="006C5C89">
        <w:t xml:space="preserve"> </w:t>
      </w:r>
      <w:r w:rsidR="00CD1500">
        <w:t>SoCalGas, Cal Advocates, the Natural Resources Defense Council (NRDC), Earthjustice, and the Sierra Club (“Earthjustice and Sierra Club”) timely submitted comments to the draft Resolution.</w:t>
      </w:r>
    </w:p>
    <w:p w14:paraId="22D4076F" w14:textId="77777777" w:rsidR="00CD1500" w:rsidRDefault="00CD1500" w:rsidP="00CD1500">
      <w:pPr>
        <w:jc w:val="both"/>
      </w:pPr>
      <w:r>
        <w:t xml:space="preserve">Cal PA, addressing only the portion of this Resolution related to SoCalGas’ C&amp;S award (the only aspect which differs from the Draft Resolution issued by Energy Division) supports this Resolution. NRDC also supports this Resolution. Earthjustice and Sierra Club support this Resolution and recommend one modification, described below. </w:t>
      </w:r>
    </w:p>
    <w:p w14:paraId="3B2DE54C" w14:textId="77777777" w:rsidR="00CD1500" w:rsidRDefault="00CD1500" w:rsidP="00CD1500">
      <w:pPr>
        <w:jc w:val="both"/>
      </w:pPr>
      <w:r>
        <w:t>In July 2019, Cal PA filed a motion for an Order to Show Cause (OSC) related to SoCalGas’ 2018 C&amp;S advocacy, alleging that the utility had continued to engage in activities prohibited by D.18-05-041 after that decision’s issuance. On October 3, 2019, in R.13-11-005, an Administrative Law Judge granted the Motion and issued an Order directing SoCalGas to show cause regarding potential sanctions for its C&amp;S advocacy in 2018.</w:t>
      </w:r>
      <w:r>
        <w:rPr>
          <w:rStyle w:val="FootnoteReference"/>
        </w:rPr>
        <w:footnoteReference w:id="58"/>
      </w:r>
      <w:r>
        <w:t xml:space="preserve">  In comments on this Resolution, Earthjustice and Sierra Club recommend that the Commission consolidate the OSC required by this Resolution (which addresses SoCalGas’ C&amp;S advocacy in 2016 and 2017) with the OSC issued October 3, 2019.  We are concerned with both the activities within scope of the existing OSC and those covered by the OSC directed by this Resolution. When the new OSC ordered in this Resolution is issued, that is the appropriate time for parties to request consolidation.</w:t>
      </w:r>
    </w:p>
    <w:p w14:paraId="2C0DCB34" w14:textId="5AB689A4" w:rsidR="002A0FF0" w:rsidRDefault="00CD1500" w:rsidP="00E72DD1">
      <w:r>
        <w:t>SoCalGas filed comments opposing this Resolution.  SoCalGas also requests that, if this Resolution is issued, the Commission should allow SoCalGas to collect its 2017 statewide C&amp;S award in a separate memorandum account until a decision is reached through the OSC process.  The Commission has reviewed and considered these comments and finds that they do not warrant any modifications to the Resolution.</w:t>
      </w:r>
    </w:p>
    <w:p w14:paraId="27CB436D" w14:textId="77777777" w:rsidR="00E72DD1" w:rsidRPr="00EC5DC6" w:rsidRDefault="00E72DD1" w:rsidP="00E72DD1"/>
    <w:p w14:paraId="28394D2E" w14:textId="77777777" w:rsidR="00CF17DE" w:rsidRDefault="00CF17DE" w:rsidP="00B47FF2">
      <w:pPr>
        <w:pStyle w:val="Heading1"/>
        <w:rPr>
          <w:rFonts w:cs="Helvetica"/>
        </w:rPr>
      </w:pPr>
      <w:bookmarkStart w:id="76" w:name="_Toc497338886"/>
      <w:r w:rsidRPr="001B5B34">
        <w:rPr>
          <w:rFonts w:cs="Helvetica"/>
        </w:rPr>
        <w:lastRenderedPageBreak/>
        <w:t>Findings</w:t>
      </w:r>
      <w:bookmarkEnd w:id="76"/>
    </w:p>
    <w:p w14:paraId="3952A109" w14:textId="77777777" w:rsidR="00A42BBE" w:rsidRDefault="00A42BBE" w:rsidP="00B47FF2">
      <w:pPr>
        <w:numPr>
          <w:ilvl w:val="0"/>
          <w:numId w:val="4"/>
        </w:numPr>
        <w:jc w:val="both"/>
        <w:rPr>
          <w:szCs w:val="26"/>
        </w:rPr>
      </w:pPr>
      <w:r w:rsidRPr="007651AC">
        <w:rPr>
          <w:szCs w:val="26"/>
        </w:rPr>
        <w:t>There is</w:t>
      </w:r>
      <w:r>
        <w:rPr>
          <w:szCs w:val="26"/>
        </w:rPr>
        <w:t xml:space="preserve"> inconsistency</w:t>
      </w:r>
      <w:r w:rsidRPr="007651AC">
        <w:rPr>
          <w:szCs w:val="26"/>
        </w:rPr>
        <w:t xml:space="preserve"> among the IOU</w:t>
      </w:r>
      <w:r w:rsidR="009A02CF">
        <w:rPr>
          <w:szCs w:val="26"/>
        </w:rPr>
        <w:t>s</w:t>
      </w:r>
      <w:r w:rsidRPr="007651AC">
        <w:rPr>
          <w:szCs w:val="26"/>
        </w:rPr>
        <w:t>’ Coefficient Advice Letter filings regarding assignment of program categories to calculate the Earning</w:t>
      </w:r>
      <w:r w:rsidR="009A02CF">
        <w:rPr>
          <w:szCs w:val="26"/>
        </w:rPr>
        <w:t>s</w:t>
      </w:r>
      <w:r w:rsidRPr="007651AC">
        <w:rPr>
          <w:szCs w:val="26"/>
        </w:rPr>
        <w:t xml:space="preserve"> Coefficients. </w:t>
      </w:r>
    </w:p>
    <w:p w14:paraId="31F8A4C2" w14:textId="77777777" w:rsidR="00A42BBE" w:rsidRPr="007651AC" w:rsidRDefault="00A42BBE" w:rsidP="00B47FF2">
      <w:pPr>
        <w:numPr>
          <w:ilvl w:val="0"/>
          <w:numId w:val="4"/>
        </w:numPr>
        <w:jc w:val="both"/>
        <w:rPr>
          <w:szCs w:val="26"/>
        </w:rPr>
      </w:pPr>
      <w:r w:rsidRPr="007651AC">
        <w:rPr>
          <w:szCs w:val="26"/>
        </w:rPr>
        <w:t>The</w:t>
      </w:r>
      <w:r w:rsidR="002D3FAE">
        <w:rPr>
          <w:szCs w:val="26"/>
        </w:rPr>
        <w:t>re</w:t>
      </w:r>
      <w:r w:rsidR="00D651A4">
        <w:rPr>
          <w:szCs w:val="26"/>
        </w:rPr>
        <w:t xml:space="preserve"> i</w:t>
      </w:r>
      <w:r w:rsidR="002D3FAE">
        <w:rPr>
          <w:szCs w:val="26"/>
        </w:rPr>
        <w:t xml:space="preserve">s a </w:t>
      </w:r>
      <w:r w:rsidRPr="007651AC">
        <w:rPr>
          <w:szCs w:val="26"/>
        </w:rPr>
        <w:t>need to clarify which program categories should be used by IOUs to compute annual Earnings Coefficients considering recent changes to fund-shifting rules that do</w:t>
      </w:r>
      <w:r w:rsidR="009A02CF">
        <w:rPr>
          <w:szCs w:val="26"/>
        </w:rPr>
        <w:t xml:space="preserve"> not</w:t>
      </w:r>
      <w:r w:rsidRPr="007651AC">
        <w:rPr>
          <w:szCs w:val="26"/>
        </w:rPr>
        <w:t xml:space="preserve"> require IOUs to seek approval for moving budgets </w:t>
      </w:r>
      <w:r w:rsidR="00F77BA1">
        <w:rPr>
          <w:szCs w:val="26"/>
        </w:rPr>
        <w:t>among</w:t>
      </w:r>
      <w:r w:rsidRPr="007651AC">
        <w:rPr>
          <w:szCs w:val="26"/>
        </w:rPr>
        <w:t xml:space="preserve"> programs.</w:t>
      </w:r>
      <w:r w:rsidR="00904CFA">
        <w:rPr>
          <w:szCs w:val="26"/>
        </w:rPr>
        <w:t xml:space="preserve"> </w:t>
      </w:r>
    </w:p>
    <w:p w14:paraId="2AD57767" w14:textId="77777777" w:rsidR="00A42BBE" w:rsidRDefault="00A42BBE" w:rsidP="00B47FF2">
      <w:pPr>
        <w:numPr>
          <w:ilvl w:val="0"/>
          <w:numId w:val="4"/>
        </w:numPr>
        <w:jc w:val="both"/>
        <w:rPr>
          <w:szCs w:val="26"/>
        </w:rPr>
      </w:pPr>
      <w:r w:rsidRPr="007651AC">
        <w:rPr>
          <w:szCs w:val="26"/>
        </w:rPr>
        <w:t>Finance Programs</w:t>
      </w:r>
      <w:r>
        <w:rPr>
          <w:szCs w:val="26"/>
        </w:rPr>
        <w:t xml:space="preserve"> </w:t>
      </w:r>
      <w:r w:rsidRPr="007651AC">
        <w:rPr>
          <w:szCs w:val="26"/>
        </w:rPr>
        <w:t xml:space="preserve">categorized as </w:t>
      </w:r>
      <w:r w:rsidR="00AB65B3">
        <w:rPr>
          <w:szCs w:val="26"/>
        </w:rPr>
        <w:t>r</w:t>
      </w:r>
      <w:r w:rsidRPr="007651AC">
        <w:rPr>
          <w:szCs w:val="26"/>
        </w:rPr>
        <w:t xml:space="preserve">esource </w:t>
      </w:r>
      <w:r w:rsidR="00AB65B3">
        <w:rPr>
          <w:szCs w:val="26"/>
        </w:rPr>
        <w:t>p</w:t>
      </w:r>
      <w:r w:rsidRPr="007651AC">
        <w:rPr>
          <w:szCs w:val="26"/>
        </w:rPr>
        <w:t>rograms per D.13-09-023</w:t>
      </w:r>
      <w:r>
        <w:rPr>
          <w:szCs w:val="26"/>
        </w:rPr>
        <w:t xml:space="preserve"> have </w:t>
      </w:r>
      <w:r w:rsidR="007813C9">
        <w:rPr>
          <w:szCs w:val="26"/>
        </w:rPr>
        <w:t xml:space="preserve">reported </w:t>
      </w:r>
      <w:r w:rsidR="003F0590">
        <w:rPr>
          <w:szCs w:val="26"/>
        </w:rPr>
        <w:t>no</w:t>
      </w:r>
      <w:r w:rsidRPr="007651AC">
        <w:rPr>
          <w:szCs w:val="26"/>
        </w:rPr>
        <w:t xml:space="preserve"> savings </w:t>
      </w:r>
      <w:r w:rsidR="00397BDE" w:rsidRPr="00397BDE">
        <w:rPr>
          <w:szCs w:val="26"/>
        </w:rPr>
        <w:t>since the</w:t>
      </w:r>
      <w:r w:rsidR="00C47899">
        <w:rPr>
          <w:szCs w:val="26"/>
        </w:rPr>
        <w:t xml:space="preserve"> first program was approved </w:t>
      </w:r>
      <w:r w:rsidR="00397BDE" w:rsidRPr="00397BDE">
        <w:rPr>
          <w:szCs w:val="26"/>
        </w:rPr>
        <w:t>in 2006.</w:t>
      </w:r>
    </w:p>
    <w:p w14:paraId="5A52647C" w14:textId="77777777" w:rsidR="00A42BBE" w:rsidRPr="007651AC" w:rsidRDefault="000F2D4F" w:rsidP="00B47FF2">
      <w:pPr>
        <w:numPr>
          <w:ilvl w:val="0"/>
          <w:numId w:val="4"/>
        </w:numPr>
        <w:jc w:val="both"/>
        <w:rPr>
          <w:szCs w:val="26"/>
        </w:rPr>
      </w:pPr>
      <w:r>
        <w:rPr>
          <w:szCs w:val="26"/>
        </w:rPr>
        <w:t xml:space="preserve">Inclusion of </w:t>
      </w:r>
      <w:r w:rsidR="00AB65B3">
        <w:rPr>
          <w:szCs w:val="26"/>
        </w:rPr>
        <w:t>r</w:t>
      </w:r>
      <w:r w:rsidR="00A42BBE" w:rsidRPr="007651AC">
        <w:rPr>
          <w:szCs w:val="26"/>
        </w:rPr>
        <w:t xml:space="preserve">esource </w:t>
      </w:r>
      <w:r w:rsidR="00AB65B3">
        <w:rPr>
          <w:szCs w:val="26"/>
        </w:rPr>
        <w:t>p</w:t>
      </w:r>
      <w:r w:rsidRPr="007651AC">
        <w:rPr>
          <w:szCs w:val="26"/>
        </w:rPr>
        <w:t>rogram</w:t>
      </w:r>
      <w:r w:rsidR="001F74F5">
        <w:rPr>
          <w:szCs w:val="26"/>
        </w:rPr>
        <w:t>s</w:t>
      </w:r>
      <w:r>
        <w:rPr>
          <w:szCs w:val="26"/>
        </w:rPr>
        <w:t xml:space="preserve"> with or without energy savings </w:t>
      </w:r>
      <w:r w:rsidR="00A42BBE">
        <w:rPr>
          <w:szCs w:val="26"/>
        </w:rPr>
        <w:t>increases award amount</w:t>
      </w:r>
      <w:r w:rsidR="004A4735">
        <w:rPr>
          <w:szCs w:val="26"/>
        </w:rPr>
        <w:t>s</w:t>
      </w:r>
      <w:r w:rsidR="00A42BBE">
        <w:rPr>
          <w:szCs w:val="26"/>
        </w:rPr>
        <w:t xml:space="preserve"> because </w:t>
      </w:r>
      <w:r w:rsidR="004A4735">
        <w:rPr>
          <w:szCs w:val="26"/>
        </w:rPr>
        <w:t xml:space="preserve">their </w:t>
      </w:r>
      <w:r w:rsidR="00A42BBE">
        <w:rPr>
          <w:szCs w:val="26"/>
        </w:rPr>
        <w:t>budget</w:t>
      </w:r>
      <w:r w:rsidR="004A4735">
        <w:rPr>
          <w:szCs w:val="26"/>
        </w:rPr>
        <w:t>s</w:t>
      </w:r>
      <w:r w:rsidR="00A42BBE">
        <w:rPr>
          <w:szCs w:val="26"/>
        </w:rPr>
        <w:t xml:space="preserve"> increase the Earning</w:t>
      </w:r>
      <w:r w:rsidR="009A02CF">
        <w:rPr>
          <w:szCs w:val="26"/>
        </w:rPr>
        <w:t>s</w:t>
      </w:r>
      <w:r w:rsidR="00A42BBE">
        <w:rPr>
          <w:szCs w:val="26"/>
        </w:rPr>
        <w:t xml:space="preserve"> Coefficients.</w:t>
      </w:r>
    </w:p>
    <w:p w14:paraId="25E5E07C" w14:textId="77777777" w:rsidR="00A42BBE" w:rsidRDefault="00EB1F34" w:rsidP="00B47FF2">
      <w:pPr>
        <w:numPr>
          <w:ilvl w:val="0"/>
          <w:numId w:val="4"/>
        </w:numPr>
        <w:jc w:val="both"/>
        <w:rPr>
          <w:szCs w:val="26"/>
        </w:rPr>
      </w:pPr>
      <w:r>
        <w:rPr>
          <w:szCs w:val="26"/>
        </w:rPr>
        <w:t>Th</w:t>
      </w:r>
      <w:r w:rsidR="003B204B">
        <w:rPr>
          <w:szCs w:val="26"/>
        </w:rPr>
        <w:t xml:space="preserve">ere is a need to </w:t>
      </w:r>
      <w:r>
        <w:rPr>
          <w:szCs w:val="26"/>
        </w:rPr>
        <w:t xml:space="preserve">further </w:t>
      </w:r>
      <w:r w:rsidR="00A65DD8" w:rsidRPr="00A65DD8">
        <w:rPr>
          <w:szCs w:val="26"/>
        </w:rPr>
        <w:t xml:space="preserve">research the appropriate application </w:t>
      </w:r>
      <w:r w:rsidR="002E4D46">
        <w:rPr>
          <w:szCs w:val="26"/>
        </w:rPr>
        <w:t xml:space="preserve">and reasonableness </w:t>
      </w:r>
      <w:r w:rsidR="00A65DD8" w:rsidRPr="00A65DD8">
        <w:rPr>
          <w:szCs w:val="26"/>
        </w:rPr>
        <w:t xml:space="preserve">of </w:t>
      </w:r>
      <w:r w:rsidR="00582F7C">
        <w:rPr>
          <w:szCs w:val="26"/>
        </w:rPr>
        <w:t xml:space="preserve">including </w:t>
      </w:r>
      <w:r w:rsidR="003F0590">
        <w:rPr>
          <w:szCs w:val="26"/>
        </w:rPr>
        <w:t>no</w:t>
      </w:r>
      <w:r w:rsidR="00A65DD8" w:rsidRPr="00A65DD8">
        <w:rPr>
          <w:szCs w:val="26"/>
        </w:rPr>
        <w:t xml:space="preserve">-savings </w:t>
      </w:r>
      <w:r w:rsidR="00AB65B3">
        <w:rPr>
          <w:szCs w:val="26"/>
        </w:rPr>
        <w:t>r</w:t>
      </w:r>
      <w:r w:rsidR="00A65DD8" w:rsidRPr="00A65DD8">
        <w:rPr>
          <w:szCs w:val="26"/>
        </w:rPr>
        <w:t>esource program budgets</w:t>
      </w:r>
      <w:r w:rsidR="00530C1B">
        <w:rPr>
          <w:szCs w:val="26"/>
        </w:rPr>
        <w:t xml:space="preserve"> and expenditures</w:t>
      </w:r>
      <w:r w:rsidR="00A65DD8" w:rsidRPr="00A65DD8">
        <w:rPr>
          <w:szCs w:val="26"/>
        </w:rPr>
        <w:t xml:space="preserve"> for </w:t>
      </w:r>
      <w:r w:rsidR="004B1A02">
        <w:rPr>
          <w:szCs w:val="26"/>
        </w:rPr>
        <w:t xml:space="preserve">the </w:t>
      </w:r>
      <w:r w:rsidR="00A65DD8" w:rsidRPr="00A65DD8">
        <w:rPr>
          <w:szCs w:val="26"/>
        </w:rPr>
        <w:t>ESPI awards</w:t>
      </w:r>
      <w:r w:rsidR="003B204B">
        <w:rPr>
          <w:szCs w:val="26"/>
        </w:rPr>
        <w:t xml:space="preserve"> mechanism. </w:t>
      </w:r>
    </w:p>
    <w:p w14:paraId="7EE1BD0D" w14:textId="77777777" w:rsidR="00527159" w:rsidRPr="00527159" w:rsidRDefault="00157D44" w:rsidP="002E171E">
      <w:pPr>
        <w:pStyle w:val="ListParagraph"/>
        <w:numPr>
          <w:ilvl w:val="0"/>
          <w:numId w:val="4"/>
        </w:numPr>
        <w:ind w:left="418" w:hanging="418"/>
        <w:contextualSpacing w:val="0"/>
        <w:jc w:val="both"/>
        <w:rPr>
          <w:rFonts w:ascii="Times New Roman" w:hAnsi="Times New Roman"/>
        </w:rPr>
      </w:pPr>
      <w:r>
        <w:t xml:space="preserve">Ex-ante review </w:t>
      </w:r>
      <w:r w:rsidR="00527159">
        <w:t xml:space="preserve">(EAR) </w:t>
      </w:r>
      <w:r>
        <w:t xml:space="preserve">performance scores must be weighted based on the proportion of savings attributed to deemed and custom measures in each </w:t>
      </w:r>
      <w:r w:rsidR="00527159">
        <w:t>IOU’s</w:t>
      </w:r>
      <w:r>
        <w:t xml:space="preserve"> portfolio. </w:t>
      </w:r>
    </w:p>
    <w:p w14:paraId="351E8AEB" w14:textId="77777777" w:rsidR="00157D44" w:rsidRPr="00527159" w:rsidRDefault="00527159" w:rsidP="002E171E">
      <w:pPr>
        <w:pStyle w:val="ListParagraph"/>
        <w:numPr>
          <w:ilvl w:val="0"/>
          <w:numId w:val="4"/>
        </w:numPr>
        <w:ind w:left="418" w:hanging="418"/>
        <w:jc w:val="both"/>
        <w:rPr>
          <w:szCs w:val="26"/>
        </w:rPr>
      </w:pPr>
      <w:r>
        <w:t>The</w:t>
      </w:r>
      <w:r w:rsidR="00157D44">
        <w:t xml:space="preserve"> Commission Staff </w:t>
      </w:r>
      <w:r w:rsidRPr="00527159">
        <w:t xml:space="preserve">will continue to release deemed and custom EAR performance scores in the final EAR performance memos by </w:t>
      </w:r>
      <w:r w:rsidR="00E577EB">
        <w:t>March 31st</w:t>
      </w:r>
      <w:r w:rsidRPr="00527159">
        <w:t xml:space="preserve"> of each year. </w:t>
      </w:r>
    </w:p>
    <w:p w14:paraId="6FC42220" w14:textId="77777777" w:rsidR="00A42BBE" w:rsidRPr="007651AC" w:rsidRDefault="00A42BBE" w:rsidP="002E171E">
      <w:pPr>
        <w:numPr>
          <w:ilvl w:val="0"/>
          <w:numId w:val="4"/>
        </w:numPr>
        <w:jc w:val="both"/>
        <w:rPr>
          <w:szCs w:val="26"/>
        </w:rPr>
      </w:pPr>
      <w:r>
        <w:rPr>
          <w:szCs w:val="26"/>
        </w:rPr>
        <w:t xml:space="preserve">The </w:t>
      </w:r>
      <w:r w:rsidRPr="007651AC">
        <w:rPr>
          <w:szCs w:val="26"/>
        </w:rPr>
        <w:t xml:space="preserve">expansion </w:t>
      </w:r>
      <w:r>
        <w:rPr>
          <w:szCs w:val="26"/>
        </w:rPr>
        <w:t xml:space="preserve">of </w:t>
      </w:r>
      <w:r w:rsidR="001F74F5">
        <w:rPr>
          <w:szCs w:val="26"/>
        </w:rPr>
        <w:t xml:space="preserve">the </w:t>
      </w:r>
      <w:r>
        <w:rPr>
          <w:szCs w:val="26"/>
        </w:rPr>
        <w:t xml:space="preserve">2017 Uncertain Measure list </w:t>
      </w:r>
      <w:r w:rsidRPr="007651AC">
        <w:rPr>
          <w:szCs w:val="26"/>
        </w:rPr>
        <w:t xml:space="preserve">resulted in reduced </w:t>
      </w:r>
      <w:r w:rsidR="002445E5">
        <w:rPr>
          <w:szCs w:val="26"/>
        </w:rPr>
        <w:t>ex-ante</w:t>
      </w:r>
      <w:r w:rsidRPr="007651AC">
        <w:rPr>
          <w:szCs w:val="26"/>
        </w:rPr>
        <w:t xml:space="preserve"> savings for PY 2017 (PY+1)</w:t>
      </w:r>
      <w:r w:rsidR="001F74F5">
        <w:rPr>
          <w:szCs w:val="26"/>
        </w:rPr>
        <w:t>, and may result in increased</w:t>
      </w:r>
      <w:r w:rsidRPr="007651AC">
        <w:rPr>
          <w:szCs w:val="26"/>
        </w:rPr>
        <w:t xml:space="preserve"> </w:t>
      </w:r>
      <w:r w:rsidR="002445E5">
        <w:rPr>
          <w:szCs w:val="26"/>
        </w:rPr>
        <w:t>ex-post</w:t>
      </w:r>
      <w:r w:rsidRPr="007651AC">
        <w:rPr>
          <w:szCs w:val="26"/>
        </w:rPr>
        <w:t xml:space="preserve"> saving</w:t>
      </w:r>
      <w:r w:rsidR="00B97F11">
        <w:rPr>
          <w:szCs w:val="26"/>
        </w:rPr>
        <w:t>s</w:t>
      </w:r>
      <w:r w:rsidRPr="007651AC">
        <w:rPr>
          <w:szCs w:val="26"/>
        </w:rPr>
        <w:t xml:space="preserve"> for PY 2017 (PY+2).</w:t>
      </w:r>
    </w:p>
    <w:p w14:paraId="525E0DC6" w14:textId="77777777" w:rsidR="00A42BBE" w:rsidRDefault="00A42BBE" w:rsidP="00B47FF2">
      <w:pPr>
        <w:numPr>
          <w:ilvl w:val="0"/>
          <w:numId w:val="4"/>
        </w:numPr>
        <w:jc w:val="both"/>
        <w:rPr>
          <w:szCs w:val="26"/>
        </w:rPr>
      </w:pPr>
      <w:r>
        <w:rPr>
          <w:szCs w:val="26"/>
        </w:rPr>
        <w:t xml:space="preserve">The Commission </w:t>
      </w:r>
      <w:r w:rsidR="00C50203">
        <w:rPr>
          <w:szCs w:val="26"/>
        </w:rPr>
        <w:t>S</w:t>
      </w:r>
      <w:r>
        <w:rPr>
          <w:szCs w:val="26"/>
        </w:rPr>
        <w:t xml:space="preserve">taff rely on </w:t>
      </w:r>
      <w:r w:rsidR="00B97F11">
        <w:rPr>
          <w:szCs w:val="26"/>
        </w:rPr>
        <w:t xml:space="preserve">official annual </w:t>
      </w:r>
      <w:r>
        <w:rPr>
          <w:szCs w:val="26"/>
        </w:rPr>
        <w:t xml:space="preserve">CEDARS filings to review approved budget </w:t>
      </w:r>
      <w:r w:rsidR="005B7934">
        <w:rPr>
          <w:szCs w:val="26"/>
        </w:rPr>
        <w:t xml:space="preserve">and expenditure </w:t>
      </w:r>
      <w:r>
        <w:rPr>
          <w:szCs w:val="26"/>
        </w:rPr>
        <w:t xml:space="preserve">data. </w:t>
      </w:r>
    </w:p>
    <w:p w14:paraId="7D435159" w14:textId="77777777" w:rsidR="00A42BBE" w:rsidRPr="007651AC" w:rsidRDefault="00A42BBE" w:rsidP="00B47FF2">
      <w:pPr>
        <w:numPr>
          <w:ilvl w:val="0"/>
          <w:numId w:val="4"/>
        </w:numPr>
        <w:jc w:val="both"/>
        <w:rPr>
          <w:szCs w:val="26"/>
        </w:rPr>
      </w:pPr>
      <w:r>
        <w:rPr>
          <w:szCs w:val="26"/>
        </w:rPr>
        <w:t xml:space="preserve">There were discrepancies between ESPI Advice letter filings and official </w:t>
      </w:r>
      <w:r w:rsidR="00B97F11">
        <w:rPr>
          <w:szCs w:val="26"/>
        </w:rPr>
        <w:t xml:space="preserve">annual </w:t>
      </w:r>
      <w:r>
        <w:rPr>
          <w:szCs w:val="26"/>
        </w:rPr>
        <w:t>CEDARS filing data</w:t>
      </w:r>
      <w:r w:rsidR="00B97F11">
        <w:rPr>
          <w:szCs w:val="26"/>
        </w:rPr>
        <w:t>;</w:t>
      </w:r>
      <w:r>
        <w:rPr>
          <w:szCs w:val="26"/>
        </w:rPr>
        <w:t xml:space="preserve"> therefore, the </w:t>
      </w:r>
      <w:r w:rsidRPr="007651AC">
        <w:rPr>
          <w:szCs w:val="26"/>
        </w:rPr>
        <w:t xml:space="preserve">IOUs </w:t>
      </w:r>
      <w:r w:rsidR="005B7934">
        <w:rPr>
          <w:szCs w:val="26"/>
        </w:rPr>
        <w:t>shall</w:t>
      </w:r>
      <w:r w:rsidRPr="007651AC">
        <w:rPr>
          <w:szCs w:val="26"/>
        </w:rPr>
        <w:t xml:space="preserve"> </w:t>
      </w:r>
      <w:r>
        <w:rPr>
          <w:szCs w:val="26"/>
        </w:rPr>
        <w:t>inform</w:t>
      </w:r>
      <w:r w:rsidRPr="007651AC">
        <w:rPr>
          <w:szCs w:val="26"/>
        </w:rPr>
        <w:t xml:space="preserve"> Commission </w:t>
      </w:r>
      <w:r w:rsidR="00C50203">
        <w:rPr>
          <w:szCs w:val="26"/>
        </w:rPr>
        <w:t>S</w:t>
      </w:r>
      <w:r w:rsidRPr="007651AC">
        <w:rPr>
          <w:szCs w:val="26"/>
        </w:rPr>
        <w:t xml:space="preserve">taff if any information sought in the </w:t>
      </w:r>
      <w:r>
        <w:rPr>
          <w:szCs w:val="26"/>
        </w:rPr>
        <w:t xml:space="preserve">guidance </w:t>
      </w:r>
      <w:r w:rsidRPr="007651AC">
        <w:rPr>
          <w:szCs w:val="26"/>
        </w:rPr>
        <w:t>template will result in a discrepancy with their official CEDARS filing</w:t>
      </w:r>
      <w:r w:rsidR="00B97F11">
        <w:rPr>
          <w:szCs w:val="26"/>
        </w:rPr>
        <w:t>s</w:t>
      </w:r>
      <w:r w:rsidRPr="007651AC">
        <w:rPr>
          <w:szCs w:val="26"/>
        </w:rPr>
        <w:t>.</w:t>
      </w:r>
    </w:p>
    <w:p w14:paraId="1A94BD2B" w14:textId="77777777" w:rsidR="00A42BBE" w:rsidRPr="007651AC" w:rsidRDefault="00A42BBE" w:rsidP="00B47FF2">
      <w:pPr>
        <w:numPr>
          <w:ilvl w:val="0"/>
          <w:numId w:val="4"/>
        </w:numPr>
        <w:jc w:val="both"/>
        <w:rPr>
          <w:szCs w:val="26"/>
        </w:rPr>
      </w:pPr>
      <w:r w:rsidRPr="007651AC">
        <w:rPr>
          <w:szCs w:val="26"/>
        </w:rPr>
        <w:t xml:space="preserve">The current ESPI mechanism does not provide an insight into whether certain programs show larger energy savings as a result of higher </w:t>
      </w:r>
      <w:r w:rsidR="00EA55B2">
        <w:rPr>
          <w:szCs w:val="26"/>
        </w:rPr>
        <w:t>Marketing, Education and Outreach and Direct Implementation Non-Incentive</w:t>
      </w:r>
      <w:r w:rsidRPr="007651AC">
        <w:rPr>
          <w:szCs w:val="26"/>
        </w:rPr>
        <w:t xml:space="preserve"> expenditures.</w:t>
      </w:r>
    </w:p>
    <w:p w14:paraId="5729DB95" w14:textId="77777777" w:rsidR="00457EF0" w:rsidRPr="003B273D" w:rsidRDefault="00457EF0" w:rsidP="00B47FF2">
      <w:pPr>
        <w:numPr>
          <w:ilvl w:val="0"/>
          <w:numId w:val="4"/>
        </w:numPr>
        <w:jc w:val="both"/>
        <w:rPr>
          <w:szCs w:val="26"/>
        </w:rPr>
      </w:pPr>
      <w:bookmarkStart w:id="77" w:name="_Hlk949740"/>
      <w:bookmarkStart w:id="78" w:name="_Hlk953558"/>
      <w:bookmarkStart w:id="79" w:name="_Hlk953705"/>
      <w:r w:rsidRPr="003B273D">
        <w:rPr>
          <w:szCs w:val="26"/>
        </w:rPr>
        <w:lastRenderedPageBreak/>
        <w:t xml:space="preserve">The IOUs </w:t>
      </w:r>
      <w:r>
        <w:rPr>
          <w:szCs w:val="26"/>
        </w:rPr>
        <w:t xml:space="preserve">did not resolve </w:t>
      </w:r>
      <w:r w:rsidR="00F77BA1">
        <w:rPr>
          <w:szCs w:val="26"/>
        </w:rPr>
        <w:t xml:space="preserve">all </w:t>
      </w:r>
      <w:r>
        <w:rPr>
          <w:szCs w:val="26"/>
        </w:rPr>
        <w:t>disagreements or confusion</w:t>
      </w:r>
      <w:r w:rsidRPr="003B273D">
        <w:rPr>
          <w:szCs w:val="26"/>
        </w:rPr>
        <w:t xml:space="preserve"> </w:t>
      </w:r>
      <w:r>
        <w:rPr>
          <w:szCs w:val="26"/>
        </w:rPr>
        <w:t xml:space="preserve">with the UAFCB audit reports </w:t>
      </w:r>
      <w:r w:rsidRPr="003B273D">
        <w:rPr>
          <w:szCs w:val="26"/>
        </w:rPr>
        <w:t xml:space="preserve">during </w:t>
      </w:r>
      <w:r>
        <w:rPr>
          <w:szCs w:val="26"/>
        </w:rPr>
        <w:t>those reports’</w:t>
      </w:r>
      <w:r w:rsidRPr="003B273D">
        <w:rPr>
          <w:szCs w:val="26"/>
        </w:rPr>
        <w:t xml:space="preserve"> stakeholder review process</w:t>
      </w:r>
      <w:r>
        <w:rPr>
          <w:szCs w:val="26"/>
        </w:rPr>
        <w:t>.</w:t>
      </w:r>
      <w:bookmarkEnd w:id="77"/>
      <w:bookmarkEnd w:id="78"/>
    </w:p>
    <w:bookmarkEnd w:id="79"/>
    <w:p w14:paraId="7BD9CF79" w14:textId="77777777" w:rsidR="00A42BBE" w:rsidRDefault="003B273D" w:rsidP="002E171E">
      <w:pPr>
        <w:pStyle w:val="ListParagraph"/>
        <w:numPr>
          <w:ilvl w:val="0"/>
          <w:numId w:val="4"/>
        </w:numPr>
        <w:ind w:left="418" w:hanging="418"/>
        <w:contextualSpacing w:val="0"/>
        <w:jc w:val="both"/>
        <w:rPr>
          <w:szCs w:val="26"/>
        </w:rPr>
      </w:pPr>
      <w:r>
        <w:t>UAFCB used data from the Commission’s Energy Efficiency Statistics website</w:t>
      </w:r>
      <w:r w:rsidR="000F3A8F">
        <w:t xml:space="preserve">, </w:t>
      </w:r>
      <w:r w:rsidR="000F3A8F" w:rsidRPr="000F3A8F">
        <w:t>www.eestats.cpuc.ca.gov</w:t>
      </w:r>
      <w:r>
        <w:t xml:space="preserve"> (“EE Stats”). For program years for which official annual claims data are available in CEDARS,</w:t>
      </w:r>
      <w:r w:rsidR="009004E8" w:rsidRPr="009004E8">
        <w:rPr>
          <w:szCs w:val="26"/>
        </w:rPr>
        <w:t xml:space="preserve"> UAFCB </w:t>
      </w:r>
      <w:r w:rsidR="005B7934">
        <w:rPr>
          <w:szCs w:val="26"/>
        </w:rPr>
        <w:t xml:space="preserve">is encouraged to </w:t>
      </w:r>
      <w:r w:rsidR="009004E8">
        <w:rPr>
          <w:szCs w:val="26"/>
        </w:rPr>
        <w:t>use</w:t>
      </w:r>
      <w:r>
        <w:rPr>
          <w:szCs w:val="26"/>
        </w:rPr>
        <w:t xml:space="preserve"> those </w:t>
      </w:r>
      <w:r w:rsidR="009004E8" w:rsidRPr="009004E8">
        <w:rPr>
          <w:szCs w:val="26"/>
        </w:rPr>
        <w:t xml:space="preserve">instead of the “EE Stats” reports for </w:t>
      </w:r>
      <w:r w:rsidR="009004E8">
        <w:rPr>
          <w:szCs w:val="26"/>
        </w:rPr>
        <w:t xml:space="preserve">annual </w:t>
      </w:r>
      <w:r w:rsidR="009004E8" w:rsidRPr="009004E8">
        <w:rPr>
          <w:szCs w:val="26"/>
        </w:rPr>
        <w:t>utility</w:t>
      </w:r>
      <w:r w:rsidR="009004E8">
        <w:rPr>
          <w:szCs w:val="26"/>
        </w:rPr>
        <w:t xml:space="preserve"> energy efficiency</w:t>
      </w:r>
      <w:r w:rsidR="009004E8" w:rsidRPr="009004E8">
        <w:rPr>
          <w:szCs w:val="26"/>
        </w:rPr>
        <w:t xml:space="preserve"> audits.</w:t>
      </w:r>
    </w:p>
    <w:p w14:paraId="6DF947D2" w14:textId="77777777" w:rsidR="005D52C2" w:rsidRPr="005D52C2" w:rsidRDefault="005D52C2" w:rsidP="002E171E">
      <w:pPr>
        <w:pStyle w:val="ListParagraph"/>
        <w:numPr>
          <w:ilvl w:val="0"/>
          <w:numId w:val="4"/>
        </w:numPr>
        <w:ind w:left="418" w:hanging="418"/>
        <w:jc w:val="both"/>
        <w:rPr>
          <w:rFonts w:ascii="Calibri" w:hAnsi="Calibri"/>
          <w:sz w:val="22"/>
          <w:szCs w:val="22"/>
        </w:rPr>
      </w:pPr>
      <w:r>
        <w:t>The current ESPI Guidelines do not ask for a breakdown o</w:t>
      </w:r>
      <w:r w:rsidR="00D651A4">
        <w:t>f</w:t>
      </w:r>
      <w:r>
        <w:t xml:space="preserve"> expenditures by all past budget year funding sources. </w:t>
      </w:r>
    </w:p>
    <w:p w14:paraId="0F452EAA" w14:textId="77777777" w:rsidR="001D641B" w:rsidRPr="006C5C89" w:rsidRDefault="00EA61A1" w:rsidP="001D641B">
      <w:pPr>
        <w:numPr>
          <w:ilvl w:val="0"/>
          <w:numId w:val="4"/>
        </w:numPr>
        <w:jc w:val="both"/>
        <w:rPr>
          <w:szCs w:val="26"/>
        </w:rPr>
      </w:pPr>
      <w:r w:rsidRPr="006C5C89">
        <w:t>When awarded, t</w:t>
      </w:r>
      <w:r w:rsidR="001D641B" w:rsidRPr="006C5C89">
        <w:t xml:space="preserve">he C&amp;S advocacy programs ESPI award </w:t>
      </w:r>
      <w:r w:rsidRPr="006C5C89">
        <w:t>is calculated as a percentage</w:t>
      </w:r>
      <w:r w:rsidR="001D641B" w:rsidRPr="006C5C89">
        <w:t xml:space="preserve"> of the expenses incurred by the utility</w:t>
      </w:r>
      <w:r w:rsidRPr="006C5C89">
        <w:t>, as a proxy for utility effort working towards energy savings</w:t>
      </w:r>
      <w:r w:rsidR="001D641B" w:rsidRPr="006C5C89">
        <w:t>.</w:t>
      </w:r>
    </w:p>
    <w:p w14:paraId="6C1BEE78" w14:textId="77777777" w:rsidR="00055241" w:rsidRPr="006C5C89" w:rsidRDefault="000F348C" w:rsidP="00055241">
      <w:pPr>
        <w:numPr>
          <w:ilvl w:val="0"/>
          <w:numId w:val="4"/>
        </w:numPr>
        <w:jc w:val="both"/>
        <w:rPr>
          <w:szCs w:val="26"/>
        </w:rPr>
      </w:pPr>
      <w:r w:rsidRPr="006C5C89">
        <w:t xml:space="preserve">There is a question whether </w:t>
      </w:r>
      <w:r w:rsidR="00055241" w:rsidRPr="006C5C89">
        <w:t xml:space="preserve">SoCalGas’ codes and standards advocacy in 2016 and 2017 </w:t>
      </w:r>
      <w:r w:rsidRPr="006C5C89">
        <w:t>could reasonably have</w:t>
      </w:r>
      <w:r w:rsidR="00055241" w:rsidRPr="006C5C89">
        <w:t xml:space="preserve"> be</w:t>
      </w:r>
      <w:r w:rsidRPr="006C5C89">
        <w:t>en</w:t>
      </w:r>
      <w:r w:rsidR="00055241" w:rsidRPr="006C5C89">
        <w:t xml:space="preserve"> expected to result in energy savings. </w:t>
      </w:r>
    </w:p>
    <w:p w14:paraId="06987313" w14:textId="77777777" w:rsidR="0086634B" w:rsidRDefault="003B204B" w:rsidP="002E171E">
      <w:pPr>
        <w:numPr>
          <w:ilvl w:val="0"/>
          <w:numId w:val="4"/>
        </w:numPr>
        <w:jc w:val="both"/>
      </w:pPr>
      <w:r>
        <w:rPr>
          <w:szCs w:val="26"/>
        </w:rPr>
        <w:t>Evidence submitted by SoCalGas suggests that</w:t>
      </w:r>
      <w:r w:rsidR="00224244" w:rsidRPr="00224244">
        <w:rPr>
          <w:szCs w:val="26"/>
        </w:rPr>
        <w:t xml:space="preserve"> </w:t>
      </w:r>
      <w:r w:rsidR="00224244">
        <w:rPr>
          <w:szCs w:val="26"/>
        </w:rPr>
        <w:t>SoCalGas</w:t>
      </w:r>
      <w:r w:rsidR="005F3224">
        <w:rPr>
          <w:szCs w:val="26"/>
        </w:rPr>
        <w:t>’ pre-2016 Home Upgrade Program</w:t>
      </w:r>
      <w:r w:rsidR="00224244">
        <w:rPr>
          <w:szCs w:val="26"/>
        </w:rPr>
        <w:t xml:space="preserve"> claims</w:t>
      </w:r>
      <w:r w:rsidR="00224244" w:rsidRPr="00224244">
        <w:rPr>
          <w:szCs w:val="26"/>
        </w:rPr>
        <w:t xml:space="preserve"> were </w:t>
      </w:r>
      <w:r w:rsidR="004B1A02">
        <w:rPr>
          <w:szCs w:val="26"/>
        </w:rPr>
        <w:t xml:space="preserve">not </w:t>
      </w:r>
      <w:r w:rsidR="00224244" w:rsidRPr="00224244">
        <w:rPr>
          <w:szCs w:val="26"/>
        </w:rPr>
        <w:t>reported in 2015</w:t>
      </w:r>
      <w:r>
        <w:rPr>
          <w:szCs w:val="26"/>
        </w:rPr>
        <w:t xml:space="preserve"> and it is reasonable to accept the claim amounts.</w:t>
      </w:r>
    </w:p>
    <w:p w14:paraId="21834E96" w14:textId="77777777" w:rsidR="005A30E1" w:rsidRPr="00F44974" w:rsidRDefault="005A30E1" w:rsidP="002E171E">
      <w:pPr>
        <w:numPr>
          <w:ilvl w:val="0"/>
          <w:numId w:val="4"/>
        </w:numPr>
        <w:jc w:val="both"/>
      </w:pPr>
      <w:r>
        <w:t>The</w:t>
      </w:r>
      <w:r w:rsidR="001F74F5">
        <w:t>re is a</w:t>
      </w:r>
      <w:r>
        <w:t xml:space="preserve"> need</w:t>
      </w:r>
      <w:r w:rsidR="001F74F5">
        <w:t xml:space="preserve"> </w:t>
      </w:r>
      <w:r w:rsidR="003B204B">
        <w:t xml:space="preserve">to develop </w:t>
      </w:r>
      <w:r>
        <w:t xml:space="preserve">consistent rules </w:t>
      </w:r>
      <w:r w:rsidRPr="00F44974">
        <w:t xml:space="preserve">for </w:t>
      </w:r>
      <w:r>
        <w:t>filing</w:t>
      </w:r>
      <w:r w:rsidRPr="00F44974">
        <w:t xml:space="preserve"> administrative expenditures</w:t>
      </w:r>
      <w:r w:rsidR="000C371C">
        <w:t>.</w:t>
      </w:r>
    </w:p>
    <w:p w14:paraId="456A8A30" w14:textId="77777777" w:rsidR="00D15621" w:rsidRPr="00BA0B93" w:rsidRDefault="00D15621" w:rsidP="002E171E">
      <w:pPr>
        <w:numPr>
          <w:ilvl w:val="0"/>
          <w:numId w:val="4"/>
        </w:numPr>
        <w:ind w:left="418" w:hanging="418"/>
        <w:jc w:val="both"/>
        <w:rPr>
          <w:szCs w:val="26"/>
        </w:rPr>
      </w:pPr>
      <w:r w:rsidRPr="00EB7A8C">
        <w:rPr>
          <w:szCs w:val="26"/>
        </w:rPr>
        <w:t xml:space="preserve">It is appropriate to modify </w:t>
      </w:r>
      <w:r w:rsidR="00DA214D">
        <w:rPr>
          <w:szCs w:val="26"/>
        </w:rPr>
        <w:t xml:space="preserve">the </w:t>
      </w:r>
      <w:r w:rsidRPr="00EB7A8C">
        <w:rPr>
          <w:szCs w:val="26"/>
        </w:rPr>
        <w:t xml:space="preserve">IOUs’ requested awards based on the adjustments detailed in this </w:t>
      </w:r>
      <w:r w:rsidR="00C264AD">
        <w:rPr>
          <w:szCs w:val="26"/>
        </w:rPr>
        <w:t>R</w:t>
      </w:r>
      <w:r w:rsidRPr="00EB7A8C">
        <w:rPr>
          <w:szCs w:val="26"/>
        </w:rPr>
        <w:t>esolution.</w:t>
      </w:r>
      <w:r w:rsidR="00494142" w:rsidRPr="00EB7A8C">
        <w:rPr>
          <w:szCs w:val="26"/>
        </w:rPr>
        <w:t xml:space="preserve"> </w:t>
      </w:r>
    </w:p>
    <w:p w14:paraId="23442809" w14:textId="77777777" w:rsidR="00CF17DE" w:rsidRPr="001B5B34" w:rsidRDefault="00D86956" w:rsidP="00B47FF2">
      <w:pPr>
        <w:pStyle w:val="Heading1"/>
        <w:spacing w:before="360"/>
        <w:rPr>
          <w:rFonts w:cs="Helvetica"/>
        </w:rPr>
      </w:pPr>
      <w:bookmarkStart w:id="80" w:name="_Toc497338887"/>
      <w:r w:rsidRPr="001B5B34">
        <w:rPr>
          <w:rFonts w:cs="Helvetica"/>
        </w:rPr>
        <w:t>THEREFORE,</w:t>
      </w:r>
      <w:r w:rsidR="00DA68BA" w:rsidRPr="001B5B34">
        <w:rPr>
          <w:rFonts w:cs="Helvetica"/>
        </w:rPr>
        <w:t xml:space="preserve"> </w:t>
      </w:r>
      <w:r w:rsidR="00277220" w:rsidRPr="001B5B34">
        <w:rPr>
          <w:rFonts w:cs="Helvetica"/>
        </w:rPr>
        <w:t xml:space="preserve">It is </w:t>
      </w:r>
      <w:r w:rsidR="00CC572C" w:rsidRPr="001B5B34">
        <w:rPr>
          <w:rFonts w:cs="Helvetica"/>
        </w:rPr>
        <w:t>Order</w:t>
      </w:r>
      <w:r w:rsidR="00277220" w:rsidRPr="001B5B34">
        <w:rPr>
          <w:rFonts w:cs="Helvetica"/>
        </w:rPr>
        <w:t>ed that</w:t>
      </w:r>
      <w:r w:rsidR="00DA68BA" w:rsidRPr="001B5B34">
        <w:rPr>
          <w:rFonts w:cs="Helvetica"/>
        </w:rPr>
        <w:t>:</w:t>
      </w:r>
      <w:bookmarkEnd w:id="80"/>
    </w:p>
    <w:p w14:paraId="08C09785" w14:textId="77777777" w:rsidR="006643E3" w:rsidRDefault="00621A8E" w:rsidP="008E7BDB">
      <w:pPr>
        <w:pStyle w:val="ListParagraph"/>
        <w:numPr>
          <w:ilvl w:val="0"/>
          <w:numId w:val="7"/>
        </w:numPr>
        <w:jc w:val="both"/>
        <w:rPr>
          <w:snapToGrid w:val="0"/>
          <w:szCs w:val="26"/>
        </w:rPr>
      </w:pPr>
      <w:bookmarkStart w:id="81" w:name="_Hlk2081645"/>
      <w:r w:rsidRPr="00365A2B">
        <w:rPr>
          <w:snapToGrid w:val="0"/>
          <w:szCs w:val="26"/>
        </w:rPr>
        <w:t xml:space="preserve">The request of Pacific Gas and Electric Company (PG&amp;E) for ESPI awards as made in Advice Letter 4044-G/5430-E is approved with modifications to the original request as listed herein. PG&amp;E is awarded </w:t>
      </w:r>
      <w:r w:rsidRPr="00621A8E">
        <w:rPr>
          <w:snapToGrid w:val="0"/>
          <w:szCs w:val="26"/>
        </w:rPr>
        <w:t>$12,051,754</w:t>
      </w:r>
      <w:r w:rsidRPr="00365A2B">
        <w:rPr>
          <w:snapToGrid w:val="0"/>
          <w:szCs w:val="26"/>
        </w:rPr>
        <w:t xml:space="preserve"> in 2018 ESPI incentives.</w:t>
      </w:r>
      <w:r w:rsidR="00C820C8" w:rsidRPr="00C820C8">
        <w:rPr>
          <w:snapToGrid w:val="0"/>
          <w:szCs w:val="26"/>
        </w:rPr>
        <w:t xml:space="preserve"> </w:t>
      </w:r>
      <w:bookmarkEnd w:id="81"/>
    </w:p>
    <w:p w14:paraId="5F819046" w14:textId="77777777" w:rsidR="00621A8E" w:rsidRDefault="00621A8E" w:rsidP="00621A8E">
      <w:pPr>
        <w:pStyle w:val="ListParagraph"/>
        <w:ind w:left="360"/>
        <w:jc w:val="both"/>
        <w:rPr>
          <w:snapToGrid w:val="0"/>
          <w:szCs w:val="26"/>
        </w:rPr>
      </w:pPr>
    </w:p>
    <w:p w14:paraId="0888A7CC" w14:textId="77777777" w:rsidR="00621A8E" w:rsidRDefault="00621A8E" w:rsidP="00621A8E">
      <w:pPr>
        <w:pStyle w:val="ListParagraph"/>
        <w:numPr>
          <w:ilvl w:val="0"/>
          <w:numId w:val="7"/>
        </w:numPr>
        <w:jc w:val="both"/>
        <w:rPr>
          <w:snapToGrid w:val="0"/>
          <w:szCs w:val="26"/>
        </w:rPr>
      </w:pPr>
      <w:r w:rsidRPr="00C432A9">
        <w:rPr>
          <w:snapToGrid w:val="0"/>
          <w:szCs w:val="26"/>
        </w:rPr>
        <w:t xml:space="preserve">The request of Southern California Edison Company (SCE) for ESPI awards as made in Advice Letter 3901-E is approved </w:t>
      </w:r>
      <w:r w:rsidRPr="00365A2B">
        <w:rPr>
          <w:snapToGrid w:val="0"/>
          <w:szCs w:val="26"/>
        </w:rPr>
        <w:t xml:space="preserve">with </w:t>
      </w:r>
      <w:r>
        <w:rPr>
          <w:snapToGrid w:val="0"/>
          <w:szCs w:val="26"/>
        </w:rPr>
        <w:t xml:space="preserve">a </w:t>
      </w:r>
      <w:r w:rsidRPr="00365A2B">
        <w:rPr>
          <w:snapToGrid w:val="0"/>
          <w:szCs w:val="26"/>
        </w:rPr>
        <w:t>modification to the original request as listed herein</w:t>
      </w:r>
      <w:r w:rsidRPr="00C432A9">
        <w:rPr>
          <w:snapToGrid w:val="0"/>
          <w:szCs w:val="26"/>
        </w:rPr>
        <w:t xml:space="preserve">. SCE is awarded </w:t>
      </w:r>
      <w:r w:rsidRPr="00621A8E">
        <w:rPr>
          <w:snapToGrid w:val="0"/>
          <w:szCs w:val="26"/>
        </w:rPr>
        <w:t>$10,574,269</w:t>
      </w:r>
      <w:r w:rsidRPr="00C432A9">
        <w:rPr>
          <w:snapToGrid w:val="0"/>
          <w:szCs w:val="26"/>
        </w:rPr>
        <w:t xml:space="preserve"> in 2018 ESPI incentives.</w:t>
      </w:r>
    </w:p>
    <w:p w14:paraId="7D99F2D4" w14:textId="77777777" w:rsidR="00621A8E" w:rsidRDefault="00621A8E" w:rsidP="00621A8E">
      <w:pPr>
        <w:pStyle w:val="ListParagraph"/>
        <w:ind w:left="360"/>
        <w:jc w:val="both"/>
        <w:rPr>
          <w:snapToGrid w:val="0"/>
          <w:szCs w:val="26"/>
        </w:rPr>
      </w:pPr>
    </w:p>
    <w:p w14:paraId="1605B84A" w14:textId="77777777" w:rsidR="00621A8E" w:rsidRDefault="00621A8E" w:rsidP="00621A8E">
      <w:pPr>
        <w:pStyle w:val="ListParagraph"/>
        <w:numPr>
          <w:ilvl w:val="0"/>
          <w:numId w:val="7"/>
        </w:numPr>
        <w:jc w:val="both"/>
        <w:rPr>
          <w:snapToGrid w:val="0"/>
          <w:szCs w:val="26"/>
        </w:rPr>
      </w:pPr>
      <w:r w:rsidRPr="00C432A9">
        <w:rPr>
          <w:snapToGrid w:val="0"/>
          <w:szCs w:val="26"/>
        </w:rPr>
        <w:t xml:space="preserve">The request of San Diego Gas &amp; Electric Company (SDG&amp;E) for ESPI awards as made in Advice Letter 3307-E/2722-G is approved with modifications to the original request as listed herein. SDG&amp;E is awarded </w:t>
      </w:r>
      <w:r w:rsidRPr="00621A8E">
        <w:rPr>
          <w:snapToGrid w:val="0"/>
          <w:szCs w:val="26"/>
        </w:rPr>
        <w:t>$</w:t>
      </w:r>
      <w:r w:rsidR="000D4334" w:rsidRPr="000D4334">
        <w:rPr>
          <w:snapToGrid w:val="0"/>
          <w:szCs w:val="26"/>
        </w:rPr>
        <w:t>2,675,481</w:t>
      </w:r>
      <w:r w:rsidRPr="00621A8E">
        <w:rPr>
          <w:snapToGrid w:val="0"/>
          <w:szCs w:val="26"/>
        </w:rPr>
        <w:t xml:space="preserve"> </w:t>
      </w:r>
      <w:r w:rsidRPr="00C432A9">
        <w:rPr>
          <w:snapToGrid w:val="0"/>
          <w:szCs w:val="26"/>
        </w:rPr>
        <w:t>in 2018 ESPI incentives.</w:t>
      </w:r>
    </w:p>
    <w:p w14:paraId="747B995D" w14:textId="77777777" w:rsidR="00621A8E" w:rsidRDefault="00621A8E" w:rsidP="00621A8E">
      <w:pPr>
        <w:pStyle w:val="ListParagraph"/>
        <w:ind w:left="360"/>
        <w:jc w:val="both"/>
        <w:rPr>
          <w:snapToGrid w:val="0"/>
          <w:szCs w:val="26"/>
        </w:rPr>
      </w:pPr>
    </w:p>
    <w:p w14:paraId="44B7849D" w14:textId="77777777" w:rsidR="00621A8E" w:rsidRDefault="00621A8E" w:rsidP="00621A8E">
      <w:pPr>
        <w:pStyle w:val="ListParagraph"/>
        <w:numPr>
          <w:ilvl w:val="0"/>
          <w:numId w:val="7"/>
        </w:numPr>
        <w:jc w:val="both"/>
        <w:rPr>
          <w:snapToGrid w:val="0"/>
          <w:szCs w:val="26"/>
        </w:rPr>
      </w:pPr>
      <w:r w:rsidRPr="00C432A9">
        <w:rPr>
          <w:snapToGrid w:val="0"/>
          <w:szCs w:val="26"/>
        </w:rPr>
        <w:lastRenderedPageBreak/>
        <w:t>The request of Southern California Gas Company (SoCalGas) for ESPI awards as made in Advice Letter 5386-G is approved with modifications to the original request as listed herein. SoCalGas is awarded</w:t>
      </w:r>
      <w:r w:rsidR="00600940" w:rsidRPr="00600940">
        <w:t xml:space="preserve"> </w:t>
      </w:r>
      <w:r w:rsidR="00764ACD" w:rsidRPr="006C5C89">
        <w:rPr>
          <w:snapToGrid w:val="0"/>
          <w:szCs w:val="26"/>
        </w:rPr>
        <w:t>$</w:t>
      </w:r>
      <w:r w:rsidR="00977EBC" w:rsidRPr="006C5C89">
        <w:rPr>
          <w:snapToGrid w:val="0"/>
          <w:szCs w:val="26"/>
        </w:rPr>
        <w:t>527,252</w:t>
      </w:r>
      <w:r w:rsidRPr="00C432A9">
        <w:rPr>
          <w:snapToGrid w:val="0"/>
          <w:szCs w:val="26"/>
        </w:rPr>
        <w:t xml:space="preserve"> in 2018 ESPI incentives.</w:t>
      </w:r>
    </w:p>
    <w:p w14:paraId="4F675061" w14:textId="77777777" w:rsidR="000F348C" w:rsidRPr="000F348C" w:rsidRDefault="000F348C" w:rsidP="000F348C">
      <w:pPr>
        <w:pStyle w:val="ListParagraph"/>
        <w:rPr>
          <w:snapToGrid w:val="0"/>
          <w:szCs w:val="26"/>
        </w:rPr>
      </w:pPr>
    </w:p>
    <w:p w14:paraId="49836ECE" w14:textId="77777777" w:rsidR="000F348C" w:rsidRPr="006C5C89" w:rsidRDefault="00171BD2" w:rsidP="00621A8E">
      <w:pPr>
        <w:pStyle w:val="ListParagraph"/>
        <w:numPr>
          <w:ilvl w:val="0"/>
          <w:numId w:val="7"/>
        </w:numPr>
        <w:jc w:val="both"/>
        <w:rPr>
          <w:snapToGrid w:val="0"/>
          <w:szCs w:val="26"/>
        </w:rPr>
      </w:pPr>
      <w:r w:rsidRPr="006C5C89">
        <w:rPr>
          <w:snapToGrid w:val="0"/>
          <w:szCs w:val="26"/>
        </w:rPr>
        <w:t>Within 60 days of the date of this Resolution, the Commission</w:t>
      </w:r>
      <w:r w:rsidR="000F348C" w:rsidRPr="006C5C89">
        <w:t xml:space="preserve"> shall issue an Order</w:t>
      </w:r>
      <w:r w:rsidRPr="006C5C89">
        <w:t xml:space="preserve"> in R.13-11-005</w:t>
      </w:r>
      <w:r w:rsidR="000F348C" w:rsidRPr="006C5C89">
        <w:t xml:space="preserve"> directing SoCalGas to show cause why </w:t>
      </w:r>
      <w:r w:rsidR="0008581C" w:rsidRPr="006C5C89">
        <w:t xml:space="preserve">it is entitled to shareholder incentives for codes and standards advocacy in 2016 and 2017; whether </w:t>
      </w:r>
      <w:r w:rsidR="000F348C" w:rsidRPr="006C5C89">
        <w:t>its shareholders should bear the costs of its 2016 and 2017 codes and standards advocacy</w:t>
      </w:r>
      <w:r w:rsidRPr="006C5C89">
        <w:t>;</w:t>
      </w:r>
      <w:r w:rsidR="00334A72" w:rsidRPr="006C5C89">
        <w:t xml:space="preserve"> and to </w:t>
      </w:r>
      <w:r w:rsidR="006D65B0" w:rsidRPr="006C5C89">
        <w:t>address</w:t>
      </w:r>
      <w:r w:rsidR="00334A72" w:rsidRPr="006C5C89">
        <w:t xml:space="preserve"> whether </w:t>
      </w:r>
      <w:r w:rsidRPr="006C5C89">
        <w:t>any other remedies are appropriate</w:t>
      </w:r>
      <w:r w:rsidR="00334A72" w:rsidRPr="006C5C89">
        <w:t>.</w:t>
      </w:r>
    </w:p>
    <w:p w14:paraId="523EBF4F" w14:textId="77777777" w:rsidR="00A42BBE" w:rsidRPr="006643E3" w:rsidRDefault="00A42BBE" w:rsidP="008E7BDB">
      <w:pPr>
        <w:pStyle w:val="ListParagraph"/>
        <w:spacing w:before="0" w:after="0"/>
        <w:ind w:left="360"/>
        <w:jc w:val="both"/>
        <w:rPr>
          <w:snapToGrid w:val="0"/>
          <w:szCs w:val="26"/>
        </w:rPr>
      </w:pPr>
      <w:r w:rsidRPr="006643E3">
        <w:rPr>
          <w:snapToGrid w:val="0"/>
          <w:szCs w:val="26"/>
        </w:rPr>
        <w:t xml:space="preserve"> </w:t>
      </w:r>
    </w:p>
    <w:p w14:paraId="4C3E17CF" w14:textId="77777777" w:rsidR="00FB5389" w:rsidRPr="00527159" w:rsidRDefault="00FB5389" w:rsidP="008E7BDB">
      <w:pPr>
        <w:pStyle w:val="ListParagraph"/>
        <w:numPr>
          <w:ilvl w:val="0"/>
          <w:numId w:val="7"/>
        </w:numPr>
        <w:spacing w:before="0" w:after="0"/>
        <w:jc w:val="both"/>
      </w:pPr>
      <w:r>
        <w:t xml:space="preserve">Energy Division </w:t>
      </w:r>
      <w:r w:rsidR="00F77BA1">
        <w:t>S</w:t>
      </w:r>
      <w:r>
        <w:t xml:space="preserve">taff shall work with the Assigned Commissioner Office and Assigned Administrative Law Judge to </w:t>
      </w:r>
      <w:r w:rsidRPr="001B35D5">
        <w:rPr>
          <w:szCs w:val="26"/>
        </w:rPr>
        <w:t xml:space="preserve">determine how to clarify which program categories should be used by IOUs to compute </w:t>
      </w:r>
      <w:r w:rsidR="00D651A4">
        <w:rPr>
          <w:szCs w:val="26"/>
        </w:rPr>
        <w:t xml:space="preserve">the </w:t>
      </w:r>
      <w:r>
        <w:rPr>
          <w:szCs w:val="26"/>
        </w:rPr>
        <w:t xml:space="preserve">ESPI </w:t>
      </w:r>
      <w:r w:rsidR="00600940">
        <w:rPr>
          <w:szCs w:val="26"/>
        </w:rPr>
        <w:t xml:space="preserve">earnings rates </w:t>
      </w:r>
      <w:r>
        <w:rPr>
          <w:szCs w:val="26"/>
        </w:rPr>
        <w:t>and award</w:t>
      </w:r>
      <w:r w:rsidR="00600940">
        <w:rPr>
          <w:szCs w:val="26"/>
        </w:rPr>
        <w:t>s</w:t>
      </w:r>
      <w:r>
        <w:rPr>
          <w:szCs w:val="26"/>
        </w:rPr>
        <w:t xml:space="preserve">. </w:t>
      </w:r>
    </w:p>
    <w:p w14:paraId="05243F70" w14:textId="77777777" w:rsidR="00527159" w:rsidRPr="00527159" w:rsidRDefault="00527159" w:rsidP="00527159">
      <w:pPr>
        <w:pStyle w:val="ListParagraph"/>
        <w:spacing w:before="0" w:after="0"/>
        <w:ind w:left="360"/>
        <w:jc w:val="both"/>
      </w:pPr>
    </w:p>
    <w:p w14:paraId="5AA259FE" w14:textId="77777777" w:rsidR="00527159" w:rsidRPr="00600940" w:rsidRDefault="00527159" w:rsidP="008E7BDB">
      <w:pPr>
        <w:pStyle w:val="ListParagraph"/>
        <w:numPr>
          <w:ilvl w:val="0"/>
          <w:numId w:val="7"/>
        </w:numPr>
        <w:spacing w:before="0" w:after="0"/>
        <w:jc w:val="both"/>
      </w:pPr>
      <w:r w:rsidRPr="00527159">
        <w:t xml:space="preserve">For use in their ESPI </w:t>
      </w:r>
      <w:r>
        <w:t>A</w:t>
      </w:r>
      <w:r w:rsidRPr="00527159">
        <w:t xml:space="preserve">dvice </w:t>
      </w:r>
      <w:r>
        <w:t>L</w:t>
      </w:r>
      <w:r w:rsidRPr="00527159">
        <w:t>etters, the IOUs sh</w:t>
      </w:r>
      <w:r>
        <w:t>all</w:t>
      </w:r>
      <w:r w:rsidRPr="00527159">
        <w:t xml:space="preserve"> calculate weighted total </w:t>
      </w:r>
      <w:r>
        <w:t>ex-ante review</w:t>
      </w:r>
      <w:r w:rsidRPr="00527159">
        <w:t xml:space="preserve"> performance scores using the methods described </w:t>
      </w:r>
      <w:r>
        <w:t>herein</w:t>
      </w:r>
      <w:r w:rsidRPr="00527159">
        <w:t xml:space="preserve">. </w:t>
      </w:r>
    </w:p>
    <w:p w14:paraId="216348DB" w14:textId="77777777" w:rsidR="00600940" w:rsidRDefault="00600940" w:rsidP="00600940">
      <w:pPr>
        <w:pStyle w:val="ListParagraph"/>
        <w:spacing w:before="0" w:after="0"/>
        <w:ind w:left="360"/>
        <w:jc w:val="both"/>
      </w:pPr>
    </w:p>
    <w:p w14:paraId="78EEBC64" w14:textId="77777777" w:rsidR="00600940" w:rsidRDefault="00600940" w:rsidP="00600940">
      <w:pPr>
        <w:pStyle w:val="ListParagraph"/>
        <w:numPr>
          <w:ilvl w:val="0"/>
          <w:numId w:val="7"/>
        </w:numPr>
        <w:spacing w:before="0" w:after="0"/>
        <w:jc w:val="both"/>
      </w:pPr>
      <w:r>
        <w:t>The IOUs must use the guidelines for 2019 ESPI Advice Letters as a template for their 2019 ESPI Advice Letter submissions.</w:t>
      </w:r>
    </w:p>
    <w:p w14:paraId="79BE496D" w14:textId="77777777" w:rsidR="00600940" w:rsidRDefault="00600940" w:rsidP="00600940">
      <w:pPr>
        <w:pStyle w:val="ListParagraph"/>
        <w:spacing w:before="0" w:after="0"/>
        <w:ind w:left="360"/>
        <w:jc w:val="both"/>
      </w:pPr>
    </w:p>
    <w:p w14:paraId="1413D99B" w14:textId="77777777" w:rsidR="00600940" w:rsidRPr="001B35D5" w:rsidRDefault="00600940" w:rsidP="00600940">
      <w:pPr>
        <w:pStyle w:val="ListParagraph"/>
        <w:numPr>
          <w:ilvl w:val="0"/>
          <w:numId w:val="7"/>
        </w:numPr>
        <w:spacing w:before="0" w:after="0"/>
        <w:jc w:val="both"/>
      </w:pPr>
      <w:r>
        <w:t>Within 30 days of the issuance of the 2019 ESPI guidelines, the IOUs shall file a Tier 1 Advice Letter calculating the earnings rates and award caps for program year 2018. The submission must include a comprehensive list of the utilities’ energy efficiency programs and budget placements in accordance with the 2019 ESPI guidelines.</w:t>
      </w:r>
    </w:p>
    <w:p w14:paraId="588FBE4A" w14:textId="77777777" w:rsidR="00FB5389" w:rsidRDefault="00FB5389" w:rsidP="008E7BDB">
      <w:pPr>
        <w:pStyle w:val="ListParagraph"/>
        <w:spacing w:before="0" w:after="0"/>
        <w:jc w:val="both"/>
        <w:rPr>
          <w:szCs w:val="26"/>
        </w:rPr>
      </w:pPr>
    </w:p>
    <w:p w14:paraId="1D83F274" w14:textId="77777777" w:rsidR="002D3FAE" w:rsidRPr="002D3FAE" w:rsidRDefault="002D3FAE" w:rsidP="008E7BDB">
      <w:pPr>
        <w:numPr>
          <w:ilvl w:val="0"/>
          <w:numId w:val="7"/>
        </w:numPr>
        <w:spacing w:before="0" w:after="0"/>
        <w:jc w:val="both"/>
        <w:rPr>
          <w:szCs w:val="26"/>
        </w:rPr>
      </w:pPr>
      <w:r>
        <w:rPr>
          <w:szCs w:val="26"/>
        </w:rPr>
        <w:t xml:space="preserve">The </w:t>
      </w:r>
      <w:r w:rsidRPr="007651AC">
        <w:rPr>
          <w:szCs w:val="26"/>
        </w:rPr>
        <w:t xml:space="preserve">IOUs </w:t>
      </w:r>
      <w:r>
        <w:rPr>
          <w:szCs w:val="26"/>
        </w:rPr>
        <w:t>shall</w:t>
      </w:r>
      <w:r w:rsidRPr="007651AC">
        <w:rPr>
          <w:szCs w:val="26"/>
        </w:rPr>
        <w:t xml:space="preserve"> </w:t>
      </w:r>
      <w:r>
        <w:rPr>
          <w:szCs w:val="26"/>
        </w:rPr>
        <w:t xml:space="preserve">clearly explain in their ESPI advice letter filings when there are discrepancies between their reported budgets and expenditures in their ESPI advice letter filings and </w:t>
      </w:r>
      <w:r w:rsidRPr="007651AC">
        <w:rPr>
          <w:szCs w:val="26"/>
        </w:rPr>
        <w:t xml:space="preserve">their official </w:t>
      </w:r>
      <w:r w:rsidRPr="00E34DBF">
        <w:rPr>
          <w:szCs w:val="26"/>
        </w:rPr>
        <w:t xml:space="preserve">California Energy Data and Reporting System </w:t>
      </w:r>
      <w:r>
        <w:rPr>
          <w:szCs w:val="26"/>
        </w:rPr>
        <w:t>(CEDARS)</w:t>
      </w:r>
      <w:r w:rsidRPr="007651AC">
        <w:rPr>
          <w:szCs w:val="26"/>
        </w:rPr>
        <w:t xml:space="preserve"> filing</w:t>
      </w:r>
      <w:r>
        <w:rPr>
          <w:szCs w:val="26"/>
        </w:rPr>
        <w:t>s for the relevant years.</w:t>
      </w:r>
    </w:p>
    <w:p w14:paraId="69F91040" w14:textId="77777777" w:rsidR="002D3FAE" w:rsidRPr="002D3FAE" w:rsidRDefault="002D3FAE" w:rsidP="008E7BDB">
      <w:pPr>
        <w:pStyle w:val="ListParagraph"/>
        <w:spacing w:before="0" w:after="0"/>
        <w:jc w:val="both"/>
        <w:rPr>
          <w:snapToGrid w:val="0"/>
          <w:szCs w:val="26"/>
        </w:rPr>
      </w:pPr>
    </w:p>
    <w:p w14:paraId="12F1455D" w14:textId="77777777" w:rsidR="002F62CE" w:rsidRDefault="00F77BA1" w:rsidP="008E7BDB">
      <w:pPr>
        <w:pStyle w:val="ListParagraph"/>
        <w:numPr>
          <w:ilvl w:val="0"/>
          <w:numId w:val="7"/>
        </w:numPr>
        <w:spacing w:before="0" w:after="0"/>
        <w:contextualSpacing w:val="0"/>
        <w:jc w:val="both"/>
        <w:rPr>
          <w:snapToGrid w:val="0"/>
          <w:szCs w:val="26"/>
        </w:rPr>
      </w:pPr>
      <w:r>
        <w:rPr>
          <w:snapToGrid w:val="0"/>
          <w:szCs w:val="26"/>
        </w:rPr>
        <w:t>T</w:t>
      </w:r>
      <w:r w:rsidR="002F62CE" w:rsidRPr="00217389">
        <w:rPr>
          <w:snapToGrid w:val="0"/>
          <w:szCs w:val="26"/>
        </w:rPr>
        <w:t xml:space="preserve">he </w:t>
      </w:r>
      <w:r w:rsidR="002F62CE">
        <w:rPr>
          <w:snapToGrid w:val="0"/>
          <w:szCs w:val="26"/>
        </w:rPr>
        <w:t xml:space="preserve">IOUs shall raise all concerns with the </w:t>
      </w:r>
      <w:r w:rsidR="002E4D46">
        <w:t xml:space="preserve">Utility, Audit, Finance and Compliance Branch </w:t>
      </w:r>
      <w:r w:rsidR="002F62CE">
        <w:rPr>
          <w:snapToGrid w:val="0"/>
          <w:szCs w:val="26"/>
        </w:rPr>
        <w:t>reports during the</w:t>
      </w:r>
      <w:r w:rsidR="002D3FAE">
        <w:rPr>
          <w:snapToGrid w:val="0"/>
          <w:szCs w:val="26"/>
        </w:rPr>
        <w:t xml:space="preserve"> audit</w:t>
      </w:r>
      <w:r w:rsidR="002F62CE">
        <w:rPr>
          <w:snapToGrid w:val="0"/>
          <w:szCs w:val="26"/>
        </w:rPr>
        <w:t xml:space="preserve"> stakeholder review process that results in the final reports. Concerns will not be investigated within the ESPI Resolution.</w:t>
      </w:r>
    </w:p>
    <w:p w14:paraId="4CFEB9A8" w14:textId="77777777" w:rsidR="003B204B" w:rsidRDefault="003B204B" w:rsidP="00B82A00">
      <w:pPr>
        <w:pStyle w:val="ListParagraph"/>
        <w:spacing w:before="0"/>
        <w:ind w:left="360"/>
        <w:contextualSpacing w:val="0"/>
        <w:jc w:val="both"/>
        <w:rPr>
          <w:snapToGrid w:val="0"/>
          <w:szCs w:val="26"/>
        </w:rPr>
      </w:pPr>
    </w:p>
    <w:p w14:paraId="632536B3" w14:textId="77777777" w:rsidR="00CB680C" w:rsidRDefault="00CB680C" w:rsidP="00B47FF2">
      <w:pPr>
        <w:tabs>
          <w:tab w:val="left" w:pos="720"/>
          <w:tab w:val="left" w:pos="1152"/>
          <w:tab w:val="left" w:pos="1728"/>
          <w:tab w:val="left" w:pos="3168"/>
          <w:tab w:val="left" w:pos="5040"/>
        </w:tabs>
        <w:ind w:right="144"/>
      </w:pPr>
      <w:r>
        <w:t>This Resolution is effective today.</w:t>
      </w:r>
    </w:p>
    <w:p w14:paraId="25B0549C" w14:textId="77777777" w:rsidR="00CB680C" w:rsidRDefault="00CB680C" w:rsidP="00B47FF2">
      <w:pPr>
        <w:tabs>
          <w:tab w:val="left" w:pos="720"/>
          <w:tab w:val="left" w:pos="1152"/>
          <w:tab w:val="left" w:pos="1728"/>
          <w:tab w:val="left" w:pos="3168"/>
          <w:tab w:val="left" w:pos="5040"/>
        </w:tabs>
        <w:ind w:right="144"/>
      </w:pPr>
    </w:p>
    <w:p w14:paraId="16D6DC60" w14:textId="0FE789D4" w:rsidR="008864F5" w:rsidRDefault="00CB680C" w:rsidP="00B47FF2">
      <w:pPr>
        <w:tabs>
          <w:tab w:val="left" w:pos="720"/>
          <w:tab w:val="left" w:pos="1152"/>
          <w:tab w:val="left" w:pos="1728"/>
          <w:tab w:val="left" w:pos="3168"/>
          <w:tab w:val="left" w:pos="5040"/>
        </w:tabs>
        <w:ind w:right="144"/>
      </w:pPr>
      <w:r>
        <w:lastRenderedPageBreak/>
        <w:t xml:space="preserve">I certify that the foregoing resolution was duly introduced, passed, and adopted at a conference of the Public Utilities Commission of the State of California held on </w:t>
      </w:r>
      <w:r w:rsidR="006D437E">
        <w:t>October 10</w:t>
      </w:r>
      <w:r w:rsidR="00616F66">
        <w:t>, 2019</w:t>
      </w:r>
      <w:r>
        <w:t>; the following Commissioners voting favorably thereon:</w:t>
      </w:r>
    </w:p>
    <w:p w14:paraId="4BC81FCE" w14:textId="77777777" w:rsidR="009B053C" w:rsidRDefault="00BA2A85" w:rsidP="00B47FF2">
      <w:pPr>
        <w:tabs>
          <w:tab w:val="left" w:pos="720"/>
          <w:tab w:val="left" w:pos="1152"/>
          <w:tab w:val="left" w:pos="1728"/>
          <w:tab w:val="left" w:pos="3168"/>
          <w:tab w:val="left" w:pos="5040"/>
        </w:tabs>
        <w:ind w:right="144"/>
        <w:rPr>
          <w:szCs w:val="26"/>
        </w:rPr>
      </w:pPr>
      <w:r>
        <w:tab/>
      </w:r>
      <w:r>
        <w:tab/>
      </w:r>
      <w:r>
        <w:tab/>
      </w:r>
      <w:r>
        <w:tab/>
        <w:t xml:space="preserve"> </w:t>
      </w:r>
      <w:r w:rsidR="00CF17DE">
        <w:t xml:space="preserve"> </w:t>
      </w:r>
      <w:r>
        <w:rPr>
          <w:szCs w:val="26"/>
        </w:rPr>
        <w:t xml:space="preserve"> </w:t>
      </w:r>
      <w:r w:rsidR="00AE1B24">
        <w:rPr>
          <w:szCs w:val="26"/>
        </w:rPr>
        <w:t xml:space="preserve">                           </w:t>
      </w:r>
    </w:p>
    <w:p w14:paraId="5847A2EA" w14:textId="4CE88E0B" w:rsidR="009B053C" w:rsidRDefault="009B053C" w:rsidP="00B47FF2">
      <w:pPr>
        <w:tabs>
          <w:tab w:val="left" w:pos="720"/>
          <w:tab w:val="left" w:pos="1152"/>
          <w:tab w:val="left" w:pos="1728"/>
          <w:tab w:val="left" w:pos="3168"/>
          <w:tab w:val="left" w:pos="5040"/>
        </w:tabs>
        <w:ind w:right="144"/>
        <w:rPr>
          <w:szCs w:val="26"/>
        </w:rPr>
      </w:pPr>
    </w:p>
    <w:p w14:paraId="109E159D" w14:textId="77777777" w:rsidR="009B053C" w:rsidRDefault="009B053C" w:rsidP="00B47FF2">
      <w:pPr>
        <w:tabs>
          <w:tab w:val="left" w:pos="720"/>
          <w:tab w:val="left" w:pos="1152"/>
          <w:tab w:val="left" w:pos="1728"/>
          <w:tab w:val="left" w:pos="3168"/>
          <w:tab w:val="left" w:pos="5040"/>
        </w:tabs>
        <w:ind w:right="144"/>
        <w:rPr>
          <w:szCs w:val="26"/>
        </w:rPr>
      </w:pPr>
    </w:p>
    <w:p w14:paraId="4BD0FDC8" w14:textId="1FBCAC1D" w:rsidR="00BA2A85" w:rsidRPr="005A2B57" w:rsidRDefault="009B053C" w:rsidP="009B053C">
      <w:pPr>
        <w:tabs>
          <w:tab w:val="left" w:pos="720"/>
          <w:tab w:val="left" w:pos="1152"/>
          <w:tab w:val="left" w:pos="1728"/>
          <w:tab w:val="left" w:pos="3168"/>
          <w:tab w:val="left" w:pos="5040"/>
        </w:tabs>
        <w:spacing w:before="0" w:after="0"/>
        <w:ind w:right="144"/>
        <w:rPr>
          <w:u w:val="single"/>
        </w:rPr>
      </w:pPr>
      <w:r>
        <w:rPr>
          <w:szCs w:val="26"/>
        </w:rPr>
        <w:tab/>
      </w:r>
      <w:r>
        <w:rPr>
          <w:szCs w:val="26"/>
        </w:rPr>
        <w:tab/>
      </w:r>
      <w:r>
        <w:rPr>
          <w:szCs w:val="26"/>
        </w:rPr>
        <w:tab/>
      </w:r>
      <w:r>
        <w:rPr>
          <w:szCs w:val="26"/>
        </w:rPr>
        <w:tab/>
      </w:r>
      <w:r>
        <w:rPr>
          <w:szCs w:val="26"/>
        </w:rPr>
        <w:tab/>
        <w:t xml:space="preserve">              </w:t>
      </w:r>
      <w:r w:rsidR="00FE0AB6">
        <w:rPr>
          <w:szCs w:val="26"/>
        </w:rPr>
        <w:t xml:space="preserve"> </w:t>
      </w:r>
      <w:r w:rsidR="006D6211" w:rsidRPr="006D6211">
        <w:rPr>
          <w:u w:val="single"/>
        </w:rPr>
        <w:t>/s</w:t>
      </w:r>
      <w:r w:rsidR="006D6211">
        <w:rPr>
          <w:u w:val="single"/>
        </w:rPr>
        <w:t>/</w:t>
      </w:r>
      <w:r w:rsidR="006D6211" w:rsidRPr="006D6211">
        <w:rPr>
          <w:i/>
          <w:iCs/>
          <w:u w:val="single"/>
        </w:rPr>
        <w:t>Alice Stebbins</w:t>
      </w:r>
      <w:r w:rsidR="00AE1B24" w:rsidRPr="005A2B57">
        <w:rPr>
          <w:u w:val="single"/>
        </w:rPr>
        <w:t xml:space="preserve">   </w:t>
      </w:r>
      <w:r w:rsidR="00BA2A85" w:rsidRPr="005A2B57">
        <w:rPr>
          <w:u w:val="single"/>
        </w:rPr>
        <w:t xml:space="preserve"> </w:t>
      </w:r>
    </w:p>
    <w:p w14:paraId="58AF8F93" w14:textId="2BC14A4B" w:rsidR="009B053C" w:rsidRPr="009B053C" w:rsidRDefault="009B053C" w:rsidP="009B053C">
      <w:pPr>
        <w:spacing w:before="0" w:after="0"/>
        <w:ind w:left="4320" w:firstLine="720"/>
      </w:pPr>
      <w:r>
        <w:t xml:space="preserve">             </w:t>
      </w:r>
      <w:r w:rsidR="00FE0AB6">
        <w:t xml:space="preserve">  </w:t>
      </w:r>
      <w:r w:rsidRPr="009B053C">
        <w:t>ALICE STEBBINS</w:t>
      </w:r>
      <w:r w:rsidRPr="009B053C">
        <w:br/>
        <w:t xml:space="preserve">            </w:t>
      </w:r>
      <w:r>
        <w:t xml:space="preserve">             </w:t>
      </w:r>
      <w:r w:rsidR="00FE0AB6">
        <w:t xml:space="preserve">  </w:t>
      </w:r>
      <w:r w:rsidRPr="009B053C">
        <w:t>Executive Director</w:t>
      </w:r>
    </w:p>
    <w:p w14:paraId="6223F296" w14:textId="77777777" w:rsidR="009B053C" w:rsidRPr="009B053C" w:rsidRDefault="009B053C" w:rsidP="009B053C">
      <w:pPr>
        <w:spacing w:before="0" w:after="0"/>
        <w:ind w:left="4320" w:firstLine="720"/>
      </w:pPr>
    </w:p>
    <w:p w14:paraId="181E4BD2" w14:textId="5E90FCA8" w:rsidR="009B053C" w:rsidRPr="009B053C" w:rsidRDefault="009B053C" w:rsidP="009B053C">
      <w:pPr>
        <w:pStyle w:val="Body"/>
        <w:tabs>
          <w:tab w:val="left" w:pos="720"/>
          <w:tab w:val="left" w:pos="1152"/>
          <w:tab w:val="left" w:pos="1728"/>
          <w:tab w:val="left" w:pos="3168"/>
          <w:tab w:val="left" w:pos="5040"/>
        </w:tabs>
        <w:spacing w:after="0"/>
        <w:ind w:right="144"/>
        <w:rPr>
          <w:rFonts w:ascii="Palatino Linotype" w:eastAsia="Palatino Linotype" w:hAnsi="Palatino Linotype" w:cs="Palatino Linotype"/>
          <w:sz w:val="24"/>
          <w:szCs w:val="24"/>
        </w:rPr>
      </w:pPr>
      <w:r w:rsidRPr="009B053C">
        <w:rPr>
          <w:rFonts w:ascii="Palatino Linotype" w:hAnsi="Palatino Linotype"/>
          <w:sz w:val="24"/>
          <w:szCs w:val="24"/>
        </w:rPr>
        <w:tab/>
      </w:r>
      <w:r w:rsidRPr="009B053C">
        <w:rPr>
          <w:rFonts w:ascii="Palatino Linotype" w:hAnsi="Palatino Linotype"/>
          <w:sz w:val="24"/>
          <w:szCs w:val="24"/>
        </w:rPr>
        <w:tab/>
      </w:r>
      <w:r w:rsidRPr="009B053C">
        <w:rPr>
          <w:rFonts w:ascii="Palatino Linotype" w:hAnsi="Palatino Linotype"/>
          <w:sz w:val="24"/>
          <w:szCs w:val="24"/>
        </w:rPr>
        <w:tab/>
      </w:r>
      <w:r w:rsidRPr="009B053C">
        <w:rPr>
          <w:rFonts w:ascii="Palatino Linotype" w:hAnsi="Palatino Linotype"/>
          <w:sz w:val="24"/>
          <w:szCs w:val="24"/>
        </w:rPr>
        <w:tab/>
      </w:r>
      <w:r w:rsidRPr="009B053C">
        <w:rPr>
          <w:rFonts w:ascii="Palatino Linotype" w:hAnsi="Palatino Linotype"/>
          <w:sz w:val="24"/>
          <w:szCs w:val="24"/>
        </w:rPr>
        <w:tab/>
      </w:r>
      <w:r>
        <w:rPr>
          <w:rFonts w:ascii="Palatino Linotype" w:hAnsi="Palatino Linotype"/>
          <w:sz w:val="24"/>
          <w:szCs w:val="24"/>
        </w:rPr>
        <w:t xml:space="preserve">               </w:t>
      </w:r>
      <w:r w:rsidRPr="009B053C">
        <w:rPr>
          <w:rFonts w:ascii="Palatino Linotype" w:eastAsia="Palatino Linotype" w:hAnsi="Palatino Linotype" w:cs="Palatino Linotype"/>
          <w:sz w:val="24"/>
          <w:szCs w:val="24"/>
        </w:rPr>
        <w:t>MARYBEL BATJER</w:t>
      </w:r>
    </w:p>
    <w:p w14:paraId="5D4F7D45" w14:textId="694BACBD" w:rsidR="009B053C" w:rsidRPr="009B053C" w:rsidRDefault="009B053C" w:rsidP="009B053C">
      <w:pPr>
        <w:pStyle w:val="Body"/>
        <w:tabs>
          <w:tab w:val="left" w:pos="720"/>
          <w:tab w:val="left" w:pos="1152"/>
          <w:tab w:val="left" w:pos="1728"/>
          <w:tab w:val="left" w:pos="3168"/>
          <w:tab w:val="left" w:pos="5040"/>
        </w:tabs>
        <w:spacing w:after="0"/>
        <w:ind w:right="144"/>
        <w:rPr>
          <w:rFonts w:ascii="Palatino Linotype" w:eastAsia="Palatino Linotype" w:hAnsi="Palatino Linotype" w:cs="Palatino Linotype"/>
          <w:sz w:val="24"/>
          <w:szCs w:val="24"/>
        </w:rPr>
      </w:pPr>
      <w:r w:rsidRPr="009B053C">
        <w:rPr>
          <w:rFonts w:ascii="Palatino Linotype" w:eastAsia="Palatino Linotype" w:hAnsi="Palatino Linotype" w:cs="Palatino Linotype"/>
          <w:sz w:val="24"/>
          <w:szCs w:val="24"/>
        </w:rPr>
        <w:tab/>
      </w:r>
      <w:r w:rsidRPr="009B053C">
        <w:rPr>
          <w:rFonts w:ascii="Palatino Linotype" w:eastAsia="Palatino Linotype" w:hAnsi="Palatino Linotype" w:cs="Palatino Linotype"/>
          <w:sz w:val="24"/>
          <w:szCs w:val="24"/>
        </w:rPr>
        <w:tab/>
      </w:r>
      <w:r w:rsidRPr="009B053C">
        <w:rPr>
          <w:rFonts w:ascii="Palatino Linotype" w:eastAsia="Palatino Linotype" w:hAnsi="Palatino Linotype" w:cs="Palatino Linotype"/>
          <w:sz w:val="24"/>
          <w:szCs w:val="24"/>
        </w:rPr>
        <w:tab/>
      </w:r>
      <w:r w:rsidRPr="009B053C">
        <w:rPr>
          <w:rFonts w:ascii="Palatino Linotype" w:eastAsia="Palatino Linotype" w:hAnsi="Palatino Linotype" w:cs="Palatino Linotype"/>
          <w:sz w:val="24"/>
          <w:szCs w:val="24"/>
        </w:rPr>
        <w:tab/>
      </w:r>
      <w:r w:rsidRPr="009B053C">
        <w:rPr>
          <w:rFonts w:ascii="Palatino Linotype" w:eastAsia="Palatino Linotype" w:hAnsi="Palatino Linotype" w:cs="Palatino Linotype"/>
          <w:sz w:val="24"/>
          <w:szCs w:val="24"/>
        </w:rPr>
        <w:tab/>
      </w:r>
      <w:r w:rsidRPr="009B053C">
        <w:rPr>
          <w:rFonts w:ascii="Palatino Linotype" w:eastAsia="Palatino Linotype" w:hAnsi="Palatino Linotype" w:cs="Palatino Linotype"/>
          <w:sz w:val="24"/>
          <w:szCs w:val="24"/>
        </w:rPr>
        <w:tab/>
        <w:t xml:space="preserve">                 </w:t>
      </w:r>
      <w:r>
        <w:rPr>
          <w:rFonts w:ascii="Palatino Linotype" w:eastAsia="Palatino Linotype" w:hAnsi="Palatino Linotype" w:cs="Palatino Linotype"/>
          <w:sz w:val="24"/>
          <w:szCs w:val="24"/>
        </w:rPr>
        <w:t xml:space="preserve">            </w:t>
      </w:r>
      <w:r w:rsidRPr="009B053C">
        <w:rPr>
          <w:rFonts w:ascii="Palatino Linotype" w:eastAsia="Palatino Linotype" w:hAnsi="Palatino Linotype" w:cs="Palatino Linotype"/>
          <w:sz w:val="24"/>
          <w:szCs w:val="24"/>
        </w:rPr>
        <w:t>President</w:t>
      </w:r>
    </w:p>
    <w:p w14:paraId="63DD8AED" w14:textId="5A3B9D9F" w:rsidR="009B053C" w:rsidRPr="009B053C" w:rsidRDefault="009B053C" w:rsidP="009B053C">
      <w:pPr>
        <w:spacing w:before="0" w:after="0"/>
      </w:pPr>
      <w:r w:rsidRPr="009B053C">
        <w:tab/>
      </w:r>
      <w:r w:rsidRPr="009B053C">
        <w:tab/>
      </w:r>
      <w:r w:rsidRPr="009B053C">
        <w:tab/>
      </w:r>
      <w:r w:rsidRPr="009B053C">
        <w:tab/>
      </w:r>
      <w:r w:rsidRPr="009B053C">
        <w:tab/>
      </w:r>
      <w:r w:rsidRPr="009B053C">
        <w:tab/>
      </w:r>
      <w:r w:rsidRPr="009B053C">
        <w:tab/>
      </w:r>
      <w:r>
        <w:t xml:space="preserve">               </w:t>
      </w:r>
      <w:r w:rsidRPr="009B053C">
        <w:t>LIANE M. RANDOLPH</w:t>
      </w:r>
    </w:p>
    <w:p w14:paraId="4B134F76" w14:textId="57A696EA" w:rsidR="009B053C" w:rsidRPr="009B053C" w:rsidRDefault="009B053C" w:rsidP="009B053C">
      <w:pPr>
        <w:spacing w:before="0" w:after="0"/>
      </w:pPr>
      <w:r w:rsidRPr="009B053C">
        <w:tab/>
      </w:r>
      <w:r w:rsidRPr="009B053C">
        <w:tab/>
      </w:r>
      <w:r w:rsidRPr="009B053C">
        <w:tab/>
      </w:r>
      <w:r w:rsidRPr="009B053C">
        <w:tab/>
      </w:r>
      <w:r w:rsidRPr="009B053C">
        <w:tab/>
      </w:r>
      <w:r w:rsidRPr="009B053C">
        <w:tab/>
      </w:r>
      <w:r>
        <w:t xml:space="preserve"> </w:t>
      </w:r>
      <w:r w:rsidRPr="009B053C">
        <w:tab/>
      </w:r>
      <w:r>
        <w:t xml:space="preserve">               </w:t>
      </w:r>
      <w:r w:rsidRPr="009B053C">
        <w:rPr>
          <w:rFonts w:cs="Palatino Linotype"/>
        </w:rPr>
        <w:t>MARTHA GUZMAN ACEVES</w:t>
      </w:r>
    </w:p>
    <w:p w14:paraId="0E62686E" w14:textId="0F13A1E7" w:rsidR="009B053C" w:rsidRPr="009B053C" w:rsidRDefault="009B053C" w:rsidP="009B053C">
      <w:pPr>
        <w:pStyle w:val="Default"/>
        <w:rPr>
          <w:rFonts w:ascii="Palatino Linotype" w:eastAsia="Times New Roman" w:hAnsi="Palatino Linotype" w:cs="Palatino Linotype"/>
        </w:rPr>
      </w:pPr>
      <w:r w:rsidRPr="009B053C">
        <w:rPr>
          <w:rFonts w:ascii="Palatino Linotype" w:eastAsia="Times New Roman" w:hAnsi="Palatino Linotype" w:cs="Palatino Linotype"/>
        </w:rPr>
        <w:tab/>
      </w:r>
      <w:r w:rsidRPr="009B053C">
        <w:rPr>
          <w:rFonts w:ascii="Palatino Linotype" w:eastAsia="Times New Roman" w:hAnsi="Palatino Linotype" w:cs="Palatino Linotype"/>
        </w:rPr>
        <w:tab/>
      </w:r>
      <w:r w:rsidRPr="009B053C">
        <w:rPr>
          <w:rFonts w:ascii="Palatino Linotype" w:eastAsia="Times New Roman" w:hAnsi="Palatino Linotype" w:cs="Palatino Linotype"/>
        </w:rPr>
        <w:tab/>
      </w:r>
      <w:r w:rsidRPr="009B053C">
        <w:rPr>
          <w:rFonts w:ascii="Palatino Linotype" w:eastAsia="Times New Roman" w:hAnsi="Palatino Linotype" w:cs="Palatino Linotype"/>
        </w:rPr>
        <w:tab/>
      </w:r>
      <w:r w:rsidRPr="009B053C">
        <w:rPr>
          <w:rFonts w:ascii="Palatino Linotype" w:eastAsia="Times New Roman" w:hAnsi="Palatino Linotype" w:cs="Palatino Linotype"/>
        </w:rPr>
        <w:tab/>
      </w:r>
      <w:r w:rsidRPr="009B053C">
        <w:rPr>
          <w:rFonts w:ascii="Palatino Linotype" w:eastAsia="Times New Roman" w:hAnsi="Palatino Linotype" w:cs="Palatino Linotype"/>
        </w:rPr>
        <w:tab/>
      </w:r>
      <w:r w:rsidRPr="009B053C">
        <w:rPr>
          <w:rFonts w:ascii="Palatino Linotype" w:eastAsia="Times New Roman" w:hAnsi="Palatino Linotype" w:cs="Palatino Linotype"/>
        </w:rPr>
        <w:tab/>
      </w:r>
      <w:r>
        <w:rPr>
          <w:rFonts w:ascii="Palatino Linotype" w:eastAsia="Times New Roman" w:hAnsi="Palatino Linotype" w:cs="Palatino Linotype"/>
        </w:rPr>
        <w:t xml:space="preserve">               </w:t>
      </w:r>
      <w:r w:rsidRPr="009B053C">
        <w:rPr>
          <w:rFonts w:ascii="Palatino Linotype" w:hAnsi="Palatino Linotype" w:cs="Palatino Linotype"/>
        </w:rPr>
        <w:t>CLIFFORD RECHTSCHAFFEN</w:t>
      </w:r>
    </w:p>
    <w:p w14:paraId="41CF20DB" w14:textId="170A21B6" w:rsidR="009B053C" w:rsidRPr="009B053C" w:rsidRDefault="009B053C" w:rsidP="009B053C">
      <w:pPr>
        <w:spacing w:before="0" w:after="0"/>
        <w:ind w:firstLine="720"/>
        <w:rPr>
          <w:rFonts w:cs="Palatino Linotype"/>
          <w:color w:val="000000"/>
        </w:rPr>
      </w:pPr>
      <w:r w:rsidRPr="009B053C">
        <w:tab/>
      </w:r>
      <w:r w:rsidRPr="009B053C">
        <w:tab/>
      </w:r>
      <w:r w:rsidRPr="009B053C">
        <w:tab/>
      </w:r>
      <w:r w:rsidRPr="009B053C">
        <w:tab/>
      </w:r>
      <w:r w:rsidRPr="009B053C">
        <w:tab/>
      </w:r>
      <w:r w:rsidRPr="009B053C">
        <w:tab/>
      </w:r>
      <w:r>
        <w:t xml:space="preserve">               </w:t>
      </w:r>
      <w:r w:rsidRPr="009B053C">
        <w:t>GENEVIEVE SHIROMA</w:t>
      </w:r>
    </w:p>
    <w:p w14:paraId="6F2898D5" w14:textId="422C4A59" w:rsidR="009B053C" w:rsidRPr="009B053C" w:rsidRDefault="009B053C" w:rsidP="009B053C">
      <w:pPr>
        <w:spacing w:before="0"/>
        <w:ind w:firstLine="720"/>
      </w:pPr>
      <w:r w:rsidRPr="009B053C">
        <w:tab/>
      </w:r>
      <w:r w:rsidRPr="009B053C">
        <w:tab/>
      </w:r>
      <w:r w:rsidRPr="009B053C">
        <w:tab/>
      </w:r>
      <w:r w:rsidRPr="009B053C">
        <w:tab/>
      </w:r>
      <w:r w:rsidRPr="009B053C">
        <w:tab/>
      </w:r>
      <w:r w:rsidRPr="009B053C">
        <w:tab/>
      </w:r>
      <w:r w:rsidRPr="009B053C">
        <w:tab/>
      </w:r>
      <w:r w:rsidRPr="009B053C">
        <w:tab/>
        <w:t xml:space="preserve">                  Commissioners</w:t>
      </w:r>
    </w:p>
    <w:p w14:paraId="7A177AFC" w14:textId="097FB189" w:rsidR="00BA0B93" w:rsidRDefault="00BA0B93" w:rsidP="009B053C">
      <w:pPr>
        <w:tabs>
          <w:tab w:val="left" w:pos="720"/>
          <w:tab w:val="left" w:pos="1152"/>
          <w:tab w:val="left" w:pos="1728"/>
          <w:tab w:val="left" w:pos="3168"/>
          <w:tab w:val="left" w:pos="5040"/>
        </w:tabs>
        <w:ind w:right="144"/>
      </w:pPr>
    </w:p>
    <w:sectPr w:rsidR="00BA0B93" w:rsidSect="00BA6337">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FE2F7" w14:textId="77777777" w:rsidR="00FA21E7" w:rsidRDefault="00FA21E7">
      <w:r>
        <w:separator/>
      </w:r>
    </w:p>
  </w:endnote>
  <w:endnote w:type="continuationSeparator" w:id="0">
    <w:p w14:paraId="751338C6" w14:textId="77777777" w:rsidR="00FA21E7" w:rsidRDefault="00FA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563229"/>
      <w:docPartObj>
        <w:docPartGallery w:val="Page Numbers (Bottom of Page)"/>
        <w:docPartUnique/>
      </w:docPartObj>
    </w:sdtPr>
    <w:sdtEndPr>
      <w:rPr>
        <w:noProof/>
      </w:rPr>
    </w:sdtEndPr>
    <w:sdtContent>
      <w:p w14:paraId="17AF3B1A" w14:textId="77777777" w:rsidR="009B053C" w:rsidRDefault="009B053C">
        <w:pPr>
          <w:pStyle w:val="Footer"/>
        </w:pPr>
        <w:r>
          <w:fldChar w:fldCharType="begin"/>
        </w:r>
        <w:r>
          <w:instrText xml:space="preserve"> PAGE   \* MERGEFORMAT </w:instrText>
        </w:r>
        <w:r>
          <w:fldChar w:fldCharType="separate"/>
        </w:r>
        <w:r w:rsidR="00CE6758">
          <w:rPr>
            <w:noProof/>
          </w:rPr>
          <w:t>41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062771"/>
      <w:docPartObj>
        <w:docPartGallery w:val="Page Numbers (Bottom of Page)"/>
        <w:docPartUnique/>
      </w:docPartObj>
    </w:sdtPr>
    <w:sdtEndPr>
      <w:rPr>
        <w:noProof/>
      </w:rPr>
    </w:sdtEndPr>
    <w:sdtContent>
      <w:p w14:paraId="5449ED62" w14:textId="3752B71A" w:rsidR="009B053C" w:rsidRDefault="00FE0AB6" w:rsidP="00E556DB">
        <w:pPr>
          <w:pStyle w:val="Footer"/>
          <w:jc w:val="left"/>
        </w:pPr>
        <w:r w:rsidRPr="00FE0AB6">
          <w:rPr>
            <w:rFonts w:ascii="Tahoma" w:hAnsi="Tahoma" w:cs="Tahoma"/>
            <w:szCs w:val="17"/>
          </w:rPr>
          <w:t>317672918</w:t>
        </w:r>
        <w:r w:rsidR="009B053C">
          <w:rPr>
            <w:rFonts w:ascii="Tahoma" w:hAnsi="Tahoma" w:cs="Tahoma"/>
            <w:sz w:val="17"/>
            <w:szCs w:val="17"/>
          </w:rPr>
          <w:tab/>
        </w:r>
        <w:r w:rsidR="009B053C">
          <w:fldChar w:fldCharType="begin"/>
        </w:r>
        <w:r w:rsidR="009B053C">
          <w:instrText xml:space="preserve"> PAGE   \* MERGEFORMAT </w:instrText>
        </w:r>
        <w:r w:rsidR="009B053C">
          <w:fldChar w:fldCharType="separate"/>
        </w:r>
        <w:r w:rsidR="00CE6758">
          <w:rPr>
            <w:noProof/>
          </w:rPr>
          <w:t>1</w:t>
        </w:r>
        <w:r w:rsidR="009B053C">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4BC5E" w14:textId="77777777" w:rsidR="00FA21E7" w:rsidRDefault="00FA21E7">
      <w:r>
        <w:separator/>
      </w:r>
    </w:p>
  </w:footnote>
  <w:footnote w:type="continuationSeparator" w:id="0">
    <w:p w14:paraId="1EDCF8CF" w14:textId="77777777" w:rsidR="00FA21E7" w:rsidRDefault="00FA21E7">
      <w:r>
        <w:continuationSeparator/>
      </w:r>
    </w:p>
  </w:footnote>
  <w:footnote w:type="continuationNotice" w:id="1">
    <w:p w14:paraId="628F993C" w14:textId="77777777" w:rsidR="00FA21E7" w:rsidRDefault="00FA21E7">
      <w:pPr>
        <w:rPr>
          <w:sz w:val="22"/>
        </w:rPr>
      </w:pPr>
    </w:p>
    <w:p w14:paraId="39F688A9" w14:textId="77777777" w:rsidR="00FA21E7" w:rsidRDefault="00FA21E7">
      <w:pPr>
        <w:jc w:val="right"/>
        <w:rPr>
          <w:sz w:val="22"/>
        </w:rPr>
      </w:pPr>
      <w:r>
        <w:rPr>
          <w:i/>
          <w:sz w:val="22"/>
        </w:rPr>
        <w:t>Footnote continued on next page</w:t>
      </w:r>
    </w:p>
  </w:footnote>
  <w:footnote w:id="2">
    <w:p w14:paraId="54BEAE6B" w14:textId="77777777" w:rsidR="009B053C" w:rsidRPr="00657462" w:rsidRDefault="009B053C" w:rsidP="00E40C02">
      <w:pPr>
        <w:pStyle w:val="FootnoteText"/>
        <w:numPr>
          <w:ilvl w:val="0"/>
          <w:numId w:val="0"/>
        </w:numPr>
        <w:spacing w:beforeLines="60" w:before="144" w:after="0"/>
        <w:ind w:left="187" w:hanging="187"/>
        <w:jc w:val="both"/>
        <w:rPr>
          <w:sz w:val="22"/>
          <w:szCs w:val="22"/>
        </w:rPr>
      </w:pPr>
      <w:r w:rsidRPr="00657462">
        <w:rPr>
          <w:rStyle w:val="FootnoteReference"/>
          <w:sz w:val="22"/>
          <w:szCs w:val="22"/>
        </w:rPr>
        <w:footnoteRef/>
      </w:r>
      <w:r w:rsidRPr="00657462">
        <w:rPr>
          <w:sz w:val="22"/>
          <w:szCs w:val="22"/>
        </w:rPr>
        <w:t xml:space="preserve"> The Risk/Reward Incentive Mechanism, adopted in 2007, rewarded or penalized utilities based on evaluated energy savings for 2006-2008 and subsequent program cycles. It was discontinued in 2013 with the adoption of the </w:t>
      </w:r>
      <w:r w:rsidRPr="00D90225">
        <w:t>Efficiency Savings and Performance Incentive</w:t>
      </w:r>
      <w:r w:rsidRPr="008D0613">
        <w:t xml:space="preserve"> </w:t>
      </w:r>
      <w:r w:rsidRPr="00657462">
        <w:rPr>
          <w:sz w:val="22"/>
          <w:szCs w:val="22"/>
        </w:rPr>
        <w:t>mechanism. See Decision</w:t>
      </w:r>
      <w:r>
        <w:rPr>
          <w:sz w:val="22"/>
          <w:szCs w:val="22"/>
        </w:rPr>
        <w:t>s</w:t>
      </w:r>
      <w:r w:rsidRPr="00657462">
        <w:rPr>
          <w:sz w:val="22"/>
          <w:szCs w:val="22"/>
        </w:rPr>
        <w:t xml:space="preserve"> D.16-09-019 (Pacific Gas and Electric Company), D.16-10-008 (Southern California Edison Company), and D.17-03-003 (San Diego Gas &amp; Electric Company</w:t>
      </w:r>
      <w:r>
        <w:rPr>
          <w:sz w:val="22"/>
          <w:szCs w:val="22"/>
        </w:rPr>
        <w:t xml:space="preserve"> and</w:t>
      </w:r>
      <w:r w:rsidRPr="00657462">
        <w:rPr>
          <w:sz w:val="22"/>
          <w:szCs w:val="22"/>
        </w:rPr>
        <w:t xml:space="preserve"> Southern California Gas Company).</w:t>
      </w:r>
    </w:p>
  </w:footnote>
  <w:footnote w:id="3">
    <w:p w14:paraId="323627C6" w14:textId="77777777" w:rsidR="009B053C" w:rsidRPr="00276DAD" w:rsidRDefault="009B053C" w:rsidP="00E40C02">
      <w:pPr>
        <w:pStyle w:val="FootnoteText"/>
        <w:numPr>
          <w:ilvl w:val="0"/>
          <w:numId w:val="0"/>
        </w:numPr>
        <w:spacing w:beforeLines="60" w:before="144" w:after="0"/>
        <w:rPr>
          <w:sz w:val="22"/>
        </w:rPr>
      </w:pPr>
      <w:r w:rsidRPr="00276DAD">
        <w:rPr>
          <w:rStyle w:val="FootnoteReference"/>
          <w:sz w:val="22"/>
        </w:rPr>
        <w:footnoteRef/>
      </w:r>
      <w:r w:rsidRPr="00276DAD">
        <w:rPr>
          <w:sz w:val="22"/>
        </w:rPr>
        <w:t xml:space="preserve"> </w:t>
      </w:r>
      <w:hyperlink r:id="rId1" w:history="1">
        <w:r w:rsidRPr="00276DAD">
          <w:rPr>
            <w:rStyle w:val="Hyperlink"/>
            <w:sz w:val="22"/>
          </w:rPr>
          <w:t>Rulemaking (R.) 09-01-019</w:t>
        </w:r>
      </w:hyperlink>
      <w:r w:rsidRPr="00276DAD">
        <w:rPr>
          <w:sz w:val="22"/>
        </w:rPr>
        <w:t>. ALJ: Kevin R. Dudney (Assigned Oct 20, 2015), Commissioner: Carla Peterman (Assigned Nov 24, 2014)</w:t>
      </w:r>
    </w:p>
  </w:footnote>
  <w:footnote w:id="4">
    <w:p w14:paraId="62A095CB" w14:textId="77777777" w:rsidR="009B053C" w:rsidRDefault="009B053C" w:rsidP="00E40C02">
      <w:pPr>
        <w:pStyle w:val="FootnoteText"/>
        <w:numPr>
          <w:ilvl w:val="0"/>
          <w:numId w:val="0"/>
        </w:numPr>
        <w:tabs>
          <w:tab w:val="left" w:pos="810"/>
        </w:tabs>
        <w:spacing w:beforeLines="60" w:before="144" w:after="0"/>
        <w:ind w:left="274" w:hanging="274"/>
        <w:jc w:val="both"/>
      </w:pPr>
      <w:r w:rsidRPr="00276DAD">
        <w:rPr>
          <w:rStyle w:val="FootnoteReference"/>
          <w:sz w:val="22"/>
          <w:szCs w:val="22"/>
        </w:rPr>
        <w:footnoteRef/>
      </w:r>
      <w:r w:rsidRPr="00276DAD">
        <w:rPr>
          <w:sz w:val="22"/>
          <w:szCs w:val="22"/>
        </w:rPr>
        <w:t xml:space="preserve"> </w:t>
      </w:r>
      <w:hyperlink r:id="rId2" w:history="1">
        <w:r w:rsidRPr="008151FD">
          <w:rPr>
            <w:rStyle w:val="Hyperlink"/>
            <w:sz w:val="22"/>
            <w:szCs w:val="22"/>
          </w:rPr>
          <w:t>D.16</w:t>
        </w:r>
        <w:r w:rsidRPr="008151FD">
          <w:rPr>
            <w:rStyle w:val="Hyperlink"/>
            <w:sz w:val="22"/>
          </w:rPr>
          <w:t>-09-019</w:t>
        </w:r>
      </w:hyperlink>
      <w:r>
        <w:rPr>
          <w:sz w:val="22"/>
          <w:szCs w:val="22"/>
        </w:rPr>
        <w:t xml:space="preserve">, </w:t>
      </w:r>
      <w:r w:rsidRPr="00276DAD">
        <w:rPr>
          <w:sz w:val="22"/>
        </w:rPr>
        <w:t>Ordering Paragraph</w:t>
      </w:r>
      <w:r>
        <w:rPr>
          <w:sz w:val="22"/>
        </w:rPr>
        <w:t>s</w:t>
      </w:r>
      <w:r w:rsidRPr="00276DAD">
        <w:rPr>
          <w:sz w:val="22"/>
        </w:rPr>
        <w:t xml:space="preserve"> </w:t>
      </w:r>
      <w:r>
        <w:rPr>
          <w:sz w:val="22"/>
        </w:rPr>
        <w:t>(</w:t>
      </w:r>
      <w:r>
        <w:rPr>
          <w:sz w:val="22"/>
          <w:szCs w:val="22"/>
        </w:rPr>
        <w:t>OPs) 1-2</w:t>
      </w:r>
      <w:r>
        <w:rPr>
          <w:sz w:val="22"/>
        </w:rPr>
        <w:t>;</w:t>
      </w:r>
      <w:r w:rsidRPr="00276DAD">
        <w:rPr>
          <w:sz w:val="20"/>
        </w:rPr>
        <w:t xml:space="preserve"> </w:t>
      </w:r>
      <w:hyperlink r:id="rId3" w:history="1">
        <w:r w:rsidRPr="008151FD">
          <w:rPr>
            <w:rStyle w:val="Hyperlink"/>
            <w:sz w:val="22"/>
          </w:rPr>
          <w:t>D.16-10-008</w:t>
        </w:r>
      </w:hyperlink>
      <w:r w:rsidRPr="00276DAD">
        <w:rPr>
          <w:sz w:val="22"/>
        </w:rPr>
        <w:t>,</w:t>
      </w:r>
      <w:r>
        <w:rPr>
          <w:sz w:val="22"/>
        </w:rPr>
        <w:t xml:space="preserve"> OPs 1-2; </w:t>
      </w:r>
      <w:hyperlink r:id="rId4" w:history="1">
        <w:r w:rsidRPr="008151FD">
          <w:rPr>
            <w:rStyle w:val="Hyperlink"/>
            <w:sz w:val="22"/>
          </w:rPr>
          <w:t>D.17-03-003</w:t>
        </w:r>
      </w:hyperlink>
      <w:r>
        <w:rPr>
          <w:sz w:val="22"/>
        </w:rPr>
        <w:t>, OPs 1-4</w:t>
      </w:r>
    </w:p>
  </w:footnote>
  <w:footnote w:id="5">
    <w:p w14:paraId="459F75CC" w14:textId="77777777" w:rsidR="009B053C" w:rsidRDefault="009B053C" w:rsidP="00E40C02">
      <w:pPr>
        <w:pStyle w:val="FootnoteText"/>
        <w:numPr>
          <w:ilvl w:val="0"/>
          <w:numId w:val="0"/>
        </w:numPr>
        <w:spacing w:beforeLines="60" w:before="144" w:after="0"/>
        <w:ind w:left="187" w:hanging="187"/>
        <w:jc w:val="both"/>
      </w:pPr>
      <w:r w:rsidRPr="00276DAD">
        <w:rPr>
          <w:rStyle w:val="FootnoteReference"/>
          <w:sz w:val="22"/>
          <w:szCs w:val="22"/>
        </w:rPr>
        <w:footnoteRef/>
      </w:r>
      <w:r w:rsidRPr="00276DAD">
        <w:rPr>
          <w:sz w:val="22"/>
          <w:szCs w:val="22"/>
        </w:rPr>
        <w:t xml:space="preserve"> In</w:t>
      </w:r>
      <w:r w:rsidRPr="00276DAD">
        <w:rPr>
          <w:sz w:val="22"/>
        </w:rPr>
        <w:t xml:space="preserve"> November 2016, SCE filed </w:t>
      </w:r>
      <w:hyperlink r:id="rId5" w:history="1">
        <w:r w:rsidRPr="008151FD">
          <w:rPr>
            <w:rStyle w:val="Hyperlink"/>
            <w:sz w:val="22"/>
          </w:rPr>
          <w:t>Advice Letter 3513-E</w:t>
        </w:r>
      </w:hyperlink>
      <w:r w:rsidRPr="00276DAD">
        <w:rPr>
          <w:sz w:val="22"/>
        </w:rPr>
        <w:t xml:space="preserve"> for the purposes of their RRIM settlement, leaving a balance of $0.</w:t>
      </w:r>
    </w:p>
  </w:footnote>
  <w:footnote w:id="6">
    <w:p w14:paraId="1176DFEA" w14:textId="77777777" w:rsidR="009B053C" w:rsidRDefault="009B053C" w:rsidP="00E40C02">
      <w:pPr>
        <w:pStyle w:val="FootnoteText"/>
        <w:numPr>
          <w:ilvl w:val="0"/>
          <w:numId w:val="0"/>
        </w:numPr>
        <w:spacing w:beforeLines="60" w:before="144" w:after="0"/>
      </w:pPr>
      <w:r w:rsidRPr="00276DAD">
        <w:rPr>
          <w:rStyle w:val="FootnoteReference"/>
          <w:sz w:val="22"/>
        </w:rPr>
        <w:footnoteRef/>
      </w:r>
      <w:r w:rsidRPr="00276DAD">
        <w:rPr>
          <w:sz w:val="22"/>
        </w:rPr>
        <w:t xml:space="preserve"> </w:t>
      </w:r>
      <w:hyperlink r:id="rId6" w:history="1">
        <w:r w:rsidRPr="008151FD">
          <w:rPr>
            <w:rStyle w:val="Hyperlink"/>
            <w:sz w:val="22"/>
          </w:rPr>
          <w:t>D.15-10-028</w:t>
        </w:r>
      </w:hyperlink>
      <w:r>
        <w:rPr>
          <w:rStyle w:val="Hyperlink"/>
          <w:color w:val="auto"/>
          <w:sz w:val="22"/>
          <w:u w:val="none"/>
        </w:rPr>
        <w:t>, Appendix 5</w:t>
      </w:r>
    </w:p>
  </w:footnote>
  <w:footnote w:id="7">
    <w:p w14:paraId="1878CE74" w14:textId="77777777" w:rsidR="009B053C" w:rsidRPr="00AE58A9" w:rsidRDefault="009B053C" w:rsidP="00E40C02">
      <w:pPr>
        <w:pStyle w:val="FootnoteText"/>
        <w:numPr>
          <w:ilvl w:val="0"/>
          <w:numId w:val="0"/>
        </w:numPr>
        <w:spacing w:beforeLines="60" w:before="144" w:after="0"/>
        <w:ind w:left="360" w:hanging="360"/>
        <w:rPr>
          <w:sz w:val="21"/>
          <w:szCs w:val="21"/>
        </w:rPr>
      </w:pPr>
      <w:r w:rsidRPr="00AE58A9">
        <w:rPr>
          <w:rStyle w:val="FootnoteReference"/>
          <w:sz w:val="21"/>
          <w:szCs w:val="21"/>
        </w:rPr>
        <w:footnoteRef/>
      </w:r>
      <w:r w:rsidRPr="00AE58A9">
        <w:rPr>
          <w:sz w:val="21"/>
          <w:szCs w:val="21"/>
        </w:rPr>
        <w:t xml:space="preserve"> </w:t>
      </w:r>
      <w:hyperlink r:id="rId7" w:history="1">
        <w:r w:rsidRPr="00AE58A9">
          <w:rPr>
            <w:rStyle w:val="Hyperlink"/>
            <w:sz w:val="21"/>
            <w:szCs w:val="21"/>
          </w:rPr>
          <w:t>D.13-09-023</w:t>
        </w:r>
      </w:hyperlink>
      <w:r w:rsidRPr="00382A96">
        <w:rPr>
          <w:rStyle w:val="Hyperlink"/>
          <w:color w:val="auto"/>
          <w:sz w:val="21"/>
          <w:szCs w:val="21"/>
          <w:u w:val="none"/>
        </w:rPr>
        <w:t xml:space="preserve"> at page 86</w:t>
      </w:r>
    </w:p>
  </w:footnote>
  <w:footnote w:id="8">
    <w:p w14:paraId="6D9505B0" w14:textId="77777777" w:rsidR="009B053C" w:rsidRPr="00276DAD" w:rsidRDefault="009B053C" w:rsidP="00E40C02">
      <w:pPr>
        <w:pStyle w:val="FootnoteText"/>
        <w:numPr>
          <w:ilvl w:val="0"/>
          <w:numId w:val="0"/>
        </w:numPr>
        <w:spacing w:beforeLines="60" w:before="144" w:after="0"/>
        <w:ind w:left="180" w:hanging="180"/>
        <w:jc w:val="both"/>
        <w:rPr>
          <w:sz w:val="22"/>
        </w:rPr>
      </w:pPr>
      <w:r w:rsidRPr="00276DAD">
        <w:rPr>
          <w:rStyle w:val="FootnoteReference"/>
          <w:sz w:val="22"/>
        </w:rPr>
        <w:footnoteRef/>
      </w:r>
      <w:r w:rsidRPr="00276DAD">
        <w:rPr>
          <w:sz w:val="22"/>
        </w:rPr>
        <w:t xml:space="preserve"> A resource program is an energy efficiency program that is intended to achieve and report quantified energy savings.</w:t>
      </w:r>
    </w:p>
  </w:footnote>
  <w:footnote w:id="9">
    <w:p w14:paraId="09083112" w14:textId="77777777" w:rsidR="009B053C" w:rsidRPr="00276DAD" w:rsidRDefault="009B053C" w:rsidP="00E40C02">
      <w:pPr>
        <w:pStyle w:val="FootnoteText"/>
        <w:numPr>
          <w:ilvl w:val="0"/>
          <w:numId w:val="0"/>
        </w:numPr>
        <w:spacing w:beforeLines="60" w:before="144" w:after="0"/>
        <w:ind w:left="180" w:hanging="180"/>
        <w:jc w:val="both"/>
        <w:rPr>
          <w:sz w:val="22"/>
        </w:rPr>
      </w:pPr>
      <w:r w:rsidRPr="00276DAD">
        <w:rPr>
          <w:rStyle w:val="FootnoteReference"/>
          <w:sz w:val="22"/>
        </w:rPr>
        <w:footnoteRef/>
      </w:r>
      <w:r w:rsidRPr="00276DAD">
        <w:rPr>
          <w:sz w:val="22"/>
        </w:rPr>
        <w:t xml:space="preserve"> A non-resource program is an energy efficiency program to which energy savings are not directly attributed, but which supports the energy efficiency portfolio through activities such as marketing, training and education, or emerging technology. See D.07-09-043, Section 9.</w:t>
      </w:r>
      <w:r>
        <w:rPr>
          <w:sz w:val="22"/>
        </w:rPr>
        <w:t>1</w:t>
      </w:r>
      <w:r w:rsidRPr="00276DAD">
        <w:rPr>
          <w:sz w:val="22"/>
        </w:rPr>
        <w:t>.</w:t>
      </w:r>
    </w:p>
  </w:footnote>
  <w:footnote w:id="10">
    <w:p w14:paraId="1A4F2408" w14:textId="77777777" w:rsidR="009B053C" w:rsidRPr="00276DAD" w:rsidRDefault="009B053C" w:rsidP="00E40C02">
      <w:pPr>
        <w:pStyle w:val="FootnoteText"/>
        <w:numPr>
          <w:ilvl w:val="0"/>
          <w:numId w:val="0"/>
        </w:numPr>
        <w:spacing w:beforeLines="60" w:before="144" w:after="0"/>
        <w:ind w:left="187" w:hanging="187"/>
        <w:jc w:val="both"/>
        <w:rPr>
          <w:sz w:val="22"/>
        </w:rPr>
      </w:pPr>
      <w:r w:rsidRPr="00276DAD">
        <w:rPr>
          <w:rStyle w:val="FootnoteReference"/>
          <w:sz w:val="22"/>
        </w:rPr>
        <w:footnoteRef/>
      </w:r>
      <w:r w:rsidRPr="00276DAD">
        <w:rPr>
          <w:sz w:val="22"/>
        </w:rPr>
        <w:t xml:space="preserve"> </w:t>
      </w:r>
      <w:hyperlink r:id="rId8" w:history="1">
        <w:r w:rsidRPr="00276DAD">
          <w:rPr>
            <w:rStyle w:val="Hyperlink"/>
            <w:sz w:val="22"/>
          </w:rPr>
          <w:t>D.13-09-023</w:t>
        </w:r>
      </w:hyperlink>
      <w:r w:rsidRPr="00276DAD">
        <w:rPr>
          <w:sz w:val="22"/>
        </w:rPr>
        <w:t>, Section 7.3 defines uncertain measures as those measures for which Commission believes the net lifetime savings of the current database of energy efficiency resources (DEER) or non-DEER savings estimate may be as much as 50% or more under- or over-estimated. Conversely, measures that are not believed to be uncertain (Not Uncertain Deemed measures) in terms of anticipated savings do not undergo ex-post evaluation.</w:t>
      </w:r>
    </w:p>
  </w:footnote>
  <w:footnote w:id="11">
    <w:p w14:paraId="69260BFD" w14:textId="77777777" w:rsidR="009B053C" w:rsidRDefault="009B053C" w:rsidP="00E40C02">
      <w:pPr>
        <w:pStyle w:val="FootnoteText"/>
        <w:numPr>
          <w:ilvl w:val="0"/>
          <w:numId w:val="0"/>
        </w:numPr>
        <w:spacing w:beforeLines="60" w:before="144" w:after="0"/>
        <w:ind w:left="180" w:hanging="180"/>
      </w:pPr>
      <w:r w:rsidRPr="00276DAD">
        <w:rPr>
          <w:rStyle w:val="FootnoteReference"/>
          <w:sz w:val="22"/>
        </w:rPr>
        <w:footnoteRef/>
      </w:r>
      <w:r w:rsidRPr="00276DAD">
        <w:rPr>
          <w:sz w:val="22"/>
        </w:rPr>
        <w:t xml:space="preserve"> </w:t>
      </w:r>
      <w:hyperlink r:id="rId9" w:history="1">
        <w:r w:rsidRPr="008151FD">
          <w:rPr>
            <w:rStyle w:val="Hyperlink"/>
            <w:sz w:val="22"/>
          </w:rPr>
          <w:t>D.16-08-019</w:t>
        </w:r>
      </w:hyperlink>
      <w:r w:rsidRPr="00276DAD">
        <w:rPr>
          <w:sz w:val="22"/>
        </w:rPr>
        <w:t>, Section 7.1</w:t>
      </w:r>
      <w:r>
        <w:t xml:space="preserve"> </w:t>
      </w:r>
    </w:p>
  </w:footnote>
  <w:footnote w:id="12">
    <w:p w14:paraId="73A6D4E1" w14:textId="77777777" w:rsidR="009B053C" w:rsidRDefault="009B053C" w:rsidP="00E40C02">
      <w:pPr>
        <w:pStyle w:val="FootnoteText"/>
        <w:numPr>
          <w:ilvl w:val="0"/>
          <w:numId w:val="0"/>
        </w:numPr>
        <w:spacing w:beforeLines="60" w:before="144" w:after="0"/>
        <w:ind w:left="180" w:hanging="180"/>
      </w:pPr>
      <w:r>
        <w:rPr>
          <w:rStyle w:val="FootnoteReference"/>
        </w:rPr>
        <w:footnoteRef/>
      </w:r>
      <w:r>
        <w:t xml:space="preserve"> </w:t>
      </w:r>
      <w:r w:rsidRPr="009F3850">
        <w:rPr>
          <w:sz w:val="22"/>
        </w:rPr>
        <w:t xml:space="preserve">Assigned Commissioner’s Ruling Regarding 2016 Ex-Post and 2017 Ex-Ante Savings </w:t>
      </w:r>
      <w:r>
        <w:rPr>
          <w:sz w:val="22"/>
        </w:rPr>
        <w:t xml:space="preserve">ESPI </w:t>
      </w:r>
      <w:r w:rsidRPr="009F3850">
        <w:rPr>
          <w:sz w:val="20"/>
        </w:rPr>
        <w:t>(</w:t>
      </w:r>
      <w:hyperlink r:id="rId10" w:history="1">
        <w:r w:rsidRPr="009F3850">
          <w:rPr>
            <w:rStyle w:val="Hyperlink"/>
            <w:sz w:val="20"/>
          </w:rPr>
          <w:t>http://docs.cpuc.ca.gov/PublishedDocs/Efile/ G000/M213/K120/213120689.pdf</w:t>
        </w:r>
      </w:hyperlink>
      <w:r w:rsidRPr="009F3850">
        <w:rPr>
          <w:sz w:val="20"/>
        </w:rPr>
        <w:t>)</w:t>
      </w:r>
    </w:p>
  </w:footnote>
  <w:footnote w:id="13">
    <w:p w14:paraId="6241B220" w14:textId="77777777" w:rsidR="009B053C" w:rsidRDefault="009B053C" w:rsidP="00E40C02">
      <w:pPr>
        <w:pStyle w:val="FootnoteText"/>
        <w:numPr>
          <w:ilvl w:val="0"/>
          <w:numId w:val="0"/>
        </w:numPr>
        <w:spacing w:beforeLines="60" w:before="144" w:after="0"/>
        <w:ind w:left="187" w:hanging="187"/>
      </w:pPr>
      <w:r w:rsidRPr="00276DAD">
        <w:rPr>
          <w:rStyle w:val="FootnoteReference"/>
          <w:sz w:val="22"/>
        </w:rPr>
        <w:footnoteRef/>
      </w:r>
      <w:r w:rsidRPr="00276DAD">
        <w:rPr>
          <w:sz w:val="22"/>
        </w:rPr>
        <w:t xml:space="preserve"> </w:t>
      </w:r>
      <w:hyperlink r:id="rId11" w:history="1">
        <w:r w:rsidRPr="008151FD">
          <w:rPr>
            <w:rStyle w:val="Hyperlink"/>
            <w:sz w:val="22"/>
          </w:rPr>
          <w:t>Final 2016 Ex-Post and 2017 Ex-Ante Savings Adjustment Statement</w:t>
        </w:r>
      </w:hyperlink>
      <w:r w:rsidRPr="007E3698">
        <w:rPr>
          <w:sz w:val="20"/>
        </w:rPr>
        <w:t xml:space="preserve">   </w:t>
      </w:r>
    </w:p>
  </w:footnote>
  <w:footnote w:id="14">
    <w:p w14:paraId="0D5B4F2B" w14:textId="77777777" w:rsidR="009B053C" w:rsidRPr="00276DAD" w:rsidRDefault="009B053C" w:rsidP="00E40C02">
      <w:pPr>
        <w:pStyle w:val="FootnoteText"/>
        <w:numPr>
          <w:ilvl w:val="0"/>
          <w:numId w:val="0"/>
        </w:numPr>
        <w:spacing w:beforeLines="60" w:before="144" w:after="0"/>
        <w:ind w:left="360" w:hanging="360"/>
        <w:rPr>
          <w:sz w:val="22"/>
        </w:rPr>
      </w:pPr>
      <w:r w:rsidRPr="00276DAD">
        <w:rPr>
          <w:rStyle w:val="FootnoteReference"/>
          <w:sz w:val="22"/>
        </w:rPr>
        <w:footnoteRef/>
      </w:r>
      <w:r w:rsidRPr="00276DAD">
        <w:rPr>
          <w:sz w:val="22"/>
        </w:rPr>
        <w:t xml:space="preserve"> </w:t>
      </w:r>
      <w:hyperlink r:id="rId12" w:history="1">
        <w:r w:rsidRPr="00276DAD">
          <w:rPr>
            <w:rStyle w:val="Hyperlink"/>
            <w:sz w:val="22"/>
          </w:rPr>
          <w:t>D.15-10-028</w:t>
        </w:r>
      </w:hyperlink>
      <w:r w:rsidRPr="00276DAD">
        <w:rPr>
          <w:sz w:val="22"/>
        </w:rPr>
        <w:t>, Section 3.1</w:t>
      </w:r>
    </w:p>
  </w:footnote>
  <w:footnote w:id="15">
    <w:p w14:paraId="02F8DA6C" w14:textId="77777777" w:rsidR="009B053C" w:rsidRDefault="009B053C" w:rsidP="00E40C02">
      <w:pPr>
        <w:pStyle w:val="FootnoteText"/>
        <w:numPr>
          <w:ilvl w:val="0"/>
          <w:numId w:val="0"/>
        </w:numPr>
        <w:spacing w:beforeLines="60" w:before="144" w:after="0"/>
        <w:ind w:left="360" w:hanging="360"/>
      </w:pPr>
      <w:r w:rsidRPr="00276DAD">
        <w:rPr>
          <w:rStyle w:val="FootnoteReference"/>
          <w:sz w:val="22"/>
        </w:rPr>
        <w:footnoteRef/>
      </w:r>
      <w:r w:rsidRPr="00276DAD">
        <w:rPr>
          <w:sz w:val="22"/>
        </w:rPr>
        <w:t xml:space="preserve"> </w:t>
      </w:r>
      <w:hyperlink r:id="rId13" w:history="1">
        <w:r w:rsidRPr="008151FD">
          <w:rPr>
            <w:rStyle w:val="Hyperlink"/>
            <w:sz w:val="22"/>
            <w:szCs w:val="23"/>
          </w:rPr>
          <w:t>2016 ESPI Earnings Coefficients and Caps</w:t>
        </w:r>
      </w:hyperlink>
      <w:r w:rsidRPr="00276DAD">
        <w:rPr>
          <w:rStyle w:val="Hyperlink"/>
          <w:color w:val="auto"/>
          <w:sz w:val="22"/>
          <w:szCs w:val="23"/>
          <w:u w:val="none"/>
        </w:rPr>
        <w:t xml:space="preserve"> </w:t>
      </w:r>
    </w:p>
  </w:footnote>
  <w:footnote w:id="16">
    <w:p w14:paraId="1FE024BF" w14:textId="77777777" w:rsidR="009B053C" w:rsidRDefault="009B053C" w:rsidP="00E40C02">
      <w:pPr>
        <w:pStyle w:val="FootnoteText"/>
        <w:numPr>
          <w:ilvl w:val="0"/>
          <w:numId w:val="0"/>
        </w:numPr>
        <w:spacing w:beforeLines="60" w:before="144" w:after="0"/>
      </w:pPr>
      <w:r w:rsidRPr="00276DAD">
        <w:rPr>
          <w:rStyle w:val="FootnoteReference"/>
          <w:sz w:val="22"/>
        </w:rPr>
        <w:footnoteRef/>
      </w:r>
      <w:r w:rsidRPr="00276DAD">
        <w:rPr>
          <w:sz w:val="22"/>
        </w:rPr>
        <w:t xml:space="preserve"> </w:t>
      </w:r>
      <w:hyperlink r:id="rId14" w:history="1">
        <w:r w:rsidRPr="008151FD">
          <w:rPr>
            <w:rStyle w:val="Hyperlink"/>
            <w:sz w:val="22"/>
          </w:rPr>
          <w:t>2017 ESPI Earnings Coefficients and Caps</w:t>
        </w:r>
      </w:hyperlink>
      <w:r w:rsidRPr="00276DAD">
        <w:rPr>
          <w:rStyle w:val="Hyperlink"/>
          <w:color w:val="auto"/>
          <w:sz w:val="22"/>
          <w:u w:val="none"/>
        </w:rPr>
        <w:t xml:space="preserve"> </w:t>
      </w:r>
    </w:p>
  </w:footnote>
  <w:footnote w:id="17">
    <w:p w14:paraId="74EE801D" w14:textId="77777777" w:rsidR="009B053C" w:rsidRDefault="009B053C" w:rsidP="00E40C02">
      <w:pPr>
        <w:pStyle w:val="FootnoteText"/>
        <w:numPr>
          <w:ilvl w:val="0"/>
          <w:numId w:val="0"/>
        </w:numPr>
        <w:spacing w:beforeLines="60" w:before="144" w:after="0"/>
        <w:ind w:left="187" w:hanging="187"/>
      </w:pPr>
      <w:r w:rsidRPr="00276DAD">
        <w:rPr>
          <w:rStyle w:val="FootnoteReference"/>
          <w:sz w:val="22"/>
        </w:rPr>
        <w:footnoteRef/>
      </w:r>
      <w:r w:rsidRPr="00276DAD">
        <w:rPr>
          <w:sz w:val="22"/>
        </w:rPr>
        <w:t xml:space="preserve"> 2017 Annual Budget Advice Letters: PG&amp;E’s </w:t>
      </w:r>
      <w:hyperlink r:id="rId15" w:history="1">
        <w:r w:rsidRPr="00AC1070">
          <w:rPr>
            <w:rStyle w:val="Hyperlink"/>
            <w:sz w:val="22"/>
          </w:rPr>
          <w:t>3753-G-D / 4901-E-D</w:t>
        </w:r>
      </w:hyperlink>
      <w:r w:rsidRPr="00276DAD">
        <w:rPr>
          <w:sz w:val="22"/>
        </w:rPr>
        <w:t xml:space="preserve">, SCE’s </w:t>
      </w:r>
      <w:hyperlink r:id="rId16" w:history="1">
        <w:r w:rsidRPr="00AC1070">
          <w:rPr>
            <w:rStyle w:val="Hyperlink"/>
            <w:sz w:val="22"/>
          </w:rPr>
          <w:t>3465-E-B</w:t>
        </w:r>
      </w:hyperlink>
      <w:r w:rsidRPr="00276DAD">
        <w:rPr>
          <w:sz w:val="22"/>
        </w:rPr>
        <w:t xml:space="preserve">, SDG&amp;E’s </w:t>
      </w:r>
      <w:hyperlink r:id="rId17" w:history="1">
        <w:r w:rsidRPr="00AC1070">
          <w:rPr>
            <w:rStyle w:val="Hyperlink"/>
            <w:sz w:val="22"/>
          </w:rPr>
          <w:t>2951-E-A/2512-G-A</w:t>
        </w:r>
      </w:hyperlink>
      <w:r w:rsidRPr="00276DAD">
        <w:rPr>
          <w:sz w:val="22"/>
        </w:rPr>
        <w:t xml:space="preserve">, and SoCalGas’ </w:t>
      </w:r>
      <w:hyperlink r:id="rId18" w:history="1">
        <w:r w:rsidRPr="00AC1070">
          <w:rPr>
            <w:rStyle w:val="Hyperlink"/>
            <w:sz w:val="22"/>
          </w:rPr>
          <w:t>5023-A</w:t>
        </w:r>
      </w:hyperlink>
    </w:p>
  </w:footnote>
  <w:footnote w:id="18">
    <w:p w14:paraId="7CB5C960" w14:textId="77777777" w:rsidR="009B053C" w:rsidRPr="00276DAD" w:rsidRDefault="009B053C" w:rsidP="00E40C02">
      <w:pPr>
        <w:pStyle w:val="FootnoteText"/>
        <w:numPr>
          <w:ilvl w:val="0"/>
          <w:numId w:val="0"/>
        </w:numPr>
        <w:spacing w:beforeLines="60" w:before="144" w:after="0"/>
        <w:ind w:left="187" w:hanging="187"/>
        <w:jc w:val="both"/>
        <w:rPr>
          <w:sz w:val="22"/>
        </w:rPr>
      </w:pPr>
      <w:r w:rsidRPr="00276DAD">
        <w:rPr>
          <w:rStyle w:val="FootnoteReference"/>
          <w:sz w:val="22"/>
        </w:rPr>
        <w:footnoteRef/>
      </w:r>
      <w:r w:rsidRPr="00276DAD">
        <w:rPr>
          <w:sz w:val="22"/>
        </w:rPr>
        <w:t xml:space="preserve"> </w:t>
      </w:r>
      <w:bookmarkStart w:id="20" w:name="_Hlk357808"/>
      <w:bookmarkStart w:id="21" w:name="_Hlk2067951"/>
      <w:r w:rsidRPr="00276DAD">
        <w:rPr>
          <w:sz w:val="22"/>
        </w:rPr>
        <w:t xml:space="preserve">SoCalGas submitted Program ID SCG3701 (Residential Energy Advisor) as a resource program in their Coefficient Advice Letter, which was approved as a non-resource program in their Annual Budget Advice Letter (authorized budget of $757,889). </w:t>
      </w:r>
      <w:bookmarkEnd w:id="20"/>
      <w:r w:rsidRPr="00DC7ACC">
        <w:rPr>
          <w:sz w:val="22"/>
        </w:rPr>
        <w:t>The program category changed in 2017 upon approval of SoCalGas’ Seasonal Savings Program through Advice Letter 5204-G, effective November 18, 2017, which identified that resource program activity w</w:t>
      </w:r>
      <w:r>
        <w:rPr>
          <w:sz w:val="22"/>
        </w:rPr>
        <w:t>ould</w:t>
      </w:r>
      <w:r w:rsidRPr="00DC7ACC">
        <w:rPr>
          <w:sz w:val="22"/>
        </w:rPr>
        <w:t xml:space="preserve"> be an element of, and funded by, the existing residential energy advisor program, SCG3701.</w:t>
      </w:r>
    </w:p>
    <w:p w14:paraId="64FB56FE" w14:textId="77777777" w:rsidR="009B053C" w:rsidRPr="00276DAD" w:rsidRDefault="009B053C" w:rsidP="00E40C02">
      <w:pPr>
        <w:pStyle w:val="FootnoteText"/>
        <w:numPr>
          <w:ilvl w:val="0"/>
          <w:numId w:val="0"/>
        </w:numPr>
        <w:spacing w:beforeLines="60" w:before="144" w:after="0"/>
        <w:ind w:left="180"/>
        <w:jc w:val="both"/>
        <w:rPr>
          <w:sz w:val="22"/>
        </w:rPr>
      </w:pPr>
      <w:r w:rsidRPr="00276DAD">
        <w:rPr>
          <w:sz w:val="22"/>
        </w:rPr>
        <w:t xml:space="preserve">SCE submitted Program ID SCE 13-SW-004A as a non-resource program in their Coefficient Advice Letter, which was approved as a resource program in their Annual Budget Advice Letter (authorized budget of $2,050,122). </w:t>
      </w:r>
      <w:bookmarkEnd w:id="21"/>
      <w:r w:rsidRPr="00DC7ACC">
        <w:rPr>
          <w:sz w:val="22"/>
        </w:rPr>
        <w:t>SCE’s program was identified in 2015 by ED staff as not achieving savings due to only offering pump testing within the program.</w:t>
      </w:r>
    </w:p>
  </w:footnote>
  <w:footnote w:id="19">
    <w:p w14:paraId="19453680" w14:textId="77777777" w:rsidR="009B053C" w:rsidRDefault="009B053C" w:rsidP="00E40C02">
      <w:pPr>
        <w:pStyle w:val="FootnoteText"/>
        <w:numPr>
          <w:ilvl w:val="0"/>
          <w:numId w:val="0"/>
        </w:numPr>
        <w:spacing w:beforeLines="60" w:before="144" w:after="0"/>
        <w:ind w:left="187" w:hanging="187"/>
      </w:pPr>
      <w:r w:rsidRPr="00276DAD">
        <w:rPr>
          <w:rStyle w:val="FootnoteReference"/>
          <w:sz w:val="22"/>
        </w:rPr>
        <w:footnoteRef/>
      </w:r>
      <w:r w:rsidRPr="00276DAD">
        <w:rPr>
          <w:sz w:val="22"/>
        </w:rPr>
        <w:t xml:space="preserve"> </w:t>
      </w:r>
      <w:hyperlink r:id="rId19" w:history="1">
        <w:r w:rsidRPr="00276DAD">
          <w:rPr>
            <w:rStyle w:val="Hyperlink"/>
            <w:sz w:val="22"/>
          </w:rPr>
          <w:t>D.15-10-028</w:t>
        </w:r>
      </w:hyperlink>
      <w:r w:rsidRPr="00276DAD">
        <w:rPr>
          <w:sz w:val="22"/>
        </w:rPr>
        <w:t xml:space="preserve"> </w:t>
      </w:r>
      <w:r>
        <w:rPr>
          <w:sz w:val="22"/>
        </w:rPr>
        <w:t xml:space="preserve">OP </w:t>
      </w:r>
      <w:r w:rsidRPr="00276DAD">
        <w:rPr>
          <w:sz w:val="22"/>
        </w:rPr>
        <w:t xml:space="preserve">18 modifies fund-shifting rules established in </w:t>
      </w:r>
      <w:hyperlink r:id="rId20" w:history="1">
        <w:r w:rsidRPr="00AC1070">
          <w:rPr>
            <w:rStyle w:val="Hyperlink"/>
            <w:sz w:val="22"/>
          </w:rPr>
          <w:t>D.12-11-015</w:t>
        </w:r>
      </w:hyperlink>
      <w:r>
        <w:rPr>
          <w:rStyle w:val="Hyperlink"/>
          <w:color w:val="auto"/>
          <w:sz w:val="22"/>
          <w:u w:val="none"/>
        </w:rPr>
        <w:t xml:space="preserve"> OP 2 and 20</w:t>
      </w:r>
      <w:r w:rsidRPr="00276DAD">
        <w:rPr>
          <w:rStyle w:val="Hyperlink"/>
          <w:color w:val="auto"/>
          <w:sz w:val="22"/>
          <w:u w:val="none"/>
        </w:rPr>
        <w:t>.</w:t>
      </w:r>
    </w:p>
  </w:footnote>
  <w:footnote w:id="20">
    <w:p w14:paraId="0F489961" w14:textId="77777777" w:rsidR="009B053C" w:rsidRPr="00276DAD" w:rsidRDefault="009B053C" w:rsidP="00E40C02">
      <w:pPr>
        <w:pStyle w:val="FootnoteText"/>
        <w:numPr>
          <w:ilvl w:val="0"/>
          <w:numId w:val="0"/>
        </w:numPr>
        <w:spacing w:beforeLines="60" w:before="144" w:after="0"/>
        <w:ind w:left="360" w:hanging="360"/>
        <w:rPr>
          <w:sz w:val="22"/>
        </w:rPr>
      </w:pPr>
      <w:r w:rsidRPr="00276DAD">
        <w:rPr>
          <w:rStyle w:val="FootnoteReference"/>
          <w:sz w:val="22"/>
        </w:rPr>
        <w:footnoteRef/>
      </w:r>
      <w:r w:rsidRPr="00276DAD">
        <w:rPr>
          <w:sz w:val="22"/>
        </w:rPr>
        <w:t xml:space="preserve"> </w:t>
      </w:r>
      <w:hyperlink r:id="rId21" w:history="1">
        <w:r w:rsidRPr="00276DAD">
          <w:rPr>
            <w:rStyle w:val="Hyperlink"/>
            <w:sz w:val="22"/>
          </w:rPr>
          <w:t>D.13-09-023</w:t>
        </w:r>
      </w:hyperlink>
      <w:r w:rsidRPr="00276DAD">
        <w:rPr>
          <w:sz w:val="22"/>
        </w:rPr>
        <w:t>, Footnote 25</w:t>
      </w:r>
    </w:p>
  </w:footnote>
  <w:footnote w:id="21">
    <w:p w14:paraId="6F30DFA6" w14:textId="77777777" w:rsidR="009B053C" w:rsidRPr="00276DAD" w:rsidRDefault="009B053C" w:rsidP="00E40C02">
      <w:pPr>
        <w:pStyle w:val="FootnoteText"/>
        <w:numPr>
          <w:ilvl w:val="0"/>
          <w:numId w:val="0"/>
        </w:numPr>
        <w:spacing w:beforeLines="60" w:before="144" w:after="0"/>
        <w:ind w:left="360" w:hanging="360"/>
        <w:rPr>
          <w:sz w:val="22"/>
        </w:rPr>
      </w:pPr>
      <w:r w:rsidRPr="00276DAD">
        <w:rPr>
          <w:rStyle w:val="FootnoteReference"/>
          <w:sz w:val="22"/>
        </w:rPr>
        <w:footnoteRef/>
      </w:r>
      <w:r w:rsidRPr="00276DAD">
        <w:rPr>
          <w:sz w:val="22"/>
        </w:rPr>
        <w:t xml:space="preserve"> </w:t>
      </w:r>
      <w:hyperlink r:id="rId22" w:history="1">
        <w:r w:rsidRPr="00276DAD">
          <w:rPr>
            <w:rStyle w:val="Hyperlink"/>
            <w:sz w:val="22"/>
          </w:rPr>
          <w:t>D.13-09-023</w:t>
        </w:r>
      </w:hyperlink>
      <w:r w:rsidRPr="00276DAD">
        <w:rPr>
          <w:sz w:val="22"/>
        </w:rPr>
        <w:t>, Attachment 1</w:t>
      </w:r>
    </w:p>
  </w:footnote>
  <w:footnote w:id="22">
    <w:p w14:paraId="4100D319" w14:textId="77777777" w:rsidR="009B053C" w:rsidRDefault="009B053C" w:rsidP="00E40C02">
      <w:pPr>
        <w:pStyle w:val="FootnoteText"/>
        <w:numPr>
          <w:ilvl w:val="0"/>
          <w:numId w:val="0"/>
        </w:numPr>
        <w:spacing w:beforeLines="60" w:before="144" w:after="0"/>
        <w:ind w:left="360" w:hanging="360"/>
      </w:pPr>
      <w:r>
        <w:rPr>
          <w:rStyle w:val="FootnoteReference"/>
        </w:rPr>
        <w:footnoteRef/>
      </w:r>
      <w:r>
        <w:t xml:space="preserve"> </w:t>
      </w:r>
      <w:hyperlink r:id="rId23" w:history="1">
        <w:r w:rsidRPr="003D40BF">
          <w:rPr>
            <w:rStyle w:val="Hyperlink"/>
            <w:sz w:val="22"/>
            <w:szCs w:val="23"/>
          </w:rPr>
          <w:t>2016 ESPI Earnings Coefficients and Caps</w:t>
        </w:r>
      </w:hyperlink>
    </w:p>
  </w:footnote>
  <w:footnote w:id="23">
    <w:p w14:paraId="57AF4038" w14:textId="77777777" w:rsidR="009B053C" w:rsidRDefault="009B053C" w:rsidP="00E40C02">
      <w:pPr>
        <w:pStyle w:val="FootnoteText"/>
        <w:numPr>
          <w:ilvl w:val="0"/>
          <w:numId w:val="0"/>
        </w:numPr>
        <w:spacing w:beforeLines="60" w:before="144" w:after="0"/>
        <w:ind w:left="360" w:hanging="360"/>
      </w:pPr>
      <w:r>
        <w:rPr>
          <w:rStyle w:val="FootnoteReference"/>
        </w:rPr>
        <w:footnoteRef/>
      </w:r>
      <w:r>
        <w:t xml:space="preserve"> </w:t>
      </w:r>
      <w:hyperlink r:id="rId24" w:history="1">
        <w:r w:rsidRPr="003D40BF">
          <w:rPr>
            <w:rStyle w:val="Hyperlink"/>
            <w:sz w:val="22"/>
          </w:rPr>
          <w:t>2017 ESPI Earnings Coefficients and Caps</w:t>
        </w:r>
      </w:hyperlink>
    </w:p>
  </w:footnote>
  <w:footnote w:id="24">
    <w:p w14:paraId="793F91E3" w14:textId="77777777" w:rsidR="009B053C" w:rsidRDefault="009B053C" w:rsidP="00E40C02">
      <w:pPr>
        <w:pStyle w:val="FootnoteText"/>
        <w:numPr>
          <w:ilvl w:val="0"/>
          <w:numId w:val="0"/>
        </w:numPr>
        <w:spacing w:beforeLines="60" w:before="144" w:after="0"/>
        <w:ind w:left="187" w:hanging="187"/>
      </w:pPr>
      <w:r w:rsidRPr="00276DAD">
        <w:rPr>
          <w:rStyle w:val="FootnoteReference"/>
          <w:sz w:val="22"/>
        </w:rPr>
        <w:footnoteRef/>
      </w:r>
      <w:r w:rsidRPr="00276DAD">
        <w:rPr>
          <w:sz w:val="22"/>
        </w:rPr>
        <w:t xml:space="preserve"> </w:t>
      </w:r>
      <w:hyperlink r:id="rId25" w:history="1">
        <w:r w:rsidRPr="00AC1070">
          <w:rPr>
            <w:rStyle w:val="Hyperlink"/>
            <w:sz w:val="22"/>
          </w:rPr>
          <w:t>2017 ESPI EAR Performance Memos</w:t>
        </w:r>
      </w:hyperlink>
      <w:r>
        <w:rPr>
          <w:rFonts w:cs="Palatino"/>
          <w:szCs w:val="26"/>
        </w:rPr>
        <w:t xml:space="preserve"> </w:t>
      </w:r>
    </w:p>
  </w:footnote>
  <w:footnote w:id="25">
    <w:p w14:paraId="16CCA0BC" w14:textId="77777777" w:rsidR="009B053C" w:rsidRDefault="009B053C" w:rsidP="00E40C02">
      <w:pPr>
        <w:pStyle w:val="FootnoteText"/>
        <w:numPr>
          <w:ilvl w:val="0"/>
          <w:numId w:val="0"/>
        </w:numPr>
        <w:spacing w:beforeLines="60" w:before="144" w:after="0"/>
        <w:ind w:left="360" w:hanging="360"/>
      </w:pPr>
      <w:r>
        <w:rPr>
          <w:rStyle w:val="FootnoteReference"/>
        </w:rPr>
        <w:footnoteRef/>
      </w:r>
      <w:r>
        <w:t xml:space="preserve"> </w:t>
      </w:r>
      <w:hyperlink r:id="rId26" w:history="1">
        <w:r w:rsidRPr="0062348A">
          <w:rPr>
            <w:rStyle w:val="Hyperlink"/>
            <w:sz w:val="22"/>
            <w:szCs w:val="22"/>
          </w:rPr>
          <w:t>D.16</w:t>
        </w:r>
        <w:r w:rsidRPr="0062348A">
          <w:rPr>
            <w:rStyle w:val="Hyperlink"/>
            <w:sz w:val="22"/>
          </w:rPr>
          <w:t>-08-019</w:t>
        </w:r>
      </w:hyperlink>
      <w:r>
        <w:rPr>
          <w:sz w:val="22"/>
        </w:rPr>
        <w:t>, OP 19</w:t>
      </w:r>
    </w:p>
  </w:footnote>
  <w:footnote w:id="26">
    <w:p w14:paraId="433F1C18" w14:textId="77777777" w:rsidR="009B053C" w:rsidRPr="0083429D" w:rsidRDefault="009B053C" w:rsidP="00E40C02">
      <w:pPr>
        <w:pStyle w:val="FootnoteText"/>
        <w:numPr>
          <w:ilvl w:val="0"/>
          <w:numId w:val="0"/>
        </w:numPr>
        <w:spacing w:beforeLines="60" w:before="144" w:after="0"/>
        <w:ind w:left="360" w:hanging="360"/>
        <w:rPr>
          <w:sz w:val="22"/>
        </w:rPr>
      </w:pPr>
      <w:r>
        <w:rPr>
          <w:rStyle w:val="FootnoteReference"/>
        </w:rPr>
        <w:footnoteRef/>
      </w:r>
      <w:r>
        <w:t xml:space="preserve"> </w:t>
      </w:r>
      <w:hyperlink r:id="rId27" w:history="1">
        <w:r w:rsidRPr="00074862">
          <w:rPr>
            <w:rStyle w:val="Hyperlink"/>
            <w:sz w:val="22"/>
          </w:rPr>
          <w:t>2017 Final Ex-Ante Workbook – Savings</w:t>
        </w:r>
      </w:hyperlink>
    </w:p>
  </w:footnote>
  <w:footnote w:id="27">
    <w:p w14:paraId="6725AFB7" w14:textId="77777777" w:rsidR="009B053C" w:rsidRPr="00374A9F" w:rsidRDefault="009B053C" w:rsidP="00E40C02">
      <w:pPr>
        <w:pStyle w:val="FootnoteText"/>
        <w:numPr>
          <w:ilvl w:val="0"/>
          <w:numId w:val="0"/>
        </w:numPr>
        <w:spacing w:beforeLines="60" w:before="144" w:after="0"/>
        <w:ind w:left="180" w:hanging="180"/>
        <w:rPr>
          <w:sz w:val="22"/>
        </w:rPr>
      </w:pPr>
      <w:r>
        <w:rPr>
          <w:rStyle w:val="FootnoteReference"/>
        </w:rPr>
        <w:footnoteRef/>
      </w:r>
      <w:r>
        <w:t xml:space="preserve"> </w:t>
      </w:r>
      <w:hyperlink r:id="rId28" w:history="1">
        <w:r w:rsidRPr="00AC1070">
          <w:rPr>
            <w:rStyle w:val="Hyperlink"/>
            <w:sz w:val="22"/>
          </w:rPr>
          <w:t>D.16-08-019</w:t>
        </w:r>
      </w:hyperlink>
      <w:r>
        <w:rPr>
          <w:sz w:val="22"/>
        </w:rPr>
        <w:t>, Section 7.2</w:t>
      </w:r>
      <w:r w:rsidRPr="00374A9F">
        <w:rPr>
          <w:sz w:val="22"/>
        </w:rPr>
        <w:t xml:space="preserve"> </w:t>
      </w:r>
    </w:p>
  </w:footnote>
  <w:footnote w:id="28">
    <w:p w14:paraId="2BD2E802" w14:textId="77777777" w:rsidR="009B053C" w:rsidRPr="00AC1070" w:rsidRDefault="009B053C" w:rsidP="00E40C02">
      <w:pPr>
        <w:pStyle w:val="FootnoteText"/>
        <w:numPr>
          <w:ilvl w:val="0"/>
          <w:numId w:val="0"/>
        </w:numPr>
        <w:spacing w:beforeLines="60" w:before="144" w:after="0"/>
        <w:ind w:left="360" w:hanging="360"/>
        <w:rPr>
          <w:sz w:val="22"/>
          <w:szCs w:val="22"/>
        </w:rPr>
      </w:pPr>
      <w:r>
        <w:rPr>
          <w:rStyle w:val="FootnoteReference"/>
        </w:rPr>
        <w:footnoteRef/>
      </w:r>
      <w:r w:rsidRPr="00AC1070">
        <w:rPr>
          <w:sz w:val="22"/>
          <w:szCs w:val="22"/>
        </w:rPr>
        <w:t xml:space="preserve"> For </w:t>
      </w:r>
      <w:r>
        <w:rPr>
          <w:sz w:val="22"/>
          <w:szCs w:val="22"/>
        </w:rPr>
        <w:t xml:space="preserve">data and </w:t>
      </w:r>
      <w:r w:rsidRPr="00AC1070">
        <w:rPr>
          <w:sz w:val="22"/>
          <w:szCs w:val="22"/>
        </w:rPr>
        <w:t xml:space="preserve">calculations, see </w:t>
      </w:r>
      <w:hyperlink r:id="rId29" w:history="1">
        <w:r w:rsidRPr="00AC1070">
          <w:rPr>
            <w:rStyle w:val="Hyperlink"/>
            <w:sz w:val="22"/>
            <w:szCs w:val="22"/>
          </w:rPr>
          <w:t>CPUC ESPI website</w:t>
        </w:r>
      </w:hyperlink>
      <w:r w:rsidRPr="00AC1070">
        <w:rPr>
          <w:sz w:val="22"/>
          <w:szCs w:val="22"/>
        </w:rPr>
        <w:t>, “2017 EAR Performance Score Weighting</w:t>
      </w:r>
      <w:r>
        <w:rPr>
          <w:sz w:val="22"/>
          <w:szCs w:val="22"/>
        </w:rPr>
        <w:t>.</w:t>
      </w:r>
      <w:r w:rsidRPr="00AC1070">
        <w:rPr>
          <w:sz w:val="22"/>
          <w:szCs w:val="22"/>
        </w:rPr>
        <w:t>”</w:t>
      </w:r>
    </w:p>
  </w:footnote>
  <w:footnote w:id="29">
    <w:p w14:paraId="551B571D" w14:textId="77777777" w:rsidR="009B053C" w:rsidRPr="00807C28" w:rsidRDefault="009B053C" w:rsidP="00E40C02">
      <w:pPr>
        <w:pStyle w:val="FootnoteText"/>
        <w:numPr>
          <w:ilvl w:val="0"/>
          <w:numId w:val="0"/>
        </w:numPr>
        <w:spacing w:beforeLines="60" w:before="144" w:after="0"/>
        <w:ind w:left="180" w:hanging="180"/>
        <w:rPr>
          <w:sz w:val="22"/>
          <w:szCs w:val="22"/>
        </w:rPr>
      </w:pPr>
      <w:r w:rsidRPr="00807C28">
        <w:rPr>
          <w:rStyle w:val="FootnoteReference"/>
          <w:sz w:val="22"/>
          <w:szCs w:val="22"/>
        </w:rPr>
        <w:footnoteRef/>
      </w:r>
      <w:r w:rsidRPr="00807C28">
        <w:rPr>
          <w:sz w:val="22"/>
          <w:szCs w:val="22"/>
        </w:rPr>
        <w:t xml:space="preserve"> This score was changed from 45.51 in the final Resolution </w:t>
      </w:r>
      <w:r>
        <w:rPr>
          <w:sz w:val="22"/>
          <w:szCs w:val="22"/>
        </w:rPr>
        <w:t>after</w:t>
      </w:r>
      <w:r w:rsidRPr="00807C28">
        <w:rPr>
          <w:sz w:val="22"/>
          <w:szCs w:val="22"/>
        </w:rPr>
        <w:t xml:space="preserve"> SoCalGas </w:t>
      </w:r>
      <w:r>
        <w:rPr>
          <w:sz w:val="22"/>
          <w:szCs w:val="22"/>
        </w:rPr>
        <w:t xml:space="preserve">submitted evidence that the </w:t>
      </w:r>
      <w:hyperlink r:id="rId30" w:history="1">
        <w:r w:rsidRPr="00906B35">
          <w:rPr>
            <w:rStyle w:val="Hyperlink"/>
            <w:sz w:val="22"/>
            <w:szCs w:val="22"/>
          </w:rPr>
          <w:t>Seasonal Savings</w:t>
        </w:r>
      </w:hyperlink>
      <w:r>
        <w:rPr>
          <w:sz w:val="22"/>
          <w:szCs w:val="22"/>
        </w:rPr>
        <w:t xml:space="preserve"> and </w:t>
      </w:r>
      <w:hyperlink r:id="rId31" w:history="1">
        <w:r w:rsidRPr="00906B35">
          <w:rPr>
            <w:rStyle w:val="Hyperlink"/>
            <w:sz w:val="22"/>
            <w:szCs w:val="22"/>
          </w:rPr>
          <w:t>Savings by Design</w:t>
        </w:r>
      </w:hyperlink>
      <w:r>
        <w:rPr>
          <w:sz w:val="22"/>
          <w:szCs w:val="22"/>
        </w:rPr>
        <w:t xml:space="preserve"> Programs flagged as audit programs in the 2017 EAR Performance Score Weighting workbook were actually custom programs. Counting them as custom programs increased </w:t>
      </w:r>
      <m:oMath>
        <m:sSub>
          <m:sSubPr>
            <m:ctrlPr>
              <w:rPr>
                <w:rFonts w:ascii="Cambria Math" w:hAnsi="Cambria Math"/>
              </w:rPr>
            </m:ctrlPr>
          </m:sSubPr>
          <m:e>
            <m:r>
              <m:rPr>
                <m:sty m:val="p"/>
              </m:rPr>
              <w:rPr>
                <w:rFonts w:ascii="Cambria Math" w:hAnsi="Cambria Math"/>
              </w:rPr>
              <m:t>β</m:t>
            </m:r>
          </m:e>
          <m:sub>
            <m:r>
              <w:rPr>
                <w:rFonts w:ascii="Cambria Math" w:hAnsi="Cambria Math"/>
              </w:rPr>
              <m:t>C</m:t>
            </m:r>
          </m:sub>
        </m:sSub>
      </m:oMath>
      <w:r>
        <w:rPr>
          <w:sz w:val="22"/>
          <w:szCs w:val="22"/>
        </w:rPr>
        <w:t xml:space="preserve"> in SoCalGas’ EAR performance score equation. </w:t>
      </w:r>
    </w:p>
  </w:footnote>
  <w:footnote w:id="30">
    <w:p w14:paraId="14E9CAD4" w14:textId="77777777" w:rsidR="009B053C" w:rsidRPr="00276DAD" w:rsidRDefault="009B053C" w:rsidP="00E40C02">
      <w:pPr>
        <w:pStyle w:val="FootnoteText"/>
        <w:numPr>
          <w:ilvl w:val="0"/>
          <w:numId w:val="0"/>
        </w:numPr>
        <w:spacing w:beforeLines="60" w:before="144" w:after="0"/>
        <w:ind w:left="180" w:hanging="180"/>
        <w:rPr>
          <w:sz w:val="22"/>
        </w:rPr>
      </w:pPr>
      <w:r w:rsidRPr="00276DAD">
        <w:rPr>
          <w:rStyle w:val="FootnoteReference"/>
          <w:sz w:val="22"/>
        </w:rPr>
        <w:footnoteRef/>
      </w:r>
      <w:r w:rsidRPr="00276DAD">
        <w:rPr>
          <w:sz w:val="22"/>
        </w:rPr>
        <w:t xml:space="preserve"> </w:t>
      </w:r>
      <w:hyperlink r:id="rId32" w:history="1">
        <w:r w:rsidRPr="00AC1070">
          <w:rPr>
            <w:rStyle w:val="Hyperlink"/>
            <w:sz w:val="22"/>
          </w:rPr>
          <w:t>CEDARS</w:t>
        </w:r>
      </w:hyperlink>
      <w:r w:rsidRPr="00276DAD">
        <w:rPr>
          <w:sz w:val="22"/>
        </w:rPr>
        <w:t xml:space="preserve"> is the Commission’s online filing system for receiving various compliance filings. </w:t>
      </w:r>
    </w:p>
  </w:footnote>
  <w:footnote w:id="31">
    <w:p w14:paraId="6816F1F1" w14:textId="77777777" w:rsidR="009B053C" w:rsidRDefault="009B053C" w:rsidP="00E40C02">
      <w:pPr>
        <w:pStyle w:val="FootnoteText"/>
        <w:numPr>
          <w:ilvl w:val="0"/>
          <w:numId w:val="0"/>
        </w:numPr>
        <w:spacing w:beforeLines="60" w:before="144" w:after="0"/>
        <w:ind w:left="180" w:hanging="180"/>
      </w:pPr>
      <w:r w:rsidRPr="00276DAD">
        <w:rPr>
          <w:rStyle w:val="FootnoteReference"/>
          <w:sz w:val="22"/>
        </w:rPr>
        <w:footnoteRef/>
      </w:r>
      <w:r w:rsidRPr="00276DAD">
        <w:rPr>
          <w:sz w:val="22"/>
        </w:rPr>
        <w:t xml:space="preserve"> </w:t>
      </w:r>
      <w:hyperlink r:id="rId33" w:history="1">
        <w:r w:rsidRPr="00AC1070">
          <w:rPr>
            <w:rStyle w:val="Hyperlink"/>
            <w:sz w:val="22"/>
          </w:rPr>
          <w:t>CPUC ESPI website</w:t>
        </w:r>
      </w:hyperlink>
      <w:r w:rsidRPr="00276DAD">
        <w:rPr>
          <w:sz w:val="22"/>
        </w:rPr>
        <w:t>, “2017 Final Ex-Ante Workbook – Expenditures”</w:t>
      </w:r>
      <w:r>
        <w:t xml:space="preserve"> </w:t>
      </w:r>
    </w:p>
  </w:footnote>
  <w:footnote w:id="32">
    <w:p w14:paraId="534C9CF7" w14:textId="77777777" w:rsidR="009B053C" w:rsidRPr="00276DAD" w:rsidRDefault="009B053C" w:rsidP="00E40C02">
      <w:pPr>
        <w:pStyle w:val="FootnoteText"/>
        <w:numPr>
          <w:ilvl w:val="0"/>
          <w:numId w:val="0"/>
        </w:numPr>
        <w:spacing w:beforeLines="60" w:before="144" w:after="0"/>
        <w:ind w:left="360" w:hanging="360"/>
        <w:rPr>
          <w:sz w:val="22"/>
        </w:rPr>
      </w:pPr>
      <w:r w:rsidRPr="00276DAD">
        <w:rPr>
          <w:rStyle w:val="FootnoteReference"/>
          <w:sz w:val="22"/>
        </w:rPr>
        <w:footnoteRef/>
      </w:r>
      <w:r w:rsidRPr="00276DAD">
        <w:rPr>
          <w:sz w:val="22"/>
        </w:rPr>
        <w:t xml:space="preserve"> </w:t>
      </w:r>
      <w:hyperlink r:id="rId34" w:history="1">
        <w:r w:rsidRPr="00276DAD">
          <w:rPr>
            <w:rStyle w:val="Hyperlink"/>
            <w:sz w:val="22"/>
          </w:rPr>
          <w:t>Final 2016 Ex-Post and 2017 Ex-Ante Savings Adjustment Statement</w:t>
        </w:r>
      </w:hyperlink>
    </w:p>
  </w:footnote>
  <w:footnote w:id="33">
    <w:p w14:paraId="3D2E9795" w14:textId="77777777" w:rsidR="009B053C" w:rsidRPr="00276DAD" w:rsidRDefault="009B053C" w:rsidP="00E40C02">
      <w:pPr>
        <w:pStyle w:val="FootnoteText"/>
        <w:numPr>
          <w:ilvl w:val="0"/>
          <w:numId w:val="0"/>
        </w:numPr>
        <w:spacing w:beforeLines="60" w:before="144" w:after="0"/>
        <w:ind w:left="187" w:hanging="187"/>
        <w:jc w:val="both"/>
        <w:rPr>
          <w:sz w:val="22"/>
        </w:rPr>
      </w:pPr>
      <w:r w:rsidRPr="00276DAD">
        <w:rPr>
          <w:rStyle w:val="FootnoteReference"/>
          <w:sz w:val="22"/>
        </w:rPr>
        <w:footnoteRef/>
      </w:r>
      <w:r w:rsidRPr="00276DAD">
        <w:rPr>
          <w:sz w:val="22"/>
        </w:rPr>
        <w:t xml:space="preserve"> </w:t>
      </w:r>
      <w:hyperlink r:id="rId35" w:history="1">
        <w:r w:rsidRPr="00276DAD">
          <w:rPr>
            <w:rStyle w:val="Hyperlink"/>
            <w:sz w:val="22"/>
          </w:rPr>
          <w:t>D.13-09-023</w:t>
        </w:r>
      </w:hyperlink>
      <w:r w:rsidRPr="00276DAD">
        <w:rPr>
          <w:sz w:val="22"/>
        </w:rPr>
        <w:t>, Section 7.3 defines uncertain measures as those measures for which Commission believes the net lifetime savings of the current database of energy efficiency resources (DEER) or non-DEER savings estimate may be as much as 50% or more under- or over-estimated. Conversely, measures that are not believed to be uncertain (Not Uncertain Deemed measures) in terms of anticipated savings do not undergo ex-post evaluation.</w:t>
      </w:r>
    </w:p>
  </w:footnote>
  <w:footnote w:id="34">
    <w:p w14:paraId="3F79FF87" w14:textId="77777777" w:rsidR="009B053C" w:rsidRPr="00276DAD" w:rsidRDefault="009B053C" w:rsidP="00E40C02">
      <w:pPr>
        <w:pStyle w:val="FootnoteText"/>
        <w:numPr>
          <w:ilvl w:val="0"/>
          <w:numId w:val="0"/>
        </w:numPr>
        <w:spacing w:beforeLines="60" w:before="144" w:after="0"/>
        <w:ind w:left="180" w:hanging="180"/>
        <w:rPr>
          <w:sz w:val="22"/>
        </w:rPr>
      </w:pPr>
      <w:r w:rsidRPr="00276DAD">
        <w:rPr>
          <w:rStyle w:val="FootnoteReference"/>
          <w:sz w:val="22"/>
        </w:rPr>
        <w:footnoteRef/>
      </w:r>
      <w:r w:rsidRPr="00276DAD">
        <w:rPr>
          <w:sz w:val="22"/>
        </w:rPr>
        <w:t xml:space="preserve"> </w:t>
      </w:r>
      <w:hyperlink r:id="rId36" w:history="1">
        <w:r w:rsidRPr="00276DAD">
          <w:rPr>
            <w:rStyle w:val="Hyperlink"/>
            <w:sz w:val="22"/>
          </w:rPr>
          <w:t>Final 2016 Ex-Post and 2017 Ex-Ante Savings Adjustment Statement</w:t>
        </w:r>
      </w:hyperlink>
      <w:r w:rsidRPr="00276DAD" w:rsidDel="008F0306">
        <w:rPr>
          <w:sz w:val="22"/>
        </w:rPr>
        <w:t xml:space="preserve"> </w:t>
      </w:r>
      <w:r w:rsidRPr="00276DAD">
        <w:rPr>
          <w:sz w:val="22"/>
        </w:rPr>
        <w:t xml:space="preserve"> </w:t>
      </w:r>
    </w:p>
  </w:footnote>
  <w:footnote w:id="35">
    <w:p w14:paraId="464CB410" w14:textId="77777777" w:rsidR="009B053C" w:rsidRPr="00276DAD" w:rsidRDefault="009B053C" w:rsidP="00E40C02">
      <w:pPr>
        <w:pStyle w:val="FootnoteText"/>
        <w:numPr>
          <w:ilvl w:val="0"/>
          <w:numId w:val="0"/>
        </w:numPr>
        <w:spacing w:beforeLines="60" w:before="144" w:after="0"/>
        <w:ind w:left="180" w:hanging="180"/>
        <w:jc w:val="both"/>
        <w:rPr>
          <w:sz w:val="22"/>
        </w:rPr>
      </w:pPr>
      <w:r w:rsidRPr="00276DAD">
        <w:rPr>
          <w:rStyle w:val="FootnoteReference"/>
          <w:sz w:val="22"/>
        </w:rPr>
        <w:footnoteRef/>
      </w:r>
      <w:r w:rsidRPr="00276DAD">
        <w:rPr>
          <w:sz w:val="22"/>
        </w:rPr>
        <w:t xml:space="preserve"> The CEDARS program expenditures came from the program cost table and the incentives came from the claim table in the 2017 CEDARS database.</w:t>
      </w:r>
      <w:r w:rsidRPr="00276DAD">
        <w:rPr>
          <w:rStyle w:val="Hyperlink"/>
          <w:sz w:val="22"/>
        </w:rPr>
        <w:t xml:space="preserve"> </w:t>
      </w:r>
    </w:p>
  </w:footnote>
  <w:footnote w:id="36">
    <w:p w14:paraId="07A4915F" w14:textId="77777777" w:rsidR="009B053C" w:rsidRPr="00276DAD" w:rsidRDefault="009B053C" w:rsidP="00E40C02">
      <w:pPr>
        <w:pStyle w:val="FootnoteText"/>
        <w:numPr>
          <w:ilvl w:val="0"/>
          <w:numId w:val="0"/>
        </w:numPr>
        <w:spacing w:beforeLines="60" w:before="144" w:after="0"/>
        <w:ind w:left="180" w:hanging="180"/>
        <w:jc w:val="both"/>
        <w:rPr>
          <w:sz w:val="22"/>
        </w:rPr>
      </w:pPr>
      <w:r w:rsidRPr="00276DAD">
        <w:rPr>
          <w:rStyle w:val="FootnoteReference"/>
          <w:sz w:val="22"/>
        </w:rPr>
        <w:footnoteRef/>
      </w:r>
      <w:r w:rsidRPr="00276DAD">
        <w:rPr>
          <w:sz w:val="22"/>
        </w:rPr>
        <w:t xml:space="preserve"> For certain situations such as a) large Custom projects that commence towards the close of the year and require extensive post-implementation measurement and verification, or b) joint IOU projects that provide evidence of unavoidable delays for accurate reporting, the Commission has allowed IOUs to claim savings after their initial reporting and approved them on a case-by-case basis.</w:t>
      </w:r>
    </w:p>
  </w:footnote>
  <w:footnote w:id="37">
    <w:p w14:paraId="4F69AEE5" w14:textId="77777777" w:rsidR="009B053C" w:rsidRPr="00276DAD" w:rsidRDefault="009B053C" w:rsidP="00E40C02">
      <w:pPr>
        <w:pStyle w:val="FootnoteText"/>
        <w:numPr>
          <w:ilvl w:val="0"/>
          <w:numId w:val="0"/>
        </w:numPr>
        <w:spacing w:beforeLines="60" w:before="144" w:after="0"/>
        <w:ind w:left="360" w:hanging="360"/>
        <w:rPr>
          <w:sz w:val="22"/>
        </w:rPr>
      </w:pPr>
      <w:r w:rsidRPr="00276DAD">
        <w:rPr>
          <w:rStyle w:val="FootnoteReference"/>
          <w:sz w:val="22"/>
        </w:rPr>
        <w:footnoteRef/>
      </w:r>
      <w:r w:rsidRPr="00276DAD">
        <w:rPr>
          <w:sz w:val="22"/>
        </w:rPr>
        <w:t xml:space="preserve"> </w:t>
      </w:r>
      <w:hyperlink r:id="rId37" w:history="1">
        <w:r w:rsidRPr="00276DAD">
          <w:rPr>
            <w:rStyle w:val="Hyperlink"/>
            <w:sz w:val="22"/>
          </w:rPr>
          <w:t>D.13-09-023</w:t>
        </w:r>
      </w:hyperlink>
      <w:r w:rsidRPr="00276DAD">
        <w:rPr>
          <w:sz w:val="22"/>
        </w:rPr>
        <w:t xml:space="preserve">, </w:t>
      </w:r>
      <w:r>
        <w:rPr>
          <w:sz w:val="22"/>
        </w:rPr>
        <w:t>OP</w:t>
      </w:r>
      <w:r w:rsidRPr="00276DAD">
        <w:rPr>
          <w:sz w:val="22"/>
        </w:rPr>
        <w:t xml:space="preserve"> 6</w:t>
      </w:r>
    </w:p>
  </w:footnote>
  <w:footnote w:id="38">
    <w:p w14:paraId="246768AD" w14:textId="77777777" w:rsidR="009B053C" w:rsidRDefault="009B053C" w:rsidP="00E40C02">
      <w:pPr>
        <w:pStyle w:val="FootnoteText"/>
        <w:numPr>
          <w:ilvl w:val="0"/>
          <w:numId w:val="0"/>
        </w:numPr>
        <w:spacing w:beforeLines="60" w:before="144" w:after="0"/>
        <w:ind w:left="360" w:hanging="360"/>
      </w:pPr>
      <w:r>
        <w:rPr>
          <w:rStyle w:val="FootnoteReference"/>
        </w:rPr>
        <w:footnoteRef/>
      </w:r>
      <w:r>
        <w:t xml:space="preserve"> </w:t>
      </w:r>
      <w:hyperlink r:id="rId38" w:history="1">
        <w:r w:rsidRPr="00AA15B2">
          <w:rPr>
            <w:rStyle w:val="Hyperlink"/>
            <w:sz w:val="22"/>
            <w:szCs w:val="22"/>
          </w:rPr>
          <w:t>D.13-12-028</w:t>
        </w:r>
      </w:hyperlink>
      <w:r w:rsidRPr="00AA15B2">
        <w:rPr>
          <w:sz w:val="22"/>
          <w:szCs w:val="22"/>
        </w:rPr>
        <w:t xml:space="preserve"> at 94; </w:t>
      </w:r>
      <w:hyperlink r:id="rId39" w:history="1">
        <w:r w:rsidRPr="00AA15B2">
          <w:rPr>
            <w:rStyle w:val="Hyperlink"/>
            <w:sz w:val="22"/>
            <w:szCs w:val="22"/>
          </w:rPr>
          <w:t>Resolution E-4897</w:t>
        </w:r>
      </w:hyperlink>
      <w:r w:rsidRPr="00AA15B2">
        <w:rPr>
          <w:sz w:val="22"/>
          <w:szCs w:val="22"/>
        </w:rPr>
        <w:t xml:space="preserve"> at 12</w:t>
      </w:r>
    </w:p>
  </w:footnote>
  <w:footnote w:id="39">
    <w:p w14:paraId="2E277463" w14:textId="77777777" w:rsidR="009B053C" w:rsidRPr="008F0306" w:rsidRDefault="009B053C" w:rsidP="00E40C02">
      <w:pPr>
        <w:pStyle w:val="FootnoteText"/>
        <w:numPr>
          <w:ilvl w:val="0"/>
          <w:numId w:val="0"/>
        </w:numPr>
        <w:spacing w:beforeLines="60" w:before="144" w:after="0"/>
        <w:ind w:left="187" w:hanging="187"/>
      </w:pPr>
      <w:r w:rsidRPr="00276DAD">
        <w:rPr>
          <w:rStyle w:val="FootnoteReference"/>
          <w:sz w:val="22"/>
        </w:rPr>
        <w:footnoteRef/>
      </w:r>
      <w:r w:rsidRPr="00276DAD">
        <w:rPr>
          <w:sz w:val="22"/>
        </w:rPr>
        <w:t xml:space="preserve"> </w:t>
      </w:r>
      <w:hyperlink r:id="rId40" w:history="1">
        <w:r w:rsidRPr="00276DAD">
          <w:rPr>
            <w:rStyle w:val="Hyperlink"/>
            <w:sz w:val="22"/>
          </w:rPr>
          <w:t>D.13-09-023</w:t>
        </w:r>
      </w:hyperlink>
      <w:r w:rsidRPr="00276DAD">
        <w:rPr>
          <w:rStyle w:val="Hyperlink"/>
          <w:color w:val="auto"/>
          <w:sz w:val="22"/>
          <w:u w:val="none"/>
        </w:rPr>
        <w:t>,</w:t>
      </w:r>
      <w:r>
        <w:rPr>
          <w:rStyle w:val="Hyperlink"/>
          <w:color w:val="auto"/>
          <w:sz w:val="22"/>
          <w:u w:val="none"/>
        </w:rPr>
        <w:t xml:space="preserve"> OP 3</w:t>
      </w:r>
    </w:p>
  </w:footnote>
  <w:footnote w:id="40">
    <w:p w14:paraId="3AA8D501" w14:textId="77777777" w:rsidR="009B053C" w:rsidRPr="00276DAD" w:rsidRDefault="009B053C" w:rsidP="00E40C02">
      <w:pPr>
        <w:pStyle w:val="FootnoteText"/>
        <w:numPr>
          <w:ilvl w:val="0"/>
          <w:numId w:val="0"/>
        </w:numPr>
        <w:spacing w:beforeLines="60" w:before="144" w:after="0"/>
        <w:ind w:left="187" w:hanging="187"/>
        <w:jc w:val="both"/>
        <w:rPr>
          <w:sz w:val="22"/>
        </w:rPr>
      </w:pPr>
      <w:r w:rsidRPr="00276DAD">
        <w:rPr>
          <w:rStyle w:val="FootnoteReference"/>
          <w:sz w:val="22"/>
        </w:rPr>
        <w:footnoteRef/>
      </w:r>
      <w:r w:rsidRPr="00276DAD">
        <w:rPr>
          <w:sz w:val="22"/>
        </w:rPr>
        <w:t xml:space="preserve"> DINI costs have also been referred to as “</w:t>
      </w:r>
      <w:r w:rsidRPr="00276DAD">
        <w:rPr>
          <w:rFonts w:cs="Book Antiqua"/>
          <w:color w:val="000000"/>
          <w:sz w:val="22"/>
          <w:szCs w:val="26"/>
        </w:rPr>
        <w:t>Implementation – Customer Services” and “Non-Incentive and Rebates Budget for program delivery.”</w:t>
      </w:r>
    </w:p>
  </w:footnote>
  <w:footnote w:id="41">
    <w:p w14:paraId="7A00556F" w14:textId="77777777" w:rsidR="009B053C" w:rsidRPr="00276DAD" w:rsidRDefault="009B053C" w:rsidP="00E40C02">
      <w:pPr>
        <w:pStyle w:val="FootnoteText"/>
        <w:numPr>
          <w:ilvl w:val="0"/>
          <w:numId w:val="0"/>
        </w:numPr>
        <w:spacing w:beforeLines="60" w:before="144" w:after="0"/>
        <w:ind w:left="187" w:hanging="187"/>
        <w:jc w:val="both"/>
        <w:rPr>
          <w:sz w:val="22"/>
        </w:rPr>
      </w:pPr>
      <w:r w:rsidRPr="00276DAD">
        <w:rPr>
          <w:rStyle w:val="FootnoteReference"/>
          <w:sz w:val="22"/>
        </w:rPr>
        <w:footnoteRef/>
      </w:r>
      <w:r w:rsidRPr="00276DAD">
        <w:rPr>
          <w:sz w:val="22"/>
        </w:rPr>
        <w:t xml:space="preserve"> Details of these calculations can be found on the </w:t>
      </w:r>
      <w:hyperlink r:id="rId41" w:history="1">
        <w:r w:rsidRPr="00276DAD">
          <w:rPr>
            <w:rStyle w:val="Hyperlink"/>
            <w:sz w:val="22"/>
          </w:rPr>
          <w:t>CPUC ESPI website</w:t>
        </w:r>
      </w:hyperlink>
      <w:r w:rsidRPr="00276DAD">
        <w:rPr>
          <w:rStyle w:val="Hyperlink"/>
          <w:color w:val="auto"/>
          <w:sz w:val="22"/>
          <w:u w:val="none"/>
        </w:rPr>
        <w:t>, “</w:t>
      </w:r>
      <w:r w:rsidRPr="00276DAD">
        <w:rPr>
          <w:sz w:val="22"/>
        </w:rPr>
        <w:t>2017 Final Ex-Ante Workbook – Expenditures,” ‘Adjusted DINI ME&amp;O’ worksheet.</w:t>
      </w:r>
    </w:p>
  </w:footnote>
  <w:footnote w:id="42">
    <w:p w14:paraId="79DA8DDD" w14:textId="77777777" w:rsidR="009B053C" w:rsidRPr="00276DAD" w:rsidRDefault="009B053C" w:rsidP="00E40C02">
      <w:pPr>
        <w:pStyle w:val="CommentText"/>
        <w:spacing w:beforeLines="60" w:before="144" w:after="0"/>
        <w:ind w:left="180" w:hanging="180"/>
        <w:rPr>
          <w:rStyle w:val="FootnoteReference"/>
          <w:sz w:val="24"/>
          <w:vertAlign w:val="baseline"/>
        </w:rPr>
      </w:pPr>
      <w:r w:rsidRPr="00276DAD">
        <w:rPr>
          <w:rStyle w:val="FootnoteReference"/>
          <w:sz w:val="22"/>
        </w:rPr>
        <w:footnoteRef/>
      </w:r>
      <w:r w:rsidRPr="00276DAD">
        <w:rPr>
          <w:sz w:val="22"/>
        </w:rPr>
        <w:t xml:space="preserve"> </w:t>
      </w:r>
      <w:hyperlink r:id="rId42" w:history="1">
        <w:r w:rsidRPr="00AC1070">
          <w:rPr>
            <w:rStyle w:val="Hyperlink"/>
            <w:sz w:val="22"/>
          </w:rPr>
          <w:t>D.09-09-047</w:t>
        </w:r>
      </w:hyperlink>
      <w:r w:rsidRPr="00276DAD">
        <w:rPr>
          <w:sz w:val="22"/>
        </w:rPr>
        <w:t xml:space="preserve">, Section 1; </w:t>
      </w:r>
      <w:hyperlink r:id="rId43" w:history="1">
        <w:r w:rsidRPr="00276DAD">
          <w:rPr>
            <w:rStyle w:val="Hyperlink"/>
            <w:sz w:val="22"/>
          </w:rPr>
          <w:t>D.12-11-015</w:t>
        </w:r>
      </w:hyperlink>
      <w:r w:rsidRPr="00276DAD">
        <w:rPr>
          <w:sz w:val="22"/>
        </w:rPr>
        <w:t>, Section 6.2</w:t>
      </w:r>
    </w:p>
  </w:footnote>
  <w:footnote w:id="43">
    <w:p w14:paraId="508151F1" w14:textId="77777777" w:rsidR="009B053C" w:rsidRPr="00276DAD" w:rsidRDefault="009B053C" w:rsidP="00E40C02">
      <w:pPr>
        <w:pStyle w:val="FootnoteText"/>
        <w:numPr>
          <w:ilvl w:val="0"/>
          <w:numId w:val="0"/>
        </w:numPr>
        <w:spacing w:beforeLines="60" w:before="144" w:after="0"/>
        <w:ind w:left="187" w:hanging="180"/>
        <w:rPr>
          <w:sz w:val="22"/>
        </w:rPr>
      </w:pPr>
      <w:r w:rsidRPr="00276DAD">
        <w:rPr>
          <w:rStyle w:val="FootnoteReference"/>
          <w:sz w:val="22"/>
        </w:rPr>
        <w:footnoteRef/>
      </w:r>
      <w:r w:rsidRPr="00276DAD">
        <w:rPr>
          <w:sz w:val="22"/>
        </w:rPr>
        <w:t xml:space="preserve"> </w:t>
      </w:r>
      <w:bookmarkStart w:id="48" w:name="_Hlk866368"/>
      <w:bookmarkStart w:id="49" w:name="_Hlk1734915"/>
      <w:r w:rsidRPr="00276DAD">
        <w:rPr>
          <w:sz w:val="22"/>
        </w:rPr>
        <w:t xml:space="preserve">UAFCB used data from the Commission’s </w:t>
      </w:r>
      <w:hyperlink r:id="rId44" w:history="1">
        <w:r w:rsidRPr="00AC1070">
          <w:rPr>
            <w:rStyle w:val="Hyperlink"/>
            <w:sz w:val="22"/>
          </w:rPr>
          <w:t>Energy Efficiency Statistics website</w:t>
        </w:r>
      </w:hyperlink>
      <w:r w:rsidRPr="00276DAD">
        <w:rPr>
          <w:sz w:val="22"/>
        </w:rPr>
        <w:t xml:space="preserve">, (“EE Stats”). </w:t>
      </w:r>
      <w:bookmarkStart w:id="50" w:name="_Hlk883089"/>
      <w:r w:rsidRPr="00276DAD">
        <w:rPr>
          <w:sz w:val="22"/>
        </w:rPr>
        <w:t>For program years for which official annual claims data are available in CEDARS, UAFCB is encouraged to use those instead of EE Stats reports for annual utility energy efficiency audits.</w:t>
      </w:r>
      <w:bookmarkEnd w:id="48"/>
      <w:r w:rsidRPr="00276DAD">
        <w:rPr>
          <w:sz w:val="22"/>
        </w:rPr>
        <w:t xml:space="preserve"> </w:t>
      </w:r>
      <w:bookmarkEnd w:id="49"/>
      <w:bookmarkEnd w:id="50"/>
    </w:p>
  </w:footnote>
  <w:footnote w:id="44">
    <w:p w14:paraId="0C3171BB" w14:textId="77777777" w:rsidR="009B053C" w:rsidRPr="00276DAD" w:rsidRDefault="009B053C" w:rsidP="00E40C02">
      <w:pPr>
        <w:pStyle w:val="FootnoteText"/>
        <w:numPr>
          <w:ilvl w:val="0"/>
          <w:numId w:val="0"/>
        </w:numPr>
        <w:spacing w:beforeLines="60" w:before="144" w:after="0"/>
        <w:rPr>
          <w:sz w:val="22"/>
        </w:rPr>
      </w:pPr>
      <w:r w:rsidRPr="00276DAD">
        <w:rPr>
          <w:rStyle w:val="FootnoteReference"/>
          <w:sz w:val="22"/>
        </w:rPr>
        <w:footnoteRef/>
      </w:r>
      <w:r w:rsidRPr="00276DAD">
        <w:rPr>
          <w:sz w:val="22"/>
        </w:rPr>
        <w:t xml:space="preserve"> PG&amp;E 8.06%, SCE 7.90%, SDG&amp;E 7.79%, SoCalGas 8.02%</w:t>
      </w:r>
    </w:p>
  </w:footnote>
  <w:footnote w:id="45">
    <w:p w14:paraId="5FE4CAFA" w14:textId="77777777" w:rsidR="009B053C" w:rsidRPr="00276DAD" w:rsidRDefault="009B053C" w:rsidP="00E40C02">
      <w:pPr>
        <w:pStyle w:val="FootnoteText"/>
        <w:numPr>
          <w:ilvl w:val="0"/>
          <w:numId w:val="0"/>
        </w:numPr>
        <w:spacing w:beforeLines="60" w:before="144" w:after="0"/>
        <w:rPr>
          <w:sz w:val="22"/>
        </w:rPr>
      </w:pPr>
      <w:r w:rsidRPr="00276DAD">
        <w:rPr>
          <w:rStyle w:val="FootnoteReference"/>
          <w:sz w:val="22"/>
        </w:rPr>
        <w:footnoteRef/>
      </w:r>
      <w:r w:rsidRPr="00276DAD">
        <w:rPr>
          <w:sz w:val="22"/>
        </w:rPr>
        <w:t xml:space="preserve"> </w:t>
      </w:r>
      <w:hyperlink r:id="rId45" w:history="1">
        <w:r w:rsidRPr="00276DAD">
          <w:rPr>
            <w:rStyle w:val="Hyperlink"/>
            <w:sz w:val="22"/>
          </w:rPr>
          <w:t>Final 2016 Ex-Post and 2017 Ex-Ante Savings Adjustment Statement</w:t>
        </w:r>
      </w:hyperlink>
    </w:p>
  </w:footnote>
  <w:footnote w:id="46">
    <w:p w14:paraId="674BD3ED" w14:textId="77777777" w:rsidR="009B053C" w:rsidRPr="00276DAD" w:rsidRDefault="009B053C" w:rsidP="00E40C02">
      <w:pPr>
        <w:pStyle w:val="FootnoteText"/>
        <w:numPr>
          <w:ilvl w:val="0"/>
          <w:numId w:val="0"/>
        </w:numPr>
        <w:spacing w:beforeLines="60" w:before="144" w:after="0"/>
        <w:ind w:left="187" w:hanging="187"/>
        <w:rPr>
          <w:sz w:val="22"/>
        </w:rPr>
      </w:pPr>
      <w:r w:rsidRPr="00276DAD">
        <w:rPr>
          <w:rStyle w:val="FootnoteReference"/>
          <w:sz w:val="22"/>
        </w:rPr>
        <w:footnoteRef/>
      </w:r>
      <w:r w:rsidRPr="00276DAD">
        <w:rPr>
          <w:sz w:val="22"/>
        </w:rPr>
        <w:t xml:space="preserve"> </w:t>
      </w:r>
      <w:hyperlink r:id="rId46" w:history="1">
        <w:r w:rsidRPr="00276DAD">
          <w:rPr>
            <w:rStyle w:val="Hyperlink"/>
            <w:sz w:val="22"/>
          </w:rPr>
          <w:t>CPUC ESPI website</w:t>
        </w:r>
      </w:hyperlink>
      <w:r w:rsidRPr="00276DAD">
        <w:rPr>
          <w:sz w:val="22"/>
        </w:rPr>
        <w:t xml:space="preserve">, “2016 SDG&amp;E EAR Performance True Up” </w:t>
      </w:r>
    </w:p>
  </w:footnote>
  <w:footnote w:id="47">
    <w:p w14:paraId="630E15A5" w14:textId="77777777" w:rsidR="009B053C" w:rsidRDefault="009B053C" w:rsidP="008A5E64">
      <w:pPr>
        <w:pStyle w:val="FootnoteText"/>
        <w:numPr>
          <w:ilvl w:val="0"/>
          <w:numId w:val="0"/>
        </w:numPr>
        <w:spacing w:before="60" w:after="0"/>
        <w:ind w:left="360" w:hanging="360"/>
      </w:pPr>
      <w:r>
        <w:rPr>
          <w:rStyle w:val="FootnoteReference"/>
        </w:rPr>
        <w:footnoteRef/>
      </w:r>
      <w:r>
        <w:t xml:space="preserve"> </w:t>
      </w:r>
      <w:hyperlink r:id="rId47" w:history="1">
        <w:r>
          <w:rPr>
            <w:rStyle w:val="Hyperlink"/>
          </w:rPr>
          <w:t>E-5007 Draft Agenda Resolution</w:t>
        </w:r>
      </w:hyperlink>
      <w:r>
        <w:t>.</w:t>
      </w:r>
    </w:p>
  </w:footnote>
  <w:footnote w:id="48">
    <w:p w14:paraId="2E614005" w14:textId="77777777" w:rsidR="009B053C" w:rsidRDefault="009B053C" w:rsidP="008A5E64">
      <w:pPr>
        <w:pStyle w:val="FootnoteText"/>
        <w:numPr>
          <w:ilvl w:val="0"/>
          <w:numId w:val="0"/>
        </w:numPr>
        <w:spacing w:before="60" w:after="0"/>
      </w:pPr>
      <w:r>
        <w:rPr>
          <w:rStyle w:val="FootnoteReference"/>
        </w:rPr>
        <w:footnoteRef/>
      </w:r>
      <w:r>
        <w:t xml:space="preserve"> D.18-05-041, at 168, Finding of Fact 77</w:t>
      </w:r>
    </w:p>
  </w:footnote>
  <w:footnote w:id="49">
    <w:p w14:paraId="63E1DAED" w14:textId="77777777" w:rsidR="009B053C" w:rsidRPr="001C4260" w:rsidRDefault="009B053C" w:rsidP="008A5E64">
      <w:pPr>
        <w:pStyle w:val="FootnoteText"/>
        <w:numPr>
          <w:ilvl w:val="0"/>
          <w:numId w:val="0"/>
        </w:numPr>
        <w:spacing w:before="60" w:after="0"/>
        <w:ind w:left="360" w:hanging="360"/>
      </w:pPr>
      <w:r>
        <w:rPr>
          <w:rStyle w:val="FootnoteReference"/>
        </w:rPr>
        <w:footnoteRef/>
      </w:r>
      <w:r>
        <w:t xml:space="preserve"> </w:t>
      </w:r>
      <w:r>
        <w:rPr>
          <w:i/>
          <w:iCs/>
        </w:rPr>
        <w:t>Id.</w:t>
      </w:r>
      <w:r>
        <w:t xml:space="preserve"> at 140-141.</w:t>
      </w:r>
    </w:p>
  </w:footnote>
  <w:footnote w:id="50">
    <w:p w14:paraId="6A98B181" w14:textId="77777777" w:rsidR="009B053C" w:rsidRPr="001C4260" w:rsidRDefault="009B053C" w:rsidP="008A5E64">
      <w:pPr>
        <w:pStyle w:val="FootnoteText"/>
        <w:numPr>
          <w:ilvl w:val="0"/>
          <w:numId w:val="0"/>
        </w:numPr>
        <w:spacing w:before="60" w:after="0"/>
        <w:ind w:left="360" w:hanging="360"/>
      </w:pPr>
      <w:r>
        <w:rPr>
          <w:rStyle w:val="FootnoteReference"/>
        </w:rPr>
        <w:footnoteRef/>
      </w:r>
      <w:r>
        <w:t xml:space="preserve"> </w:t>
      </w:r>
      <w:r>
        <w:rPr>
          <w:i/>
          <w:iCs/>
        </w:rPr>
        <w:t>Id.</w:t>
      </w:r>
      <w:r>
        <w:t xml:space="preserve"> at 142-143.</w:t>
      </w:r>
    </w:p>
  </w:footnote>
  <w:footnote w:id="51">
    <w:p w14:paraId="7EDE81EB" w14:textId="77777777" w:rsidR="009B053C" w:rsidRPr="000869F7" w:rsidRDefault="009B053C" w:rsidP="008A5E64">
      <w:pPr>
        <w:pStyle w:val="FootnoteText"/>
        <w:numPr>
          <w:ilvl w:val="0"/>
          <w:numId w:val="0"/>
        </w:numPr>
        <w:spacing w:before="60" w:after="0"/>
        <w:ind w:left="360" w:hanging="360"/>
      </w:pPr>
      <w:r>
        <w:rPr>
          <w:rStyle w:val="FootnoteReference"/>
        </w:rPr>
        <w:footnoteRef/>
      </w:r>
      <w:r>
        <w:t xml:space="preserve"> </w:t>
      </w:r>
      <w:r>
        <w:rPr>
          <w:i/>
          <w:iCs/>
        </w:rPr>
        <w:t>Id.</w:t>
      </w:r>
      <w:r>
        <w:t xml:space="preserve"> at 150-51; see also </w:t>
      </w:r>
      <w:r>
        <w:rPr>
          <w:i/>
          <w:iCs/>
        </w:rPr>
        <w:t>id.</w:t>
      </w:r>
      <w:r>
        <w:t xml:space="preserve"> at 168-69, Findings of Fact 77-78.</w:t>
      </w:r>
    </w:p>
  </w:footnote>
  <w:footnote w:id="52">
    <w:p w14:paraId="392B0F54" w14:textId="77777777" w:rsidR="009B053C" w:rsidRPr="000869F7" w:rsidRDefault="009B053C" w:rsidP="008A5E64">
      <w:pPr>
        <w:pStyle w:val="FootnoteText"/>
        <w:numPr>
          <w:ilvl w:val="0"/>
          <w:numId w:val="0"/>
        </w:numPr>
        <w:spacing w:before="60" w:after="0"/>
        <w:ind w:left="360" w:hanging="360"/>
      </w:pPr>
      <w:r>
        <w:rPr>
          <w:rStyle w:val="FootnoteReference"/>
        </w:rPr>
        <w:footnoteRef/>
      </w:r>
      <w:r>
        <w:t xml:space="preserve"> </w:t>
      </w:r>
      <w:r>
        <w:rPr>
          <w:i/>
          <w:iCs/>
        </w:rPr>
        <w:t>Id.</w:t>
      </w:r>
      <w:r>
        <w:t xml:space="preserve"> at 143 (quoting D.05-09-043 at 6; second alteration in original).</w:t>
      </w:r>
    </w:p>
  </w:footnote>
  <w:footnote w:id="53">
    <w:p w14:paraId="43F7E634" w14:textId="77777777" w:rsidR="009B053C" w:rsidRPr="00C12C78" w:rsidRDefault="009B053C" w:rsidP="008A5E64">
      <w:pPr>
        <w:pStyle w:val="FootnoteText"/>
        <w:numPr>
          <w:ilvl w:val="0"/>
          <w:numId w:val="0"/>
        </w:numPr>
        <w:spacing w:before="60" w:after="0"/>
        <w:rPr>
          <w:sz w:val="22"/>
          <w:szCs w:val="22"/>
        </w:rPr>
      </w:pPr>
      <w:r w:rsidRPr="00C12C78">
        <w:rPr>
          <w:rStyle w:val="FootnoteReference"/>
          <w:sz w:val="22"/>
          <w:szCs w:val="22"/>
        </w:rPr>
        <w:footnoteRef/>
      </w:r>
      <w:r w:rsidRPr="00C12C78">
        <w:rPr>
          <w:sz w:val="22"/>
          <w:szCs w:val="22"/>
        </w:rPr>
        <w:t xml:space="preserve"> D.18-05-041, at 144, 181 [Conclusions of Law Numbers 76 &amp; 77</w:t>
      </w:r>
      <w:r>
        <w:rPr>
          <w:sz w:val="22"/>
          <w:szCs w:val="22"/>
        </w:rPr>
        <w:t>]</w:t>
      </w:r>
    </w:p>
  </w:footnote>
  <w:footnote w:id="54">
    <w:p w14:paraId="184726D2" w14:textId="77777777" w:rsidR="009B053C" w:rsidRPr="0046744B" w:rsidRDefault="009B053C" w:rsidP="008A5E64">
      <w:pPr>
        <w:pStyle w:val="FootnoteText"/>
        <w:numPr>
          <w:ilvl w:val="0"/>
          <w:numId w:val="0"/>
        </w:numPr>
        <w:spacing w:before="60" w:after="0"/>
        <w:ind w:left="360" w:hanging="360"/>
      </w:pPr>
      <w:r>
        <w:rPr>
          <w:rStyle w:val="FootnoteReference"/>
        </w:rPr>
        <w:footnoteRef/>
      </w:r>
      <w:r>
        <w:t xml:space="preserve"> </w:t>
      </w:r>
      <w:r>
        <w:rPr>
          <w:i/>
          <w:iCs/>
        </w:rPr>
        <w:t>Id.</w:t>
      </w:r>
      <w:r>
        <w:t xml:space="preserve"> at 144.  </w:t>
      </w:r>
    </w:p>
  </w:footnote>
  <w:footnote w:id="55">
    <w:p w14:paraId="7CA8F62A" w14:textId="77777777" w:rsidR="009B053C" w:rsidRPr="00B612FD" w:rsidRDefault="009B053C" w:rsidP="008A5E64">
      <w:pPr>
        <w:pStyle w:val="FootnoteText"/>
        <w:numPr>
          <w:ilvl w:val="0"/>
          <w:numId w:val="0"/>
        </w:numPr>
        <w:spacing w:before="60" w:after="0"/>
        <w:ind w:left="360" w:hanging="360"/>
      </w:pPr>
      <w:r>
        <w:rPr>
          <w:rStyle w:val="FootnoteReference"/>
        </w:rPr>
        <w:footnoteRef/>
      </w:r>
      <w:r>
        <w:t xml:space="preserve"> </w:t>
      </w:r>
      <w:r>
        <w:rPr>
          <w:i/>
          <w:iCs/>
        </w:rPr>
        <w:t>Id.</w:t>
      </w:r>
    </w:p>
  </w:footnote>
  <w:footnote w:id="56">
    <w:p w14:paraId="78F8AC14" w14:textId="77777777" w:rsidR="009B053C" w:rsidRPr="00B612FD" w:rsidRDefault="009B053C" w:rsidP="008A5E64">
      <w:pPr>
        <w:pStyle w:val="FootnoteText"/>
        <w:numPr>
          <w:ilvl w:val="0"/>
          <w:numId w:val="0"/>
        </w:numPr>
        <w:spacing w:before="60" w:after="0"/>
        <w:ind w:left="360" w:hanging="360"/>
      </w:pPr>
      <w:r>
        <w:rPr>
          <w:rStyle w:val="FootnoteReference"/>
        </w:rPr>
        <w:footnoteRef/>
      </w:r>
      <w:r>
        <w:t xml:space="preserve"> </w:t>
      </w:r>
      <w:r>
        <w:rPr>
          <w:i/>
          <w:iCs/>
        </w:rPr>
        <w:t>Id.</w:t>
      </w:r>
    </w:p>
  </w:footnote>
  <w:footnote w:id="57">
    <w:p w14:paraId="76EE8129" w14:textId="77777777" w:rsidR="009B053C" w:rsidRDefault="009B053C" w:rsidP="00BF7868">
      <w:pPr>
        <w:pStyle w:val="FootnoteText"/>
        <w:numPr>
          <w:ilvl w:val="0"/>
          <w:numId w:val="0"/>
        </w:numPr>
        <w:spacing w:before="60" w:after="0"/>
        <w:ind w:left="360" w:hanging="360"/>
      </w:pPr>
      <w:r>
        <w:rPr>
          <w:rStyle w:val="FootnoteReference"/>
        </w:rPr>
        <w:footnoteRef/>
      </w:r>
      <w:r>
        <w:t xml:space="preserve"> As explained above, for the time being, the Commission will decline Cal PA’s request to zero out SoCalGas’ 2016 C&amp;S award, but will take this issue up in R.13-11-005.</w:t>
      </w:r>
    </w:p>
  </w:footnote>
  <w:footnote w:id="58">
    <w:p w14:paraId="36DDF283" w14:textId="77777777" w:rsidR="009B053C" w:rsidRDefault="009B053C" w:rsidP="00CD1500">
      <w:pPr>
        <w:pStyle w:val="FootnoteText"/>
        <w:numPr>
          <w:ilvl w:val="0"/>
          <w:numId w:val="0"/>
        </w:numPr>
        <w:tabs>
          <w:tab w:val="left" w:pos="720"/>
        </w:tabs>
      </w:pPr>
      <w:r>
        <w:rPr>
          <w:rStyle w:val="FootnoteReference"/>
        </w:rPr>
        <w:footnoteRef/>
      </w:r>
      <w:r>
        <w:t xml:space="preserve"> http://docs.cpuc.ca.gov/PublishedDocs/Efile/G000/M316/K460/316460552.PDF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0B2E9" w14:textId="6CFD705C" w:rsidR="009B053C" w:rsidRDefault="009B053C" w:rsidP="008E2BEC">
    <w:pPr>
      <w:pStyle w:val="Header"/>
      <w:tabs>
        <w:tab w:val="clear" w:pos="4320"/>
        <w:tab w:val="clear" w:pos="8640"/>
        <w:tab w:val="center" w:pos="4680"/>
        <w:tab w:val="right" w:pos="9360"/>
      </w:tabs>
    </w:pPr>
    <w:r w:rsidRPr="009E7E4C">
      <w:t>Resolution E-</w:t>
    </w:r>
    <w:r w:rsidRPr="00B35D32">
      <w:t>5007</w:t>
    </w:r>
    <w:r>
      <w:tab/>
    </w:r>
    <w:r>
      <w:tab/>
      <w:t>October 10</w:t>
    </w:r>
    <w:r w:rsidRPr="00C265FE">
      <w:t>, 2019</w:t>
    </w:r>
  </w:p>
  <w:p w14:paraId="4EEC7B98" w14:textId="77777777" w:rsidR="009B053C" w:rsidRDefault="009B053C" w:rsidP="00F4021F">
    <w:pPr>
      <w:pStyle w:val="Header"/>
      <w:tabs>
        <w:tab w:val="clear" w:pos="4320"/>
        <w:tab w:val="clear" w:pos="8640"/>
        <w:tab w:val="center" w:pos="4680"/>
        <w:tab w:val="right" w:pos="9180"/>
      </w:tabs>
      <w:spacing w:after="160"/>
    </w:pPr>
    <w:bookmarkStart w:id="82" w:name="_Hlk10534555"/>
    <w:r w:rsidRPr="00F4021F">
      <w:t>PG&amp;E 4044-G/5430-E, SCE 3901-E, SDG&amp;E 3307-E/2722-G, SoCalGas 5386</w:t>
    </w:r>
    <w:r>
      <w:t xml:space="preserve"> </w:t>
    </w:r>
    <w:bookmarkEnd w:id="82"/>
    <w:r>
      <w:t>/ EPF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19F81" w14:textId="291A0E64" w:rsidR="009B053C" w:rsidRPr="00E90D2C" w:rsidRDefault="009B053C" w:rsidP="00E90D2C">
    <w:pPr>
      <w:pStyle w:val="Header"/>
      <w:jc w:val="center"/>
    </w:pPr>
    <w:r>
      <w:tab/>
    </w:r>
    <w:r>
      <w:tab/>
      <w:t>Date of Issuance – October 11,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DF6"/>
    <w:multiLevelType w:val="hybridMultilevel"/>
    <w:tmpl w:val="048817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8B14DC"/>
    <w:multiLevelType w:val="hybridMultilevel"/>
    <w:tmpl w:val="B148A0EC"/>
    <w:lvl w:ilvl="0" w:tplc="0AFCA5B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E785E"/>
    <w:multiLevelType w:val="hybridMultilevel"/>
    <w:tmpl w:val="0EC052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4">
    <w:nsid w:val="11D26373"/>
    <w:multiLevelType w:val="hybridMultilevel"/>
    <w:tmpl w:val="9D009698"/>
    <w:lvl w:ilvl="0" w:tplc="BFF83F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13F4C"/>
    <w:multiLevelType w:val="hybridMultilevel"/>
    <w:tmpl w:val="CE3EBFAC"/>
    <w:lvl w:ilvl="0" w:tplc="A7F63B42">
      <w:start w:val="1"/>
      <w:numFmt w:val="decimal"/>
      <w:lvlText w:val="%1."/>
      <w:lvlJc w:val="left"/>
      <w:pPr>
        <w:ind w:left="360" w:hanging="360"/>
      </w:pPr>
      <w:rPr>
        <w:rFonts w:hint="default"/>
        <w:color w:val="auto"/>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CF02BE"/>
    <w:multiLevelType w:val="hybridMultilevel"/>
    <w:tmpl w:val="9B8232C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173C02"/>
    <w:multiLevelType w:val="singleLevel"/>
    <w:tmpl w:val="9C98FB3C"/>
    <w:lvl w:ilvl="0">
      <w:start w:val="1"/>
      <w:numFmt w:val="decimal"/>
      <w:lvlText w:val="%1."/>
      <w:lvlJc w:val="left"/>
      <w:pPr>
        <w:tabs>
          <w:tab w:val="num" w:pos="420"/>
        </w:tabs>
        <w:ind w:left="420" w:hanging="420"/>
      </w:pPr>
      <w:rPr>
        <w:rFonts w:ascii="Palatino Linotype" w:hAnsi="Palatino Linotype" w:hint="default"/>
        <w:strike w:val="0"/>
        <w:sz w:val="26"/>
        <w:szCs w:val="26"/>
      </w:rPr>
    </w:lvl>
  </w:abstractNum>
  <w:abstractNum w:abstractNumId="8">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nsid w:val="217F3553"/>
    <w:multiLevelType w:val="multilevel"/>
    <w:tmpl w:val="2ACADA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0">
    <w:nsid w:val="21F32C3C"/>
    <w:multiLevelType w:val="hybridMultilevel"/>
    <w:tmpl w:val="D572378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nsid w:val="252A0859"/>
    <w:multiLevelType w:val="multilevel"/>
    <w:tmpl w:val="6568B2A4"/>
    <w:lvl w:ilvl="0">
      <w:start w:val="1"/>
      <w:numFmt w:val="decimal"/>
      <w:lvlText w:val="%1)"/>
      <w:lvlJc w:val="left"/>
      <w:pPr>
        <w:ind w:left="1080" w:hanging="360"/>
      </w:pPr>
      <w:rPr>
        <w:rFonts w:hint="default"/>
      </w:r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12">
    <w:nsid w:val="258F2453"/>
    <w:multiLevelType w:val="hybridMultilevel"/>
    <w:tmpl w:val="A5785CF8"/>
    <w:lvl w:ilvl="0" w:tplc="523AEB7C">
      <w:start w:val="1"/>
      <w:numFmt w:val="lowerRoman"/>
      <w:pStyle w:val="Heading3"/>
      <w:lvlText w:val="%1."/>
      <w:lvlJc w:val="righ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26442B0E"/>
    <w:multiLevelType w:val="hybridMultilevel"/>
    <w:tmpl w:val="B148A0EC"/>
    <w:lvl w:ilvl="0" w:tplc="0AFCA5B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323823"/>
    <w:multiLevelType w:val="hybridMultilevel"/>
    <w:tmpl w:val="B148A0EC"/>
    <w:lvl w:ilvl="0" w:tplc="0AFCA5B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B80283"/>
    <w:multiLevelType w:val="hybridMultilevel"/>
    <w:tmpl w:val="D098EE54"/>
    <w:lvl w:ilvl="0" w:tplc="FF3AF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B4416E"/>
    <w:multiLevelType w:val="multilevel"/>
    <w:tmpl w:val="1BE2F772"/>
    <w:lvl w:ilvl="0">
      <w:start w:val="1"/>
      <w:numFmt w:val="lowerLetter"/>
      <w:lvlText w:val="%1)"/>
      <w:lvlJc w:val="left"/>
      <w:pPr>
        <w:ind w:left="1080" w:hanging="360"/>
      </w:pPr>
      <w:rPr>
        <w:rFonts w:hint="default"/>
      </w:r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17">
    <w:nsid w:val="3B3646A6"/>
    <w:multiLevelType w:val="hybridMultilevel"/>
    <w:tmpl w:val="0DEEC27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409C6D09"/>
    <w:multiLevelType w:val="hybridMultilevel"/>
    <w:tmpl w:val="BA6C4964"/>
    <w:lvl w:ilvl="0" w:tplc="E262824A">
      <w:start w:val="1"/>
      <w:numFmt w:val="lowerLetter"/>
      <w:pStyle w:val="NumberedNor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55AA15F8"/>
    <w:multiLevelType w:val="hybridMultilevel"/>
    <w:tmpl w:val="CBEA4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BD72BC"/>
    <w:multiLevelType w:val="hybridMultilevel"/>
    <w:tmpl w:val="834C5F1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
    <w:nsid w:val="572565C7"/>
    <w:multiLevelType w:val="singleLevel"/>
    <w:tmpl w:val="9C98FB3C"/>
    <w:lvl w:ilvl="0">
      <w:start w:val="1"/>
      <w:numFmt w:val="decimal"/>
      <w:lvlText w:val="%1."/>
      <w:lvlJc w:val="left"/>
      <w:pPr>
        <w:tabs>
          <w:tab w:val="num" w:pos="420"/>
        </w:tabs>
        <w:ind w:left="420" w:hanging="420"/>
      </w:pPr>
      <w:rPr>
        <w:rFonts w:ascii="Palatino Linotype" w:hAnsi="Palatino Linotype" w:hint="default"/>
        <w:strike w:val="0"/>
        <w:sz w:val="26"/>
        <w:szCs w:val="26"/>
      </w:rPr>
    </w:lvl>
  </w:abstractNum>
  <w:abstractNum w:abstractNumId="23">
    <w:nsid w:val="5792478C"/>
    <w:multiLevelType w:val="hybridMultilevel"/>
    <w:tmpl w:val="911AF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7258FE"/>
    <w:multiLevelType w:val="hybridMultilevel"/>
    <w:tmpl w:val="520A9D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CE0428"/>
    <w:multiLevelType w:val="multilevel"/>
    <w:tmpl w:val="4C7C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895F06"/>
    <w:multiLevelType w:val="hybridMultilevel"/>
    <w:tmpl w:val="5260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70663A"/>
    <w:multiLevelType w:val="hybridMultilevel"/>
    <w:tmpl w:val="8BDAC5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nsid w:val="6F9B5613"/>
    <w:multiLevelType w:val="hybridMultilevel"/>
    <w:tmpl w:val="AB60F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2B77F7"/>
    <w:multiLevelType w:val="hybridMultilevel"/>
    <w:tmpl w:val="2CD07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533C99"/>
    <w:multiLevelType w:val="hybridMultilevel"/>
    <w:tmpl w:val="DBA4A7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2839EC"/>
    <w:multiLevelType w:val="hybridMultilevel"/>
    <w:tmpl w:val="18307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8"/>
  </w:num>
  <w:num w:numId="4">
    <w:abstractNumId w:val="22"/>
  </w:num>
  <w:num w:numId="5">
    <w:abstractNumId w:val="17"/>
  </w:num>
  <w:num w:numId="6">
    <w:abstractNumId w:val="9"/>
  </w:num>
  <w:num w:numId="7">
    <w:abstractNumId w:val="5"/>
  </w:num>
  <w:num w:numId="8">
    <w:abstractNumId w:val="27"/>
  </w:num>
  <w:num w:numId="9">
    <w:abstractNumId w:val="6"/>
  </w:num>
  <w:num w:numId="10">
    <w:abstractNumId w:val="0"/>
  </w:num>
  <w:num w:numId="11">
    <w:abstractNumId w:val="30"/>
  </w:num>
  <w:num w:numId="12">
    <w:abstractNumId w:val="18"/>
  </w:num>
  <w:num w:numId="13">
    <w:abstractNumId w:val="12"/>
  </w:num>
  <w:num w:numId="14">
    <w:abstractNumId w:val="12"/>
    <w:lvlOverride w:ilvl="0">
      <w:startOverride w:val="1"/>
    </w:lvlOverride>
  </w:num>
  <w:num w:numId="15">
    <w:abstractNumId w:val="23"/>
  </w:num>
  <w:num w:numId="16">
    <w:abstractNumId w:val="4"/>
  </w:num>
  <w:num w:numId="17">
    <w:abstractNumId w:val="27"/>
    <w:lvlOverride w:ilvl="0">
      <w:startOverride w:val="1"/>
    </w:lvlOverride>
  </w:num>
  <w:num w:numId="18">
    <w:abstractNumId w:val="14"/>
  </w:num>
  <w:num w:numId="19">
    <w:abstractNumId w:val="26"/>
  </w:num>
  <w:num w:numId="20">
    <w:abstractNumId w:val="27"/>
  </w:num>
  <w:num w:numId="21">
    <w:abstractNumId w:val="25"/>
  </w:num>
  <w:num w:numId="22">
    <w:abstractNumId w:val="28"/>
  </w:num>
  <w:num w:numId="23">
    <w:abstractNumId w:val="27"/>
  </w:num>
  <w:num w:numId="24">
    <w:abstractNumId w:val="27"/>
  </w:num>
  <w:num w:numId="25">
    <w:abstractNumId w:val="1"/>
  </w:num>
  <w:num w:numId="26">
    <w:abstractNumId w:val="13"/>
  </w:num>
  <w:num w:numId="27">
    <w:abstractNumId w:val="31"/>
  </w:num>
  <w:num w:numId="28">
    <w:abstractNumId w:val="11"/>
  </w:num>
  <w:num w:numId="29">
    <w:abstractNumId w:val="10"/>
  </w:num>
  <w:num w:numId="30">
    <w:abstractNumId w:val="21"/>
  </w:num>
  <w:num w:numId="31">
    <w:abstractNumId w:val="16"/>
  </w:num>
  <w:num w:numId="32">
    <w:abstractNumId w:val="20"/>
  </w:num>
  <w:num w:numId="33">
    <w:abstractNumId w:val="24"/>
  </w:num>
  <w:num w:numId="34">
    <w:abstractNumId w:val="12"/>
    <w:lvlOverride w:ilvl="0">
      <w:startOverride w:val="1"/>
    </w:lvlOverride>
  </w:num>
  <w:num w:numId="35">
    <w:abstractNumId w:val="12"/>
  </w:num>
  <w:num w:numId="36">
    <w:abstractNumId w:val="12"/>
    <w:lvlOverride w:ilvl="0">
      <w:startOverride w:val="1"/>
    </w:lvlOverride>
  </w:num>
  <w:num w:numId="37">
    <w:abstractNumId w:val="12"/>
  </w:num>
  <w:num w:numId="38">
    <w:abstractNumId w:val="15"/>
  </w:num>
  <w:num w:numId="39">
    <w:abstractNumId w:val="7"/>
  </w:num>
  <w:num w:numId="40">
    <w:abstractNumId w:val="29"/>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70"/>
    <w:rsid w:val="000000F8"/>
    <w:rsid w:val="000004F5"/>
    <w:rsid w:val="000008DC"/>
    <w:rsid w:val="00000AF3"/>
    <w:rsid w:val="00001A12"/>
    <w:rsid w:val="0000237F"/>
    <w:rsid w:val="000049A5"/>
    <w:rsid w:val="00006B0A"/>
    <w:rsid w:val="00007096"/>
    <w:rsid w:val="00007C4C"/>
    <w:rsid w:val="00010FBE"/>
    <w:rsid w:val="0001105E"/>
    <w:rsid w:val="00011930"/>
    <w:rsid w:val="0001250B"/>
    <w:rsid w:val="00012A16"/>
    <w:rsid w:val="00012B1C"/>
    <w:rsid w:val="00014E0F"/>
    <w:rsid w:val="00020D9C"/>
    <w:rsid w:val="00022B41"/>
    <w:rsid w:val="0002366C"/>
    <w:rsid w:val="000244B6"/>
    <w:rsid w:val="0002457D"/>
    <w:rsid w:val="00030192"/>
    <w:rsid w:val="000305F5"/>
    <w:rsid w:val="00031012"/>
    <w:rsid w:val="00031930"/>
    <w:rsid w:val="00031F4D"/>
    <w:rsid w:val="00034B17"/>
    <w:rsid w:val="000350FA"/>
    <w:rsid w:val="000377DD"/>
    <w:rsid w:val="00042635"/>
    <w:rsid w:val="000426B0"/>
    <w:rsid w:val="00042F46"/>
    <w:rsid w:val="000501A0"/>
    <w:rsid w:val="00053D74"/>
    <w:rsid w:val="00055241"/>
    <w:rsid w:val="0005582A"/>
    <w:rsid w:val="000575A8"/>
    <w:rsid w:val="00057C85"/>
    <w:rsid w:val="000620D9"/>
    <w:rsid w:val="000627E5"/>
    <w:rsid w:val="0006295E"/>
    <w:rsid w:val="00062D9B"/>
    <w:rsid w:val="00063A81"/>
    <w:rsid w:val="00063B08"/>
    <w:rsid w:val="00063B57"/>
    <w:rsid w:val="0006456B"/>
    <w:rsid w:val="00064E0E"/>
    <w:rsid w:val="000665E5"/>
    <w:rsid w:val="000668D7"/>
    <w:rsid w:val="00071868"/>
    <w:rsid w:val="00072666"/>
    <w:rsid w:val="0007314B"/>
    <w:rsid w:val="00073CFF"/>
    <w:rsid w:val="00074862"/>
    <w:rsid w:val="00074A1C"/>
    <w:rsid w:val="00074CC7"/>
    <w:rsid w:val="00075615"/>
    <w:rsid w:val="000764FA"/>
    <w:rsid w:val="00077FD6"/>
    <w:rsid w:val="0008162B"/>
    <w:rsid w:val="00081E92"/>
    <w:rsid w:val="000836D8"/>
    <w:rsid w:val="00084E6A"/>
    <w:rsid w:val="0008581C"/>
    <w:rsid w:val="000869F7"/>
    <w:rsid w:val="00087B6B"/>
    <w:rsid w:val="00090EE1"/>
    <w:rsid w:val="000914B3"/>
    <w:rsid w:val="00091FBB"/>
    <w:rsid w:val="00093B0D"/>
    <w:rsid w:val="000943A2"/>
    <w:rsid w:val="00094801"/>
    <w:rsid w:val="0009529A"/>
    <w:rsid w:val="00095CC1"/>
    <w:rsid w:val="00096A67"/>
    <w:rsid w:val="00096BA6"/>
    <w:rsid w:val="00097C14"/>
    <w:rsid w:val="00097C4C"/>
    <w:rsid w:val="000A1917"/>
    <w:rsid w:val="000A1C63"/>
    <w:rsid w:val="000A337C"/>
    <w:rsid w:val="000A365F"/>
    <w:rsid w:val="000A41AF"/>
    <w:rsid w:val="000A49D0"/>
    <w:rsid w:val="000A5F7E"/>
    <w:rsid w:val="000A713B"/>
    <w:rsid w:val="000B0539"/>
    <w:rsid w:val="000B3320"/>
    <w:rsid w:val="000B3627"/>
    <w:rsid w:val="000B4638"/>
    <w:rsid w:val="000B4680"/>
    <w:rsid w:val="000B47A6"/>
    <w:rsid w:val="000B5D11"/>
    <w:rsid w:val="000B678F"/>
    <w:rsid w:val="000B7058"/>
    <w:rsid w:val="000C1219"/>
    <w:rsid w:val="000C1664"/>
    <w:rsid w:val="000C371C"/>
    <w:rsid w:val="000C38C0"/>
    <w:rsid w:val="000C3E6E"/>
    <w:rsid w:val="000C491F"/>
    <w:rsid w:val="000D07B1"/>
    <w:rsid w:val="000D2994"/>
    <w:rsid w:val="000D3254"/>
    <w:rsid w:val="000D3781"/>
    <w:rsid w:val="000D4182"/>
    <w:rsid w:val="000D4334"/>
    <w:rsid w:val="000D4A5F"/>
    <w:rsid w:val="000D4E9B"/>
    <w:rsid w:val="000D5955"/>
    <w:rsid w:val="000D5CFF"/>
    <w:rsid w:val="000D6F53"/>
    <w:rsid w:val="000D7B64"/>
    <w:rsid w:val="000E46AD"/>
    <w:rsid w:val="000E5820"/>
    <w:rsid w:val="000E5E61"/>
    <w:rsid w:val="000E644A"/>
    <w:rsid w:val="000E7CF6"/>
    <w:rsid w:val="000E7F32"/>
    <w:rsid w:val="000F0989"/>
    <w:rsid w:val="000F0B68"/>
    <w:rsid w:val="000F16E9"/>
    <w:rsid w:val="000F16FB"/>
    <w:rsid w:val="000F1EF4"/>
    <w:rsid w:val="000F24F6"/>
    <w:rsid w:val="000F2D4F"/>
    <w:rsid w:val="000F348C"/>
    <w:rsid w:val="000F3A8F"/>
    <w:rsid w:val="000F3B96"/>
    <w:rsid w:val="000F494A"/>
    <w:rsid w:val="000F5359"/>
    <w:rsid w:val="000F5569"/>
    <w:rsid w:val="000F5D37"/>
    <w:rsid w:val="000F60EF"/>
    <w:rsid w:val="000F67B4"/>
    <w:rsid w:val="00101D0A"/>
    <w:rsid w:val="0010254B"/>
    <w:rsid w:val="001030E7"/>
    <w:rsid w:val="00104611"/>
    <w:rsid w:val="00105210"/>
    <w:rsid w:val="00106336"/>
    <w:rsid w:val="00107864"/>
    <w:rsid w:val="00110A54"/>
    <w:rsid w:val="00112F22"/>
    <w:rsid w:val="00117D97"/>
    <w:rsid w:val="001200F2"/>
    <w:rsid w:val="001218EF"/>
    <w:rsid w:val="001222FC"/>
    <w:rsid w:val="00122402"/>
    <w:rsid w:val="0012260C"/>
    <w:rsid w:val="00124D68"/>
    <w:rsid w:val="00126882"/>
    <w:rsid w:val="00126BAE"/>
    <w:rsid w:val="001276B7"/>
    <w:rsid w:val="00127C71"/>
    <w:rsid w:val="00130650"/>
    <w:rsid w:val="00130C69"/>
    <w:rsid w:val="001314FA"/>
    <w:rsid w:val="001324A4"/>
    <w:rsid w:val="001329BC"/>
    <w:rsid w:val="001347C3"/>
    <w:rsid w:val="00134CBD"/>
    <w:rsid w:val="001355AE"/>
    <w:rsid w:val="001362FE"/>
    <w:rsid w:val="00136784"/>
    <w:rsid w:val="00137513"/>
    <w:rsid w:val="00137E82"/>
    <w:rsid w:val="00137FDF"/>
    <w:rsid w:val="00140293"/>
    <w:rsid w:val="001412ED"/>
    <w:rsid w:val="0014199A"/>
    <w:rsid w:val="00141E51"/>
    <w:rsid w:val="001428F7"/>
    <w:rsid w:val="00142FB8"/>
    <w:rsid w:val="00143EA6"/>
    <w:rsid w:val="00144EF1"/>
    <w:rsid w:val="00145411"/>
    <w:rsid w:val="00146C34"/>
    <w:rsid w:val="001479BA"/>
    <w:rsid w:val="00150387"/>
    <w:rsid w:val="00150BC0"/>
    <w:rsid w:val="00153979"/>
    <w:rsid w:val="00154A43"/>
    <w:rsid w:val="001551D8"/>
    <w:rsid w:val="0015526B"/>
    <w:rsid w:val="00157C8D"/>
    <w:rsid w:val="00157D44"/>
    <w:rsid w:val="0016075E"/>
    <w:rsid w:val="0016169D"/>
    <w:rsid w:val="001624E1"/>
    <w:rsid w:val="0016362E"/>
    <w:rsid w:val="00165280"/>
    <w:rsid w:val="00166E0C"/>
    <w:rsid w:val="0017001A"/>
    <w:rsid w:val="00170625"/>
    <w:rsid w:val="00170A6A"/>
    <w:rsid w:val="0017177F"/>
    <w:rsid w:val="00171BD2"/>
    <w:rsid w:val="0017361B"/>
    <w:rsid w:val="0017412F"/>
    <w:rsid w:val="00174154"/>
    <w:rsid w:val="00174B6A"/>
    <w:rsid w:val="00176FC4"/>
    <w:rsid w:val="00177CD8"/>
    <w:rsid w:val="00180D39"/>
    <w:rsid w:val="00180ECF"/>
    <w:rsid w:val="001811B2"/>
    <w:rsid w:val="00183373"/>
    <w:rsid w:val="001839A7"/>
    <w:rsid w:val="00184784"/>
    <w:rsid w:val="001851DF"/>
    <w:rsid w:val="001854A8"/>
    <w:rsid w:val="00186DE9"/>
    <w:rsid w:val="00190CB5"/>
    <w:rsid w:val="00191B15"/>
    <w:rsid w:val="00195495"/>
    <w:rsid w:val="00196089"/>
    <w:rsid w:val="0019705E"/>
    <w:rsid w:val="001970EC"/>
    <w:rsid w:val="00197429"/>
    <w:rsid w:val="001A25D3"/>
    <w:rsid w:val="001A4F69"/>
    <w:rsid w:val="001A56DD"/>
    <w:rsid w:val="001A5EE3"/>
    <w:rsid w:val="001A7904"/>
    <w:rsid w:val="001A7ACA"/>
    <w:rsid w:val="001A7D36"/>
    <w:rsid w:val="001B0B83"/>
    <w:rsid w:val="001B0CEC"/>
    <w:rsid w:val="001B1266"/>
    <w:rsid w:val="001B1979"/>
    <w:rsid w:val="001B292B"/>
    <w:rsid w:val="001B319B"/>
    <w:rsid w:val="001B3AA2"/>
    <w:rsid w:val="001B4674"/>
    <w:rsid w:val="001B5022"/>
    <w:rsid w:val="001B5A4D"/>
    <w:rsid w:val="001B5B34"/>
    <w:rsid w:val="001B72B5"/>
    <w:rsid w:val="001B75E9"/>
    <w:rsid w:val="001B7AA9"/>
    <w:rsid w:val="001C00C8"/>
    <w:rsid w:val="001C233F"/>
    <w:rsid w:val="001C3E0B"/>
    <w:rsid w:val="001C4260"/>
    <w:rsid w:val="001C596D"/>
    <w:rsid w:val="001C5A6F"/>
    <w:rsid w:val="001C689B"/>
    <w:rsid w:val="001C6CFC"/>
    <w:rsid w:val="001C741D"/>
    <w:rsid w:val="001D0F6B"/>
    <w:rsid w:val="001D3A73"/>
    <w:rsid w:val="001D40AF"/>
    <w:rsid w:val="001D5D44"/>
    <w:rsid w:val="001D641B"/>
    <w:rsid w:val="001D74C4"/>
    <w:rsid w:val="001E122B"/>
    <w:rsid w:val="001E1E35"/>
    <w:rsid w:val="001E1FDD"/>
    <w:rsid w:val="001E275B"/>
    <w:rsid w:val="001E29A5"/>
    <w:rsid w:val="001E380E"/>
    <w:rsid w:val="001E51C4"/>
    <w:rsid w:val="001E6B94"/>
    <w:rsid w:val="001E700E"/>
    <w:rsid w:val="001E7901"/>
    <w:rsid w:val="001F26AE"/>
    <w:rsid w:val="001F3E82"/>
    <w:rsid w:val="001F4A7C"/>
    <w:rsid w:val="001F4E4A"/>
    <w:rsid w:val="001F5F04"/>
    <w:rsid w:val="001F614B"/>
    <w:rsid w:val="001F74F5"/>
    <w:rsid w:val="00200276"/>
    <w:rsid w:val="0020363B"/>
    <w:rsid w:val="00203991"/>
    <w:rsid w:val="002050BC"/>
    <w:rsid w:val="002053FF"/>
    <w:rsid w:val="002055E1"/>
    <w:rsid w:val="00207094"/>
    <w:rsid w:val="002070DC"/>
    <w:rsid w:val="00210C1E"/>
    <w:rsid w:val="00212069"/>
    <w:rsid w:val="00213DCE"/>
    <w:rsid w:val="0021492E"/>
    <w:rsid w:val="00214B0C"/>
    <w:rsid w:val="0021734A"/>
    <w:rsid w:val="0021786C"/>
    <w:rsid w:val="00217AE1"/>
    <w:rsid w:val="00221033"/>
    <w:rsid w:val="00224244"/>
    <w:rsid w:val="00224B86"/>
    <w:rsid w:val="00224CE2"/>
    <w:rsid w:val="00224D7A"/>
    <w:rsid w:val="00225055"/>
    <w:rsid w:val="002273DB"/>
    <w:rsid w:val="002275B5"/>
    <w:rsid w:val="00227711"/>
    <w:rsid w:val="00227A5E"/>
    <w:rsid w:val="002304A9"/>
    <w:rsid w:val="00232ED2"/>
    <w:rsid w:val="002339B0"/>
    <w:rsid w:val="00235163"/>
    <w:rsid w:val="00235811"/>
    <w:rsid w:val="002364EF"/>
    <w:rsid w:val="00236D43"/>
    <w:rsid w:val="0023733B"/>
    <w:rsid w:val="002379B9"/>
    <w:rsid w:val="00240240"/>
    <w:rsid w:val="002407C2"/>
    <w:rsid w:val="00241CC2"/>
    <w:rsid w:val="00243F69"/>
    <w:rsid w:val="002445E5"/>
    <w:rsid w:val="00244A49"/>
    <w:rsid w:val="0024542B"/>
    <w:rsid w:val="00245751"/>
    <w:rsid w:val="002464BB"/>
    <w:rsid w:val="00246E0A"/>
    <w:rsid w:val="0024720B"/>
    <w:rsid w:val="0025302F"/>
    <w:rsid w:val="002543ED"/>
    <w:rsid w:val="0025452C"/>
    <w:rsid w:val="00254772"/>
    <w:rsid w:val="0025548F"/>
    <w:rsid w:val="002564E9"/>
    <w:rsid w:val="002611BA"/>
    <w:rsid w:val="002627FF"/>
    <w:rsid w:val="00262CA7"/>
    <w:rsid w:val="002634B4"/>
    <w:rsid w:val="00264683"/>
    <w:rsid w:val="00265E0F"/>
    <w:rsid w:val="00265EE3"/>
    <w:rsid w:val="0026742E"/>
    <w:rsid w:val="002677F3"/>
    <w:rsid w:val="00267852"/>
    <w:rsid w:val="00270BCD"/>
    <w:rsid w:val="0027401B"/>
    <w:rsid w:val="002753CB"/>
    <w:rsid w:val="00275848"/>
    <w:rsid w:val="00275E9F"/>
    <w:rsid w:val="00276DAD"/>
    <w:rsid w:val="00277220"/>
    <w:rsid w:val="00280271"/>
    <w:rsid w:val="00280F0E"/>
    <w:rsid w:val="002810E1"/>
    <w:rsid w:val="002812AA"/>
    <w:rsid w:val="0028357F"/>
    <w:rsid w:val="00283C64"/>
    <w:rsid w:val="002855CE"/>
    <w:rsid w:val="00285A53"/>
    <w:rsid w:val="00286A24"/>
    <w:rsid w:val="00291522"/>
    <w:rsid w:val="00291682"/>
    <w:rsid w:val="00293A7E"/>
    <w:rsid w:val="00293C92"/>
    <w:rsid w:val="0029599A"/>
    <w:rsid w:val="0029725B"/>
    <w:rsid w:val="00297532"/>
    <w:rsid w:val="002A0435"/>
    <w:rsid w:val="002A0FAF"/>
    <w:rsid w:val="002A0FF0"/>
    <w:rsid w:val="002A1316"/>
    <w:rsid w:val="002A167C"/>
    <w:rsid w:val="002A1FA0"/>
    <w:rsid w:val="002A32DD"/>
    <w:rsid w:val="002A433C"/>
    <w:rsid w:val="002A620F"/>
    <w:rsid w:val="002B0443"/>
    <w:rsid w:val="002B26AB"/>
    <w:rsid w:val="002B5B71"/>
    <w:rsid w:val="002C1161"/>
    <w:rsid w:val="002C1F4A"/>
    <w:rsid w:val="002C3C35"/>
    <w:rsid w:val="002C5AF1"/>
    <w:rsid w:val="002C7AE0"/>
    <w:rsid w:val="002D030A"/>
    <w:rsid w:val="002D0A9A"/>
    <w:rsid w:val="002D1461"/>
    <w:rsid w:val="002D238F"/>
    <w:rsid w:val="002D35F9"/>
    <w:rsid w:val="002D3F48"/>
    <w:rsid w:val="002D3FAE"/>
    <w:rsid w:val="002D4DF5"/>
    <w:rsid w:val="002D5BD1"/>
    <w:rsid w:val="002D70FE"/>
    <w:rsid w:val="002E0D3C"/>
    <w:rsid w:val="002E171E"/>
    <w:rsid w:val="002E2090"/>
    <w:rsid w:val="002E2788"/>
    <w:rsid w:val="002E3312"/>
    <w:rsid w:val="002E3362"/>
    <w:rsid w:val="002E3DB5"/>
    <w:rsid w:val="002E4D46"/>
    <w:rsid w:val="002E584D"/>
    <w:rsid w:val="002E6E18"/>
    <w:rsid w:val="002E7074"/>
    <w:rsid w:val="002F089E"/>
    <w:rsid w:val="002F0EFC"/>
    <w:rsid w:val="002F1BDA"/>
    <w:rsid w:val="002F2C64"/>
    <w:rsid w:val="002F2D6A"/>
    <w:rsid w:val="002F3662"/>
    <w:rsid w:val="002F5822"/>
    <w:rsid w:val="002F6266"/>
    <w:rsid w:val="002F62CE"/>
    <w:rsid w:val="002F6E33"/>
    <w:rsid w:val="002F70D0"/>
    <w:rsid w:val="002F7184"/>
    <w:rsid w:val="002F7845"/>
    <w:rsid w:val="002F78B8"/>
    <w:rsid w:val="0030142E"/>
    <w:rsid w:val="00302298"/>
    <w:rsid w:val="00303AF9"/>
    <w:rsid w:val="00303D94"/>
    <w:rsid w:val="00304D57"/>
    <w:rsid w:val="00304FE4"/>
    <w:rsid w:val="003055C6"/>
    <w:rsid w:val="00305BD3"/>
    <w:rsid w:val="00310536"/>
    <w:rsid w:val="0031235F"/>
    <w:rsid w:val="00312C17"/>
    <w:rsid w:val="00314562"/>
    <w:rsid w:val="00314CAB"/>
    <w:rsid w:val="0031678A"/>
    <w:rsid w:val="00316AA1"/>
    <w:rsid w:val="00316D8E"/>
    <w:rsid w:val="003179BB"/>
    <w:rsid w:val="00317E76"/>
    <w:rsid w:val="003209D2"/>
    <w:rsid w:val="00321676"/>
    <w:rsid w:val="00321D44"/>
    <w:rsid w:val="0032394F"/>
    <w:rsid w:val="00323B76"/>
    <w:rsid w:val="0032461D"/>
    <w:rsid w:val="00324A18"/>
    <w:rsid w:val="003251EE"/>
    <w:rsid w:val="0032525B"/>
    <w:rsid w:val="00325505"/>
    <w:rsid w:val="00325526"/>
    <w:rsid w:val="00325C8A"/>
    <w:rsid w:val="0033006A"/>
    <w:rsid w:val="00330AC0"/>
    <w:rsid w:val="00334944"/>
    <w:rsid w:val="00334A72"/>
    <w:rsid w:val="00334F4A"/>
    <w:rsid w:val="00340014"/>
    <w:rsid w:val="0034005C"/>
    <w:rsid w:val="0034039D"/>
    <w:rsid w:val="00342659"/>
    <w:rsid w:val="00342FC3"/>
    <w:rsid w:val="00342FC5"/>
    <w:rsid w:val="003439F3"/>
    <w:rsid w:val="00344242"/>
    <w:rsid w:val="00344839"/>
    <w:rsid w:val="00345225"/>
    <w:rsid w:val="003454DA"/>
    <w:rsid w:val="003459CE"/>
    <w:rsid w:val="00345D26"/>
    <w:rsid w:val="00346927"/>
    <w:rsid w:val="00346E15"/>
    <w:rsid w:val="003475CD"/>
    <w:rsid w:val="00352865"/>
    <w:rsid w:val="003529E6"/>
    <w:rsid w:val="00353D20"/>
    <w:rsid w:val="00356412"/>
    <w:rsid w:val="00356D9E"/>
    <w:rsid w:val="00360568"/>
    <w:rsid w:val="00360B9A"/>
    <w:rsid w:val="003612B7"/>
    <w:rsid w:val="00362829"/>
    <w:rsid w:val="00362AF5"/>
    <w:rsid w:val="00362B7C"/>
    <w:rsid w:val="00362E28"/>
    <w:rsid w:val="003635D7"/>
    <w:rsid w:val="00363824"/>
    <w:rsid w:val="003640D2"/>
    <w:rsid w:val="003644D0"/>
    <w:rsid w:val="003668CC"/>
    <w:rsid w:val="00367387"/>
    <w:rsid w:val="003675D1"/>
    <w:rsid w:val="00370200"/>
    <w:rsid w:val="00371376"/>
    <w:rsid w:val="0037166B"/>
    <w:rsid w:val="00372752"/>
    <w:rsid w:val="00374A9F"/>
    <w:rsid w:val="00374FB0"/>
    <w:rsid w:val="003759C0"/>
    <w:rsid w:val="00376D89"/>
    <w:rsid w:val="0038256F"/>
    <w:rsid w:val="00382A96"/>
    <w:rsid w:val="00382A9F"/>
    <w:rsid w:val="00383A35"/>
    <w:rsid w:val="00386532"/>
    <w:rsid w:val="00386547"/>
    <w:rsid w:val="003868D1"/>
    <w:rsid w:val="00387B47"/>
    <w:rsid w:val="003911FD"/>
    <w:rsid w:val="00391952"/>
    <w:rsid w:val="00391FB5"/>
    <w:rsid w:val="00392075"/>
    <w:rsid w:val="0039308C"/>
    <w:rsid w:val="003944A8"/>
    <w:rsid w:val="0039525D"/>
    <w:rsid w:val="003954B3"/>
    <w:rsid w:val="003957FB"/>
    <w:rsid w:val="00396294"/>
    <w:rsid w:val="00396539"/>
    <w:rsid w:val="00397304"/>
    <w:rsid w:val="00397BAC"/>
    <w:rsid w:val="00397BDE"/>
    <w:rsid w:val="00397DDB"/>
    <w:rsid w:val="003A0FB5"/>
    <w:rsid w:val="003A1DD2"/>
    <w:rsid w:val="003A1E5C"/>
    <w:rsid w:val="003A22CD"/>
    <w:rsid w:val="003A2C9F"/>
    <w:rsid w:val="003A339F"/>
    <w:rsid w:val="003A3E06"/>
    <w:rsid w:val="003A51E2"/>
    <w:rsid w:val="003A6DCE"/>
    <w:rsid w:val="003A6E5A"/>
    <w:rsid w:val="003A72EA"/>
    <w:rsid w:val="003A7AF8"/>
    <w:rsid w:val="003B081E"/>
    <w:rsid w:val="003B17F8"/>
    <w:rsid w:val="003B1839"/>
    <w:rsid w:val="003B2001"/>
    <w:rsid w:val="003B204B"/>
    <w:rsid w:val="003B273D"/>
    <w:rsid w:val="003B27D6"/>
    <w:rsid w:val="003B39A8"/>
    <w:rsid w:val="003B4E85"/>
    <w:rsid w:val="003B50CC"/>
    <w:rsid w:val="003B5494"/>
    <w:rsid w:val="003B60C4"/>
    <w:rsid w:val="003B669E"/>
    <w:rsid w:val="003B7025"/>
    <w:rsid w:val="003C0DED"/>
    <w:rsid w:val="003C188A"/>
    <w:rsid w:val="003C1B0F"/>
    <w:rsid w:val="003C20DC"/>
    <w:rsid w:val="003C2B52"/>
    <w:rsid w:val="003C415F"/>
    <w:rsid w:val="003C4C09"/>
    <w:rsid w:val="003C5287"/>
    <w:rsid w:val="003C5909"/>
    <w:rsid w:val="003C688B"/>
    <w:rsid w:val="003C6C6C"/>
    <w:rsid w:val="003C6EBC"/>
    <w:rsid w:val="003D3CF7"/>
    <w:rsid w:val="003D40BF"/>
    <w:rsid w:val="003D5F2E"/>
    <w:rsid w:val="003D7178"/>
    <w:rsid w:val="003E18CC"/>
    <w:rsid w:val="003E218B"/>
    <w:rsid w:val="003E3EEC"/>
    <w:rsid w:val="003E432D"/>
    <w:rsid w:val="003E497A"/>
    <w:rsid w:val="003E5B59"/>
    <w:rsid w:val="003E5CEB"/>
    <w:rsid w:val="003E6913"/>
    <w:rsid w:val="003E74CC"/>
    <w:rsid w:val="003F02E2"/>
    <w:rsid w:val="003F0590"/>
    <w:rsid w:val="003F1003"/>
    <w:rsid w:val="003F40BC"/>
    <w:rsid w:val="003F46CE"/>
    <w:rsid w:val="003F5CF0"/>
    <w:rsid w:val="003F5D4C"/>
    <w:rsid w:val="003F61BF"/>
    <w:rsid w:val="00400F6B"/>
    <w:rsid w:val="00401FFE"/>
    <w:rsid w:val="00402144"/>
    <w:rsid w:val="00403C4A"/>
    <w:rsid w:val="0040613B"/>
    <w:rsid w:val="00406A55"/>
    <w:rsid w:val="0040748F"/>
    <w:rsid w:val="00410AF7"/>
    <w:rsid w:val="004123B4"/>
    <w:rsid w:val="00413655"/>
    <w:rsid w:val="0041371C"/>
    <w:rsid w:val="00413CFF"/>
    <w:rsid w:val="0041406D"/>
    <w:rsid w:val="0041506F"/>
    <w:rsid w:val="004161F5"/>
    <w:rsid w:val="00416F33"/>
    <w:rsid w:val="00420869"/>
    <w:rsid w:val="00421236"/>
    <w:rsid w:val="004214D9"/>
    <w:rsid w:val="00422629"/>
    <w:rsid w:val="00422C78"/>
    <w:rsid w:val="0042398B"/>
    <w:rsid w:val="00423E09"/>
    <w:rsid w:val="00424BA0"/>
    <w:rsid w:val="00426FDD"/>
    <w:rsid w:val="00427570"/>
    <w:rsid w:val="00427C87"/>
    <w:rsid w:val="00431010"/>
    <w:rsid w:val="004312B1"/>
    <w:rsid w:val="004334C4"/>
    <w:rsid w:val="00433E2E"/>
    <w:rsid w:val="0043455F"/>
    <w:rsid w:val="00434CEC"/>
    <w:rsid w:val="00434EAC"/>
    <w:rsid w:val="004359B0"/>
    <w:rsid w:val="004363A5"/>
    <w:rsid w:val="004366CA"/>
    <w:rsid w:val="00437B86"/>
    <w:rsid w:val="00437CA4"/>
    <w:rsid w:val="00437CE9"/>
    <w:rsid w:val="00440A46"/>
    <w:rsid w:val="00440AB7"/>
    <w:rsid w:val="00440C06"/>
    <w:rsid w:val="0044130C"/>
    <w:rsid w:val="00442553"/>
    <w:rsid w:val="00443A37"/>
    <w:rsid w:val="004447F6"/>
    <w:rsid w:val="00445B9B"/>
    <w:rsid w:val="00446EB8"/>
    <w:rsid w:val="00447C27"/>
    <w:rsid w:val="00450E74"/>
    <w:rsid w:val="004510A6"/>
    <w:rsid w:val="0045130B"/>
    <w:rsid w:val="00451F4F"/>
    <w:rsid w:val="00452889"/>
    <w:rsid w:val="00452E83"/>
    <w:rsid w:val="00453812"/>
    <w:rsid w:val="00453DC7"/>
    <w:rsid w:val="00455416"/>
    <w:rsid w:val="0045786A"/>
    <w:rsid w:val="00457EF0"/>
    <w:rsid w:val="00460618"/>
    <w:rsid w:val="00460CB7"/>
    <w:rsid w:val="0046243F"/>
    <w:rsid w:val="00462613"/>
    <w:rsid w:val="00463D40"/>
    <w:rsid w:val="00464839"/>
    <w:rsid w:val="00467279"/>
    <w:rsid w:val="0046744B"/>
    <w:rsid w:val="00470B9B"/>
    <w:rsid w:val="00471625"/>
    <w:rsid w:val="00471DD8"/>
    <w:rsid w:val="004723C6"/>
    <w:rsid w:val="00474166"/>
    <w:rsid w:val="004778AD"/>
    <w:rsid w:val="00480348"/>
    <w:rsid w:val="00481BAD"/>
    <w:rsid w:val="00484AEB"/>
    <w:rsid w:val="00485969"/>
    <w:rsid w:val="00485F2C"/>
    <w:rsid w:val="0048687A"/>
    <w:rsid w:val="00487100"/>
    <w:rsid w:val="00487319"/>
    <w:rsid w:val="00487B1C"/>
    <w:rsid w:val="00487FA4"/>
    <w:rsid w:val="004905D3"/>
    <w:rsid w:val="004908A0"/>
    <w:rsid w:val="004917C4"/>
    <w:rsid w:val="00494142"/>
    <w:rsid w:val="004A4514"/>
    <w:rsid w:val="004A4735"/>
    <w:rsid w:val="004A4762"/>
    <w:rsid w:val="004A4850"/>
    <w:rsid w:val="004A79DA"/>
    <w:rsid w:val="004A7F29"/>
    <w:rsid w:val="004A7FB9"/>
    <w:rsid w:val="004B159C"/>
    <w:rsid w:val="004B1A02"/>
    <w:rsid w:val="004B2B25"/>
    <w:rsid w:val="004B2F84"/>
    <w:rsid w:val="004B3E99"/>
    <w:rsid w:val="004B50BE"/>
    <w:rsid w:val="004B6227"/>
    <w:rsid w:val="004B750B"/>
    <w:rsid w:val="004C08D7"/>
    <w:rsid w:val="004C11B1"/>
    <w:rsid w:val="004C196D"/>
    <w:rsid w:val="004C1AD1"/>
    <w:rsid w:val="004C3CD9"/>
    <w:rsid w:val="004C3F82"/>
    <w:rsid w:val="004C6AEE"/>
    <w:rsid w:val="004C7380"/>
    <w:rsid w:val="004D0ED4"/>
    <w:rsid w:val="004D16E1"/>
    <w:rsid w:val="004D405B"/>
    <w:rsid w:val="004D46AF"/>
    <w:rsid w:val="004D5FDE"/>
    <w:rsid w:val="004E093C"/>
    <w:rsid w:val="004E19DC"/>
    <w:rsid w:val="004E3015"/>
    <w:rsid w:val="004E330C"/>
    <w:rsid w:val="004E4E3A"/>
    <w:rsid w:val="004E512D"/>
    <w:rsid w:val="004F0014"/>
    <w:rsid w:val="004F008D"/>
    <w:rsid w:val="004F0843"/>
    <w:rsid w:val="004F14EF"/>
    <w:rsid w:val="004F1D8D"/>
    <w:rsid w:val="004F232E"/>
    <w:rsid w:val="004F2DBD"/>
    <w:rsid w:val="004F3A8E"/>
    <w:rsid w:val="004F3B67"/>
    <w:rsid w:val="004F5126"/>
    <w:rsid w:val="004F514D"/>
    <w:rsid w:val="00500052"/>
    <w:rsid w:val="0050131A"/>
    <w:rsid w:val="00502B92"/>
    <w:rsid w:val="005032FA"/>
    <w:rsid w:val="005035FA"/>
    <w:rsid w:val="00505294"/>
    <w:rsid w:val="005101BC"/>
    <w:rsid w:val="00510CA3"/>
    <w:rsid w:val="00511F83"/>
    <w:rsid w:val="00511FCD"/>
    <w:rsid w:val="00512D8D"/>
    <w:rsid w:val="00513058"/>
    <w:rsid w:val="00515AC4"/>
    <w:rsid w:val="00515C7B"/>
    <w:rsid w:val="0051619C"/>
    <w:rsid w:val="0052104D"/>
    <w:rsid w:val="0052155C"/>
    <w:rsid w:val="0052399A"/>
    <w:rsid w:val="005244C8"/>
    <w:rsid w:val="0052459D"/>
    <w:rsid w:val="0052503C"/>
    <w:rsid w:val="00525174"/>
    <w:rsid w:val="005253C3"/>
    <w:rsid w:val="00525C5A"/>
    <w:rsid w:val="00527159"/>
    <w:rsid w:val="005272AA"/>
    <w:rsid w:val="00530A72"/>
    <w:rsid w:val="00530C1B"/>
    <w:rsid w:val="00531280"/>
    <w:rsid w:val="00532698"/>
    <w:rsid w:val="005327A7"/>
    <w:rsid w:val="00532C74"/>
    <w:rsid w:val="005349F2"/>
    <w:rsid w:val="00534FB0"/>
    <w:rsid w:val="0053520B"/>
    <w:rsid w:val="005362F0"/>
    <w:rsid w:val="00536F29"/>
    <w:rsid w:val="0053751F"/>
    <w:rsid w:val="00537ACF"/>
    <w:rsid w:val="00540542"/>
    <w:rsid w:val="0054151F"/>
    <w:rsid w:val="00541BEA"/>
    <w:rsid w:val="005447CD"/>
    <w:rsid w:val="00545857"/>
    <w:rsid w:val="00545F04"/>
    <w:rsid w:val="00546B52"/>
    <w:rsid w:val="00547712"/>
    <w:rsid w:val="00547822"/>
    <w:rsid w:val="00547BE0"/>
    <w:rsid w:val="00550034"/>
    <w:rsid w:val="005501C5"/>
    <w:rsid w:val="00552AEA"/>
    <w:rsid w:val="00553BC7"/>
    <w:rsid w:val="005541A5"/>
    <w:rsid w:val="005544F0"/>
    <w:rsid w:val="00554786"/>
    <w:rsid w:val="0055525C"/>
    <w:rsid w:val="00555936"/>
    <w:rsid w:val="00555DC0"/>
    <w:rsid w:val="00560D31"/>
    <w:rsid w:val="00561A37"/>
    <w:rsid w:val="00563E91"/>
    <w:rsid w:val="00564FD9"/>
    <w:rsid w:val="00565F39"/>
    <w:rsid w:val="005667AE"/>
    <w:rsid w:val="00567875"/>
    <w:rsid w:val="00572A8E"/>
    <w:rsid w:val="005744CA"/>
    <w:rsid w:val="00574582"/>
    <w:rsid w:val="00575009"/>
    <w:rsid w:val="00575045"/>
    <w:rsid w:val="00575AA7"/>
    <w:rsid w:val="00575BB4"/>
    <w:rsid w:val="0057765E"/>
    <w:rsid w:val="005807B4"/>
    <w:rsid w:val="00580CFD"/>
    <w:rsid w:val="00582DEF"/>
    <w:rsid w:val="00582F7C"/>
    <w:rsid w:val="00584536"/>
    <w:rsid w:val="00584C61"/>
    <w:rsid w:val="00585A25"/>
    <w:rsid w:val="00585EA3"/>
    <w:rsid w:val="0058678E"/>
    <w:rsid w:val="00586D73"/>
    <w:rsid w:val="00590874"/>
    <w:rsid w:val="00590919"/>
    <w:rsid w:val="00590C72"/>
    <w:rsid w:val="00590DA9"/>
    <w:rsid w:val="0059191C"/>
    <w:rsid w:val="00593519"/>
    <w:rsid w:val="00593807"/>
    <w:rsid w:val="00593832"/>
    <w:rsid w:val="00594A99"/>
    <w:rsid w:val="00596281"/>
    <w:rsid w:val="0059647A"/>
    <w:rsid w:val="0059652A"/>
    <w:rsid w:val="00596A09"/>
    <w:rsid w:val="00596A89"/>
    <w:rsid w:val="005A1AB4"/>
    <w:rsid w:val="005A1E0D"/>
    <w:rsid w:val="005A2B57"/>
    <w:rsid w:val="005A30E1"/>
    <w:rsid w:val="005A3375"/>
    <w:rsid w:val="005A445B"/>
    <w:rsid w:val="005A61A0"/>
    <w:rsid w:val="005A646F"/>
    <w:rsid w:val="005A6836"/>
    <w:rsid w:val="005A71B6"/>
    <w:rsid w:val="005B4FB7"/>
    <w:rsid w:val="005B5488"/>
    <w:rsid w:val="005B57F1"/>
    <w:rsid w:val="005B739D"/>
    <w:rsid w:val="005B780B"/>
    <w:rsid w:val="005B7934"/>
    <w:rsid w:val="005B7A04"/>
    <w:rsid w:val="005B7E09"/>
    <w:rsid w:val="005C2D69"/>
    <w:rsid w:val="005C310C"/>
    <w:rsid w:val="005C315E"/>
    <w:rsid w:val="005C3265"/>
    <w:rsid w:val="005C44F1"/>
    <w:rsid w:val="005C5967"/>
    <w:rsid w:val="005C6276"/>
    <w:rsid w:val="005C628B"/>
    <w:rsid w:val="005C66AC"/>
    <w:rsid w:val="005C6F9E"/>
    <w:rsid w:val="005C7B5B"/>
    <w:rsid w:val="005D0E4E"/>
    <w:rsid w:val="005D3BFA"/>
    <w:rsid w:val="005D40C3"/>
    <w:rsid w:val="005D4363"/>
    <w:rsid w:val="005D52C2"/>
    <w:rsid w:val="005E0C82"/>
    <w:rsid w:val="005E0EFC"/>
    <w:rsid w:val="005E2F7B"/>
    <w:rsid w:val="005E3089"/>
    <w:rsid w:val="005E5339"/>
    <w:rsid w:val="005E74B3"/>
    <w:rsid w:val="005F0771"/>
    <w:rsid w:val="005F1982"/>
    <w:rsid w:val="005F1E0E"/>
    <w:rsid w:val="005F3224"/>
    <w:rsid w:val="005F39F2"/>
    <w:rsid w:val="005F4379"/>
    <w:rsid w:val="005F4BAE"/>
    <w:rsid w:val="005F4E17"/>
    <w:rsid w:val="005F62D8"/>
    <w:rsid w:val="005F6A4E"/>
    <w:rsid w:val="005F7064"/>
    <w:rsid w:val="005F7593"/>
    <w:rsid w:val="00600940"/>
    <w:rsid w:val="00602955"/>
    <w:rsid w:val="00603289"/>
    <w:rsid w:val="00603BC8"/>
    <w:rsid w:val="00605B4E"/>
    <w:rsid w:val="00606EBE"/>
    <w:rsid w:val="006072BF"/>
    <w:rsid w:val="006118F4"/>
    <w:rsid w:val="0061517D"/>
    <w:rsid w:val="006168CE"/>
    <w:rsid w:val="00616A13"/>
    <w:rsid w:val="00616BC3"/>
    <w:rsid w:val="00616F66"/>
    <w:rsid w:val="006217E1"/>
    <w:rsid w:val="00621983"/>
    <w:rsid w:val="00621A8E"/>
    <w:rsid w:val="0062348A"/>
    <w:rsid w:val="00623750"/>
    <w:rsid w:val="00623F57"/>
    <w:rsid w:val="00624CF9"/>
    <w:rsid w:val="00625DDB"/>
    <w:rsid w:val="00626AE0"/>
    <w:rsid w:val="006274B4"/>
    <w:rsid w:val="006301A3"/>
    <w:rsid w:val="0063024E"/>
    <w:rsid w:val="0063229E"/>
    <w:rsid w:val="00634A89"/>
    <w:rsid w:val="006351CE"/>
    <w:rsid w:val="00636368"/>
    <w:rsid w:val="00636A7D"/>
    <w:rsid w:val="00636F40"/>
    <w:rsid w:val="006370CF"/>
    <w:rsid w:val="006412D5"/>
    <w:rsid w:val="00642151"/>
    <w:rsid w:val="00642407"/>
    <w:rsid w:val="006424E0"/>
    <w:rsid w:val="00643DD2"/>
    <w:rsid w:val="00644F4A"/>
    <w:rsid w:val="00645A55"/>
    <w:rsid w:val="0064693A"/>
    <w:rsid w:val="00646B11"/>
    <w:rsid w:val="00647A49"/>
    <w:rsid w:val="00650F55"/>
    <w:rsid w:val="00651435"/>
    <w:rsid w:val="006517F7"/>
    <w:rsid w:val="00651EF3"/>
    <w:rsid w:val="00652275"/>
    <w:rsid w:val="00652896"/>
    <w:rsid w:val="006547BA"/>
    <w:rsid w:val="00656C82"/>
    <w:rsid w:val="00657462"/>
    <w:rsid w:val="006575B9"/>
    <w:rsid w:val="00660198"/>
    <w:rsid w:val="00660677"/>
    <w:rsid w:val="006610CC"/>
    <w:rsid w:val="006637B9"/>
    <w:rsid w:val="006643E3"/>
    <w:rsid w:val="00665D3A"/>
    <w:rsid w:val="006665E2"/>
    <w:rsid w:val="00670027"/>
    <w:rsid w:val="00670C1F"/>
    <w:rsid w:val="00671343"/>
    <w:rsid w:val="00671BDD"/>
    <w:rsid w:val="00673D78"/>
    <w:rsid w:val="00673DC9"/>
    <w:rsid w:val="00673DF0"/>
    <w:rsid w:val="00673E63"/>
    <w:rsid w:val="00674D69"/>
    <w:rsid w:val="00675A37"/>
    <w:rsid w:val="00675C12"/>
    <w:rsid w:val="0067660B"/>
    <w:rsid w:val="00676685"/>
    <w:rsid w:val="0067694A"/>
    <w:rsid w:val="006803E1"/>
    <w:rsid w:val="00681B61"/>
    <w:rsid w:val="00685A0D"/>
    <w:rsid w:val="00686E85"/>
    <w:rsid w:val="00690244"/>
    <w:rsid w:val="006911A0"/>
    <w:rsid w:val="0069269F"/>
    <w:rsid w:val="0069561C"/>
    <w:rsid w:val="0069631C"/>
    <w:rsid w:val="006965F7"/>
    <w:rsid w:val="00696C9C"/>
    <w:rsid w:val="00697307"/>
    <w:rsid w:val="006A022A"/>
    <w:rsid w:val="006A0425"/>
    <w:rsid w:val="006A1825"/>
    <w:rsid w:val="006A4693"/>
    <w:rsid w:val="006A6017"/>
    <w:rsid w:val="006A63D5"/>
    <w:rsid w:val="006A6650"/>
    <w:rsid w:val="006A6EF0"/>
    <w:rsid w:val="006A6F7B"/>
    <w:rsid w:val="006A7B22"/>
    <w:rsid w:val="006A7E75"/>
    <w:rsid w:val="006B05EE"/>
    <w:rsid w:val="006B2859"/>
    <w:rsid w:val="006B2FE5"/>
    <w:rsid w:val="006B482B"/>
    <w:rsid w:val="006B49DA"/>
    <w:rsid w:val="006B50C9"/>
    <w:rsid w:val="006B5130"/>
    <w:rsid w:val="006B591F"/>
    <w:rsid w:val="006B7810"/>
    <w:rsid w:val="006B7A9B"/>
    <w:rsid w:val="006B7CFB"/>
    <w:rsid w:val="006C09FF"/>
    <w:rsid w:val="006C15BF"/>
    <w:rsid w:val="006C268E"/>
    <w:rsid w:val="006C28D2"/>
    <w:rsid w:val="006C28EB"/>
    <w:rsid w:val="006C28FC"/>
    <w:rsid w:val="006C3828"/>
    <w:rsid w:val="006C3895"/>
    <w:rsid w:val="006C408F"/>
    <w:rsid w:val="006C457D"/>
    <w:rsid w:val="006C5C89"/>
    <w:rsid w:val="006C6F68"/>
    <w:rsid w:val="006C7D79"/>
    <w:rsid w:val="006D15B6"/>
    <w:rsid w:val="006D1654"/>
    <w:rsid w:val="006D278E"/>
    <w:rsid w:val="006D437E"/>
    <w:rsid w:val="006D45D8"/>
    <w:rsid w:val="006D5939"/>
    <w:rsid w:val="006D5E25"/>
    <w:rsid w:val="006D6211"/>
    <w:rsid w:val="006D651E"/>
    <w:rsid w:val="006D65B0"/>
    <w:rsid w:val="006D76B5"/>
    <w:rsid w:val="006D7A58"/>
    <w:rsid w:val="006E02F4"/>
    <w:rsid w:val="006E058B"/>
    <w:rsid w:val="006E0892"/>
    <w:rsid w:val="006E1613"/>
    <w:rsid w:val="006E336A"/>
    <w:rsid w:val="006E4094"/>
    <w:rsid w:val="006E4133"/>
    <w:rsid w:val="006E416F"/>
    <w:rsid w:val="006E427D"/>
    <w:rsid w:val="006E49C1"/>
    <w:rsid w:val="006F0146"/>
    <w:rsid w:val="006F10EC"/>
    <w:rsid w:val="006F16AE"/>
    <w:rsid w:val="006F181D"/>
    <w:rsid w:val="006F1C7F"/>
    <w:rsid w:val="006F3A4C"/>
    <w:rsid w:val="006F4028"/>
    <w:rsid w:val="006F4D71"/>
    <w:rsid w:val="006F547C"/>
    <w:rsid w:val="006F7142"/>
    <w:rsid w:val="006F71CB"/>
    <w:rsid w:val="006F7328"/>
    <w:rsid w:val="006F7669"/>
    <w:rsid w:val="0070418B"/>
    <w:rsid w:val="00704F1F"/>
    <w:rsid w:val="00705526"/>
    <w:rsid w:val="00705CAE"/>
    <w:rsid w:val="00705E42"/>
    <w:rsid w:val="00706DE8"/>
    <w:rsid w:val="00711E99"/>
    <w:rsid w:val="0071238E"/>
    <w:rsid w:val="00713E15"/>
    <w:rsid w:val="007157E9"/>
    <w:rsid w:val="007158DA"/>
    <w:rsid w:val="0071693D"/>
    <w:rsid w:val="007174DE"/>
    <w:rsid w:val="0071760C"/>
    <w:rsid w:val="00717F1F"/>
    <w:rsid w:val="007212AF"/>
    <w:rsid w:val="00721953"/>
    <w:rsid w:val="00721E7A"/>
    <w:rsid w:val="00722370"/>
    <w:rsid w:val="00723090"/>
    <w:rsid w:val="00723745"/>
    <w:rsid w:val="00724F99"/>
    <w:rsid w:val="00726F8F"/>
    <w:rsid w:val="00727A64"/>
    <w:rsid w:val="007301AA"/>
    <w:rsid w:val="0073086B"/>
    <w:rsid w:val="00730BF5"/>
    <w:rsid w:val="00731444"/>
    <w:rsid w:val="007326D0"/>
    <w:rsid w:val="0073365C"/>
    <w:rsid w:val="00733A1A"/>
    <w:rsid w:val="0073407E"/>
    <w:rsid w:val="00734755"/>
    <w:rsid w:val="00734BAE"/>
    <w:rsid w:val="0073663D"/>
    <w:rsid w:val="00736A84"/>
    <w:rsid w:val="00737FB4"/>
    <w:rsid w:val="00740407"/>
    <w:rsid w:val="0074125B"/>
    <w:rsid w:val="00741613"/>
    <w:rsid w:val="0074226F"/>
    <w:rsid w:val="00742304"/>
    <w:rsid w:val="0074262F"/>
    <w:rsid w:val="007433DE"/>
    <w:rsid w:val="00744A7C"/>
    <w:rsid w:val="00745746"/>
    <w:rsid w:val="00745903"/>
    <w:rsid w:val="00746B1B"/>
    <w:rsid w:val="0075069F"/>
    <w:rsid w:val="00751906"/>
    <w:rsid w:val="00751C9B"/>
    <w:rsid w:val="00752471"/>
    <w:rsid w:val="00752A3B"/>
    <w:rsid w:val="00754BFF"/>
    <w:rsid w:val="00754CF5"/>
    <w:rsid w:val="0075590C"/>
    <w:rsid w:val="00757A98"/>
    <w:rsid w:val="00757DDB"/>
    <w:rsid w:val="00757F54"/>
    <w:rsid w:val="007625D6"/>
    <w:rsid w:val="00764117"/>
    <w:rsid w:val="007644FF"/>
    <w:rsid w:val="00764ACD"/>
    <w:rsid w:val="00767033"/>
    <w:rsid w:val="0077064A"/>
    <w:rsid w:val="00770DCC"/>
    <w:rsid w:val="00771C55"/>
    <w:rsid w:val="00771F8B"/>
    <w:rsid w:val="00772475"/>
    <w:rsid w:val="00772B43"/>
    <w:rsid w:val="0077453B"/>
    <w:rsid w:val="00774A5B"/>
    <w:rsid w:val="00776DF2"/>
    <w:rsid w:val="00777365"/>
    <w:rsid w:val="00777423"/>
    <w:rsid w:val="007813BD"/>
    <w:rsid w:val="007813C9"/>
    <w:rsid w:val="007815CF"/>
    <w:rsid w:val="0078188A"/>
    <w:rsid w:val="00781CDE"/>
    <w:rsid w:val="00782041"/>
    <w:rsid w:val="00782F30"/>
    <w:rsid w:val="007835BC"/>
    <w:rsid w:val="007838FE"/>
    <w:rsid w:val="00787D3E"/>
    <w:rsid w:val="0079067D"/>
    <w:rsid w:val="0079070B"/>
    <w:rsid w:val="0079145B"/>
    <w:rsid w:val="007922A1"/>
    <w:rsid w:val="007928D3"/>
    <w:rsid w:val="007954BB"/>
    <w:rsid w:val="00795912"/>
    <w:rsid w:val="0079649E"/>
    <w:rsid w:val="007971CD"/>
    <w:rsid w:val="007A0E73"/>
    <w:rsid w:val="007A1D72"/>
    <w:rsid w:val="007A1F1D"/>
    <w:rsid w:val="007A281A"/>
    <w:rsid w:val="007A2BD4"/>
    <w:rsid w:val="007A30B7"/>
    <w:rsid w:val="007A492A"/>
    <w:rsid w:val="007A4DC9"/>
    <w:rsid w:val="007A5098"/>
    <w:rsid w:val="007A5CF4"/>
    <w:rsid w:val="007A64B7"/>
    <w:rsid w:val="007A6CC1"/>
    <w:rsid w:val="007A7B2B"/>
    <w:rsid w:val="007A7CC5"/>
    <w:rsid w:val="007B0678"/>
    <w:rsid w:val="007B2445"/>
    <w:rsid w:val="007B4C92"/>
    <w:rsid w:val="007B4FA8"/>
    <w:rsid w:val="007B58F8"/>
    <w:rsid w:val="007B5F9E"/>
    <w:rsid w:val="007B72F8"/>
    <w:rsid w:val="007B7566"/>
    <w:rsid w:val="007B7F91"/>
    <w:rsid w:val="007C171E"/>
    <w:rsid w:val="007C40F2"/>
    <w:rsid w:val="007C434F"/>
    <w:rsid w:val="007C458C"/>
    <w:rsid w:val="007C7DC4"/>
    <w:rsid w:val="007D0832"/>
    <w:rsid w:val="007D1C77"/>
    <w:rsid w:val="007D3441"/>
    <w:rsid w:val="007D357D"/>
    <w:rsid w:val="007D453E"/>
    <w:rsid w:val="007D4994"/>
    <w:rsid w:val="007D4A30"/>
    <w:rsid w:val="007D603E"/>
    <w:rsid w:val="007D6C7F"/>
    <w:rsid w:val="007E08F2"/>
    <w:rsid w:val="007E0BFC"/>
    <w:rsid w:val="007E1F2E"/>
    <w:rsid w:val="007E1F8D"/>
    <w:rsid w:val="007E3698"/>
    <w:rsid w:val="007E4847"/>
    <w:rsid w:val="007E557A"/>
    <w:rsid w:val="007E5C2E"/>
    <w:rsid w:val="007E6301"/>
    <w:rsid w:val="007E7ECF"/>
    <w:rsid w:val="007F0785"/>
    <w:rsid w:val="007F3065"/>
    <w:rsid w:val="007F3CFD"/>
    <w:rsid w:val="007F47C5"/>
    <w:rsid w:val="007F4A7A"/>
    <w:rsid w:val="007F690E"/>
    <w:rsid w:val="00801D70"/>
    <w:rsid w:val="008021B4"/>
    <w:rsid w:val="008049B6"/>
    <w:rsid w:val="00805D03"/>
    <w:rsid w:val="008065BB"/>
    <w:rsid w:val="0080669F"/>
    <w:rsid w:val="00806F1C"/>
    <w:rsid w:val="00807C24"/>
    <w:rsid w:val="00807C28"/>
    <w:rsid w:val="00810094"/>
    <w:rsid w:val="00811015"/>
    <w:rsid w:val="00811D08"/>
    <w:rsid w:val="00812C6B"/>
    <w:rsid w:val="0081374F"/>
    <w:rsid w:val="00813A19"/>
    <w:rsid w:val="00814B53"/>
    <w:rsid w:val="008151FD"/>
    <w:rsid w:val="008168CC"/>
    <w:rsid w:val="008175EC"/>
    <w:rsid w:val="008203A5"/>
    <w:rsid w:val="0082236A"/>
    <w:rsid w:val="00822910"/>
    <w:rsid w:val="00822C8D"/>
    <w:rsid w:val="00822FC5"/>
    <w:rsid w:val="00823349"/>
    <w:rsid w:val="008236CB"/>
    <w:rsid w:val="00823E7D"/>
    <w:rsid w:val="008244CD"/>
    <w:rsid w:val="0082591B"/>
    <w:rsid w:val="00825966"/>
    <w:rsid w:val="0083212A"/>
    <w:rsid w:val="00832918"/>
    <w:rsid w:val="00832A81"/>
    <w:rsid w:val="00833557"/>
    <w:rsid w:val="008338E8"/>
    <w:rsid w:val="0083429D"/>
    <w:rsid w:val="00834AD9"/>
    <w:rsid w:val="00837FC9"/>
    <w:rsid w:val="0084108D"/>
    <w:rsid w:val="00841B8F"/>
    <w:rsid w:val="00841E76"/>
    <w:rsid w:val="0084345C"/>
    <w:rsid w:val="0084419F"/>
    <w:rsid w:val="00844809"/>
    <w:rsid w:val="008466E9"/>
    <w:rsid w:val="00846A96"/>
    <w:rsid w:val="00850C58"/>
    <w:rsid w:val="00852F11"/>
    <w:rsid w:val="0085352B"/>
    <w:rsid w:val="008536DB"/>
    <w:rsid w:val="00853E5F"/>
    <w:rsid w:val="00855976"/>
    <w:rsid w:val="0085610B"/>
    <w:rsid w:val="008602B1"/>
    <w:rsid w:val="00860AC5"/>
    <w:rsid w:val="0086145D"/>
    <w:rsid w:val="0086263D"/>
    <w:rsid w:val="008626FA"/>
    <w:rsid w:val="008628BA"/>
    <w:rsid w:val="0086634B"/>
    <w:rsid w:val="00867160"/>
    <w:rsid w:val="008676FE"/>
    <w:rsid w:val="00867FB8"/>
    <w:rsid w:val="008704CD"/>
    <w:rsid w:val="00871519"/>
    <w:rsid w:val="00871C5F"/>
    <w:rsid w:val="008740AE"/>
    <w:rsid w:val="0087781F"/>
    <w:rsid w:val="008805A4"/>
    <w:rsid w:val="00880DE4"/>
    <w:rsid w:val="00881045"/>
    <w:rsid w:val="008824F4"/>
    <w:rsid w:val="0088258A"/>
    <w:rsid w:val="008828C9"/>
    <w:rsid w:val="00883548"/>
    <w:rsid w:val="00884C03"/>
    <w:rsid w:val="008864F5"/>
    <w:rsid w:val="00887D14"/>
    <w:rsid w:val="008905AC"/>
    <w:rsid w:val="00891D9C"/>
    <w:rsid w:val="00891E8F"/>
    <w:rsid w:val="00892FCC"/>
    <w:rsid w:val="0089391D"/>
    <w:rsid w:val="008939C0"/>
    <w:rsid w:val="00894385"/>
    <w:rsid w:val="00895D38"/>
    <w:rsid w:val="008963BE"/>
    <w:rsid w:val="00896615"/>
    <w:rsid w:val="008970C9"/>
    <w:rsid w:val="00897112"/>
    <w:rsid w:val="008A012C"/>
    <w:rsid w:val="008A096D"/>
    <w:rsid w:val="008A1511"/>
    <w:rsid w:val="008A1535"/>
    <w:rsid w:val="008A15CA"/>
    <w:rsid w:val="008A5792"/>
    <w:rsid w:val="008A5A2F"/>
    <w:rsid w:val="008A5E64"/>
    <w:rsid w:val="008A5EBA"/>
    <w:rsid w:val="008A63DA"/>
    <w:rsid w:val="008A647D"/>
    <w:rsid w:val="008A6B23"/>
    <w:rsid w:val="008A7248"/>
    <w:rsid w:val="008A76A6"/>
    <w:rsid w:val="008A78E9"/>
    <w:rsid w:val="008B37C8"/>
    <w:rsid w:val="008B43A9"/>
    <w:rsid w:val="008B4BCF"/>
    <w:rsid w:val="008B4E21"/>
    <w:rsid w:val="008B58DB"/>
    <w:rsid w:val="008B61DE"/>
    <w:rsid w:val="008B6DFF"/>
    <w:rsid w:val="008B7299"/>
    <w:rsid w:val="008C0F88"/>
    <w:rsid w:val="008C10D3"/>
    <w:rsid w:val="008C1655"/>
    <w:rsid w:val="008C1C0E"/>
    <w:rsid w:val="008C4BEB"/>
    <w:rsid w:val="008C7F72"/>
    <w:rsid w:val="008D0200"/>
    <w:rsid w:val="008D0613"/>
    <w:rsid w:val="008D17B9"/>
    <w:rsid w:val="008D32FB"/>
    <w:rsid w:val="008D3A04"/>
    <w:rsid w:val="008D40DC"/>
    <w:rsid w:val="008D5C12"/>
    <w:rsid w:val="008E068B"/>
    <w:rsid w:val="008E0D93"/>
    <w:rsid w:val="008E0E0D"/>
    <w:rsid w:val="008E0FF6"/>
    <w:rsid w:val="008E12AB"/>
    <w:rsid w:val="008E1B24"/>
    <w:rsid w:val="008E2BEC"/>
    <w:rsid w:val="008E7411"/>
    <w:rsid w:val="008E7BDB"/>
    <w:rsid w:val="008F01A5"/>
    <w:rsid w:val="008F0306"/>
    <w:rsid w:val="008F3195"/>
    <w:rsid w:val="008F52EA"/>
    <w:rsid w:val="008F5303"/>
    <w:rsid w:val="009004E8"/>
    <w:rsid w:val="00901760"/>
    <w:rsid w:val="0090232E"/>
    <w:rsid w:val="00903377"/>
    <w:rsid w:val="009038B7"/>
    <w:rsid w:val="009039C3"/>
    <w:rsid w:val="00904787"/>
    <w:rsid w:val="00904CFA"/>
    <w:rsid w:val="00906B35"/>
    <w:rsid w:val="009101FD"/>
    <w:rsid w:val="00911277"/>
    <w:rsid w:val="00915440"/>
    <w:rsid w:val="00915E96"/>
    <w:rsid w:val="00921F6C"/>
    <w:rsid w:val="00922C04"/>
    <w:rsid w:val="00924FAF"/>
    <w:rsid w:val="00926353"/>
    <w:rsid w:val="00926E4D"/>
    <w:rsid w:val="00926F22"/>
    <w:rsid w:val="00927D09"/>
    <w:rsid w:val="009308D2"/>
    <w:rsid w:val="00930BA2"/>
    <w:rsid w:val="0093155C"/>
    <w:rsid w:val="009318A2"/>
    <w:rsid w:val="009326B2"/>
    <w:rsid w:val="0093377B"/>
    <w:rsid w:val="00933BBA"/>
    <w:rsid w:val="00934B60"/>
    <w:rsid w:val="00935F54"/>
    <w:rsid w:val="0093609C"/>
    <w:rsid w:val="0093614A"/>
    <w:rsid w:val="00936A65"/>
    <w:rsid w:val="009409C6"/>
    <w:rsid w:val="00940FF8"/>
    <w:rsid w:val="00942D02"/>
    <w:rsid w:val="0094591B"/>
    <w:rsid w:val="00946FE3"/>
    <w:rsid w:val="00947C30"/>
    <w:rsid w:val="00947FA6"/>
    <w:rsid w:val="00950EDE"/>
    <w:rsid w:val="00951D7C"/>
    <w:rsid w:val="00952231"/>
    <w:rsid w:val="009523C1"/>
    <w:rsid w:val="00952663"/>
    <w:rsid w:val="00952C4F"/>
    <w:rsid w:val="00952C89"/>
    <w:rsid w:val="0095303D"/>
    <w:rsid w:val="00953929"/>
    <w:rsid w:val="009545B3"/>
    <w:rsid w:val="009547EF"/>
    <w:rsid w:val="0095483F"/>
    <w:rsid w:val="00954A05"/>
    <w:rsid w:val="009552E6"/>
    <w:rsid w:val="00957D4A"/>
    <w:rsid w:val="009605CB"/>
    <w:rsid w:val="00960820"/>
    <w:rsid w:val="00960CB7"/>
    <w:rsid w:val="009619B9"/>
    <w:rsid w:val="009642F8"/>
    <w:rsid w:val="009644D0"/>
    <w:rsid w:val="00966324"/>
    <w:rsid w:val="00966821"/>
    <w:rsid w:val="00966EAB"/>
    <w:rsid w:val="00967037"/>
    <w:rsid w:val="00970464"/>
    <w:rsid w:val="009708E3"/>
    <w:rsid w:val="00972674"/>
    <w:rsid w:val="00973D85"/>
    <w:rsid w:val="009746B6"/>
    <w:rsid w:val="009768FE"/>
    <w:rsid w:val="0097735B"/>
    <w:rsid w:val="00977BBE"/>
    <w:rsid w:val="00977EBC"/>
    <w:rsid w:val="00980188"/>
    <w:rsid w:val="009809B1"/>
    <w:rsid w:val="00980CDB"/>
    <w:rsid w:val="009834E9"/>
    <w:rsid w:val="00984048"/>
    <w:rsid w:val="0098585C"/>
    <w:rsid w:val="00985AE5"/>
    <w:rsid w:val="00985EFD"/>
    <w:rsid w:val="009873F4"/>
    <w:rsid w:val="009877E6"/>
    <w:rsid w:val="00987FC2"/>
    <w:rsid w:val="00991C79"/>
    <w:rsid w:val="00993864"/>
    <w:rsid w:val="00993F56"/>
    <w:rsid w:val="00994109"/>
    <w:rsid w:val="00994AD6"/>
    <w:rsid w:val="0099538A"/>
    <w:rsid w:val="009960A6"/>
    <w:rsid w:val="009960A7"/>
    <w:rsid w:val="00996898"/>
    <w:rsid w:val="009970D3"/>
    <w:rsid w:val="00997DCA"/>
    <w:rsid w:val="00997DEC"/>
    <w:rsid w:val="009A0008"/>
    <w:rsid w:val="009A02CF"/>
    <w:rsid w:val="009A0544"/>
    <w:rsid w:val="009A07CB"/>
    <w:rsid w:val="009A31DE"/>
    <w:rsid w:val="009A3BD9"/>
    <w:rsid w:val="009A4F01"/>
    <w:rsid w:val="009A60C1"/>
    <w:rsid w:val="009A6D93"/>
    <w:rsid w:val="009A7760"/>
    <w:rsid w:val="009B0352"/>
    <w:rsid w:val="009B04BB"/>
    <w:rsid w:val="009B053C"/>
    <w:rsid w:val="009B05E1"/>
    <w:rsid w:val="009B14B1"/>
    <w:rsid w:val="009B1E62"/>
    <w:rsid w:val="009B2B29"/>
    <w:rsid w:val="009B5868"/>
    <w:rsid w:val="009B5BC3"/>
    <w:rsid w:val="009B5F63"/>
    <w:rsid w:val="009C03F6"/>
    <w:rsid w:val="009C3315"/>
    <w:rsid w:val="009D15CE"/>
    <w:rsid w:val="009D2260"/>
    <w:rsid w:val="009D26AC"/>
    <w:rsid w:val="009D2EF5"/>
    <w:rsid w:val="009D4DCC"/>
    <w:rsid w:val="009D54AD"/>
    <w:rsid w:val="009D5F4C"/>
    <w:rsid w:val="009D7102"/>
    <w:rsid w:val="009D7160"/>
    <w:rsid w:val="009E05EA"/>
    <w:rsid w:val="009E0F2E"/>
    <w:rsid w:val="009E3DC6"/>
    <w:rsid w:val="009E4A39"/>
    <w:rsid w:val="009E71D7"/>
    <w:rsid w:val="009E7E4C"/>
    <w:rsid w:val="009F04DC"/>
    <w:rsid w:val="009F1BA4"/>
    <w:rsid w:val="009F1FDA"/>
    <w:rsid w:val="009F2E4F"/>
    <w:rsid w:val="009F394A"/>
    <w:rsid w:val="009F3F0B"/>
    <w:rsid w:val="009F4469"/>
    <w:rsid w:val="009F5519"/>
    <w:rsid w:val="009F613F"/>
    <w:rsid w:val="009F79E6"/>
    <w:rsid w:val="00A00420"/>
    <w:rsid w:val="00A02049"/>
    <w:rsid w:val="00A033C9"/>
    <w:rsid w:val="00A04316"/>
    <w:rsid w:val="00A044DB"/>
    <w:rsid w:val="00A04535"/>
    <w:rsid w:val="00A0582F"/>
    <w:rsid w:val="00A058F9"/>
    <w:rsid w:val="00A0663B"/>
    <w:rsid w:val="00A067C0"/>
    <w:rsid w:val="00A06BF3"/>
    <w:rsid w:val="00A07AAD"/>
    <w:rsid w:val="00A11C09"/>
    <w:rsid w:val="00A122D2"/>
    <w:rsid w:val="00A12A59"/>
    <w:rsid w:val="00A12C37"/>
    <w:rsid w:val="00A131FB"/>
    <w:rsid w:val="00A1356C"/>
    <w:rsid w:val="00A1359D"/>
    <w:rsid w:val="00A1361A"/>
    <w:rsid w:val="00A15118"/>
    <w:rsid w:val="00A1526C"/>
    <w:rsid w:val="00A200FE"/>
    <w:rsid w:val="00A2118C"/>
    <w:rsid w:val="00A218B6"/>
    <w:rsid w:val="00A23F63"/>
    <w:rsid w:val="00A23FE6"/>
    <w:rsid w:val="00A24390"/>
    <w:rsid w:val="00A26C18"/>
    <w:rsid w:val="00A3101B"/>
    <w:rsid w:val="00A3186D"/>
    <w:rsid w:val="00A32E15"/>
    <w:rsid w:val="00A33DBA"/>
    <w:rsid w:val="00A3572E"/>
    <w:rsid w:val="00A377B2"/>
    <w:rsid w:val="00A40212"/>
    <w:rsid w:val="00A40522"/>
    <w:rsid w:val="00A4271D"/>
    <w:rsid w:val="00A42743"/>
    <w:rsid w:val="00A42BBE"/>
    <w:rsid w:val="00A43746"/>
    <w:rsid w:val="00A4376A"/>
    <w:rsid w:val="00A44A6C"/>
    <w:rsid w:val="00A44FAA"/>
    <w:rsid w:val="00A45C03"/>
    <w:rsid w:val="00A471AC"/>
    <w:rsid w:val="00A47A92"/>
    <w:rsid w:val="00A51575"/>
    <w:rsid w:val="00A51A15"/>
    <w:rsid w:val="00A52B69"/>
    <w:rsid w:val="00A53401"/>
    <w:rsid w:val="00A53C26"/>
    <w:rsid w:val="00A54205"/>
    <w:rsid w:val="00A54E8B"/>
    <w:rsid w:val="00A55864"/>
    <w:rsid w:val="00A60201"/>
    <w:rsid w:val="00A60851"/>
    <w:rsid w:val="00A61C46"/>
    <w:rsid w:val="00A62465"/>
    <w:rsid w:val="00A63822"/>
    <w:rsid w:val="00A65164"/>
    <w:rsid w:val="00A655FC"/>
    <w:rsid w:val="00A65DD8"/>
    <w:rsid w:val="00A66CAF"/>
    <w:rsid w:val="00A7034B"/>
    <w:rsid w:val="00A7117F"/>
    <w:rsid w:val="00A71837"/>
    <w:rsid w:val="00A763B2"/>
    <w:rsid w:val="00A764D5"/>
    <w:rsid w:val="00A77649"/>
    <w:rsid w:val="00A779F5"/>
    <w:rsid w:val="00A80C5B"/>
    <w:rsid w:val="00A81B69"/>
    <w:rsid w:val="00A82965"/>
    <w:rsid w:val="00A8340A"/>
    <w:rsid w:val="00A83D57"/>
    <w:rsid w:val="00A8447B"/>
    <w:rsid w:val="00A85DAC"/>
    <w:rsid w:val="00A8601C"/>
    <w:rsid w:val="00A8795D"/>
    <w:rsid w:val="00A87B55"/>
    <w:rsid w:val="00A90234"/>
    <w:rsid w:val="00A90D50"/>
    <w:rsid w:val="00A90DDD"/>
    <w:rsid w:val="00A910AC"/>
    <w:rsid w:val="00A91DC8"/>
    <w:rsid w:val="00A9208E"/>
    <w:rsid w:val="00A931AD"/>
    <w:rsid w:val="00A93713"/>
    <w:rsid w:val="00A938A8"/>
    <w:rsid w:val="00A93AF7"/>
    <w:rsid w:val="00A94CF5"/>
    <w:rsid w:val="00A95792"/>
    <w:rsid w:val="00A96090"/>
    <w:rsid w:val="00A96332"/>
    <w:rsid w:val="00AA15B2"/>
    <w:rsid w:val="00AA21E5"/>
    <w:rsid w:val="00AA2920"/>
    <w:rsid w:val="00AA31AC"/>
    <w:rsid w:val="00AA3BE7"/>
    <w:rsid w:val="00AA4676"/>
    <w:rsid w:val="00AA478B"/>
    <w:rsid w:val="00AA4B8D"/>
    <w:rsid w:val="00AA4E65"/>
    <w:rsid w:val="00AA5C3C"/>
    <w:rsid w:val="00AA67F7"/>
    <w:rsid w:val="00AA6CF1"/>
    <w:rsid w:val="00AA6EEC"/>
    <w:rsid w:val="00AB0271"/>
    <w:rsid w:val="00AB0324"/>
    <w:rsid w:val="00AB06B4"/>
    <w:rsid w:val="00AB102C"/>
    <w:rsid w:val="00AB2BE5"/>
    <w:rsid w:val="00AB3198"/>
    <w:rsid w:val="00AB3C42"/>
    <w:rsid w:val="00AB4E30"/>
    <w:rsid w:val="00AB5EB4"/>
    <w:rsid w:val="00AB6177"/>
    <w:rsid w:val="00AB65B3"/>
    <w:rsid w:val="00AB6F33"/>
    <w:rsid w:val="00AC077D"/>
    <w:rsid w:val="00AC1070"/>
    <w:rsid w:val="00AC35F4"/>
    <w:rsid w:val="00AC4083"/>
    <w:rsid w:val="00AC4616"/>
    <w:rsid w:val="00AC52C8"/>
    <w:rsid w:val="00AC55F4"/>
    <w:rsid w:val="00AC63B0"/>
    <w:rsid w:val="00AC6E48"/>
    <w:rsid w:val="00AC71AC"/>
    <w:rsid w:val="00AC7311"/>
    <w:rsid w:val="00AC7725"/>
    <w:rsid w:val="00AC7CBF"/>
    <w:rsid w:val="00AD02F6"/>
    <w:rsid w:val="00AD0534"/>
    <w:rsid w:val="00AD0796"/>
    <w:rsid w:val="00AD1BEA"/>
    <w:rsid w:val="00AD2A2A"/>
    <w:rsid w:val="00AD35BD"/>
    <w:rsid w:val="00AD38F3"/>
    <w:rsid w:val="00AD6108"/>
    <w:rsid w:val="00AD6327"/>
    <w:rsid w:val="00AD6B15"/>
    <w:rsid w:val="00AD6EB7"/>
    <w:rsid w:val="00AD78CB"/>
    <w:rsid w:val="00AD7B7C"/>
    <w:rsid w:val="00AE1B24"/>
    <w:rsid w:val="00AE1C4D"/>
    <w:rsid w:val="00AE1D0B"/>
    <w:rsid w:val="00AE1FF8"/>
    <w:rsid w:val="00AE36E5"/>
    <w:rsid w:val="00AE39BA"/>
    <w:rsid w:val="00AE42BA"/>
    <w:rsid w:val="00AE561A"/>
    <w:rsid w:val="00AE6C26"/>
    <w:rsid w:val="00AE730D"/>
    <w:rsid w:val="00AE7330"/>
    <w:rsid w:val="00AE77DD"/>
    <w:rsid w:val="00AF18D8"/>
    <w:rsid w:val="00AF1DF6"/>
    <w:rsid w:val="00AF2747"/>
    <w:rsid w:val="00AF4743"/>
    <w:rsid w:val="00AF49A2"/>
    <w:rsid w:val="00AF5021"/>
    <w:rsid w:val="00AF50E3"/>
    <w:rsid w:val="00AF5D6E"/>
    <w:rsid w:val="00AF6EFD"/>
    <w:rsid w:val="00AF7F31"/>
    <w:rsid w:val="00B005E0"/>
    <w:rsid w:val="00B015E7"/>
    <w:rsid w:val="00B019F3"/>
    <w:rsid w:val="00B04134"/>
    <w:rsid w:val="00B04B8B"/>
    <w:rsid w:val="00B06A60"/>
    <w:rsid w:val="00B07882"/>
    <w:rsid w:val="00B07CF3"/>
    <w:rsid w:val="00B113DD"/>
    <w:rsid w:val="00B12BA1"/>
    <w:rsid w:val="00B12D0C"/>
    <w:rsid w:val="00B1373C"/>
    <w:rsid w:val="00B14563"/>
    <w:rsid w:val="00B148A7"/>
    <w:rsid w:val="00B15211"/>
    <w:rsid w:val="00B158AF"/>
    <w:rsid w:val="00B1624E"/>
    <w:rsid w:val="00B17727"/>
    <w:rsid w:val="00B17BF2"/>
    <w:rsid w:val="00B2057C"/>
    <w:rsid w:val="00B20603"/>
    <w:rsid w:val="00B207D1"/>
    <w:rsid w:val="00B20AB3"/>
    <w:rsid w:val="00B215AE"/>
    <w:rsid w:val="00B23BE5"/>
    <w:rsid w:val="00B240AC"/>
    <w:rsid w:val="00B248CE"/>
    <w:rsid w:val="00B24C75"/>
    <w:rsid w:val="00B25038"/>
    <w:rsid w:val="00B2576A"/>
    <w:rsid w:val="00B3178A"/>
    <w:rsid w:val="00B3339B"/>
    <w:rsid w:val="00B33F39"/>
    <w:rsid w:val="00B33FC9"/>
    <w:rsid w:val="00B35742"/>
    <w:rsid w:val="00B357FB"/>
    <w:rsid w:val="00B35874"/>
    <w:rsid w:val="00B35D32"/>
    <w:rsid w:val="00B360F8"/>
    <w:rsid w:val="00B362A1"/>
    <w:rsid w:val="00B3674D"/>
    <w:rsid w:val="00B36F8F"/>
    <w:rsid w:val="00B40A05"/>
    <w:rsid w:val="00B40A29"/>
    <w:rsid w:val="00B40CBB"/>
    <w:rsid w:val="00B43B35"/>
    <w:rsid w:val="00B4507A"/>
    <w:rsid w:val="00B450B6"/>
    <w:rsid w:val="00B4605D"/>
    <w:rsid w:val="00B468C3"/>
    <w:rsid w:val="00B47F27"/>
    <w:rsid w:val="00B47FF2"/>
    <w:rsid w:val="00B508CE"/>
    <w:rsid w:val="00B51DAF"/>
    <w:rsid w:val="00B52189"/>
    <w:rsid w:val="00B52A90"/>
    <w:rsid w:val="00B54AAE"/>
    <w:rsid w:val="00B54F22"/>
    <w:rsid w:val="00B55782"/>
    <w:rsid w:val="00B5706D"/>
    <w:rsid w:val="00B605D8"/>
    <w:rsid w:val="00B612FD"/>
    <w:rsid w:val="00B6184F"/>
    <w:rsid w:val="00B63A6F"/>
    <w:rsid w:val="00B64497"/>
    <w:rsid w:val="00B64C65"/>
    <w:rsid w:val="00B6558D"/>
    <w:rsid w:val="00B657DF"/>
    <w:rsid w:val="00B659FD"/>
    <w:rsid w:val="00B65CC5"/>
    <w:rsid w:val="00B66F15"/>
    <w:rsid w:val="00B67A97"/>
    <w:rsid w:val="00B70059"/>
    <w:rsid w:val="00B708C7"/>
    <w:rsid w:val="00B70AF8"/>
    <w:rsid w:val="00B70EEF"/>
    <w:rsid w:val="00B7259D"/>
    <w:rsid w:val="00B75078"/>
    <w:rsid w:val="00B752E4"/>
    <w:rsid w:val="00B7556C"/>
    <w:rsid w:val="00B804D1"/>
    <w:rsid w:val="00B80C0A"/>
    <w:rsid w:val="00B81090"/>
    <w:rsid w:val="00B82A00"/>
    <w:rsid w:val="00B82C09"/>
    <w:rsid w:val="00B838C1"/>
    <w:rsid w:val="00B841F3"/>
    <w:rsid w:val="00B86055"/>
    <w:rsid w:val="00B8765D"/>
    <w:rsid w:val="00B9233B"/>
    <w:rsid w:val="00B927B5"/>
    <w:rsid w:val="00B928FE"/>
    <w:rsid w:val="00B9355B"/>
    <w:rsid w:val="00B937C1"/>
    <w:rsid w:val="00B9449E"/>
    <w:rsid w:val="00B95230"/>
    <w:rsid w:val="00B95A31"/>
    <w:rsid w:val="00B9626A"/>
    <w:rsid w:val="00B969B2"/>
    <w:rsid w:val="00B97321"/>
    <w:rsid w:val="00B979ED"/>
    <w:rsid w:val="00B97F11"/>
    <w:rsid w:val="00BA0502"/>
    <w:rsid w:val="00BA0B93"/>
    <w:rsid w:val="00BA245D"/>
    <w:rsid w:val="00BA27C8"/>
    <w:rsid w:val="00BA2A85"/>
    <w:rsid w:val="00BA2CBE"/>
    <w:rsid w:val="00BA2D70"/>
    <w:rsid w:val="00BA3772"/>
    <w:rsid w:val="00BA49E8"/>
    <w:rsid w:val="00BA57E0"/>
    <w:rsid w:val="00BA5BD3"/>
    <w:rsid w:val="00BA6337"/>
    <w:rsid w:val="00BA675B"/>
    <w:rsid w:val="00BA677E"/>
    <w:rsid w:val="00BA6E5F"/>
    <w:rsid w:val="00BA70E0"/>
    <w:rsid w:val="00BA742D"/>
    <w:rsid w:val="00BA7975"/>
    <w:rsid w:val="00BB029E"/>
    <w:rsid w:val="00BB0BC1"/>
    <w:rsid w:val="00BB1783"/>
    <w:rsid w:val="00BB19BF"/>
    <w:rsid w:val="00BB3371"/>
    <w:rsid w:val="00BB4045"/>
    <w:rsid w:val="00BC0218"/>
    <w:rsid w:val="00BC163D"/>
    <w:rsid w:val="00BC1A76"/>
    <w:rsid w:val="00BC2577"/>
    <w:rsid w:val="00BC33E6"/>
    <w:rsid w:val="00BC3708"/>
    <w:rsid w:val="00BC4930"/>
    <w:rsid w:val="00BC738C"/>
    <w:rsid w:val="00BC7856"/>
    <w:rsid w:val="00BC7BB3"/>
    <w:rsid w:val="00BD12C7"/>
    <w:rsid w:val="00BD16ED"/>
    <w:rsid w:val="00BD1D88"/>
    <w:rsid w:val="00BD2646"/>
    <w:rsid w:val="00BD26F1"/>
    <w:rsid w:val="00BD2BD9"/>
    <w:rsid w:val="00BD38B5"/>
    <w:rsid w:val="00BD47F2"/>
    <w:rsid w:val="00BD48E3"/>
    <w:rsid w:val="00BD4B99"/>
    <w:rsid w:val="00BD7397"/>
    <w:rsid w:val="00BD77F8"/>
    <w:rsid w:val="00BE0B03"/>
    <w:rsid w:val="00BE1010"/>
    <w:rsid w:val="00BE195F"/>
    <w:rsid w:val="00BE2BD4"/>
    <w:rsid w:val="00BE2ED8"/>
    <w:rsid w:val="00BE389C"/>
    <w:rsid w:val="00BE574F"/>
    <w:rsid w:val="00BE60E4"/>
    <w:rsid w:val="00BF087F"/>
    <w:rsid w:val="00BF0E00"/>
    <w:rsid w:val="00BF10D5"/>
    <w:rsid w:val="00BF2182"/>
    <w:rsid w:val="00BF239B"/>
    <w:rsid w:val="00BF3A06"/>
    <w:rsid w:val="00BF3A74"/>
    <w:rsid w:val="00BF4118"/>
    <w:rsid w:val="00BF5CF6"/>
    <w:rsid w:val="00BF70FC"/>
    <w:rsid w:val="00BF717A"/>
    <w:rsid w:val="00BF7594"/>
    <w:rsid w:val="00BF7868"/>
    <w:rsid w:val="00BF7C21"/>
    <w:rsid w:val="00C007CD"/>
    <w:rsid w:val="00C00C58"/>
    <w:rsid w:val="00C0113D"/>
    <w:rsid w:val="00C013F7"/>
    <w:rsid w:val="00C0145C"/>
    <w:rsid w:val="00C04405"/>
    <w:rsid w:val="00C048C3"/>
    <w:rsid w:val="00C04BD4"/>
    <w:rsid w:val="00C05532"/>
    <w:rsid w:val="00C0617B"/>
    <w:rsid w:val="00C10600"/>
    <w:rsid w:val="00C10704"/>
    <w:rsid w:val="00C109CA"/>
    <w:rsid w:val="00C10B3F"/>
    <w:rsid w:val="00C116A2"/>
    <w:rsid w:val="00C12C78"/>
    <w:rsid w:val="00C15394"/>
    <w:rsid w:val="00C1646B"/>
    <w:rsid w:val="00C166F4"/>
    <w:rsid w:val="00C17D21"/>
    <w:rsid w:val="00C17FA6"/>
    <w:rsid w:val="00C20B52"/>
    <w:rsid w:val="00C23EF6"/>
    <w:rsid w:val="00C24630"/>
    <w:rsid w:val="00C24B23"/>
    <w:rsid w:val="00C26215"/>
    <w:rsid w:val="00C263BC"/>
    <w:rsid w:val="00C2648B"/>
    <w:rsid w:val="00C264AD"/>
    <w:rsid w:val="00C265FE"/>
    <w:rsid w:val="00C269EF"/>
    <w:rsid w:val="00C26BA7"/>
    <w:rsid w:val="00C278A8"/>
    <w:rsid w:val="00C3288F"/>
    <w:rsid w:val="00C33526"/>
    <w:rsid w:val="00C34295"/>
    <w:rsid w:val="00C346F5"/>
    <w:rsid w:val="00C3554D"/>
    <w:rsid w:val="00C3640F"/>
    <w:rsid w:val="00C36FA7"/>
    <w:rsid w:val="00C37797"/>
    <w:rsid w:val="00C403E6"/>
    <w:rsid w:val="00C4066D"/>
    <w:rsid w:val="00C40974"/>
    <w:rsid w:val="00C426F4"/>
    <w:rsid w:val="00C43EE0"/>
    <w:rsid w:val="00C4418B"/>
    <w:rsid w:val="00C450E3"/>
    <w:rsid w:val="00C47899"/>
    <w:rsid w:val="00C50203"/>
    <w:rsid w:val="00C504D0"/>
    <w:rsid w:val="00C50BF6"/>
    <w:rsid w:val="00C51E6E"/>
    <w:rsid w:val="00C52EE5"/>
    <w:rsid w:val="00C533F7"/>
    <w:rsid w:val="00C5370A"/>
    <w:rsid w:val="00C5384A"/>
    <w:rsid w:val="00C54874"/>
    <w:rsid w:val="00C55394"/>
    <w:rsid w:val="00C55AF4"/>
    <w:rsid w:val="00C56BCE"/>
    <w:rsid w:val="00C56D54"/>
    <w:rsid w:val="00C60153"/>
    <w:rsid w:val="00C60E4A"/>
    <w:rsid w:val="00C61FF0"/>
    <w:rsid w:val="00C6321C"/>
    <w:rsid w:val="00C63C62"/>
    <w:rsid w:val="00C63F31"/>
    <w:rsid w:val="00C64A78"/>
    <w:rsid w:val="00C64ED2"/>
    <w:rsid w:val="00C6657D"/>
    <w:rsid w:val="00C67054"/>
    <w:rsid w:val="00C67A00"/>
    <w:rsid w:val="00C67C98"/>
    <w:rsid w:val="00C7032B"/>
    <w:rsid w:val="00C708A6"/>
    <w:rsid w:val="00C70A55"/>
    <w:rsid w:val="00C73DF2"/>
    <w:rsid w:val="00C77D21"/>
    <w:rsid w:val="00C77ED2"/>
    <w:rsid w:val="00C80D9C"/>
    <w:rsid w:val="00C81438"/>
    <w:rsid w:val="00C820C8"/>
    <w:rsid w:val="00C82DA6"/>
    <w:rsid w:val="00C911F2"/>
    <w:rsid w:val="00C912D4"/>
    <w:rsid w:val="00C922C9"/>
    <w:rsid w:val="00C93204"/>
    <w:rsid w:val="00C95DD5"/>
    <w:rsid w:val="00C96007"/>
    <w:rsid w:val="00C966CB"/>
    <w:rsid w:val="00C96E00"/>
    <w:rsid w:val="00C97BC1"/>
    <w:rsid w:val="00CA1888"/>
    <w:rsid w:val="00CA2723"/>
    <w:rsid w:val="00CA2DA1"/>
    <w:rsid w:val="00CA407A"/>
    <w:rsid w:val="00CA5CF9"/>
    <w:rsid w:val="00CA5D6D"/>
    <w:rsid w:val="00CA6B57"/>
    <w:rsid w:val="00CA7752"/>
    <w:rsid w:val="00CB00DE"/>
    <w:rsid w:val="00CB146F"/>
    <w:rsid w:val="00CB1C2A"/>
    <w:rsid w:val="00CB2245"/>
    <w:rsid w:val="00CB33CE"/>
    <w:rsid w:val="00CB3BA0"/>
    <w:rsid w:val="00CB5409"/>
    <w:rsid w:val="00CB680C"/>
    <w:rsid w:val="00CB73CB"/>
    <w:rsid w:val="00CB79AA"/>
    <w:rsid w:val="00CC0171"/>
    <w:rsid w:val="00CC1089"/>
    <w:rsid w:val="00CC30BD"/>
    <w:rsid w:val="00CC572C"/>
    <w:rsid w:val="00CC6984"/>
    <w:rsid w:val="00CD13D1"/>
    <w:rsid w:val="00CD1500"/>
    <w:rsid w:val="00CD1ABE"/>
    <w:rsid w:val="00CD27CC"/>
    <w:rsid w:val="00CD3A41"/>
    <w:rsid w:val="00CD3E68"/>
    <w:rsid w:val="00CD4210"/>
    <w:rsid w:val="00CD4F4D"/>
    <w:rsid w:val="00CD5026"/>
    <w:rsid w:val="00CD6B4A"/>
    <w:rsid w:val="00CD6C06"/>
    <w:rsid w:val="00CD7613"/>
    <w:rsid w:val="00CE15D9"/>
    <w:rsid w:val="00CE1D26"/>
    <w:rsid w:val="00CE2D5C"/>
    <w:rsid w:val="00CE32A8"/>
    <w:rsid w:val="00CE3566"/>
    <w:rsid w:val="00CE44EC"/>
    <w:rsid w:val="00CE4856"/>
    <w:rsid w:val="00CE6758"/>
    <w:rsid w:val="00CE67CB"/>
    <w:rsid w:val="00CF17DE"/>
    <w:rsid w:val="00CF26F8"/>
    <w:rsid w:val="00CF41D5"/>
    <w:rsid w:val="00CF4B7F"/>
    <w:rsid w:val="00D00A8E"/>
    <w:rsid w:val="00D019AC"/>
    <w:rsid w:val="00D03090"/>
    <w:rsid w:val="00D03265"/>
    <w:rsid w:val="00D03D59"/>
    <w:rsid w:val="00D0484A"/>
    <w:rsid w:val="00D0526E"/>
    <w:rsid w:val="00D05490"/>
    <w:rsid w:val="00D06C11"/>
    <w:rsid w:val="00D06D6D"/>
    <w:rsid w:val="00D11CE6"/>
    <w:rsid w:val="00D12DB9"/>
    <w:rsid w:val="00D133B4"/>
    <w:rsid w:val="00D14488"/>
    <w:rsid w:val="00D14DFE"/>
    <w:rsid w:val="00D15573"/>
    <w:rsid w:val="00D15621"/>
    <w:rsid w:val="00D16806"/>
    <w:rsid w:val="00D17CA7"/>
    <w:rsid w:val="00D20F6C"/>
    <w:rsid w:val="00D20F83"/>
    <w:rsid w:val="00D2182C"/>
    <w:rsid w:val="00D226C3"/>
    <w:rsid w:val="00D22CD1"/>
    <w:rsid w:val="00D238E7"/>
    <w:rsid w:val="00D24CF9"/>
    <w:rsid w:val="00D265B8"/>
    <w:rsid w:val="00D267B0"/>
    <w:rsid w:val="00D31070"/>
    <w:rsid w:val="00D311A9"/>
    <w:rsid w:val="00D3171D"/>
    <w:rsid w:val="00D31BD1"/>
    <w:rsid w:val="00D31E41"/>
    <w:rsid w:val="00D326F2"/>
    <w:rsid w:val="00D32EC8"/>
    <w:rsid w:val="00D32ECD"/>
    <w:rsid w:val="00D33026"/>
    <w:rsid w:val="00D35263"/>
    <w:rsid w:val="00D360A0"/>
    <w:rsid w:val="00D3663B"/>
    <w:rsid w:val="00D36B78"/>
    <w:rsid w:val="00D405C7"/>
    <w:rsid w:val="00D41222"/>
    <w:rsid w:val="00D4217A"/>
    <w:rsid w:val="00D42343"/>
    <w:rsid w:val="00D430B2"/>
    <w:rsid w:val="00D43928"/>
    <w:rsid w:val="00D44020"/>
    <w:rsid w:val="00D441CE"/>
    <w:rsid w:val="00D4427F"/>
    <w:rsid w:val="00D443B1"/>
    <w:rsid w:val="00D44B2B"/>
    <w:rsid w:val="00D465CC"/>
    <w:rsid w:val="00D46B47"/>
    <w:rsid w:val="00D472E2"/>
    <w:rsid w:val="00D4760D"/>
    <w:rsid w:val="00D47E9E"/>
    <w:rsid w:val="00D503DB"/>
    <w:rsid w:val="00D50677"/>
    <w:rsid w:val="00D51B78"/>
    <w:rsid w:val="00D533AE"/>
    <w:rsid w:val="00D536E9"/>
    <w:rsid w:val="00D53875"/>
    <w:rsid w:val="00D54735"/>
    <w:rsid w:val="00D56061"/>
    <w:rsid w:val="00D5627D"/>
    <w:rsid w:val="00D56693"/>
    <w:rsid w:val="00D60F5A"/>
    <w:rsid w:val="00D61EA2"/>
    <w:rsid w:val="00D62CA4"/>
    <w:rsid w:val="00D63323"/>
    <w:rsid w:val="00D64EE3"/>
    <w:rsid w:val="00D651A4"/>
    <w:rsid w:val="00D65211"/>
    <w:rsid w:val="00D65F43"/>
    <w:rsid w:val="00D6654D"/>
    <w:rsid w:val="00D66A9D"/>
    <w:rsid w:val="00D70374"/>
    <w:rsid w:val="00D7063D"/>
    <w:rsid w:val="00D70FE4"/>
    <w:rsid w:val="00D72897"/>
    <w:rsid w:val="00D72E9C"/>
    <w:rsid w:val="00D735BD"/>
    <w:rsid w:val="00D7389B"/>
    <w:rsid w:val="00D75BEF"/>
    <w:rsid w:val="00D801E8"/>
    <w:rsid w:val="00D8349A"/>
    <w:rsid w:val="00D84508"/>
    <w:rsid w:val="00D846E4"/>
    <w:rsid w:val="00D85F81"/>
    <w:rsid w:val="00D86956"/>
    <w:rsid w:val="00D87BB8"/>
    <w:rsid w:val="00D90225"/>
    <w:rsid w:val="00D90C04"/>
    <w:rsid w:val="00D91ABB"/>
    <w:rsid w:val="00D92BD5"/>
    <w:rsid w:val="00D934BD"/>
    <w:rsid w:val="00D93C72"/>
    <w:rsid w:val="00D93FD1"/>
    <w:rsid w:val="00D94705"/>
    <w:rsid w:val="00D967B1"/>
    <w:rsid w:val="00D97074"/>
    <w:rsid w:val="00DA06ED"/>
    <w:rsid w:val="00DA1ACC"/>
    <w:rsid w:val="00DA214D"/>
    <w:rsid w:val="00DA68BA"/>
    <w:rsid w:val="00DA71E9"/>
    <w:rsid w:val="00DA7253"/>
    <w:rsid w:val="00DB0259"/>
    <w:rsid w:val="00DB08CE"/>
    <w:rsid w:val="00DB1D54"/>
    <w:rsid w:val="00DB1F06"/>
    <w:rsid w:val="00DB6EA3"/>
    <w:rsid w:val="00DB6F2C"/>
    <w:rsid w:val="00DB747D"/>
    <w:rsid w:val="00DB75A1"/>
    <w:rsid w:val="00DB78F8"/>
    <w:rsid w:val="00DB7AA3"/>
    <w:rsid w:val="00DC00ED"/>
    <w:rsid w:val="00DC2F84"/>
    <w:rsid w:val="00DC40B3"/>
    <w:rsid w:val="00DC47A2"/>
    <w:rsid w:val="00DC60C4"/>
    <w:rsid w:val="00DC66FF"/>
    <w:rsid w:val="00DC7339"/>
    <w:rsid w:val="00DC7486"/>
    <w:rsid w:val="00DC7ACC"/>
    <w:rsid w:val="00DC7C54"/>
    <w:rsid w:val="00DD0DA2"/>
    <w:rsid w:val="00DD234F"/>
    <w:rsid w:val="00DD2580"/>
    <w:rsid w:val="00DD2C96"/>
    <w:rsid w:val="00DD3281"/>
    <w:rsid w:val="00DD32E3"/>
    <w:rsid w:val="00DD4BDF"/>
    <w:rsid w:val="00DD6FFC"/>
    <w:rsid w:val="00DD7D45"/>
    <w:rsid w:val="00DE121B"/>
    <w:rsid w:val="00DE1254"/>
    <w:rsid w:val="00DE2D18"/>
    <w:rsid w:val="00DE4020"/>
    <w:rsid w:val="00DE560B"/>
    <w:rsid w:val="00DE731D"/>
    <w:rsid w:val="00DF0629"/>
    <w:rsid w:val="00DF0888"/>
    <w:rsid w:val="00DF2393"/>
    <w:rsid w:val="00DF2D11"/>
    <w:rsid w:val="00DF4C40"/>
    <w:rsid w:val="00DF6034"/>
    <w:rsid w:val="00DF65ED"/>
    <w:rsid w:val="00DF6CE7"/>
    <w:rsid w:val="00DF72A4"/>
    <w:rsid w:val="00E00252"/>
    <w:rsid w:val="00E0048F"/>
    <w:rsid w:val="00E008DB"/>
    <w:rsid w:val="00E01A0D"/>
    <w:rsid w:val="00E02110"/>
    <w:rsid w:val="00E02127"/>
    <w:rsid w:val="00E02897"/>
    <w:rsid w:val="00E02BEE"/>
    <w:rsid w:val="00E036AF"/>
    <w:rsid w:val="00E04E84"/>
    <w:rsid w:val="00E052B3"/>
    <w:rsid w:val="00E0684E"/>
    <w:rsid w:val="00E12146"/>
    <w:rsid w:val="00E1381A"/>
    <w:rsid w:val="00E139EC"/>
    <w:rsid w:val="00E14035"/>
    <w:rsid w:val="00E16435"/>
    <w:rsid w:val="00E17309"/>
    <w:rsid w:val="00E176F7"/>
    <w:rsid w:val="00E21B6C"/>
    <w:rsid w:val="00E21F03"/>
    <w:rsid w:val="00E22CBB"/>
    <w:rsid w:val="00E24994"/>
    <w:rsid w:val="00E25148"/>
    <w:rsid w:val="00E25AD2"/>
    <w:rsid w:val="00E27467"/>
    <w:rsid w:val="00E2777C"/>
    <w:rsid w:val="00E27DF4"/>
    <w:rsid w:val="00E301A8"/>
    <w:rsid w:val="00E31B14"/>
    <w:rsid w:val="00E32FA2"/>
    <w:rsid w:val="00E33487"/>
    <w:rsid w:val="00E33E03"/>
    <w:rsid w:val="00E35073"/>
    <w:rsid w:val="00E35A59"/>
    <w:rsid w:val="00E40C02"/>
    <w:rsid w:val="00E40D90"/>
    <w:rsid w:val="00E40DDB"/>
    <w:rsid w:val="00E414A0"/>
    <w:rsid w:val="00E41A20"/>
    <w:rsid w:val="00E437BD"/>
    <w:rsid w:val="00E50347"/>
    <w:rsid w:val="00E5203A"/>
    <w:rsid w:val="00E53E80"/>
    <w:rsid w:val="00E54647"/>
    <w:rsid w:val="00E55406"/>
    <w:rsid w:val="00E556DB"/>
    <w:rsid w:val="00E556F3"/>
    <w:rsid w:val="00E55AE0"/>
    <w:rsid w:val="00E55AF4"/>
    <w:rsid w:val="00E56C0E"/>
    <w:rsid w:val="00E577EB"/>
    <w:rsid w:val="00E57E25"/>
    <w:rsid w:val="00E60B22"/>
    <w:rsid w:val="00E612ED"/>
    <w:rsid w:val="00E64A1C"/>
    <w:rsid w:val="00E64D23"/>
    <w:rsid w:val="00E67786"/>
    <w:rsid w:val="00E67F55"/>
    <w:rsid w:val="00E714E7"/>
    <w:rsid w:val="00E728C5"/>
    <w:rsid w:val="00E72C20"/>
    <w:rsid w:val="00E72D83"/>
    <w:rsid w:val="00E72DD1"/>
    <w:rsid w:val="00E7390B"/>
    <w:rsid w:val="00E741ED"/>
    <w:rsid w:val="00E74EB9"/>
    <w:rsid w:val="00E75738"/>
    <w:rsid w:val="00E75C1E"/>
    <w:rsid w:val="00E7618F"/>
    <w:rsid w:val="00E7660E"/>
    <w:rsid w:val="00E76A1B"/>
    <w:rsid w:val="00E779CC"/>
    <w:rsid w:val="00E816FC"/>
    <w:rsid w:val="00E85E79"/>
    <w:rsid w:val="00E86722"/>
    <w:rsid w:val="00E86EF8"/>
    <w:rsid w:val="00E87309"/>
    <w:rsid w:val="00E90D2C"/>
    <w:rsid w:val="00E90F83"/>
    <w:rsid w:val="00E928CF"/>
    <w:rsid w:val="00E9310E"/>
    <w:rsid w:val="00E93343"/>
    <w:rsid w:val="00E93A5D"/>
    <w:rsid w:val="00E94450"/>
    <w:rsid w:val="00E952FA"/>
    <w:rsid w:val="00E95ECF"/>
    <w:rsid w:val="00E972B5"/>
    <w:rsid w:val="00E97802"/>
    <w:rsid w:val="00E97999"/>
    <w:rsid w:val="00EA12B5"/>
    <w:rsid w:val="00EA290A"/>
    <w:rsid w:val="00EA298E"/>
    <w:rsid w:val="00EA41D9"/>
    <w:rsid w:val="00EA4672"/>
    <w:rsid w:val="00EA4E62"/>
    <w:rsid w:val="00EA55B2"/>
    <w:rsid w:val="00EA5993"/>
    <w:rsid w:val="00EA61A1"/>
    <w:rsid w:val="00EB0950"/>
    <w:rsid w:val="00EB0E9A"/>
    <w:rsid w:val="00EB17A3"/>
    <w:rsid w:val="00EB1F34"/>
    <w:rsid w:val="00EB21AA"/>
    <w:rsid w:val="00EB292F"/>
    <w:rsid w:val="00EB332C"/>
    <w:rsid w:val="00EB5011"/>
    <w:rsid w:val="00EB5149"/>
    <w:rsid w:val="00EB6163"/>
    <w:rsid w:val="00EB6C5D"/>
    <w:rsid w:val="00EB7353"/>
    <w:rsid w:val="00EB7A8C"/>
    <w:rsid w:val="00EC07BA"/>
    <w:rsid w:val="00EC0F96"/>
    <w:rsid w:val="00EC1768"/>
    <w:rsid w:val="00EC3C5F"/>
    <w:rsid w:val="00EC5DC6"/>
    <w:rsid w:val="00EC6B61"/>
    <w:rsid w:val="00ED385F"/>
    <w:rsid w:val="00ED46BA"/>
    <w:rsid w:val="00ED4DF1"/>
    <w:rsid w:val="00ED5234"/>
    <w:rsid w:val="00ED5360"/>
    <w:rsid w:val="00ED5DFF"/>
    <w:rsid w:val="00ED6C33"/>
    <w:rsid w:val="00ED782A"/>
    <w:rsid w:val="00EE0AFF"/>
    <w:rsid w:val="00EE117A"/>
    <w:rsid w:val="00EE11BB"/>
    <w:rsid w:val="00EE398C"/>
    <w:rsid w:val="00EE7756"/>
    <w:rsid w:val="00EF299C"/>
    <w:rsid w:val="00EF30B7"/>
    <w:rsid w:val="00EF4757"/>
    <w:rsid w:val="00EF515C"/>
    <w:rsid w:val="00EF582A"/>
    <w:rsid w:val="00EF59AD"/>
    <w:rsid w:val="00EF5E7C"/>
    <w:rsid w:val="00EF6F31"/>
    <w:rsid w:val="00EF7438"/>
    <w:rsid w:val="00EF754B"/>
    <w:rsid w:val="00EF75B9"/>
    <w:rsid w:val="00EF7D28"/>
    <w:rsid w:val="00F01FDD"/>
    <w:rsid w:val="00F037AB"/>
    <w:rsid w:val="00F037D4"/>
    <w:rsid w:val="00F03863"/>
    <w:rsid w:val="00F03B3C"/>
    <w:rsid w:val="00F0403F"/>
    <w:rsid w:val="00F04CD2"/>
    <w:rsid w:val="00F04EDA"/>
    <w:rsid w:val="00F0525E"/>
    <w:rsid w:val="00F05B68"/>
    <w:rsid w:val="00F12669"/>
    <w:rsid w:val="00F12BE5"/>
    <w:rsid w:val="00F15347"/>
    <w:rsid w:val="00F16B11"/>
    <w:rsid w:val="00F170DD"/>
    <w:rsid w:val="00F174B1"/>
    <w:rsid w:val="00F17659"/>
    <w:rsid w:val="00F179B9"/>
    <w:rsid w:val="00F17BB8"/>
    <w:rsid w:val="00F20828"/>
    <w:rsid w:val="00F23E57"/>
    <w:rsid w:val="00F2456A"/>
    <w:rsid w:val="00F26331"/>
    <w:rsid w:val="00F275DE"/>
    <w:rsid w:val="00F27FFC"/>
    <w:rsid w:val="00F30A9B"/>
    <w:rsid w:val="00F318E5"/>
    <w:rsid w:val="00F31A21"/>
    <w:rsid w:val="00F3328F"/>
    <w:rsid w:val="00F352A8"/>
    <w:rsid w:val="00F35C58"/>
    <w:rsid w:val="00F4021F"/>
    <w:rsid w:val="00F40365"/>
    <w:rsid w:val="00F412E8"/>
    <w:rsid w:val="00F41C34"/>
    <w:rsid w:val="00F42680"/>
    <w:rsid w:val="00F43AF1"/>
    <w:rsid w:val="00F4405B"/>
    <w:rsid w:val="00F445B2"/>
    <w:rsid w:val="00F4494C"/>
    <w:rsid w:val="00F44974"/>
    <w:rsid w:val="00F45F44"/>
    <w:rsid w:val="00F46754"/>
    <w:rsid w:val="00F46C23"/>
    <w:rsid w:val="00F46FC5"/>
    <w:rsid w:val="00F47ACF"/>
    <w:rsid w:val="00F51713"/>
    <w:rsid w:val="00F51F8B"/>
    <w:rsid w:val="00F555BD"/>
    <w:rsid w:val="00F55608"/>
    <w:rsid w:val="00F55B85"/>
    <w:rsid w:val="00F56A1F"/>
    <w:rsid w:val="00F57688"/>
    <w:rsid w:val="00F60D0A"/>
    <w:rsid w:val="00F614B1"/>
    <w:rsid w:val="00F6381B"/>
    <w:rsid w:val="00F65784"/>
    <w:rsid w:val="00F6628D"/>
    <w:rsid w:val="00F66B22"/>
    <w:rsid w:val="00F66C6B"/>
    <w:rsid w:val="00F67285"/>
    <w:rsid w:val="00F67812"/>
    <w:rsid w:val="00F7001A"/>
    <w:rsid w:val="00F7211E"/>
    <w:rsid w:val="00F7516F"/>
    <w:rsid w:val="00F751C2"/>
    <w:rsid w:val="00F75B15"/>
    <w:rsid w:val="00F75ED2"/>
    <w:rsid w:val="00F77BA1"/>
    <w:rsid w:val="00F77C05"/>
    <w:rsid w:val="00F81779"/>
    <w:rsid w:val="00F81CF4"/>
    <w:rsid w:val="00F82A56"/>
    <w:rsid w:val="00F82A91"/>
    <w:rsid w:val="00F84625"/>
    <w:rsid w:val="00F8713F"/>
    <w:rsid w:val="00F8766A"/>
    <w:rsid w:val="00F87FD0"/>
    <w:rsid w:val="00F90BD4"/>
    <w:rsid w:val="00F916A7"/>
    <w:rsid w:val="00F919CE"/>
    <w:rsid w:val="00F927F6"/>
    <w:rsid w:val="00F94EF3"/>
    <w:rsid w:val="00F96126"/>
    <w:rsid w:val="00F9673C"/>
    <w:rsid w:val="00F96889"/>
    <w:rsid w:val="00F96D22"/>
    <w:rsid w:val="00F97C9B"/>
    <w:rsid w:val="00FA09C3"/>
    <w:rsid w:val="00FA1157"/>
    <w:rsid w:val="00FA21E7"/>
    <w:rsid w:val="00FA40CF"/>
    <w:rsid w:val="00FA6251"/>
    <w:rsid w:val="00FA62C0"/>
    <w:rsid w:val="00FA683B"/>
    <w:rsid w:val="00FA6CF3"/>
    <w:rsid w:val="00FA71FA"/>
    <w:rsid w:val="00FA7E44"/>
    <w:rsid w:val="00FA7ECB"/>
    <w:rsid w:val="00FA7EF5"/>
    <w:rsid w:val="00FB1246"/>
    <w:rsid w:val="00FB180E"/>
    <w:rsid w:val="00FB2F09"/>
    <w:rsid w:val="00FB532D"/>
    <w:rsid w:val="00FB5389"/>
    <w:rsid w:val="00FB55E9"/>
    <w:rsid w:val="00FB56AA"/>
    <w:rsid w:val="00FB7797"/>
    <w:rsid w:val="00FB7DC7"/>
    <w:rsid w:val="00FC0006"/>
    <w:rsid w:val="00FC0701"/>
    <w:rsid w:val="00FC1103"/>
    <w:rsid w:val="00FC2291"/>
    <w:rsid w:val="00FC24D5"/>
    <w:rsid w:val="00FC278E"/>
    <w:rsid w:val="00FC3146"/>
    <w:rsid w:val="00FC4F76"/>
    <w:rsid w:val="00FC5A53"/>
    <w:rsid w:val="00FC62B7"/>
    <w:rsid w:val="00FC74B3"/>
    <w:rsid w:val="00FC7E61"/>
    <w:rsid w:val="00FD0208"/>
    <w:rsid w:val="00FD06E5"/>
    <w:rsid w:val="00FD0BD7"/>
    <w:rsid w:val="00FD0CAE"/>
    <w:rsid w:val="00FD0CD0"/>
    <w:rsid w:val="00FD1DAC"/>
    <w:rsid w:val="00FD215F"/>
    <w:rsid w:val="00FD382B"/>
    <w:rsid w:val="00FD428F"/>
    <w:rsid w:val="00FD480A"/>
    <w:rsid w:val="00FD520D"/>
    <w:rsid w:val="00FE0AB6"/>
    <w:rsid w:val="00FE0F0A"/>
    <w:rsid w:val="00FE148D"/>
    <w:rsid w:val="00FE1E0C"/>
    <w:rsid w:val="00FE464A"/>
    <w:rsid w:val="00FE4DED"/>
    <w:rsid w:val="00FE562F"/>
    <w:rsid w:val="00FE6AF5"/>
    <w:rsid w:val="00FE6CAC"/>
    <w:rsid w:val="00FE7591"/>
    <w:rsid w:val="00FE7DB7"/>
    <w:rsid w:val="00FF3D01"/>
    <w:rsid w:val="00FF4AFC"/>
    <w:rsid w:val="00FF4DE6"/>
    <w:rsid w:val="00FF7BBE"/>
    <w:rsid w:val="00FF7E5B"/>
    <w:rsid w:val="00FF7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07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uiPriority="35" w:qFormat="1"/>
    <w:lsdException w:name="table of figures" w:uiPriority="99"/>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58A"/>
    <w:pPr>
      <w:spacing w:before="120" w:after="120"/>
    </w:pPr>
    <w:rPr>
      <w:rFonts w:ascii="Palatino Linotype" w:hAnsi="Palatino Linotype"/>
      <w:sz w:val="24"/>
      <w:szCs w:val="24"/>
    </w:rPr>
  </w:style>
  <w:style w:type="paragraph" w:styleId="Heading1">
    <w:name w:val="heading 1"/>
    <w:basedOn w:val="Normal"/>
    <w:next w:val="standard"/>
    <w:qFormat/>
    <w:rsid w:val="00F16B11"/>
    <w:pPr>
      <w:keepNext/>
      <w:spacing w:before="240" w:after="240"/>
      <w:outlineLvl w:val="0"/>
    </w:pPr>
    <w:rPr>
      <w:rFonts w:ascii="Helvetica" w:hAnsi="Helvetica"/>
      <w:b/>
      <w:caps/>
      <w:kern w:val="28"/>
      <w:u w:val="single"/>
    </w:rPr>
  </w:style>
  <w:style w:type="paragraph" w:styleId="Heading2">
    <w:name w:val="heading 2"/>
    <w:basedOn w:val="ListParagraph"/>
    <w:next w:val="sub1"/>
    <w:link w:val="Heading2Char"/>
    <w:qFormat/>
    <w:rsid w:val="00AD6B15"/>
    <w:pPr>
      <w:spacing w:before="240"/>
      <w:ind w:left="0"/>
      <w:contextualSpacing w:val="0"/>
      <w:outlineLvl w:val="1"/>
    </w:pPr>
    <w:rPr>
      <w:b/>
      <w:sz w:val="28"/>
    </w:rPr>
  </w:style>
  <w:style w:type="paragraph" w:styleId="Heading3">
    <w:name w:val="heading 3"/>
    <w:basedOn w:val="Normal"/>
    <w:next w:val="sub2"/>
    <w:link w:val="Heading3Char"/>
    <w:qFormat/>
    <w:rsid w:val="009A31DE"/>
    <w:pPr>
      <w:keepNext/>
      <w:numPr>
        <w:numId w:val="13"/>
      </w:numPr>
      <w:outlineLvl w:val="2"/>
    </w:pPr>
  </w:style>
  <w:style w:type="paragraph" w:styleId="Heading4">
    <w:name w:val="heading 4"/>
    <w:basedOn w:val="Normal"/>
    <w:next w:val="sub3"/>
    <w:link w:val="Heading4Char"/>
    <w:qFormat/>
    <w:rsid w:val="00F16B11"/>
    <w:pPr>
      <w:keepNext/>
      <w:outlineLvl w:val="3"/>
    </w:pPr>
    <w:rPr>
      <w:b/>
    </w:rPr>
  </w:style>
  <w:style w:type="paragraph" w:styleId="Heading5">
    <w:name w:val="heading 5"/>
    <w:basedOn w:val="Normal"/>
    <w:next w:val="sub4"/>
    <w:qFormat/>
    <w:pPr>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Footnote Text Char Char Char,Footnote Text Char1 Char Char Char,Footnote Text Char Char1 Char Char Char,Footnote Text Char Char Char Char Char Char Char Char,fn"/>
    <w:basedOn w:val="Normal"/>
    <w:link w:val="FootnoteTextChar"/>
    <w:uiPriority w:val="99"/>
    <w:pPr>
      <w:numPr>
        <w:numId w:val="3"/>
      </w:numPr>
      <w:spacing w:after="240"/>
    </w:p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aliases w:val="o,fr,o1,o2,o3,o4,o5,o6,o11,o21,o7"/>
    <w:uiPriority w:val="99"/>
    <w:semiHidden/>
    <w:rPr>
      <w:vertAlign w:val="superscript"/>
    </w:rPr>
  </w:style>
  <w:style w:type="paragraph" w:styleId="List">
    <w:name w:val="List"/>
    <w:basedOn w:val="Normal"/>
    <w:pPr>
      <w:ind w:left="360" w:hanging="360"/>
    </w:p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style>
  <w:style w:type="paragraph" w:styleId="ListParagraph">
    <w:name w:val="List Paragraph"/>
    <w:basedOn w:val="Normal"/>
    <w:uiPriority w:val="34"/>
    <w:qFormat/>
    <w:rsid w:val="00B40A29"/>
    <w:pPr>
      <w:ind w:left="720"/>
      <w:contextualSpacing/>
    </w:pPr>
  </w:style>
  <w:style w:type="paragraph" w:styleId="Caption">
    <w:name w:val="caption"/>
    <w:basedOn w:val="Normal"/>
    <w:next w:val="Normal"/>
    <w:uiPriority w:val="35"/>
    <w:unhideWhenUsed/>
    <w:qFormat/>
    <w:rsid w:val="00A02049"/>
    <w:pPr>
      <w:spacing w:after="200" w:line="276" w:lineRule="auto"/>
    </w:pPr>
    <w:rPr>
      <w:rFonts w:eastAsia="Calibri"/>
      <w:b/>
      <w:bCs/>
    </w:rPr>
  </w:style>
  <w:style w:type="table" w:styleId="TableGrid">
    <w:name w:val="Table Grid"/>
    <w:basedOn w:val="TableNormal"/>
    <w:rsid w:val="005B5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4A4514"/>
    <w:rPr>
      <w:rFonts w:ascii="Palatino" w:hAnsi="Palatino"/>
      <w:sz w:val="26"/>
    </w:rPr>
  </w:style>
  <w:style w:type="character" w:customStyle="1" w:styleId="FooterChar">
    <w:name w:val="Footer Char"/>
    <w:link w:val="Footer"/>
    <w:uiPriority w:val="99"/>
    <w:rsid w:val="004A4514"/>
    <w:rPr>
      <w:rFonts w:ascii="Palatino" w:hAnsi="Palatino"/>
      <w:sz w:val="26"/>
    </w:rPr>
  </w:style>
  <w:style w:type="character" w:styleId="Hyperlink">
    <w:name w:val="Hyperlink"/>
    <w:uiPriority w:val="99"/>
    <w:unhideWhenUsed/>
    <w:rsid w:val="004A4514"/>
    <w:rPr>
      <w:color w:val="0000FF"/>
      <w:u w:val="single"/>
    </w:rPr>
  </w:style>
  <w:style w:type="paragraph" w:styleId="BalloonText">
    <w:name w:val="Balloon Text"/>
    <w:basedOn w:val="Normal"/>
    <w:link w:val="BalloonTextChar"/>
    <w:rsid w:val="004A4514"/>
    <w:rPr>
      <w:rFonts w:ascii="Tahoma" w:hAnsi="Tahoma" w:cs="Tahoma"/>
      <w:sz w:val="16"/>
      <w:szCs w:val="16"/>
    </w:rPr>
  </w:style>
  <w:style w:type="character" w:customStyle="1" w:styleId="BalloonTextChar">
    <w:name w:val="Balloon Text Char"/>
    <w:basedOn w:val="DefaultParagraphFont"/>
    <w:link w:val="BalloonText"/>
    <w:rsid w:val="004A4514"/>
    <w:rPr>
      <w:rFonts w:ascii="Tahoma" w:hAnsi="Tahoma" w:cs="Tahoma"/>
      <w:sz w:val="16"/>
      <w:szCs w:val="16"/>
    </w:rPr>
  </w:style>
  <w:style w:type="character" w:styleId="CommentReference">
    <w:name w:val="annotation reference"/>
    <w:basedOn w:val="DefaultParagraphFont"/>
    <w:rsid w:val="00E76A1B"/>
    <w:rPr>
      <w:sz w:val="16"/>
      <w:szCs w:val="16"/>
    </w:rPr>
  </w:style>
  <w:style w:type="paragraph" w:styleId="CommentText">
    <w:name w:val="annotation text"/>
    <w:basedOn w:val="Normal"/>
    <w:link w:val="CommentTextChar"/>
    <w:rsid w:val="00E76A1B"/>
    <w:rPr>
      <w:sz w:val="20"/>
    </w:rPr>
  </w:style>
  <w:style w:type="character" w:customStyle="1" w:styleId="CommentTextChar">
    <w:name w:val="Comment Text Char"/>
    <w:basedOn w:val="DefaultParagraphFont"/>
    <w:link w:val="CommentText"/>
    <w:rsid w:val="00E76A1B"/>
    <w:rPr>
      <w:rFonts w:ascii="Palatino" w:hAnsi="Palatino"/>
    </w:rPr>
  </w:style>
  <w:style w:type="paragraph" w:styleId="CommentSubject">
    <w:name w:val="annotation subject"/>
    <w:basedOn w:val="CommentText"/>
    <w:next w:val="CommentText"/>
    <w:link w:val="CommentSubjectChar"/>
    <w:rsid w:val="00E76A1B"/>
    <w:rPr>
      <w:b/>
      <w:bCs/>
    </w:rPr>
  </w:style>
  <w:style w:type="character" w:customStyle="1" w:styleId="CommentSubjectChar">
    <w:name w:val="Comment Subject Char"/>
    <w:basedOn w:val="CommentTextChar"/>
    <w:link w:val="CommentSubject"/>
    <w:rsid w:val="00E76A1B"/>
    <w:rPr>
      <w:rFonts w:ascii="Palatino" w:hAnsi="Palatino"/>
      <w:b/>
      <w:bCs/>
    </w:rPr>
  </w:style>
  <w:style w:type="paragraph" w:styleId="Revision">
    <w:name w:val="Revision"/>
    <w:hidden/>
    <w:uiPriority w:val="99"/>
    <w:semiHidden/>
    <w:rsid w:val="007D0832"/>
    <w:rPr>
      <w:rFonts w:ascii="Palatino" w:hAnsi="Palatino"/>
      <w:sz w:val="26"/>
    </w:rPr>
  </w:style>
  <w:style w:type="paragraph" w:styleId="TOCHeading">
    <w:name w:val="TOC Heading"/>
    <w:basedOn w:val="Heading1"/>
    <w:next w:val="Normal"/>
    <w:uiPriority w:val="39"/>
    <w:semiHidden/>
    <w:unhideWhenUsed/>
    <w:qFormat/>
    <w:rsid w:val="00CC572C"/>
    <w:pPr>
      <w:keepLines/>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u w:val="none"/>
      <w:lang w:eastAsia="ja-JP"/>
    </w:rPr>
  </w:style>
  <w:style w:type="paragraph" w:styleId="TOC2">
    <w:name w:val="toc 2"/>
    <w:basedOn w:val="Normal"/>
    <w:next w:val="Normal"/>
    <w:autoRedefine/>
    <w:uiPriority w:val="39"/>
    <w:unhideWhenUsed/>
    <w:qFormat/>
    <w:rsid w:val="00245751"/>
    <w:pPr>
      <w:tabs>
        <w:tab w:val="left" w:pos="450"/>
        <w:tab w:val="right" w:leader="dot" w:pos="9350"/>
      </w:tabs>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C572C"/>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C572C"/>
    <w:pPr>
      <w:spacing w:after="100" w:line="276" w:lineRule="auto"/>
      <w:ind w:left="440"/>
    </w:pPr>
    <w:rPr>
      <w:rFonts w:asciiTheme="minorHAnsi" w:eastAsiaTheme="minorEastAsia" w:hAnsiTheme="minorHAnsi" w:cstheme="minorBidi"/>
      <w:sz w:val="22"/>
      <w:szCs w:val="22"/>
      <w:lang w:eastAsia="ja-JP"/>
    </w:rPr>
  </w:style>
  <w:style w:type="paragraph" w:customStyle="1" w:styleId="Style2">
    <w:name w:val="Style2"/>
    <w:basedOn w:val="Normal"/>
    <w:link w:val="Style2Char"/>
    <w:qFormat/>
    <w:rsid w:val="00CC572C"/>
    <w:rPr>
      <w:u w:val="single"/>
    </w:rPr>
  </w:style>
  <w:style w:type="character" w:customStyle="1" w:styleId="Style2Char">
    <w:name w:val="Style2 Char"/>
    <w:basedOn w:val="DefaultParagraphFont"/>
    <w:link w:val="Style2"/>
    <w:rsid w:val="00CC572C"/>
    <w:rPr>
      <w:rFonts w:ascii="Palatino" w:hAnsi="Palatino"/>
      <w:sz w:val="26"/>
      <w:u w:val="single"/>
    </w:rPr>
  </w:style>
  <w:style w:type="character" w:styleId="FollowedHyperlink">
    <w:name w:val="FollowedHyperlink"/>
    <w:basedOn w:val="DefaultParagraphFont"/>
    <w:rsid w:val="003E218B"/>
    <w:rPr>
      <w:color w:val="800080" w:themeColor="followedHyperlink"/>
      <w:u w:val="single"/>
    </w:rPr>
  </w:style>
  <w:style w:type="character" w:customStyle="1" w:styleId="FootnoteTextChar">
    <w:name w:val="Footnote Text Char"/>
    <w:aliases w:val="Footnote Text Char1 Char1,Footnote Text Char Char Char1,Footnote Text Char1 Char Char,Footnote Text Char Char Char Char,Footnote Text Char1 Char Char Char Char,Footnote Text Char Char1 Char Char Char Char,fn Char"/>
    <w:basedOn w:val="DefaultParagraphFont"/>
    <w:link w:val="FootnoteText"/>
    <w:uiPriority w:val="99"/>
    <w:rsid w:val="008824F4"/>
    <w:rPr>
      <w:rFonts w:ascii="Palatino Linotype" w:hAnsi="Palatino Linotype"/>
      <w:sz w:val="24"/>
      <w:szCs w:val="24"/>
    </w:rPr>
  </w:style>
  <w:style w:type="paragraph" w:customStyle="1" w:styleId="LAOBullet">
    <w:name w:val="LAO Bullet"/>
    <w:basedOn w:val="BodyText"/>
    <w:qFormat/>
    <w:rsid w:val="00464839"/>
    <w:pPr>
      <w:spacing w:line="480" w:lineRule="auto"/>
    </w:pPr>
  </w:style>
  <w:style w:type="paragraph" w:styleId="BodyText">
    <w:name w:val="Body Text"/>
    <w:basedOn w:val="Normal"/>
    <w:link w:val="BodyTextChar"/>
    <w:semiHidden/>
    <w:unhideWhenUsed/>
    <w:rsid w:val="00464839"/>
  </w:style>
  <w:style w:type="character" w:customStyle="1" w:styleId="BodyTextChar">
    <w:name w:val="Body Text Char"/>
    <w:basedOn w:val="DefaultParagraphFont"/>
    <w:link w:val="BodyText"/>
    <w:semiHidden/>
    <w:rsid w:val="00464839"/>
    <w:rPr>
      <w:rFonts w:ascii="Palatino" w:hAnsi="Palatino"/>
      <w:sz w:val="26"/>
    </w:rPr>
  </w:style>
  <w:style w:type="character" w:styleId="Emphasis">
    <w:name w:val="Emphasis"/>
    <w:basedOn w:val="DefaultParagraphFont"/>
    <w:qFormat/>
    <w:rsid w:val="00210C1E"/>
    <w:rPr>
      <w:i/>
      <w:iCs/>
    </w:rPr>
  </w:style>
  <w:style w:type="paragraph" w:styleId="NormalWeb">
    <w:name w:val="Normal (Web)"/>
    <w:basedOn w:val="Normal"/>
    <w:uiPriority w:val="99"/>
    <w:semiHidden/>
    <w:unhideWhenUsed/>
    <w:rsid w:val="00421236"/>
    <w:rPr>
      <w:rFonts w:eastAsiaTheme="minorHAnsi"/>
    </w:rPr>
  </w:style>
  <w:style w:type="character" w:customStyle="1" w:styleId="Heading3Char">
    <w:name w:val="Heading 3 Char"/>
    <w:basedOn w:val="DefaultParagraphFont"/>
    <w:link w:val="Heading3"/>
    <w:rsid w:val="00402144"/>
    <w:rPr>
      <w:rFonts w:ascii="Palatino Linotype" w:hAnsi="Palatino Linotype"/>
      <w:sz w:val="24"/>
      <w:szCs w:val="24"/>
    </w:rPr>
  </w:style>
  <w:style w:type="character" w:customStyle="1" w:styleId="UnresolvedMention1">
    <w:name w:val="Unresolved Mention1"/>
    <w:basedOn w:val="DefaultParagraphFont"/>
    <w:uiPriority w:val="99"/>
    <w:semiHidden/>
    <w:unhideWhenUsed/>
    <w:rsid w:val="00997DCA"/>
    <w:rPr>
      <w:color w:val="605E5C"/>
      <w:shd w:val="clear" w:color="auto" w:fill="E1DFDD"/>
    </w:rPr>
  </w:style>
  <w:style w:type="paragraph" w:customStyle="1" w:styleId="NumberedNormal">
    <w:name w:val="Numbered Normal"/>
    <w:basedOn w:val="Normal"/>
    <w:link w:val="NumberedNormalChar"/>
    <w:qFormat/>
    <w:rsid w:val="0052104D"/>
    <w:pPr>
      <w:numPr>
        <w:numId w:val="12"/>
      </w:numPr>
      <w:ind w:left="1080"/>
      <w:contextualSpacing/>
      <w:outlineLvl w:val="0"/>
    </w:pPr>
    <w:rPr>
      <w:szCs w:val="20"/>
    </w:rPr>
  </w:style>
  <w:style w:type="character" w:customStyle="1" w:styleId="NumberedNormalChar">
    <w:name w:val="Numbered Normal Char"/>
    <w:basedOn w:val="DefaultParagraphFont"/>
    <w:link w:val="NumberedNormal"/>
    <w:rsid w:val="0052104D"/>
    <w:rPr>
      <w:rFonts w:ascii="Palatino Linotype" w:hAnsi="Palatino Linotype"/>
      <w:sz w:val="24"/>
    </w:rPr>
  </w:style>
  <w:style w:type="character" w:customStyle="1" w:styleId="Heading4Char">
    <w:name w:val="Heading 4 Char"/>
    <w:basedOn w:val="DefaultParagraphFont"/>
    <w:link w:val="Heading4"/>
    <w:rsid w:val="006D1654"/>
    <w:rPr>
      <w:rFonts w:ascii="Palatino Linotype" w:hAnsi="Palatino Linotype"/>
      <w:b/>
      <w:sz w:val="24"/>
      <w:szCs w:val="24"/>
    </w:rPr>
  </w:style>
  <w:style w:type="character" w:customStyle="1" w:styleId="Heading2Char">
    <w:name w:val="Heading 2 Char"/>
    <w:basedOn w:val="DefaultParagraphFont"/>
    <w:link w:val="Heading2"/>
    <w:rsid w:val="00AD6B15"/>
    <w:rPr>
      <w:rFonts w:ascii="Palatino Linotype" w:hAnsi="Palatino Linotype"/>
      <w:b/>
      <w:sz w:val="28"/>
      <w:szCs w:val="24"/>
    </w:rPr>
  </w:style>
  <w:style w:type="paragraph" w:styleId="TableofFigures">
    <w:name w:val="table of figures"/>
    <w:basedOn w:val="Normal"/>
    <w:next w:val="Normal"/>
    <w:uiPriority w:val="99"/>
    <w:unhideWhenUsed/>
    <w:rsid w:val="00BA0B93"/>
    <w:pPr>
      <w:spacing w:before="0" w:after="0"/>
      <w:ind w:left="480" w:hanging="480"/>
    </w:pPr>
    <w:rPr>
      <w:rFonts w:asciiTheme="minorHAnsi" w:hAnsiTheme="minorHAnsi"/>
      <w:b/>
      <w:bCs/>
      <w:sz w:val="20"/>
      <w:szCs w:val="20"/>
    </w:rPr>
  </w:style>
  <w:style w:type="character" w:customStyle="1" w:styleId="UnresolvedMention2">
    <w:name w:val="Unresolved Mention2"/>
    <w:basedOn w:val="DefaultParagraphFont"/>
    <w:uiPriority w:val="99"/>
    <w:semiHidden/>
    <w:unhideWhenUsed/>
    <w:rsid w:val="00A4376A"/>
    <w:rPr>
      <w:color w:val="605E5C"/>
      <w:shd w:val="clear" w:color="auto" w:fill="E1DFDD"/>
    </w:rPr>
  </w:style>
  <w:style w:type="character" w:customStyle="1" w:styleId="UnresolvedMention3">
    <w:name w:val="Unresolved Mention3"/>
    <w:basedOn w:val="DefaultParagraphFont"/>
    <w:uiPriority w:val="99"/>
    <w:semiHidden/>
    <w:unhideWhenUsed/>
    <w:rsid w:val="006D7A58"/>
    <w:rPr>
      <w:color w:val="605E5C"/>
      <w:shd w:val="clear" w:color="auto" w:fill="E1DFDD"/>
    </w:rPr>
  </w:style>
  <w:style w:type="character" w:customStyle="1" w:styleId="UnresolvedMention4">
    <w:name w:val="Unresolved Mention4"/>
    <w:basedOn w:val="DefaultParagraphFont"/>
    <w:uiPriority w:val="99"/>
    <w:semiHidden/>
    <w:unhideWhenUsed/>
    <w:rsid w:val="000C1219"/>
    <w:rPr>
      <w:color w:val="605E5C"/>
      <w:shd w:val="clear" w:color="auto" w:fill="E1DFDD"/>
    </w:rPr>
  </w:style>
  <w:style w:type="character" w:customStyle="1" w:styleId="UnresolvedMention5">
    <w:name w:val="Unresolved Mention5"/>
    <w:basedOn w:val="DefaultParagraphFont"/>
    <w:uiPriority w:val="99"/>
    <w:semiHidden/>
    <w:unhideWhenUsed/>
    <w:rsid w:val="00AA15B2"/>
    <w:rPr>
      <w:color w:val="605E5C"/>
      <w:shd w:val="clear" w:color="auto" w:fill="E1DFDD"/>
    </w:rPr>
  </w:style>
  <w:style w:type="character" w:customStyle="1" w:styleId="UnresolvedMention6">
    <w:name w:val="Unresolved Mention6"/>
    <w:basedOn w:val="DefaultParagraphFont"/>
    <w:uiPriority w:val="99"/>
    <w:semiHidden/>
    <w:unhideWhenUsed/>
    <w:rsid w:val="00906B35"/>
    <w:rPr>
      <w:color w:val="605E5C"/>
      <w:shd w:val="clear" w:color="auto" w:fill="E1DFDD"/>
    </w:rPr>
  </w:style>
  <w:style w:type="paragraph" w:styleId="DocumentMap">
    <w:name w:val="Document Map"/>
    <w:basedOn w:val="Normal"/>
    <w:link w:val="DocumentMapChar"/>
    <w:semiHidden/>
    <w:unhideWhenUsed/>
    <w:rsid w:val="00EC07BA"/>
    <w:pPr>
      <w:spacing w:before="0" w:after="0"/>
    </w:pPr>
    <w:rPr>
      <w:rFonts w:ascii="Lucida Grande" w:hAnsi="Lucida Grande"/>
    </w:rPr>
  </w:style>
  <w:style w:type="character" w:customStyle="1" w:styleId="DocumentMapChar">
    <w:name w:val="Document Map Char"/>
    <w:basedOn w:val="DefaultParagraphFont"/>
    <w:link w:val="DocumentMap"/>
    <w:semiHidden/>
    <w:rsid w:val="00EC07BA"/>
    <w:rPr>
      <w:rFonts w:ascii="Lucida Grande" w:hAnsi="Lucida Grande"/>
      <w:sz w:val="24"/>
      <w:szCs w:val="24"/>
    </w:rPr>
  </w:style>
  <w:style w:type="paragraph" w:customStyle="1" w:styleId="Default">
    <w:name w:val="Default"/>
    <w:rsid w:val="009B053C"/>
    <w:pPr>
      <w:autoSpaceDE w:val="0"/>
      <w:autoSpaceDN w:val="0"/>
      <w:adjustRightInd w:val="0"/>
    </w:pPr>
    <w:rPr>
      <w:rFonts w:ascii="Book Antiqua" w:eastAsiaTheme="minorHAnsi" w:hAnsi="Book Antiqua" w:cs="Book Antiqua"/>
      <w:color w:val="000000"/>
      <w:sz w:val="24"/>
      <w:szCs w:val="24"/>
    </w:rPr>
  </w:style>
  <w:style w:type="paragraph" w:customStyle="1" w:styleId="Body">
    <w:name w:val="Body"/>
    <w:rsid w:val="009B053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uiPriority="35" w:qFormat="1"/>
    <w:lsdException w:name="table of figures" w:uiPriority="99"/>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58A"/>
    <w:pPr>
      <w:spacing w:before="120" w:after="120"/>
    </w:pPr>
    <w:rPr>
      <w:rFonts w:ascii="Palatino Linotype" w:hAnsi="Palatino Linotype"/>
      <w:sz w:val="24"/>
      <w:szCs w:val="24"/>
    </w:rPr>
  </w:style>
  <w:style w:type="paragraph" w:styleId="Heading1">
    <w:name w:val="heading 1"/>
    <w:basedOn w:val="Normal"/>
    <w:next w:val="standard"/>
    <w:qFormat/>
    <w:rsid w:val="00F16B11"/>
    <w:pPr>
      <w:keepNext/>
      <w:spacing w:before="240" w:after="240"/>
      <w:outlineLvl w:val="0"/>
    </w:pPr>
    <w:rPr>
      <w:rFonts w:ascii="Helvetica" w:hAnsi="Helvetica"/>
      <w:b/>
      <w:caps/>
      <w:kern w:val="28"/>
      <w:u w:val="single"/>
    </w:rPr>
  </w:style>
  <w:style w:type="paragraph" w:styleId="Heading2">
    <w:name w:val="heading 2"/>
    <w:basedOn w:val="ListParagraph"/>
    <w:next w:val="sub1"/>
    <w:link w:val="Heading2Char"/>
    <w:qFormat/>
    <w:rsid w:val="00AD6B15"/>
    <w:pPr>
      <w:spacing w:before="240"/>
      <w:ind w:left="0"/>
      <w:contextualSpacing w:val="0"/>
      <w:outlineLvl w:val="1"/>
    </w:pPr>
    <w:rPr>
      <w:b/>
      <w:sz w:val="28"/>
    </w:rPr>
  </w:style>
  <w:style w:type="paragraph" w:styleId="Heading3">
    <w:name w:val="heading 3"/>
    <w:basedOn w:val="Normal"/>
    <w:next w:val="sub2"/>
    <w:link w:val="Heading3Char"/>
    <w:qFormat/>
    <w:rsid w:val="009A31DE"/>
    <w:pPr>
      <w:keepNext/>
      <w:numPr>
        <w:numId w:val="13"/>
      </w:numPr>
      <w:outlineLvl w:val="2"/>
    </w:pPr>
  </w:style>
  <w:style w:type="paragraph" w:styleId="Heading4">
    <w:name w:val="heading 4"/>
    <w:basedOn w:val="Normal"/>
    <w:next w:val="sub3"/>
    <w:link w:val="Heading4Char"/>
    <w:qFormat/>
    <w:rsid w:val="00F16B11"/>
    <w:pPr>
      <w:keepNext/>
      <w:outlineLvl w:val="3"/>
    </w:pPr>
    <w:rPr>
      <w:b/>
    </w:rPr>
  </w:style>
  <w:style w:type="paragraph" w:styleId="Heading5">
    <w:name w:val="heading 5"/>
    <w:basedOn w:val="Normal"/>
    <w:next w:val="sub4"/>
    <w:qFormat/>
    <w:pPr>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Footnote Text Char Char Char,Footnote Text Char1 Char Char Char,Footnote Text Char Char1 Char Char Char,Footnote Text Char Char Char Char Char Char Char Char,fn"/>
    <w:basedOn w:val="Normal"/>
    <w:link w:val="FootnoteTextChar"/>
    <w:uiPriority w:val="99"/>
    <w:pPr>
      <w:numPr>
        <w:numId w:val="3"/>
      </w:numPr>
      <w:spacing w:after="240"/>
    </w:p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aliases w:val="o,fr,o1,o2,o3,o4,o5,o6,o11,o21,o7"/>
    <w:uiPriority w:val="99"/>
    <w:semiHidden/>
    <w:rPr>
      <w:vertAlign w:val="superscript"/>
    </w:rPr>
  </w:style>
  <w:style w:type="paragraph" w:styleId="List">
    <w:name w:val="List"/>
    <w:basedOn w:val="Normal"/>
    <w:pPr>
      <w:ind w:left="360" w:hanging="360"/>
    </w:p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style>
  <w:style w:type="paragraph" w:styleId="ListParagraph">
    <w:name w:val="List Paragraph"/>
    <w:basedOn w:val="Normal"/>
    <w:uiPriority w:val="34"/>
    <w:qFormat/>
    <w:rsid w:val="00B40A29"/>
    <w:pPr>
      <w:ind w:left="720"/>
      <w:contextualSpacing/>
    </w:pPr>
  </w:style>
  <w:style w:type="paragraph" w:styleId="Caption">
    <w:name w:val="caption"/>
    <w:basedOn w:val="Normal"/>
    <w:next w:val="Normal"/>
    <w:uiPriority w:val="35"/>
    <w:unhideWhenUsed/>
    <w:qFormat/>
    <w:rsid w:val="00A02049"/>
    <w:pPr>
      <w:spacing w:after="200" w:line="276" w:lineRule="auto"/>
    </w:pPr>
    <w:rPr>
      <w:rFonts w:eastAsia="Calibri"/>
      <w:b/>
      <w:bCs/>
    </w:rPr>
  </w:style>
  <w:style w:type="table" w:styleId="TableGrid">
    <w:name w:val="Table Grid"/>
    <w:basedOn w:val="TableNormal"/>
    <w:rsid w:val="005B5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4A4514"/>
    <w:rPr>
      <w:rFonts w:ascii="Palatino" w:hAnsi="Palatino"/>
      <w:sz w:val="26"/>
    </w:rPr>
  </w:style>
  <w:style w:type="character" w:customStyle="1" w:styleId="FooterChar">
    <w:name w:val="Footer Char"/>
    <w:link w:val="Footer"/>
    <w:uiPriority w:val="99"/>
    <w:rsid w:val="004A4514"/>
    <w:rPr>
      <w:rFonts w:ascii="Palatino" w:hAnsi="Palatino"/>
      <w:sz w:val="26"/>
    </w:rPr>
  </w:style>
  <w:style w:type="character" w:styleId="Hyperlink">
    <w:name w:val="Hyperlink"/>
    <w:uiPriority w:val="99"/>
    <w:unhideWhenUsed/>
    <w:rsid w:val="004A4514"/>
    <w:rPr>
      <w:color w:val="0000FF"/>
      <w:u w:val="single"/>
    </w:rPr>
  </w:style>
  <w:style w:type="paragraph" w:styleId="BalloonText">
    <w:name w:val="Balloon Text"/>
    <w:basedOn w:val="Normal"/>
    <w:link w:val="BalloonTextChar"/>
    <w:rsid w:val="004A4514"/>
    <w:rPr>
      <w:rFonts w:ascii="Tahoma" w:hAnsi="Tahoma" w:cs="Tahoma"/>
      <w:sz w:val="16"/>
      <w:szCs w:val="16"/>
    </w:rPr>
  </w:style>
  <w:style w:type="character" w:customStyle="1" w:styleId="BalloonTextChar">
    <w:name w:val="Balloon Text Char"/>
    <w:basedOn w:val="DefaultParagraphFont"/>
    <w:link w:val="BalloonText"/>
    <w:rsid w:val="004A4514"/>
    <w:rPr>
      <w:rFonts w:ascii="Tahoma" w:hAnsi="Tahoma" w:cs="Tahoma"/>
      <w:sz w:val="16"/>
      <w:szCs w:val="16"/>
    </w:rPr>
  </w:style>
  <w:style w:type="character" w:styleId="CommentReference">
    <w:name w:val="annotation reference"/>
    <w:basedOn w:val="DefaultParagraphFont"/>
    <w:rsid w:val="00E76A1B"/>
    <w:rPr>
      <w:sz w:val="16"/>
      <w:szCs w:val="16"/>
    </w:rPr>
  </w:style>
  <w:style w:type="paragraph" w:styleId="CommentText">
    <w:name w:val="annotation text"/>
    <w:basedOn w:val="Normal"/>
    <w:link w:val="CommentTextChar"/>
    <w:rsid w:val="00E76A1B"/>
    <w:rPr>
      <w:sz w:val="20"/>
    </w:rPr>
  </w:style>
  <w:style w:type="character" w:customStyle="1" w:styleId="CommentTextChar">
    <w:name w:val="Comment Text Char"/>
    <w:basedOn w:val="DefaultParagraphFont"/>
    <w:link w:val="CommentText"/>
    <w:rsid w:val="00E76A1B"/>
    <w:rPr>
      <w:rFonts w:ascii="Palatino" w:hAnsi="Palatino"/>
    </w:rPr>
  </w:style>
  <w:style w:type="paragraph" w:styleId="CommentSubject">
    <w:name w:val="annotation subject"/>
    <w:basedOn w:val="CommentText"/>
    <w:next w:val="CommentText"/>
    <w:link w:val="CommentSubjectChar"/>
    <w:rsid w:val="00E76A1B"/>
    <w:rPr>
      <w:b/>
      <w:bCs/>
    </w:rPr>
  </w:style>
  <w:style w:type="character" w:customStyle="1" w:styleId="CommentSubjectChar">
    <w:name w:val="Comment Subject Char"/>
    <w:basedOn w:val="CommentTextChar"/>
    <w:link w:val="CommentSubject"/>
    <w:rsid w:val="00E76A1B"/>
    <w:rPr>
      <w:rFonts w:ascii="Palatino" w:hAnsi="Palatino"/>
      <w:b/>
      <w:bCs/>
    </w:rPr>
  </w:style>
  <w:style w:type="paragraph" w:styleId="Revision">
    <w:name w:val="Revision"/>
    <w:hidden/>
    <w:uiPriority w:val="99"/>
    <w:semiHidden/>
    <w:rsid w:val="007D0832"/>
    <w:rPr>
      <w:rFonts w:ascii="Palatino" w:hAnsi="Palatino"/>
      <w:sz w:val="26"/>
    </w:rPr>
  </w:style>
  <w:style w:type="paragraph" w:styleId="TOCHeading">
    <w:name w:val="TOC Heading"/>
    <w:basedOn w:val="Heading1"/>
    <w:next w:val="Normal"/>
    <w:uiPriority w:val="39"/>
    <w:semiHidden/>
    <w:unhideWhenUsed/>
    <w:qFormat/>
    <w:rsid w:val="00CC572C"/>
    <w:pPr>
      <w:keepLines/>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u w:val="none"/>
      <w:lang w:eastAsia="ja-JP"/>
    </w:rPr>
  </w:style>
  <w:style w:type="paragraph" w:styleId="TOC2">
    <w:name w:val="toc 2"/>
    <w:basedOn w:val="Normal"/>
    <w:next w:val="Normal"/>
    <w:autoRedefine/>
    <w:uiPriority w:val="39"/>
    <w:unhideWhenUsed/>
    <w:qFormat/>
    <w:rsid w:val="00245751"/>
    <w:pPr>
      <w:tabs>
        <w:tab w:val="left" w:pos="450"/>
        <w:tab w:val="right" w:leader="dot" w:pos="9350"/>
      </w:tabs>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C572C"/>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C572C"/>
    <w:pPr>
      <w:spacing w:after="100" w:line="276" w:lineRule="auto"/>
      <w:ind w:left="440"/>
    </w:pPr>
    <w:rPr>
      <w:rFonts w:asciiTheme="minorHAnsi" w:eastAsiaTheme="minorEastAsia" w:hAnsiTheme="minorHAnsi" w:cstheme="minorBidi"/>
      <w:sz w:val="22"/>
      <w:szCs w:val="22"/>
      <w:lang w:eastAsia="ja-JP"/>
    </w:rPr>
  </w:style>
  <w:style w:type="paragraph" w:customStyle="1" w:styleId="Style2">
    <w:name w:val="Style2"/>
    <w:basedOn w:val="Normal"/>
    <w:link w:val="Style2Char"/>
    <w:qFormat/>
    <w:rsid w:val="00CC572C"/>
    <w:rPr>
      <w:u w:val="single"/>
    </w:rPr>
  </w:style>
  <w:style w:type="character" w:customStyle="1" w:styleId="Style2Char">
    <w:name w:val="Style2 Char"/>
    <w:basedOn w:val="DefaultParagraphFont"/>
    <w:link w:val="Style2"/>
    <w:rsid w:val="00CC572C"/>
    <w:rPr>
      <w:rFonts w:ascii="Palatino" w:hAnsi="Palatino"/>
      <w:sz w:val="26"/>
      <w:u w:val="single"/>
    </w:rPr>
  </w:style>
  <w:style w:type="character" w:styleId="FollowedHyperlink">
    <w:name w:val="FollowedHyperlink"/>
    <w:basedOn w:val="DefaultParagraphFont"/>
    <w:rsid w:val="003E218B"/>
    <w:rPr>
      <w:color w:val="800080" w:themeColor="followedHyperlink"/>
      <w:u w:val="single"/>
    </w:rPr>
  </w:style>
  <w:style w:type="character" w:customStyle="1" w:styleId="FootnoteTextChar">
    <w:name w:val="Footnote Text Char"/>
    <w:aliases w:val="Footnote Text Char1 Char1,Footnote Text Char Char Char1,Footnote Text Char1 Char Char,Footnote Text Char Char Char Char,Footnote Text Char1 Char Char Char Char,Footnote Text Char Char1 Char Char Char Char,fn Char"/>
    <w:basedOn w:val="DefaultParagraphFont"/>
    <w:link w:val="FootnoteText"/>
    <w:uiPriority w:val="99"/>
    <w:rsid w:val="008824F4"/>
    <w:rPr>
      <w:rFonts w:ascii="Palatino Linotype" w:hAnsi="Palatino Linotype"/>
      <w:sz w:val="24"/>
      <w:szCs w:val="24"/>
    </w:rPr>
  </w:style>
  <w:style w:type="paragraph" w:customStyle="1" w:styleId="LAOBullet">
    <w:name w:val="LAO Bullet"/>
    <w:basedOn w:val="BodyText"/>
    <w:qFormat/>
    <w:rsid w:val="00464839"/>
    <w:pPr>
      <w:spacing w:line="480" w:lineRule="auto"/>
    </w:pPr>
  </w:style>
  <w:style w:type="paragraph" w:styleId="BodyText">
    <w:name w:val="Body Text"/>
    <w:basedOn w:val="Normal"/>
    <w:link w:val="BodyTextChar"/>
    <w:semiHidden/>
    <w:unhideWhenUsed/>
    <w:rsid w:val="00464839"/>
  </w:style>
  <w:style w:type="character" w:customStyle="1" w:styleId="BodyTextChar">
    <w:name w:val="Body Text Char"/>
    <w:basedOn w:val="DefaultParagraphFont"/>
    <w:link w:val="BodyText"/>
    <w:semiHidden/>
    <w:rsid w:val="00464839"/>
    <w:rPr>
      <w:rFonts w:ascii="Palatino" w:hAnsi="Palatino"/>
      <w:sz w:val="26"/>
    </w:rPr>
  </w:style>
  <w:style w:type="character" w:styleId="Emphasis">
    <w:name w:val="Emphasis"/>
    <w:basedOn w:val="DefaultParagraphFont"/>
    <w:qFormat/>
    <w:rsid w:val="00210C1E"/>
    <w:rPr>
      <w:i/>
      <w:iCs/>
    </w:rPr>
  </w:style>
  <w:style w:type="paragraph" w:styleId="NormalWeb">
    <w:name w:val="Normal (Web)"/>
    <w:basedOn w:val="Normal"/>
    <w:uiPriority w:val="99"/>
    <w:semiHidden/>
    <w:unhideWhenUsed/>
    <w:rsid w:val="00421236"/>
    <w:rPr>
      <w:rFonts w:eastAsiaTheme="minorHAnsi"/>
    </w:rPr>
  </w:style>
  <w:style w:type="character" w:customStyle="1" w:styleId="Heading3Char">
    <w:name w:val="Heading 3 Char"/>
    <w:basedOn w:val="DefaultParagraphFont"/>
    <w:link w:val="Heading3"/>
    <w:rsid w:val="00402144"/>
    <w:rPr>
      <w:rFonts w:ascii="Palatino Linotype" w:hAnsi="Palatino Linotype"/>
      <w:sz w:val="24"/>
      <w:szCs w:val="24"/>
    </w:rPr>
  </w:style>
  <w:style w:type="character" w:customStyle="1" w:styleId="UnresolvedMention1">
    <w:name w:val="Unresolved Mention1"/>
    <w:basedOn w:val="DefaultParagraphFont"/>
    <w:uiPriority w:val="99"/>
    <w:semiHidden/>
    <w:unhideWhenUsed/>
    <w:rsid w:val="00997DCA"/>
    <w:rPr>
      <w:color w:val="605E5C"/>
      <w:shd w:val="clear" w:color="auto" w:fill="E1DFDD"/>
    </w:rPr>
  </w:style>
  <w:style w:type="paragraph" w:customStyle="1" w:styleId="NumberedNormal">
    <w:name w:val="Numbered Normal"/>
    <w:basedOn w:val="Normal"/>
    <w:link w:val="NumberedNormalChar"/>
    <w:qFormat/>
    <w:rsid w:val="0052104D"/>
    <w:pPr>
      <w:numPr>
        <w:numId w:val="12"/>
      </w:numPr>
      <w:ind w:left="1080"/>
      <w:contextualSpacing/>
      <w:outlineLvl w:val="0"/>
    </w:pPr>
    <w:rPr>
      <w:szCs w:val="20"/>
    </w:rPr>
  </w:style>
  <w:style w:type="character" w:customStyle="1" w:styleId="NumberedNormalChar">
    <w:name w:val="Numbered Normal Char"/>
    <w:basedOn w:val="DefaultParagraphFont"/>
    <w:link w:val="NumberedNormal"/>
    <w:rsid w:val="0052104D"/>
    <w:rPr>
      <w:rFonts w:ascii="Palatino Linotype" w:hAnsi="Palatino Linotype"/>
      <w:sz w:val="24"/>
    </w:rPr>
  </w:style>
  <w:style w:type="character" w:customStyle="1" w:styleId="Heading4Char">
    <w:name w:val="Heading 4 Char"/>
    <w:basedOn w:val="DefaultParagraphFont"/>
    <w:link w:val="Heading4"/>
    <w:rsid w:val="006D1654"/>
    <w:rPr>
      <w:rFonts w:ascii="Palatino Linotype" w:hAnsi="Palatino Linotype"/>
      <w:b/>
      <w:sz w:val="24"/>
      <w:szCs w:val="24"/>
    </w:rPr>
  </w:style>
  <w:style w:type="character" w:customStyle="1" w:styleId="Heading2Char">
    <w:name w:val="Heading 2 Char"/>
    <w:basedOn w:val="DefaultParagraphFont"/>
    <w:link w:val="Heading2"/>
    <w:rsid w:val="00AD6B15"/>
    <w:rPr>
      <w:rFonts w:ascii="Palatino Linotype" w:hAnsi="Palatino Linotype"/>
      <w:b/>
      <w:sz w:val="28"/>
      <w:szCs w:val="24"/>
    </w:rPr>
  </w:style>
  <w:style w:type="paragraph" w:styleId="TableofFigures">
    <w:name w:val="table of figures"/>
    <w:basedOn w:val="Normal"/>
    <w:next w:val="Normal"/>
    <w:uiPriority w:val="99"/>
    <w:unhideWhenUsed/>
    <w:rsid w:val="00BA0B93"/>
    <w:pPr>
      <w:spacing w:before="0" w:after="0"/>
      <w:ind w:left="480" w:hanging="480"/>
    </w:pPr>
    <w:rPr>
      <w:rFonts w:asciiTheme="minorHAnsi" w:hAnsiTheme="minorHAnsi"/>
      <w:b/>
      <w:bCs/>
      <w:sz w:val="20"/>
      <w:szCs w:val="20"/>
    </w:rPr>
  </w:style>
  <w:style w:type="character" w:customStyle="1" w:styleId="UnresolvedMention2">
    <w:name w:val="Unresolved Mention2"/>
    <w:basedOn w:val="DefaultParagraphFont"/>
    <w:uiPriority w:val="99"/>
    <w:semiHidden/>
    <w:unhideWhenUsed/>
    <w:rsid w:val="00A4376A"/>
    <w:rPr>
      <w:color w:val="605E5C"/>
      <w:shd w:val="clear" w:color="auto" w:fill="E1DFDD"/>
    </w:rPr>
  </w:style>
  <w:style w:type="character" w:customStyle="1" w:styleId="UnresolvedMention3">
    <w:name w:val="Unresolved Mention3"/>
    <w:basedOn w:val="DefaultParagraphFont"/>
    <w:uiPriority w:val="99"/>
    <w:semiHidden/>
    <w:unhideWhenUsed/>
    <w:rsid w:val="006D7A58"/>
    <w:rPr>
      <w:color w:val="605E5C"/>
      <w:shd w:val="clear" w:color="auto" w:fill="E1DFDD"/>
    </w:rPr>
  </w:style>
  <w:style w:type="character" w:customStyle="1" w:styleId="UnresolvedMention4">
    <w:name w:val="Unresolved Mention4"/>
    <w:basedOn w:val="DefaultParagraphFont"/>
    <w:uiPriority w:val="99"/>
    <w:semiHidden/>
    <w:unhideWhenUsed/>
    <w:rsid w:val="000C1219"/>
    <w:rPr>
      <w:color w:val="605E5C"/>
      <w:shd w:val="clear" w:color="auto" w:fill="E1DFDD"/>
    </w:rPr>
  </w:style>
  <w:style w:type="character" w:customStyle="1" w:styleId="UnresolvedMention5">
    <w:name w:val="Unresolved Mention5"/>
    <w:basedOn w:val="DefaultParagraphFont"/>
    <w:uiPriority w:val="99"/>
    <w:semiHidden/>
    <w:unhideWhenUsed/>
    <w:rsid w:val="00AA15B2"/>
    <w:rPr>
      <w:color w:val="605E5C"/>
      <w:shd w:val="clear" w:color="auto" w:fill="E1DFDD"/>
    </w:rPr>
  </w:style>
  <w:style w:type="character" w:customStyle="1" w:styleId="UnresolvedMention6">
    <w:name w:val="Unresolved Mention6"/>
    <w:basedOn w:val="DefaultParagraphFont"/>
    <w:uiPriority w:val="99"/>
    <w:semiHidden/>
    <w:unhideWhenUsed/>
    <w:rsid w:val="00906B35"/>
    <w:rPr>
      <w:color w:val="605E5C"/>
      <w:shd w:val="clear" w:color="auto" w:fill="E1DFDD"/>
    </w:rPr>
  </w:style>
  <w:style w:type="paragraph" w:styleId="DocumentMap">
    <w:name w:val="Document Map"/>
    <w:basedOn w:val="Normal"/>
    <w:link w:val="DocumentMapChar"/>
    <w:semiHidden/>
    <w:unhideWhenUsed/>
    <w:rsid w:val="00EC07BA"/>
    <w:pPr>
      <w:spacing w:before="0" w:after="0"/>
    </w:pPr>
    <w:rPr>
      <w:rFonts w:ascii="Lucida Grande" w:hAnsi="Lucida Grande"/>
    </w:rPr>
  </w:style>
  <w:style w:type="character" w:customStyle="1" w:styleId="DocumentMapChar">
    <w:name w:val="Document Map Char"/>
    <w:basedOn w:val="DefaultParagraphFont"/>
    <w:link w:val="DocumentMap"/>
    <w:semiHidden/>
    <w:rsid w:val="00EC07BA"/>
    <w:rPr>
      <w:rFonts w:ascii="Lucida Grande" w:hAnsi="Lucida Grande"/>
      <w:sz w:val="24"/>
      <w:szCs w:val="24"/>
    </w:rPr>
  </w:style>
  <w:style w:type="paragraph" w:customStyle="1" w:styleId="Default">
    <w:name w:val="Default"/>
    <w:rsid w:val="009B053C"/>
    <w:pPr>
      <w:autoSpaceDE w:val="0"/>
      <w:autoSpaceDN w:val="0"/>
      <w:adjustRightInd w:val="0"/>
    </w:pPr>
    <w:rPr>
      <w:rFonts w:ascii="Book Antiqua" w:eastAsiaTheme="minorHAnsi" w:hAnsi="Book Antiqua" w:cs="Book Antiqua"/>
      <w:color w:val="000000"/>
      <w:sz w:val="24"/>
      <w:szCs w:val="24"/>
    </w:rPr>
  </w:style>
  <w:style w:type="paragraph" w:customStyle="1" w:styleId="Body">
    <w:name w:val="Body"/>
    <w:rsid w:val="009B053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03">
      <w:bodyDiv w:val="1"/>
      <w:marLeft w:val="0"/>
      <w:marRight w:val="0"/>
      <w:marTop w:val="0"/>
      <w:marBottom w:val="0"/>
      <w:divBdr>
        <w:top w:val="none" w:sz="0" w:space="0" w:color="auto"/>
        <w:left w:val="none" w:sz="0" w:space="0" w:color="auto"/>
        <w:bottom w:val="none" w:sz="0" w:space="0" w:color="auto"/>
        <w:right w:val="none" w:sz="0" w:space="0" w:color="auto"/>
      </w:divBdr>
    </w:div>
    <w:div w:id="8529765">
      <w:bodyDiv w:val="1"/>
      <w:marLeft w:val="0"/>
      <w:marRight w:val="0"/>
      <w:marTop w:val="0"/>
      <w:marBottom w:val="0"/>
      <w:divBdr>
        <w:top w:val="none" w:sz="0" w:space="0" w:color="auto"/>
        <w:left w:val="none" w:sz="0" w:space="0" w:color="auto"/>
        <w:bottom w:val="none" w:sz="0" w:space="0" w:color="auto"/>
        <w:right w:val="none" w:sz="0" w:space="0" w:color="auto"/>
      </w:divBdr>
    </w:div>
    <w:div w:id="13001316">
      <w:bodyDiv w:val="1"/>
      <w:marLeft w:val="0"/>
      <w:marRight w:val="0"/>
      <w:marTop w:val="0"/>
      <w:marBottom w:val="0"/>
      <w:divBdr>
        <w:top w:val="none" w:sz="0" w:space="0" w:color="auto"/>
        <w:left w:val="none" w:sz="0" w:space="0" w:color="auto"/>
        <w:bottom w:val="none" w:sz="0" w:space="0" w:color="auto"/>
        <w:right w:val="none" w:sz="0" w:space="0" w:color="auto"/>
      </w:divBdr>
    </w:div>
    <w:div w:id="13192667">
      <w:bodyDiv w:val="1"/>
      <w:marLeft w:val="0"/>
      <w:marRight w:val="0"/>
      <w:marTop w:val="0"/>
      <w:marBottom w:val="0"/>
      <w:divBdr>
        <w:top w:val="none" w:sz="0" w:space="0" w:color="auto"/>
        <w:left w:val="none" w:sz="0" w:space="0" w:color="auto"/>
        <w:bottom w:val="none" w:sz="0" w:space="0" w:color="auto"/>
        <w:right w:val="none" w:sz="0" w:space="0" w:color="auto"/>
      </w:divBdr>
    </w:div>
    <w:div w:id="17128020">
      <w:bodyDiv w:val="1"/>
      <w:marLeft w:val="0"/>
      <w:marRight w:val="0"/>
      <w:marTop w:val="0"/>
      <w:marBottom w:val="0"/>
      <w:divBdr>
        <w:top w:val="none" w:sz="0" w:space="0" w:color="auto"/>
        <w:left w:val="none" w:sz="0" w:space="0" w:color="auto"/>
        <w:bottom w:val="none" w:sz="0" w:space="0" w:color="auto"/>
        <w:right w:val="none" w:sz="0" w:space="0" w:color="auto"/>
      </w:divBdr>
    </w:div>
    <w:div w:id="21395196">
      <w:bodyDiv w:val="1"/>
      <w:marLeft w:val="0"/>
      <w:marRight w:val="0"/>
      <w:marTop w:val="0"/>
      <w:marBottom w:val="0"/>
      <w:divBdr>
        <w:top w:val="none" w:sz="0" w:space="0" w:color="auto"/>
        <w:left w:val="none" w:sz="0" w:space="0" w:color="auto"/>
        <w:bottom w:val="none" w:sz="0" w:space="0" w:color="auto"/>
        <w:right w:val="none" w:sz="0" w:space="0" w:color="auto"/>
      </w:divBdr>
    </w:div>
    <w:div w:id="31082880">
      <w:bodyDiv w:val="1"/>
      <w:marLeft w:val="0"/>
      <w:marRight w:val="0"/>
      <w:marTop w:val="0"/>
      <w:marBottom w:val="0"/>
      <w:divBdr>
        <w:top w:val="none" w:sz="0" w:space="0" w:color="auto"/>
        <w:left w:val="none" w:sz="0" w:space="0" w:color="auto"/>
        <w:bottom w:val="none" w:sz="0" w:space="0" w:color="auto"/>
        <w:right w:val="none" w:sz="0" w:space="0" w:color="auto"/>
      </w:divBdr>
    </w:div>
    <w:div w:id="32970199">
      <w:bodyDiv w:val="1"/>
      <w:marLeft w:val="0"/>
      <w:marRight w:val="0"/>
      <w:marTop w:val="0"/>
      <w:marBottom w:val="0"/>
      <w:divBdr>
        <w:top w:val="none" w:sz="0" w:space="0" w:color="auto"/>
        <w:left w:val="none" w:sz="0" w:space="0" w:color="auto"/>
        <w:bottom w:val="none" w:sz="0" w:space="0" w:color="auto"/>
        <w:right w:val="none" w:sz="0" w:space="0" w:color="auto"/>
      </w:divBdr>
    </w:div>
    <w:div w:id="35324835">
      <w:bodyDiv w:val="1"/>
      <w:marLeft w:val="0"/>
      <w:marRight w:val="0"/>
      <w:marTop w:val="0"/>
      <w:marBottom w:val="0"/>
      <w:divBdr>
        <w:top w:val="none" w:sz="0" w:space="0" w:color="auto"/>
        <w:left w:val="none" w:sz="0" w:space="0" w:color="auto"/>
        <w:bottom w:val="none" w:sz="0" w:space="0" w:color="auto"/>
        <w:right w:val="none" w:sz="0" w:space="0" w:color="auto"/>
      </w:divBdr>
    </w:div>
    <w:div w:id="48654566">
      <w:bodyDiv w:val="1"/>
      <w:marLeft w:val="0"/>
      <w:marRight w:val="0"/>
      <w:marTop w:val="0"/>
      <w:marBottom w:val="0"/>
      <w:divBdr>
        <w:top w:val="none" w:sz="0" w:space="0" w:color="auto"/>
        <w:left w:val="none" w:sz="0" w:space="0" w:color="auto"/>
        <w:bottom w:val="none" w:sz="0" w:space="0" w:color="auto"/>
        <w:right w:val="none" w:sz="0" w:space="0" w:color="auto"/>
      </w:divBdr>
    </w:div>
    <w:div w:id="52970012">
      <w:bodyDiv w:val="1"/>
      <w:marLeft w:val="0"/>
      <w:marRight w:val="0"/>
      <w:marTop w:val="0"/>
      <w:marBottom w:val="0"/>
      <w:divBdr>
        <w:top w:val="none" w:sz="0" w:space="0" w:color="auto"/>
        <w:left w:val="none" w:sz="0" w:space="0" w:color="auto"/>
        <w:bottom w:val="none" w:sz="0" w:space="0" w:color="auto"/>
        <w:right w:val="none" w:sz="0" w:space="0" w:color="auto"/>
      </w:divBdr>
    </w:div>
    <w:div w:id="54203475">
      <w:bodyDiv w:val="1"/>
      <w:marLeft w:val="0"/>
      <w:marRight w:val="0"/>
      <w:marTop w:val="0"/>
      <w:marBottom w:val="0"/>
      <w:divBdr>
        <w:top w:val="none" w:sz="0" w:space="0" w:color="auto"/>
        <w:left w:val="none" w:sz="0" w:space="0" w:color="auto"/>
        <w:bottom w:val="none" w:sz="0" w:space="0" w:color="auto"/>
        <w:right w:val="none" w:sz="0" w:space="0" w:color="auto"/>
      </w:divBdr>
    </w:div>
    <w:div w:id="58596446">
      <w:bodyDiv w:val="1"/>
      <w:marLeft w:val="0"/>
      <w:marRight w:val="0"/>
      <w:marTop w:val="0"/>
      <w:marBottom w:val="0"/>
      <w:divBdr>
        <w:top w:val="none" w:sz="0" w:space="0" w:color="auto"/>
        <w:left w:val="none" w:sz="0" w:space="0" w:color="auto"/>
        <w:bottom w:val="none" w:sz="0" w:space="0" w:color="auto"/>
        <w:right w:val="none" w:sz="0" w:space="0" w:color="auto"/>
      </w:divBdr>
    </w:div>
    <w:div w:id="64498687">
      <w:bodyDiv w:val="1"/>
      <w:marLeft w:val="0"/>
      <w:marRight w:val="0"/>
      <w:marTop w:val="0"/>
      <w:marBottom w:val="0"/>
      <w:divBdr>
        <w:top w:val="none" w:sz="0" w:space="0" w:color="auto"/>
        <w:left w:val="none" w:sz="0" w:space="0" w:color="auto"/>
        <w:bottom w:val="none" w:sz="0" w:space="0" w:color="auto"/>
        <w:right w:val="none" w:sz="0" w:space="0" w:color="auto"/>
      </w:divBdr>
    </w:div>
    <w:div w:id="69348425">
      <w:bodyDiv w:val="1"/>
      <w:marLeft w:val="0"/>
      <w:marRight w:val="0"/>
      <w:marTop w:val="0"/>
      <w:marBottom w:val="0"/>
      <w:divBdr>
        <w:top w:val="none" w:sz="0" w:space="0" w:color="auto"/>
        <w:left w:val="none" w:sz="0" w:space="0" w:color="auto"/>
        <w:bottom w:val="none" w:sz="0" w:space="0" w:color="auto"/>
        <w:right w:val="none" w:sz="0" w:space="0" w:color="auto"/>
      </w:divBdr>
    </w:div>
    <w:div w:id="73863252">
      <w:bodyDiv w:val="1"/>
      <w:marLeft w:val="0"/>
      <w:marRight w:val="0"/>
      <w:marTop w:val="0"/>
      <w:marBottom w:val="0"/>
      <w:divBdr>
        <w:top w:val="none" w:sz="0" w:space="0" w:color="auto"/>
        <w:left w:val="none" w:sz="0" w:space="0" w:color="auto"/>
        <w:bottom w:val="none" w:sz="0" w:space="0" w:color="auto"/>
        <w:right w:val="none" w:sz="0" w:space="0" w:color="auto"/>
      </w:divBdr>
    </w:div>
    <w:div w:id="76248928">
      <w:bodyDiv w:val="1"/>
      <w:marLeft w:val="0"/>
      <w:marRight w:val="0"/>
      <w:marTop w:val="0"/>
      <w:marBottom w:val="0"/>
      <w:divBdr>
        <w:top w:val="none" w:sz="0" w:space="0" w:color="auto"/>
        <w:left w:val="none" w:sz="0" w:space="0" w:color="auto"/>
        <w:bottom w:val="none" w:sz="0" w:space="0" w:color="auto"/>
        <w:right w:val="none" w:sz="0" w:space="0" w:color="auto"/>
      </w:divBdr>
    </w:div>
    <w:div w:id="76369207">
      <w:bodyDiv w:val="1"/>
      <w:marLeft w:val="0"/>
      <w:marRight w:val="0"/>
      <w:marTop w:val="0"/>
      <w:marBottom w:val="0"/>
      <w:divBdr>
        <w:top w:val="none" w:sz="0" w:space="0" w:color="auto"/>
        <w:left w:val="none" w:sz="0" w:space="0" w:color="auto"/>
        <w:bottom w:val="none" w:sz="0" w:space="0" w:color="auto"/>
        <w:right w:val="none" w:sz="0" w:space="0" w:color="auto"/>
      </w:divBdr>
    </w:div>
    <w:div w:id="96291654">
      <w:bodyDiv w:val="1"/>
      <w:marLeft w:val="0"/>
      <w:marRight w:val="0"/>
      <w:marTop w:val="0"/>
      <w:marBottom w:val="0"/>
      <w:divBdr>
        <w:top w:val="none" w:sz="0" w:space="0" w:color="auto"/>
        <w:left w:val="none" w:sz="0" w:space="0" w:color="auto"/>
        <w:bottom w:val="none" w:sz="0" w:space="0" w:color="auto"/>
        <w:right w:val="none" w:sz="0" w:space="0" w:color="auto"/>
      </w:divBdr>
    </w:div>
    <w:div w:id="96558474">
      <w:bodyDiv w:val="1"/>
      <w:marLeft w:val="0"/>
      <w:marRight w:val="0"/>
      <w:marTop w:val="0"/>
      <w:marBottom w:val="0"/>
      <w:divBdr>
        <w:top w:val="none" w:sz="0" w:space="0" w:color="auto"/>
        <w:left w:val="none" w:sz="0" w:space="0" w:color="auto"/>
        <w:bottom w:val="none" w:sz="0" w:space="0" w:color="auto"/>
        <w:right w:val="none" w:sz="0" w:space="0" w:color="auto"/>
      </w:divBdr>
    </w:div>
    <w:div w:id="103886771">
      <w:bodyDiv w:val="1"/>
      <w:marLeft w:val="0"/>
      <w:marRight w:val="0"/>
      <w:marTop w:val="0"/>
      <w:marBottom w:val="0"/>
      <w:divBdr>
        <w:top w:val="none" w:sz="0" w:space="0" w:color="auto"/>
        <w:left w:val="none" w:sz="0" w:space="0" w:color="auto"/>
        <w:bottom w:val="none" w:sz="0" w:space="0" w:color="auto"/>
        <w:right w:val="none" w:sz="0" w:space="0" w:color="auto"/>
      </w:divBdr>
    </w:div>
    <w:div w:id="112754213">
      <w:bodyDiv w:val="1"/>
      <w:marLeft w:val="0"/>
      <w:marRight w:val="0"/>
      <w:marTop w:val="0"/>
      <w:marBottom w:val="0"/>
      <w:divBdr>
        <w:top w:val="none" w:sz="0" w:space="0" w:color="auto"/>
        <w:left w:val="none" w:sz="0" w:space="0" w:color="auto"/>
        <w:bottom w:val="none" w:sz="0" w:space="0" w:color="auto"/>
        <w:right w:val="none" w:sz="0" w:space="0" w:color="auto"/>
      </w:divBdr>
    </w:div>
    <w:div w:id="115832688">
      <w:bodyDiv w:val="1"/>
      <w:marLeft w:val="0"/>
      <w:marRight w:val="0"/>
      <w:marTop w:val="0"/>
      <w:marBottom w:val="0"/>
      <w:divBdr>
        <w:top w:val="none" w:sz="0" w:space="0" w:color="auto"/>
        <w:left w:val="none" w:sz="0" w:space="0" w:color="auto"/>
        <w:bottom w:val="none" w:sz="0" w:space="0" w:color="auto"/>
        <w:right w:val="none" w:sz="0" w:space="0" w:color="auto"/>
      </w:divBdr>
    </w:div>
    <w:div w:id="117073547">
      <w:bodyDiv w:val="1"/>
      <w:marLeft w:val="0"/>
      <w:marRight w:val="0"/>
      <w:marTop w:val="0"/>
      <w:marBottom w:val="0"/>
      <w:divBdr>
        <w:top w:val="none" w:sz="0" w:space="0" w:color="auto"/>
        <w:left w:val="none" w:sz="0" w:space="0" w:color="auto"/>
        <w:bottom w:val="none" w:sz="0" w:space="0" w:color="auto"/>
        <w:right w:val="none" w:sz="0" w:space="0" w:color="auto"/>
      </w:divBdr>
    </w:div>
    <w:div w:id="124858572">
      <w:bodyDiv w:val="1"/>
      <w:marLeft w:val="0"/>
      <w:marRight w:val="0"/>
      <w:marTop w:val="0"/>
      <w:marBottom w:val="0"/>
      <w:divBdr>
        <w:top w:val="none" w:sz="0" w:space="0" w:color="auto"/>
        <w:left w:val="none" w:sz="0" w:space="0" w:color="auto"/>
        <w:bottom w:val="none" w:sz="0" w:space="0" w:color="auto"/>
        <w:right w:val="none" w:sz="0" w:space="0" w:color="auto"/>
      </w:divBdr>
    </w:div>
    <w:div w:id="126092767">
      <w:bodyDiv w:val="1"/>
      <w:marLeft w:val="0"/>
      <w:marRight w:val="0"/>
      <w:marTop w:val="0"/>
      <w:marBottom w:val="0"/>
      <w:divBdr>
        <w:top w:val="none" w:sz="0" w:space="0" w:color="auto"/>
        <w:left w:val="none" w:sz="0" w:space="0" w:color="auto"/>
        <w:bottom w:val="none" w:sz="0" w:space="0" w:color="auto"/>
        <w:right w:val="none" w:sz="0" w:space="0" w:color="auto"/>
      </w:divBdr>
    </w:div>
    <w:div w:id="126708080">
      <w:bodyDiv w:val="1"/>
      <w:marLeft w:val="0"/>
      <w:marRight w:val="0"/>
      <w:marTop w:val="0"/>
      <w:marBottom w:val="0"/>
      <w:divBdr>
        <w:top w:val="none" w:sz="0" w:space="0" w:color="auto"/>
        <w:left w:val="none" w:sz="0" w:space="0" w:color="auto"/>
        <w:bottom w:val="none" w:sz="0" w:space="0" w:color="auto"/>
        <w:right w:val="none" w:sz="0" w:space="0" w:color="auto"/>
      </w:divBdr>
    </w:div>
    <w:div w:id="134301597">
      <w:bodyDiv w:val="1"/>
      <w:marLeft w:val="0"/>
      <w:marRight w:val="0"/>
      <w:marTop w:val="0"/>
      <w:marBottom w:val="0"/>
      <w:divBdr>
        <w:top w:val="none" w:sz="0" w:space="0" w:color="auto"/>
        <w:left w:val="none" w:sz="0" w:space="0" w:color="auto"/>
        <w:bottom w:val="none" w:sz="0" w:space="0" w:color="auto"/>
        <w:right w:val="none" w:sz="0" w:space="0" w:color="auto"/>
      </w:divBdr>
    </w:div>
    <w:div w:id="135687029">
      <w:bodyDiv w:val="1"/>
      <w:marLeft w:val="0"/>
      <w:marRight w:val="0"/>
      <w:marTop w:val="0"/>
      <w:marBottom w:val="0"/>
      <w:divBdr>
        <w:top w:val="none" w:sz="0" w:space="0" w:color="auto"/>
        <w:left w:val="none" w:sz="0" w:space="0" w:color="auto"/>
        <w:bottom w:val="none" w:sz="0" w:space="0" w:color="auto"/>
        <w:right w:val="none" w:sz="0" w:space="0" w:color="auto"/>
      </w:divBdr>
    </w:div>
    <w:div w:id="135882362">
      <w:bodyDiv w:val="1"/>
      <w:marLeft w:val="0"/>
      <w:marRight w:val="0"/>
      <w:marTop w:val="0"/>
      <w:marBottom w:val="0"/>
      <w:divBdr>
        <w:top w:val="none" w:sz="0" w:space="0" w:color="auto"/>
        <w:left w:val="none" w:sz="0" w:space="0" w:color="auto"/>
        <w:bottom w:val="none" w:sz="0" w:space="0" w:color="auto"/>
        <w:right w:val="none" w:sz="0" w:space="0" w:color="auto"/>
      </w:divBdr>
    </w:div>
    <w:div w:id="141040914">
      <w:bodyDiv w:val="1"/>
      <w:marLeft w:val="0"/>
      <w:marRight w:val="0"/>
      <w:marTop w:val="0"/>
      <w:marBottom w:val="0"/>
      <w:divBdr>
        <w:top w:val="none" w:sz="0" w:space="0" w:color="auto"/>
        <w:left w:val="none" w:sz="0" w:space="0" w:color="auto"/>
        <w:bottom w:val="none" w:sz="0" w:space="0" w:color="auto"/>
        <w:right w:val="none" w:sz="0" w:space="0" w:color="auto"/>
      </w:divBdr>
    </w:div>
    <w:div w:id="144206597">
      <w:bodyDiv w:val="1"/>
      <w:marLeft w:val="0"/>
      <w:marRight w:val="0"/>
      <w:marTop w:val="0"/>
      <w:marBottom w:val="0"/>
      <w:divBdr>
        <w:top w:val="none" w:sz="0" w:space="0" w:color="auto"/>
        <w:left w:val="none" w:sz="0" w:space="0" w:color="auto"/>
        <w:bottom w:val="none" w:sz="0" w:space="0" w:color="auto"/>
        <w:right w:val="none" w:sz="0" w:space="0" w:color="auto"/>
      </w:divBdr>
    </w:div>
    <w:div w:id="161045756">
      <w:bodyDiv w:val="1"/>
      <w:marLeft w:val="0"/>
      <w:marRight w:val="0"/>
      <w:marTop w:val="0"/>
      <w:marBottom w:val="0"/>
      <w:divBdr>
        <w:top w:val="none" w:sz="0" w:space="0" w:color="auto"/>
        <w:left w:val="none" w:sz="0" w:space="0" w:color="auto"/>
        <w:bottom w:val="none" w:sz="0" w:space="0" w:color="auto"/>
        <w:right w:val="none" w:sz="0" w:space="0" w:color="auto"/>
      </w:divBdr>
    </w:div>
    <w:div w:id="162162674">
      <w:bodyDiv w:val="1"/>
      <w:marLeft w:val="0"/>
      <w:marRight w:val="0"/>
      <w:marTop w:val="0"/>
      <w:marBottom w:val="0"/>
      <w:divBdr>
        <w:top w:val="none" w:sz="0" w:space="0" w:color="auto"/>
        <w:left w:val="none" w:sz="0" w:space="0" w:color="auto"/>
        <w:bottom w:val="none" w:sz="0" w:space="0" w:color="auto"/>
        <w:right w:val="none" w:sz="0" w:space="0" w:color="auto"/>
      </w:divBdr>
    </w:div>
    <w:div w:id="167716883">
      <w:bodyDiv w:val="1"/>
      <w:marLeft w:val="0"/>
      <w:marRight w:val="0"/>
      <w:marTop w:val="0"/>
      <w:marBottom w:val="0"/>
      <w:divBdr>
        <w:top w:val="none" w:sz="0" w:space="0" w:color="auto"/>
        <w:left w:val="none" w:sz="0" w:space="0" w:color="auto"/>
        <w:bottom w:val="none" w:sz="0" w:space="0" w:color="auto"/>
        <w:right w:val="none" w:sz="0" w:space="0" w:color="auto"/>
      </w:divBdr>
    </w:div>
    <w:div w:id="175076496">
      <w:bodyDiv w:val="1"/>
      <w:marLeft w:val="0"/>
      <w:marRight w:val="0"/>
      <w:marTop w:val="0"/>
      <w:marBottom w:val="0"/>
      <w:divBdr>
        <w:top w:val="none" w:sz="0" w:space="0" w:color="auto"/>
        <w:left w:val="none" w:sz="0" w:space="0" w:color="auto"/>
        <w:bottom w:val="none" w:sz="0" w:space="0" w:color="auto"/>
        <w:right w:val="none" w:sz="0" w:space="0" w:color="auto"/>
      </w:divBdr>
    </w:div>
    <w:div w:id="186256668">
      <w:bodyDiv w:val="1"/>
      <w:marLeft w:val="0"/>
      <w:marRight w:val="0"/>
      <w:marTop w:val="0"/>
      <w:marBottom w:val="0"/>
      <w:divBdr>
        <w:top w:val="none" w:sz="0" w:space="0" w:color="auto"/>
        <w:left w:val="none" w:sz="0" w:space="0" w:color="auto"/>
        <w:bottom w:val="none" w:sz="0" w:space="0" w:color="auto"/>
        <w:right w:val="none" w:sz="0" w:space="0" w:color="auto"/>
      </w:divBdr>
    </w:div>
    <w:div w:id="186522807">
      <w:bodyDiv w:val="1"/>
      <w:marLeft w:val="0"/>
      <w:marRight w:val="0"/>
      <w:marTop w:val="0"/>
      <w:marBottom w:val="0"/>
      <w:divBdr>
        <w:top w:val="none" w:sz="0" w:space="0" w:color="auto"/>
        <w:left w:val="none" w:sz="0" w:space="0" w:color="auto"/>
        <w:bottom w:val="none" w:sz="0" w:space="0" w:color="auto"/>
        <w:right w:val="none" w:sz="0" w:space="0" w:color="auto"/>
      </w:divBdr>
    </w:div>
    <w:div w:id="192118140">
      <w:bodyDiv w:val="1"/>
      <w:marLeft w:val="0"/>
      <w:marRight w:val="0"/>
      <w:marTop w:val="0"/>
      <w:marBottom w:val="0"/>
      <w:divBdr>
        <w:top w:val="none" w:sz="0" w:space="0" w:color="auto"/>
        <w:left w:val="none" w:sz="0" w:space="0" w:color="auto"/>
        <w:bottom w:val="none" w:sz="0" w:space="0" w:color="auto"/>
        <w:right w:val="none" w:sz="0" w:space="0" w:color="auto"/>
      </w:divBdr>
    </w:div>
    <w:div w:id="214049384">
      <w:bodyDiv w:val="1"/>
      <w:marLeft w:val="0"/>
      <w:marRight w:val="0"/>
      <w:marTop w:val="0"/>
      <w:marBottom w:val="0"/>
      <w:divBdr>
        <w:top w:val="none" w:sz="0" w:space="0" w:color="auto"/>
        <w:left w:val="none" w:sz="0" w:space="0" w:color="auto"/>
        <w:bottom w:val="none" w:sz="0" w:space="0" w:color="auto"/>
        <w:right w:val="none" w:sz="0" w:space="0" w:color="auto"/>
      </w:divBdr>
    </w:div>
    <w:div w:id="216820367">
      <w:bodyDiv w:val="1"/>
      <w:marLeft w:val="0"/>
      <w:marRight w:val="0"/>
      <w:marTop w:val="0"/>
      <w:marBottom w:val="0"/>
      <w:divBdr>
        <w:top w:val="none" w:sz="0" w:space="0" w:color="auto"/>
        <w:left w:val="none" w:sz="0" w:space="0" w:color="auto"/>
        <w:bottom w:val="none" w:sz="0" w:space="0" w:color="auto"/>
        <w:right w:val="none" w:sz="0" w:space="0" w:color="auto"/>
      </w:divBdr>
    </w:div>
    <w:div w:id="217059624">
      <w:bodyDiv w:val="1"/>
      <w:marLeft w:val="0"/>
      <w:marRight w:val="0"/>
      <w:marTop w:val="0"/>
      <w:marBottom w:val="0"/>
      <w:divBdr>
        <w:top w:val="none" w:sz="0" w:space="0" w:color="auto"/>
        <w:left w:val="none" w:sz="0" w:space="0" w:color="auto"/>
        <w:bottom w:val="none" w:sz="0" w:space="0" w:color="auto"/>
        <w:right w:val="none" w:sz="0" w:space="0" w:color="auto"/>
      </w:divBdr>
    </w:div>
    <w:div w:id="227543888">
      <w:bodyDiv w:val="1"/>
      <w:marLeft w:val="0"/>
      <w:marRight w:val="0"/>
      <w:marTop w:val="0"/>
      <w:marBottom w:val="0"/>
      <w:divBdr>
        <w:top w:val="none" w:sz="0" w:space="0" w:color="auto"/>
        <w:left w:val="none" w:sz="0" w:space="0" w:color="auto"/>
        <w:bottom w:val="none" w:sz="0" w:space="0" w:color="auto"/>
        <w:right w:val="none" w:sz="0" w:space="0" w:color="auto"/>
      </w:divBdr>
    </w:div>
    <w:div w:id="235634372">
      <w:bodyDiv w:val="1"/>
      <w:marLeft w:val="0"/>
      <w:marRight w:val="0"/>
      <w:marTop w:val="0"/>
      <w:marBottom w:val="0"/>
      <w:divBdr>
        <w:top w:val="none" w:sz="0" w:space="0" w:color="auto"/>
        <w:left w:val="none" w:sz="0" w:space="0" w:color="auto"/>
        <w:bottom w:val="none" w:sz="0" w:space="0" w:color="auto"/>
        <w:right w:val="none" w:sz="0" w:space="0" w:color="auto"/>
      </w:divBdr>
    </w:div>
    <w:div w:id="243298020">
      <w:bodyDiv w:val="1"/>
      <w:marLeft w:val="0"/>
      <w:marRight w:val="0"/>
      <w:marTop w:val="0"/>
      <w:marBottom w:val="0"/>
      <w:divBdr>
        <w:top w:val="none" w:sz="0" w:space="0" w:color="auto"/>
        <w:left w:val="none" w:sz="0" w:space="0" w:color="auto"/>
        <w:bottom w:val="none" w:sz="0" w:space="0" w:color="auto"/>
        <w:right w:val="none" w:sz="0" w:space="0" w:color="auto"/>
      </w:divBdr>
    </w:div>
    <w:div w:id="246964058">
      <w:bodyDiv w:val="1"/>
      <w:marLeft w:val="0"/>
      <w:marRight w:val="0"/>
      <w:marTop w:val="0"/>
      <w:marBottom w:val="0"/>
      <w:divBdr>
        <w:top w:val="none" w:sz="0" w:space="0" w:color="auto"/>
        <w:left w:val="none" w:sz="0" w:space="0" w:color="auto"/>
        <w:bottom w:val="none" w:sz="0" w:space="0" w:color="auto"/>
        <w:right w:val="none" w:sz="0" w:space="0" w:color="auto"/>
      </w:divBdr>
    </w:div>
    <w:div w:id="258611123">
      <w:bodyDiv w:val="1"/>
      <w:marLeft w:val="0"/>
      <w:marRight w:val="0"/>
      <w:marTop w:val="0"/>
      <w:marBottom w:val="0"/>
      <w:divBdr>
        <w:top w:val="none" w:sz="0" w:space="0" w:color="auto"/>
        <w:left w:val="none" w:sz="0" w:space="0" w:color="auto"/>
        <w:bottom w:val="none" w:sz="0" w:space="0" w:color="auto"/>
        <w:right w:val="none" w:sz="0" w:space="0" w:color="auto"/>
      </w:divBdr>
    </w:div>
    <w:div w:id="259728665">
      <w:bodyDiv w:val="1"/>
      <w:marLeft w:val="0"/>
      <w:marRight w:val="0"/>
      <w:marTop w:val="0"/>
      <w:marBottom w:val="0"/>
      <w:divBdr>
        <w:top w:val="none" w:sz="0" w:space="0" w:color="auto"/>
        <w:left w:val="none" w:sz="0" w:space="0" w:color="auto"/>
        <w:bottom w:val="none" w:sz="0" w:space="0" w:color="auto"/>
        <w:right w:val="none" w:sz="0" w:space="0" w:color="auto"/>
      </w:divBdr>
    </w:div>
    <w:div w:id="260725476">
      <w:bodyDiv w:val="1"/>
      <w:marLeft w:val="0"/>
      <w:marRight w:val="0"/>
      <w:marTop w:val="0"/>
      <w:marBottom w:val="0"/>
      <w:divBdr>
        <w:top w:val="none" w:sz="0" w:space="0" w:color="auto"/>
        <w:left w:val="none" w:sz="0" w:space="0" w:color="auto"/>
        <w:bottom w:val="none" w:sz="0" w:space="0" w:color="auto"/>
        <w:right w:val="none" w:sz="0" w:space="0" w:color="auto"/>
      </w:divBdr>
    </w:div>
    <w:div w:id="262765239">
      <w:bodyDiv w:val="1"/>
      <w:marLeft w:val="0"/>
      <w:marRight w:val="0"/>
      <w:marTop w:val="0"/>
      <w:marBottom w:val="0"/>
      <w:divBdr>
        <w:top w:val="none" w:sz="0" w:space="0" w:color="auto"/>
        <w:left w:val="none" w:sz="0" w:space="0" w:color="auto"/>
        <w:bottom w:val="none" w:sz="0" w:space="0" w:color="auto"/>
        <w:right w:val="none" w:sz="0" w:space="0" w:color="auto"/>
      </w:divBdr>
    </w:div>
    <w:div w:id="264117527">
      <w:bodyDiv w:val="1"/>
      <w:marLeft w:val="0"/>
      <w:marRight w:val="0"/>
      <w:marTop w:val="0"/>
      <w:marBottom w:val="0"/>
      <w:divBdr>
        <w:top w:val="none" w:sz="0" w:space="0" w:color="auto"/>
        <w:left w:val="none" w:sz="0" w:space="0" w:color="auto"/>
        <w:bottom w:val="none" w:sz="0" w:space="0" w:color="auto"/>
        <w:right w:val="none" w:sz="0" w:space="0" w:color="auto"/>
      </w:divBdr>
    </w:div>
    <w:div w:id="267667276">
      <w:bodyDiv w:val="1"/>
      <w:marLeft w:val="0"/>
      <w:marRight w:val="0"/>
      <w:marTop w:val="0"/>
      <w:marBottom w:val="0"/>
      <w:divBdr>
        <w:top w:val="none" w:sz="0" w:space="0" w:color="auto"/>
        <w:left w:val="none" w:sz="0" w:space="0" w:color="auto"/>
        <w:bottom w:val="none" w:sz="0" w:space="0" w:color="auto"/>
        <w:right w:val="none" w:sz="0" w:space="0" w:color="auto"/>
      </w:divBdr>
    </w:div>
    <w:div w:id="278680667">
      <w:bodyDiv w:val="1"/>
      <w:marLeft w:val="0"/>
      <w:marRight w:val="0"/>
      <w:marTop w:val="0"/>
      <w:marBottom w:val="0"/>
      <w:divBdr>
        <w:top w:val="none" w:sz="0" w:space="0" w:color="auto"/>
        <w:left w:val="none" w:sz="0" w:space="0" w:color="auto"/>
        <w:bottom w:val="none" w:sz="0" w:space="0" w:color="auto"/>
        <w:right w:val="none" w:sz="0" w:space="0" w:color="auto"/>
      </w:divBdr>
    </w:div>
    <w:div w:id="278882300">
      <w:bodyDiv w:val="1"/>
      <w:marLeft w:val="0"/>
      <w:marRight w:val="0"/>
      <w:marTop w:val="0"/>
      <w:marBottom w:val="0"/>
      <w:divBdr>
        <w:top w:val="none" w:sz="0" w:space="0" w:color="auto"/>
        <w:left w:val="none" w:sz="0" w:space="0" w:color="auto"/>
        <w:bottom w:val="none" w:sz="0" w:space="0" w:color="auto"/>
        <w:right w:val="none" w:sz="0" w:space="0" w:color="auto"/>
      </w:divBdr>
    </w:div>
    <w:div w:id="290211391">
      <w:bodyDiv w:val="1"/>
      <w:marLeft w:val="0"/>
      <w:marRight w:val="0"/>
      <w:marTop w:val="0"/>
      <w:marBottom w:val="0"/>
      <w:divBdr>
        <w:top w:val="none" w:sz="0" w:space="0" w:color="auto"/>
        <w:left w:val="none" w:sz="0" w:space="0" w:color="auto"/>
        <w:bottom w:val="none" w:sz="0" w:space="0" w:color="auto"/>
        <w:right w:val="none" w:sz="0" w:space="0" w:color="auto"/>
      </w:divBdr>
    </w:div>
    <w:div w:id="290787476">
      <w:bodyDiv w:val="1"/>
      <w:marLeft w:val="0"/>
      <w:marRight w:val="0"/>
      <w:marTop w:val="0"/>
      <w:marBottom w:val="0"/>
      <w:divBdr>
        <w:top w:val="none" w:sz="0" w:space="0" w:color="auto"/>
        <w:left w:val="none" w:sz="0" w:space="0" w:color="auto"/>
        <w:bottom w:val="none" w:sz="0" w:space="0" w:color="auto"/>
        <w:right w:val="none" w:sz="0" w:space="0" w:color="auto"/>
      </w:divBdr>
    </w:div>
    <w:div w:id="294481631">
      <w:bodyDiv w:val="1"/>
      <w:marLeft w:val="0"/>
      <w:marRight w:val="0"/>
      <w:marTop w:val="0"/>
      <w:marBottom w:val="0"/>
      <w:divBdr>
        <w:top w:val="none" w:sz="0" w:space="0" w:color="auto"/>
        <w:left w:val="none" w:sz="0" w:space="0" w:color="auto"/>
        <w:bottom w:val="none" w:sz="0" w:space="0" w:color="auto"/>
        <w:right w:val="none" w:sz="0" w:space="0" w:color="auto"/>
      </w:divBdr>
    </w:div>
    <w:div w:id="309674684">
      <w:bodyDiv w:val="1"/>
      <w:marLeft w:val="0"/>
      <w:marRight w:val="0"/>
      <w:marTop w:val="0"/>
      <w:marBottom w:val="0"/>
      <w:divBdr>
        <w:top w:val="none" w:sz="0" w:space="0" w:color="auto"/>
        <w:left w:val="none" w:sz="0" w:space="0" w:color="auto"/>
        <w:bottom w:val="none" w:sz="0" w:space="0" w:color="auto"/>
        <w:right w:val="none" w:sz="0" w:space="0" w:color="auto"/>
      </w:divBdr>
    </w:div>
    <w:div w:id="311764020">
      <w:bodyDiv w:val="1"/>
      <w:marLeft w:val="0"/>
      <w:marRight w:val="0"/>
      <w:marTop w:val="0"/>
      <w:marBottom w:val="0"/>
      <w:divBdr>
        <w:top w:val="none" w:sz="0" w:space="0" w:color="auto"/>
        <w:left w:val="none" w:sz="0" w:space="0" w:color="auto"/>
        <w:bottom w:val="none" w:sz="0" w:space="0" w:color="auto"/>
        <w:right w:val="none" w:sz="0" w:space="0" w:color="auto"/>
      </w:divBdr>
    </w:div>
    <w:div w:id="326444145">
      <w:bodyDiv w:val="1"/>
      <w:marLeft w:val="0"/>
      <w:marRight w:val="0"/>
      <w:marTop w:val="0"/>
      <w:marBottom w:val="0"/>
      <w:divBdr>
        <w:top w:val="none" w:sz="0" w:space="0" w:color="auto"/>
        <w:left w:val="none" w:sz="0" w:space="0" w:color="auto"/>
        <w:bottom w:val="none" w:sz="0" w:space="0" w:color="auto"/>
        <w:right w:val="none" w:sz="0" w:space="0" w:color="auto"/>
      </w:divBdr>
    </w:div>
    <w:div w:id="330958944">
      <w:bodyDiv w:val="1"/>
      <w:marLeft w:val="0"/>
      <w:marRight w:val="0"/>
      <w:marTop w:val="0"/>
      <w:marBottom w:val="0"/>
      <w:divBdr>
        <w:top w:val="none" w:sz="0" w:space="0" w:color="auto"/>
        <w:left w:val="none" w:sz="0" w:space="0" w:color="auto"/>
        <w:bottom w:val="none" w:sz="0" w:space="0" w:color="auto"/>
        <w:right w:val="none" w:sz="0" w:space="0" w:color="auto"/>
      </w:divBdr>
    </w:div>
    <w:div w:id="332490122">
      <w:bodyDiv w:val="1"/>
      <w:marLeft w:val="0"/>
      <w:marRight w:val="0"/>
      <w:marTop w:val="0"/>
      <w:marBottom w:val="0"/>
      <w:divBdr>
        <w:top w:val="none" w:sz="0" w:space="0" w:color="auto"/>
        <w:left w:val="none" w:sz="0" w:space="0" w:color="auto"/>
        <w:bottom w:val="none" w:sz="0" w:space="0" w:color="auto"/>
        <w:right w:val="none" w:sz="0" w:space="0" w:color="auto"/>
      </w:divBdr>
    </w:div>
    <w:div w:id="333459098">
      <w:bodyDiv w:val="1"/>
      <w:marLeft w:val="0"/>
      <w:marRight w:val="0"/>
      <w:marTop w:val="0"/>
      <w:marBottom w:val="0"/>
      <w:divBdr>
        <w:top w:val="none" w:sz="0" w:space="0" w:color="auto"/>
        <w:left w:val="none" w:sz="0" w:space="0" w:color="auto"/>
        <w:bottom w:val="none" w:sz="0" w:space="0" w:color="auto"/>
        <w:right w:val="none" w:sz="0" w:space="0" w:color="auto"/>
      </w:divBdr>
    </w:div>
    <w:div w:id="336730114">
      <w:bodyDiv w:val="1"/>
      <w:marLeft w:val="0"/>
      <w:marRight w:val="0"/>
      <w:marTop w:val="0"/>
      <w:marBottom w:val="0"/>
      <w:divBdr>
        <w:top w:val="none" w:sz="0" w:space="0" w:color="auto"/>
        <w:left w:val="none" w:sz="0" w:space="0" w:color="auto"/>
        <w:bottom w:val="none" w:sz="0" w:space="0" w:color="auto"/>
        <w:right w:val="none" w:sz="0" w:space="0" w:color="auto"/>
      </w:divBdr>
    </w:div>
    <w:div w:id="352531941">
      <w:bodyDiv w:val="1"/>
      <w:marLeft w:val="0"/>
      <w:marRight w:val="0"/>
      <w:marTop w:val="0"/>
      <w:marBottom w:val="0"/>
      <w:divBdr>
        <w:top w:val="none" w:sz="0" w:space="0" w:color="auto"/>
        <w:left w:val="none" w:sz="0" w:space="0" w:color="auto"/>
        <w:bottom w:val="none" w:sz="0" w:space="0" w:color="auto"/>
        <w:right w:val="none" w:sz="0" w:space="0" w:color="auto"/>
      </w:divBdr>
    </w:div>
    <w:div w:id="353192020">
      <w:bodyDiv w:val="1"/>
      <w:marLeft w:val="0"/>
      <w:marRight w:val="0"/>
      <w:marTop w:val="0"/>
      <w:marBottom w:val="0"/>
      <w:divBdr>
        <w:top w:val="none" w:sz="0" w:space="0" w:color="auto"/>
        <w:left w:val="none" w:sz="0" w:space="0" w:color="auto"/>
        <w:bottom w:val="none" w:sz="0" w:space="0" w:color="auto"/>
        <w:right w:val="none" w:sz="0" w:space="0" w:color="auto"/>
      </w:divBdr>
    </w:div>
    <w:div w:id="354311599">
      <w:bodyDiv w:val="1"/>
      <w:marLeft w:val="0"/>
      <w:marRight w:val="0"/>
      <w:marTop w:val="0"/>
      <w:marBottom w:val="0"/>
      <w:divBdr>
        <w:top w:val="none" w:sz="0" w:space="0" w:color="auto"/>
        <w:left w:val="none" w:sz="0" w:space="0" w:color="auto"/>
        <w:bottom w:val="none" w:sz="0" w:space="0" w:color="auto"/>
        <w:right w:val="none" w:sz="0" w:space="0" w:color="auto"/>
      </w:divBdr>
    </w:div>
    <w:div w:id="364255997">
      <w:bodyDiv w:val="1"/>
      <w:marLeft w:val="0"/>
      <w:marRight w:val="0"/>
      <w:marTop w:val="0"/>
      <w:marBottom w:val="0"/>
      <w:divBdr>
        <w:top w:val="none" w:sz="0" w:space="0" w:color="auto"/>
        <w:left w:val="none" w:sz="0" w:space="0" w:color="auto"/>
        <w:bottom w:val="none" w:sz="0" w:space="0" w:color="auto"/>
        <w:right w:val="none" w:sz="0" w:space="0" w:color="auto"/>
      </w:divBdr>
    </w:div>
    <w:div w:id="369496896">
      <w:bodyDiv w:val="1"/>
      <w:marLeft w:val="0"/>
      <w:marRight w:val="0"/>
      <w:marTop w:val="0"/>
      <w:marBottom w:val="0"/>
      <w:divBdr>
        <w:top w:val="none" w:sz="0" w:space="0" w:color="auto"/>
        <w:left w:val="none" w:sz="0" w:space="0" w:color="auto"/>
        <w:bottom w:val="none" w:sz="0" w:space="0" w:color="auto"/>
        <w:right w:val="none" w:sz="0" w:space="0" w:color="auto"/>
      </w:divBdr>
    </w:div>
    <w:div w:id="371224216">
      <w:bodyDiv w:val="1"/>
      <w:marLeft w:val="0"/>
      <w:marRight w:val="0"/>
      <w:marTop w:val="0"/>
      <w:marBottom w:val="0"/>
      <w:divBdr>
        <w:top w:val="none" w:sz="0" w:space="0" w:color="auto"/>
        <w:left w:val="none" w:sz="0" w:space="0" w:color="auto"/>
        <w:bottom w:val="none" w:sz="0" w:space="0" w:color="auto"/>
        <w:right w:val="none" w:sz="0" w:space="0" w:color="auto"/>
      </w:divBdr>
    </w:div>
    <w:div w:id="373847113">
      <w:bodyDiv w:val="1"/>
      <w:marLeft w:val="0"/>
      <w:marRight w:val="0"/>
      <w:marTop w:val="0"/>
      <w:marBottom w:val="0"/>
      <w:divBdr>
        <w:top w:val="none" w:sz="0" w:space="0" w:color="auto"/>
        <w:left w:val="none" w:sz="0" w:space="0" w:color="auto"/>
        <w:bottom w:val="none" w:sz="0" w:space="0" w:color="auto"/>
        <w:right w:val="none" w:sz="0" w:space="0" w:color="auto"/>
      </w:divBdr>
    </w:div>
    <w:div w:id="382490518">
      <w:bodyDiv w:val="1"/>
      <w:marLeft w:val="0"/>
      <w:marRight w:val="0"/>
      <w:marTop w:val="0"/>
      <w:marBottom w:val="0"/>
      <w:divBdr>
        <w:top w:val="none" w:sz="0" w:space="0" w:color="auto"/>
        <w:left w:val="none" w:sz="0" w:space="0" w:color="auto"/>
        <w:bottom w:val="none" w:sz="0" w:space="0" w:color="auto"/>
        <w:right w:val="none" w:sz="0" w:space="0" w:color="auto"/>
      </w:divBdr>
    </w:div>
    <w:div w:id="386492136">
      <w:bodyDiv w:val="1"/>
      <w:marLeft w:val="0"/>
      <w:marRight w:val="0"/>
      <w:marTop w:val="0"/>
      <w:marBottom w:val="0"/>
      <w:divBdr>
        <w:top w:val="none" w:sz="0" w:space="0" w:color="auto"/>
        <w:left w:val="none" w:sz="0" w:space="0" w:color="auto"/>
        <w:bottom w:val="none" w:sz="0" w:space="0" w:color="auto"/>
        <w:right w:val="none" w:sz="0" w:space="0" w:color="auto"/>
      </w:divBdr>
    </w:div>
    <w:div w:id="387076066">
      <w:bodyDiv w:val="1"/>
      <w:marLeft w:val="0"/>
      <w:marRight w:val="0"/>
      <w:marTop w:val="0"/>
      <w:marBottom w:val="0"/>
      <w:divBdr>
        <w:top w:val="none" w:sz="0" w:space="0" w:color="auto"/>
        <w:left w:val="none" w:sz="0" w:space="0" w:color="auto"/>
        <w:bottom w:val="none" w:sz="0" w:space="0" w:color="auto"/>
        <w:right w:val="none" w:sz="0" w:space="0" w:color="auto"/>
      </w:divBdr>
    </w:div>
    <w:div w:id="396245378">
      <w:bodyDiv w:val="1"/>
      <w:marLeft w:val="0"/>
      <w:marRight w:val="0"/>
      <w:marTop w:val="0"/>
      <w:marBottom w:val="0"/>
      <w:divBdr>
        <w:top w:val="none" w:sz="0" w:space="0" w:color="auto"/>
        <w:left w:val="none" w:sz="0" w:space="0" w:color="auto"/>
        <w:bottom w:val="none" w:sz="0" w:space="0" w:color="auto"/>
        <w:right w:val="none" w:sz="0" w:space="0" w:color="auto"/>
      </w:divBdr>
    </w:div>
    <w:div w:id="397754493">
      <w:bodyDiv w:val="1"/>
      <w:marLeft w:val="0"/>
      <w:marRight w:val="0"/>
      <w:marTop w:val="0"/>
      <w:marBottom w:val="0"/>
      <w:divBdr>
        <w:top w:val="none" w:sz="0" w:space="0" w:color="auto"/>
        <w:left w:val="none" w:sz="0" w:space="0" w:color="auto"/>
        <w:bottom w:val="none" w:sz="0" w:space="0" w:color="auto"/>
        <w:right w:val="none" w:sz="0" w:space="0" w:color="auto"/>
      </w:divBdr>
    </w:div>
    <w:div w:id="398671267">
      <w:bodyDiv w:val="1"/>
      <w:marLeft w:val="0"/>
      <w:marRight w:val="0"/>
      <w:marTop w:val="0"/>
      <w:marBottom w:val="0"/>
      <w:divBdr>
        <w:top w:val="none" w:sz="0" w:space="0" w:color="auto"/>
        <w:left w:val="none" w:sz="0" w:space="0" w:color="auto"/>
        <w:bottom w:val="none" w:sz="0" w:space="0" w:color="auto"/>
        <w:right w:val="none" w:sz="0" w:space="0" w:color="auto"/>
      </w:divBdr>
    </w:div>
    <w:div w:id="399913064">
      <w:bodyDiv w:val="1"/>
      <w:marLeft w:val="0"/>
      <w:marRight w:val="0"/>
      <w:marTop w:val="0"/>
      <w:marBottom w:val="0"/>
      <w:divBdr>
        <w:top w:val="none" w:sz="0" w:space="0" w:color="auto"/>
        <w:left w:val="none" w:sz="0" w:space="0" w:color="auto"/>
        <w:bottom w:val="none" w:sz="0" w:space="0" w:color="auto"/>
        <w:right w:val="none" w:sz="0" w:space="0" w:color="auto"/>
      </w:divBdr>
    </w:div>
    <w:div w:id="402608588">
      <w:bodyDiv w:val="1"/>
      <w:marLeft w:val="0"/>
      <w:marRight w:val="0"/>
      <w:marTop w:val="0"/>
      <w:marBottom w:val="0"/>
      <w:divBdr>
        <w:top w:val="none" w:sz="0" w:space="0" w:color="auto"/>
        <w:left w:val="none" w:sz="0" w:space="0" w:color="auto"/>
        <w:bottom w:val="none" w:sz="0" w:space="0" w:color="auto"/>
        <w:right w:val="none" w:sz="0" w:space="0" w:color="auto"/>
      </w:divBdr>
    </w:div>
    <w:div w:id="410543784">
      <w:bodyDiv w:val="1"/>
      <w:marLeft w:val="0"/>
      <w:marRight w:val="0"/>
      <w:marTop w:val="0"/>
      <w:marBottom w:val="0"/>
      <w:divBdr>
        <w:top w:val="none" w:sz="0" w:space="0" w:color="auto"/>
        <w:left w:val="none" w:sz="0" w:space="0" w:color="auto"/>
        <w:bottom w:val="none" w:sz="0" w:space="0" w:color="auto"/>
        <w:right w:val="none" w:sz="0" w:space="0" w:color="auto"/>
      </w:divBdr>
    </w:div>
    <w:div w:id="421414734">
      <w:bodyDiv w:val="1"/>
      <w:marLeft w:val="0"/>
      <w:marRight w:val="0"/>
      <w:marTop w:val="0"/>
      <w:marBottom w:val="0"/>
      <w:divBdr>
        <w:top w:val="none" w:sz="0" w:space="0" w:color="auto"/>
        <w:left w:val="none" w:sz="0" w:space="0" w:color="auto"/>
        <w:bottom w:val="none" w:sz="0" w:space="0" w:color="auto"/>
        <w:right w:val="none" w:sz="0" w:space="0" w:color="auto"/>
      </w:divBdr>
    </w:div>
    <w:div w:id="422337220">
      <w:bodyDiv w:val="1"/>
      <w:marLeft w:val="0"/>
      <w:marRight w:val="0"/>
      <w:marTop w:val="0"/>
      <w:marBottom w:val="0"/>
      <w:divBdr>
        <w:top w:val="none" w:sz="0" w:space="0" w:color="auto"/>
        <w:left w:val="none" w:sz="0" w:space="0" w:color="auto"/>
        <w:bottom w:val="none" w:sz="0" w:space="0" w:color="auto"/>
        <w:right w:val="none" w:sz="0" w:space="0" w:color="auto"/>
      </w:divBdr>
    </w:div>
    <w:div w:id="422729925">
      <w:bodyDiv w:val="1"/>
      <w:marLeft w:val="0"/>
      <w:marRight w:val="0"/>
      <w:marTop w:val="0"/>
      <w:marBottom w:val="0"/>
      <w:divBdr>
        <w:top w:val="none" w:sz="0" w:space="0" w:color="auto"/>
        <w:left w:val="none" w:sz="0" w:space="0" w:color="auto"/>
        <w:bottom w:val="none" w:sz="0" w:space="0" w:color="auto"/>
        <w:right w:val="none" w:sz="0" w:space="0" w:color="auto"/>
      </w:divBdr>
    </w:div>
    <w:div w:id="427700326">
      <w:bodyDiv w:val="1"/>
      <w:marLeft w:val="0"/>
      <w:marRight w:val="0"/>
      <w:marTop w:val="0"/>
      <w:marBottom w:val="0"/>
      <w:divBdr>
        <w:top w:val="none" w:sz="0" w:space="0" w:color="auto"/>
        <w:left w:val="none" w:sz="0" w:space="0" w:color="auto"/>
        <w:bottom w:val="none" w:sz="0" w:space="0" w:color="auto"/>
        <w:right w:val="none" w:sz="0" w:space="0" w:color="auto"/>
      </w:divBdr>
    </w:div>
    <w:div w:id="428476556">
      <w:bodyDiv w:val="1"/>
      <w:marLeft w:val="0"/>
      <w:marRight w:val="0"/>
      <w:marTop w:val="0"/>
      <w:marBottom w:val="0"/>
      <w:divBdr>
        <w:top w:val="none" w:sz="0" w:space="0" w:color="auto"/>
        <w:left w:val="none" w:sz="0" w:space="0" w:color="auto"/>
        <w:bottom w:val="none" w:sz="0" w:space="0" w:color="auto"/>
        <w:right w:val="none" w:sz="0" w:space="0" w:color="auto"/>
      </w:divBdr>
    </w:div>
    <w:div w:id="429207330">
      <w:bodyDiv w:val="1"/>
      <w:marLeft w:val="0"/>
      <w:marRight w:val="0"/>
      <w:marTop w:val="0"/>
      <w:marBottom w:val="0"/>
      <w:divBdr>
        <w:top w:val="none" w:sz="0" w:space="0" w:color="auto"/>
        <w:left w:val="none" w:sz="0" w:space="0" w:color="auto"/>
        <w:bottom w:val="none" w:sz="0" w:space="0" w:color="auto"/>
        <w:right w:val="none" w:sz="0" w:space="0" w:color="auto"/>
      </w:divBdr>
    </w:div>
    <w:div w:id="433749340">
      <w:bodyDiv w:val="1"/>
      <w:marLeft w:val="0"/>
      <w:marRight w:val="0"/>
      <w:marTop w:val="0"/>
      <w:marBottom w:val="0"/>
      <w:divBdr>
        <w:top w:val="none" w:sz="0" w:space="0" w:color="auto"/>
        <w:left w:val="none" w:sz="0" w:space="0" w:color="auto"/>
        <w:bottom w:val="none" w:sz="0" w:space="0" w:color="auto"/>
        <w:right w:val="none" w:sz="0" w:space="0" w:color="auto"/>
      </w:divBdr>
    </w:div>
    <w:div w:id="441148550">
      <w:bodyDiv w:val="1"/>
      <w:marLeft w:val="0"/>
      <w:marRight w:val="0"/>
      <w:marTop w:val="0"/>
      <w:marBottom w:val="0"/>
      <w:divBdr>
        <w:top w:val="none" w:sz="0" w:space="0" w:color="auto"/>
        <w:left w:val="none" w:sz="0" w:space="0" w:color="auto"/>
        <w:bottom w:val="none" w:sz="0" w:space="0" w:color="auto"/>
        <w:right w:val="none" w:sz="0" w:space="0" w:color="auto"/>
      </w:divBdr>
    </w:div>
    <w:div w:id="446196510">
      <w:bodyDiv w:val="1"/>
      <w:marLeft w:val="0"/>
      <w:marRight w:val="0"/>
      <w:marTop w:val="0"/>
      <w:marBottom w:val="0"/>
      <w:divBdr>
        <w:top w:val="none" w:sz="0" w:space="0" w:color="auto"/>
        <w:left w:val="none" w:sz="0" w:space="0" w:color="auto"/>
        <w:bottom w:val="none" w:sz="0" w:space="0" w:color="auto"/>
        <w:right w:val="none" w:sz="0" w:space="0" w:color="auto"/>
      </w:divBdr>
    </w:div>
    <w:div w:id="454176647">
      <w:bodyDiv w:val="1"/>
      <w:marLeft w:val="0"/>
      <w:marRight w:val="0"/>
      <w:marTop w:val="0"/>
      <w:marBottom w:val="0"/>
      <w:divBdr>
        <w:top w:val="none" w:sz="0" w:space="0" w:color="auto"/>
        <w:left w:val="none" w:sz="0" w:space="0" w:color="auto"/>
        <w:bottom w:val="none" w:sz="0" w:space="0" w:color="auto"/>
        <w:right w:val="none" w:sz="0" w:space="0" w:color="auto"/>
      </w:divBdr>
    </w:div>
    <w:div w:id="454719625">
      <w:bodyDiv w:val="1"/>
      <w:marLeft w:val="0"/>
      <w:marRight w:val="0"/>
      <w:marTop w:val="0"/>
      <w:marBottom w:val="0"/>
      <w:divBdr>
        <w:top w:val="none" w:sz="0" w:space="0" w:color="auto"/>
        <w:left w:val="none" w:sz="0" w:space="0" w:color="auto"/>
        <w:bottom w:val="none" w:sz="0" w:space="0" w:color="auto"/>
        <w:right w:val="none" w:sz="0" w:space="0" w:color="auto"/>
      </w:divBdr>
    </w:div>
    <w:div w:id="460655321">
      <w:bodyDiv w:val="1"/>
      <w:marLeft w:val="0"/>
      <w:marRight w:val="0"/>
      <w:marTop w:val="0"/>
      <w:marBottom w:val="0"/>
      <w:divBdr>
        <w:top w:val="none" w:sz="0" w:space="0" w:color="auto"/>
        <w:left w:val="none" w:sz="0" w:space="0" w:color="auto"/>
        <w:bottom w:val="none" w:sz="0" w:space="0" w:color="auto"/>
        <w:right w:val="none" w:sz="0" w:space="0" w:color="auto"/>
      </w:divBdr>
    </w:div>
    <w:div w:id="461733333">
      <w:bodyDiv w:val="1"/>
      <w:marLeft w:val="0"/>
      <w:marRight w:val="0"/>
      <w:marTop w:val="0"/>
      <w:marBottom w:val="0"/>
      <w:divBdr>
        <w:top w:val="none" w:sz="0" w:space="0" w:color="auto"/>
        <w:left w:val="none" w:sz="0" w:space="0" w:color="auto"/>
        <w:bottom w:val="none" w:sz="0" w:space="0" w:color="auto"/>
        <w:right w:val="none" w:sz="0" w:space="0" w:color="auto"/>
      </w:divBdr>
    </w:div>
    <w:div w:id="462161984">
      <w:bodyDiv w:val="1"/>
      <w:marLeft w:val="0"/>
      <w:marRight w:val="0"/>
      <w:marTop w:val="0"/>
      <w:marBottom w:val="0"/>
      <w:divBdr>
        <w:top w:val="none" w:sz="0" w:space="0" w:color="auto"/>
        <w:left w:val="none" w:sz="0" w:space="0" w:color="auto"/>
        <w:bottom w:val="none" w:sz="0" w:space="0" w:color="auto"/>
        <w:right w:val="none" w:sz="0" w:space="0" w:color="auto"/>
      </w:divBdr>
    </w:div>
    <w:div w:id="462238179">
      <w:bodyDiv w:val="1"/>
      <w:marLeft w:val="0"/>
      <w:marRight w:val="0"/>
      <w:marTop w:val="0"/>
      <w:marBottom w:val="0"/>
      <w:divBdr>
        <w:top w:val="none" w:sz="0" w:space="0" w:color="auto"/>
        <w:left w:val="none" w:sz="0" w:space="0" w:color="auto"/>
        <w:bottom w:val="none" w:sz="0" w:space="0" w:color="auto"/>
        <w:right w:val="none" w:sz="0" w:space="0" w:color="auto"/>
      </w:divBdr>
    </w:div>
    <w:div w:id="464734765">
      <w:bodyDiv w:val="1"/>
      <w:marLeft w:val="0"/>
      <w:marRight w:val="0"/>
      <w:marTop w:val="0"/>
      <w:marBottom w:val="0"/>
      <w:divBdr>
        <w:top w:val="none" w:sz="0" w:space="0" w:color="auto"/>
        <w:left w:val="none" w:sz="0" w:space="0" w:color="auto"/>
        <w:bottom w:val="none" w:sz="0" w:space="0" w:color="auto"/>
        <w:right w:val="none" w:sz="0" w:space="0" w:color="auto"/>
      </w:divBdr>
    </w:div>
    <w:div w:id="465900076">
      <w:bodyDiv w:val="1"/>
      <w:marLeft w:val="0"/>
      <w:marRight w:val="0"/>
      <w:marTop w:val="0"/>
      <w:marBottom w:val="0"/>
      <w:divBdr>
        <w:top w:val="none" w:sz="0" w:space="0" w:color="auto"/>
        <w:left w:val="none" w:sz="0" w:space="0" w:color="auto"/>
        <w:bottom w:val="none" w:sz="0" w:space="0" w:color="auto"/>
        <w:right w:val="none" w:sz="0" w:space="0" w:color="auto"/>
      </w:divBdr>
    </w:div>
    <w:div w:id="470513593">
      <w:bodyDiv w:val="1"/>
      <w:marLeft w:val="0"/>
      <w:marRight w:val="0"/>
      <w:marTop w:val="0"/>
      <w:marBottom w:val="0"/>
      <w:divBdr>
        <w:top w:val="none" w:sz="0" w:space="0" w:color="auto"/>
        <w:left w:val="none" w:sz="0" w:space="0" w:color="auto"/>
        <w:bottom w:val="none" w:sz="0" w:space="0" w:color="auto"/>
        <w:right w:val="none" w:sz="0" w:space="0" w:color="auto"/>
      </w:divBdr>
    </w:div>
    <w:div w:id="480731520">
      <w:bodyDiv w:val="1"/>
      <w:marLeft w:val="0"/>
      <w:marRight w:val="0"/>
      <w:marTop w:val="0"/>
      <w:marBottom w:val="0"/>
      <w:divBdr>
        <w:top w:val="none" w:sz="0" w:space="0" w:color="auto"/>
        <w:left w:val="none" w:sz="0" w:space="0" w:color="auto"/>
        <w:bottom w:val="none" w:sz="0" w:space="0" w:color="auto"/>
        <w:right w:val="none" w:sz="0" w:space="0" w:color="auto"/>
      </w:divBdr>
    </w:div>
    <w:div w:id="488332338">
      <w:bodyDiv w:val="1"/>
      <w:marLeft w:val="0"/>
      <w:marRight w:val="0"/>
      <w:marTop w:val="0"/>
      <w:marBottom w:val="0"/>
      <w:divBdr>
        <w:top w:val="none" w:sz="0" w:space="0" w:color="auto"/>
        <w:left w:val="none" w:sz="0" w:space="0" w:color="auto"/>
        <w:bottom w:val="none" w:sz="0" w:space="0" w:color="auto"/>
        <w:right w:val="none" w:sz="0" w:space="0" w:color="auto"/>
      </w:divBdr>
    </w:div>
    <w:div w:id="495265697">
      <w:bodyDiv w:val="1"/>
      <w:marLeft w:val="0"/>
      <w:marRight w:val="0"/>
      <w:marTop w:val="0"/>
      <w:marBottom w:val="0"/>
      <w:divBdr>
        <w:top w:val="none" w:sz="0" w:space="0" w:color="auto"/>
        <w:left w:val="none" w:sz="0" w:space="0" w:color="auto"/>
        <w:bottom w:val="none" w:sz="0" w:space="0" w:color="auto"/>
        <w:right w:val="none" w:sz="0" w:space="0" w:color="auto"/>
      </w:divBdr>
    </w:div>
    <w:div w:id="495925447">
      <w:bodyDiv w:val="1"/>
      <w:marLeft w:val="0"/>
      <w:marRight w:val="0"/>
      <w:marTop w:val="0"/>
      <w:marBottom w:val="0"/>
      <w:divBdr>
        <w:top w:val="none" w:sz="0" w:space="0" w:color="auto"/>
        <w:left w:val="none" w:sz="0" w:space="0" w:color="auto"/>
        <w:bottom w:val="none" w:sz="0" w:space="0" w:color="auto"/>
        <w:right w:val="none" w:sz="0" w:space="0" w:color="auto"/>
      </w:divBdr>
    </w:div>
    <w:div w:id="499467959">
      <w:bodyDiv w:val="1"/>
      <w:marLeft w:val="0"/>
      <w:marRight w:val="0"/>
      <w:marTop w:val="0"/>
      <w:marBottom w:val="0"/>
      <w:divBdr>
        <w:top w:val="none" w:sz="0" w:space="0" w:color="auto"/>
        <w:left w:val="none" w:sz="0" w:space="0" w:color="auto"/>
        <w:bottom w:val="none" w:sz="0" w:space="0" w:color="auto"/>
        <w:right w:val="none" w:sz="0" w:space="0" w:color="auto"/>
      </w:divBdr>
    </w:div>
    <w:div w:id="502555586">
      <w:bodyDiv w:val="1"/>
      <w:marLeft w:val="0"/>
      <w:marRight w:val="0"/>
      <w:marTop w:val="0"/>
      <w:marBottom w:val="0"/>
      <w:divBdr>
        <w:top w:val="none" w:sz="0" w:space="0" w:color="auto"/>
        <w:left w:val="none" w:sz="0" w:space="0" w:color="auto"/>
        <w:bottom w:val="none" w:sz="0" w:space="0" w:color="auto"/>
        <w:right w:val="none" w:sz="0" w:space="0" w:color="auto"/>
      </w:divBdr>
    </w:div>
    <w:div w:id="503017093">
      <w:bodyDiv w:val="1"/>
      <w:marLeft w:val="0"/>
      <w:marRight w:val="0"/>
      <w:marTop w:val="0"/>
      <w:marBottom w:val="0"/>
      <w:divBdr>
        <w:top w:val="none" w:sz="0" w:space="0" w:color="auto"/>
        <w:left w:val="none" w:sz="0" w:space="0" w:color="auto"/>
        <w:bottom w:val="none" w:sz="0" w:space="0" w:color="auto"/>
        <w:right w:val="none" w:sz="0" w:space="0" w:color="auto"/>
      </w:divBdr>
    </w:div>
    <w:div w:id="504366979">
      <w:bodyDiv w:val="1"/>
      <w:marLeft w:val="0"/>
      <w:marRight w:val="0"/>
      <w:marTop w:val="0"/>
      <w:marBottom w:val="0"/>
      <w:divBdr>
        <w:top w:val="none" w:sz="0" w:space="0" w:color="auto"/>
        <w:left w:val="none" w:sz="0" w:space="0" w:color="auto"/>
        <w:bottom w:val="none" w:sz="0" w:space="0" w:color="auto"/>
        <w:right w:val="none" w:sz="0" w:space="0" w:color="auto"/>
      </w:divBdr>
    </w:div>
    <w:div w:id="506674365">
      <w:bodyDiv w:val="1"/>
      <w:marLeft w:val="0"/>
      <w:marRight w:val="0"/>
      <w:marTop w:val="0"/>
      <w:marBottom w:val="0"/>
      <w:divBdr>
        <w:top w:val="none" w:sz="0" w:space="0" w:color="auto"/>
        <w:left w:val="none" w:sz="0" w:space="0" w:color="auto"/>
        <w:bottom w:val="none" w:sz="0" w:space="0" w:color="auto"/>
        <w:right w:val="none" w:sz="0" w:space="0" w:color="auto"/>
      </w:divBdr>
    </w:div>
    <w:div w:id="509411958">
      <w:bodyDiv w:val="1"/>
      <w:marLeft w:val="0"/>
      <w:marRight w:val="0"/>
      <w:marTop w:val="0"/>
      <w:marBottom w:val="0"/>
      <w:divBdr>
        <w:top w:val="none" w:sz="0" w:space="0" w:color="auto"/>
        <w:left w:val="none" w:sz="0" w:space="0" w:color="auto"/>
        <w:bottom w:val="none" w:sz="0" w:space="0" w:color="auto"/>
        <w:right w:val="none" w:sz="0" w:space="0" w:color="auto"/>
      </w:divBdr>
    </w:div>
    <w:div w:id="509636664">
      <w:bodyDiv w:val="1"/>
      <w:marLeft w:val="0"/>
      <w:marRight w:val="0"/>
      <w:marTop w:val="0"/>
      <w:marBottom w:val="0"/>
      <w:divBdr>
        <w:top w:val="none" w:sz="0" w:space="0" w:color="auto"/>
        <w:left w:val="none" w:sz="0" w:space="0" w:color="auto"/>
        <w:bottom w:val="none" w:sz="0" w:space="0" w:color="auto"/>
        <w:right w:val="none" w:sz="0" w:space="0" w:color="auto"/>
      </w:divBdr>
    </w:div>
    <w:div w:id="512887731">
      <w:bodyDiv w:val="1"/>
      <w:marLeft w:val="0"/>
      <w:marRight w:val="0"/>
      <w:marTop w:val="0"/>
      <w:marBottom w:val="0"/>
      <w:divBdr>
        <w:top w:val="none" w:sz="0" w:space="0" w:color="auto"/>
        <w:left w:val="none" w:sz="0" w:space="0" w:color="auto"/>
        <w:bottom w:val="none" w:sz="0" w:space="0" w:color="auto"/>
        <w:right w:val="none" w:sz="0" w:space="0" w:color="auto"/>
      </w:divBdr>
    </w:div>
    <w:div w:id="513350002">
      <w:bodyDiv w:val="1"/>
      <w:marLeft w:val="0"/>
      <w:marRight w:val="0"/>
      <w:marTop w:val="0"/>
      <w:marBottom w:val="0"/>
      <w:divBdr>
        <w:top w:val="none" w:sz="0" w:space="0" w:color="auto"/>
        <w:left w:val="none" w:sz="0" w:space="0" w:color="auto"/>
        <w:bottom w:val="none" w:sz="0" w:space="0" w:color="auto"/>
        <w:right w:val="none" w:sz="0" w:space="0" w:color="auto"/>
      </w:divBdr>
    </w:div>
    <w:div w:id="518929204">
      <w:bodyDiv w:val="1"/>
      <w:marLeft w:val="0"/>
      <w:marRight w:val="0"/>
      <w:marTop w:val="0"/>
      <w:marBottom w:val="0"/>
      <w:divBdr>
        <w:top w:val="none" w:sz="0" w:space="0" w:color="auto"/>
        <w:left w:val="none" w:sz="0" w:space="0" w:color="auto"/>
        <w:bottom w:val="none" w:sz="0" w:space="0" w:color="auto"/>
        <w:right w:val="none" w:sz="0" w:space="0" w:color="auto"/>
      </w:divBdr>
    </w:div>
    <w:div w:id="532694242">
      <w:bodyDiv w:val="1"/>
      <w:marLeft w:val="0"/>
      <w:marRight w:val="0"/>
      <w:marTop w:val="0"/>
      <w:marBottom w:val="0"/>
      <w:divBdr>
        <w:top w:val="none" w:sz="0" w:space="0" w:color="auto"/>
        <w:left w:val="none" w:sz="0" w:space="0" w:color="auto"/>
        <w:bottom w:val="none" w:sz="0" w:space="0" w:color="auto"/>
        <w:right w:val="none" w:sz="0" w:space="0" w:color="auto"/>
      </w:divBdr>
    </w:div>
    <w:div w:id="548683951">
      <w:bodyDiv w:val="1"/>
      <w:marLeft w:val="0"/>
      <w:marRight w:val="0"/>
      <w:marTop w:val="0"/>
      <w:marBottom w:val="0"/>
      <w:divBdr>
        <w:top w:val="none" w:sz="0" w:space="0" w:color="auto"/>
        <w:left w:val="none" w:sz="0" w:space="0" w:color="auto"/>
        <w:bottom w:val="none" w:sz="0" w:space="0" w:color="auto"/>
        <w:right w:val="none" w:sz="0" w:space="0" w:color="auto"/>
      </w:divBdr>
    </w:div>
    <w:div w:id="554437482">
      <w:bodyDiv w:val="1"/>
      <w:marLeft w:val="0"/>
      <w:marRight w:val="0"/>
      <w:marTop w:val="0"/>
      <w:marBottom w:val="0"/>
      <w:divBdr>
        <w:top w:val="none" w:sz="0" w:space="0" w:color="auto"/>
        <w:left w:val="none" w:sz="0" w:space="0" w:color="auto"/>
        <w:bottom w:val="none" w:sz="0" w:space="0" w:color="auto"/>
        <w:right w:val="none" w:sz="0" w:space="0" w:color="auto"/>
      </w:divBdr>
    </w:div>
    <w:div w:id="555968618">
      <w:bodyDiv w:val="1"/>
      <w:marLeft w:val="0"/>
      <w:marRight w:val="0"/>
      <w:marTop w:val="0"/>
      <w:marBottom w:val="0"/>
      <w:divBdr>
        <w:top w:val="none" w:sz="0" w:space="0" w:color="auto"/>
        <w:left w:val="none" w:sz="0" w:space="0" w:color="auto"/>
        <w:bottom w:val="none" w:sz="0" w:space="0" w:color="auto"/>
        <w:right w:val="none" w:sz="0" w:space="0" w:color="auto"/>
      </w:divBdr>
    </w:div>
    <w:div w:id="560601416">
      <w:bodyDiv w:val="1"/>
      <w:marLeft w:val="0"/>
      <w:marRight w:val="0"/>
      <w:marTop w:val="0"/>
      <w:marBottom w:val="0"/>
      <w:divBdr>
        <w:top w:val="none" w:sz="0" w:space="0" w:color="auto"/>
        <w:left w:val="none" w:sz="0" w:space="0" w:color="auto"/>
        <w:bottom w:val="none" w:sz="0" w:space="0" w:color="auto"/>
        <w:right w:val="none" w:sz="0" w:space="0" w:color="auto"/>
      </w:divBdr>
    </w:div>
    <w:div w:id="572089125">
      <w:bodyDiv w:val="1"/>
      <w:marLeft w:val="0"/>
      <w:marRight w:val="0"/>
      <w:marTop w:val="0"/>
      <w:marBottom w:val="0"/>
      <w:divBdr>
        <w:top w:val="none" w:sz="0" w:space="0" w:color="auto"/>
        <w:left w:val="none" w:sz="0" w:space="0" w:color="auto"/>
        <w:bottom w:val="none" w:sz="0" w:space="0" w:color="auto"/>
        <w:right w:val="none" w:sz="0" w:space="0" w:color="auto"/>
      </w:divBdr>
    </w:div>
    <w:div w:id="581255315">
      <w:bodyDiv w:val="1"/>
      <w:marLeft w:val="0"/>
      <w:marRight w:val="0"/>
      <w:marTop w:val="0"/>
      <w:marBottom w:val="0"/>
      <w:divBdr>
        <w:top w:val="none" w:sz="0" w:space="0" w:color="auto"/>
        <w:left w:val="none" w:sz="0" w:space="0" w:color="auto"/>
        <w:bottom w:val="none" w:sz="0" w:space="0" w:color="auto"/>
        <w:right w:val="none" w:sz="0" w:space="0" w:color="auto"/>
      </w:divBdr>
    </w:div>
    <w:div w:id="581569497">
      <w:bodyDiv w:val="1"/>
      <w:marLeft w:val="0"/>
      <w:marRight w:val="0"/>
      <w:marTop w:val="0"/>
      <w:marBottom w:val="0"/>
      <w:divBdr>
        <w:top w:val="none" w:sz="0" w:space="0" w:color="auto"/>
        <w:left w:val="none" w:sz="0" w:space="0" w:color="auto"/>
        <w:bottom w:val="none" w:sz="0" w:space="0" w:color="auto"/>
        <w:right w:val="none" w:sz="0" w:space="0" w:color="auto"/>
      </w:divBdr>
    </w:div>
    <w:div w:id="591818262">
      <w:bodyDiv w:val="1"/>
      <w:marLeft w:val="0"/>
      <w:marRight w:val="0"/>
      <w:marTop w:val="0"/>
      <w:marBottom w:val="0"/>
      <w:divBdr>
        <w:top w:val="none" w:sz="0" w:space="0" w:color="auto"/>
        <w:left w:val="none" w:sz="0" w:space="0" w:color="auto"/>
        <w:bottom w:val="none" w:sz="0" w:space="0" w:color="auto"/>
        <w:right w:val="none" w:sz="0" w:space="0" w:color="auto"/>
      </w:divBdr>
    </w:div>
    <w:div w:id="608511512">
      <w:bodyDiv w:val="1"/>
      <w:marLeft w:val="0"/>
      <w:marRight w:val="0"/>
      <w:marTop w:val="0"/>
      <w:marBottom w:val="0"/>
      <w:divBdr>
        <w:top w:val="none" w:sz="0" w:space="0" w:color="auto"/>
        <w:left w:val="none" w:sz="0" w:space="0" w:color="auto"/>
        <w:bottom w:val="none" w:sz="0" w:space="0" w:color="auto"/>
        <w:right w:val="none" w:sz="0" w:space="0" w:color="auto"/>
      </w:divBdr>
    </w:div>
    <w:div w:id="609121646">
      <w:bodyDiv w:val="1"/>
      <w:marLeft w:val="0"/>
      <w:marRight w:val="0"/>
      <w:marTop w:val="0"/>
      <w:marBottom w:val="0"/>
      <w:divBdr>
        <w:top w:val="none" w:sz="0" w:space="0" w:color="auto"/>
        <w:left w:val="none" w:sz="0" w:space="0" w:color="auto"/>
        <w:bottom w:val="none" w:sz="0" w:space="0" w:color="auto"/>
        <w:right w:val="none" w:sz="0" w:space="0" w:color="auto"/>
      </w:divBdr>
    </w:div>
    <w:div w:id="615135338">
      <w:bodyDiv w:val="1"/>
      <w:marLeft w:val="0"/>
      <w:marRight w:val="0"/>
      <w:marTop w:val="0"/>
      <w:marBottom w:val="0"/>
      <w:divBdr>
        <w:top w:val="none" w:sz="0" w:space="0" w:color="auto"/>
        <w:left w:val="none" w:sz="0" w:space="0" w:color="auto"/>
        <w:bottom w:val="none" w:sz="0" w:space="0" w:color="auto"/>
        <w:right w:val="none" w:sz="0" w:space="0" w:color="auto"/>
      </w:divBdr>
    </w:div>
    <w:div w:id="616911059">
      <w:bodyDiv w:val="1"/>
      <w:marLeft w:val="0"/>
      <w:marRight w:val="0"/>
      <w:marTop w:val="0"/>
      <w:marBottom w:val="0"/>
      <w:divBdr>
        <w:top w:val="none" w:sz="0" w:space="0" w:color="auto"/>
        <w:left w:val="none" w:sz="0" w:space="0" w:color="auto"/>
        <w:bottom w:val="none" w:sz="0" w:space="0" w:color="auto"/>
        <w:right w:val="none" w:sz="0" w:space="0" w:color="auto"/>
      </w:divBdr>
    </w:div>
    <w:div w:id="621887549">
      <w:bodyDiv w:val="1"/>
      <w:marLeft w:val="0"/>
      <w:marRight w:val="0"/>
      <w:marTop w:val="0"/>
      <w:marBottom w:val="0"/>
      <w:divBdr>
        <w:top w:val="none" w:sz="0" w:space="0" w:color="auto"/>
        <w:left w:val="none" w:sz="0" w:space="0" w:color="auto"/>
        <w:bottom w:val="none" w:sz="0" w:space="0" w:color="auto"/>
        <w:right w:val="none" w:sz="0" w:space="0" w:color="auto"/>
      </w:divBdr>
    </w:div>
    <w:div w:id="626816960">
      <w:bodyDiv w:val="1"/>
      <w:marLeft w:val="0"/>
      <w:marRight w:val="0"/>
      <w:marTop w:val="0"/>
      <w:marBottom w:val="0"/>
      <w:divBdr>
        <w:top w:val="none" w:sz="0" w:space="0" w:color="auto"/>
        <w:left w:val="none" w:sz="0" w:space="0" w:color="auto"/>
        <w:bottom w:val="none" w:sz="0" w:space="0" w:color="auto"/>
        <w:right w:val="none" w:sz="0" w:space="0" w:color="auto"/>
      </w:divBdr>
    </w:div>
    <w:div w:id="631323198">
      <w:bodyDiv w:val="1"/>
      <w:marLeft w:val="0"/>
      <w:marRight w:val="0"/>
      <w:marTop w:val="0"/>
      <w:marBottom w:val="0"/>
      <w:divBdr>
        <w:top w:val="none" w:sz="0" w:space="0" w:color="auto"/>
        <w:left w:val="none" w:sz="0" w:space="0" w:color="auto"/>
        <w:bottom w:val="none" w:sz="0" w:space="0" w:color="auto"/>
        <w:right w:val="none" w:sz="0" w:space="0" w:color="auto"/>
      </w:divBdr>
    </w:div>
    <w:div w:id="638876940">
      <w:bodyDiv w:val="1"/>
      <w:marLeft w:val="0"/>
      <w:marRight w:val="0"/>
      <w:marTop w:val="0"/>
      <w:marBottom w:val="0"/>
      <w:divBdr>
        <w:top w:val="none" w:sz="0" w:space="0" w:color="auto"/>
        <w:left w:val="none" w:sz="0" w:space="0" w:color="auto"/>
        <w:bottom w:val="none" w:sz="0" w:space="0" w:color="auto"/>
        <w:right w:val="none" w:sz="0" w:space="0" w:color="auto"/>
      </w:divBdr>
    </w:div>
    <w:div w:id="644622999">
      <w:bodyDiv w:val="1"/>
      <w:marLeft w:val="0"/>
      <w:marRight w:val="0"/>
      <w:marTop w:val="0"/>
      <w:marBottom w:val="0"/>
      <w:divBdr>
        <w:top w:val="none" w:sz="0" w:space="0" w:color="auto"/>
        <w:left w:val="none" w:sz="0" w:space="0" w:color="auto"/>
        <w:bottom w:val="none" w:sz="0" w:space="0" w:color="auto"/>
        <w:right w:val="none" w:sz="0" w:space="0" w:color="auto"/>
      </w:divBdr>
    </w:div>
    <w:div w:id="647436299">
      <w:bodyDiv w:val="1"/>
      <w:marLeft w:val="0"/>
      <w:marRight w:val="0"/>
      <w:marTop w:val="0"/>
      <w:marBottom w:val="0"/>
      <w:divBdr>
        <w:top w:val="none" w:sz="0" w:space="0" w:color="auto"/>
        <w:left w:val="none" w:sz="0" w:space="0" w:color="auto"/>
        <w:bottom w:val="none" w:sz="0" w:space="0" w:color="auto"/>
        <w:right w:val="none" w:sz="0" w:space="0" w:color="auto"/>
      </w:divBdr>
    </w:div>
    <w:div w:id="649599703">
      <w:bodyDiv w:val="1"/>
      <w:marLeft w:val="0"/>
      <w:marRight w:val="0"/>
      <w:marTop w:val="0"/>
      <w:marBottom w:val="0"/>
      <w:divBdr>
        <w:top w:val="none" w:sz="0" w:space="0" w:color="auto"/>
        <w:left w:val="none" w:sz="0" w:space="0" w:color="auto"/>
        <w:bottom w:val="none" w:sz="0" w:space="0" w:color="auto"/>
        <w:right w:val="none" w:sz="0" w:space="0" w:color="auto"/>
      </w:divBdr>
      <w:divsChild>
        <w:div w:id="1806851670">
          <w:marLeft w:val="0"/>
          <w:marRight w:val="0"/>
          <w:marTop w:val="0"/>
          <w:marBottom w:val="0"/>
          <w:divBdr>
            <w:top w:val="none" w:sz="0" w:space="0" w:color="auto"/>
            <w:left w:val="none" w:sz="0" w:space="0" w:color="auto"/>
            <w:bottom w:val="none" w:sz="0" w:space="0" w:color="auto"/>
            <w:right w:val="none" w:sz="0" w:space="0" w:color="auto"/>
          </w:divBdr>
          <w:divsChild>
            <w:div w:id="1514953363">
              <w:marLeft w:val="0"/>
              <w:marRight w:val="0"/>
              <w:marTop w:val="0"/>
              <w:marBottom w:val="0"/>
              <w:divBdr>
                <w:top w:val="none" w:sz="0" w:space="0" w:color="auto"/>
                <w:left w:val="none" w:sz="0" w:space="0" w:color="auto"/>
                <w:bottom w:val="none" w:sz="0" w:space="0" w:color="auto"/>
                <w:right w:val="none" w:sz="0" w:space="0" w:color="auto"/>
              </w:divBdr>
              <w:divsChild>
                <w:div w:id="5368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69347">
      <w:bodyDiv w:val="1"/>
      <w:marLeft w:val="0"/>
      <w:marRight w:val="0"/>
      <w:marTop w:val="0"/>
      <w:marBottom w:val="0"/>
      <w:divBdr>
        <w:top w:val="none" w:sz="0" w:space="0" w:color="auto"/>
        <w:left w:val="none" w:sz="0" w:space="0" w:color="auto"/>
        <w:bottom w:val="none" w:sz="0" w:space="0" w:color="auto"/>
        <w:right w:val="none" w:sz="0" w:space="0" w:color="auto"/>
      </w:divBdr>
    </w:div>
    <w:div w:id="660159649">
      <w:bodyDiv w:val="1"/>
      <w:marLeft w:val="0"/>
      <w:marRight w:val="0"/>
      <w:marTop w:val="0"/>
      <w:marBottom w:val="0"/>
      <w:divBdr>
        <w:top w:val="none" w:sz="0" w:space="0" w:color="auto"/>
        <w:left w:val="none" w:sz="0" w:space="0" w:color="auto"/>
        <w:bottom w:val="none" w:sz="0" w:space="0" w:color="auto"/>
        <w:right w:val="none" w:sz="0" w:space="0" w:color="auto"/>
      </w:divBdr>
    </w:div>
    <w:div w:id="661743202">
      <w:bodyDiv w:val="1"/>
      <w:marLeft w:val="0"/>
      <w:marRight w:val="0"/>
      <w:marTop w:val="0"/>
      <w:marBottom w:val="0"/>
      <w:divBdr>
        <w:top w:val="none" w:sz="0" w:space="0" w:color="auto"/>
        <w:left w:val="none" w:sz="0" w:space="0" w:color="auto"/>
        <w:bottom w:val="none" w:sz="0" w:space="0" w:color="auto"/>
        <w:right w:val="none" w:sz="0" w:space="0" w:color="auto"/>
      </w:divBdr>
    </w:div>
    <w:div w:id="662978124">
      <w:bodyDiv w:val="1"/>
      <w:marLeft w:val="0"/>
      <w:marRight w:val="0"/>
      <w:marTop w:val="0"/>
      <w:marBottom w:val="0"/>
      <w:divBdr>
        <w:top w:val="none" w:sz="0" w:space="0" w:color="auto"/>
        <w:left w:val="none" w:sz="0" w:space="0" w:color="auto"/>
        <w:bottom w:val="none" w:sz="0" w:space="0" w:color="auto"/>
        <w:right w:val="none" w:sz="0" w:space="0" w:color="auto"/>
      </w:divBdr>
    </w:div>
    <w:div w:id="663240907">
      <w:bodyDiv w:val="1"/>
      <w:marLeft w:val="0"/>
      <w:marRight w:val="0"/>
      <w:marTop w:val="0"/>
      <w:marBottom w:val="0"/>
      <w:divBdr>
        <w:top w:val="none" w:sz="0" w:space="0" w:color="auto"/>
        <w:left w:val="none" w:sz="0" w:space="0" w:color="auto"/>
        <w:bottom w:val="none" w:sz="0" w:space="0" w:color="auto"/>
        <w:right w:val="none" w:sz="0" w:space="0" w:color="auto"/>
      </w:divBdr>
    </w:div>
    <w:div w:id="663628690">
      <w:bodyDiv w:val="1"/>
      <w:marLeft w:val="0"/>
      <w:marRight w:val="0"/>
      <w:marTop w:val="0"/>
      <w:marBottom w:val="0"/>
      <w:divBdr>
        <w:top w:val="none" w:sz="0" w:space="0" w:color="auto"/>
        <w:left w:val="none" w:sz="0" w:space="0" w:color="auto"/>
        <w:bottom w:val="none" w:sz="0" w:space="0" w:color="auto"/>
        <w:right w:val="none" w:sz="0" w:space="0" w:color="auto"/>
      </w:divBdr>
    </w:div>
    <w:div w:id="664212861">
      <w:bodyDiv w:val="1"/>
      <w:marLeft w:val="0"/>
      <w:marRight w:val="0"/>
      <w:marTop w:val="0"/>
      <w:marBottom w:val="0"/>
      <w:divBdr>
        <w:top w:val="none" w:sz="0" w:space="0" w:color="auto"/>
        <w:left w:val="none" w:sz="0" w:space="0" w:color="auto"/>
        <w:bottom w:val="none" w:sz="0" w:space="0" w:color="auto"/>
        <w:right w:val="none" w:sz="0" w:space="0" w:color="auto"/>
      </w:divBdr>
    </w:div>
    <w:div w:id="665982395">
      <w:bodyDiv w:val="1"/>
      <w:marLeft w:val="0"/>
      <w:marRight w:val="0"/>
      <w:marTop w:val="0"/>
      <w:marBottom w:val="0"/>
      <w:divBdr>
        <w:top w:val="none" w:sz="0" w:space="0" w:color="auto"/>
        <w:left w:val="none" w:sz="0" w:space="0" w:color="auto"/>
        <w:bottom w:val="none" w:sz="0" w:space="0" w:color="auto"/>
        <w:right w:val="none" w:sz="0" w:space="0" w:color="auto"/>
      </w:divBdr>
    </w:div>
    <w:div w:id="668215141">
      <w:bodyDiv w:val="1"/>
      <w:marLeft w:val="0"/>
      <w:marRight w:val="0"/>
      <w:marTop w:val="0"/>
      <w:marBottom w:val="0"/>
      <w:divBdr>
        <w:top w:val="none" w:sz="0" w:space="0" w:color="auto"/>
        <w:left w:val="none" w:sz="0" w:space="0" w:color="auto"/>
        <w:bottom w:val="none" w:sz="0" w:space="0" w:color="auto"/>
        <w:right w:val="none" w:sz="0" w:space="0" w:color="auto"/>
      </w:divBdr>
    </w:div>
    <w:div w:id="671836807">
      <w:bodyDiv w:val="1"/>
      <w:marLeft w:val="0"/>
      <w:marRight w:val="0"/>
      <w:marTop w:val="0"/>
      <w:marBottom w:val="0"/>
      <w:divBdr>
        <w:top w:val="none" w:sz="0" w:space="0" w:color="auto"/>
        <w:left w:val="none" w:sz="0" w:space="0" w:color="auto"/>
        <w:bottom w:val="none" w:sz="0" w:space="0" w:color="auto"/>
        <w:right w:val="none" w:sz="0" w:space="0" w:color="auto"/>
      </w:divBdr>
    </w:div>
    <w:div w:id="684746015">
      <w:bodyDiv w:val="1"/>
      <w:marLeft w:val="0"/>
      <w:marRight w:val="0"/>
      <w:marTop w:val="0"/>
      <w:marBottom w:val="0"/>
      <w:divBdr>
        <w:top w:val="none" w:sz="0" w:space="0" w:color="auto"/>
        <w:left w:val="none" w:sz="0" w:space="0" w:color="auto"/>
        <w:bottom w:val="none" w:sz="0" w:space="0" w:color="auto"/>
        <w:right w:val="none" w:sz="0" w:space="0" w:color="auto"/>
      </w:divBdr>
    </w:div>
    <w:div w:id="697045025">
      <w:bodyDiv w:val="1"/>
      <w:marLeft w:val="0"/>
      <w:marRight w:val="0"/>
      <w:marTop w:val="0"/>
      <w:marBottom w:val="0"/>
      <w:divBdr>
        <w:top w:val="none" w:sz="0" w:space="0" w:color="auto"/>
        <w:left w:val="none" w:sz="0" w:space="0" w:color="auto"/>
        <w:bottom w:val="none" w:sz="0" w:space="0" w:color="auto"/>
        <w:right w:val="none" w:sz="0" w:space="0" w:color="auto"/>
      </w:divBdr>
    </w:div>
    <w:div w:id="704135985">
      <w:bodyDiv w:val="1"/>
      <w:marLeft w:val="0"/>
      <w:marRight w:val="0"/>
      <w:marTop w:val="0"/>
      <w:marBottom w:val="0"/>
      <w:divBdr>
        <w:top w:val="none" w:sz="0" w:space="0" w:color="auto"/>
        <w:left w:val="none" w:sz="0" w:space="0" w:color="auto"/>
        <w:bottom w:val="none" w:sz="0" w:space="0" w:color="auto"/>
        <w:right w:val="none" w:sz="0" w:space="0" w:color="auto"/>
      </w:divBdr>
    </w:div>
    <w:div w:id="706637290">
      <w:bodyDiv w:val="1"/>
      <w:marLeft w:val="0"/>
      <w:marRight w:val="0"/>
      <w:marTop w:val="0"/>
      <w:marBottom w:val="0"/>
      <w:divBdr>
        <w:top w:val="none" w:sz="0" w:space="0" w:color="auto"/>
        <w:left w:val="none" w:sz="0" w:space="0" w:color="auto"/>
        <w:bottom w:val="none" w:sz="0" w:space="0" w:color="auto"/>
        <w:right w:val="none" w:sz="0" w:space="0" w:color="auto"/>
      </w:divBdr>
    </w:div>
    <w:div w:id="710686970">
      <w:bodyDiv w:val="1"/>
      <w:marLeft w:val="0"/>
      <w:marRight w:val="0"/>
      <w:marTop w:val="0"/>
      <w:marBottom w:val="0"/>
      <w:divBdr>
        <w:top w:val="none" w:sz="0" w:space="0" w:color="auto"/>
        <w:left w:val="none" w:sz="0" w:space="0" w:color="auto"/>
        <w:bottom w:val="none" w:sz="0" w:space="0" w:color="auto"/>
        <w:right w:val="none" w:sz="0" w:space="0" w:color="auto"/>
      </w:divBdr>
    </w:div>
    <w:div w:id="711535711">
      <w:bodyDiv w:val="1"/>
      <w:marLeft w:val="0"/>
      <w:marRight w:val="0"/>
      <w:marTop w:val="0"/>
      <w:marBottom w:val="0"/>
      <w:divBdr>
        <w:top w:val="none" w:sz="0" w:space="0" w:color="auto"/>
        <w:left w:val="none" w:sz="0" w:space="0" w:color="auto"/>
        <w:bottom w:val="none" w:sz="0" w:space="0" w:color="auto"/>
        <w:right w:val="none" w:sz="0" w:space="0" w:color="auto"/>
      </w:divBdr>
    </w:div>
    <w:div w:id="723677225">
      <w:bodyDiv w:val="1"/>
      <w:marLeft w:val="0"/>
      <w:marRight w:val="0"/>
      <w:marTop w:val="0"/>
      <w:marBottom w:val="0"/>
      <w:divBdr>
        <w:top w:val="none" w:sz="0" w:space="0" w:color="auto"/>
        <w:left w:val="none" w:sz="0" w:space="0" w:color="auto"/>
        <w:bottom w:val="none" w:sz="0" w:space="0" w:color="auto"/>
        <w:right w:val="none" w:sz="0" w:space="0" w:color="auto"/>
      </w:divBdr>
    </w:div>
    <w:div w:id="729966111">
      <w:bodyDiv w:val="1"/>
      <w:marLeft w:val="0"/>
      <w:marRight w:val="0"/>
      <w:marTop w:val="0"/>
      <w:marBottom w:val="0"/>
      <w:divBdr>
        <w:top w:val="none" w:sz="0" w:space="0" w:color="auto"/>
        <w:left w:val="none" w:sz="0" w:space="0" w:color="auto"/>
        <w:bottom w:val="none" w:sz="0" w:space="0" w:color="auto"/>
        <w:right w:val="none" w:sz="0" w:space="0" w:color="auto"/>
      </w:divBdr>
    </w:div>
    <w:div w:id="735469915">
      <w:bodyDiv w:val="1"/>
      <w:marLeft w:val="0"/>
      <w:marRight w:val="0"/>
      <w:marTop w:val="0"/>
      <w:marBottom w:val="0"/>
      <w:divBdr>
        <w:top w:val="none" w:sz="0" w:space="0" w:color="auto"/>
        <w:left w:val="none" w:sz="0" w:space="0" w:color="auto"/>
        <w:bottom w:val="none" w:sz="0" w:space="0" w:color="auto"/>
        <w:right w:val="none" w:sz="0" w:space="0" w:color="auto"/>
      </w:divBdr>
    </w:div>
    <w:div w:id="737168233">
      <w:bodyDiv w:val="1"/>
      <w:marLeft w:val="0"/>
      <w:marRight w:val="0"/>
      <w:marTop w:val="0"/>
      <w:marBottom w:val="0"/>
      <w:divBdr>
        <w:top w:val="none" w:sz="0" w:space="0" w:color="auto"/>
        <w:left w:val="none" w:sz="0" w:space="0" w:color="auto"/>
        <w:bottom w:val="none" w:sz="0" w:space="0" w:color="auto"/>
        <w:right w:val="none" w:sz="0" w:space="0" w:color="auto"/>
      </w:divBdr>
    </w:div>
    <w:div w:id="746877286">
      <w:bodyDiv w:val="1"/>
      <w:marLeft w:val="0"/>
      <w:marRight w:val="0"/>
      <w:marTop w:val="0"/>
      <w:marBottom w:val="0"/>
      <w:divBdr>
        <w:top w:val="none" w:sz="0" w:space="0" w:color="auto"/>
        <w:left w:val="none" w:sz="0" w:space="0" w:color="auto"/>
        <w:bottom w:val="none" w:sz="0" w:space="0" w:color="auto"/>
        <w:right w:val="none" w:sz="0" w:space="0" w:color="auto"/>
      </w:divBdr>
    </w:div>
    <w:div w:id="751664469">
      <w:bodyDiv w:val="1"/>
      <w:marLeft w:val="0"/>
      <w:marRight w:val="0"/>
      <w:marTop w:val="0"/>
      <w:marBottom w:val="0"/>
      <w:divBdr>
        <w:top w:val="none" w:sz="0" w:space="0" w:color="auto"/>
        <w:left w:val="none" w:sz="0" w:space="0" w:color="auto"/>
        <w:bottom w:val="none" w:sz="0" w:space="0" w:color="auto"/>
        <w:right w:val="none" w:sz="0" w:space="0" w:color="auto"/>
      </w:divBdr>
    </w:div>
    <w:div w:id="752357731">
      <w:bodyDiv w:val="1"/>
      <w:marLeft w:val="0"/>
      <w:marRight w:val="0"/>
      <w:marTop w:val="0"/>
      <w:marBottom w:val="0"/>
      <w:divBdr>
        <w:top w:val="none" w:sz="0" w:space="0" w:color="auto"/>
        <w:left w:val="none" w:sz="0" w:space="0" w:color="auto"/>
        <w:bottom w:val="none" w:sz="0" w:space="0" w:color="auto"/>
        <w:right w:val="none" w:sz="0" w:space="0" w:color="auto"/>
      </w:divBdr>
    </w:div>
    <w:div w:id="756445437">
      <w:bodyDiv w:val="1"/>
      <w:marLeft w:val="0"/>
      <w:marRight w:val="0"/>
      <w:marTop w:val="0"/>
      <w:marBottom w:val="0"/>
      <w:divBdr>
        <w:top w:val="none" w:sz="0" w:space="0" w:color="auto"/>
        <w:left w:val="none" w:sz="0" w:space="0" w:color="auto"/>
        <w:bottom w:val="none" w:sz="0" w:space="0" w:color="auto"/>
        <w:right w:val="none" w:sz="0" w:space="0" w:color="auto"/>
      </w:divBdr>
    </w:div>
    <w:div w:id="760446271">
      <w:bodyDiv w:val="1"/>
      <w:marLeft w:val="0"/>
      <w:marRight w:val="0"/>
      <w:marTop w:val="0"/>
      <w:marBottom w:val="0"/>
      <w:divBdr>
        <w:top w:val="none" w:sz="0" w:space="0" w:color="auto"/>
        <w:left w:val="none" w:sz="0" w:space="0" w:color="auto"/>
        <w:bottom w:val="none" w:sz="0" w:space="0" w:color="auto"/>
        <w:right w:val="none" w:sz="0" w:space="0" w:color="auto"/>
      </w:divBdr>
    </w:div>
    <w:div w:id="765807016">
      <w:bodyDiv w:val="1"/>
      <w:marLeft w:val="0"/>
      <w:marRight w:val="0"/>
      <w:marTop w:val="0"/>
      <w:marBottom w:val="0"/>
      <w:divBdr>
        <w:top w:val="none" w:sz="0" w:space="0" w:color="auto"/>
        <w:left w:val="none" w:sz="0" w:space="0" w:color="auto"/>
        <w:bottom w:val="none" w:sz="0" w:space="0" w:color="auto"/>
        <w:right w:val="none" w:sz="0" w:space="0" w:color="auto"/>
      </w:divBdr>
    </w:div>
    <w:div w:id="766463984">
      <w:bodyDiv w:val="1"/>
      <w:marLeft w:val="0"/>
      <w:marRight w:val="0"/>
      <w:marTop w:val="0"/>
      <w:marBottom w:val="0"/>
      <w:divBdr>
        <w:top w:val="none" w:sz="0" w:space="0" w:color="auto"/>
        <w:left w:val="none" w:sz="0" w:space="0" w:color="auto"/>
        <w:bottom w:val="none" w:sz="0" w:space="0" w:color="auto"/>
        <w:right w:val="none" w:sz="0" w:space="0" w:color="auto"/>
      </w:divBdr>
    </w:div>
    <w:div w:id="767238073">
      <w:bodyDiv w:val="1"/>
      <w:marLeft w:val="0"/>
      <w:marRight w:val="0"/>
      <w:marTop w:val="0"/>
      <w:marBottom w:val="0"/>
      <w:divBdr>
        <w:top w:val="none" w:sz="0" w:space="0" w:color="auto"/>
        <w:left w:val="none" w:sz="0" w:space="0" w:color="auto"/>
        <w:bottom w:val="none" w:sz="0" w:space="0" w:color="auto"/>
        <w:right w:val="none" w:sz="0" w:space="0" w:color="auto"/>
      </w:divBdr>
    </w:div>
    <w:div w:id="768702380">
      <w:bodyDiv w:val="1"/>
      <w:marLeft w:val="0"/>
      <w:marRight w:val="0"/>
      <w:marTop w:val="0"/>
      <w:marBottom w:val="0"/>
      <w:divBdr>
        <w:top w:val="none" w:sz="0" w:space="0" w:color="auto"/>
        <w:left w:val="none" w:sz="0" w:space="0" w:color="auto"/>
        <w:bottom w:val="none" w:sz="0" w:space="0" w:color="auto"/>
        <w:right w:val="none" w:sz="0" w:space="0" w:color="auto"/>
      </w:divBdr>
    </w:div>
    <w:div w:id="769350280">
      <w:bodyDiv w:val="1"/>
      <w:marLeft w:val="0"/>
      <w:marRight w:val="0"/>
      <w:marTop w:val="0"/>
      <w:marBottom w:val="0"/>
      <w:divBdr>
        <w:top w:val="none" w:sz="0" w:space="0" w:color="auto"/>
        <w:left w:val="none" w:sz="0" w:space="0" w:color="auto"/>
        <w:bottom w:val="none" w:sz="0" w:space="0" w:color="auto"/>
        <w:right w:val="none" w:sz="0" w:space="0" w:color="auto"/>
      </w:divBdr>
    </w:div>
    <w:div w:id="774709926">
      <w:bodyDiv w:val="1"/>
      <w:marLeft w:val="0"/>
      <w:marRight w:val="0"/>
      <w:marTop w:val="0"/>
      <w:marBottom w:val="0"/>
      <w:divBdr>
        <w:top w:val="none" w:sz="0" w:space="0" w:color="auto"/>
        <w:left w:val="none" w:sz="0" w:space="0" w:color="auto"/>
        <w:bottom w:val="none" w:sz="0" w:space="0" w:color="auto"/>
        <w:right w:val="none" w:sz="0" w:space="0" w:color="auto"/>
      </w:divBdr>
    </w:div>
    <w:div w:id="775103088">
      <w:bodyDiv w:val="1"/>
      <w:marLeft w:val="0"/>
      <w:marRight w:val="0"/>
      <w:marTop w:val="0"/>
      <w:marBottom w:val="0"/>
      <w:divBdr>
        <w:top w:val="none" w:sz="0" w:space="0" w:color="auto"/>
        <w:left w:val="none" w:sz="0" w:space="0" w:color="auto"/>
        <w:bottom w:val="none" w:sz="0" w:space="0" w:color="auto"/>
        <w:right w:val="none" w:sz="0" w:space="0" w:color="auto"/>
      </w:divBdr>
    </w:div>
    <w:div w:id="780145427">
      <w:bodyDiv w:val="1"/>
      <w:marLeft w:val="0"/>
      <w:marRight w:val="0"/>
      <w:marTop w:val="0"/>
      <w:marBottom w:val="0"/>
      <w:divBdr>
        <w:top w:val="none" w:sz="0" w:space="0" w:color="auto"/>
        <w:left w:val="none" w:sz="0" w:space="0" w:color="auto"/>
        <w:bottom w:val="none" w:sz="0" w:space="0" w:color="auto"/>
        <w:right w:val="none" w:sz="0" w:space="0" w:color="auto"/>
      </w:divBdr>
    </w:div>
    <w:div w:id="780295124">
      <w:bodyDiv w:val="1"/>
      <w:marLeft w:val="0"/>
      <w:marRight w:val="0"/>
      <w:marTop w:val="0"/>
      <w:marBottom w:val="0"/>
      <w:divBdr>
        <w:top w:val="none" w:sz="0" w:space="0" w:color="auto"/>
        <w:left w:val="none" w:sz="0" w:space="0" w:color="auto"/>
        <w:bottom w:val="none" w:sz="0" w:space="0" w:color="auto"/>
        <w:right w:val="none" w:sz="0" w:space="0" w:color="auto"/>
      </w:divBdr>
    </w:div>
    <w:div w:id="784273124">
      <w:bodyDiv w:val="1"/>
      <w:marLeft w:val="0"/>
      <w:marRight w:val="0"/>
      <w:marTop w:val="0"/>
      <w:marBottom w:val="0"/>
      <w:divBdr>
        <w:top w:val="none" w:sz="0" w:space="0" w:color="auto"/>
        <w:left w:val="none" w:sz="0" w:space="0" w:color="auto"/>
        <w:bottom w:val="none" w:sz="0" w:space="0" w:color="auto"/>
        <w:right w:val="none" w:sz="0" w:space="0" w:color="auto"/>
      </w:divBdr>
    </w:div>
    <w:div w:id="785538927">
      <w:bodyDiv w:val="1"/>
      <w:marLeft w:val="0"/>
      <w:marRight w:val="0"/>
      <w:marTop w:val="0"/>
      <w:marBottom w:val="0"/>
      <w:divBdr>
        <w:top w:val="none" w:sz="0" w:space="0" w:color="auto"/>
        <w:left w:val="none" w:sz="0" w:space="0" w:color="auto"/>
        <w:bottom w:val="none" w:sz="0" w:space="0" w:color="auto"/>
        <w:right w:val="none" w:sz="0" w:space="0" w:color="auto"/>
      </w:divBdr>
      <w:divsChild>
        <w:div w:id="439957783">
          <w:marLeft w:val="0"/>
          <w:marRight w:val="0"/>
          <w:marTop w:val="0"/>
          <w:marBottom w:val="0"/>
          <w:divBdr>
            <w:top w:val="none" w:sz="0" w:space="0" w:color="auto"/>
            <w:left w:val="none" w:sz="0" w:space="0" w:color="auto"/>
            <w:bottom w:val="none" w:sz="0" w:space="0" w:color="auto"/>
            <w:right w:val="none" w:sz="0" w:space="0" w:color="auto"/>
          </w:divBdr>
          <w:divsChild>
            <w:div w:id="1498885394">
              <w:marLeft w:val="0"/>
              <w:marRight w:val="0"/>
              <w:marTop w:val="0"/>
              <w:marBottom w:val="0"/>
              <w:divBdr>
                <w:top w:val="none" w:sz="0" w:space="0" w:color="auto"/>
                <w:left w:val="none" w:sz="0" w:space="0" w:color="auto"/>
                <w:bottom w:val="none" w:sz="0" w:space="0" w:color="auto"/>
                <w:right w:val="none" w:sz="0" w:space="0" w:color="auto"/>
              </w:divBdr>
              <w:divsChild>
                <w:div w:id="15289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74440">
      <w:bodyDiv w:val="1"/>
      <w:marLeft w:val="0"/>
      <w:marRight w:val="0"/>
      <w:marTop w:val="0"/>
      <w:marBottom w:val="0"/>
      <w:divBdr>
        <w:top w:val="none" w:sz="0" w:space="0" w:color="auto"/>
        <w:left w:val="none" w:sz="0" w:space="0" w:color="auto"/>
        <w:bottom w:val="none" w:sz="0" w:space="0" w:color="auto"/>
        <w:right w:val="none" w:sz="0" w:space="0" w:color="auto"/>
      </w:divBdr>
    </w:div>
    <w:div w:id="789665168">
      <w:bodyDiv w:val="1"/>
      <w:marLeft w:val="0"/>
      <w:marRight w:val="0"/>
      <w:marTop w:val="0"/>
      <w:marBottom w:val="0"/>
      <w:divBdr>
        <w:top w:val="none" w:sz="0" w:space="0" w:color="auto"/>
        <w:left w:val="none" w:sz="0" w:space="0" w:color="auto"/>
        <w:bottom w:val="none" w:sz="0" w:space="0" w:color="auto"/>
        <w:right w:val="none" w:sz="0" w:space="0" w:color="auto"/>
      </w:divBdr>
    </w:div>
    <w:div w:id="793670803">
      <w:bodyDiv w:val="1"/>
      <w:marLeft w:val="0"/>
      <w:marRight w:val="0"/>
      <w:marTop w:val="0"/>
      <w:marBottom w:val="0"/>
      <w:divBdr>
        <w:top w:val="none" w:sz="0" w:space="0" w:color="auto"/>
        <w:left w:val="none" w:sz="0" w:space="0" w:color="auto"/>
        <w:bottom w:val="none" w:sz="0" w:space="0" w:color="auto"/>
        <w:right w:val="none" w:sz="0" w:space="0" w:color="auto"/>
      </w:divBdr>
    </w:div>
    <w:div w:id="801003890">
      <w:bodyDiv w:val="1"/>
      <w:marLeft w:val="0"/>
      <w:marRight w:val="0"/>
      <w:marTop w:val="0"/>
      <w:marBottom w:val="0"/>
      <w:divBdr>
        <w:top w:val="none" w:sz="0" w:space="0" w:color="auto"/>
        <w:left w:val="none" w:sz="0" w:space="0" w:color="auto"/>
        <w:bottom w:val="none" w:sz="0" w:space="0" w:color="auto"/>
        <w:right w:val="none" w:sz="0" w:space="0" w:color="auto"/>
      </w:divBdr>
    </w:div>
    <w:div w:id="806628276">
      <w:bodyDiv w:val="1"/>
      <w:marLeft w:val="0"/>
      <w:marRight w:val="0"/>
      <w:marTop w:val="0"/>
      <w:marBottom w:val="0"/>
      <w:divBdr>
        <w:top w:val="none" w:sz="0" w:space="0" w:color="auto"/>
        <w:left w:val="none" w:sz="0" w:space="0" w:color="auto"/>
        <w:bottom w:val="none" w:sz="0" w:space="0" w:color="auto"/>
        <w:right w:val="none" w:sz="0" w:space="0" w:color="auto"/>
      </w:divBdr>
    </w:div>
    <w:div w:id="811479494">
      <w:bodyDiv w:val="1"/>
      <w:marLeft w:val="0"/>
      <w:marRight w:val="0"/>
      <w:marTop w:val="0"/>
      <w:marBottom w:val="0"/>
      <w:divBdr>
        <w:top w:val="none" w:sz="0" w:space="0" w:color="auto"/>
        <w:left w:val="none" w:sz="0" w:space="0" w:color="auto"/>
        <w:bottom w:val="none" w:sz="0" w:space="0" w:color="auto"/>
        <w:right w:val="none" w:sz="0" w:space="0" w:color="auto"/>
      </w:divBdr>
      <w:divsChild>
        <w:div w:id="1238324438">
          <w:marLeft w:val="0"/>
          <w:marRight w:val="0"/>
          <w:marTop w:val="0"/>
          <w:marBottom w:val="0"/>
          <w:divBdr>
            <w:top w:val="none" w:sz="0" w:space="0" w:color="auto"/>
            <w:left w:val="none" w:sz="0" w:space="0" w:color="auto"/>
            <w:bottom w:val="none" w:sz="0" w:space="0" w:color="auto"/>
            <w:right w:val="none" w:sz="0" w:space="0" w:color="auto"/>
          </w:divBdr>
          <w:divsChild>
            <w:div w:id="400179677">
              <w:marLeft w:val="0"/>
              <w:marRight w:val="0"/>
              <w:marTop w:val="0"/>
              <w:marBottom w:val="0"/>
              <w:divBdr>
                <w:top w:val="none" w:sz="0" w:space="0" w:color="auto"/>
                <w:left w:val="none" w:sz="0" w:space="0" w:color="auto"/>
                <w:bottom w:val="none" w:sz="0" w:space="0" w:color="auto"/>
                <w:right w:val="none" w:sz="0" w:space="0" w:color="auto"/>
              </w:divBdr>
              <w:divsChild>
                <w:div w:id="20108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80151">
      <w:bodyDiv w:val="1"/>
      <w:marLeft w:val="0"/>
      <w:marRight w:val="0"/>
      <w:marTop w:val="0"/>
      <w:marBottom w:val="0"/>
      <w:divBdr>
        <w:top w:val="none" w:sz="0" w:space="0" w:color="auto"/>
        <w:left w:val="none" w:sz="0" w:space="0" w:color="auto"/>
        <w:bottom w:val="none" w:sz="0" w:space="0" w:color="auto"/>
        <w:right w:val="none" w:sz="0" w:space="0" w:color="auto"/>
      </w:divBdr>
    </w:div>
    <w:div w:id="814832717">
      <w:bodyDiv w:val="1"/>
      <w:marLeft w:val="0"/>
      <w:marRight w:val="0"/>
      <w:marTop w:val="0"/>
      <w:marBottom w:val="0"/>
      <w:divBdr>
        <w:top w:val="none" w:sz="0" w:space="0" w:color="auto"/>
        <w:left w:val="none" w:sz="0" w:space="0" w:color="auto"/>
        <w:bottom w:val="none" w:sz="0" w:space="0" w:color="auto"/>
        <w:right w:val="none" w:sz="0" w:space="0" w:color="auto"/>
      </w:divBdr>
    </w:div>
    <w:div w:id="820930316">
      <w:bodyDiv w:val="1"/>
      <w:marLeft w:val="0"/>
      <w:marRight w:val="0"/>
      <w:marTop w:val="0"/>
      <w:marBottom w:val="0"/>
      <w:divBdr>
        <w:top w:val="none" w:sz="0" w:space="0" w:color="auto"/>
        <w:left w:val="none" w:sz="0" w:space="0" w:color="auto"/>
        <w:bottom w:val="none" w:sz="0" w:space="0" w:color="auto"/>
        <w:right w:val="none" w:sz="0" w:space="0" w:color="auto"/>
      </w:divBdr>
    </w:div>
    <w:div w:id="824317702">
      <w:bodyDiv w:val="1"/>
      <w:marLeft w:val="0"/>
      <w:marRight w:val="0"/>
      <w:marTop w:val="0"/>
      <w:marBottom w:val="0"/>
      <w:divBdr>
        <w:top w:val="none" w:sz="0" w:space="0" w:color="auto"/>
        <w:left w:val="none" w:sz="0" w:space="0" w:color="auto"/>
        <w:bottom w:val="none" w:sz="0" w:space="0" w:color="auto"/>
        <w:right w:val="none" w:sz="0" w:space="0" w:color="auto"/>
      </w:divBdr>
    </w:div>
    <w:div w:id="825508422">
      <w:bodyDiv w:val="1"/>
      <w:marLeft w:val="0"/>
      <w:marRight w:val="0"/>
      <w:marTop w:val="0"/>
      <w:marBottom w:val="0"/>
      <w:divBdr>
        <w:top w:val="none" w:sz="0" w:space="0" w:color="auto"/>
        <w:left w:val="none" w:sz="0" w:space="0" w:color="auto"/>
        <w:bottom w:val="none" w:sz="0" w:space="0" w:color="auto"/>
        <w:right w:val="none" w:sz="0" w:space="0" w:color="auto"/>
      </w:divBdr>
    </w:div>
    <w:div w:id="838151934">
      <w:bodyDiv w:val="1"/>
      <w:marLeft w:val="0"/>
      <w:marRight w:val="0"/>
      <w:marTop w:val="0"/>
      <w:marBottom w:val="0"/>
      <w:divBdr>
        <w:top w:val="none" w:sz="0" w:space="0" w:color="auto"/>
        <w:left w:val="none" w:sz="0" w:space="0" w:color="auto"/>
        <w:bottom w:val="none" w:sz="0" w:space="0" w:color="auto"/>
        <w:right w:val="none" w:sz="0" w:space="0" w:color="auto"/>
      </w:divBdr>
    </w:div>
    <w:div w:id="840970046">
      <w:bodyDiv w:val="1"/>
      <w:marLeft w:val="0"/>
      <w:marRight w:val="0"/>
      <w:marTop w:val="0"/>
      <w:marBottom w:val="0"/>
      <w:divBdr>
        <w:top w:val="none" w:sz="0" w:space="0" w:color="auto"/>
        <w:left w:val="none" w:sz="0" w:space="0" w:color="auto"/>
        <w:bottom w:val="none" w:sz="0" w:space="0" w:color="auto"/>
        <w:right w:val="none" w:sz="0" w:space="0" w:color="auto"/>
      </w:divBdr>
    </w:div>
    <w:div w:id="844783460">
      <w:bodyDiv w:val="1"/>
      <w:marLeft w:val="0"/>
      <w:marRight w:val="0"/>
      <w:marTop w:val="0"/>
      <w:marBottom w:val="0"/>
      <w:divBdr>
        <w:top w:val="none" w:sz="0" w:space="0" w:color="auto"/>
        <w:left w:val="none" w:sz="0" w:space="0" w:color="auto"/>
        <w:bottom w:val="none" w:sz="0" w:space="0" w:color="auto"/>
        <w:right w:val="none" w:sz="0" w:space="0" w:color="auto"/>
      </w:divBdr>
    </w:div>
    <w:div w:id="850799553">
      <w:bodyDiv w:val="1"/>
      <w:marLeft w:val="0"/>
      <w:marRight w:val="0"/>
      <w:marTop w:val="0"/>
      <w:marBottom w:val="0"/>
      <w:divBdr>
        <w:top w:val="none" w:sz="0" w:space="0" w:color="auto"/>
        <w:left w:val="none" w:sz="0" w:space="0" w:color="auto"/>
        <w:bottom w:val="none" w:sz="0" w:space="0" w:color="auto"/>
        <w:right w:val="none" w:sz="0" w:space="0" w:color="auto"/>
      </w:divBdr>
    </w:div>
    <w:div w:id="852299507">
      <w:bodyDiv w:val="1"/>
      <w:marLeft w:val="0"/>
      <w:marRight w:val="0"/>
      <w:marTop w:val="0"/>
      <w:marBottom w:val="0"/>
      <w:divBdr>
        <w:top w:val="none" w:sz="0" w:space="0" w:color="auto"/>
        <w:left w:val="none" w:sz="0" w:space="0" w:color="auto"/>
        <w:bottom w:val="none" w:sz="0" w:space="0" w:color="auto"/>
        <w:right w:val="none" w:sz="0" w:space="0" w:color="auto"/>
      </w:divBdr>
    </w:div>
    <w:div w:id="856846680">
      <w:bodyDiv w:val="1"/>
      <w:marLeft w:val="0"/>
      <w:marRight w:val="0"/>
      <w:marTop w:val="0"/>
      <w:marBottom w:val="0"/>
      <w:divBdr>
        <w:top w:val="none" w:sz="0" w:space="0" w:color="auto"/>
        <w:left w:val="none" w:sz="0" w:space="0" w:color="auto"/>
        <w:bottom w:val="none" w:sz="0" w:space="0" w:color="auto"/>
        <w:right w:val="none" w:sz="0" w:space="0" w:color="auto"/>
      </w:divBdr>
    </w:div>
    <w:div w:id="858154610">
      <w:bodyDiv w:val="1"/>
      <w:marLeft w:val="0"/>
      <w:marRight w:val="0"/>
      <w:marTop w:val="0"/>
      <w:marBottom w:val="0"/>
      <w:divBdr>
        <w:top w:val="none" w:sz="0" w:space="0" w:color="auto"/>
        <w:left w:val="none" w:sz="0" w:space="0" w:color="auto"/>
        <w:bottom w:val="none" w:sz="0" w:space="0" w:color="auto"/>
        <w:right w:val="none" w:sz="0" w:space="0" w:color="auto"/>
      </w:divBdr>
    </w:div>
    <w:div w:id="867837221">
      <w:bodyDiv w:val="1"/>
      <w:marLeft w:val="0"/>
      <w:marRight w:val="0"/>
      <w:marTop w:val="0"/>
      <w:marBottom w:val="0"/>
      <w:divBdr>
        <w:top w:val="none" w:sz="0" w:space="0" w:color="auto"/>
        <w:left w:val="none" w:sz="0" w:space="0" w:color="auto"/>
        <w:bottom w:val="none" w:sz="0" w:space="0" w:color="auto"/>
        <w:right w:val="none" w:sz="0" w:space="0" w:color="auto"/>
      </w:divBdr>
    </w:div>
    <w:div w:id="872764307">
      <w:bodyDiv w:val="1"/>
      <w:marLeft w:val="0"/>
      <w:marRight w:val="0"/>
      <w:marTop w:val="0"/>
      <w:marBottom w:val="0"/>
      <w:divBdr>
        <w:top w:val="none" w:sz="0" w:space="0" w:color="auto"/>
        <w:left w:val="none" w:sz="0" w:space="0" w:color="auto"/>
        <w:bottom w:val="none" w:sz="0" w:space="0" w:color="auto"/>
        <w:right w:val="none" w:sz="0" w:space="0" w:color="auto"/>
      </w:divBdr>
    </w:div>
    <w:div w:id="890505293">
      <w:bodyDiv w:val="1"/>
      <w:marLeft w:val="0"/>
      <w:marRight w:val="0"/>
      <w:marTop w:val="0"/>
      <w:marBottom w:val="0"/>
      <w:divBdr>
        <w:top w:val="none" w:sz="0" w:space="0" w:color="auto"/>
        <w:left w:val="none" w:sz="0" w:space="0" w:color="auto"/>
        <w:bottom w:val="none" w:sz="0" w:space="0" w:color="auto"/>
        <w:right w:val="none" w:sz="0" w:space="0" w:color="auto"/>
      </w:divBdr>
    </w:div>
    <w:div w:id="897597019">
      <w:bodyDiv w:val="1"/>
      <w:marLeft w:val="0"/>
      <w:marRight w:val="0"/>
      <w:marTop w:val="0"/>
      <w:marBottom w:val="0"/>
      <w:divBdr>
        <w:top w:val="none" w:sz="0" w:space="0" w:color="auto"/>
        <w:left w:val="none" w:sz="0" w:space="0" w:color="auto"/>
        <w:bottom w:val="none" w:sz="0" w:space="0" w:color="auto"/>
        <w:right w:val="none" w:sz="0" w:space="0" w:color="auto"/>
      </w:divBdr>
    </w:div>
    <w:div w:id="902258112">
      <w:bodyDiv w:val="1"/>
      <w:marLeft w:val="0"/>
      <w:marRight w:val="0"/>
      <w:marTop w:val="0"/>
      <w:marBottom w:val="0"/>
      <w:divBdr>
        <w:top w:val="none" w:sz="0" w:space="0" w:color="auto"/>
        <w:left w:val="none" w:sz="0" w:space="0" w:color="auto"/>
        <w:bottom w:val="none" w:sz="0" w:space="0" w:color="auto"/>
        <w:right w:val="none" w:sz="0" w:space="0" w:color="auto"/>
      </w:divBdr>
    </w:div>
    <w:div w:id="912396189">
      <w:bodyDiv w:val="1"/>
      <w:marLeft w:val="0"/>
      <w:marRight w:val="0"/>
      <w:marTop w:val="0"/>
      <w:marBottom w:val="0"/>
      <w:divBdr>
        <w:top w:val="none" w:sz="0" w:space="0" w:color="auto"/>
        <w:left w:val="none" w:sz="0" w:space="0" w:color="auto"/>
        <w:bottom w:val="none" w:sz="0" w:space="0" w:color="auto"/>
        <w:right w:val="none" w:sz="0" w:space="0" w:color="auto"/>
      </w:divBdr>
    </w:div>
    <w:div w:id="927614462">
      <w:bodyDiv w:val="1"/>
      <w:marLeft w:val="0"/>
      <w:marRight w:val="0"/>
      <w:marTop w:val="0"/>
      <w:marBottom w:val="0"/>
      <w:divBdr>
        <w:top w:val="none" w:sz="0" w:space="0" w:color="auto"/>
        <w:left w:val="none" w:sz="0" w:space="0" w:color="auto"/>
        <w:bottom w:val="none" w:sz="0" w:space="0" w:color="auto"/>
        <w:right w:val="none" w:sz="0" w:space="0" w:color="auto"/>
      </w:divBdr>
    </w:div>
    <w:div w:id="933825258">
      <w:bodyDiv w:val="1"/>
      <w:marLeft w:val="0"/>
      <w:marRight w:val="0"/>
      <w:marTop w:val="0"/>
      <w:marBottom w:val="0"/>
      <w:divBdr>
        <w:top w:val="none" w:sz="0" w:space="0" w:color="auto"/>
        <w:left w:val="none" w:sz="0" w:space="0" w:color="auto"/>
        <w:bottom w:val="none" w:sz="0" w:space="0" w:color="auto"/>
        <w:right w:val="none" w:sz="0" w:space="0" w:color="auto"/>
      </w:divBdr>
    </w:div>
    <w:div w:id="935668931">
      <w:bodyDiv w:val="1"/>
      <w:marLeft w:val="0"/>
      <w:marRight w:val="0"/>
      <w:marTop w:val="0"/>
      <w:marBottom w:val="0"/>
      <w:divBdr>
        <w:top w:val="none" w:sz="0" w:space="0" w:color="auto"/>
        <w:left w:val="none" w:sz="0" w:space="0" w:color="auto"/>
        <w:bottom w:val="none" w:sz="0" w:space="0" w:color="auto"/>
        <w:right w:val="none" w:sz="0" w:space="0" w:color="auto"/>
      </w:divBdr>
    </w:div>
    <w:div w:id="940993310">
      <w:bodyDiv w:val="1"/>
      <w:marLeft w:val="0"/>
      <w:marRight w:val="0"/>
      <w:marTop w:val="0"/>
      <w:marBottom w:val="0"/>
      <w:divBdr>
        <w:top w:val="none" w:sz="0" w:space="0" w:color="auto"/>
        <w:left w:val="none" w:sz="0" w:space="0" w:color="auto"/>
        <w:bottom w:val="none" w:sz="0" w:space="0" w:color="auto"/>
        <w:right w:val="none" w:sz="0" w:space="0" w:color="auto"/>
      </w:divBdr>
    </w:div>
    <w:div w:id="944380862">
      <w:bodyDiv w:val="1"/>
      <w:marLeft w:val="0"/>
      <w:marRight w:val="0"/>
      <w:marTop w:val="0"/>
      <w:marBottom w:val="0"/>
      <w:divBdr>
        <w:top w:val="none" w:sz="0" w:space="0" w:color="auto"/>
        <w:left w:val="none" w:sz="0" w:space="0" w:color="auto"/>
        <w:bottom w:val="none" w:sz="0" w:space="0" w:color="auto"/>
        <w:right w:val="none" w:sz="0" w:space="0" w:color="auto"/>
      </w:divBdr>
    </w:div>
    <w:div w:id="945623541">
      <w:bodyDiv w:val="1"/>
      <w:marLeft w:val="0"/>
      <w:marRight w:val="0"/>
      <w:marTop w:val="0"/>
      <w:marBottom w:val="0"/>
      <w:divBdr>
        <w:top w:val="none" w:sz="0" w:space="0" w:color="auto"/>
        <w:left w:val="none" w:sz="0" w:space="0" w:color="auto"/>
        <w:bottom w:val="none" w:sz="0" w:space="0" w:color="auto"/>
        <w:right w:val="none" w:sz="0" w:space="0" w:color="auto"/>
      </w:divBdr>
    </w:div>
    <w:div w:id="945886281">
      <w:bodyDiv w:val="1"/>
      <w:marLeft w:val="0"/>
      <w:marRight w:val="0"/>
      <w:marTop w:val="0"/>
      <w:marBottom w:val="0"/>
      <w:divBdr>
        <w:top w:val="none" w:sz="0" w:space="0" w:color="auto"/>
        <w:left w:val="none" w:sz="0" w:space="0" w:color="auto"/>
        <w:bottom w:val="none" w:sz="0" w:space="0" w:color="auto"/>
        <w:right w:val="none" w:sz="0" w:space="0" w:color="auto"/>
      </w:divBdr>
    </w:div>
    <w:div w:id="946355595">
      <w:bodyDiv w:val="1"/>
      <w:marLeft w:val="0"/>
      <w:marRight w:val="0"/>
      <w:marTop w:val="0"/>
      <w:marBottom w:val="0"/>
      <w:divBdr>
        <w:top w:val="none" w:sz="0" w:space="0" w:color="auto"/>
        <w:left w:val="none" w:sz="0" w:space="0" w:color="auto"/>
        <w:bottom w:val="none" w:sz="0" w:space="0" w:color="auto"/>
        <w:right w:val="none" w:sz="0" w:space="0" w:color="auto"/>
      </w:divBdr>
    </w:div>
    <w:div w:id="948464944">
      <w:bodyDiv w:val="1"/>
      <w:marLeft w:val="0"/>
      <w:marRight w:val="0"/>
      <w:marTop w:val="0"/>
      <w:marBottom w:val="0"/>
      <w:divBdr>
        <w:top w:val="none" w:sz="0" w:space="0" w:color="auto"/>
        <w:left w:val="none" w:sz="0" w:space="0" w:color="auto"/>
        <w:bottom w:val="none" w:sz="0" w:space="0" w:color="auto"/>
        <w:right w:val="none" w:sz="0" w:space="0" w:color="auto"/>
      </w:divBdr>
    </w:div>
    <w:div w:id="952517085">
      <w:bodyDiv w:val="1"/>
      <w:marLeft w:val="0"/>
      <w:marRight w:val="0"/>
      <w:marTop w:val="0"/>
      <w:marBottom w:val="0"/>
      <w:divBdr>
        <w:top w:val="none" w:sz="0" w:space="0" w:color="auto"/>
        <w:left w:val="none" w:sz="0" w:space="0" w:color="auto"/>
        <w:bottom w:val="none" w:sz="0" w:space="0" w:color="auto"/>
        <w:right w:val="none" w:sz="0" w:space="0" w:color="auto"/>
      </w:divBdr>
    </w:div>
    <w:div w:id="954990938">
      <w:bodyDiv w:val="1"/>
      <w:marLeft w:val="0"/>
      <w:marRight w:val="0"/>
      <w:marTop w:val="0"/>
      <w:marBottom w:val="0"/>
      <w:divBdr>
        <w:top w:val="none" w:sz="0" w:space="0" w:color="auto"/>
        <w:left w:val="none" w:sz="0" w:space="0" w:color="auto"/>
        <w:bottom w:val="none" w:sz="0" w:space="0" w:color="auto"/>
        <w:right w:val="none" w:sz="0" w:space="0" w:color="auto"/>
      </w:divBdr>
    </w:div>
    <w:div w:id="959460396">
      <w:bodyDiv w:val="1"/>
      <w:marLeft w:val="0"/>
      <w:marRight w:val="0"/>
      <w:marTop w:val="0"/>
      <w:marBottom w:val="0"/>
      <w:divBdr>
        <w:top w:val="none" w:sz="0" w:space="0" w:color="auto"/>
        <w:left w:val="none" w:sz="0" w:space="0" w:color="auto"/>
        <w:bottom w:val="none" w:sz="0" w:space="0" w:color="auto"/>
        <w:right w:val="none" w:sz="0" w:space="0" w:color="auto"/>
      </w:divBdr>
    </w:div>
    <w:div w:id="963849539">
      <w:bodyDiv w:val="1"/>
      <w:marLeft w:val="0"/>
      <w:marRight w:val="0"/>
      <w:marTop w:val="0"/>
      <w:marBottom w:val="0"/>
      <w:divBdr>
        <w:top w:val="none" w:sz="0" w:space="0" w:color="auto"/>
        <w:left w:val="none" w:sz="0" w:space="0" w:color="auto"/>
        <w:bottom w:val="none" w:sz="0" w:space="0" w:color="auto"/>
        <w:right w:val="none" w:sz="0" w:space="0" w:color="auto"/>
      </w:divBdr>
    </w:div>
    <w:div w:id="965425984">
      <w:bodyDiv w:val="1"/>
      <w:marLeft w:val="0"/>
      <w:marRight w:val="0"/>
      <w:marTop w:val="0"/>
      <w:marBottom w:val="0"/>
      <w:divBdr>
        <w:top w:val="none" w:sz="0" w:space="0" w:color="auto"/>
        <w:left w:val="none" w:sz="0" w:space="0" w:color="auto"/>
        <w:bottom w:val="none" w:sz="0" w:space="0" w:color="auto"/>
        <w:right w:val="none" w:sz="0" w:space="0" w:color="auto"/>
      </w:divBdr>
    </w:div>
    <w:div w:id="968896271">
      <w:bodyDiv w:val="1"/>
      <w:marLeft w:val="0"/>
      <w:marRight w:val="0"/>
      <w:marTop w:val="0"/>
      <w:marBottom w:val="0"/>
      <w:divBdr>
        <w:top w:val="none" w:sz="0" w:space="0" w:color="auto"/>
        <w:left w:val="none" w:sz="0" w:space="0" w:color="auto"/>
        <w:bottom w:val="none" w:sz="0" w:space="0" w:color="auto"/>
        <w:right w:val="none" w:sz="0" w:space="0" w:color="auto"/>
      </w:divBdr>
    </w:div>
    <w:div w:id="968979258">
      <w:bodyDiv w:val="1"/>
      <w:marLeft w:val="0"/>
      <w:marRight w:val="0"/>
      <w:marTop w:val="0"/>
      <w:marBottom w:val="0"/>
      <w:divBdr>
        <w:top w:val="none" w:sz="0" w:space="0" w:color="auto"/>
        <w:left w:val="none" w:sz="0" w:space="0" w:color="auto"/>
        <w:bottom w:val="none" w:sz="0" w:space="0" w:color="auto"/>
        <w:right w:val="none" w:sz="0" w:space="0" w:color="auto"/>
      </w:divBdr>
    </w:div>
    <w:div w:id="974799996">
      <w:bodyDiv w:val="1"/>
      <w:marLeft w:val="0"/>
      <w:marRight w:val="0"/>
      <w:marTop w:val="0"/>
      <w:marBottom w:val="0"/>
      <w:divBdr>
        <w:top w:val="none" w:sz="0" w:space="0" w:color="auto"/>
        <w:left w:val="none" w:sz="0" w:space="0" w:color="auto"/>
        <w:bottom w:val="none" w:sz="0" w:space="0" w:color="auto"/>
        <w:right w:val="none" w:sz="0" w:space="0" w:color="auto"/>
      </w:divBdr>
    </w:div>
    <w:div w:id="974994128">
      <w:bodyDiv w:val="1"/>
      <w:marLeft w:val="0"/>
      <w:marRight w:val="0"/>
      <w:marTop w:val="0"/>
      <w:marBottom w:val="0"/>
      <w:divBdr>
        <w:top w:val="none" w:sz="0" w:space="0" w:color="auto"/>
        <w:left w:val="none" w:sz="0" w:space="0" w:color="auto"/>
        <w:bottom w:val="none" w:sz="0" w:space="0" w:color="auto"/>
        <w:right w:val="none" w:sz="0" w:space="0" w:color="auto"/>
      </w:divBdr>
    </w:div>
    <w:div w:id="980118668">
      <w:bodyDiv w:val="1"/>
      <w:marLeft w:val="0"/>
      <w:marRight w:val="0"/>
      <w:marTop w:val="0"/>
      <w:marBottom w:val="0"/>
      <w:divBdr>
        <w:top w:val="none" w:sz="0" w:space="0" w:color="auto"/>
        <w:left w:val="none" w:sz="0" w:space="0" w:color="auto"/>
        <w:bottom w:val="none" w:sz="0" w:space="0" w:color="auto"/>
        <w:right w:val="none" w:sz="0" w:space="0" w:color="auto"/>
      </w:divBdr>
    </w:div>
    <w:div w:id="981541015">
      <w:bodyDiv w:val="1"/>
      <w:marLeft w:val="0"/>
      <w:marRight w:val="0"/>
      <w:marTop w:val="0"/>
      <w:marBottom w:val="0"/>
      <w:divBdr>
        <w:top w:val="none" w:sz="0" w:space="0" w:color="auto"/>
        <w:left w:val="none" w:sz="0" w:space="0" w:color="auto"/>
        <w:bottom w:val="none" w:sz="0" w:space="0" w:color="auto"/>
        <w:right w:val="none" w:sz="0" w:space="0" w:color="auto"/>
      </w:divBdr>
    </w:div>
    <w:div w:id="988558565">
      <w:bodyDiv w:val="1"/>
      <w:marLeft w:val="0"/>
      <w:marRight w:val="0"/>
      <w:marTop w:val="0"/>
      <w:marBottom w:val="0"/>
      <w:divBdr>
        <w:top w:val="none" w:sz="0" w:space="0" w:color="auto"/>
        <w:left w:val="none" w:sz="0" w:space="0" w:color="auto"/>
        <w:bottom w:val="none" w:sz="0" w:space="0" w:color="auto"/>
        <w:right w:val="none" w:sz="0" w:space="0" w:color="auto"/>
      </w:divBdr>
    </w:div>
    <w:div w:id="997609522">
      <w:bodyDiv w:val="1"/>
      <w:marLeft w:val="0"/>
      <w:marRight w:val="0"/>
      <w:marTop w:val="0"/>
      <w:marBottom w:val="0"/>
      <w:divBdr>
        <w:top w:val="none" w:sz="0" w:space="0" w:color="auto"/>
        <w:left w:val="none" w:sz="0" w:space="0" w:color="auto"/>
        <w:bottom w:val="none" w:sz="0" w:space="0" w:color="auto"/>
        <w:right w:val="none" w:sz="0" w:space="0" w:color="auto"/>
      </w:divBdr>
    </w:div>
    <w:div w:id="1002391831">
      <w:bodyDiv w:val="1"/>
      <w:marLeft w:val="0"/>
      <w:marRight w:val="0"/>
      <w:marTop w:val="0"/>
      <w:marBottom w:val="0"/>
      <w:divBdr>
        <w:top w:val="none" w:sz="0" w:space="0" w:color="auto"/>
        <w:left w:val="none" w:sz="0" w:space="0" w:color="auto"/>
        <w:bottom w:val="none" w:sz="0" w:space="0" w:color="auto"/>
        <w:right w:val="none" w:sz="0" w:space="0" w:color="auto"/>
      </w:divBdr>
    </w:div>
    <w:div w:id="1008944217">
      <w:bodyDiv w:val="1"/>
      <w:marLeft w:val="0"/>
      <w:marRight w:val="0"/>
      <w:marTop w:val="0"/>
      <w:marBottom w:val="0"/>
      <w:divBdr>
        <w:top w:val="none" w:sz="0" w:space="0" w:color="auto"/>
        <w:left w:val="none" w:sz="0" w:space="0" w:color="auto"/>
        <w:bottom w:val="none" w:sz="0" w:space="0" w:color="auto"/>
        <w:right w:val="none" w:sz="0" w:space="0" w:color="auto"/>
      </w:divBdr>
    </w:div>
    <w:div w:id="1021856562">
      <w:bodyDiv w:val="1"/>
      <w:marLeft w:val="0"/>
      <w:marRight w:val="0"/>
      <w:marTop w:val="0"/>
      <w:marBottom w:val="0"/>
      <w:divBdr>
        <w:top w:val="none" w:sz="0" w:space="0" w:color="auto"/>
        <w:left w:val="none" w:sz="0" w:space="0" w:color="auto"/>
        <w:bottom w:val="none" w:sz="0" w:space="0" w:color="auto"/>
        <w:right w:val="none" w:sz="0" w:space="0" w:color="auto"/>
      </w:divBdr>
    </w:div>
    <w:div w:id="1024330145">
      <w:bodyDiv w:val="1"/>
      <w:marLeft w:val="0"/>
      <w:marRight w:val="0"/>
      <w:marTop w:val="0"/>
      <w:marBottom w:val="0"/>
      <w:divBdr>
        <w:top w:val="none" w:sz="0" w:space="0" w:color="auto"/>
        <w:left w:val="none" w:sz="0" w:space="0" w:color="auto"/>
        <w:bottom w:val="none" w:sz="0" w:space="0" w:color="auto"/>
        <w:right w:val="none" w:sz="0" w:space="0" w:color="auto"/>
      </w:divBdr>
    </w:div>
    <w:div w:id="1025448315">
      <w:bodyDiv w:val="1"/>
      <w:marLeft w:val="0"/>
      <w:marRight w:val="0"/>
      <w:marTop w:val="0"/>
      <w:marBottom w:val="0"/>
      <w:divBdr>
        <w:top w:val="none" w:sz="0" w:space="0" w:color="auto"/>
        <w:left w:val="none" w:sz="0" w:space="0" w:color="auto"/>
        <w:bottom w:val="none" w:sz="0" w:space="0" w:color="auto"/>
        <w:right w:val="none" w:sz="0" w:space="0" w:color="auto"/>
      </w:divBdr>
    </w:div>
    <w:div w:id="1028531409">
      <w:bodyDiv w:val="1"/>
      <w:marLeft w:val="0"/>
      <w:marRight w:val="0"/>
      <w:marTop w:val="0"/>
      <w:marBottom w:val="0"/>
      <w:divBdr>
        <w:top w:val="none" w:sz="0" w:space="0" w:color="auto"/>
        <w:left w:val="none" w:sz="0" w:space="0" w:color="auto"/>
        <w:bottom w:val="none" w:sz="0" w:space="0" w:color="auto"/>
        <w:right w:val="none" w:sz="0" w:space="0" w:color="auto"/>
      </w:divBdr>
    </w:div>
    <w:div w:id="1040284390">
      <w:bodyDiv w:val="1"/>
      <w:marLeft w:val="0"/>
      <w:marRight w:val="0"/>
      <w:marTop w:val="0"/>
      <w:marBottom w:val="0"/>
      <w:divBdr>
        <w:top w:val="none" w:sz="0" w:space="0" w:color="auto"/>
        <w:left w:val="none" w:sz="0" w:space="0" w:color="auto"/>
        <w:bottom w:val="none" w:sz="0" w:space="0" w:color="auto"/>
        <w:right w:val="none" w:sz="0" w:space="0" w:color="auto"/>
      </w:divBdr>
    </w:div>
    <w:div w:id="1040862744">
      <w:bodyDiv w:val="1"/>
      <w:marLeft w:val="0"/>
      <w:marRight w:val="0"/>
      <w:marTop w:val="0"/>
      <w:marBottom w:val="0"/>
      <w:divBdr>
        <w:top w:val="none" w:sz="0" w:space="0" w:color="auto"/>
        <w:left w:val="none" w:sz="0" w:space="0" w:color="auto"/>
        <w:bottom w:val="none" w:sz="0" w:space="0" w:color="auto"/>
        <w:right w:val="none" w:sz="0" w:space="0" w:color="auto"/>
      </w:divBdr>
    </w:div>
    <w:div w:id="1049764201">
      <w:bodyDiv w:val="1"/>
      <w:marLeft w:val="0"/>
      <w:marRight w:val="0"/>
      <w:marTop w:val="0"/>
      <w:marBottom w:val="0"/>
      <w:divBdr>
        <w:top w:val="none" w:sz="0" w:space="0" w:color="auto"/>
        <w:left w:val="none" w:sz="0" w:space="0" w:color="auto"/>
        <w:bottom w:val="none" w:sz="0" w:space="0" w:color="auto"/>
        <w:right w:val="none" w:sz="0" w:space="0" w:color="auto"/>
      </w:divBdr>
    </w:div>
    <w:div w:id="1051266908">
      <w:bodyDiv w:val="1"/>
      <w:marLeft w:val="0"/>
      <w:marRight w:val="0"/>
      <w:marTop w:val="0"/>
      <w:marBottom w:val="0"/>
      <w:divBdr>
        <w:top w:val="none" w:sz="0" w:space="0" w:color="auto"/>
        <w:left w:val="none" w:sz="0" w:space="0" w:color="auto"/>
        <w:bottom w:val="none" w:sz="0" w:space="0" w:color="auto"/>
        <w:right w:val="none" w:sz="0" w:space="0" w:color="auto"/>
      </w:divBdr>
    </w:div>
    <w:div w:id="1051417113">
      <w:bodyDiv w:val="1"/>
      <w:marLeft w:val="0"/>
      <w:marRight w:val="0"/>
      <w:marTop w:val="0"/>
      <w:marBottom w:val="0"/>
      <w:divBdr>
        <w:top w:val="none" w:sz="0" w:space="0" w:color="auto"/>
        <w:left w:val="none" w:sz="0" w:space="0" w:color="auto"/>
        <w:bottom w:val="none" w:sz="0" w:space="0" w:color="auto"/>
        <w:right w:val="none" w:sz="0" w:space="0" w:color="auto"/>
      </w:divBdr>
    </w:div>
    <w:div w:id="1056659869">
      <w:bodyDiv w:val="1"/>
      <w:marLeft w:val="0"/>
      <w:marRight w:val="0"/>
      <w:marTop w:val="0"/>
      <w:marBottom w:val="0"/>
      <w:divBdr>
        <w:top w:val="none" w:sz="0" w:space="0" w:color="auto"/>
        <w:left w:val="none" w:sz="0" w:space="0" w:color="auto"/>
        <w:bottom w:val="none" w:sz="0" w:space="0" w:color="auto"/>
        <w:right w:val="none" w:sz="0" w:space="0" w:color="auto"/>
      </w:divBdr>
    </w:div>
    <w:div w:id="1072461839">
      <w:bodyDiv w:val="1"/>
      <w:marLeft w:val="0"/>
      <w:marRight w:val="0"/>
      <w:marTop w:val="0"/>
      <w:marBottom w:val="0"/>
      <w:divBdr>
        <w:top w:val="none" w:sz="0" w:space="0" w:color="auto"/>
        <w:left w:val="none" w:sz="0" w:space="0" w:color="auto"/>
        <w:bottom w:val="none" w:sz="0" w:space="0" w:color="auto"/>
        <w:right w:val="none" w:sz="0" w:space="0" w:color="auto"/>
      </w:divBdr>
    </w:div>
    <w:div w:id="1079667628">
      <w:bodyDiv w:val="1"/>
      <w:marLeft w:val="0"/>
      <w:marRight w:val="0"/>
      <w:marTop w:val="0"/>
      <w:marBottom w:val="0"/>
      <w:divBdr>
        <w:top w:val="none" w:sz="0" w:space="0" w:color="auto"/>
        <w:left w:val="none" w:sz="0" w:space="0" w:color="auto"/>
        <w:bottom w:val="none" w:sz="0" w:space="0" w:color="auto"/>
        <w:right w:val="none" w:sz="0" w:space="0" w:color="auto"/>
      </w:divBdr>
      <w:divsChild>
        <w:div w:id="1843472339">
          <w:marLeft w:val="0"/>
          <w:marRight w:val="0"/>
          <w:marTop w:val="0"/>
          <w:marBottom w:val="0"/>
          <w:divBdr>
            <w:top w:val="none" w:sz="0" w:space="0" w:color="auto"/>
            <w:left w:val="none" w:sz="0" w:space="0" w:color="auto"/>
            <w:bottom w:val="none" w:sz="0" w:space="0" w:color="auto"/>
            <w:right w:val="none" w:sz="0" w:space="0" w:color="auto"/>
          </w:divBdr>
        </w:div>
        <w:div w:id="1435706349">
          <w:marLeft w:val="0"/>
          <w:marRight w:val="0"/>
          <w:marTop w:val="0"/>
          <w:marBottom w:val="0"/>
          <w:divBdr>
            <w:top w:val="none" w:sz="0" w:space="0" w:color="auto"/>
            <w:left w:val="none" w:sz="0" w:space="0" w:color="auto"/>
            <w:bottom w:val="none" w:sz="0" w:space="0" w:color="auto"/>
            <w:right w:val="none" w:sz="0" w:space="0" w:color="auto"/>
          </w:divBdr>
        </w:div>
      </w:divsChild>
    </w:div>
    <w:div w:id="1084717494">
      <w:bodyDiv w:val="1"/>
      <w:marLeft w:val="0"/>
      <w:marRight w:val="0"/>
      <w:marTop w:val="0"/>
      <w:marBottom w:val="0"/>
      <w:divBdr>
        <w:top w:val="none" w:sz="0" w:space="0" w:color="auto"/>
        <w:left w:val="none" w:sz="0" w:space="0" w:color="auto"/>
        <w:bottom w:val="none" w:sz="0" w:space="0" w:color="auto"/>
        <w:right w:val="none" w:sz="0" w:space="0" w:color="auto"/>
      </w:divBdr>
    </w:div>
    <w:div w:id="1089155358">
      <w:bodyDiv w:val="1"/>
      <w:marLeft w:val="0"/>
      <w:marRight w:val="0"/>
      <w:marTop w:val="0"/>
      <w:marBottom w:val="0"/>
      <w:divBdr>
        <w:top w:val="none" w:sz="0" w:space="0" w:color="auto"/>
        <w:left w:val="none" w:sz="0" w:space="0" w:color="auto"/>
        <w:bottom w:val="none" w:sz="0" w:space="0" w:color="auto"/>
        <w:right w:val="none" w:sz="0" w:space="0" w:color="auto"/>
      </w:divBdr>
    </w:div>
    <w:div w:id="1092969192">
      <w:bodyDiv w:val="1"/>
      <w:marLeft w:val="0"/>
      <w:marRight w:val="0"/>
      <w:marTop w:val="0"/>
      <w:marBottom w:val="0"/>
      <w:divBdr>
        <w:top w:val="none" w:sz="0" w:space="0" w:color="auto"/>
        <w:left w:val="none" w:sz="0" w:space="0" w:color="auto"/>
        <w:bottom w:val="none" w:sz="0" w:space="0" w:color="auto"/>
        <w:right w:val="none" w:sz="0" w:space="0" w:color="auto"/>
      </w:divBdr>
    </w:div>
    <w:div w:id="1097017747">
      <w:bodyDiv w:val="1"/>
      <w:marLeft w:val="0"/>
      <w:marRight w:val="0"/>
      <w:marTop w:val="0"/>
      <w:marBottom w:val="0"/>
      <w:divBdr>
        <w:top w:val="none" w:sz="0" w:space="0" w:color="auto"/>
        <w:left w:val="none" w:sz="0" w:space="0" w:color="auto"/>
        <w:bottom w:val="none" w:sz="0" w:space="0" w:color="auto"/>
        <w:right w:val="none" w:sz="0" w:space="0" w:color="auto"/>
      </w:divBdr>
    </w:div>
    <w:div w:id="1098406192">
      <w:bodyDiv w:val="1"/>
      <w:marLeft w:val="0"/>
      <w:marRight w:val="0"/>
      <w:marTop w:val="0"/>
      <w:marBottom w:val="0"/>
      <w:divBdr>
        <w:top w:val="none" w:sz="0" w:space="0" w:color="auto"/>
        <w:left w:val="none" w:sz="0" w:space="0" w:color="auto"/>
        <w:bottom w:val="none" w:sz="0" w:space="0" w:color="auto"/>
        <w:right w:val="none" w:sz="0" w:space="0" w:color="auto"/>
      </w:divBdr>
    </w:div>
    <w:div w:id="1103723853">
      <w:bodyDiv w:val="1"/>
      <w:marLeft w:val="0"/>
      <w:marRight w:val="0"/>
      <w:marTop w:val="0"/>
      <w:marBottom w:val="0"/>
      <w:divBdr>
        <w:top w:val="none" w:sz="0" w:space="0" w:color="auto"/>
        <w:left w:val="none" w:sz="0" w:space="0" w:color="auto"/>
        <w:bottom w:val="none" w:sz="0" w:space="0" w:color="auto"/>
        <w:right w:val="none" w:sz="0" w:space="0" w:color="auto"/>
      </w:divBdr>
    </w:div>
    <w:div w:id="1110080420">
      <w:bodyDiv w:val="1"/>
      <w:marLeft w:val="0"/>
      <w:marRight w:val="0"/>
      <w:marTop w:val="0"/>
      <w:marBottom w:val="0"/>
      <w:divBdr>
        <w:top w:val="none" w:sz="0" w:space="0" w:color="auto"/>
        <w:left w:val="none" w:sz="0" w:space="0" w:color="auto"/>
        <w:bottom w:val="none" w:sz="0" w:space="0" w:color="auto"/>
        <w:right w:val="none" w:sz="0" w:space="0" w:color="auto"/>
      </w:divBdr>
    </w:div>
    <w:div w:id="1120027197">
      <w:bodyDiv w:val="1"/>
      <w:marLeft w:val="0"/>
      <w:marRight w:val="0"/>
      <w:marTop w:val="0"/>
      <w:marBottom w:val="0"/>
      <w:divBdr>
        <w:top w:val="none" w:sz="0" w:space="0" w:color="auto"/>
        <w:left w:val="none" w:sz="0" w:space="0" w:color="auto"/>
        <w:bottom w:val="none" w:sz="0" w:space="0" w:color="auto"/>
        <w:right w:val="none" w:sz="0" w:space="0" w:color="auto"/>
      </w:divBdr>
    </w:div>
    <w:div w:id="1129397199">
      <w:bodyDiv w:val="1"/>
      <w:marLeft w:val="0"/>
      <w:marRight w:val="0"/>
      <w:marTop w:val="0"/>
      <w:marBottom w:val="0"/>
      <w:divBdr>
        <w:top w:val="none" w:sz="0" w:space="0" w:color="auto"/>
        <w:left w:val="none" w:sz="0" w:space="0" w:color="auto"/>
        <w:bottom w:val="none" w:sz="0" w:space="0" w:color="auto"/>
        <w:right w:val="none" w:sz="0" w:space="0" w:color="auto"/>
      </w:divBdr>
    </w:div>
    <w:div w:id="1137648000">
      <w:bodyDiv w:val="1"/>
      <w:marLeft w:val="0"/>
      <w:marRight w:val="0"/>
      <w:marTop w:val="0"/>
      <w:marBottom w:val="0"/>
      <w:divBdr>
        <w:top w:val="none" w:sz="0" w:space="0" w:color="auto"/>
        <w:left w:val="none" w:sz="0" w:space="0" w:color="auto"/>
        <w:bottom w:val="none" w:sz="0" w:space="0" w:color="auto"/>
        <w:right w:val="none" w:sz="0" w:space="0" w:color="auto"/>
      </w:divBdr>
    </w:div>
    <w:div w:id="1143430651">
      <w:bodyDiv w:val="1"/>
      <w:marLeft w:val="0"/>
      <w:marRight w:val="0"/>
      <w:marTop w:val="0"/>
      <w:marBottom w:val="0"/>
      <w:divBdr>
        <w:top w:val="none" w:sz="0" w:space="0" w:color="auto"/>
        <w:left w:val="none" w:sz="0" w:space="0" w:color="auto"/>
        <w:bottom w:val="none" w:sz="0" w:space="0" w:color="auto"/>
        <w:right w:val="none" w:sz="0" w:space="0" w:color="auto"/>
      </w:divBdr>
    </w:div>
    <w:div w:id="1151025813">
      <w:bodyDiv w:val="1"/>
      <w:marLeft w:val="0"/>
      <w:marRight w:val="0"/>
      <w:marTop w:val="0"/>
      <w:marBottom w:val="0"/>
      <w:divBdr>
        <w:top w:val="none" w:sz="0" w:space="0" w:color="auto"/>
        <w:left w:val="none" w:sz="0" w:space="0" w:color="auto"/>
        <w:bottom w:val="none" w:sz="0" w:space="0" w:color="auto"/>
        <w:right w:val="none" w:sz="0" w:space="0" w:color="auto"/>
      </w:divBdr>
    </w:div>
    <w:div w:id="1156528134">
      <w:bodyDiv w:val="1"/>
      <w:marLeft w:val="0"/>
      <w:marRight w:val="0"/>
      <w:marTop w:val="0"/>
      <w:marBottom w:val="0"/>
      <w:divBdr>
        <w:top w:val="none" w:sz="0" w:space="0" w:color="auto"/>
        <w:left w:val="none" w:sz="0" w:space="0" w:color="auto"/>
        <w:bottom w:val="none" w:sz="0" w:space="0" w:color="auto"/>
        <w:right w:val="none" w:sz="0" w:space="0" w:color="auto"/>
      </w:divBdr>
    </w:div>
    <w:div w:id="1157919509">
      <w:bodyDiv w:val="1"/>
      <w:marLeft w:val="0"/>
      <w:marRight w:val="0"/>
      <w:marTop w:val="0"/>
      <w:marBottom w:val="0"/>
      <w:divBdr>
        <w:top w:val="none" w:sz="0" w:space="0" w:color="auto"/>
        <w:left w:val="none" w:sz="0" w:space="0" w:color="auto"/>
        <w:bottom w:val="none" w:sz="0" w:space="0" w:color="auto"/>
        <w:right w:val="none" w:sz="0" w:space="0" w:color="auto"/>
      </w:divBdr>
    </w:div>
    <w:div w:id="1163400822">
      <w:bodyDiv w:val="1"/>
      <w:marLeft w:val="0"/>
      <w:marRight w:val="0"/>
      <w:marTop w:val="0"/>
      <w:marBottom w:val="0"/>
      <w:divBdr>
        <w:top w:val="none" w:sz="0" w:space="0" w:color="auto"/>
        <w:left w:val="none" w:sz="0" w:space="0" w:color="auto"/>
        <w:bottom w:val="none" w:sz="0" w:space="0" w:color="auto"/>
        <w:right w:val="none" w:sz="0" w:space="0" w:color="auto"/>
      </w:divBdr>
    </w:div>
    <w:div w:id="1164736413">
      <w:bodyDiv w:val="1"/>
      <w:marLeft w:val="0"/>
      <w:marRight w:val="0"/>
      <w:marTop w:val="0"/>
      <w:marBottom w:val="0"/>
      <w:divBdr>
        <w:top w:val="none" w:sz="0" w:space="0" w:color="auto"/>
        <w:left w:val="none" w:sz="0" w:space="0" w:color="auto"/>
        <w:bottom w:val="none" w:sz="0" w:space="0" w:color="auto"/>
        <w:right w:val="none" w:sz="0" w:space="0" w:color="auto"/>
      </w:divBdr>
    </w:div>
    <w:div w:id="1167597225">
      <w:bodyDiv w:val="1"/>
      <w:marLeft w:val="0"/>
      <w:marRight w:val="0"/>
      <w:marTop w:val="0"/>
      <w:marBottom w:val="0"/>
      <w:divBdr>
        <w:top w:val="none" w:sz="0" w:space="0" w:color="auto"/>
        <w:left w:val="none" w:sz="0" w:space="0" w:color="auto"/>
        <w:bottom w:val="none" w:sz="0" w:space="0" w:color="auto"/>
        <w:right w:val="none" w:sz="0" w:space="0" w:color="auto"/>
      </w:divBdr>
    </w:div>
    <w:div w:id="1168522665">
      <w:bodyDiv w:val="1"/>
      <w:marLeft w:val="0"/>
      <w:marRight w:val="0"/>
      <w:marTop w:val="0"/>
      <w:marBottom w:val="0"/>
      <w:divBdr>
        <w:top w:val="none" w:sz="0" w:space="0" w:color="auto"/>
        <w:left w:val="none" w:sz="0" w:space="0" w:color="auto"/>
        <w:bottom w:val="none" w:sz="0" w:space="0" w:color="auto"/>
        <w:right w:val="none" w:sz="0" w:space="0" w:color="auto"/>
      </w:divBdr>
    </w:div>
    <w:div w:id="1180238983">
      <w:bodyDiv w:val="1"/>
      <w:marLeft w:val="0"/>
      <w:marRight w:val="0"/>
      <w:marTop w:val="0"/>
      <w:marBottom w:val="0"/>
      <w:divBdr>
        <w:top w:val="none" w:sz="0" w:space="0" w:color="auto"/>
        <w:left w:val="none" w:sz="0" w:space="0" w:color="auto"/>
        <w:bottom w:val="none" w:sz="0" w:space="0" w:color="auto"/>
        <w:right w:val="none" w:sz="0" w:space="0" w:color="auto"/>
      </w:divBdr>
    </w:div>
    <w:div w:id="1181353706">
      <w:bodyDiv w:val="1"/>
      <w:marLeft w:val="0"/>
      <w:marRight w:val="0"/>
      <w:marTop w:val="0"/>
      <w:marBottom w:val="0"/>
      <w:divBdr>
        <w:top w:val="none" w:sz="0" w:space="0" w:color="auto"/>
        <w:left w:val="none" w:sz="0" w:space="0" w:color="auto"/>
        <w:bottom w:val="none" w:sz="0" w:space="0" w:color="auto"/>
        <w:right w:val="none" w:sz="0" w:space="0" w:color="auto"/>
      </w:divBdr>
    </w:div>
    <w:div w:id="1182164049">
      <w:bodyDiv w:val="1"/>
      <w:marLeft w:val="0"/>
      <w:marRight w:val="0"/>
      <w:marTop w:val="0"/>
      <w:marBottom w:val="0"/>
      <w:divBdr>
        <w:top w:val="none" w:sz="0" w:space="0" w:color="auto"/>
        <w:left w:val="none" w:sz="0" w:space="0" w:color="auto"/>
        <w:bottom w:val="none" w:sz="0" w:space="0" w:color="auto"/>
        <w:right w:val="none" w:sz="0" w:space="0" w:color="auto"/>
      </w:divBdr>
    </w:div>
    <w:div w:id="1186751386">
      <w:bodyDiv w:val="1"/>
      <w:marLeft w:val="0"/>
      <w:marRight w:val="0"/>
      <w:marTop w:val="0"/>
      <w:marBottom w:val="0"/>
      <w:divBdr>
        <w:top w:val="none" w:sz="0" w:space="0" w:color="auto"/>
        <w:left w:val="none" w:sz="0" w:space="0" w:color="auto"/>
        <w:bottom w:val="none" w:sz="0" w:space="0" w:color="auto"/>
        <w:right w:val="none" w:sz="0" w:space="0" w:color="auto"/>
      </w:divBdr>
    </w:div>
    <w:div w:id="1189679803">
      <w:bodyDiv w:val="1"/>
      <w:marLeft w:val="0"/>
      <w:marRight w:val="0"/>
      <w:marTop w:val="0"/>
      <w:marBottom w:val="0"/>
      <w:divBdr>
        <w:top w:val="none" w:sz="0" w:space="0" w:color="auto"/>
        <w:left w:val="none" w:sz="0" w:space="0" w:color="auto"/>
        <w:bottom w:val="none" w:sz="0" w:space="0" w:color="auto"/>
        <w:right w:val="none" w:sz="0" w:space="0" w:color="auto"/>
      </w:divBdr>
    </w:div>
    <w:div w:id="1190336622">
      <w:bodyDiv w:val="1"/>
      <w:marLeft w:val="0"/>
      <w:marRight w:val="0"/>
      <w:marTop w:val="0"/>
      <w:marBottom w:val="0"/>
      <w:divBdr>
        <w:top w:val="none" w:sz="0" w:space="0" w:color="auto"/>
        <w:left w:val="none" w:sz="0" w:space="0" w:color="auto"/>
        <w:bottom w:val="none" w:sz="0" w:space="0" w:color="auto"/>
        <w:right w:val="none" w:sz="0" w:space="0" w:color="auto"/>
      </w:divBdr>
    </w:div>
    <w:div w:id="1200320601">
      <w:bodyDiv w:val="1"/>
      <w:marLeft w:val="0"/>
      <w:marRight w:val="0"/>
      <w:marTop w:val="0"/>
      <w:marBottom w:val="0"/>
      <w:divBdr>
        <w:top w:val="none" w:sz="0" w:space="0" w:color="auto"/>
        <w:left w:val="none" w:sz="0" w:space="0" w:color="auto"/>
        <w:bottom w:val="none" w:sz="0" w:space="0" w:color="auto"/>
        <w:right w:val="none" w:sz="0" w:space="0" w:color="auto"/>
      </w:divBdr>
    </w:div>
    <w:div w:id="1200704401">
      <w:bodyDiv w:val="1"/>
      <w:marLeft w:val="0"/>
      <w:marRight w:val="0"/>
      <w:marTop w:val="0"/>
      <w:marBottom w:val="0"/>
      <w:divBdr>
        <w:top w:val="none" w:sz="0" w:space="0" w:color="auto"/>
        <w:left w:val="none" w:sz="0" w:space="0" w:color="auto"/>
        <w:bottom w:val="none" w:sz="0" w:space="0" w:color="auto"/>
        <w:right w:val="none" w:sz="0" w:space="0" w:color="auto"/>
      </w:divBdr>
    </w:div>
    <w:div w:id="1208950313">
      <w:bodyDiv w:val="1"/>
      <w:marLeft w:val="0"/>
      <w:marRight w:val="0"/>
      <w:marTop w:val="0"/>
      <w:marBottom w:val="0"/>
      <w:divBdr>
        <w:top w:val="none" w:sz="0" w:space="0" w:color="auto"/>
        <w:left w:val="none" w:sz="0" w:space="0" w:color="auto"/>
        <w:bottom w:val="none" w:sz="0" w:space="0" w:color="auto"/>
        <w:right w:val="none" w:sz="0" w:space="0" w:color="auto"/>
      </w:divBdr>
    </w:div>
    <w:div w:id="1209073701">
      <w:bodyDiv w:val="1"/>
      <w:marLeft w:val="0"/>
      <w:marRight w:val="0"/>
      <w:marTop w:val="0"/>
      <w:marBottom w:val="0"/>
      <w:divBdr>
        <w:top w:val="none" w:sz="0" w:space="0" w:color="auto"/>
        <w:left w:val="none" w:sz="0" w:space="0" w:color="auto"/>
        <w:bottom w:val="none" w:sz="0" w:space="0" w:color="auto"/>
        <w:right w:val="none" w:sz="0" w:space="0" w:color="auto"/>
      </w:divBdr>
    </w:div>
    <w:div w:id="1209534535">
      <w:bodyDiv w:val="1"/>
      <w:marLeft w:val="0"/>
      <w:marRight w:val="0"/>
      <w:marTop w:val="0"/>
      <w:marBottom w:val="0"/>
      <w:divBdr>
        <w:top w:val="none" w:sz="0" w:space="0" w:color="auto"/>
        <w:left w:val="none" w:sz="0" w:space="0" w:color="auto"/>
        <w:bottom w:val="none" w:sz="0" w:space="0" w:color="auto"/>
        <w:right w:val="none" w:sz="0" w:space="0" w:color="auto"/>
      </w:divBdr>
    </w:div>
    <w:div w:id="1213888947">
      <w:bodyDiv w:val="1"/>
      <w:marLeft w:val="0"/>
      <w:marRight w:val="0"/>
      <w:marTop w:val="0"/>
      <w:marBottom w:val="0"/>
      <w:divBdr>
        <w:top w:val="none" w:sz="0" w:space="0" w:color="auto"/>
        <w:left w:val="none" w:sz="0" w:space="0" w:color="auto"/>
        <w:bottom w:val="none" w:sz="0" w:space="0" w:color="auto"/>
        <w:right w:val="none" w:sz="0" w:space="0" w:color="auto"/>
      </w:divBdr>
    </w:div>
    <w:div w:id="1214387501">
      <w:bodyDiv w:val="1"/>
      <w:marLeft w:val="0"/>
      <w:marRight w:val="0"/>
      <w:marTop w:val="0"/>
      <w:marBottom w:val="0"/>
      <w:divBdr>
        <w:top w:val="none" w:sz="0" w:space="0" w:color="auto"/>
        <w:left w:val="none" w:sz="0" w:space="0" w:color="auto"/>
        <w:bottom w:val="none" w:sz="0" w:space="0" w:color="auto"/>
        <w:right w:val="none" w:sz="0" w:space="0" w:color="auto"/>
      </w:divBdr>
    </w:div>
    <w:div w:id="1234193368">
      <w:bodyDiv w:val="1"/>
      <w:marLeft w:val="0"/>
      <w:marRight w:val="0"/>
      <w:marTop w:val="0"/>
      <w:marBottom w:val="0"/>
      <w:divBdr>
        <w:top w:val="none" w:sz="0" w:space="0" w:color="auto"/>
        <w:left w:val="none" w:sz="0" w:space="0" w:color="auto"/>
        <w:bottom w:val="none" w:sz="0" w:space="0" w:color="auto"/>
        <w:right w:val="none" w:sz="0" w:space="0" w:color="auto"/>
      </w:divBdr>
    </w:div>
    <w:div w:id="1238511639">
      <w:bodyDiv w:val="1"/>
      <w:marLeft w:val="0"/>
      <w:marRight w:val="0"/>
      <w:marTop w:val="0"/>
      <w:marBottom w:val="0"/>
      <w:divBdr>
        <w:top w:val="none" w:sz="0" w:space="0" w:color="auto"/>
        <w:left w:val="none" w:sz="0" w:space="0" w:color="auto"/>
        <w:bottom w:val="none" w:sz="0" w:space="0" w:color="auto"/>
        <w:right w:val="none" w:sz="0" w:space="0" w:color="auto"/>
      </w:divBdr>
    </w:div>
    <w:div w:id="1240023732">
      <w:bodyDiv w:val="1"/>
      <w:marLeft w:val="0"/>
      <w:marRight w:val="0"/>
      <w:marTop w:val="0"/>
      <w:marBottom w:val="0"/>
      <w:divBdr>
        <w:top w:val="none" w:sz="0" w:space="0" w:color="auto"/>
        <w:left w:val="none" w:sz="0" w:space="0" w:color="auto"/>
        <w:bottom w:val="none" w:sz="0" w:space="0" w:color="auto"/>
        <w:right w:val="none" w:sz="0" w:space="0" w:color="auto"/>
      </w:divBdr>
    </w:div>
    <w:div w:id="1243028394">
      <w:bodyDiv w:val="1"/>
      <w:marLeft w:val="0"/>
      <w:marRight w:val="0"/>
      <w:marTop w:val="0"/>
      <w:marBottom w:val="0"/>
      <w:divBdr>
        <w:top w:val="none" w:sz="0" w:space="0" w:color="auto"/>
        <w:left w:val="none" w:sz="0" w:space="0" w:color="auto"/>
        <w:bottom w:val="none" w:sz="0" w:space="0" w:color="auto"/>
        <w:right w:val="none" w:sz="0" w:space="0" w:color="auto"/>
      </w:divBdr>
    </w:div>
    <w:div w:id="1244340434">
      <w:bodyDiv w:val="1"/>
      <w:marLeft w:val="0"/>
      <w:marRight w:val="0"/>
      <w:marTop w:val="0"/>
      <w:marBottom w:val="0"/>
      <w:divBdr>
        <w:top w:val="none" w:sz="0" w:space="0" w:color="auto"/>
        <w:left w:val="none" w:sz="0" w:space="0" w:color="auto"/>
        <w:bottom w:val="none" w:sz="0" w:space="0" w:color="auto"/>
        <w:right w:val="none" w:sz="0" w:space="0" w:color="auto"/>
      </w:divBdr>
    </w:div>
    <w:div w:id="1245338200">
      <w:bodyDiv w:val="1"/>
      <w:marLeft w:val="0"/>
      <w:marRight w:val="0"/>
      <w:marTop w:val="0"/>
      <w:marBottom w:val="0"/>
      <w:divBdr>
        <w:top w:val="none" w:sz="0" w:space="0" w:color="auto"/>
        <w:left w:val="none" w:sz="0" w:space="0" w:color="auto"/>
        <w:bottom w:val="none" w:sz="0" w:space="0" w:color="auto"/>
        <w:right w:val="none" w:sz="0" w:space="0" w:color="auto"/>
      </w:divBdr>
    </w:div>
    <w:div w:id="1245578286">
      <w:bodyDiv w:val="1"/>
      <w:marLeft w:val="0"/>
      <w:marRight w:val="0"/>
      <w:marTop w:val="0"/>
      <w:marBottom w:val="0"/>
      <w:divBdr>
        <w:top w:val="none" w:sz="0" w:space="0" w:color="auto"/>
        <w:left w:val="none" w:sz="0" w:space="0" w:color="auto"/>
        <w:bottom w:val="none" w:sz="0" w:space="0" w:color="auto"/>
        <w:right w:val="none" w:sz="0" w:space="0" w:color="auto"/>
      </w:divBdr>
    </w:div>
    <w:div w:id="1245996367">
      <w:bodyDiv w:val="1"/>
      <w:marLeft w:val="0"/>
      <w:marRight w:val="0"/>
      <w:marTop w:val="0"/>
      <w:marBottom w:val="0"/>
      <w:divBdr>
        <w:top w:val="none" w:sz="0" w:space="0" w:color="auto"/>
        <w:left w:val="none" w:sz="0" w:space="0" w:color="auto"/>
        <w:bottom w:val="none" w:sz="0" w:space="0" w:color="auto"/>
        <w:right w:val="none" w:sz="0" w:space="0" w:color="auto"/>
      </w:divBdr>
    </w:div>
    <w:div w:id="1248614611">
      <w:bodyDiv w:val="1"/>
      <w:marLeft w:val="0"/>
      <w:marRight w:val="0"/>
      <w:marTop w:val="0"/>
      <w:marBottom w:val="0"/>
      <w:divBdr>
        <w:top w:val="none" w:sz="0" w:space="0" w:color="auto"/>
        <w:left w:val="none" w:sz="0" w:space="0" w:color="auto"/>
        <w:bottom w:val="none" w:sz="0" w:space="0" w:color="auto"/>
        <w:right w:val="none" w:sz="0" w:space="0" w:color="auto"/>
      </w:divBdr>
    </w:div>
    <w:div w:id="1249194781">
      <w:bodyDiv w:val="1"/>
      <w:marLeft w:val="0"/>
      <w:marRight w:val="0"/>
      <w:marTop w:val="0"/>
      <w:marBottom w:val="0"/>
      <w:divBdr>
        <w:top w:val="none" w:sz="0" w:space="0" w:color="auto"/>
        <w:left w:val="none" w:sz="0" w:space="0" w:color="auto"/>
        <w:bottom w:val="none" w:sz="0" w:space="0" w:color="auto"/>
        <w:right w:val="none" w:sz="0" w:space="0" w:color="auto"/>
      </w:divBdr>
    </w:div>
    <w:div w:id="1250385341">
      <w:bodyDiv w:val="1"/>
      <w:marLeft w:val="0"/>
      <w:marRight w:val="0"/>
      <w:marTop w:val="0"/>
      <w:marBottom w:val="0"/>
      <w:divBdr>
        <w:top w:val="none" w:sz="0" w:space="0" w:color="auto"/>
        <w:left w:val="none" w:sz="0" w:space="0" w:color="auto"/>
        <w:bottom w:val="none" w:sz="0" w:space="0" w:color="auto"/>
        <w:right w:val="none" w:sz="0" w:space="0" w:color="auto"/>
      </w:divBdr>
    </w:div>
    <w:div w:id="1253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840274">
          <w:marLeft w:val="0"/>
          <w:marRight w:val="0"/>
          <w:marTop w:val="0"/>
          <w:marBottom w:val="0"/>
          <w:divBdr>
            <w:top w:val="none" w:sz="0" w:space="0" w:color="auto"/>
            <w:left w:val="none" w:sz="0" w:space="0" w:color="auto"/>
            <w:bottom w:val="none" w:sz="0" w:space="0" w:color="auto"/>
            <w:right w:val="none" w:sz="0" w:space="0" w:color="auto"/>
          </w:divBdr>
        </w:div>
      </w:divsChild>
    </w:div>
    <w:div w:id="1256984031">
      <w:bodyDiv w:val="1"/>
      <w:marLeft w:val="0"/>
      <w:marRight w:val="0"/>
      <w:marTop w:val="0"/>
      <w:marBottom w:val="0"/>
      <w:divBdr>
        <w:top w:val="none" w:sz="0" w:space="0" w:color="auto"/>
        <w:left w:val="none" w:sz="0" w:space="0" w:color="auto"/>
        <w:bottom w:val="none" w:sz="0" w:space="0" w:color="auto"/>
        <w:right w:val="none" w:sz="0" w:space="0" w:color="auto"/>
      </w:divBdr>
    </w:div>
    <w:div w:id="1260872110">
      <w:bodyDiv w:val="1"/>
      <w:marLeft w:val="0"/>
      <w:marRight w:val="0"/>
      <w:marTop w:val="0"/>
      <w:marBottom w:val="0"/>
      <w:divBdr>
        <w:top w:val="none" w:sz="0" w:space="0" w:color="auto"/>
        <w:left w:val="none" w:sz="0" w:space="0" w:color="auto"/>
        <w:bottom w:val="none" w:sz="0" w:space="0" w:color="auto"/>
        <w:right w:val="none" w:sz="0" w:space="0" w:color="auto"/>
      </w:divBdr>
    </w:div>
    <w:div w:id="1263416447">
      <w:bodyDiv w:val="1"/>
      <w:marLeft w:val="0"/>
      <w:marRight w:val="0"/>
      <w:marTop w:val="0"/>
      <w:marBottom w:val="0"/>
      <w:divBdr>
        <w:top w:val="none" w:sz="0" w:space="0" w:color="auto"/>
        <w:left w:val="none" w:sz="0" w:space="0" w:color="auto"/>
        <w:bottom w:val="none" w:sz="0" w:space="0" w:color="auto"/>
        <w:right w:val="none" w:sz="0" w:space="0" w:color="auto"/>
      </w:divBdr>
    </w:div>
    <w:div w:id="1267498890">
      <w:bodyDiv w:val="1"/>
      <w:marLeft w:val="0"/>
      <w:marRight w:val="0"/>
      <w:marTop w:val="0"/>
      <w:marBottom w:val="0"/>
      <w:divBdr>
        <w:top w:val="none" w:sz="0" w:space="0" w:color="auto"/>
        <w:left w:val="none" w:sz="0" w:space="0" w:color="auto"/>
        <w:bottom w:val="none" w:sz="0" w:space="0" w:color="auto"/>
        <w:right w:val="none" w:sz="0" w:space="0" w:color="auto"/>
      </w:divBdr>
    </w:div>
    <w:div w:id="1272513268">
      <w:bodyDiv w:val="1"/>
      <w:marLeft w:val="0"/>
      <w:marRight w:val="0"/>
      <w:marTop w:val="0"/>
      <w:marBottom w:val="0"/>
      <w:divBdr>
        <w:top w:val="none" w:sz="0" w:space="0" w:color="auto"/>
        <w:left w:val="none" w:sz="0" w:space="0" w:color="auto"/>
        <w:bottom w:val="none" w:sz="0" w:space="0" w:color="auto"/>
        <w:right w:val="none" w:sz="0" w:space="0" w:color="auto"/>
      </w:divBdr>
    </w:div>
    <w:div w:id="1283727169">
      <w:bodyDiv w:val="1"/>
      <w:marLeft w:val="0"/>
      <w:marRight w:val="0"/>
      <w:marTop w:val="0"/>
      <w:marBottom w:val="0"/>
      <w:divBdr>
        <w:top w:val="none" w:sz="0" w:space="0" w:color="auto"/>
        <w:left w:val="none" w:sz="0" w:space="0" w:color="auto"/>
        <w:bottom w:val="none" w:sz="0" w:space="0" w:color="auto"/>
        <w:right w:val="none" w:sz="0" w:space="0" w:color="auto"/>
      </w:divBdr>
    </w:div>
    <w:div w:id="1284384028">
      <w:bodyDiv w:val="1"/>
      <w:marLeft w:val="0"/>
      <w:marRight w:val="0"/>
      <w:marTop w:val="0"/>
      <w:marBottom w:val="0"/>
      <w:divBdr>
        <w:top w:val="none" w:sz="0" w:space="0" w:color="auto"/>
        <w:left w:val="none" w:sz="0" w:space="0" w:color="auto"/>
        <w:bottom w:val="none" w:sz="0" w:space="0" w:color="auto"/>
        <w:right w:val="none" w:sz="0" w:space="0" w:color="auto"/>
      </w:divBdr>
    </w:div>
    <w:div w:id="1289046715">
      <w:bodyDiv w:val="1"/>
      <w:marLeft w:val="0"/>
      <w:marRight w:val="0"/>
      <w:marTop w:val="0"/>
      <w:marBottom w:val="0"/>
      <w:divBdr>
        <w:top w:val="none" w:sz="0" w:space="0" w:color="auto"/>
        <w:left w:val="none" w:sz="0" w:space="0" w:color="auto"/>
        <w:bottom w:val="none" w:sz="0" w:space="0" w:color="auto"/>
        <w:right w:val="none" w:sz="0" w:space="0" w:color="auto"/>
      </w:divBdr>
    </w:div>
    <w:div w:id="1293292615">
      <w:bodyDiv w:val="1"/>
      <w:marLeft w:val="0"/>
      <w:marRight w:val="0"/>
      <w:marTop w:val="0"/>
      <w:marBottom w:val="0"/>
      <w:divBdr>
        <w:top w:val="none" w:sz="0" w:space="0" w:color="auto"/>
        <w:left w:val="none" w:sz="0" w:space="0" w:color="auto"/>
        <w:bottom w:val="none" w:sz="0" w:space="0" w:color="auto"/>
        <w:right w:val="none" w:sz="0" w:space="0" w:color="auto"/>
      </w:divBdr>
    </w:div>
    <w:div w:id="1297028790">
      <w:bodyDiv w:val="1"/>
      <w:marLeft w:val="0"/>
      <w:marRight w:val="0"/>
      <w:marTop w:val="0"/>
      <w:marBottom w:val="0"/>
      <w:divBdr>
        <w:top w:val="none" w:sz="0" w:space="0" w:color="auto"/>
        <w:left w:val="none" w:sz="0" w:space="0" w:color="auto"/>
        <w:bottom w:val="none" w:sz="0" w:space="0" w:color="auto"/>
        <w:right w:val="none" w:sz="0" w:space="0" w:color="auto"/>
      </w:divBdr>
    </w:div>
    <w:div w:id="1301501425">
      <w:bodyDiv w:val="1"/>
      <w:marLeft w:val="0"/>
      <w:marRight w:val="0"/>
      <w:marTop w:val="0"/>
      <w:marBottom w:val="0"/>
      <w:divBdr>
        <w:top w:val="none" w:sz="0" w:space="0" w:color="auto"/>
        <w:left w:val="none" w:sz="0" w:space="0" w:color="auto"/>
        <w:bottom w:val="none" w:sz="0" w:space="0" w:color="auto"/>
        <w:right w:val="none" w:sz="0" w:space="0" w:color="auto"/>
      </w:divBdr>
    </w:div>
    <w:div w:id="1301767476">
      <w:bodyDiv w:val="1"/>
      <w:marLeft w:val="0"/>
      <w:marRight w:val="0"/>
      <w:marTop w:val="0"/>
      <w:marBottom w:val="0"/>
      <w:divBdr>
        <w:top w:val="none" w:sz="0" w:space="0" w:color="auto"/>
        <w:left w:val="none" w:sz="0" w:space="0" w:color="auto"/>
        <w:bottom w:val="none" w:sz="0" w:space="0" w:color="auto"/>
        <w:right w:val="none" w:sz="0" w:space="0" w:color="auto"/>
      </w:divBdr>
    </w:div>
    <w:div w:id="1303776826">
      <w:bodyDiv w:val="1"/>
      <w:marLeft w:val="0"/>
      <w:marRight w:val="0"/>
      <w:marTop w:val="0"/>
      <w:marBottom w:val="0"/>
      <w:divBdr>
        <w:top w:val="none" w:sz="0" w:space="0" w:color="auto"/>
        <w:left w:val="none" w:sz="0" w:space="0" w:color="auto"/>
        <w:bottom w:val="none" w:sz="0" w:space="0" w:color="auto"/>
        <w:right w:val="none" w:sz="0" w:space="0" w:color="auto"/>
      </w:divBdr>
    </w:div>
    <w:div w:id="1306474296">
      <w:bodyDiv w:val="1"/>
      <w:marLeft w:val="0"/>
      <w:marRight w:val="0"/>
      <w:marTop w:val="0"/>
      <w:marBottom w:val="0"/>
      <w:divBdr>
        <w:top w:val="none" w:sz="0" w:space="0" w:color="auto"/>
        <w:left w:val="none" w:sz="0" w:space="0" w:color="auto"/>
        <w:bottom w:val="none" w:sz="0" w:space="0" w:color="auto"/>
        <w:right w:val="none" w:sz="0" w:space="0" w:color="auto"/>
      </w:divBdr>
    </w:div>
    <w:div w:id="1307276057">
      <w:bodyDiv w:val="1"/>
      <w:marLeft w:val="0"/>
      <w:marRight w:val="0"/>
      <w:marTop w:val="0"/>
      <w:marBottom w:val="0"/>
      <w:divBdr>
        <w:top w:val="none" w:sz="0" w:space="0" w:color="auto"/>
        <w:left w:val="none" w:sz="0" w:space="0" w:color="auto"/>
        <w:bottom w:val="none" w:sz="0" w:space="0" w:color="auto"/>
        <w:right w:val="none" w:sz="0" w:space="0" w:color="auto"/>
      </w:divBdr>
    </w:div>
    <w:div w:id="1313831946">
      <w:bodyDiv w:val="1"/>
      <w:marLeft w:val="0"/>
      <w:marRight w:val="0"/>
      <w:marTop w:val="0"/>
      <w:marBottom w:val="0"/>
      <w:divBdr>
        <w:top w:val="none" w:sz="0" w:space="0" w:color="auto"/>
        <w:left w:val="none" w:sz="0" w:space="0" w:color="auto"/>
        <w:bottom w:val="none" w:sz="0" w:space="0" w:color="auto"/>
        <w:right w:val="none" w:sz="0" w:space="0" w:color="auto"/>
      </w:divBdr>
    </w:div>
    <w:div w:id="1320845008">
      <w:bodyDiv w:val="1"/>
      <w:marLeft w:val="0"/>
      <w:marRight w:val="0"/>
      <w:marTop w:val="0"/>
      <w:marBottom w:val="0"/>
      <w:divBdr>
        <w:top w:val="none" w:sz="0" w:space="0" w:color="auto"/>
        <w:left w:val="none" w:sz="0" w:space="0" w:color="auto"/>
        <w:bottom w:val="none" w:sz="0" w:space="0" w:color="auto"/>
        <w:right w:val="none" w:sz="0" w:space="0" w:color="auto"/>
      </w:divBdr>
    </w:div>
    <w:div w:id="1324625165">
      <w:bodyDiv w:val="1"/>
      <w:marLeft w:val="0"/>
      <w:marRight w:val="0"/>
      <w:marTop w:val="0"/>
      <w:marBottom w:val="0"/>
      <w:divBdr>
        <w:top w:val="none" w:sz="0" w:space="0" w:color="auto"/>
        <w:left w:val="none" w:sz="0" w:space="0" w:color="auto"/>
        <w:bottom w:val="none" w:sz="0" w:space="0" w:color="auto"/>
        <w:right w:val="none" w:sz="0" w:space="0" w:color="auto"/>
      </w:divBdr>
    </w:div>
    <w:div w:id="1327123624">
      <w:bodyDiv w:val="1"/>
      <w:marLeft w:val="0"/>
      <w:marRight w:val="0"/>
      <w:marTop w:val="0"/>
      <w:marBottom w:val="0"/>
      <w:divBdr>
        <w:top w:val="none" w:sz="0" w:space="0" w:color="auto"/>
        <w:left w:val="none" w:sz="0" w:space="0" w:color="auto"/>
        <w:bottom w:val="none" w:sz="0" w:space="0" w:color="auto"/>
        <w:right w:val="none" w:sz="0" w:space="0" w:color="auto"/>
      </w:divBdr>
    </w:div>
    <w:div w:id="1332752214">
      <w:bodyDiv w:val="1"/>
      <w:marLeft w:val="0"/>
      <w:marRight w:val="0"/>
      <w:marTop w:val="0"/>
      <w:marBottom w:val="0"/>
      <w:divBdr>
        <w:top w:val="none" w:sz="0" w:space="0" w:color="auto"/>
        <w:left w:val="none" w:sz="0" w:space="0" w:color="auto"/>
        <w:bottom w:val="none" w:sz="0" w:space="0" w:color="auto"/>
        <w:right w:val="none" w:sz="0" w:space="0" w:color="auto"/>
      </w:divBdr>
    </w:div>
    <w:div w:id="1336110445">
      <w:bodyDiv w:val="1"/>
      <w:marLeft w:val="0"/>
      <w:marRight w:val="0"/>
      <w:marTop w:val="0"/>
      <w:marBottom w:val="0"/>
      <w:divBdr>
        <w:top w:val="none" w:sz="0" w:space="0" w:color="auto"/>
        <w:left w:val="none" w:sz="0" w:space="0" w:color="auto"/>
        <w:bottom w:val="none" w:sz="0" w:space="0" w:color="auto"/>
        <w:right w:val="none" w:sz="0" w:space="0" w:color="auto"/>
      </w:divBdr>
    </w:div>
    <w:div w:id="1336222759">
      <w:bodyDiv w:val="1"/>
      <w:marLeft w:val="0"/>
      <w:marRight w:val="0"/>
      <w:marTop w:val="0"/>
      <w:marBottom w:val="0"/>
      <w:divBdr>
        <w:top w:val="none" w:sz="0" w:space="0" w:color="auto"/>
        <w:left w:val="none" w:sz="0" w:space="0" w:color="auto"/>
        <w:bottom w:val="none" w:sz="0" w:space="0" w:color="auto"/>
        <w:right w:val="none" w:sz="0" w:space="0" w:color="auto"/>
      </w:divBdr>
    </w:div>
    <w:div w:id="1336229724">
      <w:bodyDiv w:val="1"/>
      <w:marLeft w:val="0"/>
      <w:marRight w:val="0"/>
      <w:marTop w:val="0"/>
      <w:marBottom w:val="0"/>
      <w:divBdr>
        <w:top w:val="none" w:sz="0" w:space="0" w:color="auto"/>
        <w:left w:val="none" w:sz="0" w:space="0" w:color="auto"/>
        <w:bottom w:val="none" w:sz="0" w:space="0" w:color="auto"/>
        <w:right w:val="none" w:sz="0" w:space="0" w:color="auto"/>
      </w:divBdr>
    </w:div>
    <w:div w:id="1338851235">
      <w:bodyDiv w:val="1"/>
      <w:marLeft w:val="0"/>
      <w:marRight w:val="0"/>
      <w:marTop w:val="0"/>
      <w:marBottom w:val="0"/>
      <w:divBdr>
        <w:top w:val="none" w:sz="0" w:space="0" w:color="auto"/>
        <w:left w:val="none" w:sz="0" w:space="0" w:color="auto"/>
        <w:bottom w:val="none" w:sz="0" w:space="0" w:color="auto"/>
        <w:right w:val="none" w:sz="0" w:space="0" w:color="auto"/>
      </w:divBdr>
    </w:div>
    <w:div w:id="1347436954">
      <w:bodyDiv w:val="1"/>
      <w:marLeft w:val="0"/>
      <w:marRight w:val="0"/>
      <w:marTop w:val="0"/>
      <w:marBottom w:val="0"/>
      <w:divBdr>
        <w:top w:val="none" w:sz="0" w:space="0" w:color="auto"/>
        <w:left w:val="none" w:sz="0" w:space="0" w:color="auto"/>
        <w:bottom w:val="none" w:sz="0" w:space="0" w:color="auto"/>
        <w:right w:val="none" w:sz="0" w:space="0" w:color="auto"/>
      </w:divBdr>
    </w:div>
    <w:div w:id="1347632118">
      <w:bodyDiv w:val="1"/>
      <w:marLeft w:val="0"/>
      <w:marRight w:val="0"/>
      <w:marTop w:val="0"/>
      <w:marBottom w:val="0"/>
      <w:divBdr>
        <w:top w:val="none" w:sz="0" w:space="0" w:color="auto"/>
        <w:left w:val="none" w:sz="0" w:space="0" w:color="auto"/>
        <w:bottom w:val="none" w:sz="0" w:space="0" w:color="auto"/>
        <w:right w:val="none" w:sz="0" w:space="0" w:color="auto"/>
      </w:divBdr>
    </w:div>
    <w:div w:id="1350638914">
      <w:bodyDiv w:val="1"/>
      <w:marLeft w:val="0"/>
      <w:marRight w:val="0"/>
      <w:marTop w:val="0"/>
      <w:marBottom w:val="0"/>
      <w:divBdr>
        <w:top w:val="none" w:sz="0" w:space="0" w:color="auto"/>
        <w:left w:val="none" w:sz="0" w:space="0" w:color="auto"/>
        <w:bottom w:val="none" w:sz="0" w:space="0" w:color="auto"/>
        <w:right w:val="none" w:sz="0" w:space="0" w:color="auto"/>
      </w:divBdr>
    </w:div>
    <w:div w:id="1350988461">
      <w:bodyDiv w:val="1"/>
      <w:marLeft w:val="0"/>
      <w:marRight w:val="0"/>
      <w:marTop w:val="0"/>
      <w:marBottom w:val="0"/>
      <w:divBdr>
        <w:top w:val="none" w:sz="0" w:space="0" w:color="auto"/>
        <w:left w:val="none" w:sz="0" w:space="0" w:color="auto"/>
        <w:bottom w:val="none" w:sz="0" w:space="0" w:color="auto"/>
        <w:right w:val="none" w:sz="0" w:space="0" w:color="auto"/>
      </w:divBdr>
    </w:div>
    <w:div w:id="1358892194">
      <w:bodyDiv w:val="1"/>
      <w:marLeft w:val="0"/>
      <w:marRight w:val="0"/>
      <w:marTop w:val="0"/>
      <w:marBottom w:val="0"/>
      <w:divBdr>
        <w:top w:val="none" w:sz="0" w:space="0" w:color="auto"/>
        <w:left w:val="none" w:sz="0" w:space="0" w:color="auto"/>
        <w:bottom w:val="none" w:sz="0" w:space="0" w:color="auto"/>
        <w:right w:val="none" w:sz="0" w:space="0" w:color="auto"/>
      </w:divBdr>
    </w:div>
    <w:div w:id="1359549523">
      <w:bodyDiv w:val="1"/>
      <w:marLeft w:val="0"/>
      <w:marRight w:val="0"/>
      <w:marTop w:val="0"/>
      <w:marBottom w:val="0"/>
      <w:divBdr>
        <w:top w:val="none" w:sz="0" w:space="0" w:color="auto"/>
        <w:left w:val="none" w:sz="0" w:space="0" w:color="auto"/>
        <w:bottom w:val="none" w:sz="0" w:space="0" w:color="auto"/>
        <w:right w:val="none" w:sz="0" w:space="0" w:color="auto"/>
      </w:divBdr>
    </w:div>
    <w:div w:id="1383019335">
      <w:bodyDiv w:val="1"/>
      <w:marLeft w:val="0"/>
      <w:marRight w:val="0"/>
      <w:marTop w:val="0"/>
      <w:marBottom w:val="0"/>
      <w:divBdr>
        <w:top w:val="none" w:sz="0" w:space="0" w:color="auto"/>
        <w:left w:val="none" w:sz="0" w:space="0" w:color="auto"/>
        <w:bottom w:val="none" w:sz="0" w:space="0" w:color="auto"/>
        <w:right w:val="none" w:sz="0" w:space="0" w:color="auto"/>
      </w:divBdr>
    </w:div>
    <w:div w:id="1389526118">
      <w:bodyDiv w:val="1"/>
      <w:marLeft w:val="0"/>
      <w:marRight w:val="0"/>
      <w:marTop w:val="0"/>
      <w:marBottom w:val="0"/>
      <w:divBdr>
        <w:top w:val="none" w:sz="0" w:space="0" w:color="auto"/>
        <w:left w:val="none" w:sz="0" w:space="0" w:color="auto"/>
        <w:bottom w:val="none" w:sz="0" w:space="0" w:color="auto"/>
        <w:right w:val="none" w:sz="0" w:space="0" w:color="auto"/>
      </w:divBdr>
    </w:div>
    <w:div w:id="1390617659">
      <w:bodyDiv w:val="1"/>
      <w:marLeft w:val="0"/>
      <w:marRight w:val="0"/>
      <w:marTop w:val="0"/>
      <w:marBottom w:val="0"/>
      <w:divBdr>
        <w:top w:val="none" w:sz="0" w:space="0" w:color="auto"/>
        <w:left w:val="none" w:sz="0" w:space="0" w:color="auto"/>
        <w:bottom w:val="none" w:sz="0" w:space="0" w:color="auto"/>
        <w:right w:val="none" w:sz="0" w:space="0" w:color="auto"/>
      </w:divBdr>
    </w:div>
    <w:div w:id="1390881003">
      <w:bodyDiv w:val="1"/>
      <w:marLeft w:val="0"/>
      <w:marRight w:val="0"/>
      <w:marTop w:val="0"/>
      <w:marBottom w:val="0"/>
      <w:divBdr>
        <w:top w:val="none" w:sz="0" w:space="0" w:color="auto"/>
        <w:left w:val="none" w:sz="0" w:space="0" w:color="auto"/>
        <w:bottom w:val="none" w:sz="0" w:space="0" w:color="auto"/>
        <w:right w:val="none" w:sz="0" w:space="0" w:color="auto"/>
      </w:divBdr>
    </w:div>
    <w:div w:id="1393776583">
      <w:bodyDiv w:val="1"/>
      <w:marLeft w:val="0"/>
      <w:marRight w:val="0"/>
      <w:marTop w:val="0"/>
      <w:marBottom w:val="0"/>
      <w:divBdr>
        <w:top w:val="none" w:sz="0" w:space="0" w:color="auto"/>
        <w:left w:val="none" w:sz="0" w:space="0" w:color="auto"/>
        <w:bottom w:val="none" w:sz="0" w:space="0" w:color="auto"/>
        <w:right w:val="none" w:sz="0" w:space="0" w:color="auto"/>
      </w:divBdr>
    </w:div>
    <w:div w:id="1399087390">
      <w:bodyDiv w:val="1"/>
      <w:marLeft w:val="0"/>
      <w:marRight w:val="0"/>
      <w:marTop w:val="0"/>
      <w:marBottom w:val="0"/>
      <w:divBdr>
        <w:top w:val="none" w:sz="0" w:space="0" w:color="auto"/>
        <w:left w:val="none" w:sz="0" w:space="0" w:color="auto"/>
        <w:bottom w:val="none" w:sz="0" w:space="0" w:color="auto"/>
        <w:right w:val="none" w:sz="0" w:space="0" w:color="auto"/>
      </w:divBdr>
    </w:div>
    <w:div w:id="1403479889">
      <w:bodyDiv w:val="1"/>
      <w:marLeft w:val="0"/>
      <w:marRight w:val="0"/>
      <w:marTop w:val="0"/>
      <w:marBottom w:val="0"/>
      <w:divBdr>
        <w:top w:val="none" w:sz="0" w:space="0" w:color="auto"/>
        <w:left w:val="none" w:sz="0" w:space="0" w:color="auto"/>
        <w:bottom w:val="none" w:sz="0" w:space="0" w:color="auto"/>
        <w:right w:val="none" w:sz="0" w:space="0" w:color="auto"/>
      </w:divBdr>
    </w:div>
    <w:div w:id="1412852795">
      <w:bodyDiv w:val="1"/>
      <w:marLeft w:val="0"/>
      <w:marRight w:val="0"/>
      <w:marTop w:val="0"/>
      <w:marBottom w:val="0"/>
      <w:divBdr>
        <w:top w:val="none" w:sz="0" w:space="0" w:color="auto"/>
        <w:left w:val="none" w:sz="0" w:space="0" w:color="auto"/>
        <w:bottom w:val="none" w:sz="0" w:space="0" w:color="auto"/>
        <w:right w:val="none" w:sz="0" w:space="0" w:color="auto"/>
      </w:divBdr>
    </w:div>
    <w:div w:id="1415934117">
      <w:bodyDiv w:val="1"/>
      <w:marLeft w:val="0"/>
      <w:marRight w:val="0"/>
      <w:marTop w:val="0"/>
      <w:marBottom w:val="0"/>
      <w:divBdr>
        <w:top w:val="none" w:sz="0" w:space="0" w:color="auto"/>
        <w:left w:val="none" w:sz="0" w:space="0" w:color="auto"/>
        <w:bottom w:val="none" w:sz="0" w:space="0" w:color="auto"/>
        <w:right w:val="none" w:sz="0" w:space="0" w:color="auto"/>
      </w:divBdr>
    </w:div>
    <w:div w:id="1417945857">
      <w:bodyDiv w:val="1"/>
      <w:marLeft w:val="0"/>
      <w:marRight w:val="0"/>
      <w:marTop w:val="0"/>
      <w:marBottom w:val="0"/>
      <w:divBdr>
        <w:top w:val="none" w:sz="0" w:space="0" w:color="auto"/>
        <w:left w:val="none" w:sz="0" w:space="0" w:color="auto"/>
        <w:bottom w:val="none" w:sz="0" w:space="0" w:color="auto"/>
        <w:right w:val="none" w:sz="0" w:space="0" w:color="auto"/>
      </w:divBdr>
    </w:div>
    <w:div w:id="1426268287">
      <w:bodyDiv w:val="1"/>
      <w:marLeft w:val="0"/>
      <w:marRight w:val="0"/>
      <w:marTop w:val="0"/>
      <w:marBottom w:val="0"/>
      <w:divBdr>
        <w:top w:val="none" w:sz="0" w:space="0" w:color="auto"/>
        <w:left w:val="none" w:sz="0" w:space="0" w:color="auto"/>
        <w:bottom w:val="none" w:sz="0" w:space="0" w:color="auto"/>
        <w:right w:val="none" w:sz="0" w:space="0" w:color="auto"/>
      </w:divBdr>
    </w:div>
    <w:div w:id="1426610030">
      <w:bodyDiv w:val="1"/>
      <w:marLeft w:val="0"/>
      <w:marRight w:val="0"/>
      <w:marTop w:val="0"/>
      <w:marBottom w:val="0"/>
      <w:divBdr>
        <w:top w:val="none" w:sz="0" w:space="0" w:color="auto"/>
        <w:left w:val="none" w:sz="0" w:space="0" w:color="auto"/>
        <w:bottom w:val="none" w:sz="0" w:space="0" w:color="auto"/>
        <w:right w:val="none" w:sz="0" w:space="0" w:color="auto"/>
      </w:divBdr>
    </w:div>
    <w:div w:id="1430587372">
      <w:bodyDiv w:val="1"/>
      <w:marLeft w:val="0"/>
      <w:marRight w:val="0"/>
      <w:marTop w:val="0"/>
      <w:marBottom w:val="0"/>
      <w:divBdr>
        <w:top w:val="none" w:sz="0" w:space="0" w:color="auto"/>
        <w:left w:val="none" w:sz="0" w:space="0" w:color="auto"/>
        <w:bottom w:val="none" w:sz="0" w:space="0" w:color="auto"/>
        <w:right w:val="none" w:sz="0" w:space="0" w:color="auto"/>
      </w:divBdr>
    </w:div>
    <w:div w:id="1432433493">
      <w:bodyDiv w:val="1"/>
      <w:marLeft w:val="0"/>
      <w:marRight w:val="0"/>
      <w:marTop w:val="0"/>
      <w:marBottom w:val="0"/>
      <w:divBdr>
        <w:top w:val="none" w:sz="0" w:space="0" w:color="auto"/>
        <w:left w:val="none" w:sz="0" w:space="0" w:color="auto"/>
        <w:bottom w:val="none" w:sz="0" w:space="0" w:color="auto"/>
        <w:right w:val="none" w:sz="0" w:space="0" w:color="auto"/>
      </w:divBdr>
    </w:div>
    <w:div w:id="1436052310">
      <w:bodyDiv w:val="1"/>
      <w:marLeft w:val="0"/>
      <w:marRight w:val="0"/>
      <w:marTop w:val="0"/>
      <w:marBottom w:val="0"/>
      <w:divBdr>
        <w:top w:val="none" w:sz="0" w:space="0" w:color="auto"/>
        <w:left w:val="none" w:sz="0" w:space="0" w:color="auto"/>
        <w:bottom w:val="none" w:sz="0" w:space="0" w:color="auto"/>
        <w:right w:val="none" w:sz="0" w:space="0" w:color="auto"/>
      </w:divBdr>
    </w:div>
    <w:div w:id="1437670677">
      <w:bodyDiv w:val="1"/>
      <w:marLeft w:val="0"/>
      <w:marRight w:val="0"/>
      <w:marTop w:val="0"/>
      <w:marBottom w:val="0"/>
      <w:divBdr>
        <w:top w:val="none" w:sz="0" w:space="0" w:color="auto"/>
        <w:left w:val="none" w:sz="0" w:space="0" w:color="auto"/>
        <w:bottom w:val="none" w:sz="0" w:space="0" w:color="auto"/>
        <w:right w:val="none" w:sz="0" w:space="0" w:color="auto"/>
      </w:divBdr>
    </w:div>
    <w:div w:id="1443186863">
      <w:bodyDiv w:val="1"/>
      <w:marLeft w:val="0"/>
      <w:marRight w:val="0"/>
      <w:marTop w:val="0"/>
      <w:marBottom w:val="0"/>
      <w:divBdr>
        <w:top w:val="none" w:sz="0" w:space="0" w:color="auto"/>
        <w:left w:val="none" w:sz="0" w:space="0" w:color="auto"/>
        <w:bottom w:val="none" w:sz="0" w:space="0" w:color="auto"/>
        <w:right w:val="none" w:sz="0" w:space="0" w:color="auto"/>
      </w:divBdr>
    </w:div>
    <w:div w:id="1448236594">
      <w:bodyDiv w:val="1"/>
      <w:marLeft w:val="0"/>
      <w:marRight w:val="0"/>
      <w:marTop w:val="0"/>
      <w:marBottom w:val="0"/>
      <w:divBdr>
        <w:top w:val="none" w:sz="0" w:space="0" w:color="auto"/>
        <w:left w:val="none" w:sz="0" w:space="0" w:color="auto"/>
        <w:bottom w:val="none" w:sz="0" w:space="0" w:color="auto"/>
        <w:right w:val="none" w:sz="0" w:space="0" w:color="auto"/>
      </w:divBdr>
    </w:div>
    <w:div w:id="1449348686">
      <w:bodyDiv w:val="1"/>
      <w:marLeft w:val="0"/>
      <w:marRight w:val="0"/>
      <w:marTop w:val="0"/>
      <w:marBottom w:val="0"/>
      <w:divBdr>
        <w:top w:val="none" w:sz="0" w:space="0" w:color="auto"/>
        <w:left w:val="none" w:sz="0" w:space="0" w:color="auto"/>
        <w:bottom w:val="none" w:sz="0" w:space="0" w:color="auto"/>
        <w:right w:val="none" w:sz="0" w:space="0" w:color="auto"/>
      </w:divBdr>
    </w:div>
    <w:div w:id="1452242774">
      <w:bodyDiv w:val="1"/>
      <w:marLeft w:val="0"/>
      <w:marRight w:val="0"/>
      <w:marTop w:val="0"/>
      <w:marBottom w:val="0"/>
      <w:divBdr>
        <w:top w:val="none" w:sz="0" w:space="0" w:color="auto"/>
        <w:left w:val="none" w:sz="0" w:space="0" w:color="auto"/>
        <w:bottom w:val="none" w:sz="0" w:space="0" w:color="auto"/>
        <w:right w:val="none" w:sz="0" w:space="0" w:color="auto"/>
      </w:divBdr>
    </w:div>
    <w:div w:id="1453330962">
      <w:bodyDiv w:val="1"/>
      <w:marLeft w:val="0"/>
      <w:marRight w:val="0"/>
      <w:marTop w:val="0"/>
      <w:marBottom w:val="0"/>
      <w:divBdr>
        <w:top w:val="none" w:sz="0" w:space="0" w:color="auto"/>
        <w:left w:val="none" w:sz="0" w:space="0" w:color="auto"/>
        <w:bottom w:val="none" w:sz="0" w:space="0" w:color="auto"/>
        <w:right w:val="none" w:sz="0" w:space="0" w:color="auto"/>
      </w:divBdr>
    </w:div>
    <w:div w:id="1455827012">
      <w:bodyDiv w:val="1"/>
      <w:marLeft w:val="0"/>
      <w:marRight w:val="0"/>
      <w:marTop w:val="0"/>
      <w:marBottom w:val="0"/>
      <w:divBdr>
        <w:top w:val="none" w:sz="0" w:space="0" w:color="auto"/>
        <w:left w:val="none" w:sz="0" w:space="0" w:color="auto"/>
        <w:bottom w:val="none" w:sz="0" w:space="0" w:color="auto"/>
        <w:right w:val="none" w:sz="0" w:space="0" w:color="auto"/>
      </w:divBdr>
    </w:div>
    <w:div w:id="1457410890">
      <w:bodyDiv w:val="1"/>
      <w:marLeft w:val="0"/>
      <w:marRight w:val="0"/>
      <w:marTop w:val="0"/>
      <w:marBottom w:val="0"/>
      <w:divBdr>
        <w:top w:val="none" w:sz="0" w:space="0" w:color="auto"/>
        <w:left w:val="none" w:sz="0" w:space="0" w:color="auto"/>
        <w:bottom w:val="none" w:sz="0" w:space="0" w:color="auto"/>
        <w:right w:val="none" w:sz="0" w:space="0" w:color="auto"/>
      </w:divBdr>
    </w:div>
    <w:div w:id="1466462619">
      <w:bodyDiv w:val="1"/>
      <w:marLeft w:val="0"/>
      <w:marRight w:val="0"/>
      <w:marTop w:val="0"/>
      <w:marBottom w:val="0"/>
      <w:divBdr>
        <w:top w:val="none" w:sz="0" w:space="0" w:color="auto"/>
        <w:left w:val="none" w:sz="0" w:space="0" w:color="auto"/>
        <w:bottom w:val="none" w:sz="0" w:space="0" w:color="auto"/>
        <w:right w:val="none" w:sz="0" w:space="0" w:color="auto"/>
      </w:divBdr>
    </w:div>
    <w:div w:id="1471940975">
      <w:bodyDiv w:val="1"/>
      <w:marLeft w:val="0"/>
      <w:marRight w:val="0"/>
      <w:marTop w:val="0"/>
      <w:marBottom w:val="0"/>
      <w:divBdr>
        <w:top w:val="none" w:sz="0" w:space="0" w:color="auto"/>
        <w:left w:val="none" w:sz="0" w:space="0" w:color="auto"/>
        <w:bottom w:val="none" w:sz="0" w:space="0" w:color="auto"/>
        <w:right w:val="none" w:sz="0" w:space="0" w:color="auto"/>
      </w:divBdr>
    </w:div>
    <w:div w:id="1476020320">
      <w:bodyDiv w:val="1"/>
      <w:marLeft w:val="0"/>
      <w:marRight w:val="0"/>
      <w:marTop w:val="0"/>
      <w:marBottom w:val="0"/>
      <w:divBdr>
        <w:top w:val="none" w:sz="0" w:space="0" w:color="auto"/>
        <w:left w:val="none" w:sz="0" w:space="0" w:color="auto"/>
        <w:bottom w:val="none" w:sz="0" w:space="0" w:color="auto"/>
        <w:right w:val="none" w:sz="0" w:space="0" w:color="auto"/>
      </w:divBdr>
    </w:div>
    <w:div w:id="1483236175">
      <w:bodyDiv w:val="1"/>
      <w:marLeft w:val="0"/>
      <w:marRight w:val="0"/>
      <w:marTop w:val="0"/>
      <w:marBottom w:val="0"/>
      <w:divBdr>
        <w:top w:val="none" w:sz="0" w:space="0" w:color="auto"/>
        <w:left w:val="none" w:sz="0" w:space="0" w:color="auto"/>
        <w:bottom w:val="none" w:sz="0" w:space="0" w:color="auto"/>
        <w:right w:val="none" w:sz="0" w:space="0" w:color="auto"/>
      </w:divBdr>
    </w:div>
    <w:div w:id="1486167254">
      <w:bodyDiv w:val="1"/>
      <w:marLeft w:val="0"/>
      <w:marRight w:val="0"/>
      <w:marTop w:val="0"/>
      <w:marBottom w:val="0"/>
      <w:divBdr>
        <w:top w:val="none" w:sz="0" w:space="0" w:color="auto"/>
        <w:left w:val="none" w:sz="0" w:space="0" w:color="auto"/>
        <w:bottom w:val="none" w:sz="0" w:space="0" w:color="auto"/>
        <w:right w:val="none" w:sz="0" w:space="0" w:color="auto"/>
      </w:divBdr>
    </w:div>
    <w:div w:id="1495879060">
      <w:bodyDiv w:val="1"/>
      <w:marLeft w:val="0"/>
      <w:marRight w:val="0"/>
      <w:marTop w:val="0"/>
      <w:marBottom w:val="0"/>
      <w:divBdr>
        <w:top w:val="none" w:sz="0" w:space="0" w:color="auto"/>
        <w:left w:val="none" w:sz="0" w:space="0" w:color="auto"/>
        <w:bottom w:val="none" w:sz="0" w:space="0" w:color="auto"/>
        <w:right w:val="none" w:sz="0" w:space="0" w:color="auto"/>
      </w:divBdr>
    </w:div>
    <w:div w:id="1498838738">
      <w:bodyDiv w:val="1"/>
      <w:marLeft w:val="0"/>
      <w:marRight w:val="0"/>
      <w:marTop w:val="0"/>
      <w:marBottom w:val="0"/>
      <w:divBdr>
        <w:top w:val="none" w:sz="0" w:space="0" w:color="auto"/>
        <w:left w:val="none" w:sz="0" w:space="0" w:color="auto"/>
        <w:bottom w:val="none" w:sz="0" w:space="0" w:color="auto"/>
        <w:right w:val="none" w:sz="0" w:space="0" w:color="auto"/>
      </w:divBdr>
    </w:div>
    <w:div w:id="1499885401">
      <w:bodyDiv w:val="1"/>
      <w:marLeft w:val="0"/>
      <w:marRight w:val="0"/>
      <w:marTop w:val="0"/>
      <w:marBottom w:val="0"/>
      <w:divBdr>
        <w:top w:val="none" w:sz="0" w:space="0" w:color="auto"/>
        <w:left w:val="none" w:sz="0" w:space="0" w:color="auto"/>
        <w:bottom w:val="none" w:sz="0" w:space="0" w:color="auto"/>
        <w:right w:val="none" w:sz="0" w:space="0" w:color="auto"/>
      </w:divBdr>
    </w:div>
    <w:div w:id="1501844257">
      <w:bodyDiv w:val="1"/>
      <w:marLeft w:val="0"/>
      <w:marRight w:val="0"/>
      <w:marTop w:val="0"/>
      <w:marBottom w:val="0"/>
      <w:divBdr>
        <w:top w:val="none" w:sz="0" w:space="0" w:color="auto"/>
        <w:left w:val="none" w:sz="0" w:space="0" w:color="auto"/>
        <w:bottom w:val="none" w:sz="0" w:space="0" w:color="auto"/>
        <w:right w:val="none" w:sz="0" w:space="0" w:color="auto"/>
      </w:divBdr>
      <w:divsChild>
        <w:div w:id="1576547378">
          <w:marLeft w:val="0"/>
          <w:marRight w:val="0"/>
          <w:marTop w:val="0"/>
          <w:marBottom w:val="0"/>
          <w:divBdr>
            <w:top w:val="none" w:sz="0" w:space="0" w:color="auto"/>
            <w:left w:val="none" w:sz="0" w:space="0" w:color="auto"/>
            <w:bottom w:val="none" w:sz="0" w:space="0" w:color="auto"/>
            <w:right w:val="none" w:sz="0" w:space="0" w:color="auto"/>
          </w:divBdr>
        </w:div>
        <w:div w:id="2093114179">
          <w:marLeft w:val="0"/>
          <w:marRight w:val="0"/>
          <w:marTop w:val="0"/>
          <w:marBottom w:val="0"/>
          <w:divBdr>
            <w:top w:val="none" w:sz="0" w:space="0" w:color="auto"/>
            <w:left w:val="none" w:sz="0" w:space="0" w:color="auto"/>
            <w:bottom w:val="none" w:sz="0" w:space="0" w:color="auto"/>
            <w:right w:val="none" w:sz="0" w:space="0" w:color="auto"/>
          </w:divBdr>
        </w:div>
        <w:div w:id="589971410">
          <w:marLeft w:val="0"/>
          <w:marRight w:val="0"/>
          <w:marTop w:val="0"/>
          <w:marBottom w:val="0"/>
          <w:divBdr>
            <w:top w:val="none" w:sz="0" w:space="0" w:color="auto"/>
            <w:left w:val="none" w:sz="0" w:space="0" w:color="auto"/>
            <w:bottom w:val="none" w:sz="0" w:space="0" w:color="auto"/>
            <w:right w:val="none" w:sz="0" w:space="0" w:color="auto"/>
          </w:divBdr>
        </w:div>
        <w:div w:id="2103916199">
          <w:marLeft w:val="0"/>
          <w:marRight w:val="0"/>
          <w:marTop w:val="0"/>
          <w:marBottom w:val="0"/>
          <w:divBdr>
            <w:top w:val="none" w:sz="0" w:space="0" w:color="auto"/>
            <w:left w:val="none" w:sz="0" w:space="0" w:color="auto"/>
            <w:bottom w:val="none" w:sz="0" w:space="0" w:color="auto"/>
            <w:right w:val="none" w:sz="0" w:space="0" w:color="auto"/>
          </w:divBdr>
        </w:div>
        <w:div w:id="902105495">
          <w:marLeft w:val="0"/>
          <w:marRight w:val="0"/>
          <w:marTop w:val="0"/>
          <w:marBottom w:val="0"/>
          <w:divBdr>
            <w:top w:val="none" w:sz="0" w:space="0" w:color="auto"/>
            <w:left w:val="none" w:sz="0" w:space="0" w:color="auto"/>
            <w:bottom w:val="none" w:sz="0" w:space="0" w:color="auto"/>
            <w:right w:val="none" w:sz="0" w:space="0" w:color="auto"/>
          </w:divBdr>
        </w:div>
        <w:div w:id="1792286784">
          <w:marLeft w:val="0"/>
          <w:marRight w:val="0"/>
          <w:marTop w:val="0"/>
          <w:marBottom w:val="0"/>
          <w:divBdr>
            <w:top w:val="none" w:sz="0" w:space="0" w:color="auto"/>
            <w:left w:val="none" w:sz="0" w:space="0" w:color="auto"/>
            <w:bottom w:val="none" w:sz="0" w:space="0" w:color="auto"/>
            <w:right w:val="none" w:sz="0" w:space="0" w:color="auto"/>
          </w:divBdr>
        </w:div>
        <w:div w:id="988637086">
          <w:marLeft w:val="0"/>
          <w:marRight w:val="0"/>
          <w:marTop w:val="0"/>
          <w:marBottom w:val="0"/>
          <w:divBdr>
            <w:top w:val="none" w:sz="0" w:space="0" w:color="auto"/>
            <w:left w:val="none" w:sz="0" w:space="0" w:color="auto"/>
            <w:bottom w:val="none" w:sz="0" w:space="0" w:color="auto"/>
            <w:right w:val="none" w:sz="0" w:space="0" w:color="auto"/>
          </w:divBdr>
        </w:div>
        <w:div w:id="1196654349">
          <w:marLeft w:val="0"/>
          <w:marRight w:val="0"/>
          <w:marTop w:val="0"/>
          <w:marBottom w:val="0"/>
          <w:divBdr>
            <w:top w:val="none" w:sz="0" w:space="0" w:color="auto"/>
            <w:left w:val="none" w:sz="0" w:space="0" w:color="auto"/>
            <w:bottom w:val="none" w:sz="0" w:space="0" w:color="auto"/>
            <w:right w:val="none" w:sz="0" w:space="0" w:color="auto"/>
          </w:divBdr>
        </w:div>
        <w:div w:id="1243565327">
          <w:marLeft w:val="0"/>
          <w:marRight w:val="0"/>
          <w:marTop w:val="0"/>
          <w:marBottom w:val="0"/>
          <w:divBdr>
            <w:top w:val="none" w:sz="0" w:space="0" w:color="auto"/>
            <w:left w:val="none" w:sz="0" w:space="0" w:color="auto"/>
            <w:bottom w:val="none" w:sz="0" w:space="0" w:color="auto"/>
            <w:right w:val="none" w:sz="0" w:space="0" w:color="auto"/>
          </w:divBdr>
        </w:div>
        <w:div w:id="1533617927">
          <w:marLeft w:val="0"/>
          <w:marRight w:val="0"/>
          <w:marTop w:val="0"/>
          <w:marBottom w:val="0"/>
          <w:divBdr>
            <w:top w:val="none" w:sz="0" w:space="0" w:color="auto"/>
            <w:left w:val="none" w:sz="0" w:space="0" w:color="auto"/>
            <w:bottom w:val="none" w:sz="0" w:space="0" w:color="auto"/>
            <w:right w:val="none" w:sz="0" w:space="0" w:color="auto"/>
          </w:divBdr>
        </w:div>
      </w:divsChild>
    </w:div>
    <w:div w:id="1509099538">
      <w:bodyDiv w:val="1"/>
      <w:marLeft w:val="0"/>
      <w:marRight w:val="0"/>
      <w:marTop w:val="0"/>
      <w:marBottom w:val="0"/>
      <w:divBdr>
        <w:top w:val="none" w:sz="0" w:space="0" w:color="auto"/>
        <w:left w:val="none" w:sz="0" w:space="0" w:color="auto"/>
        <w:bottom w:val="none" w:sz="0" w:space="0" w:color="auto"/>
        <w:right w:val="none" w:sz="0" w:space="0" w:color="auto"/>
      </w:divBdr>
    </w:div>
    <w:div w:id="1510869712">
      <w:bodyDiv w:val="1"/>
      <w:marLeft w:val="0"/>
      <w:marRight w:val="0"/>
      <w:marTop w:val="0"/>
      <w:marBottom w:val="0"/>
      <w:divBdr>
        <w:top w:val="none" w:sz="0" w:space="0" w:color="auto"/>
        <w:left w:val="none" w:sz="0" w:space="0" w:color="auto"/>
        <w:bottom w:val="none" w:sz="0" w:space="0" w:color="auto"/>
        <w:right w:val="none" w:sz="0" w:space="0" w:color="auto"/>
      </w:divBdr>
    </w:div>
    <w:div w:id="1511488600">
      <w:bodyDiv w:val="1"/>
      <w:marLeft w:val="0"/>
      <w:marRight w:val="0"/>
      <w:marTop w:val="0"/>
      <w:marBottom w:val="0"/>
      <w:divBdr>
        <w:top w:val="none" w:sz="0" w:space="0" w:color="auto"/>
        <w:left w:val="none" w:sz="0" w:space="0" w:color="auto"/>
        <w:bottom w:val="none" w:sz="0" w:space="0" w:color="auto"/>
        <w:right w:val="none" w:sz="0" w:space="0" w:color="auto"/>
      </w:divBdr>
    </w:div>
    <w:div w:id="1522551790">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32185998">
      <w:bodyDiv w:val="1"/>
      <w:marLeft w:val="0"/>
      <w:marRight w:val="0"/>
      <w:marTop w:val="0"/>
      <w:marBottom w:val="0"/>
      <w:divBdr>
        <w:top w:val="none" w:sz="0" w:space="0" w:color="auto"/>
        <w:left w:val="none" w:sz="0" w:space="0" w:color="auto"/>
        <w:bottom w:val="none" w:sz="0" w:space="0" w:color="auto"/>
        <w:right w:val="none" w:sz="0" w:space="0" w:color="auto"/>
      </w:divBdr>
    </w:div>
    <w:div w:id="1533036385">
      <w:bodyDiv w:val="1"/>
      <w:marLeft w:val="0"/>
      <w:marRight w:val="0"/>
      <w:marTop w:val="0"/>
      <w:marBottom w:val="0"/>
      <w:divBdr>
        <w:top w:val="none" w:sz="0" w:space="0" w:color="auto"/>
        <w:left w:val="none" w:sz="0" w:space="0" w:color="auto"/>
        <w:bottom w:val="none" w:sz="0" w:space="0" w:color="auto"/>
        <w:right w:val="none" w:sz="0" w:space="0" w:color="auto"/>
      </w:divBdr>
    </w:div>
    <w:div w:id="1538465343">
      <w:bodyDiv w:val="1"/>
      <w:marLeft w:val="0"/>
      <w:marRight w:val="0"/>
      <w:marTop w:val="0"/>
      <w:marBottom w:val="0"/>
      <w:divBdr>
        <w:top w:val="none" w:sz="0" w:space="0" w:color="auto"/>
        <w:left w:val="none" w:sz="0" w:space="0" w:color="auto"/>
        <w:bottom w:val="none" w:sz="0" w:space="0" w:color="auto"/>
        <w:right w:val="none" w:sz="0" w:space="0" w:color="auto"/>
      </w:divBdr>
    </w:div>
    <w:div w:id="1541236746">
      <w:bodyDiv w:val="1"/>
      <w:marLeft w:val="0"/>
      <w:marRight w:val="0"/>
      <w:marTop w:val="0"/>
      <w:marBottom w:val="0"/>
      <w:divBdr>
        <w:top w:val="none" w:sz="0" w:space="0" w:color="auto"/>
        <w:left w:val="none" w:sz="0" w:space="0" w:color="auto"/>
        <w:bottom w:val="none" w:sz="0" w:space="0" w:color="auto"/>
        <w:right w:val="none" w:sz="0" w:space="0" w:color="auto"/>
      </w:divBdr>
    </w:div>
    <w:div w:id="1542328873">
      <w:bodyDiv w:val="1"/>
      <w:marLeft w:val="0"/>
      <w:marRight w:val="0"/>
      <w:marTop w:val="0"/>
      <w:marBottom w:val="0"/>
      <w:divBdr>
        <w:top w:val="none" w:sz="0" w:space="0" w:color="auto"/>
        <w:left w:val="none" w:sz="0" w:space="0" w:color="auto"/>
        <w:bottom w:val="none" w:sz="0" w:space="0" w:color="auto"/>
        <w:right w:val="none" w:sz="0" w:space="0" w:color="auto"/>
      </w:divBdr>
    </w:div>
    <w:div w:id="1542864441">
      <w:bodyDiv w:val="1"/>
      <w:marLeft w:val="0"/>
      <w:marRight w:val="0"/>
      <w:marTop w:val="0"/>
      <w:marBottom w:val="0"/>
      <w:divBdr>
        <w:top w:val="none" w:sz="0" w:space="0" w:color="auto"/>
        <w:left w:val="none" w:sz="0" w:space="0" w:color="auto"/>
        <w:bottom w:val="none" w:sz="0" w:space="0" w:color="auto"/>
        <w:right w:val="none" w:sz="0" w:space="0" w:color="auto"/>
      </w:divBdr>
    </w:div>
    <w:div w:id="1546596203">
      <w:bodyDiv w:val="1"/>
      <w:marLeft w:val="0"/>
      <w:marRight w:val="0"/>
      <w:marTop w:val="0"/>
      <w:marBottom w:val="0"/>
      <w:divBdr>
        <w:top w:val="none" w:sz="0" w:space="0" w:color="auto"/>
        <w:left w:val="none" w:sz="0" w:space="0" w:color="auto"/>
        <w:bottom w:val="none" w:sz="0" w:space="0" w:color="auto"/>
        <w:right w:val="none" w:sz="0" w:space="0" w:color="auto"/>
      </w:divBdr>
    </w:div>
    <w:div w:id="1560558519">
      <w:bodyDiv w:val="1"/>
      <w:marLeft w:val="0"/>
      <w:marRight w:val="0"/>
      <w:marTop w:val="0"/>
      <w:marBottom w:val="0"/>
      <w:divBdr>
        <w:top w:val="none" w:sz="0" w:space="0" w:color="auto"/>
        <w:left w:val="none" w:sz="0" w:space="0" w:color="auto"/>
        <w:bottom w:val="none" w:sz="0" w:space="0" w:color="auto"/>
        <w:right w:val="none" w:sz="0" w:space="0" w:color="auto"/>
      </w:divBdr>
    </w:div>
    <w:div w:id="1567186960">
      <w:bodyDiv w:val="1"/>
      <w:marLeft w:val="0"/>
      <w:marRight w:val="0"/>
      <w:marTop w:val="0"/>
      <w:marBottom w:val="0"/>
      <w:divBdr>
        <w:top w:val="none" w:sz="0" w:space="0" w:color="auto"/>
        <w:left w:val="none" w:sz="0" w:space="0" w:color="auto"/>
        <w:bottom w:val="none" w:sz="0" w:space="0" w:color="auto"/>
        <w:right w:val="none" w:sz="0" w:space="0" w:color="auto"/>
      </w:divBdr>
    </w:div>
    <w:div w:id="1593513659">
      <w:bodyDiv w:val="1"/>
      <w:marLeft w:val="0"/>
      <w:marRight w:val="0"/>
      <w:marTop w:val="0"/>
      <w:marBottom w:val="0"/>
      <w:divBdr>
        <w:top w:val="none" w:sz="0" w:space="0" w:color="auto"/>
        <w:left w:val="none" w:sz="0" w:space="0" w:color="auto"/>
        <w:bottom w:val="none" w:sz="0" w:space="0" w:color="auto"/>
        <w:right w:val="none" w:sz="0" w:space="0" w:color="auto"/>
      </w:divBdr>
    </w:div>
    <w:div w:id="1598635681">
      <w:bodyDiv w:val="1"/>
      <w:marLeft w:val="0"/>
      <w:marRight w:val="0"/>
      <w:marTop w:val="0"/>
      <w:marBottom w:val="0"/>
      <w:divBdr>
        <w:top w:val="none" w:sz="0" w:space="0" w:color="auto"/>
        <w:left w:val="none" w:sz="0" w:space="0" w:color="auto"/>
        <w:bottom w:val="none" w:sz="0" w:space="0" w:color="auto"/>
        <w:right w:val="none" w:sz="0" w:space="0" w:color="auto"/>
      </w:divBdr>
    </w:div>
    <w:div w:id="1600290479">
      <w:bodyDiv w:val="1"/>
      <w:marLeft w:val="0"/>
      <w:marRight w:val="0"/>
      <w:marTop w:val="0"/>
      <w:marBottom w:val="0"/>
      <w:divBdr>
        <w:top w:val="none" w:sz="0" w:space="0" w:color="auto"/>
        <w:left w:val="none" w:sz="0" w:space="0" w:color="auto"/>
        <w:bottom w:val="none" w:sz="0" w:space="0" w:color="auto"/>
        <w:right w:val="none" w:sz="0" w:space="0" w:color="auto"/>
      </w:divBdr>
    </w:div>
    <w:div w:id="1601185564">
      <w:bodyDiv w:val="1"/>
      <w:marLeft w:val="0"/>
      <w:marRight w:val="0"/>
      <w:marTop w:val="0"/>
      <w:marBottom w:val="0"/>
      <w:divBdr>
        <w:top w:val="none" w:sz="0" w:space="0" w:color="auto"/>
        <w:left w:val="none" w:sz="0" w:space="0" w:color="auto"/>
        <w:bottom w:val="none" w:sz="0" w:space="0" w:color="auto"/>
        <w:right w:val="none" w:sz="0" w:space="0" w:color="auto"/>
      </w:divBdr>
    </w:div>
    <w:div w:id="1602641781">
      <w:bodyDiv w:val="1"/>
      <w:marLeft w:val="0"/>
      <w:marRight w:val="0"/>
      <w:marTop w:val="0"/>
      <w:marBottom w:val="0"/>
      <w:divBdr>
        <w:top w:val="none" w:sz="0" w:space="0" w:color="auto"/>
        <w:left w:val="none" w:sz="0" w:space="0" w:color="auto"/>
        <w:bottom w:val="none" w:sz="0" w:space="0" w:color="auto"/>
        <w:right w:val="none" w:sz="0" w:space="0" w:color="auto"/>
      </w:divBdr>
    </w:div>
    <w:div w:id="1604608037">
      <w:bodyDiv w:val="1"/>
      <w:marLeft w:val="0"/>
      <w:marRight w:val="0"/>
      <w:marTop w:val="0"/>
      <w:marBottom w:val="0"/>
      <w:divBdr>
        <w:top w:val="none" w:sz="0" w:space="0" w:color="auto"/>
        <w:left w:val="none" w:sz="0" w:space="0" w:color="auto"/>
        <w:bottom w:val="none" w:sz="0" w:space="0" w:color="auto"/>
        <w:right w:val="none" w:sz="0" w:space="0" w:color="auto"/>
      </w:divBdr>
    </w:div>
    <w:div w:id="1605109267">
      <w:bodyDiv w:val="1"/>
      <w:marLeft w:val="0"/>
      <w:marRight w:val="0"/>
      <w:marTop w:val="0"/>
      <w:marBottom w:val="0"/>
      <w:divBdr>
        <w:top w:val="none" w:sz="0" w:space="0" w:color="auto"/>
        <w:left w:val="none" w:sz="0" w:space="0" w:color="auto"/>
        <w:bottom w:val="none" w:sz="0" w:space="0" w:color="auto"/>
        <w:right w:val="none" w:sz="0" w:space="0" w:color="auto"/>
      </w:divBdr>
    </w:div>
    <w:div w:id="1605531614">
      <w:bodyDiv w:val="1"/>
      <w:marLeft w:val="0"/>
      <w:marRight w:val="0"/>
      <w:marTop w:val="0"/>
      <w:marBottom w:val="0"/>
      <w:divBdr>
        <w:top w:val="none" w:sz="0" w:space="0" w:color="auto"/>
        <w:left w:val="none" w:sz="0" w:space="0" w:color="auto"/>
        <w:bottom w:val="none" w:sz="0" w:space="0" w:color="auto"/>
        <w:right w:val="none" w:sz="0" w:space="0" w:color="auto"/>
      </w:divBdr>
    </w:div>
    <w:div w:id="1606578629">
      <w:bodyDiv w:val="1"/>
      <w:marLeft w:val="0"/>
      <w:marRight w:val="0"/>
      <w:marTop w:val="0"/>
      <w:marBottom w:val="0"/>
      <w:divBdr>
        <w:top w:val="none" w:sz="0" w:space="0" w:color="auto"/>
        <w:left w:val="none" w:sz="0" w:space="0" w:color="auto"/>
        <w:bottom w:val="none" w:sz="0" w:space="0" w:color="auto"/>
        <w:right w:val="none" w:sz="0" w:space="0" w:color="auto"/>
      </w:divBdr>
    </w:div>
    <w:div w:id="1614509707">
      <w:bodyDiv w:val="1"/>
      <w:marLeft w:val="0"/>
      <w:marRight w:val="0"/>
      <w:marTop w:val="0"/>
      <w:marBottom w:val="0"/>
      <w:divBdr>
        <w:top w:val="none" w:sz="0" w:space="0" w:color="auto"/>
        <w:left w:val="none" w:sz="0" w:space="0" w:color="auto"/>
        <w:bottom w:val="none" w:sz="0" w:space="0" w:color="auto"/>
        <w:right w:val="none" w:sz="0" w:space="0" w:color="auto"/>
      </w:divBdr>
    </w:div>
    <w:div w:id="1634556166">
      <w:bodyDiv w:val="1"/>
      <w:marLeft w:val="0"/>
      <w:marRight w:val="0"/>
      <w:marTop w:val="0"/>
      <w:marBottom w:val="0"/>
      <w:divBdr>
        <w:top w:val="none" w:sz="0" w:space="0" w:color="auto"/>
        <w:left w:val="none" w:sz="0" w:space="0" w:color="auto"/>
        <w:bottom w:val="none" w:sz="0" w:space="0" w:color="auto"/>
        <w:right w:val="none" w:sz="0" w:space="0" w:color="auto"/>
      </w:divBdr>
    </w:div>
    <w:div w:id="1640064438">
      <w:bodyDiv w:val="1"/>
      <w:marLeft w:val="0"/>
      <w:marRight w:val="0"/>
      <w:marTop w:val="0"/>
      <w:marBottom w:val="0"/>
      <w:divBdr>
        <w:top w:val="none" w:sz="0" w:space="0" w:color="auto"/>
        <w:left w:val="none" w:sz="0" w:space="0" w:color="auto"/>
        <w:bottom w:val="none" w:sz="0" w:space="0" w:color="auto"/>
        <w:right w:val="none" w:sz="0" w:space="0" w:color="auto"/>
      </w:divBdr>
    </w:div>
    <w:div w:id="1641498885">
      <w:bodyDiv w:val="1"/>
      <w:marLeft w:val="0"/>
      <w:marRight w:val="0"/>
      <w:marTop w:val="0"/>
      <w:marBottom w:val="0"/>
      <w:divBdr>
        <w:top w:val="none" w:sz="0" w:space="0" w:color="auto"/>
        <w:left w:val="none" w:sz="0" w:space="0" w:color="auto"/>
        <w:bottom w:val="none" w:sz="0" w:space="0" w:color="auto"/>
        <w:right w:val="none" w:sz="0" w:space="0" w:color="auto"/>
      </w:divBdr>
    </w:div>
    <w:div w:id="1660307035">
      <w:bodyDiv w:val="1"/>
      <w:marLeft w:val="0"/>
      <w:marRight w:val="0"/>
      <w:marTop w:val="0"/>
      <w:marBottom w:val="0"/>
      <w:divBdr>
        <w:top w:val="none" w:sz="0" w:space="0" w:color="auto"/>
        <w:left w:val="none" w:sz="0" w:space="0" w:color="auto"/>
        <w:bottom w:val="none" w:sz="0" w:space="0" w:color="auto"/>
        <w:right w:val="none" w:sz="0" w:space="0" w:color="auto"/>
      </w:divBdr>
    </w:div>
    <w:div w:id="1660386378">
      <w:bodyDiv w:val="1"/>
      <w:marLeft w:val="0"/>
      <w:marRight w:val="0"/>
      <w:marTop w:val="0"/>
      <w:marBottom w:val="0"/>
      <w:divBdr>
        <w:top w:val="none" w:sz="0" w:space="0" w:color="auto"/>
        <w:left w:val="none" w:sz="0" w:space="0" w:color="auto"/>
        <w:bottom w:val="none" w:sz="0" w:space="0" w:color="auto"/>
        <w:right w:val="none" w:sz="0" w:space="0" w:color="auto"/>
      </w:divBdr>
      <w:divsChild>
        <w:div w:id="1242981395">
          <w:marLeft w:val="0"/>
          <w:marRight w:val="0"/>
          <w:marTop w:val="0"/>
          <w:marBottom w:val="0"/>
          <w:divBdr>
            <w:top w:val="none" w:sz="0" w:space="0" w:color="auto"/>
            <w:left w:val="none" w:sz="0" w:space="0" w:color="auto"/>
            <w:bottom w:val="none" w:sz="0" w:space="0" w:color="auto"/>
            <w:right w:val="none" w:sz="0" w:space="0" w:color="auto"/>
          </w:divBdr>
          <w:divsChild>
            <w:div w:id="490680559">
              <w:marLeft w:val="0"/>
              <w:marRight w:val="0"/>
              <w:marTop w:val="0"/>
              <w:marBottom w:val="0"/>
              <w:divBdr>
                <w:top w:val="none" w:sz="0" w:space="0" w:color="auto"/>
                <w:left w:val="none" w:sz="0" w:space="0" w:color="auto"/>
                <w:bottom w:val="none" w:sz="0" w:space="0" w:color="auto"/>
                <w:right w:val="none" w:sz="0" w:space="0" w:color="auto"/>
              </w:divBdr>
              <w:divsChild>
                <w:div w:id="2208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98256">
      <w:bodyDiv w:val="1"/>
      <w:marLeft w:val="0"/>
      <w:marRight w:val="0"/>
      <w:marTop w:val="0"/>
      <w:marBottom w:val="0"/>
      <w:divBdr>
        <w:top w:val="none" w:sz="0" w:space="0" w:color="auto"/>
        <w:left w:val="none" w:sz="0" w:space="0" w:color="auto"/>
        <w:bottom w:val="none" w:sz="0" w:space="0" w:color="auto"/>
        <w:right w:val="none" w:sz="0" w:space="0" w:color="auto"/>
      </w:divBdr>
    </w:div>
    <w:div w:id="1674526889">
      <w:bodyDiv w:val="1"/>
      <w:marLeft w:val="0"/>
      <w:marRight w:val="0"/>
      <w:marTop w:val="0"/>
      <w:marBottom w:val="0"/>
      <w:divBdr>
        <w:top w:val="none" w:sz="0" w:space="0" w:color="auto"/>
        <w:left w:val="none" w:sz="0" w:space="0" w:color="auto"/>
        <w:bottom w:val="none" w:sz="0" w:space="0" w:color="auto"/>
        <w:right w:val="none" w:sz="0" w:space="0" w:color="auto"/>
      </w:divBdr>
    </w:div>
    <w:div w:id="1682317771">
      <w:bodyDiv w:val="1"/>
      <w:marLeft w:val="0"/>
      <w:marRight w:val="0"/>
      <w:marTop w:val="0"/>
      <w:marBottom w:val="0"/>
      <w:divBdr>
        <w:top w:val="none" w:sz="0" w:space="0" w:color="auto"/>
        <w:left w:val="none" w:sz="0" w:space="0" w:color="auto"/>
        <w:bottom w:val="none" w:sz="0" w:space="0" w:color="auto"/>
        <w:right w:val="none" w:sz="0" w:space="0" w:color="auto"/>
      </w:divBdr>
    </w:div>
    <w:div w:id="1691370207">
      <w:bodyDiv w:val="1"/>
      <w:marLeft w:val="0"/>
      <w:marRight w:val="0"/>
      <w:marTop w:val="0"/>
      <w:marBottom w:val="0"/>
      <w:divBdr>
        <w:top w:val="none" w:sz="0" w:space="0" w:color="auto"/>
        <w:left w:val="none" w:sz="0" w:space="0" w:color="auto"/>
        <w:bottom w:val="none" w:sz="0" w:space="0" w:color="auto"/>
        <w:right w:val="none" w:sz="0" w:space="0" w:color="auto"/>
      </w:divBdr>
    </w:div>
    <w:div w:id="1694768177">
      <w:bodyDiv w:val="1"/>
      <w:marLeft w:val="0"/>
      <w:marRight w:val="0"/>
      <w:marTop w:val="0"/>
      <w:marBottom w:val="0"/>
      <w:divBdr>
        <w:top w:val="none" w:sz="0" w:space="0" w:color="auto"/>
        <w:left w:val="none" w:sz="0" w:space="0" w:color="auto"/>
        <w:bottom w:val="none" w:sz="0" w:space="0" w:color="auto"/>
        <w:right w:val="none" w:sz="0" w:space="0" w:color="auto"/>
      </w:divBdr>
    </w:div>
    <w:div w:id="1696804558">
      <w:bodyDiv w:val="1"/>
      <w:marLeft w:val="0"/>
      <w:marRight w:val="0"/>
      <w:marTop w:val="0"/>
      <w:marBottom w:val="0"/>
      <w:divBdr>
        <w:top w:val="none" w:sz="0" w:space="0" w:color="auto"/>
        <w:left w:val="none" w:sz="0" w:space="0" w:color="auto"/>
        <w:bottom w:val="none" w:sz="0" w:space="0" w:color="auto"/>
        <w:right w:val="none" w:sz="0" w:space="0" w:color="auto"/>
      </w:divBdr>
    </w:div>
    <w:div w:id="1712070951">
      <w:bodyDiv w:val="1"/>
      <w:marLeft w:val="0"/>
      <w:marRight w:val="0"/>
      <w:marTop w:val="0"/>
      <w:marBottom w:val="0"/>
      <w:divBdr>
        <w:top w:val="none" w:sz="0" w:space="0" w:color="auto"/>
        <w:left w:val="none" w:sz="0" w:space="0" w:color="auto"/>
        <w:bottom w:val="none" w:sz="0" w:space="0" w:color="auto"/>
        <w:right w:val="none" w:sz="0" w:space="0" w:color="auto"/>
      </w:divBdr>
    </w:div>
    <w:div w:id="1717201229">
      <w:bodyDiv w:val="1"/>
      <w:marLeft w:val="0"/>
      <w:marRight w:val="0"/>
      <w:marTop w:val="0"/>
      <w:marBottom w:val="0"/>
      <w:divBdr>
        <w:top w:val="none" w:sz="0" w:space="0" w:color="auto"/>
        <w:left w:val="none" w:sz="0" w:space="0" w:color="auto"/>
        <w:bottom w:val="none" w:sz="0" w:space="0" w:color="auto"/>
        <w:right w:val="none" w:sz="0" w:space="0" w:color="auto"/>
      </w:divBdr>
    </w:div>
    <w:div w:id="1724939580">
      <w:bodyDiv w:val="1"/>
      <w:marLeft w:val="0"/>
      <w:marRight w:val="0"/>
      <w:marTop w:val="0"/>
      <w:marBottom w:val="0"/>
      <w:divBdr>
        <w:top w:val="none" w:sz="0" w:space="0" w:color="auto"/>
        <w:left w:val="none" w:sz="0" w:space="0" w:color="auto"/>
        <w:bottom w:val="none" w:sz="0" w:space="0" w:color="auto"/>
        <w:right w:val="none" w:sz="0" w:space="0" w:color="auto"/>
      </w:divBdr>
    </w:div>
    <w:div w:id="1735159328">
      <w:bodyDiv w:val="1"/>
      <w:marLeft w:val="0"/>
      <w:marRight w:val="0"/>
      <w:marTop w:val="0"/>
      <w:marBottom w:val="0"/>
      <w:divBdr>
        <w:top w:val="none" w:sz="0" w:space="0" w:color="auto"/>
        <w:left w:val="none" w:sz="0" w:space="0" w:color="auto"/>
        <w:bottom w:val="none" w:sz="0" w:space="0" w:color="auto"/>
        <w:right w:val="none" w:sz="0" w:space="0" w:color="auto"/>
      </w:divBdr>
    </w:div>
    <w:div w:id="1735465745">
      <w:bodyDiv w:val="1"/>
      <w:marLeft w:val="0"/>
      <w:marRight w:val="0"/>
      <w:marTop w:val="0"/>
      <w:marBottom w:val="0"/>
      <w:divBdr>
        <w:top w:val="none" w:sz="0" w:space="0" w:color="auto"/>
        <w:left w:val="none" w:sz="0" w:space="0" w:color="auto"/>
        <w:bottom w:val="none" w:sz="0" w:space="0" w:color="auto"/>
        <w:right w:val="none" w:sz="0" w:space="0" w:color="auto"/>
      </w:divBdr>
    </w:div>
    <w:div w:id="1757943034">
      <w:bodyDiv w:val="1"/>
      <w:marLeft w:val="0"/>
      <w:marRight w:val="0"/>
      <w:marTop w:val="0"/>
      <w:marBottom w:val="0"/>
      <w:divBdr>
        <w:top w:val="none" w:sz="0" w:space="0" w:color="auto"/>
        <w:left w:val="none" w:sz="0" w:space="0" w:color="auto"/>
        <w:bottom w:val="none" w:sz="0" w:space="0" w:color="auto"/>
        <w:right w:val="none" w:sz="0" w:space="0" w:color="auto"/>
      </w:divBdr>
    </w:div>
    <w:div w:id="1763990583">
      <w:bodyDiv w:val="1"/>
      <w:marLeft w:val="0"/>
      <w:marRight w:val="0"/>
      <w:marTop w:val="0"/>
      <w:marBottom w:val="0"/>
      <w:divBdr>
        <w:top w:val="none" w:sz="0" w:space="0" w:color="auto"/>
        <w:left w:val="none" w:sz="0" w:space="0" w:color="auto"/>
        <w:bottom w:val="none" w:sz="0" w:space="0" w:color="auto"/>
        <w:right w:val="none" w:sz="0" w:space="0" w:color="auto"/>
      </w:divBdr>
    </w:div>
    <w:div w:id="1770848573">
      <w:bodyDiv w:val="1"/>
      <w:marLeft w:val="0"/>
      <w:marRight w:val="0"/>
      <w:marTop w:val="0"/>
      <w:marBottom w:val="0"/>
      <w:divBdr>
        <w:top w:val="none" w:sz="0" w:space="0" w:color="auto"/>
        <w:left w:val="none" w:sz="0" w:space="0" w:color="auto"/>
        <w:bottom w:val="none" w:sz="0" w:space="0" w:color="auto"/>
        <w:right w:val="none" w:sz="0" w:space="0" w:color="auto"/>
      </w:divBdr>
    </w:div>
    <w:div w:id="1772505816">
      <w:bodyDiv w:val="1"/>
      <w:marLeft w:val="0"/>
      <w:marRight w:val="0"/>
      <w:marTop w:val="0"/>
      <w:marBottom w:val="0"/>
      <w:divBdr>
        <w:top w:val="none" w:sz="0" w:space="0" w:color="auto"/>
        <w:left w:val="none" w:sz="0" w:space="0" w:color="auto"/>
        <w:bottom w:val="none" w:sz="0" w:space="0" w:color="auto"/>
        <w:right w:val="none" w:sz="0" w:space="0" w:color="auto"/>
      </w:divBdr>
    </w:div>
    <w:div w:id="1778524795">
      <w:bodyDiv w:val="1"/>
      <w:marLeft w:val="0"/>
      <w:marRight w:val="0"/>
      <w:marTop w:val="0"/>
      <w:marBottom w:val="0"/>
      <w:divBdr>
        <w:top w:val="none" w:sz="0" w:space="0" w:color="auto"/>
        <w:left w:val="none" w:sz="0" w:space="0" w:color="auto"/>
        <w:bottom w:val="none" w:sz="0" w:space="0" w:color="auto"/>
        <w:right w:val="none" w:sz="0" w:space="0" w:color="auto"/>
      </w:divBdr>
    </w:div>
    <w:div w:id="1789279983">
      <w:bodyDiv w:val="1"/>
      <w:marLeft w:val="0"/>
      <w:marRight w:val="0"/>
      <w:marTop w:val="0"/>
      <w:marBottom w:val="0"/>
      <w:divBdr>
        <w:top w:val="none" w:sz="0" w:space="0" w:color="auto"/>
        <w:left w:val="none" w:sz="0" w:space="0" w:color="auto"/>
        <w:bottom w:val="none" w:sz="0" w:space="0" w:color="auto"/>
        <w:right w:val="none" w:sz="0" w:space="0" w:color="auto"/>
      </w:divBdr>
    </w:div>
    <w:div w:id="1802261516">
      <w:bodyDiv w:val="1"/>
      <w:marLeft w:val="0"/>
      <w:marRight w:val="0"/>
      <w:marTop w:val="0"/>
      <w:marBottom w:val="0"/>
      <w:divBdr>
        <w:top w:val="none" w:sz="0" w:space="0" w:color="auto"/>
        <w:left w:val="none" w:sz="0" w:space="0" w:color="auto"/>
        <w:bottom w:val="none" w:sz="0" w:space="0" w:color="auto"/>
        <w:right w:val="none" w:sz="0" w:space="0" w:color="auto"/>
      </w:divBdr>
    </w:div>
    <w:div w:id="1805848600">
      <w:bodyDiv w:val="1"/>
      <w:marLeft w:val="0"/>
      <w:marRight w:val="0"/>
      <w:marTop w:val="0"/>
      <w:marBottom w:val="0"/>
      <w:divBdr>
        <w:top w:val="none" w:sz="0" w:space="0" w:color="auto"/>
        <w:left w:val="none" w:sz="0" w:space="0" w:color="auto"/>
        <w:bottom w:val="none" w:sz="0" w:space="0" w:color="auto"/>
        <w:right w:val="none" w:sz="0" w:space="0" w:color="auto"/>
      </w:divBdr>
    </w:div>
    <w:div w:id="1806701798">
      <w:bodyDiv w:val="1"/>
      <w:marLeft w:val="0"/>
      <w:marRight w:val="0"/>
      <w:marTop w:val="0"/>
      <w:marBottom w:val="0"/>
      <w:divBdr>
        <w:top w:val="none" w:sz="0" w:space="0" w:color="auto"/>
        <w:left w:val="none" w:sz="0" w:space="0" w:color="auto"/>
        <w:bottom w:val="none" w:sz="0" w:space="0" w:color="auto"/>
        <w:right w:val="none" w:sz="0" w:space="0" w:color="auto"/>
      </w:divBdr>
    </w:div>
    <w:div w:id="1815219889">
      <w:bodyDiv w:val="1"/>
      <w:marLeft w:val="0"/>
      <w:marRight w:val="0"/>
      <w:marTop w:val="0"/>
      <w:marBottom w:val="0"/>
      <w:divBdr>
        <w:top w:val="none" w:sz="0" w:space="0" w:color="auto"/>
        <w:left w:val="none" w:sz="0" w:space="0" w:color="auto"/>
        <w:bottom w:val="none" w:sz="0" w:space="0" w:color="auto"/>
        <w:right w:val="none" w:sz="0" w:space="0" w:color="auto"/>
      </w:divBdr>
    </w:div>
    <w:div w:id="1815827643">
      <w:bodyDiv w:val="1"/>
      <w:marLeft w:val="0"/>
      <w:marRight w:val="0"/>
      <w:marTop w:val="0"/>
      <w:marBottom w:val="0"/>
      <w:divBdr>
        <w:top w:val="none" w:sz="0" w:space="0" w:color="auto"/>
        <w:left w:val="none" w:sz="0" w:space="0" w:color="auto"/>
        <w:bottom w:val="none" w:sz="0" w:space="0" w:color="auto"/>
        <w:right w:val="none" w:sz="0" w:space="0" w:color="auto"/>
      </w:divBdr>
    </w:div>
    <w:div w:id="1816292497">
      <w:bodyDiv w:val="1"/>
      <w:marLeft w:val="0"/>
      <w:marRight w:val="0"/>
      <w:marTop w:val="0"/>
      <w:marBottom w:val="0"/>
      <w:divBdr>
        <w:top w:val="none" w:sz="0" w:space="0" w:color="auto"/>
        <w:left w:val="none" w:sz="0" w:space="0" w:color="auto"/>
        <w:bottom w:val="none" w:sz="0" w:space="0" w:color="auto"/>
        <w:right w:val="none" w:sz="0" w:space="0" w:color="auto"/>
      </w:divBdr>
    </w:div>
    <w:div w:id="1820803298">
      <w:bodyDiv w:val="1"/>
      <w:marLeft w:val="0"/>
      <w:marRight w:val="0"/>
      <w:marTop w:val="0"/>
      <w:marBottom w:val="0"/>
      <w:divBdr>
        <w:top w:val="none" w:sz="0" w:space="0" w:color="auto"/>
        <w:left w:val="none" w:sz="0" w:space="0" w:color="auto"/>
        <w:bottom w:val="none" w:sz="0" w:space="0" w:color="auto"/>
        <w:right w:val="none" w:sz="0" w:space="0" w:color="auto"/>
      </w:divBdr>
    </w:div>
    <w:div w:id="1822887924">
      <w:bodyDiv w:val="1"/>
      <w:marLeft w:val="0"/>
      <w:marRight w:val="0"/>
      <w:marTop w:val="0"/>
      <w:marBottom w:val="0"/>
      <w:divBdr>
        <w:top w:val="none" w:sz="0" w:space="0" w:color="auto"/>
        <w:left w:val="none" w:sz="0" w:space="0" w:color="auto"/>
        <w:bottom w:val="none" w:sz="0" w:space="0" w:color="auto"/>
        <w:right w:val="none" w:sz="0" w:space="0" w:color="auto"/>
      </w:divBdr>
    </w:div>
    <w:div w:id="1823693651">
      <w:bodyDiv w:val="1"/>
      <w:marLeft w:val="0"/>
      <w:marRight w:val="0"/>
      <w:marTop w:val="0"/>
      <w:marBottom w:val="0"/>
      <w:divBdr>
        <w:top w:val="none" w:sz="0" w:space="0" w:color="auto"/>
        <w:left w:val="none" w:sz="0" w:space="0" w:color="auto"/>
        <w:bottom w:val="none" w:sz="0" w:space="0" w:color="auto"/>
        <w:right w:val="none" w:sz="0" w:space="0" w:color="auto"/>
      </w:divBdr>
    </w:div>
    <w:div w:id="1825850116">
      <w:bodyDiv w:val="1"/>
      <w:marLeft w:val="0"/>
      <w:marRight w:val="0"/>
      <w:marTop w:val="0"/>
      <w:marBottom w:val="0"/>
      <w:divBdr>
        <w:top w:val="none" w:sz="0" w:space="0" w:color="auto"/>
        <w:left w:val="none" w:sz="0" w:space="0" w:color="auto"/>
        <w:bottom w:val="none" w:sz="0" w:space="0" w:color="auto"/>
        <w:right w:val="none" w:sz="0" w:space="0" w:color="auto"/>
      </w:divBdr>
    </w:div>
    <w:div w:id="1833833039">
      <w:bodyDiv w:val="1"/>
      <w:marLeft w:val="0"/>
      <w:marRight w:val="0"/>
      <w:marTop w:val="0"/>
      <w:marBottom w:val="0"/>
      <w:divBdr>
        <w:top w:val="none" w:sz="0" w:space="0" w:color="auto"/>
        <w:left w:val="none" w:sz="0" w:space="0" w:color="auto"/>
        <w:bottom w:val="none" w:sz="0" w:space="0" w:color="auto"/>
        <w:right w:val="none" w:sz="0" w:space="0" w:color="auto"/>
      </w:divBdr>
    </w:div>
    <w:div w:id="1849520555">
      <w:bodyDiv w:val="1"/>
      <w:marLeft w:val="0"/>
      <w:marRight w:val="0"/>
      <w:marTop w:val="0"/>
      <w:marBottom w:val="0"/>
      <w:divBdr>
        <w:top w:val="none" w:sz="0" w:space="0" w:color="auto"/>
        <w:left w:val="none" w:sz="0" w:space="0" w:color="auto"/>
        <w:bottom w:val="none" w:sz="0" w:space="0" w:color="auto"/>
        <w:right w:val="none" w:sz="0" w:space="0" w:color="auto"/>
      </w:divBdr>
    </w:div>
    <w:div w:id="1860704629">
      <w:bodyDiv w:val="1"/>
      <w:marLeft w:val="0"/>
      <w:marRight w:val="0"/>
      <w:marTop w:val="0"/>
      <w:marBottom w:val="0"/>
      <w:divBdr>
        <w:top w:val="none" w:sz="0" w:space="0" w:color="auto"/>
        <w:left w:val="none" w:sz="0" w:space="0" w:color="auto"/>
        <w:bottom w:val="none" w:sz="0" w:space="0" w:color="auto"/>
        <w:right w:val="none" w:sz="0" w:space="0" w:color="auto"/>
      </w:divBdr>
    </w:div>
    <w:div w:id="1863784346">
      <w:bodyDiv w:val="1"/>
      <w:marLeft w:val="0"/>
      <w:marRight w:val="0"/>
      <w:marTop w:val="0"/>
      <w:marBottom w:val="0"/>
      <w:divBdr>
        <w:top w:val="none" w:sz="0" w:space="0" w:color="auto"/>
        <w:left w:val="none" w:sz="0" w:space="0" w:color="auto"/>
        <w:bottom w:val="none" w:sz="0" w:space="0" w:color="auto"/>
        <w:right w:val="none" w:sz="0" w:space="0" w:color="auto"/>
      </w:divBdr>
    </w:div>
    <w:div w:id="1871793438">
      <w:bodyDiv w:val="1"/>
      <w:marLeft w:val="0"/>
      <w:marRight w:val="0"/>
      <w:marTop w:val="0"/>
      <w:marBottom w:val="0"/>
      <w:divBdr>
        <w:top w:val="none" w:sz="0" w:space="0" w:color="auto"/>
        <w:left w:val="none" w:sz="0" w:space="0" w:color="auto"/>
        <w:bottom w:val="none" w:sz="0" w:space="0" w:color="auto"/>
        <w:right w:val="none" w:sz="0" w:space="0" w:color="auto"/>
      </w:divBdr>
    </w:div>
    <w:div w:id="1873834582">
      <w:bodyDiv w:val="1"/>
      <w:marLeft w:val="0"/>
      <w:marRight w:val="0"/>
      <w:marTop w:val="0"/>
      <w:marBottom w:val="0"/>
      <w:divBdr>
        <w:top w:val="none" w:sz="0" w:space="0" w:color="auto"/>
        <w:left w:val="none" w:sz="0" w:space="0" w:color="auto"/>
        <w:bottom w:val="none" w:sz="0" w:space="0" w:color="auto"/>
        <w:right w:val="none" w:sz="0" w:space="0" w:color="auto"/>
      </w:divBdr>
    </w:div>
    <w:div w:id="1876040023">
      <w:bodyDiv w:val="1"/>
      <w:marLeft w:val="0"/>
      <w:marRight w:val="0"/>
      <w:marTop w:val="0"/>
      <w:marBottom w:val="0"/>
      <w:divBdr>
        <w:top w:val="none" w:sz="0" w:space="0" w:color="auto"/>
        <w:left w:val="none" w:sz="0" w:space="0" w:color="auto"/>
        <w:bottom w:val="none" w:sz="0" w:space="0" w:color="auto"/>
        <w:right w:val="none" w:sz="0" w:space="0" w:color="auto"/>
      </w:divBdr>
    </w:div>
    <w:div w:id="1877038110">
      <w:bodyDiv w:val="1"/>
      <w:marLeft w:val="0"/>
      <w:marRight w:val="0"/>
      <w:marTop w:val="0"/>
      <w:marBottom w:val="0"/>
      <w:divBdr>
        <w:top w:val="none" w:sz="0" w:space="0" w:color="auto"/>
        <w:left w:val="none" w:sz="0" w:space="0" w:color="auto"/>
        <w:bottom w:val="none" w:sz="0" w:space="0" w:color="auto"/>
        <w:right w:val="none" w:sz="0" w:space="0" w:color="auto"/>
      </w:divBdr>
    </w:div>
    <w:div w:id="1883857050">
      <w:bodyDiv w:val="1"/>
      <w:marLeft w:val="0"/>
      <w:marRight w:val="0"/>
      <w:marTop w:val="0"/>
      <w:marBottom w:val="0"/>
      <w:divBdr>
        <w:top w:val="none" w:sz="0" w:space="0" w:color="auto"/>
        <w:left w:val="none" w:sz="0" w:space="0" w:color="auto"/>
        <w:bottom w:val="none" w:sz="0" w:space="0" w:color="auto"/>
        <w:right w:val="none" w:sz="0" w:space="0" w:color="auto"/>
      </w:divBdr>
    </w:div>
    <w:div w:id="1893105632">
      <w:bodyDiv w:val="1"/>
      <w:marLeft w:val="0"/>
      <w:marRight w:val="0"/>
      <w:marTop w:val="0"/>
      <w:marBottom w:val="0"/>
      <w:divBdr>
        <w:top w:val="none" w:sz="0" w:space="0" w:color="auto"/>
        <w:left w:val="none" w:sz="0" w:space="0" w:color="auto"/>
        <w:bottom w:val="none" w:sz="0" w:space="0" w:color="auto"/>
        <w:right w:val="none" w:sz="0" w:space="0" w:color="auto"/>
      </w:divBdr>
    </w:div>
    <w:div w:id="1893542948">
      <w:bodyDiv w:val="1"/>
      <w:marLeft w:val="0"/>
      <w:marRight w:val="0"/>
      <w:marTop w:val="0"/>
      <w:marBottom w:val="0"/>
      <w:divBdr>
        <w:top w:val="none" w:sz="0" w:space="0" w:color="auto"/>
        <w:left w:val="none" w:sz="0" w:space="0" w:color="auto"/>
        <w:bottom w:val="none" w:sz="0" w:space="0" w:color="auto"/>
        <w:right w:val="none" w:sz="0" w:space="0" w:color="auto"/>
      </w:divBdr>
    </w:div>
    <w:div w:id="1906601564">
      <w:bodyDiv w:val="1"/>
      <w:marLeft w:val="0"/>
      <w:marRight w:val="0"/>
      <w:marTop w:val="0"/>
      <w:marBottom w:val="0"/>
      <w:divBdr>
        <w:top w:val="none" w:sz="0" w:space="0" w:color="auto"/>
        <w:left w:val="none" w:sz="0" w:space="0" w:color="auto"/>
        <w:bottom w:val="none" w:sz="0" w:space="0" w:color="auto"/>
        <w:right w:val="none" w:sz="0" w:space="0" w:color="auto"/>
      </w:divBdr>
    </w:div>
    <w:div w:id="1910530499">
      <w:bodyDiv w:val="1"/>
      <w:marLeft w:val="0"/>
      <w:marRight w:val="0"/>
      <w:marTop w:val="0"/>
      <w:marBottom w:val="0"/>
      <w:divBdr>
        <w:top w:val="none" w:sz="0" w:space="0" w:color="auto"/>
        <w:left w:val="none" w:sz="0" w:space="0" w:color="auto"/>
        <w:bottom w:val="none" w:sz="0" w:space="0" w:color="auto"/>
        <w:right w:val="none" w:sz="0" w:space="0" w:color="auto"/>
      </w:divBdr>
    </w:div>
    <w:div w:id="1924992206">
      <w:bodyDiv w:val="1"/>
      <w:marLeft w:val="0"/>
      <w:marRight w:val="0"/>
      <w:marTop w:val="0"/>
      <w:marBottom w:val="0"/>
      <w:divBdr>
        <w:top w:val="none" w:sz="0" w:space="0" w:color="auto"/>
        <w:left w:val="none" w:sz="0" w:space="0" w:color="auto"/>
        <w:bottom w:val="none" w:sz="0" w:space="0" w:color="auto"/>
        <w:right w:val="none" w:sz="0" w:space="0" w:color="auto"/>
      </w:divBdr>
    </w:div>
    <w:div w:id="1933315077">
      <w:bodyDiv w:val="1"/>
      <w:marLeft w:val="0"/>
      <w:marRight w:val="0"/>
      <w:marTop w:val="0"/>
      <w:marBottom w:val="0"/>
      <w:divBdr>
        <w:top w:val="none" w:sz="0" w:space="0" w:color="auto"/>
        <w:left w:val="none" w:sz="0" w:space="0" w:color="auto"/>
        <w:bottom w:val="none" w:sz="0" w:space="0" w:color="auto"/>
        <w:right w:val="none" w:sz="0" w:space="0" w:color="auto"/>
      </w:divBdr>
    </w:div>
    <w:div w:id="1934584105">
      <w:bodyDiv w:val="1"/>
      <w:marLeft w:val="0"/>
      <w:marRight w:val="0"/>
      <w:marTop w:val="0"/>
      <w:marBottom w:val="0"/>
      <w:divBdr>
        <w:top w:val="none" w:sz="0" w:space="0" w:color="auto"/>
        <w:left w:val="none" w:sz="0" w:space="0" w:color="auto"/>
        <w:bottom w:val="none" w:sz="0" w:space="0" w:color="auto"/>
        <w:right w:val="none" w:sz="0" w:space="0" w:color="auto"/>
      </w:divBdr>
    </w:div>
    <w:div w:id="1935279634">
      <w:bodyDiv w:val="1"/>
      <w:marLeft w:val="0"/>
      <w:marRight w:val="0"/>
      <w:marTop w:val="0"/>
      <w:marBottom w:val="0"/>
      <w:divBdr>
        <w:top w:val="none" w:sz="0" w:space="0" w:color="auto"/>
        <w:left w:val="none" w:sz="0" w:space="0" w:color="auto"/>
        <w:bottom w:val="none" w:sz="0" w:space="0" w:color="auto"/>
        <w:right w:val="none" w:sz="0" w:space="0" w:color="auto"/>
      </w:divBdr>
    </w:div>
    <w:div w:id="1942952027">
      <w:bodyDiv w:val="1"/>
      <w:marLeft w:val="0"/>
      <w:marRight w:val="0"/>
      <w:marTop w:val="0"/>
      <w:marBottom w:val="0"/>
      <w:divBdr>
        <w:top w:val="none" w:sz="0" w:space="0" w:color="auto"/>
        <w:left w:val="none" w:sz="0" w:space="0" w:color="auto"/>
        <w:bottom w:val="none" w:sz="0" w:space="0" w:color="auto"/>
        <w:right w:val="none" w:sz="0" w:space="0" w:color="auto"/>
      </w:divBdr>
    </w:div>
    <w:div w:id="1952786170">
      <w:bodyDiv w:val="1"/>
      <w:marLeft w:val="0"/>
      <w:marRight w:val="0"/>
      <w:marTop w:val="0"/>
      <w:marBottom w:val="0"/>
      <w:divBdr>
        <w:top w:val="none" w:sz="0" w:space="0" w:color="auto"/>
        <w:left w:val="none" w:sz="0" w:space="0" w:color="auto"/>
        <w:bottom w:val="none" w:sz="0" w:space="0" w:color="auto"/>
        <w:right w:val="none" w:sz="0" w:space="0" w:color="auto"/>
      </w:divBdr>
    </w:div>
    <w:div w:id="1954364903">
      <w:bodyDiv w:val="1"/>
      <w:marLeft w:val="0"/>
      <w:marRight w:val="0"/>
      <w:marTop w:val="0"/>
      <w:marBottom w:val="0"/>
      <w:divBdr>
        <w:top w:val="none" w:sz="0" w:space="0" w:color="auto"/>
        <w:left w:val="none" w:sz="0" w:space="0" w:color="auto"/>
        <w:bottom w:val="none" w:sz="0" w:space="0" w:color="auto"/>
        <w:right w:val="none" w:sz="0" w:space="0" w:color="auto"/>
      </w:divBdr>
      <w:divsChild>
        <w:div w:id="280768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0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19604">
      <w:bodyDiv w:val="1"/>
      <w:marLeft w:val="0"/>
      <w:marRight w:val="0"/>
      <w:marTop w:val="0"/>
      <w:marBottom w:val="0"/>
      <w:divBdr>
        <w:top w:val="none" w:sz="0" w:space="0" w:color="auto"/>
        <w:left w:val="none" w:sz="0" w:space="0" w:color="auto"/>
        <w:bottom w:val="none" w:sz="0" w:space="0" w:color="auto"/>
        <w:right w:val="none" w:sz="0" w:space="0" w:color="auto"/>
      </w:divBdr>
    </w:div>
    <w:div w:id="1956600287">
      <w:bodyDiv w:val="1"/>
      <w:marLeft w:val="0"/>
      <w:marRight w:val="0"/>
      <w:marTop w:val="0"/>
      <w:marBottom w:val="0"/>
      <w:divBdr>
        <w:top w:val="none" w:sz="0" w:space="0" w:color="auto"/>
        <w:left w:val="none" w:sz="0" w:space="0" w:color="auto"/>
        <w:bottom w:val="none" w:sz="0" w:space="0" w:color="auto"/>
        <w:right w:val="none" w:sz="0" w:space="0" w:color="auto"/>
      </w:divBdr>
    </w:div>
    <w:div w:id="1960144074">
      <w:bodyDiv w:val="1"/>
      <w:marLeft w:val="0"/>
      <w:marRight w:val="0"/>
      <w:marTop w:val="0"/>
      <w:marBottom w:val="0"/>
      <w:divBdr>
        <w:top w:val="none" w:sz="0" w:space="0" w:color="auto"/>
        <w:left w:val="none" w:sz="0" w:space="0" w:color="auto"/>
        <w:bottom w:val="none" w:sz="0" w:space="0" w:color="auto"/>
        <w:right w:val="none" w:sz="0" w:space="0" w:color="auto"/>
      </w:divBdr>
    </w:div>
    <w:div w:id="1961718462">
      <w:bodyDiv w:val="1"/>
      <w:marLeft w:val="0"/>
      <w:marRight w:val="0"/>
      <w:marTop w:val="0"/>
      <w:marBottom w:val="0"/>
      <w:divBdr>
        <w:top w:val="none" w:sz="0" w:space="0" w:color="auto"/>
        <w:left w:val="none" w:sz="0" w:space="0" w:color="auto"/>
        <w:bottom w:val="none" w:sz="0" w:space="0" w:color="auto"/>
        <w:right w:val="none" w:sz="0" w:space="0" w:color="auto"/>
      </w:divBdr>
    </w:div>
    <w:div w:id="1965385037">
      <w:bodyDiv w:val="1"/>
      <w:marLeft w:val="0"/>
      <w:marRight w:val="0"/>
      <w:marTop w:val="0"/>
      <w:marBottom w:val="0"/>
      <w:divBdr>
        <w:top w:val="none" w:sz="0" w:space="0" w:color="auto"/>
        <w:left w:val="none" w:sz="0" w:space="0" w:color="auto"/>
        <w:bottom w:val="none" w:sz="0" w:space="0" w:color="auto"/>
        <w:right w:val="none" w:sz="0" w:space="0" w:color="auto"/>
      </w:divBdr>
    </w:div>
    <w:div w:id="1967929464">
      <w:bodyDiv w:val="1"/>
      <w:marLeft w:val="0"/>
      <w:marRight w:val="0"/>
      <w:marTop w:val="0"/>
      <w:marBottom w:val="0"/>
      <w:divBdr>
        <w:top w:val="none" w:sz="0" w:space="0" w:color="auto"/>
        <w:left w:val="none" w:sz="0" w:space="0" w:color="auto"/>
        <w:bottom w:val="none" w:sz="0" w:space="0" w:color="auto"/>
        <w:right w:val="none" w:sz="0" w:space="0" w:color="auto"/>
      </w:divBdr>
    </w:div>
    <w:div w:id="1972469196">
      <w:bodyDiv w:val="1"/>
      <w:marLeft w:val="0"/>
      <w:marRight w:val="0"/>
      <w:marTop w:val="0"/>
      <w:marBottom w:val="0"/>
      <w:divBdr>
        <w:top w:val="none" w:sz="0" w:space="0" w:color="auto"/>
        <w:left w:val="none" w:sz="0" w:space="0" w:color="auto"/>
        <w:bottom w:val="none" w:sz="0" w:space="0" w:color="auto"/>
        <w:right w:val="none" w:sz="0" w:space="0" w:color="auto"/>
      </w:divBdr>
    </w:div>
    <w:div w:id="1972788329">
      <w:bodyDiv w:val="1"/>
      <w:marLeft w:val="0"/>
      <w:marRight w:val="0"/>
      <w:marTop w:val="0"/>
      <w:marBottom w:val="0"/>
      <w:divBdr>
        <w:top w:val="none" w:sz="0" w:space="0" w:color="auto"/>
        <w:left w:val="none" w:sz="0" w:space="0" w:color="auto"/>
        <w:bottom w:val="none" w:sz="0" w:space="0" w:color="auto"/>
        <w:right w:val="none" w:sz="0" w:space="0" w:color="auto"/>
      </w:divBdr>
    </w:div>
    <w:div w:id="1975022759">
      <w:bodyDiv w:val="1"/>
      <w:marLeft w:val="0"/>
      <w:marRight w:val="0"/>
      <w:marTop w:val="0"/>
      <w:marBottom w:val="0"/>
      <w:divBdr>
        <w:top w:val="none" w:sz="0" w:space="0" w:color="auto"/>
        <w:left w:val="none" w:sz="0" w:space="0" w:color="auto"/>
        <w:bottom w:val="none" w:sz="0" w:space="0" w:color="auto"/>
        <w:right w:val="none" w:sz="0" w:space="0" w:color="auto"/>
      </w:divBdr>
    </w:div>
    <w:div w:id="1981153450">
      <w:bodyDiv w:val="1"/>
      <w:marLeft w:val="0"/>
      <w:marRight w:val="0"/>
      <w:marTop w:val="0"/>
      <w:marBottom w:val="0"/>
      <w:divBdr>
        <w:top w:val="none" w:sz="0" w:space="0" w:color="auto"/>
        <w:left w:val="none" w:sz="0" w:space="0" w:color="auto"/>
        <w:bottom w:val="none" w:sz="0" w:space="0" w:color="auto"/>
        <w:right w:val="none" w:sz="0" w:space="0" w:color="auto"/>
      </w:divBdr>
    </w:div>
    <w:div w:id="1987126777">
      <w:bodyDiv w:val="1"/>
      <w:marLeft w:val="0"/>
      <w:marRight w:val="0"/>
      <w:marTop w:val="0"/>
      <w:marBottom w:val="0"/>
      <w:divBdr>
        <w:top w:val="none" w:sz="0" w:space="0" w:color="auto"/>
        <w:left w:val="none" w:sz="0" w:space="0" w:color="auto"/>
        <w:bottom w:val="none" w:sz="0" w:space="0" w:color="auto"/>
        <w:right w:val="none" w:sz="0" w:space="0" w:color="auto"/>
      </w:divBdr>
    </w:div>
    <w:div w:id="1989632866">
      <w:bodyDiv w:val="1"/>
      <w:marLeft w:val="0"/>
      <w:marRight w:val="0"/>
      <w:marTop w:val="0"/>
      <w:marBottom w:val="0"/>
      <w:divBdr>
        <w:top w:val="none" w:sz="0" w:space="0" w:color="auto"/>
        <w:left w:val="none" w:sz="0" w:space="0" w:color="auto"/>
        <w:bottom w:val="none" w:sz="0" w:space="0" w:color="auto"/>
        <w:right w:val="none" w:sz="0" w:space="0" w:color="auto"/>
      </w:divBdr>
    </w:div>
    <w:div w:id="1994794924">
      <w:bodyDiv w:val="1"/>
      <w:marLeft w:val="0"/>
      <w:marRight w:val="0"/>
      <w:marTop w:val="0"/>
      <w:marBottom w:val="0"/>
      <w:divBdr>
        <w:top w:val="none" w:sz="0" w:space="0" w:color="auto"/>
        <w:left w:val="none" w:sz="0" w:space="0" w:color="auto"/>
        <w:bottom w:val="none" w:sz="0" w:space="0" w:color="auto"/>
        <w:right w:val="none" w:sz="0" w:space="0" w:color="auto"/>
      </w:divBdr>
    </w:div>
    <w:div w:id="1995599650">
      <w:bodyDiv w:val="1"/>
      <w:marLeft w:val="0"/>
      <w:marRight w:val="0"/>
      <w:marTop w:val="0"/>
      <w:marBottom w:val="0"/>
      <w:divBdr>
        <w:top w:val="none" w:sz="0" w:space="0" w:color="auto"/>
        <w:left w:val="none" w:sz="0" w:space="0" w:color="auto"/>
        <w:bottom w:val="none" w:sz="0" w:space="0" w:color="auto"/>
        <w:right w:val="none" w:sz="0" w:space="0" w:color="auto"/>
      </w:divBdr>
    </w:div>
    <w:div w:id="1997299129">
      <w:bodyDiv w:val="1"/>
      <w:marLeft w:val="0"/>
      <w:marRight w:val="0"/>
      <w:marTop w:val="0"/>
      <w:marBottom w:val="0"/>
      <w:divBdr>
        <w:top w:val="none" w:sz="0" w:space="0" w:color="auto"/>
        <w:left w:val="none" w:sz="0" w:space="0" w:color="auto"/>
        <w:bottom w:val="none" w:sz="0" w:space="0" w:color="auto"/>
        <w:right w:val="none" w:sz="0" w:space="0" w:color="auto"/>
      </w:divBdr>
    </w:div>
    <w:div w:id="1999991194">
      <w:bodyDiv w:val="1"/>
      <w:marLeft w:val="0"/>
      <w:marRight w:val="0"/>
      <w:marTop w:val="0"/>
      <w:marBottom w:val="0"/>
      <w:divBdr>
        <w:top w:val="none" w:sz="0" w:space="0" w:color="auto"/>
        <w:left w:val="none" w:sz="0" w:space="0" w:color="auto"/>
        <w:bottom w:val="none" w:sz="0" w:space="0" w:color="auto"/>
        <w:right w:val="none" w:sz="0" w:space="0" w:color="auto"/>
      </w:divBdr>
    </w:div>
    <w:div w:id="2000692875">
      <w:bodyDiv w:val="1"/>
      <w:marLeft w:val="0"/>
      <w:marRight w:val="0"/>
      <w:marTop w:val="0"/>
      <w:marBottom w:val="0"/>
      <w:divBdr>
        <w:top w:val="none" w:sz="0" w:space="0" w:color="auto"/>
        <w:left w:val="none" w:sz="0" w:space="0" w:color="auto"/>
        <w:bottom w:val="none" w:sz="0" w:space="0" w:color="auto"/>
        <w:right w:val="none" w:sz="0" w:space="0" w:color="auto"/>
      </w:divBdr>
    </w:div>
    <w:div w:id="2004504666">
      <w:bodyDiv w:val="1"/>
      <w:marLeft w:val="0"/>
      <w:marRight w:val="0"/>
      <w:marTop w:val="0"/>
      <w:marBottom w:val="0"/>
      <w:divBdr>
        <w:top w:val="none" w:sz="0" w:space="0" w:color="auto"/>
        <w:left w:val="none" w:sz="0" w:space="0" w:color="auto"/>
        <w:bottom w:val="none" w:sz="0" w:space="0" w:color="auto"/>
        <w:right w:val="none" w:sz="0" w:space="0" w:color="auto"/>
      </w:divBdr>
    </w:div>
    <w:div w:id="2007245810">
      <w:bodyDiv w:val="1"/>
      <w:marLeft w:val="0"/>
      <w:marRight w:val="0"/>
      <w:marTop w:val="0"/>
      <w:marBottom w:val="0"/>
      <w:divBdr>
        <w:top w:val="none" w:sz="0" w:space="0" w:color="auto"/>
        <w:left w:val="none" w:sz="0" w:space="0" w:color="auto"/>
        <w:bottom w:val="none" w:sz="0" w:space="0" w:color="auto"/>
        <w:right w:val="none" w:sz="0" w:space="0" w:color="auto"/>
      </w:divBdr>
    </w:div>
    <w:div w:id="2009406642">
      <w:bodyDiv w:val="1"/>
      <w:marLeft w:val="0"/>
      <w:marRight w:val="0"/>
      <w:marTop w:val="0"/>
      <w:marBottom w:val="0"/>
      <w:divBdr>
        <w:top w:val="none" w:sz="0" w:space="0" w:color="auto"/>
        <w:left w:val="none" w:sz="0" w:space="0" w:color="auto"/>
        <w:bottom w:val="none" w:sz="0" w:space="0" w:color="auto"/>
        <w:right w:val="none" w:sz="0" w:space="0" w:color="auto"/>
      </w:divBdr>
    </w:div>
    <w:div w:id="2010676125">
      <w:bodyDiv w:val="1"/>
      <w:marLeft w:val="0"/>
      <w:marRight w:val="0"/>
      <w:marTop w:val="0"/>
      <w:marBottom w:val="0"/>
      <w:divBdr>
        <w:top w:val="none" w:sz="0" w:space="0" w:color="auto"/>
        <w:left w:val="none" w:sz="0" w:space="0" w:color="auto"/>
        <w:bottom w:val="none" w:sz="0" w:space="0" w:color="auto"/>
        <w:right w:val="none" w:sz="0" w:space="0" w:color="auto"/>
      </w:divBdr>
    </w:div>
    <w:div w:id="2013871138">
      <w:bodyDiv w:val="1"/>
      <w:marLeft w:val="0"/>
      <w:marRight w:val="0"/>
      <w:marTop w:val="0"/>
      <w:marBottom w:val="0"/>
      <w:divBdr>
        <w:top w:val="none" w:sz="0" w:space="0" w:color="auto"/>
        <w:left w:val="none" w:sz="0" w:space="0" w:color="auto"/>
        <w:bottom w:val="none" w:sz="0" w:space="0" w:color="auto"/>
        <w:right w:val="none" w:sz="0" w:space="0" w:color="auto"/>
      </w:divBdr>
    </w:div>
    <w:div w:id="2014331825">
      <w:bodyDiv w:val="1"/>
      <w:marLeft w:val="0"/>
      <w:marRight w:val="0"/>
      <w:marTop w:val="0"/>
      <w:marBottom w:val="0"/>
      <w:divBdr>
        <w:top w:val="none" w:sz="0" w:space="0" w:color="auto"/>
        <w:left w:val="none" w:sz="0" w:space="0" w:color="auto"/>
        <w:bottom w:val="none" w:sz="0" w:space="0" w:color="auto"/>
        <w:right w:val="none" w:sz="0" w:space="0" w:color="auto"/>
      </w:divBdr>
    </w:div>
    <w:div w:id="2016304246">
      <w:bodyDiv w:val="1"/>
      <w:marLeft w:val="0"/>
      <w:marRight w:val="0"/>
      <w:marTop w:val="0"/>
      <w:marBottom w:val="0"/>
      <w:divBdr>
        <w:top w:val="none" w:sz="0" w:space="0" w:color="auto"/>
        <w:left w:val="none" w:sz="0" w:space="0" w:color="auto"/>
        <w:bottom w:val="none" w:sz="0" w:space="0" w:color="auto"/>
        <w:right w:val="none" w:sz="0" w:space="0" w:color="auto"/>
      </w:divBdr>
    </w:div>
    <w:div w:id="2017269283">
      <w:bodyDiv w:val="1"/>
      <w:marLeft w:val="0"/>
      <w:marRight w:val="0"/>
      <w:marTop w:val="0"/>
      <w:marBottom w:val="0"/>
      <w:divBdr>
        <w:top w:val="none" w:sz="0" w:space="0" w:color="auto"/>
        <w:left w:val="none" w:sz="0" w:space="0" w:color="auto"/>
        <w:bottom w:val="none" w:sz="0" w:space="0" w:color="auto"/>
        <w:right w:val="none" w:sz="0" w:space="0" w:color="auto"/>
      </w:divBdr>
    </w:div>
    <w:div w:id="2021811900">
      <w:bodyDiv w:val="1"/>
      <w:marLeft w:val="0"/>
      <w:marRight w:val="0"/>
      <w:marTop w:val="0"/>
      <w:marBottom w:val="0"/>
      <w:divBdr>
        <w:top w:val="none" w:sz="0" w:space="0" w:color="auto"/>
        <w:left w:val="none" w:sz="0" w:space="0" w:color="auto"/>
        <w:bottom w:val="none" w:sz="0" w:space="0" w:color="auto"/>
        <w:right w:val="none" w:sz="0" w:space="0" w:color="auto"/>
      </w:divBdr>
    </w:div>
    <w:div w:id="2023430999">
      <w:bodyDiv w:val="1"/>
      <w:marLeft w:val="0"/>
      <w:marRight w:val="0"/>
      <w:marTop w:val="0"/>
      <w:marBottom w:val="0"/>
      <w:divBdr>
        <w:top w:val="none" w:sz="0" w:space="0" w:color="auto"/>
        <w:left w:val="none" w:sz="0" w:space="0" w:color="auto"/>
        <w:bottom w:val="none" w:sz="0" w:space="0" w:color="auto"/>
        <w:right w:val="none" w:sz="0" w:space="0" w:color="auto"/>
      </w:divBdr>
    </w:div>
    <w:div w:id="2027291876">
      <w:bodyDiv w:val="1"/>
      <w:marLeft w:val="0"/>
      <w:marRight w:val="0"/>
      <w:marTop w:val="0"/>
      <w:marBottom w:val="0"/>
      <w:divBdr>
        <w:top w:val="none" w:sz="0" w:space="0" w:color="auto"/>
        <w:left w:val="none" w:sz="0" w:space="0" w:color="auto"/>
        <w:bottom w:val="none" w:sz="0" w:space="0" w:color="auto"/>
        <w:right w:val="none" w:sz="0" w:space="0" w:color="auto"/>
      </w:divBdr>
    </w:div>
    <w:div w:id="2028827461">
      <w:bodyDiv w:val="1"/>
      <w:marLeft w:val="0"/>
      <w:marRight w:val="0"/>
      <w:marTop w:val="0"/>
      <w:marBottom w:val="0"/>
      <w:divBdr>
        <w:top w:val="none" w:sz="0" w:space="0" w:color="auto"/>
        <w:left w:val="none" w:sz="0" w:space="0" w:color="auto"/>
        <w:bottom w:val="none" w:sz="0" w:space="0" w:color="auto"/>
        <w:right w:val="none" w:sz="0" w:space="0" w:color="auto"/>
      </w:divBdr>
    </w:div>
    <w:div w:id="2032339825">
      <w:bodyDiv w:val="1"/>
      <w:marLeft w:val="0"/>
      <w:marRight w:val="0"/>
      <w:marTop w:val="0"/>
      <w:marBottom w:val="0"/>
      <w:divBdr>
        <w:top w:val="none" w:sz="0" w:space="0" w:color="auto"/>
        <w:left w:val="none" w:sz="0" w:space="0" w:color="auto"/>
        <w:bottom w:val="none" w:sz="0" w:space="0" w:color="auto"/>
        <w:right w:val="none" w:sz="0" w:space="0" w:color="auto"/>
      </w:divBdr>
    </w:div>
    <w:div w:id="2032761942">
      <w:bodyDiv w:val="1"/>
      <w:marLeft w:val="0"/>
      <w:marRight w:val="0"/>
      <w:marTop w:val="0"/>
      <w:marBottom w:val="0"/>
      <w:divBdr>
        <w:top w:val="none" w:sz="0" w:space="0" w:color="auto"/>
        <w:left w:val="none" w:sz="0" w:space="0" w:color="auto"/>
        <w:bottom w:val="none" w:sz="0" w:space="0" w:color="auto"/>
        <w:right w:val="none" w:sz="0" w:space="0" w:color="auto"/>
      </w:divBdr>
    </w:div>
    <w:div w:id="2036691100">
      <w:bodyDiv w:val="1"/>
      <w:marLeft w:val="0"/>
      <w:marRight w:val="0"/>
      <w:marTop w:val="0"/>
      <w:marBottom w:val="0"/>
      <w:divBdr>
        <w:top w:val="none" w:sz="0" w:space="0" w:color="auto"/>
        <w:left w:val="none" w:sz="0" w:space="0" w:color="auto"/>
        <w:bottom w:val="none" w:sz="0" w:space="0" w:color="auto"/>
        <w:right w:val="none" w:sz="0" w:space="0" w:color="auto"/>
      </w:divBdr>
    </w:div>
    <w:div w:id="2040010459">
      <w:bodyDiv w:val="1"/>
      <w:marLeft w:val="0"/>
      <w:marRight w:val="0"/>
      <w:marTop w:val="0"/>
      <w:marBottom w:val="0"/>
      <w:divBdr>
        <w:top w:val="none" w:sz="0" w:space="0" w:color="auto"/>
        <w:left w:val="none" w:sz="0" w:space="0" w:color="auto"/>
        <w:bottom w:val="none" w:sz="0" w:space="0" w:color="auto"/>
        <w:right w:val="none" w:sz="0" w:space="0" w:color="auto"/>
      </w:divBdr>
    </w:div>
    <w:div w:id="2049910829">
      <w:bodyDiv w:val="1"/>
      <w:marLeft w:val="0"/>
      <w:marRight w:val="0"/>
      <w:marTop w:val="0"/>
      <w:marBottom w:val="0"/>
      <w:divBdr>
        <w:top w:val="none" w:sz="0" w:space="0" w:color="auto"/>
        <w:left w:val="none" w:sz="0" w:space="0" w:color="auto"/>
        <w:bottom w:val="none" w:sz="0" w:space="0" w:color="auto"/>
        <w:right w:val="none" w:sz="0" w:space="0" w:color="auto"/>
      </w:divBdr>
    </w:div>
    <w:div w:id="2051957257">
      <w:bodyDiv w:val="1"/>
      <w:marLeft w:val="0"/>
      <w:marRight w:val="0"/>
      <w:marTop w:val="0"/>
      <w:marBottom w:val="0"/>
      <w:divBdr>
        <w:top w:val="none" w:sz="0" w:space="0" w:color="auto"/>
        <w:left w:val="none" w:sz="0" w:space="0" w:color="auto"/>
        <w:bottom w:val="none" w:sz="0" w:space="0" w:color="auto"/>
        <w:right w:val="none" w:sz="0" w:space="0" w:color="auto"/>
      </w:divBdr>
    </w:div>
    <w:div w:id="2061049584">
      <w:bodyDiv w:val="1"/>
      <w:marLeft w:val="0"/>
      <w:marRight w:val="0"/>
      <w:marTop w:val="0"/>
      <w:marBottom w:val="0"/>
      <w:divBdr>
        <w:top w:val="none" w:sz="0" w:space="0" w:color="auto"/>
        <w:left w:val="none" w:sz="0" w:space="0" w:color="auto"/>
        <w:bottom w:val="none" w:sz="0" w:space="0" w:color="auto"/>
        <w:right w:val="none" w:sz="0" w:space="0" w:color="auto"/>
      </w:divBdr>
    </w:div>
    <w:div w:id="2064980713">
      <w:bodyDiv w:val="1"/>
      <w:marLeft w:val="0"/>
      <w:marRight w:val="0"/>
      <w:marTop w:val="0"/>
      <w:marBottom w:val="0"/>
      <w:divBdr>
        <w:top w:val="none" w:sz="0" w:space="0" w:color="auto"/>
        <w:left w:val="none" w:sz="0" w:space="0" w:color="auto"/>
        <w:bottom w:val="none" w:sz="0" w:space="0" w:color="auto"/>
        <w:right w:val="none" w:sz="0" w:space="0" w:color="auto"/>
      </w:divBdr>
    </w:div>
    <w:div w:id="2069722713">
      <w:bodyDiv w:val="1"/>
      <w:marLeft w:val="0"/>
      <w:marRight w:val="0"/>
      <w:marTop w:val="0"/>
      <w:marBottom w:val="0"/>
      <w:divBdr>
        <w:top w:val="none" w:sz="0" w:space="0" w:color="auto"/>
        <w:left w:val="none" w:sz="0" w:space="0" w:color="auto"/>
        <w:bottom w:val="none" w:sz="0" w:space="0" w:color="auto"/>
        <w:right w:val="none" w:sz="0" w:space="0" w:color="auto"/>
      </w:divBdr>
      <w:divsChild>
        <w:div w:id="1695231327">
          <w:marLeft w:val="0"/>
          <w:marRight w:val="0"/>
          <w:marTop w:val="0"/>
          <w:marBottom w:val="0"/>
          <w:divBdr>
            <w:top w:val="none" w:sz="0" w:space="0" w:color="auto"/>
            <w:left w:val="none" w:sz="0" w:space="0" w:color="auto"/>
            <w:bottom w:val="none" w:sz="0" w:space="0" w:color="auto"/>
            <w:right w:val="none" w:sz="0" w:space="0" w:color="auto"/>
          </w:divBdr>
        </w:div>
        <w:div w:id="905916793">
          <w:marLeft w:val="0"/>
          <w:marRight w:val="0"/>
          <w:marTop w:val="0"/>
          <w:marBottom w:val="0"/>
          <w:divBdr>
            <w:top w:val="none" w:sz="0" w:space="0" w:color="auto"/>
            <w:left w:val="none" w:sz="0" w:space="0" w:color="auto"/>
            <w:bottom w:val="none" w:sz="0" w:space="0" w:color="auto"/>
            <w:right w:val="none" w:sz="0" w:space="0" w:color="auto"/>
          </w:divBdr>
        </w:div>
      </w:divsChild>
    </w:div>
    <w:div w:id="2070107099">
      <w:bodyDiv w:val="1"/>
      <w:marLeft w:val="0"/>
      <w:marRight w:val="0"/>
      <w:marTop w:val="0"/>
      <w:marBottom w:val="0"/>
      <w:divBdr>
        <w:top w:val="none" w:sz="0" w:space="0" w:color="auto"/>
        <w:left w:val="none" w:sz="0" w:space="0" w:color="auto"/>
        <w:bottom w:val="none" w:sz="0" w:space="0" w:color="auto"/>
        <w:right w:val="none" w:sz="0" w:space="0" w:color="auto"/>
      </w:divBdr>
    </w:div>
    <w:div w:id="2079670281">
      <w:bodyDiv w:val="1"/>
      <w:marLeft w:val="0"/>
      <w:marRight w:val="0"/>
      <w:marTop w:val="0"/>
      <w:marBottom w:val="0"/>
      <w:divBdr>
        <w:top w:val="none" w:sz="0" w:space="0" w:color="auto"/>
        <w:left w:val="none" w:sz="0" w:space="0" w:color="auto"/>
        <w:bottom w:val="none" w:sz="0" w:space="0" w:color="auto"/>
        <w:right w:val="none" w:sz="0" w:space="0" w:color="auto"/>
      </w:divBdr>
    </w:div>
    <w:div w:id="2080133757">
      <w:bodyDiv w:val="1"/>
      <w:marLeft w:val="0"/>
      <w:marRight w:val="0"/>
      <w:marTop w:val="0"/>
      <w:marBottom w:val="0"/>
      <w:divBdr>
        <w:top w:val="none" w:sz="0" w:space="0" w:color="auto"/>
        <w:left w:val="none" w:sz="0" w:space="0" w:color="auto"/>
        <w:bottom w:val="none" w:sz="0" w:space="0" w:color="auto"/>
        <w:right w:val="none" w:sz="0" w:space="0" w:color="auto"/>
      </w:divBdr>
    </w:div>
    <w:div w:id="2087916910">
      <w:bodyDiv w:val="1"/>
      <w:marLeft w:val="0"/>
      <w:marRight w:val="0"/>
      <w:marTop w:val="0"/>
      <w:marBottom w:val="0"/>
      <w:divBdr>
        <w:top w:val="none" w:sz="0" w:space="0" w:color="auto"/>
        <w:left w:val="none" w:sz="0" w:space="0" w:color="auto"/>
        <w:bottom w:val="none" w:sz="0" w:space="0" w:color="auto"/>
        <w:right w:val="none" w:sz="0" w:space="0" w:color="auto"/>
      </w:divBdr>
    </w:div>
    <w:div w:id="2091080662">
      <w:bodyDiv w:val="1"/>
      <w:marLeft w:val="0"/>
      <w:marRight w:val="0"/>
      <w:marTop w:val="0"/>
      <w:marBottom w:val="0"/>
      <w:divBdr>
        <w:top w:val="none" w:sz="0" w:space="0" w:color="auto"/>
        <w:left w:val="none" w:sz="0" w:space="0" w:color="auto"/>
        <w:bottom w:val="none" w:sz="0" w:space="0" w:color="auto"/>
        <w:right w:val="none" w:sz="0" w:space="0" w:color="auto"/>
      </w:divBdr>
    </w:div>
    <w:div w:id="2093352403">
      <w:bodyDiv w:val="1"/>
      <w:marLeft w:val="0"/>
      <w:marRight w:val="0"/>
      <w:marTop w:val="0"/>
      <w:marBottom w:val="0"/>
      <w:divBdr>
        <w:top w:val="none" w:sz="0" w:space="0" w:color="auto"/>
        <w:left w:val="none" w:sz="0" w:space="0" w:color="auto"/>
        <w:bottom w:val="none" w:sz="0" w:space="0" w:color="auto"/>
        <w:right w:val="none" w:sz="0" w:space="0" w:color="auto"/>
      </w:divBdr>
      <w:divsChild>
        <w:div w:id="1422337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4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13166">
      <w:bodyDiv w:val="1"/>
      <w:marLeft w:val="0"/>
      <w:marRight w:val="0"/>
      <w:marTop w:val="0"/>
      <w:marBottom w:val="0"/>
      <w:divBdr>
        <w:top w:val="none" w:sz="0" w:space="0" w:color="auto"/>
        <w:left w:val="none" w:sz="0" w:space="0" w:color="auto"/>
        <w:bottom w:val="none" w:sz="0" w:space="0" w:color="auto"/>
        <w:right w:val="none" w:sz="0" w:space="0" w:color="auto"/>
      </w:divBdr>
    </w:div>
    <w:div w:id="2108041735">
      <w:bodyDiv w:val="1"/>
      <w:marLeft w:val="0"/>
      <w:marRight w:val="0"/>
      <w:marTop w:val="0"/>
      <w:marBottom w:val="0"/>
      <w:divBdr>
        <w:top w:val="none" w:sz="0" w:space="0" w:color="auto"/>
        <w:left w:val="none" w:sz="0" w:space="0" w:color="auto"/>
        <w:bottom w:val="none" w:sz="0" w:space="0" w:color="auto"/>
        <w:right w:val="none" w:sz="0" w:space="0" w:color="auto"/>
      </w:divBdr>
    </w:div>
    <w:div w:id="2108891644">
      <w:bodyDiv w:val="1"/>
      <w:marLeft w:val="0"/>
      <w:marRight w:val="0"/>
      <w:marTop w:val="0"/>
      <w:marBottom w:val="0"/>
      <w:divBdr>
        <w:top w:val="none" w:sz="0" w:space="0" w:color="auto"/>
        <w:left w:val="none" w:sz="0" w:space="0" w:color="auto"/>
        <w:bottom w:val="none" w:sz="0" w:space="0" w:color="auto"/>
        <w:right w:val="none" w:sz="0" w:space="0" w:color="auto"/>
      </w:divBdr>
    </w:div>
    <w:div w:id="2113621699">
      <w:bodyDiv w:val="1"/>
      <w:marLeft w:val="0"/>
      <w:marRight w:val="0"/>
      <w:marTop w:val="0"/>
      <w:marBottom w:val="0"/>
      <w:divBdr>
        <w:top w:val="none" w:sz="0" w:space="0" w:color="auto"/>
        <w:left w:val="none" w:sz="0" w:space="0" w:color="auto"/>
        <w:bottom w:val="none" w:sz="0" w:space="0" w:color="auto"/>
        <w:right w:val="none" w:sz="0" w:space="0" w:color="auto"/>
      </w:divBdr>
    </w:div>
    <w:div w:id="2113668797">
      <w:bodyDiv w:val="1"/>
      <w:marLeft w:val="0"/>
      <w:marRight w:val="0"/>
      <w:marTop w:val="0"/>
      <w:marBottom w:val="0"/>
      <w:divBdr>
        <w:top w:val="none" w:sz="0" w:space="0" w:color="auto"/>
        <w:left w:val="none" w:sz="0" w:space="0" w:color="auto"/>
        <w:bottom w:val="none" w:sz="0" w:space="0" w:color="auto"/>
        <w:right w:val="none" w:sz="0" w:space="0" w:color="auto"/>
      </w:divBdr>
    </w:div>
    <w:div w:id="2115903165">
      <w:bodyDiv w:val="1"/>
      <w:marLeft w:val="0"/>
      <w:marRight w:val="0"/>
      <w:marTop w:val="0"/>
      <w:marBottom w:val="0"/>
      <w:divBdr>
        <w:top w:val="none" w:sz="0" w:space="0" w:color="auto"/>
        <w:left w:val="none" w:sz="0" w:space="0" w:color="auto"/>
        <w:bottom w:val="none" w:sz="0" w:space="0" w:color="auto"/>
        <w:right w:val="none" w:sz="0" w:space="0" w:color="auto"/>
      </w:divBdr>
    </w:div>
    <w:div w:id="2116098456">
      <w:bodyDiv w:val="1"/>
      <w:marLeft w:val="0"/>
      <w:marRight w:val="0"/>
      <w:marTop w:val="0"/>
      <w:marBottom w:val="0"/>
      <w:divBdr>
        <w:top w:val="none" w:sz="0" w:space="0" w:color="auto"/>
        <w:left w:val="none" w:sz="0" w:space="0" w:color="auto"/>
        <w:bottom w:val="none" w:sz="0" w:space="0" w:color="auto"/>
        <w:right w:val="none" w:sz="0" w:space="0" w:color="auto"/>
      </w:divBdr>
    </w:div>
    <w:div w:id="2118521641">
      <w:bodyDiv w:val="1"/>
      <w:marLeft w:val="0"/>
      <w:marRight w:val="0"/>
      <w:marTop w:val="0"/>
      <w:marBottom w:val="0"/>
      <w:divBdr>
        <w:top w:val="none" w:sz="0" w:space="0" w:color="auto"/>
        <w:left w:val="none" w:sz="0" w:space="0" w:color="auto"/>
        <w:bottom w:val="none" w:sz="0" w:space="0" w:color="auto"/>
        <w:right w:val="none" w:sz="0" w:space="0" w:color="auto"/>
      </w:divBdr>
    </w:div>
    <w:div w:id="2118980332">
      <w:bodyDiv w:val="1"/>
      <w:marLeft w:val="0"/>
      <w:marRight w:val="0"/>
      <w:marTop w:val="0"/>
      <w:marBottom w:val="0"/>
      <w:divBdr>
        <w:top w:val="none" w:sz="0" w:space="0" w:color="auto"/>
        <w:left w:val="none" w:sz="0" w:space="0" w:color="auto"/>
        <w:bottom w:val="none" w:sz="0" w:space="0" w:color="auto"/>
        <w:right w:val="none" w:sz="0" w:space="0" w:color="auto"/>
      </w:divBdr>
    </w:div>
    <w:div w:id="2123188669">
      <w:bodyDiv w:val="1"/>
      <w:marLeft w:val="0"/>
      <w:marRight w:val="0"/>
      <w:marTop w:val="0"/>
      <w:marBottom w:val="0"/>
      <w:divBdr>
        <w:top w:val="none" w:sz="0" w:space="0" w:color="auto"/>
        <w:left w:val="none" w:sz="0" w:space="0" w:color="auto"/>
        <w:bottom w:val="none" w:sz="0" w:space="0" w:color="auto"/>
        <w:right w:val="none" w:sz="0" w:space="0" w:color="auto"/>
      </w:divBdr>
    </w:div>
    <w:div w:id="2128114132">
      <w:bodyDiv w:val="1"/>
      <w:marLeft w:val="0"/>
      <w:marRight w:val="0"/>
      <w:marTop w:val="0"/>
      <w:marBottom w:val="0"/>
      <w:divBdr>
        <w:top w:val="none" w:sz="0" w:space="0" w:color="auto"/>
        <w:left w:val="none" w:sz="0" w:space="0" w:color="auto"/>
        <w:bottom w:val="none" w:sz="0" w:space="0" w:color="auto"/>
        <w:right w:val="none" w:sz="0" w:space="0" w:color="auto"/>
      </w:divBdr>
    </w:div>
    <w:div w:id="2134713554">
      <w:bodyDiv w:val="1"/>
      <w:marLeft w:val="0"/>
      <w:marRight w:val="0"/>
      <w:marTop w:val="0"/>
      <w:marBottom w:val="0"/>
      <w:divBdr>
        <w:top w:val="none" w:sz="0" w:space="0" w:color="auto"/>
        <w:left w:val="none" w:sz="0" w:space="0" w:color="auto"/>
        <w:bottom w:val="none" w:sz="0" w:space="0" w:color="auto"/>
        <w:right w:val="none" w:sz="0" w:space="0" w:color="auto"/>
      </w:divBdr>
    </w:div>
    <w:div w:id="2140874395">
      <w:bodyDiv w:val="1"/>
      <w:marLeft w:val="0"/>
      <w:marRight w:val="0"/>
      <w:marTop w:val="0"/>
      <w:marBottom w:val="0"/>
      <w:divBdr>
        <w:top w:val="none" w:sz="0" w:space="0" w:color="auto"/>
        <w:left w:val="none" w:sz="0" w:space="0" w:color="auto"/>
        <w:bottom w:val="none" w:sz="0" w:space="0" w:color="auto"/>
        <w:right w:val="none" w:sz="0" w:space="0" w:color="auto"/>
      </w:divBdr>
    </w:div>
    <w:div w:id="2142455933">
      <w:bodyDiv w:val="1"/>
      <w:marLeft w:val="0"/>
      <w:marRight w:val="0"/>
      <w:marTop w:val="0"/>
      <w:marBottom w:val="0"/>
      <w:divBdr>
        <w:top w:val="none" w:sz="0" w:space="0" w:color="auto"/>
        <w:left w:val="none" w:sz="0" w:space="0" w:color="auto"/>
        <w:bottom w:val="none" w:sz="0" w:space="0" w:color="auto"/>
        <w:right w:val="none" w:sz="0" w:space="0" w:color="auto"/>
      </w:divBdr>
    </w:div>
    <w:div w:id="214384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docs.cpuc.ca.gov/PublishedDocs/Published/G000/M076/K775/76775903.PDF" TargetMode="External"/><Relationship Id="rId13" Type="http://schemas.openxmlformats.org/officeDocument/2006/relationships/hyperlink" Target="https://www1.sce.com/NR/sc3/tm2/pdf/3628-E.pdf" TargetMode="External"/><Relationship Id="rId18" Type="http://schemas.openxmlformats.org/officeDocument/2006/relationships/hyperlink" Target="https://www.socalgas.com/regulatory/tariffs/tm2/pdf/5023-A.pdf" TargetMode="External"/><Relationship Id="rId26" Type="http://schemas.openxmlformats.org/officeDocument/2006/relationships/hyperlink" Target="http://docs.cpuc.ca.gov/PublishedDocs/Published/G000/M166/K232/166232537.pdf" TargetMode="External"/><Relationship Id="rId39" Type="http://schemas.openxmlformats.org/officeDocument/2006/relationships/hyperlink" Target="http://docs.cpuc.ca.gov/PublishedDocs/Published/G000/M201/K915/201915480.pdf" TargetMode="External"/><Relationship Id="rId3" Type="http://schemas.openxmlformats.org/officeDocument/2006/relationships/hyperlink" Target="http://docs.cpuc.ca.gov/PublishedDocs/Published/G000/M168/K720/168720697.pdf" TargetMode="External"/><Relationship Id="rId21" Type="http://schemas.openxmlformats.org/officeDocument/2006/relationships/hyperlink" Target="http://docs.cpuc.ca.gov/PublishedDocs/Published/G000/M076/K775/76775903.PDF" TargetMode="External"/><Relationship Id="rId34" Type="http://schemas.openxmlformats.org/officeDocument/2006/relationships/hyperlink" Target="https://file.ac/5K5apKj41Dw/Final%202018%20ESPI%20Performance%20Statement_10262018.pdf" TargetMode="External"/><Relationship Id="rId42" Type="http://schemas.openxmlformats.org/officeDocument/2006/relationships/hyperlink" Target="http://docs.cpuc.ca.gov/PublishedDocs/PUBLISHED/GRAPHICS/107829.pdf" TargetMode="External"/><Relationship Id="rId47" Type="http://schemas.openxmlformats.org/officeDocument/2006/relationships/hyperlink" Target="http://docs.cpuc.ca.gov/SearchRes.aspx?docformat=ALL&amp;DocID=309165551" TargetMode="External"/><Relationship Id="rId7" Type="http://schemas.openxmlformats.org/officeDocument/2006/relationships/hyperlink" Target="http://docs.cpuc.ca.gov/PublishedDocs/Published/G000/M076/K775/76775903.PDF" TargetMode="External"/><Relationship Id="rId12" Type="http://schemas.openxmlformats.org/officeDocument/2006/relationships/hyperlink" Target="http://docs.cpuc.ca.gov/PublishedDocs/Published/G000/M155/K511/155511942.pdf" TargetMode="External"/><Relationship Id="rId17" Type="http://schemas.openxmlformats.org/officeDocument/2006/relationships/hyperlink" Target="http://regarchive.sdge.com/tm2/pdf/2951-E-A.pdf" TargetMode="External"/><Relationship Id="rId25" Type="http://schemas.openxmlformats.org/officeDocument/2006/relationships/hyperlink" Target="http://www.deeresources.com/index.php/espi/espi-ear-performance-scoring" TargetMode="External"/><Relationship Id="rId33" Type="http://schemas.openxmlformats.org/officeDocument/2006/relationships/hyperlink" Target="http://www.cpuc.ca.gov/General.aspx?id=4137" TargetMode="External"/><Relationship Id="rId38" Type="http://schemas.openxmlformats.org/officeDocument/2006/relationships/hyperlink" Target="http://docs.cpuc.ca.gov/PublishedDocs/Published/G000/M084/K470/84470121.PDF" TargetMode="External"/><Relationship Id="rId46" Type="http://schemas.openxmlformats.org/officeDocument/2006/relationships/hyperlink" Target="http://www.cpuc.ca.gov/General.aspx?id=4137" TargetMode="External"/><Relationship Id="rId2" Type="http://schemas.openxmlformats.org/officeDocument/2006/relationships/hyperlink" Target="http://docs.cpuc.ca.gov/PublishedDocs/Published/G000/M167/K340/167340416.pdf" TargetMode="External"/><Relationship Id="rId16" Type="http://schemas.openxmlformats.org/officeDocument/2006/relationships/hyperlink" Target="https://www1.sce.com/NR/sc3/tm2/pdf/3465-E-B.pdf" TargetMode="External"/><Relationship Id="rId20" Type="http://schemas.openxmlformats.org/officeDocument/2006/relationships/hyperlink" Target="http://docs.cpuc.ca.gov/PublishedDocs/Published/G000/M034/K299/34299795.pdf" TargetMode="External"/><Relationship Id="rId29" Type="http://schemas.openxmlformats.org/officeDocument/2006/relationships/hyperlink" Target="http://www.cpuc.ca.gov/General.aspx?id=4137" TargetMode="External"/><Relationship Id="rId41" Type="http://schemas.openxmlformats.org/officeDocument/2006/relationships/hyperlink" Target="http://www.cpuc.ca.gov/General.aspx?id=4137" TargetMode="External"/><Relationship Id="rId1" Type="http://schemas.openxmlformats.org/officeDocument/2006/relationships/hyperlink" Target="https://apps.cpuc.ca.gov/apex/f?p=401:56:6785304872892::NO:RP,57,RIR:P5_PROCEEDING_SELECT:R0901019" TargetMode="External"/><Relationship Id="rId6" Type="http://schemas.openxmlformats.org/officeDocument/2006/relationships/hyperlink" Target="http://docs.cpuc.ca.gov/PublishedDocs/Published/G000/M155/K511/155511942.pdf" TargetMode="External"/><Relationship Id="rId11" Type="http://schemas.openxmlformats.org/officeDocument/2006/relationships/hyperlink" Target="https://file.ac/5K5apKj41Dw/Final%202018%20ESPI%20Performance%20Statement_10262018.pdf" TargetMode="External"/><Relationship Id="rId24" Type="http://schemas.openxmlformats.org/officeDocument/2006/relationships/hyperlink" Target="https://www1.sce.com/NR/sc3/tm2/pdf/3821-E.pdf" TargetMode="External"/><Relationship Id="rId32" Type="http://schemas.openxmlformats.org/officeDocument/2006/relationships/hyperlink" Target="http://cedars.sound-data.com" TargetMode="External"/><Relationship Id="rId37" Type="http://schemas.openxmlformats.org/officeDocument/2006/relationships/hyperlink" Target="http://docs.cpuc.ca.gov/PublishedDocs/Published/G000/M076/K775/76775903.PDF" TargetMode="External"/><Relationship Id="rId40" Type="http://schemas.openxmlformats.org/officeDocument/2006/relationships/hyperlink" Target="http://docs.cpuc.ca.gov/PublishedDocs/Published/G000/M076/K775/76775903.PDF" TargetMode="External"/><Relationship Id="rId45" Type="http://schemas.openxmlformats.org/officeDocument/2006/relationships/hyperlink" Target="https://file.ac/5K5apKj41Dw/Final%202018%20ESPI%20Performance%20Statement_10262018.pdf" TargetMode="External"/><Relationship Id="rId5" Type="http://schemas.openxmlformats.org/officeDocument/2006/relationships/hyperlink" Target="https://www1.sce.com/NR/sc3/tm2/pdf/3513-E.pdf" TargetMode="External"/><Relationship Id="rId15" Type="http://schemas.openxmlformats.org/officeDocument/2006/relationships/hyperlink" Target="https://www.pge.com/tariffs/assets/pdf/adviceletter/GAS_3753-G-D.pdf" TargetMode="External"/><Relationship Id="rId23" Type="http://schemas.openxmlformats.org/officeDocument/2006/relationships/hyperlink" Target="https://www1.sce.com/NR/sc3/tm2/pdf/3628-E.pdf" TargetMode="External"/><Relationship Id="rId28" Type="http://schemas.openxmlformats.org/officeDocument/2006/relationships/hyperlink" Target="http://docs.cpuc.ca.gov/PublishedDocs/Published/G000/M166/K232/166232537.pdf" TargetMode="External"/><Relationship Id="rId36" Type="http://schemas.openxmlformats.org/officeDocument/2006/relationships/hyperlink" Target="https://file.ac/5K5apKj41Dw/Final%202018%20ESPI%20Performance%20Statement_10262018.pdf" TargetMode="External"/><Relationship Id="rId10" Type="http://schemas.openxmlformats.org/officeDocument/2006/relationships/hyperlink" Target="http://docs.cpuc.ca.gov/PublishedDocs/Efile/G000/M213/K120/213120689.pdf" TargetMode="External"/><Relationship Id="rId19" Type="http://schemas.openxmlformats.org/officeDocument/2006/relationships/hyperlink" Target="http://docs.cpuc.ca.gov/PublishedDocs/Published/G000/M155/K511/155511942.pdf" TargetMode="External"/><Relationship Id="rId31" Type="http://schemas.openxmlformats.org/officeDocument/2006/relationships/hyperlink" Target="https://cedars.sound-data.com/documents/download/1139/main/" TargetMode="External"/><Relationship Id="rId44" Type="http://schemas.openxmlformats.org/officeDocument/2006/relationships/hyperlink" Target="http://www.eestats.cpuc.ca.gov" TargetMode="External"/><Relationship Id="rId4" Type="http://schemas.openxmlformats.org/officeDocument/2006/relationships/hyperlink" Target="http://docs.cpuc.ca.gov/PublishedDocs/Published/G000/M179/K922/179922454.pdf" TargetMode="External"/><Relationship Id="rId9" Type="http://schemas.openxmlformats.org/officeDocument/2006/relationships/hyperlink" Target="http://docs.cpuc.ca.gov/PublishedDocs/Published/G000/M166/K232/166232537.pdf" TargetMode="External"/><Relationship Id="rId14" Type="http://schemas.openxmlformats.org/officeDocument/2006/relationships/hyperlink" Target="https://www1.sce.com/NR/sc3/tm2/pdf/3821-E.pdf" TargetMode="External"/><Relationship Id="rId22" Type="http://schemas.openxmlformats.org/officeDocument/2006/relationships/hyperlink" Target="http://docs.cpuc.ca.gov/PublishedDocs/Published/G000/M076/K775/76775903.PDF" TargetMode="External"/><Relationship Id="rId27" Type="http://schemas.openxmlformats.org/officeDocument/2006/relationships/hyperlink" Target="https://file.ac/wO5G-b7I5_Y" TargetMode="External"/><Relationship Id="rId30" Type="http://schemas.openxmlformats.org/officeDocument/2006/relationships/hyperlink" Target="https://www.socalgas.com/regulatory/tariffs/tm2/pdf/5204.pdf" TargetMode="External"/><Relationship Id="rId35" Type="http://schemas.openxmlformats.org/officeDocument/2006/relationships/hyperlink" Target="http://docs.cpuc.ca.gov/PublishedDocs/Published/G000/M076/K775/76775903.PDF" TargetMode="External"/><Relationship Id="rId43" Type="http://schemas.openxmlformats.org/officeDocument/2006/relationships/hyperlink" Target="http://docs.cpuc.ca.gov/PublishedDocs/Published/G000/M034/K299/3429979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A35AA920A90748BE8F83806DCEAB34" ma:contentTypeVersion="10" ma:contentTypeDescription="Create a new document." ma:contentTypeScope="" ma:versionID="667eec2b6c8bd28b2d0920cd8e5e03dc">
  <xsd:schema xmlns:xsd="http://www.w3.org/2001/XMLSchema" xmlns:xs="http://www.w3.org/2001/XMLSchema" xmlns:p="http://schemas.microsoft.com/office/2006/metadata/properties" xmlns:ns3="5770dd94-7d4a-4716-86db-149e12e490dc" xmlns:ns4="3daac092-6046-4f0f-8d50-4c08cd6601b2" targetNamespace="http://schemas.microsoft.com/office/2006/metadata/properties" ma:root="true" ma:fieldsID="1e4ac27136d78caedb853b2308dd0305" ns3:_="" ns4:_="">
    <xsd:import namespace="5770dd94-7d4a-4716-86db-149e12e490dc"/>
    <xsd:import namespace="3daac092-6046-4f0f-8d50-4c08cd6601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0dd94-7d4a-4716-86db-149e12e49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aac092-6046-4f0f-8d50-4c08cd6601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52CC9-F4F9-4E77-BEB2-69004BF5B8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41348B-8619-42C0-8D86-845B2219327A}">
  <ds:schemaRefs>
    <ds:schemaRef ds:uri="http://schemas.microsoft.com/sharepoint/v3/contenttype/forms"/>
  </ds:schemaRefs>
</ds:datastoreItem>
</file>

<file path=customXml/itemProps3.xml><?xml version="1.0" encoding="utf-8"?>
<ds:datastoreItem xmlns:ds="http://schemas.openxmlformats.org/officeDocument/2006/customXml" ds:itemID="{8BD12305-CD84-40E2-9E7D-51F16A18D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0dd94-7d4a-4716-86db-149e12e490dc"/>
    <ds:schemaRef ds:uri="3daac092-6046-4f0f-8d50-4c08cd660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4A1EF9-A61C-4CC4-A393-6A53D8AFB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9399</Words>
  <Characters>53576</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2019-06-04T16:59:00Z</cp:lastPrinted>
  <dcterms:created xsi:type="dcterms:W3CDTF">2019-10-11T10:41:00Z</dcterms:created>
  <dcterms:modified xsi:type="dcterms:W3CDTF">2019-10-11T17:41:00Z</dcterms:modified>
</cp:coreProperties>
</file>