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96CD7D" w14:textId="399E5F12" w:rsidR="00D96DD3" w:rsidRPr="004C0BFE" w:rsidRDefault="00844D9B" w:rsidP="00325762">
      <w:pPr>
        <w:tabs>
          <w:tab w:val="center" w:pos="4320"/>
          <w:tab w:val="right" w:pos="9360"/>
        </w:tabs>
        <w:spacing w:line="240" w:lineRule="auto"/>
        <w:ind w:firstLine="0"/>
        <w:rPr>
          <w:b/>
        </w:rPr>
      </w:pPr>
      <w:bookmarkStart w:id="0" w:name="_GoBack"/>
      <w:bookmarkEnd w:id="0"/>
      <w:r w:rsidRPr="004C0BFE">
        <w:t>ALJ</w:t>
      </w:r>
      <w:r w:rsidR="00DA7B5D" w:rsidRPr="004C0BFE">
        <w:t>/</w:t>
      </w:r>
      <w:r w:rsidRPr="004C0BFE">
        <w:t>NIL</w:t>
      </w:r>
      <w:r w:rsidR="00DA7B5D" w:rsidRPr="004C0BFE">
        <w:t>/</w:t>
      </w:r>
      <w:r w:rsidRPr="004C0BFE">
        <w:t>mph</w:t>
      </w:r>
      <w:r w:rsidR="007E0FEE" w:rsidRPr="004C0BFE">
        <w:tab/>
      </w:r>
      <w:r w:rsidR="00325762">
        <w:tab/>
      </w:r>
      <w:r w:rsidR="00325762" w:rsidRPr="00325762">
        <w:rPr>
          <w:b/>
          <w:bCs/>
        </w:rPr>
        <w:t>Date of Issuance 10/17/2019</w:t>
      </w:r>
    </w:p>
    <w:p w14:paraId="25C0E8C3" w14:textId="77777777" w:rsidR="00DA7B5D" w:rsidRPr="004C0BFE" w:rsidRDefault="00DA7B5D" w:rsidP="008F0116">
      <w:pPr>
        <w:ind w:firstLine="0"/>
      </w:pPr>
    </w:p>
    <w:p w14:paraId="74AE489E" w14:textId="5A88F4D4" w:rsidR="00DA7B5D" w:rsidRPr="004C0BFE" w:rsidRDefault="00DA7B5D" w:rsidP="0098655A">
      <w:pPr>
        <w:ind w:left="1080" w:hanging="1080"/>
      </w:pPr>
      <w:r w:rsidRPr="004C0BFE">
        <w:t xml:space="preserve">Decision </w:t>
      </w:r>
      <w:r w:rsidR="00325762">
        <w:t>19-10-001  October 10, 2019</w:t>
      </w:r>
    </w:p>
    <w:p w14:paraId="5D24D60D" w14:textId="77777777" w:rsidR="00DA7B5D" w:rsidRPr="004C0BFE" w:rsidRDefault="00DA7B5D" w:rsidP="00BB0243">
      <w:pPr>
        <w:spacing w:line="240" w:lineRule="auto"/>
        <w:jc w:val="center"/>
        <w:rPr>
          <w:u w:val="single"/>
        </w:rPr>
      </w:pPr>
    </w:p>
    <w:p w14:paraId="693485EA" w14:textId="77777777" w:rsidR="00DA7B5D" w:rsidRDefault="00DA7B5D" w:rsidP="00BB0243">
      <w:pPr>
        <w:spacing w:line="240" w:lineRule="auto"/>
        <w:ind w:firstLine="0"/>
        <w:jc w:val="center"/>
        <w:rPr>
          <w:rFonts w:ascii="Arial" w:hAnsi="Arial" w:cs="Arial"/>
          <w:sz w:val="24"/>
          <w:szCs w:val="24"/>
        </w:rPr>
      </w:pPr>
      <w:r w:rsidRPr="00DA7B5D">
        <w:rPr>
          <w:rFonts w:ascii="Arial" w:hAnsi="Arial" w:cs="Arial"/>
          <w:b/>
          <w:sz w:val="24"/>
          <w:szCs w:val="24"/>
        </w:rPr>
        <w:t>BEFORE THE PUBLIC UTILITIES COMMISSION OF THE STATE OF CALIFORNIA</w:t>
      </w:r>
    </w:p>
    <w:p w14:paraId="1F025001" w14:textId="77777777" w:rsidR="00DA7B5D" w:rsidRDefault="00DA7B5D" w:rsidP="008F0116">
      <w:pPr>
        <w:spacing w:line="240" w:lineRule="auto"/>
        <w:ind w:firstLine="0"/>
        <w:rPr>
          <w:rFonts w:ascii="Arial" w:hAnsi="Arial" w:cs="Arial"/>
          <w:sz w:val="24"/>
          <w:szCs w:val="24"/>
        </w:rPr>
      </w:pPr>
    </w:p>
    <w:tbl>
      <w:tblPr>
        <w:tblStyle w:val="TableGrid"/>
        <w:tblW w:w="0" w:type="auto"/>
        <w:tblLook w:val="04A0" w:firstRow="1" w:lastRow="0" w:firstColumn="1" w:lastColumn="0" w:noHBand="0" w:noVBand="1"/>
      </w:tblPr>
      <w:tblGrid>
        <w:gridCol w:w="4675"/>
        <w:gridCol w:w="4675"/>
      </w:tblGrid>
      <w:tr w:rsidR="00DA7B5D" w:rsidRPr="004C0BFE" w14:paraId="0DDDC81F" w14:textId="77777777" w:rsidTr="00DA7B5D">
        <w:tc>
          <w:tcPr>
            <w:tcW w:w="4675" w:type="dxa"/>
            <w:tcBorders>
              <w:top w:val="nil"/>
              <w:left w:val="nil"/>
              <w:bottom w:val="single" w:sz="4" w:space="0" w:color="auto"/>
              <w:right w:val="single" w:sz="4" w:space="0" w:color="auto"/>
            </w:tcBorders>
          </w:tcPr>
          <w:p w14:paraId="36C402B7" w14:textId="1A99C186" w:rsidR="00844D9B" w:rsidRPr="004C0BFE" w:rsidRDefault="00844D9B" w:rsidP="00844D9B">
            <w:pPr>
              <w:pStyle w:val="ALJBodyText"/>
              <w:spacing w:line="240" w:lineRule="auto"/>
              <w:ind w:firstLine="0"/>
            </w:pPr>
            <w:r w:rsidRPr="004C0BFE">
              <w:t>Order Instituting Rulemaking to Review, Revise, and Consider Alternatives to the Power Charge Indifference Adjustment</w:t>
            </w:r>
            <w:r w:rsidR="0065470C">
              <w:t>.</w:t>
            </w:r>
          </w:p>
          <w:p w14:paraId="18A903D8" w14:textId="77777777" w:rsidR="00DA7B5D" w:rsidRPr="00DA7B5D" w:rsidRDefault="00DA7B5D" w:rsidP="00C10B5F">
            <w:pPr>
              <w:spacing w:line="240" w:lineRule="auto"/>
              <w:ind w:firstLine="0"/>
              <w:rPr>
                <w:rFonts w:cs="Arial"/>
                <w:szCs w:val="26"/>
              </w:rPr>
            </w:pPr>
          </w:p>
        </w:tc>
        <w:tc>
          <w:tcPr>
            <w:tcW w:w="4675" w:type="dxa"/>
            <w:tcBorders>
              <w:top w:val="nil"/>
              <w:left w:val="single" w:sz="4" w:space="0" w:color="auto"/>
              <w:bottom w:val="nil"/>
              <w:right w:val="nil"/>
            </w:tcBorders>
            <w:vAlign w:val="center"/>
          </w:tcPr>
          <w:p w14:paraId="27053562" w14:textId="77777777" w:rsidR="00DA7B5D" w:rsidRPr="004C0BFE" w:rsidRDefault="00844D9B" w:rsidP="00412C83">
            <w:pPr>
              <w:spacing w:line="240" w:lineRule="auto"/>
              <w:ind w:firstLine="0"/>
              <w:jc w:val="center"/>
              <w:rPr>
                <w:rFonts w:cs="Arial"/>
                <w:szCs w:val="26"/>
              </w:rPr>
            </w:pPr>
            <w:r w:rsidRPr="004C0BFE">
              <w:t>Rulemaking 17-06-026</w:t>
            </w:r>
          </w:p>
        </w:tc>
      </w:tr>
    </w:tbl>
    <w:p w14:paraId="105306BC" w14:textId="77777777" w:rsidR="00DA7B5D" w:rsidRDefault="00DA7B5D" w:rsidP="008F0116">
      <w:pPr>
        <w:spacing w:line="240" w:lineRule="auto"/>
        <w:ind w:firstLine="0"/>
        <w:rPr>
          <w:rFonts w:ascii="Arial" w:hAnsi="Arial" w:cs="Arial"/>
          <w:sz w:val="24"/>
          <w:szCs w:val="24"/>
        </w:rPr>
      </w:pPr>
    </w:p>
    <w:p w14:paraId="5C3619FC" w14:textId="77777777" w:rsidR="00DA7B5D" w:rsidRDefault="00DA7B5D" w:rsidP="008F0116">
      <w:pPr>
        <w:spacing w:line="240" w:lineRule="auto"/>
        <w:ind w:firstLine="0"/>
        <w:rPr>
          <w:rFonts w:ascii="Arial" w:hAnsi="Arial" w:cs="Arial"/>
          <w:sz w:val="24"/>
          <w:szCs w:val="24"/>
        </w:rPr>
      </w:pPr>
    </w:p>
    <w:p w14:paraId="228FC186" w14:textId="1A5A940D" w:rsidR="00844D9B" w:rsidRDefault="00844D9B" w:rsidP="00844D9B">
      <w:pPr>
        <w:pStyle w:val="ALJTitle"/>
      </w:pPr>
      <w:bookmarkStart w:id="1" w:name="_Toc17368153"/>
      <w:bookmarkStart w:id="2" w:name="_Hlk14958693"/>
      <w:r>
        <w:t>DECISION REFINING THE METHOD TO DEVELOP AND TRUE UP MARKET PRICE BENCHMARK</w:t>
      </w:r>
      <w:r w:rsidR="00FE40D6">
        <w:t>S</w:t>
      </w:r>
      <w:bookmarkEnd w:id="1"/>
    </w:p>
    <w:bookmarkEnd w:id="2"/>
    <w:p w14:paraId="7FFFF782" w14:textId="77777777" w:rsidR="00F92385" w:rsidRPr="00F92385" w:rsidRDefault="00F92385" w:rsidP="00B3087D">
      <w:pPr>
        <w:pStyle w:val="Dummy"/>
        <w:jc w:val="center"/>
        <w:sectPr w:rsidR="00F92385" w:rsidRPr="00F92385" w:rsidSect="003239F1">
          <w:footerReference w:type="first" r:id="rId12"/>
          <w:pgSz w:w="12240" w:h="15840"/>
          <w:pgMar w:top="1440" w:right="1440" w:bottom="1440" w:left="1440" w:header="720" w:footer="720" w:gutter="0"/>
          <w:pgNumType w:start="1"/>
          <w:cols w:space="720"/>
          <w:titlePg/>
          <w:docGrid w:linePitch="360"/>
        </w:sectPr>
      </w:pPr>
    </w:p>
    <w:p w14:paraId="19C74185" w14:textId="77777777" w:rsidR="00D50119" w:rsidRPr="004C0BFE" w:rsidRDefault="00D50119" w:rsidP="00F76650">
      <w:pPr>
        <w:pStyle w:val="Main"/>
        <w:rPr>
          <w:rFonts w:ascii="Book Antiqua" w:hAnsi="Book Antiqua"/>
        </w:rPr>
      </w:pPr>
      <w:r w:rsidRPr="004C0BFE">
        <w:rPr>
          <w:rFonts w:ascii="Book Antiqua" w:hAnsi="Book Antiqua"/>
        </w:rPr>
        <w:lastRenderedPageBreak/>
        <w:t>TABLE OF CONTENTS</w:t>
      </w:r>
    </w:p>
    <w:p w14:paraId="0C295892" w14:textId="77777777" w:rsidR="00D50119" w:rsidRPr="004C0BFE" w:rsidRDefault="00D50119" w:rsidP="007E0FEE">
      <w:pPr>
        <w:tabs>
          <w:tab w:val="right" w:pos="9360"/>
        </w:tabs>
        <w:ind w:firstLine="0"/>
      </w:pPr>
      <w:r w:rsidRPr="004C0BFE">
        <w:rPr>
          <w:b/>
        </w:rPr>
        <w:t>Title</w:t>
      </w:r>
      <w:r w:rsidRPr="004C0BFE">
        <w:tab/>
      </w:r>
      <w:r w:rsidRPr="004C0BFE">
        <w:rPr>
          <w:b/>
        </w:rPr>
        <w:t>Page</w:t>
      </w:r>
    </w:p>
    <w:sdt>
      <w:sdtPr>
        <w:id w:val="-1224440197"/>
        <w:docPartObj>
          <w:docPartGallery w:val="Table of Contents"/>
          <w:docPartUnique/>
        </w:docPartObj>
      </w:sdtPr>
      <w:sdtEndPr>
        <w:rPr>
          <w:b/>
          <w:bCs/>
          <w:noProof/>
        </w:rPr>
      </w:sdtEndPr>
      <w:sdtContent>
        <w:p w14:paraId="476B2A05" w14:textId="355CF678" w:rsidR="00FE40D6" w:rsidRPr="004C0BFE" w:rsidRDefault="007251FC" w:rsidP="002A5E23">
          <w:pPr>
            <w:pStyle w:val="TOC1"/>
            <w:tabs>
              <w:tab w:val="right" w:leader="dot" w:pos="9350"/>
            </w:tabs>
            <w:ind w:left="0" w:firstLine="0"/>
            <w:rPr>
              <w:rFonts w:cstheme="minorBidi"/>
              <w:noProof/>
              <w:sz w:val="22"/>
            </w:rPr>
          </w:pPr>
          <w:r w:rsidRPr="004C0BFE">
            <w:rPr>
              <w:sz w:val="22"/>
            </w:rPr>
            <w:fldChar w:fldCharType="begin"/>
          </w:r>
          <w:r w:rsidRPr="004C0BFE">
            <w:rPr>
              <w:sz w:val="22"/>
            </w:rPr>
            <w:instrText xml:space="preserve"> TOC \h \z \t "Title,1,Dummy,1,Mainex,1,ALJ Title,1,ALJ Heading 1,1,ALJ Heading 2,2,ALJ Heading 3,3,ALJ Heading 4,4" </w:instrText>
          </w:r>
          <w:r w:rsidRPr="004C0BFE">
            <w:rPr>
              <w:sz w:val="22"/>
            </w:rPr>
            <w:fldChar w:fldCharType="separate"/>
          </w:r>
          <w:hyperlink w:anchor="_Toc17368153" w:history="1">
            <w:r w:rsidR="00FE40D6" w:rsidRPr="004C0BFE">
              <w:rPr>
                <w:rStyle w:val="Hyperlink"/>
                <w:noProof/>
              </w:rPr>
              <w:t>DECISION REFINING THE METHOD TO DEVELOP AND TRUE UP MARKET PRICE BENCHMARKS</w:t>
            </w:r>
            <w:r w:rsidR="00FE40D6" w:rsidRPr="004C0BFE">
              <w:rPr>
                <w:noProof/>
                <w:webHidden/>
              </w:rPr>
              <w:tab/>
            </w:r>
            <w:r w:rsidR="00FE40D6" w:rsidRPr="004C0BFE">
              <w:rPr>
                <w:noProof/>
                <w:webHidden/>
              </w:rPr>
              <w:fldChar w:fldCharType="begin"/>
            </w:r>
            <w:r w:rsidR="00FE40D6" w:rsidRPr="004C0BFE">
              <w:rPr>
                <w:noProof/>
                <w:webHidden/>
              </w:rPr>
              <w:instrText xml:space="preserve"> PAGEREF _Toc17368153 \h </w:instrText>
            </w:r>
            <w:r w:rsidR="00FE40D6" w:rsidRPr="004C0BFE">
              <w:rPr>
                <w:noProof/>
                <w:webHidden/>
              </w:rPr>
            </w:r>
            <w:r w:rsidR="00FE40D6" w:rsidRPr="004C0BFE">
              <w:rPr>
                <w:noProof/>
                <w:webHidden/>
              </w:rPr>
              <w:fldChar w:fldCharType="separate"/>
            </w:r>
            <w:r w:rsidR="00EB164C">
              <w:rPr>
                <w:noProof/>
                <w:webHidden/>
              </w:rPr>
              <w:t>1</w:t>
            </w:r>
            <w:r w:rsidR="00FE40D6" w:rsidRPr="004C0BFE">
              <w:rPr>
                <w:noProof/>
                <w:webHidden/>
              </w:rPr>
              <w:fldChar w:fldCharType="end"/>
            </w:r>
          </w:hyperlink>
        </w:p>
        <w:p w14:paraId="7537EBB0" w14:textId="04412EFE" w:rsidR="00FE40D6" w:rsidRPr="004C0BFE" w:rsidRDefault="00EB164C">
          <w:pPr>
            <w:pStyle w:val="TOC1"/>
            <w:tabs>
              <w:tab w:val="right" w:leader="dot" w:pos="9350"/>
            </w:tabs>
            <w:rPr>
              <w:rFonts w:cstheme="minorBidi"/>
              <w:noProof/>
              <w:sz w:val="22"/>
            </w:rPr>
          </w:pPr>
          <w:hyperlink w:anchor="_Toc17368154" w:history="1">
            <w:r w:rsidR="00FE40D6" w:rsidRPr="004C0BFE">
              <w:rPr>
                <w:rStyle w:val="Hyperlink"/>
                <w:noProof/>
              </w:rPr>
              <w:t>Summary</w:t>
            </w:r>
            <w:r w:rsidR="00FE40D6" w:rsidRPr="004C0BFE">
              <w:rPr>
                <w:noProof/>
                <w:webHidden/>
              </w:rPr>
              <w:tab/>
            </w:r>
            <w:r w:rsidR="00FE40D6" w:rsidRPr="004C0BFE">
              <w:rPr>
                <w:noProof/>
                <w:webHidden/>
              </w:rPr>
              <w:fldChar w:fldCharType="begin"/>
            </w:r>
            <w:r w:rsidR="00FE40D6" w:rsidRPr="004C0BFE">
              <w:rPr>
                <w:noProof/>
                <w:webHidden/>
              </w:rPr>
              <w:instrText xml:space="preserve"> PAGEREF _Toc17368154 \h </w:instrText>
            </w:r>
            <w:r w:rsidR="00FE40D6" w:rsidRPr="004C0BFE">
              <w:rPr>
                <w:noProof/>
                <w:webHidden/>
              </w:rPr>
            </w:r>
            <w:r w:rsidR="00FE40D6" w:rsidRPr="004C0BFE">
              <w:rPr>
                <w:noProof/>
                <w:webHidden/>
              </w:rPr>
              <w:fldChar w:fldCharType="separate"/>
            </w:r>
            <w:r>
              <w:rPr>
                <w:noProof/>
                <w:webHidden/>
              </w:rPr>
              <w:t>2</w:t>
            </w:r>
            <w:r w:rsidR="00FE40D6" w:rsidRPr="004C0BFE">
              <w:rPr>
                <w:noProof/>
                <w:webHidden/>
              </w:rPr>
              <w:fldChar w:fldCharType="end"/>
            </w:r>
          </w:hyperlink>
        </w:p>
        <w:p w14:paraId="7D59B206" w14:textId="4B87A541" w:rsidR="00FE40D6" w:rsidRPr="004C0BFE" w:rsidRDefault="00EB164C">
          <w:pPr>
            <w:pStyle w:val="TOC1"/>
            <w:tabs>
              <w:tab w:val="right" w:leader="dot" w:pos="9350"/>
            </w:tabs>
            <w:rPr>
              <w:rFonts w:cstheme="minorBidi"/>
              <w:noProof/>
              <w:sz w:val="22"/>
            </w:rPr>
          </w:pPr>
          <w:hyperlink w:anchor="_Toc17368155" w:history="1">
            <w:r w:rsidR="00FE40D6" w:rsidRPr="004C0BFE">
              <w:rPr>
                <w:rStyle w:val="Hyperlink"/>
                <w:noProof/>
              </w:rPr>
              <w:t>1.</w:t>
            </w:r>
            <w:r w:rsidR="00FE40D6" w:rsidRPr="004C0BFE">
              <w:rPr>
                <w:rFonts w:cstheme="minorBidi"/>
                <w:noProof/>
                <w:sz w:val="22"/>
              </w:rPr>
              <w:tab/>
            </w:r>
            <w:r w:rsidR="00FE40D6" w:rsidRPr="004C0BFE">
              <w:rPr>
                <w:rStyle w:val="Hyperlink"/>
                <w:noProof/>
              </w:rPr>
              <w:t>Procedural Background</w:t>
            </w:r>
            <w:r w:rsidR="00FE40D6" w:rsidRPr="004C0BFE">
              <w:rPr>
                <w:noProof/>
                <w:webHidden/>
              </w:rPr>
              <w:tab/>
            </w:r>
            <w:r w:rsidR="00FE40D6" w:rsidRPr="004C0BFE">
              <w:rPr>
                <w:noProof/>
                <w:webHidden/>
              </w:rPr>
              <w:fldChar w:fldCharType="begin"/>
            </w:r>
            <w:r w:rsidR="00FE40D6" w:rsidRPr="004C0BFE">
              <w:rPr>
                <w:noProof/>
                <w:webHidden/>
              </w:rPr>
              <w:instrText xml:space="preserve"> PAGEREF _Toc17368155 \h </w:instrText>
            </w:r>
            <w:r w:rsidR="00FE40D6" w:rsidRPr="004C0BFE">
              <w:rPr>
                <w:noProof/>
                <w:webHidden/>
              </w:rPr>
            </w:r>
            <w:r w:rsidR="00FE40D6" w:rsidRPr="004C0BFE">
              <w:rPr>
                <w:noProof/>
                <w:webHidden/>
              </w:rPr>
              <w:fldChar w:fldCharType="separate"/>
            </w:r>
            <w:r>
              <w:rPr>
                <w:noProof/>
                <w:webHidden/>
              </w:rPr>
              <w:t>2</w:t>
            </w:r>
            <w:r w:rsidR="00FE40D6" w:rsidRPr="004C0BFE">
              <w:rPr>
                <w:noProof/>
                <w:webHidden/>
              </w:rPr>
              <w:fldChar w:fldCharType="end"/>
            </w:r>
          </w:hyperlink>
        </w:p>
        <w:p w14:paraId="750F9061" w14:textId="57D5756B" w:rsidR="00FE40D6" w:rsidRPr="004C0BFE" w:rsidRDefault="00EB164C">
          <w:pPr>
            <w:pStyle w:val="TOC1"/>
            <w:tabs>
              <w:tab w:val="right" w:leader="dot" w:pos="9350"/>
            </w:tabs>
            <w:rPr>
              <w:rFonts w:cstheme="minorBidi"/>
              <w:noProof/>
              <w:sz w:val="22"/>
            </w:rPr>
          </w:pPr>
          <w:hyperlink w:anchor="_Toc17368156" w:history="1">
            <w:r w:rsidR="00FE40D6" w:rsidRPr="004C0BFE">
              <w:rPr>
                <w:rStyle w:val="Hyperlink"/>
                <w:noProof/>
              </w:rPr>
              <w:t>2.</w:t>
            </w:r>
            <w:r w:rsidR="00FE40D6" w:rsidRPr="004C0BFE">
              <w:rPr>
                <w:rFonts w:cstheme="minorBidi"/>
                <w:noProof/>
                <w:sz w:val="22"/>
              </w:rPr>
              <w:tab/>
            </w:r>
            <w:r w:rsidR="00FE40D6" w:rsidRPr="004C0BFE">
              <w:rPr>
                <w:rStyle w:val="Hyperlink"/>
                <w:noProof/>
              </w:rPr>
              <w:t>Plan of this Decision</w:t>
            </w:r>
            <w:r w:rsidR="00FE40D6" w:rsidRPr="004C0BFE">
              <w:rPr>
                <w:noProof/>
                <w:webHidden/>
              </w:rPr>
              <w:tab/>
            </w:r>
            <w:r w:rsidR="00FE40D6" w:rsidRPr="004C0BFE">
              <w:rPr>
                <w:noProof/>
                <w:webHidden/>
              </w:rPr>
              <w:fldChar w:fldCharType="begin"/>
            </w:r>
            <w:r w:rsidR="00FE40D6" w:rsidRPr="004C0BFE">
              <w:rPr>
                <w:noProof/>
                <w:webHidden/>
              </w:rPr>
              <w:instrText xml:space="preserve"> PAGEREF _Toc17368156 \h </w:instrText>
            </w:r>
            <w:r w:rsidR="00FE40D6" w:rsidRPr="004C0BFE">
              <w:rPr>
                <w:noProof/>
                <w:webHidden/>
              </w:rPr>
            </w:r>
            <w:r w:rsidR="00FE40D6" w:rsidRPr="004C0BFE">
              <w:rPr>
                <w:noProof/>
                <w:webHidden/>
              </w:rPr>
              <w:fldChar w:fldCharType="separate"/>
            </w:r>
            <w:r>
              <w:rPr>
                <w:noProof/>
                <w:webHidden/>
              </w:rPr>
              <w:t>5</w:t>
            </w:r>
            <w:r w:rsidR="00FE40D6" w:rsidRPr="004C0BFE">
              <w:rPr>
                <w:noProof/>
                <w:webHidden/>
              </w:rPr>
              <w:fldChar w:fldCharType="end"/>
            </w:r>
          </w:hyperlink>
        </w:p>
        <w:p w14:paraId="7122D158" w14:textId="18A77DB9" w:rsidR="00FE40D6" w:rsidRPr="004C0BFE" w:rsidRDefault="00EB164C">
          <w:pPr>
            <w:pStyle w:val="TOC1"/>
            <w:tabs>
              <w:tab w:val="right" w:leader="dot" w:pos="9350"/>
            </w:tabs>
            <w:rPr>
              <w:rFonts w:cstheme="minorBidi"/>
              <w:noProof/>
              <w:sz w:val="22"/>
            </w:rPr>
          </w:pPr>
          <w:hyperlink w:anchor="_Toc17368157" w:history="1">
            <w:r w:rsidR="00FE40D6" w:rsidRPr="004C0BFE">
              <w:rPr>
                <w:rStyle w:val="Hyperlink"/>
                <w:noProof/>
              </w:rPr>
              <w:t>3.</w:t>
            </w:r>
            <w:r w:rsidR="00FE40D6" w:rsidRPr="004C0BFE">
              <w:rPr>
                <w:rFonts w:cstheme="minorBidi"/>
                <w:noProof/>
                <w:sz w:val="22"/>
              </w:rPr>
              <w:tab/>
            </w:r>
            <w:r w:rsidR="00FE40D6" w:rsidRPr="004C0BFE">
              <w:rPr>
                <w:rStyle w:val="Hyperlink"/>
                <w:noProof/>
              </w:rPr>
              <w:t>Issues Before the Commission</w:t>
            </w:r>
            <w:r w:rsidR="00FE40D6" w:rsidRPr="004C0BFE">
              <w:rPr>
                <w:noProof/>
                <w:webHidden/>
              </w:rPr>
              <w:tab/>
            </w:r>
            <w:r w:rsidR="00FE40D6" w:rsidRPr="004C0BFE">
              <w:rPr>
                <w:noProof/>
                <w:webHidden/>
              </w:rPr>
              <w:fldChar w:fldCharType="begin"/>
            </w:r>
            <w:r w:rsidR="00FE40D6" w:rsidRPr="004C0BFE">
              <w:rPr>
                <w:noProof/>
                <w:webHidden/>
              </w:rPr>
              <w:instrText xml:space="preserve"> PAGEREF _Toc17368157 \h </w:instrText>
            </w:r>
            <w:r w:rsidR="00FE40D6" w:rsidRPr="004C0BFE">
              <w:rPr>
                <w:noProof/>
                <w:webHidden/>
              </w:rPr>
            </w:r>
            <w:r w:rsidR="00FE40D6" w:rsidRPr="004C0BFE">
              <w:rPr>
                <w:noProof/>
                <w:webHidden/>
              </w:rPr>
              <w:fldChar w:fldCharType="separate"/>
            </w:r>
            <w:r>
              <w:rPr>
                <w:noProof/>
                <w:webHidden/>
              </w:rPr>
              <w:t>7</w:t>
            </w:r>
            <w:r w:rsidR="00FE40D6" w:rsidRPr="004C0BFE">
              <w:rPr>
                <w:noProof/>
                <w:webHidden/>
              </w:rPr>
              <w:fldChar w:fldCharType="end"/>
            </w:r>
          </w:hyperlink>
        </w:p>
        <w:p w14:paraId="5FC623C3" w14:textId="3D8EB8EC" w:rsidR="00FE40D6" w:rsidRPr="004C0BFE" w:rsidRDefault="00EB164C">
          <w:pPr>
            <w:pStyle w:val="TOC1"/>
            <w:tabs>
              <w:tab w:val="right" w:leader="dot" w:pos="9350"/>
            </w:tabs>
            <w:rPr>
              <w:rFonts w:cstheme="minorBidi"/>
              <w:noProof/>
              <w:sz w:val="22"/>
            </w:rPr>
          </w:pPr>
          <w:hyperlink w:anchor="_Toc17368158" w:history="1">
            <w:r w:rsidR="00FE40D6" w:rsidRPr="004C0BFE">
              <w:rPr>
                <w:rStyle w:val="Hyperlink"/>
                <w:noProof/>
              </w:rPr>
              <w:t>4.</w:t>
            </w:r>
            <w:r w:rsidR="00FE40D6" w:rsidRPr="004C0BFE">
              <w:rPr>
                <w:rFonts w:cstheme="minorBidi"/>
                <w:noProof/>
                <w:sz w:val="22"/>
              </w:rPr>
              <w:tab/>
            </w:r>
            <w:r w:rsidR="00FE40D6" w:rsidRPr="004C0BFE">
              <w:rPr>
                <w:rStyle w:val="Hyperlink"/>
                <w:noProof/>
              </w:rPr>
              <w:t>Summary of Working Group One Proposal on Issues 1 through 7</w:t>
            </w:r>
            <w:r w:rsidR="00FE40D6" w:rsidRPr="004C0BFE">
              <w:rPr>
                <w:noProof/>
                <w:webHidden/>
              </w:rPr>
              <w:tab/>
            </w:r>
            <w:r w:rsidR="00FE40D6" w:rsidRPr="004C0BFE">
              <w:rPr>
                <w:noProof/>
                <w:webHidden/>
              </w:rPr>
              <w:fldChar w:fldCharType="begin"/>
            </w:r>
            <w:r w:rsidR="00FE40D6" w:rsidRPr="004C0BFE">
              <w:rPr>
                <w:noProof/>
                <w:webHidden/>
              </w:rPr>
              <w:instrText xml:space="preserve"> PAGEREF _Toc17368158 \h </w:instrText>
            </w:r>
            <w:r w:rsidR="00FE40D6" w:rsidRPr="004C0BFE">
              <w:rPr>
                <w:noProof/>
                <w:webHidden/>
              </w:rPr>
            </w:r>
            <w:r w:rsidR="00FE40D6" w:rsidRPr="004C0BFE">
              <w:rPr>
                <w:noProof/>
                <w:webHidden/>
              </w:rPr>
              <w:fldChar w:fldCharType="separate"/>
            </w:r>
            <w:r>
              <w:rPr>
                <w:noProof/>
                <w:webHidden/>
              </w:rPr>
              <w:t>8</w:t>
            </w:r>
            <w:r w:rsidR="00FE40D6" w:rsidRPr="004C0BFE">
              <w:rPr>
                <w:noProof/>
                <w:webHidden/>
              </w:rPr>
              <w:fldChar w:fldCharType="end"/>
            </w:r>
          </w:hyperlink>
        </w:p>
        <w:p w14:paraId="4F56E75A" w14:textId="1BEE6C26" w:rsidR="00FE40D6" w:rsidRPr="004C0BFE" w:rsidRDefault="00EB164C">
          <w:pPr>
            <w:pStyle w:val="TOC2"/>
            <w:tabs>
              <w:tab w:val="right" w:leader="dot" w:pos="9350"/>
            </w:tabs>
            <w:rPr>
              <w:rFonts w:cstheme="minorBidi"/>
              <w:noProof/>
              <w:sz w:val="22"/>
            </w:rPr>
          </w:pPr>
          <w:hyperlink w:anchor="_Toc17368159" w:history="1">
            <w:r w:rsidR="00FE40D6" w:rsidRPr="004C0BFE">
              <w:rPr>
                <w:rStyle w:val="Hyperlink"/>
                <w:noProof/>
              </w:rPr>
              <w:t>4.1.</w:t>
            </w:r>
            <w:r w:rsidR="00FE40D6" w:rsidRPr="004C0BFE">
              <w:rPr>
                <w:rFonts w:cstheme="minorBidi"/>
                <w:noProof/>
                <w:sz w:val="22"/>
              </w:rPr>
              <w:tab/>
            </w:r>
            <w:r w:rsidR="00FE40D6" w:rsidRPr="004C0BFE">
              <w:rPr>
                <w:rStyle w:val="Hyperlink"/>
                <w:noProof/>
              </w:rPr>
              <w:t>PCIA Calculation Revised by D.18-10-019</w:t>
            </w:r>
            <w:r w:rsidR="00FE40D6" w:rsidRPr="004C0BFE">
              <w:rPr>
                <w:noProof/>
                <w:webHidden/>
              </w:rPr>
              <w:tab/>
            </w:r>
            <w:r w:rsidR="00FE40D6" w:rsidRPr="004C0BFE">
              <w:rPr>
                <w:noProof/>
                <w:webHidden/>
              </w:rPr>
              <w:fldChar w:fldCharType="begin"/>
            </w:r>
            <w:r w:rsidR="00FE40D6" w:rsidRPr="004C0BFE">
              <w:rPr>
                <w:noProof/>
                <w:webHidden/>
              </w:rPr>
              <w:instrText xml:space="preserve"> PAGEREF _Toc17368159 \h </w:instrText>
            </w:r>
            <w:r w:rsidR="00FE40D6" w:rsidRPr="004C0BFE">
              <w:rPr>
                <w:noProof/>
                <w:webHidden/>
              </w:rPr>
            </w:r>
            <w:r w:rsidR="00FE40D6" w:rsidRPr="004C0BFE">
              <w:rPr>
                <w:noProof/>
                <w:webHidden/>
              </w:rPr>
              <w:fldChar w:fldCharType="separate"/>
            </w:r>
            <w:r>
              <w:rPr>
                <w:noProof/>
                <w:webHidden/>
              </w:rPr>
              <w:t>9</w:t>
            </w:r>
            <w:r w:rsidR="00FE40D6" w:rsidRPr="004C0BFE">
              <w:rPr>
                <w:noProof/>
                <w:webHidden/>
              </w:rPr>
              <w:fldChar w:fldCharType="end"/>
            </w:r>
          </w:hyperlink>
        </w:p>
        <w:p w14:paraId="53F636AB" w14:textId="3750AF30" w:rsidR="00FE40D6" w:rsidRPr="004C0BFE" w:rsidRDefault="00EB164C">
          <w:pPr>
            <w:pStyle w:val="TOC2"/>
            <w:tabs>
              <w:tab w:val="right" w:leader="dot" w:pos="9350"/>
            </w:tabs>
            <w:rPr>
              <w:rFonts w:cstheme="minorBidi"/>
              <w:noProof/>
              <w:sz w:val="22"/>
            </w:rPr>
          </w:pPr>
          <w:hyperlink w:anchor="_Toc17368160" w:history="1">
            <w:r w:rsidR="00FE40D6" w:rsidRPr="004C0BFE">
              <w:rPr>
                <w:rStyle w:val="Hyperlink"/>
                <w:noProof/>
              </w:rPr>
              <w:t>4.2.</w:t>
            </w:r>
            <w:r w:rsidR="00FE40D6" w:rsidRPr="004C0BFE">
              <w:rPr>
                <w:rFonts w:cstheme="minorBidi"/>
                <w:noProof/>
                <w:sz w:val="22"/>
              </w:rPr>
              <w:tab/>
            </w:r>
            <w:r w:rsidR="00FE40D6" w:rsidRPr="004C0BFE">
              <w:rPr>
                <w:rStyle w:val="Hyperlink"/>
                <w:noProof/>
              </w:rPr>
              <w:t>Working Group One Proposal</w:t>
            </w:r>
            <w:r w:rsidR="00FE40D6" w:rsidRPr="004C0BFE">
              <w:rPr>
                <w:noProof/>
                <w:webHidden/>
              </w:rPr>
              <w:tab/>
            </w:r>
            <w:r w:rsidR="00FE40D6" w:rsidRPr="004C0BFE">
              <w:rPr>
                <w:noProof/>
                <w:webHidden/>
              </w:rPr>
              <w:fldChar w:fldCharType="begin"/>
            </w:r>
            <w:r w:rsidR="00FE40D6" w:rsidRPr="004C0BFE">
              <w:rPr>
                <w:noProof/>
                <w:webHidden/>
              </w:rPr>
              <w:instrText xml:space="preserve"> PAGEREF _Toc17368160 \h </w:instrText>
            </w:r>
            <w:r w:rsidR="00FE40D6" w:rsidRPr="004C0BFE">
              <w:rPr>
                <w:noProof/>
                <w:webHidden/>
              </w:rPr>
            </w:r>
            <w:r w:rsidR="00FE40D6" w:rsidRPr="004C0BFE">
              <w:rPr>
                <w:noProof/>
                <w:webHidden/>
              </w:rPr>
              <w:fldChar w:fldCharType="separate"/>
            </w:r>
            <w:r>
              <w:rPr>
                <w:noProof/>
                <w:webHidden/>
              </w:rPr>
              <w:t>10</w:t>
            </w:r>
            <w:r w:rsidR="00FE40D6" w:rsidRPr="004C0BFE">
              <w:rPr>
                <w:noProof/>
                <w:webHidden/>
              </w:rPr>
              <w:fldChar w:fldCharType="end"/>
            </w:r>
          </w:hyperlink>
        </w:p>
        <w:p w14:paraId="279C2932" w14:textId="7818834B" w:rsidR="00FE40D6" w:rsidRPr="004C0BFE" w:rsidRDefault="00EB164C">
          <w:pPr>
            <w:pStyle w:val="TOC1"/>
            <w:tabs>
              <w:tab w:val="right" w:leader="dot" w:pos="9350"/>
            </w:tabs>
            <w:rPr>
              <w:rFonts w:cstheme="minorBidi"/>
              <w:noProof/>
              <w:sz w:val="22"/>
            </w:rPr>
          </w:pPr>
          <w:hyperlink w:anchor="_Toc17368161" w:history="1">
            <w:r w:rsidR="00FE40D6" w:rsidRPr="004C0BFE">
              <w:rPr>
                <w:rStyle w:val="Hyperlink"/>
                <w:noProof/>
              </w:rPr>
              <w:t>5.</w:t>
            </w:r>
            <w:r w:rsidR="00FE40D6" w:rsidRPr="004C0BFE">
              <w:rPr>
                <w:rFonts w:cstheme="minorBidi"/>
                <w:noProof/>
                <w:sz w:val="22"/>
              </w:rPr>
              <w:tab/>
            </w:r>
            <w:r w:rsidR="00FE40D6" w:rsidRPr="004C0BFE">
              <w:rPr>
                <w:rStyle w:val="Hyperlink"/>
                <w:noProof/>
              </w:rPr>
              <w:t>Discussion and Analysis</w:t>
            </w:r>
            <w:r w:rsidR="00FE40D6" w:rsidRPr="004C0BFE">
              <w:rPr>
                <w:noProof/>
                <w:webHidden/>
              </w:rPr>
              <w:tab/>
            </w:r>
            <w:r w:rsidR="00FE40D6" w:rsidRPr="004C0BFE">
              <w:rPr>
                <w:noProof/>
                <w:webHidden/>
              </w:rPr>
              <w:fldChar w:fldCharType="begin"/>
            </w:r>
            <w:r w:rsidR="00FE40D6" w:rsidRPr="004C0BFE">
              <w:rPr>
                <w:noProof/>
                <w:webHidden/>
              </w:rPr>
              <w:instrText xml:space="preserve"> PAGEREF _Toc17368161 \h </w:instrText>
            </w:r>
            <w:r w:rsidR="00FE40D6" w:rsidRPr="004C0BFE">
              <w:rPr>
                <w:noProof/>
                <w:webHidden/>
              </w:rPr>
            </w:r>
            <w:r w:rsidR="00FE40D6" w:rsidRPr="004C0BFE">
              <w:rPr>
                <w:noProof/>
                <w:webHidden/>
              </w:rPr>
              <w:fldChar w:fldCharType="separate"/>
            </w:r>
            <w:r>
              <w:rPr>
                <w:noProof/>
                <w:webHidden/>
              </w:rPr>
              <w:t>11</w:t>
            </w:r>
            <w:r w:rsidR="00FE40D6" w:rsidRPr="004C0BFE">
              <w:rPr>
                <w:noProof/>
                <w:webHidden/>
              </w:rPr>
              <w:fldChar w:fldCharType="end"/>
            </w:r>
          </w:hyperlink>
        </w:p>
        <w:p w14:paraId="2CE52C4C" w14:textId="2D5D4C9C" w:rsidR="00FE40D6" w:rsidRPr="004C0BFE" w:rsidRDefault="00EB164C">
          <w:pPr>
            <w:pStyle w:val="TOC2"/>
            <w:tabs>
              <w:tab w:val="right" w:leader="dot" w:pos="9350"/>
            </w:tabs>
            <w:rPr>
              <w:rFonts w:cstheme="minorBidi"/>
              <w:noProof/>
              <w:sz w:val="22"/>
            </w:rPr>
          </w:pPr>
          <w:hyperlink w:anchor="_Toc17368162" w:history="1">
            <w:r w:rsidR="00FE40D6" w:rsidRPr="004C0BFE">
              <w:rPr>
                <w:rStyle w:val="Hyperlink"/>
                <w:noProof/>
              </w:rPr>
              <w:t>5.1.</w:t>
            </w:r>
            <w:r w:rsidR="00FE40D6" w:rsidRPr="004C0BFE">
              <w:rPr>
                <w:rFonts w:cstheme="minorBidi"/>
                <w:noProof/>
                <w:sz w:val="22"/>
              </w:rPr>
              <w:tab/>
            </w:r>
            <w:r w:rsidR="00FE40D6" w:rsidRPr="004C0BFE">
              <w:rPr>
                <w:rStyle w:val="Hyperlink"/>
                <w:noProof/>
              </w:rPr>
              <w:t>Developing Forecast Values for Adders (Scoping Memo Issue 4)</w:t>
            </w:r>
            <w:r w:rsidR="00FE40D6" w:rsidRPr="004C0BFE">
              <w:rPr>
                <w:noProof/>
                <w:webHidden/>
              </w:rPr>
              <w:tab/>
            </w:r>
            <w:r w:rsidR="00FE40D6" w:rsidRPr="004C0BFE">
              <w:rPr>
                <w:noProof/>
                <w:webHidden/>
              </w:rPr>
              <w:fldChar w:fldCharType="begin"/>
            </w:r>
            <w:r w:rsidR="00FE40D6" w:rsidRPr="004C0BFE">
              <w:rPr>
                <w:noProof/>
                <w:webHidden/>
              </w:rPr>
              <w:instrText xml:space="preserve"> PAGEREF _Toc17368162 \h </w:instrText>
            </w:r>
            <w:r w:rsidR="00FE40D6" w:rsidRPr="004C0BFE">
              <w:rPr>
                <w:noProof/>
                <w:webHidden/>
              </w:rPr>
            </w:r>
            <w:r w:rsidR="00FE40D6" w:rsidRPr="004C0BFE">
              <w:rPr>
                <w:noProof/>
                <w:webHidden/>
              </w:rPr>
              <w:fldChar w:fldCharType="separate"/>
            </w:r>
            <w:r>
              <w:rPr>
                <w:noProof/>
                <w:webHidden/>
              </w:rPr>
              <w:t>12</w:t>
            </w:r>
            <w:r w:rsidR="00FE40D6" w:rsidRPr="004C0BFE">
              <w:rPr>
                <w:noProof/>
                <w:webHidden/>
              </w:rPr>
              <w:fldChar w:fldCharType="end"/>
            </w:r>
          </w:hyperlink>
        </w:p>
        <w:p w14:paraId="6EE11DDF" w14:textId="0BC38B72" w:rsidR="00FE40D6" w:rsidRPr="004C0BFE" w:rsidRDefault="00EB164C">
          <w:pPr>
            <w:pStyle w:val="TOC3"/>
            <w:tabs>
              <w:tab w:val="left" w:pos="1296"/>
              <w:tab w:val="right" w:leader="dot" w:pos="9350"/>
            </w:tabs>
            <w:rPr>
              <w:rFonts w:cstheme="minorBidi"/>
              <w:noProof/>
              <w:sz w:val="22"/>
            </w:rPr>
          </w:pPr>
          <w:hyperlink w:anchor="_Toc17368163" w:history="1">
            <w:r w:rsidR="00FE40D6" w:rsidRPr="004C0BFE">
              <w:rPr>
                <w:rStyle w:val="Hyperlink"/>
                <w:noProof/>
              </w:rPr>
              <w:t>5.1.1.</w:t>
            </w:r>
            <w:r w:rsidR="00FE40D6" w:rsidRPr="004C0BFE">
              <w:rPr>
                <w:rFonts w:cstheme="minorBidi"/>
                <w:noProof/>
                <w:sz w:val="22"/>
              </w:rPr>
              <w:tab/>
            </w:r>
            <w:r w:rsidR="00FE40D6" w:rsidRPr="004C0BFE">
              <w:rPr>
                <w:rStyle w:val="Hyperlink"/>
                <w:noProof/>
              </w:rPr>
              <w:t>Scoping Memo Issue 4: Proposal</w:t>
            </w:r>
            <w:r w:rsidR="00FE40D6" w:rsidRPr="004C0BFE">
              <w:rPr>
                <w:noProof/>
                <w:webHidden/>
              </w:rPr>
              <w:tab/>
            </w:r>
            <w:r w:rsidR="00FE40D6" w:rsidRPr="004C0BFE">
              <w:rPr>
                <w:noProof/>
                <w:webHidden/>
              </w:rPr>
              <w:fldChar w:fldCharType="begin"/>
            </w:r>
            <w:r w:rsidR="00FE40D6" w:rsidRPr="004C0BFE">
              <w:rPr>
                <w:noProof/>
                <w:webHidden/>
              </w:rPr>
              <w:instrText xml:space="preserve"> PAGEREF _Toc17368163 \h </w:instrText>
            </w:r>
            <w:r w:rsidR="00FE40D6" w:rsidRPr="004C0BFE">
              <w:rPr>
                <w:noProof/>
                <w:webHidden/>
              </w:rPr>
            </w:r>
            <w:r w:rsidR="00FE40D6" w:rsidRPr="004C0BFE">
              <w:rPr>
                <w:noProof/>
                <w:webHidden/>
              </w:rPr>
              <w:fldChar w:fldCharType="separate"/>
            </w:r>
            <w:r>
              <w:rPr>
                <w:noProof/>
                <w:webHidden/>
              </w:rPr>
              <w:t>12</w:t>
            </w:r>
            <w:r w:rsidR="00FE40D6" w:rsidRPr="004C0BFE">
              <w:rPr>
                <w:noProof/>
                <w:webHidden/>
              </w:rPr>
              <w:fldChar w:fldCharType="end"/>
            </w:r>
          </w:hyperlink>
        </w:p>
        <w:p w14:paraId="4D43F20A" w14:textId="30BDBD28" w:rsidR="00FE40D6" w:rsidRPr="004C0BFE" w:rsidRDefault="00EB164C">
          <w:pPr>
            <w:pStyle w:val="TOC3"/>
            <w:tabs>
              <w:tab w:val="left" w:pos="1296"/>
              <w:tab w:val="right" w:leader="dot" w:pos="9350"/>
            </w:tabs>
            <w:rPr>
              <w:rFonts w:cstheme="minorBidi"/>
              <w:noProof/>
              <w:sz w:val="22"/>
            </w:rPr>
          </w:pPr>
          <w:hyperlink w:anchor="_Toc17368164" w:history="1">
            <w:r w:rsidR="00FE40D6" w:rsidRPr="004C0BFE">
              <w:rPr>
                <w:rStyle w:val="Hyperlink"/>
                <w:noProof/>
              </w:rPr>
              <w:t>5.1.2.</w:t>
            </w:r>
            <w:r w:rsidR="00FE40D6" w:rsidRPr="004C0BFE">
              <w:rPr>
                <w:rFonts w:cstheme="minorBidi"/>
                <w:noProof/>
                <w:sz w:val="22"/>
              </w:rPr>
              <w:tab/>
            </w:r>
            <w:r w:rsidR="00FE40D6" w:rsidRPr="004C0BFE">
              <w:rPr>
                <w:rStyle w:val="Hyperlink"/>
                <w:noProof/>
              </w:rPr>
              <w:t>Scoping Memo Issue 4: Party Comments</w:t>
            </w:r>
            <w:r w:rsidR="00FE40D6" w:rsidRPr="004C0BFE">
              <w:rPr>
                <w:noProof/>
                <w:webHidden/>
              </w:rPr>
              <w:tab/>
            </w:r>
            <w:r w:rsidR="00FE40D6" w:rsidRPr="004C0BFE">
              <w:rPr>
                <w:noProof/>
                <w:webHidden/>
              </w:rPr>
              <w:fldChar w:fldCharType="begin"/>
            </w:r>
            <w:r w:rsidR="00FE40D6" w:rsidRPr="004C0BFE">
              <w:rPr>
                <w:noProof/>
                <w:webHidden/>
              </w:rPr>
              <w:instrText xml:space="preserve"> PAGEREF _Toc17368164 \h </w:instrText>
            </w:r>
            <w:r w:rsidR="00FE40D6" w:rsidRPr="004C0BFE">
              <w:rPr>
                <w:noProof/>
                <w:webHidden/>
              </w:rPr>
            </w:r>
            <w:r w:rsidR="00FE40D6" w:rsidRPr="004C0BFE">
              <w:rPr>
                <w:noProof/>
                <w:webHidden/>
              </w:rPr>
              <w:fldChar w:fldCharType="separate"/>
            </w:r>
            <w:r>
              <w:rPr>
                <w:noProof/>
                <w:webHidden/>
              </w:rPr>
              <w:t>16</w:t>
            </w:r>
            <w:r w:rsidR="00FE40D6" w:rsidRPr="004C0BFE">
              <w:rPr>
                <w:noProof/>
                <w:webHidden/>
              </w:rPr>
              <w:fldChar w:fldCharType="end"/>
            </w:r>
          </w:hyperlink>
        </w:p>
        <w:p w14:paraId="42A9578E" w14:textId="160AD347" w:rsidR="00FE40D6" w:rsidRPr="004C0BFE" w:rsidRDefault="00EB164C">
          <w:pPr>
            <w:pStyle w:val="TOC3"/>
            <w:tabs>
              <w:tab w:val="left" w:pos="1296"/>
              <w:tab w:val="right" w:leader="dot" w:pos="9350"/>
            </w:tabs>
            <w:rPr>
              <w:rFonts w:cstheme="minorBidi"/>
              <w:noProof/>
              <w:sz w:val="22"/>
            </w:rPr>
          </w:pPr>
          <w:hyperlink w:anchor="_Toc17368165" w:history="1">
            <w:r w:rsidR="00FE40D6" w:rsidRPr="004C0BFE">
              <w:rPr>
                <w:rStyle w:val="Hyperlink"/>
                <w:noProof/>
              </w:rPr>
              <w:t>5.1.3.</w:t>
            </w:r>
            <w:r w:rsidR="00FE40D6" w:rsidRPr="004C0BFE">
              <w:rPr>
                <w:rFonts w:cstheme="minorBidi"/>
                <w:noProof/>
                <w:sz w:val="22"/>
              </w:rPr>
              <w:tab/>
            </w:r>
            <w:r w:rsidR="00FE40D6" w:rsidRPr="004C0BFE">
              <w:rPr>
                <w:rStyle w:val="Hyperlink"/>
                <w:noProof/>
              </w:rPr>
              <w:t>Resolution of Scoping Memo Issue 4</w:t>
            </w:r>
            <w:r w:rsidR="00FE40D6" w:rsidRPr="004C0BFE">
              <w:rPr>
                <w:noProof/>
                <w:webHidden/>
              </w:rPr>
              <w:tab/>
            </w:r>
            <w:r w:rsidR="00FE40D6" w:rsidRPr="004C0BFE">
              <w:rPr>
                <w:noProof/>
                <w:webHidden/>
              </w:rPr>
              <w:fldChar w:fldCharType="begin"/>
            </w:r>
            <w:r w:rsidR="00FE40D6" w:rsidRPr="004C0BFE">
              <w:rPr>
                <w:noProof/>
                <w:webHidden/>
              </w:rPr>
              <w:instrText xml:space="preserve"> PAGEREF _Toc17368165 \h </w:instrText>
            </w:r>
            <w:r w:rsidR="00FE40D6" w:rsidRPr="004C0BFE">
              <w:rPr>
                <w:noProof/>
                <w:webHidden/>
              </w:rPr>
            </w:r>
            <w:r w:rsidR="00FE40D6" w:rsidRPr="004C0BFE">
              <w:rPr>
                <w:noProof/>
                <w:webHidden/>
              </w:rPr>
              <w:fldChar w:fldCharType="separate"/>
            </w:r>
            <w:r>
              <w:rPr>
                <w:noProof/>
                <w:webHidden/>
              </w:rPr>
              <w:t>18</w:t>
            </w:r>
            <w:r w:rsidR="00FE40D6" w:rsidRPr="004C0BFE">
              <w:rPr>
                <w:noProof/>
                <w:webHidden/>
              </w:rPr>
              <w:fldChar w:fldCharType="end"/>
            </w:r>
          </w:hyperlink>
        </w:p>
        <w:p w14:paraId="7590A7F7" w14:textId="246BDB9A" w:rsidR="00FE40D6" w:rsidRPr="004C0BFE" w:rsidRDefault="00EB164C">
          <w:pPr>
            <w:pStyle w:val="TOC2"/>
            <w:tabs>
              <w:tab w:val="right" w:leader="dot" w:pos="9350"/>
            </w:tabs>
            <w:rPr>
              <w:rFonts w:cstheme="minorBidi"/>
              <w:noProof/>
              <w:sz w:val="22"/>
            </w:rPr>
          </w:pPr>
          <w:hyperlink w:anchor="_Toc17368166" w:history="1">
            <w:r w:rsidR="00FE40D6" w:rsidRPr="004C0BFE">
              <w:rPr>
                <w:rStyle w:val="Hyperlink"/>
                <w:noProof/>
              </w:rPr>
              <w:t>5.2.</w:t>
            </w:r>
            <w:r w:rsidR="00FE40D6" w:rsidRPr="004C0BFE">
              <w:rPr>
                <w:rFonts w:cstheme="minorBidi"/>
                <w:noProof/>
                <w:sz w:val="22"/>
              </w:rPr>
              <w:tab/>
            </w:r>
            <w:r w:rsidR="00FE40D6" w:rsidRPr="004C0BFE">
              <w:rPr>
                <w:rStyle w:val="Hyperlink"/>
                <w:noProof/>
              </w:rPr>
              <w:t>Transaction Reporting for Forecasting and Truing Up Adders (Scoping Memo Issues 5 and 2)</w:t>
            </w:r>
            <w:r w:rsidR="00FE40D6" w:rsidRPr="004C0BFE">
              <w:rPr>
                <w:noProof/>
                <w:webHidden/>
              </w:rPr>
              <w:tab/>
            </w:r>
            <w:r w:rsidR="00FE40D6" w:rsidRPr="004C0BFE">
              <w:rPr>
                <w:noProof/>
                <w:webHidden/>
              </w:rPr>
              <w:fldChar w:fldCharType="begin"/>
            </w:r>
            <w:r w:rsidR="00FE40D6" w:rsidRPr="004C0BFE">
              <w:rPr>
                <w:noProof/>
                <w:webHidden/>
              </w:rPr>
              <w:instrText xml:space="preserve"> PAGEREF _Toc17368166 \h </w:instrText>
            </w:r>
            <w:r w:rsidR="00FE40D6" w:rsidRPr="004C0BFE">
              <w:rPr>
                <w:noProof/>
                <w:webHidden/>
              </w:rPr>
            </w:r>
            <w:r w:rsidR="00FE40D6" w:rsidRPr="004C0BFE">
              <w:rPr>
                <w:noProof/>
                <w:webHidden/>
              </w:rPr>
              <w:fldChar w:fldCharType="separate"/>
            </w:r>
            <w:r>
              <w:rPr>
                <w:noProof/>
                <w:webHidden/>
              </w:rPr>
              <w:t>22</w:t>
            </w:r>
            <w:r w:rsidR="00FE40D6" w:rsidRPr="004C0BFE">
              <w:rPr>
                <w:noProof/>
                <w:webHidden/>
              </w:rPr>
              <w:fldChar w:fldCharType="end"/>
            </w:r>
          </w:hyperlink>
        </w:p>
        <w:p w14:paraId="4988B693" w14:textId="658878F5" w:rsidR="00FE40D6" w:rsidRPr="004C0BFE" w:rsidRDefault="00EB164C">
          <w:pPr>
            <w:pStyle w:val="TOC3"/>
            <w:tabs>
              <w:tab w:val="left" w:pos="1296"/>
              <w:tab w:val="right" w:leader="dot" w:pos="9350"/>
            </w:tabs>
            <w:rPr>
              <w:rFonts w:cstheme="minorBidi"/>
              <w:noProof/>
              <w:sz w:val="22"/>
            </w:rPr>
          </w:pPr>
          <w:hyperlink w:anchor="_Toc17368167" w:history="1">
            <w:r w:rsidR="00FE40D6" w:rsidRPr="004C0BFE">
              <w:rPr>
                <w:rStyle w:val="Hyperlink"/>
                <w:noProof/>
              </w:rPr>
              <w:t>5.2.1.</w:t>
            </w:r>
            <w:r w:rsidR="00FE40D6" w:rsidRPr="004C0BFE">
              <w:rPr>
                <w:rFonts w:cstheme="minorBidi"/>
                <w:noProof/>
                <w:sz w:val="22"/>
              </w:rPr>
              <w:tab/>
            </w:r>
            <w:r w:rsidR="00FE40D6" w:rsidRPr="004C0BFE">
              <w:rPr>
                <w:rStyle w:val="Hyperlink"/>
                <w:noProof/>
              </w:rPr>
              <w:t>Scoping Memo Issues 5 and 2: Proposal</w:t>
            </w:r>
            <w:r w:rsidR="00FE40D6" w:rsidRPr="004C0BFE">
              <w:rPr>
                <w:noProof/>
                <w:webHidden/>
              </w:rPr>
              <w:tab/>
            </w:r>
            <w:r w:rsidR="00FE40D6" w:rsidRPr="004C0BFE">
              <w:rPr>
                <w:noProof/>
                <w:webHidden/>
              </w:rPr>
              <w:fldChar w:fldCharType="begin"/>
            </w:r>
            <w:r w:rsidR="00FE40D6" w:rsidRPr="004C0BFE">
              <w:rPr>
                <w:noProof/>
                <w:webHidden/>
              </w:rPr>
              <w:instrText xml:space="preserve"> PAGEREF _Toc17368167 \h </w:instrText>
            </w:r>
            <w:r w:rsidR="00FE40D6" w:rsidRPr="004C0BFE">
              <w:rPr>
                <w:noProof/>
                <w:webHidden/>
              </w:rPr>
            </w:r>
            <w:r w:rsidR="00FE40D6" w:rsidRPr="004C0BFE">
              <w:rPr>
                <w:noProof/>
                <w:webHidden/>
              </w:rPr>
              <w:fldChar w:fldCharType="separate"/>
            </w:r>
            <w:r>
              <w:rPr>
                <w:noProof/>
                <w:webHidden/>
              </w:rPr>
              <w:t>22</w:t>
            </w:r>
            <w:r w:rsidR="00FE40D6" w:rsidRPr="004C0BFE">
              <w:rPr>
                <w:noProof/>
                <w:webHidden/>
              </w:rPr>
              <w:fldChar w:fldCharType="end"/>
            </w:r>
          </w:hyperlink>
        </w:p>
        <w:p w14:paraId="1CD10B62" w14:textId="5891B509" w:rsidR="00FE40D6" w:rsidRPr="004C0BFE" w:rsidRDefault="00EB164C">
          <w:pPr>
            <w:pStyle w:val="TOC3"/>
            <w:tabs>
              <w:tab w:val="left" w:pos="1296"/>
              <w:tab w:val="right" w:leader="dot" w:pos="9350"/>
            </w:tabs>
            <w:rPr>
              <w:rFonts w:cstheme="minorBidi"/>
              <w:noProof/>
              <w:sz w:val="22"/>
            </w:rPr>
          </w:pPr>
          <w:hyperlink w:anchor="_Toc17368168" w:history="1">
            <w:r w:rsidR="00FE40D6" w:rsidRPr="004C0BFE">
              <w:rPr>
                <w:rStyle w:val="Hyperlink"/>
                <w:noProof/>
              </w:rPr>
              <w:t>5.2.2.</w:t>
            </w:r>
            <w:r w:rsidR="00FE40D6" w:rsidRPr="004C0BFE">
              <w:rPr>
                <w:rFonts w:cstheme="minorBidi"/>
                <w:noProof/>
                <w:sz w:val="22"/>
              </w:rPr>
              <w:tab/>
            </w:r>
            <w:r w:rsidR="00FE40D6" w:rsidRPr="004C0BFE">
              <w:rPr>
                <w:rStyle w:val="Hyperlink"/>
                <w:noProof/>
              </w:rPr>
              <w:t>Scoping Memo Issues 5 and 2: Party Comments</w:t>
            </w:r>
            <w:r w:rsidR="00FE40D6" w:rsidRPr="004C0BFE">
              <w:rPr>
                <w:noProof/>
                <w:webHidden/>
              </w:rPr>
              <w:tab/>
            </w:r>
            <w:r w:rsidR="00FE40D6" w:rsidRPr="004C0BFE">
              <w:rPr>
                <w:noProof/>
                <w:webHidden/>
              </w:rPr>
              <w:fldChar w:fldCharType="begin"/>
            </w:r>
            <w:r w:rsidR="00FE40D6" w:rsidRPr="004C0BFE">
              <w:rPr>
                <w:noProof/>
                <w:webHidden/>
              </w:rPr>
              <w:instrText xml:space="preserve"> PAGEREF _Toc17368168 \h </w:instrText>
            </w:r>
            <w:r w:rsidR="00FE40D6" w:rsidRPr="004C0BFE">
              <w:rPr>
                <w:noProof/>
                <w:webHidden/>
              </w:rPr>
            </w:r>
            <w:r w:rsidR="00FE40D6" w:rsidRPr="004C0BFE">
              <w:rPr>
                <w:noProof/>
                <w:webHidden/>
              </w:rPr>
              <w:fldChar w:fldCharType="separate"/>
            </w:r>
            <w:r>
              <w:rPr>
                <w:noProof/>
                <w:webHidden/>
              </w:rPr>
              <w:t>23</w:t>
            </w:r>
            <w:r w:rsidR="00FE40D6" w:rsidRPr="004C0BFE">
              <w:rPr>
                <w:noProof/>
                <w:webHidden/>
              </w:rPr>
              <w:fldChar w:fldCharType="end"/>
            </w:r>
          </w:hyperlink>
        </w:p>
        <w:p w14:paraId="1AAE6A3F" w14:textId="352F4CB0" w:rsidR="00FE40D6" w:rsidRPr="004C0BFE" w:rsidRDefault="00EB164C">
          <w:pPr>
            <w:pStyle w:val="TOC3"/>
            <w:tabs>
              <w:tab w:val="left" w:pos="1296"/>
              <w:tab w:val="right" w:leader="dot" w:pos="9350"/>
            </w:tabs>
            <w:rPr>
              <w:rFonts w:cstheme="minorBidi"/>
              <w:noProof/>
              <w:sz w:val="22"/>
            </w:rPr>
          </w:pPr>
          <w:hyperlink w:anchor="_Toc17368169" w:history="1">
            <w:r w:rsidR="00FE40D6" w:rsidRPr="004C0BFE">
              <w:rPr>
                <w:rStyle w:val="Hyperlink"/>
                <w:noProof/>
              </w:rPr>
              <w:t>5.2.3.</w:t>
            </w:r>
            <w:r w:rsidR="00FE40D6" w:rsidRPr="004C0BFE">
              <w:rPr>
                <w:rFonts w:cstheme="minorBidi"/>
                <w:noProof/>
                <w:sz w:val="22"/>
              </w:rPr>
              <w:tab/>
            </w:r>
            <w:r w:rsidR="00FE40D6" w:rsidRPr="004C0BFE">
              <w:rPr>
                <w:rStyle w:val="Hyperlink"/>
                <w:noProof/>
              </w:rPr>
              <w:t>Resolving Scoping Memo Issues 5 and 2</w:t>
            </w:r>
            <w:r w:rsidR="00FE40D6" w:rsidRPr="004C0BFE">
              <w:rPr>
                <w:noProof/>
                <w:webHidden/>
              </w:rPr>
              <w:tab/>
            </w:r>
            <w:r w:rsidR="00FE40D6" w:rsidRPr="004C0BFE">
              <w:rPr>
                <w:noProof/>
                <w:webHidden/>
              </w:rPr>
              <w:fldChar w:fldCharType="begin"/>
            </w:r>
            <w:r w:rsidR="00FE40D6" w:rsidRPr="004C0BFE">
              <w:rPr>
                <w:noProof/>
                <w:webHidden/>
              </w:rPr>
              <w:instrText xml:space="preserve"> PAGEREF _Toc17368169 \h </w:instrText>
            </w:r>
            <w:r w:rsidR="00FE40D6" w:rsidRPr="004C0BFE">
              <w:rPr>
                <w:noProof/>
                <w:webHidden/>
              </w:rPr>
            </w:r>
            <w:r w:rsidR="00FE40D6" w:rsidRPr="004C0BFE">
              <w:rPr>
                <w:noProof/>
                <w:webHidden/>
              </w:rPr>
              <w:fldChar w:fldCharType="separate"/>
            </w:r>
            <w:r>
              <w:rPr>
                <w:noProof/>
                <w:webHidden/>
              </w:rPr>
              <w:t>24</w:t>
            </w:r>
            <w:r w:rsidR="00FE40D6" w:rsidRPr="004C0BFE">
              <w:rPr>
                <w:noProof/>
                <w:webHidden/>
              </w:rPr>
              <w:fldChar w:fldCharType="end"/>
            </w:r>
          </w:hyperlink>
        </w:p>
        <w:p w14:paraId="302EBCD8" w14:textId="28D7AABB" w:rsidR="00FE40D6" w:rsidRPr="004C0BFE" w:rsidRDefault="00EB164C">
          <w:pPr>
            <w:pStyle w:val="TOC2"/>
            <w:tabs>
              <w:tab w:val="right" w:leader="dot" w:pos="9350"/>
            </w:tabs>
            <w:rPr>
              <w:rFonts w:cstheme="minorBidi"/>
              <w:noProof/>
              <w:sz w:val="22"/>
            </w:rPr>
          </w:pPr>
          <w:hyperlink w:anchor="_Toc17368170" w:history="1">
            <w:r w:rsidR="00FE40D6" w:rsidRPr="004C0BFE">
              <w:rPr>
                <w:rStyle w:val="Hyperlink"/>
                <w:noProof/>
              </w:rPr>
              <w:t>5.3.</w:t>
            </w:r>
            <w:r w:rsidR="00FE40D6" w:rsidRPr="004C0BFE">
              <w:rPr>
                <w:rFonts w:cstheme="minorBidi"/>
                <w:noProof/>
                <w:sz w:val="22"/>
              </w:rPr>
              <w:tab/>
            </w:r>
            <w:r w:rsidR="00FE40D6" w:rsidRPr="004C0BFE">
              <w:rPr>
                <w:rStyle w:val="Hyperlink"/>
                <w:noProof/>
              </w:rPr>
              <w:t>True-up of the Brown Power Component, the Resource Adequacy (RA) Adder and the Renewable Portfolio Standard (RPS) Adder of the Market Price Benchmark (Scoping Memo Issue 1)</w:t>
            </w:r>
            <w:r w:rsidR="00FE40D6" w:rsidRPr="004C0BFE">
              <w:rPr>
                <w:noProof/>
                <w:webHidden/>
              </w:rPr>
              <w:tab/>
            </w:r>
            <w:r w:rsidR="00FE40D6" w:rsidRPr="004C0BFE">
              <w:rPr>
                <w:noProof/>
                <w:webHidden/>
              </w:rPr>
              <w:fldChar w:fldCharType="begin"/>
            </w:r>
            <w:r w:rsidR="00FE40D6" w:rsidRPr="004C0BFE">
              <w:rPr>
                <w:noProof/>
                <w:webHidden/>
              </w:rPr>
              <w:instrText xml:space="preserve"> PAGEREF _Toc17368170 \h </w:instrText>
            </w:r>
            <w:r w:rsidR="00FE40D6" w:rsidRPr="004C0BFE">
              <w:rPr>
                <w:noProof/>
                <w:webHidden/>
              </w:rPr>
            </w:r>
            <w:r w:rsidR="00FE40D6" w:rsidRPr="004C0BFE">
              <w:rPr>
                <w:noProof/>
                <w:webHidden/>
              </w:rPr>
              <w:fldChar w:fldCharType="separate"/>
            </w:r>
            <w:r>
              <w:rPr>
                <w:noProof/>
                <w:webHidden/>
              </w:rPr>
              <w:t>27</w:t>
            </w:r>
            <w:r w:rsidR="00FE40D6" w:rsidRPr="004C0BFE">
              <w:rPr>
                <w:noProof/>
                <w:webHidden/>
              </w:rPr>
              <w:fldChar w:fldCharType="end"/>
            </w:r>
          </w:hyperlink>
        </w:p>
        <w:p w14:paraId="0C0F68AA" w14:textId="26452506" w:rsidR="00FE40D6" w:rsidRPr="004C0BFE" w:rsidRDefault="00EB164C">
          <w:pPr>
            <w:pStyle w:val="TOC3"/>
            <w:tabs>
              <w:tab w:val="left" w:pos="1296"/>
              <w:tab w:val="right" w:leader="dot" w:pos="9350"/>
            </w:tabs>
            <w:rPr>
              <w:rFonts w:cstheme="minorBidi"/>
              <w:noProof/>
              <w:sz w:val="22"/>
            </w:rPr>
          </w:pPr>
          <w:hyperlink w:anchor="_Toc17368171" w:history="1">
            <w:r w:rsidR="00FE40D6" w:rsidRPr="004C0BFE">
              <w:rPr>
                <w:rStyle w:val="Hyperlink"/>
                <w:noProof/>
              </w:rPr>
              <w:t>5.3.1.</w:t>
            </w:r>
            <w:r w:rsidR="00FE40D6" w:rsidRPr="004C0BFE">
              <w:rPr>
                <w:rFonts w:cstheme="minorBidi"/>
                <w:noProof/>
                <w:sz w:val="22"/>
              </w:rPr>
              <w:tab/>
            </w:r>
            <w:r w:rsidR="00FE40D6" w:rsidRPr="004C0BFE">
              <w:rPr>
                <w:rStyle w:val="Hyperlink"/>
                <w:noProof/>
              </w:rPr>
              <w:t>Scoping Memo Issue 1: Proposal</w:t>
            </w:r>
            <w:r w:rsidR="00FE40D6" w:rsidRPr="004C0BFE">
              <w:rPr>
                <w:noProof/>
                <w:webHidden/>
              </w:rPr>
              <w:tab/>
            </w:r>
            <w:r w:rsidR="00FE40D6" w:rsidRPr="004C0BFE">
              <w:rPr>
                <w:noProof/>
                <w:webHidden/>
              </w:rPr>
              <w:fldChar w:fldCharType="begin"/>
            </w:r>
            <w:r w:rsidR="00FE40D6" w:rsidRPr="004C0BFE">
              <w:rPr>
                <w:noProof/>
                <w:webHidden/>
              </w:rPr>
              <w:instrText xml:space="preserve"> PAGEREF _Toc17368171 \h </w:instrText>
            </w:r>
            <w:r w:rsidR="00FE40D6" w:rsidRPr="004C0BFE">
              <w:rPr>
                <w:noProof/>
                <w:webHidden/>
              </w:rPr>
            </w:r>
            <w:r w:rsidR="00FE40D6" w:rsidRPr="004C0BFE">
              <w:rPr>
                <w:noProof/>
                <w:webHidden/>
              </w:rPr>
              <w:fldChar w:fldCharType="separate"/>
            </w:r>
            <w:r>
              <w:rPr>
                <w:noProof/>
                <w:webHidden/>
              </w:rPr>
              <w:t>27</w:t>
            </w:r>
            <w:r w:rsidR="00FE40D6" w:rsidRPr="004C0BFE">
              <w:rPr>
                <w:noProof/>
                <w:webHidden/>
              </w:rPr>
              <w:fldChar w:fldCharType="end"/>
            </w:r>
          </w:hyperlink>
        </w:p>
        <w:p w14:paraId="462EEC18" w14:textId="28B511B4" w:rsidR="00FE40D6" w:rsidRPr="004C0BFE" w:rsidRDefault="00EB164C">
          <w:pPr>
            <w:pStyle w:val="TOC3"/>
            <w:tabs>
              <w:tab w:val="left" w:pos="1296"/>
              <w:tab w:val="right" w:leader="dot" w:pos="9350"/>
            </w:tabs>
            <w:rPr>
              <w:rFonts w:cstheme="minorBidi"/>
              <w:noProof/>
              <w:sz w:val="22"/>
            </w:rPr>
          </w:pPr>
          <w:hyperlink w:anchor="_Toc17368172" w:history="1">
            <w:r w:rsidR="00FE40D6" w:rsidRPr="004C0BFE">
              <w:rPr>
                <w:rStyle w:val="Hyperlink"/>
                <w:noProof/>
              </w:rPr>
              <w:t>5.3.2.</w:t>
            </w:r>
            <w:r w:rsidR="00FE40D6" w:rsidRPr="004C0BFE">
              <w:rPr>
                <w:rFonts w:cstheme="minorBidi"/>
                <w:noProof/>
                <w:sz w:val="22"/>
              </w:rPr>
              <w:tab/>
            </w:r>
            <w:r w:rsidR="00FE40D6" w:rsidRPr="004C0BFE">
              <w:rPr>
                <w:rStyle w:val="Hyperlink"/>
                <w:noProof/>
              </w:rPr>
              <w:t>Scoping Memo Issue 1: Party Comments</w:t>
            </w:r>
            <w:r w:rsidR="00FE40D6" w:rsidRPr="004C0BFE">
              <w:rPr>
                <w:noProof/>
                <w:webHidden/>
              </w:rPr>
              <w:tab/>
            </w:r>
            <w:r w:rsidR="00FE40D6" w:rsidRPr="004C0BFE">
              <w:rPr>
                <w:noProof/>
                <w:webHidden/>
              </w:rPr>
              <w:fldChar w:fldCharType="begin"/>
            </w:r>
            <w:r w:rsidR="00FE40D6" w:rsidRPr="004C0BFE">
              <w:rPr>
                <w:noProof/>
                <w:webHidden/>
              </w:rPr>
              <w:instrText xml:space="preserve"> PAGEREF _Toc17368172 \h </w:instrText>
            </w:r>
            <w:r w:rsidR="00FE40D6" w:rsidRPr="004C0BFE">
              <w:rPr>
                <w:noProof/>
                <w:webHidden/>
              </w:rPr>
            </w:r>
            <w:r w:rsidR="00FE40D6" w:rsidRPr="004C0BFE">
              <w:rPr>
                <w:noProof/>
                <w:webHidden/>
              </w:rPr>
              <w:fldChar w:fldCharType="separate"/>
            </w:r>
            <w:r>
              <w:rPr>
                <w:noProof/>
                <w:webHidden/>
              </w:rPr>
              <w:t>32</w:t>
            </w:r>
            <w:r w:rsidR="00FE40D6" w:rsidRPr="004C0BFE">
              <w:rPr>
                <w:noProof/>
                <w:webHidden/>
              </w:rPr>
              <w:fldChar w:fldCharType="end"/>
            </w:r>
          </w:hyperlink>
        </w:p>
        <w:p w14:paraId="11242040" w14:textId="31DF0867" w:rsidR="00FE40D6" w:rsidRPr="004C0BFE" w:rsidRDefault="00EB164C">
          <w:pPr>
            <w:pStyle w:val="TOC3"/>
            <w:tabs>
              <w:tab w:val="left" w:pos="1296"/>
              <w:tab w:val="right" w:leader="dot" w:pos="9350"/>
            </w:tabs>
            <w:rPr>
              <w:rFonts w:cstheme="minorBidi"/>
              <w:noProof/>
              <w:sz w:val="22"/>
            </w:rPr>
          </w:pPr>
          <w:hyperlink w:anchor="_Toc17368173" w:history="1">
            <w:r w:rsidR="00FE40D6" w:rsidRPr="004C0BFE">
              <w:rPr>
                <w:rStyle w:val="Hyperlink"/>
                <w:noProof/>
              </w:rPr>
              <w:t>5.3.3.</w:t>
            </w:r>
            <w:r w:rsidR="00FE40D6" w:rsidRPr="004C0BFE">
              <w:rPr>
                <w:rFonts w:cstheme="minorBidi"/>
                <w:noProof/>
                <w:sz w:val="22"/>
              </w:rPr>
              <w:tab/>
            </w:r>
            <w:r w:rsidR="00FE40D6" w:rsidRPr="004C0BFE">
              <w:rPr>
                <w:rStyle w:val="Hyperlink"/>
                <w:noProof/>
              </w:rPr>
              <w:t>Resolving Scoping Memo Issue 1</w:t>
            </w:r>
            <w:r w:rsidR="00FE40D6" w:rsidRPr="004C0BFE">
              <w:rPr>
                <w:noProof/>
                <w:webHidden/>
              </w:rPr>
              <w:tab/>
            </w:r>
            <w:r w:rsidR="00FE40D6" w:rsidRPr="004C0BFE">
              <w:rPr>
                <w:noProof/>
                <w:webHidden/>
              </w:rPr>
              <w:fldChar w:fldCharType="begin"/>
            </w:r>
            <w:r w:rsidR="00FE40D6" w:rsidRPr="004C0BFE">
              <w:rPr>
                <w:noProof/>
                <w:webHidden/>
              </w:rPr>
              <w:instrText xml:space="preserve"> PAGEREF _Toc17368173 \h </w:instrText>
            </w:r>
            <w:r w:rsidR="00FE40D6" w:rsidRPr="004C0BFE">
              <w:rPr>
                <w:noProof/>
                <w:webHidden/>
              </w:rPr>
            </w:r>
            <w:r w:rsidR="00FE40D6" w:rsidRPr="004C0BFE">
              <w:rPr>
                <w:noProof/>
                <w:webHidden/>
              </w:rPr>
              <w:fldChar w:fldCharType="separate"/>
            </w:r>
            <w:r>
              <w:rPr>
                <w:noProof/>
                <w:webHidden/>
              </w:rPr>
              <w:t>34</w:t>
            </w:r>
            <w:r w:rsidR="00FE40D6" w:rsidRPr="004C0BFE">
              <w:rPr>
                <w:noProof/>
                <w:webHidden/>
              </w:rPr>
              <w:fldChar w:fldCharType="end"/>
            </w:r>
          </w:hyperlink>
        </w:p>
        <w:p w14:paraId="31F5EE53" w14:textId="702183AE" w:rsidR="00FE40D6" w:rsidRPr="004C0BFE" w:rsidRDefault="00EB164C">
          <w:pPr>
            <w:pStyle w:val="TOC2"/>
            <w:tabs>
              <w:tab w:val="right" w:leader="dot" w:pos="9350"/>
            </w:tabs>
            <w:rPr>
              <w:rFonts w:cstheme="minorBidi"/>
              <w:noProof/>
              <w:sz w:val="22"/>
            </w:rPr>
          </w:pPr>
          <w:hyperlink w:anchor="_Toc17368174" w:history="1">
            <w:r w:rsidR="00FE40D6" w:rsidRPr="004C0BFE">
              <w:rPr>
                <w:rStyle w:val="Hyperlink"/>
                <w:noProof/>
              </w:rPr>
              <w:t>5.4.</w:t>
            </w:r>
            <w:r w:rsidR="00FE40D6" w:rsidRPr="004C0BFE">
              <w:rPr>
                <w:rFonts w:cstheme="minorBidi"/>
                <w:noProof/>
                <w:sz w:val="22"/>
              </w:rPr>
              <w:tab/>
            </w:r>
            <w:r w:rsidR="00FE40D6" w:rsidRPr="004C0BFE">
              <w:rPr>
                <w:rStyle w:val="Hyperlink"/>
                <w:noProof/>
              </w:rPr>
              <w:t>The true-up process (Scoping Memo Issue 3)</w:t>
            </w:r>
            <w:r w:rsidR="00FE40D6" w:rsidRPr="004C0BFE">
              <w:rPr>
                <w:noProof/>
                <w:webHidden/>
              </w:rPr>
              <w:tab/>
            </w:r>
            <w:r w:rsidR="00FE40D6" w:rsidRPr="004C0BFE">
              <w:rPr>
                <w:noProof/>
                <w:webHidden/>
              </w:rPr>
              <w:fldChar w:fldCharType="begin"/>
            </w:r>
            <w:r w:rsidR="00FE40D6" w:rsidRPr="004C0BFE">
              <w:rPr>
                <w:noProof/>
                <w:webHidden/>
              </w:rPr>
              <w:instrText xml:space="preserve"> PAGEREF _Toc17368174 \h </w:instrText>
            </w:r>
            <w:r w:rsidR="00FE40D6" w:rsidRPr="004C0BFE">
              <w:rPr>
                <w:noProof/>
                <w:webHidden/>
              </w:rPr>
            </w:r>
            <w:r w:rsidR="00FE40D6" w:rsidRPr="004C0BFE">
              <w:rPr>
                <w:noProof/>
                <w:webHidden/>
              </w:rPr>
              <w:fldChar w:fldCharType="separate"/>
            </w:r>
            <w:r>
              <w:rPr>
                <w:noProof/>
                <w:webHidden/>
              </w:rPr>
              <w:t>36</w:t>
            </w:r>
            <w:r w:rsidR="00FE40D6" w:rsidRPr="004C0BFE">
              <w:rPr>
                <w:noProof/>
                <w:webHidden/>
              </w:rPr>
              <w:fldChar w:fldCharType="end"/>
            </w:r>
          </w:hyperlink>
        </w:p>
        <w:p w14:paraId="42C4AD09" w14:textId="49474057" w:rsidR="00FE40D6" w:rsidRPr="004C0BFE" w:rsidRDefault="00EB164C">
          <w:pPr>
            <w:pStyle w:val="TOC3"/>
            <w:tabs>
              <w:tab w:val="left" w:pos="1296"/>
              <w:tab w:val="right" w:leader="dot" w:pos="9350"/>
            </w:tabs>
            <w:rPr>
              <w:rFonts w:cstheme="minorBidi"/>
              <w:noProof/>
              <w:sz w:val="22"/>
            </w:rPr>
          </w:pPr>
          <w:hyperlink w:anchor="_Toc17368175" w:history="1">
            <w:r w:rsidR="00FE40D6" w:rsidRPr="004C0BFE">
              <w:rPr>
                <w:rStyle w:val="Hyperlink"/>
                <w:noProof/>
              </w:rPr>
              <w:t>5.4.1.</w:t>
            </w:r>
            <w:r w:rsidR="00FE40D6" w:rsidRPr="004C0BFE">
              <w:rPr>
                <w:rFonts w:cstheme="minorBidi"/>
                <w:noProof/>
                <w:sz w:val="22"/>
              </w:rPr>
              <w:tab/>
            </w:r>
            <w:r w:rsidR="00FE40D6" w:rsidRPr="004C0BFE">
              <w:rPr>
                <w:rStyle w:val="Hyperlink"/>
                <w:noProof/>
              </w:rPr>
              <w:t>Scoping Memo Issue 3: Proposal</w:t>
            </w:r>
            <w:r w:rsidR="00FE40D6" w:rsidRPr="004C0BFE">
              <w:rPr>
                <w:noProof/>
                <w:webHidden/>
              </w:rPr>
              <w:tab/>
            </w:r>
            <w:r w:rsidR="00FE40D6" w:rsidRPr="004C0BFE">
              <w:rPr>
                <w:noProof/>
                <w:webHidden/>
              </w:rPr>
              <w:fldChar w:fldCharType="begin"/>
            </w:r>
            <w:r w:rsidR="00FE40D6" w:rsidRPr="004C0BFE">
              <w:rPr>
                <w:noProof/>
                <w:webHidden/>
              </w:rPr>
              <w:instrText xml:space="preserve"> PAGEREF _Toc17368175 \h </w:instrText>
            </w:r>
            <w:r w:rsidR="00FE40D6" w:rsidRPr="004C0BFE">
              <w:rPr>
                <w:noProof/>
                <w:webHidden/>
              </w:rPr>
            </w:r>
            <w:r w:rsidR="00FE40D6" w:rsidRPr="004C0BFE">
              <w:rPr>
                <w:noProof/>
                <w:webHidden/>
              </w:rPr>
              <w:fldChar w:fldCharType="separate"/>
            </w:r>
            <w:r>
              <w:rPr>
                <w:noProof/>
                <w:webHidden/>
              </w:rPr>
              <w:t>36</w:t>
            </w:r>
            <w:r w:rsidR="00FE40D6" w:rsidRPr="004C0BFE">
              <w:rPr>
                <w:noProof/>
                <w:webHidden/>
              </w:rPr>
              <w:fldChar w:fldCharType="end"/>
            </w:r>
          </w:hyperlink>
        </w:p>
        <w:p w14:paraId="0E2F05AB" w14:textId="319059BF" w:rsidR="00FE40D6" w:rsidRPr="004C0BFE" w:rsidRDefault="00EB164C">
          <w:pPr>
            <w:pStyle w:val="TOC3"/>
            <w:tabs>
              <w:tab w:val="left" w:pos="1296"/>
              <w:tab w:val="right" w:leader="dot" w:pos="9350"/>
            </w:tabs>
            <w:rPr>
              <w:rFonts w:cstheme="minorBidi"/>
              <w:noProof/>
              <w:sz w:val="22"/>
            </w:rPr>
          </w:pPr>
          <w:hyperlink w:anchor="_Toc17368176" w:history="1">
            <w:r w:rsidR="00FE40D6" w:rsidRPr="004C0BFE">
              <w:rPr>
                <w:rStyle w:val="Hyperlink"/>
                <w:noProof/>
              </w:rPr>
              <w:t>5.4.2.</w:t>
            </w:r>
            <w:r w:rsidR="00FE40D6" w:rsidRPr="004C0BFE">
              <w:rPr>
                <w:rFonts w:cstheme="minorBidi"/>
                <w:noProof/>
                <w:sz w:val="22"/>
              </w:rPr>
              <w:tab/>
            </w:r>
            <w:r w:rsidR="00FE40D6" w:rsidRPr="004C0BFE">
              <w:rPr>
                <w:rStyle w:val="Hyperlink"/>
                <w:noProof/>
              </w:rPr>
              <w:t>Scoping Memo Issue 3: Party Comments</w:t>
            </w:r>
            <w:r w:rsidR="00FE40D6" w:rsidRPr="004C0BFE">
              <w:rPr>
                <w:noProof/>
                <w:webHidden/>
              </w:rPr>
              <w:tab/>
            </w:r>
            <w:r w:rsidR="00FE40D6" w:rsidRPr="004C0BFE">
              <w:rPr>
                <w:noProof/>
                <w:webHidden/>
              </w:rPr>
              <w:fldChar w:fldCharType="begin"/>
            </w:r>
            <w:r w:rsidR="00FE40D6" w:rsidRPr="004C0BFE">
              <w:rPr>
                <w:noProof/>
                <w:webHidden/>
              </w:rPr>
              <w:instrText xml:space="preserve"> PAGEREF _Toc17368176 \h </w:instrText>
            </w:r>
            <w:r w:rsidR="00FE40D6" w:rsidRPr="004C0BFE">
              <w:rPr>
                <w:noProof/>
                <w:webHidden/>
              </w:rPr>
            </w:r>
            <w:r w:rsidR="00FE40D6" w:rsidRPr="004C0BFE">
              <w:rPr>
                <w:noProof/>
                <w:webHidden/>
              </w:rPr>
              <w:fldChar w:fldCharType="separate"/>
            </w:r>
            <w:r>
              <w:rPr>
                <w:noProof/>
                <w:webHidden/>
              </w:rPr>
              <w:t>37</w:t>
            </w:r>
            <w:r w:rsidR="00FE40D6" w:rsidRPr="004C0BFE">
              <w:rPr>
                <w:noProof/>
                <w:webHidden/>
              </w:rPr>
              <w:fldChar w:fldCharType="end"/>
            </w:r>
          </w:hyperlink>
        </w:p>
        <w:p w14:paraId="3CF92AF7" w14:textId="030505CF" w:rsidR="00FE40D6" w:rsidRPr="004C0BFE" w:rsidRDefault="00EB164C">
          <w:pPr>
            <w:pStyle w:val="TOC3"/>
            <w:tabs>
              <w:tab w:val="left" w:pos="1296"/>
              <w:tab w:val="right" w:leader="dot" w:pos="9350"/>
            </w:tabs>
            <w:rPr>
              <w:rFonts w:cstheme="minorBidi"/>
              <w:noProof/>
              <w:sz w:val="22"/>
            </w:rPr>
          </w:pPr>
          <w:hyperlink w:anchor="_Toc17368177" w:history="1">
            <w:r w:rsidR="00FE40D6" w:rsidRPr="004C0BFE">
              <w:rPr>
                <w:rStyle w:val="Hyperlink"/>
                <w:noProof/>
              </w:rPr>
              <w:t>5.4.3.</w:t>
            </w:r>
            <w:r w:rsidR="00FE40D6" w:rsidRPr="004C0BFE">
              <w:rPr>
                <w:rFonts w:cstheme="minorBidi"/>
                <w:noProof/>
                <w:sz w:val="22"/>
              </w:rPr>
              <w:tab/>
            </w:r>
            <w:r w:rsidR="00FE40D6" w:rsidRPr="004C0BFE">
              <w:rPr>
                <w:rStyle w:val="Hyperlink"/>
                <w:noProof/>
              </w:rPr>
              <w:t>Resolving Scoping Memo Issue 3</w:t>
            </w:r>
            <w:r w:rsidR="00FE40D6" w:rsidRPr="004C0BFE">
              <w:rPr>
                <w:noProof/>
                <w:webHidden/>
              </w:rPr>
              <w:tab/>
            </w:r>
            <w:r w:rsidR="00FE40D6" w:rsidRPr="004C0BFE">
              <w:rPr>
                <w:noProof/>
                <w:webHidden/>
              </w:rPr>
              <w:fldChar w:fldCharType="begin"/>
            </w:r>
            <w:r w:rsidR="00FE40D6" w:rsidRPr="004C0BFE">
              <w:rPr>
                <w:noProof/>
                <w:webHidden/>
              </w:rPr>
              <w:instrText xml:space="preserve"> PAGEREF _Toc17368177 \h </w:instrText>
            </w:r>
            <w:r w:rsidR="00FE40D6" w:rsidRPr="004C0BFE">
              <w:rPr>
                <w:noProof/>
                <w:webHidden/>
              </w:rPr>
            </w:r>
            <w:r w:rsidR="00FE40D6" w:rsidRPr="004C0BFE">
              <w:rPr>
                <w:noProof/>
                <w:webHidden/>
              </w:rPr>
              <w:fldChar w:fldCharType="separate"/>
            </w:r>
            <w:r>
              <w:rPr>
                <w:noProof/>
                <w:webHidden/>
              </w:rPr>
              <w:t>37</w:t>
            </w:r>
            <w:r w:rsidR="00FE40D6" w:rsidRPr="004C0BFE">
              <w:rPr>
                <w:noProof/>
                <w:webHidden/>
              </w:rPr>
              <w:fldChar w:fldCharType="end"/>
            </w:r>
          </w:hyperlink>
        </w:p>
        <w:p w14:paraId="3DF22843" w14:textId="450BEE42" w:rsidR="00FE40D6" w:rsidRPr="004C0BFE" w:rsidRDefault="00EB164C">
          <w:pPr>
            <w:pStyle w:val="TOC2"/>
            <w:tabs>
              <w:tab w:val="right" w:leader="dot" w:pos="9350"/>
            </w:tabs>
            <w:rPr>
              <w:rFonts w:cstheme="minorBidi"/>
              <w:noProof/>
              <w:sz w:val="22"/>
            </w:rPr>
          </w:pPr>
          <w:hyperlink w:anchor="_Toc17368178" w:history="1">
            <w:r w:rsidR="00FE40D6" w:rsidRPr="004C0BFE">
              <w:rPr>
                <w:rStyle w:val="Hyperlink"/>
                <w:noProof/>
              </w:rPr>
              <w:t>5.5.</w:t>
            </w:r>
            <w:r w:rsidR="00FE40D6" w:rsidRPr="004C0BFE">
              <w:rPr>
                <w:rFonts w:cstheme="minorBidi"/>
                <w:noProof/>
                <w:sz w:val="22"/>
              </w:rPr>
              <w:tab/>
            </w:r>
            <w:r w:rsidR="00FE40D6" w:rsidRPr="004C0BFE">
              <w:rPr>
                <w:rStyle w:val="Hyperlink"/>
                <w:noProof/>
              </w:rPr>
              <w:t>Quantity and Price of Unsold RA (Scoping Memo Issues 6 and 7)</w:t>
            </w:r>
            <w:r w:rsidR="00FE40D6" w:rsidRPr="004C0BFE">
              <w:rPr>
                <w:noProof/>
                <w:webHidden/>
              </w:rPr>
              <w:tab/>
            </w:r>
            <w:r w:rsidR="00FE40D6" w:rsidRPr="004C0BFE">
              <w:rPr>
                <w:noProof/>
                <w:webHidden/>
              </w:rPr>
              <w:fldChar w:fldCharType="begin"/>
            </w:r>
            <w:r w:rsidR="00FE40D6" w:rsidRPr="004C0BFE">
              <w:rPr>
                <w:noProof/>
                <w:webHidden/>
              </w:rPr>
              <w:instrText xml:space="preserve"> PAGEREF _Toc17368178 \h </w:instrText>
            </w:r>
            <w:r w:rsidR="00FE40D6" w:rsidRPr="004C0BFE">
              <w:rPr>
                <w:noProof/>
                <w:webHidden/>
              </w:rPr>
            </w:r>
            <w:r w:rsidR="00FE40D6" w:rsidRPr="004C0BFE">
              <w:rPr>
                <w:noProof/>
                <w:webHidden/>
              </w:rPr>
              <w:fldChar w:fldCharType="separate"/>
            </w:r>
            <w:r>
              <w:rPr>
                <w:noProof/>
                <w:webHidden/>
              </w:rPr>
              <w:t>37</w:t>
            </w:r>
            <w:r w:rsidR="00FE40D6" w:rsidRPr="004C0BFE">
              <w:rPr>
                <w:noProof/>
                <w:webHidden/>
              </w:rPr>
              <w:fldChar w:fldCharType="end"/>
            </w:r>
          </w:hyperlink>
        </w:p>
        <w:p w14:paraId="0DFF66B6" w14:textId="66B68B72" w:rsidR="00FE40D6" w:rsidRPr="004C0BFE" w:rsidRDefault="00EB164C">
          <w:pPr>
            <w:pStyle w:val="TOC3"/>
            <w:tabs>
              <w:tab w:val="left" w:pos="1296"/>
              <w:tab w:val="right" w:leader="dot" w:pos="9350"/>
            </w:tabs>
            <w:rPr>
              <w:rFonts w:cstheme="minorBidi"/>
              <w:noProof/>
              <w:sz w:val="22"/>
            </w:rPr>
          </w:pPr>
          <w:hyperlink w:anchor="_Toc17368179" w:history="1">
            <w:r w:rsidR="00FE40D6" w:rsidRPr="004C0BFE">
              <w:rPr>
                <w:rStyle w:val="Hyperlink"/>
                <w:noProof/>
              </w:rPr>
              <w:t>5.5.1.</w:t>
            </w:r>
            <w:r w:rsidR="00FE40D6" w:rsidRPr="004C0BFE">
              <w:rPr>
                <w:rFonts w:cstheme="minorBidi"/>
                <w:noProof/>
                <w:sz w:val="22"/>
              </w:rPr>
              <w:tab/>
            </w:r>
            <w:r w:rsidR="00FE40D6" w:rsidRPr="004C0BFE">
              <w:rPr>
                <w:rStyle w:val="Hyperlink"/>
                <w:noProof/>
              </w:rPr>
              <w:t>Scoping Memo Issues 6 and 7: Proposal</w:t>
            </w:r>
            <w:r w:rsidR="00FE40D6" w:rsidRPr="004C0BFE">
              <w:rPr>
                <w:noProof/>
                <w:webHidden/>
              </w:rPr>
              <w:tab/>
            </w:r>
            <w:r w:rsidR="00FE40D6" w:rsidRPr="004C0BFE">
              <w:rPr>
                <w:noProof/>
                <w:webHidden/>
              </w:rPr>
              <w:fldChar w:fldCharType="begin"/>
            </w:r>
            <w:r w:rsidR="00FE40D6" w:rsidRPr="004C0BFE">
              <w:rPr>
                <w:noProof/>
                <w:webHidden/>
              </w:rPr>
              <w:instrText xml:space="preserve"> PAGEREF _Toc17368179 \h </w:instrText>
            </w:r>
            <w:r w:rsidR="00FE40D6" w:rsidRPr="004C0BFE">
              <w:rPr>
                <w:noProof/>
                <w:webHidden/>
              </w:rPr>
            </w:r>
            <w:r w:rsidR="00FE40D6" w:rsidRPr="004C0BFE">
              <w:rPr>
                <w:noProof/>
                <w:webHidden/>
              </w:rPr>
              <w:fldChar w:fldCharType="separate"/>
            </w:r>
            <w:r>
              <w:rPr>
                <w:noProof/>
                <w:webHidden/>
              </w:rPr>
              <w:t>38</w:t>
            </w:r>
            <w:r w:rsidR="00FE40D6" w:rsidRPr="004C0BFE">
              <w:rPr>
                <w:noProof/>
                <w:webHidden/>
              </w:rPr>
              <w:fldChar w:fldCharType="end"/>
            </w:r>
          </w:hyperlink>
        </w:p>
        <w:p w14:paraId="1A141BD4" w14:textId="06F4F32F" w:rsidR="00FE40D6" w:rsidRPr="004C0BFE" w:rsidRDefault="00EB164C">
          <w:pPr>
            <w:pStyle w:val="TOC3"/>
            <w:tabs>
              <w:tab w:val="left" w:pos="1296"/>
              <w:tab w:val="right" w:leader="dot" w:pos="9350"/>
            </w:tabs>
            <w:rPr>
              <w:rFonts w:cstheme="minorBidi"/>
              <w:noProof/>
              <w:sz w:val="22"/>
            </w:rPr>
          </w:pPr>
          <w:hyperlink w:anchor="_Toc17368180" w:history="1">
            <w:r w:rsidR="00FE40D6" w:rsidRPr="004C0BFE">
              <w:rPr>
                <w:rStyle w:val="Hyperlink"/>
                <w:noProof/>
              </w:rPr>
              <w:t>5.5.2.</w:t>
            </w:r>
            <w:r w:rsidR="00FE40D6" w:rsidRPr="004C0BFE">
              <w:rPr>
                <w:rFonts w:cstheme="minorBidi"/>
                <w:noProof/>
                <w:sz w:val="22"/>
              </w:rPr>
              <w:tab/>
            </w:r>
            <w:r w:rsidR="00FE40D6" w:rsidRPr="004C0BFE">
              <w:rPr>
                <w:rStyle w:val="Hyperlink"/>
                <w:noProof/>
              </w:rPr>
              <w:t>Scoping Memo Issues 6 and 7: Party Comments</w:t>
            </w:r>
            <w:r w:rsidR="00FE40D6" w:rsidRPr="004C0BFE">
              <w:rPr>
                <w:noProof/>
                <w:webHidden/>
              </w:rPr>
              <w:tab/>
            </w:r>
            <w:r w:rsidR="00FE40D6" w:rsidRPr="004C0BFE">
              <w:rPr>
                <w:noProof/>
                <w:webHidden/>
              </w:rPr>
              <w:fldChar w:fldCharType="begin"/>
            </w:r>
            <w:r w:rsidR="00FE40D6" w:rsidRPr="004C0BFE">
              <w:rPr>
                <w:noProof/>
                <w:webHidden/>
              </w:rPr>
              <w:instrText xml:space="preserve"> PAGEREF _Toc17368180 \h </w:instrText>
            </w:r>
            <w:r w:rsidR="00FE40D6" w:rsidRPr="004C0BFE">
              <w:rPr>
                <w:noProof/>
                <w:webHidden/>
              </w:rPr>
            </w:r>
            <w:r w:rsidR="00FE40D6" w:rsidRPr="004C0BFE">
              <w:rPr>
                <w:noProof/>
                <w:webHidden/>
              </w:rPr>
              <w:fldChar w:fldCharType="separate"/>
            </w:r>
            <w:r>
              <w:rPr>
                <w:noProof/>
                <w:webHidden/>
              </w:rPr>
              <w:t>38</w:t>
            </w:r>
            <w:r w:rsidR="00FE40D6" w:rsidRPr="004C0BFE">
              <w:rPr>
                <w:noProof/>
                <w:webHidden/>
              </w:rPr>
              <w:fldChar w:fldCharType="end"/>
            </w:r>
          </w:hyperlink>
        </w:p>
        <w:p w14:paraId="107C40FA" w14:textId="79F10741" w:rsidR="00FE40D6" w:rsidRPr="004C0BFE" w:rsidRDefault="00EB164C">
          <w:pPr>
            <w:pStyle w:val="TOC3"/>
            <w:tabs>
              <w:tab w:val="left" w:pos="1296"/>
              <w:tab w:val="right" w:leader="dot" w:pos="9350"/>
            </w:tabs>
            <w:rPr>
              <w:rFonts w:cstheme="minorBidi"/>
              <w:noProof/>
              <w:sz w:val="22"/>
            </w:rPr>
          </w:pPr>
          <w:hyperlink w:anchor="_Toc17368181" w:history="1">
            <w:r w:rsidR="00FE40D6" w:rsidRPr="004C0BFE">
              <w:rPr>
                <w:rStyle w:val="Hyperlink"/>
                <w:noProof/>
              </w:rPr>
              <w:t>5.5.3.</w:t>
            </w:r>
            <w:r w:rsidR="00FE40D6" w:rsidRPr="004C0BFE">
              <w:rPr>
                <w:rFonts w:cstheme="minorBidi"/>
                <w:noProof/>
                <w:sz w:val="22"/>
              </w:rPr>
              <w:tab/>
            </w:r>
            <w:r w:rsidR="00FE40D6" w:rsidRPr="004C0BFE">
              <w:rPr>
                <w:rStyle w:val="Hyperlink"/>
                <w:noProof/>
              </w:rPr>
              <w:t>Resolving Scoping Memo Issues 6 and 7</w:t>
            </w:r>
            <w:r w:rsidR="00FE40D6" w:rsidRPr="004C0BFE">
              <w:rPr>
                <w:noProof/>
                <w:webHidden/>
              </w:rPr>
              <w:tab/>
            </w:r>
            <w:r w:rsidR="00FE40D6" w:rsidRPr="004C0BFE">
              <w:rPr>
                <w:noProof/>
                <w:webHidden/>
              </w:rPr>
              <w:fldChar w:fldCharType="begin"/>
            </w:r>
            <w:r w:rsidR="00FE40D6" w:rsidRPr="004C0BFE">
              <w:rPr>
                <w:noProof/>
                <w:webHidden/>
              </w:rPr>
              <w:instrText xml:space="preserve"> PAGEREF _Toc17368181 \h </w:instrText>
            </w:r>
            <w:r w:rsidR="00FE40D6" w:rsidRPr="004C0BFE">
              <w:rPr>
                <w:noProof/>
                <w:webHidden/>
              </w:rPr>
            </w:r>
            <w:r w:rsidR="00FE40D6" w:rsidRPr="004C0BFE">
              <w:rPr>
                <w:noProof/>
                <w:webHidden/>
              </w:rPr>
              <w:fldChar w:fldCharType="separate"/>
            </w:r>
            <w:r>
              <w:rPr>
                <w:noProof/>
                <w:webHidden/>
              </w:rPr>
              <w:t>40</w:t>
            </w:r>
            <w:r w:rsidR="00FE40D6" w:rsidRPr="004C0BFE">
              <w:rPr>
                <w:noProof/>
                <w:webHidden/>
              </w:rPr>
              <w:fldChar w:fldCharType="end"/>
            </w:r>
          </w:hyperlink>
        </w:p>
        <w:p w14:paraId="09D569B3" w14:textId="3AA45A28" w:rsidR="00FE40D6" w:rsidRPr="004C0BFE" w:rsidRDefault="00EB164C">
          <w:pPr>
            <w:pStyle w:val="TOC2"/>
            <w:tabs>
              <w:tab w:val="right" w:leader="dot" w:pos="9350"/>
            </w:tabs>
            <w:rPr>
              <w:rFonts w:cstheme="minorBidi"/>
              <w:noProof/>
              <w:sz w:val="22"/>
            </w:rPr>
          </w:pPr>
          <w:hyperlink w:anchor="_Toc17368182" w:history="1">
            <w:r w:rsidR="00FE40D6" w:rsidRPr="004C0BFE">
              <w:rPr>
                <w:rStyle w:val="Hyperlink"/>
                <w:noProof/>
              </w:rPr>
              <w:t>5.6.</w:t>
            </w:r>
            <w:r w:rsidR="00FE40D6" w:rsidRPr="004C0BFE">
              <w:rPr>
                <w:rFonts w:cstheme="minorBidi"/>
                <w:noProof/>
                <w:sz w:val="22"/>
              </w:rPr>
              <w:tab/>
            </w:r>
            <w:r w:rsidR="00FE40D6" w:rsidRPr="004C0BFE">
              <w:rPr>
                <w:rStyle w:val="Hyperlink"/>
                <w:noProof/>
              </w:rPr>
              <w:t>Billing Determinants (Scoping Memo Issue 11)</w:t>
            </w:r>
            <w:r w:rsidR="00FE40D6" w:rsidRPr="004C0BFE">
              <w:rPr>
                <w:noProof/>
                <w:webHidden/>
              </w:rPr>
              <w:tab/>
            </w:r>
            <w:r w:rsidR="00FE40D6" w:rsidRPr="004C0BFE">
              <w:rPr>
                <w:noProof/>
                <w:webHidden/>
              </w:rPr>
              <w:fldChar w:fldCharType="begin"/>
            </w:r>
            <w:r w:rsidR="00FE40D6" w:rsidRPr="004C0BFE">
              <w:rPr>
                <w:noProof/>
                <w:webHidden/>
              </w:rPr>
              <w:instrText xml:space="preserve"> PAGEREF _Toc17368182 \h </w:instrText>
            </w:r>
            <w:r w:rsidR="00FE40D6" w:rsidRPr="004C0BFE">
              <w:rPr>
                <w:noProof/>
                <w:webHidden/>
              </w:rPr>
            </w:r>
            <w:r w:rsidR="00FE40D6" w:rsidRPr="004C0BFE">
              <w:rPr>
                <w:noProof/>
                <w:webHidden/>
              </w:rPr>
              <w:fldChar w:fldCharType="separate"/>
            </w:r>
            <w:r>
              <w:rPr>
                <w:noProof/>
                <w:webHidden/>
              </w:rPr>
              <w:t>43</w:t>
            </w:r>
            <w:r w:rsidR="00FE40D6" w:rsidRPr="004C0BFE">
              <w:rPr>
                <w:noProof/>
                <w:webHidden/>
              </w:rPr>
              <w:fldChar w:fldCharType="end"/>
            </w:r>
          </w:hyperlink>
        </w:p>
        <w:p w14:paraId="5B44B851" w14:textId="45A842DD" w:rsidR="00FE40D6" w:rsidRPr="004C0BFE" w:rsidRDefault="00EB164C">
          <w:pPr>
            <w:pStyle w:val="TOC3"/>
            <w:tabs>
              <w:tab w:val="left" w:pos="1296"/>
              <w:tab w:val="right" w:leader="dot" w:pos="9350"/>
            </w:tabs>
            <w:rPr>
              <w:rFonts w:cstheme="minorBidi"/>
              <w:noProof/>
              <w:sz w:val="22"/>
            </w:rPr>
          </w:pPr>
          <w:hyperlink w:anchor="_Toc17368183" w:history="1">
            <w:r w:rsidR="00FE40D6" w:rsidRPr="004C0BFE">
              <w:rPr>
                <w:rStyle w:val="Hyperlink"/>
                <w:noProof/>
              </w:rPr>
              <w:t>5.6.1.</w:t>
            </w:r>
            <w:r w:rsidR="00FE40D6" w:rsidRPr="004C0BFE">
              <w:rPr>
                <w:rFonts w:cstheme="minorBidi"/>
                <w:noProof/>
                <w:sz w:val="22"/>
              </w:rPr>
              <w:tab/>
            </w:r>
            <w:r w:rsidR="00FE40D6" w:rsidRPr="004C0BFE">
              <w:rPr>
                <w:rStyle w:val="Hyperlink"/>
                <w:noProof/>
              </w:rPr>
              <w:t>Scoping Memo Issue 11: Proposal</w:t>
            </w:r>
            <w:r w:rsidR="00FE40D6" w:rsidRPr="004C0BFE">
              <w:rPr>
                <w:noProof/>
                <w:webHidden/>
              </w:rPr>
              <w:tab/>
            </w:r>
            <w:r w:rsidR="00FE40D6" w:rsidRPr="004C0BFE">
              <w:rPr>
                <w:noProof/>
                <w:webHidden/>
              </w:rPr>
              <w:fldChar w:fldCharType="begin"/>
            </w:r>
            <w:r w:rsidR="00FE40D6" w:rsidRPr="004C0BFE">
              <w:rPr>
                <w:noProof/>
                <w:webHidden/>
              </w:rPr>
              <w:instrText xml:space="preserve"> PAGEREF _Toc17368183 \h </w:instrText>
            </w:r>
            <w:r w:rsidR="00FE40D6" w:rsidRPr="004C0BFE">
              <w:rPr>
                <w:noProof/>
                <w:webHidden/>
              </w:rPr>
            </w:r>
            <w:r w:rsidR="00FE40D6" w:rsidRPr="004C0BFE">
              <w:rPr>
                <w:noProof/>
                <w:webHidden/>
              </w:rPr>
              <w:fldChar w:fldCharType="separate"/>
            </w:r>
            <w:r>
              <w:rPr>
                <w:noProof/>
                <w:webHidden/>
              </w:rPr>
              <w:t>44</w:t>
            </w:r>
            <w:r w:rsidR="00FE40D6" w:rsidRPr="004C0BFE">
              <w:rPr>
                <w:noProof/>
                <w:webHidden/>
              </w:rPr>
              <w:fldChar w:fldCharType="end"/>
            </w:r>
          </w:hyperlink>
        </w:p>
        <w:p w14:paraId="765FCF6B" w14:textId="74FA6C56" w:rsidR="00FE40D6" w:rsidRPr="004C0BFE" w:rsidRDefault="00EB164C">
          <w:pPr>
            <w:pStyle w:val="TOC3"/>
            <w:tabs>
              <w:tab w:val="left" w:pos="1296"/>
              <w:tab w:val="right" w:leader="dot" w:pos="9350"/>
            </w:tabs>
            <w:rPr>
              <w:rFonts w:cstheme="minorBidi"/>
              <w:noProof/>
              <w:sz w:val="22"/>
            </w:rPr>
          </w:pPr>
          <w:hyperlink w:anchor="_Toc17368184" w:history="1">
            <w:r w:rsidR="00FE40D6" w:rsidRPr="004C0BFE">
              <w:rPr>
                <w:rStyle w:val="Hyperlink"/>
                <w:noProof/>
              </w:rPr>
              <w:t>5.6.2.</w:t>
            </w:r>
            <w:r w:rsidR="00FE40D6" w:rsidRPr="004C0BFE">
              <w:rPr>
                <w:rFonts w:cstheme="minorBidi"/>
                <w:noProof/>
                <w:sz w:val="22"/>
              </w:rPr>
              <w:tab/>
            </w:r>
            <w:r w:rsidR="00FE40D6" w:rsidRPr="004C0BFE">
              <w:rPr>
                <w:rStyle w:val="Hyperlink"/>
                <w:noProof/>
              </w:rPr>
              <w:t>Scoping Memo Issue 11: Party Comments</w:t>
            </w:r>
            <w:r w:rsidR="00FE40D6" w:rsidRPr="004C0BFE">
              <w:rPr>
                <w:noProof/>
                <w:webHidden/>
              </w:rPr>
              <w:tab/>
            </w:r>
            <w:r w:rsidR="00FE40D6" w:rsidRPr="004C0BFE">
              <w:rPr>
                <w:noProof/>
                <w:webHidden/>
              </w:rPr>
              <w:fldChar w:fldCharType="begin"/>
            </w:r>
            <w:r w:rsidR="00FE40D6" w:rsidRPr="004C0BFE">
              <w:rPr>
                <w:noProof/>
                <w:webHidden/>
              </w:rPr>
              <w:instrText xml:space="preserve"> PAGEREF _Toc17368184 \h </w:instrText>
            </w:r>
            <w:r w:rsidR="00FE40D6" w:rsidRPr="004C0BFE">
              <w:rPr>
                <w:noProof/>
                <w:webHidden/>
              </w:rPr>
            </w:r>
            <w:r w:rsidR="00FE40D6" w:rsidRPr="004C0BFE">
              <w:rPr>
                <w:noProof/>
                <w:webHidden/>
              </w:rPr>
              <w:fldChar w:fldCharType="separate"/>
            </w:r>
            <w:r>
              <w:rPr>
                <w:noProof/>
                <w:webHidden/>
              </w:rPr>
              <w:t>44</w:t>
            </w:r>
            <w:r w:rsidR="00FE40D6" w:rsidRPr="004C0BFE">
              <w:rPr>
                <w:noProof/>
                <w:webHidden/>
              </w:rPr>
              <w:fldChar w:fldCharType="end"/>
            </w:r>
          </w:hyperlink>
        </w:p>
        <w:p w14:paraId="54A52D76" w14:textId="1A97BE78" w:rsidR="00FE40D6" w:rsidRPr="004C0BFE" w:rsidRDefault="00EB164C">
          <w:pPr>
            <w:pStyle w:val="TOC3"/>
            <w:tabs>
              <w:tab w:val="left" w:pos="1296"/>
              <w:tab w:val="right" w:leader="dot" w:pos="9350"/>
            </w:tabs>
            <w:rPr>
              <w:rFonts w:cstheme="minorBidi"/>
              <w:noProof/>
              <w:sz w:val="22"/>
            </w:rPr>
          </w:pPr>
          <w:hyperlink w:anchor="_Toc17368185" w:history="1">
            <w:r w:rsidR="00FE40D6" w:rsidRPr="004C0BFE">
              <w:rPr>
                <w:rStyle w:val="Hyperlink"/>
                <w:noProof/>
              </w:rPr>
              <w:t>5.6.3.</w:t>
            </w:r>
            <w:r w:rsidR="00FE40D6" w:rsidRPr="004C0BFE">
              <w:rPr>
                <w:rFonts w:cstheme="minorBidi"/>
                <w:noProof/>
                <w:sz w:val="22"/>
              </w:rPr>
              <w:tab/>
            </w:r>
            <w:r w:rsidR="00FE40D6" w:rsidRPr="004C0BFE">
              <w:rPr>
                <w:rStyle w:val="Hyperlink"/>
                <w:noProof/>
              </w:rPr>
              <w:t>Resolving Scoping Memo Issue 11</w:t>
            </w:r>
            <w:r w:rsidR="00FE40D6" w:rsidRPr="004C0BFE">
              <w:rPr>
                <w:noProof/>
                <w:webHidden/>
              </w:rPr>
              <w:tab/>
            </w:r>
            <w:r w:rsidR="00FE40D6" w:rsidRPr="004C0BFE">
              <w:rPr>
                <w:noProof/>
                <w:webHidden/>
              </w:rPr>
              <w:fldChar w:fldCharType="begin"/>
            </w:r>
            <w:r w:rsidR="00FE40D6" w:rsidRPr="004C0BFE">
              <w:rPr>
                <w:noProof/>
                <w:webHidden/>
              </w:rPr>
              <w:instrText xml:space="preserve"> PAGEREF _Toc17368185 \h </w:instrText>
            </w:r>
            <w:r w:rsidR="00FE40D6" w:rsidRPr="004C0BFE">
              <w:rPr>
                <w:noProof/>
                <w:webHidden/>
              </w:rPr>
            </w:r>
            <w:r w:rsidR="00FE40D6" w:rsidRPr="004C0BFE">
              <w:rPr>
                <w:noProof/>
                <w:webHidden/>
              </w:rPr>
              <w:fldChar w:fldCharType="separate"/>
            </w:r>
            <w:r>
              <w:rPr>
                <w:noProof/>
                <w:webHidden/>
              </w:rPr>
              <w:t>45</w:t>
            </w:r>
            <w:r w:rsidR="00FE40D6" w:rsidRPr="004C0BFE">
              <w:rPr>
                <w:noProof/>
                <w:webHidden/>
              </w:rPr>
              <w:fldChar w:fldCharType="end"/>
            </w:r>
          </w:hyperlink>
        </w:p>
        <w:p w14:paraId="5FCDEFCB" w14:textId="30E93F10" w:rsidR="00FE40D6" w:rsidRPr="004C0BFE" w:rsidRDefault="00EB164C">
          <w:pPr>
            <w:pStyle w:val="TOC1"/>
            <w:tabs>
              <w:tab w:val="right" w:leader="dot" w:pos="9350"/>
            </w:tabs>
            <w:rPr>
              <w:rFonts w:cstheme="minorBidi"/>
              <w:noProof/>
              <w:sz w:val="22"/>
            </w:rPr>
          </w:pPr>
          <w:hyperlink w:anchor="_Toc17368186" w:history="1">
            <w:r w:rsidR="00FE40D6" w:rsidRPr="004C0BFE">
              <w:rPr>
                <w:rStyle w:val="Hyperlink"/>
                <w:noProof/>
              </w:rPr>
              <w:t>6.</w:t>
            </w:r>
            <w:r w:rsidR="00FE40D6" w:rsidRPr="004C0BFE">
              <w:rPr>
                <w:rFonts w:cstheme="minorBidi"/>
                <w:noProof/>
                <w:sz w:val="22"/>
              </w:rPr>
              <w:tab/>
            </w:r>
            <w:r w:rsidR="00FE40D6" w:rsidRPr="004C0BFE">
              <w:rPr>
                <w:rStyle w:val="Hyperlink"/>
                <w:noProof/>
              </w:rPr>
              <w:t>Comments on Proposed Decision</w:t>
            </w:r>
            <w:r w:rsidR="00FE40D6" w:rsidRPr="004C0BFE">
              <w:rPr>
                <w:noProof/>
                <w:webHidden/>
              </w:rPr>
              <w:tab/>
            </w:r>
            <w:r w:rsidR="00FE40D6" w:rsidRPr="004C0BFE">
              <w:rPr>
                <w:noProof/>
                <w:webHidden/>
              </w:rPr>
              <w:fldChar w:fldCharType="begin"/>
            </w:r>
            <w:r w:rsidR="00FE40D6" w:rsidRPr="004C0BFE">
              <w:rPr>
                <w:noProof/>
                <w:webHidden/>
              </w:rPr>
              <w:instrText xml:space="preserve"> PAGEREF _Toc17368186 \h </w:instrText>
            </w:r>
            <w:r w:rsidR="00FE40D6" w:rsidRPr="004C0BFE">
              <w:rPr>
                <w:noProof/>
                <w:webHidden/>
              </w:rPr>
            </w:r>
            <w:r w:rsidR="00FE40D6" w:rsidRPr="004C0BFE">
              <w:rPr>
                <w:noProof/>
                <w:webHidden/>
              </w:rPr>
              <w:fldChar w:fldCharType="separate"/>
            </w:r>
            <w:r>
              <w:rPr>
                <w:noProof/>
                <w:webHidden/>
              </w:rPr>
              <w:t>46</w:t>
            </w:r>
            <w:r w:rsidR="00FE40D6" w:rsidRPr="004C0BFE">
              <w:rPr>
                <w:noProof/>
                <w:webHidden/>
              </w:rPr>
              <w:fldChar w:fldCharType="end"/>
            </w:r>
          </w:hyperlink>
        </w:p>
        <w:p w14:paraId="7A75161C" w14:textId="4AA740C4" w:rsidR="00FE40D6" w:rsidRPr="004C0BFE" w:rsidRDefault="00EB164C">
          <w:pPr>
            <w:pStyle w:val="TOC1"/>
            <w:tabs>
              <w:tab w:val="right" w:leader="dot" w:pos="9350"/>
            </w:tabs>
            <w:rPr>
              <w:rFonts w:cstheme="minorBidi"/>
              <w:noProof/>
              <w:sz w:val="22"/>
            </w:rPr>
          </w:pPr>
          <w:hyperlink w:anchor="_Toc17368187" w:history="1">
            <w:r w:rsidR="00FE40D6" w:rsidRPr="004C0BFE">
              <w:rPr>
                <w:rStyle w:val="Hyperlink"/>
                <w:noProof/>
              </w:rPr>
              <w:t>7.</w:t>
            </w:r>
            <w:r w:rsidR="00FE40D6" w:rsidRPr="004C0BFE">
              <w:rPr>
                <w:rFonts w:cstheme="minorBidi"/>
                <w:noProof/>
                <w:sz w:val="22"/>
              </w:rPr>
              <w:tab/>
            </w:r>
            <w:r w:rsidR="00FE40D6" w:rsidRPr="004C0BFE">
              <w:rPr>
                <w:rStyle w:val="Hyperlink"/>
                <w:noProof/>
              </w:rPr>
              <w:t>Assignment of Proceeding</w:t>
            </w:r>
            <w:r w:rsidR="00FE40D6" w:rsidRPr="004C0BFE">
              <w:rPr>
                <w:noProof/>
                <w:webHidden/>
              </w:rPr>
              <w:tab/>
            </w:r>
            <w:r w:rsidR="00FE40D6" w:rsidRPr="004C0BFE">
              <w:rPr>
                <w:noProof/>
                <w:webHidden/>
              </w:rPr>
              <w:fldChar w:fldCharType="begin"/>
            </w:r>
            <w:r w:rsidR="00FE40D6" w:rsidRPr="004C0BFE">
              <w:rPr>
                <w:noProof/>
                <w:webHidden/>
              </w:rPr>
              <w:instrText xml:space="preserve"> PAGEREF _Toc17368187 \h </w:instrText>
            </w:r>
            <w:r w:rsidR="00FE40D6" w:rsidRPr="004C0BFE">
              <w:rPr>
                <w:noProof/>
                <w:webHidden/>
              </w:rPr>
            </w:r>
            <w:r w:rsidR="00FE40D6" w:rsidRPr="004C0BFE">
              <w:rPr>
                <w:noProof/>
                <w:webHidden/>
              </w:rPr>
              <w:fldChar w:fldCharType="separate"/>
            </w:r>
            <w:r>
              <w:rPr>
                <w:noProof/>
                <w:webHidden/>
              </w:rPr>
              <w:t>46</w:t>
            </w:r>
            <w:r w:rsidR="00FE40D6" w:rsidRPr="004C0BFE">
              <w:rPr>
                <w:noProof/>
                <w:webHidden/>
              </w:rPr>
              <w:fldChar w:fldCharType="end"/>
            </w:r>
          </w:hyperlink>
        </w:p>
        <w:p w14:paraId="78DE286E" w14:textId="189CC7F1" w:rsidR="00FE40D6" w:rsidRPr="004C0BFE" w:rsidRDefault="00EB164C">
          <w:pPr>
            <w:pStyle w:val="TOC1"/>
            <w:tabs>
              <w:tab w:val="right" w:leader="dot" w:pos="9350"/>
            </w:tabs>
            <w:rPr>
              <w:rFonts w:cstheme="minorBidi"/>
              <w:noProof/>
              <w:sz w:val="22"/>
            </w:rPr>
          </w:pPr>
          <w:hyperlink w:anchor="_Toc17368188" w:history="1">
            <w:r w:rsidR="00FE40D6" w:rsidRPr="004C0BFE">
              <w:rPr>
                <w:rStyle w:val="Hyperlink"/>
                <w:noProof/>
              </w:rPr>
              <w:t>Findings of Fact</w:t>
            </w:r>
            <w:r w:rsidR="00FE40D6" w:rsidRPr="004C0BFE">
              <w:rPr>
                <w:noProof/>
                <w:webHidden/>
              </w:rPr>
              <w:tab/>
            </w:r>
            <w:r w:rsidR="00FE40D6" w:rsidRPr="004C0BFE">
              <w:rPr>
                <w:noProof/>
                <w:webHidden/>
              </w:rPr>
              <w:fldChar w:fldCharType="begin"/>
            </w:r>
            <w:r w:rsidR="00FE40D6" w:rsidRPr="004C0BFE">
              <w:rPr>
                <w:noProof/>
                <w:webHidden/>
              </w:rPr>
              <w:instrText xml:space="preserve"> PAGEREF _Toc17368188 \h </w:instrText>
            </w:r>
            <w:r w:rsidR="00FE40D6" w:rsidRPr="004C0BFE">
              <w:rPr>
                <w:noProof/>
                <w:webHidden/>
              </w:rPr>
            </w:r>
            <w:r w:rsidR="00FE40D6" w:rsidRPr="004C0BFE">
              <w:rPr>
                <w:noProof/>
                <w:webHidden/>
              </w:rPr>
              <w:fldChar w:fldCharType="separate"/>
            </w:r>
            <w:r>
              <w:rPr>
                <w:noProof/>
                <w:webHidden/>
              </w:rPr>
              <w:t>47</w:t>
            </w:r>
            <w:r w:rsidR="00FE40D6" w:rsidRPr="004C0BFE">
              <w:rPr>
                <w:noProof/>
                <w:webHidden/>
              </w:rPr>
              <w:fldChar w:fldCharType="end"/>
            </w:r>
          </w:hyperlink>
        </w:p>
        <w:p w14:paraId="7DC1F254" w14:textId="48962A67" w:rsidR="00FE40D6" w:rsidRPr="004C0BFE" w:rsidRDefault="00EB164C">
          <w:pPr>
            <w:pStyle w:val="TOC1"/>
            <w:tabs>
              <w:tab w:val="right" w:leader="dot" w:pos="9350"/>
            </w:tabs>
            <w:rPr>
              <w:rFonts w:cstheme="minorBidi"/>
              <w:noProof/>
              <w:sz w:val="22"/>
            </w:rPr>
          </w:pPr>
          <w:hyperlink w:anchor="_Toc17368189" w:history="1">
            <w:r w:rsidR="00FE40D6" w:rsidRPr="004C0BFE">
              <w:rPr>
                <w:rStyle w:val="Hyperlink"/>
                <w:noProof/>
              </w:rPr>
              <w:t>Conclusions of Law</w:t>
            </w:r>
            <w:r w:rsidR="00FE40D6" w:rsidRPr="004C0BFE">
              <w:rPr>
                <w:noProof/>
                <w:webHidden/>
              </w:rPr>
              <w:tab/>
            </w:r>
            <w:r w:rsidR="00FE40D6" w:rsidRPr="004C0BFE">
              <w:rPr>
                <w:noProof/>
                <w:webHidden/>
              </w:rPr>
              <w:fldChar w:fldCharType="begin"/>
            </w:r>
            <w:r w:rsidR="00FE40D6" w:rsidRPr="004C0BFE">
              <w:rPr>
                <w:noProof/>
                <w:webHidden/>
              </w:rPr>
              <w:instrText xml:space="preserve"> PAGEREF _Toc17368189 \h </w:instrText>
            </w:r>
            <w:r w:rsidR="00FE40D6" w:rsidRPr="004C0BFE">
              <w:rPr>
                <w:noProof/>
                <w:webHidden/>
              </w:rPr>
            </w:r>
            <w:r w:rsidR="00FE40D6" w:rsidRPr="004C0BFE">
              <w:rPr>
                <w:noProof/>
                <w:webHidden/>
              </w:rPr>
              <w:fldChar w:fldCharType="separate"/>
            </w:r>
            <w:r>
              <w:rPr>
                <w:noProof/>
                <w:webHidden/>
              </w:rPr>
              <w:t>51</w:t>
            </w:r>
            <w:r w:rsidR="00FE40D6" w:rsidRPr="004C0BFE">
              <w:rPr>
                <w:noProof/>
                <w:webHidden/>
              </w:rPr>
              <w:fldChar w:fldCharType="end"/>
            </w:r>
          </w:hyperlink>
        </w:p>
        <w:p w14:paraId="147A6FCA" w14:textId="5598519E" w:rsidR="00FE40D6" w:rsidRPr="004C0BFE" w:rsidRDefault="00EB164C">
          <w:pPr>
            <w:pStyle w:val="TOC1"/>
            <w:tabs>
              <w:tab w:val="right" w:leader="dot" w:pos="9350"/>
            </w:tabs>
            <w:rPr>
              <w:rFonts w:cstheme="minorBidi"/>
              <w:noProof/>
              <w:sz w:val="22"/>
            </w:rPr>
          </w:pPr>
          <w:hyperlink w:anchor="_Toc17368190" w:history="1">
            <w:r w:rsidR="00FE40D6" w:rsidRPr="004C0BFE">
              <w:rPr>
                <w:rStyle w:val="Hyperlink"/>
                <w:noProof/>
              </w:rPr>
              <w:t>ORDER</w:t>
            </w:r>
            <w:r w:rsidR="00FE40D6" w:rsidRPr="004C0BFE">
              <w:rPr>
                <w:noProof/>
                <w:webHidden/>
              </w:rPr>
              <w:tab/>
            </w:r>
            <w:r w:rsidR="00FE40D6" w:rsidRPr="004C0BFE">
              <w:rPr>
                <w:noProof/>
                <w:webHidden/>
              </w:rPr>
              <w:fldChar w:fldCharType="begin"/>
            </w:r>
            <w:r w:rsidR="00FE40D6" w:rsidRPr="004C0BFE">
              <w:rPr>
                <w:noProof/>
                <w:webHidden/>
              </w:rPr>
              <w:instrText xml:space="preserve"> PAGEREF _Toc17368190 \h </w:instrText>
            </w:r>
            <w:r w:rsidR="00FE40D6" w:rsidRPr="004C0BFE">
              <w:rPr>
                <w:noProof/>
                <w:webHidden/>
              </w:rPr>
            </w:r>
            <w:r w:rsidR="00FE40D6" w:rsidRPr="004C0BFE">
              <w:rPr>
                <w:noProof/>
                <w:webHidden/>
              </w:rPr>
              <w:fldChar w:fldCharType="separate"/>
            </w:r>
            <w:r>
              <w:rPr>
                <w:noProof/>
                <w:webHidden/>
              </w:rPr>
              <w:t>54</w:t>
            </w:r>
            <w:r w:rsidR="00FE40D6" w:rsidRPr="004C0BFE">
              <w:rPr>
                <w:noProof/>
                <w:webHidden/>
              </w:rPr>
              <w:fldChar w:fldCharType="end"/>
            </w:r>
          </w:hyperlink>
        </w:p>
        <w:p w14:paraId="4C051B7F" w14:textId="0969E7C9" w:rsidR="00D82A43" w:rsidRPr="004C0BFE" w:rsidRDefault="007251FC" w:rsidP="007251FC">
          <w:pPr>
            <w:pStyle w:val="TOC1"/>
            <w:tabs>
              <w:tab w:val="right" w:leader="dot" w:pos="9350"/>
            </w:tabs>
          </w:pPr>
          <w:r w:rsidRPr="004C0BFE">
            <w:rPr>
              <w:sz w:val="22"/>
            </w:rPr>
            <w:fldChar w:fldCharType="end"/>
          </w:r>
        </w:p>
      </w:sdtContent>
    </w:sdt>
    <w:p w14:paraId="1625523C" w14:textId="1FC51E34" w:rsidR="00D44DB6" w:rsidRPr="004C0BFE" w:rsidRDefault="00D44DB6" w:rsidP="00D44DB6">
      <w:pPr>
        <w:spacing w:line="240" w:lineRule="auto"/>
        <w:ind w:firstLine="0"/>
        <w:rPr>
          <w:rFonts w:cs="Arial"/>
          <w:i/>
          <w:szCs w:val="26"/>
        </w:rPr>
        <w:sectPr w:rsidR="00D44DB6" w:rsidRPr="004C0BFE" w:rsidSect="00D44DB6">
          <w:headerReference w:type="default" r:id="rId13"/>
          <w:footerReference w:type="default" r:id="rId14"/>
          <w:pgSz w:w="12240" w:h="15840"/>
          <w:pgMar w:top="1728" w:right="1440" w:bottom="1440" w:left="1440" w:header="720" w:footer="720" w:gutter="0"/>
          <w:pgNumType w:fmt="lowerRoman" w:start="1"/>
          <w:cols w:space="720"/>
          <w:docGrid w:linePitch="360"/>
        </w:sectPr>
      </w:pPr>
    </w:p>
    <w:p w14:paraId="30D0840A" w14:textId="5AB19C4F" w:rsidR="00844D9B" w:rsidRDefault="00844D9B" w:rsidP="00844D9B">
      <w:pPr>
        <w:pStyle w:val="ALJHeadingNo"/>
        <w:jc w:val="center"/>
      </w:pPr>
      <w:r>
        <w:lastRenderedPageBreak/>
        <w:t>DECISION REFINING THE METHOD TO DEVELOP AND TRUE UP MARKET PRICE BENCHMARK</w:t>
      </w:r>
      <w:r w:rsidR="00FE40D6">
        <w:t>S</w:t>
      </w:r>
    </w:p>
    <w:p w14:paraId="4A664EF8" w14:textId="77777777" w:rsidR="0098655A" w:rsidRDefault="0098655A" w:rsidP="00D82A43">
      <w:pPr>
        <w:pStyle w:val="Main"/>
        <w:spacing w:after="240"/>
      </w:pPr>
    </w:p>
    <w:p w14:paraId="51F06A0B" w14:textId="2FFD738A" w:rsidR="005A148C" w:rsidRDefault="005A148C" w:rsidP="005A148C">
      <w:pPr>
        <w:pStyle w:val="Dummy"/>
      </w:pPr>
      <w:bookmarkStart w:id="3" w:name="_Toc8123714"/>
      <w:bookmarkStart w:id="4" w:name="_Toc17368154"/>
      <w:r>
        <w:t>Summary</w:t>
      </w:r>
      <w:bookmarkEnd w:id="3"/>
      <w:bookmarkEnd w:id="4"/>
    </w:p>
    <w:p w14:paraId="0F20FBB2" w14:textId="60D320D5" w:rsidR="00844D9B" w:rsidRPr="004C0BFE" w:rsidRDefault="00844D9B" w:rsidP="00116DFB">
      <w:pPr>
        <w:pStyle w:val="Standard"/>
      </w:pPr>
      <w:r w:rsidRPr="004C0BFE">
        <w:t>This decision refines the method, data, and process requirements for the forecast and true up of the Market Price Benchmark</w:t>
      </w:r>
      <w:r w:rsidR="007B6868" w:rsidRPr="004C0BFE">
        <w:t xml:space="preserve">s </w:t>
      </w:r>
      <w:r w:rsidRPr="004C0BFE">
        <w:t>to be used in determining the Power Charge Indifference Adjustment rate.</w:t>
      </w:r>
    </w:p>
    <w:p w14:paraId="7F648B04" w14:textId="77777777" w:rsidR="00844D9B" w:rsidRPr="004C0BFE" w:rsidRDefault="00844D9B" w:rsidP="00844D9B">
      <w:pPr>
        <w:pStyle w:val="ALJBodyText"/>
      </w:pPr>
      <w:r w:rsidRPr="004C0BFE">
        <w:t xml:space="preserve">This proceeding remains open to address the remaining issues identified in the February 1, 2019 Phase 2 Scoping Memo and Ruling of Assigned Commissioner. </w:t>
      </w:r>
    </w:p>
    <w:p w14:paraId="4F3610DD" w14:textId="77777777" w:rsidR="00844D9B" w:rsidRPr="003871CE" w:rsidRDefault="00844D9B" w:rsidP="00844D9B">
      <w:pPr>
        <w:pStyle w:val="ALJHeading1"/>
      </w:pPr>
      <w:bookmarkStart w:id="5" w:name="_Toc2517038"/>
      <w:bookmarkStart w:id="6" w:name="_Toc2523436"/>
      <w:bookmarkStart w:id="7" w:name="_Toc16242510"/>
      <w:bookmarkStart w:id="8" w:name="_Toc17368155"/>
      <w:r>
        <w:t>Procedural Background</w:t>
      </w:r>
      <w:bookmarkEnd w:id="5"/>
      <w:bookmarkEnd w:id="6"/>
      <w:bookmarkEnd w:id="7"/>
      <w:bookmarkEnd w:id="8"/>
    </w:p>
    <w:p w14:paraId="6831C43A" w14:textId="109BD1DF" w:rsidR="00844D9B" w:rsidRPr="004C0BFE" w:rsidRDefault="00844D9B" w:rsidP="00116DFB">
      <w:pPr>
        <w:pStyle w:val="Standard"/>
      </w:pPr>
      <w:r w:rsidRPr="004C0BFE">
        <w:t xml:space="preserve">The </w:t>
      </w:r>
      <w:bookmarkStart w:id="9" w:name="_Hlk14355353"/>
      <w:r w:rsidRPr="004C0BFE">
        <w:t>Power Charge Indifference Adjustment</w:t>
      </w:r>
      <w:bookmarkEnd w:id="9"/>
      <w:r w:rsidRPr="004C0BFE">
        <w:t xml:space="preserve"> (PCIA) is a mechanism adopted by the Commission as part of a ratemaking methodology developed to ensure that when electric customers of an investor-owned utility (IOU) depart from IOU service and receive their electricity from a non-IOU provider, those customers remain responsible for costs previously incurred on their behalf by the IOUs.  The Commission initiated the Order Instituting Rulemaking (R.) 17-06-026 on June 26, 2017 to review the PCIA methodology</w:t>
      </w:r>
      <w:r w:rsidR="007B6868" w:rsidRPr="004C0BFE">
        <w:t>, which was originally</w:t>
      </w:r>
      <w:r w:rsidR="00D65608" w:rsidRPr="004C0BFE">
        <w:t xml:space="preserve"> </w:t>
      </w:r>
      <w:r w:rsidRPr="004C0BFE">
        <w:t>established shortly after the 2001 California energy crisis.</w:t>
      </w:r>
    </w:p>
    <w:p w14:paraId="5841CC05" w14:textId="44CF1A53" w:rsidR="00844D9B" w:rsidRPr="004C0BFE" w:rsidRDefault="00844D9B" w:rsidP="00116DFB">
      <w:pPr>
        <w:pStyle w:val="Standard"/>
      </w:pPr>
      <w:r w:rsidRPr="004C0BFE">
        <w:t xml:space="preserve">Track 1 of R.17-06-026 examined issues regarding exemptions from the PCIA for the IOUs’ California Alternate Rates for Energy (CARE) and Medical Baseline customers.  The Commission resolved these issues in Decision </w:t>
      </w:r>
      <w:r w:rsidR="004D4DBC" w:rsidRPr="004C0BFE">
        <w:br/>
      </w:r>
      <w:r w:rsidRPr="004C0BFE">
        <w:t>(D.) 18-07-009 and D.18-09-013.  Track 2 examined the then-current PCIA methodology and considered alternatives to that mechanism.</w:t>
      </w:r>
      <w:r w:rsidR="004D4DBC" w:rsidRPr="004C0BFE">
        <w:t xml:space="preserve">  </w:t>
      </w:r>
      <w:r w:rsidRPr="004C0BFE">
        <w:t xml:space="preserve">The Commission resolved those issues in D.18-10-019, thus concluding Phase 1. </w:t>
      </w:r>
      <w:r w:rsidR="00D65608" w:rsidRPr="004C0BFE">
        <w:t xml:space="preserve"> </w:t>
      </w:r>
      <w:r w:rsidRPr="004C0BFE">
        <w:t xml:space="preserve">D.18-10-019 also determined that a second phase of this proceeding would be opened in order to </w:t>
      </w:r>
      <w:r w:rsidRPr="004C0BFE">
        <w:lastRenderedPageBreak/>
        <w:t>establish a working group process to enable parties to further develop proposals for future consideration by the Commission.</w:t>
      </w:r>
      <w:r w:rsidRPr="004C0BFE">
        <w:rPr>
          <w:rStyle w:val="FootnoteReference"/>
        </w:rPr>
        <w:footnoteReference w:id="2"/>
      </w:r>
    </w:p>
    <w:p w14:paraId="6F3CCBAF" w14:textId="5D544574" w:rsidR="00844D9B" w:rsidRPr="004C0BFE" w:rsidRDefault="00844D9B" w:rsidP="00844D9B">
      <w:pPr>
        <w:pStyle w:val="ALJBodyText"/>
      </w:pPr>
      <w:r w:rsidRPr="004C0BFE">
        <w:t>On December 19, 2018, a prehearing conference was held to discuss the scope and schedule of Phase 2.</w:t>
      </w:r>
      <w:r w:rsidR="00B56745" w:rsidRPr="004C0BFE">
        <w:t xml:space="preserve"> </w:t>
      </w:r>
      <w:r w:rsidRPr="004C0BFE">
        <w:t xml:space="preserve"> Subsequently, the February 1, 2019 Scoping Memo and Ruling of Assigned Commissioner (Scoping Memo) set forth the scope and schedule of the proceeding.</w:t>
      </w:r>
      <w:r w:rsidR="00B56745" w:rsidRPr="004C0BFE">
        <w:t xml:space="preserve">  </w:t>
      </w:r>
      <w:r w:rsidRPr="004C0BFE">
        <w:t xml:space="preserve">The Scoping Memo also established a working group process in the proceeding whereby resolution of the issues of the proceeding would be proposed by three working groups, Working Groups One through Three.  </w:t>
      </w:r>
    </w:p>
    <w:p w14:paraId="0A5ED9AF" w14:textId="61604E87" w:rsidR="00844D9B" w:rsidRPr="004C0BFE" w:rsidRDefault="00844D9B" w:rsidP="00844D9B">
      <w:pPr>
        <w:pStyle w:val="ALJBodyText"/>
      </w:pPr>
      <w:r w:rsidRPr="004C0BFE">
        <w:t xml:space="preserve">The Scoping Memo identified three sets of issues within the scope of Phase 2 of this proceeding: 1) Issues with the highest priority: Benchmark </w:t>
      </w:r>
      <w:r w:rsidR="00B56745" w:rsidRPr="004C0BFE">
        <w:br/>
      </w:r>
      <w:r w:rsidRPr="004C0BFE">
        <w:t>True</w:t>
      </w:r>
      <w:r w:rsidR="00FB3A2A" w:rsidRPr="004C0BFE">
        <w:t xml:space="preserve"> </w:t>
      </w:r>
      <w:r w:rsidRPr="004C0BFE">
        <w:t xml:space="preserve">Up and Other Benchmarking Issues; 2) Issues to be resolved in early 2020: Prepayment; and 3) Issues to be resolved by mid-2020: Portfolio Optimization and Cost Reduction, Allocation and Auction. The first set of issues, issues 1 through 7, concern methodologies to calculate and true up </w:t>
      </w:r>
      <w:r w:rsidR="00BC4CC6" w:rsidRPr="004C0BFE">
        <w:t xml:space="preserve">the </w:t>
      </w:r>
      <w:r w:rsidRPr="004C0BFE">
        <w:t xml:space="preserve">PCIA </w:t>
      </w:r>
      <w:r w:rsidR="00BC4CC6" w:rsidRPr="004C0BFE">
        <w:t>M</w:t>
      </w:r>
      <w:r w:rsidRPr="004C0BFE">
        <w:t xml:space="preserve">arket </w:t>
      </w:r>
      <w:r w:rsidR="00BC4CC6" w:rsidRPr="004C0BFE">
        <w:t>P</w:t>
      </w:r>
      <w:r w:rsidRPr="004C0BFE">
        <w:t xml:space="preserve">rice </w:t>
      </w:r>
      <w:r w:rsidR="00BC4CC6" w:rsidRPr="004C0BFE">
        <w:t>B</w:t>
      </w:r>
      <w:r w:rsidRPr="004C0BFE">
        <w:t xml:space="preserve">enchmarks </w:t>
      </w:r>
      <w:r w:rsidR="00BC4CC6" w:rsidRPr="004C0BFE">
        <w:t>(MPB</w:t>
      </w:r>
      <w:r w:rsidR="00A964B6" w:rsidRPr="004C0BFE">
        <w:t>s</w:t>
      </w:r>
      <w:r w:rsidR="00BC4CC6" w:rsidRPr="004C0BFE">
        <w:t xml:space="preserve">) </w:t>
      </w:r>
      <w:r w:rsidRPr="004C0BFE">
        <w:t xml:space="preserve">and should be resolved in time to be implemented in the </w:t>
      </w:r>
      <w:r w:rsidR="00A964B6" w:rsidRPr="004C0BFE">
        <w:t>IOUs</w:t>
      </w:r>
      <w:r w:rsidRPr="004C0BFE">
        <w:t xml:space="preserve">’ respective 2020 Energy Resource Recovery Account (ERRA) Forecast </w:t>
      </w:r>
      <w:r w:rsidR="00BC4CC6" w:rsidRPr="004C0BFE">
        <w:t xml:space="preserve">update </w:t>
      </w:r>
      <w:r w:rsidRPr="004C0BFE">
        <w:t>filings</w:t>
      </w:r>
      <w:r w:rsidRPr="004C0BFE">
        <w:rPr>
          <w:rStyle w:val="FootnoteReference"/>
        </w:rPr>
        <w:footnoteReference w:id="3"/>
      </w:r>
      <w:r w:rsidRPr="004C0BFE">
        <w:t xml:space="preserve"> in early November 2019</w:t>
      </w:r>
      <w:r w:rsidR="00BC4CC6" w:rsidRPr="004C0BFE">
        <w:t xml:space="preserve">. </w:t>
      </w:r>
      <w:r w:rsidRPr="004C0BFE">
        <w:t xml:space="preserve"> </w:t>
      </w:r>
      <w:r w:rsidR="00BC4CC6" w:rsidRPr="004C0BFE">
        <w:t>This first set of issues</w:t>
      </w:r>
      <w:r w:rsidRPr="004C0BFE">
        <w:t xml:space="preserve"> is the subject of this decision.</w:t>
      </w:r>
      <w:r w:rsidR="00B56745" w:rsidRPr="004C0BFE">
        <w:t xml:space="preserve"> </w:t>
      </w:r>
      <w:r w:rsidRPr="004C0BFE">
        <w:t xml:space="preserve"> The </w:t>
      </w:r>
      <w:r w:rsidR="00A964B6" w:rsidRPr="004C0BFE">
        <w:t>September</w:t>
      </w:r>
      <w:r w:rsidRPr="004C0BFE">
        <w:t xml:space="preserve"> 2019 ALJ Ruling also added issue 11 to the first set of issues to be addressed in this decision, so that the resolution of this issue can </w:t>
      </w:r>
      <w:r w:rsidRPr="004C0BFE">
        <w:lastRenderedPageBreak/>
        <w:t xml:space="preserve">be timely incorporated into the IOUs’ respective 2020 ERRA Forecast </w:t>
      </w:r>
      <w:r w:rsidR="00BC4CC6" w:rsidRPr="004C0BFE">
        <w:t xml:space="preserve">update </w:t>
      </w:r>
      <w:r w:rsidRPr="004C0BFE">
        <w:t>filings in early November 2019.</w:t>
      </w:r>
    </w:p>
    <w:p w14:paraId="73D1D1A2" w14:textId="11969099" w:rsidR="00844D9B" w:rsidRPr="004C0BFE" w:rsidRDefault="00844D9B" w:rsidP="00844D9B">
      <w:pPr>
        <w:pStyle w:val="ALJBodyText"/>
      </w:pPr>
      <w:r w:rsidRPr="004C0BFE">
        <w:t>The Scoping Memo designated Pacific Gas and Electric Company (PG&amp;E) and California Community Choice Association</w:t>
      </w:r>
      <w:r w:rsidRPr="004C0BFE">
        <w:rPr>
          <w:rStyle w:val="FootnoteReference"/>
        </w:rPr>
        <w:footnoteReference w:id="4"/>
      </w:r>
      <w:r w:rsidRPr="004C0BFE">
        <w:t xml:space="preserve"> (CalCCA) as co-chairs of Working Group One and listed the tasks the co-chairs are responsible for.</w:t>
      </w:r>
      <w:r w:rsidR="00EE3748" w:rsidRPr="004C0BFE">
        <w:t xml:space="preserve"> </w:t>
      </w:r>
      <w:r w:rsidRPr="004C0BFE">
        <w:t xml:space="preserve"> Pursuant to the schedule set forth by the Scoping Memo, Working Group One started meeting in March 2019. </w:t>
      </w:r>
      <w:bookmarkStart w:id="10" w:name="_Hlk15366621"/>
      <w:r w:rsidR="00EE3748" w:rsidRPr="004C0BFE">
        <w:t xml:space="preserve"> </w:t>
      </w:r>
      <w:r w:rsidRPr="004C0BFE">
        <w:t>The co-chairs of Working Group One served progress reports on March 20, 2019 and April 22, 2019.</w:t>
      </w:r>
      <w:r w:rsidR="00EE3748" w:rsidRPr="004C0BFE">
        <w:t xml:space="preserve"> </w:t>
      </w:r>
      <w:r w:rsidRPr="004C0BFE">
        <w:t xml:space="preserve"> The co-chairs filed and served the final report, </w:t>
      </w:r>
      <w:r w:rsidRPr="004C0BFE">
        <w:rPr>
          <w:i/>
          <w:iCs/>
        </w:rPr>
        <w:t>Working Group One Report on Brown Power, RPS and RA True-Up (Issues 1 through 7)</w:t>
      </w:r>
      <w:r w:rsidRPr="004C0BFE">
        <w:t xml:space="preserve"> (May Report) on May 31, 2019.</w:t>
      </w:r>
      <w:bookmarkEnd w:id="10"/>
      <w:r w:rsidRPr="004C0BFE">
        <w:t xml:space="preserve"> </w:t>
      </w:r>
      <w:r w:rsidR="00EE3748" w:rsidRPr="004C0BFE">
        <w:t xml:space="preserve"> </w:t>
      </w:r>
      <w:r w:rsidRPr="004C0BFE">
        <w:t>The May Report includes the Working Group One proposal as well as a proposal by The Utility Reform Network (TURN) and informal comments from the parties on the Working Group One proposal and TURN’s proposal.</w:t>
      </w:r>
      <w:r w:rsidRPr="004C0BFE">
        <w:rPr>
          <w:rStyle w:val="FootnoteReference"/>
        </w:rPr>
        <w:footnoteReference w:id="5"/>
      </w:r>
      <w:r w:rsidRPr="004C0BFE">
        <w:t xml:space="preserve"> </w:t>
      </w:r>
      <w:r w:rsidR="00EE3748" w:rsidRPr="004C0BFE">
        <w:t xml:space="preserve"> </w:t>
      </w:r>
      <w:r w:rsidRPr="004C0BFE">
        <w:t xml:space="preserve">The comments attached to the May Report were served by the Protect Our Communities Foundation (POC), Public Advocates Office, TURN, The Utility Consumers’ Action Network (UCAN), California Large Energy Consumers Association (CLECA), Southern California Edison Company (SCE), San Diego Gas &amp; Electric Company (SDG&amp;E), Alliance for Retail Energy Markets and the Direct Access Customer Coalition </w:t>
      </w:r>
      <w:r w:rsidRPr="004C0BFE">
        <w:lastRenderedPageBreak/>
        <w:t xml:space="preserve">(AReM/DACC), the City of San Diego, CalCCA, </w:t>
      </w:r>
      <w:r w:rsidR="00CA7051" w:rsidRPr="004C0BFE">
        <w:t xml:space="preserve">and </w:t>
      </w:r>
      <w:r w:rsidRPr="004C0BFE">
        <w:t xml:space="preserve">jointly by PG&amp;E, SCE, and SDG&amp;E (collectively, </w:t>
      </w:r>
      <w:r w:rsidR="00CA7051" w:rsidRPr="004C0BFE">
        <w:t xml:space="preserve">the </w:t>
      </w:r>
      <w:r w:rsidRPr="004C0BFE">
        <w:t xml:space="preserve">IOUs). </w:t>
      </w:r>
    </w:p>
    <w:p w14:paraId="7C105165" w14:textId="109D3B81" w:rsidR="007949F7" w:rsidRPr="004C0BFE" w:rsidRDefault="005931C5" w:rsidP="00F65762">
      <w:pPr>
        <w:pStyle w:val="ALJBodyText"/>
        <w:ind w:firstLine="0"/>
      </w:pPr>
      <w:r w:rsidRPr="004C0BFE">
        <w:t>On July 1, 2019, t</w:t>
      </w:r>
      <w:r w:rsidR="00844D9B" w:rsidRPr="004C0BFE">
        <w:t xml:space="preserve">he co-chairs of Working Group One filed and served Working Group One Report on Issues 8 through 12 (July Report). </w:t>
      </w:r>
      <w:r w:rsidR="007949F7" w:rsidRPr="004C0BFE">
        <w:t xml:space="preserve"> </w:t>
      </w:r>
      <w:r w:rsidR="00844D9B" w:rsidRPr="004C0BFE">
        <w:t>The July Report includes the Joint IOU proposal on billing determinants.</w:t>
      </w:r>
      <w:r w:rsidR="007949F7" w:rsidRPr="004C0BFE">
        <w:t xml:space="preserve"> </w:t>
      </w:r>
      <w:r w:rsidR="00844D9B" w:rsidRPr="004C0BFE">
        <w:t xml:space="preserve"> The July Report states that the following parties provided informal comments on this issue: The City of San Diego, AReM/DACC, CLECA, CalCCA, Joint IOUs, POC, and UCAN.</w:t>
      </w:r>
      <w:r w:rsidR="00F65762">
        <w:t xml:space="preserve"> </w:t>
      </w:r>
      <w:r w:rsidR="00844D9B" w:rsidRPr="004C0BFE">
        <w:t xml:space="preserve">In addition, CLECA, Joint IOUs, and POC addressed the billing determinant issue in their comments and reply comments filed on July 19, 2019, and </w:t>
      </w:r>
    </w:p>
    <w:p w14:paraId="43B28B7D" w14:textId="4AD58306" w:rsidR="00844D9B" w:rsidRPr="004C0BFE" w:rsidRDefault="00844D9B" w:rsidP="00844D9B">
      <w:pPr>
        <w:pStyle w:val="ALJBodyText"/>
        <w:ind w:firstLine="0"/>
      </w:pPr>
      <w:r w:rsidRPr="004C0BFE">
        <w:t>July 26, 2019, respectively.</w:t>
      </w:r>
      <w:r w:rsidRPr="004C0BFE">
        <w:rPr>
          <w:rStyle w:val="FootnoteReference"/>
        </w:rPr>
        <w:footnoteReference w:id="6"/>
      </w:r>
      <w:r w:rsidRPr="004C0BFE">
        <w:t xml:space="preserve"> </w:t>
      </w:r>
    </w:p>
    <w:p w14:paraId="339E17C6" w14:textId="5A2B573C" w:rsidR="00844D9B" w:rsidRPr="004C0BFE" w:rsidRDefault="00844D9B" w:rsidP="00844D9B">
      <w:pPr>
        <w:pStyle w:val="ALJBodyText"/>
      </w:pPr>
      <w:r w:rsidRPr="004C0BFE">
        <w:t>This decision resolves Scoping Memo Issue</w:t>
      </w:r>
      <w:r w:rsidR="00777272" w:rsidRPr="004C0BFE">
        <w:t>s</w:t>
      </w:r>
      <w:r w:rsidRPr="004C0BFE">
        <w:t xml:space="preserve"> 1 through 7 and Issue 11 assigned to Working Group One.</w:t>
      </w:r>
      <w:r w:rsidR="007949F7" w:rsidRPr="004C0BFE">
        <w:t xml:space="preserve"> </w:t>
      </w:r>
      <w:r w:rsidRPr="004C0BFE">
        <w:t xml:space="preserve"> R.17-06-026 remains open to address the remaining issues assigned to Working Groups One, Two, and Three.</w:t>
      </w:r>
    </w:p>
    <w:p w14:paraId="5302C6D8" w14:textId="77777777" w:rsidR="00844D9B" w:rsidRDefault="00844D9B" w:rsidP="00844D9B">
      <w:pPr>
        <w:pStyle w:val="ALJHeading1"/>
      </w:pPr>
      <w:bookmarkStart w:id="11" w:name="_Toc16242511"/>
      <w:bookmarkStart w:id="12" w:name="_Toc17368156"/>
      <w:r>
        <w:t>Plan of this Decision</w:t>
      </w:r>
      <w:bookmarkEnd w:id="11"/>
      <w:bookmarkEnd w:id="12"/>
    </w:p>
    <w:p w14:paraId="2C9323FD" w14:textId="2EB6C679" w:rsidR="00844D9B" w:rsidRPr="004C0BFE" w:rsidRDefault="00844D9B" w:rsidP="00116DFB">
      <w:pPr>
        <w:pStyle w:val="Standard"/>
      </w:pPr>
      <w:r w:rsidRPr="004C0BFE">
        <w:t xml:space="preserve">This decision is the first in a planned series of decisions </w:t>
      </w:r>
      <w:r w:rsidR="002B2A2F" w:rsidRPr="004C0BFE">
        <w:t xml:space="preserve">in R. 17-06-026. This decision </w:t>
      </w:r>
      <w:r w:rsidRPr="004C0BFE">
        <w:t>consider</w:t>
      </w:r>
      <w:r w:rsidR="002B2A2F" w:rsidRPr="004C0BFE">
        <w:t>s</w:t>
      </w:r>
      <w:r w:rsidRPr="004C0BFE">
        <w:t xml:space="preserve"> working group proposals to refine the method to calculate the MPB</w:t>
      </w:r>
      <w:r w:rsidR="00D944AF" w:rsidRPr="004C0BFE">
        <w:t>s</w:t>
      </w:r>
      <w:r w:rsidRPr="004C0BFE">
        <w:t xml:space="preserve"> and resolve</w:t>
      </w:r>
      <w:r w:rsidR="00B765A2" w:rsidRPr="004C0BFE">
        <w:t>s</w:t>
      </w:r>
      <w:r w:rsidRPr="004C0BFE">
        <w:t xml:space="preserve"> issues related to PCIA forecast and true</w:t>
      </w:r>
      <w:r w:rsidR="00FB3A2A" w:rsidRPr="004C0BFE">
        <w:t xml:space="preserve"> </w:t>
      </w:r>
      <w:r w:rsidRPr="004C0BFE">
        <w:t>up issues, as well as billing determinants.</w:t>
      </w:r>
      <w:r w:rsidR="007949F7" w:rsidRPr="004C0BFE">
        <w:t xml:space="preserve"> </w:t>
      </w:r>
      <w:r w:rsidRPr="004C0BFE">
        <w:t xml:space="preserve"> Other topics listed in the Scoping Ruling will be the subject of later decisions.</w:t>
      </w:r>
    </w:p>
    <w:p w14:paraId="23D85A62" w14:textId="6F0303AB" w:rsidR="00844D9B" w:rsidRPr="004C0BFE" w:rsidRDefault="00844D9B" w:rsidP="00116DFB">
      <w:pPr>
        <w:pStyle w:val="Standard"/>
      </w:pPr>
      <w:r w:rsidRPr="004C0BFE">
        <w:t xml:space="preserve">The determinations we make today will be in accordance with the statutory framework, </w:t>
      </w:r>
      <w:r w:rsidR="0033378A" w:rsidRPr="004C0BFE">
        <w:t xml:space="preserve">the </w:t>
      </w:r>
      <w:r w:rsidRPr="004C0BFE">
        <w:t xml:space="preserve">overall goal of the proceeding, and the final guiding principles articulated in D.18-10-019. </w:t>
      </w:r>
      <w:r w:rsidR="00116DFB" w:rsidRPr="004C0BFE">
        <w:t xml:space="preserve"> </w:t>
      </w:r>
      <w:r w:rsidRPr="004C0BFE">
        <w:t xml:space="preserve">However, to ensure accuracy of the calculations and to account </w:t>
      </w:r>
      <w:r w:rsidR="00500DFA" w:rsidRPr="004C0BFE">
        <w:t xml:space="preserve">for </w:t>
      </w:r>
      <w:r w:rsidRPr="004C0BFE">
        <w:t xml:space="preserve">recent Commission determinations on resource </w:t>
      </w:r>
      <w:r w:rsidRPr="004C0BFE">
        <w:lastRenderedPageBreak/>
        <w:t xml:space="preserve">adequacy (RA) compliance requirements, </w:t>
      </w:r>
      <w:r w:rsidR="0033378A" w:rsidRPr="004C0BFE">
        <w:t xml:space="preserve">the </w:t>
      </w:r>
      <w:r w:rsidRPr="004C0BFE">
        <w:t>data requirements we adopt today will supersede the data requirements adopted in D.18-10-019.</w:t>
      </w:r>
      <w:r w:rsidR="00116DFB" w:rsidRPr="004C0BFE">
        <w:t xml:space="preserve"> </w:t>
      </w:r>
      <w:r w:rsidRPr="004C0BFE">
        <w:t xml:space="preserve"> A comparison table of </w:t>
      </w:r>
      <w:r w:rsidR="00181014" w:rsidRPr="004C0BFE">
        <w:t>the</w:t>
      </w:r>
      <w:r w:rsidR="008421B1" w:rsidRPr="004C0BFE">
        <w:t xml:space="preserve"> </w:t>
      </w:r>
      <w:r w:rsidRPr="004C0BFE">
        <w:t xml:space="preserve">data requirements </w:t>
      </w:r>
      <w:r w:rsidR="00181014" w:rsidRPr="004C0BFE">
        <w:t>adopted in D.18-10-019 and the modifications to those data requirements made in this decision</w:t>
      </w:r>
      <w:r w:rsidRPr="004C0BFE">
        <w:t xml:space="preserve"> is provided in Attachment </w:t>
      </w:r>
      <w:r w:rsidR="00EE16C0" w:rsidRPr="004C0BFE">
        <w:t>A</w:t>
      </w:r>
      <w:r w:rsidRPr="004C0BFE">
        <w:t xml:space="preserve">. </w:t>
      </w:r>
    </w:p>
    <w:p w14:paraId="03427D13" w14:textId="6E5CD64B" w:rsidR="00181014" w:rsidRPr="004C0BFE" w:rsidRDefault="009B5A1D" w:rsidP="00116DFB">
      <w:pPr>
        <w:pStyle w:val="Standard"/>
      </w:pPr>
      <w:r w:rsidRPr="004C0BFE">
        <w:t>For clarity, we will use the following naming conventions and definitions in this decision, except when referring to other documents where other naming conventions may have been used.</w:t>
      </w:r>
    </w:p>
    <w:p w14:paraId="730579B4" w14:textId="64309B5C" w:rsidR="009B5A1D" w:rsidRPr="004C0BFE" w:rsidRDefault="009B5A1D" w:rsidP="009B5A1D">
      <w:pPr>
        <w:pStyle w:val="Standard"/>
      </w:pPr>
      <w:r w:rsidRPr="004C0BFE">
        <w:t>•</w:t>
      </w:r>
      <w:r w:rsidRPr="004C0BFE">
        <w:tab/>
        <w:t>Market Value</w:t>
      </w:r>
      <w:r w:rsidR="00F42045" w:rsidRPr="004C0BFE">
        <w:t xml:space="preserve"> is t</w:t>
      </w:r>
      <w:r w:rsidRPr="004C0BFE">
        <w:t xml:space="preserve">he estimated financial value, measured in dollars, that is attributed to a utility portfolio of energy resources for the purpose of calculating the Power Charge Indifference Adjustment for a given year. </w:t>
      </w:r>
      <w:r w:rsidR="00F42045" w:rsidRPr="004C0BFE">
        <w:t xml:space="preserve"> </w:t>
      </w:r>
      <w:r w:rsidRPr="004C0BFE">
        <w:t xml:space="preserve">Market Value consists of three principle components: Energy Value, </w:t>
      </w:r>
      <w:r w:rsidR="007E6F7A" w:rsidRPr="004C0BFE">
        <w:t>Renewables Portfolio Standard (</w:t>
      </w:r>
      <w:r w:rsidRPr="004C0BFE">
        <w:t>RPS</w:t>
      </w:r>
      <w:r w:rsidR="007E6F7A" w:rsidRPr="004C0BFE">
        <w:t>)</w:t>
      </w:r>
      <w:r w:rsidRPr="004C0BFE">
        <w:t xml:space="preserve"> Value, and RA Value.</w:t>
      </w:r>
      <w:r w:rsidR="007E6F7A" w:rsidRPr="004C0BFE">
        <w:t xml:space="preserve"> </w:t>
      </w:r>
      <w:r w:rsidR="00F42045" w:rsidRPr="004C0BFE">
        <w:t xml:space="preserve"> </w:t>
      </w:r>
      <w:r w:rsidR="007E6F7A" w:rsidRPr="004C0BFE">
        <w:t>These components are defined below.</w:t>
      </w:r>
    </w:p>
    <w:p w14:paraId="341AECB9" w14:textId="7B265CAD" w:rsidR="009B5A1D" w:rsidRPr="004C0BFE" w:rsidRDefault="009B5A1D" w:rsidP="007E6F7A">
      <w:pPr>
        <w:pStyle w:val="Standard"/>
        <w:numPr>
          <w:ilvl w:val="0"/>
          <w:numId w:val="37"/>
        </w:numPr>
        <w:spacing w:line="240" w:lineRule="auto"/>
      </w:pPr>
      <w:r w:rsidRPr="004C0BFE">
        <w:t>Energy Value</w:t>
      </w:r>
      <w:r w:rsidR="00F42045" w:rsidRPr="004C0BFE">
        <w:t xml:space="preserve"> is t</w:t>
      </w:r>
      <w:r w:rsidRPr="004C0BFE">
        <w:t>he estimated financial value, measured in dollars, that is attributed to the energy component of a utility portfolio for a given year.</w:t>
      </w:r>
    </w:p>
    <w:p w14:paraId="109934AF" w14:textId="77777777" w:rsidR="007E6F7A" w:rsidRPr="004C0BFE" w:rsidRDefault="007E6F7A" w:rsidP="003F737D">
      <w:pPr>
        <w:pStyle w:val="Standard"/>
        <w:spacing w:line="240" w:lineRule="auto"/>
        <w:ind w:left="1440" w:firstLine="0"/>
      </w:pPr>
    </w:p>
    <w:p w14:paraId="369AE6CB" w14:textId="61B03D89" w:rsidR="00EA0E41" w:rsidRPr="004C0BFE" w:rsidRDefault="009B5A1D" w:rsidP="00EA0E41">
      <w:pPr>
        <w:pStyle w:val="Standard"/>
        <w:numPr>
          <w:ilvl w:val="0"/>
          <w:numId w:val="37"/>
        </w:numPr>
        <w:spacing w:line="240" w:lineRule="auto"/>
      </w:pPr>
      <w:r w:rsidRPr="004C0BFE">
        <w:t>RPS Value</w:t>
      </w:r>
      <w:r w:rsidR="00F42045" w:rsidRPr="004C0BFE">
        <w:t xml:space="preserve"> is t</w:t>
      </w:r>
      <w:r w:rsidRPr="004C0BFE">
        <w:t>he estimated financial value, measured in dollars, that is attributed to the renewable energy component of a utility portfolio for a given year.</w:t>
      </w:r>
    </w:p>
    <w:p w14:paraId="17E490FD" w14:textId="77777777" w:rsidR="00EA0E41" w:rsidRPr="004C0BFE" w:rsidRDefault="00EA0E41" w:rsidP="007A3BC7">
      <w:pPr>
        <w:pStyle w:val="Standard"/>
        <w:spacing w:line="240" w:lineRule="auto"/>
        <w:ind w:left="1440" w:firstLine="0"/>
      </w:pPr>
    </w:p>
    <w:p w14:paraId="1258F60A" w14:textId="22FD6C51" w:rsidR="009B5A1D" w:rsidRPr="004C0BFE" w:rsidRDefault="009B5A1D" w:rsidP="009B5A1D">
      <w:pPr>
        <w:pStyle w:val="ListParagraph"/>
        <w:numPr>
          <w:ilvl w:val="0"/>
          <w:numId w:val="37"/>
        </w:numPr>
        <w:rPr>
          <w:rFonts w:cstheme="minorBidi"/>
          <w:szCs w:val="22"/>
        </w:rPr>
      </w:pPr>
      <w:r w:rsidRPr="004C0BFE">
        <w:rPr>
          <w:rFonts w:cstheme="minorBidi"/>
          <w:szCs w:val="22"/>
        </w:rPr>
        <w:t>RA Value</w:t>
      </w:r>
      <w:r w:rsidR="00F42045" w:rsidRPr="004C0BFE">
        <w:rPr>
          <w:rFonts w:cstheme="minorBidi"/>
          <w:szCs w:val="22"/>
        </w:rPr>
        <w:t xml:space="preserve"> is t</w:t>
      </w:r>
      <w:r w:rsidRPr="004C0BFE">
        <w:rPr>
          <w:rFonts w:cstheme="minorBidi"/>
          <w:szCs w:val="22"/>
        </w:rPr>
        <w:t>he estimated financial value, measured in dollars, that is attributed to the resource adequacy component of a utility portfolio for a given year.</w:t>
      </w:r>
    </w:p>
    <w:p w14:paraId="69977B3B" w14:textId="1BA4FED4" w:rsidR="007E6F7A" w:rsidRPr="004C0BFE" w:rsidRDefault="007E6F7A" w:rsidP="003F737D">
      <w:pPr>
        <w:pStyle w:val="Standard"/>
      </w:pPr>
      <w:r w:rsidRPr="004C0BFE">
        <w:t>•</w:t>
      </w:r>
      <w:r w:rsidRPr="004C0BFE">
        <w:tab/>
        <w:t>Market Price Benchmarks</w:t>
      </w:r>
      <w:r w:rsidR="00F42045" w:rsidRPr="004C0BFE">
        <w:t xml:space="preserve"> are e</w:t>
      </w:r>
      <w:r w:rsidRPr="004C0BFE">
        <w:t>stimates of the value per unit (not total portfolio value) associated with three princi</w:t>
      </w:r>
      <w:r w:rsidR="00104445" w:rsidRPr="004C0BFE">
        <w:t>pal</w:t>
      </w:r>
      <w:r w:rsidRPr="004C0BFE">
        <w:t xml:space="preserve"> sources of value in utility portfolios (energy, resource adequacy, and renewable energy). </w:t>
      </w:r>
      <w:r w:rsidR="00F42045" w:rsidRPr="004C0BFE">
        <w:t xml:space="preserve"> </w:t>
      </w:r>
      <w:r w:rsidRPr="004C0BFE">
        <w:t>Each Market Price Benchmark must be multiplied by the relevant portfolio volume as part of the overall calculation of Market Value.</w:t>
      </w:r>
    </w:p>
    <w:p w14:paraId="30D442E0" w14:textId="62F5D04C" w:rsidR="007E6F7A" w:rsidRPr="004C0BFE" w:rsidRDefault="007E6F7A" w:rsidP="00F42045">
      <w:pPr>
        <w:pStyle w:val="Standard"/>
        <w:numPr>
          <w:ilvl w:val="0"/>
          <w:numId w:val="40"/>
        </w:numPr>
        <w:spacing w:line="240" w:lineRule="auto"/>
      </w:pPr>
      <w:r w:rsidRPr="004C0BFE">
        <w:lastRenderedPageBreak/>
        <w:t>Energy Index</w:t>
      </w:r>
      <w:r w:rsidR="00F42045" w:rsidRPr="004C0BFE">
        <w:t xml:space="preserve"> is t</w:t>
      </w:r>
      <w:r w:rsidRPr="004C0BFE">
        <w:t xml:space="preserve">he Market Price Benchmark that reflects the estimated market value of each unit of energy in a utility portfolio, in </w:t>
      </w:r>
      <w:r w:rsidR="00A964B6" w:rsidRPr="004C0BFE">
        <w:t>dollar value per megawatt hour (</w:t>
      </w:r>
      <w:r w:rsidRPr="004C0BFE">
        <w:t>$/MWh</w:t>
      </w:r>
      <w:r w:rsidR="00A964B6" w:rsidRPr="004C0BFE">
        <w:t>)</w:t>
      </w:r>
      <w:r w:rsidRPr="004C0BFE">
        <w:t xml:space="preserve">. </w:t>
      </w:r>
      <w:r w:rsidR="00F42045" w:rsidRPr="004C0BFE">
        <w:t xml:space="preserve">  </w:t>
      </w:r>
      <w:r w:rsidRPr="004C0BFE">
        <w:t xml:space="preserve">Sometimes referred to as “Brown Power Index”, “Brown Power component”, “Brown Power </w:t>
      </w:r>
      <w:r w:rsidR="001A507F" w:rsidRPr="004C0BFE">
        <w:t>A</w:t>
      </w:r>
      <w:r w:rsidRPr="004C0BFE">
        <w:t>dder”, or “Brown Power benchmark.”</w:t>
      </w:r>
    </w:p>
    <w:p w14:paraId="3F64F72F" w14:textId="77777777" w:rsidR="00F42045" w:rsidRPr="004C0BFE" w:rsidRDefault="00F42045" w:rsidP="003F737D">
      <w:pPr>
        <w:pStyle w:val="Standard"/>
        <w:spacing w:line="240" w:lineRule="auto"/>
        <w:ind w:left="1440" w:firstLine="0"/>
      </w:pPr>
    </w:p>
    <w:p w14:paraId="4DB71682" w14:textId="315FCF28" w:rsidR="00F42045" w:rsidRPr="004C0BFE" w:rsidRDefault="007E6F7A" w:rsidP="00F42045">
      <w:pPr>
        <w:pStyle w:val="Standard"/>
        <w:numPr>
          <w:ilvl w:val="0"/>
          <w:numId w:val="40"/>
        </w:numPr>
        <w:spacing w:line="240" w:lineRule="auto"/>
      </w:pPr>
      <w:r w:rsidRPr="004C0BFE">
        <w:t>RPS Adder</w:t>
      </w:r>
      <w:r w:rsidR="00F42045" w:rsidRPr="004C0BFE">
        <w:t xml:space="preserve"> is t</w:t>
      </w:r>
      <w:r w:rsidRPr="004C0BFE">
        <w:t>he Market Price Benchmark that reflects the estimated incremental value of each unit of RPS-</w:t>
      </w:r>
      <w:r w:rsidR="003C1E2D" w:rsidRPr="004C0BFE">
        <w:t>e</w:t>
      </w:r>
      <w:r w:rsidRPr="004C0BFE">
        <w:t xml:space="preserve">ligible </w:t>
      </w:r>
      <w:r w:rsidR="003C1E2D" w:rsidRPr="004C0BFE">
        <w:t>e</w:t>
      </w:r>
      <w:r w:rsidRPr="004C0BFE">
        <w:t>nergy</w:t>
      </w:r>
      <w:r w:rsidR="00F42045" w:rsidRPr="004C0BFE">
        <w:rPr>
          <w:rStyle w:val="FootnoteReference"/>
        </w:rPr>
        <w:footnoteReference w:id="7"/>
      </w:r>
      <w:r w:rsidRPr="004C0BFE">
        <w:t xml:space="preserve"> that is attributable to the fact of that eligibility, in $/MWh.  </w:t>
      </w:r>
    </w:p>
    <w:p w14:paraId="5A164871" w14:textId="2571A14B" w:rsidR="007E6F7A" w:rsidRPr="004C0BFE" w:rsidRDefault="007E6F7A" w:rsidP="003F737D">
      <w:pPr>
        <w:ind w:left="1080" w:firstLine="0"/>
      </w:pPr>
    </w:p>
    <w:p w14:paraId="3F61B6CD" w14:textId="37205497" w:rsidR="009B5A1D" w:rsidRPr="004C0BFE" w:rsidRDefault="007E6F7A" w:rsidP="003F737D">
      <w:pPr>
        <w:pStyle w:val="Standard"/>
        <w:numPr>
          <w:ilvl w:val="0"/>
          <w:numId w:val="40"/>
        </w:numPr>
        <w:spacing w:line="240" w:lineRule="auto"/>
      </w:pPr>
      <w:r w:rsidRPr="004C0BFE">
        <w:t>RA Adder</w:t>
      </w:r>
      <w:r w:rsidR="00F42045" w:rsidRPr="004C0BFE">
        <w:t xml:space="preserve"> is t</w:t>
      </w:r>
      <w:r w:rsidRPr="004C0BFE">
        <w:t xml:space="preserve">he Market Price Benchmark that reflects the estimated value of each unit of capacity in a utility portfolio that can be used to satisfy Resource Adequacy obligations, in </w:t>
      </w:r>
      <w:r w:rsidR="00A964B6" w:rsidRPr="004C0BFE">
        <w:t>dollar value per kilowatt (</w:t>
      </w:r>
      <w:r w:rsidRPr="004C0BFE">
        <w:t>$/kW-year</w:t>
      </w:r>
      <w:r w:rsidR="00A964B6" w:rsidRPr="004C0BFE">
        <w:t>)</w:t>
      </w:r>
      <w:r w:rsidRPr="004C0BFE">
        <w:t xml:space="preserve">. </w:t>
      </w:r>
      <w:r w:rsidR="00F42045" w:rsidRPr="004C0BFE">
        <w:t xml:space="preserve"> </w:t>
      </w:r>
      <w:r w:rsidRPr="004C0BFE">
        <w:t>The RA Adder has three subcomponents, reflecting each type of RA product required for compliance with the RA program: system, local and flexible.</w:t>
      </w:r>
    </w:p>
    <w:p w14:paraId="3E10214B" w14:textId="77777777" w:rsidR="00844D9B" w:rsidRDefault="00844D9B" w:rsidP="00844D9B">
      <w:pPr>
        <w:pStyle w:val="ALJHeading1"/>
      </w:pPr>
      <w:bookmarkStart w:id="13" w:name="_Toc16242512"/>
      <w:bookmarkStart w:id="14" w:name="_Toc17368157"/>
      <w:r>
        <w:t>Issues Before the Commission</w:t>
      </w:r>
      <w:bookmarkEnd w:id="13"/>
      <w:bookmarkEnd w:id="14"/>
    </w:p>
    <w:p w14:paraId="0BD9FCDC" w14:textId="5B6F696A" w:rsidR="00844D9B" w:rsidRPr="004C0BFE" w:rsidRDefault="00844D9B" w:rsidP="00116DFB">
      <w:pPr>
        <w:pStyle w:val="Standard"/>
      </w:pPr>
      <w:r w:rsidRPr="004C0BFE">
        <w:t>Below are the eight issues assigned to Working Group One in the Scoping Memo and addressed in the May Report or Ju</w:t>
      </w:r>
      <w:r w:rsidR="00F04DC8" w:rsidRPr="004C0BFE">
        <w:t>ly</w:t>
      </w:r>
      <w:r w:rsidRPr="004C0BFE">
        <w:t xml:space="preserve"> Report.  The numbering below corresponds to the issues as listed in the Scoping Memo.  </w:t>
      </w:r>
    </w:p>
    <w:p w14:paraId="44C649C1" w14:textId="7B00857F" w:rsidR="00844D9B" w:rsidRDefault="00844D9B" w:rsidP="00B9452A">
      <w:pPr>
        <w:pStyle w:val="ALJBodyText"/>
        <w:numPr>
          <w:ilvl w:val="0"/>
          <w:numId w:val="44"/>
        </w:numPr>
        <w:spacing w:after="120" w:line="240" w:lineRule="auto"/>
        <w:ind w:right="1440"/>
      </w:pPr>
      <w:r w:rsidRPr="004C0BFE">
        <w:t xml:space="preserve">Which mechanism(s), procedural and/or methodological, should the Commission adopt to true up annually the Brown Power component, the RA </w:t>
      </w:r>
      <w:r w:rsidR="00F04DC8" w:rsidRPr="004C0BFE">
        <w:t>A</w:t>
      </w:r>
      <w:r w:rsidRPr="004C0BFE">
        <w:t xml:space="preserve">dder and the RPS </w:t>
      </w:r>
      <w:r w:rsidR="00F04DC8" w:rsidRPr="004C0BFE">
        <w:t>A</w:t>
      </w:r>
      <w:r w:rsidRPr="004C0BFE">
        <w:t xml:space="preserve">dder of the Market Price Benchmark? </w:t>
      </w:r>
    </w:p>
    <w:p w14:paraId="0608560C" w14:textId="5E0E5DD5" w:rsidR="00844D9B" w:rsidRDefault="00844D9B" w:rsidP="00264334">
      <w:pPr>
        <w:pStyle w:val="ALJBodyText"/>
        <w:numPr>
          <w:ilvl w:val="0"/>
          <w:numId w:val="44"/>
        </w:numPr>
        <w:spacing w:after="120" w:line="240" w:lineRule="auto"/>
        <w:ind w:right="1440"/>
      </w:pPr>
      <w:r w:rsidRPr="004C0BFE">
        <w:t>Are new data and/or transaction reporting requirements needed for the purposes of performing the true</w:t>
      </w:r>
      <w:r w:rsidR="00FB3A2A" w:rsidRPr="004C0BFE">
        <w:t xml:space="preserve"> </w:t>
      </w:r>
      <w:r w:rsidRPr="004C0BFE">
        <w:t xml:space="preserve">up? If so, what are those data/reporting requirements and how should they be considered by the Commission? </w:t>
      </w:r>
    </w:p>
    <w:p w14:paraId="7C3021E0" w14:textId="77777777" w:rsidR="00264334" w:rsidRDefault="00264334" w:rsidP="00B9452A">
      <w:pPr>
        <w:ind w:left="1440" w:hanging="360"/>
      </w:pPr>
    </w:p>
    <w:p w14:paraId="08D9B12D" w14:textId="6832A897" w:rsidR="00844D9B" w:rsidRDefault="00844D9B" w:rsidP="00264334">
      <w:pPr>
        <w:pStyle w:val="ALJBodyText"/>
        <w:numPr>
          <w:ilvl w:val="0"/>
          <w:numId w:val="44"/>
        </w:numPr>
        <w:spacing w:after="120" w:line="240" w:lineRule="auto"/>
        <w:ind w:right="1440"/>
      </w:pPr>
      <w:r w:rsidRPr="004C0BFE">
        <w:lastRenderedPageBreak/>
        <w:t xml:space="preserve">Should the true up process be addressed as part of the annual Energy Resource Recovery Account proceedings? If not, where should the true up process be addressed? </w:t>
      </w:r>
    </w:p>
    <w:p w14:paraId="4B1097DF" w14:textId="7A7A9E7D" w:rsidR="00264334" w:rsidRDefault="00844D9B" w:rsidP="00264334">
      <w:pPr>
        <w:pStyle w:val="ALJBodyText"/>
        <w:numPr>
          <w:ilvl w:val="0"/>
          <w:numId w:val="44"/>
        </w:numPr>
        <w:spacing w:after="120" w:line="240" w:lineRule="auto"/>
        <w:ind w:right="1440"/>
      </w:pPr>
      <w:r w:rsidRPr="004C0BFE">
        <w:t xml:space="preserve">Which mechanism(s), procedural and/or methodological, should the Commission adopt to develop annually the RA </w:t>
      </w:r>
      <w:r w:rsidR="005E24D3" w:rsidRPr="004C0BFE">
        <w:t>A</w:t>
      </w:r>
      <w:r w:rsidRPr="004C0BFE">
        <w:t xml:space="preserve">dder and the RPS </w:t>
      </w:r>
      <w:r w:rsidR="005E24D3" w:rsidRPr="004C0BFE">
        <w:t>A</w:t>
      </w:r>
      <w:r w:rsidRPr="004C0BFE">
        <w:t xml:space="preserve">dder of the Market Price Benchmark? </w:t>
      </w:r>
    </w:p>
    <w:p w14:paraId="7C91C9E7" w14:textId="4D1F285B" w:rsidR="00264334" w:rsidRDefault="00844D9B" w:rsidP="00264334">
      <w:pPr>
        <w:pStyle w:val="ALJBodyText"/>
        <w:numPr>
          <w:ilvl w:val="0"/>
          <w:numId w:val="44"/>
        </w:numPr>
        <w:spacing w:after="120" w:line="240" w:lineRule="auto"/>
        <w:ind w:right="1440"/>
      </w:pPr>
      <w:r w:rsidRPr="004C0BFE">
        <w:t xml:space="preserve">Should the Commission modify, or create new, transaction reporting for the purposes of deriving forecasts of next year’s RA and RPS </w:t>
      </w:r>
      <w:r w:rsidR="005E24D3" w:rsidRPr="004C0BFE">
        <w:t>A</w:t>
      </w:r>
      <w:r w:rsidRPr="004C0BFE">
        <w:t>dders, including expansion and refinement of the Energy Division’s annual RA Report, and if so, how?</w:t>
      </w:r>
    </w:p>
    <w:p w14:paraId="70BE2E82" w14:textId="3F5C0A25" w:rsidR="00844D9B" w:rsidRDefault="00844D9B" w:rsidP="00264334">
      <w:pPr>
        <w:pStyle w:val="ALJBodyText"/>
        <w:numPr>
          <w:ilvl w:val="0"/>
          <w:numId w:val="44"/>
        </w:numPr>
        <w:spacing w:after="120" w:line="240" w:lineRule="auto"/>
        <w:ind w:right="1440"/>
      </w:pPr>
      <w:r w:rsidRPr="004C0BFE">
        <w:t xml:space="preserve">How should the Commission clarify/define forecasting amounts of unsold RA? </w:t>
      </w:r>
    </w:p>
    <w:p w14:paraId="4B0B370C" w14:textId="48FDF42C" w:rsidR="00844D9B" w:rsidRPr="004C0BFE" w:rsidRDefault="00844D9B" w:rsidP="00B9452A">
      <w:pPr>
        <w:pStyle w:val="ALJBodyText"/>
        <w:numPr>
          <w:ilvl w:val="0"/>
          <w:numId w:val="44"/>
        </w:numPr>
        <w:spacing w:after="120" w:line="240" w:lineRule="auto"/>
        <w:ind w:right="1440"/>
      </w:pPr>
      <w:r w:rsidRPr="004C0BFE">
        <w:t xml:space="preserve">D.18-10-019 specified that “a zero or </w:t>
      </w:r>
      <w:r w:rsidRPr="00264334">
        <w:rPr>
          <w:i/>
          <w:iCs/>
        </w:rPr>
        <w:t>de minimis</w:t>
      </w:r>
      <w:r w:rsidRPr="004C0BFE">
        <w:t xml:space="preserve"> price shall be assigned for [RA] capacity expected to remain unsold for purposes of calculating the MPB.”</w:t>
      </w:r>
      <w:r w:rsidR="0052625E" w:rsidRPr="004C0BFE">
        <w:t xml:space="preserve"> </w:t>
      </w:r>
      <w:r w:rsidRPr="004C0BFE">
        <w:t xml:space="preserve"> Are further parameters needed to define a </w:t>
      </w:r>
      <w:r w:rsidRPr="00264334">
        <w:rPr>
          <w:i/>
          <w:iCs/>
        </w:rPr>
        <w:t>de minimis</w:t>
      </w:r>
      <w:r w:rsidRPr="004C0BFE">
        <w:t xml:space="preserve"> price, and if so, what are these parameters?</w:t>
      </w:r>
    </w:p>
    <w:p w14:paraId="084BB116" w14:textId="77777777" w:rsidR="00844D9B" w:rsidRPr="004C0BFE" w:rsidRDefault="00844D9B" w:rsidP="00B9452A">
      <w:pPr>
        <w:pStyle w:val="ALJBodyText"/>
        <w:spacing w:after="120" w:line="240" w:lineRule="auto"/>
        <w:ind w:left="1080" w:right="1440" w:hanging="360"/>
      </w:pPr>
      <w:r w:rsidRPr="004C0BFE">
        <w:t>11. Should the Commission clarify the definition of billing determinants and their proper usage for calculating the PCIA, and if so, how?</w:t>
      </w:r>
    </w:p>
    <w:p w14:paraId="0B217D3B" w14:textId="77777777" w:rsidR="0052625E" w:rsidRPr="004C0BFE" w:rsidRDefault="00844D9B" w:rsidP="0052625E">
      <w:pPr>
        <w:pStyle w:val="Standard"/>
      </w:pPr>
      <w:r w:rsidRPr="004C0BFE">
        <w:t xml:space="preserve">We will address the Scoping Memo issues in a nonconsecutive order. </w:t>
      </w:r>
      <w:r w:rsidR="0052625E" w:rsidRPr="004C0BFE">
        <w:t xml:space="preserve"> </w:t>
      </w:r>
      <w:r w:rsidRPr="004C0BFE">
        <w:t xml:space="preserve">First, we will resolve forecasting related issues (Scoping Memo Issues 4 and </w:t>
      </w:r>
    </w:p>
    <w:p w14:paraId="5AD557C8" w14:textId="5AD7962B" w:rsidR="00844D9B" w:rsidRPr="004C0BFE" w:rsidRDefault="00844D9B" w:rsidP="0052625E">
      <w:pPr>
        <w:pStyle w:val="Standard"/>
        <w:ind w:firstLine="0"/>
      </w:pPr>
      <w:r w:rsidRPr="004C0BFE">
        <w:t>5); and then discuss true</w:t>
      </w:r>
      <w:r w:rsidR="00FB3A2A" w:rsidRPr="004C0BFE">
        <w:t xml:space="preserve"> </w:t>
      </w:r>
      <w:r w:rsidRPr="004C0BFE">
        <w:t>up related issues (Scoping Memo Issues 1, 2, 3); and conclude by addressing the value of unsold resource adequacy resources (Scoping Memo Issues 6 and 7) and billing determinants (Scoping Memo Issue 11).</w:t>
      </w:r>
    </w:p>
    <w:p w14:paraId="459575BD" w14:textId="77777777" w:rsidR="00844D9B" w:rsidRPr="00091CDF" w:rsidRDefault="00844D9B" w:rsidP="00844D9B">
      <w:pPr>
        <w:pStyle w:val="ALJHeading1"/>
      </w:pPr>
      <w:bookmarkStart w:id="15" w:name="_Toc16242513"/>
      <w:bookmarkStart w:id="16" w:name="_Toc17368158"/>
      <w:r>
        <w:t>Summary of Working Group One Proposal on Issues 1 through 7</w:t>
      </w:r>
      <w:bookmarkEnd w:id="15"/>
      <w:bookmarkEnd w:id="16"/>
    </w:p>
    <w:p w14:paraId="11D2A496" w14:textId="1ECDEE84" w:rsidR="00844D9B" w:rsidRPr="004C0BFE" w:rsidRDefault="00844D9B" w:rsidP="0052625E">
      <w:pPr>
        <w:pStyle w:val="Standard"/>
      </w:pPr>
      <w:r w:rsidRPr="004C0BFE">
        <w:t xml:space="preserve">In this section, first, we briefly summarize the implementation-related directives provided by D.18-10-019. </w:t>
      </w:r>
      <w:r w:rsidR="0052625E" w:rsidRPr="004C0BFE">
        <w:t xml:space="preserve"> </w:t>
      </w:r>
      <w:r w:rsidRPr="004C0BFE">
        <w:t xml:space="preserve">Second, we describe the Working Group One Proposal on Issues 1 through 7. </w:t>
      </w:r>
    </w:p>
    <w:p w14:paraId="5900C88F" w14:textId="77777777" w:rsidR="00844D9B" w:rsidRDefault="00844D9B" w:rsidP="00844D9B">
      <w:pPr>
        <w:pStyle w:val="ALJHeading2"/>
      </w:pPr>
      <w:bookmarkStart w:id="17" w:name="_Toc16242514"/>
      <w:bookmarkStart w:id="18" w:name="_Toc17368159"/>
      <w:r>
        <w:lastRenderedPageBreak/>
        <w:t>PCIA Calculation Revised by D.18-10-019</w:t>
      </w:r>
      <w:bookmarkEnd w:id="17"/>
      <w:bookmarkEnd w:id="18"/>
    </w:p>
    <w:p w14:paraId="0E1B0D63" w14:textId="0C984BB9" w:rsidR="00844D9B" w:rsidRPr="004C0BFE" w:rsidRDefault="00844D9B" w:rsidP="0052625E">
      <w:pPr>
        <w:pStyle w:val="Standard"/>
      </w:pPr>
      <w:r w:rsidRPr="004C0BFE">
        <w:t>Historically, the RA and RPS components of the PCIA calculation only reflected forecasted values, which flowed through each IOU’s annual ERRA Forecast Application.</w:t>
      </w:r>
      <w:r w:rsidR="0052625E" w:rsidRPr="004C0BFE">
        <w:t xml:space="preserve"> </w:t>
      </w:r>
      <w:r w:rsidRPr="004C0BFE">
        <w:t xml:space="preserve"> In D.18-10-019 the Commission maintained the existing PCIA method, but it revised the </w:t>
      </w:r>
      <w:r w:rsidR="004E34D5" w:rsidRPr="004C0BFE">
        <w:t>M</w:t>
      </w:r>
      <w:r w:rsidRPr="004C0BFE">
        <w:t xml:space="preserve">arket </w:t>
      </w:r>
      <w:r w:rsidR="004E34D5" w:rsidRPr="004C0BFE">
        <w:t>P</w:t>
      </w:r>
      <w:r w:rsidRPr="004C0BFE">
        <w:t xml:space="preserve">rice </w:t>
      </w:r>
      <w:r w:rsidR="004E34D5" w:rsidRPr="004C0BFE">
        <w:t>B</w:t>
      </w:r>
      <w:r w:rsidRPr="004C0BFE">
        <w:t xml:space="preserve">enchmarks used in the PCIA calculations. </w:t>
      </w:r>
      <w:r w:rsidR="0052625E" w:rsidRPr="004C0BFE">
        <w:t xml:space="preserve"> </w:t>
      </w:r>
      <w:r w:rsidRPr="004C0BFE">
        <w:t>The Commission also adopted a true up process to adjust RA and RPS forecast</w:t>
      </w:r>
      <w:r w:rsidR="003C1E2D" w:rsidRPr="004C0BFE">
        <w:t>ed values</w:t>
      </w:r>
      <w:r w:rsidRPr="004C0BFE">
        <w:t xml:space="preserve"> based on actual realized market revenues, and directed </w:t>
      </w:r>
      <w:r w:rsidR="003C1E2D" w:rsidRPr="004C0BFE">
        <w:t>each</w:t>
      </w:r>
      <w:r w:rsidRPr="004C0BFE">
        <w:t xml:space="preserve"> IOU to open </w:t>
      </w:r>
      <w:r w:rsidR="003C1E2D" w:rsidRPr="004C0BFE">
        <w:t>a</w:t>
      </w:r>
      <w:r w:rsidR="004E34D5" w:rsidRPr="004C0BFE">
        <w:t xml:space="preserve"> </w:t>
      </w:r>
      <w:r w:rsidRPr="004C0BFE">
        <w:t xml:space="preserve">Portfolio Allocation Balancing Account (PABA) to begin tracking PCIA net revenues. </w:t>
      </w:r>
      <w:r w:rsidR="0052625E" w:rsidRPr="004C0BFE">
        <w:t xml:space="preserve"> </w:t>
      </w:r>
      <w:r w:rsidRPr="004C0BFE">
        <w:t>With respect to the MPB</w:t>
      </w:r>
      <w:r w:rsidR="004E34D5" w:rsidRPr="004C0BFE">
        <w:t>s</w:t>
      </w:r>
      <w:r w:rsidRPr="004C0BFE">
        <w:t>, D.18-10-019 determined the following:</w:t>
      </w:r>
    </w:p>
    <w:p w14:paraId="3EDD56F9" w14:textId="499DB101" w:rsidR="00844D9B" w:rsidRPr="004C0BFE" w:rsidRDefault="00844D9B" w:rsidP="00264334">
      <w:pPr>
        <w:pStyle w:val="ALJBodyText"/>
        <w:tabs>
          <w:tab w:val="left" w:pos="1170"/>
        </w:tabs>
        <w:spacing w:after="120" w:line="240" w:lineRule="auto"/>
        <w:ind w:left="990" w:right="1440" w:hanging="270"/>
      </w:pPr>
      <w:r w:rsidRPr="004C0BFE">
        <w:t>1.</w:t>
      </w:r>
      <w:r w:rsidR="00D03AB4" w:rsidRPr="004C0BFE">
        <w:tab/>
      </w:r>
      <w:r w:rsidRPr="004C0BFE">
        <w:t xml:space="preserve">The methodology for calculating the </w:t>
      </w:r>
      <w:r w:rsidR="00E054BB" w:rsidRPr="004C0BFE">
        <w:t xml:space="preserve">Energy </w:t>
      </w:r>
      <w:r w:rsidRPr="004C0BFE">
        <w:t>Index will remain the same.</w:t>
      </w:r>
    </w:p>
    <w:p w14:paraId="4C5E5749" w14:textId="419C4110" w:rsidR="00844D9B" w:rsidRPr="004C0BFE" w:rsidRDefault="00844D9B" w:rsidP="00B9452A">
      <w:pPr>
        <w:pStyle w:val="ALJBodyText"/>
        <w:spacing w:after="120" w:line="240" w:lineRule="auto"/>
        <w:ind w:left="990" w:right="1440" w:hanging="270"/>
      </w:pPr>
      <w:r w:rsidRPr="004C0BFE">
        <w:t>2.</w:t>
      </w:r>
      <w:r w:rsidRPr="004C0BFE">
        <w:tab/>
        <w:t xml:space="preserve">TURN’s approach for estimating the RPS </w:t>
      </w:r>
      <w:r w:rsidR="00E054BB" w:rsidRPr="004C0BFE">
        <w:t>A</w:t>
      </w:r>
      <w:r w:rsidRPr="004C0BFE">
        <w:t xml:space="preserve">dder is adopted. Accordingly, the RPS Adder will be calculated using the reported prices of purchases and sales of renewable energy by the IOUs, </w:t>
      </w:r>
      <w:r w:rsidR="00A964B6" w:rsidRPr="004C0BFE">
        <w:t>Community Choice Aggregators (</w:t>
      </w:r>
      <w:r w:rsidRPr="004C0BFE">
        <w:t>CCAs</w:t>
      </w:r>
      <w:r w:rsidR="00A964B6" w:rsidRPr="004C0BFE">
        <w:t>)</w:t>
      </w:r>
      <w:r w:rsidRPr="004C0BFE">
        <w:t xml:space="preserve">, and </w:t>
      </w:r>
      <w:r w:rsidR="00A964B6" w:rsidRPr="004C0BFE">
        <w:t>electric service providers (</w:t>
      </w:r>
      <w:r w:rsidRPr="004C0BFE">
        <w:t>ESPs</w:t>
      </w:r>
      <w:r w:rsidR="00A964B6" w:rsidRPr="004C0BFE">
        <w:t>)</w:t>
      </w:r>
      <w:r w:rsidRPr="004C0BFE">
        <w:t xml:space="preserve"> during the two year prior to the forecast year (n-2) for delivery in the forecast </w:t>
      </w:r>
      <w:r w:rsidR="00D03AB4" w:rsidRPr="004C0BFE">
        <w:br/>
      </w:r>
      <w:r w:rsidRPr="004C0BFE">
        <w:t>year</w:t>
      </w:r>
      <w:r w:rsidR="00D03AB4" w:rsidRPr="004C0BFE">
        <w:t xml:space="preserve"> </w:t>
      </w:r>
      <w:r w:rsidRPr="004C0BFE">
        <w:t xml:space="preserve">n. </w:t>
      </w:r>
    </w:p>
    <w:p w14:paraId="5A477AA3" w14:textId="77777777" w:rsidR="00844D9B" w:rsidRPr="004C0BFE" w:rsidRDefault="00844D9B" w:rsidP="00B9452A">
      <w:pPr>
        <w:pStyle w:val="ALJBodyText"/>
        <w:spacing w:after="120" w:line="240" w:lineRule="auto"/>
        <w:ind w:left="990" w:right="1440" w:hanging="270"/>
      </w:pPr>
      <w:r w:rsidRPr="004C0BFE">
        <w:t>3.</w:t>
      </w:r>
      <w:r w:rsidRPr="004C0BFE">
        <w:tab/>
        <w:t xml:space="preserve">TURN’s proposal for estimating the RA Adder is adopted. Accordingly, the RA Adder will be calculated using the reported prices of purchases and sales prices of IOU, CCA, and ESP transactions made during year (n-1) for delivery in year n. </w:t>
      </w:r>
    </w:p>
    <w:p w14:paraId="0338A75F" w14:textId="77777777" w:rsidR="00844D9B" w:rsidRPr="004C0BFE" w:rsidRDefault="00844D9B" w:rsidP="00B9452A">
      <w:pPr>
        <w:pStyle w:val="ALJBodyText"/>
        <w:spacing w:after="120" w:line="240" w:lineRule="auto"/>
        <w:ind w:left="990" w:right="1440" w:hanging="270"/>
      </w:pPr>
      <w:r w:rsidRPr="004C0BFE">
        <w:t>4.</w:t>
      </w:r>
      <w:r w:rsidRPr="004C0BFE">
        <w:tab/>
        <w:t>The RA Adder will be changed to reflect the three types of RA capacity: system, local, and flexible.</w:t>
      </w:r>
    </w:p>
    <w:p w14:paraId="2F79870F" w14:textId="2278EA84" w:rsidR="00844D9B" w:rsidRPr="004C0BFE" w:rsidRDefault="00844D9B" w:rsidP="00B9452A">
      <w:pPr>
        <w:pStyle w:val="ALJBodyText"/>
        <w:tabs>
          <w:tab w:val="left" w:pos="1170"/>
        </w:tabs>
        <w:spacing w:line="240" w:lineRule="auto"/>
        <w:ind w:left="990" w:right="1440" w:hanging="270"/>
      </w:pPr>
      <w:r w:rsidRPr="004C0BFE">
        <w:t xml:space="preserve">5. </w:t>
      </w:r>
      <w:r w:rsidR="00531831" w:rsidRPr="004C0BFE">
        <w:tab/>
      </w:r>
      <w:r w:rsidRPr="004C0BFE">
        <w:t xml:space="preserve">A true up process for the </w:t>
      </w:r>
      <w:r w:rsidR="00E054BB" w:rsidRPr="004C0BFE">
        <w:t>A</w:t>
      </w:r>
      <w:r w:rsidRPr="004C0BFE">
        <w:t xml:space="preserve">dders is adopted. </w:t>
      </w:r>
    </w:p>
    <w:p w14:paraId="495DFD24" w14:textId="77777777" w:rsidR="00E054BB" w:rsidRPr="004C0BFE" w:rsidRDefault="00E054BB" w:rsidP="00D03AB4">
      <w:pPr>
        <w:pStyle w:val="ALJBodyText"/>
        <w:tabs>
          <w:tab w:val="left" w:pos="1170"/>
        </w:tabs>
        <w:spacing w:line="240" w:lineRule="auto"/>
        <w:ind w:right="1440"/>
      </w:pPr>
    </w:p>
    <w:p w14:paraId="643F0FFC" w14:textId="4063474D" w:rsidR="00844D9B" w:rsidRPr="004C0BFE" w:rsidRDefault="00844D9B" w:rsidP="003F737D">
      <w:pPr>
        <w:pStyle w:val="ALJBodyText"/>
      </w:pPr>
      <w:r w:rsidRPr="004C0BFE">
        <w:t>The data requirements to calculate the forecasted and final</w:t>
      </w:r>
      <w:r w:rsidR="00E054BB" w:rsidRPr="004C0BFE">
        <w:t xml:space="preserve"> A</w:t>
      </w:r>
      <w:r w:rsidRPr="004C0BFE">
        <w:t>dders, as determined by D.18-10-019, are listed in Attachment</w:t>
      </w:r>
      <w:r w:rsidR="00E054BB" w:rsidRPr="004C0BFE">
        <w:t xml:space="preserve"> </w:t>
      </w:r>
      <w:r w:rsidR="00EE16C0" w:rsidRPr="004C0BFE">
        <w:t>A</w:t>
      </w:r>
      <w:r w:rsidRPr="004C0BFE">
        <w:t xml:space="preserve">. </w:t>
      </w:r>
    </w:p>
    <w:p w14:paraId="6255169A" w14:textId="77777777" w:rsidR="00844D9B" w:rsidRDefault="00844D9B" w:rsidP="00844D9B">
      <w:pPr>
        <w:pStyle w:val="ALJHeading2"/>
      </w:pPr>
      <w:bookmarkStart w:id="19" w:name="_Toc16242515"/>
      <w:bookmarkStart w:id="20" w:name="_Toc17368160"/>
      <w:r>
        <w:lastRenderedPageBreak/>
        <w:t>Working Group One Proposal</w:t>
      </w:r>
      <w:bookmarkEnd w:id="19"/>
      <w:bookmarkEnd w:id="20"/>
    </w:p>
    <w:p w14:paraId="75510CE6" w14:textId="5E5F5EF8" w:rsidR="00844D9B" w:rsidRPr="004C0BFE" w:rsidRDefault="00844D9B" w:rsidP="00166110">
      <w:pPr>
        <w:pStyle w:val="Standard"/>
      </w:pPr>
      <w:r w:rsidRPr="004C0BFE">
        <w:t xml:space="preserve">The May Report presents a proposal refining the method to develop and true up </w:t>
      </w:r>
      <w:r w:rsidR="00F82859" w:rsidRPr="004C0BFE">
        <w:t xml:space="preserve">the </w:t>
      </w:r>
      <w:r w:rsidR="00BB38DA" w:rsidRPr="004C0BFE">
        <w:t>E</w:t>
      </w:r>
      <w:r w:rsidRPr="004C0BFE">
        <w:t xml:space="preserve">nergy </w:t>
      </w:r>
      <w:r w:rsidR="00BB38DA" w:rsidRPr="004C0BFE">
        <w:t>Index</w:t>
      </w:r>
      <w:r w:rsidRPr="004C0BFE">
        <w:t xml:space="preserve">, RA </w:t>
      </w:r>
      <w:r w:rsidR="00BB38DA" w:rsidRPr="004C0BFE">
        <w:t>A</w:t>
      </w:r>
      <w:r w:rsidRPr="004C0BFE">
        <w:t xml:space="preserve">dder and RPS </w:t>
      </w:r>
      <w:r w:rsidR="00BB38DA" w:rsidRPr="004C0BFE">
        <w:t>A</w:t>
      </w:r>
      <w:r w:rsidRPr="004C0BFE">
        <w:t xml:space="preserve">dder within the framework established by D.18-10-019. </w:t>
      </w:r>
      <w:r w:rsidR="00166110" w:rsidRPr="004C0BFE">
        <w:t xml:space="preserve"> </w:t>
      </w:r>
      <w:r w:rsidRPr="004C0BFE">
        <w:t xml:space="preserve">The proposal is briefly described as follows: </w:t>
      </w:r>
    </w:p>
    <w:p w14:paraId="4168D688" w14:textId="0BCB36D3" w:rsidR="00844D9B" w:rsidRPr="004C0BFE" w:rsidRDefault="00844D9B" w:rsidP="00844D9B">
      <w:pPr>
        <w:pStyle w:val="ALJBodyText"/>
      </w:pPr>
      <w:r w:rsidRPr="004C0BFE">
        <w:t xml:space="preserve">The IOUs forecast a PCIA total portfolio indifference amount, which is used to set vintaged PCIA rates for the following year (year n). The forecasted total portfolio indifference amount is equal to the forecasted total cost of the PCIA total portfolio less the </w:t>
      </w:r>
      <w:r w:rsidR="00BB38DA" w:rsidRPr="004C0BFE">
        <w:t>forecasted Market V</w:t>
      </w:r>
      <w:r w:rsidRPr="004C0BFE">
        <w:t>alue of the PCIA portfolio attributes</w:t>
      </w:r>
      <w:r w:rsidR="00E826CB" w:rsidRPr="004C0BFE">
        <w:t xml:space="preserve"> (Forecast Market Value)</w:t>
      </w:r>
      <w:r w:rsidRPr="004C0BFE">
        <w:t xml:space="preserve">. </w:t>
      </w:r>
      <w:r w:rsidR="00166110" w:rsidRPr="004C0BFE">
        <w:t xml:space="preserve"> </w:t>
      </w:r>
      <w:r w:rsidRPr="004C0BFE">
        <w:t xml:space="preserve">The forecasted total portfolio indifference amount is calculated on a vintaged basis. </w:t>
      </w:r>
      <w:r w:rsidR="0077124F" w:rsidRPr="004C0BFE">
        <w:t xml:space="preserve"> </w:t>
      </w:r>
      <w:r w:rsidRPr="004C0BFE">
        <w:t>That is, it is calculated for each year based on resources’ contract execution date for contracts and construction start date for utility-owned generation.</w:t>
      </w:r>
      <w:r w:rsidRPr="004C0BFE">
        <w:rPr>
          <w:rStyle w:val="FootnoteReference"/>
        </w:rPr>
        <w:footnoteReference w:id="8"/>
      </w:r>
      <w:r w:rsidRPr="004C0BFE">
        <w:t xml:space="preserve"> </w:t>
      </w:r>
    </w:p>
    <w:p w14:paraId="6DFAE65C" w14:textId="452AA825" w:rsidR="00844D9B" w:rsidRPr="004C0BFE" w:rsidRDefault="00844D9B" w:rsidP="0077124F">
      <w:pPr>
        <w:pStyle w:val="Standard"/>
      </w:pPr>
      <w:r w:rsidRPr="004C0BFE">
        <w:t xml:space="preserve">The PCIA portfolio attributes included in the PCIA calculation are </w:t>
      </w:r>
      <w:r w:rsidR="00E826CB" w:rsidRPr="004C0BFE">
        <w:t xml:space="preserve">the </w:t>
      </w:r>
      <w:r w:rsidRPr="004C0BFE">
        <w:t>energy, R</w:t>
      </w:r>
      <w:r w:rsidR="00E826CB" w:rsidRPr="004C0BFE">
        <w:t>PS</w:t>
      </w:r>
      <w:r w:rsidRPr="004C0BFE">
        <w:t>, and R</w:t>
      </w:r>
      <w:r w:rsidR="00E826CB" w:rsidRPr="004C0BFE">
        <w:t>A</w:t>
      </w:r>
      <w:r w:rsidRPr="004C0BFE">
        <w:t xml:space="preserve"> attributes of the PCIA-eligible resource</w:t>
      </w:r>
      <w:r w:rsidR="00E826CB" w:rsidRPr="004C0BFE">
        <w:t>s that reflect how those resources are expected to be used in the following year</w:t>
      </w:r>
      <w:r w:rsidRPr="004C0BFE">
        <w:t xml:space="preserve">. </w:t>
      </w:r>
      <w:r w:rsidR="0077124F" w:rsidRPr="004C0BFE">
        <w:t xml:space="preserve"> </w:t>
      </w:r>
      <w:r w:rsidRPr="004C0BFE">
        <w:t xml:space="preserve">The </w:t>
      </w:r>
      <w:r w:rsidR="00E826CB" w:rsidRPr="004C0BFE">
        <w:t xml:space="preserve">approach to calculating the </w:t>
      </w:r>
      <w:r w:rsidRPr="004C0BFE">
        <w:t>value of these attributes in the forecast depend</w:t>
      </w:r>
      <w:r w:rsidR="00E826CB" w:rsidRPr="004C0BFE">
        <w:t>s</w:t>
      </w:r>
      <w:r w:rsidRPr="004C0BFE">
        <w:t xml:space="preserve"> on whether the attribute is </w:t>
      </w:r>
      <w:r w:rsidR="00E826CB" w:rsidRPr="004C0BFE">
        <w:t xml:space="preserve">forecasted to be </w:t>
      </w:r>
      <w:r w:rsidRPr="004C0BFE">
        <w:t xml:space="preserve">retained by the IOU (Forecast Retained), </w:t>
      </w:r>
      <w:r w:rsidR="00E826CB" w:rsidRPr="004C0BFE">
        <w:t xml:space="preserve">has already been </w:t>
      </w:r>
      <w:r w:rsidRPr="004C0BFE">
        <w:t xml:space="preserve">sold by the IOU (Actual Sold), </w:t>
      </w:r>
      <w:r w:rsidR="00E826CB" w:rsidRPr="004C0BFE">
        <w:t xml:space="preserve">is </w:t>
      </w:r>
      <w:r w:rsidRPr="004C0BFE">
        <w:t>forecast</w:t>
      </w:r>
      <w:r w:rsidR="00E826CB" w:rsidRPr="004C0BFE">
        <w:t>ed</w:t>
      </w:r>
      <w:r w:rsidRPr="004C0BFE">
        <w:t xml:space="preserve"> to be sold by the IOU (Forecast Sold), or </w:t>
      </w:r>
      <w:r w:rsidR="00E826CB" w:rsidRPr="004C0BFE">
        <w:t xml:space="preserve">is </w:t>
      </w:r>
      <w:r w:rsidRPr="004C0BFE">
        <w:t>forecast</w:t>
      </w:r>
      <w:r w:rsidR="00E826CB" w:rsidRPr="004C0BFE">
        <w:t>ed</w:t>
      </w:r>
      <w:r w:rsidRPr="004C0BFE">
        <w:t xml:space="preserve"> to remain unsold by the IOU (Forecast Unsold). </w:t>
      </w:r>
    </w:p>
    <w:p w14:paraId="4D645826" w14:textId="206A1826" w:rsidR="00844D9B" w:rsidRPr="004C0BFE" w:rsidRDefault="00844D9B" w:rsidP="0077124F">
      <w:pPr>
        <w:pStyle w:val="Standard"/>
      </w:pPr>
      <w:r w:rsidRPr="004C0BFE">
        <w:t xml:space="preserve">Actual costs and actual revenues for energy, RA, and RPS resources are recorded to the PABA in vintaged subaccounts. </w:t>
      </w:r>
      <w:r w:rsidR="0077124F" w:rsidRPr="004C0BFE">
        <w:t xml:space="preserve"> </w:t>
      </w:r>
      <w:r w:rsidRPr="004C0BFE">
        <w:t>Similar to the forecast</w:t>
      </w:r>
      <w:r w:rsidR="00956BEC" w:rsidRPr="004C0BFE">
        <w:t>ed</w:t>
      </w:r>
      <w:r w:rsidRPr="004C0BFE">
        <w:t xml:space="preserve"> value</w:t>
      </w:r>
      <w:r w:rsidR="00956BEC" w:rsidRPr="004C0BFE">
        <w:t>s</w:t>
      </w:r>
      <w:r w:rsidRPr="004C0BFE">
        <w:t xml:space="preserve">, the </w:t>
      </w:r>
      <w:r w:rsidR="00956BEC" w:rsidRPr="004C0BFE">
        <w:t>approach to calculating the</w:t>
      </w:r>
      <w:r w:rsidRPr="004C0BFE">
        <w:t xml:space="preserve"> value</w:t>
      </w:r>
      <w:r w:rsidR="00956BEC" w:rsidRPr="004C0BFE">
        <w:t>s</w:t>
      </w:r>
      <w:r w:rsidRPr="004C0BFE">
        <w:t xml:space="preserve"> recorded to PABA depends on whether the attribute </w:t>
      </w:r>
      <w:r w:rsidR="003C1E2D" w:rsidRPr="004C0BFE">
        <w:t>is</w:t>
      </w:r>
      <w:r w:rsidRPr="004C0BFE">
        <w:t xml:space="preserve"> retained by the IOU (Actual Retained), sold by the IOU (Actual Sold), or is considered unsold (Actual Unsold).</w:t>
      </w:r>
    </w:p>
    <w:p w14:paraId="1D96860B" w14:textId="212D27EC" w:rsidR="00844D9B" w:rsidRPr="004C0BFE" w:rsidRDefault="00844D9B" w:rsidP="00844D9B">
      <w:pPr>
        <w:pStyle w:val="ALJBodyText"/>
      </w:pPr>
      <w:r w:rsidRPr="004C0BFE">
        <w:lastRenderedPageBreak/>
        <w:t xml:space="preserve">The year-end overcollections or undercollections in the PABA subaccounts for year n </w:t>
      </w:r>
      <w:r w:rsidR="007620D6" w:rsidRPr="004C0BFE">
        <w:t>are</w:t>
      </w:r>
      <w:r w:rsidRPr="004C0BFE">
        <w:t xml:space="preserve"> included in the vintage PCIA rate calculation for year (n+1) as part of each utility’s ERRA Forecast Application. </w:t>
      </w:r>
    </w:p>
    <w:p w14:paraId="32A11E7A" w14:textId="1728A4E1" w:rsidR="00844D9B" w:rsidRPr="004C0BFE" w:rsidRDefault="007620D6" w:rsidP="00844D9B">
      <w:pPr>
        <w:pStyle w:val="ALJBodyText"/>
      </w:pPr>
      <w:r w:rsidRPr="004C0BFE">
        <w:t xml:space="preserve">Working </w:t>
      </w:r>
      <w:r w:rsidR="003B7B4E" w:rsidRPr="004C0BFE">
        <w:t>G</w:t>
      </w:r>
      <w:r w:rsidRPr="004C0BFE">
        <w:t>roup One’s proposed approach to calculating the</w:t>
      </w:r>
      <w:r w:rsidR="003B7B4E" w:rsidRPr="004C0BFE">
        <w:t xml:space="preserve"> </w:t>
      </w:r>
      <w:r w:rsidR="00844D9B" w:rsidRPr="004C0BFE">
        <w:t>three MPBs used in the total portfolio indifference amount forecast and true</w:t>
      </w:r>
      <w:r w:rsidR="00FB3A2A" w:rsidRPr="004C0BFE">
        <w:t xml:space="preserve"> </w:t>
      </w:r>
      <w:r w:rsidR="00844D9B" w:rsidRPr="004C0BFE">
        <w:t>up</w:t>
      </w:r>
      <w:r w:rsidRPr="004C0BFE">
        <w:t xml:space="preserve"> is shown in Table I</w:t>
      </w:r>
      <w:r w:rsidR="00844D9B" w:rsidRPr="004C0BFE">
        <w:t xml:space="preserve">. </w:t>
      </w:r>
    </w:p>
    <w:p w14:paraId="6A1AF6EC" w14:textId="0D4A0D61" w:rsidR="00844D9B" w:rsidRPr="004C0BFE" w:rsidRDefault="00844D9B" w:rsidP="00320EED">
      <w:pPr>
        <w:pStyle w:val="ALJBodyText"/>
        <w:keepNext/>
        <w:keepLines/>
        <w:jc w:val="center"/>
        <w:rPr>
          <w:b/>
          <w:bCs/>
        </w:rPr>
      </w:pPr>
      <w:r w:rsidRPr="004C0BFE">
        <w:rPr>
          <w:b/>
          <w:bCs/>
        </w:rPr>
        <w:t>Table I: Market Price Benchmarks Used in PCIA Forecast and True</w:t>
      </w:r>
      <w:r w:rsidR="00FB3A2A" w:rsidRPr="004C0BFE">
        <w:rPr>
          <w:b/>
          <w:bCs/>
        </w:rPr>
        <w:t xml:space="preserve"> </w:t>
      </w:r>
      <w:r w:rsidRPr="004C0BFE">
        <w:rPr>
          <w:b/>
          <w:bCs/>
        </w:rPr>
        <w:t>Up</w:t>
      </w:r>
    </w:p>
    <w:tbl>
      <w:tblPr>
        <w:tblStyle w:val="TableGrid"/>
        <w:tblW w:w="0" w:type="auto"/>
        <w:tblLook w:val="04A0" w:firstRow="1" w:lastRow="0" w:firstColumn="1" w:lastColumn="0" w:noHBand="0" w:noVBand="1"/>
      </w:tblPr>
      <w:tblGrid>
        <w:gridCol w:w="1360"/>
        <w:gridCol w:w="8216"/>
      </w:tblGrid>
      <w:tr w:rsidR="00844D9B" w14:paraId="364F5DC4" w14:textId="77777777" w:rsidTr="00B56745">
        <w:tc>
          <w:tcPr>
            <w:tcW w:w="0" w:type="auto"/>
          </w:tcPr>
          <w:p w14:paraId="277FBC50" w14:textId="6CEFFA35" w:rsidR="00844D9B" w:rsidRPr="0036748D" w:rsidRDefault="00844D9B" w:rsidP="00320EED">
            <w:pPr>
              <w:pStyle w:val="ALJBodyText"/>
              <w:keepNext/>
              <w:keepLines/>
              <w:spacing w:line="240" w:lineRule="auto"/>
              <w:ind w:firstLine="0"/>
              <w:jc w:val="center"/>
              <w:rPr>
                <w:b/>
                <w:bCs/>
              </w:rPr>
            </w:pPr>
            <w:r w:rsidRPr="004C0BFE">
              <w:rPr>
                <w:b/>
                <w:bCs/>
              </w:rPr>
              <w:t xml:space="preserve">Energy </w:t>
            </w:r>
            <w:r w:rsidR="00D854B1" w:rsidRPr="004C0BFE">
              <w:rPr>
                <w:b/>
                <w:bCs/>
              </w:rPr>
              <w:t>Index</w:t>
            </w:r>
          </w:p>
        </w:tc>
        <w:tc>
          <w:tcPr>
            <w:tcW w:w="0" w:type="auto"/>
          </w:tcPr>
          <w:p w14:paraId="6A681736" w14:textId="45AE6626" w:rsidR="00844D9B" w:rsidRDefault="00844D9B" w:rsidP="003F737D">
            <w:pPr>
              <w:pStyle w:val="ALJBodyText"/>
              <w:keepNext/>
              <w:keepLines/>
              <w:spacing w:line="240" w:lineRule="auto"/>
              <w:ind w:firstLine="0"/>
            </w:pPr>
            <w:r w:rsidRPr="004C0BFE">
              <w:t>Separate value for each IOU</w:t>
            </w:r>
            <w:r w:rsidR="00E03019" w:rsidRPr="004C0BFE">
              <w:t xml:space="preserve"> based on Platts average peak and off-peak market indices for NP 15 and SP 15</w:t>
            </w:r>
          </w:p>
        </w:tc>
      </w:tr>
      <w:tr w:rsidR="00844D9B" w14:paraId="61B808B5" w14:textId="77777777" w:rsidTr="00B56745">
        <w:tc>
          <w:tcPr>
            <w:tcW w:w="0" w:type="auto"/>
          </w:tcPr>
          <w:p w14:paraId="1DCCF84E" w14:textId="77777777" w:rsidR="00844D9B" w:rsidRPr="0036748D" w:rsidRDefault="00844D9B" w:rsidP="00320EED">
            <w:pPr>
              <w:pStyle w:val="ALJBodyText"/>
              <w:keepNext/>
              <w:keepLines/>
              <w:spacing w:line="240" w:lineRule="auto"/>
              <w:ind w:firstLine="0"/>
              <w:jc w:val="center"/>
              <w:rPr>
                <w:b/>
                <w:bCs/>
              </w:rPr>
            </w:pPr>
            <w:r w:rsidRPr="004C0BFE">
              <w:rPr>
                <w:b/>
                <w:bCs/>
              </w:rPr>
              <w:t>RA Adder</w:t>
            </w:r>
          </w:p>
        </w:tc>
        <w:tc>
          <w:tcPr>
            <w:tcW w:w="0" w:type="auto"/>
          </w:tcPr>
          <w:p w14:paraId="5B5E827B" w14:textId="687BB602" w:rsidR="00844D9B" w:rsidRPr="004C0BFE" w:rsidRDefault="00844D9B" w:rsidP="003F737D">
            <w:pPr>
              <w:pStyle w:val="ALJBodyText"/>
              <w:keepNext/>
              <w:keepLines/>
              <w:numPr>
                <w:ilvl w:val="0"/>
                <w:numId w:val="43"/>
              </w:numPr>
              <w:spacing w:line="240" w:lineRule="auto"/>
            </w:pPr>
            <w:r w:rsidRPr="004C0BFE">
              <w:rPr>
                <w:i/>
                <w:iCs/>
              </w:rPr>
              <w:t>System</w:t>
            </w:r>
            <w:r w:rsidRPr="004C0BFE">
              <w:t xml:space="preserve"> </w:t>
            </w:r>
            <w:r w:rsidR="00EA0E41" w:rsidRPr="004C0BFE">
              <w:t xml:space="preserve">RA </w:t>
            </w:r>
            <w:r w:rsidRPr="004C0BFE">
              <w:t xml:space="preserve">(Single value </w:t>
            </w:r>
            <w:r w:rsidR="00E03019" w:rsidRPr="004C0BFE">
              <w:t xml:space="preserve">for all IOUs </w:t>
            </w:r>
            <w:r w:rsidRPr="004C0BFE">
              <w:t>based on transacted RA not used for local or flexible RA purposes)</w:t>
            </w:r>
          </w:p>
          <w:p w14:paraId="53C080B9" w14:textId="21958DE5" w:rsidR="00844D9B" w:rsidRPr="004C0BFE" w:rsidRDefault="00844D9B" w:rsidP="003F737D">
            <w:pPr>
              <w:pStyle w:val="ALJBodyText"/>
              <w:keepNext/>
              <w:keepLines/>
              <w:numPr>
                <w:ilvl w:val="0"/>
                <w:numId w:val="43"/>
              </w:numPr>
              <w:spacing w:line="240" w:lineRule="auto"/>
            </w:pPr>
            <w:r w:rsidRPr="004C0BFE">
              <w:rPr>
                <w:i/>
                <w:iCs/>
              </w:rPr>
              <w:t>Local</w:t>
            </w:r>
            <w:r w:rsidRPr="004C0BFE">
              <w:t xml:space="preserve"> </w:t>
            </w:r>
            <w:r w:rsidR="00EA0E41" w:rsidRPr="004C0BFE">
              <w:t xml:space="preserve">RA </w:t>
            </w:r>
            <w:r w:rsidRPr="004C0BFE">
              <w:t>(Separate value for each IOU Transmission Access Charge (TAC) area based on transacted RA to fulfill local RA requirements)</w:t>
            </w:r>
          </w:p>
          <w:p w14:paraId="1B172375" w14:textId="389458E0" w:rsidR="00844D9B" w:rsidRDefault="00844D9B" w:rsidP="003F737D">
            <w:pPr>
              <w:pStyle w:val="ALJBodyText"/>
              <w:keepNext/>
              <w:keepLines/>
              <w:numPr>
                <w:ilvl w:val="0"/>
                <w:numId w:val="43"/>
              </w:numPr>
              <w:spacing w:line="240" w:lineRule="auto"/>
            </w:pPr>
            <w:r w:rsidRPr="004C0BFE">
              <w:rPr>
                <w:i/>
                <w:iCs/>
              </w:rPr>
              <w:t>Flexible</w:t>
            </w:r>
            <w:r w:rsidRPr="004C0BFE">
              <w:t xml:space="preserve"> </w:t>
            </w:r>
            <w:r w:rsidR="00EA0E41" w:rsidRPr="004C0BFE">
              <w:t xml:space="preserve">RA </w:t>
            </w:r>
            <w:r w:rsidRPr="004C0BFE">
              <w:t xml:space="preserve">(Single value </w:t>
            </w:r>
            <w:r w:rsidR="00E03019" w:rsidRPr="004C0BFE">
              <w:t xml:space="preserve">for all IOUs </w:t>
            </w:r>
            <w:r w:rsidRPr="004C0BFE">
              <w:t>calculated using transacted flexible RA not used for local RA requirements)</w:t>
            </w:r>
          </w:p>
        </w:tc>
      </w:tr>
      <w:tr w:rsidR="00844D9B" w:rsidRPr="004C0BFE" w14:paraId="39ECED61" w14:textId="77777777" w:rsidTr="00B56745">
        <w:tc>
          <w:tcPr>
            <w:tcW w:w="0" w:type="auto"/>
          </w:tcPr>
          <w:p w14:paraId="6C32F359" w14:textId="77777777" w:rsidR="00844D9B" w:rsidRPr="0036748D" w:rsidRDefault="00844D9B" w:rsidP="00320EED">
            <w:pPr>
              <w:pStyle w:val="ALJBodyText"/>
              <w:spacing w:line="240" w:lineRule="auto"/>
              <w:ind w:firstLine="0"/>
              <w:jc w:val="center"/>
              <w:rPr>
                <w:b/>
                <w:bCs/>
              </w:rPr>
            </w:pPr>
            <w:r w:rsidRPr="004C0BFE">
              <w:rPr>
                <w:b/>
                <w:bCs/>
              </w:rPr>
              <w:t>RPS Adder</w:t>
            </w:r>
          </w:p>
        </w:tc>
        <w:tc>
          <w:tcPr>
            <w:tcW w:w="0" w:type="auto"/>
          </w:tcPr>
          <w:p w14:paraId="79AE973D" w14:textId="008383DE" w:rsidR="00844D9B" w:rsidRPr="004C0BFE" w:rsidRDefault="00844D9B" w:rsidP="003F737D">
            <w:pPr>
              <w:pStyle w:val="ALJBodyText"/>
              <w:spacing w:line="240" w:lineRule="auto"/>
              <w:ind w:firstLine="0"/>
            </w:pPr>
            <w:r w:rsidRPr="004C0BFE">
              <w:t>Single value</w:t>
            </w:r>
            <w:r w:rsidR="00E03019" w:rsidRPr="004C0BFE">
              <w:t xml:space="preserve"> for all IOUs based on index-plus </w:t>
            </w:r>
            <w:r w:rsidR="006967E7" w:rsidRPr="004C0BFE">
              <w:t>Portfolio Content Category (</w:t>
            </w:r>
            <w:r w:rsidR="00E03019" w:rsidRPr="004C0BFE">
              <w:t>PCC</w:t>
            </w:r>
            <w:r w:rsidR="006967E7" w:rsidRPr="004C0BFE">
              <w:t>)</w:t>
            </w:r>
            <w:r w:rsidR="00E03019" w:rsidRPr="004C0BFE">
              <w:t>-1 RPS energy transactions</w:t>
            </w:r>
          </w:p>
        </w:tc>
      </w:tr>
    </w:tbl>
    <w:p w14:paraId="11E1C240" w14:textId="77777777" w:rsidR="009B484F" w:rsidRPr="004C0BFE" w:rsidRDefault="009B484F" w:rsidP="00844D9B">
      <w:pPr>
        <w:pStyle w:val="ALJBodyText"/>
        <w:ind w:firstLine="360"/>
        <w:rPr>
          <w:sz w:val="6"/>
          <w:szCs w:val="6"/>
        </w:rPr>
      </w:pPr>
    </w:p>
    <w:p w14:paraId="3ED35001" w14:textId="29186F20" w:rsidR="00844D9B" w:rsidRPr="004C0BFE" w:rsidRDefault="008B1A0C" w:rsidP="00BC1A6E">
      <w:pPr>
        <w:pStyle w:val="Standard"/>
      </w:pPr>
      <w:r w:rsidRPr="004C0BFE">
        <w:t xml:space="preserve">According to the proposal, the </w:t>
      </w:r>
      <w:r w:rsidR="00844D9B" w:rsidRPr="004C0BFE">
        <w:t>Commission’s Energy Division Staff (Staff) calculate</w:t>
      </w:r>
      <w:r w:rsidRPr="004C0BFE">
        <w:t>s</w:t>
      </w:r>
      <w:r w:rsidR="00844D9B" w:rsidRPr="004C0BFE">
        <w:t xml:space="preserve"> these MPBs annually for both the forecast and the true</w:t>
      </w:r>
      <w:r w:rsidR="00FB3A2A" w:rsidRPr="004C0BFE">
        <w:t xml:space="preserve"> </w:t>
      </w:r>
      <w:r w:rsidR="00844D9B" w:rsidRPr="004C0BFE">
        <w:t>up process based on responses to quarterly data requests sent to all load serving entities (LSEs).</w:t>
      </w:r>
      <w:r w:rsidR="00BC1A6E" w:rsidRPr="004C0BFE">
        <w:t xml:space="preserve"> </w:t>
      </w:r>
      <w:r w:rsidR="00844D9B" w:rsidRPr="004C0BFE">
        <w:t xml:space="preserve"> Staff make</w:t>
      </w:r>
      <w:r w:rsidRPr="004C0BFE">
        <w:t>s</w:t>
      </w:r>
      <w:r w:rsidR="00844D9B" w:rsidRPr="004C0BFE">
        <w:t xml:space="preserve"> the calculated values available to interested parties at the beginning of November each year; and the IOUs use these values to calculate the PCIA that takes effect January 1 of the following year. </w:t>
      </w:r>
    </w:p>
    <w:p w14:paraId="4BB119A5" w14:textId="77777777" w:rsidR="00844D9B" w:rsidRDefault="00844D9B" w:rsidP="00844D9B">
      <w:pPr>
        <w:pStyle w:val="ALJHeading1"/>
      </w:pPr>
      <w:bookmarkStart w:id="21" w:name="_Toc16242516"/>
      <w:bookmarkStart w:id="22" w:name="_Toc17368161"/>
      <w:r>
        <w:t>Discussion and Analysis</w:t>
      </w:r>
      <w:bookmarkEnd w:id="21"/>
      <w:bookmarkEnd w:id="22"/>
    </w:p>
    <w:p w14:paraId="64319C44" w14:textId="77777777" w:rsidR="00844D9B" w:rsidRPr="004C0BFE" w:rsidRDefault="00844D9B" w:rsidP="00BC1A6E">
      <w:pPr>
        <w:pStyle w:val="Standard"/>
      </w:pPr>
      <w:r w:rsidRPr="004C0BFE">
        <w:t xml:space="preserve">For each of the eight issues listed in Section 3, this decision states the resolution to the issue, describes the proposal, briefly summarizes party comments attached to the reports, and then explains how the Commission determines the issue. </w:t>
      </w:r>
    </w:p>
    <w:p w14:paraId="5E44C7ED" w14:textId="77777777" w:rsidR="00844D9B" w:rsidRDefault="00844D9B" w:rsidP="00844D9B">
      <w:pPr>
        <w:pStyle w:val="ALJHeading2"/>
      </w:pPr>
      <w:bookmarkStart w:id="23" w:name="_Toc16242517"/>
      <w:bookmarkStart w:id="24" w:name="_Toc17368162"/>
      <w:r w:rsidRPr="00C47BE0">
        <w:lastRenderedPageBreak/>
        <w:t xml:space="preserve">Developing </w:t>
      </w:r>
      <w:r>
        <w:t>Forecast</w:t>
      </w:r>
      <w:r w:rsidRPr="00C47BE0">
        <w:t xml:space="preserve"> Values for Adders</w:t>
      </w:r>
      <w:r>
        <w:t xml:space="preserve"> (Scoping Memo Issue 4)</w:t>
      </w:r>
      <w:bookmarkEnd w:id="23"/>
      <w:bookmarkEnd w:id="24"/>
    </w:p>
    <w:p w14:paraId="0FB6A62B" w14:textId="5CEE23DC" w:rsidR="00844D9B" w:rsidRPr="004C0BFE" w:rsidRDefault="00844D9B" w:rsidP="00BC1A6E">
      <w:pPr>
        <w:pStyle w:val="Standard"/>
      </w:pPr>
      <w:r w:rsidRPr="004C0BFE">
        <w:t xml:space="preserve">Scoping Memo Issue 4 asks which mechanism(s), procedural and/or methodological, the Commission should adopt to develop annually the RA </w:t>
      </w:r>
      <w:r w:rsidR="006D0D0F" w:rsidRPr="004C0BFE">
        <w:t>A</w:t>
      </w:r>
      <w:r w:rsidRPr="004C0BFE">
        <w:t xml:space="preserve">dder and the RPS </w:t>
      </w:r>
      <w:r w:rsidR="006D0D0F" w:rsidRPr="004C0BFE">
        <w:t>A</w:t>
      </w:r>
      <w:r w:rsidRPr="004C0BFE">
        <w:t xml:space="preserve">dder. </w:t>
      </w:r>
      <w:r w:rsidR="00BC1A6E" w:rsidRPr="004C0BFE">
        <w:t xml:space="preserve"> </w:t>
      </w:r>
      <w:r w:rsidRPr="004C0BFE">
        <w:t>We conclude the following:</w:t>
      </w:r>
    </w:p>
    <w:p w14:paraId="6D1175A4" w14:textId="754BED4E" w:rsidR="00844D9B" w:rsidRPr="004C0BFE" w:rsidRDefault="00844D9B" w:rsidP="00844D9B">
      <w:pPr>
        <w:pStyle w:val="ALJBodyText"/>
      </w:pPr>
      <w:r w:rsidRPr="004C0BFE">
        <w:t xml:space="preserve">Working Group One’s proposal on calculating the forecast </w:t>
      </w:r>
      <w:r w:rsidR="006D0D0F" w:rsidRPr="004C0BFE">
        <w:t xml:space="preserve">market </w:t>
      </w:r>
      <w:r w:rsidRPr="004C0BFE">
        <w:t xml:space="preserve">value </w:t>
      </w:r>
      <w:r w:rsidR="006D0D0F" w:rsidRPr="004C0BFE">
        <w:t xml:space="preserve">based </w:t>
      </w:r>
      <w:r w:rsidR="00335B3C" w:rsidRPr="004C0BFE">
        <w:t xml:space="preserve">on the </w:t>
      </w:r>
      <w:r w:rsidR="006D0D0F" w:rsidRPr="004C0BFE">
        <w:t>E</w:t>
      </w:r>
      <w:r w:rsidRPr="004C0BFE">
        <w:t xml:space="preserve">nergy </w:t>
      </w:r>
      <w:r w:rsidR="006D0D0F" w:rsidRPr="004C0BFE">
        <w:t>Index</w:t>
      </w:r>
      <w:r w:rsidRPr="004C0BFE">
        <w:t xml:space="preserve">, RPS </w:t>
      </w:r>
      <w:r w:rsidR="006D0D0F" w:rsidRPr="004C0BFE">
        <w:t>A</w:t>
      </w:r>
      <w:r w:rsidRPr="004C0BFE">
        <w:t xml:space="preserve">dder, and RA </w:t>
      </w:r>
      <w:r w:rsidR="006D0D0F" w:rsidRPr="004C0BFE">
        <w:t>A</w:t>
      </w:r>
      <w:r w:rsidRPr="004C0BFE">
        <w:t>dder for system and flexible RA, is reasonable and adopted.</w:t>
      </w:r>
    </w:p>
    <w:p w14:paraId="51DB135B" w14:textId="7CDBAD36" w:rsidR="00844D9B" w:rsidRPr="004C0BFE" w:rsidRDefault="00844D9B" w:rsidP="000230B8">
      <w:pPr>
        <w:pStyle w:val="ALJBodyText"/>
        <w:numPr>
          <w:ilvl w:val="0"/>
          <w:numId w:val="25"/>
        </w:numPr>
        <w:spacing w:after="120" w:line="240" w:lineRule="auto"/>
        <w:ind w:right="1440"/>
      </w:pPr>
      <w:r w:rsidRPr="004C0BFE">
        <w:t xml:space="preserve">With respect to the RPS </w:t>
      </w:r>
      <w:r w:rsidR="006D0D0F" w:rsidRPr="004C0BFE">
        <w:t>A</w:t>
      </w:r>
      <w:r w:rsidRPr="004C0BFE">
        <w:t xml:space="preserve">dder, we also adopt TURN’s proposal that all LSEs be required to provide Staff with information on all fixed-price transactions executed in the past three years (n-3, n-2, n-1) for delivery in the following three years (n, n+1, n+2). </w:t>
      </w:r>
    </w:p>
    <w:p w14:paraId="5C8270C9" w14:textId="5027BC4D" w:rsidR="00844D9B" w:rsidRPr="004C0BFE" w:rsidRDefault="00844D9B" w:rsidP="000230B8">
      <w:pPr>
        <w:pStyle w:val="ALJBodyText"/>
        <w:numPr>
          <w:ilvl w:val="0"/>
          <w:numId w:val="25"/>
        </w:numPr>
        <w:spacing w:after="120" w:line="240" w:lineRule="auto"/>
        <w:ind w:right="1440"/>
      </w:pPr>
      <w:r w:rsidRPr="004C0BFE">
        <w:t>We direct Staff to propose</w:t>
      </w:r>
      <w:r w:rsidR="00F65762">
        <w:t>, by the end of 2020,</w:t>
      </w:r>
      <w:r w:rsidRPr="004C0BFE">
        <w:t xml:space="preserve"> a method to include long-term fixed-price transactions in calculating the RPS </w:t>
      </w:r>
      <w:r w:rsidR="006D0D0F" w:rsidRPr="004C0BFE">
        <w:t>A</w:t>
      </w:r>
      <w:r w:rsidRPr="004C0BFE">
        <w:t>dder.</w:t>
      </w:r>
    </w:p>
    <w:p w14:paraId="132DA9FC" w14:textId="19DA422E" w:rsidR="00844D9B" w:rsidRPr="004C0BFE" w:rsidRDefault="00844D9B" w:rsidP="000230B8">
      <w:pPr>
        <w:pStyle w:val="ALJBodyText"/>
        <w:numPr>
          <w:ilvl w:val="0"/>
          <w:numId w:val="25"/>
        </w:numPr>
        <w:spacing w:after="120" w:line="240" w:lineRule="auto"/>
        <w:ind w:right="1440"/>
      </w:pPr>
      <w:r w:rsidRPr="004C0BFE">
        <w:t xml:space="preserve"> With respect to the local RA</w:t>
      </w:r>
      <w:r w:rsidR="00500DFA" w:rsidRPr="004C0BFE">
        <w:t>, the</w:t>
      </w:r>
      <w:r w:rsidRPr="004C0BFE">
        <w:t xml:space="preserve"> </w:t>
      </w:r>
      <w:r w:rsidR="006D0D0F" w:rsidRPr="004C0BFE">
        <w:t>A</w:t>
      </w:r>
      <w:r w:rsidRPr="004C0BFE">
        <w:t>dder</w:t>
      </w:r>
      <w:r w:rsidR="00500DFA" w:rsidRPr="004C0BFE">
        <w:t xml:space="preserve"> will require including</w:t>
      </w:r>
      <w:r w:rsidRPr="004C0BFE">
        <w:t xml:space="preserve"> data from year (n-3) </w:t>
      </w:r>
      <w:r w:rsidR="001C1A35" w:rsidRPr="004C0BFE">
        <w:t xml:space="preserve">to keep it </w:t>
      </w:r>
      <w:r w:rsidRPr="004C0BFE">
        <w:t xml:space="preserve">consistent with the current RA compliance requirements. </w:t>
      </w:r>
    </w:p>
    <w:p w14:paraId="59DEEFA7" w14:textId="77777777" w:rsidR="00844D9B" w:rsidRDefault="00844D9B" w:rsidP="00844D9B">
      <w:pPr>
        <w:pStyle w:val="ALJHeading3"/>
      </w:pPr>
      <w:bookmarkStart w:id="25" w:name="_Toc16242518"/>
      <w:bookmarkStart w:id="26" w:name="_Toc17368163"/>
      <w:r>
        <w:t>Scoping Memo Issue 4: Proposal</w:t>
      </w:r>
      <w:bookmarkEnd w:id="25"/>
      <w:bookmarkEnd w:id="26"/>
    </w:p>
    <w:p w14:paraId="589CC1F8" w14:textId="3AB8C482" w:rsidR="00844D9B" w:rsidRPr="004C0BFE" w:rsidRDefault="00844D9B" w:rsidP="00B479C0">
      <w:pPr>
        <w:pStyle w:val="Standard"/>
      </w:pPr>
      <w:r w:rsidRPr="004C0BFE">
        <w:t xml:space="preserve">Working Group One co-chairs propose the following methodological and procedural approach to calculate the forecast </w:t>
      </w:r>
      <w:r w:rsidR="005D27E1" w:rsidRPr="004C0BFE">
        <w:t>Market Value of a portfolio of energy resources based on three Market Price Benchmarks: E</w:t>
      </w:r>
      <w:r w:rsidRPr="004C0BFE">
        <w:t xml:space="preserve">nergy </w:t>
      </w:r>
      <w:r w:rsidR="005D27E1" w:rsidRPr="004C0BFE">
        <w:t>Index</w:t>
      </w:r>
      <w:r w:rsidRPr="004C0BFE">
        <w:t xml:space="preserve">, RPS Adder, and RA Adder. </w:t>
      </w:r>
      <w:r w:rsidR="005D27E1" w:rsidRPr="004C0BFE">
        <w:t>As noted previously, each Market Price Benchmark must be multiplied by the relevant volume to compute a value measured in dollars.</w:t>
      </w:r>
    </w:p>
    <w:p w14:paraId="771C2DE3" w14:textId="014F0D12" w:rsidR="00EA0B73" w:rsidRPr="004C0BFE" w:rsidRDefault="00844D9B" w:rsidP="00EA0B73">
      <w:pPr>
        <w:pStyle w:val="Standard"/>
      </w:pPr>
      <w:r w:rsidRPr="004C0BFE">
        <w:rPr>
          <w:i/>
          <w:iCs/>
        </w:rPr>
        <w:t xml:space="preserve">Forecast Energy </w:t>
      </w:r>
      <w:r w:rsidR="005D27E1" w:rsidRPr="004C0BFE">
        <w:rPr>
          <w:i/>
          <w:iCs/>
        </w:rPr>
        <w:t>Value</w:t>
      </w:r>
      <w:r w:rsidRPr="004C0BFE">
        <w:rPr>
          <w:i/>
          <w:iCs/>
        </w:rPr>
        <w:t>:</w:t>
      </w:r>
      <w:r w:rsidRPr="004C0BFE">
        <w:t xml:space="preserve"> </w:t>
      </w:r>
      <w:r w:rsidR="00EA0B73" w:rsidRPr="004C0BFE">
        <w:t xml:space="preserve">For purposes of calculating the Energy Index, the co-chairs propose maintaining existing practice of relying on Platts average published peak and off-peak market indices for a one-year strip of power for the coming calendar year (year n) for North of Path 15 (NP15), for PG&amp;E, and South of Path 15 (SP15), for SCE and SDG&amp;E,  published over the period of October of </w:t>
      </w:r>
      <w:r w:rsidR="00EA0B73" w:rsidRPr="004C0BFE">
        <w:lastRenderedPageBreak/>
        <w:t xml:space="preserve">the year prior to the forecast year, as directed in D.18-10-019.  This average </w:t>
      </w:r>
      <w:r w:rsidR="00504490" w:rsidRPr="004C0BFE">
        <w:t>is</w:t>
      </w:r>
      <w:r w:rsidR="00EA0B73" w:rsidRPr="004C0BFE">
        <w:t xml:space="preserve"> separately calculated for NP15 and SP15 and weighted using peak and off-peak weighting factors that reflect bundled customer load to derive a s</w:t>
      </w:r>
      <w:r w:rsidR="00335B3C" w:rsidRPr="004C0BFE">
        <w:t>ep</w:t>
      </w:r>
      <w:r w:rsidR="00F74B18" w:rsidRPr="004C0BFE">
        <w:t>a</w:t>
      </w:r>
      <w:r w:rsidR="00335B3C" w:rsidRPr="004C0BFE">
        <w:t>rate</w:t>
      </w:r>
      <w:r w:rsidR="00EA0B73" w:rsidRPr="004C0BFE">
        <w:t xml:space="preserve"> Energy Index</w:t>
      </w:r>
      <w:r w:rsidR="00335B3C" w:rsidRPr="004C0BFE">
        <w:t xml:space="preserve"> for each IOU</w:t>
      </w:r>
      <w:r w:rsidR="00EA0B73" w:rsidRPr="004C0BFE">
        <w:t xml:space="preserve">. </w:t>
      </w:r>
    </w:p>
    <w:p w14:paraId="10CA1AF1" w14:textId="2B2F776B" w:rsidR="00844D9B" w:rsidRPr="004C0BFE" w:rsidRDefault="00844D9B" w:rsidP="00EA0B73">
      <w:pPr>
        <w:pStyle w:val="Standard"/>
      </w:pPr>
      <w:r w:rsidRPr="004C0BFE">
        <w:t xml:space="preserve">As explained in the May Report, forecasted energy revenues </w:t>
      </w:r>
      <w:r w:rsidR="00335B3C" w:rsidRPr="004C0BFE">
        <w:t>are</w:t>
      </w:r>
      <w:r w:rsidRPr="004C0BFE">
        <w:t xml:space="preserve"> used in each IOU’s annual ERRA Forecast filing to determine the total portfolio indifference amount for the following year n.</w:t>
      </w:r>
      <w:r w:rsidR="00B479C0" w:rsidRPr="004C0BFE">
        <w:t xml:space="preserve"> </w:t>
      </w:r>
      <w:r w:rsidRPr="004C0BFE">
        <w:t xml:space="preserve"> Forecasted energy revenues </w:t>
      </w:r>
      <w:r w:rsidR="00504490" w:rsidRPr="004C0BFE">
        <w:t>are</w:t>
      </w:r>
      <w:r w:rsidRPr="004C0BFE">
        <w:t xml:space="preserve"> calculated by multiplying the </w:t>
      </w:r>
      <w:r w:rsidR="006640F0" w:rsidRPr="004C0BFE">
        <w:t>Energy</w:t>
      </w:r>
      <w:r w:rsidRPr="004C0BFE">
        <w:t xml:space="preserve"> Index ($/MWh) </w:t>
      </w:r>
      <w:r w:rsidR="00335B3C" w:rsidRPr="004C0BFE">
        <w:t>by</w:t>
      </w:r>
      <w:r w:rsidRPr="004C0BFE">
        <w:t xml:space="preserve"> the forecasted energy generation (MWh) from </w:t>
      </w:r>
      <w:r w:rsidR="00335B3C" w:rsidRPr="004C0BFE">
        <w:t xml:space="preserve">the IOUs’ PCIA-eligible resources. </w:t>
      </w:r>
    </w:p>
    <w:p w14:paraId="0628C447" w14:textId="28A43E1F" w:rsidR="00844D9B" w:rsidRPr="004C0BFE" w:rsidRDefault="00844D9B" w:rsidP="00E6402D">
      <w:pPr>
        <w:pStyle w:val="Standard"/>
        <w:ind w:firstLine="0"/>
      </w:pPr>
      <w:r w:rsidRPr="004C0BFE">
        <w:t xml:space="preserve"> </w:t>
      </w:r>
      <w:r w:rsidRPr="004C0BFE">
        <w:rPr>
          <w:i/>
          <w:iCs/>
        </w:rPr>
        <w:t xml:space="preserve">Forecasted RPS </w:t>
      </w:r>
      <w:r w:rsidR="005E71A3" w:rsidRPr="004C0BFE">
        <w:rPr>
          <w:i/>
          <w:iCs/>
        </w:rPr>
        <w:t>Value</w:t>
      </w:r>
      <w:r w:rsidRPr="004C0BFE">
        <w:rPr>
          <w:i/>
          <w:iCs/>
        </w:rPr>
        <w:t xml:space="preserve">: </w:t>
      </w:r>
      <w:r w:rsidRPr="004C0BFE">
        <w:t xml:space="preserve"> The value of RPS attributes </w:t>
      </w:r>
      <w:r w:rsidR="00504490" w:rsidRPr="004C0BFE">
        <w:t>is</w:t>
      </w:r>
      <w:r w:rsidRPr="004C0BFE">
        <w:t xml:space="preserve"> forecasted using the prices and quantities for three RPS product categories within the PCIA-eligible portfolio: </w:t>
      </w:r>
    </w:p>
    <w:p w14:paraId="64FE880B" w14:textId="77777777" w:rsidR="00844D9B" w:rsidRPr="004C0BFE" w:rsidRDefault="00844D9B" w:rsidP="00E6402D">
      <w:pPr>
        <w:pStyle w:val="ALJBodyText"/>
        <w:keepNext/>
        <w:keepLines/>
        <w:ind w:firstLine="900"/>
        <w:rPr>
          <w:b/>
          <w:bCs/>
        </w:rPr>
      </w:pPr>
      <w:bookmarkStart w:id="27" w:name="_Hlk17900261"/>
      <w:r w:rsidRPr="004C0BFE">
        <w:rPr>
          <w:b/>
          <w:bCs/>
        </w:rPr>
        <w:t>Table II: Price and Quantities for the RPS Product Categories</w:t>
      </w:r>
    </w:p>
    <w:tbl>
      <w:tblPr>
        <w:tblStyle w:val="TableGrid"/>
        <w:tblW w:w="0" w:type="auto"/>
        <w:jc w:val="center"/>
        <w:tblLook w:val="04A0" w:firstRow="1" w:lastRow="0" w:firstColumn="1" w:lastColumn="0" w:noHBand="0" w:noVBand="1"/>
      </w:tblPr>
      <w:tblGrid>
        <w:gridCol w:w="2338"/>
        <w:gridCol w:w="2338"/>
        <w:gridCol w:w="2337"/>
      </w:tblGrid>
      <w:tr w:rsidR="00844D9B" w:rsidRPr="00C47BE0" w14:paraId="64489829" w14:textId="77777777" w:rsidTr="00B56745">
        <w:trPr>
          <w:jc w:val="center"/>
        </w:trPr>
        <w:tc>
          <w:tcPr>
            <w:tcW w:w="2338" w:type="dxa"/>
          </w:tcPr>
          <w:p w14:paraId="13B60D4D" w14:textId="77777777" w:rsidR="00844D9B" w:rsidRPr="00224EC7" w:rsidRDefault="00844D9B" w:rsidP="00E6402D">
            <w:pPr>
              <w:pStyle w:val="ALJBodyText"/>
              <w:keepNext/>
              <w:keepLines/>
              <w:ind w:firstLine="0"/>
              <w:rPr>
                <w:b/>
                <w:bCs/>
              </w:rPr>
            </w:pPr>
            <w:r w:rsidRPr="004C0BFE">
              <w:rPr>
                <w:b/>
                <w:bCs/>
              </w:rPr>
              <w:t>RPS Product Category</w:t>
            </w:r>
          </w:p>
        </w:tc>
        <w:tc>
          <w:tcPr>
            <w:tcW w:w="2338" w:type="dxa"/>
          </w:tcPr>
          <w:p w14:paraId="4A290DC0" w14:textId="77777777" w:rsidR="00844D9B" w:rsidRPr="00C47BE0" w:rsidRDefault="00844D9B" w:rsidP="00E6402D">
            <w:pPr>
              <w:pStyle w:val="ALJBodyText"/>
              <w:keepNext/>
              <w:keepLines/>
              <w:rPr>
                <w:b/>
                <w:bCs/>
              </w:rPr>
            </w:pPr>
            <w:r w:rsidRPr="004C0BFE">
              <w:rPr>
                <w:b/>
                <w:bCs/>
              </w:rPr>
              <w:t>Price</w:t>
            </w:r>
          </w:p>
        </w:tc>
        <w:tc>
          <w:tcPr>
            <w:tcW w:w="2337" w:type="dxa"/>
          </w:tcPr>
          <w:p w14:paraId="2401633B" w14:textId="77777777" w:rsidR="00844D9B" w:rsidRPr="00C47BE0" w:rsidRDefault="00844D9B" w:rsidP="00E6402D">
            <w:pPr>
              <w:pStyle w:val="ALJBodyText"/>
              <w:keepNext/>
              <w:keepLines/>
              <w:rPr>
                <w:b/>
                <w:bCs/>
              </w:rPr>
            </w:pPr>
            <w:r w:rsidRPr="004C0BFE">
              <w:rPr>
                <w:b/>
                <w:bCs/>
              </w:rPr>
              <w:t>Quantity</w:t>
            </w:r>
          </w:p>
        </w:tc>
      </w:tr>
      <w:tr w:rsidR="00844D9B" w:rsidRPr="00C47BE0" w14:paraId="67E4F4EC" w14:textId="77777777" w:rsidTr="00B56745">
        <w:trPr>
          <w:jc w:val="center"/>
        </w:trPr>
        <w:tc>
          <w:tcPr>
            <w:tcW w:w="2338" w:type="dxa"/>
          </w:tcPr>
          <w:p w14:paraId="500252E8" w14:textId="77777777" w:rsidR="00844D9B" w:rsidRPr="004C0BFE" w:rsidRDefault="00844D9B" w:rsidP="00CD340A">
            <w:pPr>
              <w:pStyle w:val="ALJBodyText"/>
              <w:spacing w:after="120" w:line="240" w:lineRule="auto"/>
              <w:ind w:firstLine="0"/>
            </w:pPr>
            <w:r w:rsidRPr="004C0BFE">
              <w:t xml:space="preserve">Forecast Retained </w:t>
            </w:r>
          </w:p>
          <w:p w14:paraId="04336B59" w14:textId="77777777" w:rsidR="00844D9B" w:rsidRPr="00C47BE0" w:rsidRDefault="00844D9B" w:rsidP="00CD340A">
            <w:pPr>
              <w:pStyle w:val="ALJBodyText"/>
              <w:spacing w:after="120" w:line="240" w:lineRule="auto"/>
            </w:pPr>
          </w:p>
        </w:tc>
        <w:tc>
          <w:tcPr>
            <w:tcW w:w="2338" w:type="dxa"/>
          </w:tcPr>
          <w:p w14:paraId="43A9D95F" w14:textId="77777777" w:rsidR="00844D9B" w:rsidRPr="00C47BE0" w:rsidRDefault="00844D9B" w:rsidP="00CD340A">
            <w:pPr>
              <w:pStyle w:val="ALJBodyText"/>
              <w:spacing w:after="120" w:line="240" w:lineRule="auto"/>
              <w:ind w:firstLine="0"/>
            </w:pPr>
            <w:r w:rsidRPr="004C0BFE">
              <w:t>Forecast RPS Adder, calculated by Staff</w:t>
            </w:r>
          </w:p>
        </w:tc>
        <w:tc>
          <w:tcPr>
            <w:tcW w:w="2337" w:type="dxa"/>
          </w:tcPr>
          <w:p w14:paraId="6604F983" w14:textId="77777777" w:rsidR="00844D9B" w:rsidRPr="00C47BE0" w:rsidRDefault="00844D9B" w:rsidP="00CD340A">
            <w:pPr>
              <w:pStyle w:val="ALJBodyText"/>
              <w:spacing w:after="120" w:line="240" w:lineRule="auto"/>
              <w:ind w:firstLine="0"/>
            </w:pPr>
            <w:r w:rsidRPr="004C0BFE">
              <w:t>Forecasted IOU RPS compliance need</w:t>
            </w:r>
          </w:p>
        </w:tc>
      </w:tr>
      <w:tr w:rsidR="00844D9B" w:rsidRPr="00C47BE0" w14:paraId="316B54A5" w14:textId="77777777" w:rsidTr="00B56745">
        <w:trPr>
          <w:jc w:val="center"/>
        </w:trPr>
        <w:tc>
          <w:tcPr>
            <w:tcW w:w="2338" w:type="dxa"/>
          </w:tcPr>
          <w:p w14:paraId="5594F5DF" w14:textId="77777777" w:rsidR="00844D9B" w:rsidRPr="00C47BE0" w:rsidRDefault="00844D9B" w:rsidP="00CD340A">
            <w:pPr>
              <w:pStyle w:val="ALJBodyText"/>
              <w:spacing w:after="120" w:line="240" w:lineRule="auto"/>
              <w:ind w:firstLine="0"/>
            </w:pPr>
            <w:r w:rsidRPr="004C0BFE">
              <w:t>Actual Sold</w:t>
            </w:r>
          </w:p>
        </w:tc>
        <w:tc>
          <w:tcPr>
            <w:tcW w:w="2338" w:type="dxa"/>
          </w:tcPr>
          <w:p w14:paraId="4EA95AAE" w14:textId="2735C1A9" w:rsidR="00844D9B" w:rsidRPr="00C47BE0" w:rsidRDefault="00844D9B" w:rsidP="00CD340A">
            <w:pPr>
              <w:pStyle w:val="ALJBodyText"/>
              <w:spacing w:after="120" w:line="240" w:lineRule="auto"/>
              <w:ind w:firstLine="0"/>
            </w:pPr>
            <w:r w:rsidRPr="004C0BFE">
              <w:t xml:space="preserve">Actual transacted price for any transactions </w:t>
            </w:r>
            <w:r w:rsidR="005E71A3" w:rsidRPr="004C0BFE">
              <w:t xml:space="preserve">up to </w:t>
            </w:r>
            <w:r w:rsidRPr="004C0BFE">
              <w:t>~45 days prior to ERRA Forecast filing</w:t>
            </w:r>
            <w:r w:rsidR="005E71A3" w:rsidRPr="004C0BFE">
              <w:t xml:space="preserve"> (November update)</w:t>
            </w:r>
          </w:p>
        </w:tc>
        <w:tc>
          <w:tcPr>
            <w:tcW w:w="2337" w:type="dxa"/>
          </w:tcPr>
          <w:p w14:paraId="5208A9EA" w14:textId="07C25BAD" w:rsidR="00844D9B" w:rsidRPr="00C47BE0" w:rsidRDefault="00844D9B" w:rsidP="00CD340A">
            <w:pPr>
              <w:pStyle w:val="ALJBodyText"/>
              <w:spacing w:after="120" w:line="240" w:lineRule="auto"/>
              <w:ind w:firstLine="0"/>
            </w:pPr>
            <w:r w:rsidRPr="004C0BFE">
              <w:t xml:space="preserve">Actual transacted volume of transactions </w:t>
            </w:r>
            <w:r w:rsidR="005E71A3" w:rsidRPr="004C0BFE">
              <w:t xml:space="preserve">up to </w:t>
            </w:r>
            <w:r w:rsidRPr="004C0BFE">
              <w:t>~45 days prior to ERRA Forecast filing</w:t>
            </w:r>
            <w:r w:rsidR="005E71A3" w:rsidRPr="004C0BFE">
              <w:t xml:space="preserve"> (November update)</w:t>
            </w:r>
          </w:p>
        </w:tc>
      </w:tr>
      <w:tr w:rsidR="00844D9B" w:rsidRPr="004C0BFE" w14:paraId="0DE98559" w14:textId="77777777" w:rsidTr="00B56745">
        <w:trPr>
          <w:jc w:val="center"/>
        </w:trPr>
        <w:tc>
          <w:tcPr>
            <w:tcW w:w="2338" w:type="dxa"/>
          </w:tcPr>
          <w:p w14:paraId="7D9B0139" w14:textId="77777777" w:rsidR="00844D9B" w:rsidRPr="00C47BE0" w:rsidRDefault="00844D9B" w:rsidP="00CD340A">
            <w:pPr>
              <w:pStyle w:val="ALJBodyText"/>
              <w:spacing w:after="120" w:line="240" w:lineRule="auto"/>
              <w:ind w:firstLine="0"/>
            </w:pPr>
            <w:r w:rsidRPr="004C0BFE">
              <w:t>Forecast Sold</w:t>
            </w:r>
          </w:p>
        </w:tc>
        <w:tc>
          <w:tcPr>
            <w:tcW w:w="2338" w:type="dxa"/>
          </w:tcPr>
          <w:p w14:paraId="3E8AEC41" w14:textId="77777777" w:rsidR="00844D9B" w:rsidRPr="00C47BE0" w:rsidRDefault="00844D9B" w:rsidP="00CD340A">
            <w:pPr>
              <w:pStyle w:val="ALJBodyText"/>
              <w:spacing w:after="120" w:line="240" w:lineRule="auto"/>
              <w:ind w:firstLine="0"/>
            </w:pPr>
            <w:r w:rsidRPr="004C0BFE">
              <w:t>Applicable RPS Adder</w:t>
            </w:r>
          </w:p>
        </w:tc>
        <w:tc>
          <w:tcPr>
            <w:tcW w:w="2337" w:type="dxa"/>
          </w:tcPr>
          <w:p w14:paraId="72965FE3" w14:textId="77777777" w:rsidR="00844D9B" w:rsidRPr="004C0BFE" w:rsidRDefault="00844D9B" w:rsidP="00CD340A">
            <w:pPr>
              <w:pStyle w:val="ALJBodyText"/>
              <w:spacing w:after="120" w:line="240" w:lineRule="auto"/>
              <w:ind w:firstLine="0"/>
            </w:pPr>
            <w:r w:rsidRPr="004C0BFE">
              <w:t>Forecasted sold volume</w:t>
            </w:r>
          </w:p>
        </w:tc>
      </w:tr>
      <w:bookmarkEnd w:id="27"/>
    </w:tbl>
    <w:p w14:paraId="52AD60CD" w14:textId="77777777" w:rsidR="00844D9B" w:rsidRPr="004C0BFE" w:rsidRDefault="00844D9B" w:rsidP="00844D9B">
      <w:pPr>
        <w:pStyle w:val="ALJBodyText"/>
        <w:rPr>
          <w:sz w:val="6"/>
          <w:szCs w:val="6"/>
        </w:rPr>
      </w:pPr>
    </w:p>
    <w:p w14:paraId="60677E86" w14:textId="43E51028" w:rsidR="00844D9B" w:rsidRPr="004C0BFE" w:rsidRDefault="00844D9B" w:rsidP="00FD7824">
      <w:pPr>
        <w:pStyle w:val="Standard"/>
      </w:pPr>
      <w:r w:rsidRPr="004C0BFE">
        <w:t xml:space="preserve">Regarding the approach to calculate the RPS </w:t>
      </w:r>
      <w:r w:rsidR="005E71A3" w:rsidRPr="004C0BFE">
        <w:t>A</w:t>
      </w:r>
      <w:r w:rsidRPr="004C0BFE">
        <w:t xml:space="preserve">dder, the co-chairs propose using the volume-weighted average of all IOU, CCA, and ESP market </w:t>
      </w:r>
      <w:r w:rsidRPr="004C0BFE">
        <w:lastRenderedPageBreak/>
        <w:t xml:space="preserve">transactions (using only Portfolio Content Category 1 (PCC 1) index-plus contracts) executed in the fourth quarter (Q4) of year (n-2), and the first through the third quarter (Q1-Q3) of year (n-1) for delivery in year n. </w:t>
      </w:r>
      <w:r w:rsidR="00FD7824" w:rsidRPr="004C0BFE">
        <w:t xml:space="preserve"> </w:t>
      </w:r>
      <w:r w:rsidRPr="004C0BFE">
        <w:t xml:space="preserve">For example, the Forecast RPS Adder for the 2020 compliance year </w:t>
      </w:r>
      <w:r w:rsidR="00504490" w:rsidRPr="004C0BFE">
        <w:t>is</w:t>
      </w:r>
      <w:r w:rsidRPr="004C0BFE">
        <w:t xml:space="preserve"> based on sales from Q4 2018 through the third quarter (Q3) of 2019, for delivery in 2020. </w:t>
      </w:r>
      <w:r w:rsidR="00FD7824" w:rsidRPr="004C0BFE">
        <w:t xml:space="preserve"> </w:t>
      </w:r>
      <w:r w:rsidRPr="004C0BFE">
        <w:t>The calculation w</w:t>
      </w:r>
      <w:r w:rsidR="00F82859" w:rsidRPr="004C0BFE">
        <w:t>ill</w:t>
      </w:r>
      <w:r w:rsidRPr="004C0BFE">
        <w:t xml:space="preserve"> </w:t>
      </w:r>
      <w:r w:rsidR="00504490" w:rsidRPr="004C0BFE">
        <w:t xml:space="preserve">be </w:t>
      </w:r>
      <w:r w:rsidRPr="004C0BFE">
        <w:t>performed by Staff at the beginning of November each year and w</w:t>
      </w:r>
      <w:r w:rsidR="00F82859" w:rsidRPr="004C0BFE">
        <w:t>ill</w:t>
      </w:r>
      <w:r w:rsidRPr="004C0BFE">
        <w:t xml:space="preserve"> be incorporated into the IOUs’ annual ERRA Forecast Applications.  </w:t>
      </w:r>
    </w:p>
    <w:p w14:paraId="7D6DC3A7" w14:textId="1662B092" w:rsidR="00844D9B" w:rsidRPr="004C0BFE" w:rsidRDefault="00844D9B" w:rsidP="00FD7824">
      <w:pPr>
        <w:pStyle w:val="Standard"/>
      </w:pPr>
      <w:r w:rsidRPr="004C0BFE">
        <w:t xml:space="preserve">According to the May Report, during the working group process, TURN raised the issue of integrating long-term fixed-price power purchase agreements (PPAs) into the RPS </w:t>
      </w:r>
      <w:r w:rsidR="005E71A3" w:rsidRPr="004C0BFE">
        <w:t>A</w:t>
      </w:r>
      <w:r w:rsidRPr="004C0BFE">
        <w:t>dder calculations.</w:t>
      </w:r>
      <w:r w:rsidR="00FD7824" w:rsidRPr="004C0BFE">
        <w:t xml:space="preserve"> </w:t>
      </w:r>
      <w:r w:rsidRPr="004C0BFE">
        <w:t xml:space="preserve"> Pointing to the potential disconnect between short-term prices for existing projects and long-term pricing for new RPS resources, TURN argues that the failure to consider these transactions and relying on “index-plus” transactions could skew the MPB and result in biased RPS </w:t>
      </w:r>
      <w:r w:rsidR="005E71A3" w:rsidRPr="004C0BFE">
        <w:t>A</w:t>
      </w:r>
      <w:r w:rsidRPr="004C0BFE">
        <w:t>dders.</w:t>
      </w:r>
      <w:r w:rsidR="00FD7824" w:rsidRPr="004C0BFE">
        <w:t xml:space="preserve"> </w:t>
      </w:r>
      <w:r w:rsidRPr="004C0BFE">
        <w:t xml:space="preserve"> However, recognizing the technical challenges to developing a </w:t>
      </w:r>
      <w:r w:rsidR="005E71A3" w:rsidRPr="004C0BFE">
        <w:t xml:space="preserve">workable </w:t>
      </w:r>
      <w:r w:rsidRPr="004C0BFE">
        <w:t>methodology for incorporating fixed-price transactions, TURN accepts the proposed index-plus approach as an interim solution.  Furthermore, TURN recommends that the Commission require all LSEs to provide Staff with information on all fixed-price transactions (sales and purchases) for renewable energy executed in the past three years (n-3, n-2 and n-1) for delivery in the following three years (n, n+1, n+2). According to TURN, data for each fixed-price bundled transaction should include price, contract duration, delivery node, hourly delivery profile and RA value.</w:t>
      </w:r>
      <w:r w:rsidR="00FD7824" w:rsidRPr="004C0BFE">
        <w:t xml:space="preserve"> </w:t>
      </w:r>
      <w:r w:rsidRPr="004C0BFE">
        <w:t xml:space="preserve"> TURN also calls for a sunset date for using the co-chairs’ proposal, but does not propose a specific date. </w:t>
      </w:r>
    </w:p>
    <w:p w14:paraId="76F7C9DD" w14:textId="6B038A03" w:rsidR="00844D9B" w:rsidRPr="004C0BFE" w:rsidRDefault="00844D9B" w:rsidP="00844D9B">
      <w:pPr>
        <w:pStyle w:val="ALJBodyText"/>
      </w:pPr>
      <w:r w:rsidRPr="004C0BFE">
        <w:rPr>
          <w:i/>
          <w:iCs/>
        </w:rPr>
        <w:t xml:space="preserve">Forecast RA </w:t>
      </w:r>
      <w:r w:rsidR="005E71A3" w:rsidRPr="004C0BFE">
        <w:rPr>
          <w:i/>
          <w:iCs/>
        </w:rPr>
        <w:t>Value</w:t>
      </w:r>
      <w:r w:rsidRPr="004C0BFE">
        <w:rPr>
          <w:i/>
          <w:iCs/>
        </w:rPr>
        <w:t xml:space="preserve">: </w:t>
      </w:r>
      <w:r w:rsidRPr="004C0BFE">
        <w:t xml:space="preserve">The value of RA resources </w:t>
      </w:r>
      <w:r w:rsidR="00504490" w:rsidRPr="004C0BFE">
        <w:t>is</w:t>
      </w:r>
      <w:r w:rsidRPr="004C0BFE">
        <w:t xml:space="preserve"> forecasted using the prices and quantities for the following categories within the PCIA eligible portfolio: </w:t>
      </w:r>
    </w:p>
    <w:p w14:paraId="1B080837" w14:textId="77777777" w:rsidR="00844D9B" w:rsidRPr="004C0BFE" w:rsidRDefault="00844D9B" w:rsidP="00844D9B">
      <w:pPr>
        <w:pStyle w:val="ALJBodyText"/>
        <w:jc w:val="center"/>
      </w:pPr>
      <w:bookmarkStart w:id="28" w:name="_Hlk17900298"/>
      <w:r w:rsidRPr="004C0BFE">
        <w:rPr>
          <w:b/>
          <w:bCs/>
        </w:rPr>
        <w:lastRenderedPageBreak/>
        <w:t>Table III: Forecast RA Price and Quantity</w:t>
      </w:r>
      <w:r w:rsidRPr="004C0BFE">
        <w:rPr>
          <w:rStyle w:val="FootnoteReference"/>
          <w:b/>
          <w:bCs/>
        </w:rPr>
        <w:footnoteReference w:id="9"/>
      </w:r>
    </w:p>
    <w:tbl>
      <w:tblPr>
        <w:tblStyle w:val="TableGrid"/>
        <w:tblW w:w="0" w:type="auto"/>
        <w:jc w:val="center"/>
        <w:tblLook w:val="04A0" w:firstRow="1" w:lastRow="0" w:firstColumn="1" w:lastColumn="0" w:noHBand="0" w:noVBand="1"/>
      </w:tblPr>
      <w:tblGrid>
        <w:gridCol w:w="3116"/>
        <w:gridCol w:w="3117"/>
        <w:gridCol w:w="3117"/>
      </w:tblGrid>
      <w:tr w:rsidR="00844D9B" w:rsidRPr="00C47BE0" w14:paraId="74FAA8A2" w14:textId="77777777" w:rsidTr="00FD7824">
        <w:trPr>
          <w:jc w:val="center"/>
        </w:trPr>
        <w:tc>
          <w:tcPr>
            <w:tcW w:w="3116" w:type="dxa"/>
          </w:tcPr>
          <w:p w14:paraId="1E2FF33C" w14:textId="77777777" w:rsidR="00844D9B" w:rsidRPr="00C47BE0" w:rsidRDefault="00844D9B" w:rsidP="00B56745">
            <w:pPr>
              <w:pStyle w:val="ALJBodyText"/>
              <w:spacing w:line="240" w:lineRule="auto"/>
              <w:rPr>
                <w:b/>
                <w:bCs/>
              </w:rPr>
            </w:pPr>
          </w:p>
        </w:tc>
        <w:tc>
          <w:tcPr>
            <w:tcW w:w="3117" w:type="dxa"/>
          </w:tcPr>
          <w:p w14:paraId="309302B0" w14:textId="77777777" w:rsidR="00844D9B" w:rsidRPr="00C47BE0" w:rsidRDefault="00844D9B" w:rsidP="00B56745">
            <w:pPr>
              <w:pStyle w:val="ALJBodyText"/>
              <w:spacing w:line="240" w:lineRule="auto"/>
              <w:rPr>
                <w:b/>
                <w:bCs/>
              </w:rPr>
            </w:pPr>
            <w:r w:rsidRPr="004C0BFE">
              <w:rPr>
                <w:b/>
                <w:bCs/>
              </w:rPr>
              <w:t>Price ($/kW-year)</w:t>
            </w:r>
          </w:p>
        </w:tc>
        <w:tc>
          <w:tcPr>
            <w:tcW w:w="3117" w:type="dxa"/>
          </w:tcPr>
          <w:p w14:paraId="12DAF521" w14:textId="77777777" w:rsidR="00844D9B" w:rsidRPr="00C47BE0" w:rsidRDefault="00844D9B" w:rsidP="00B56745">
            <w:pPr>
              <w:pStyle w:val="ALJBodyText"/>
              <w:spacing w:line="240" w:lineRule="auto"/>
              <w:rPr>
                <w:b/>
                <w:bCs/>
              </w:rPr>
            </w:pPr>
            <w:r w:rsidRPr="004C0BFE">
              <w:rPr>
                <w:b/>
                <w:bCs/>
              </w:rPr>
              <w:t>Quantity (MW)</w:t>
            </w:r>
          </w:p>
        </w:tc>
      </w:tr>
      <w:tr w:rsidR="00844D9B" w:rsidRPr="00C47BE0" w14:paraId="4E6B59A9" w14:textId="77777777" w:rsidTr="00FD7824">
        <w:trPr>
          <w:jc w:val="center"/>
        </w:trPr>
        <w:tc>
          <w:tcPr>
            <w:tcW w:w="3116" w:type="dxa"/>
          </w:tcPr>
          <w:p w14:paraId="4F245127" w14:textId="77777777" w:rsidR="00844D9B" w:rsidRPr="004C0BFE" w:rsidRDefault="00844D9B" w:rsidP="00B8582E">
            <w:pPr>
              <w:pStyle w:val="ALJBodyText"/>
              <w:spacing w:after="120" w:line="240" w:lineRule="auto"/>
              <w:ind w:firstLine="0"/>
            </w:pPr>
            <w:r w:rsidRPr="004C0BFE">
              <w:t>Forecast Retained RA</w:t>
            </w:r>
          </w:p>
          <w:p w14:paraId="3F4A1A36" w14:textId="77777777" w:rsidR="00844D9B" w:rsidRPr="00C47BE0" w:rsidRDefault="00844D9B" w:rsidP="00B8582E">
            <w:pPr>
              <w:pStyle w:val="ALJBodyText"/>
              <w:spacing w:after="120" w:line="240" w:lineRule="auto"/>
              <w:ind w:firstLine="0"/>
            </w:pPr>
          </w:p>
        </w:tc>
        <w:tc>
          <w:tcPr>
            <w:tcW w:w="3117" w:type="dxa"/>
          </w:tcPr>
          <w:p w14:paraId="18DC69AE" w14:textId="77777777" w:rsidR="00844D9B" w:rsidRPr="00C47BE0" w:rsidRDefault="00844D9B" w:rsidP="00B8582E">
            <w:pPr>
              <w:pStyle w:val="ALJBodyText"/>
              <w:spacing w:after="120" w:line="240" w:lineRule="auto"/>
              <w:ind w:firstLine="0"/>
            </w:pPr>
            <w:r w:rsidRPr="004C0BFE">
              <w:t>Forecast RA Adder, as calculated by Staff</w:t>
            </w:r>
          </w:p>
        </w:tc>
        <w:tc>
          <w:tcPr>
            <w:tcW w:w="3117" w:type="dxa"/>
          </w:tcPr>
          <w:p w14:paraId="5ACEE671" w14:textId="77777777" w:rsidR="00844D9B" w:rsidRPr="00C47BE0" w:rsidRDefault="00844D9B" w:rsidP="00B8582E">
            <w:pPr>
              <w:pStyle w:val="ALJBodyText"/>
              <w:spacing w:after="120" w:line="240" w:lineRule="auto"/>
              <w:ind w:firstLine="0"/>
            </w:pPr>
            <w:r w:rsidRPr="004C0BFE">
              <w:t>Final RA allocations and the amount retained for IOU use</w:t>
            </w:r>
          </w:p>
        </w:tc>
      </w:tr>
      <w:tr w:rsidR="00844D9B" w:rsidRPr="00C47BE0" w14:paraId="295BA13B" w14:textId="77777777" w:rsidTr="00FD7824">
        <w:trPr>
          <w:jc w:val="center"/>
        </w:trPr>
        <w:tc>
          <w:tcPr>
            <w:tcW w:w="3116" w:type="dxa"/>
          </w:tcPr>
          <w:p w14:paraId="075B95B8" w14:textId="77777777" w:rsidR="00844D9B" w:rsidRPr="004C0BFE" w:rsidRDefault="00844D9B" w:rsidP="00B8582E">
            <w:pPr>
              <w:pStyle w:val="ALJBodyText"/>
              <w:spacing w:after="120" w:line="240" w:lineRule="auto"/>
              <w:ind w:firstLine="0"/>
            </w:pPr>
            <w:r w:rsidRPr="004C0BFE">
              <w:t>Actual Sold RA</w:t>
            </w:r>
          </w:p>
          <w:p w14:paraId="5F8B67D8" w14:textId="77777777" w:rsidR="00844D9B" w:rsidRPr="00C47BE0" w:rsidRDefault="00844D9B" w:rsidP="00B8582E">
            <w:pPr>
              <w:pStyle w:val="ALJBodyText"/>
              <w:spacing w:after="120" w:line="240" w:lineRule="auto"/>
              <w:ind w:firstLine="0"/>
            </w:pPr>
          </w:p>
        </w:tc>
        <w:tc>
          <w:tcPr>
            <w:tcW w:w="3117" w:type="dxa"/>
          </w:tcPr>
          <w:p w14:paraId="021BA58F" w14:textId="2240001F" w:rsidR="00844D9B" w:rsidRPr="004C0BFE" w:rsidRDefault="00844D9B" w:rsidP="00B8582E">
            <w:pPr>
              <w:pStyle w:val="ALJBodyText"/>
              <w:spacing w:after="120" w:line="240" w:lineRule="auto"/>
              <w:ind w:firstLine="0"/>
            </w:pPr>
            <w:r w:rsidRPr="004C0BFE">
              <w:t xml:space="preserve">Actual transacted price for transactions </w:t>
            </w:r>
            <w:r w:rsidR="005E71A3" w:rsidRPr="004C0BFE">
              <w:t xml:space="preserve">up to </w:t>
            </w:r>
            <w:r w:rsidRPr="004C0BFE">
              <w:t>~45 days</w:t>
            </w:r>
          </w:p>
          <w:p w14:paraId="79AB1B7D" w14:textId="77777777" w:rsidR="00844D9B" w:rsidRPr="00C47BE0" w:rsidRDefault="00844D9B" w:rsidP="00B8582E">
            <w:pPr>
              <w:pStyle w:val="ALJBodyText"/>
              <w:spacing w:after="120" w:line="240" w:lineRule="auto"/>
              <w:ind w:firstLine="0"/>
            </w:pPr>
            <w:r w:rsidRPr="004C0BFE">
              <w:t>prior to ERRA Forecast filing</w:t>
            </w:r>
          </w:p>
        </w:tc>
        <w:tc>
          <w:tcPr>
            <w:tcW w:w="3117" w:type="dxa"/>
          </w:tcPr>
          <w:p w14:paraId="344A81A0" w14:textId="4F4BE7FA" w:rsidR="00844D9B" w:rsidRPr="00C47BE0" w:rsidRDefault="00844D9B" w:rsidP="00B8582E">
            <w:pPr>
              <w:pStyle w:val="ALJBodyText"/>
              <w:spacing w:after="120" w:line="240" w:lineRule="auto"/>
              <w:ind w:firstLine="0"/>
            </w:pPr>
            <w:r w:rsidRPr="004C0BFE">
              <w:t xml:space="preserve">Actual transacted volume for transactions </w:t>
            </w:r>
            <w:r w:rsidR="005E71A3" w:rsidRPr="004C0BFE">
              <w:t xml:space="preserve">up to </w:t>
            </w:r>
            <w:r w:rsidRPr="004C0BFE">
              <w:t>~45 days prior to ERRA Forecast filing</w:t>
            </w:r>
          </w:p>
        </w:tc>
      </w:tr>
      <w:tr w:rsidR="00844D9B" w:rsidRPr="00C47BE0" w14:paraId="1AD27DDD" w14:textId="77777777" w:rsidTr="00FD7824">
        <w:trPr>
          <w:jc w:val="center"/>
        </w:trPr>
        <w:tc>
          <w:tcPr>
            <w:tcW w:w="3116" w:type="dxa"/>
          </w:tcPr>
          <w:p w14:paraId="3B452090" w14:textId="77777777" w:rsidR="00844D9B" w:rsidRPr="00C47BE0" w:rsidRDefault="00844D9B" w:rsidP="00B8582E">
            <w:pPr>
              <w:pStyle w:val="ALJBodyText"/>
              <w:spacing w:after="120" w:line="240" w:lineRule="auto"/>
              <w:ind w:firstLine="0"/>
            </w:pPr>
            <w:r w:rsidRPr="004C0BFE">
              <w:t>Forecast Sold RA</w:t>
            </w:r>
          </w:p>
        </w:tc>
        <w:tc>
          <w:tcPr>
            <w:tcW w:w="3117" w:type="dxa"/>
          </w:tcPr>
          <w:p w14:paraId="65FEFCC4" w14:textId="77777777" w:rsidR="00844D9B" w:rsidRPr="00C47BE0" w:rsidRDefault="00844D9B" w:rsidP="00B8582E">
            <w:pPr>
              <w:pStyle w:val="ALJBodyText"/>
              <w:spacing w:after="120" w:line="240" w:lineRule="auto"/>
              <w:ind w:firstLine="0"/>
            </w:pPr>
            <w:r w:rsidRPr="004C0BFE">
              <w:t>Applicable RA Adder</w:t>
            </w:r>
          </w:p>
        </w:tc>
        <w:tc>
          <w:tcPr>
            <w:tcW w:w="3117" w:type="dxa"/>
          </w:tcPr>
          <w:p w14:paraId="0233DDD9" w14:textId="77777777" w:rsidR="00844D9B" w:rsidRPr="00C47BE0" w:rsidRDefault="00844D9B" w:rsidP="00B8582E">
            <w:pPr>
              <w:pStyle w:val="ALJBodyText"/>
              <w:spacing w:after="120" w:line="240" w:lineRule="auto"/>
              <w:ind w:firstLine="0"/>
            </w:pPr>
            <w:r w:rsidRPr="004C0BFE">
              <w:t>Forecasted sold volume</w:t>
            </w:r>
          </w:p>
        </w:tc>
      </w:tr>
      <w:tr w:rsidR="00844D9B" w:rsidRPr="004C0BFE" w14:paraId="2E09EEB0" w14:textId="77777777" w:rsidTr="00FD7824">
        <w:trPr>
          <w:jc w:val="center"/>
        </w:trPr>
        <w:tc>
          <w:tcPr>
            <w:tcW w:w="3116" w:type="dxa"/>
          </w:tcPr>
          <w:p w14:paraId="18334B53" w14:textId="77777777" w:rsidR="00844D9B" w:rsidRPr="004C0BFE" w:rsidRDefault="00844D9B" w:rsidP="00B8582E">
            <w:pPr>
              <w:pStyle w:val="ALJBodyText"/>
              <w:spacing w:after="120" w:line="240" w:lineRule="auto"/>
              <w:ind w:firstLine="0"/>
            </w:pPr>
            <w:r w:rsidRPr="004C0BFE">
              <w:t>Forecast Unsold RA</w:t>
            </w:r>
          </w:p>
          <w:p w14:paraId="02DD76F0" w14:textId="77777777" w:rsidR="00844D9B" w:rsidRPr="00C47BE0" w:rsidRDefault="00844D9B" w:rsidP="00B8582E">
            <w:pPr>
              <w:pStyle w:val="ALJBodyText"/>
              <w:spacing w:after="120" w:line="240" w:lineRule="auto"/>
              <w:ind w:firstLine="0"/>
            </w:pPr>
          </w:p>
        </w:tc>
        <w:tc>
          <w:tcPr>
            <w:tcW w:w="3117" w:type="dxa"/>
          </w:tcPr>
          <w:p w14:paraId="0528891E" w14:textId="77777777" w:rsidR="00844D9B" w:rsidRPr="00C47BE0" w:rsidRDefault="00844D9B" w:rsidP="00B8582E">
            <w:pPr>
              <w:pStyle w:val="ALJBodyText"/>
              <w:spacing w:after="120" w:line="240" w:lineRule="auto"/>
              <w:ind w:firstLine="0"/>
            </w:pPr>
            <w:r w:rsidRPr="004C0BFE">
              <w:t>PG&amp;E’s proposal - $0 CalCCA’s proposal – Floor price, if any, otherwise $0</w:t>
            </w:r>
          </w:p>
        </w:tc>
        <w:tc>
          <w:tcPr>
            <w:tcW w:w="3117" w:type="dxa"/>
          </w:tcPr>
          <w:p w14:paraId="7F20F2A7" w14:textId="77777777" w:rsidR="00844D9B" w:rsidRPr="004C0BFE" w:rsidRDefault="00844D9B" w:rsidP="00B8582E">
            <w:pPr>
              <w:pStyle w:val="ALJBodyText"/>
              <w:spacing w:after="120" w:line="240" w:lineRule="auto"/>
              <w:ind w:firstLine="0"/>
            </w:pPr>
            <w:r w:rsidRPr="004C0BFE">
              <w:t>Forecasted unsold volume</w:t>
            </w:r>
          </w:p>
        </w:tc>
      </w:tr>
      <w:bookmarkEnd w:id="28"/>
    </w:tbl>
    <w:p w14:paraId="4E16B492" w14:textId="77777777" w:rsidR="00844D9B" w:rsidRPr="004C0BFE" w:rsidRDefault="00844D9B" w:rsidP="00844D9B">
      <w:pPr>
        <w:pStyle w:val="ALJBodyText"/>
        <w:rPr>
          <w:sz w:val="6"/>
          <w:szCs w:val="6"/>
        </w:rPr>
      </w:pPr>
    </w:p>
    <w:p w14:paraId="581A2EB0" w14:textId="77777777" w:rsidR="00844D9B" w:rsidRPr="004C0BFE" w:rsidRDefault="00844D9B" w:rsidP="008216A0">
      <w:pPr>
        <w:pStyle w:val="Standard"/>
      </w:pPr>
      <w:r w:rsidRPr="004C0BFE">
        <w:t xml:space="preserve">The co-chairs disagree on the definition and valuation of unsold RA products. The issue will be addressed in Section 5.5. </w:t>
      </w:r>
    </w:p>
    <w:p w14:paraId="7F7DF41E" w14:textId="662A6305" w:rsidR="00844D9B" w:rsidRPr="004C0BFE" w:rsidRDefault="00844D9B" w:rsidP="008216A0">
      <w:pPr>
        <w:pStyle w:val="Standard"/>
      </w:pPr>
      <w:r w:rsidRPr="004C0BFE">
        <w:t xml:space="preserve">Regarding the approach to calculate the Forecast RA Adder, the co-chairs propose that Staff calculate and publish the Forecast RA Adder for year n at the beginning of November in year (n-1). The data requirements for this approach </w:t>
      </w:r>
      <w:r w:rsidR="00504490" w:rsidRPr="004C0BFE">
        <w:t>are</w:t>
      </w:r>
      <w:r w:rsidRPr="004C0BFE">
        <w:t xml:space="preserve"> as follows:</w:t>
      </w:r>
    </w:p>
    <w:p w14:paraId="1E0B2F77" w14:textId="5A615711" w:rsidR="00844D9B" w:rsidRPr="004C0BFE" w:rsidRDefault="00844D9B" w:rsidP="00CE7E04">
      <w:pPr>
        <w:pStyle w:val="ALJBodyText"/>
        <w:numPr>
          <w:ilvl w:val="0"/>
          <w:numId w:val="28"/>
        </w:numPr>
        <w:spacing w:after="120" w:line="240" w:lineRule="auto"/>
        <w:ind w:right="1440"/>
      </w:pPr>
      <w:r w:rsidRPr="004C0BFE">
        <w:t xml:space="preserve">For flexible and system RA, Forecast RA Adder </w:t>
      </w:r>
      <w:r w:rsidR="00504490" w:rsidRPr="004C0BFE">
        <w:t>is</w:t>
      </w:r>
      <w:r w:rsidRPr="004C0BFE">
        <w:t xml:space="preserve"> calculated using the volume-weighted average of all IOU, CCA, and ESP RA-only market transactions executed in Q4 of year (n-2), and Q1-Q3 of year (n-1) for delivery in year n.  The annual RA Adder ($/kW-year) </w:t>
      </w:r>
      <w:r w:rsidR="00504490" w:rsidRPr="004C0BFE">
        <w:t>is</w:t>
      </w:r>
      <w:r w:rsidRPr="004C0BFE">
        <w:t xml:space="preserve"> the sum of the monthly weighted average of the relevant transactions (</w:t>
      </w:r>
      <w:r w:rsidRPr="0081192E">
        <w:rPr>
          <w:i/>
          <w:iCs/>
        </w:rPr>
        <w:t>i.e</w:t>
      </w:r>
      <w:r w:rsidRPr="004C0BFE">
        <w:t xml:space="preserve">., for system, all non-local, non-flexible transactions executed within the execution window for delivery in </w:t>
      </w:r>
      <w:r w:rsidR="003A0952" w:rsidRPr="004C0BFE">
        <w:br/>
      </w:r>
      <w:r w:rsidRPr="004C0BFE">
        <w:t>year n).</w:t>
      </w:r>
    </w:p>
    <w:p w14:paraId="2E28B8C8" w14:textId="26BA6120" w:rsidR="00844D9B" w:rsidRPr="004C0BFE" w:rsidRDefault="00844D9B" w:rsidP="00CE7E04">
      <w:pPr>
        <w:pStyle w:val="ALJBodyText"/>
        <w:numPr>
          <w:ilvl w:val="0"/>
          <w:numId w:val="28"/>
        </w:numPr>
        <w:spacing w:after="120" w:line="240" w:lineRule="auto"/>
        <w:ind w:right="1440"/>
      </w:pPr>
      <w:r w:rsidRPr="004C0BFE">
        <w:lastRenderedPageBreak/>
        <w:t>Because LSEs currently have a 3-year forward local RA requirement beginning in compliance year 2020, the timing of the calculation w</w:t>
      </w:r>
      <w:r w:rsidR="00F82859" w:rsidRPr="004C0BFE">
        <w:t>ill</w:t>
      </w:r>
      <w:r w:rsidRPr="004C0BFE">
        <w:t xml:space="preserve"> be as follows: The forecast 2020 local RA </w:t>
      </w:r>
      <w:r w:rsidR="0036173D" w:rsidRPr="004C0BFE">
        <w:t>A</w:t>
      </w:r>
      <w:r w:rsidRPr="004C0BFE">
        <w:t>dder w</w:t>
      </w:r>
      <w:r w:rsidR="00F82859" w:rsidRPr="004C0BFE">
        <w:t>ill</w:t>
      </w:r>
      <w:r w:rsidRPr="004C0BFE">
        <w:t xml:space="preserve"> be calculated for each IOU TAC area using LSE RA-only market-based transactions executed in Q4 of year (n-2), and Q1-Q3 of year (n-1) for delivery in year n.  For delivery in 2021 and beyond, the calculation w</w:t>
      </w:r>
      <w:r w:rsidR="00F82859" w:rsidRPr="004C0BFE">
        <w:t>ill</w:t>
      </w:r>
      <w:r w:rsidRPr="004C0BFE">
        <w:t xml:space="preserve"> use transactions executed in years (n-1) and (n-2) for delivery in year n.  The annual RA Adder ($/kW-year) </w:t>
      </w:r>
      <w:r w:rsidR="00504490" w:rsidRPr="004C0BFE">
        <w:t>is</w:t>
      </w:r>
      <w:r w:rsidRPr="004C0BFE">
        <w:t xml:space="preserve"> the sum of the monthly weighted average of the relevant transactions, e.g. system, non-local, non-flexible transactions executed within the execution window for delivery in year n. </w:t>
      </w:r>
    </w:p>
    <w:p w14:paraId="6B458E3F" w14:textId="77777777" w:rsidR="00844D9B" w:rsidRPr="004C0BFE" w:rsidRDefault="00844D9B" w:rsidP="00683878">
      <w:pPr>
        <w:pStyle w:val="Standard"/>
      </w:pPr>
      <w:r w:rsidRPr="004C0BFE">
        <w:t xml:space="preserve">Even though the co-chairs initially disagreed on whether Capacity Procurement Mechanism (CPM) costs and revenues should be included in the RA Adder, they eventually agreed to exclude CPM costs and revenues from the RA Adder calculation and record CPM revenues in PABA.  </w:t>
      </w:r>
    </w:p>
    <w:p w14:paraId="666EEC90" w14:textId="77777777" w:rsidR="00844D9B" w:rsidRDefault="00844D9B" w:rsidP="00844D9B">
      <w:pPr>
        <w:pStyle w:val="ALJHeading3"/>
      </w:pPr>
      <w:bookmarkStart w:id="29" w:name="_Toc16242519"/>
      <w:bookmarkStart w:id="30" w:name="_Toc17368164"/>
      <w:r>
        <w:t>Scoping Memo Issue 4: Party Comments</w:t>
      </w:r>
      <w:bookmarkEnd w:id="29"/>
      <w:bookmarkEnd w:id="30"/>
    </w:p>
    <w:p w14:paraId="48763CE2" w14:textId="6C7AC91F" w:rsidR="00844D9B" w:rsidRPr="004C0BFE" w:rsidRDefault="00844D9B" w:rsidP="00683878">
      <w:pPr>
        <w:pStyle w:val="Standard"/>
      </w:pPr>
      <w:r w:rsidRPr="004C0BFE">
        <w:t xml:space="preserve">Several parties addressed excluding fixed-price bundled transactions from the RPS </w:t>
      </w:r>
      <w:r w:rsidR="006B7E13" w:rsidRPr="004C0BFE">
        <w:t>A</w:t>
      </w:r>
      <w:r w:rsidRPr="004C0BFE">
        <w:t xml:space="preserve">dder; specifying the dataset needed to calculate the RA </w:t>
      </w:r>
      <w:r w:rsidR="006B7E13" w:rsidRPr="004C0BFE">
        <w:t>A</w:t>
      </w:r>
      <w:r w:rsidRPr="004C0BFE">
        <w:t xml:space="preserve">dder; and including CPM costs to the MPB calculation. </w:t>
      </w:r>
    </w:p>
    <w:p w14:paraId="7B0A8B81" w14:textId="0972C977" w:rsidR="00844D9B" w:rsidRPr="004C0BFE" w:rsidRDefault="00844D9B" w:rsidP="00683878">
      <w:pPr>
        <w:pStyle w:val="Standard"/>
      </w:pPr>
      <w:r w:rsidRPr="004C0BFE">
        <w:rPr>
          <w:i/>
          <w:iCs/>
        </w:rPr>
        <w:t>Fixed-price bundled transactions:</w:t>
      </w:r>
      <w:r w:rsidRPr="004C0BFE">
        <w:t xml:space="preserve"> Several parties, including, TURN, CLECA, Public Advocates Office, and Shell, support either the inclusion of long-term fixed-price PPAs or continued work to develop a method to incorporate such transactions into RPS Adder calculations.</w:t>
      </w:r>
      <w:r w:rsidR="00683878" w:rsidRPr="004C0BFE">
        <w:t xml:space="preserve"> </w:t>
      </w:r>
      <w:r w:rsidRPr="004C0BFE">
        <w:t xml:space="preserve"> Towards that end, Public Advocates Office recommends that the Commission adopt TURN’s proposal to establish a requirement that all LSEs also be required to provide Staff with information on all fixed-price transactions (sales and purchases) for renewable energy executed in the past three years (n-3, n-2, n-1) for delivery in the following years (n, n+1, n+2). </w:t>
      </w:r>
    </w:p>
    <w:p w14:paraId="147CD3E5" w14:textId="3D829350" w:rsidR="00683878" w:rsidRPr="004C0BFE" w:rsidRDefault="00844D9B" w:rsidP="00683878">
      <w:pPr>
        <w:pStyle w:val="Standard"/>
      </w:pPr>
      <w:r w:rsidRPr="004C0BFE">
        <w:lastRenderedPageBreak/>
        <w:t xml:space="preserve">In response to TURN’s proposal, IOUs and CCAs have noted that (1) the majority of the current RPS transactions are PCC 1 index-plus contracts; </w:t>
      </w:r>
      <w:r w:rsidR="00611F7D" w:rsidRPr="004C0BFE">
        <w:t>and</w:t>
      </w:r>
      <w:r w:rsidR="00683878" w:rsidRPr="004C0BFE">
        <w:br/>
      </w:r>
      <w:r w:rsidRPr="004C0BFE">
        <w:t xml:space="preserve">(2) including fixed-price contracts into the RPS </w:t>
      </w:r>
      <w:r w:rsidR="006B7E13" w:rsidRPr="004C0BFE">
        <w:t>A</w:t>
      </w:r>
      <w:r w:rsidRPr="004C0BFE">
        <w:t xml:space="preserve">dder may require many administratively-determined assumptions that could lead to unexpected results, </w:t>
      </w:r>
      <w:r w:rsidRPr="004C0BFE">
        <w:rPr>
          <w:i/>
          <w:iCs/>
        </w:rPr>
        <w:t>e.g</w:t>
      </w:r>
      <w:r w:rsidRPr="004C0BFE">
        <w:t xml:space="preserve">., $0 or negative PCC 1 REC prices, despite positive REC market values. </w:t>
      </w:r>
      <w:r w:rsidR="00683878" w:rsidRPr="004C0BFE">
        <w:t xml:space="preserve"> </w:t>
      </w:r>
      <w:r w:rsidRPr="004C0BFE">
        <w:t xml:space="preserve">The co-chairs believe that TURN’s approach does not align with the intent of </w:t>
      </w:r>
      <w:r w:rsidR="00683878" w:rsidRPr="004C0BFE">
        <w:br/>
      </w:r>
      <w:r w:rsidRPr="004C0BFE">
        <w:t xml:space="preserve">D.18-10-019, because an administratively-set price is inconsistent with </w:t>
      </w:r>
      <w:r w:rsidR="00683878" w:rsidRPr="004C0BFE">
        <w:br/>
      </w:r>
      <w:r w:rsidRPr="004C0BFE">
        <w:t xml:space="preserve">D.18-10-019’s emphasis on market transactions for the benchmark calculation. </w:t>
      </w:r>
      <w:r w:rsidR="00683878" w:rsidRPr="004C0BFE">
        <w:t xml:space="preserve"> </w:t>
      </w:r>
      <w:r w:rsidRPr="004C0BFE">
        <w:t>Acknowledging TURN’s concerns about a possible market shift away from index-plus transactions towards long-term fixed-price transactions, the co-chairs agree with TURN that the appropriate approach is to go forward with using only index-plus transactions, while Staff collect data on long-term fixed-price transactions.</w:t>
      </w:r>
      <w:r w:rsidR="00683878" w:rsidRPr="004C0BFE">
        <w:t xml:space="preserve"> </w:t>
      </w:r>
      <w:r w:rsidRPr="004C0BFE">
        <w:t xml:space="preserve"> Noting that any Commission imposed sunset date would be arbitrary and has not been discussed in the working group process, the co-chairs recommend that the Commission not impose a sunset date at this time. </w:t>
      </w:r>
      <w:r w:rsidR="00683878" w:rsidRPr="004C0BFE">
        <w:t xml:space="preserve"> </w:t>
      </w:r>
      <w:r w:rsidRPr="004C0BFE">
        <w:t xml:space="preserve">The </w:t>
      </w:r>
    </w:p>
    <w:p w14:paraId="5E96D929" w14:textId="555A3103" w:rsidR="00844D9B" w:rsidRPr="004C0BFE" w:rsidRDefault="00844D9B" w:rsidP="00683878">
      <w:pPr>
        <w:pStyle w:val="Standard"/>
        <w:ind w:firstLine="0"/>
      </w:pPr>
      <w:r w:rsidRPr="004C0BFE">
        <w:t>co-chairs recommend that Staff monitor the state of the market to determine, if and when, it is appropriate to revisit the R</w:t>
      </w:r>
      <w:r w:rsidR="006B7E13" w:rsidRPr="004C0BFE">
        <w:t>PS</w:t>
      </w:r>
      <w:r w:rsidRPr="004C0BFE">
        <w:t xml:space="preserve"> Adder.</w:t>
      </w:r>
    </w:p>
    <w:p w14:paraId="5C15D921" w14:textId="146C8D0E" w:rsidR="00844D9B" w:rsidRPr="004C0BFE" w:rsidRDefault="00844D9B" w:rsidP="00683878">
      <w:pPr>
        <w:pStyle w:val="Standard"/>
      </w:pPr>
      <w:r w:rsidRPr="004C0BFE">
        <w:rPr>
          <w:i/>
          <w:iCs/>
        </w:rPr>
        <w:t>Data for RA Adder:</w:t>
      </w:r>
      <w:r w:rsidRPr="004C0BFE">
        <w:t xml:space="preserve"> With respect to developing the local RA </w:t>
      </w:r>
      <w:r w:rsidR="006B7E13" w:rsidRPr="004C0BFE">
        <w:t>Adder</w:t>
      </w:r>
      <w:r w:rsidRPr="004C0BFE">
        <w:t>, SCE and SDG&amp;E note that the Commission’s new local multi-year RA rules adopted in D.19-06-026 require LSEs demonstrate RA compliance in compliance year n for 100% of the LSE’s needs for year (n+1) and year (n+2), and 50% of the LSE’s needs for year (n+3).</w:t>
      </w:r>
      <w:r w:rsidR="00683878" w:rsidRPr="004C0BFE">
        <w:t xml:space="preserve"> </w:t>
      </w:r>
      <w:r w:rsidRPr="004C0BFE">
        <w:t xml:space="preserve"> In their view, transactions that inform the benchmarks should match those required by the new rules. </w:t>
      </w:r>
      <w:r w:rsidR="00683878" w:rsidRPr="004C0BFE">
        <w:t xml:space="preserve"> </w:t>
      </w:r>
      <w:r w:rsidRPr="004C0BFE">
        <w:t>Therefore, both utilities argue that the co-chairs’ proposal would omit relevant transactions from the local capacity benchmark and create a mismatch between the forecasts and subsequent true</w:t>
      </w:r>
      <w:r w:rsidR="00FB3A2A" w:rsidRPr="004C0BFE">
        <w:t xml:space="preserve"> </w:t>
      </w:r>
      <w:r w:rsidRPr="004C0BFE">
        <w:t xml:space="preserve">up. </w:t>
      </w:r>
    </w:p>
    <w:p w14:paraId="4D379BA8" w14:textId="236C063D" w:rsidR="00844D9B" w:rsidRPr="004C0BFE" w:rsidRDefault="00844D9B" w:rsidP="00683878">
      <w:pPr>
        <w:pStyle w:val="Standard"/>
      </w:pPr>
      <w:r w:rsidRPr="004C0BFE">
        <w:rPr>
          <w:i/>
          <w:iCs/>
        </w:rPr>
        <w:lastRenderedPageBreak/>
        <w:t>CPM:</w:t>
      </w:r>
      <w:r w:rsidRPr="004C0BFE">
        <w:t xml:space="preserve"> On the issue of including CPM costs, the City of San Diego and POC support incorporating CPM costs into forecast RA Adder calculations.  Considering CPM costs as actual costs, these parties argue that nothing in the Commission’s decision regarding the PCIA calculation requires the exclusion of CPM costs. In contrast, Joint IOUs, TURN, and CLECA oppose including CPM costs into the RA Adder calculation, stating that (1) D.18-10-019 clearly indicated that CPM costs should not be included in RA </w:t>
      </w:r>
      <w:r w:rsidR="006B7E13" w:rsidRPr="004C0BFE">
        <w:t>A</w:t>
      </w:r>
      <w:r w:rsidRPr="004C0BFE">
        <w:t>dder calculations; (2) CPM costs are not a good proxy for the RA market, as CAISO invokes CPM even when LSEs have fully complied with RA requirements; and (3) CPM revenues are already captured in an IOU’s PABA.</w:t>
      </w:r>
    </w:p>
    <w:p w14:paraId="695B5F9C" w14:textId="77777777" w:rsidR="00844D9B" w:rsidRDefault="00844D9B" w:rsidP="00844D9B">
      <w:pPr>
        <w:pStyle w:val="ALJHeading3"/>
      </w:pPr>
      <w:bookmarkStart w:id="31" w:name="_Toc16242520"/>
      <w:bookmarkStart w:id="32" w:name="_Toc17368165"/>
      <w:r>
        <w:t>Resolution of Scoping Memo Issue 4</w:t>
      </w:r>
      <w:bookmarkEnd w:id="31"/>
      <w:bookmarkEnd w:id="32"/>
    </w:p>
    <w:p w14:paraId="716FCCDE" w14:textId="5B20547F" w:rsidR="00844D9B" w:rsidRPr="004C0BFE" w:rsidRDefault="00844D9B" w:rsidP="003F737D">
      <w:pPr>
        <w:pStyle w:val="Standard"/>
      </w:pPr>
      <w:r w:rsidRPr="004C0BFE">
        <w:rPr>
          <w:i/>
          <w:iCs/>
        </w:rPr>
        <w:t xml:space="preserve">Forecast Energy </w:t>
      </w:r>
      <w:r w:rsidR="007615C9" w:rsidRPr="004C0BFE">
        <w:rPr>
          <w:i/>
          <w:iCs/>
        </w:rPr>
        <w:t>Value</w:t>
      </w:r>
      <w:r w:rsidRPr="004C0BFE">
        <w:rPr>
          <w:i/>
          <w:iCs/>
        </w:rPr>
        <w:t>:</w:t>
      </w:r>
      <w:r w:rsidRPr="004C0BFE">
        <w:t xml:space="preserve"> We confirm that the methodology for </w:t>
      </w:r>
      <w:r w:rsidR="007615C9" w:rsidRPr="004C0BFE">
        <w:t>F</w:t>
      </w:r>
      <w:r w:rsidRPr="004C0BFE">
        <w:t xml:space="preserve">orecast </w:t>
      </w:r>
      <w:r w:rsidR="007615C9" w:rsidRPr="004C0BFE">
        <w:t>E</w:t>
      </w:r>
      <w:r w:rsidRPr="004C0BFE">
        <w:t xml:space="preserve">nergy </w:t>
      </w:r>
      <w:r w:rsidR="007615C9" w:rsidRPr="004C0BFE">
        <w:t>Value</w:t>
      </w:r>
      <w:r w:rsidRPr="004C0BFE">
        <w:t xml:space="preserve"> remains the same. </w:t>
      </w:r>
      <w:r w:rsidR="00C55A63" w:rsidRPr="004C0BFE">
        <w:t xml:space="preserve"> </w:t>
      </w:r>
      <w:r w:rsidRPr="004C0BFE">
        <w:t>The proposal is consistent with D.18-10-</w:t>
      </w:r>
      <w:r w:rsidR="00EE56A6" w:rsidRPr="004C0BFE">
        <w:t>0</w:t>
      </w:r>
      <w:r w:rsidRPr="004C0BFE">
        <w:t xml:space="preserve">19, which provides that the </w:t>
      </w:r>
      <w:r w:rsidR="007615C9" w:rsidRPr="004C0BFE">
        <w:t>“</w:t>
      </w:r>
      <w:r w:rsidRPr="004C0BFE">
        <w:t>Brown Power Index</w:t>
      </w:r>
      <w:r w:rsidR="007615C9" w:rsidRPr="004C0BFE">
        <w:t>”</w:t>
      </w:r>
      <w:r w:rsidRPr="004C0BFE">
        <w:t xml:space="preserve"> remain unchanged.</w:t>
      </w:r>
      <w:r w:rsidRPr="004C0BFE">
        <w:rPr>
          <w:rStyle w:val="FootnoteReference"/>
        </w:rPr>
        <w:footnoteReference w:id="10"/>
      </w:r>
      <w:r w:rsidRPr="004C0BFE">
        <w:t xml:space="preserve"> </w:t>
      </w:r>
      <w:r w:rsidR="00C55A63" w:rsidRPr="004C0BFE">
        <w:t xml:space="preserve"> </w:t>
      </w:r>
      <w:r w:rsidRPr="004C0BFE">
        <w:t xml:space="preserve">We note that the methodology for calculating the </w:t>
      </w:r>
      <w:r w:rsidR="007615C9" w:rsidRPr="004C0BFE">
        <w:t>“</w:t>
      </w:r>
      <w:r w:rsidRPr="004C0BFE">
        <w:t>Brown Power Index</w:t>
      </w:r>
      <w:r w:rsidR="007615C9" w:rsidRPr="004C0BFE">
        <w:t>”</w:t>
      </w:r>
      <w:r w:rsidRPr="004C0BFE">
        <w:t xml:space="preserve"> was established in D.06-07-030; D.11-12-018 modified the calculation to reflect bundled customer load; and D.18-10-019 kept the methodology the same. </w:t>
      </w:r>
    </w:p>
    <w:p w14:paraId="691361BF" w14:textId="4F0292EC" w:rsidR="00844D9B" w:rsidRPr="004C0BFE" w:rsidRDefault="00844D9B" w:rsidP="0032156E">
      <w:pPr>
        <w:pStyle w:val="Standard"/>
      </w:pPr>
      <w:r w:rsidRPr="004C0BFE">
        <w:rPr>
          <w:i/>
          <w:iCs/>
        </w:rPr>
        <w:t xml:space="preserve">Forecast RPS </w:t>
      </w:r>
      <w:r w:rsidR="007615C9" w:rsidRPr="004C0BFE">
        <w:rPr>
          <w:i/>
          <w:iCs/>
        </w:rPr>
        <w:t>Value</w:t>
      </w:r>
      <w:r w:rsidRPr="004C0BFE">
        <w:rPr>
          <w:i/>
          <w:iCs/>
        </w:rPr>
        <w:t xml:space="preserve">: </w:t>
      </w:r>
      <w:r w:rsidRPr="004C0BFE">
        <w:t xml:space="preserve">We adopt the forecast approach described in the May Report; however, we also conclude that including fixed-price contracts in </w:t>
      </w:r>
      <w:r w:rsidR="00C01445" w:rsidRPr="004C0BFE">
        <w:t xml:space="preserve">the </w:t>
      </w:r>
      <w:r w:rsidRPr="004C0BFE">
        <w:t xml:space="preserve">RPS </w:t>
      </w:r>
      <w:r w:rsidR="006B7E13" w:rsidRPr="004C0BFE">
        <w:t>A</w:t>
      </w:r>
      <w:r w:rsidRPr="004C0BFE">
        <w:t xml:space="preserve">dder calculation is </w:t>
      </w:r>
      <w:r w:rsidR="007615C9" w:rsidRPr="004C0BFE">
        <w:t>a desirable</w:t>
      </w:r>
      <w:r w:rsidRPr="004C0BFE">
        <w:t xml:space="preserve"> approach and that additional work is needed </w:t>
      </w:r>
      <w:r w:rsidR="00E72533" w:rsidRPr="004C0BFE">
        <w:t>to develop a methodology to include them</w:t>
      </w:r>
      <w:r w:rsidRPr="004C0BFE">
        <w:t xml:space="preserve">. </w:t>
      </w:r>
    </w:p>
    <w:p w14:paraId="2799DB64" w14:textId="013D8EF7" w:rsidR="00844D9B" w:rsidRPr="004C0BFE" w:rsidRDefault="00844D9B" w:rsidP="0032156E">
      <w:pPr>
        <w:pStyle w:val="Standard"/>
      </w:pPr>
      <w:r w:rsidRPr="004C0BFE">
        <w:t xml:space="preserve">D.18-10-019 stated that a revised RPS </w:t>
      </w:r>
      <w:r w:rsidR="00E72533" w:rsidRPr="004C0BFE">
        <w:t>A</w:t>
      </w:r>
      <w:r w:rsidRPr="004C0BFE">
        <w:t xml:space="preserve">dder that is calculated using the reported prices of purchases and sales of renewable energy by the IOUs, CCAs, </w:t>
      </w:r>
      <w:r w:rsidRPr="004C0BFE">
        <w:lastRenderedPageBreak/>
        <w:t>and ESPs would produce reasonably accurate estimates.</w:t>
      </w:r>
      <w:r w:rsidRPr="004C0BFE">
        <w:rPr>
          <w:rStyle w:val="FootnoteReference"/>
        </w:rPr>
        <w:footnoteReference w:id="11"/>
      </w:r>
      <w:r w:rsidR="0032156E" w:rsidRPr="004C0BFE">
        <w:t xml:space="preserve">  </w:t>
      </w:r>
      <w:r w:rsidRPr="004C0BFE">
        <w:t>Overall, the co-chairs’ proposed approach complies with the direction given in D.18-10-019.</w:t>
      </w:r>
      <w:r w:rsidR="0032156E" w:rsidRPr="004C0BFE">
        <w:t xml:space="preserve"> </w:t>
      </w:r>
      <w:r w:rsidRPr="004C0BFE">
        <w:t xml:space="preserve"> Due to the complexities of integrating fixed-price long-term RPS contracts, the proposal keeps the calculation of forecast RPS </w:t>
      </w:r>
      <w:r w:rsidR="00E72533" w:rsidRPr="004C0BFE">
        <w:t>A</w:t>
      </w:r>
      <w:r w:rsidRPr="004C0BFE">
        <w:t xml:space="preserve">dder limited to index-plus transactions. </w:t>
      </w:r>
    </w:p>
    <w:p w14:paraId="54826098" w14:textId="1F6FB163" w:rsidR="00844D9B" w:rsidRPr="004C0BFE" w:rsidRDefault="00844D9B" w:rsidP="00704F27">
      <w:pPr>
        <w:pStyle w:val="Standard"/>
      </w:pPr>
      <w:r w:rsidRPr="004C0BFE">
        <w:t xml:space="preserve">The Commission recognizes TURN’s concerns regarding exclusion of fixed-price contracts and agrees that including fixed-price contracts </w:t>
      </w:r>
      <w:r w:rsidR="00147A16" w:rsidRPr="004C0BFE">
        <w:t xml:space="preserve">in the RPS Adder calculation </w:t>
      </w:r>
      <w:r w:rsidRPr="004C0BFE">
        <w:t xml:space="preserve">is the </w:t>
      </w:r>
      <w:r w:rsidR="007615C9" w:rsidRPr="004C0BFE">
        <w:t xml:space="preserve">directionally appropriate </w:t>
      </w:r>
      <w:r w:rsidRPr="004C0BFE">
        <w:t xml:space="preserve">policy. </w:t>
      </w:r>
      <w:r w:rsidR="00704F27" w:rsidRPr="004C0BFE">
        <w:t xml:space="preserve"> </w:t>
      </w:r>
      <w:r w:rsidRPr="004C0BFE">
        <w:t>Because LSEs are now required by statute to comply by 2021 with a 65</w:t>
      </w:r>
      <w:r w:rsidR="00264334">
        <w:t xml:space="preserve"> percent</w:t>
      </w:r>
      <w:r w:rsidRPr="004C0BFE">
        <w:t xml:space="preserve"> long-term contracting requirement, incorporating long-term bundled contracts</w:t>
      </w:r>
      <w:r w:rsidR="00023920">
        <w:t xml:space="preserve"> (</w:t>
      </w:r>
      <w:r w:rsidR="00023920" w:rsidRPr="00023920">
        <w:t>contracts that include both energy and Renewable Energy Credits</w:t>
      </w:r>
      <w:r w:rsidR="00023920">
        <w:t>)</w:t>
      </w:r>
      <w:r w:rsidRPr="004C0BFE">
        <w:t xml:space="preserve"> into the RPS </w:t>
      </w:r>
      <w:r w:rsidR="00147A16" w:rsidRPr="004C0BFE">
        <w:t>A</w:t>
      </w:r>
      <w:r w:rsidRPr="004C0BFE">
        <w:t>dder calculation is expected to more accurately reflect RPS goals,</w:t>
      </w:r>
      <w:r w:rsidRPr="004C0BFE">
        <w:rPr>
          <w:rStyle w:val="FootnoteReference"/>
        </w:rPr>
        <w:footnoteReference w:id="12"/>
      </w:r>
      <w:r w:rsidRPr="004C0BFE">
        <w:t xml:space="preserve"> thereby producing </w:t>
      </w:r>
      <w:r w:rsidR="00147A16" w:rsidRPr="004C0BFE">
        <w:t xml:space="preserve">more </w:t>
      </w:r>
      <w:r w:rsidRPr="004C0BFE">
        <w:t xml:space="preserve">accurate estimates. </w:t>
      </w:r>
      <w:r w:rsidR="00704F27" w:rsidRPr="004C0BFE">
        <w:t xml:space="preserve"> </w:t>
      </w:r>
      <w:r w:rsidRPr="004C0BFE">
        <w:t xml:space="preserve">With the goal of </w:t>
      </w:r>
      <w:r w:rsidR="00147A16" w:rsidRPr="004C0BFE">
        <w:t xml:space="preserve">eventually </w:t>
      </w:r>
      <w:r w:rsidRPr="004C0BFE">
        <w:t xml:space="preserve">updating the RPS </w:t>
      </w:r>
      <w:r w:rsidR="00147A16" w:rsidRPr="004C0BFE">
        <w:t>A</w:t>
      </w:r>
      <w:r w:rsidRPr="004C0BFE">
        <w:t xml:space="preserve">dder to include fixed-price contracts, we take the following steps: </w:t>
      </w:r>
      <w:bookmarkStart w:id="33" w:name="_Hlk15288215"/>
    </w:p>
    <w:p w14:paraId="28C09C2F" w14:textId="2268BEEC" w:rsidR="00844D9B" w:rsidRPr="004C0BFE" w:rsidRDefault="00844D9B" w:rsidP="00D22C5A">
      <w:pPr>
        <w:pStyle w:val="ALJBodyText"/>
        <w:tabs>
          <w:tab w:val="left" w:pos="1170"/>
        </w:tabs>
        <w:spacing w:after="120" w:line="240" w:lineRule="auto"/>
        <w:ind w:left="720" w:right="1440" w:firstLine="0"/>
      </w:pPr>
      <w:r w:rsidRPr="004C0BFE">
        <w:t xml:space="preserve">1) </w:t>
      </w:r>
      <w:r w:rsidR="00D22C5A" w:rsidRPr="004C0BFE">
        <w:tab/>
      </w:r>
      <w:r w:rsidRPr="004C0BFE">
        <w:t>We adopt TURN’s proposal that all LSEs be required to provide Staff with information on all fixed-price transactions (sales and purchases) for renewable energy executed in the past three years (n-3, n-2 and n-1) for delivery in the following three years (n, n+1, n+2).</w:t>
      </w:r>
      <w:r w:rsidR="00822BEC" w:rsidRPr="004C0BFE">
        <w:rPr>
          <w:rStyle w:val="FootnoteReference"/>
        </w:rPr>
        <w:footnoteReference w:id="13"/>
      </w:r>
      <w:r w:rsidRPr="004C0BFE">
        <w:t xml:space="preserve"> As noted by Public Advocates Office, this information will provide Staff with insight into whether the proposed index-plus approach to the RPS Adder accurately reflects the market for fixed-price contracts over time. </w:t>
      </w:r>
      <w:r w:rsidR="00097F00" w:rsidRPr="004C0BFE">
        <w:t xml:space="preserve"> </w:t>
      </w:r>
      <w:r w:rsidRPr="004C0BFE">
        <w:t xml:space="preserve">This effort will allow Staff to monitor </w:t>
      </w:r>
      <w:r w:rsidR="00EC3C56">
        <w:t xml:space="preserve">the impact of </w:t>
      </w:r>
      <w:r w:rsidR="00EC3C56">
        <w:lastRenderedPageBreak/>
        <w:t>fixed-price long-term transactions on the RPS Adder</w:t>
      </w:r>
      <w:r w:rsidR="00EE3685">
        <w:t xml:space="preserve">; assess </w:t>
      </w:r>
      <w:r w:rsidR="00EC3C56">
        <w:t xml:space="preserve">the feasibility of incorporating such transactions into the RPS Adder calculations; </w:t>
      </w:r>
      <w:r w:rsidRPr="004C0BFE">
        <w:t xml:space="preserve">and </w:t>
      </w:r>
      <w:r w:rsidR="00EC3C56">
        <w:t xml:space="preserve">allow Staff to </w:t>
      </w:r>
      <w:r w:rsidRPr="004C0BFE">
        <w:t>propose</w:t>
      </w:r>
      <w:r w:rsidR="00EC3C56">
        <w:t>, by the end of 2020,</w:t>
      </w:r>
      <w:r w:rsidRPr="004C0BFE">
        <w:t xml:space="preserve"> a method to include fixed-price contracts in calculating the RPS adder</w:t>
      </w:r>
      <w:r w:rsidR="00EC3C56">
        <w:t xml:space="preserve"> for Commission’s consideration.</w:t>
      </w:r>
      <w:r w:rsidRPr="004C0BFE">
        <w:t xml:space="preserve">.  We authorize the Energy Division Director to hold workshops or utilize the existing Working Group process to develop this proposal. </w:t>
      </w:r>
    </w:p>
    <w:bookmarkEnd w:id="33"/>
    <w:p w14:paraId="00347F4F" w14:textId="35634199" w:rsidR="00844D9B" w:rsidRPr="004C0BFE" w:rsidRDefault="00844D9B" w:rsidP="00D22C5A">
      <w:pPr>
        <w:pStyle w:val="ALJBodyText"/>
        <w:tabs>
          <w:tab w:val="left" w:pos="1170"/>
        </w:tabs>
        <w:spacing w:after="120" w:line="240" w:lineRule="auto"/>
        <w:ind w:left="720" w:right="1440" w:firstLine="0"/>
      </w:pPr>
      <w:r w:rsidRPr="004C0BFE">
        <w:t>2)</w:t>
      </w:r>
      <w:r w:rsidR="00D22C5A" w:rsidRPr="004C0BFE">
        <w:tab/>
      </w:r>
      <w:r w:rsidRPr="004C0BFE">
        <w:t xml:space="preserve"> Because the process of replacing the current approach with a new method that is simple, easy to administer, yet accurate, will require significant resources from the Commission and the parties, we do not adopt a sunset date for the adopted approach at this time.</w:t>
      </w:r>
      <w:r w:rsidR="00097F00" w:rsidRPr="004C0BFE">
        <w:t xml:space="preserve"> </w:t>
      </w:r>
      <w:r w:rsidRPr="004C0BFE">
        <w:t xml:space="preserve"> The adopted approach will be maintained until a replacement methodology is in place. </w:t>
      </w:r>
    </w:p>
    <w:p w14:paraId="7904B111" w14:textId="71B52923" w:rsidR="00844D9B" w:rsidRPr="004C0BFE" w:rsidRDefault="00844D9B" w:rsidP="00BD5699">
      <w:pPr>
        <w:pStyle w:val="Standard"/>
      </w:pPr>
      <w:r w:rsidRPr="004C0BFE">
        <w:rPr>
          <w:i/>
          <w:iCs/>
        </w:rPr>
        <w:t xml:space="preserve">Forecast RA Adder: </w:t>
      </w:r>
      <w:r w:rsidRPr="004C0BFE">
        <w:t xml:space="preserve">The Commission finds the proposal to forecast RA Adder for system and flexible RA reasonable and adopts it. </w:t>
      </w:r>
      <w:r w:rsidR="00BD5699" w:rsidRPr="004C0BFE">
        <w:t xml:space="preserve"> </w:t>
      </w:r>
      <w:r w:rsidRPr="004C0BFE">
        <w:t xml:space="preserve">D.18-10-019 found that a revised RA Adder that is calculated using reported purchase and sales prices of IOU, CCA, and ESP transactions would produce reasonably accurate estimates if a zero or </w:t>
      </w:r>
      <w:r w:rsidRPr="004C0BFE">
        <w:rPr>
          <w:i/>
          <w:iCs/>
        </w:rPr>
        <w:t>de minimis</w:t>
      </w:r>
      <w:r w:rsidRPr="004C0BFE">
        <w:t xml:space="preserve"> price is assigned for capacity expected to remain unsold.</w:t>
      </w:r>
      <w:r w:rsidRPr="004C0BFE">
        <w:rPr>
          <w:rStyle w:val="FootnoteReference"/>
        </w:rPr>
        <w:footnoteReference w:id="14"/>
      </w:r>
      <w:r w:rsidRPr="004C0BFE">
        <w:t xml:space="preserve"> </w:t>
      </w:r>
      <w:r w:rsidR="00BD5699" w:rsidRPr="004C0BFE">
        <w:t xml:space="preserve"> </w:t>
      </w:r>
      <w:r w:rsidRPr="004C0BFE">
        <w:t>The Commission also found that the revised RA Adder will be more accurate if it is calculated in a manner that reflects the three types of RA capacity: system, local, and flexible.</w:t>
      </w:r>
      <w:r w:rsidRPr="004C0BFE">
        <w:rPr>
          <w:rStyle w:val="FootnoteReference"/>
        </w:rPr>
        <w:footnoteReference w:id="15"/>
      </w:r>
      <w:r w:rsidRPr="004C0BFE">
        <w:t xml:space="preserve"> The proposed approach for system and flexible RA complies with the direction provided in D.18-10-019.  </w:t>
      </w:r>
    </w:p>
    <w:p w14:paraId="4409E24C" w14:textId="40B7CE2B" w:rsidR="00844D9B" w:rsidRPr="004C0BFE" w:rsidRDefault="00844D9B" w:rsidP="001A1656">
      <w:pPr>
        <w:pStyle w:val="Standard"/>
      </w:pPr>
      <w:r w:rsidRPr="004C0BFE">
        <w:t xml:space="preserve">With respect to calculating the RA Adder for local RA resources, we do not adopt the co-chairs’ proposal that includes only year </w:t>
      </w:r>
      <w:r w:rsidR="00053803" w:rsidRPr="004C0BFE">
        <w:t xml:space="preserve">(n-1) and </w:t>
      </w:r>
      <w:r w:rsidRPr="004C0BFE">
        <w:t>(n-2) transactions.</w:t>
      </w:r>
      <w:r w:rsidR="001A1656" w:rsidRPr="004C0BFE">
        <w:t xml:space="preserve"> </w:t>
      </w:r>
      <w:r w:rsidRPr="004C0BFE">
        <w:t xml:space="preserve"> We find that it is reasonable to add transaction data from year (n-3) in order to incorporate transactions taken pursuant to the three-year forward-looking RA </w:t>
      </w:r>
      <w:r w:rsidRPr="004C0BFE">
        <w:lastRenderedPageBreak/>
        <w:t>obligations.</w:t>
      </w:r>
      <w:r w:rsidR="001A1656" w:rsidRPr="004C0BFE">
        <w:t xml:space="preserve"> </w:t>
      </w:r>
      <w:r w:rsidRPr="004C0BFE">
        <w:t xml:space="preserve"> We recognize that three-year old data </w:t>
      </w:r>
      <w:r w:rsidR="00053803" w:rsidRPr="004C0BFE">
        <w:t>does not</w:t>
      </w:r>
      <w:r w:rsidRPr="004C0BFE">
        <w:t xml:space="preserve"> reflect </w:t>
      </w:r>
      <w:r w:rsidR="00053803" w:rsidRPr="004C0BFE">
        <w:t xml:space="preserve">the most </w:t>
      </w:r>
      <w:r w:rsidRPr="004C0BFE">
        <w:t xml:space="preserve">current market </w:t>
      </w:r>
      <w:r w:rsidR="00053803" w:rsidRPr="004C0BFE">
        <w:t xml:space="preserve">transactions or </w:t>
      </w:r>
      <w:r w:rsidRPr="004C0BFE">
        <w:t>prices.</w:t>
      </w:r>
      <w:r w:rsidR="001A1656" w:rsidRPr="004C0BFE">
        <w:t xml:space="preserve"> </w:t>
      </w:r>
      <w:r w:rsidRPr="004C0BFE">
        <w:t xml:space="preserve"> But, including data from year (n-3) will ensure that the calculated values reflect the value of the transactions entered into p</w:t>
      </w:r>
      <w:r w:rsidR="00822BEC" w:rsidRPr="004C0BFE">
        <w:t>ursuant to</w:t>
      </w:r>
      <w:r w:rsidRPr="004C0BFE">
        <w:t xml:space="preserve"> the current </w:t>
      </w:r>
      <w:r w:rsidR="00053803" w:rsidRPr="004C0BFE">
        <w:t xml:space="preserve">multi-year local </w:t>
      </w:r>
      <w:r w:rsidRPr="004C0BFE">
        <w:t xml:space="preserve">RA requirements. </w:t>
      </w:r>
      <w:r w:rsidR="001A1656" w:rsidRPr="004C0BFE">
        <w:t xml:space="preserve"> </w:t>
      </w:r>
      <w:r w:rsidRPr="004C0BFE">
        <w:t xml:space="preserve">The data requirements we adopt are listed in Attachment </w:t>
      </w:r>
      <w:r w:rsidR="00C01445" w:rsidRPr="004C0BFE">
        <w:t>A</w:t>
      </w:r>
      <w:r w:rsidRPr="004C0BFE">
        <w:t xml:space="preserve">. </w:t>
      </w:r>
    </w:p>
    <w:p w14:paraId="6F0AAD5C" w14:textId="1286A63D" w:rsidR="000949A6" w:rsidRPr="004C0BFE" w:rsidRDefault="000949A6" w:rsidP="001A1656">
      <w:pPr>
        <w:pStyle w:val="Standard"/>
      </w:pPr>
      <w:r w:rsidRPr="004C0BFE">
        <w:t>On the issue of excluding CPM costs from calculations, the Commission concludes that the CPM transactions should continue to be excluded from the RA Adder calculation. CPM is a CAISO procurement mechanism used to backstop the RA program. This mechanism helps to ensure that there is sufficient capacity available to meet the CAISO’s forecasted needs after bilateral market transactions have been procured and shown. There are a variety of situations that provide CAISO the authority to issue a CPM designation, including insufficient local capacity resources, collective deficiencies in local areas, a significant event, and a reliability or operational need for exceptional dispatch.</w:t>
      </w:r>
      <w:r w:rsidRPr="004C0BFE">
        <w:rPr>
          <w:rStyle w:val="FootnoteReference"/>
        </w:rPr>
        <w:footnoteReference w:id="16"/>
      </w:r>
      <w:r w:rsidRPr="004C0BFE">
        <w:t xml:space="preserve">  Therefore, we agree with the Joint IOUs that CPM transactions reflect backstop procurement costs and do</w:t>
      </w:r>
      <w:r w:rsidR="00822BEC" w:rsidRPr="004C0BFE">
        <w:t>es</w:t>
      </w:r>
      <w:r w:rsidRPr="004C0BFE">
        <w:t xml:space="preserve"> not present a fair representation of RA market prices. In addition, the actual CPM revenues that may be received by a utility through a CPM designation are already captured in the PABA.</w:t>
      </w:r>
    </w:p>
    <w:p w14:paraId="4A3B4EE8" w14:textId="4954D14D" w:rsidR="00844D9B" w:rsidRPr="004C0BFE" w:rsidRDefault="00844D9B" w:rsidP="001A1656">
      <w:pPr>
        <w:pStyle w:val="Standard"/>
        <w:rPr>
          <w:highlight w:val="yellow"/>
        </w:rPr>
      </w:pPr>
      <w:r w:rsidRPr="004C0BFE">
        <w:t xml:space="preserve">Finally, as CLECA and TURN noted, D.18-10-019 did not intend to include CPM costs in the MPB for capacity and expressed this intention by adopting TURN’s proposal. </w:t>
      </w:r>
      <w:r w:rsidR="009D04C7" w:rsidRPr="004C0BFE">
        <w:t xml:space="preserve"> </w:t>
      </w:r>
      <w:r w:rsidRPr="004C0BFE">
        <w:t xml:space="preserve">Therefore, we do not see any compelling argument to revisit the issue. We confirm that CPM costs must be excluded from the RA Adder calculations.  </w:t>
      </w:r>
    </w:p>
    <w:p w14:paraId="604EF731" w14:textId="77777777" w:rsidR="00844D9B" w:rsidRDefault="00844D9B" w:rsidP="00844D9B">
      <w:pPr>
        <w:pStyle w:val="ALJHeading2"/>
      </w:pPr>
      <w:bookmarkStart w:id="34" w:name="_Toc16242521"/>
      <w:bookmarkStart w:id="35" w:name="_Toc17368166"/>
      <w:r>
        <w:lastRenderedPageBreak/>
        <w:t>Transaction Reporting for Forecasting and Truing Up Adders (Scoping Memo Issues 5 and 2)</w:t>
      </w:r>
      <w:bookmarkEnd w:id="34"/>
      <w:bookmarkEnd w:id="35"/>
    </w:p>
    <w:p w14:paraId="506DF5A1" w14:textId="55EE4EA3" w:rsidR="00844D9B" w:rsidRPr="004C0BFE" w:rsidRDefault="00844D9B" w:rsidP="009D04C7">
      <w:pPr>
        <w:pStyle w:val="Standard"/>
      </w:pPr>
      <w:r w:rsidRPr="004C0BFE">
        <w:t xml:space="preserve">Scoping Memo Issue 5 asks whether the Commission should modify, or create new, transaction reporting for the purposes of deriving forecasts of next year’s RA and RPS adders, including expansion and refinement of the Energy Division’s annual RA Report, and if so, how this should be accomplished. </w:t>
      </w:r>
      <w:r w:rsidR="009D04C7" w:rsidRPr="004C0BFE">
        <w:t xml:space="preserve"> </w:t>
      </w:r>
      <w:r w:rsidRPr="004C0BFE">
        <w:t>Scoping Memo Issue 2 asks whether new data and/or transaction reporting are requirements needed for the purposes of performing the true</w:t>
      </w:r>
      <w:r w:rsidR="00FB3A2A" w:rsidRPr="004C0BFE">
        <w:t xml:space="preserve"> </w:t>
      </w:r>
      <w:r w:rsidRPr="004C0BFE">
        <w:t>up; and if so, what those data/reporting requirements are and how they should be considered by the Commission.</w:t>
      </w:r>
    </w:p>
    <w:p w14:paraId="257511BC" w14:textId="0FC17ABC" w:rsidR="00844D9B" w:rsidRPr="004C0BFE" w:rsidRDefault="00CD4F47" w:rsidP="009D04C7">
      <w:pPr>
        <w:pStyle w:val="Standard"/>
      </w:pPr>
      <w:r w:rsidRPr="004C0BFE">
        <w:t xml:space="preserve">The Commission concludes that new data templates for collecting the data needed to calculate the RA and RPS Adders may be necessary to enable Staff to accurately calculate forecast and final Adders. In the interest of administrative efficiency, we authorize the Energy Division </w:t>
      </w:r>
      <w:r w:rsidR="00EE16C0" w:rsidRPr="004C0BFE">
        <w:t xml:space="preserve">Director </w:t>
      </w:r>
      <w:r w:rsidRPr="004C0BFE">
        <w:t xml:space="preserve">to use the proposed templates, modify them, develop new templates, use data currently being submitted for compliance purposes, or issue supplemental data requests in order to collect sufficient and accurate data for the purpose of developing forecast and final Adders.  </w:t>
      </w:r>
    </w:p>
    <w:p w14:paraId="17361086" w14:textId="77777777" w:rsidR="00844D9B" w:rsidRDefault="00844D9B" w:rsidP="00844D9B">
      <w:pPr>
        <w:pStyle w:val="ALJHeading3"/>
      </w:pPr>
      <w:bookmarkStart w:id="36" w:name="_Toc16242522"/>
      <w:bookmarkStart w:id="37" w:name="_Toc17368167"/>
      <w:r>
        <w:t>Scoping Memo Issues 5 and 2: Proposal</w:t>
      </w:r>
      <w:bookmarkEnd w:id="36"/>
      <w:bookmarkEnd w:id="37"/>
    </w:p>
    <w:p w14:paraId="10249323" w14:textId="06193DA1" w:rsidR="00844D9B" w:rsidRPr="004C0BFE" w:rsidRDefault="00844D9B" w:rsidP="009D04C7">
      <w:pPr>
        <w:pStyle w:val="Standard"/>
      </w:pPr>
      <w:r w:rsidRPr="004C0BFE">
        <w:t>Working Group One proposes the following: For the purposes of forecasting benchmarks, Staff w</w:t>
      </w:r>
      <w:r w:rsidR="00DD7E6A" w:rsidRPr="004C0BFE">
        <w:t>ill</w:t>
      </w:r>
      <w:r w:rsidRPr="004C0BFE">
        <w:t xml:space="preserve"> calculate the</w:t>
      </w:r>
      <w:r w:rsidR="00720840" w:rsidRPr="004C0BFE">
        <w:t xml:space="preserve"> Energy</w:t>
      </w:r>
      <w:r w:rsidRPr="004C0BFE">
        <w:t xml:space="preserve"> Index, RA Adder and RPS Adder annually for both the forecast and true</w:t>
      </w:r>
      <w:r w:rsidR="00FB3A2A" w:rsidRPr="004C0BFE">
        <w:t xml:space="preserve"> </w:t>
      </w:r>
      <w:r w:rsidRPr="004C0BFE">
        <w:t>up.  This data w</w:t>
      </w:r>
      <w:r w:rsidR="00DD7E6A" w:rsidRPr="004C0BFE">
        <w:t>ill</w:t>
      </w:r>
      <w:r w:rsidRPr="004C0BFE">
        <w:t xml:space="preserve"> be collected and calculated by November of each year for the IOUs to incorporate in their annual ERRA Forecast Applications.</w:t>
      </w:r>
    </w:p>
    <w:p w14:paraId="662D70DE" w14:textId="3D65DD4F" w:rsidR="00844D9B" w:rsidRPr="004C0BFE" w:rsidRDefault="00844D9B" w:rsidP="009D04C7">
      <w:pPr>
        <w:pStyle w:val="Standard"/>
      </w:pPr>
      <w:r w:rsidRPr="004C0BFE">
        <w:t xml:space="preserve">For the </w:t>
      </w:r>
      <w:r w:rsidR="00720840" w:rsidRPr="004C0BFE">
        <w:t>Energy</w:t>
      </w:r>
      <w:r w:rsidRPr="004C0BFE">
        <w:t xml:space="preserve"> Index, values will be provided from Platts forward prices, which w</w:t>
      </w:r>
      <w:r w:rsidR="00DD7E6A" w:rsidRPr="004C0BFE">
        <w:t>ill</w:t>
      </w:r>
      <w:r w:rsidRPr="004C0BFE">
        <w:t xml:space="preserve"> maintain the current practice. </w:t>
      </w:r>
      <w:r w:rsidR="009D04C7" w:rsidRPr="004C0BFE">
        <w:t xml:space="preserve"> </w:t>
      </w:r>
      <w:r w:rsidRPr="004C0BFE">
        <w:t xml:space="preserve">The RA and RPS </w:t>
      </w:r>
      <w:r w:rsidR="00720840" w:rsidRPr="004C0BFE">
        <w:t>A</w:t>
      </w:r>
      <w:r w:rsidRPr="004C0BFE">
        <w:t xml:space="preserve">dders </w:t>
      </w:r>
      <w:r w:rsidR="00DD7E6A" w:rsidRPr="004C0BFE">
        <w:t>are</w:t>
      </w:r>
      <w:r w:rsidRPr="004C0BFE">
        <w:t xml:space="preserve"> based on </w:t>
      </w:r>
      <w:r w:rsidRPr="004C0BFE">
        <w:lastRenderedPageBreak/>
        <w:t>data collected through quarterly data requests to the LSEs which include both sale and purchase transactions.</w:t>
      </w:r>
      <w:r w:rsidR="009D04C7" w:rsidRPr="004C0BFE">
        <w:t xml:space="preserve"> </w:t>
      </w:r>
      <w:r w:rsidRPr="004C0BFE">
        <w:t xml:space="preserve"> The </w:t>
      </w:r>
      <w:r w:rsidR="00720840" w:rsidRPr="004C0BFE">
        <w:t>proposed</w:t>
      </w:r>
      <w:r w:rsidRPr="004C0BFE">
        <w:t xml:space="preserve"> draft data request templates have been developed through collaboration with the co-chairs and Staff </w:t>
      </w:r>
      <w:r w:rsidR="00E323DE" w:rsidRPr="004C0BFE">
        <w:t xml:space="preserve">and </w:t>
      </w:r>
      <w:r w:rsidRPr="004C0BFE">
        <w:t>were presented at multiple working group public meetings.</w:t>
      </w:r>
      <w:r w:rsidR="009D04C7" w:rsidRPr="004C0BFE">
        <w:t xml:space="preserve"> </w:t>
      </w:r>
      <w:r w:rsidRPr="004C0BFE">
        <w:t xml:space="preserve"> The co-chairs note that in the future, Staff w</w:t>
      </w:r>
      <w:r w:rsidR="00DD7E6A" w:rsidRPr="004C0BFE">
        <w:t>ill</w:t>
      </w:r>
      <w:r w:rsidRPr="004C0BFE">
        <w:t xml:space="preserve"> have the options to conduct data requests less frequently than quarterly as parties and Staff become familiar with the forms and the data collection process.</w:t>
      </w:r>
    </w:p>
    <w:p w14:paraId="784FD59A" w14:textId="29392601" w:rsidR="00844D9B" w:rsidRPr="004C0BFE" w:rsidRDefault="00844D9B" w:rsidP="009D04C7">
      <w:pPr>
        <w:pStyle w:val="Standard"/>
      </w:pPr>
      <w:r w:rsidRPr="004C0BFE">
        <w:t xml:space="preserve">For the purposes of the RA </w:t>
      </w:r>
      <w:r w:rsidR="00720840" w:rsidRPr="004C0BFE">
        <w:t>A</w:t>
      </w:r>
      <w:r w:rsidRPr="004C0BFE">
        <w:t>dder, a new PCIA-specific data reporting template w</w:t>
      </w:r>
      <w:r w:rsidR="00DD7E6A" w:rsidRPr="004C0BFE">
        <w:t>ill</w:t>
      </w:r>
      <w:r w:rsidRPr="004C0BFE">
        <w:t xml:space="preserve"> be used instead of </w:t>
      </w:r>
      <w:r w:rsidR="00720840" w:rsidRPr="004C0BFE">
        <w:t xml:space="preserve">combining the PCIA data request with that used for </w:t>
      </w:r>
      <w:r w:rsidRPr="004C0BFE">
        <w:t xml:space="preserve">obtaining data for </w:t>
      </w:r>
      <w:r w:rsidR="00720840" w:rsidRPr="004C0BFE">
        <w:t xml:space="preserve">the </w:t>
      </w:r>
      <w:r w:rsidRPr="004C0BFE">
        <w:t xml:space="preserve">Energy Division’s Annual RA Report. </w:t>
      </w:r>
    </w:p>
    <w:p w14:paraId="29C276CC" w14:textId="77777777" w:rsidR="00844D9B" w:rsidRDefault="00844D9B" w:rsidP="00844D9B">
      <w:pPr>
        <w:pStyle w:val="ALJHeading3"/>
      </w:pPr>
      <w:bookmarkStart w:id="38" w:name="_Toc16242523"/>
      <w:bookmarkStart w:id="39" w:name="_Toc17368168"/>
      <w:r>
        <w:t>Scoping Memo Issues 5 and 2: Party Comments</w:t>
      </w:r>
      <w:bookmarkEnd w:id="38"/>
      <w:bookmarkEnd w:id="39"/>
    </w:p>
    <w:p w14:paraId="245441B5" w14:textId="47BB79DF" w:rsidR="00844D9B" w:rsidRPr="004C0BFE" w:rsidRDefault="00844D9B" w:rsidP="009D04C7">
      <w:pPr>
        <w:pStyle w:val="Standard"/>
      </w:pPr>
      <w:r w:rsidRPr="004C0BFE">
        <w:t xml:space="preserve">The May Report states that a number of stakeholders expressed concerns related to confidentiality protections for commercially sensitive data used to develop the market price benchmarks. </w:t>
      </w:r>
      <w:r w:rsidR="009D04C7" w:rsidRPr="004C0BFE">
        <w:t xml:space="preserve"> </w:t>
      </w:r>
      <w:r w:rsidRPr="004C0BFE">
        <w:t>For example, Commercial Energy argues that only Staff should have access to data responses and that after calculating the benchmark, data should be destroyed or returned.</w:t>
      </w:r>
      <w:r w:rsidRPr="004C0BFE">
        <w:rPr>
          <w:rStyle w:val="FootnoteReference"/>
        </w:rPr>
        <w:footnoteReference w:id="17"/>
      </w:r>
      <w:r w:rsidRPr="004C0BFE">
        <w:t xml:space="preserve"> </w:t>
      </w:r>
      <w:r w:rsidR="009D04C7" w:rsidRPr="004C0BFE">
        <w:t xml:space="preserve"> </w:t>
      </w:r>
      <w:r w:rsidRPr="004C0BFE">
        <w:t>Similarly, AReM/DACC and CLECA support destruction of confidential data after calculations are complete.</w:t>
      </w:r>
      <w:r w:rsidRPr="004C0BFE">
        <w:rPr>
          <w:rStyle w:val="FootnoteReference"/>
        </w:rPr>
        <w:footnoteReference w:id="18"/>
      </w:r>
      <w:r w:rsidRPr="004C0BFE">
        <w:t xml:space="preserve"> </w:t>
      </w:r>
      <w:r w:rsidR="009D04C7" w:rsidRPr="004C0BFE">
        <w:t xml:space="preserve"> </w:t>
      </w:r>
      <w:r w:rsidRPr="004C0BFE">
        <w:t>Objecting to LSEs having to submit RA and RPS price data to the Energy Division,  Shell proposes that data should be reported to an index developer representing a liquid platform for trading RA and RPS products that will make the market more competitive and open.</w:t>
      </w:r>
      <w:r w:rsidRPr="004C0BFE">
        <w:rPr>
          <w:rStyle w:val="FootnoteReference"/>
        </w:rPr>
        <w:footnoteReference w:id="19"/>
      </w:r>
      <w:r w:rsidRPr="004C0BFE">
        <w:t xml:space="preserve"> </w:t>
      </w:r>
    </w:p>
    <w:p w14:paraId="4F698F2D" w14:textId="77777777" w:rsidR="00844D9B" w:rsidRPr="004C0BFE" w:rsidRDefault="00844D9B" w:rsidP="00E81E70">
      <w:pPr>
        <w:pStyle w:val="Standard"/>
      </w:pPr>
      <w:r w:rsidRPr="004C0BFE">
        <w:lastRenderedPageBreak/>
        <w:t xml:space="preserve">On the other hand, TURN argues that the data access should not be limited to Staff and the Commission should provide non-market participants (NMPs) with equal access to confidential information submitted by CCAs, ESPs and IOUs. </w:t>
      </w:r>
    </w:p>
    <w:p w14:paraId="1FA683B2" w14:textId="77777777" w:rsidR="00844D9B" w:rsidRDefault="00844D9B" w:rsidP="00DF56B7">
      <w:pPr>
        <w:pStyle w:val="ALJHeading3"/>
      </w:pPr>
      <w:bookmarkStart w:id="40" w:name="_Toc16242524"/>
      <w:bookmarkStart w:id="41" w:name="_Toc17368169"/>
      <w:r>
        <w:t>Resolving Scoping Memo Issues 5 and 2</w:t>
      </w:r>
      <w:bookmarkEnd w:id="40"/>
      <w:bookmarkEnd w:id="41"/>
    </w:p>
    <w:p w14:paraId="52170F0B" w14:textId="286FCC49" w:rsidR="00844D9B" w:rsidRPr="004C0BFE" w:rsidRDefault="00844D9B" w:rsidP="00DF56B7">
      <w:pPr>
        <w:pStyle w:val="Standard"/>
      </w:pPr>
      <w:r w:rsidRPr="004C0BFE">
        <w:t xml:space="preserve">We find the Working Group One proposal on RA and RPS data templates reasonable. </w:t>
      </w:r>
      <w:r w:rsidR="00E81E70" w:rsidRPr="004C0BFE">
        <w:t xml:space="preserve"> </w:t>
      </w:r>
      <w:r w:rsidR="00786894" w:rsidRPr="004C0BFE">
        <w:t xml:space="preserve">However, modifications to the proposed templates or new data templates may be necessary to enable Staff to accurately calculate forecast and final Adders. In the interest of providing Staff flexibility  and maintaining administrative efficiency, we authorize the Energy Division </w:t>
      </w:r>
      <w:r w:rsidR="00EE16C0" w:rsidRPr="004C0BFE">
        <w:t xml:space="preserve">Director </w:t>
      </w:r>
      <w:r w:rsidR="00786894" w:rsidRPr="004C0BFE">
        <w:t xml:space="preserve">to use the proposed templates, modify them, develop new templates, use data currently being submitted for compliance purposes, or issue supplemental data requests in order to collect sufficient and accurate data for the purpose of developing forecast and final Adders.       </w:t>
      </w:r>
      <w:r w:rsidRPr="004C0BFE">
        <w:t xml:space="preserve">  </w:t>
      </w:r>
    </w:p>
    <w:p w14:paraId="59A8E87E" w14:textId="0BA22B00" w:rsidR="00844D9B" w:rsidRPr="004C0BFE" w:rsidRDefault="00212652" w:rsidP="00E81E70">
      <w:pPr>
        <w:pStyle w:val="Standard"/>
      </w:pPr>
      <w:r w:rsidRPr="004C0BFE">
        <w:t>Collecting data on</w:t>
      </w:r>
      <w:r w:rsidR="00844D9B" w:rsidRPr="004C0BFE">
        <w:t xml:space="preserve"> both sales and purchases may help identify instances when LSEs fail to fully and accurately report their transactions. </w:t>
      </w:r>
      <w:r w:rsidR="00E81E70" w:rsidRPr="004C0BFE">
        <w:t xml:space="preserve"> </w:t>
      </w:r>
      <w:r w:rsidR="00844D9B" w:rsidRPr="004C0BFE">
        <w:t xml:space="preserve">To ensure there is no double counting of transactions, Staff should take the necessary steps to remove duplicate transactions (the same transactions, purchase and sale, reported by two LSEs) in calculating the RA and RPS </w:t>
      </w:r>
      <w:r w:rsidRPr="004C0BFE">
        <w:t>A</w:t>
      </w:r>
      <w:r w:rsidR="00844D9B" w:rsidRPr="004C0BFE">
        <w:t xml:space="preserve">dders.  </w:t>
      </w:r>
    </w:p>
    <w:p w14:paraId="3FEC1F43" w14:textId="1C947201" w:rsidR="00844D9B" w:rsidRPr="004C0BFE" w:rsidRDefault="00844D9B" w:rsidP="00E81E70">
      <w:pPr>
        <w:pStyle w:val="Standard"/>
      </w:pPr>
      <w:r w:rsidRPr="004C0BFE">
        <w:t xml:space="preserve">Regarding the frequency of the data collection, the Commission finds that </w:t>
      </w:r>
      <w:r w:rsidR="002A4069" w:rsidRPr="004C0BFE">
        <w:t>reporting as frequently as quarterly may be necessary</w:t>
      </w:r>
      <w:r w:rsidR="00D66D08" w:rsidRPr="004C0BFE">
        <w:t xml:space="preserve"> for numerous reasons. For example, all LSEs and Staff need to familiarize themselves with the template and calculations.  This necessity may vary over time</w:t>
      </w:r>
      <w:r w:rsidR="00BA22FB" w:rsidRPr="004C0BFE">
        <w:t xml:space="preserve">; </w:t>
      </w:r>
      <w:r w:rsidR="00D66D08" w:rsidRPr="004C0BFE">
        <w:t xml:space="preserve">therefore, in the interest of administrative efficiency, </w:t>
      </w:r>
      <w:r w:rsidRPr="004C0BFE">
        <w:t xml:space="preserve">we authorize the Energy Division Director to </w:t>
      </w:r>
      <w:r w:rsidR="00992378" w:rsidRPr="004C0BFE">
        <w:t>adjust</w:t>
      </w:r>
      <w:r w:rsidR="00D66D08" w:rsidRPr="004C0BFE">
        <w:t xml:space="preserve"> </w:t>
      </w:r>
      <w:r w:rsidRPr="004C0BFE">
        <w:t xml:space="preserve"> </w:t>
      </w:r>
      <w:r w:rsidR="00992378" w:rsidRPr="004C0BFE">
        <w:t xml:space="preserve">the </w:t>
      </w:r>
      <w:r w:rsidRPr="004C0BFE">
        <w:t>frequency of the data reporting</w:t>
      </w:r>
      <w:r w:rsidR="00992378" w:rsidRPr="004C0BFE">
        <w:t xml:space="preserve"> based on the data needs and availability of Commission resources to collect and process data</w:t>
      </w:r>
      <w:r w:rsidRPr="004C0BFE">
        <w:t xml:space="preserve">.  </w:t>
      </w:r>
    </w:p>
    <w:p w14:paraId="60781FFC" w14:textId="6E32D08D" w:rsidR="00844D9B" w:rsidRPr="004C0BFE" w:rsidRDefault="00844D9B" w:rsidP="00164E6D">
      <w:pPr>
        <w:pStyle w:val="Standard"/>
      </w:pPr>
      <w:r w:rsidRPr="004C0BFE">
        <w:lastRenderedPageBreak/>
        <w:t xml:space="preserve">The proposal </w:t>
      </w:r>
      <w:r w:rsidR="00A0228D" w:rsidRPr="004C0BFE">
        <w:t>calls for</w:t>
      </w:r>
      <w:r w:rsidRPr="004C0BFE">
        <w:t xml:space="preserve"> data templates </w:t>
      </w:r>
      <w:r w:rsidR="00A0228D" w:rsidRPr="004C0BFE">
        <w:t xml:space="preserve">that are </w:t>
      </w:r>
      <w:r w:rsidRPr="004C0BFE">
        <w:t xml:space="preserve">developed for the purpose of calculating RA and RPS </w:t>
      </w:r>
      <w:r w:rsidR="00A0228D" w:rsidRPr="004C0BFE">
        <w:t>A</w:t>
      </w:r>
      <w:r w:rsidRPr="004C0BFE">
        <w:t>dders for the PCIA calculation</w:t>
      </w:r>
      <w:r w:rsidR="00A0228D" w:rsidRPr="004C0BFE">
        <w:t xml:space="preserve"> and</w:t>
      </w:r>
      <w:r w:rsidRPr="004C0BFE">
        <w:t xml:space="preserve"> are supplemental to </w:t>
      </w:r>
      <w:r w:rsidR="00A0228D" w:rsidRPr="004C0BFE">
        <w:t>those currently used for collecting RA and RPS data</w:t>
      </w:r>
      <w:r w:rsidRPr="004C0BFE">
        <w:t>.</w:t>
      </w:r>
      <w:r w:rsidR="00164E6D" w:rsidRPr="004C0BFE">
        <w:t xml:space="preserve"> </w:t>
      </w:r>
      <w:r w:rsidRPr="004C0BFE">
        <w:t xml:space="preserve"> In the interest of administrative efficiency, we authorize the Energy Division Director to either </w:t>
      </w:r>
      <w:r w:rsidR="00F653C0" w:rsidRPr="004C0BFE">
        <w:t xml:space="preserve">use RA and RPS data currently being submitted by LSEs for compliance purposes </w:t>
      </w:r>
      <w:r w:rsidRPr="004C0BFE">
        <w:t>or issue supplemental data requests</w:t>
      </w:r>
      <w:r w:rsidR="00F653C0" w:rsidRPr="004C0BFE">
        <w:t xml:space="preserve">, or both, as needed, </w:t>
      </w:r>
      <w:r w:rsidRPr="004C0BFE">
        <w:t xml:space="preserve"> in order to collect sufficient and accurate </w:t>
      </w:r>
      <w:r w:rsidR="00F653C0" w:rsidRPr="004C0BFE">
        <w:t xml:space="preserve">transaction </w:t>
      </w:r>
      <w:r w:rsidRPr="004C0BFE">
        <w:t xml:space="preserve">data for calculating the forecasted and final </w:t>
      </w:r>
      <w:r w:rsidR="00F653C0" w:rsidRPr="004C0BFE">
        <w:t>A</w:t>
      </w:r>
      <w:r w:rsidRPr="004C0BFE">
        <w:t xml:space="preserve">dders. </w:t>
      </w:r>
    </w:p>
    <w:p w14:paraId="7B6FEDCB" w14:textId="10509AD1" w:rsidR="00844D9B" w:rsidRPr="004C0BFE" w:rsidRDefault="00844D9B" w:rsidP="002D3E44">
      <w:pPr>
        <w:pStyle w:val="Standard"/>
      </w:pPr>
      <w:r w:rsidRPr="004C0BFE">
        <w:t xml:space="preserve">Several parties expressed concerns regarding submitting confidential data to Staff for the purpose of calculating the market price benchmarks and suggested additional measures to keep data confidential. </w:t>
      </w:r>
      <w:r w:rsidR="002D3E44" w:rsidRPr="004C0BFE">
        <w:t xml:space="preserve"> </w:t>
      </w:r>
      <w:r w:rsidRPr="004C0BFE">
        <w:t>We do not see any compelling reason to revisit the issue herein</w:t>
      </w:r>
      <w:r w:rsidR="008D0C4F" w:rsidRPr="004C0BFE">
        <w:t xml:space="preserve">. </w:t>
      </w:r>
      <w:r w:rsidRPr="004C0BFE">
        <w:t xml:space="preserve"> General Order (GO) 66-D sets out the general procedures for requesting confidential treatment of information submitted to the Commission. </w:t>
      </w:r>
      <w:r w:rsidR="002D3E44" w:rsidRPr="004C0BFE">
        <w:t xml:space="preserve"> </w:t>
      </w:r>
      <w:r w:rsidRPr="004C0BFE">
        <w:t>D.06-06-066 establishes consistent treatment and procedures for potentially</w:t>
      </w:r>
      <w:r w:rsidR="008D0C4F" w:rsidRPr="004C0BFE">
        <w:t xml:space="preserve"> </w:t>
      </w:r>
      <w:r w:rsidRPr="004C0BFE">
        <w:t>confidential information that is primarily related to procurement activities.</w:t>
      </w:r>
      <w:r w:rsidRPr="004C0BFE">
        <w:rPr>
          <w:rStyle w:val="FootnoteReference"/>
        </w:rPr>
        <w:footnoteReference w:id="20"/>
      </w:r>
      <w:r w:rsidR="002D3E44" w:rsidRPr="004C0BFE">
        <w:t xml:space="preserve"> </w:t>
      </w:r>
      <w:r w:rsidRPr="004C0BFE">
        <w:t xml:space="preserve"> In this proceeding, confidentiality of market-sensitive data and applicability of the procedures set by D.06-06-066 to CCAs have been addressed by the March 20, 2019 ALJ Ruling.</w:t>
      </w:r>
      <w:r w:rsidR="002D3E44" w:rsidRPr="004C0BFE">
        <w:t xml:space="preserve"> </w:t>
      </w:r>
      <w:r w:rsidRPr="004C0BFE">
        <w:t xml:space="preserve"> We confirm the March 20, 2019 ALJ Ruling that all data submitted to Staff by LSEs is entitled to confidentiality protections </w:t>
      </w:r>
      <w:r w:rsidR="00CC4C91" w:rsidRPr="004C0BFE">
        <w:t>as prescribed by</w:t>
      </w:r>
      <w:r w:rsidRPr="004C0BFE">
        <w:t xml:space="preserve"> D.06-06-066</w:t>
      </w:r>
      <w:r w:rsidR="00CC4C91" w:rsidRPr="004C0BFE">
        <w:t>, et al.,</w:t>
      </w:r>
      <w:r w:rsidRPr="004C0BFE">
        <w:t xml:space="preserve"> and do not find a need for additional procedures.  </w:t>
      </w:r>
    </w:p>
    <w:p w14:paraId="1002907E" w14:textId="1513C9C2" w:rsidR="00844D9B" w:rsidRPr="004C0BFE" w:rsidRDefault="00844D9B" w:rsidP="002D3E44">
      <w:pPr>
        <w:pStyle w:val="Standard"/>
      </w:pPr>
      <w:r w:rsidRPr="004C0BFE">
        <w:t xml:space="preserve">The issues within the scope of this proceeding are complex and require quantitative work. </w:t>
      </w:r>
      <w:r w:rsidR="002D3E44" w:rsidRPr="004C0BFE">
        <w:t xml:space="preserve"> </w:t>
      </w:r>
      <w:r w:rsidR="00CC4C91" w:rsidRPr="004C0BFE">
        <w:t>F</w:t>
      </w:r>
      <w:r w:rsidRPr="004C0BFE">
        <w:t xml:space="preserve">or </w:t>
      </w:r>
      <w:r w:rsidR="008D0C4F" w:rsidRPr="004C0BFE">
        <w:t xml:space="preserve">an </w:t>
      </w:r>
      <w:r w:rsidRPr="004C0BFE">
        <w:t>NM</w:t>
      </w:r>
      <w:r w:rsidR="008D0C4F" w:rsidRPr="004C0BFE">
        <w:t>P</w:t>
      </w:r>
      <w:r w:rsidRPr="004C0BFE">
        <w:t xml:space="preserve"> to participate in the stakeholder process in a meaningful and efficient manner, NMPs should be able to have access to data, </w:t>
      </w:r>
      <w:r w:rsidRPr="004C0BFE">
        <w:lastRenderedPageBreak/>
        <w:t>provided they agree to a protective order.</w:t>
      </w:r>
      <w:r w:rsidR="002D3E44" w:rsidRPr="004C0BFE">
        <w:t xml:space="preserve"> </w:t>
      </w:r>
      <w:r w:rsidRPr="004C0BFE">
        <w:t xml:space="preserve"> Therefore, we find TURN’s proposal to give NMPs access to confidential data reasonable</w:t>
      </w:r>
      <w:r w:rsidR="00EA737D" w:rsidRPr="00EA737D">
        <w:t xml:space="preserve"> and encourage all ESPs to share that data under a NDA or protective order, but do not require ESPs to do so</w:t>
      </w:r>
      <w:r w:rsidRPr="004C0BFE">
        <w:t xml:space="preserve">. </w:t>
      </w:r>
      <w:r w:rsidR="002D3E44" w:rsidRPr="004C0BFE">
        <w:t xml:space="preserve"> </w:t>
      </w:r>
      <w:r w:rsidRPr="004C0BFE">
        <w:t>As TURN noted, providing NMPs access to confidential data is consistent with Public Utilities Code Section 454.5(g) and D.06-06-066.</w:t>
      </w:r>
      <w:r w:rsidRPr="004C0BFE">
        <w:rPr>
          <w:rStyle w:val="FootnoteReference"/>
        </w:rPr>
        <w:footnoteReference w:id="21"/>
      </w:r>
      <w:r w:rsidRPr="004C0BFE">
        <w:t xml:space="preserve">  The access rights are already established in D.06-06-006 and they remain in place. </w:t>
      </w:r>
      <w:r w:rsidR="002D3E44" w:rsidRPr="004C0BFE">
        <w:t xml:space="preserve"> </w:t>
      </w:r>
      <w:r w:rsidRPr="004C0BFE">
        <w:t>D.08-04-023 adopted a model protective order and non-disclosure agreement for all procurement-related data, but did not obligate parties to use it.</w:t>
      </w:r>
      <w:r w:rsidRPr="004C0BFE">
        <w:rPr>
          <w:rStyle w:val="FootnoteReference"/>
        </w:rPr>
        <w:footnoteReference w:id="22"/>
      </w:r>
      <w:r w:rsidRPr="004C0BFE">
        <w:t xml:space="preserve"> </w:t>
      </w:r>
      <w:r w:rsidR="002D3E44" w:rsidRPr="004C0BFE">
        <w:t xml:space="preserve"> </w:t>
      </w:r>
      <w:r w:rsidRPr="004C0BFE">
        <w:t xml:space="preserve">Interested parties may develop a common non-disclosure agreement </w:t>
      </w:r>
      <w:r w:rsidR="00A0550C" w:rsidRPr="004C0BFE">
        <w:t xml:space="preserve">(NDA) </w:t>
      </w:r>
      <w:r w:rsidRPr="004C0BFE">
        <w:t xml:space="preserve">that can be used for confidential material submitted by any ESP, CCA, or IOU relating to the development of </w:t>
      </w:r>
      <w:r w:rsidR="00085909" w:rsidRPr="004C0BFE">
        <w:t xml:space="preserve">the </w:t>
      </w:r>
      <w:r w:rsidRPr="004C0BFE">
        <w:t xml:space="preserve">market price benchmarks. </w:t>
      </w:r>
      <w:r w:rsidR="00770715" w:rsidRPr="004C0BFE">
        <w:t xml:space="preserve"> </w:t>
      </w:r>
      <w:r w:rsidR="005E7833" w:rsidRPr="004C0BFE">
        <w:br/>
      </w:r>
      <w:r w:rsidRPr="004C0BFE">
        <w:lastRenderedPageBreak/>
        <w:t xml:space="preserve">A standardized NDA is reasonable for efficiency and equal access to all confidential information. </w:t>
      </w:r>
    </w:p>
    <w:p w14:paraId="4D6DDC1C" w14:textId="523E0610" w:rsidR="00844D9B" w:rsidRDefault="00844D9B" w:rsidP="00844D9B">
      <w:pPr>
        <w:pStyle w:val="ALJHeading2"/>
      </w:pPr>
      <w:bookmarkStart w:id="43" w:name="_Toc16242525"/>
      <w:bookmarkStart w:id="44" w:name="_Toc17368170"/>
      <w:r w:rsidRPr="007102DC">
        <w:t>True</w:t>
      </w:r>
      <w:r w:rsidR="00FB3A2A">
        <w:t xml:space="preserve"> U</w:t>
      </w:r>
      <w:r w:rsidRPr="007102DC">
        <w:t xml:space="preserve">p of the Brown Power </w:t>
      </w:r>
      <w:r>
        <w:t>C</w:t>
      </w:r>
      <w:r w:rsidRPr="007102DC">
        <w:t xml:space="preserve">omponent, the Resource Adequacy (RA) </w:t>
      </w:r>
      <w:r>
        <w:t>A</w:t>
      </w:r>
      <w:r w:rsidRPr="007102DC">
        <w:t xml:space="preserve">dder and the Renewable Portfolio Standard (RPS) </w:t>
      </w:r>
      <w:r>
        <w:t>A</w:t>
      </w:r>
      <w:r w:rsidRPr="007102DC">
        <w:t>dder of the Market Price Benchmark</w:t>
      </w:r>
      <w:r>
        <w:t xml:space="preserve"> (Scoping Memo Issue 1)</w:t>
      </w:r>
      <w:bookmarkEnd w:id="43"/>
      <w:bookmarkEnd w:id="44"/>
    </w:p>
    <w:p w14:paraId="0AA1E9B4" w14:textId="5840763D" w:rsidR="00844D9B" w:rsidRPr="004C0BFE" w:rsidRDefault="00844D9B" w:rsidP="008A21FE">
      <w:pPr>
        <w:pStyle w:val="Standard"/>
      </w:pPr>
      <w:r w:rsidRPr="004C0BFE">
        <w:t xml:space="preserve">Scoping Memo Issue 1 asks which mechanism(s), procedural and/or methodological, the Commission should adopt to true up annually the Brown Power component, the RA </w:t>
      </w:r>
      <w:r w:rsidR="00713837" w:rsidRPr="004C0BFE">
        <w:t>A</w:t>
      </w:r>
      <w:r w:rsidRPr="004C0BFE">
        <w:t xml:space="preserve">dder and the RPS </w:t>
      </w:r>
      <w:r w:rsidR="00713837" w:rsidRPr="004C0BFE">
        <w:t>A</w:t>
      </w:r>
      <w:r w:rsidRPr="004C0BFE">
        <w:t xml:space="preserve">dder of the MPB.  </w:t>
      </w:r>
      <w:r w:rsidR="00E13525" w:rsidRPr="004C0BFE">
        <w:t>Restated using the naming conventions of this decision, Issue 1 asks which mechanism(s), procedural and/or methodological, the Commission should adopt to true up annually the Energy Value, the RA Value and the RPS Value used to calculate the PCIA, including the component Market Price Benchmarks (Energy Index, RPS Adder, and RA Adder).</w:t>
      </w:r>
    </w:p>
    <w:p w14:paraId="008F5578" w14:textId="103332E0" w:rsidR="00844D9B" w:rsidRPr="004C0BFE" w:rsidRDefault="00844D9B" w:rsidP="00844D9B">
      <w:pPr>
        <w:pStyle w:val="ALJBodyText"/>
      </w:pPr>
      <w:r w:rsidRPr="004C0BFE">
        <w:t>As discussed below, it is reasonable to adopt the co-chairs’ proposal for the energy true</w:t>
      </w:r>
      <w:r w:rsidR="00FB3A2A" w:rsidRPr="004C0BFE">
        <w:t xml:space="preserve"> </w:t>
      </w:r>
      <w:r w:rsidRPr="004C0BFE">
        <w:t xml:space="preserve">up as recommended in the May Report.  We also adopt the </w:t>
      </w:r>
      <w:r w:rsidR="00374F7D" w:rsidRPr="004C0BFE">
        <w:t xml:space="preserve">proposal for truing up the </w:t>
      </w:r>
      <w:r w:rsidRPr="004C0BFE">
        <w:t xml:space="preserve">RA Adder for system and flexible RA, but not </w:t>
      </w:r>
      <w:r w:rsidR="00374F7D" w:rsidRPr="004C0BFE">
        <w:t xml:space="preserve">for </w:t>
      </w:r>
      <w:r w:rsidRPr="004C0BFE">
        <w:t>local RA</w:t>
      </w:r>
      <w:r w:rsidR="00CD511E" w:rsidRPr="004C0BFE">
        <w:t>;</w:t>
      </w:r>
      <w:r w:rsidRPr="004C0BFE">
        <w:t xml:space="preserve"> </w:t>
      </w:r>
      <w:r w:rsidR="00CD511E" w:rsidRPr="004C0BFE">
        <w:t>t</w:t>
      </w:r>
      <w:r w:rsidRPr="004C0BFE">
        <w:t xml:space="preserve">he proposal for local RA </w:t>
      </w:r>
      <w:r w:rsidR="00374F7D" w:rsidRPr="004C0BFE">
        <w:t>excludes data from year (n-3) and does not reflect the current local RA requirement horizon</w:t>
      </w:r>
      <w:r w:rsidRPr="004C0BFE">
        <w:t xml:space="preserve">. </w:t>
      </w:r>
      <w:r w:rsidR="008A21FE" w:rsidRPr="004C0BFE">
        <w:t xml:space="preserve"> </w:t>
      </w:r>
      <w:r w:rsidRPr="004C0BFE">
        <w:t xml:space="preserve">For truing up the RPS </w:t>
      </w:r>
      <w:r w:rsidR="0028479C" w:rsidRPr="004C0BFE">
        <w:t>A</w:t>
      </w:r>
      <w:r w:rsidRPr="004C0BFE">
        <w:t xml:space="preserve">dder, we find the overall approach reasonable. </w:t>
      </w:r>
      <w:r w:rsidR="008A21FE" w:rsidRPr="004C0BFE">
        <w:t xml:space="preserve"> </w:t>
      </w:r>
      <w:r w:rsidR="00A0550C" w:rsidRPr="004C0BFE">
        <w:t>However, o</w:t>
      </w:r>
      <w:r w:rsidRPr="004C0BFE">
        <w:t>n the unsold RPS issue, we adopt PG&amp;E’s proposal that will assign unsold RPS a zero value, until a Commission decision makes a de</w:t>
      </w:r>
      <w:r w:rsidR="002623E2" w:rsidRPr="004C0BFE">
        <w:t>cides</w:t>
      </w:r>
      <w:r w:rsidRPr="004C0BFE">
        <w:t xml:space="preserve"> on the sale of RPS attributes.</w:t>
      </w:r>
    </w:p>
    <w:p w14:paraId="15CE7D1E" w14:textId="77777777" w:rsidR="00844D9B" w:rsidRDefault="00844D9B" w:rsidP="00844D9B">
      <w:pPr>
        <w:pStyle w:val="ALJHeading3"/>
      </w:pPr>
      <w:bookmarkStart w:id="45" w:name="_Toc16242526"/>
      <w:bookmarkStart w:id="46" w:name="_Toc17368171"/>
      <w:r>
        <w:t>Scoping Memo Issue 1: Proposal</w:t>
      </w:r>
      <w:bookmarkEnd w:id="45"/>
      <w:bookmarkEnd w:id="46"/>
    </w:p>
    <w:p w14:paraId="2DA294EF" w14:textId="66E1B162" w:rsidR="00844D9B" w:rsidRPr="004C0BFE" w:rsidRDefault="00CD511E" w:rsidP="007A3BC7">
      <w:pPr>
        <w:pStyle w:val="Standard"/>
      </w:pPr>
      <w:r w:rsidRPr="004C0BFE">
        <w:rPr>
          <w:i/>
          <w:iCs/>
        </w:rPr>
        <w:t xml:space="preserve">Energy Value </w:t>
      </w:r>
      <w:r w:rsidR="00844D9B" w:rsidRPr="004C0BFE">
        <w:rPr>
          <w:i/>
          <w:iCs/>
        </w:rPr>
        <w:t>True</w:t>
      </w:r>
      <w:r w:rsidR="00FB3A2A" w:rsidRPr="004C0BFE">
        <w:rPr>
          <w:i/>
          <w:iCs/>
        </w:rPr>
        <w:t xml:space="preserve"> </w:t>
      </w:r>
      <w:r w:rsidR="00844D9B" w:rsidRPr="004C0BFE">
        <w:rPr>
          <w:i/>
          <w:iCs/>
        </w:rPr>
        <w:t>Up</w:t>
      </w:r>
      <w:r w:rsidR="00844D9B" w:rsidRPr="004C0BFE">
        <w:t xml:space="preserve">: According to the proposal, revenue </w:t>
      </w:r>
      <w:r w:rsidRPr="004C0BFE">
        <w:t xml:space="preserve">is </w:t>
      </w:r>
      <w:r w:rsidR="00844D9B" w:rsidRPr="004C0BFE">
        <w:t>true</w:t>
      </w:r>
      <w:r w:rsidRPr="004C0BFE">
        <w:t>d</w:t>
      </w:r>
      <w:r w:rsidR="00844D9B" w:rsidRPr="004C0BFE">
        <w:t xml:space="preserve"> up for </w:t>
      </w:r>
      <w:r w:rsidR="00544983" w:rsidRPr="004C0BFE">
        <w:br/>
      </w:r>
      <w:r w:rsidR="00844D9B" w:rsidRPr="004C0BFE">
        <w:t xml:space="preserve">year n based on the realized net CAISO revenues for all </w:t>
      </w:r>
      <w:r w:rsidR="00085909" w:rsidRPr="004C0BFE">
        <w:t xml:space="preserve"> </w:t>
      </w:r>
      <w:r w:rsidR="00844D9B" w:rsidRPr="004C0BFE">
        <w:t xml:space="preserve">PCIA-eligible resources, including revenues received through CAISO’s CPM, if any.  There is no </w:t>
      </w:r>
      <w:r w:rsidRPr="004C0BFE">
        <w:t>Energy Index</w:t>
      </w:r>
      <w:r w:rsidR="00844D9B" w:rsidRPr="004C0BFE">
        <w:t xml:space="preserve"> used in the true</w:t>
      </w:r>
      <w:r w:rsidR="00FB3A2A" w:rsidRPr="004C0BFE">
        <w:t xml:space="preserve"> </w:t>
      </w:r>
      <w:r w:rsidR="00844D9B" w:rsidRPr="004C0BFE">
        <w:t xml:space="preserve">up process.  The realized revenues </w:t>
      </w:r>
      <w:r w:rsidRPr="004C0BFE">
        <w:t>are</w:t>
      </w:r>
      <w:r w:rsidR="00844D9B" w:rsidRPr="004C0BFE">
        <w:t xml:space="preserve"> recorded to the vintaged resources’ respective vintaged PABA subaccount and become an offset </w:t>
      </w:r>
      <w:r w:rsidR="00844D9B" w:rsidRPr="004C0BFE">
        <w:lastRenderedPageBreak/>
        <w:t xml:space="preserve">to the actual costs recorded in those subaccounts. </w:t>
      </w:r>
      <w:r w:rsidR="00544983" w:rsidRPr="004C0BFE">
        <w:t xml:space="preserve"> </w:t>
      </w:r>
      <w:r w:rsidR="00844D9B" w:rsidRPr="004C0BFE">
        <w:t xml:space="preserve">The year-end over- or under-collection in the vintaged PABA subaccounts for year n </w:t>
      </w:r>
      <w:r w:rsidRPr="004C0BFE">
        <w:t>are</w:t>
      </w:r>
      <w:r w:rsidR="00844D9B" w:rsidRPr="004C0BFE">
        <w:t xml:space="preserve"> included in the vintaged PCIA rate calculation for year (n+1). </w:t>
      </w:r>
      <w:r w:rsidR="00544983" w:rsidRPr="004C0BFE">
        <w:t xml:space="preserve"> </w:t>
      </w:r>
      <w:r w:rsidR="00844D9B" w:rsidRPr="004C0BFE">
        <w:t>The true</w:t>
      </w:r>
      <w:r w:rsidR="00FB3A2A" w:rsidRPr="004C0BFE">
        <w:t xml:space="preserve"> </w:t>
      </w:r>
      <w:r w:rsidR="00844D9B" w:rsidRPr="004C0BFE">
        <w:t xml:space="preserve">up process </w:t>
      </w:r>
      <w:r w:rsidRPr="004C0BFE">
        <w:t>is</w:t>
      </w:r>
      <w:r w:rsidR="00844D9B" w:rsidRPr="004C0BFE">
        <w:t xml:space="preserve"> addressed as part of the annual ERRA Forecast proceeding. </w:t>
      </w:r>
    </w:p>
    <w:p w14:paraId="51385A2B" w14:textId="687843FD" w:rsidR="00844D9B" w:rsidRPr="004C0BFE" w:rsidRDefault="00844D9B" w:rsidP="00844D9B">
      <w:pPr>
        <w:pStyle w:val="ALJBodyText"/>
      </w:pPr>
      <w:r w:rsidRPr="004C0BFE">
        <w:rPr>
          <w:i/>
          <w:iCs/>
        </w:rPr>
        <w:t xml:space="preserve">RPS </w:t>
      </w:r>
      <w:r w:rsidR="00625CA0" w:rsidRPr="004C0BFE">
        <w:rPr>
          <w:i/>
          <w:iCs/>
        </w:rPr>
        <w:t>Value</w:t>
      </w:r>
      <w:r w:rsidRPr="004C0BFE">
        <w:rPr>
          <w:i/>
          <w:iCs/>
        </w:rPr>
        <w:t>:</w:t>
      </w:r>
      <w:r w:rsidRPr="004C0BFE">
        <w:t xml:space="preserve"> Actual RPS </w:t>
      </w:r>
      <w:r w:rsidR="00625CA0" w:rsidRPr="004C0BFE">
        <w:t>V</w:t>
      </w:r>
      <w:r w:rsidRPr="004C0BFE">
        <w:t xml:space="preserve">alue </w:t>
      </w:r>
      <w:r w:rsidR="00625CA0" w:rsidRPr="004C0BFE">
        <w:t>for use in the true</w:t>
      </w:r>
      <w:r w:rsidR="00FB3A2A" w:rsidRPr="004C0BFE">
        <w:t xml:space="preserve"> </w:t>
      </w:r>
      <w:r w:rsidR="00625CA0" w:rsidRPr="004C0BFE">
        <w:t>up is</w:t>
      </w:r>
      <w:r w:rsidR="00A0550C" w:rsidRPr="004C0BFE">
        <w:t xml:space="preserve"> </w:t>
      </w:r>
      <w:r w:rsidRPr="004C0BFE">
        <w:t>calculated using the prices and quantities in the following categories of RPS within the PCIA-eligible portfolio</w:t>
      </w:r>
      <w:r w:rsidR="00625CA0" w:rsidRPr="004C0BFE">
        <w:t xml:space="preserve"> as part of the annual ERRA Forecast proceeding.</w:t>
      </w:r>
      <w:r w:rsidRPr="004C0BFE">
        <w:t xml:space="preserve">  </w:t>
      </w:r>
    </w:p>
    <w:p w14:paraId="79E814CC" w14:textId="53617E8F" w:rsidR="00844D9B" w:rsidRPr="004C0BFE" w:rsidRDefault="00844D9B" w:rsidP="00DF76C3">
      <w:pPr>
        <w:pStyle w:val="ALJBodyText"/>
        <w:jc w:val="center"/>
        <w:rPr>
          <w:b/>
          <w:bCs/>
        </w:rPr>
      </w:pPr>
      <w:bookmarkStart w:id="47" w:name="_Hlk17900412"/>
      <w:r w:rsidRPr="004C0BFE">
        <w:rPr>
          <w:b/>
          <w:bCs/>
        </w:rPr>
        <w:t xml:space="preserve">Table </w:t>
      </w:r>
      <w:r w:rsidR="00B45B7E" w:rsidRPr="004C0BFE">
        <w:rPr>
          <w:b/>
          <w:bCs/>
        </w:rPr>
        <w:t>I</w:t>
      </w:r>
      <w:r w:rsidRPr="004C0BFE">
        <w:rPr>
          <w:b/>
          <w:bCs/>
        </w:rPr>
        <w:t xml:space="preserve">V: RPS </w:t>
      </w:r>
      <w:r w:rsidR="00490047" w:rsidRPr="004C0BFE">
        <w:rPr>
          <w:b/>
          <w:bCs/>
        </w:rPr>
        <w:t>Value</w:t>
      </w:r>
      <w:r w:rsidRPr="004C0BFE">
        <w:rPr>
          <w:b/>
          <w:bCs/>
        </w:rPr>
        <w:t xml:space="preserve"> True</w:t>
      </w:r>
      <w:r w:rsidR="00FB3A2A" w:rsidRPr="004C0BFE">
        <w:rPr>
          <w:b/>
          <w:bCs/>
        </w:rPr>
        <w:t xml:space="preserve"> </w:t>
      </w:r>
      <w:r w:rsidRPr="004C0BFE">
        <w:rPr>
          <w:b/>
          <w:bCs/>
        </w:rPr>
        <w:t>Up</w:t>
      </w:r>
    </w:p>
    <w:tbl>
      <w:tblPr>
        <w:tblStyle w:val="TableGrid"/>
        <w:tblW w:w="0" w:type="auto"/>
        <w:jc w:val="center"/>
        <w:tblLook w:val="04A0" w:firstRow="1" w:lastRow="0" w:firstColumn="1" w:lastColumn="0" w:noHBand="0" w:noVBand="1"/>
      </w:tblPr>
      <w:tblGrid>
        <w:gridCol w:w="1737"/>
        <w:gridCol w:w="2313"/>
        <w:gridCol w:w="5526"/>
      </w:tblGrid>
      <w:tr w:rsidR="00844D9B" w14:paraId="49D0EDBA" w14:textId="77777777" w:rsidTr="00DF76C3">
        <w:trPr>
          <w:jc w:val="center"/>
        </w:trPr>
        <w:tc>
          <w:tcPr>
            <w:tcW w:w="0" w:type="auto"/>
          </w:tcPr>
          <w:p w14:paraId="5772D14A" w14:textId="06EBD611" w:rsidR="00844D9B" w:rsidRPr="004C0BFE" w:rsidRDefault="00574F93" w:rsidP="00DF76C3">
            <w:pPr>
              <w:pStyle w:val="ALJBodyText"/>
              <w:spacing w:after="120" w:line="240" w:lineRule="auto"/>
              <w:ind w:firstLine="0"/>
              <w:rPr>
                <w:b/>
                <w:bCs/>
              </w:rPr>
            </w:pPr>
            <w:r w:rsidRPr="004C0BFE">
              <w:rPr>
                <w:b/>
                <w:bCs/>
              </w:rPr>
              <w:t>Type of RPS Product</w:t>
            </w:r>
          </w:p>
        </w:tc>
        <w:tc>
          <w:tcPr>
            <w:tcW w:w="0" w:type="auto"/>
          </w:tcPr>
          <w:p w14:paraId="6AD3F566" w14:textId="77777777" w:rsidR="00844D9B" w:rsidRPr="00FB6ADE" w:rsidRDefault="00844D9B" w:rsidP="00DF76C3">
            <w:pPr>
              <w:pStyle w:val="ALJBodyText"/>
              <w:spacing w:after="120" w:line="240" w:lineRule="auto"/>
              <w:ind w:firstLine="0"/>
              <w:rPr>
                <w:rFonts w:ascii="Arial" w:hAnsi="Arial" w:cs="Arial"/>
                <w:b/>
                <w:bCs/>
              </w:rPr>
            </w:pPr>
            <w:r w:rsidRPr="00FB6ADE">
              <w:rPr>
                <w:rFonts w:ascii="Arial" w:hAnsi="Arial" w:cs="Arial"/>
                <w:b/>
                <w:bCs/>
              </w:rPr>
              <w:t>Price</w:t>
            </w:r>
          </w:p>
        </w:tc>
        <w:tc>
          <w:tcPr>
            <w:tcW w:w="0" w:type="auto"/>
          </w:tcPr>
          <w:p w14:paraId="607A2B03" w14:textId="77777777" w:rsidR="00844D9B" w:rsidRPr="00FB6ADE" w:rsidRDefault="00844D9B" w:rsidP="00DF76C3">
            <w:pPr>
              <w:pStyle w:val="ALJBodyText"/>
              <w:spacing w:after="120" w:line="240" w:lineRule="auto"/>
              <w:ind w:firstLine="0"/>
              <w:rPr>
                <w:rFonts w:ascii="Arial" w:hAnsi="Arial" w:cs="Arial"/>
                <w:b/>
                <w:bCs/>
              </w:rPr>
            </w:pPr>
            <w:r w:rsidRPr="00FB6ADE">
              <w:rPr>
                <w:rFonts w:ascii="Arial" w:hAnsi="Arial" w:cs="Arial"/>
                <w:b/>
                <w:bCs/>
              </w:rPr>
              <w:t>Quantity</w:t>
            </w:r>
          </w:p>
        </w:tc>
      </w:tr>
      <w:tr w:rsidR="00844D9B" w14:paraId="68CFC665" w14:textId="77777777" w:rsidTr="00DF76C3">
        <w:trPr>
          <w:jc w:val="center"/>
        </w:trPr>
        <w:tc>
          <w:tcPr>
            <w:tcW w:w="0" w:type="auto"/>
          </w:tcPr>
          <w:p w14:paraId="6F3CD807" w14:textId="77777777" w:rsidR="00844D9B" w:rsidRPr="004C0BFE" w:rsidRDefault="00844D9B" w:rsidP="00DF76C3">
            <w:pPr>
              <w:pStyle w:val="ALJBodyText"/>
              <w:spacing w:after="120" w:line="240" w:lineRule="auto"/>
              <w:ind w:firstLine="0"/>
            </w:pPr>
            <w:r w:rsidRPr="004C0BFE">
              <w:t>Actual Retained</w:t>
            </w:r>
          </w:p>
          <w:p w14:paraId="0C386E1F" w14:textId="77777777" w:rsidR="00844D9B" w:rsidRDefault="00844D9B" w:rsidP="00DF76C3">
            <w:pPr>
              <w:pStyle w:val="ALJBodyText"/>
              <w:spacing w:after="120" w:line="240" w:lineRule="auto"/>
              <w:ind w:firstLine="0"/>
            </w:pPr>
          </w:p>
        </w:tc>
        <w:tc>
          <w:tcPr>
            <w:tcW w:w="0" w:type="auto"/>
          </w:tcPr>
          <w:p w14:paraId="6BE54C30" w14:textId="5E410C70" w:rsidR="00844D9B" w:rsidRDefault="00844D9B" w:rsidP="00DF76C3">
            <w:pPr>
              <w:pStyle w:val="ALJBodyText"/>
              <w:spacing w:after="120" w:line="240" w:lineRule="auto"/>
              <w:ind w:firstLine="0"/>
            </w:pPr>
            <w:r w:rsidRPr="004C0BFE">
              <w:t xml:space="preserve">Final RPS Adder, calculated by </w:t>
            </w:r>
            <w:r w:rsidR="00A0550C" w:rsidRPr="004C0BFE">
              <w:t>Staff</w:t>
            </w:r>
          </w:p>
        </w:tc>
        <w:tc>
          <w:tcPr>
            <w:tcW w:w="0" w:type="auto"/>
          </w:tcPr>
          <w:p w14:paraId="56A8BEBA" w14:textId="77777777" w:rsidR="00844D9B" w:rsidRPr="004C0BFE" w:rsidRDefault="00844D9B" w:rsidP="00DF76C3">
            <w:pPr>
              <w:pStyle w:val="ALJBodyText"/>
              <w:spacing w:after="120" w:line="240" w:lineRule="auto"/>
              <w:ind w:firstLine="0"/>
            </w:pPr>
            <w:r w:rsidRPr="004C0BFE">
              <w:t xml:space="preserve">PG&amp;E proposal: Volume used for IOU compliance from PCIA-eligible portfolio </w:t>
            </w:r>
          </w:p>
          <w:p w14:paraId="22A9D7FD" w14:textId="77777777" w:rsidR="00844D9B" w:rsidRDefault="00844D9B" w:rsidP="00DF76C3">
            <w:pPr>
              <w:pStyle w:val="ALJBodyText"/>
              <w:spacing w:after="120" w:line="240" w:lineRule="auto"/>
              <w:ind w:firstLine="0"/>
            </w:pPr>
            <w:r w:rsidRPr="004C0BFE">
              <w:t>CalCCA proposal: Volume generated from the PCIA-eligible portfolio minus generation sold from the PCIA-eligible portfolio</w:t>
            </w:r>
          </w:p>
        </w:tc>
      </w:tr>
      <w:tr w:rsidR="00844D9B" w14:paraId="2276FE87" w14:textId="77777777" w:rsidTr="00DF76C3">
        <w:trPr>
          <w:jc w:val="center"/>
        </w:trPr>
        <w:tc>
          <w:tcPr>
            <w:tcW w:w="0" w:type="auto"/>
          </w:tcPr>
          <w:p w14:paraId="05FB0775" w14:textId="77777777" w:rsidR="00844D9B" w:rsidRDefault="00844D9B" w:rsidP="00DF76C3">
            <w:pPr>
              <w:pStyle w:val="ALJBodyText"/>
              <w:spacing w:after="120" w:line="240" w:lineRule="auto"/>
              <w:ind w:firstLine="0"/>
            </w:pPr>
            <w:r w:rsidRPr="004C0BFE">
              <w:t>Actual Sold</w:t>
            </w:r>
          </w:p>
        </w:tc>
        <w:tc>
          <w:tcPr>
            <w:tcW w:w="0" w:type="auto"/>
          </w:tcPr>
          <w:p w14:paraId="0A59C329" w14:textId="77777777" w:rsidR="00844D9B" w:rsidRDefault="00844D9B" w:rsidP="00DF76C3">
            <w:pPr>
              <w:pStyle w:val="ALJBodyText"/>
              <w:spacing w:after="120" w:line="240" w:lineRule="auto"/>
              <w:ind w:firstLine="0"/>
            </w:pPr>
            <w:r w:rsidRPr="004C0BFE">
              <w:t xml:space="preserve">Actual transacted price </w:t>
            </w:r>
          </w:p>
        </w:tc>
        <w:tc>
          <w:tcPr>
            <w:tcW w:w="0" w:type="auto"/>
          </w:tcPr>
          <w:p w14:paraId="30A0C374" w14:textId="77777777" w:rsidR="00844D9B" w:rsidRDefault="00844D9B" w:rsidP="00DF76C3">
            <w:pPr>
              <w:pStyle w:val="ALJBodyText"/>
              <w:spacing w:after="120" w:line="240" w:lineRule="auto"/>
              <w:ind w:firstLine="0"/>
            </w:pPr>
            <w:r w:rsidRPr="004C0BFE">
              <w:t>Actual transacted volume</w:t>
            </w:r>
          </w:p>
        </w:tc>
      </w:tr>
      <w:tr w:rsidR="00844D9B" w:rsidRPr="004C0BFE" w14:paraId="24158212" w14:textId="77777777" w:rsidTr="00DF76C3">
        <w:trPr>
          <w:jc w:val="center"/>
        </w:trPr>
        <w:tc>
          <w:tcPr>
            <w:tcW w:w="0" w:type="auto"/>
          </w:tcPr>
          <w:p w14:paraId="4A0F3C29" w14:textId="4D0F23A6" w:rsidR="00844D9B" w:rsidRPr="004C0BFE" w:rsidRDefault="00844D9B" w:rsidP="00DF76C3">
            <w:pPr>
              <w:pStyle w:val="ALJBodyText"/>
              <w:spacing w:after="120" w:line="240" w:lineRule="auto"/>
              <w:ind w:firstLine="0"/>
            </w:pPr>
            <w:r w:rsidRPr="004C0BFE">
              <w:t>Actual Unsold</w:t>
            </w:r>
            <w:r w:rsidR="009F25FE">
              <w:rPr>
                <w:rStyle w:val="FootnoteReference"/>
              </w:rPr>
              <w:footnoteReference w:id="23"/>
            </w:r>
          </w:p>
          <w:p w14:paraId="4583D6CC" w14:textId="77777777" w:rsidR="00844D9B" w:rsidRDefault="00844D9B" w:rsidP="00DF76C3">
            <w:pPr>
              <w:pStyle w:val="ALJBodyText"/>
              <w:spacing w:after="120" w:line="240" w:lineRule="auto"/>
              <w:ind w:firstLine="0"/>
            </w:pPr>
            <w:r w:rsidRPr="004C0BFE">
              <w:t>(PG&amp;E proposal)</w:t>
            </w:r>
          </w:p>
        </w:tc>
        <w:tc>
          <w:tcPr>
            <w:tcW w:w="0" w:type="auto"/>
          </w:tcPr>
          <w:p w14:paraId="6DD42B25" w14:textId="77777777" w:rsidR="00844D9B" w:rsidRPr="006610C6" w:rsidRDefault="00844D9B" w:rsidP="00DF76C3">
            <w:pPr>
              <w:pStyle w:val="ALJBodyText"/>
              <w:spacing w:after="120" w:line="240" w:lineRule="auto"/>
              <w:ind w:firstLine="0"/>
            </w:pPr>
            <w:r w:rsidRPr="004C0BFE">
              <w:t>PG&amp;E proposal: No credit</w:t>
            </w:r>
          </w:p>
        </w:tc>
        <w:tc>
          <w:tcPr>
            <w:tcW w:w="0" w:type="auto"/>
          </w:tcPr>
          <w:p w14:paraId="7F881EE0" w14:textId="77777777" w:rsidR="00844D9B" w:rsidRPr="004C0BFE" w:rsidRDefault="00844D9B" w:rsidP="00DF76C3">
            <w:pPr>
              <w:pStyle w:val="ALJBodyText"/>
              <w:spacing w:after="120" w:line="240" w:lineRule="auto"/>
              <w:ind w:firstLine="0"/>
            </w:pPr>
            <w:r w:rsidRPr="004C0BFE">
              <w:t>PG&amp;E proposal: Actual unsold volume</w:t>
            </w:r>
          </w:p>
        </w:tc>
      </w:tr>
      <w:bookmarkEnd w:id="47"/>
    </w:tbl>
    <w:p w14:paraId="682BA868" w14:textId="77777777" w:rsidR="00844D9B" w:rsidRPr="004C0BFE" w:rsidRDefault="00844D9B" w:rsidP="00631FB0">
      <w:pPr>
        <w:pStyle w:val="Standard"/>
        <w:rPr>
          <w:sz w:val="6"/>
          <w:szCs w:val="6"/>
        </w:rPr>
      </w:pPr>
    </w:p>
    <w:p w14:paraId="59585367" w14:textId="7A6C29F4" w:rsidR="00DC2DA6" w:rsidRPr="004C0BFE" w:rsidRDefault="00DC2DA6" w:rsidP="00DC2DA6">
      <w:pPr>
        <w:pStyle w:val="Standard"/>
      </w:pPr>
      <w:r w:rsidRPr="004C0BFE">
        <w:t xml:space="preserve">RPS </w:t>
      </w:r>
      <w:r w:rsidR="00F5713C" w:rsidRPr="004C0BFE">
        <w:t>Value for products that are sold is the revenue earned from the sale. RPS Value for products that are retained is</w:t>
      </w:r>
      <w:r w:rsidRPr="004C0BFE">
        <w:t xml:space="preserve"> </w:t>
      </w:r>
      <w:r w:rsidR="00F5713C" w:rsidRPr="004C0BFE">
        <w:t xml:space="preserve">the </w:t>
      </w:r>
      <w:r w:rsidRPr="004C0BFE">
        <w:t xml:space="preserve">imputed value </w:t>
      </w:r>
      <w:r w:rsidR="00F5713C" w:rsidRPr="004C0BFE">
        <w:t>based on the RPS Adder. RPS Value is</w:t>
      </w:r>
      <w:r w:rsidR="00A0550C" w:rsidRPr="004C0BFE">
        <w:t xml:space="preserve"> </w:t>
      </w:r>
      <w:r w:rsidRPr="004C0BFE">
        <w:t>allocated by vintage according to the methodologies and order described below:</w:t>
      </w:r>
    </w:p>
    <w:p w14:paraId="2C848B75" w14:textId="64AEF498" w:rsidR="00DC2DA6" w:rsidRPr="004C0BFE" w:rsidRDefault="00DC2DA6" w:rsidP="00DC2DA6">
      <w:pPr>
        <w:pStyle w:val="Standard"/>
      </w:pPr>
      <w:r w:rsidRPr="004C0BFE">
        <w:lastRenderedPageBreak/>
        <w:t xml:space="preserve">1. For revenue from Actual Sold RPS that is resource specific, revenue </w:t>
      </w:r>
      <w:r w:rsidR="00F5713C" w:rsidRPr="004C0BFE">
        <w:t>is</w:t>
      </w:r>
      <w:r w:rsidRPr="004C0BFE">
        <w:t xml:space="preserve"> allocated in the forecast to the corresponding resource specific vintage and recorded in the true</w:t>
      </w:r>
      <w:r w:rsidR="00FB3A2A" w:rsidRPr="004C0BFE">
        <w:t xml:space="preserve"> </w:t>
      </w:r>
      <w:r w:rsidRPr="004C0BFE">
        <w:t xml:space="preserve">up to </w:t>
      </w:r>
      <w:r w:rsidR="0017549A" w:rsidRPr="004C0BFE">
        <w:t xml:space="preserve">the </w:t>
      </w:r>
      <w:r w:rsidRPr="004C0BFE">
        <w:t>corresponding resource specific PABA vintage subaccount.</w:t>
      </w:r>
    </w:p>
    <w:p w14:paraId="73E6D6B3" w14:textId="10C5874B" w:rsidR="00DC2DA6" w:rsidRPr="004C0BFE" w:rsidRDefault="00DC2DA6" w:rsidP="00DC2DA6">
      <w:pPr>
        <w:pStyle w:val="Standard"/>
      </w:pPr>
      <w:r w:rsidRPr="004C0BFE">
        <w:t xml:space="preserve">2. For revenue from Forecast Sold RPS and Actual Sold RPS that is not resource specific, revenue </w:t>
      </w:r>
      <w:r w:rsidR="00F5713C" w:rsidRPr="004C0BFE">
        <w:t>is</w:t>
      </w:r>
      <w:r w:rsidRPr="004C0BFE">
        <w:t xml:space="preserve"> allocated</w:t>
      </w:r>
      <w:r w:rsidR="00B45B7E" w:rsidRPr="004C0BFE">
        <w:t xml:space="preserve"> </w:t>
      </w:r>
      <w:r w:rsidRPr="004C0BFE">
        <w:t>in the forecast and recorded in the true</w:t>
      </w:r>
      <w:r w:rsidR="00FB3A2A" w:rsidRPr="004C0BFE">
        <w:t xml:space="preserve"> </w:t>
      </w:r>
      <w:r w:rsidRPr="004C0BFE">
        <w:t xml:space="preserve">up to the PABA vintage subaccounts on a </w:t>
      </w:r>
      <w:r w:rsidR="000339C9" w:rsidRPr="004C0BFE">
        <w:t>p</w:t>
      </w:r>
      <w:r w:rsidRPr="004C0BFE">
        <w:t xml:space="preserve">ro </w:t>
      </w:r>
      <w:r w:rsidR="000339C9" w:rsidRPr="004C0BFE">
        <w:t>r</w:t>
      </w:r>
      <w:r w:rsidRPr="004C0BFE">
        <w:t>ata basis.</w:t>
      </w:r>
      <w:r w:rsidR="00874755">
        <w:rPr>
          <w:rStyle w:val="FootnoteReference"/>
        </w:rPr>
        <w:footnoteReference w:id="24"/>
      </w:r>
    </w:p>
    <w:p w14:paraId="00EFE59B" w14:textId="6AC756C7" w:rsidR="00DC2DA6" w:rsidRPr="004C0BFE" w:rsidRDefault="00DC2DA6" w:rsidP="00DC2DA6">
      <w:pPr>
        <w:pStyle w:val="Standard"/>
      </w:pPr>
      <w:r w:rsidRPr="004C0BFE">
        <w:t>3. For Forecast Retained RPS and Actual Retained RPS</w:t>
      </w:r>
      <w:r w:rsidR="00F5713C" w:rsidRPr="004C0BFE">
        <w:t xml:space="preserve">, the value is imputed market value based on the RPS Adder rather than revenue. The </w:t>
      </w:r>
      <w:r w:rsidRPr="004C0BFE">
        <w:t xml:space="preserve"> imputed revenue </w:t>
      </w:r>
      <w:r w:rsidR="00F5713C" w:rsidRPr="004C0BFE">
        <w:t>is</w:t>
      </w:r>
      <w:r w:rsidRPr="004C0BFE">
        <w:t xml:space="preserve"> allocated pro rata in the forecast and recorded in the true</w:t>
      </w:r>
      <w:r w:rsidR="00FB3A2A" w:rsidRPr="004C0BFE">
        <w:t xml:space="preserve"> </w:t>
      </w:r>
      <w:r w:rsidRPr="004C0BFE">
        <w:t>up to the PABA vintage subaccounts on a pro rata basis.</w:t>
      </w:r>
    </w:p>
    <w:p w14:paraId="0B0277C6" w14:textId="61D3ADF5" w:rsidR="00844D9B" w:rsidRPr="004C0BFE" w:rsidRDefault="00844D9B" w:rsidP="00DC2DA6">
      <w:pPr>
        <w:pStyle w:val="Standard"/>
      </w:pPr>
      <w:r w:rsidRPr="004C0BFE">
        <w:t>There is disagreement between the co-chairs on the quantity and price of Actual Unsold RPS.</w:t>
      </w:r>
      <w:r w:rsidR="00631FB0" w:rsidRPr="004C0BFE">
        <w:t xml:space="preserve"> </w:t>
      </w:r>
      <w:r w:rsidRPr="004C0BFE">
        <w:t xml:space="preserve"> According to PG&amp;E, unsold RPS quantity should be determined in the following manner: Each IOU</w:t>
      </w:r>
      <w:r w:rsidR="00A0550C" w:rsidRPr="004C0BFE">
        <w:t xml:space="preserve"> </w:t>
      </w:r>
      <w:r w:rsidRPr="004C0BFE">
        <w:t>identif</w:t>
      </w:r>
      <w:r w:rsidR="00A0550C" w:rsidRPr="004C0BFE">
        <w:t>ies</w:t>
      </w:r>
      <w:r w:rsidRPr="004C0BFE">
        <w:t xml:space="preserve"> the RPS resources offered for sale to an IE</w:t>
      </w:r>
      <w:r w:rsidRPr="004C0BFE">
        <w:rPr>
          <w:rStyle w:val="FootnoteReference"/>
        </w:rPr>
        <w:footnoteReference w:id="25"/>
      </w:r>
      <w:r w:rsidRPr="004C0BFE">
        <w:t xml:space="preserve"> and its PRG</w:t>
      </w:r>
      <w:r w:rsidRPr="004C0BFE">
        <w:rPr>
          <w:rStyle w:val="FootnoteReference"/>
        </w:rPr>
        <w:footnoteReference w:id="26"/>
      </w:r>
      <w:r w:rsidRPr="004C0BFE">
        <w:t xml:space="preserve"> in advance of when bids are due and document</w:t>
      </w:r>
      <w:r w:rsidR="00A0550C" w:rsidRPr="004C0BFE">
        <w:t>s</w:t>
      </w:r>
      <w:r w:rsidRPr="004C0BFE">
        <w:t xml:space="preserve"> the quantity offered in the Advice Letter seeking approval of transactions resulting from the solicitation. </w:t>
      </w:r>
      <w:r w:rsidR="005F70C6" w:rsidRPr="004C0BFE">
        <w:t xml:space="preserve"> </w:t>
      </w:r>
      <w:r w:rsidRPr="004C0BFE">
        <w:t xml:space="preserve">The RPS </w:t>
      </w:r>
      <w:r w:rsidR="00A0550C" w:rsidRPr="004C0BFE">
        <w:t xml:space="preserve">resources </w:t>
      </w:r>
      <w:r w:rsidRPr="004C0BFE">
        <w:t xml:space="preserve">offered for sale </w:t>
      </w:r>
      <w:r w:rsidR="00A0550C" w:rsidRPr="004C0BFE">
        <w:t>are</w:t>
      </w:r>
      <w:r w:rsidRPr="004C0BFE">
        <w:t xml:space="preserve"> consistent with the RPS Plan, </w:t>
      </w:r>
      <w:r w:rsidR="00874755">
        <w:t xml:space="preserve">as may be modified or supplemented through Commission-approved filings, each of </w:t>
      </w:r>
      <w:r w:rsidRPr="004C0BFE">
        <w:t xml:space="preserve">which is reviewed and approved by the </w:t>
      </w:r>
      <w:r w:rsidRPr="004C0BFE">
        <w:lastRenderedPageBreak/>
        <w:t xml:space="preserve">Commission with opportunity for stakeholder participation. </w:t>
      </w:r>
      <w:r w:rsidR="005F70C6" w:rsidRPr="004C0BFE">
        <w:t xml:space="preserve"> </w:t>
      </w:r>
      <w:r w:rsidRPr="004C0BFE">
        <w:t>Any of the offered quantity that is not sold w</w:t>
      </w:r>
      <w:r w:rsidR="00A0550C" w:rsidRPr="004C0BFE">
        <w:t>ill</w:t>
      </w:r>
      <w:r w:rsidRPr="004C0BFE">
        <w:t xml:space="preserve"> be considered as Actual Unsold RPS and should not be assigned credit in PABA until the value of the RPS product, if any, is known.</w:t>
      </w:r>
      <w:r w:rsidR="005F70C6" w:rsidRPr="004C0BFE">
        <w:t xml:space="preserve"> </w:t>
      </w:r>
      <w:r w:rsidRPr="004C0BFE">
        <w:t xml:space="preserve"> If previously unsold RPS is sold in a future year, it should be valued at the actual transacted price.</w:t>
      </w:r>
      <w:r w:rsidR="005F70C6" w:rsidRPr="004C0BFE">
        <w:t xml:space="preserve"> </w:t>
      </w:r>
      <w:r w:rsidRPr="004C0BFE">
        <w:t xml:space="preserve"> If previously unsold RPS is used by the IOU for compliance in a future year, it should be valued at the applicable future year’s RPS Adder.</w:t>
      </w:r>
      <w:r w:rsidR="005F70C6" w:rsidRPr="004C0BFE">
        <w:t xml:space="preserve"> </w:t>
      </w:r>
      <w:r w:rsidRPr="004C0BFE">
        <w:t xml:space="preserve"> If Unsold RPS is never used, it should not be assigned credit. </w:t>
      </w:r>
    </w:p>
    <w:p w14:paraId="0E8234BF" w14:textId="77777777" w:rsidR="00603026" w:rsidRPr="004C0BFE" w:rsidRDefault="00844D9B" w:rsidP="005F70C6">
      <w:pPr>
        <w:pStyle w:val="Standard"/>
      </w:pPr>
      <w:r w:rsidRPr="004C0BFE">
        <w:t xml:space="preserve">In disagreement, CalCCA proposes using only two categories of RPS, </w:t>
      </w:r>
      <w:r w:rsidR="0017549A" w:rsidRPr="004C0BFE">
        <w:t>R</w:t>
      </w:r>
      <w:r w:rsidRPr="004C0BFE">
        <w:t xml:space="preserve">etained and </w:t>
      </w:r>
      <w:r w:rsidR="0017549A" w:rsidRPr="004C0BFE">
        <w:t>S</w:t>
      </w:r>
      <w:r w:rsidRPr="004C0BFE">
        <w:t xml:space="preserve">old RPS, which </w:t>
      </w:r>
      <w:r w:rsidR="00A0550C" w:rsidRPr="004C0BFE">
        <w:t>do</w:t>
      </w:r>
      <w:r w:rsidRPr="004C0BFE">
        <w:t xml:space="preserve"> not require determining when RPS attributes are “unsold.”  According to CalCCA, Unsold RPS product should be valued at the benchmark.</w:t>
      </w:r>
      <w:r w:rsidR="005F70C6" w:rsidRPr="004C0BFE">
        <w:t xml:space="preserve"> </w:t>
      </w:r>
      <w:r w:rsidRPr="004C0BFE">
        <w:t xml:space="preserve"> CalCCA argues that all retained RPS should be treated equally, regardless of the reason for retention, including any “unsold” RPS. </w:t>
      </w:r>
      <w:r w:rsidR="0017549A" w:rsidRPr="004C0BFE">
        <w:t>According to CalCCA, t</w:t>
      </w:r>
      <w:r w:rsidRPr="004C0BFE">
        <w:t xml:space="preserve">his approach (1) avoids disputes over the adequacy of IOU sales efforts, which is currently under consideration in Working Group Three; and </w:t>
      </w:r>
    </w:p>
    <w:p w14:paraId="78B99276" w14:textId="73EE0D54" w:rsidR="00844D9B" w:rsidRPr="004C0BFE" w:rsidRDefault="00844D9B" w:rsidP="00603026">
      <w:pPr>
        <w:pStyle w:val="Standard"/>
        <w:ind w:firstLine="0"/>
      </w:pPr>
      <w:r w:rsidRPr="004C0BFE">
        <w:t xml:space="preserve">(2) it is administratively simple to implement. </w:t>
      </w:r>
      <w:r w:rsidR="005F70C6" w:rsidRPr="004C0BFE">
        <w:t xml:space="preserve"> </w:t>
      </w:r>
      <w:r w:rsidRPr="004C0BFE">
        <w:t xml:space="preserve">CalCCA asserts that, under PG&amp;E’s proposal, the lag between REC creation and PABA credit, if any, will be long, and uncertain. </w:t>
      </w:r>
      <w:r w:rsidR="005F70C6" w:rsidRPr="004C0BFE">
        <w:t xml:space="preserve"> </w:t>
      </w:r>
      <w:r w:rsidRPr="004C0BFE">
        <w:t xml:space="preserve">During that period, such “unsold” RPS would receive no value for PCIA purposes, thereby inflating the PCIA rate.  </w:t>
      </w:r>
    </w:p>
    <w:p w14:paraId="23490877" w14:textId="6BC32B25" w:rsidR="00844D9B" w:rsidRPr="004C0BFE" w:rsidRDefault="00844D9B" w:rsidP="001F179F">
      <w:pPr>
        <w:pStyle w:val="Standard"/>
      </w:pPr>
      <w:r w:rsidRPr="004C0BFE">
        <w:rPr>
          <w:i/>
          <w:iCs/>
        </w:rPr>
        <w:t xml:space="preserve">RA </w:t>
      </w:r>
      <w:r w:rsidR="002C54AA" w:rsidRPr="004C0BFE">
        <w:rPr>
          <w:i/>
          <w:iCs/>
        </w:rPr>
        <w:t>Value</w:t>
      </w:r>
      <w:r w:rsidRPr="004C0BFE">
        <w:rPr>
          <w:i/>
          <w:iCs/>
        </w:rPr>
        <w:t xml:space="preserve"> True</w:t>
      </w:r>
      <w:r w:rsidR="00FB3A2A" w:rsidRPr="004C0BFE">
        <w:rPr>
          <w:i/>
          <w:iCs/>
        </w:rPr>
        <w:t xml:space="preserve"> U</w:t>
      </w:r>
      <w:r w:rsidRPr="004C0BFE">
        <w:rPr>
          <w:i/>
          <w:iCs/>
        </w:rPr>
        <w:t>p</w:t>
      </w:r>
      <w:r w:rsidRPr="004C0BFE">
        <w:t xml:space="preserve">:  Actual RA </w:t>
      </w:r>
      <w:r w:rsidR="00E33898" w:rsidRPr="004C0BFE">
        <w:t>V</w:t>
      </w:r>
      <w:r w:rsidRPr="004C0BFE">
        <w:t xml:space="preserve">alue </w:t>
      </w:r>
      <w:r w:rsidR="00E33898" w:rsidRPr="004C0BFE">
        <w:t>is</w:t>
      </w:r>
      <w:r w:rsidRPr="004C0BFE">
        <w:t xml:space="preserve"> calculated for Actual Retained RA, Actual Sold RA, and Actual Unsold RA products using the prices and quantities listed in Table V within the PCIA-eligible portfolio. As indicated, co-chairs disagree about the definition and valuation of unsold RA. </w:t>
      </w:r>
    </w:p>
    <w:p w14:paraId="43D68456" w14:textId="76EAAB6E" w:rsidR="00844D9B" w:rsidRPr="004C0BFE" w:rsidRDefault="00844D9B" w:rsidP="00DF56B7">
      <w:pPr>
        <w:pStyle w:val="ALJBodyText"/>
        <w:keepNext/>
        <w:keepLines/>
        <w:ind w:left="1440" w:firstLine="0"/>
        <w:jc w:val="center"/>
        <w:rPr>
          <w:b/>
          <w:bCs/>
        </w:rPr>
      </w:pPr>
      <w:r w:rsidRPr="004C0BFE">
        <w:rPr>
          <w:b/>
          <w:bCs/>
        </w:rPr>
        <w:lastRenderedPageBreak/>
        <w:t>Table V: RA True</w:t>
      </w:r>
      <w:r w:rsidR="00FB3A2A" w:rsidRPr="004C0BFE">
        <w:rPr>
          <w:b/>
          <w:bCs/>
        </w:rPr>
        <w:t xml:space="preserve"> </w:t>
      </w:r>
      <w:r w:rsidRPr="004C0BFE">
        <w:rPr>
          <w:b/>
          <w:bCs/>
        </w:rPr>
        <w:t>Up</w:t>
      </w:r>
    </w:p>
    <w:tbl>
      <w:tblPr>
        <w:tblStyle w:val="TableGrid"/>
        <w:tblW w:w="0" w:type="auto"/>
        <w:jc w:val="center"/>
        <w:tblLook w:val="04A0" w:firstRow="1" w:lastRow="0" w:firstColumn="1" w:lastColumn="0" w:noHBand="0" w:noVBand="1"/>
      </w:tblPr>
      <w:tblGrid>
        <w:gridCol w:w="3116"/>
        <w:gridCol w:w="3117"/>
        <w:gridCol w:w="3117"/>
      </w:tblGrid>
      <w:tr w:rsidR="00844D9B" w14:paraId="7B7B9024" w14:textId="77777777" w:rsidTr="00187B5E">
        <w:trPr>
          <w:jc w:val="center"/>
        </w:trPr>
        <w:tc>
          <w:tcPr>
            <w:tcW w:w="3116" w:type="dxa"/>
          </w:tcPr>
          <w:p w14:paraId="179FBF8C" w14:textId="77777777" w:rsidR="00844D9B" w:rsidRPr="00ED6D44" w:rsidRDefault="00844D9B" w:rsidP="00DF56B7">
            <w:pPr>
              <w:pStyle w:val="ALJBodyText"/>
              <w:keepNext/>
              <w:keepLines/>
              <w:spacing w:after="120" w:line="240" w:lineRule="auto"/>
              <w:ind w:firstLine="0"/>
              <w:rPr>
                <w:rFonts w:ascii="Arial" w:hAnsi="Arial" w:cs="Arial"/>
                <w:b/>
                <w:bCs/>
                <w:sz w:val="24"/>
                <w:szCs w:val="24"/>
              </w:rPr>
            </w:pPr>
          </w:p>
        </w:tc>
        <w:tc>
          <w:tcPr>
            <w:tcW w:w="3117" w:type="dxa"/>
          </w:tcPr>
          <w:p w14:paraId="66840B57" w14:textId="77777777" w:rsidR="00844D9B" w:rsidRPr="00ED6D44" w:rsidRDefault="00844D9B" w:rsidP="00DF56B7">
            <w:pPr>
              <w:pStyle w:val="ALJBodyText"/>
              <w:keepNext/>
              <w:keepLines/>
              <w:spacing w:after="120" w:line="240" w:lineRule="auto"/>
              <w:ind w:firstLine="0"/>
              <w:rPr>
                <w:rFonts w:ascii="Arial" w:hAnsi="Arial" w:cs="Arial"/>
                <w:b/>
                <w:bCs/>
                <w:sz w:val="24"/>
                <w:szCs w:val="24"/>
              </w:rPr>
            </w:pPr>
            <w:r w:rsidRPr="00ED6D44">
              <w:rPr>
                <w:rFonts w:ascii="Arial" w:hAnsi="Arial" w:cs="Arial"/>
                <w:b/>
                <w:bCs/>
                <w:sz w:val="24"/>
                <w:szCs w:val="24"/>
              </w:rPr>
              <w:t>Price</w:t>
            </w:r>
          </w:p>
        </w:tc>
        <w:tc>
          <w:tcPr>
            <w:tcW w:w="3117" w:type="dxa"/>
          </w:tcPr>
          <w:p w14:paraId="72B3EC42" w14:textId="77777777" w:rsidR="00844D9B" w:rsidRPr="00ED6D44" w:rsidRDefault="00844D9B" w:rsidP="00DF56B7">
            <w:pPr>
              <w:pStyle w:val="ALJBodyText"/>
              <w:keepNext/>
              <w:keepLines/>
              <w:spacing w:after="120" w:line="240" w:lineRule="auto"/>
              <w:ind w:firstLine="0"/>
              <w:rPr>
                <w:rFonts w:ascii="Arial" w:hAnsi="Arial" w:cs="Arial"/>
                <w:b/>
                <w:bCs/>
                <w:sz w:val="24"/>
                <w:szCs w:val="24"/>
              </w:rPr>
            </w:pPr>
            <w:r w:rsidRPr="00ED6D44">
              <w:rPr>
                <w:rFonts w:ascii="Arial" w:hAnsi="Arial" w:cs="Arial"/>
                <w:b/>
                <w:bCs/>
                <w:sz w:val="24"/>
                <w:szCs w:val="24"/>
              </w:rPr>
              <w:t>Quantity</w:t>
            </w:r>
          </w:p>
        </w:tc>
      </w:tr>
      <w:tr w:rsidR="00844D9B" w14:paraId="0A264130" w14:textId="77777777" w:rsidTr="00187B5E">
        <w:trPr>
          <w:jc w:val="center"/>
        </w:trPr>
        <w:tc>
          <w:tcPr>
            <w:tcW w:w="3116" w:type="dxa"/>
          </w:tcPr>
          <w:p w14:paraId="4E55B222" w14:textId="77777777" w:rsidR="00844D9B" w:rsidRPr="004C0BFE" w:rsidRDefault="00844D9B" w:rsidP="00DF56B7">
            <w:pPr>
              <w:pStyle w:val="ALJBodyText"/>
              <w:keepNext/>
              <w:keepLines/>
              <w:spacing w:after="120" w:line="240" w:lineRule="auto"/>
              <w:ind w:firstLine="0"/>
              <w:rPr>
                <w:sz w:val="24"/>
                <w:szCs w:val="24"/>
              </w:rPr>
            </w:pPr>
            <w:r w:rsidRPr="004C0BFE">
              <w:rPr>
                <w:sz w:val="24"/>
                <w:szCs w:val="24"/>
              </w:rPr>
              <w:t>Actual Retained RA</w:t>
            </w:r>
          </w:p>
          <w:p w14:paraId="489FA256" w14:textId="77777777" w:rsidR="00844D9B" w:rsidRPr="00ED6D44" w:rsidRDefault="00844D9B" w:rsidP="00DF56B7">
            <w:pPr>
              <w:pStyle w:val="ALJBodyText"/>
              <w:keepNext/>
              <w:keepLines/>
              <w:spacing w:after="120" w:line="240" w:lineRule="auto"/>
              <w:ind w:firstLine="0"/>
              <w:rPr>
                <w:sz w:val="24"/>
                <w:szCs w:val="24"/>
              </w:rPr>
            </w:pPr>
            <w:r w:rsidRPr="004C0BFE">
              <w:rPr>
                <w:sz w:val="24"/>
                <w:szCs w:val="24"/>
              </w:rPr>
              <w:t>(Not offered into the market; kept by the IOU for compliance)</w:t>
            </w:r>
          </w:p>
        </w:tc>
        <w:tc>
          <w:tcPr>
            <w:tcW w:w="3117" w:type="dxa"/>
          </w:tcPr>
          <w:p w14:paraId="2F238ADF" w14:textId="77777777" w:rsidR="00844D9B" w:rsidRPr="00ED6D44" w:rsidRDefault="00844D9B" w:rsidP="00DF56B7">
            <w:pPr>
              <w:pStyle w:val="ALJBodyText"/>
              <w:keepNext/>
              <w:keepLines/>
              <w:spacing w:after="120" w:line="240" w:lineRule="auto"/>
              <w:ind w:firstLine="0"/>
              <w:rPr>
                <w:sz w:val="24"/>
                <w:szCs w:val="24"/>
              </w:rPr>
            </w:pPr>
            <w:r w:rsidRPr="004C0BFE">
              <w:rPr>
                <w:sz w:val="24"/>
                <w:szCs w:val="24"/>
              </w:rPr>
              <w:t>Final RA Adder, as calculated by Staff</w:t>
            </w:r>
          </w:p>
        </w:tc>
        <w:tc>
          <w:tcPr>
            <w:tcW w:w="3117" w:type="dxa"/>
          </w:tcPr>
          <w:p w14:paraId="01934763" w14:textId="77777777" w:rsidR="00844D9B" w:rsidRPr="00ED6D44" w:rsidRDefault="00844D9B" w:rsidP="00DF56B7">
            <w:pPr>
              <w:pStyle w:val="ALJBodyText"/>
              <w:keepNext/>
              <w:keepLines/>
              <w:spacing w:after="120" w:line="240" w:lineRule="auto"/>
              <w:ind w:firstLine="0"/>
              <w:rPr>
                <w:sz w:val="24"/>
                <w:szCs w:val="24"/>
              </w:rPr>
            </w:pPr>
            <w:r w:rsidRPr="004C0BFE">
              <w:rPr>
                <w:sz w:val="24"/>
                <w:szCs w:val="24"/>
              </w:rPr>
              <w:t>RA used for compliance and the amount retained for IOU use</w:t>
            </w:r>
          </w:p>
        </w:tc>
      </w:tr>
      <w:tr w:rsidR="00844D9B" w14:paraId="41653EBC" w14:textId="77777777" w:rsidTr="00187B5E">
        <w:trPr>
          <w:jc w:val="center"/>
        </w:trPr>
        <w:tc>
          <w:tcPr>
            <w:tcW w:w="3116" w:type="dxa"/>
          </w:tcPr>
          <w:p w14:paraId="789F85F5" w14:textId="77777777" w:rsidR="00844D9B" w:rsidRPr="004C0BFE" w:rsidRDefault="00844D9B" w:rsidP="00DF56B7">
            <w:pPr>
              <w:pStyle w:val="ALJBodyText"/>
              <w:keepNext/>
              <w:keepLines/>
              <w:spacing w:after="120" w:line="240" w:lineRule="auto"/>
              <w:ind w:firstLine="0"/>
              <w:rPr>
                <w:sz w:val="24"/>
                <w:szCs w:val="24"/>
              </w:rPr>
            </w:pPr>
            <w:r w:rsidRPr="004C0BFE">
              <w:rPr>
                <w:sz w:val="24"/>
                <w:szCs w:val="24"/>
              </w:rPr>
              <w:t>Actual Sold RA</w:t>
            </w:r>
          </w:p>
          <w:p w14:paraId="1AE30433" w14:textId="726AB873" w:rsidR="00844D9B" w:rsidRPr="00ED6D44" w:rsidRDefault="00844D9B" w:rsidP="00DF56B7">
            <w:pPr>
              <w:pStyle w:val="ALJBodyText"/>
              <w:keepNext/>
              <w:keepLines/>
              <w:spacing w:after="120" w:line="240" w:lineRule="auto"/>
              <w:ind w:firstLine="0"/>
              <w:rPr>
                <w:sz w:val="24"/>
                <w:szCs w:val="24"/>
              </w:rPr>
            </w:pPr>
          </w:p>
        </w:tc>
        <w:tc>
          <w:tcPr>
            <w:tcW w:w="3117" w:type="dxa"/>
          </w:tcPr>
          <w:p w14:paraId="1224E1E3" w14:textId="77777777" w:rsidR="00844D9B" w:rsidRPr="00ED6D44" w:rsidRDefault="00844D9B" w:rsidP="00DF56B7">
            <w:pPr>
              <w:pStyle w:val="ALJBodyText"/>
              <w:keepNext/>
              <w:keepLines/>
              <w:spacing w:after="120" w:line="240" w:lineRule="auto"/>
              <w:ind w:firstLine="0"/>
              <w:rPr>
                <w:sz w:val="24"/>
                <w:szCs w:val="24"/>
              </w:rPr>
            </w:pPr>
            <w:r w:rsidRPr="004C0BFE">
              <w:rPr>
                <w:sz w:val="24"/>
                <w:szCs w:val="24"/>
              </w:rPr>
              <w:t xml:space="preserve">Actual transacted price </w:t>
            </w:r>
          </w:p>
        </w:tc>
        <w:tc>
          <w:tcPr>
            <w:tcW w:w="3117" w:type="dxa"/>
          </w:tcPr>
          <w:p w14:paraId="2BFA6E46" w14:textId="77777777" w:rsidR="00844D9B" w:rsidRPr="00ED6D44" w:rsidRDefault="00844D9B" w:rsidP="00DF56B7">
            <w:pPr>
              <w:pStyle w:val="ALJBodyText"/>
              <w:keepNext/>
              <w:keepLines/>
              <w:spacing w:after="120" w:line="240" w:lineRule="auto"/>
              <w:ind w:firstLine="0"/>
              <w:rPr>
                <w:sz w:val="24"/>
                <w:szCs w:val="24"/>
              </w:rPr>
            </w:pPr>
            <w:r w:rsidRPr="004C0BFE">
              <w:rPr>
                <w:sz w:val="24"/>
                <w:szCs w:val="24"/>
              </w:rPr>
              <w:t>Actual transacted volume</w:t>
            </w:r>
          </w:p>
        </w:tc>
      </w:tr>
      <w:tr w:rsidR="00844D9B" w:rsidRPr="004C0BFE" w14:paraId="26E27D08" w14:textId="77777777" w:rsidTr="00187B5E">
        <w:trPr>
          <w:jc w:val="center"/>
        </w:trPr>
        <w:tc>
          <w:tcPr>
            <w:tcW w:w="3116" w:type="dxa"/>
          </w:tcPr>
          <w:p w14:paraId="64247AD3" w14:textId="77777777" w:rsidR="00844D9B" w:rsidRPr="004C0BFE" w:rsidRDefault="00844D9B" w:rsidP="00187B5E">
            <w:pPr>
              <w:pStyle w:val="ALJBodyText"/>
              <w:spacing w:after="120" w:line="240" w:lineRule="auto"/>
              <w:ind w:firstLine="0"/>
              <w:rPr>
                <w:sz w:val="24"/>
                <w:szCs w:val="24"/>
              </w:rPr>
            </w:pPr>
            <w:r w:rsidRPr="004C0BFE">
              <w:rPr>
                <w:sz w:val="24"/>
                <w:szCs w:val="24"/>
              </w:rPr>
              <w:t>Actual Unsold RA</w:t>
            </w:r>
          </w:p>
          <w:p w14:paraId="6688EA42" w14:textId="033302C0" w:rsidR="00844D9B" w:rsidRPr="00ED6D44" w:rsidRDefault="00844D9B" w:rsidP="00187B5E">
            <w:pPr>
              <w:pStyle w:val="ALJBodyText"/>
              <w:spacing w:after="120" w:line="240" w:lineRule="auto"/>
              <w:ind w:firstLine="0"/>
              <w:rPr>
                <w:sz w:val="24"/>
                <w:szCs w:val="24"/>
              </w:rPr>
            </w:pPr>
          </w:p>
        </w:tc>
        <w:tc>
          <w:tcPr>
            <w:tcW w:w="3117" w:type="dxa"/>
          </w:tcPr>
          <w:p w14:paraId="2D8FDE9D" w14:textId="77777777" w:rsidR="00844D9B" w:rsidRPr="004C0BFE" w:rsidRDefault="00844D9B" w:rsidP="00187B5E">
            <w:pPr>
              <w:pStyle w:val="ALJBodyText"/>
              <w:spacing w:after="120" w:line="240" w:lineRule="auto"/>
              <w:ind w:firstLine="0"/>
              <w:rPr>
                <w:sz w:val="24"/>
                <w:szCs w:val="24"/>
              </w:rPr>
            </w:pPr>
            <w:r w:rsidRPr="004C0BFE">
              <w:rPr>
                <w:sz w:val="24"/>
                <w:szCs w:val="24"/>
              </w:rPr>
              <w:t>PG&amp;E’s proposal: $0</w:t>
            </w:r>
          </w:p>
          <w:p w14:paraId="035BF173" w14:textId="77777777" w:rsidR="00844D9B" w:rsidRPr="004C0BFE" w:rsidRDefault="00844D9B" w:rsidP="00187B5E">
            <w:pPr>
              <w:pStyle w:val="ALJBodyText"/>
              <w:spacing w:after="120" w:line="240" w:lineRule="auto"/>
              <w:ind w:firstLine="0"/>
              <w:rPr>
                <w:sz w:val="24"/>
                <w:szCs w:val="24"/>
              </w:rPr>
            </w:pPr>
          </w:p>
          <w:p w14:paraId="794A7608" w14:textId="77777777" w:rsidR="00844D9B" w:rsidRPr="00ED6D44" w:rsidRDefault="00844D9B" w:rsidP="00187B5E">
            <w:pPr>
              <w:pStyle w:val="ALJBodyText"/>
              <w:spacing w:after="120" w:line="240" w:lineRule="auto"/>
              <w:ind w:firstLine="0"/>
              <w:rPr>
                <w:sz w:val="24"/>
                <w:szCs w:val="24"/>
              </w:rPr>
            </w:pPr>
            <w:r w:rsidRPr="004C0BFE">
              <w:rPr>
                <w:sz w:val="24"/>
                <w:szCs w:val="24"/>
              </w:rPr>
              <w:t>CalCCA’s proposal: Price floor used in the solicitation, if any; otherwise, $0.</w:t>
            </w:r>
          </w:p>
        </w:tc>
        <w:tc>
          <w:tcPr>
            <w:tcW w:w="3117" w:type="dxa"/>
          </w:tcPr>
          <w:p w14:paraId="389F0605" w14:textId="77777777" w:rsidR="00844D9B" w:rsidRPr="004C0BFE" w:rsidRDefault="00844D9B" w:rsidP="00187B5E">
            <w:pPr>
              <w:pStyle w:val="ALJBodyText"/>
              <w:spacing w:after="120" w:line="240" w:lineRule="auto"/>
              <w:ind w:firstLine="0"/>
              <w:rPr>
                <w:sz w:val="24"/>
                <w:szCs w:val="24"/>
              </w:rPr>
            </w:pPr>
            <w:r w:rsidRPr="004C0BFE">
              <w:rPr>
                <w:sz w:val="24"/>
                <w:szCs w:val="24"/>
              </w:rPr>
              <w:t>PG&amp;E’s proposal: Quantity offered for sale but not sold or used by IOU</w:t>
            </w:r>
          </w:p>
          <w:p w14:paraId="47B6C40F" w14:textId="77777777" w:rsidR="00844D9B" w:rsidRPr="004C0BFE" w:rsidRDefault="00844D9B" w:rsidP="00187B5E">
            <w:pPr>
              <w:pStyle w:val="ALJBodyText"/>
              <w:spacing w:after="120" w:line="240" w:lineRule="auto"/>
              <w:ind w:firstLine="0"/>
              <w:rPr>
                <w:sz w:val="24"/>
                <w:szCs w:val="24"/>
              </w:rPr>
            </w:pPr>
          </w:p>
          <w:p w14:paraId="498C4FE9" w14:textId="77777777" w:rsidR="00844D9B" w:rsidRPr="004C0BFE" w:rsidRDefault="00844D9B" w:rsidP="00187B5E">
            <w:pPr>
              <w:pStyle w:val="ALJBodyText"/>
              <w:spacing w:after="120" w:line="240" w:lineRule="auto"/>
              <w:ind w:firstLine="0"/>
              <w:rPr>
                <w:sz w:val="24"/>
                <w:szCs w:val="24"/>
              </w:rPr>
            </w:pPr>
            <w:r w:rsidRPr="004C0BFE">
              <w:rPr>
                <w:sz w:val="24"/>
                <w:szCs w:val="24"/>
              </w:rPr>
              <w:t>CalCCA’s proposal: Quantity offered for sale by the end of August preceding the compliance deadline for the relevant year</w:t>
            </w:r>
          </w:p>
        </w:tc>
      </w:tr>
    </w:tbl>
    <w:p w14:paraId="59E35826" w14:textId="77777777" w:rsidR="00844D9B" w:rsidRPr="004C0BFE" w:rsidRDefault="00844D9B" w:rsidP="00844D9B">
      <w:pPr>
        <w:pStyle w:val="ALJBodyText"/>
        <w:ind w:left="1440" w:firstLine="0"/>
        <w:rPr>
          <w:sz w:val="6"/>
          <w:szCs w:val="6"/>
        </w:rPr>
      </w:pPr>
    </w:p>
    <w:p w14:paraId="01B98525" w14:textId="1D39FC52" w:rsidR="00844D9B" w:rsidRPr="004C0BFE" w:rsidRDefault="00844D9B" w:rsidP="00D15204">
      <w:pPr>
        <w:pStyle w:val="Standard"/>
      </w:pPr>
      <w:r w:rsidRPr="004C0BFE">
        <w:t xml:space="preserve">For each type of RA Adder, Staff calculate and publish the final RA </w:t>
      </w:r>
      <w:r w:rsidR="00192EA5" w:rsidRPr="004C0BFE">
        <w:t>A</w:t>
      </w:r>
      <w:r w:rsidRPr="004C0BFE">
        <w:t xml:space="preserve">dders for year n at the beginning of November of year n. </w:t>
      </w:r>
      <w:r w:rsidR="00D15204" w:rsidRPr="004C0BFE">
        <w:t xml:space="preserve"> </w:t>
      </w:r>
      <w:r w:rsidRPr="004C0BFE">
        <w:t xml:space="preserve">The method for calculating final RA </w:t>
      </w:r>
      <w:r w:rsidR="00192EA5" w:rsidRPr="004C0BFE">
        <w:t>A</w:t>
      </w:r>
      <w:r w:rsidRPr="004C0BFE">
        <w:t xml:space="preserve">dder for system and flexible RA </w:t>
      </w:r>
      <w:r w:rsidR="00DD1E19" w:rsidRPr="004C0BFE">
        <w:t>is</w:t>
      </w:r>
      <w:r w:rsidRPr="004C0BFE">
        <w:t xml:space="preserve"> the same as for calculating forecast RA </w:t>
      </w:r>
      <w:r w:rsidR="00192EA5" w:rsidRPr="004C0BFE">
        <w:t>A</w:t>
      </w:r>
      <w:r w:rsidRPr="004C0BFE">
        <w:t xml:space="preserve">dder except that the transactions from Q4 of year (n-2) </w:t>
      </w:r>
      <w:r w:rsidR="00DD1E19" w:rsidRPr="004C0BFE">
        <w:t>are</w:t>
      </w:r>
      <w:r w:rsidRPr="004C0BFE">
        <w:t xml:space="preserve"> excluded and the data </w:t>
      </w:r>
      <w:r w:rsidR="00DD1E19" w:rsidRPr="004C0BFE">
        <w:t>is</w:t>
      </w:r>
      <w:r w:rsidRPr="004C0BFE">
        <w:t xml:space="preserve"> supplemented with transactions executed in Q4 of year (n-1) for delivery in year n and transactions executed in Q1-Q3 of year n for delivery in year n. </w:t>
      </w:r>
      <w:r w:rsidR="00D15204" w:rsidRPr="004C0BFE">
        <w:t xml:space="preserve"> </w:t>
      </w:r>
      <w:r w:rsidRPr="004C0BFE">
        <w:t>Another component of the co-chairs’ proposal is that, unless a central buyer structure for procuring RA is adopted, the true</w:t>
      </w:r>
      <w:r w:rsidR="00FB3A2A" w:rsidRPr="004C0BFE">
        <w:t xml:space="preserve"> </w:t>
      </w:r>
      <w:r w:rsidRPr="004C0BFE">
        <w:t xml:space="preserve">up of the RA Adder for Local RA </w:t>
      </w:r>
      <w:r w:rsidR="00DD1E19" w:rsidRPr="004C0BFE">
        <w:t>is</w:t>
      </w:r>
      <w:r w:rsidRPr="004C0BFE">
        <w:t xml:space="preserve"> based on the same data requirements as calculating the Forecast Adder for Local RA.</w:t>
      </w:r>
      <w:r w:rsidR="00D15204" w:rsidRPr="004C0BFE">
        <w:t xml:space="preserve"> </w:t>
      </w:r>
      <w:r w:rsidRPr="004C0BFE">
        <w:t xml:space="preserve"> The year-end over- or under-collection in the vintaged PABA subaccounts related to RA categories for year n is included in the vintaged PCIA rate calculation for year (n+1), as part of each utility’s ERRA Forecast proceeding. </w:t>
      </w:r>
    </w:p>
    <w:p w14:paraId="4535A007" w14:textId="6E688614" w:rsidR="00844D9B" w:rsidRPr="004C0BFE" w:rsidRDefault="00844D9B" w:rsidP="00844D9B">
      <w:pPr>
        <w:pStyle w:val="ALJBodyText"/>
      </w:pPr>
      <w:r w:rsidRPr="004C0BFE">
        <w:lastRenderedPageBreak/>
        <w:t xml:space="preserve">RA revenues </w:t>
      </w:r>
      <w:r w:rsidR="00192EA5" w:rsidRPr="004C0BFE">
        <w:t xml:space="preserve">for RA products that are sold </w:t>
      </w:r>
      <w:r w:rsidRPr="004C0BFE">
        <w:t xml:space="preserve">or imputed market values for RA </w:t>
      </w:r>
      <w:r w:rsidR="00192EA5" w:rsidRPr="004C0BFE">
        <w:t>products that are retained</w:t>
      </w:r>
      <w:r w:rsidRPr="004C0BFE">
        <w:t xml:space="preserve"> </w:t>
      </w:r>
      <w:r w:rsidR="00192EA5" w:rsidRPr="004C0BFE">
        <w:t>are</w:t>
      </w:r>
      <w:r w:rsidRPr="004C0BFE">
        <w:t xml:space="preserve"> allocated by vintage according to the methodologies and order described below:</w:t>
      </w:r>
    </w:p>
    <w:p w14:paraId="3549003E" w14:textId="24492C08" w:rsidR="00844D9B" w:rsidRPr="004C0BFE" w:rsidRDefault="00844D9B" w:rsidP="00136942">
      <w:pPr>
        <w:pStyle w:val="ALJBodyText"/>
        <w:tabs>
          <w:tab w:val="left" w:pos="1170"/>
        </w:tabs>
        <w:spacing w:after="120" w:line="240" w:lineRule="auto"/>
        <w:ind w:left="720" w:right="1440" w:firstLine="0"/>
      </w:pPr>
      <w:r w:rsidRPr="004C0BFE">
        <w:t xml:space="preserve">1. </w:t>
      </w:r>
      <w:r w:rsidR="00136942" w:rsidRPr="004C0BFE">
        <w:tab/>
      </w:r>
      <w:r w:rsidRPr="004C0BFE">
        <w:t xml:space="preserve">For revenue from Actual Sold RA that is resource specific, revenue </w:t>
      </w:r>
      <w:r w:rsidR="00192EA5" w:rsidRPr="004C0BFE">
        <w:t>is</w:t>
      </w:r>
      <w:r w:rsidRPr="004C0BFE">
        <w:t xml:space="preserve"> allocated in the forecast to the corresponding resource specific vintage and recorded in the true</w:t>
      </w:r>
      <w:r w:rsidR="00FB3A2A" w:rsidRPr="004C0BFE">
        <w:t xml:space="preserve"> </w:t>
      </w:r>
      <w:r w:rsidRPr="004C0BFE">
        <w:t>up to corresponding resource specific PABA vintage subaccount.</w:t>
      </w:r>
    </w:p>
    <w:p w14:paraId="4C9B10E1" w14:textId="000081A3" w:rsidR="00844D9B" w:rsidRPr="004C0BFE" w:rsidRDefault="00844D9B" w:rsidP="00136942">
      <w:pPr>
        <w:pStyle w:val="ALJBodyText"/>
        <w:tabs>
          <w:tab w:val="left" w:pos="1170"/>
        </w:tabs>
        <w:spacing w:after="120" w:line="240" w:lineRule="auto"/>
        <w:ind w:left="720" w:right="1440" w:firstLine="0"/>
      </w:pPr>
      <w:r w:rsidRPr="004C0BFE">
        <w:t xml:space="preserve">2. </w:t>
      </w:r>
      <w:r w:rsidR="00136942" w:rsidRPr="004C0BFE">
        <w:tab/>
      </w:r>
      <w:r w:rsidRPr="004C0BFE">
        <w:t xml:space="preserve">For revenue from Forecast Sold RA and Actual Sold RA that is not resource specific, revenue </w:t>
      </w:r>
      <w:r w:rsidR="00192EA5" w:rsidRPr="004C0BFE">
        <w:t>is</w:t>
      </w:r>
      <w:r w:rsidRPr="004C0BFE">
        <w:t xml:space="preserve"> allocated pro rata in the forecast and recorded in the true</w:t>
      </w:r>
      <w:r w:rsidR="00F74B18" w:rsidRPr="004C0BFE">
        <w:t xml:space="preserve"> </w:t>
      </w:r>
      <w:r w:rsidRPr="004C0BFE">
        <w:t xml:space="preserve">up to the PABA vintage subaccounts on a </w:t>
      </w:r>
      <w:r w:rsidR="00192EA5" w:rsidRPr="004C0BFE">
        <w:t>p</w:t>
      </w:r>
      <w:r w:rsidRPr="004C0BFE">
        <w:t xml:space="preserve">ro </w:t>
      </w:r>
      <w:r w:rsidR="00192EA5" w:rsidRPr="004C0BFE">
        <w:t>r</w:t>
      </w:r>
      <w:r w:rsidRPr="004C0BFE">
        <w:t>ata basis.</w:t>
      </w:r>
    </w:p>
    <w:p w14:paraId="73E37714" w14:textId="1A0EB514" w:rsidR="00844D9B" w:rsidRPr="004C0BFE" w:rsidRDefault="00844D9B" w:rsidP="00136942">
      <w:pPr>
        <w:pStyle w:val="ALJBodyText"/>
        <w:tabs>
          <w:tab w:val="left" w:pos="990"/>
          <w:tab w:val="left" w:pos="1170"/>
        </w:tabs>
        <w:spacing w:after="120" w:line="240" w:lineRule="auto"/>
        <w:ind w:left="720" w:right="1440" w:firstLine="0"/>
      </w:pPr>
      <w:r w:rsidRPr="004C0BFE">
        <w:t xml:space="preserve">3. </w:t>
      </w:r>
      <w:r w:rsidR="00136942" w:rsidRPr="004C0BFE">
        <w:tab/>
      </w:r>
      <w:r w:rsidR="00136942" w:rsidRPr="004C0BFE">
        <w:tab/>
      </w:r>
      <w:r w:rsidRPr="004C0BFE">
        <w:t xml:space="preserve">For Forecast Retained RA and Actual Retained RA imputed market value, the imputed market value </w:t>
      </w:r>
      <w:r w:rsidR="008B62A5" w:rsidRPr="004C0BFE">
        <w:t>is</w:t>
      </w:r>
      <w:r w:rsidRPr="004C0BFE">
        <w:t xml:space="preserve"> allocated pro rata in the forecast and recorded in the true</w:t>
      </w:r>
      <w:r w:rsidR="00FB3A2A" w:rsidRPr="004C0BFE">
        <w:t xml:space="preserve"> </w:t>
      </w:r>
      <w:r w:rsidRPr="004C0BFE">
        <w:t>up to the PABA vintage subaccounts on a pro rata basis.</w:t>
      </w:r>
    </w:p>
    <w:p w14:paraId="785C3751" w14:textId="232232EB" w:rsidR="00844D9B" w:rsidRPr="004C0BFE" w:rsidRDefault="00844D9B" w:rsidP="00136942">
      <w:pPr>
        <w:pStyle w:val="Standard"/>
      </w:pPr>
      <w:r w:rsidRPr="004C0BFE">
        <w:t xml:space="preserve">The pro rata allocation for RA </w:t>
      </w:r>
      <w:r w:rsidR="008B62A5" w:rsidRPr="004C0BFE">
        <w:t>is</w:t>
      </w:r>
      <w:r w:rsidRPr="004C0BFE">
        <w:t xml:space="preserve"> based on the quantity of RA MW for each type of RA (system, flexible, and local) in each vintage.</w:t>
      </w:r>
      <w:r w:rsidR="00354192" w:rsidRPr="004C0BFE">
        <w:t xml:space="preserve"> </w:t>
      </w:r>
      <w:r w:rsidRPr="004C0BFE">
        <w:t xml:space="preserve"> For example, if the 2009 vintage has 10 percent of the total system RA MWs in the PCIA portfolio, 10% of the revenues would be allocated to the 2009 vintage in the forecast and recorded to the 2009 PABA vintage subaccount in the true</w:t>
      </w:r>
      <w:r w:rsidR="00FB3A2A" w:rsidRPr="004C0BFE">
        <w:t xml:space="preserve"> </w:t>
      </w:r>
      <w:r w:rsidRPr="004C0BFE">
        <w:t>up.</w:t>
      </w:r>
    </w:p>
    <w:p w14:paraId="04C324C7" w14:textId="77777777" w:rsidR="00844D9B" w:rsidRDefault="00844D9B" w:rsidP="00844D9B">
      <w:pPr>
        <w:pStyle w:val="ALJHeading3"/>
      </w:pPr>
      <w:bookmarkStart w:id="48" w:name="_Toc16242527"/>
      <w:bookmarkStart w:id="49" w:name="_Toc17368172"/>
      <w:r>
        <w:t>Scoping Memo Issue 1: Party Comments</w:t>
      </w:r>
      <w:bookmarkEnd w:id="48"/>
      <w:bookmarkEnd w:id="49"/>
    </w:p>
    <w:p w14:paraId="4D668DA1" w14:textId="03E39762" w:rsidR="00844D9B" w:rsidRPr="004C0BFE" w:rsidRDefault="007711F5" w:rsidP="000B6C26">
      <w:pPr>
        <w:pStyle w:val="Standard"/>
      </w:pPr>
      <w:r w:rsidRPr="004C0BFE">
        <w:rPr>
          <w:i/>
          <w:iCs/>
        </w:rPr>
        <w:t>Energy Value</w:t>
      </w:r>
      <w:r w:rsidR="00844D9B" w:rsidRPr="004C0BFE">
        <w:rPr>
          <w:i/>
          <w:iCs/>
        </w:rPr>
        <w:t xml:space="preserve"> True</w:t>
      </w:r>
      <w:r w:rsidR="00FB3A2A" w:rsidRPr="004C0BFE">
        <w:rPr>
          <w:i/>
          <w:iCs/>
        </w:rPr>
        <w:t xml:space="preserve"> </w:t>
      </w:r>
      <w:r w:rsidR="00844D9B" w:rsidRPr="004C0BFE">
        <w:rPr>
          <w:i/>
          <w:iCs/>
        </w:rPr>
        <w:t>Up</w:t>
      </w:r>
      <w:r w:rsidR="00844D9B" w:rsidRPr="004C0BFE">
        <w:t xml:space="preserve">: The proposal for energy </w:t>
      </w:r>
      <w:r w:rsidR="005D6B16" w:rsidRPr="004C0BFE">
        <w:t xml:space="preserve">value </w:t>
      </w:r>
      <w:r w:rsidR="00844D9B" w:rsidRPr="004C0BFE">
        <w:t>true</w:t>
      </w:r>
      <w:r w:rsidR="00FB3A2A" w:rsidRPr="004C0BFE">
        <w:t xml:space="preserve"> </w:t>
      </w:r>
      <w:r w:rsidR="00844D9B" w:rsidRPr="004C0BFE">
        <w:t xml:space="preserve">up is uncontested. </w:t>
      </w:r>
    </w:p>
    <w:p w14:paraId="6DE8F21C" w14:textId="0CDD3980" w:rsidR="001E16C2" w:rsidRPr="004C0BFE" w:rsidRDefault="001E16C2" w:rsidP="001E16C2">
      <w:pPr>
        <w:pStyle w:val="Standard"/>
      </w:pPr>
      <w:r w:rsidRPr="004C0BFE">
        <w:rPr>
          <w:i/>
          <w:iCs/>
        </w:rPr>
        <w:t>RPS Value True</w:t>
      </w:r>
      <w:r w:rsidR="00FB3A2A" w:rsidRPr="004C0BFE">
        <w:rPr>
          <w:i/>
          <w:iCs/>
        </w:rPr>
        <w:t xml:space="preserve"> </w:t>
      </w:r>
      <w:r w:rsidRPr="004C0BFE">
        <w:rPr>
          <w:i/>
          <w:iCs/>
        </w:rPr>
        <w:t>Up</w:t>
      </w:r>
      <w:r w:rsidRPr="004C0BFE">
        <w:t>: Party views differ on the value of unsold RPS.  Several parties support CalCCA proposal and argue that unsold RPS has value.  For example, AReM/DACC argues that RPS products (RECs) should be valued at the RPS MPB at the time that they are generated.  According to AReM/DACC, tracking how much is “consistent” with the IOU’s RPS plan and valuing only when, or if, withdrawn from the R</w:t>
      </w:r>
      <w:r w:rsidR="00A0550C" w:rsidRPr="004C0BFE">
        <w:t>PS</w:t>
      </w:r>
      <w:r w:rsidRPr="004C0BFE">
        <w:t xml:space="preserve"> bank is cumbersome and potentially allows </w:t>
      </w:r>
      <w:r w:rsidRPr="004C0BFE">
        <w:lastRenderedPageBreak/>
        <w:t>for gaming.  The City of San Diego also finds CalCCA's proposal to be more reasonable.  Noting that true</w:t>
      </w:r>
      <w:r w:rsidR="00FB3A2A" w:rsidRPr="004C0BFE">
        <w:t xml:space="preserve"> </w:t>
      </w:r>
      <w:r w:rsidRPr="004C0BFE">
        <w:t xml:space="preserve">up is an annual activity, the City of San Diego argues that the forecasted PCIA needs to be trued-up based on actions in the past year, not some undefined actions that might occur in the future. </w:t>
      </w:r>
    </w:p>
    <w:p w14:paraId="1C9D164F" w14:textId="77777777" w:rsidR="001E16C2" w:rsidRPr="004C0BFE" w:rsidRDefault="001E16C2" w:rsidP="001E16C2">
      <w:pPr>
        <w:pStyle w:val="Standard"/>
      </w:pPr>
      <w:r w:rsidRPr="004C0BFE">
        <w:t xml:space="preserve">POC also agrees that sold RPS should be valued at the transaction price.  Claiming that PG&amp;E has an incentive to retain only the resources with the most desirable characteristics, and sell only those with the least desirable characteristics, POC asserts that the retained and desirable resources would be valued at the RPS Adder’s average market price, which is POC claims, is below their actual value. </w:t>
      </w:r>
    </w:p>
    <w:p w14:paraId="516D8B2C" w14:textId="77777777" w:rsidR="001E16C2" w:rsidRPr="004C0BFE" w:rsidRDefault="001E16C2" w:rsidP="001E16C2">
      <w:pPr>
        <w:pStyle w:val="Standard"/>
      </w:pPr>
      <w:r w:rsidRPr="004C0BFE">
        <w:t xml:space="preserve">In contrast, Joint IOUs claim that unsold RPS has zero value. Joint IOUs argue that the CalCCA alternative would require bundled customers to </w:t>
      </w:r>
    </w:p>
    <w:p w14:paraId="7280F2D8" w14:textId="77777777" w:rsidR="001E16C2" w:rsidRPr="004C0BFE" w:rsidRDefault="001E16C2" w:rsidP="001E16C2">
      <w:pPr>
        <w:pStyle w:val="Standard"/>
      </w:pPr>
      <w:r w:rsidRPr="004C0BFE">
        <w:t xml:space="preserve">1) impute revenues to departing load customers for RPS products the IOUs’ bundled service customers do not need and the market does not want; and </w:t>
      </w:r>
    </w:p>
    <w:p w14:paraId="57F13CD5" w14:textId="77777777" w:rsidR="001E16C2" w:rsidRPr="004C0BFE" w:rsidRDefault="001E16C2" w:rsidP="001E16C2">
      <w:pPr>
        <w:pStyle w:val="Standard"/>
      </w:pPr>
      <w:r w:rsidRPr="004C0BFE">
        <w:t>2) compensate departing load customers for products lacking market value, shifting costs to bundled service customers.</w:t>
      </w:r>
    </w:p>
    <w:p w14:paraId="5CB794AA" w14:textId="0DDE40CC" w:rsidR="001E16C2" w:rsidRPr="004C0BFE" w:rsidRDefault="001E16C2" w:rsidP="001E16C2">
      <w:pPr>
        <w:pStyle w:val="Standard"/>
      </w:pPr>
      <w:r w:rsidRPr="004C0BFE">
        <w:t xml:space="preserve">Joint IOUs note that frameworks prescribing the processes for portfolio sales, including RPS sales, are in scope for Working Group Three.  Joint IOUs explain that unsold RPS products that are offered for sale and remain unsold after generation may have value subsequently if they are 1) used to exceed compliance requirements by an IOU, 2) retired to an IOU RPS bank for hypothetical future use if an IOU is short, or 3) sold for a lower value compliance product, i.e., sold as an unbundled renewable energy credit. Unsold RPS products also may have no value if they 1) expire or 2) are banked by an LSE that is not able to use them for compliance. Given this uncertainty, Joint Utilities argue, the value of the marketed REC that remains unsold cannot be assigned or </w:t>
      </w:r>
      <w:r w:rsidRPr="004C0BFE">
        <w:lastRenderedPageBreak/>
        <w:t xml:space="preserve">imputed to the bundled service customer unless and until it is sold or is used for the benefit of the bundled portfolio. </w:t>
      </w:r>
    </w:p>
    <w:p w14:paraId="023168E2" w14:textId="09CF1D12" w:rsidR="001E16C2" w:rsidRPr="004C0BFE" w:rsidRDefault="001E16C2" w:rsidP="001E16C2">
      <w:pPr>
        <w:pStyle w:val="Standard"/>
      </w:pPr>
      <w:r w:rsidRPr="004C0BFE">
        <w:t xml:space="preserve">In TURN’s view, it is possible that the IOUs may retain RPS for contingency or other purposes; in such cases, TURN argues, a </w:t>
      </w:r>
      <w:r w:rsidRPr="004C0BFE">
        <w:rPr>
          <w:i/>
          <w:iCs/>
        </w:rPr>
        <w:t>de minimis</w:t>
      </w:r>
      <w:r w:rsidRPr="004C0BFE">
        <w:t xml:space="preserve"> price may be appropriate to value such resources for the PCIA calculation.  TURN does not believe this issue was explored in the workshop process.</w:t>
      </w:r>
    </w:p>
    <w:p w14:paraId="72544130" w14:textId="3FD7A5C1" w:rsidR="00844D9B" w:rsidRPr="004C0BFE" w:rsidRDefault="00844D9B" w:rsidP="000B6C26">
      <w:pPr>
        <w:pStyle w:val="Standard"/>
      </w:pPr>
      <w:r w:rsidRPr="004C0BFE">
        <w:rPr>
          <w:i/>
          <w:iCs/>
        </w:rPr>
        <w:t xml:space="preserve">RA </w:t>
      </w:r>
      <w:r w:rsidR="001E16C2" w:rsidRPr="004C0BFE">
        <w:rPr>
          <w:i/>
          <w:iCs/>
        </w:rPr>
        <w:t>Value</w:t>
      </w:r>
      <w:r w:rsidRPr="004C0BFE">
        <w:rPr>
          <w:i/>
          <w:iCs/>
        </w:rPr>
        <w:t xml:space="preserve"> True</w:t>
      </w:r>
      <w:r w:rsidR="00FB3A2A" w:rsidRPr="004C0BFE">
        <w:rPr>
          <w:i/>
          <w:iCs/>
        </w:rPr>
        <w:t xml:space="preserve"> </w:t>
      </w:r>
      <w:r w:rsidRPr="004C0BFE">
        <w:rPr>
          <w:i/>
          <w:iCs/>
        </w:rPr>
        <w:t>Up:</w:t>
      </w:r>
      <w:r w:rsidRPr="004C0BFE">
        <w:t xml:space="preserve"> Several parties, including TURN, SDG&amp;E, and CLECA, commented on the true</w:t>
      </w:r>
      <w:r w:rsidR="00FB3A2A" w:rsidRPr="004C0BFE">
        <w:t xml:space="preserve"> </w:t>
      </w:r>
      <w:r w:rsidRPr="004C0BFE">
        <w:t xml:space="preserve">up method for RA </w:t>
      </w:r>
      <w:r w:rsidR="001E16C2" w:rsidRPr="004C0BFE">
        <w:t>Value</w:t>
      </w:r>
      <w:r w:rsidRPr="004C0BFE">
        <w:t>. Parties’ main concern on the co-chairs’ proposal is that using the same transaction dataset for forecast and true up of the Local RA adder and not updating to reflect transactions that occur in year n, makes the adder static and would eliminate any true</w:t>
      </w:r>
      <w:r w:rsidR="00FB3A2A" w:rsidRPr="004C0BFE">
        <w:t xml:space="preserve"> </w:t>
      </w:r>
      <w:r w:rsidRPr="004C0BFE">
        <w:t xml:space="preserve">up of the Local RA benefits and costs. </w:t>
      </w:r>
      <w:r w:rsidR="000B6C26" w:rsidRPr="004C0BFE">
        <w:t xml:space="preserve"> </w:t>
      </w:r>
      <w:r w:rsidRPr="004C0BFE">
        <w:t>Failing to true</w:t>
      </w:r>
      <w:r w:rsidR="00FB3A2A" w:rsidRPr="004C0BFE">
        <w:t xml:space="preserve"> </w:t>
      </w:r>
      <w:r w:rsidRPr="004C0BFE">
        <w:t>up the local RA capacity adder is also contrary to D.18-10-019, which seeks to true</w:t>
      </w:r>
      <w:r w:rsidR="00FB3A2A" w:rsidRPr="004C0BFE">
        <w:t xml:space="preserve"> </w:t>
      </w:r>
      <w:r w:rsidRPr="004C0BFE">
        <w:t xml:space="preserve">up forecasts with actual values. </w:t>
      </w:r>
      <w:r w:rsidR="000B6C26" w:rsidRPr="004C0BFE">
        <w:t xml:space="preserve"> </w:t>
      </w:r>
      <w:r w:rsidRPr="004C0BFE">
        <w:t>These parties propose that the true</w:t>
      </w:r>
      <w:r w:rsidR="00FB3A2A" w:rsidRPr="004C0BFE">
        <w:t xml:space="preserve"> </w:t>
      </w:r>
      <w:r w:rsidRPr="004C0BFE">
        <w:t xml:space="preserve">up methodology for the Local RA adder should (i) include all transactions utilized in the forecast Local RA adder, as well as additional transactions executed in the first quarter (Q1) through Q3 of year n for delivery in year n; and (ii) include transactions in year (n-3) in the market price benchmark calculation.  </w:t>
      </w:r>
    </w:p>
    <w:p w14:paraId="5306DF43" w14:textId="77777777" w:rsidR="00844D9B" w:rsidRDefault="00844D9B" w:rsidP="00844D9B">
      <w:pPr>
        <w:pStyle w:val="ALJHeading3"/>
      </w:pPr>
      <w:bookmarkStart w:id="50" w:name="_Toc16242528"/>
      <w:bookmarkStart w:id="51" w:name="_Toc17368173"/>
      <w:r>
        <w:t>Resolving Scoping Memo Issue 1</w:t>
      </w:r>
      <w:bookmarkEnd w:id="50"/>
      <w:bookmarkEnd w:id="51"/>
    </w:p>
    <w:p w14:paraId="49AFF2DE" w14:textId="52128D57" w:rsidR="00844D9B" w:rsidRPr="004C0BFE" w:rsidRDefault="00844D9B" w:rsidP="006B2EB6">
      <w:pPr>
        <w:pStyle w:val="Standard"/>
      </w:pPr>
      <w:r w:rsidRPr="004C0BFE">
        <w:t>In D.18-10-019, the Commission adopted a true</w:t>
      </w:r>
      <w:r w:rsidR="00FB3A2A" w:rsidRPr="004C0BFE">
        <w:t xml:space="preserve"> </w:t>
      </w:r>
      <w:r w:rsidRPr="004C0BFE">
        <w:t xml:space="preserve">up mechanism for </w:t>
      </w:r>
      <w:r w:rsidR="00C23015" w:rsidRPr="004C0BFE">
        <w:t>Energy Value</w:t>
      </w:r>
      <w:r w:rsidRPr="004C0BFE">
        <w:t xml:space="preserve">, but determined that it should not adopt true up mechanisms for </w:t>
      </w:r>
      <w:r w:rsidR="00C23015" w:rsidRPr="004C0BFE">
        <w:t xml:space="preserve">RA Value and RPS Value </w:t>
      </w:r>
      <w:r w:rsidRPr="004C0BFE">
        <w:t>due to insufficient record.</w:t>
      </w:r>
      <w:r w:rsidRPr="004C0BFE">
        <w:rPr>
          <w:rStyle w:val="FootnoteReference"/>
        </w:rPr>
        <w:footnoteReference w:id="27"/>
      </w:r>
      <w:r w:rsidRPr="004C0BFE">
        <w:t xml:space="preserve"> </w:t>
      </w:r>
      <w:r w:rsidR="00B075D3" w:rsidRPr="004C0BFE">
        <w:t xml:space="preserve"> </w:t>
      </w:r>
      <w:r w:rsidRPr="004C0BFE">
        <w:t xml:space="preserve">The Commission found that a true </w:t>
      </w:r>
      <w:r w:rsidRPr="004C0BFE">
        <w:lastRenderedPageBreak/>
        <w:t>up mechanism will increase the accuracy of the PCIA cost allocation between bundled and departing load customers.</w:t>
      </w:r>
      <w:r w:rsidRPr="004C0BFE">
        <w:rPr>
          <w:rStyle w:val="FootnoteReference"/>
        </w:rPr>
        <w:footnoteReference w:id="28"/>
      </w:r>
    </w:p>
    <w:p w14:paraId="7E050D34" w14:textId="44E0962A" w:rsidR="00844D9B" w:rsidRPr="004C0BFE" w:rsidRDefault="00844D9B" w:rsidP="00946D49">
      <w:pPr>
        <w:pStyle w:val="Standard"/>
      </w:pPr>
      <w:r w:rsidRPr="004C0BFE">
        <w:t xml:space="preserve">For the </w:t>
      </w:r>
      <w:r w:rsidR="0006139E" w:rsidRPr="004C0BFE">
        <w:t>E</w:t>
      </w:r>
      <w:r w:rsidRPr="004C0BFE">
        <w:t xml:space="preserve">nergy </w:t>
      </w:r>
      <w:r w:rsidR="0006139E" w:rsidRPr="004C0BFE">
        <w:t xml:space="preserve">Value </w:t>
      </w:r>
      <w:r w:rsidRPr="004C0BFE">
        <w:t>true</w:t>
      </w:r>
      <w:r w:rsidR="00FB3A2A" w:rsidRPr="004C0BFE">
        <w:t xml:space="preserve"> </w:t>
      </w:r>
      <w:r w:rsidRPr="004C0BFE">
        <w:t>up, we adopt the proposal presented in the May Report.  The proposal is easy to implement; is based on actual revenues; maintains the current practice; and therefore, it is consistent with D.18-10-</w:t>
      </w:r>
      <w:r w:rsidR="00B60DFD" w:rsidRPr="004C0BFE">
        <w:t>0</w:t>
      </w:r>
      <w:r w:rsidRPr="004C0BFE">
        <w:t>19.</w:t>
      </w:r>
    </w:p>
    <w:p w14:paraId="2479A7DA" w14:textId="14556204" w:rsidR="00FE795A" w:rsidRPr="004C0BFE" w:rsidRDefault="00844D9B" w:rsidP="00946D49">
      <w:pPr>
        <w:pStyle w:val="Standard"/>
      </w:pPr>
      <w:r w:rsidRPr="004C0BFE">
        <w:t xml:space="preserve">With respect to the RPS </w:t>
      </w:r>
      <w:r w:rsidR="0006139E" w:rsidRPr="004C0BFE">
        <w:t>Value</w:t>
      </w:r>
      <w:r w:rsidRPr="004C0BFE">
        <w:t xml:space="preserve"> true</w:t>
      </w:r>
      <w:r w:rsidR="00FB3A2A" w:rsidRPr="004C0BFE">
        <w:t xml:space="preserve"> </w:t>
      </w:r>
      <w:r w:rsidRPr="004C0BFE">
        <w:t>up, the Commission adopts PG&amp;E ‘s recommendation to assign a zero value to unsold RPS.</w:t>
      </w:r>
      <w:r w:rsidR="00946D49" w:rsidRPr="004C0BFE">
        <w:t xml:space="preserve">  </w:t>
      </w:r>
      <w:r w:rsidRPr="004C0BFE">
        <w:t>The IOUs’ RPS procurement planning takes place in formal proceedings subject to stakeholder review.</w:t>
      </w:r>
      <w:r w:rsidR="006079FD" w:rsidRPr="004C0BFE">
        <w:t xml:space="preserve">  </w:t>
      </w:r>
      <w:r w:rsidRPr="004C0BFE">
        <w:t>The Commission may authorize the IOUs to retain RPS resources based on their procurement planning needs.</w:t>
      </w:r>
      <w:r w:rsidR="00FE795A" w:rsidRPr="004C0BFE">
        <w:t xml:space="preserve"> </w:t>
      </w:r>
      <w:r w:rsidRPr="004C0BFE">
        <w:t xml:space="preserve"> If the IOUs use RECs in the future based on their approved procurement plans, the value in the year of generation may be different from the value at the time of the future transaction.  To value all RECs in the year of generation, as TURN notes, could conflict with the </w:t>
      </w:r>
    </w:p>
    <w:p w14:paraId="22D88CF0" w14:textId="2A9DE522" w:rsidR="00844D9B" w:rsidRPr="004C0BFE" w:rsidRDefault="00844D9B" w:rsidP="00FE795A">
      <w:pPr>
        <w:pStyle w:val="Standard"/>
        <w:ind w:firstLine="0"/>
      </w:pPr>
      <w:r w:rsidRPr="004C0BFE">
        <w:t xml:space="preserve">Commission-approved procurement plans.  </w:t>
      </w:r>
      <w:r w:rsidR="0006139E" w:rsidRPr="004C0BFE">
        <w:t xml:space="preserve">It effectively shifts market risks and opportunities associated with changing REC prices to bundled customers even though the resources generating those RECs were not procured solely on their behalf.  </w:t>
      </w:r>
      <w:r w:rsidRPr="004C0BFE">
        <w:t xml:space="preserve">Further, valuing all retained or unsold RECs at this time might be perceived as prejudging the ultimate outcome on Working Group Three’s proposal on portfolio optimization, and possibly render that result moot as to the unused RECs that already have been valued and included in </w:t>
      </w:r>
      <w:r w:rsidR="0006139E" w:rsidRPr="004C0BFE">
        <w:t>a PCIA calculation</w:t>
      </w:r>
      <w:r w:rsidRPr="004C0BFE">
        <w:t xml:space="preserve">. </w:t>
      </w:r>
    </w:p>
    <w:p w14:paraId="68A38F34" w14:textId="77777777" w:rsidR="00844D9B" w:rsidRPr="004C0BFE" w:rsidRDefault="00844D9B" w:rsidP="00FE795A">
      <w:pPr>
        <w:pStyle w:val="Standard"/>
      </w:pPr>
      <w:r w:rsidRPr="004C0BFE">
        <w:t>The Commission could issue a decision on portfolio optimization that modifies its current rules, but until then, we find that it is reasonable to adopt a zero value for unsold RPS.</w:t>
      </w:r>
    </w:p>
    <w:p w14:paraId="65B9AAAF" w14:textId="4384E3F3" w:rsidR="00844D9B" w:rsidRPr="004C0BFE" w:rsidRDefault="00844D9B">
      <w:pPr>
        <w:pStyle w:val="Standard"/>
      </w:pPr>
      <w:r w:rsidRPr="004C0BFE">
        <w:lastRenderedPageBreak/>
        <w:t xml:space="preserve">With respect to the local RA </w:t>
      </w:r>
      <w:r w:rsidR="0006139E" w:rsidRPr="004C0BFE">
        <w:t>Value</w:t>
      </w:r>
      <w:r w:rsidRPr="004C0BFE">
        <w:t xml:space="preserve"> true</w:t>
      </w:r>
      <w:r w:rsidR="00FB3A2A" w:rsidRPr="004C0BFE">
        <w:t xml:space="preserve"> </w:t>
      </w:r>
      <w:r w:rsidRPr="004C0BFE">
        <w:t xml:space="preserve">up, the co-lead proposal does not provide sufficient reasoning for </w:t>
      </w:r>
      <w:r w:rsidR="00D506A3" w:rsidRPr="004C0BFE">
        <w:t>limiting the transaction time dataset</w:t>
      </w:r>
      <w:r w:rsidRPr="004C0BFE">
        <w:t xml:space="preserve">. </w:t>
      </w:r>
      <w:r w:rsidR="00D506A3" w:rsidRPr="004C0BFE">
        <w:t>Because</w:t>
      </w:r>
      <w:r w:rsidRPr="004C0BFE">
        <w:t xml:space="preserve"> the intent of the true</w:t>
      </w:r>
      <w:r w:rsidR="00FB3A2A" w:rsidRPr="004C0BFE">
        <w:t xml:space="preserve"> </w:t>
      </w:r>
      <w:r w:rsidRPr="004C0BFE">
        <w:t>up process is to i</w:t>
      </w:r>
      <w:r w:rsidR="00D506A3" w:rsidRPr="004C0BFE">
        <w:t>mprove</w:t>
      </w:r>
      <w:r w:rsidRPr="004C0BFE">
        <w:t xml:space="preserve"> </w:t>
      </w:r>
      <w:r w:rsidR="00D506A3" w:rsidRPr="004C0BFE">
        <w:t xml:space="preserve">the </w:t>
      </w:r>
      <w:r w:rsidRPr="004C0BFE">
        <w:t>accuracy of the values</w:t>
      </w:r>
      <w:r w:rsidR="00D506A3" w:rsidRPr="004C0BFE">
        <w:t xml:space="preserve"> used in the ERRA forecast</w:t>
      </w:r>
      <w:r w:rsidRPr="004C0BFE">
        <w:t xml:space="preserve">, </w:t>
      </w:r>
      <w:r w:rsidR="00D506A3" w:rsidRPr="004C0BFE">
        <w:t>we find that it would be more accurate to include transactions covering the full local RA requirement horizon. This includes transactions taking place in year (n-3), (n-2), (n-1) as well as year n, as shown in A</w:t>
      </w:r>
      <w:r w:rsidR="008A5263" w:rsidRPr="004C0BFE">
        <w:t>ttachment</w:t>
      </w:r>
      <w:r w:rsidR="00D506A3" w:rsidRPr="004C0BFE">
        <w:t xml:space="preserve"> </w:t>
      </w:r>
      <w:r w:rsidR="008A5263" w:rsidRPr="004C0BFE">
        <w:t>A</w:t>
      </w:r>
      <w:r w:rsidRPr="004C0BFE">
        <w:t>.</w:t>
      </w:r>
    </w:p>
    <w:p w14:paraId="736F72E2" w14:textId="459A065D" w:rsidR="00F94539" w:rsidRPr="004C0BFE" w:rsidRDefault="00CF032B" w:rsidP="003F737D">
      <w:pPr>
        <w:pStyle w:val="Standard"/>
      </w:pPr>
      <w:r w:rsidRPr="004C0BFE">
        <w:t>We should</w:t>
      </w:r>
      <w:r w:rsidR="00F94539" w:rsidRPr="004C0BFE">
        <w:t xml:space="preserve"> not</w:t>
      </w:r>
      <w:r w:rsidRPr="004C0BFE">
        <w:t>e</w:t>
      </w:r>
      <w:r w:rsidR="00F94539" w:rsidRPr="004C0BFE">
        <w:t xml:space="preserve"> that the true-up process required by D.18-10-</w:t>
      </w:r>
      <w:r w:rsidR="00943613" w:rsidRPr="004C0BFE">
        <w:t>0</w:t>
      </w:r>
      <w:r w:rsidR="00F94539" w:rsidRPr="004C0BFE">
        <w:t>19 does not mean entirely replacing Market Price Benchmarks with actual prices from purchases and sales. Even in the true-up process, Market Price Benchmarks are needed for estimating value that is unknown because the underlying products have not been financially transacted. For example, if a utility retires RECs in a given year, there is no financial transaction to establish the price of those RECs at the time of retirement. Therefore, an estimate of the price, or Final RPS Adder, must be developed in order to assign a value that can be used in the true</w:t>
      </w:r>
      <w:r w:rsidRPr="004C0BFE">
        <w:t xml:space="preserve"> </w:t>
      </w:r>
      <w:r w:rsidR="00F94539" w:rsidRPr="004C0BFE">
        <w:t>up of those products from the previous year. In contrast, for RECs that a utility purchases or sells, the actual price can be used in the true up process, and no benchmark is needed.</w:t>
      </w:r>
    </w:p>
    <w:p w14:paraId="1ED5F1E3" w14:textId="0FEB06FC" w:rsidR="00844D9B" w:rsidRDefault="00844D9B" w:rsidP="00844D9B">
      <w:pPr>
        <w:pStyle w:val="ALJHeading2"/>
      </w:pPr>
      <w:bookmarkStart w:id="52" w:name="_Toc16242529"/>
      <w:bookmarkStart w:id="53" w:name="_Toc17368174"/>
      <w:r>
        <w:t>T</w:t>
      </w:r>
      <w:r w:rsidRPr="007102DC">
        <w:t xml:space="preserve">he </w:t>
      </w:r>
      <w:r w:rsidR="00FB3A2A">
        <w:t>T</w:t>
      </w:r>
      <w:r w:rsidRPr="007102DC">
        <w:t>rue</w:t>
      </w:r>
      <w:r w:rsidR="00FB3A2A">
        <w:t xml:space="preserve"> U</w:t>
      </w:r>
      <w:r w:rsidRPr="007102DC">
        <w:t xml:space="preserve">p </w:t>
      </w:r>
      <w:r w:rsidR="00FB3A2A">
        <w:t>P</w:t>
      </w:r>
      <w:r w:rsidRPr="007102DC">
        <w:t>rocess</w:t>
      </w:r>
      <w:r>
        <w:t xml:space="preserve"> (Scoping Memo Issue 3)</w:t>
      </w:r>
      <w:bookmarkEnd w:id="52"/>
      <w:bookmarkEnd w:id="53"/>
    </w:p>
    <w:p w14:paraId="10AD640A" w14:textId="432F4159" w:rsidR="00844D9B" w:rsidRPr="004C0BFE" w:rsidRDefault="00844D9B" w:rsidP="009709B9">
      <w:pPr>
        <w:pStyle w:val="Standard"/>
      </w:pPr>
      <w:r w:rsidRPr="004C0BFE">
        <w:t>Scoping Memo issue 3 asks whether the true up process should be addressed as part of the annual ERRA proceedings.  We determine that the true</w:t>
      </w:r>
      <w:r w:rsidR="00FB3A2A" w:rsidRPr="004C0BFE">
        <w:t xml:space="preserve"> </w:t>
      </w:r>
      <w:r w:rsidRPr="004C0BFE">
        <w:t xml:space="preserve">up process should take place as part of the ERRA Forecast proceedings. </w:t>
      </w:r>
    </w:p>
    <w:p w14:paraId="66E38D8D" w14:textId="77777777" w:rsidR="00844D9B" w:rsidRDefault="00844D9B" w:rsidP="00844D9B">
      <w:pPr>
        <w:pStyle w:val="ALJHeading3"/>
      </w:pPr>
      <w:bookmarkStart w:id="54" w:name="_Toc16242530"/>
      <w:bookmarkStart w:id="55" w:name="_Toc17368175"/>
      <w:r>
        <w:t>Scoping Memo Issue 3: Proposal</w:t>
      </w:r>
      <w:bookmarkEnd w:id="54"/>
      <w:bookmarkEnd w:id="55"/>
    </w:p>
    <w:p w14:paraId="0A0EEB84" w14:textId="77CB2E4B" w:rsidR="009709B9" w:rsidRPr="004C0BFE" w:rsidRDefault="00844D9B" w:rsidP="009709B9">
      <w:pPr>
        <w:pStyle w:val="Standard"/>
      </w:pPr>
      <w:r w:rsidRPr="004C0BFE">
        <w:t>As indicated in the May Report, the co-chairs agree that the true</w:t>
      </w:r>
      <w:r w:rsidR="00FB3A2A" w:rsidRPr="004C0BFE">
        <w:t xml:space="preserve"> </w:t>
      </w:r>
      <w:r w:rsidRPr="004C0BFE">
        <w:t>up process should take place as part of the ERRA Forecast proceeding.</w:t>
      </w:r>
      <w:r w:rsidR="009709B9" w:rsidRPr="004C0BFE">
        <w:t xml:space="preserve"> </w:t>
      </w:r>
      <w:r w:rsidRPr="004C0BFE">
        <w:t xml:space="preserve"> Accordingly, they propose the RA and RPS </w:t>
      </w:r>
      <w:r w:rsidR="00A46E2D" w:rsidRPr="004C0BFE">
        <w:t>Value</w:t>
      </w:r>
      <w:r w:rsidRPr="004C0BFE">
        <w:t xml:space="preserve"> calculation and reporting structure around the timing of the November ERRA Forecast filings.</w:t>
      </w:r>
      <w:r w:rsidR="009709B9" w:rsidRPr="004C0BFE">
        <w:t xml:space="preserve"> </w:t>
      </w:r>
      <w:r w:rsidRPr="004C0BFE">
        <w:t xml:space="preserve"> Any over- or </w:t>
      </w:r>
    </w:p>
    <w:p w14:paraId="42BA43B9" w14:textId="24090B9A" w:rsidR="00844D9B" w:rsidRPr="004C0BFE" w:rsidRDefault="00844D9B" w:rsidP="009709B9">
      <w:pPr>
        <w:pStyle w:val="Standard"/>
        <w:ind w:firstLine="0"/>
      </w:pPr>
      <w:r w:rsidRPr="004C0BFE">
        <w:lastRenderedPageBreak/>
        <w:t>under-collections are rolled into the following year’s PCIA rate, which are filed within the ERRA Forecast Update.</w:t>
      </w:r>
    </w:p>
    <w:p w14:paraId="7EC4E074" w14:textId="77777777" w:rsidR="00844D9B" w:rsidRDefault="00844D9B" w:rsidP="00844D9B">
      <w:pPr>
        <w:pStyle w:val="ALJHeading3"/>
      </w:pPr>
      <w:bookmarkStart w:id="56" w:name="_Toc16242531"/>
      <w:bookmarkStart w:id="57" w:name="_Toc17368176"/>
      <w:r>
        <w:t>Scoping Memo Issue 3: Party Comments</w:t>
      </w:r>
      <w:bookmarkEnd w:id="56"/>
      <w:bookmarkEnd w:id="57"/>
    </w:p>
    <w:p w14:paraId="61E3B095" w14:textId="77777777" w:rsidR="00844D9B" w:rsidRPr="004C0BFE" w:rsidRDefault="00844D9B" w:rsidP="009709B9">
      <w:pPr>
        <w:pStyle w:val="Standard"/>
      </w:pPr>
      <w:r w:rsidRPr="004C0BFE">
        <w:t xml:space="preserve">The proposal is uncontested. </w:t>
      </w:r>
    </w:p>
    <w:p w14:paraId="76FA3A70" w14:textId="77777777" w:rsidR="00844D9B" w:rsidRPr="00B37105" w:rsidRDefault="00844D9B" w:rsidP="00844D9B">
      <w:pPr>
        <w:pStyle w:val="ALJHeading3"/>
      </w:pPr>
      <w:bookmarkStart w:id="58" w:name="_Toc16242532"/>
      <w:bookmarkStart w:id="59" w:name="_Toc17368177"/>
      <w:r>
        <w:t>Resolving Scoping Memo Issue 3</w:t>
      </w:r>
      <w:bookmarkEnd w:id="58"/>
      <w:bookmarkEnd w:id="59"/>
    </w:p>
    <w:p w14:paraId="78A0D39E" w14:textId="5C7DC68F" w:rsidR="00844D9B" w:rsidRPr="004C0BFE" w:rsidRDefault="00844D9B" w:rsidP="009709B9">
      <w:pPr>
        <w:pStyle w:val="Standard"/>
      </w:pPr>
      <w:r w:rsidRPr="004C0BFE">
        <w:t>We find the proposed approach reasonable and confirm that the true</w:t>
      </w:r>
      <w:r w:rsidR="00FB3A2A" w:rsidRPr="004C0BFE">
        <w:t xml:space="preserve"> </w:t>
      </w:r>
      <w:r w:rsidRPr="004C0BFE">
        <w:t xml:space="preserve">up of </w:t>
      </w:r>
      <w:r w:rsidR="00A46E2D" w:rsidRPr="004C0BFE">
        <w:t xml:space="preserve">each vintage portfolio’s Market Value for each year, including the Energy Index, </w:t>
      </w:r>
      <w:r w:rsidRPr="004C0BFE">
        <w:t xml:space="preserve">RPS </w:t>
      </w:r>
      <w:r w:rsidR="00A46E2D" w:rsidRPr="004C0BFE">
        <w:t>A</w:t>
      </w:r>
      <w:r w:rsidRPr="004C0BFE">
        <w:t xml:space="preserve">dder, and RA </w:t>
      </w:r>
      <w:r w:rsidR="00A46E2D" w:rsidRPr="004C0BFE">
        <w:t>A</w:t>
      </w:r>
      <w:r w:rsidRPr="004C0BFE">
        <w:t>dder should occur as part of the ERRA Forecast proceeding.</w:t>
      </w:r>
      <w:r w:rsidR="00034ACD" w:rsidRPr="004C0BFE">
        <w:t xml:space="preserve"> </w:t>
      </w:r>
      <w:r w:rsidRPr="004C0BFE">
        <w:t xml:space="preserve"> The PCIA forecast has historically been calculated in each IOU’s ERRA Forecast proceeding. </w:t>
      </w:r>
      <w:r w:rsidR="00034ACD" w:rsidRPr="004C0BFE">
        <w:t xml:space="preserve"> </w:t>
      </w:r>
      <w:r w:rsidRPr="004C0BFE">
        <w:t>No party provided any compelling reason to change that for the true</w:t>
      </w:r>
      <w:r w:rsidR="00FB3A2A" w:rsidRPr="004C0BFE">
        <w:t xml:space="preserve"> </w:t>
      </w:r>
      <w:r w:rsidRPr="004C0BFE">
        <w:t xml:space="preserve">up calculation.  This proceeding and other proceedings will have impacts on the factors that are considered in calculating the RA </w:t>
      </w:r>
      <w:r w:rsidR="00AE0287" w:rsidRPr="004C0BFE">
        <w:t>Value</w:t>
      </w:r>
      <w:r w:rsidRPr="004C0BFE">
        <w:t xml:space="preserve"> and the RPS </w:t>
      </w:r>
      <w:r w:rsidR="00AE0287" w:rsidRPr="004C0BFE">
        <w:t>Value</w:t>
      </w:r>
      <w:r w:rsidRPr="004C0BFE">
        <w:t>. But the true</w:t>
      </w:r>
      <w:r w:rsidR="00FB3A2A" w:rsidRPr="004C0BFE">
        <w:t xml:space="preserve"> </w:t>
      </w:r>
      <w:r w:rsidRPr="004C0BFE">
        <w:t xml:space="preserve">up of </w:t>
      </w:r>
      <w:r w:rsidR="00AE0287" w:rsidRPr="004C0BFE">
        <w:t>the Market Value used in the PCIA calculation, including the Energy Index</w:t>
      </w:r>
      <w:r w:rsidRPr="004C0BFE">
        <w:t xml:space="preserve">, RA </w:t>
      </w:r>
      <w:r w:rsidR="00AE0287" w:rsidRPr="004C0BFE">
        <w:t xml:space="preserve">Adder, </w:t>
      </w:r>
      <w:r w:rsidRPr="004C0BFE">
        <w:t xml:space="preserve">and RPS Adder should be addressed as part of the annual ERRA Forecast proceedings.  </w:t>
      </w:r>
    </w:p>
    <w:p w14:paraId="4CE35B32" w14:textId="77777777" w:rsidR="00844D9B" w:rsidRDefault="00844D9B" w:rsidP="00844D9B">
      <w:pPr>
        <w:pStyle w:val="ALJHeading2"/>
      </w:pPr>
      <w:bookmarkStart w:id="60" w:name="_Toc16242533"/>
      <w:bookmarkStart w:id="61" w:name="_Toc17368178"/>
      <w:r>
        <w:t xml:space="preserve">Quantity and Price of </w:t>
      </w:r>
      <w:r w:rsidRPr="007102DC">
        <w:t>Unsold RA</w:t>
      </w:r>
      <w:r>
        <w:t xml:space="preserve"> (Scoping Memo Issues 6 and 7)</w:t>
      </w:r>
      <w:bookmarkEnd w:id="60"/>
      <w:bookmarkEnd w:id="61"/>
    </w:p>
    <w:p w14:paraId="492E5E50" w14:textId="60373FAD" w:rsidR="00844D9B" w:rsidRPr="004C0BFE" w:rsidRDefault="00844D9B" w:rsidP="00034ACD">
      <w:pPr>
        <w:pStyle w:val="Standard"/>
      </w:pPr>
      <w:r w:rsidRPr="004C0BFE">
        <w:t xml:space="preserve">In D.18-10-019 the Commission determined  that “a zero or </w:t>
      </w:r>
      <w:r w:rsidRPr="004C0BFE">
        <w:rPr>
          <w:i/>
          <w:iCs/>
        </w:rPr>
        <w:t>de minimis</w:t>
      </w:r>
      <w:r w:rsidRPr="004C0BFE">
        <w:t xml:space="preserve"> price shall be assigned for [RA] capacity expected to remain unsold for purposes of calculating the MPB.”</w:t>
      </w:r>
      <w:r w:rsidRPr="004C0BFE">
        <w:rPr>
          <w:rStyle w:val="FootnoteReference"/>
        </w:rPr>
        <w:footnoteReference w:id="29"/>
      </w:r>
      <w:r w:rsidRPr="004C0BFE">
        <w:t xml:space="preserve"> </w:t>
      </w:r>
      <w:r w:rsidR="00034ACD" w:rsidRPr="004C0BFE">
        <w:t xml:space="preserve"> </w:t>
      </w:r>
      <w:r w:rsidRPr="004C0BFE">
        <w:t>Scoping Memo Issue 6 asks how the Commission should clarify or define the quantity of unsold RA for forecasting and true</w:t>
      </w:r>
      <w:r w:rsidR="00FB3A2A" w:rsidRPr="004C0BFE">
        <w:t xml:space="preserve"> </w:t>
      </w:r>
      <w:r w:rsidRPr="004C0BFE">
        <w:t xml:space="preserve">up purposes. </w:t>
      </w:r>
      <w:r w:rsidR="00034ACD" w:rsidRPr="004C0BFE">
        <w:t xml:space="preserve"> </w:t>
      </w:r>
      <w:r w:rsidRPr="004C0BFE">
        <w:t xml:space="preserve">Scoping Memo Issue 7 asks whether further parameters are needed to define a </w:t>
      </w:r>
      <w:r w:rsidRPr="004C0BFE">
        <w:rPr>
          <w:i/>
          <w:iCs/>
        </w:rPr>
        <w:t>de minimis</w:t>
      </w:r>
      <w:r w:rsidRPr="004C0BFE">
        <w:t xml:space="preserve"> price, and if so, what these parameters are.  </w:t>
      </w:r>
    </w:p>
    <w:p w14:paraId="12E4F20A" w14:textId="77777777" w:rsidR="00844D9B" w:rsidRPr="004C0BFE" w:rsidRDefault="00844D9B" w:rsidP="00034ACD">
      <w:pPr>
        <w:pStyle w:val="Standard"/>
      </w:pPr>
      <w:r w:rsidRPr="004C0BFE">
        <w:t xml:space="preserve">We conclude that PG&amp;E’s approach to defining and assigning value to unsold RA resources is reasonable, and hence, is adopted. </w:t>
      </w:r>
    </w:p>
    <w:p w14:paraId="74262E57" w14:textId="1AD788CD" w:rsidR="00844D9B" w:rsidRDefault="00844D9B" w:rsidP="00844D9B">
      <w:pPr>
        <w:pStyle w:val="ALJHeading3"/>
      </w:pPr>
      <w:bookmarkStart w:id="62" w:name="_Toc16242534"/>
      <w:bookmarkStart w:id="63" w:name="_Toc17368179"/>
      <w:r>
        <w:lastRenderedPageBreak/>
        <w:t>Scoping Memo Issues 6 and 7: Proposal</w:t>
      </w:r>
      <w:bookmarkEnd w:id="62"/>
      <w:bookmarkEnd w:id="63"/>
    </w:p>
    <w:p w14:paraId="77CCAF18" w14:textId="29FF98AA" w:rsidR="00844D9B" w:rsidRPr="004C0BFE" w:rsidRDefault="00844D9B" w:rsidP="00BB7E1D">
      <w:pPr>
        <w:pStyle w:val="Standard"/>
      </w:pPr>
      <w:r w:rsidRPr="004C0BFE">
        <w:t>Working Group One co-chairs disagree on how to define and value unsold RA resources.  According to PG&amp;E’s proposal, each IOU identif</w:t>
      </w:r>
      <w:r w:rsidR="00C21AEF" w:rsidRPr="004C0BFE">
        <w:t>ies</w:t>
      </w:r>
      <w:r w:rsidRPr="004C0BFE">
        <w:t xml:space="preserve"> the quantity of RA offered for sale to an IE and its PRG in advance of </w:t>
      </w:r>
      <w:r w:rsidR="00C21AEF" w:rsidRPr="004C0BFE">
        <w:t xml:space="preserve">the </w:t>
      </w:r>
      <w:r w:rsidRPr="004C0BFE">
        <w:t>bids due date and document</w:t>
      </w:r>
      <w:r w:rsidR="00C21AEF" w:rsidRPr="004C0BFE">
        <w:t>s</w:t>
      </w:r>
      <w:r w:rsidRPr="004C0BFE">
        <w:t xml:space="preserve"> the quantity offered in </w:t>
      </w:r>
      <w:r w:rsidR="00C21AEF" w:rsidRPr="004C0BFE">
        <w:t>its</w:t>
      </w:r>
      <w:r w:rsidRPr="004C0BFE">
        <w:t xml:space="preserve"> Quarterly Compliance Report.</w:t>
      </w:r>
      <w:r w:rsidRPr="004C0BFE">
        <w:rPr>
          <w:rStyle w:val="FootnoteReference"/>
        </w:rPr>
        <w:footnoteReference w:id="30"/>
      </w:r>
      <w:r w:rsidRPr="004C0BFE">
        <w:t xml:space="preserve"> </w:t>
      </w:r>
      <w:r w:rsidR="00BB7E1D" w:rsidRPr="004C0BFE">
        <w:t xml:space="preserve"> </w:t>
      </w:r>
      <w:r w:rsidRPr="004C0BFE">
        <w:t xml:space="preserve">The RA product </w:t>
      </w:r>
      <w:r w:rsidR="00C21AEF" w:rsidRPr="004C0BFE">
        <w:t>is</w:t>
      </w:r>
      <w:r w:rsidRPr="004C0BFE">
        <w:t xml:space="preserve"> offered for sale in a solicitation process consistent with IOUs’ approved Bundled Procurement Plan (BPP).</w:t>
      </w:r>
      <w:r w:rsidR="00BB7E1D" w:rsidRPr="004C0BFE">
        <w:t xml:space="preserve"> </w:t>
      </w:r>
      <w:r w:rsidRPr="004C0BFE">
        <w:t xml:space="preserve"> Any of the offered quantity that is not sold is defined as Actual Unsold RA.  RA that is offered for sale but remain</w:t>
      </w:r>
      <w:r w:rsidR="00C21AEF" w:rsidRPr="004C0BFE">
        <w:t>s</w:t>
      </w:r>
      <w:r w:rsidRPr="004C0BFE">
        <w:t xml:space="preserve"> unsold is not assigned any credit in PABA, regardless of whether an IOU uses floor prices in its solicitation. </w:t>
      </w:r>
    </w:p>
    <w:p w14:paraId="026636B7" w14:textId="5624C577" w:rsidR="00844D9B" w:rsidRPr="004C0BFE" w:rsidRDefault="00844D9B" w:rsidP="00EB01B6">
      <w:pPr>
        <w:pStyle w:val="Standard"/>
      </w:pPr>
      <w:r w:rsidRPr="004C0BFE">
        <w:t xml:space="preserve">CalCCA defines unsold RA as RA quantity offered for sale by the end of August preceding the compliance deadline for the relevant year, but not sold. </w:t>
      </w:r>
      <w:r w:rsidR="00EB01B6" w:rsidRPr="004C0BFE">
        <w:t xml:space="preserve"> </w:t>
      </w:r>
    </w:p>
    <w:p w14:paraId="264DBBDC" w14:textId="77777777" w:rsidR="00844D9B" w:rsidRPr="004C0BFE" w:rsidRDefault="00844D9B" w:rsidP="00844D9B">
      <w:pPr>
        <w:pStyle w:val="ALJBodyText"/>
        <w:ind w:firstLine="0"/>
      </w:pPr>
      <w:r w:rsidRPr="004C0BFE">
        <w:t xml:space="preserve">Pending resolution of the issue by Working Group Three or other Commission decision, CalCCA supports valuing RA resources at the IOUs’ price floor, if there is any, or zero, if there is no floor price. </w:t>
      </w:r>
    </w:p>
    <w:p w14:paraId="0F2CB54D" w14:textId="77777777" w:rsidR="00844D9B" w:rsidRDefault="00844D9B" w:rsidP="00844D9B">
      <w:pPr>
        <w:pStyle w:val="ALJHeading3"/>
      </w:pPr>
      <w:bookmarkStart w:id="64" w:name="_Toc16242535"/>
      <w:bookmarkStart w:id="65" w:name="_Toc17368180"/>
      <w:r>
        <w:t>Scoping Memo Issues 6 and 7: Party Comments</w:t>
      </w:r>
      <w:bookmarkEnd w:id="64"/>
      <w:bookmarkEnd w:id="65"/>
    </w:p>
    <w:p w14:paraId="4134154D" w14:textId="77777777" w:rsidR="00844D9B" w:rsidRPr="004C0BFE" w:rsidRDefault="00844D9B" w:rsidP="00EB01B6">
      <w:pPr>
        <w:pStyle w:val="Standard"/>
      </w:pPr>
      <w:r w:rsidRPr="004C0BFE">
        <w:t>Several parties, including the Joint IOUs, CLECA, and Public Advocates Office, oppose CalCCA’s Proposal for numerous reasons, including the following:</w:t>
      </w:r>
    </w:p>
    <w:p w14:paraId="06220C02" w14:textId="77777777" w:rsidR="00844D9B" w:rsidRPr="004C0BFE" w:rsidRDefault="00844D9B" w:rsidP="00EB01B6">
      <w:pPr>
        <w:pStyle w:val="ALJBodyText"/>
        <w:numPr>
          <w:ilvl w:val="0"/>
          <w:numId w:val="31"/>
        </w:numPr>
        <w:spacing w:after="120" w:line="240" w:lineRule="auto"/>
        <w:ind w:right="1440"/>
      </w:pPr>
      <w:r w:rsidRPr="004C0BFE">
        <w:t xml:space="preserve">If an IOU applies a price floor to RA sales, bundled service customers would be required to credit departing load customers for unsold RA value, when they receive none; thereby shifting costs to bundled customers. </w:t>
      </w:r>
    </w:p>
    <w:p w14:paraId="633364D1" w14:textId="77777777" w:rsidR="00844D9B" w:rsidRPr="004C0BFE" w:rsidRDefault="00844D9B" w:rsidP="00EB01B6">
      <w:pPr>
        <w:pStyle w:val="ALJBodyText"/>
        <w:numPr>
          <w:ilvl w:val="0"/>
          <w:numId w:val="31"/>
        </w:numPr>
        <w:spacing w:after="120" w:line="240" w:lineRule="auto"/>
        <w:ind w:right="1440"/>
      </w:pPr>
      <w:r w:rsidRPr="004C0BFE">
        <w:lastRenderedPageBreak/>
        <w:t xml:space="preserve">CalCCA’s proposal would lead to unreasonable portfolio management by providing an incentive not to apply price floors to RA sales, thereby increasing customer costs. </w:t>
      </w:r>
    </w:p>
    <w:p w14:paraId="45AF99B1" w14:textId="77777777" w:rsidR="00844D9B" w:rsidRPr="004C0BFE" w:rsidRDefault="00844D9B" w:rsidP="00EB01B6">
      <w:pPr>
        <w:pStyle w:val="ALJBodyText"/>
        <w:numPr>
          <w:ilvl w:val="0"/>
          <w:numId w:val="31"/>
        </w:numPr>
        <w:spacing w:after="120" w:line="240" w:lineRule="auto"/>
        <w:ind w:right="1440"/>
      </w:pPr>
      <w:r w:rsidRPr="004C0BFE">
        <w:t>CalCCA’s proposal fails to recognize that bid floor can reflect the variety of different resources within a portfolio, with different expected costs. For example, a fossil unit with a low forced outage rate may have minimal expected costs, while a hydroelectric unit during a drought might expect relatively higher CAISO charges.</w:t>
      </w:r>
    </w:p>
    <w:p w14:paraId="7CA7E720" w14:textId="3F4685C7" w:rsidR="00844D9B" w:rsidRPr="004C0BFE" w:rsidRDefault="00844D9B" w:rsidP="00EB01B6">
      <w:pPr>
        <w:pStyle w:val="ListParagraph"/>
        <w:numPr>
          <w:ilvl w:val="0"/>
          <w:numId w:val="31"/>
        </w:numPr>
        <w:spacing w:after="120"/>
        <w:ind w:right="1440"/>
      </w:pPr>
      <w:r w:rsidRPr="004C0BFE">
        <w:t xml:space="preserve">CalCCA’s alternative conflates bid floor with a </w:t>
      </w:r>
      <w:r w:rsidRPr="004C0BFE">
        <w:rPr>
          <w:i/>
          <w:iCs/>
        </w:rPr>
        <w:t>de minimis</w:t>
      </w:r>
      <w:r w:rsidRPr="004C0BFE">
        <w:t xml:space="preserve"> price by applying the same price to capacity that remains unsold in the true</w:t>
      </w:r>
      <w:r w:rsidR="00FB3A2A" w:rsidRPr="004C0BFE">
        <w:t xml:space="preserve"> </w:t>
      </w:r>
      <w:r w:rsidRPr="004C0BFE">
        <w:t>up, making the proposal inconsistent with D.18-10-019. P</w:t>
      </w:r>
      <w:r w:rsidR="002623E2" w:rsidRPr="004C0BFE">
        <w:t>ursuant to</w:t>
      </w:r>
      <w:r w:rsidRPr="004C0BFE">
        <w:t xml:space="preserve"> D.18-10-019</w:t>
      </w:r>
      <w:r w:rsidR="002623E2" w:rsidRPr="004C0BFE">
        <w:t>,</w:t>
      </w:r>
      <w:r w:rsidRPr="004C0BFE">
        <w:t xml:space="preserve"> a potential </w:t>
      </w:r>
      <w:r w:rsidRPr="004C0BFE">
        <w:rPr>
          <w:i/>
          <w:iCs/>
        </w:rPr>
        <w:t>de minimis</w:t>
      </w:r>
      <w:r w:rsidRPr="004C0BFE">
        <w:t xml:space="preserve"> price only applies to capacity expected to remain unsold in the forecast. </w:t>
      </w:r>
    </w:p>
    <w:p w14:paraId="505AAFEF" w14:textId="77777777" w:rsidR="00844D9B" w:rsidRPr="004C0BFE" w:rsidRDefault="00844D9B" w:rsidP="00EB01B6">
      <w:pPr>
        <w:pStyle w:val="ALJBodyText"/>
        <w:numPr>
          <w:ilvl w:val="0"/>
          <w:numId w:val="31"/>
        </w:numPr>
        <w:spacing w:after="120" w:line="240" w:lineRule="auto"/>
        <w:ind w:right="1440"/>
      </w:pPr>
      <w:r w:rsidRPr="004C0BFE">
        <w:t xml:space="preserve">CalCCA’s recommendation could create a perverse incentive for the utilities to set the price below a reasonable price floor, which would in turn create a subsidy to the entity purchasing the capacity. </w:t>
      </w:r>
    </w:p>
    <w:p w14:paraId="421C40A9" w14:textId="0F86F711" w:rsidR="00844D9B" w:rsidRPr="004C0BFE" w:rsidRDefault="00844D9B" w:rsidP="00EB01B6">
      <w:pPr>
        <w:pStyle w:val="ALJBodyText"/>
        <w:numPr>
          <w:ilvl w:val="0"/>
          <w:numId w:val="31"/>
        </w:numPr>
        <w:spacing w:after="120" w:line="240" w:lineRule="auto"/>
        <w:ind w:right="1440"/>
      </w:pPr>
      <w:r w:rsidRPr="004C0BFE">
        <w:t xml:space="preserve">Assigning the floor price sends the wrong market signals and could result in bundled </w:t>
      </w:r>
      <w:r w:rsidR="00C21AEF" w:rsidRPr="004C0BFE">
        <w:t>and</w:t>
      </w:r>
      <w:r w:rsidRPr="004C0BFE">
        <w:t xml:space="preserve"> unbundled customers paying CAISO penalties.</w:t>
      </w:r>
    </w:p>
    <w:p w14:paraId="4F6B9D63" w14:textId="77777777" w:rsidR="005D0277" w:rsidRPr="004C0BFE" w:rsidRDefault="00844D9B" w:rsidP="00CF1FA6">
      <w:pPr>
        <w:pStyle w:val="Standard"/>
      </w:pPr>
      <w:r w:rsidRPr="004C0BFE">
        <w:t xml:space="preserve">In contrast, several parties support CalCCA’s proposal. </w:t>
      </w:r>
      <w:r w:rsidR="005D0277" w:rsidRPr="004C0BFE">
        <w:t xml:space="preserve"> </w:t>
      </w:r>
      <w:r w:rsidRPr="004C0BFE">
        <w:t xml:space="preserve">AReM/DACC believes that the floor price represents the minimum value placed on the RA resources. </w:t>
      </w:r>
      <w:r w:rsidR="005D0277" w:rsidRPr="004C0BFE">
        <w:t xml:space="preserve"> </w:t>
      </w:r>
      <w:r w:rsidRPr="004C0BFE">
        <w:t xml:space="preserve">Therefore, in AReM/DACC’s view, pending any resolution of this issue in Working Group Three, the unsold RA should be assigned a value equal to the IOUs’ price floor (if there is one), or zero (if no floor). </w:t>
      </w:r>
      <w:r w:rsidR="005D0277" w:rsidRPr="004C0BFE">
        <w:t xml:space="preserve"> </w:t>
      </w:r>
      <w:r w:rsidRPr="004C0BFE">
        <w:t xml:space="preserve">The City of </w:t>
      </w:r>
    </w:p>
    <w:p w14:paraId="265E04FB" w14:textId="4B9287AC" w:rsidR="00844D9B" w:rsidRPr="004C0BFE" w:rsidRDefault="00844D9B" w:rsidP="005D0277">
      <w:pPr>
        <w:pStyle w:val="ALJBodyText"/>
        <w:ind w:firstLine="0"/>
      </w:pPr>
      <w:r w:rsidRPr="004C0BFE">
        <w:t>San Diego also supports CalCCA’s proposal and asserts that the IOUs have complete control over the setting of the floor price for its resource solicitations; if the IOU sets an unreasonably high floor price, then the floor price could very well be a major factor for RA resources remaining unsold.</w:t>
      </w:r>
    </w:p>
    <w:p w14:paraId="7FF1C807" w14:textId="47C0FD80" w:rsidR="00844D9B" w:rsidRPr="004C0BFE" w:rsidRDefault="00844D9B" w:rsidP="00CF1FA6">
      <w:pPr>
        <w:pStyle w:val="Standard"/>
      </w:pPr>
      <w:r w:rsidRPr="004C0BFE">
        <w:lastRenderedPageBreak/>
        <w:t xml:space="preserve">In </w:t>
      </w:r>
      <w:r w:rsidR="00C21AEF" w:rsidRPr="004C0BFE">
        <w:t>its</w:t>
      </w:r>
      <w:r w:rsidRPr="004C0BFE">
        <w:t xml:space="preserve"> comments, CalCCA clarifies that </w:t>
      </w:r>
      <w:r w:rsidR="00547B73" w:rsidRPr="004C0BFE">
        <w:t xml:space="preserve">the </w:t>
      </w:r>
      <w:r w:rsidRPr="004C0BFE">
        <w:t>Commission should deem RA volumes unsold, only if RA volumes are offered for sale in a meaningful time</w:t>
      </w:r>
      <w:r w:rsidR="00547B73" w:rsidRPr="004C0BFE">
        <w:t>frame</w:t>
      </w:r>
      <w:r w:rsidRPr="004C0BFE">
        <w:t xml:space="preserve"> prior to RA compliance deadlines. </w:t>
      </w:r>
      <w:r w:rsidR="00CF1FA6" w:rsidRPr="004C0BFE">
        <w:t xml:space="preserve"> </w:t>
      </w:r>
      <w:r w:rsidRPr="004C0BFE">
        <w:t>In CalCCA’s view, the timing requirement ensures that the value of RA assets is maximized and a robust RA market is promoted.</w:t>
      </w:r>
      <w:r w:rsidR="00CF1FA6" w:rsidRPr="004C0BFE">
        <w:t xml:space="preserve"> </w:t>
      </w:r>
      <w:r w:rsidRPr="004C0BFE">
        <w:t xml:space="preserve"> Under this revised proposal, RA will either be used or retained by the IOU for compliance, or it will be offered to market participants in time to meet those participants’ own compliance requirements.</w:t>
      </w:r>
      <w:r w:rsidR="00CF1FA6" w:rsidRPr="004C0BFE">
        <w:t xml:space="preserve"> </w:t>
      </w:r>
      <w:r w:rsidRPr="004C0BFE">
        <w:t xml:space="preserve"> As such, this requirement will ensure that bids in response to solicitations will garner appropriate sale prices.  According to CalCCA, this approach is simple to administer and should avoid disputes over what amounts are eligible for "unsold" treatment in the PCIA. </w:t>
      </w:r>
    </w:p>
    <w:p w14:paraId="7993B33E" w14:textId="3E8E991A" w:rsidR="00844D9B" w:rsidRPr="004C0BFE" w:rsidRDefault="00844D9B" w:rsidP="00CF1FA6">
      <w:pPr>
        <w:pStyle w:val="Standard"/>
      </w:pPr>
      <w:r w:rsidRPr="004C0BFE">
        <w:t xml:space="preserve">TURN does not endorse either the PG&amp;E or the CalCCA proposal, but notes the IOUs should have some obligation to make RA available on a known schedule and terms, but not necessarily at the earliest annual auction as CalCCA has initially proposed. </w:t>
      </w:r>
      <w:r w:rsidR="00CF1FA6" w:rsidRPr="004C0BFE">
        <w:t xml:space="preserve"> </w:t>
      </w:r>
      <w:r w:rsidRPr="004C0BFE">
        <w:t>TURN recommends that the specific obligation of IOUs to make RA available through regular scheduled auctions should be addressed in Working Group Three.</w:t>
      </w:r>
      <w:r w:rsidR="00CF1FA6" w:rsidRPr="004C0BFE">
        <w:t xml:space="preserve"> </w:t>
      </w:r>
      <w:r w:rsidRPr="004C0BFE">
        <w:t xml:space="preserve"> Joint IOUs agree that any changes to the RA sale process should be considered within Working Group Three, and subsequently incorporated into IOU BPPs.</w:t>
      </w:r>
    </w:p>
    <w:p w14:paraId="325057B9" w14:textId="7F945E3F" w:rsidR="00844D9B" w:rsidRPr="004C0BFE" w:rsidRDefault="00844D9B" w:rsidP="00CF1FA6">
      <w:pPr>
        <w:pStyle w:val="Standard"/>
      </w:pPr>
      <w:r w:rsidRPr="004C0BFE">
        <w:t xml:space="preserve">Regarding the value of the unsold RA, TURN considers a nonzero value to be appropriate, but questions whether the floor price is the proper value. </w:t>
      </w:r>
      <w:r w:rsidR="00CF1FA6" w:rsidRPr="004C0BFE">
        <w:t xml:space="preserve"> </w:t>
      </w:r>
      <w:r w:rsidRPr="004C0BFE">
        <w:t>TURN states that if a value greater than zero is to be estimated, further review of the IOUs’ price floors or other possible values would be necessary.</w:t>
      </w:r>
    </w:p>
    <w:p w14:paraId="4F4213F8" w14:textId="77777777" w:rsidR="00844D9B" w:rsidRDefault="00844D9B" w:rsidP="00844D9B">
      <w:pPr>
        <w:pStyle w:val="ALJHeading3"/>
      </w:pPr>
      <w:bookmarkStart w:id="66" w:name="_Toc16242536"/>
      <w:bookmarkStart w:id="67" w:name="_Toc17368181"/>
      <w:r>
        <w:t>Resolving Scoping Memo Issues 6 and 7</w:t>
      </w:r>
      <w:bookmarkEnd w:id="66"/>
      <w:bookmarkEnd w:id="67"/>
    </w:p>
    <w:p w14:paraId="3505010A" w14:textId="51C9E56D" w:rsidR="00844D9B" w:rsidRPr="004C0BFE" w:rsidRDefault="00844D9B" w:rsidP="00CF1FA6">
      <w:pPr>
        <w:pStyle w:val="Standard"/>
      </w:pPr>
      <w:r w:rsidRPr="004C0BFE">
        <w:t xml:space="preserve">In D. 18-10-019, the Commission </w:t>
      </w:r>
      <w:r w:rsidR="00F1649A" w:rsidRPr="004C0BFE">
        <w:t>found</w:t>
      </w:r>
      <w:r w:rsidRPr="004C0BFE">
        <w:t xml:space="preserve"> a zero or </w:t>
      </w:r>
      <w:r w:rsidRPr="004C0BFE">
        <w:rPr>
          <w:i/>
          <w:iCs/>
        </w:rPr>
        <w:t>de minimis</w:t>
      </w:r>
      <w:r w:rsidRPr="004C0BFE">
        <w:t xml:space="preserve"> price must be assigned for capacity expected to remain unsold for purposes of calculating the </w:t>
      </w:r>
      <w:r w:rsidRPr="004C0BFE">
        <w:lastRenderedPageBreak/>
        <w:t xml:space="preserve">MPB.  Based on (1) the Commission’s differentiation between a zero or </w:t>
      </w:r>
      <w:r w:rsidRPr="004C0BFE">
        <w:rPr>
          <w:i/>
          <w:iCs/>
        </w:rPr>
        <w:t>de minimis</w:t>
      </w:r>
      <w:r w:rsidRPr="004C0BFE">
        <w:t xml:space="preserve"> value and (2) the plain meaning of “de minimis,” one can argue that “de minimis value” should be taken as a value that is close to zero, but not zero.</w:t>
      </w:r>
      <w:r w:rsidR="00CF1FA6" w:rsidRPr="004C0BFE">
        <w:t xml:space="preserve"> </w:t>
      </w:r>
      <w:r w:rsidRPr="004C0BFE">
        <w:t xml:space="preserve"> Neither the co-chairs nor the other parties have attempted to define parameters to specify a </w:t>
      </w:r>
      <w:r w:rsidRPr="004C0BFE">
        <w:rPr>
          <w:i/>
          <w:iCs/>
        </w:rPr>
        <w:t>de minimis</w:t>
      </w:r>
      <w:r w:rsidRPr="004C0BFE">
        <w:t xml:space="preserve"> value. Instead, they focused on the zero value or the floor price, which is not necessarily close to zero. </w:t>
      </w:r>
    </w:p>
    <w:p w14:paraId="1C059E59" w14:textId="4CBD1FA2" w:rsidR="00844D9B" w:rsidRPr="004C0BFE" w:rsidRDefault="00844D9B" w:rsidP="00CF1FA6">
      <w:pPr>
        <w:pStyle w:val="Standard"/>
      </w:pPr>
      <w:r w:rsidRPr="004C0BFE">
        <w:t xml:space="preserve"> We find that the Joint IOUs presented compelling arguments for why the floor price should not be designated as </w:t>
      </w:r>
      <w:r w:rsidR="00302FD6" w:rsidRPr="004C0BFE">
        <w:t xml:space="preserve">the </w:t>
      </w:r>
      <w:r w:rsidRPr="004C0BFE">
        <w:rPr>
          <w:i/>
          <w:iCs/>
        </w:rPr>
        <w:t>de minimis</w:t>
      </w:r>
      <w:r w:rsidRPr="004C0BFE">
        <w:t xml:space="preserve"> value.</w:t>
      </w:r>
      <w:r w:rsidR="00CF1FA6" w:rsidRPr="004C0BFE">
        <w:t xml:space="preserve"> </w:t>
      </w:r>
      <w:r w:rsidRPr="004C0BFE">
        <w:t xml:space="preserve"> However, we do not have sufficient record to designate any other positive value closer to zero as the “de minimis” value. </w:t>
      </w:r>
      <w:r w:rsidR="00CF1FA6" w:rsidRPr="004C0BFE">
        <w:t xml:space="preserve"> </w:t>
      </w:r>
      <w:r w:rsidRPr="004C0BFE">
        <w:t xml:space="preserve">Therefore, we adopt PG&amp;E’s proposal to set unsold RA value to be zero. </w:t>
      </w:r>
    </w:p>
    <w:p w14:paraId="1E987B46" w14:textId="49735CD7" w:rsidR="00844D9B" w:rsidRPr="004C0BFE" w:rsidRDefault="00844D9B" w:rsidP="00CF1FA6">
      <w:pPr>
        <w:pStyle w:val="Standard"/>
      </w:pPr>
      <w:r w:rsidRPr="004C0BFE">
        <w:t>We disagree with CalCCA’s proposal to have the quantity reflect the timing of the amount offered for sale by the end of August.</w:t>
      </w:r>
      <w:r w:rsidR="00CF1FA6" w:rsidRPr="004C0BFE">
        <w:t xml:space="preserve"> </w:t>
      </w:r>
      <w:r w:rsidRPr="004C0BFE">
        <w:t xml:space="preserve"> Because final RA allocations are not determined until September, having the IOUs sell off RA resources prior to the September date </w:t>
      </w:r>
      <w:r w:rsidR="00302FD6" w:rsidRPr="004C0BFE">
        <w:t>c</w:t>
      </w:r>
      <w:r w:rsidRPr="004C0BFE">
        <w:t xml:space="preserve">ould put bundled customers at financial risk, should the forecast change. </w:t>
      </w:r>
      <w:r w:rsidR="00CF1FA6" w:rsidRPr="004C0BFE">
        <w:t xml:space="preserve"> </w:t>
      </w:r>
      <w:r w:rsidRPr="004C0BFE">
        <w:t xml:space="preserve">We agree with TURN that the specific obligation of IOUs to make RA available through regular scheduled auctions should be addressed by Working Group Three. </w:t>
      </w:r>
      <w:r w:rsidR="00CF1FA6" w:rsidRPr="004C0BFE">
        <w:t xml:space="preserve"> </w:t>
      </w:r>
      <w:r w:rsidRPr="004C0BFE">
        <w:t>Any changes to the RA sale process should be considered within Working Group Three, and subsequently incorporated into respective procurement plans.</w:t>
      </w:r>
      <w:r w:rsidR="00CF1FA6" w:rsidRPr="004C0BFE">
        <w:t xml:space="preserve"> </w:t>
      </w:r>
      <w:r w:rsidRPr="004C0BFE">
        <w:t xml:space="preserve"> We agree with the Public Advocates Office in that, at a minimum, the IOUs should identify the quantity of RA offered for sale to an Independent Evaluator and its Procurement Review Group in advance of when bids are due. </w:t>
      </w:r>
      <w:r w:rsidR="00CF1FA6" w:rsidRPr="004C0BFE">
        <w:t xml:space="preserve"> </w:t>
      </w:r>
      <w:r w:rsidRPr="004C0BFE">
        <w:t xml:space="preserve">The IOUs should also document the quantity of RA offered for sale in the Quarterly Compliance Report and show that it is consistent with the Bundled Procurement Plan.  In addition, the IOUs should demonstrate to the PRG that the RA floor price is set at a specific level in </w:t>
      </w:r>
      <w:r w:rsidRPr="004C0BFE">
        <w:lastRenderedPageBreak/>
        <w:t xml:space="preserve">order to account for </w:t>
      </w:r>
      <w:r w:rsidR="00C020CD" w:rsidRPr="004C0BFE">
        <w:t xml:space="preserve">financial risks to ratepayers responsible for the corresponding costs, such as </w:t>
      </w:r>
      <w:r w:rsidRPr="004C0BFE">
        <w:t xml:space="preserve">possible CAISO penalties. </w:t>
      </w:r>
      <w:r w:rsidR="00CF1FA6" w:rsidRPr="004C0BFE">
        <w:t xml:space="preserve"> </w:t>
      </w:r>
      <w:r w:rsidRPr="004C0BFE">
        <w:t xml:space="preserve">Further review of the IOUs’ price floors or other possible metrics may also be taken up within Working Group Three efforts.  </w:t>
      </w:r>
    </w:p>
    <w:p w14:paraId="5ABDF615" w14:textId="06C6940F" w:rsidR="00844D9B" w:rsidRPr="004C0BFE" w:rsidRDefault="00844D9B" w:rsidP="00CF1FA6">
      <w:pPr>
        <w:pStyle w:val="Standard"/>
      </w:pPr>
      <w:r w:rsidRPr="004C0BFE">
        <w:t xml:space="preserve">Determining a floor price in a solicitation requires consideration of several factors.  One of these factors is the California Independent System Operator (CAISO) penalties, </w:t>
      </w:r>
      <w:r w:rsidRPr="004C0BFE">
        <w:rPr>
          <w:i/>
          <w:iCs/>
        </w:rPr>
        <w:t>e.g</w:t>
      </w:r>
      <w:r w:rsidRPr="004C0BFE">
        <w:t xml:space="preserve">., Resource Adequacy Availability Incentive Mechanism costs. </w:t>
      </w:r>
      <w:r w:rsidR="00CF1FA6" w:rsidRPr="004C0BFE">
        <w:t xml:space="preserve"> </w:t>
      </w:r>
      <w:r w:rsidRPr="004C0BFE">
        <w:t xml:space="preserve">As explained by the IOUs, the IOUs would not sell RA resources below the floor price because the possible CAISO penalties for doing so could require the IOUs to recover costs in excess of the floor price from both bundled service and departing load customers.  If the Commission were to assign the RA floor price value to unsold RA, it would be preferable for IOUs to sell their RA below the floor price and incur the penalties. </w:t>
      </w:r>
      <w:r w:rsidR="003F77F4" w:rsidRPr="004C0BFE">
        <w:t xml:space="preserve"> </w:t>
      </w:r>
      <w:r w:rsidRPr="004C0BFE">
        <w:t xml:space="preserve">This </w:t>
      </w:r>
      <w:r w:rsidR="00302FD6" w:rsidRPr="004C0BFE">
        <w:t>procurement action would</w:t>
      </w:r>
      <w:r w:rsidRPr="004C0BFE">
        <w:t xml:space="preserve"> violate the </w:t>
      </w:r>
      <w:r w:rsidR="00302FD6" w:rsidRPr="004C0BFE">
        <w:t xml:space="preserve">IOU procurement </w:t>
      </w:r>
      <w:r w:rsidRPr="004C0BFE">
        <w:t>Standards of Conduct (SOC) 4 of the Procurement Manual, approved by the Commission.  SOC 4 requires the utilities to prudently manage their portfolios.</w:t>
      </w:r>
      <w:r w:rsidR="003F77F4" w:rsidRPr="004C0BFE">
        <w:t xml:space="preserve">  </w:t>
      </w:r>
      <w:r w:rsidRPr="004C0BFE">
        <w:t>Selling RA below the floor price may not be the optimal portfolio choice</w:t>
      </w:r>
      <w:r w:rsidR="000E0446" w:rsidRPr="004C0BFE">
        <w:t xml:space="preserve"> when offsetting costs (</w:t>
      </w:r>
      <w:r w:rsidR="000E0446" w:rsidRPr="004C0BFE">
        <w:rPr>
          <w:i/>
          <w:iCs/>
        </w:rPr>
        <w:t>e.g</w:t>
      </w:r>
      <w:r w:rsidR="000E0446" w:rsidRPr="004C0BFE">
        <w:t>., RAAIM penalties) of the sale are considered</w:t>
      </w:r>
      <w:r w:rsidRPr="004C0BFE">
        <w:t xml:space="preserve">.  </w:t>
      </w:r>
    </w:p>
    <w:p w14:paraId="449672AC" w14:textId="77777777" w:rsidR="00844D9B" w:rsidRPr="004C0BFE" w:rsidRDefault="00844D9B" w:rsidP="003F77F4">
      <w:pPr>
        <w:pStyle w:val="Standard"/>
      </w:pPr>
      <w:r w:rsidRPr="004C0BFE">
        <w:t>The example provided by Joint IOUs clearly illustrates this point:</w:t>
      </w:r>
    </w:p>
    <w:p w14:paraId="5ABA11AA" w14:textId="1DF38F09" w:rsidR="00844D9B" w:rsidRPr="004C0BFE" w:rsidRDefault="00844D9B" w:rsidP="003F77F4">
      <w:pPr>
        <w:pStyle w:val="BlockQuote"/>
      </w:pPr>
      <w:r w:rsidRPr="004C0BFE">
        <w:t xml:space="preserve">“Consider if an unsold resource has a contract cost of $10; if the capacity is supplied to the California Independent System Operator (CAISO) as RA then it becomes subject to the CAISO’s non-availability standards (currently known as Resource Adequacy Incentive Mechanism (RAAIM) charges).  For the purposes of this example, assume the unit has an expected RAAIM charge of $2 and that there are no other incremental costs to consummating the transaction.  If the unit is then sold for $1, because no price floor was used, such a sale would result in an increase in total costs of $1. In this example, all customers paying the PCIA – both bundled service </w:t>
      </w:r>
      <w:r w:rsidRPr="004C0BFE">
        <w:lastRenderedPageBreak/>
        <w:t>and departing load – will subsidize the entity that purchased RA for $1, and the above market cost of the portfolio increases from $10 to $11.  A prudent portfolio manager, on the other hand, should set a price floor of $2.01 in the above example.”</w:t>
      </w:r>
      <w:r w:rsidR="00A0550C" w:rsidRPr="004C0BFE">
        <w:rPr>
          <w:rStyle w:val="FootnoteReference"/>
        </w:rPr>
        <w:footnoteReference w:id="31"/>
      </w:r>
      <w:r w:rsidRPr="004C0BFE">
        <w:t xml:space="preserve">  </w:t>
      </w:r>
    </w:p>
    <w:p w14:paraId="75677853" w14:textId="0B2AB86D" w:rsidR="00844D9B" w:rsidRPr="004C0BFE" w:rsidRDefault="00844D9B" w:rsidP="00E72FAD">
      <w:pPr>
        <w:pStyle w:val="Standard"/>
      </w:pPr>
      <w:r w:rsidRPr="004C0BFE">
        <w:t xml:space="preserve">In conclusion, use of a proper price floor </w:t>
      </w:r>
      <w:r w:rsidR="00283978" w:rsidRPr="004C0BFE">
        <w:t xml:space="preserve">in resource solicitations </w:t>
      </w:r>
      <w:r w:rsidRPr="004C0BFE">
        <w:t xml:space="preserve">may maximize the value of the portfolio and is consistent with </w:t>
      </w:r>
      <w:r w:rsidR="00C020CD" w:rsidRPr="004C0BFE">
        <w:t>the Commission’s</w:t>
      </w:r>
      <w:r w:rsidRPr="004C0BFE">
        <w:t xml:space="preserve"> procurement standards.</w:t>
      </w:r>
      <w:r w:rsidR="00E72FAD" w:rsidRPr="004C0BFE">
        <w:t xml:space="preserve"> </w:t>
      </w:r>
      <w:r w:rsidRPr="004C0BFE">
        <w:t xml:space="preserve"> CalCCA’s proposal would provide a disincentive for the use of a price floor in an IOU solicitation.  If a price floor is used and RA remains unsold, CalCCA’s alternative would require IOU bundled customers to credit departed load customers for that RA at the price floor, shifting costs to bundled customers by requiring the bundled customers to buy resources they do not need. </w:t>
      </w:r>
      <w:r w:rsidR="00E72FAD" w:rsidRPr="004C0BFE">
        <w:t xml:space="preserve"> </w:t>
      </w:r>
      <w:r w:rsidRPr="004C0BFE">
        <w:t xml:space="preserve">Hence, we do not adopt CalCCA proposal. </w:t>
      </w:r>
    </w:p>
    <w:p w14:paraId="1D7FFB18" w14:textId="5CBE6BC5" w:rsidR="00844D9B" w:rsidRPr="004C0BFE" w:rsidRDefault="00844D9B" w:rsidP="00E72FAD">
      <w:pPr>
        <w:pStyle w:val="Standard"/>
      </w:pPr>
      <w:r w:rsidRPr="004C0BFE">
        <w:t xml:space="preserve">Further exploration of issues related to sale practices in Working Group Three </w:t>
      </w:r>
      <w:r w:rsidR="00283978" w:rsidRPr="004C0BFE">
        <w:t>should</w:t>
      </w:r>
      <w:r w:rsidRPr="004C0BFE">
        <w:t xml:space="preserve"> help us </w:t>
      </w:r>
      <w:r w:rsidR="00283978" w:rsidRPr="004C0BFE">
        <w:t>identify</w:t>
      </w:r>
      <w:r w:rsidRPr="004C0BFE">
        <w:t xml:space="preserve"> a balanced approach providing the right incentives for portfolio optimization while making sure that there is no cost shifting between bundled and departing load. </w:t>
      </w:r>
    </w:p>
    <w:p w14:paraId="51D093C5" w14:textId="77777777" w:rsidR="00844D9B" w:rsidRDefault="00844D9B" w:rsidP="00844D9B">
      <w:pPr>
        <w:pStyle w:val="ALJHeading2"/>
      </w:pPr>
      <w:bookmarkStart w:id="68" w:name="_Toc16242537"/>
      <w:bookmarkStart w:id="69" w:name="_Toc17368182"/>
      <w:r>
        <w:t>Billing Determinants (Scoping Memo Issue 11)</w:t>
      </w:r>
      <w:bookmarkEnd w:id="68"/>
      <w:bookmarkEnd w:id="69"/>
    </w:p>
    <w:p w14:paraId="49C1D46B" w14:textId="77777777" w:rsidR="00844D9B" w:rsidRPr="004C0BFE" w:rsidRDefault="00844D9B" w:rsidP="00E72FAD">
      <w:pPr>
        <w:pStyle w:val="Standard"/>
      </w:pPr>
      <w:r w:rsidRPr="004C0BFE">
        <w:t xml:space="preserve">The Scoping Memo Issue 11 asks whether the Commission should clarify the definition of billing determinants and their proper usage for calculating the PCIA, and if so, how. </w:t>
      </w:r>
    </w:p>
    <w:p w14:paraId="2BFEDD45" w14:textId="7E7DE007" w:rsidR="00844D9B" w:rsidRPr="004C0BFE" w:rsidRDefault="00844D9B" w:rsidP="00E72FAD">
      <w:pPr>
        <w:pStyle w:val="Standard"/>
      </w:pPr>
      <w:r w:rsidRPr="004C0BFE">
        <w:t>We approve the use of vintage</w:t>
      </w:r>
      <w:r w:rsidR="002203B4" w:rsidRPr="004C0BFE">
        <w:t>-</w:t>
      </w:r>
      <w:r w:rsidRPr="004C0BFE">
        <w:t xml:space="preserve">specific billing determinants. The actual use of vintage specific billing determinants shall be presented and approved in each utility’s respective 2020 ERRA Forecast Application. </w:t>
      </w:r>
    </w:p>
    <w:p w14:paraId="6B7B7615" w14:textId="77777777" w:rsidR="00844D9B" w:rsidRDefault="00844D9B" w:rsidP="00844D9B">
      <w:pPr>
        <w:pStyle w:val="ALJHeading3"/>
      </w:pPr>
      <w:bookmarkStart w:id="70" w:name="_Toc16242538"/>
      <w:bookmarkStart w:id="71" w:name="_Toc17368183"/>
      <w:r>
        <w:lastRenderedPageBreak/>
        <w:t>Scoping Memo Issue 11: Proposal</w:t>
      </w:r>
      <w:bookmarkEnd w:id="70"/>
      <w:bookmarkEnd w:id="71"/>
    </w:p>
    <w:p w14:paraId="7A6DF18C" w14:textId="42A3278B" w:rsidR="00844D9B" w:rsidRPr="004C0BFE" w:rsidRDefault="00844D9B" w:rsidP="00E72FAD">
      <w:pPr>
        <w:pStyle w:val="Standard"/>
      </w:pPr>
      <w:r w:rsidRPr="004C0BFE">
        <w:t xml:space="preserve">The Joint IOUs request that the Commission approve the use of vintage specific billing determinants to calculate the vintaged PCIA rates and not rely on system sales. </w:t>
      </w:r>
      <w:r w:rsidR="00E72FAD" w:rsidRPr="004C0BFE">
        <w:t xml:space="preserve"> </w:t>
      </w:r>
      <w:r w:rsidRPr="004C0BFE">
        <w:t>The proposal explains that using vintage-specific billing determinants would prevent undercollections accruing in the PABA subaccounts resulting from insufficient PCIA revenues.</w:t>
      </w:r>
      <w:r w:rsidR="00E72FAD" w:rsidRPr="004C0BFE">
        <w:t xml:space="preserve"> </w:t>
      </w:r>
      <w:r w:rsidRPr="004C0BFE">
        <w:t xml:space="preserve"> This proposal intends to timely and accurately recover total indifference amounts from both bundled service and departing load and reduce rate volatility. </w:t>
      </w:r>
    </w:p>
    <w:p w14:paraId="66D873AE" w14:textId="0830DC69" w:rsidR="00844D9B" w:rsidRPr="004C0BFE" w:rsidRDefault="00844D9B" w:rsidP="00E72FAD">
      <w:pPr>
        <w:pStyle w:val="Standard"/>
      </w:pPr>
      <w:r w:rsidRPr="004C0BFE">
        <w:t xml:space="preserve">The Joint IOUs’ proposal is to divide the rate group-level vintaged PCIA revenue requirements by the forecasted rate group-level sales of those responsible for the vintaged portfolio to determine PCIA rates. </w:t>
      </w:r>
      <w:r w:rsidR="00E72FAD" w:rsidRPr="004C0BFE">
        <w:t xml:space="preserve"> </w:t>
      </w:r>
      <w:r w:rsidRPr="004C0BFE">
        <w:t xml:space="preserve">The use of system level sales in the denominator used to set vintaged PCIA rates is not recommended because use of system sales result in lower rates than are necessary to collect the revenue requirement; thereby resulting in a systemic undercollection of the PCIA. </w:t>
      </w:r>
    </w:p>
    <w:p w14:paraId="18DAC2BD" w14:textId="77777777" w:rsidR="00844D9B" w:rsidRPr="004C0BFE" w:rsidRDefault="00844D9B" w:rsidP="008B1522">
      <w:pPr>
        <w:pStyle w:val="Standard"/>
      </w:pPr>
      <w:r w:rsidRPr="004C0BFE">
        <w:t>PG&amp;E reports that in 2019, the use of system billing determinants results in bundled customers absorbing approximately $90 million to cover departing loads’ share of the PCIA revenue shortfall.</w:t>
      </w:r>
      <w:r w:rsidRPr="004C0BFE">
        <w:rPr>
          <w:rStyle w:val="FootnoteReference"/>
        </w:rPr>
        <w:footnoteReference w:id="32"/>
      </w:r>
      <w:r w:rsidRPr="004C0BFE">
        <w:t xml:space="preserve"> </w:t>
      </w:r>
    </w:p>
    <w:p w14:paraId="1B6D8F0D" w14:textId="77777777" w:rsidR="00844D9B" w:rsidRDefault="00844D9B" w:rsidP="00844D9B">
      <w:pPr>
        <w:pStyle w:val="ALJHeading3"/>
      </w:pPr>
      <w:bookmarkStart w:id="72" w:name="_Toc16242539"/>
      <w:bookmarkStart w:id="73" w:name="_Toc17368184"/>
      <w:r>
        <w:t>Scoping Memo Issue 11: Party Comments</w:t>
      </w:r>
      <w:bookmarkEnd w:id="72"/>
      <w:bookmarkEnd w:id="73"/>
    </w:p>
    <w:p w14:paraId="551596A6" w14:textId="7FF94557" w:rsidR="00844D9B" w:rsidRPr="004C0BFE" w:rsidRDefault="00844D9B" w:rsidP="008B1522">
      <w:pPr>
        <w:pStyle w:val="Standard"/>
      </w:pPr>
      <w:r w:rsidRPr="004C0BFE">
        <w:t>There is support for the adoption of the Joint IOU proposal. AREM/DACC concur that the vintage billing determinants conform with the direction provided in D.18-10-019.</w:t>
      </w:r>
      <w:r w:rsidR="008B1522" w:rsidRPr="004C0BFE">
        <w:t xml:space="preserve"> </w:t>
      </w:r>
      <w:r w:rsidRPr="004C0BFE">
        <w:t xml:space="preserve"> Supporting the use of vintage sales rather than system sales as billing determinants, CLECA indicates that the vintage billing determinants proposed by PG&amp;E and Southern California Edison (SCE) in their 2019 Energy </w:t>
      </w:r>
      <w:r w:rsidRPr="004C0BFE">
        <w:lastRenderedPageBreak/>
        <w:t>Resource Recovery Account (ERRA) forecast proceedings (Application 18-06-001 and Application 18-05-003) are correct.</w:t>
      </w:r>
      <w:r w:rsidRPr="004C0BFE">
        <w:rPr>
          <w:rStyle w:val="FootnoteReference"/>
        </w:rPr>
        <w:footnoteReference w:id="33"/>
      </w:r>
      <w:r w:rsidRPr="004C0BFE">
        <w:t xml:space="preserve">  </w:t>
      </w:r>
    </w:p>
    <w:p w14:paraId="38414F99" w14:textId="77777777" w:rsidR="00844D9B" w:rsidRDefault="00844D9B" w:rsidP="00844D9B">
      <w:pPr>
        <w:pStyle w:val="ALJHeading3"/>
      </w:pPr>
      <w:bookmarkStart w:id="74" w:name="_Toc16242540"/>
      <w:bookmarkStart w:id="75" w:name="_Toc17368185"/>
      <w:r>
        <w:t>Resolving Scoping Memo Issue 11</w:t>
      </w:r>
      <w:bookmarkEnd w:id="74"/>
      <w:bookmarkEnd w:id="75"/>
    </w:p>
    <w:p w14:paraId="3C976CA3" w14:textId="3E0860C2" w:rsidR="00844D9B" w:rsidRPr="004C0BFE" w:rsidRDefault="00844D9B" w:rsidP="008B1522">
      <w:pPr>
        <w:pStyle w:val="Standard"/>
      </w:pPr>
      <w:r w:rsidRPr="004C0BFE">
        <w:t>Currently, the IOUs are directed to divide each of the vintage portfolio indifference amounts by the sales of all system customers to determine the rates for each vintage portfolio.</w:t>
      </w:r>
      <w:r w:rsidR="008B1522" w:rsidRPr="004C0BFE">
        <w:t xml:space="preserve">  </w:t>
      </w:r>
      <w:r w:rsidRPr="004C0BFE">
        <w:t xml:space="preserve">That is, vintage costs are divided by more sales than expected for that vintage rate group. Since sales by vintage are by definition lower than system sales, it is conceivable that there will always be an undercollection from departing customers. </w:t>
      </w:r>
      <w:r w:rsidR="008B1522" w:rsidRPr="004C0BFE">
        <w:t xml:space="preserve"> </w:t>
      </w:r>
      <w:r w:rsidRPr="004C0BFE">
        <w:t xml:space="preserve">Even though this methodological error </w:t>
      </w:r>
      <w:r w:rsidR="0014047B" w:rsidRPr="004C0BFE">
        <w:t>i</w:t>
      </w:r>
      <w:r w:rsidRPr="004C0BFE">
        <w:t xml:space="preserve">s corrected in the true up process, we do not find it reasonable to continue a rate design practice that </w:t>
      </w:r>
      <w:r w:rsidR="000F7206" w:rsidRPr="004C0BFE">
        <w:t xml:space="preserve">repeatedly </w:t>
      </w:r>
      <w:r w:rsidRPr="004C0BFE">
        <w:t xml:space="preserve">causes cost-shifting in the short-run. </w:t>
      </w:r>
    </w:p>
    <w:p w14:paraId="182F6AB4" w14:textId="6274C1D3" w:rsidR="00844D9B" w:rsidRPr="004C0BFE" w:rsidRDefault="00844D9B" w:rsidP="001E390A">
      <w:pPr>
        <w:pStyle w:val="Standard"/>
      </w:pPr>
      <w:bookmarkStart w:id="76" w:name="_Hlk15467214"/>
      <w:r w:rsidRPr="004C0BFE">
        <w:t>We are convinced that the use of vintaged billing determinants will ensure that the forecast vintaged PCIA rates are designed to timely and accurately recover the total indifference amounts from both bundled service and departing load customers and will reduce the rate volatility caused by the application of the current methodology.</w:t>
      </w:r>
      <w:r w:rsidR="001E390A" w:rsidRPr="004C0BFE">
        <w:t xml:space="preserve"> </w:t>
      </w:r>
      <w:r w:rsidRPr="004C0BFE">
        <w:t xml:space="preserve"> Hence, we approve the use of vintage specific billing determinants. </w:t>
      </w:r>
    </w:p>
    <w:p w14:paraId="6E1D4BC9" w14:textId="671BA4CB" w:rsidR="00844D9B" w:rsidRPr="004C0BFE" w:rsidRDefault="00844D9B" w:rsidP="001E390A">
      <w:pPr>
        <w:pStyle w:val="Standard"/>
      </w:pPr>
      <w:bookmarkStart w:id="77" w:name="_Hlk20989705"/>
      <w:r w:rsidRPr="004C0BFE">
        <w:t>The actual vintage</w:t>
      </w:r>
      <w:r w:rsidR="00D40333" w:rsidRPr="004C0BFE">
        <w:t>-</w:t>
      </w:r>
      <w:r w:rsidRPr="004C0BFE">
        <w:t xml:space="preserve">specific billing determinants shall be presented and approved </w:t>
      </w:r>
      <w:r w:rsidR="00F1649A" w:rsidRPr="004C0BFE">
        <w:t>as part of</w:t>
      </w:r>
      <w:r w:rsidRPr="004C0BFE">
        <w:t xml:space="preserve"> each utility’s respective 2020 ERRA Forecast Application. </w:t>
      </w:r>
      <w:bookmarkStart w:id="78" w:name="_Toc2523441"/>
      <w:bookmarkEnd w:id="76"/>
      <w:r w:rsidR="001E390A" w:rsidRPr="004C0BFE">
        <w:t xml:space="preserve"> </w:t>
      </w:r>
      <w:bookmarkEnd w:id="77"/>
      <w:r w:rsidRPr="004C0BFE">
        <w:t xml:space="preserve">We also direct SDG&amp;E to give a presentation to Working Group One, providing information on the billing determinants SDG&amp;E uses </w:t>
      </w:r>
      <w:r w:rsidR="00D40333" w:rsidRPr="004C0BFE">
        <w:t xml:space="preserve">as </w:t>
      </w:r>
      <w:r w:rsidRPr="004C0BFE">
        <w:t xml:space="preserve">contrasted with the use of vintaged billing determinants,  within 30 days of the issuance of this decision, if it has not already provided this information to interested parties in this </w:t>
      </w:r>
      <w:r w:rsidRPr="004C0BFE">
        <w:lastRenderedPageBreak/>
        <w:t>proceeding.</w:t>
      </w:r>
      <w:r w:rsidR="001E390A" w:rsidRPr="004C0BFE">
        <w:t xml:space="preserve"> </w:t>
      </w:r>
      <w:r w:rsidRPr="004C0BFE">
        <w:t xml:space="preserve"> Similar presentations were given by SCE and PG&amp;E to Working Group One participants.</w:t>
      </w:r>
    </w:p>
    <w:p w14:paraId="74F15A66" w14:textId="77777777" w:rsidR="00844D9B" w:rsidRDefault="00844D9B" w:rsidP="00844D9B">
      <w:pPr>
        <w:pStyle w:val="ALJHeading1"/>
      </w:pPr>
      <w:bookmarkStart w:id="79" w:name="_Toc16242541"/>
      <w:bookmarkStart w:id="80" w:name="_Toc17368186"/>
      <w:r>
        <w:t>Comments on Proposed Decision</w:t>
      </w:r>
      <w:bookmarkEnd w:id="78"/>
      <w:bookmarkEnd w:id="79"/>
      <w:bookmarkEnd w:id="80"/>
    </w:p>
    <w:p w14:paraId="6A25E8F9" w14:textId="612EE53F" w:rsidR="00844D9B" w:rsidRDefault="001E390A" w:rsidP="00FD720C">
      <w:pPr>
        <w:pStyle w:val="Standard"/>
      </w:pPr>
      <w:r w:rsidRPr="004C0BFE">
        <w:t>The proposed decision of the ALJ in this matter was mailed to the parties in accordance with Section 311 of the Public Utilities Code and comments were allowed under Rule 14.3 of the Commission’s</w:t>
      </w:r>
      <w:r w:rsidR="00836892" w:rsidRPr="004C0BFE">
        <w:t xml:space="preserve"> Rules of Practice and Procedure</w:t>
      </w:r>
      <w:r w:rsidR="00844D9B" w:rsidRPr="004C0BFE">
        <w:t>.</w:t>
      </w:r>
      <w:r w:rsidR="00836892" w:rsidRPr="004C0BFE">
        <w:t xml:space="preserve">  Comments were filed on </w:t>
      </w:r>
      <w:r w:rsidR="00825C2E">
        <w:t xml:space="preserve">September 26, 2019 by the following parties: AReM/DACC; CalCCA; </w:t>
      </w:r>
      <w:r w:rsidR="00892500">
        <w:t xml:space="preserve">the City of San Diego; </w:t>
      </w:r>
      <w:r w:rsidR="0016074B">
        <w:t xml:space="preserve">the City of San Jose; </w:t>
      </w:r>
      <w:r w:rsidR="00825C2E">
        <w:t xml:space="preserve">CLECA; PG&amp;E, SCE, and SDG&amp;E; POC; </w:t>
      </w:r>
      <w:r w:rsidR="0016074B">
        <w:t xml:space="preserve">Public Advocates Office; Shell Energy North America (US), L.P.; </w:t>
      </w:r>
      <w:r w:rsidR="00825C2E">
        <w:t>and TURN. R</w:t>
      </w:r>
      <w:r w:rsidR="00836892" w:rsidRPr="004C0BFE">
        <w:t xml:space="preserve">eply comments were filed on </w:t>
      </w:r>
      <w:r w:rsidR="00825C2E">
        <w:t xml:space="preserve">October 1, 2019 </w:t>
      </w:r>
      <w:r w:rsidR="00836892" w:rsidRPr="004C0BFE">
        <w:t xml:space="preserve">by </w:t>
      </w:r>
      <w:r w:rsidR="00825C2E">
        <w:t>the following parties: CalCCA; PG&amp;E and SCE; POC; SDG&amp;E; and TURN</w:t>
      </w:r>
      <w:r w:rsidR="00836892" w:rsidRPr="004C0BFE">
        <w:t>.</w:t>
      </w:r>
      <w:r w:rsidR="00825C2E">
        <w:t xml:space="preserve"> In response, corrections and clarifications are made.</w:t>
      </w:r>
    </w:p>
    <w:p w14:paraId="60469F82" w14:textId="1C9F3B32" w:rsidR="0097001D" w:rsidRDefault="001E79C1" w:rsidP="00FD720C">
      <w:pPr>
        <w:pStyle w:val="Standard"/>
      </w:pPr>
      <w:r>
        <w:t>POC requests that SDG&amp;E file its presentation on billing determinants with a Tier 2 Advice Letter. POC’s request is denied. T</w:t>
      </w:r>
      <w:r w:rsidRPr="001E79C1">
        <w:t xml:space="preserve">he actual vintage-specific billing determinants shall be presented and approved as part of each utility’s respective 2020 ERRA Forecast Application.  </w:t>
      </w:r>
      <w:r>
        <w:t xml:space="preserve"> </w:t>
      </w:r>
    </w:p>
    <w:p w14:paraId="40542CA9" w14:textId="15E03067" w:rsidR="001E79C1" w:rsidRPr="004C0BFE" w:rsidRDefault="001E79C1" w:rsidP="00FD720C">
      <w:pPr>
        <w:pStyle w:val="Standard"/>
      </w:pPr>
      <w:r>
        <w:t>CalCCA requests that</w:t>
      </w:r>
      <w:r w:rsidRPr="001E79C1">
        <w:t xml:space="preserve"> </w:t>
      </w:r>
      <w:r w:rsidR="009F272E" w:rsidRPr="009F272E">
        <w:t>an ordering paragraph be added to specify how to “true-up” the fourth quarter of the PABA</w:t>
      </w:r>
      <w:r w:rsidR="009F272E">
        <w:t xml:space="preserve"> </w:t>
      </w:r>
      <w:r w:rsidR="009F272E" w:rsidRPr="009F272E">
        <w:t>forecast balance to actuals.</w:t>
      </w:r>
      <w:r w:rsidR="009F272E">
        <w:t xml:space="preserve"> CalCC</w:t>
      </w:r>
      <w:r w:rsidR="002D67A0">
        <w:t>A</w:t>
      </w:r>
      <w:r w:rsidR="009F272E">
        <w:t xml:space="preserve">’s request is denied. The Commission has </w:t>
      </w:r>
      <w:r w:rsidRPr="001E79C1">
        <w:t xml:space="preserve">ratemaking processes in place that will </w:t>
      </w:r>
      <w:r w:rsidR="009F272E">
        <w:t xml:space="preserve">review and </w:t>
      </w:r>
      <w:r w:rsidRPr="001E79C1">
        <w:t>incorporate the updated balancing account activity.</w:t>
      </w:r>
    </w:p>
    <w:p w14:paraId="4B678447" w14:textId="77777777" w:rsidR="00844D9B" w:rsidRDefault="00844D9B" w:rsidP="00844D9B">
      <w:pPr>
        <w:pStyle w:val="ALJHeading1"/>
      </w:pPr>
      <w:bookmarkStart w:id="81" w:name="_Toc2523442"/>
      <w:bookmarkStart w:id="82" w:name="_Toc16242542"/>
      <w:bookmarkStart w:id="83" w:name="_Toc17368187"/>
      <w:r>
        <w:t>Assignment of Proceeding</w:t>
      </w:r>
      <w:bookmarkEnd w:id="81"/>
      <w:bookmarkEnd w:id="82"/>
      <w:bookmarkEnd w:id="83"/>
    </w:p>
    <w:p w14:paraId="5D4A803E" w14:textId="5E7CD815" w:rsidR="00844D9B" w:rsidRPr="004C0BFE" w:rsidRDefault="00844D9B" w:rsidP="00FD720C">
      <w:pPr>
        <w:pStyle w:val="Standard"/>
      </w:pPr>
      <w:r w:rsidRPr="004C0BFE">
        <w:t>M</w:t>
      </w:r>
      <w:r w:rsidR="00A31B7A" w:rsidRPr="004C0BFE">
        <w:t>arybel Batjer</w:t>
      </w:r>
      <w:r w:rsidRPr="004C0BFE">
        <w:t xml:space="preserve"> is the assigned Commissioner and Nilgun Atamturk is the assigned Administrative Law Judge in this proceeding.</w:t>
      </w:r>
    </w:p>
    <w:p w14:paraId="0E26AC4F" w14:textId="77777777" w:rsidR="00844D9B" w:rsidRDefault="00844D9B" w:rsidP="00613113">
      <w:pPr>
        <w:pStyle w:val="Dummy"/>
      </w:pPr>
      <w:bookmarkStart w:id="84" w:name="_Toc2523443"/>
      <w:bookmarkStart w:id="85" w:name="_Toc17368188"/>
      <w:r>
        <w:lastRenderedPageBreak/>
        <w:t>Findings of Fact</w:t>
      </w:r>
      <w:bookmarkEnd w:id="84"/>
      <w:bookmarkEnd w:id="85"/>
    </w:p>
    <w:p w14:paraId="7CAD07BF" w14:textId="767A83AE" w:rsidR="00844D9B" w:rsidRPr="004C0BFE" w:rsidRDefault="00844D9B" w:rsidP="00613113">
      <w:pPr>
        <w:pStyle w:val="FindingofFAct"/>
        <w:keepNext/>
        <w:keepLines/>
        <w:ind w:firstLine="360"/>
      </w:pPr>
      <w:r w:rsidRPr="004C0BFE">
        <w:t xml:space="preserve">For purposes of calculating the </w:t>
      </w:r>
      <w:r w:rsidR="007172BD" w:rsidRPr="004C0BFE">
        <w:t>Energy Value</w:t>
      </w:r>
      <w:r w:rsidRPr="004C0BFE">
        <w:t>, the co-chairs propose maintaining the methodology adopted in D.18-10-019.</w:t>
      </w:r>
    </w:p>
    <w:p w14:paraId="150F1B4E" w14:textId="4071D7D5" w:rsidR="00844D9B" w:rsidRPr="004C0BFE" w:rsidRDefault="007172BD" w:rsidP="00613113">
      <w:pPr>
        <w:pStyle w:val="FindingofFAct"/>
        <w:keepNext/>
        <w:keepLines/>
        <w:ind w:firstLine="360"/>
      </w:pPr>
      <w:r w:rsidRPr="004C0BFE">
        <w:t>R</w:t>
      </w:r>
      <w:r w:rsidR="00844D9B" w:rsidRPr="004C0BFE">
        <w:t xml:space="preserve">elying on </w:t>
      </w:r>
      <w:r w:rsidRPr="004C0BFE">
        <w:t xml:space="preserve">solely </w:t>
      </w:r>
      <w:r w:rsidR="00844D9B" w:rsidRPr="004C0BFE">
        <w:t>“index-plus” transactions and fail</w:t>
      </w:r>
      <w:r w:rsidRPr="004C0BFE">
        <w:t>ing</w:t>
      </w:r>
      <w:r w:rsidR="00844D9B" w:rsidRPr="004C0BFE">
        <w:t xml:space="preserve"> to consider </w:t>
      </w:r>
      <w:r w:rsidR="00FC0900" w:rsidRPr="004C0BFE">
        <w:br/>
      </w:r>
      <w:r w:rsidR="00844D9B" w:rsidRPr="004C0BFE">
        <w:t>long-term pricing for Renewable</w:t>
      </w:r>
      <w:r w:rsidR="001A59A4" w:rsidRPr="004C0BFE">
        <w:t>s</w:t>
      </w:r>
      <w:r w:rsidR="00844D9B" w:rsidRPr="004C0BFE">
        <w:t xml:space="preserve"> Portfolio Standard (RPS) resources </w:t>
      </w:r>
      <w:r w:rsidRPr="004C0BFE">
        <w:t>in the RPS Adder calculations will not accurately reflect the evolution of the market toward long-term contracts.</w:t>
      </w:r>
    </w:p>
    <w:p w14:paraId="7F974EFB" w14:textId="54D03818" w:rsidR="00844D9B" w:rsidRPr="004C0BFE" w:rsidRDefault="00844D9B" w:rsidP="00257001">
      <w:pPr>
        <w:pStyle w:val="FindingofFAct"/>
        <w:ind w:firstLine="360"/>
      </w:pPr>
      <w:r w:rsidRPr="004C0BFE">
        <w:t xml:space="preserve">There are technical challenges to incorporating fixed-price bundled transactions into </w:t>
      </w:r>
      <w:r w:rsidR="00CC1E51" w:rsidRPr="004C0BFE">
        <w:t>A</w:t>
      </w:r>
      <w:r w:rsidRPr="004C0BFE">
        <w:t>dder calculation</w:t>
      </w:r>
      <w:r w:rsidR="00CC1E51" w:rsidRPr="004C0BFE">
        <w:t>s</w:t>
      </w:r>
      <w:r w:rsidRPr="004C0BFE">
        <w:t xml:space="preserve">.  </w:t>
      </w:r>
    </w:p>
    <w:p w14:paraId="6ABDF69B" w14:textId="5304C8AF" w:rsidR="00844D9B" w:rsidRPr="004C0BFE" w:rsidRDefault="00844D9B" w:rsidP="00257001">
      <w:pPr>
        <w:pStyle w:val="FindingofFAct"/>
        <w:ind w:firstLine="360"/>
      </w:pPr>
      <w:r w:rsidRPr="004C0BFE">
        <w:t xml:space="preserve">Several parties support continued work to develop a method to incorporate fixed-price bundled transactions into RPS </w:t>
      </w:r>
      <w:r w:rsidR="007022F2" w:rsidRPr="004C0BFE">
        <w:t>A</w:t>
      </w:r>
      <w:r w:rsidRPr="004C0BFE">
        <w:t xml:space="preserve">dder calculations. </w:t>
      </w:r>
    </w:p>
    <w:p w14:paraId="14AA893A" w14:textId="50DFBE2C" w:rsidR="00844D9B" w:rsidRPr="004C0BFE" w:rsidRDefault="00844D9B" w:rsidP="00257001">
      <w:pPr>
        <w:pStyle w:val="FindingofFAct"/>
        <w:ind w:firstLine="360"/>
      </w:pPr>
      <w:r w:rsidRPr="004C0BFE">
        <w:t>Load serving entities (LSEs) are required by statute to comply by 2021 with a 65% long-term contracting requirement</w:t>
      </w:r>
      <w:r w:rsidR="007022F2" w:rsidRPr="004C0BFE">
        <w:t xml:space="preserve"> for RPS procurement</w:t>
      </w:r>
      <w:r w:rsidRPr="004C0BFE">
        <w:t>.</w:t>
      </w:r>
    </w:p>
    <w:p w14:paraId="6D5F45A4" w14:textId="5F1D7FB2" w:rsidR="00844D9B" w:rsidRPr="004C0BFE" w:rsidRDefault="00844D9B" w:rsidP="00257001">
      <w:pPr>
        <w:pStyle w:val="FindingofFAct"/>
        <w:ind w:firstLine="360"/>
      </w:pPr>
      <w:r w:rsidRPr="004C0BFE">
        <w:t xml:space="preserve">Incorporating fixed-price bundled transactions into RPS </w:t>
      </w:r>
      <w:r w:rsidR="00D405B9" w:rsidRPr="004C0BFE">
        <w:t>A</w:t>
      </w:r>
      <w:r w:rsidRPr="004C0BFE">
        <w:t xml:space="preserve">dder calculations is expected </w:t>
      </w:r>
      <w:r w:rsidR="00474833" w:rsidRPr="004C0BFE">
        <w:t xml:space="preserve">to </w:t>
      </w:r>
      <w:r w:rsidRPr="004C0BFE">
        <w:t xml:space="preserve">produce more accurate </w:t>
      </w:r>
      <w:r w:rsidR="00D405B9" w:rsidRPr="004C0BFE">
        <w:t>result</w:t>
      </w:r>
      <w:r w:rsidRPr="004C0BFE">
        <w:t xml:space="preserve">s and is </w:t>
      </w:r>
      <w:r w:rsidR="00AF1C38">
        <w:t>directionally</w:t>
      </w:r>
      <w:r w:rsidRPr="004C0BFE">
        <w:t xml:space="preserve"> the proper approach. </w:t>
      </w:r>
    </w:p>
    <w:p w14:paraId="3BD1A4DF" w14:textId="06850A4C" w:rsidR="00844D9B" w:rsidRDefault="00844D9B" w:rsidP="00472C43">
      <w:pPr>
        <w:pStyle w:val="FindingofFAct"/>
        <w:ind w:firstLine="360"/>
      </w:pPr>
      <w:r w:rsidRPr="004C0BFE">
        <w:t xml:space="preserve">Information on all fixed-price transactions (sales and purchases) for renewable energy executed in the past three years (n-3, n-2 and n-1) for delivery in the following three years (n, n+1, n+2) will help Staff monitor the impact of fixed-price transactions on the RPS </w:t>
      </w:r>
      <w:r w:rsidR="00A13FB7" w:rsidRPr="004C0BFE">
        <w:t>A</w:t>
      </w:r>
      <w:r w:rsidRPr="004C0BFE">
        <w:t>dder</w:t>
      </w:r>
      <w:r w:rsidR="00AF1C38">
        <w:t xml:space="preserve">; assess </w:t>
      </w:r>
      <w:r w:rsidR="00AF1C38" w:rsidRPr="00AF1C38">
        <w:t>the feasibility of incorporating such transactions into the RPS Adder calculations</w:t>
      </w:r>
      <w:r w:rsidR="00AF1C38">
        <w:t>;</w:t>
      </w:r>
      <w:r w:rsidRPr="004C0BFE">
        <w:t xml:space="preserve"> and propose a method to incorporate fixed-price contracts into the RPS </w:t>
      </w:r>
      <w:r w:rsidR="00A13FB7" w:rsidRPr="004C0BFE">
        <w:t>A</w:t>
      </w:r>
      <w:r w:rsidRPr="004C0BFE">
        <w:t xml:space="preserve">dder calculations.    </w:t>
      </w:r>
    </w:p>
    <w:p w14:paraId="0BD55852" w14:textId="3806F82A" w:rsidR="004332E4" w:rsidRPr="004C0BFE" w:rsidRDefault="004332E4" w:rsidP="00472C43">
      <w:pPr>
        <w:pStyle w:val="FindingofFAct"/>
        <w:ind w:firstLine="360"/>
      </w:pPr>
      <w:r>
        <w:t xml:space="preserve">The methods adopted in this Decision apply to RECs generated commencing January 1, 2019 and going forward. </w:t>
      </w:r>
    </w:p>
    <w:p w14:paraId="74AEC751" w14:textId="0A9B5F6A" w:rsidR="00844D9B" w:rsidRPr="004C0BFE" w:rsidRDefault="00844D9B" w:rsidP="00257001">
      <w:pPr>
        <w:pStyle w:val="FindingofFAct"/>
        <w:ind w:firstLine="360"/>
      </w:pPr>
      <w:r w:rsidRPr="004C0BFE">
        <w:lastRenderedPageBreak/>
        <w:t xml:space="preserve">For flexible and system resource adequacy (RA), the approach </w:t>
      </w:r>
      <w:r w:rsidR="007172BD" w:rsidRPr="004C0BFE">
        <w:t xml:space="preserve">proposed in Working Group One’s May Report </w:t>
      </w:r>
      <w:r w:rsidRPr="004C0BFE">
        <w:t xml:space="preserve">to calculate RA </w:t>
      </w:r>
      <w:r w:rsidR="007172BD" w:rsidRPr="004C0BFE">
        <w:t>Value</w:t>
      </w:r>
      <w:r w:rsidRPr="004C0BFE">
        <w:t xml:space="preserve"> complies with the direction provided in D.18-10-019. </w:t>
      </w:r>
    </w:p>
    <w:p w14:paraId="70215320" w14:textId="05A82CC5" w:rsidR="00844D9B" w:rsidRPr="004C0BFE" w:rsidRDefault="00844D9B" w:rsidP="00257001">
      <w:pPr>
        <w:pStyle w:val="FindingofFAct"/>
        <w:ind w:firstLine="360"/>
      </w:pPr>
      <w:r w:rsidRPr="004C0BFE">
        <w:t>For local RA, there is a three-year compliance requirement starting in</w:t>
      </w:r>
      <w:r w:rsidR="00DC11A6" w:rsidRPr="004C0BFE">
        <w:t xml:space="preserve"> 2019 for 2020-2022 period</w:t>
      </w:r>
      <w:r w:rsidRPr="004C0BFE">
        <w:t>.</w:t>
      </w:r>
    </w:p>
    <w:p w14:paraId="497EF79F" w14:textId="09B8C4DB" w:rsidR="00844D9B" w:rsidRPr="004C0BFE" w:rsidRDefault="00844D9B" w:rsidP="00257001">
      <w:pPr>
        <w:pStyle w:val="FindingofFAct"/>
        <w:ind w:firstLine="360"/>
      </w:pPr>
      <w:r w:rsidRPr="004C0BFE">
        <w:t xml:space="preserve">The RA and RPS Adder calculations </w:t>
      </w:r>
      <w:r w:rsidR="00021EEF" w:rsidRPr="004C0BFE">
        <w:t>should</w:t>
      </w:r>
      <w:r w:rsidRPr="004C0BFE">
        <w:t xml:space="preserve"> be completed by Energy Division </w:t>
      </w:r>
      <w:r w:rsidR="004332E4">
        <w:t xml:space="preserve">by the first business day in </w:t>
      </w:r>
      <w:r w:rsidRPr="004C0BFE">
        <w:t xml:space="preserve">November </w:t>
      </w:r>
      <w:r w:rsidR="00021EEF" w:rsidRPr="004C0BFE">
        <w:t>in order to</w:t>
      </w:r>
      <w:r w:rsidRPr="004C0BFE">
        <w:t xml:space="preserve"> be incorporated into the IOU ERRA Forecast Application.</w:t>
      </w:r>
    </w:p>
    <w:p w14:paraId="26EE787D" w14:textId="3C1C2134" w:rsidR="00844D9B" w:rsidRPr="004C0BFE" w:rsidRDefault="00021EEF" w:rsidP="00257001">
      <w:pPr>
        <w:pStyle w:val="FindingofFAct"/>
        <w:ind w:firstLine="360"/>
      </w:pPr>
      <w:r w:rsidRPr="004C0BFE">
        <w:t xml:space="preserve">The </w:t>
      </w:r>
      <w:r w:rsidR="00844D9B" w:rsidRPr="004C0BFE">
        <w:t>Capacity Procurement Mechanism may not provide a fair representation of the market price.</w:t>
      </w:r>
    </w:p>
    <w:p w14:paraId="25911234" w14:textId="10D68100" w:rsidR="00844D9B" w:rsidRPr="004C0BFE" w:rsidRDefault="00844D9B" w:rsidP="00257001">
      <w:pPr>
        <w:pStyle w:val="FindingofFAct"/>
        <w:ind w:firstLine="360"/>
      </w:pPr>
      <w:r w:rsidRPr="004C0BFE">
        <w:t>Capacity Procurement Mechanism revenues are captured in Portfolio Allocation Balancing Account</w:t>
      </w:r>
      <w:r w:rsidR="00721ED2" w:rsidRPr="004C0BFE">
        <w:t>s</w:t>
      </w:r>
      <w:r w:rsidRPr="004C0BFE">
        <w:t xml:space="preserve">. </w:t>
      </w:r>
    </w:p>
    <w:p w14:paraId="04AE0199" w14:textId="62C9EF66" w:rsidR="00844D9B" w:rsidRPr="004C0BFE" w:rsidRDefault="00721ED2" w:rsidP="00472C43">
      <w:pPr>
        <w:pStyle w:val="FindingofFAct"/>
        <w:ind w:firstLine="360"/>
      </w:pPr>
      <w:r w:rsidRPr="004C0BFE">
        <w:t>Although t</w:t>
      </w:r>
      <w:r w:rsidR="00844D9B" w:rsidRPr="004C0BFE">
        <w:t xml:space="preserve">he data templates proposed by Working Group One are an outcome of the collaborative effort </w:t>
      </w:r>
      <w:r w:rsidRPr="004C0BFE">
        <w:t>with Staff and generally appear sufficient to collect the necessary data, Energy Division needs the flexibility to revise them or develop new templates</w:t>
      </w:r>
      <w:r w:rsidR="00844D9B" w:rsidRPr="004C0BFE">
        <w:t xml:space="preserve">. </w:t>
      </w:r>
    </w:p>
    <w:p w14:paraId="243F4BBE" w14:textId="4AD3750F" w:rsidR="00844D9B" w:rsidRPr="004C0BFE" w:rsidRDefault="00844D9B" w:rsidP="00472C43">
      <w:pPr>
        <w:pStyle w:val="FindingofFAct"/>
        <w:ind w:firstLine="360"/>
      </w:pPr>
      <w:r w:rsidRPr="004C0BFE">
        <w:t xml:space="preserve">As LSEs and Staff familiarize themselves with the template and calculations, </w:t>
      </w:r>
      <w:r w:rsidR="00EB6343" w:rsidRPr="004C0BFE">
        <w:t>it may be necessary or desirable to collect data as frequently as quarterly, but Energy Division should have the discretion to collect data less frequently</w:t>
      </w:r>
      <w:r w:rsidRPr="004C0BFE">
        <w:t>.</w:t>
      </w:r>
    </w:p>
    <w:p w14:paraId="2B498008" w14:textId="7A336A32" w:rsidR="00844D9B" w:rsidRPr="004C0BFE" w:rsidRDefault="00844D9B" w:rsidP="00257001">
      <w:pPr>
        <w:pStyle w:val="FindingofFAct"/>
        <w:ind w:firstLine="360"/>
      </w:pPr>
      <w:r w:rsidRPr="004C0BFE">
        <w:t>A standardized non</w:t>
      </w:r>
      <w:r w:rsidR="0078788F" w:rsidRPr="004C0BFE">
        <w:t>-</w:t>
      </w:r>
      <w:r w:rsidRPr="004C0BFE">
        <w:t>disclosure agreement is reasonable for efficien</w:t>
      </w:r>
      <w:r w:rsidR="005F384F" w:rsidRPr="004C0BFE">
        <w:t>t</w:t>
      </w:r>
      <w:r w:rsidRPr="004C0BFE">
        <w:t xml:space="preserve"> and equal access </w:t>
      </w:r>
      <w:r w:rsidR="00B35F6F" w:rsidRPr="004C0BFE">
        <w:t xml:space="preserve">for nonmarket participants </w:t>
      </w:r>
      <w:r w:rsidRPr="004C0BFE">
        <w:t>to all confidential information</w:t>
      </w:r>
      <w:r w:rsidR="00585DE4" w:rsidRPr="00585DE4">
        <w:t xml:space="preserve"> and the Commission encourages sharing of that </w:t>
      </w:r>
      <w:r w:rsidR="00CF73B0">
        <w:t>c</w:t>
      </w:r>
      <w:r w:rsidR="00585DE4" w:rsidRPr="00585DE4">
        <w:t>onfidential information</w:t>
      </w:r>
      <w:r w:rsidRPr="004C0BFE">
        <w:t>.</w:t>
      </w:r>
    </w:p>
    <w:p w14:paraId="42B4CA6A" w14:textId="2AB78F4C" w:rsidR="00844D9B" w:rsidRPr="004C0BFE" w:rsidRDefault="00844D9B" w:rsidP="00257001">
      <w:pPr>
        <w:pStyle w:val="FindingofFAct"/>
        <w:ind w:firstLine="360"/>
      </w:pPr>
      <w:r w:rsidRPr="004C0BFE">
        <w:t>Failing to true</w:t>
      </w:r>
      <w:r w:rsidR="00FB3A2A" w:rsidRPr="004C0BFE">
        <w:t xml:space="preserve"> </w:t>
      </w:r>
      <w:r w:rsidRPr="004C0BFE">
        <w:t xml:space="preserve">up the </w:t>
      </w:r>
      <w:r w:rsidR="005F384F" w:rsidRPr="004C0BFE">
        <w:t>L</w:t>
      </w:r>
      <w:r w:rsidRPr="004C0BFE">
        <w:t xml:space="preserve">ocal RA </w:t>
      </w:r>
      <w:r w:rsidR="005F384F" w:rsidRPr="004C0BFE">
        <w:t>A</w:t>
      </w:r>
      <w:r w:rsidRPr="004C0BFE">
        <w:t>dder is contrary to D.18-10-019, which seeks to true</w:t>
      </w:r>
      <w:r w:rsidR="00FB3A2A" w:rsidRPr="004C0BFE">
        <w:t xml:space="preserve"> </w:t>
      </w:r>
      <w:r w:rsidRPr="004C0BFE">
        <w:t>up forecasts with actual values.</w:t>
      </w:r>
    </w:p>
    <w:p w14:paraId="2CC62CA9" w14:textId="5ADC11F5" w:rsidR="00844D9B" w:rsidRPr="004C0BFE" w:rsidRDefault="00844D9B" w:rsidP="00257001">
      <w:pPr>
        <w:pStyle w:val="FindingofFAct"/>
        <w:ind w:firstLine="360"/>
      </w:pPr>
      <w:r w:rsidRPr="004C0BFE">
        <w:lastRenderedPageBreak/>
        <w:t>Frameworks prescribing the processes for portfolio sales</w:t>
      </w:r>
      <w:r w:rsidR="00613F43" w:rsidRPr="004C0BFE">
        <w:t xml:space="preserve"> of excess resources</w:t>
      </w:r>
      <w:r w:rsidRPr="004C0BFE">
        <w:t xml:space="preserve">, including RPS sales, are in scope for Working Group Three. </w:t>
      </w:r>
    </w:p>
    <w:p w14:paraId="49AC154D" w14:textId="54E1C652" w:rsidR="00844D9B" w:rsidRPr="004C0BFE" w:rsidRDefault="00844D9B" w:rsidP="00257001">
      <w:pPr>
        <w:pStyle w:val="FindingofFAct"/>
        <w:ind w:firstLine="360"/>
      </w:pPr>
      <w:r w:rsidRPr="004C0BFE">
        <w:t>Joint investor-owned utilities (IOUs) explain that unsold RPS products that are offered for sale and remain unsold after generation may have value subsequently if they are</w:t>
      </w:r>
      <w:r w:rsidR="00613F43" w:rsidRPr="004C0BFE">
        <w:t>:</w:t>
      </w:r>
      <w:r w:rsidRPr="004C0BFE">
        <w:t xml:space="preserve"> used </w:t>
      </w:r>
      <w:r w:rsidR="00613F43" w:rsidRPr="004C0BFE">
        <w:t xml:space="preserve">by the IOU </w:t>
      </w:r>
      <w:r w:rsidRPr="004C0BFE">
        <w:t>to exceed compliance requirements; retired to an IOU</w:t>
      </w:r>
      <w:r w:rsidR="002B458B" w:rsidRPr="004C0BFE">
        <w:t>’s</w:t>
      </w:r>
      <w:r w:rsidRPr="004C0BFE">
        <w:t xml:space="preserve"> RPS bank for hypothetical future use; or sold a</w:t>
      </w:r>
      <w:r w:rsidR="002B458B" w:rsidRPr="004C0BFE">
        <w:t>s</w:t>
      </w:r>
      <w:r w:rsidRPr="004C0BFE">
        <w:t xml:space="preserve"> lower value compliance product</w:t>
      </w:r>
      <w:r w:rsidR="001E41C3" w:rsidRPr="004C0BFE">
        <w:t>s</w:t>
      </w:r>
      <w:r w:rsidRPr="004C0BFE">
        <w:t xml:space="preserve">. </w:t>
      </w:r>
    </w:p>
    <w:p w14:paraId="69BA16DE" w14:textId="53B5D605" w:rsidR="00844D9B" w:rsidRPr="004C0BFE" w:rsidRDefault="00844D9B" w:rsidP="00257001">
      <w:pPr>
        <w:pStyle w:val="FindingofFAct"/>
        <w:ind w:firstLine="360"/>
      </w:pPr>
      <w:r w:rsidRPr="004C0BFE">
        <w:t xml:space="preserve">Unsold RPS products also may well have no value if they expire or are banked by an LSE that is not able to use them for compliance. </w:t>
      </w:r>
    </w:p>
    <w:p w14:paraId="230C3212" w14:textId="1306551A" w:rsidR="00844D9B" w:rsidRPr="004C0BFE" w:rsidRDefault="006A3944" w:rsidP="00257001">
      <w:pPr>
        <w:pStyle w:val="FindingofFAct"/>
        <w:ind w:firstLine="360"/>
      </w:pPr>
      <w:r w:rsidRPr="004C0BFE">
        <w:t>In any given year, t</w:t>
      </w:r>
      <w:r w:rsidR="00844D9B" w:rsidRPr="004C0BFE">
        <w:t xml:space="preserve">he Commission </w:t>
      </w:r>
      <w:r w:rsidRPr="004C0BFE">
        <w:t>may</w:t>
      </w:r>
      <w:r w:rsidR="00844D9B" w:rsidRPr="004C0BFE">
        <w:t xml:space="preserve"> allow the IOUs to retain R</w:t>
      </w:r>
      <w:r w:rsidRPr="004C0BFE">
        <w:t>ECs</w:t>
      </w:r>
      <w:r w:rsidR="00844D9B" w:rsidRPr="004C0BFE">
        <w:t xml:space="preserve"> based on their procurement planning needs.  </w:t>
      </w:r>
    </w:p>
    <w:p w14:paraId="25E993D7" w14:textId="5922CBA4" w:rsidR="00844D9B" w:rsidRPr="004C0BFE" w:rsidRDefault="00844D9B" w:rsidP="00257001">
      <w:pPr>
        <w:pStyle w:val="FindingofFAct"/>
        <w:ind w:firstLine="360"/>
      </w:pPr>
      <w:r w:rsidRPr="004C0BFE">
        <w:t>R</w:t>
      </w:r>
      <w:r w:rsidR="00215C50" w:rsidRPr="004C0BFE">
        <w:t>ECs</w:t>
      </w:r>
      <w:r w:rsidRPr="004C0BFE">
        <w:t xml:space="preserve"> ha</w:t>
      </w:r>
      <w:r w:rsidR="00215C50" w:rsidRPr="004C0BFE">
        <w:t>ve</w:t>
      </w:r>
      <w:r w:rsidRPr="004C0BFE">
        <w:t xml:space="preserve"> value to the IOUs when they use </w:t>
      </w:r>
      <w:r w:rsidR="00215C50" w:rsidRPr="004C0BFE">
        <w:t>the RECs</w:t>
      </w:r>
      <w:r w:rsidRPr="004C0BFE">
        <w:t xml:space="preserve">.  It is not clear </w:t>
      </w:r>
      <w:r w:rsidR="00215C50" w:rsidRPr="004C0BFE">
        <w:t xml:space="preserve">under what circumstances costs may shift between bundled and </w:t>
      </w:r>
      <w:r w:rsidRPr="004C0BFE">
        <w:t xml:space="preserve">unbundled customers when </w:t>
      </w:r>
      <w:r w:rsidR="00215C50" w:rsidRPr="004C0BFE">
        <w:t>IOUs</w:t>
      </w:r>
      <w:r w:rsidRPr="004C0BFE">
        <w:t xml:space="preserve"> hold, do not sell, </w:t>
      </w:r>
      <w:r w:rsidR="00215C50" w:rsidRPr="004C0BFE">
        <w:t>and</w:t>
      </w:r>
      <w:r w:rsidRPr="004C0BFE">
        <w:t xml:space="preserve"> do not use R</w:t>
      </w:r>
      <w:r w:rsidR="00215C50" w:rsidRPr="004C0BFE">
        <w:t>ECs</w:t>
      </w:r>
      <w:r w:rsidRPr="004C0BFE">
        <w:t xml:space="preserve">. </w:t>
      </w:r>
    </w:p>
    <w:p w14:paraId="0CD95488" w14:textId="26EB3530" w:rsidR="00844D9B" w:rsidRPr="004C0BFE" w:rsidRDefault="00844D9B" w:rsidP="00257001">
      <w:pPr>
        <w:pStyle w:val="FindingofFAct"/>
        <w:ind w:firstLine="360"/>
      </w:pPr>
      <w:r w:rsidRPr="004C0BFE">
        <w:t>If the IOUs use RECs in the future based on approved procurement plans, the value in the year of generation may be different from the value at the time of the future transaction.  To value all RECs in the year of generation could conflict with C</w:t>
      </w:r>
      <w:r w:rsidR="007D1C42" w:rsidRPr="004C0BFE">
        <w:t>ommission</w:t>
      </w:r>
      <w:r w:rsidRPr="004C0BFE">
        <w:t xml:space="preserve">-approved plans.  </w:t>
      </w:r>
    </w:p>
    <w:p w14:paraId="088CAC71" w14:textId="2864276A" w:rsidR="00844D9B" w:rsidRPr="004C0BFE" w:rsidRDefault="00844D9B" w:rsidP="00257001">
      <w:pPr>
        <w:pStyle w:val="FindingofFAct"/>
        <w:ind w:firstLine="360"/>
      </w:pPr>
      <w:r w:rsidRPr="004C0BFE">
        <w:t xml:space="preserve">Valuing all retained/unsold RECs might be seen to presuppose or conflict with the ultimate outcome on portfolio optimization, and possibly render that result moot as to the unused RECs that already have been valued and included in </w:t>
      </w:r>
      <w:r w:rsidR="007D1C42" w:rsidRPr="004C0BFE">
        <w:t>a PCIA calculation</w:t>
      </w:r>
      <w:r w:rsidRPr="004C0BFE">
        <w:t>.</w:t>
      </w:r>
    </w:p>
    <w:p w14:paraId="17C02606" w14:textId="2548D118" w:rsidR="00844D9B" w:rsidRPr="004C0BFE" w:rsidRDefault="00844D9B" w:rsidP="00257001">
      <w:pPr>
        <w:pStyle w:val="FindingofFAct"/>
        <w:ind w:firstLine="360"/>
      </w:pPr>
      <w:r w:rsidRPr="004C0BFE">
        <w:t>The PCIA forecast has historically been calculated in each IOU’s ERRA Forecast proceeding. No party provided any compelling reason to change that for the true</w:t>
      </w:r>
      <w:r w:rsidR="00FB3A2A" w:rsidRPr="004C0BFE">
        <w:t xml:space="preserve"> </w:t>
      </w:r>
      <w:r w:rsidRPr="004C0BFE">
        <w:t xml:space="preserve">up calculation.  </w:t>
      </w:r>
    </w:p>
    <w:p w14:paraId="417F65C8" w14:textId="77777777" w:rsidR="00844D9B" w:rsidRPr="004C0BFE" w:rsidRDefault="00844D9B" w:rsidP="00257001">
      <w:pPr>
        <w:pStyle w:val="FindingofFAct"/>
        <w:ind w:firstLine="360"/>
      </w:pPr>
      <w:r w:rsidRPr="004C0BFE">
        <w:lastRenderedPageBreak/>
        <w:t xml:space="preserve">The co-chairs of Working Group One disagree on the valuation of unsold RA and the definition of unsold RA product. </w:t>
      </w:r>
    </w:p>
    <w:p w14:paraId="4F708CF0" w14:textId="77777777" w:rsidR="00844D9B" w:rsidRPr="004C0BFE" w:rsidRDefault="00844D9B" w:rsidP="00257001">
      <w:pPr>
        <w:pStyle w:val="FindingofFAct"/>
        <w:ind w:firstLine="360"/>
      </w:pPr>
      <w:r w:rsidRPr="004C0BFE">
        <w:t xml:space="preserve">The co-chairs focused on zero and the floor price, but not on the parameters that will help define a </w:t>
      </w:r>
      <w:r w:rsidRPr="004C0BFE">
        <w:rPr>
          <w:i/>
          <w:iCs/>
        </w:rPr>
        <w:t>de minimis</w:t>
      </w:r>
      <w:r w:rsidRPr="004C0BFE">
        <w:t xml:space="preserve"> price.</w:t>
      </w:r>
    </w:p>
    <w:p w14:paraId="2BDBA084" w14:textId="758A5969" w:rsidR="00844D9B" w:rsidRPr="004C0BFE" w:rsidRDefault="00844D9B" w:rsidP="00257001">
      <w:pPr>
        <w:pStyle w:val="FindingofFAct"/>
        <w:ind w:firstLine="360"/>
      </w:pPr>
      <w:r w:rsidRPr="004C0BFE">
        <w:t xml:space="preserve">There are compelling arguments for why the floor price should not be designated as the “de minimis” price.  </w:t>
      </w:r>
    </w:p>
    <w:p w14:paraId="23A9ACD0" w14:textId="3A3FB814" w:rsidR="00844D9B" w:rsidRPr="004C0BFE" w:rsidRDefault="00844D9B" w:rsidP="00257001">
      <w:pPr>
        <w:pStyle w:val="FindingofFAct"/>
        <w:ind w:firstLine="360"/>
      </w:pPr>
      <w:r w:rsidRPr="004C0BFE">
        <w:t xml:space="preserve">An investor-owned utility </w:t>
      </w:r>
      <w:r w:rsidR="00DE63D2" w:rsidRPr="004C0BFE">
        <w:t>may decide</w:t>
      </w:r>
      <w:r w:rsidRPr="004C0BFE">
        <w:t xml:space="preserve"> not </w:t>
      </w:r>
      <w:r w:rsidR="00DE63D2" w:rsidRPr="004C0BFE">
        <w:t xml:space="preserve">to </w:t>
      </w:r>
      <w:r w:rsidRPr="004C0BFE">
        <w:t xml:space="preserve">sell RA below the floor price because the possible California Independent System Operator penalties for doing so could require the IOU to recover costs in excess of the floor price from both bundled service and departing load customers.  </w:t>
      </w:r>
    </w:p>
    <w:p w14:paraId="3F577EA1" w14:textId="77777777" w:rsidR="00844D9B" w:rsidRPr="004C0BFE" w:rsidRDefault="00844D9B" w:rsidP="00257001">
      <w:pPr>
        <w:pStyle w:val="FindingofFAct"/>
        <w:ind w:firstLine="360"/>
      </w:pPr>
      <w:r w:rsidRPr="004C0BFE">
        <w:t>If the Commission were to assign the RA floor price value to unsold RA, this might imply that it is preferable for IOUs to sell their RA below the floor price and incur the penalties.</w:t>
      </w:r>
    </w:p>
    <w:p w14:paraId="1AA1C2E1" w14:textId="77777777" w:rsidR="00844D9B" w:rsidRPr="004C0BFE" w:rsidRDefault="00844D9B" w:rsidP="00257001">
      <w:pPr>
        <w:pStyle w:val="FindingofFAct"/>
        <w:ind w:firstLine="360"/>
      </w:pPr>
      <w:r w:rsidRPr="004C0BFE">
        <w:t>System sales are greater than sales within any given vintage.</w:t>
      </w:r>
    </w:p>
    <w:p w14:paraId="4ABDE3CA" w14:textId="24F420C5" w:rsidR="00844D9B" w:rsidRPr="004C0BFE" w:rsidRDefault="00816D7D" w:rsidP="00EF74A3">
      <w:pPr>
        <w:pStyle w:val="FindingofFAct"/>
        <w:ind w:firstLine="360"/>
      </w:pPr>
      <w:r w:rsidRPr="004C0BFE">
        <w:t>When rate group-level vintaged PCIA revenue requirements are divided by the forecasted rate group-level sales of those responsible for the vintaged portfolio to determine PCIA rates, u</w:t>
      </w:r>
      <w:r w:rsidR="00844D9B" w:rsidRPr="004C0BFE">
        <w:t xml:space="preserve">nless vintage sales are used in the denominator (rather than system sale), a systematic undercollection from departing customers will occur. </w:t>
      </w:r>
    </w:p>
    <w:p w14:paraId="71D8A31B" w14:textId="77777777" w:rsidR="00844D9B" w:rsidRPr="004C0BFE" w:rsidRDefault="00844D9B" w:rsidP="00257001">
      <w:pPr>
        <w:pStyle w:val="FindingofFAct"/>
        <w:ind w:firstLine="360"/>
      </w:pPr>
      <w:r w:rsidRPr="004C0BFE">
        <w:t>Using vintage billing determinants as opposed to system sales would help timely and accurately recover total indifference amounts from both bundled service and departing load and reduce rate volatility.</w:t>
      </w:r>
    </w:p>
    <w:p w14:paraId="1EF64423" w14:textId="74303E7E" w:rsidR="00844D9B" w:rsidRPr="004C0BFE" w:rsidRDefault="00844D9B" w:rsidP="00257001">
      <w:pPr>
        <w:pStyle w:val="FindingofFAct"/>
        <w:ind w:firstLine="360"/>
      </w:pPr>
      <w:r w:rsidRPr="004C0BFE">
        <w:t xml:space="preserve">Even though this methodological error </w:t>
      </w:r>
      <w:r w:rsidR="00E33330" w:rsidRPr="004C0BFE">
        <w:t>is</w:t>
      </w:r>
      <w:r w:rsidRPr="004C0BFE">
        <w:t xml:space="preserve"> corrected in the true up process, it is not reasonable to continue a practice that </w:t>
      </w:r>
      <w:r w:rsidR="00E33330" w:rsidRPr="004C0BFE">
        <w:t xml:space="preserve">otherwise repeatedly </w:t>
      </w:r>
      <w:r w:rsidRPr="004C0BFE">
        <w:t xml:space="preserve">causes </w:t>
      </w:r>
      <w:r w:rsidR="004C1D87">
        <w:br/>
      </w:r>
      <w:r w:rsidRPr="004C0BFE">
        <w:t>cost-shifting in the short-run.</w:t>
      </w:r>
    </w:p>
    <w:p w14:paraId="68A0B9F8" w14:textId="77777777" w:rsidR="00844D9B" w:rsidRDefault="00844D9B" w:rsidP="000608DF">
      <w:pPr>
        <w:pStyle w:val="Dummy"/>
      </w:pPr>
      <w:bookmarkStart w:id="86" w:name="_Toc2523444"/>
      <w:bookmarkStart w:id="87" w:name="_Toc17368189"/>
      <w:r>
        <w:lastRenderedPageBreak/>
        <w:t>Conclusions of Law</w:t>
      </w:r>
      <w:bookmarkEnd w:id="86"/>
      <w:bookmarkEnd w:id="87"/>
    </w:p>
    <w:p w14:paraId="790B5554" w14:textId="061213D0" w:rsidR="00844D9B" w:rsidRPr="004C0BFE" w:rsidRDefault="00844D9B" w:rsidP="000608DF">
      <w:pPr>
        <w:pStyle w:val="conclusionoflaw"/>
        <w:keepNext/>
        <w:keepLines/>
        <w:ind w:firstLine="360"/>
      </w:pPr>
      <w:r w:rsidRPr="004C0BFE">
        <w:t xml:space="preserve">The method to calculate </w:t>
      </w:r>
      <w:r w:rsidR="00375BB4" w:rsidRPr="004C0BFE">
        <w:t>Energy Value</w:t>
      </w:r>
      <w:r w:rsidRPr="004C0BFE">
        <w:t xml:space="preserve"> should remain as adopted in </w:t>
      </w:r>
      <w:r w:rsidR="00AF2C93">
        <w:br/>
      </w:r>
      <w:r w:rsidRPr="004C0BFE">
        <w:t xml:space="preserve">D.18-10-019. </w:t>
      </w:r>
    </w:p>
    <w:p w14:paraId="42D5697B" w14:textId="475E4922" w:rsidR="00844D9B" w:rsidRPr="004C0BFE" w:rsidRDefault="00844D9B" w:rsidP="000608DF">
      <w:pPr>
        <w:pStyle w:val="conclusionoflaw"/>
        <w:keepNext/>
        <w:keepLines/>
        <w:ind w:firstLine="360"/>
      </w:pPr>
      <w:r w:rsidRPr="004C0BFE">
        <w:t>The RPS Adder should be calculated using volume weighted average of all IOU, CCA and ESP market transactions using only Platts Portfolio Content Category 1 index-plus contracts executed in the fourth quarter of year (n-2), and the first through third quarter of year (n-1) for delivery in year n.</w:t>
      </w:r>
    </w:p>
    <w:p w14:paraId="103C782A" w14:textId="5A524439" w:rsidR="00844D9B" w:rsidRPr="004C0BFE" w:rsidRDefault="00844D9B" w:rsidP="00257001">
      <w:pPr>
        <w:pStyle w:val="conclusionoflaw"/>
        <w:ind w:firstLine="360"/>
      </w:pPr>
      <w:r w:rsidRPr="004C0BFE">
        <w:t xml:space="preserve">TURN’s proposal </w:t>
      </w:r>
      <w:r w:rsidR="004D61EB" w:rsidRPr="004C0BFE">
        <w:t>should be adopted to</w:t>
      </w:r>
      <w:r w:rsidRPr="004C0BFE">
        <w:t xml:space="preserve"> require all LSEs to provide Staff with information on all fixed-price transactions (sales and purchases) for renewable energy executed in the past three years (n-3, n-2 and n-1) for delivery in the following three years (n, n+1, n+2). </w:t>
      </w:r>
    </w:p>
    <w:p w14:paraId="7ADAACFC" w14:textId="583CA9B2" w:rsidR="00844D9B" w:rsidRPr="004C0BFE" w:rsidRDefault="00844D9B" w:rsidP="00257001">
      <w:pPr>
        <w:pStyle w:val="conclusionoflaw"/>
        <w:ind w:firstLine="360"/>
      </w:pPr>
      <w:r w:rsidRPr="004C0BFE">
        <w:t xml:space="preserve">Energy Division should monitor the impact of fixed-price transactions and </w:t>
      </w:r>
      <w:r w:rsidR="004332E4">
        <w:t xml:space="preserve">should, by the end of 2020, </w:t>
      </w:r>
      <w:r w:rsidRPr="004C0BFE">
        <w:t xml:space="preserve">propose a method to include fixed-price contracts in calculating the RPS </w:t>
      </w:r>
      <w:r w:rsidR="00375BB4" w:rsidRPr="004C0BFE">
        <w:t>A</w:t>
      </w:r>
      <w:r w:rsidRPr="004C0BFE">
        <w:t xml:space="preserve">dder.   The Energy Division Director should be authorized to hold workshops or utilize the existing Working Group process to develop the proposal. </w:t>
      </w:r>
    </w:p>
    <w:p w14:paraId="322B358F" w14:textId="0D1548AA" w:rsidR="00844D9B" w:rsidRPr="004C0BFE" w:rsidRDefault="00844D9B" w:rsidP="00257001">
      <w:pPr>
        <w:pStyle w:val="conclusionoflaw"/>
        <w:ind w:firstLine="360"/>
      </w:pPr>
      <w:r w:rsidRPr="004C0BFE">
        <w:t xml:space="preserve">For flexible and system RA, </w:t>
      </w:r>
      <w:r w:rsidR="00375BB4" w:rsidRPr="004C0BFE">
        <w:t xml:space="preserve">the forecasted </w:t>
      </w:r>
      <w:r w:rsidRPr="004C0BFE">
        <w:t xml:space="preserve">RA Adder should be calculated using volume-weighted average of all IOU, CCA and ESP RA-only </w:t>
      </w:r>
      <w:r w:rsidR="00375BB4" w:rsidRPr="004C0BFE">
        <w:t>purchase and sale</w:t>
      </w:r>
      <w:r w:rsidRPr="004C0BFE">
        <w:t xml:space="preserve"> transactions executed in the fourth quarter of year (n-2), and the first through third quarter of year (n-1) for delivery in year n. The annual RA </w:t>
      </w:r>
      <w:r w:rsidR="00375BB4" w:rsidRPr="004C0BFE">
        <w:t>A</w:t>
      </w:r>
      <w:r w:rsidRPr="004C0BFE">
        <w:t xml:space="preserve">dder ($/kW-year) should be the sum of the monthly weighted average of the relevant transactions. </w:t>
      </w:r>
    </w:p>
    <w:p w14:paraId="3EB28C16" w14:textId="510C8175" w:rsidR="00844D9B" w:rsidRPr="004C0BFE" w:rsidRDefault="00844D9B" w:rsidP="00257001">
      <w:pPr>
        <w:pStyle w:val="conclusionoflaw"/>
        <w:ind w:firstLine="360"/>
      </w:pPr>
      <w:r w:rsidRPr="004C0BFE">
        <w:t xml:space="preserve">For local RA, </w:t>
      </w:r>
      <w:r w:rsidR="00375BB4" w:rsidRPr="004C0BFE">
        <w:t xml:space="preserve">the </w:t>
      </w:r>
      <w:r w:rsidRPr="004C0BFE">
        <w:t xml:space="preserve">RA Adder should be calculated using volume-weighted average of all IOU, CCA and ESP RA-only </w:t>
      </w:r>
      <w:r w:rsidR="00375BB4" w:rsidRPr="004C0BFE">
        <w:t>purchase and sale</w:t>
      </w:r>
      <w:r w:rsidRPr="004C0BFE">
        <w:t xml:space="preserve"> transactions executed in the years as specified in A</w:t>
      </w:r>
      <w:r w:rsidR="008A5263" w:rsidRPr="004C0BFE">
        <w:t>ttachment</w:t>
      </w:r>
      <w:r w:rsidRPr="004C0BFE">
        <w:t xml:space="preserve"> </w:t>
      </w:r>
      <w:r w:rsidR="008A5263" w:rsidRPr="004C0BFE">
        <w:t>A</w:t>
      </w:r>
      <w:r w:rsidRPr="004C0BFE">
        <w:t xml:space="preserve">. </w:t>
      </w:r>
    </w:p>
    <w:p w14:paraId="62B4F95D" w14:textId="2A470248" w:rsidR="00844D9B" w:rsidRPr="004C0BFE" w:rsidRDefault="00844D9B" w:rsidP="00257001">
      <w:pPr>
        <w:pStyle w:val="conclusionoflaw"/>
        <w:ind w:firstLine="360"/>
      </w:pPr>
      <w:r w:rsidRPr="004C0BFE">
        <w:lastRenderedPageBreak/>
        <w:t>The calculation</w:t>
      </w:r>
      <w:r w:rsidR="000425A7" w:rsidRPr="004C0BFE">
        <w:t>s</w:t>
      </w:r>
      <w:r w:rsidRPr="004C0BFE">
        <w:t xml:space="preserve"> should be performed by Energy Division </w:t>
      </w:r>
      <w:r w:rsidR="004332E4">
        <w:t xml:space="preserve">by the first business day in </w:t>
      </w:r>
      <w:r w:rsidRPr="004C0BFE">
        <w:t>November and should be incorporated into the IOU</w:t>
      </w:r>
      <w:r w:rsidR="000425A7" w:rsidRPr="004C0BFE">
        <w:t>s’</w:t>
      </w:r>
      <w:r w:rsidRPr="004C0BFE">
        <w:t xml:space="preserve"> ERRA Forecast application</w:t>
      </w:r>
      <w:r w:rsidR="000425A7" w:rsidRPr="004C0BFE">
        <w:t>s</w:t>
      </w:r>
      <w:r w:rsidRPr="004C0BFE">
        <w:t>.</w:t>
      </w:r>
    </w:p>
    <w:p w14:paraId="53CF48AA" w14:textId="11731FE9" w:rsidR="00844D9B" w:rsidRPr="004C0BFE" w:rsidRDefault="00844D9B" w:rsidP="00257001">
      <w:pPr>
        <w:pStyle w:val="conclusionoflaw"/>
        <w:ind w:firstLine="360"/>
      </w:pPr>
      <w:r w:rsidRPr="004C0BFE">
        <w:t>C</w:t>
      </w:r>
      <w:r w:rsidR="001E41C3" w:rsidRPr="004C0BFE">
        <w:t xml:space="preserve">apacity </w:t>
      </w:r>
      <w:r w:rsidRPr="004C0BFE">
        <w:t>P</w:t>
      </w:r>
      <w:r w:rsidR="001E41C3" w:rsidRPr="004C0BFE">
        <w:t xml:space="preserve">rocurement </w:t>
      </w:r>
      <w:r w:rsidRPr="004C0BFE">
        <w:t>M</w:t>
      </w:r>
      <w:r w:rsidR="001E41C3" w:rsidRPr="004C0BFE">
        <w:t>echanism</w:t>
      </w:r>
      <w:r w:rsidRPr="004C0BFE">
        <w:t xml:space="preserve"> costs should not be incorporated in RA Adder calculations. </w:t>
      </w:r>
    </w:p>
    <w:p w14:paraId="1685A414" w14:textId="77777777" w:rsidR="00B10FEE" w:rsidRPr="004C0BFE" w:rsidRDefault="00964687" w:rsidP="00257001">
      <w:pPr>
        <w:pStyle w:val="conclusionoflaw"/>
        <w:ind w:firstLine="360"/>
      </w:pPr>
      <w:r w:rsidRPr="004C0BFE">
        <w:t xml:space="preserve">The dataset requirements for calculating the Adders adopted in </w:t>
      </w:r>
    </w:p>
    <w:p w14:paraId="089BEE03" w14:textId="2833B47A" w:rsidR="00964687" w:rsidRPr="004C0BFE" w:rsidRDefault="00964687" w:rsidP="00B10FEE">
      <w:pPr>
        <w:pStyle w:val="conclusionoflaw"/>
        <w:numPr>
          <w:ilvl w:val="0"/>
          <w:numId w:val="0"/>
        </w:numPr>
      </w:pPr>
      <w:r w:rsidRPr="004C0BFE">
        <w:t>D.18-10-019 should be changed to the dataset requirements adopted in this decision</w:t>
      </w:r>
      <w:r w:rsidR="00031401" w:rsidRPr="004C0BFE">
        <w:t>.</w:t>
      </w:r>
    </w:p>
    <w:p w14:paraId="370445D9" w14:textId="5AD076B0" w:rsidR="00844D9B" w:rsidRPr="004C0BFE" w:rsidRDefault="00AD4506" w:rsidP="00257001">
      <w:pPr>
        <w:pStyle w:val="conclusionoflaw"/>
        <w:ind w:firstLine="360"/>
      </w:pPr>
      <w:r w:rsidRPr="004C0BFE">
        <w:t xml:space="preserve">The Energy Division </w:t>
      </w:r>
      <w:r w:rsidR="00EE16C0" w:rsidRPr="004C0BFE">
        <w:t xml:space="preserve">Director </w:t>
      </w:r>
      <w:r w:rsidRPr="004C0BFE">
        <w:t>should have discretion to modify t</w:t>
      </w:r>
      <w:r w:rsidR="00844D9B" w:rsidRPr="004C0BFE">
        <w:t xml:space="preserve">he </w:t>
      </w:r>
      <w:r w:rsidRPr="004C0BFE">
        <w:t xml:space="preserve">proposed </w:t>
      </w:r>
      <w:r w:rsidR="00844D9B" w:rsidRPr="004C0BFE">
        <w:t>data templates</w:t>
      </w:r>
      <w:r w:rsidRPr="004C0BFE">
        <w:t>, as needed,</w:t>
      </w:r>
      <w:r w:rsidR="00844D9B" w:rsidRPr="004C0BFE">
        <w:t xml:space="preserve"> </w:t>
      </w:r>
      <w:r w:rsidRPr="004C0BFE">
        <w:t>to collect the data</w:t>
      </w:r>
      <w:r w:rsidR="00844D9B" w:rsidRPr="004C0BFE">
        <w:t xml:space="preserve"> </w:t>
      </w:r>
      <w:r w:rsidRPr="004C0BFE">
        <w:t xml:space="preserve">in order </w:t>
      </w:r>
      <w:r w:rsidR="00844D9B" w:rsidRPr="004C0BFE">
        <w:t xml:space="preserve">to accurately calculate forecast </w:t>
      </w:r>
      <w:r w:rsidR="003B65F9" w:rsidRPr="004C0BFE">
        <w:t>A</w:t>
      </w:r>
      <w:r w:rsidR="00844D9B" w:rsidRPr="004C0BFE">
        <w:t>dders and true them</w:t>
      </w:r>
      <w:r w:rsidRPr="004C0BFE">
        <w:t xml:space="preserve"> up</w:t>
      </w:r>
      <w:r w:rsidR="00844D9B" w:rsidRPr="004C0BFE">
        <w:t xml:space="preserve">. </w:t>
      </w:r>
    </w:p>
    <w:p w14:paraId="39F86FE6" w14:textId="505E118B" w:rsidR="00844D9B" w:rsidRPr="004C0BFE" w:rsidRDefault="00031401" w:rsidP="00257001">
      <w:pPr>
        <w:pStyle w:val="conclusionoflaw"/>
        <w:ind w:firstLine="360"/>
      </w:pPr>
      <w:r w:rsidRPr="004C0BFE">
        <w:t>T</w:t>
      </w:r>
      <w:r w:rsidR="003B65F9" w:rsidRPr="004C0BFE">
        <w:t>he Energy Division Director</w:t>
      </w:r>
      <w:r w:rsidR="00844D9B" w:rsidRPr="004C0BFE">
        <w:t xml:space="preserve"> </w:t>
      </w:r>
      <w:r w:rsidRPr="004C0BFE">
        <w:t>should be authorized to</w:t>
      </w:r>
      <w:r w:rsidR="00844D9B" w:rsidRPr="004C0BFE">
        <w:t xml:space="preserve"> </w:t>
      </w:r>
      <w:r w:rsidR="003B65F9" w:rsidRPr="004C0BFE">
        <w:t>determine the</w:t>
      </w:r>
      <w:r w:rsidR="00844D9B" w:rsidRPr="004C0BFE">
        <w:t xml:space="preserve"> frequency of data reporting.</w:t>
      </w:r>
    </w:p>
    <w:p w14:paraId="0AE98AC6" w14:textId="012F5E39" w:rsidR="00844D9B" w:rsidRPr="004C0BFE" w:rsidRDefault="00844D9B" w:rsidP="00257001">
      <w:pPr>
        <w:pStyle w:val="conclusionoflaw"/>
        <w:ind w:firstLine="360"/>
      </w:pPr>
      <w:r w:rsidRPr="004C0BFE">
        <w:t>In the interest of administrative efficiency, we should authorize the Energy Division Director to u</w:t>
      </w:r>
      <w:r w:rsidR="00EA5DB0" w:rsidRPr="004C0BFE">
        <w:t>se</w:t>
      </w:r>
      <w:r w:rsidRPr="004C0BFE">
        <w:t xml:space="preserve"> the </w:t>
      </w:r>
      <w:r w:rsidR="00EA5DB0" w:rsidRPr="004C0BFE">
        <w:t xml:space="preserve">data submitted for compliance purposes </w:t>
      </w:r>
      <w:r w:rsidRPr="004C0BFE">
        <w:t>or issue supplemental data requests in order to collect sufficient and accurate data for forecasting and tru</w:t>
      </w:r>
      <w:r w:rsidR="00EA5DB0" w:rsidRPr="004C0BFE">
        <w:t>ing</w:t>
      </w:r>
      <w:r w:rsidRPr="004C0BFE">
        <w:t xml:space="preserve"> up </w:t>
      </w:r>
      <w:r w:rsidR="00EA5DB0" w:rsidRPr="004C0BFE">
        <w:t>A</w:t>
      </w:r>
      <w:r w:rsidRPr="004C0BFE">
        <w:t>dders</w:t>
      </w:r>
      <w:r w:rsidR="00EA5DB0" w:rsidRPr="004C0BFE">
        <w:t>.</w:t>
      </w:r>
    </w:p>
    <w:p w14:paraId="3C7D7498" w14:textId="005E81DB" w:rsidR="00844D9B" w:rsidRPr="004C0BFE" w:rsidRDefault="00844D9B" w:rsidP="00257001">
      <w:pPr>
        <w:pStyle w:val="conclusionoflaw"/>
        <w:ind w:firstLine="360"/>
      </w:pPr>
      <w:r w:rsidRPr="004C0BFE">
        <w:t>The Commission should adopt the</w:t>
      </w:r>
      <w:r w:rsidR="001E41C3" w:rsidRPr="004C0BFE">
        <w:t xml:space="preserve"> </w:t>
      </w:r>
      <w:r w:rsidRPr="004C0BFE">
        <w:t xml:space="preserve">transaction reporting </w:t>
      </w:r>
      <w:r w:rsidR="00EA5DB0" w:rsidRPr="004C0BFE">
        <w:t xml:space="preserve">regime set forth in this decision </w:t>
      </w:r>
      <w:r w:rsidRPr="004C0BFE">
        <w:t xml:space="preserve">for the purposes of deriving forecasted RA and RPS </w:t>
      </w:r>
      <w:r w:rsidR="00EA5DB0" w:rsidRPr="004C0BFE">
        <w:t>A</w:t>
      </w:r>
      <w:r w:rsidRPr="004C0BFE">
        <w:t>dders.</w:t>
      </w:r>
    </w:p>
    <w:p w14:paraId="33EEBA92" w14:textId="22BD5536" w:rsidR="00844D9B" w:rsidRPr="004C0BFE" w:rsidRDefault="00F74B18" w:rsidP="00257001">
      <w:pPr>
        <w:pStyle w:val="conclusionoflaw"/>
        <w:ind w:firstLine="360"/>
      </w:pPr>
      <w:r w:rsidRPr="004C0BFE">
        <w:t>F</w:t>
      </w:r>
      <w:r w:rsidR="00844D9B" w:rsidRPr="004C0BFE">
        <w:t>or NM</w:t>
      </w:r>
      <w:r w:rsidR="00EA5DB0" w:rsidRPr="004C0BFE">
        <w:t>P</w:t>
      </w:r>
      <w:r w:rsidR="00844D9B" w:rsidRPr="004C0BFE">
        <w:t xml:space="preserve"> to participate in the stakeholder process in a meaningful and efficient manner, NMPs should be able to have access to data, provided that they agree to a </w:t>
      </w:r>
      <w:r w:rsidR="00EA5DB0" w:rsidRPr="004C0BFE">
        <w:t>standardized non</w:t>
      </w:r>
      <w:r w:rsidR="001E41C3" w:rsidRPr="004C0BFE">
        <w:t>-</w:t>
      </w:r>
      <w:r w:rsidR="00EA5DB0" w:rsidRPr="004C0BFE">
        <w:t>disclosure agreement</w:t>
      </w:r>
      <w:r w:rsidR="00844D9B" w:rsidRPr="004C0BFE">
        <w:t xml:space="preserve">. </w:t>
      </w:r>
    </w:p>
    <w:p w14:paraId="68783439" w14:textId="515EDB72" w:rsidR="00844D9B" w:rsidRPr="004C0BFE" w:rsidRDefault="00844D9B" w:rsidP="00257001">
      <w:pPr>
        <w:pStyle w:val="conclusionoflaw"/>
        <w:ind w:firstLine="360"/>
      </w:pPr>
      <w:r w:rsidRPr="004C0BFE">
        <w:t xml:space="preserve">The Commission should adopt the mechanism </w:t>
      </w:r>
      <w:r w:rsidR="00850DF5" w:rsidRPr="004C0BFE">
        <w:t xml:space="preserve">proposed in the Working Group One May Report </w:t>
      </w:r>
      <w:r w:rsidRPr="004C0BFE">
        <w:t xml:space="preserve">to true up annually the </w:t>
      </w:r>
      <w:r w:rsidR="00850DF5" w:rsidRPr="004C0BFE">
        <w:t xml:space="preserve">costs and Market Value used in the PCIA calculation, including the following Market Price Benchmarks: the </w:t>
      </w:r>
      <w:r w:rsidR="00850DF5" w:rsidRPr="004C0BFE">
        <w:lastRenderedPageBreak/>
        <w:t xml:space="preserve">Energy Index, </w:t>
      </w:r>
      <w:r w:rsidRPr="004C0BFE">
        <w:t xml:space="preserve">the Resource Adequacy (RA) </w:t>
      </w:r>
      <w:r w:rsidR="00850DF5" w:rsidRPr="004C0BFE">
        <w:t>A</w:t>
      </w:r>
      <w:r w:rsidRPr="004C0BFE">
        <w:t>dder and the Renewable</w:t>
      </w:r>
      <w:r w:rsidR="005A55E4" w:rsidRPr="004C0BFE">
        <w:t>s</w:t>
      </w:r>
      <w:r w:rsidRPr="004C0BFE">
        <w:t xml:space="preserve"> Portfolio Standard (RPS) </w:t>
      </w:r>
      <w:r w:rsidR="00850DF5" w:rsidRPr="004C0BFE">
        <w:t>A</w:t>
      </w:r>
      <w:r w:rsidRPr="004C0BFE">
        <w:t>dder.</w:t>
      </w:r>
    </w:p>
    <w:p w14:paraId="356BF082" w14:textId="69509339" w:rsidR="00844D9B" w:rsidRPr="004C0BFE" w:rsidRDefault="00844D9B" w:rsidP="00257001">
      <w:pPr>
        <w:pStyle w:val="conclusionoflaw"/>
        <w:ind w:firstLine="360"/>
      </w:pPr>
      <w:r w:rsidRPr="004C0BFE">
        <w:t>The true</w:t>
      </w:r>
      <w:r w:rsidR="00FB3A2A" w:rsidRPr="004C0BFE">
        <w:t xml:space="preserve"> </w:t>
      </w:r>
      <w:r w:rsidRPr="004C0BFE">
        <w:t>up process should be addressed as part of the annual Energy Resource Recovery Account proceedings.</w:t>
      </w:r>
    </w:p>
    <w:p w14:paraId="7164D0FD" w14:textId="044CF696" w:rsidR="00844D9B" w:rsidRPr="004C0BFE" w:rsidRDefault="00D24322" w:rsidP="00257001">
      <w:pPr>
        <w:pStyle w:val="conclusionoflaw"/>
        <w:ind w:firstLine="360"/>
      </w:pPr>
      <w:r w:rsidRPr="004C0BFE">
        <w:t>The Commission</w:t>
      </w:r>
      <w:r w:rsidR="00844D9B" w:rsidRPr="004C0BFE">
        <w:t xml:space="preserve"> should confirm the March 20, 2019 ALJ Ruling that all data submitted to Staff by LSEs is entitled to confidentiality protections under D.06-06-066</w:t>
      </w:r>
      <w:r w:rsidR="00077F66" w:rsidRPr="004C0BFE">
        <w:t>.</w:t>
      </w:r>
      <w:r w:rsidR="00844D9B" w:rsidRPr="004C0BFE">
        <w:t xml:space="preserve">  </w:t>
      </w:r>
    </w:p>
    <w:p w14:paraId="43B26116" w14:textId="03AB645B" w:rsidR="00844D9B" w:rsidRPr="004C0BFE" w:rsidRDefault="00A82781" w:rsidP="00257001">
      <w:pPr>
        <w:pStyle w:val="conclusionoflaw"/>
        <w:ind w:firstLine="360"/>
      </w:pPr>
      <w:r w:rsidRPr="004C0BFE">
        <w:t>The Commission</w:t>
      </w:r>
      <w:r w:rsidR="00844D9B" w:rsidRPr="004C0BFE">
        <w:t xml:space="preserve"> should adopt TURN’s proposal to give NMPs access to confidential data</w:t>
      </w:r>
      <w:r w:rsidR="00DF1C7C">
        <w:t xml:space="preserve"> on a voluntary basis</w:t>
      </w:r>
      <w:r w:rsidR="00844D9B" w:rsidRPr="004C0BFE">
        <w:t xml:space="preserve">. </w:t>
      </w:r>
    </w:p>
    <w:p w14:paraId="2D43677A" w14:textId="4B17C9DC" w:rsidR="00844D9B" w:rsidRPr="004C0BFE" w:rsidRDefault="00A82781" w:rsidP="00257001">
      <w:pPr>
        <w:pStyle w:val="conclusionoflaw"/>
        <w:ind w:firstLine="360"/>
      </w:pPr>
      <w:r w:rsidRPr="004C0BFE">
        <w:t>The t</w:t>
      </w:r>
      <w:r w:rsidR="00844D9B" w:rsidRPr="004C0BFE">
        <w:t>rue</w:t>
      </w:r>
      <w:r w:rsidR="00FB3A2A" w:rsidRPr="004C0BFE">
        <w:t xml:space="preserve"> </w:t>
      </w:r>
      <w:r w:rsidR="00844D9B" w:rsidRPr="004C0BFE">
        <w:t xml:space="preserve">up methodology for the Local RA </w:t>
      </w:r>
      <w:r w:rsidRPr="004C0BFE">
        <w:t>Value</w:t>
      </w:r>
      <w:r w:rsidR="00844D9B" w:rsidRPr="004C0BFE">
        <w:t xml:space="preserve"> should include all transactions specified in A</w:t>
      </w:r>
      <w:r w:rsidR="008A5263" w:rsidRPr="004C0BFE">
        <w:t>ttachment</w:t>
      </w:r>
      <w:r w:rsidR="00844D9B" w:rsidRPr="004C0BFE">
        <w:t xml:space="preserve"> </w:t>
      </w:r>
      <w:r w:rsidR="008A5263" w:rsidRPr="004C0BFE">
        <w:t>A</w:t>
      </w:r>
      <w:r w:rsidR="00844D9B" w:rsidRPr="004C0BFE">
        <w:t>.</w:t>
      </w:r>
    </w:p>
    <w:p w14:paraId="0DE58F09" w14:textId="15D7DE18" w:rsidR="00844D9B" w:rsidRPr="004C0BFE" w:rsidRDefault="00844D9B" w:rsidP="00257001">
      <w:pPr>
        <w:pStyle w:val="conclusionoflaw"/>
        <w:ind w:firstLine="360"/>
      </w:pPr>
      <w:r w:rsidRPr="004C0BFE">
        <w:t xml:space="preserve">The value of unsold RPS </w:t>
      </w:r>
      <w:r w:rsidR="00026772" w:rsidRPr="004C0BFE">
        <w:t xml:space="preserve">resources </w:t>
      </w:r>
      <w:r w:rsidRPr="004C0BFE">
        <w:t xml:space="preserve">should be zero. </w:t>
      </w:r>
    </w:p>
    <w:p w14:paraId="3AAD0C55" w14:textId="22E32D69" w:rsidR="00844D9B" w:rsidRPr="004C0BFE" w:rsidRDefault="00844D9B" w:rsidP="00257001">
      <w:pPr>
        <w:pStyle w:val="conclusionoflaw"/>
        <w:ind w:firstLine="360"/>
      </w:pPr>
      <w:r w:rsidRPr="004C0BFE">
        <w:t>The true</w:t>
      </w:r>
      <w:r w:rsidR="00FB3A2A" w:rsidRPr="004C0BFE">
        <w:t xml:space="preserve"> </w:t>
      </w:r>
      <w:r w:rsidRPr="004C0BFE">
        <w:t xml:space="preserve">up of </w:t>
      </w:r>
      <w:r w:rsidR="00026772" w:rsidRPr="004C0BFE">
        <w:t>Energy</w:t>
      </w:r>
      <w:r w:rsidRPr="004C0BFE">
        <w:t xml:space="preserve"> </w:t>
      </w:r>
      <w:r w:rsidR="00026772" w:rsidRPr="004C0BFE">
        <w:t>I</w:t>
      </w:r>
      <w:r w:rsidRPr="004C0BFE">
        <w:t xml:space="preserve">ndex, RA and RPS Adders should be addressed as part of the annual ERRA Forecast proceedings.  </w:t>
      </w:r>
    </w:p>
    <w:p w14:paraId="092FDA79" w14:textId="7F98C8CE" w:rsidR="00844D9B" w:rsidRPr="004C0BFE" w:rsidRDefault="00844D9B" w:rsidP="00257001">
      <w:pPr>
        <w:pStyle w:val="conclusionoflaw"/>
        <w:ind w:firstLine="360"/>
      </w:pPr>
      <w:r w:rsidRPr="004C0BFE">
        <w:t xml:space="preserve">Because the floor price set in a solicitation is not necessarily a </w:t>
      </w:r>
      <w:r w:rsidRPr="004C0BFE">
        <w:rPr>
          <w:i/>
          <w:iCs/>
        </w:rPr>
        <w:t>de minimis</w:t>
      </w:r>
      <w:r w:rsidRPr="004C0BFE">
        <w:t xml:space="preserve"> price and no party provided compelling arguments to set the floor price as </w:t>
      </w:r>
      <w:r w:rsidR="00BB46BA" w:rsidRPr="004C0BFE">
        <w:t xml:space="preserve">the </w:t>
      </w:r>
      <w:r w:rsidRPr="004C0BFE">
        <w:t xml:space="preserve">“de minimis” value for the unsold RA products, </w:t>
      </w:r>
      <w:r w:rsidR="00BB46BA" w:rsidRPr="004C0BFE">
        <w:t>the Commission</w:t>
      </w:r>
      <w:r w:rsidRPr="004C0BFE">
        <w:t xml:space="preserve"> should adopt PG&amp;E’s proposal to set </w:t>
      </w:r>
      <w:r w:rsidR="00BB46BA" w:rsidRPr="004C0BFE">
        <w:t xml:space="preserve">a zero value for </w:t>
      </w:r>
      <w:r w:rsidRPr="004C0BFE">
        <w:t>unsold R</w:t>
      </w:r>
      <w:r w:rsidR="00BB46BA" w:rsidRPr="004C0BFE">
        <w:t>A resources</w:t>
      </w:r>
      <w:r w:rsidRPr="004C0BFE">
        <w:t>.</w:t>
      </w:r>
    </w:p>
    <w:p w14:paraId="0BDD1466" w14:textId="2D25F9DE" w:rsidR="00844D9B" w:rsidRPr="004C0BFE" w:rsidRDefault="009918B9" w:rsidP="003C3DA0">
      <w:pPr>
        <w:pStyle w:val="conclusionoflaw"/>
        <w:ind w:firstLine="360"/>
      </w:pPr>
      <w:r w:rsidRPr="004C0BFE">
        <w:t>The Commission</w:t>
      </w:r>
      <w:r w:rsidR="00844D9B" w:rsidRPr="004C0BFE">
        <w:t xml:space="preserve"> should approve the use of vintage specific billing determinants </w:t>
      </w:r>
      <w:r w:rsidRPr="004C0BFE">
        <w:t>for PCIA rate design</w:t>
      </w:r>
      <w:r w:rsidR="00844D9B" w:rsidRPr="004C0BFE">
        <w:t>. The specific calculations should be reviewed and approved in each utility’s respective 2020 ERRA forecast proceeding.</w:t>
      </w:r>
    </w:p>
    <w:p w14:paraId="1142E51D" w14:textId="1C6AA8B6" w:rsidR="00844D9B" w:rsidRDefault="00844D9B" w:rsidP="00F35A50">
      <w:pPr>
        <w:pStyle w:val="Mainex"/>
        <w:keepLines/>
      </w:pPr>
      <w:bookmarkStart w:id="88" w:name="_Toc17368190"/>
      <w:r>
        <w:lastRenderedPageBreak/>
        <w:t>ORDER</w:t>
      </w:r>
      <w:bookmarkEnd w:id="88"/>
    </w:p>
    <w:p w14:paraId="4E5C4BD9" w14:textId="77777777" w:rsidR="00844D9B" w:rsidRPr="004C0BFE" w:rsidRDefault="00844D9B" w:rsidP="00F35A50">
      <w:pPr>
        <w:pStyle w:val="ALJBodyText"/>
        <w:keepNext/>
        <w:keepLines/>
      </w:pPr>
      <w:r w:rsidRPr="004C0BFE">
        <w:rPr>
          <w:b/>
        </w:rPr>
        <w:t>IT IS ORDERED</w:t>
      </w:r>
      <w:r w:rsidRPr="004C0BFE">
        <w:t xml:space="preserve"> that:</w:t>
      </w:r>
    </w:p>
    <w:p w14:paraId="45D69428" w14:textId="384FE3F1" w:rsidR="00844D9B" w:rsidRPr="004C0BFE" w:rsidRDefault="00844D9B" w:rsidP="00F35A50">
      <w:pPr>
        <w:pStyle w:val="ALJOP"/>
        <w:keepNext/>
        <w:keepLines/>
        <w:ind w:firstLine="360"/>
      </w:pPr>
      <w:r w:rsidRPr="004C0BFE">
        <w:t xml:space="preserve">The Commission’s Energy Division shall calculate the following values and make them available to interested parties at the beginning of November each year: (1) the </w:t>
      </w:r>
      <w:r w:rsidR="004C307D" w:rsidRPr="004C0BFE">
        <w:t>Energy</w:t>
      </w:r>
      <w:r w:rsidRPr="004C0BFE">
        <w:t xml:space="preserve"> Index, (2) the </w:t>
      </w:r>
      <w:r w:rsidR="00127275" w:rsidRPr="004C0BFE">
        <w:t>R</w:t>
      </w:r>
      <w:r w:rsidRPr="004C0BFE">
        <w:t>enewable</w:t>
      </w:r>
      <w:r w:rsidR="00066F20" w:rsidRPr="004C0BFE">
        <w:t>s</w:t>
      </w:r>
      <w:r w:rsidRPr="004C0BFE">
        <w:t xml:space="preserve"> </w:t>
      </w:r>
      <w:r w:rsidR="00127275" w:rsidRPr="004C0BFE">
        <w:t>Portfolio</w:t>
      </w:r>
      <w:r w:rsidRPr="004C0BFE">
        <w:t xml:space="preserve"> </w:t>
      </w:r>
      <w:r w:rsidR="00127275" w:rsidRPr="004C0BFE">
        <w:t>S</w:t>
      </w:r>
      <w:r w:rsidRPr="004C0BFE">
        <w:t xml:space="preserve">tandard (RPS) Adder, and (3) the </w:t>
      </w:r>
      <w:r w:rsidR="00127275" w:rsidRPr="004C0BFE">
        <w:t>R</w:t>
      </w:r>
      <w:r w:rsidRPr="004C0BFE">
        <w:t xml:space="preserve">esource </w:t>
      </w:r>
      <w:r w:rsidR="00127275" w:rsidRPr="004C0BFE">
        <w:t>A</w:t>
      </w:r>
      <w:r w:rsidRPr="004C0BFE">
        <w:t xml:space="preserve">dequacy (RA) Adder. </w:t>
      </w:r>
    </w:p>
    <w:p w14:paraId="53FE9194" w14:textId="674BE663" w:rsidR="00844D9B" w:rsidRPr="004C0BFE" w:rsidRDefault="00844D9B" w:rsidP="00257001">
      <w:pPr>
        <w:pStyle w:val="ALJOP"/>
        <w:keepNext/>
        <w:keepLines/>
        <w:numPr>
          <w:ilvl w:val="1"/>
          <w:numId w:val="17"/>
        </w:numPr>
        <w:spacing w:after="120" w:line="240" w:lineRule="auto"/>
        <w:ind w:right="1440"/>
      </w:pPr>
      <w:r w:rsidRPr="004C0BFE">
        <w:t xml:space="preserve">The </w:t>
      </w:r>
      <w:r w:rsidR="00151BB6" w:rsidRPr="004C0BFE">
        <w:t xml:space="preserve">Forecast </w:t>
      </w:r>
      <w:r w:rsidR="004C307D" w:rsidRPr="004C0BFE">
        <w:t>Energy</w:t>
      </w:r>
      <w:r w:rsidRPr="004C0BFE">
        <w:t xml:space="preserve"> Index shall continue to be calculated using the methodology adopted in D.18-10-019.</w:t>
      </w:r>
    </w:p>
    <w:p w14:paraId="6823CCCE" w14:textId="6BE86A0B" w:rsidR="00844D9B" w:rsidRPr="004C0BFE" w:rsidRDefault="00844D9B" w:rsidP="00257001">
      <w:pPr>
        <w:pStyle w:val="ALJOP"/>
        <w:keepNext/>
        <w:keepLines/>
        <w:numPr>
          <w:ilvl w:val="1"/>
          <w:numId w:val="17"/>
        </w:numPr>
        <w:spacing w:after="120" w:line="240" w:lineRule="auto"/>
        <w:ind w:right="1440"/>
      </w:pPr>
      <w:r w:rsidRPr="004C0BFE">
        <w:t xml:space="preserve">The </w:t>
      </w:r>
      <w:r w:rsidR="00151BB6" w:rsidRPr="004C0BFE">
        <w:t xml:space="preserve">Forecast </w:t>
      </w:r>
      <w:r w:rsidRPr="004C0BFE">
        <w:t xml:space="preserve">RPS Adder shall be calculated using </w:t>
      </w:r>
      <w:r w:rsidR="0011362B" w:rsidRPr="004C0BFE">
        <w:t xml:space="preserve">the </w:t>
      </w:r>
      <w:r w:rsidRPr="004C0BFE">
        <w:t xml:space="preserve">volume weighted average of all investor-owned utility (IOU), Community Choice Aggregator (CCA) and </w:t>
      </w:r>
      <w:r w:rsidR="0011362B" w:rsidRPr="004C0BFE">
        <w:t>Electric Service Provider (</w:t>
      </w:r>
      <w:r w:rsidRPr="004C0BFE">
        <w:t>ESP</w:t>
      </w:r>
      <w:r w:rsidR="0011362B" w:rsidRPr="004C0BFE">
        <w:t>)</w:t>
      </w:r>
      <w:r w:rsidRPr="004C0BFE">
        <w:t xml:space="preserve"> market transactions using only Portfolio Content Category 1 index-plus contracts executed in the fourth quarter of year (n-2), and the first through third quarter of year (n-1) for delivery in year n</w:t>
      </w:r>
      <w:r w:rsidR="00151BB6" w:rsidRPr="004C0BFE">
        <w:t>, as listed in Table II of Attachment A</w:t>
      </w:r>
      <w:r w:rsidRPr="004C0BFE">
        <w:t>.</w:t>
      </w:r>
    </w:p>
    <w:p w14:paraId="4074E635" w14:textId="63CD6723" w:rsidR="00844D9B" w:rsidRPr="004C0BFE" w:rsidRDefault="00844D9B" w:rsidP="006F13AF">
      <w:pPr>
        <w:pStyle w:val="ALJOP"/>
        <w:numPr>
          <w:ilvl w:val="1"/>
          <w:numId w:val="17"/>
        </w:numPr>
        <w:spacing w:after="120" w:line="240" w:lineRule="auto"/>
        <w:ind w:right="1440"/>
      </w:pPr>
      <w:r w:rsidRPr="004C0BFE">
        <w:t>All L</w:t>
      </w:r>
      <w:r w:rsidR="00755C0B" w:rsidRPr="004C0BFE">
        <w:t xml:space="preserve">oad </w:t>
      </w:r>
      <w:r w:rsidRPr="004C0BFE">
        <w:t>S</w:t>
      </w:r>
      <w:r w:rsidR="00755C0B" w:rsidRPr="004C0BFE">
        <w:t xml:space="preserve">erving </w:t>
      </w:r>
      <w:r w:rsidRPr="004C0BFE">
        <w:t>E</w:t>
      </w:r>
      <w:r w:rsidR="00755C0B" w:rsidRPr="004C0BFE">
        <w:t>ntitie</w:t>
      </w:r>
      <w:r w:rsidRPr="004C0BFE">
        <w:t xml:space="preserve">s shall provide Staff with information on all fixed-price transactions (sales and purchases) for renewable energy executed in the past three years (n-3, n-2 and n-1) for delivery in the following three years (n, n+1, n+2).  Energy Division shall monitor the impact of fixed-price transactions and </w:t>
      </w:r>
      <w:r w:rsidR="007A7153">
        <w:t xml:space="preserve">shall, by the end of 2020, </w:t>
      </w:r>
      <w:r w:rsidRPr="004C0BFE">
        <w:t xml:space="preserve">propose a method to include fixed-price contracts in calculating the RPS </w:t>
      </w:r>
      <w:r w:rsidR="0011362B" w:rsidRPr="004C0BFE">
        <w:t>A</w:t>
      </w:r>
      <w:r w:rsidRPr="004C0BFE">
        <w:t xml:space="preserve">dder.   We authorize the Energy Division Director to hold workshops or utilize the existing Working Group process to develop the proposal. </w:t>
      </w:r>
    </w:p>
    <w:p w14:paraId="5FB06441" w14:textId="4B8031EE" w:rsidR="00844D9B" w:rsidRPr="004C0BFE" w:rsidRDefault="00844D9B" w:rsidP="006F13AF">
      <w:pPr>
        <w:pStyle w:val="ALJOP"/>
        <w:numPr>
          <w:ilvl w:val="1"/>
          <w:numId w:val="17"/>
        </w:numPr>
        <w:spacing w:after="120" w:line="240" w:lineRule="auto"/>
        <w:ind w:right="1440"/>
      </w:pPr>
      <w:r w:rsidRPr="004C0BFE">
        <w:t xml:space="preserve">For flexible and system RA, </w:t>
      </w:r>
      <w:r w:rsidR="0011362B" w:rsidRPr="004C0BFE">
        <w:t xml:space="preserve">the </w:t>
      </w:r>
      <w:r w:rsidR="00151BB6" w:rsidRPr="004C0BFE">
        <w:t xml:space="preserve">Forecast </w:t>
      </w:r>
      <w:r w:rsidRPr="004C0BFE">
        <w:t xml:space="preserve">RA Adder shall be calculated using volume-weighted average of all IOU, CCA and ESP RA-only market transactions executed in the fourth quarter of year (n-2), and the first through third quarter of year </w:t>
      </w:r>
      <w:r w:rsidRPr="004C0BFE">
        <w:lastRenderedPageBreak/>
        <w:t>(n-1) for delivery in year n</w:t>
      </w:r>
      <w:r w:rsidR="00151BB6" w:rsidRPr="004C0BFE">
        <w:t>, as listed in Table II of Attachment A</w:t>
      </w:r>
      <w:r w:rsidRPr="004C0BFE">
        <w:t xml:space="preserve">. The annual </w:t>
      </w:r>
      <w:r w:rsidR="00151BB6" w:rsidRPr="004C0BFE">
        <w:t xml:space="preserve">Forecast </w:t>
      </w:r>
      <w:r w:rsidRPr="004C0BFE">
        <w:t xml:space="preserve">RA </w:t>
      </w:r>
      <w:r w:rsidR="0011362B" w:rsidRPr="004C0BFE">
        <w:t>A</w:t>
      </w:r>
      <w:r w:rsidRPr="004C0BFE">
        <w:t xml:space="preserve">dder ($/kW-year) shall be the sum of the monthly weighted average of the relevant transactions. </w:t>
      </w:r>
    </w:p>
    <w:p w14:paraId="0D030C20" w14:textId="4E390B80" w:rsidR="00844D9B" w:rsidRPr="004C0BFE" w:rsidRDefault="00844D9B" w:rsidP="006F13AF">
      <w:pPr>
        <w:pStyle w:val="ListParagraph"/>
        <w:numPr>
          <w:ilvl w:val="1"/>
          <w:numId w:val="17"/>
        </w:numPr>
        <w:spacing w:after="120"/>
        <w:ind w:right="1440"/>
      </w:pPr>
      <w:r w:rsidRPr="004C0BFE">
        <w:t xml:space="preserve">For local RA, </w:t>
      </w:r>
      <w:r w:rsidR="0011362B" w:rsidRPr="004C0BFE">
        <w:t xml:space="preserve">the </w:t>
      </w:r>
      <w:r w:rsidR="00151BB6" w:rsidRPr="004C0BFE">
        <w:t xml:space="preserve">Forecast </w:t>
      </w:r>
      <w:r w:rsidRPr="004C0BFE">
        <w:t>RA Adder shall be calculated using volume-weighted average of all IOU,</w:t>
      </w:r>
      <w:r w:rsidR="0011362B" w:rsidRPr="004C0BFE">
        <w:t xml:space="preserve"> </w:t>
      </w:r>
      <w:r w:rsidRPr="004C0BFE">
        <w:t xml:space="preserve">CCA and ESP RA-only market transactions executed in the years listed in </w:t>
      </w:r>
      <w:r w:rsidR="00151BB6" w:rsidRPr="004C0BFE">
        <w:t xml:space="preserve">Table II of </w:t>
      </w:r>
      <w:r w:rsidRPr="004C0BFE">
        <w:t>A</w:t>
      </w:r>
      <w:r w:rsidR="008A5263" w:rsidRPr="004C0BFE">
        <w:t>ttachment</w:t>
      </w:r>
      <w:r w:rsidRPr="004C0BFE">
        <w:t xml:space="preserve"> </w:t>
      </w:r>
      <w:r w:rsidR="008A5263" w:rsidRPr="004C0BFE">
        <w:t>A</w:t>
      </w:r>
      <w:r w:rsidRPr="004C0BFE">
        <w:t xml:space="preserve">. </w:t>
      </w:r>
    </w:p>
    <w:p w14:paraId="48F4DA6D" w14:textId="39B8529D" w:rsidR="00844D9B" w:rsidRPr="004C0BFE" w:rsidRDefault="00844D9B" w:rsidP="006F13AF">
      <w:pPr>
        <w:pStyle w:val="ALJOP"/>
        <w:numPr>
          <w:ilvl w:val="1"/>
          <w:numId w:val="17"/>
        </w:numPr>
        <w:spacing w:after="120" w:line="240" w:lineRule="auto"/>
        <w:ind w:right="1440"/>
      </w:pPr>
      <w:r w:rsidRPr="004C0BFE">
        <w:t xml:space="preserve">Capacity Procurement Mechanism costs shall not be incorporated in </w:t>
      </w:r>
      <w:r w:rsidR="001E41C3" w:rsidRPr="004C0BFE">
        <w:t xml:space="preserve">the </w:t>
      </w:r>
      <w:r w:rsidRPr="004C0BFE">
        <w:t xml:space="preserve">RA Adder calculations. </w:t>
      </w:r>
    </w:p>
    <w:p w14:paraId="43799923" w14:textId="0E90F213" w:rsidR="00395FF3" w:rsidRPr="004C0BFE" w:rsidRDefault="00C16C17" w:rsidP="003C3DA0">
      <w:pPr>
        <w:pStyle w:val="ALJOP"/>
        <w:ind w:firstLine="360"/>
      </w:pPr>
      <w:bookmarkStart w:id="89" w:name="_Hlk17900963"/>
      <w:r w:rsidRPr="004C0BFE">
        <w:t>Pacific Gas and Electric Company, Southern California Edison Company, and San Diego Gas &amp;</w:t>
      </w:r>
      <w:r w:rsidR="007979B3" w:rsidRPr="004C0BFE">
        <w:t xml:space="preserve"> </w:t>
      </w:r>
      <w:r w:rsidRPr="004C0BFE">
        <w:t xml:space="preserve">Electric Company shall calculate </w:t>
      </w:r>
      <w:r w:rsidR="00C70B1D" w:rsidRPr="004C0BFE">
        <w:t xml:space="preserve">Forecast Renewables Portfolio Standard Value and </w:t>
      </w:r>
      <w:r w:rsidR="00395FF3" w:rsidRPr="004C0BFE">
        <w:t xml:space="preserve">Forecast Resource Adequacy Value </w:t>
      </w:r>
      <w:r w:rsidRPr="004C0BFE">
        <w:t>in their respective Energy Resource Recovery Account (ERRA) forecast proceedings by using the price and quantity descriptions listed in Table I and Table II of Attachment B</w:t>
      </w:r>
      <w:bookmarkEnd w:id="89"/>
      <w:r w:rsidRPr="004C0BFE">
        <w:t xml:space="preserve">. </w:t>
      </w:r>
    </w:p>
    <w:p w14:paraId="7DC30D45" w14:textId="064A85D1" w:rsidR="00844D9B" w:rsidRPr="004C0BFE" w:rsidRDefault="00844D9B" w:rsidP="003C3DA0">
      <w:pPr>
        <w:pStyle w:val="ALJOP"/>
        <w:ind w:firstLine="360"/>
      </w:pPr>
      <w:r w:rsidRPr="004C0BFE">
        <w:t xml:space="preserve">The Commission’s Energy Division shall true up the </w:t>
      </w:r>
      <w:r w:rsidR="00C67FD0" w:rsidRPr="004C0BFE">
        <w:t>R</w:t>
      </w:r>
      <w:r w:rsidRPr="004C0BFE">
        <w:t>enewable</w:t>
      </w:r>
      <w:r w:rsidR="00C67FD0" w:rsidRPr="004C0BFE">
        <w:t>s</w:t>
      </w:r>
      <w:r w:rsidRPr="004C0BFE">
        <w:t xml:space="preserve"> </w:t>
      </w:r>
      <w:r w:rsidR="00C67FD0" w:rsidRPr="004C0BFE">
        <w:t>Portfolio</w:t>
      </w:r>
      <w:r w:rsidRPr="004C0BFE">
        <w:t xml:space="preserve"> </w:t>
      </w:r>
      <w:r w:rsidR="00C67FD0" w:rsidRPr="004C0BFE">
        <w:t>S</w:t>
      </w:r>
      <w:r w:rsidRPr="004C0BFE">
        <w:t xml:space="preserve">tandard (RPS) Adder and the </w:t>
      </w:r>
      <w:r w:rsidR="00C67FD0" w:rsidRPr="004C0BFE">
        <w:t>R</w:t>
      </w:r>
      <w:r w:rsidRPr="004C0BFE">
        <w:t xml:space="preserve">esource </w:t>
      </w:r>
      <w:r w:rsidR="00C67FD0" w:rsidRPr="004C0BFE">
        <w:t>A</w:t>
      </w:r>
      <w:r w:rsidRPr="004C0BFE">
        <w:t>dequacy (RA) Adder and make them available to interested parties at the beginning of November each year.</w:t>
      </w:r>
      <w:r w:rsidR="00037611" w:rsidRPr="004C0BFE">
        <w:t xml:space="preserve"> The true</w:t>
      </w:r>
      <w:r w:rsidR="00FB3A2A" w:rsidRPr="004C0BFE">
        <w:t xml:space="preserve"> </w:t>
      </w:r>
      <w:r w:rsidR="00037611" w:rsidRPr="004C0BFE">
        <w:t>up will commence with a true</w:t>
      </w:r>
      <w:r w:rsidR="00FB3A2A" w:rsidRPr="004C0BFE">
        <w:t xml:space="preserve"> </w:t>
      </w:r>
      <w:r w:rsidR="00037611" w:rsidRPr="004C0BFE">
        <w:t xml:space="preserve">up of the 2019 Power Charge Indifference Adjustment (PCIA) in the 2020 </w:t>
      </w:r>
      <w:bookmarkStart w:id="90" w:name="_Hlk17900929"/>
      <w:r w:rsidR="00037611" w:rsidRPr="004C0BFE">
        <w:t>Energy Resource Recovery Account (ERRA) forecast proceedings</w:t>
      </w:r>
      <w:bookmarkEnd w:id="90"/>
      <w:r w:rsidR="00037611" w:rsidRPr="004C0BFE">
        <w:t>.</w:t>
      </w:r>
    </w:p>
    <w:p w14:paraId="3EE10149" w14:textId="237F4C54" w:rsidR="00844D9B" w:rsidRPr="004C0BFE" w:rsidRDefault="00844D9B" w:rsidP="008F0FE0">
      <w:pPr>
        <w:pStyle w:val="ListParagraph"/>
        <w:numPr>
          <w:ilvl w:val="1"/>
          <w:numId w:val="17"/>
        </w:numPr>
        <w:spacing w:after="120"/>
        <w:ind w:right="1440"/>
      </w:pPr>
      <w:r w:rsidRPr="004C0BFE">
        <w:t xml:space="preserve">The Final RPS Adder shall be </w:t>
      </w:r>
      <w:r w:rsidR="00424721" w:rsidRPr="004C0BFE">
        <w:t xml:space="preserve">used as shown in Table III of Attachment B and shall be </w:t>
      </w:r>
      <w:r w:rsidRPr="004C0BFE">
        <w:t>calculated using volume weighted average of all investor-owned utility, Community Choice Aggregator and E</w:t>
      </w:r>
      <w:r w:rsidR="00F37B96" w:rsidRPr="004C0BFE">
        <w:t>lectric Service Provider</w:t>
      </w:r>
      <w:r w:rsidRPr="004C0BFE">
        <w:t xml:space="preserve"> market transactions using only Portfolio Content Category 1 </w:t>
      </w:r>
      <w:r w:rsidR="000C1327" w:rsidRPr="004C0BFE">
        <w:br/>
      </w:r>
      <w:r w:rsidRPr="004C0BFE">
        <w:t xml:space="preserve">index-plus contracts executed in year (n-1), and the first through third quarter of year n for </w:t>
      </w:r>
      <w:r w:rsidRPr="004C0BFE">
        <w:lastRenderedPageBreak/>
        <w:t>delivery in year n</w:t>
      </w:r>
      <w:r w:rsidR="00151BB6" w:rsidRPr="004C0BFE">
        <w:t xml:space="preserve">, as listed in </w:t>
      </w:r>
      <w:r w:rsidR="0082020E" w:rsidRPr="004C0BFE">
        <w:t xml:space="preserve">Table II of </w:t>
      </w:r>
      <w:r w:rsidR="00151BB6" w:rsidRPr="004C0BFE">
        <w:t>Attachment A</w:t>
      </w:r>
      <w:r w:rsidRPr="004C0BFE">
        <w:t>.</w:t>
      </w:r>
    </w:p>
    <w:p w14:paraId="58FB12AD" w14:textId="77777777" w:rsidR="00844D9B" w:rsidRPr="004C0BFE" w:rsidRDefault="00844D9B" w:rsidP="000C1327">
      <w:pPr>
        <w:pStyle w:val="ListParagraph"/>
        <w:keepNext/>
        <w:keepLines/>
        <w:numPr>
          <w:ilvl w:val="1"/>
          <w:numId w:val="17"/>
        </w:numPr>
        <w:spacing w:after="120"/>
        <w:ind w:right="1440"/>
      </w:pPr>
      <w:r w:rsidRPr="004C0BFE">
        <w:t xml:space="preserve">The value of unsold RPS products shall be zero. </w:t>
      </w:r>
    </w:p>
    <w:p w14:paraId="330869CA" w14:textId="561D7EAC" w:rsidR="00844D9B" w:rsidRPr="004C0BFE" w:rsidRDefault="00844D9B" w:rsidP="000C1327">
      <w:pPr>
        <w:pStyle w:val="ALJOP"/>
        <w:keepNext/>
        <w:keepLines/>
        <w:numPr>
          <w:ilvl w:val="1"/>
          <w:numId w:val="17"/>
        </w:numPr>
        <w:spacing w:after="120" w:line="240" w:lineRule="auto"/>
        <w:ind w:right="1440"/>
      </w:pPr>
      <w:r w:rsidRPr="004C0BFE">
        <w:t xml:space="preserve">For flexible and system RA, </w:t>
      </w:r>
      <w:r w:rsidR="00C935EE" w:rsidRPr="004C0BFE">
        <w:t xml:space="preserve">the </w:t>
      </w:r>
      <w:r w:rsidRPr="004C0BFE">
        <w:t xml:space="preserve">Final RA Adder shall be </w:t>
      </w:r>
      <w:r w:rsidR="00424721" w:rsidRPr="004C0BFE">
        <w:t xml:space="preserve">used as shown in </w:t>
      </w:r>
      <w:r w:rsidR="006D2FEA" w:rsidRPr="004C0BFE">
        <w:t xml:space="preserve">Table IV of </w:t>
      </w:r>
      <w:r w:rsidR="00424721" w:rsidRPr="004C0BFE">
        <w:t xml:space="preserve">Attachment B and shall be </w:t>
      </w:r>
      <w:r w:rsidRPr="004C0BFE">
        <w:t>calculated using volume-weighted average of all IOU, CCA and ESP RA-only market transactions</w:t>
      </w:r>
      <w:r w:rsidR="00151BB6" w:rsidRPr="004C0BFE">
        <w:t>,</w:t>
      </w:r>
      <w:r w:rsidRPr="004C0BFE">
        <w:t xml:space="preserve"> as listed in </w:t>
      </w:r>
      <w:r w:rsidR="0082020E" w:rsidRPr="004C0BFE">
        <w:t xml:space="preserve">Table II of </w:t>
      </w:r>
      <w:r w:rsidR="008A5263" w:rsidRPr="004C0BFE">
        <w:t>Attachment</w:t>
      </w:r>
      <w:r w:rsidRPr="004C0BFE">
        <w:t xml:space="preserve"> </w:t>
      </w:r>
      <w:r w:rsidR="008A5263" w:rsidRPr="004C0BFE">
        <w:t>A</w:t>
      </w:r>
      <w:r w:rsidRPr="004C0BFE">
        <w:t>.</w:t>
      </w:r>
    </w:p>
    <w:p w14:paraId="64CF3649" w14:textId="47042922" w:rsidR="00844D9B" w:rsidRPr="004C0BFE" w:rsidRDefault="00844D9B" w:rsidP="008F0FE0">
      <w:pPr>
        <w:pStyle w:val="ALJOP"/>
        <w:numPr>
          <w:ilvl w:val="1"/>
          <w:numId w:val="17"/>
        </w:numPr>
        <w:spacing w:after="120" w:line="240" w:lineRule="auto"/>
        <w:ind w:right="1440"/>
      </w:pPr>
      <w:r w:rsidRPr="004C0BFE">
        <w:t xml:space="preserve">For local RA, </w:t>
      </w:r>
      <w:r w:rsidR="00330EEC" w:rsidRPr="004C0BFE">
        <w:t xml:space="preserve">the </w:t>
      </w:r>
      <w:r w:rsidRPr="004C0BFE">
        <w:t xml:space="preserve">RA Adder shall be </w:t>
      </w:r>
      <w:r w:rsidR="00424721" w:rsidRPr="004C0BFE">
        <w:t xml:space="preserve">used as shown in </w:t>
      </w:r>
      <w:r w:rsidR="006D2FEA" w:rsidRPr="004C0BFE">
        <w:t xml:space="preserve">Table IV of </w:t>
      </w:r>
      <w:r w:rsidR="00424721" w:rsidRPr="004C0BFE">
        <w:t xml:space="preserve">Attachment B and shall be </w:t>
      </w:r>
      <w:r w:rsidRPr="004C0BFE">
        <w:t xml:space="preserve">calculated using volume-weighted average of all IOU, CCA and ESP RA-only market transactions executed in years listed in </w:t>
      </w:r>
      <w:r w:rsidR="0082020E" w:rsidRPr="004C0BFE">
        <w:t xml:space="preserve">Table II of </w:t>
      </w:r>
      <w:r w:rsidRPr="004C0BFE">
        <w:t>A</w:t>
      </w:r>
      <w:r w:rsidR="008A5263" w:rsidRPr="004C0BFE">
        <w:t>ttachment</w:t>
      </w:r>
      <w:r w:rsidRPr="004C0BFE">
        <w:t xml:space="preserve"> </w:t>
      </w:r>
      <w:r w:rsidR="008A5263" w:rsidRPr="004C0BFE">
        <w:t>A</w:t>
      </w:r>
      <w:r w:rsidRPr="004C0BFE">
        <w:t>.</w:t>
      </w:r>
    </w:p>
    <w:p w14:paraId="40525540" w14:textId="7F6E6F55" w:rsidR="00735B7A" w:rsidRPr="004C0BFE" w:rsidRDefault="00735B7A" w:rsidP="008F0FE0">
      <w:pPr>
        <w:pStyle w:val="ALJOP"/>
        <w:numPr>
          <w:ilvl w:val="1"/>
          <w:numId w:val="17"/>
        </w:numPr>
        <w:spacing w:after="120" w:line="240" w:lineRule="auto"/>
        <w:ind w:right="1440"/>
      </w:pPr>
      <w:r w:rsidRPr="004C0BFE">
        <w:t>The value of unsold RA products shall be zero.</w:t>
      </w:r>
    </w:p>
    <w:p w14:paraId="7C62686E" w14:textId="4DC32B6A" w:rsidR="00844D9B" w:rsidRPr="004C0BFE" w:rsidRDefault="00844D9B" w:rsidP="008F0FE0">
      <w:pPr>
        <w:pStyle w:val="ALJOP"/>
        <w:numPr>
          <w:ilvl w:val="1"/>
          <w:numId w:val="17"/>
        </w:numPr>
        <w:spacing w:after="120" w:line="240" w:lineRule="auto"/>
        <w:ind w:right="1440"/>
      </w:pPr>
      <w:r w:rsidRPr="004C0BFE">
        <w:t xml:space="preserve">The year-end over- or under-collection in the vintaged PABA subaccounts related to RA categories for year n </w:t>
      </w:r>
      <w:r w:rsidR="00286CD4" w:rsidRPr="004C0BFE">
        <w:t>shall be</w:t>
      </w:r>
      <w:r w:rsidRPr="004C0BFE">
        <w:t xml:space="preserve"> included in the vintaged PCIA rate calculation for year (n+1), as part of each utility’s ERRA Forecast proceeding.</w:t>
      </w:r>
    </w:p>
    <w:p w14:paraId="664D42F6" w14:textId="53655128" w:rsidR="00844D9B" w:rsidRPr="004C0BFE" w:rsidRDefault="00844D9B" w:rsidP="008F0FE0">
      <w:pPr>
        <w:pStyle w:val="ALJOP"/>
        <w:numPr>
          <w:ilvl w:val="1"/>
          <w:numId w:val="17"/>
        </w:numPr>
        <w:spacing w:after="120" w:line="240" w:lineRule="auto"/>
        <w:ind w:right="1440"/>
      </w:pPr>
      <w:r w:rsidRPr="004C0BFE">
        <w:t>The true</w:t>
      </w:r>
      <w:r w:rsidR="00FB3A2A" w:rsidRPr="004C0BFE">
        <w:t xml:space="preserve"> </w:t>
      </w:r>
      <w:r w:rsidRPr="004C0BFE">
        <w:t>up process shall be addressed as part of the annual ERRA Forecast proceeding.</w:t>
      </w:r>
    </w:p>
    <w:p w14:paraId="22FAAA8D" w14:textId="3B245CA8" w:rsidR="00C16C17" w:rsidRPr="004C0BFE" w:rsidRDefault="00C16C17" w:rsidP="003C3DA0">
      <w:pPr>
        <w:pStyle w:val="ALJOP"/>
        <w:ind w:firstLine="360"/>
      </w:pPr>
      <w:r w:rsidRPr="004C0BFE">
        <w:t xml:space="preserve">Pacific Gas and Electric Company, Southern California Edison Company, and San Diego Gas &amp;Electric Company shall calculate </w:t>
      </w:r>
      <w:r w:rsidR="002A3154" w:rsidRPr="004C0BFE">
        <w:t xml:space="preserve">Renewables Portfolio Standard Value True Up and </w:t>
      </w:r>
      <w:r w:rsidRPr="004C0BFE">
        <w:t xml:space="preserve">Resource Adequacy Value True Up in their respective Energy Resource Recovery Account (ERRA) proceedings by using the price and quantity descriptions listed in Table III and Table IV of Attachment B. </w:t>
      </w:r>
    </w:p>
    <w:p w14:paraId="7CC45578" w14:textId="70E74897" w:rsidR="00844D9B" w:rsidRPr="004C0BFE" w:rsidRDefault="00844D9B" w:rsidP="003C3DA0">
      <w:pPr>
        <w:pStyle w:val="ALJOP"/>
        <w:ind w:firstLine="360"/>
      </w:pPr>
      <w:r w:rsidRPr="004C0BFE">
        <w:t>The Commission establishes quarterly transaction reporting requirements for all Load Serving Entities, including Community Choice Aggregators and E</w:t>
      </w:r>
      <w:r w:rsidR="00B84A97" w:rsidRPr="004C0BFE">
        <w:t>lectric</w:t>
      </w:r>
      <w:r w:rsidRPr="004C0BFE">
        <w:t xml:space="preserve"> Service Providers, to ensure that the forecast and true up process</w:t>
      </w:r>
      <w:r w:rsidR="00B84A97" w:rsidRPr="004C0BFE">
        <w:t>es</w:t>
      </w:r>
      <w:r w:rsidRPr="004C0BFE">
        <w:t xml:space="preserve"> are timely and accurately completed. We authorize the Energy Division Director to reduce the frequency of data reporting for administrative efficiency.</w:t>
      </w:r>
    </w:p>
    <w:p w14:paraId="130FC712" w14:textId="59FA84FA" w:rsidR="00844D9B" w:rsidRPr="004C0BFE" w:rsidRDefault="00844D9B" w:rsidP="003C3DA0">
      <w:pPr>
        <w:pStyle w:val="ALJOP"/>
        <w:ind w:firstLine="360"/>
      </w:pPr>
      <w:bookmarkStart w:id="91" w:name="_Hlk17900824"/>
      <w:r w:rsidRPr="004C0BFE">
        <w:lastRenderedPageBreak/>
        <w:t>Pacific Gas and Electric Company, Southern California Edison Company, and San Diego Gas &amp;</w:t>
      </w:r>
      <w:r w:rsidR="00303E4F" w:rsidRPr="004C0BFE">
        <w:t xml:space="preserve"> </w:t>
      </w:r>
      <w:r w:rsidRPr="004C0BFE">
        <w:t xml:space="preserve">Electric Company shall </w:t>
      </w:r>
      <w:bookmarkEnd w:id="91"/>
      <w:r w:rsidRPr="004C0BFE">
        <w:t>apply vintage</w:t>
      </w:r>
      <w:r w:rsidR="00B84A97" w:rsidRPr="004C0BFE">
        <w:t>-</w:t>
      </w:r>
      <w:r w:rsidRPr="004C0BFE">
        <w:t>based billing determinants in their 20</w:t>
      </w:r>
      <w:r w:rsidR="006703E3">
        <w:t>20</w:t>
      </w:r>
      <w:r w:rsidRPr="004C0BFE">
        <w:t xml:space="preserve"> ERRA Forecast Applications. </w:t>
      </w:r>
    </w:p>
    <w:p w14:paraId="5F54B55C" w14:textId="73FC6443" w:rsidR="00844D9B" w:rsidRDefault="00844D9B" w:rsidP="003C3DA0">
      <w:pPr>
        <w:pStyle w:val="ALJOP"/>
        <w:ind w:firstLine="360"/>
      </w:pPr>
      <w:r w:rsidRPr="004C0BFE">
        <w:t>San Diego Gas &amp;</w:t>
      </w:r>
      <w:r w:rsidR="00303E4F" w:rsidRPr="004C0BFE">
        <w:t xml:space="preserve"> </w:t>
      </w:r>
      <w:r w:rsidRPr="004C0BFE">
        <w:t>Electric Company (SDG&amp;E) shall give a presentation to Working Group One, providing information on the billing determinants SDG&amp;E uses contrasted with the use of vintaged billing determinants,  within 30 days of the issuance of this decision, if it has not already provided the information to interested parties in this proceeding.</w:t>
      </w:r>
    </w:p>
    <w:p w14:paraId="349F472A" w14:textId="13989051" w:rsidR="007A7153" w:rsidRPr="004C0BFE" w:rsidRDefault="007A7153" w:rsidP="007A7153">
      <w:pPr>
        <w:pStyle w:val="ALJOP"/>
      </w:pPr>
      <w:r>
        <w:t>PG&amp;E, SCE, and SDG&amp;E may each file a Tier 1 Advice Letter within 20 days of the effective date of this decision to implement, if necessary, the provisions of this Decision in their respective tariffs.</w:t>
      </w:r>
    </w:p>
    <w:p w14:paraId="4FBE70A0" w14:textId="77777777" w:rsidR="00844D9B" w:rsidRPr="004C0BFE" w:rsidRDefault="00844D9B" w:rsidP="003C3DA0">
      <w:pPr>
        <w:pStyle w:val="ALJOP"/>
        <w:ind w:firstLine="360"/>
      </w:pPr>
      <w:r w:rsidRPr="004C0BFE">
        <w:t>Rulemaking 17-06-026 remains open.</w:t>
      </w:r>
    </w:p>
    <w:p w14:paraId="57F37AAC" w14:textId="77777777" w:rsidR="00844D9B" w:rsidRPr="004C0BFE" w:rsidRDefault="00844D9B" w:rsidP="00844D9B">
      <w:pPr>
        <w:pStyle w:val="ALJBodyText"/>
      </w:pPr>
      <w:r w:rsidRPr="004C0BFE">
        <w:t>This order is effective today.</w:t>
      </w:r>
    </w:p>
    <w:p w14:paraId="7525AF08" w14:textId="77777777" w:rsidR="00426014" w:rsidRDefault="008F0116" w:rsidP="008F0116">
      <w:r w:rsidRPr="004C0BFE">
        <w:t xml:space="preserve">Dated </w:t>
      </w:r>
      <w:r w:rsidR="002B0C1A">
        <w:t>October 10, 2019</w:t>
      </w:r>
      <w:r w:rsidRPr="004C0BFE">
        <w:t>, at San Francisco, California</w:t>
      </w:r>
      <w:r w:rsidR="00FF110C" w:rsidRPr="004C0BFE">
        <w:t>.</w:t>
      </w:r>
    </w:p>
    <w:p w14:paraId="58A10E2F" w14:textId="77777777" w:rsidR="00115238" w:rsidRDefault="00115238" w:rsidP="008F0116"/>
    <w:p w14:paraId="0FEFC285" w14:textId="77777777" w:rsidR="00115238" w:rsidRDefault="00115238" w:rsidP="00115238">
      <w:pPr>
        <w:autoSpaceDE w:val="0"/>
        <w:autoSpaceDN w:val="0"/>
        <w:adjustRightInd w:val="0"/>
        <w:spacing w:line="240" w:lineRule="auto"/>
        <w:ind w:left="4320"/>
        <w:jc w:val="both"/>
        <w:rPr>
          <w:rFonts w:cs="Palatino"/>
          <w:szCs w:val="26"/>
        </w:rPr>
      </w:pPr>
      <w:r>
        <w:rPr>
          <w:rFonts w:cs="Palatino"/>
          <w:szCs w:val="26"/>
        </w:rPr>
        <w:t>MARYBEL BATJER</w:t>
      </w:r>
    </w:p>
    <w:p w14:paraId="7C0622C2" w14:textId="77777777" w:rsidR="00115238" w:rsidRPr="00283E5F" w:rsidRDefault="00115238" w:rsidP="00115238">
      <w:pPr>
        <w:autoSpaceDE w:val="0"/>
        <w:autoSpaceDN w:val="0"/>
        <w:adjustRightInd w:val="0"/>
        <w:spacing w:line="240" w:lineRule="auto"/>
        <w:ind w:left="4320"/>
        <w:jc w:val="both"/>
        <w:rPr>
          <w:rFonts w:cs="Courier New"/>
          <w:szCs w:val="26"/>
        </w:rPr>
      </w:pPr>
      <w:r>
        <w:rPr>
          <w:rFonts w:cs="Palatino"/>
          <w:szCs w:val="26"/>
        </w:rPr>
        <w:t xml:space="preserve">                  </w:t>
      </w:r>
      <w:r w:rsidRPr="00283E5F">
        <w:rPr>
          <w:rFonts w:cs="Courier New"/>
          <w:szCs w:val="26"/>
        </w:rPr>
        <w:t>President</w:t>
      </w:r>
    </w:p>
    <w:p w14:paraId="12706065" w14:textId="77777777" w:rsidR="00115238" w:rsidRDefault="00115238" w:rsidP="00115238">
      <w:pPr>
        <w:autoSpaceDE w:val="0"/>
        <w:autoSpaceDN w:val="0"/>
        <w:adjustRightInd w:val="0"/>
        <w:spacing w:line="240" w:lineRule="auto"/>
        <w:ind w:left="4320"/>
        <w:jc w:val="both"/>
        <w:rPr>
          <w:rFonts w:cs="Courier New"/>
          <w:szCs w:val="26"/>
        </w:rPr>
      </w:pPr>
      <w:r>
        <w:rPr>
          <w:rFonts w:cs="Courier New"/>
          <w:szCs w:val="26"/>
        </w:rPr>
        <w:t>LIANE M. RANDOLPH</w:t>
      </w:r>
    </w:p>
    <w:p w14:paraId="7C2EB62A" w14:textId="77777777" w:rsidR="00115238" w:rsidRPr="00283E5F" w:rsidRDefault="00115238" w:rsidP="00115238">
      <w:pPr>
        <w:autoSpaceDE w:val="0"/>
        <w:autoSpaceDN w:val="0"/>
        <w:adjustRightInd w:val="0"/>
        <w:spacing w:line="240" w:lineRule="auto"/>
        <w:ind w:left="4320"/>
        <w:jc w:val="both"/>
        <w:rPr>
          <w:rFonts w:cs="Courier New"/>
          <w:szCs w:val="26"/>
        </w:rPr>
      </w:pPr>
      <w:r w:rsidRPr="00283E5F">
        <w:rPr>
          <w:rFonts w:cs="Courier New"/>
          <w:szCs w:val="26"/>
        </w:rPr>
        <w:t>MARTHA GUZMAN ACEVES</w:t>
      </w:r>
    </w:p>
    <w:p w14:paraId="270F614B" w14:textId="77777777" w:rsidR="00115238" w:rsidRPr="00283E5F" w:rsidRDefault="00115238" w:rsidP="00115238">
      <w:pPr>
        <w:autoSpaceDE w:val="0"/>
        <w:autoSpaceDN w:val="0"/>
        <w:adjustRightInd w:val="0"/>
        <w:spacing w:line="240" w:lineRule="auto"/>
        <w:ind w:left="4320"/>
        <w:jc w:val="both"/>
        <w:rPr>
          <w:rFonts w:cs="Courier New"/>
          <w:szCs w:val="26"/>
        </w:rPr>
      </w:pPr>
      <w:r w:rsidRPr="00283E5F">
        <w:rPr>
          <w:rFonts w:cs="Courier New"/>
          <w:szCs w:val="26"/>
        </w:rPr>
        <w:t>CLIFFORD RECHTSCHAFFEN</w:t>
      </w:r>
    </w:p>
    <w:p w14:paraId="141453CA" w14:textId="77777777" w:rsidR="00115238" w:rsidRPr="00283E5F" w:rsidRDefault="00115238" w:rsidP="00115238">
      <w:pPr>
        <w:autoSpaceDE w:val="0"/>
        <w:autoSpaceDN w:val="0"/>
        <w:adjustRightInd w:val="0"/>
        <w:spacing w:line="240" w:lineRule="auto"/>
        <w:ind w:left="4320"/>
        <w:jc w:val="both"/>
        <w:rPr>
          <w:rFonts w:cs="Courier New"/>
          <w:szCs w:val="26"/>
        </w:rPr>
      </w:pPr>
      <w:r w:rsidRPr="00283E5F">
        <w:rPr>
          <w:rFonts w:cs="Courier New"/>
          <w:szCs w:val="26"/>
        </w:rPr>
        <w:t>GENEVIEVE SHIROMA</w:t>
      </w:r>
    </w:p>
    <w:p w14:paraId="554AF1D5" w14:textId="6ADF222E" w:rsidR="00115238" w:rsidRDefault="00115238" w:rsidP="00115238">
      <w:pPr>
        <w:spacing w:line="240" w:lineRule="auto"/>
        <w:ind w:firstLine="6030"/>
      </w:pPr>
      <w:r w:rsidRPr="00283E5F">
        <w:rPr>
          <w:rFonts w:cs="Courier New"/>
          <w:szCs w:val="26"/>
        </w:rPr>
        <w:t xml:space="preserve"> Commissioners</w:t>
      </w:r>
    </w:p>
    <w:p w14:paraId="3DF2D6A2" w14:textId="77777777" w:rsidR="00115238" w:rsidRDefault="00115238" w:rsidP="008F0116"/>
    <w:p w14:paraId="0AA23A5E" w14:textId="372C6A32" w:rsidR="00115238" w:rsidRPr="004C0BFE" w:rsidRDefault="00115238" w:rsidP="008F0116">
      <w:pPr>
        <w:sectPr w:rsidR="00115238" w:rsidRPr="004C0BFE" w:rsidSect="00D44DB6">
          <w:headerReference w:type="default" r:id="rId15"/>
          <w:footerReference w:type="default" r:id="rId16"/>
          <w:pgSz w:w="12240" w:h="15840"/>
          <w:pgMar w:top="1728" w:right="1440" w:bottom="1440" w:left="1440" w:header="720" w:footer="720" w:gutter="0"/>
          <w:pgNumType w:start="2"/>
          <w:cols w:space="720"/>
          <w:docGrid w:linePitch="360"/>
        </w:sectPr>
      </w:pPr>
    </w:p>
    <w:p w14:paraId="0CA5EE49" w14:textId="77777777" w:rsidR="00844D9B" w:rsidRPr="004C0BFE" w:rsidRDefault="00844D9B" w:rsidP="00844D9B">
      <w:pPr>
        <w:pStyle w:val="ALJBodyText"/>
        <w:jc w:val="center"/>
        <w:rPr>
          <w:b/>
          <w:bCs/>
        </w:rPr>
      </w:pPr>
    </w:p>
    <w:p w14:paraId="54B31A98" w14:textId="77777777" w:rsidR="00844D9B" w:rsidRPr="004C0BFE" w:rsidRDefault="00844D9B" w:rsidP="00844D9B">
      <w:pPr>
        <w:pStyle w:val="ALJBodyText"/>
        <w:jc w:val="center"/>
        <w:rPr>
          <w:b/>
          <w:bCs/>
        </w:rPr>
      </w:pPr>
    </w:p>
    <w:p w14:paraId="76101C45" w14:textId="77777777" w:rsidR="00844D9B" w:rsidRPr="004C0BFE" w:rsidRDefault="00844D9B" w:rsidP="00844D9B">
      <w:pPr>
        <w:pStyle w:val="ALJBodyText"/>
        <w:jc w:val="center"/>
        <w:rPr>
          <w:b/>
          <w:bCs/>
        </w:rPr>
      </w:pPr>
    </w:p>
    <w:p w14:paraId="63198836" w14:textId="77777777" w:rsidR="00844D9B" w:rsidRPr="004C0BFE" w:rsidRDefault="00844D9B" w:rsidP="00844D9B">
      <w:pPr>
        <w:pStyle w:val="ALJBodyText"/>
        <w:jc w:val="center"/>
        <w:rPr>
          <w:b/>
          <w:bCs/>
        </w:rPr>
      </w:pPr>
    </w:p>
    <w:p w14:paraId="658B7747" w14:textId="77777777" w:rsidR="00844D9B" w:rsidRPr="004C0BFE" w:rsidRDefault="00844D9B" w:rsidP="00844D9B">
      <w:pPr>
        <w:pStyle w:val="ALJBodyText"/>
        <w:jc w:val="center"/>
        <w:rPr>
          <w:b/>
          <w:bCs/>
        </w:rPr>
      </w:pPr>
    </w:p>
    <w:p w14:paraId="326BBBB5" w14:textId="77777777" w:rsidR="00844D9B" w:rsidRPr="004C0BFE" w:rsidRDefault="00844D9B" w:rsidP="00844D9B">
      <w:pPr>
        <w:pStyle w:val="ALJBodyText"/>
        <w:jc w:val="center"/>
        <w:rPr>
          <w:b/>
          <w:bCs/>
        </w:rPr>
      </w:pPr>
    </w:p>
    <w:p w14:paraId="6A0CCB38" w14:textId="77777777" w:rsidR="00844D9B" w:rsidRPr="004C0BFE" w:rsidRDefault="00844D9B" w:rsidP="00844D9B">
      <w:pPr>
        <w:pStyle w:val="ALJBodyText"/>
        <w:jc w:val="center"/>
        <w:rPr>
          <w:b/>
          <w:bCs/>
        </w:rPr>
      </w:pPr>
    </w:p>
    <w:p w14:paraId="07DD1397" w14:textId="77777777" w:rsidR="00844D9B" w:rsidRPr="004C0BFE" w:rsidRDefault="00844D9B" w:rsidP="00844D9B">
      <w:pPr>
        <w:pStyle w:val="ALJBodyText"/>
        <w:jc w:val="center"/>
        <w:rPr>
          <w:b/>
          <w:bCs/>
        </w:rPr>
      </w:pPr>
    </w:p>
    <w:p w14:paraId="47453F14" w14:textId="77777777" w:rsidR="00844D9B" w:rsidRPr="004C0BFE" w:rsidRDefault="00844D9B" w:rsidP="00844D9B">
      <w:pPr>
        <w:pStyle w:val="ALJBodyText"/>
        <w:jc w:val="center"/>
        <w:rPr>
          <w:b/>
          <w:bCs/>
        </w:rPr>
      </w:pPr>
    </w:p>
    <w:p w14:paraId="4691B716" w14:textId="77777777" w:rsidR="00844D9B" w:rsidRPr="004C0BFE" w:rsidRDefault="00844D9B" w:rsidP="00844D9B">
      <w:pPr>
        <w:pStyle w:val="ALJBodyText"/>
        <w:jc w:val="center"/>
        <w:rPr>
          <w:b/>
          <w:bCs/>
          <w:sz w:val="32"/>
          <w:szCs w:val="32"/>
        </w:rPr>
        <w:sectPr w:rsidR="00844D9B" w:rsidRPr="004C0BFE" w:rsidSect="00D44DB6">
          <w:headerReference w:type="default" r:id="rId17"/>
          <w:footerReference w:type="default" r:id="rId18"/>
          <w:pgSz w:w="12240" w:h="15840"/>
          <w:pgMar w:top="1728" w:right="1440" w:bottom="1440" w:left="1440" w:header="720" w:footer="720" w:gutter="0"/>
          <w:pgNumType w:start="1"/>
          <w:cols w:space="720"/>
          <w:docGrid w:linePitch="360"/>
        </w:sectPr>
      </w:pPr>
      <w:r w:rsidRPr="004C0BFE">
        <w:rPr>
          <w:b/>
          <w:bCs/>
          <w:sz w:val="32"/>
          <w:szCs w:val="32"/>
        </w:rPr>
        <w:t>ATTACHMENT A</w:t>
      </w:r>
    </w:p>
    <w:tbl>
      <w:tblPr>
        <w:tblW w:w="0" w:type="auto"/>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0" w:type="dxa"/>
          <w:right w:w="0" w:type="dxa"/>
        </w:tblCellMar>
        <w:tblLook w:val="01E0" w:firstRow="1" w:lastRow="1" w:firstColumn="1" w:lastColumn="1" w:noHBand="0" w:noVBand="0"/>
      </w:tblPr>
      <w:tblGrid>
        <w:gridCol w:w="1142"/>
        <w:gridCol w:w="2199"/>
        <w:gridCol w:w="2432"/>
        <w:gridCol w:w="3587"/>
      </w:tblGrid>
      <w:tr w:rsidR="00844D9B" w:rsidRPr="00AD1FB3" w14:paraId="3B5881C2" w14:textId="77777777" w:rsidTr="007873BF">
        <w:trPr>
          <w:trHeight w:val="414"/>
          <w:jc w:val="center"/>
        </w:trPr>
        <w:tc>
          <w:tcPr>
            <w:tcW w:w="0" w:type="auto"/>
            <w:gridSpan w:val="4"/>
            <w:tcBorders>
              <w:top w:val="nil"/>
              <w:left w:val="nil"/>
              <w:right w:val="nil"/>
            </w:tcBorders>
          </w:tcPr>
          <w:p w14:paraId="7C3293AE" w14:textId="20314B90" w:rsidR="00844D9B" w:rsidRPr="002A7E3E" w:rsidRDefault="00151BB6" w:rsidP="00B56745">
            <w:pPr>
              <w:pStyle w:val="ALJBodyText"/>
              <w:spacing w:line="240" w:lineRule="auto"/>
              <w:jc w:val="center"/>
              <w:rPr>
                <w:b/>
                <w:bCs/>
                <w:sz w:val="22"/>
                <w:szCs w:val="22"/>
              </w:rPr>
            </w:pPr>
            <w:r w:rsidRPr="004C0BFE">
              <w:rPr>
                <w:b/>
                <w:bCs/>
                <w:sz w:val="22"/>
                <w:szCs w:val="22"/>
              </w:rPr>
              <w:lastRenderedPageBreak/>
              <w:t xml:space="preserve">Table I. </w:t>
            </w:r>
            <w:r w:rsidR="00844D9B" w:rsidRPr="004C0BFE">
              <w:rPr>
                <w:b/>
                <w:bCs/>
                <w:sz w:val="22"/>
                <w:szCs w:val="22"/>
              </w:rPr>
              <w:t>Data Requirements Adopted in D.18-10-019</w:t>
            </w:r>
          </w:p>
        </w:tc>
      </w:tr>
      <w:tr w:rsidR="00844D9B" w:rsidRPr="00E94E8A" w14:paraId="23FD9557" w14:textId="77777777" w:rsidTr="007873BF">
        <w:trPr>
          <w:trHeight w:val="881"/>
          <w:jc w:val="center"/>
        </w:trPr>
        <w:tc>
          <w:tcPr>
            <w:tcW w:w="0" w:type="auto"/>
          </w:tcPr>
          <w:p w14:paraId="4D76B995" w14:textId="77777777" w:rsidR="00844D9B" w:rsidRPr="002A7E3E" w:rsidRDefault="00844D9B" w:rsidP="00B56745">
            <w:pPr>
              <w:pStyle w:val="ALJBodyText"/>
              <w:spacing w:line="240" w:lineRule="auto"/>
              <w:jc w:val="center"/>
              <w:rPr>
                <w:sz w:val="22"/>
                <w:szCs w:val="22"/>
              </w:rPr>
            </w:pPr>
          </w:p>
        </w:tc>
        <w:tc>
          <w:tcPr>
            <w:tcW w:w="0" w:type="auto"/>
          </w:tcPr>
          <w:p w14:paraId="5EBA5541" w14:textId="77777777" w:rsidR="00844D9B" w:rsidRPr="002A7E3E" w:rsidRDefault="00844D9B" w:rsidP="00B56745">
            <w:pPr>
              <w:pStyle w:val="ALJBodyText"/>
              <w:spacing w:line="240" w:lineRule="auto"/>
              <w:ind w:firstLine="0"/>
              <w:rPr>
                <w:b/>
                <w:bCs/>
                <w:sz w:val="22"/>
                <w:szCs w:val="22"/>
              </w:rPr>
            </w:pPr>
            <w:r w:rsidRPr="004C0BFE">
              <w:rPr>
                <w:b/>
                <w:bCs/>
                <w:sz w:val="22"/>
                <w:szCs w:val="22"/>
              </w:rPr>
              <w:t>System and Flexible RA Adders</w:t>
            </w:r>
          </w:p>
        </w:tc>
        <w:tc>
          <w:tcPr>
            <w:tcW w:w="0" w:type="auto"/>
          </w:tcPr>
          <w:p w14:paraId="2D658D6F" w14:textId="77777777" w:rsidR="00844D9B" w:rsidRPr="002A7E3E" w:rsidRDefault="00844D9B" w:rsidP="00B56745">
            <w:pPr>
              <w:pStyle w:val="ALJBodyText"/>
              <w:spacing w:line="240" w:lineRule="auto"/>
              <w:ind w:firstLine="0"/>
              <w:rPr>
                <w:b/>
                <w:bCs/>
                <w:sz w:val="22"/>
                <w:szCs w:val="22"/>
              </w:rPr>
            </w:pPr>
            <w:r w:rsidRPr="004C0BFE">
              <w:rPr>
                <w:b/>
                <w:bCs/>
                <w:sz w:val="22"/>
                <w:szCs w:val="22"/>
              </w:rPr>
              <w:t>Local RA Adder</w:t>
            </w:r>
          </w:p>
        </w:tc>
        <w:tc>
          <w:tcPr>
            <w:tcW w:w="0" w:type="auto"/>
          </w:tcPr>
          <w:p w14:paraId="2BEFA79A" w14:textId="77777777" w:rsidR="00844D9B" w:rsidRPr="002A7E3E" w:rsidRDefault="00844D9B" w:rsidP="00B56745">
            <w:pPr>
              <w:pStyle w:val="ALJBodyText"/>
              <w:spacing w:line="240" w:lineRule="auto"/>
              <w:ind w:firstLine="0"/>
              <w:rPr>
                <w:b/>
                <w:bCs/>
                <w:sz w:val="22"/>
                <w:szCs w:val="22"/>
              </w:rPr>
            </w:pPr>
            <w:r w:rsidRPr="004C0BFE">
              <w:rPr>
                <w:b/>
                <w:bCs/>
                <w:sz w:val="22"/>
                <w:szCs w:val="22"/>
              </w:rPr>
              <w:t>RPS Adder</w:t>
            </w:r>
          </w:p>
        </w:tc>
      </w:tr>
      <w:tr w:rsidR="00844D9B" w:rsidRPr="00E94E8A" w14:paraId="61FAE622" w14:textId="77777777" w:rsidTr="007873BF">
        <w:trPr>
          <w:trHeight w:val="2483"/>
          <w:jc w:val="center"/>
        </w:trPr>
        <w:tc>
          <w:tcPr>
            <w:tcW w:w="0" w:type="auto"/>
          </w:tcPr>
          <w:p w14:paraId="5256EEA4" w14:textId="77777777" w:rsidR="00844D9B" w:rsidRPr="002A7E3E" w:rsidRDefault="00844D9B" w:rsidP="00B56745">
            <w:pPr>
              <w:pStyle w:val="ALJBodyText"/>
              <w:spacing w:line="240" w:lineRule="auto"/>
              <w:ind w:firstLine="0"/>
              <w:rPr>
                <w:b/>
                <w:bCs/>
                <w:sz w:val="22"/>
                <w:szCs w:val="22"/>
              </w:rPr>
            </w:pPr>
            <w:r w:rsidRPr="004C0BFE">
              <w:rPr>
                <w:b/>
                <w:bCs/>
                <w:sz w:val="22"/>
                <w:szCs w:val="22"/>
                <w:u w:val="single"/>
              </w:rPr>
              <w:t>Forecast Adder</w:t>
            </w:r>
            <w:r w:rsidRPr="004C0BFE">
              <w:rPr>
                <w:b/>
                <w:bCs/>
                <w:sz w:val="22"/>
                <w:szCs w:val="22"/>
              </w:rPr>
              <w:t xml:space="preserve"> Dataset</w:t>
            </w:r>
          </w:p>
        </w:tc>
        <w:tc>
          <w:tcPr>
            <w:tcW w:w="0" w:type="auto"/>
          </w:tcPr>
          <w:p w14:paraId="6C0DE0B8" w14:textId="77777777" w:rsidR="00844D9B" w:rsidRPr="004C0BFE" w:rsidRDefault="00844D9B" w:rsidP="003F737D">
            <w:pPr>
              <w:spacing w:line="240" w:lineRule="auto"/>
              <w:ind w:firstLine="0"/>
              <w:rPr>
                <w:sz w:val="22"/>
              </w:rPr>
            </w:pPr>
            <w:r w:rsidRPr="004C0BFE">
              <w:rPr>
                <w:sz w:val="22"/>
              </w:rPr>
              <w:t>Transactions made during year (n</w:t>
            </w:r>
            <w:r w:rsidRPr="004C0BFE">
              <w:rPr>
                <w:sz w:val="22"/>
              </w:rPr>
              <w:noBreakHyphen/>
              <w:t xml:space="preserve">1) for deliveries in year n  </w:t>
            </w:r>
          </w:p>
          <w:p w14:paraId="6B72D632" w14:textId="77777777" w:rsidR="00844D9B" w:rsidRPr="004C0BFE" w:rsidRDefault="00844D9B" w:rsidP="003F737D">
            <w:pPr>
              <w:spacing w:line="240" w:lineRule="auto"/>
              <w:ind w:firstLine="0"/>
              <w:rPr>
                <w:sz w:val="22"/>
              </w:rPr>
            </w:pPr>
            <w:r w:rsidRPr="004C0BFE">
              <w:rPr>
                <w:sz w:val="22"/>
              </w:rPr>
              <w:t>(D.18-10-019 at OP 1)</w:t>
            </w:r>
          </w:p>
          <w:p w14:paraId="2F9036F9" w14:textId="77777777" w:rsidR="00844D9B" w:rsidRPr="004C0BFE" w:rsidRDefault="00844D9B" w:rsidP="003F737D">
            <w:pPr>
              <w:spacing w:line="240" w:lineRule="auto"/>
              <w:rPr>
                <w:sz w:val="22"/>
              </w:rPr>
            </w:pPr>
          </w:p>
          <w:p w14:paraId="4A99BD35" w14:textId="77777777" w:rsidR="00844D9B" w:rsidRPr="002A7E3E" w:rsidRDefault="00844D9B" w:rsidP="004E2E24">
            <w:pPr>
              <w:pStyle w:val="ALJBodyText"/>
              <w:spacing w:line="240" w:lineRule="auto"/>
              <w:ind w:firstLine="0"/>
              <w:rPr>
                <w:sz w:val="22"/>
                <w:szCs w:val="22"/>
              </w:rPr>
            </w:pPr>
          </w:p>
        </w:tc>
        <w:tc>
          <w:tcPr>
            <w:tcW w:w="0" w:type="auto"/>
          </w:tcPr>
          <w:p w14:paraId="7AF71AC3" w14:textId="77777777" w:rsidR="004E2E24" w:rsidRPr="004C0BFE" w:rsidRDefault="00844D9B" w:rsidP="004E2E24">
            <w:pPr>
              <w:pStyle w:val="ALJBodyText"/>
              <w:spacing w:line="240" w:lineRule="auto"/>
              <w:ind w:firstLine="0"/>
              <w:rPr>
                <w:sz w:val="22"/>
                <w:szCs w:val="22"/>
              </w:rPr>
            </w:pPr>
            <w:r w:rsidRPr="004C0BFE">
              <w:rPr>
                <w:sz w:val="22"/>
                <w:szCs w:val="22"/>
              </w:rPr>
              <w:t xml:space="preserve">Same datasets as System and Flexible RA </w:t>
            </w:r>
          </w:p>
          <w:p w14:paraId="06FC706D" w14:textId="66D57EE0" w:rsidR="00844D9B" w:rsidRPr="002A7E3E" w:rsidRDefault="00844D9B" w:rsidP="004E2E24">
            <w:pPr>
              <w:pStyle w:val="ALJBodyText"/>
              <w:spacing w:line="240" w:lineRule="auto"/>
              <w:ind w:firstLine="0"/>
              <w:rPr>
                <w:sz w:val="22"/>
                <w:szCs w:val="22"/>
              </w:rPr>
            </w:pPr>
            <w:r w:rsidRPr="004C0BFE">
              <w:rPr>
                <w:sz w:val="22"/>
                <w:szCs w:val="22"/>
              </w:rPr>
              <w:t>(D.18-10-</w:t>
            </w:r>
            <w:r w:rsidR="000853DC" w:rsidRPr="004C0BFE">
              <w:rPr>
                <w:sz w:val="22"/>
                <w:szCs w:val="22"/>
              </w:rPr>
              <w:t>0</w:t>
            </w:r>
            <w:r w:rsidRPr="004C0BFE">
              <w:rPr>
                <w:sz w:val="22"/>
                <w:szCs w:val="22"/>
              </w:rPr>
              <w:t>19 appears to have made no distinction for purposes of the datasets.)</w:t>
            </w:r>
          </w:p>
        </w:tc>
        <w:tc>
          <w:tcPr>
            <w:tcW w:w="0" w:type="auto"/>
          </w:tcPr>
          <w:p w14:paraId="1D71B4BB" w14:textId="77777777" w:rsidR="00844D9B" w:rsidRPr="004C0BFE" w:rsidRDefault="00844D9B" w:rsidP="003F737D">
            <w:pPr>
              <w:spacing w:line="240" w:lineRule="auto"/>
              <w:ind w:firstLine="0"/>
              <w:rPr>
                <w:sz w:val="22"/>
              </w:rPr>
            </w:pPr>
            <w:r w:rsidRPr="004C0BFE">
              <w:rPr>
                <w:sz w:val="22"/>
              </w:rPr>
              <w:t>Transactions made during the year that is two years prior to the forecast year (year n</w:t>
            </w:r>
            <w:r w:rsidRPr="004C0BFE">
              <w:rPr>
                <w:sz w:val="22"/>
              </w:rPr>
              <w:noBreakHyphen/>
              <w:t xml:space="preserve">2) for delivery in the forecast year (year n). </w:t>
            </w:r>
          </w:p>
          <w:p w14:paraId="2E2F2714" w14:textId="77777777" w:rsidR="00844D9B" w:rsidRPr="002A7E3E" w:rsidRDefault="00844D9B" w:rsidP="004E2E24">
            <w:pPr>
              <w:pStyle w:val="ALJBodyText"/>
              <w:spacing w:line="240" w:lineRule="auto"/>
              <w:ind w:firstLine="0"/>
              <w:rPr>
                <w:sz w:val="22"/>
                <w:szCs w:val="22"/>
              </w:rPr>
            </w:pPr>
            <w:r w:rsidRPr="004C0BFE">
              <w:rPr>
                <w:sz w:val="22"/>
                <w:szCs w:val="22"/>
              </w:rPr>
              <w:t>(D.18-10-019 at 119)</w:t>
            </w:r>
          </w:p>
        </w:tc>
      </w:tr>
      <w:tr w:rsidR="00844D9B" w:rsidRPr="004C0BFE" w14:paraId="5D9A7550" w14:textId="77777777" w:rsidTr="007873BF">
        <w:trPr>
          <w:trHeight w:val="1025"/>
          <w:jc w:val="center"/>
        </w:trPr>
        <w:tc>
          <w:tcPr>
            <w:tcW w:w="0" w:type="auto"/>
          </w:tcPr>
          <w:p w14:paraId="715B8535" w14:textId="77777777" w:rsidR="00844D9B" w:rsidRPr="002A7E3E" w:rsidRDefault="00844D9B" w:rsidP="00B56745">
            <w:pPr>
              <w:pStyle w:val="ALJBodyText"/>
              <w:spacing w:line="240" w:lineRule="auto"/>
              <w:ind w:firstLine="0"/>
              <w:rPr>
                <w:b/>
                <w:bCs/>
                <w:sz w:val="22"/>
                <w:szCs w:val="22"/>
              </w:rPr>
            </w:pPr>
            <w:r w:rsidRPr="004C0BFE">
              <w:rPr>
                <w:b/>
                <w:bCs/>
                <w:sz w:val="22"/>
                <w:szCs w:val="22"/>
                <w:u w:val="single"/>
              </w:rPr>
              <w:t>Final Adder</w:t>
            </w:r>
            <w:r w:rsidRPr="004C0BFE">
              <w:rPr>
                <w:b/>
                <w:bCs/>
                <w:sz w:val="22"/>
                <w:szCs w:val="22"/>
              </w:rPr>
              <w:t xml:space="preserve"> Dataset</w:t>
            </w:r>
          </w:p>
        </w:tc>
        <w:tc>
          <w:tcPr>
            <w:tcW w:w="0" w:type="auto"/>
          </w:tcPr>
          <w:p w14:paraId="5F1240CE" w14:textId="77777777" w:rsidR="00844D9B" w:rsidRPr="002A7E3E" w:rsidRDefault="00844D9B" w:rsidP="00B56745">
            <w:pPr>
              <w:pStyle w:val="ALJBodyText"/>
              <w:spacing w:line="240" w:lineRule="auto"/>
              <w:ind w:firstLine="0"/>
              <w:rPr>
                <w:sz w:val="22"/>
                <w:szCs w:val="22"/>
              </w:rPr>
            </w:pPr>
            <w:r w:rsidRPr="004C0BFE">
              <w:rPr>
                <w:sz w:val="22"/>
                <w:szCs w:val="22"/>
              </w:rPr>
              <w:t>Not explicitly decided by D.18-10-019.</w:t>
            </w:r>
          </w:p>
        </w:tc>
        <w:tc>
          <w:tcPr>
            <w:tcW w:w="0" w:type="auto"/>
          </w:tcPr>
          <w:p w14:paraId="5A4D1718" w14:textId="77777777" w:rsidR="00844D9B" w:rsidRPr="002A7E3E" w:rsidRDefault="00844D9B" w:rsidP="00B56745">
            <w:pPr>
              <w:pStyle w:val="ALJBodyText"/>
              <w:spacing w:line="240" w:lineRule="auto"/>
              <w:ind w:firstLine="0"/>
              <w:rPr>
                <w:sz w:val="22"/>
                <w:szCs w:val="22"/>
              </w:rPr>
            </w:pPr>
            <w:r w:rsidRPr="004C0BFE">
              <w:rPr>
                <w:sz w:val="22"/>
                <w:szCs w:val="22"/>
              </w:rPr>
              <w:t>Not explicitly decided by D.18-10-019.</w:t>
            </w:r>
          </w:p>
        </w:tc>
        <w:tc>
          <w:tcPr>
            <w:tcW w:w="0" w:type="auto"/>
          </w:tcPr>
          <w:p w14:paraId="5A7BE203" w14:textId="77777777" w:rsidR="00844D9B" w:rsidRPr="004C0BFE" w:rsidRDefault="00844D9B" w:rsidP="00B56745">
            <w:pPr>
              <w:pStyle w:val="ALJBodyText"/>
              <w:spacing w:line="240" w:lineRule="auto"/>
              <w:ind w:firstLine="0"/>
              <w:rPr>
                <w:sz w:val="22"/>
                <w:szCs w:val="22"/>
              </w:rPr>
            </w:pPr>
            <w:r w:rsidRPr="004C0BFE">
              <w:rPr>
                <w:sz w:val="22"/>
                <w:szCs w:val="22"/>
              </w:rPr>
              <w:t>Not explicitly decided by D.18-10-019.</w:t>
            </w:r>
          </w:p>
        </w:tc>
      </w:tr>
    </w:tbl>
    <w:tbl>
      <w:tblPr>
        <w:tblpPr w:leftFromText="180" w:rightFromText="180" w:vertAnchor="text" w:tblpY="332"/>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0" w:type="dxa"/>
          <w:right w:w="0" w:type="dxa"/>
        </w:tblCellMar>
        <w:tblLook w:val="01E0" w:firstRow="1" w:lastRow="1" w:firstColumn="1" w:lastColumn="1" w:noHBand="0" w:noVBand="0"/>
      </w:tblPr>
      <w:tblGrid>
        <w:gridCol w:w="1185"/>
        <w:gridCol w:w="2403"/>
        <w:gridCol w:w="2840"/>
        <w:gridCol w:w="2932"/>
      </w:tblGrid>
      <w:tr w:rsidR="007873BF" w:rsidRPr="00421249" w14:paraId="26D0A2D7" w14:textId="77777777" w:rsidTr="007873BF">
        <w:trPr>
          <w:trHeight w:val="414"/>
        </w:trPr>
        <w:tc>
          <w:tcPr>
            <w:tcW w:w="0" w:type="auto"/>
            <w:gridSpan w:val="4"/>
            <w:tcBorders>
              <w:top w:val="nil"/>
              <w:left w:val="nil"/>
              <w:right w:val="nil"/>
            </w:tcBorders>
          </w:tcPr>
          <w:p w14:paraId="7720224C" w14:textId="77777777" w:rsidR="007873BF" w:rsidRPr="002A7E3E" w:rsidRDefault="007873BF" w:rsidP="007873BF">
            <w:pPr>
              <w:pStyle w:val="ALJBodyText"/>
              <w:spacing w:line="240" w:lineRule="auto"/>
              <w:jc w:val="center"/>
              <w:rPr>
                <w:b/>
                <w:bCs/>
                <w:sz w:val="22"/>
                <w:szCs w:val="22"/>
              </w:rPr>
            </w:pPr>
            <w:bookmarkStart w:id="92" w:name="_Hlk16069645"/>
            <w:bookmarkStart w:id="93" w:name="_Hlk16069764"/>
            <w:r w:rsidRPr="004C0BFE">
              <w:rPr>
                <w:b/>
                <w:bCs/>
                <w:sz w:val="22"/>
                <w:szCs w:val="22"/>
              </w:rPr>
              <w:t xml:space="preserve">Table II. Data Requirements Adopted for Forecast and Final Adders  </w:t>
            </w:r>
          </w:p>
        </w:tc>
      </w:tr>
      <w:tr w:rsidR="007873BF" w:rsidRPr="00421249" w14:paraId="22332F9F" w14:textId="77777777" w:rsidTr="007873BF">
        <w:trPr>
          <w:trHeight w:val="629"/>
        </w:trPr>
        <w:tc>
          <w:tcPr>
            <w:tcW w:w="0" w:type="auto"/>
          </w:tcPr>
          <w:p w14:paraId="2D03D4DE" w14:textId="77777777" w:rsidR="007873BF" w:rsidRPr="002A7E3E" w:rsidRDefault="007873BF" w:rsidP="007873BF">
            <w:pPr>
              <w:pStyle w:val="ALJBodyText"/>
              <w:spacing w:line="240" w:lineRule="auto"/>
              <w:jc w:val="center"/>
              <w:rPr>
                <w:sz w:val="22"/>
                <w:szCs w:val="22"/>
              </w:rPr>
            </w:pPr>
          </w:p>
        </w:tc>
        <w:tc>
          <w:tcPr>
            <w:tcW w:w="2403" w:type="dxa"/>
          </w:tcPr>
          <w:p w14:paraId="070A1C6C" w14:textId="77777777" w:rsidR="007873BF" w:rsidRPr="002A7E3E" w:rsidRDefault="007873BF" w:rsidP="007873BF">
            <w:pPr>
              <w:pStyle w:val="ALJBodyText"/>
              <w:spacing w:line="240" w:lineRule="auto"/>
              <w:ind w:firstLine="0"/>
              <w:rPr>
                <w:b/>
                <w:bCs/>
                <w:sz w:val="22"/>
                <w:szCs w:val="22"/>
              </w:rPr>
            </w:pPr>
            <w:r w:rsidRPr="004C0BFE">
              <w:rPr>
                <w:b/>
                <w:bCs/>
                <w:sz w:val="22"/>
                <w:szCs w:val="22"/>
              </w:rPr>
              <w:t>System and Flexible RA Adders</w:t>
            </w:r>
          </w:p>
        </w:tc>
        <w:tc>
          <w:tcPr>
            <w:tcW w:w="2840" w:type="dxa"/>
          </w:tcPr>
          <w:p w14:paraId="29F1118F" w14:textId="77777777" w:rsidR="007873BF" w:rsidRPr="002A7E3E" w:rsidRDefault="007873BF" w:rsidP="007873BF">
            <w:pPr>
              <w:pStyle w:val="ALJBodyText"/>
              <w:spacing w:line="240" w:lineRule="auto"/>
              <w:ind w:firstLine="0"/>
              <w:rPr>
                <w:b/>
                <w:bCs/>
                <w:sz w:val="22"/>
                <w:szCs w:val="22"/>
              </w:rPr>
            </w:pPr>
            <w:r w:rsidRPr="004C0BFE">
              <w:rPr>
                <w:b/>
                <w:bCs/>
                <w:sz w:val="22"/>
                <w:szCs w:val="22"/>
              </w:rPr>
              <w:t>Local RA Adder</w:t>
            </w:r>
          </w:p>
        </w:tc>
        <w:tc>
          <w:tcPr>
            <w:tcW w:w="0" w:type="auto"/>
          </w:tcPr>
          <w:p w14:paraId="203B68E0" w14:textId="77777777" w:rsidR="007873BF" w:rsidRPr="002A7E3E" w:rsidRDefault="007873BF" w:rsidP="007873BF">
            <w:pPr>
              <w:pStyle w:val="ALJBodyText"/>
              <w:spacing w:line="240" w:lineRule="auto"/>
              <w:ind w:firstLine="0"/>
              <w:rPr>
                <w:b/>
                <w:bCs/>
                <w:sz w:val="22"/>
                <w:szCs w:val="22"/>
              </w:rPr>
            </w:pPr>
            <w:r w:rsidRPr="004C0BFE">
              <w:rPr>
                <w:b/>
                <w:bCs/>
                <w:sz w:val="22"/>
                <w:szCs w:val="22"/>
              </w:rPr>
              <w:t>RPS Adder</w:t>
            </w:r>
          </w:p>
        </w:tc>
      </w:tr>
      <w:tr w:rsidR="007873BF" w:rsidRPr="00421249" w14:paraId="5D47D119" w14:textId="77777777" w:rsidTr="007873BF">
        <w:trPr>
          <w:trHeight w:val="2483"/>
        </w:trPr>
        <w:tc>
          <w:tcPr>
            <w:tcW w:w="0" w:type="auto"/>
          </w:tcPr>
          <w:p w14:paraId="20B69CDD" w14:textId="77777777" w:rsidR="007873BF" w:rsidRPr="002A7E3E" w:rsidRDefault="007873BF" w:rsidP="007873BF">
            <w:pPr>
              <w:pStyle w:val="ALJBodyText"/>
              <w:spacing w:line="240" w:lineRule="auto"/>
              <w:ind w:firstLine="0"/>
              <w:rPr>
                <w:b/>
                <w:bCs/>
                <w:sz w:val="22"/>
                <w:szCs w:val="22"/>
              </w:rPr>
            </w:pPr>
            <w:r w:rsidRPr="004C0BFE">
              <w:rPr>
                <w:b/>
                <w:bCs/>
                <w:sz w:val="22"/>
                <w:szCs w:val="22"/>
                <w:u w:val="single"/>
              </w:rPr>
              <w:t>Forecast Adder</w:t>
            </w:r>
            <w:r w:rsidRPr="004C0BFE">
              <w:rPr>
                <w:b/>
                <w:bCs/>
                <w:sz w:val="22"/>
                <w:szCs w:val="22"/>
              </w:rPr>
              <w:t xml:space="preserve"> Dataset</w:t>
            </w:r>
          </w:p>
        </w:tc>
        <w:tc>
          <w:tcPr>
            <w:tcW w:w="2403" w:type="dxa"/>
          </w:tcPr>
          <w:p w14:paraId="18AC834F" w14:textId="77777777" w:rsidR="007873BF" w:rsidRPr="002A7E3E" w:rsidRDefault="007873BF" w:rsidP="007873BF">
            <w:pPr>
              <w:pStyle w:val="ALJBodyText"/>
              <w:spacing w:line="240" w:lineRule="auto"/>
              <w:ind w:firstLine="0"/>
              <w:rPr>
                <w:sz w:val="22"/>
                <w:szCs w:val="22"/>
              </w:rPr>
            </w:pPr>
            <w:r w:rsidRPr="004C0BFE">
              <w:rPr>
                <w:sz w:val="22"/>
                <w:szCs w:val="22"/>
              </w:rPr>
              <w:t>Transactions executed in Q4 of year (n-2) and Q1-3 of year (n- 1) for delivery in year n</w:t>
            </w:r>
          </w:p>
        </w:tc>
        <w:tc>
          <w:tcPr>
            <w:tcW w:w="2840" w:type="dxa"/>
          </w:tcPr>
          <w:p w14:paraId="2D3629F1" w14:textId="77777777" w:rsidR="007873BF" w:rsidRPr="004C0BFE" w:rsidRDefault="007873BF" w:rsidP="007873BF">
            <w:pPr>
              <w:pStyle w:val="ALJBodyText"/>
              <w:spacing w:line="240" w:lineRule="auto"/>
              <w:ind w:firstLine="0"/>
              <w:rPr>
                <w:sz w:val="22"/>
                <w:szCs w:val="22"/>
              </w:rPr>
            </w:pPr>
            <w:r w:rsidRPr="004C0BFE">
              <w:rPr>
                <w:b/>
                <w:bCs/>
                <w:sz w:val="22"/>
                <w:szCs w:val="22"/>
              </w:rPr>
              <w:t>(n=2020):</w:t>
            </w:r>
            <w:r w:rsidRPr="004C0BFE">
              <w:rPr>
                <w:sz w:val="22"/>
                <w:szCs w:val="22"/>
              </w:rPr>
              <w:t xml:space="preserve"> </w:t>
            </w:r>
          </w:p>
          <w:p w14:paraId="11F3DDE4" w14:textId="77777777" w:rsidR="007873BF" w:rsidRPr="004C0BFE" w:rsidRDefault="007873BF" w:rsidP="007873BF">
            <w:pPr>
              <w:pStyle w:val="ALJBodyText"/>
              <w:spacing w:line="240" w:lineRule="auto"/>
              <w:ind w:firstLine="0"/>
              <w:rPr>
                <w:sz w:val="22"/>
                <w:szCs w:val="22"/>
              </w:rPr>
            </w:pPr>
            <w:r w:rsidRPr="004C0BFE">
              <w:rPr>
                <w:sz w:val="22"/>
                <w:szCs w:val="22"/>
              </w:rPr>
              <w:t>Transactions executed in Q4 of year (n-2) and Q1-3 of year (n-1) for delivery in year n</w:t>
            </w:r>
          </w:p>
          <w:p w14:paraId="5394376A" w14:textId="77777777" w:rsidR="007873BF" w:rsidRPr="004C0BFE" w:rsidRDefault="007873BF" w:rsidP="007873BF">
            <w:pPr>
              <w:pStyle w:val="ALJBodyText"/>
              <w:spacing w:line="240" w:lineRule="auto"/>
              <w:ind w:firstLine="0"/>
              <w:rPr>
                <w:b/>
                <w:bCs/>
                <w:sz w:val="22"/>
                <w:szCs w:val="22"/>
              </w:rPr>
            </w:pPr>
            <w:r w:rsidRPr="004C0BFE">
              <w:rPr>
                <w:b/>
                <w:bCs/>
                <w:sz w:val="22"/>
                <w:szCs w:val="22"/>
              </w:rPr>
              <w:t xml:space="preserve">(n=2021): </w:t>
            </w:r>
          </w:p>
          <w:p w14:paraId="781EB133" w14:textId="77777777" w:rsidR="007873BF" w:rsidRPr="004C0BFE" w:rsidRDefault="007873BF" w:rsidP="007873BF">
            <w:pPr>
              <w:pStyle w:val="ALJBodyText"/>
              <w:spacing w:line="240" w:lineRule="auto"/>
              <w:ind w:firstLine="0"/>
              <w:rPr>
                <w:sz w:val="22"/>
                <w:szCs w:val="22"/>
              </w:rPr>
            </w:pPr>
            <w:r w:rsidRPr="004C0BFE">
              <w:rPr>
                <w:sz w:val="22"/>
                <w:szCs w:val="22"/>
              </w:rPr>
              <w:t>Transactions executed in year (n-2) and Q1-3 of year (n-1) for delivery in year n</w:t>
            </w:r>
          </w:p>
          <w:p w14:paraId="4C80ED9C" w14:textId="77777777" w:rsidR="007873BF" w:rsidRPr="004C0BFE" w:rsidRDefault="007873BF" w:rsidP="007873BF">
            <w:pPr>
              <w:pStyle w:val="ALJBodyText"/>
              <w:spacing w:line="240" w:lineRule="auto"/>
              <w:ind w:firstLine="0"/>
              <w:rPr>
                <w:sz w:val="22"/>
                <w:szCs w:val="22"/>
              </w:rPr>
            </w:pPr>
            <w:r w:rsidRPr="004C0BFE">
              <w:rPr>
                <w:b/>
                <w:bCs/>
                <w:sz w:val="22"/>
                <w:szCs w:val="22"/>
              </w:rPr>
              <w:t>(n=2022) and Beyond:</w:t>
            </w:r>
            <w:r w:rsidRPr="004C0BFE">
              <w:rPr>
                <w:sz w:val="22"/>
                <w:szCs w:val="22"/>
              </w:rPr>
              <w:t xml:space="preserve"> Transactions executed in year (n-3), year (n-2), and Q1-3 of year (n-1) for delivery in year n</w:t>
            </w:r>
          </w:p>
          <w:p w14:paraId="09284BB9" w14:textId="77777777" w:rsidR="007873BF" w:rsidRPr="002A7E3E" w:rsidRDefault="007873BF" w:rsidP="007873BF">
            <w:pPr>
              <w:pStyle w:val="ALJBodyText"/>
              <w:spacing w:line="240" w:lineRule="auto"/>
              <w:ind w:firstLine="0"/>
              <w:rPr>
                <w:sz w:val="22"/>
                <w:szCs w:val="22"/>
              </w:rPr>
            </w:pPr>
          </w:p>
        </w:tc>
        <w:tc>
          <w:tcPr>
            <w:tcW w:w="0" w:type="auto"/>
          </w:tcPr>
          <w:p w14:paraId="69EDA7B6" w14:textId="77777777" w:rsidR="007873BF" w:rsidRPr="002A7E3E" w:rsidRDefault="007873BF" w:rsidP="007873BF">
            <w:pPr>
              <w:pStyle w:val="ALJBodyText"/>
              <w:spacing w:line="240" w:lineRule="auto"/>
              <w:ind w:firstLine="0"/>
              <w:rPr>
                <w:sz w:val="22"/>
                <w:szCs w:val="22"/>
              </w:rPr>
            </w:pPr>
            <w:r w:rsidRPr="004C0BFE">
              <w:rPr>
                <w:sz w:val="22"/>
                <w:szCs w:val="22"/>
              </w:rPr>
              <w:t>Transactions executed in Q4 of year (n-2) and Q1-3 of year (n- 1) for delivery in year n</w:t>
            </w:r>
          </w:p>
        </w:tc>
      </w:tr>
      <w:bookmarkEnd w:id="92"/>
      <w:tr w:rsidR="007873BF" w:rsidRPr="004C0BFE" w14:paraId="77A97AB2" w14:textId="77777777" w:rsidTr="007873BF">
        <w:trPr>
          <w:trHeight w:val="2896"/>
        </w:trPr>
        <w:tc>
          <w:tcPr>
            <w:tcW w:w="0" w:type="auto"/>
          </w:tcPr>
          <w:p w14:paraId="272DA013" w14:textId="77777777" w:rsidR="007873BF" w:rsidRPr="002A7E3E" w:rsidRDefault="007873BF" w:rsidP="007873BF">
            <w:pPr>
              <w:pStyle w:val="ALJBodyText"/>
              <w:spacing w:line="240" w:lineRule="auto"/>
              <w:ind w:firstLine="0"/>
              <w:rPr>
                <w:b/>
                <w:bCs/>
                <w:sz w:val="22"/>
                <w:szCs w:val="22"/>
              </w:rPr>
            </w:pPr>
            <w:r w:rsidRPr="004C0BFE">
              <w:rPr>
                <w:b/>
                <w:bCs/>
                <w:sz w:val="22"/>
                <w:szCs w:val="22"/>
                <w:u w:val="single"/>
              </w:rPr>
              <w:lastRenderedPageBreak/>
              <w:t>Final Adder</w:t>
            </w:r>
            <w:r w:rsidRPr="004C0BFE">
              <w:rPr>
                <w:b/>
                <w:bCs/>
                <w:sz w:val="22"/>
                <w:szCs w:val="22"/>
              </w:rPr>
              <w:t xml:space="preserve"> Dataset</w:t>
            </w:r>
          </w:p>
        </w:tc>
        <w:tc>
          <w:tcPr>
            <w:tcW w:w="2403" w:type="dxa"/>
          </w:tcPr>
          <w:p w14:paraId="1C62B346" w14:textId="77777777" w:rsidR="007873BF" w:rsidRPr="002A7E3E" w:rsidRDefault="007873BF" w:rsidP="007873BF">
            <w:pPr>
              <w:pStyle w:val="ALJBodyText"/>
              <w:spacing w:line="240" w:lineRule="auto"/>
              <w:ind w:firstLine="0"/>
              <w:rPr>
                <w:sz w:val="22"/>
                <w:szCs w:val="22"/>
              </w:rPr>
            </w:pPr>
            <w:r w:rsidRPr="004C0BFE">
              <w:rPr>
                <w:sz w:val="22"/>
                <w:szCs w:val="22"/>
              </w:rPr>
              <w:t>Transactions executed in Q1-4 of (n-1) and Q1-3 of year n for delivery in year n</w:t>
            </w:r>
          </w:p>
        </w:tc>
        <w:tc>
          <w:tcPr>
            <w:tcW w:w="2840" w:type="dxa"/>
          </w:tcPr>
          <w:p w14:paraId="11844B04" w14:textId="77777777" w:rsidR="007873BF" w:rsidRPr="004C0BFE" w:rsidRDefault="007873BF" w:rsidP="007873BF">
            <w:pPr>
              <w:pStyle w:val="ALJBodyText"/>
              <w:spacing w:line="240" w:lineRule="auto"/>
              <w:ind w:firstLine="0"/>
              <w:rPr>
                <w:b/>
                <w:bCs/>
                <w:sz w:val="22"/>
                <w:szCs w:val="22"/>
              </w:rPr>
            </w:pPr>
            <w:r w:rsidRPr="004C0BFE">
              <w:rPr>
                <w:b/>
                <w:bCs/>
                <w:sz w:val="22"/>
                <w:szCs w:val="22"/>
              </w:rPr>
              <w:t xml:space="preserve">(n=2019 and n=2020): </w:t>
            </w:r>
            <w:r w:rsidRPr="004C0BFE">
              <w:rPr>
                <w:sz w:val="22"/>
                <w:szCs w:val="22"/>
              </w:rPr>
              <w:t>Transactions executed in Q1-4 of year (n-1) and Q1-3 of year n for delivery in year n</w:t>
            </w:r>
          </w:p>
          <w:p w14:paraId="1B3E8FFA" w14:textId="77777777" w:rsidR="007873BF" w:rsidRPr="004C0BFE" w:rsidRDefault="007873BF" w:rsidP="007873BF">
            <w:pPr>
              <w:pStyle w:val="ALJBodyText"/>
              <w:spacing w:line="240" w:lineRule="auto"/>
              <w:ind w:firstLine="0"/>
              <w:rPr>
                <w:b/>
                <w:bCs/>
                <w:sz w:val="22"/>
                <w:szCs w:val="22"/>
              </w:rPr>
            </w:pPr>
            <w:r w:rsidRPr="004C0BFE">
              <w:rPr>
                <w:b/>
                <w:bCs/>
                <w:sz w:val="22"/>
                <w:szCs w:val="22"/>
              </w:rPr>
              <w:t xml:space="preserve">(n=2021): </w:t>
            </w:r>
          </w:p>
          <w:p w14:paraId="4A263426" w14:textId="77777777" w:rsidR="007873BF" w:rsidRPr="004C0BFE" w:rsidRDefault="007873BF" w:rsidP="007873BF">
            <w:pPr>
              <w:pStyle w:val="ALJBodyText"/>
              <w:spacing w:line="240" w:lineRule="auto"/>
              <w:ind w:firstLine="0"/>
              <w:rPr>
                <w:b/>
                <w:bCs/>
                <w:sz w:val="22"/>
                <w:szCs w:val="22"/>
              </w:rPr>
            </w:pPr>
            <w:r w:rsidRPr="004C0BFE">
              <w:rPr>
                <w:sz w:val="22"/>
                <w:szCs w:val="22"/>
              </w:rPr>
              <w:t xml:space="preserve">Transactions executed in year (n-2), year (n-1), and Q1-3 of year n for delivery in year n </w:t>
            </w:r>
          </w:p>
          <w:p w14:paraId="36AB76D6" w14:textId="77777777" w:rsidR="007873BF" w:rsidRPr="004C0BFE" w:rsidRDefault="007873BF" w:rsidP="007873BF">
            <w:pPr>
              <w:pStyle w:val="ALJBodyText"/>
              <w:spacing w:line="240" w:lineRule="auto"/>
              <w:ind w:firstLine="0"/>
              <w:rPr>
                <w:b/>
                <w:bCs/>
                <w:sz w:val="22"/>
                <w:szCs w:val="22"/>
              </w:rPr>
            </w:pPr>
            <w:r w:rsidRPr="004C0BFE">
              <w:rPr>
                <w:b/>
                <w:bCs/>
                <w:sz w:val="22"/>
                <w:szCs w:val="22"/>
              </w:rPr>
              <w:t xml:space="preserve">(n=2022) and Beyond: </w:t>
            </w:r>
          </w:p>
          <w:p w14:paraId="6AFAD232" w14:textId="77777777" w:rsidR="007873BF" w:rsidRPr="004C0BFE" w:rsidRDefault="007873BF" w:rsidP="007873BF">
            <w:pPr>
              <w:pStyle w:val="ALJBodyText"/>
              <w:spacing w:line="240" w:lineRule="auto"/>
              <w:ind w:firstLine="0"/>
              <w:rPr>
                <w:sz w:val="22"/>
                <w:szCs w:val="22"/>
              </w:rPr>
            </w:pPr>
            <w:r w:rsidRPr="004C0BFE">
              <w:rPr>
                <w:sz w:val="22"/>
                <w:szCs w:val="22"/>
              </w:rPr>
              <w:t xml:space="preserve">Transactions executed in year (n-3), year (n-2), year (n-1), and Q1-3 of year n for delivery in year n </w:t>
            </w:r>
          </w:p>
          <w:p w14:paraId="335EBBEE" w14:textId="77777777" w:rsidR="007873BF" w:rsidRPr="002A7E3E" w:rsidRDefault="007873BF" w:rsidP="007873BF">
            <w:pPr>
              <w:pStyle w:val="ALJBodyText"/>
              <w:spacing w:line="240" w:lineRule="auto"/>
              <w:ind w:firstLine="0"/>
              <w:rPr>
                <w:sz w:val="22"/>
                <w:szCs w:val="22"/>
              </w:rPr>
            </w:pPr>
          </w:p>
        </w:tc>
        <w:tc>
          <w:tcPr>
            <w:tcW w:w="0" w:type="auto"/>
          </w:tcPr>
          <w:p w14:paraId="545C655D" w14:textId="77777777" w:rsidR="007873BF" w:rsidRPr="004C0BFE" w:rsidRDefault="007873BF" w:rsidP="007873BF">
            <w:pPr>
              <w:pStyle w:val="ALJBodyText"/>
              <w:spacing w:line="240" w:lineRule="auto"/>
              <w:ind w:firstLine="0"/>
              <w:rPr>
                <w:sz w:val="22"/>
                <w:szCs w:val="22"/>
              </w:rPr>
            </w:pPr>
            <w:r w:rsidRPr="004C0BFE">
              <w:rPr>
                <w:sz w:val="22"/>
                <w:szCs w:val="22"/>
              </w:rPr>
              <w:t>Transactions executed in Q1-4 of year (n-1) and Q1-3 of year n for delivery in year n</w:t>
            </w:r>
          </w:p>
        </w:tc>
      </w:tr>
      <w:bookmarkEnd w:id="93"/>
    </w:tbl>
    <w:p w14:paraId="0993714E" w14:textId="4A6A1702" w:rsidR="00844D9B" w:rsidRPr="004C0BFE" w:rsidRDefault="00844D9B" w:rsidP="00844D9B">
      <w:pPr>
        <w:pStyle w:val="ALJBodyText"/>
        <w:rPr>
          <w:b/>
          <w:bCs/>
        </w:rPr>
      </w:pPr>
    </w:p>
    <w:p w14:paraId="63019100" w14:textId="2A35E0F4" w:rsidR="00151BB6" w:rsidRPr="004C0BFE" w:rsidRDefault="00151BB6" w:rsidP="00844D9B">
      <w:pPr>
        <w:pStyle w:val="ALJBodyText"/>
        <w:rPr>
          <w:b/>
          <w:bCs/>
        </w:rPr>
      </w:pPr>
    </w:p>
    <w:p w14:paraId="6ED87A6A" w14:textId="77777777" w:rsidR="000C6C34" w:rsidRPr="004C0BFE" w:rsidRDefault="000C6C34" w:rsidP="00844D9B">
      <w:pPr>
        <w:pStyle w:val="ALJBodyText"/>
        <w:rPr>
          <w:b/>
          <w:bCs/>
          <w:sz w:val="6"/>
          <w:szCs w:val="6"/>
        </w:rPr>
      </w:pPr>
    </w:p>
    <w:p w14:paraId="7D088E7C" w14:textId="54843455" w:rsidR="00844D9B" w:rsidRPr="004C0BFE" w:rsidRDefault="00844D9B" w:rsidP="00844D9B">
      <w:pPr>
        <w:pStyle w:val="ALJBodyText"/>
        <w:rPr>
          <w:b/>
          <w:bCs/>
        </w:rPr>
      </w:pPr>
      <w:r w:rsidRPr="004C0BFE">
        <w:rPr>
          <w:b/>
          <w:bCs/>
        </w:rPr>
        <w:t xml:space="preserve">Notes: </w:t>
      </w:r>
    </w:p>
    <w:p w14:paraId="4C4F2315" w14:textId="77777777" w:rsidR="00844D9B" w:rsidRPr="004C0BFE" w:rsidRDefault="00844D9B" w:rsidP="00844D9B">
      <w:pPr>
        <w:pStyle w:val="ListParagraph"/>
        <w:numPr>
          <w:ilvl w:val="0"/>
          <w:numId w:val="34"/>
        </w:numPr>
        <w:rPr>
          <w:sz w:val="22"/>
          <w:szCs w:val="22"/>
        </w:rPr>
      </w:pPr>
      <w:r w:rsidRPr="004C0BFE">
        <w:rPr>
          <w:sz w:val="22"/>
          <w:szCs w:val="22"/>
        </w:rPr>
        <w:t>The term “Dataset” refers to the time periods (calendar quarters or calendar years) in which sales or purchases were made (i.e. transactions were executed).</w:t>
      </w:r>
    </w:p>
    <w:p w14:paraId="1301B62C" w14:textId="27714D64" w:rsidR="00844D9B" w:rsidRPr="004C0BFE" w:rsidRDefault="00844D9B" w:rsidP="00844D9B">
      <w:pPr>
        <w:pStyle w:val="ALJBodyText"/>
        <w:numPr>
          <w:ilvl w:val="0"/>
          <w:numId w:val="34"/>
        </w:numPr>
        <w:spacing w:line="240" w:lineRule="auto"/>
        <w:rPr>
          <w:sz w:val="22"/>
          <w:szCs w:val="22"/>
        </w:rPr>
      </w:pPr>
      <w:r w:rsidRPr="004C0BFE">
        <w:rPr>
          <w:sz w:val="22"/>
          <w:szCs w:val="22"/>
        </w:rPr>
        <w:t xml:space="preserve">“Year n” is the year for which the PCIA calculation is being done.  Year n is the forecast year in the forecast </w:t>
      </w:r>
      <w:r w:rsidR="00EE16C0" w:rsidRPr="004C0BFE">
        <w:rPr>
          <w:sz w:val="22"/>
          <w:szCs w:val="22"/>
        </w:rPr>
        <w:t>A</w:t>
      </w:r>
      <w:r w:rsidRPr="004C0BFE">
        <w:rPr>
          <w:sz w:val="22"/>
          <w:szCs w:val="22"/>
        </w:rPr>
        <w:t xml:space="preserve">dders and the year being trued up using the final </w:t>
      </w:r>
      <w:r w:rsidR="00EE16C0" w:rsidRPr="004C0BFE">
        <w:rPr>
          <w:sz w:val="22"/>
          <w:szCs w:val="22"/>
        </w:rPr>
        <w:t>A</w:t>
      </w:r>
      <w:r w:rsidRPr="004C0BFE">
        <w:rPr>
          <w:sz w:val="22"/>
          <w:szCs w:val="22"/>
        </w:rPr>
        <w:t xml:space="preserve">dders.  For example, for the calculations we anticipate making in October 2019 for the 2020 ERRA forecasts, “year n” is 2020 in the forecast </w:t>
      </w:r>
      <w:r w:rsidR="00EE16C0" w:rsidRPr="004C0BFE">
        <w:rPr>
          <w:sz w:val="22"/>
          <w:szCs w:val="22"/>
        </w:rPr>
        <w:t>A</w:t>
      </w:r>
      <w:r w:rsidRPr="004C0BFE">
        <w:rPr>
          <w:sz w:val="22"/>
          <w:szCs w:val="22"/>
        </w:rPr>
        <w:t>dder calculations but “year n” is 2019 in the true</w:t>
      </w:r>
      <w:r w:rsidR="00FB3A2A" w:rsidRPr="004C0BFE">
        <w:rPr>
          <w:sz w:val="22"/>
          <w:szCs w:val="22"/>
        </w:rPr>
        <w:t xml:space="preserve"> </w:t>
      </w:r>
      <w:r w:rsidRPr="004C0BFE">
        <w:rPr>
          <w:sz w:val="22"/>
          <w:szCs w:val="22"/>
        </w:rPr>
        <w:t xml:space="preserve">up or final </w:t>
      </w:r>
      <w:r w:rsidR="00EE16C0" w:rsidRPr="004C0BFE">
        <w:rPr>
          <w:sz w:val="22"/>
          <w:szCs w:val="22"/>
        </w:rPr>
        <w:t>A</w:t>
      </w:r>
      <w:r w:rsidRPr="004C0BFE">
        <w:rPr>
          <w:sz w:val="22"/>
          <w:szCs w:val="22"/>
        </w:rPr>
        <w:t>dder calculations.  See D.18-10-</w:t>
      </w:r>
      <w:r w:rsidR="000853DC" w:rsidRPr="004C0BFE">
        <w:rPr>
          <w:sz w:val="22"/>
          <w:szCs w:val="22"/>
        </w:rPr>
        <w:t>0</w:t>
      </w:r>
      <w:r w:rsidRPr="004C0BFE">
        <w:rPr>
          <w:sz w:val="22"/>
          <w:szCs w:val="22"/>
        </w:rPr>
        <w:t>19 Ordering Paragraph 5 at 159.</w:t>
      </w:r>
    </w:p>
    <w:p w14:paraId="05A13132" w14:textId="77777777" w:rsidR="00844D9B" w:rsidRPr="004C0BFE" w:rsidRDefault="00844D9B" w:rsidP="00844D9B">
      <w:pPr>
        <w:pStyle w:val="ALJBodyText"/>
        <w:jc w:val="center"/>
        <w:rPr>
          <w:b/>
          <w:bCs/>
        </w:rPr>
      </w:pPr>
    </w:p>
    <w:p w14:paraId="13E8F67A" w14:textId="77777777" w:rsidR="00844D9B" w:rsidRPr="004C0BFE" w:rsidRDefault="00844D9B" w:rsidP="00844D9B">
      <w:pPr>
        <w:pStyle w:val="ALJBodyText"/>
        <w:jc w:val="center"/>
        <w:rPr>
          <w:b/>
          <w:bCs/>
        </w:rPr>
      </w:pPr>
    </w:p>
    <w:p w14:paraId="23A42ED8" w14:textId="77777777" w:rsidR="000C6C34" w:rsidRPr="004C0BFE" w:rsidRDefault="000C6C34" w:rsidP="00844D9B">
      <w:pPr>
        <w:pStyle w:val="ALJBodyText"/>
        <w:jc w:val="center"/>
        <w:rPr>
          <w:b/>
          <w:bCs/>
        </w:rPr>
        <w:sectPr w:rsidR="000C6C34" w:rsidRPr="004C0BFE" w:rsidSect="00662FE5">
          <w:headerReference w:type="default" r:id="rId19"/>
          <w:footerReference w:type="default" r:id="rId20"/>
          <w:headerReference w:type="first" r:id="rId21"/>
          <w:footerReference w:type="first" r:id="rId22"/>
          <w:pgSz w:w="12240" w:h="15840" w:code="1"/>
          <w:pgMar w:top="1440" w:right="1440" w:bottom="1440" w:left="1440" w:header="720" w:footer="720" w:gutter="0"/>
          <w:pgNumType w:start="1"/>
          <w:cols w:space="720"/>
          <w:titlePg/>
          <w:docGrid w:linePitch="360"/>
        </w:sectPr>
      </w:pPr>
      <w:r w:rsidRPr="004C0BFE">
        <w:rPr>
          <w:b/>
          <w:bCs/>
        </w:rPr>
        <w:t>(</w:t>
      </w:r>
      <w:r w:rsidR="00844D9B" w:rsidRPr="004C0BFE">
        <w:rPr>
          <w:b/>
          <w:bCs/>
        </w:rPr>
        <w:t xml:space="preserve">END OF ATTACHMENT </w:t>
      </w:r>
      <w:r w:rsidR="00B84A97" w:rsidRPr="004C0BFE">
        <w:rPr>
          <w:b/>
          <w:bCs/>
        </w:rPr>
        <w:t>A</w:t>
      </w:r>
      <w:r w:rsidRPr="004C0BFE">
        <w:rPr>
          <w:b/>
          <w:bCs/>
        </w:rPr>
        <w:t>)</w:t>
      </w:r>
    </w:p>
    <w:p w14:paraId="6B445958" w14:textId="6ADC053A" w:rsidR="00844D9B" w:rsidRPr="004C0BFE" w:rsidRDefault="00844D9B" w:rsidP="00844D9B">
      <w:pPr>
        <w:pStyle w:val="ALJBodyText"/>
        <w:jc w:val="center"/>
        <w:rPr>
          <w:b/>
          <w:bCs/>
        </w:rPr>
      </w:pPr>
    </w:p>
    <w:p w14:paraId="15C17889" w14:textId="3A39D9FD" w:rsidR="0072662C" w:rsidRPr="004C0BFE" w:rsidRDefault="0072662C" w:rsidP="00844D9B">
      <w:pPr>
        <w:pStyle w:val="ALJBodyText"/>
        <w:jc w:val="center"/>
        <w:rPr>
          <w:b/>
          <w:bCs/>
        </w:rPr>
      </w:pPr>
    </w:p>
    <w:p w14:paraId="586C9DEB" w14:textId="59F3267F" w:rsidR="0072662C" w:rsidRPr="004C0BFE" w:rsidRDefault="0072662C" w:rsidP="00844D9B">
      <w:pPr>
        <w:pStyle w:val="ALJBodyText"/>
        <w:jc w:val="center"/>
        <w:rPr>
          <w:b/>
          <w:bCs/>
        </w:rPr>
      </w:pPr>
    </w:p>
    <w:p w14:paraId="6018C614" w14:textId="3173D558" w:rsidR="0072662C" w:rsidRPr="004C0BFE" w:rsidRDefault="0072662C" w:rsidP="00844D9B">
      <w:pPr>
        <w:pStyle w:val="ALJBodyText"/>
        <w:jc w:val="center"/>
        <w:rPr>
          <w:b/>
          <w:bCs/>
        </w:rPr>
      </w:pPr>
    </w:p>
    <w:p w14:paraId="43CC4FE9" w14:textId="1022674D" w:rsidR="0072662C" w:rsidRPr="004C0BFE" w:rsidRDefault="0072662C" w:rsidP="00844D9B">
      <w:pPr>
        <w:pStyle w:val="ALJBodyText"/>
        <w:jc w:val="center"/>
        <w:rPr>
          <w:b/>
          <w:bCs/>
        </w:rPr>
      </w:pPr>
    </w:p>
    <w:p w14:paraId="12E1BDA8" w14:textId="6BC80888" w:rsidR="0072662C" w:rsidRPr="004C0BFE" w:rsidRDefault="0072662C" w:rsidP="00844D9B">
      <w:pPr>
        <w:pStyle w:val="ALJBodyText"/>
        <w:jc w:val="center"/>
        <w:rPr>
          <w:b/>
          <w:bCs/>
        </w:rPr>
      </w:pPr>
    </w:p>
    <w:p w14:paraId="73FC30BB" w14:textId="2CE6625B" w:rsidR="0069795B" w:rsidRPr="004C0BFE" w:rsidRDefault="0069795B" w:rsidP="00844D9B">
      <w:pPr>
        <w:pStyle w:val="ALJBodyText"/>
        <w:jc w:val="center"/>
        <w:rPr>
          <w:b/>
          <w:bCs/>
        </w:rPr>
      </w:pPr>
    </w:p>
    <w:p w14:paraId="1D58109B" w14:textId="5681D217" w:rsidR="0069795B" w:rsidRPr="004C0BFE" w:rsidRDefault="0069795B" w:rsidP="00844D9B">
      <w:pPr>
        <w:pStyle w:val="ALJBodyText"/>
        <w:jc w:val="center"/>
        <w:rPr>
          <w:b/>
          <w:bCs/>
        </w:rPr>
      </w:pPr>
    </w:p>
    <w:p w14:paraId="4D6596A5" w14:textId="4D510D0F" w:rsidR="0069795B" w:rsidRPr="004C0BFE" w:rsidRDefault="0069795B" w:rsidP="00844D9B">
      <w:pPr>
        <w:pStyle w:val="ALJBodyText"/>
        <w:jc w:val="center"/>
        <w:rPr>
          <w:b/>
          <w:bCs/>
        </w:rPr>
      </w:pPr>
    </w:p>
    <w:p w14:paraId="396EDF7A" w14:textId="77777777" w:rsidR="0069795B" w:rsidRPr="004C0BFE" w:rsidRDefault="0069795B" w:rsidP="00844D9B">
      <w:pPr>
        <w:pStyle w:val="ALJBodyText"/>
        <w:jc w:val="center"/>
        <w:rPr>
          <w:b/>
          <w:bCs/>
        </w:rPr>
      </w:pPr>
    </w:p>
    <w:p w14:paraId="1702C53A" w14:textId="0A42AB35" w:rsidR="0072662C" w:rsidRPr="004C0BFE" w:rsidRDefault="0072662C" w:rsidP="00844D9B">
      <w:pPr>
        <w:pStyle w:val="ALJBodyText"/>
        <w:jc w:val="center"/>
        <w:rPr>
          <w:b/>
          <w:bCs/>
          <w:sz w:val="32"/>
          <w:szCs w:val="32"/>
        </w:rPr>
      </w:pPr>
      <w:r w:rsidRPr="004C0BFE">
        <w:rPr>
          <w:b/>
          <w:bCs/>
          <w:sz w:val="32"/>
          <w:szCs w:val="32"/>
        </w:rPr>
        <w:t>ATTACHMENT B</w:t>
      </w:r>
    </w:p>
    <w:p w14:paraId="1E16D3C6" w14:textId="77777777" w:rsidR="00E23B61" w:rsidRPr="004C0BFE" w:rsidRDefault="00E23B61" w:rsidP="00844D9B">
      <w:pPr>
        <w:pStyle w:val="ALJBodyText"/>
        <w:jc w:val="center"/>
        <w:rPr>
          <w:b/>
          <w:bCs/>
        </w:rPr>
        <w:sectPr w:rsidR="00E23B61" w:rsidRPr="004C0BFE" w:rsidSect="00662FE5">
          <w:headerReference w:type="first" r:id="rId23"/>
          <w:footerReference w:type="first" r:id="rId24"/>
          <w:pgSz w:w="12240" w:h="15840" w:code="1"/>
          <w:pgMar w:top="1440" w:right="1440" w:bottom="1440" w:left="1440" w:header="720" w:footer="720" w:gutter="0"/>
          <w:pgNumType w:start="1"/>
          <w:cols w:space="720"/>
          <w:titlePg/>
          <w:docGrid w:linePitch="360"/>
        </w:sectPr>
      </w:pPr>
    </w:p>
    <w:p w14:paraId="6BE48C04" w14:textId="34C90021" w:rsidR="00B46674" w:rsidRPr="004C0BFE" w:rsidRDefault="00B46674" w:rsidP="00844D9B">
      <w:pPr>
        <w:pStyle w:val="ALJBodyText"/>
        <w:jc w:val="center"/>
        <w:rPr>
          <w:b/>
          <w:bCs/>
        </w:rPr>
      </w:pPr>
      <w:r w:rsidRPr="004C0BFE">
        <w:rPr>
          <w:b/>
          <w:bCs/>
        </w:rPr>
        <w:lastRenderedPageBreak/>
        <w:t>ATTACHMENT B</w:t>
      </w:r>
    </w:p>
    <w:p w14:paraId="45854971" w14:textId="255F4905" w:rsidR="00B46674" w:rsidRPr="004C0BFE" w:rsidRDefault="00B46674" w:rsidP="00844D9B">
      <w:pPr>
        <w:pStyle w:val="ALJBodyText"/>
        <w:jc w:val="center"/>
        <w:rPr>
          <w:b/>
          <w:bCs/>
        </w:rPr>
      </w:pPr>
    </w:p>
    <w:p w14:paraId="24A5345C" w14:textId="3C54B3C1" w:rsidR="00B46674" w:rsidRPr="004C0BFE" w:rsidRDefault="00B46674" w:rsidP="003F737D">
      <w:pPr>
        <w:pStyle w:val="ALJBodyText"/>
        <w:ind w:firstLine="900"/>
        <w:jc w:val="center"/>
        <w:rPr>
          <w:b/>
          <w:bCs/>
        </w:rPr>
      </w:pPr>
      <w:r w:rsidRPr="004C0BFE">
        <w:rPr>
          <w:b/>
          <w:bCs/>
        </w:rPr>
        <w:t xml:space="preserve">Table I: </w:t>
      </w:r>
      <w:r w:rsidR="00466F13" w:rsidRPr="004C0BFE">
        <w:rPr>
          <w:b/>
          <w:bCs/>
        </w:rPr>
        <w:t xml:space="preserve">Forecast </w:t>
      </w:r>
      <w:r w:rsidRPr="004C0BFE">
        <w:rPr>
          <w:b/>
          <w:bCs/>
        </w:rPr>
        <w:t xml:space="preserve">RPS </w:t>
      </w:r>
      <w:r w:rsidR="00466F13" w:rsidRPr="004C0BFE">
        <w:rPr>
          <w:b/>
          <w:bCs/>
        </w:rPr>
        <w:t xml:space="preserve">Value </w:t>
      </w:r>
      <w:r w:rsidR="00EF3FFC" w:rsidRPr="004C0BFE">
        <w:rPr>
          <w:b/>
          <w:bCs/>
        </w:rPr>
        <w:t>(</w:t>
      </w:r>
      <w:r w:rsidRPr="004C0BFE">
        <w:rPr>
          <w:b/>
          <w:bCs/>
        </w:rPr>
        <w:t>P</w:t>
      </w:r>
      <w:r w:rsidR="00466F13" w:rsidRPr="004C0BFE">
        <w:rPr>
          <w:b/>
          <w:bCs/>
        </w:rPr>
        <w:t>rice and Quantity</w:t>
      </w:r>
      <w:r w:rsidR="00EF3FFC" w:rsidRPr="004C0BFE">
        <w:rPr>
          <w:b/>
          <w:bCs/>
        </w:rPr>
        <w:t>)</w:t>
      </w:r>
    </w:p>
    <w:tbl>
      <w:tblPr>
        <w:tblStyle w:val="TableGrid"/>
        <w:tblW w:w="0" w:type="auto"/>
        <w:jc w:val="center"/>
        <w:tblLook w:val="04A0" w:firstRow="1" w:lastRow="0" w:firstColumn="1" w:lastColumn="0" w:noHBand="0" w:noVBand="1"/>
      </w:tblPr>
      <w:tblGrid>
        <w:gridCol w:w="2338"/>
        <w:gridCol w:w="2338"/>
        <w:gridCol w:w="2337"/>
      </w:tblGrid>
      <w:tr w:rsidR="00B46674" w:rsidRPr="00C47BE0" w14:paraId="089EADA1" w14:textId="77777777" w:rsidTr="00395FF3">
        <w:trPr>
          <w:jc w:val="center"/>
        </w:trPr>
        <w:tc>
          <w:tcPr>
            <w:tcW w:w="2338" w:type="dxa"/>
          </w:tcPr>
          <w:p w14:paraId="70D665EA" w14:textId="77777777" w:rsidR="00B46674" w:rsidRPr="003F737D" w:rsidRDefault="00B46674" w:rsidP="00395FF3">
            <w:pPr>
              <w:pStyle w:val="ALJBodyText"/>
              <w:ind w:firstLine="0"/>
              <w:rPr>
                <w:b/>
                <w:bCs/>
                <w:sz w:val="22"/>
                <w:szCs w:val="22"/>
              </w:rPr>
            </w:pPr>
            <w:r w:rsidRPr="004C0BFE">
              <w:rPr>
                <w:b/>
                <w:bCs/>
                <w:sz w:val="22"/>
                <w:szCs w:val="22"/>
              </w:rPr>
              <w:t>RPS Product Category</w:t>
            </w:r>
          </w:p>
        </w:tc>
        <w:tc>
          <w:tcPr>
            <w:tcW w:w="2338" w:type="dxa"/>
          </w:tcPr>
          <w:p w14:paraId="6C10C08F" w14:textId="77777777" w:rsidR="00B46674" w:rsidRPr="003F737D" w:rsidRDefault="00B46674" w:rsidP="00395FF3">
            <w:pPr>
              <w:pStyle w:val="ALJBodyText"/>
              <w:rPr>
                <w:b/>
                <w:bCs/>
                <w:sz w:val="22"/>
                <w:szCs w:val="22"/>
              </w:rPr>
            </w:pPr>
            <w:r w:rsidRPr="004C0BFE">
              <w:rPr>
                <w:b/>
                <w:bCs/>
                <w:sz w:val="22"/>
                <w:szCs w:val="22"/>
              </w:rPr>
              <w:t>Price</w:t>
            </w:r>
          </w:p>
        </w:tc>
        <w:tc>
          <w:tcPr>
            <w:tcW w:w="2337" w:type="dxa"/>
          </w:tcPr>
          <w:p w14:paraId="59B82635" w14:textId="77777777" w:rsidR="00B46674" w:rsidRPr="003F737D" w:rsidRDefault="00B46674" w:rsidP="00395FF3">
            <w:pPr>
              <w:pStyle w:val="ALJBodyText"/>
              <w:rPr>
                <w:b/>
                <w:bCs/>
                <w:sz w:val="22"/>
                <w:szCs w:val="22"/>
              </w:rPr>
            </w:pPr>
            <w:r w:rsidRPr="004C0BFE">
              <w:rPr>
                <w:b/>
                <w:bCs/>
                <w:sz w:val="22"/>
                <w:szCs w:val="22"/>
              </w:rPr>
              <w:t>Quantity</w:t>
            </w:r>
          </w:p>
        </w:tc>
      </w:tr>
      <w:tr w:rsidR="00B46674" w:rsidRPr="00C47BE0" w14:paraId="7460EC96" w14:textId="77777777" w:rsidTr="00395FF3">
        <w:trPr>
          <w:jc w:val="center"/>
        </w:trPr>
        <w:tc>
          <w:tcPr>
            <w:tcW w:w="2338" w:type="dxa"/>
          </w:tcPr>
          <w:p w14:paraId="4A779BF4" w14:textId="77777777" w:rsidR="00B46674" w:rsidRPr="004C0BFE" w:rsidRDefault="00B46674" w:rsidP="00395FF3">
            <w:pPr>
              <w:pStyle w:val="ALJBodyText"/>
              <w:spacing w:after="120" w:line="240" w:lineRule="auto"/>
              <w:ind w:firstLine="0"/>
              <w:rPr>
                <w:sz w:val="22"/>
                <w:szCs w:val="22"/>
              </w:rPr>
            </w:pPr>
            <w:r w:rsidRPr="004C0BFE">
              <w:rPr>
                <w:sz w:val="22"/>
                <w:szCs w:val="22"/>
              </w:rPr>
              <w:t xml:space="preserve">Forecast Retained </w:t>
            </w:r>
          </w:p>
          <w:p w14:paraId="69A6CEC2" w14:textId="77777777" w:rsidR="00B46674" w:rsidRPr="003F737D" w:rsidRDefault="00B46674" w:rsidP="00395FF3">
            <w:pPr>
              <w:pStyle w:val="ALJBodyText"/>
              <w:spacing w:after="120" w:line="240" w:lineRule="auto"/>
              <w:rPr>
                <w:sz w:val="22"/>
                <w:szCs w:val="22"/>
              </w:rPr>
            </w:pPr>
          </w:p>
        </w:tc>
        <w:tc>
          <w:tcPr>
            <w:tcW w:w="2338" w:type="dxa"/>
          </w:tcPr>
          <w:p w14:paraId="3F56D0A1" w14:textId="257B1F2A" w:rsidR="00B46674" w:rsidRPr="003F737D" w:rsidRDefault="00B46674" w:rsidP="00395FF3">
            <w:pPr>
              <w:pStyle w:val="ALJBodyText"/>
              <w:spacing w:after="120" w:line="240" w:lineRule="auto"/>
              <w:ind w:firstLine="0"/>
              <w:rPr>
                <w:sz w:val="22"/>
                <w:szCs w:val="22"/>
              </w:rPr>
            </w:pPr>
            <w:r w:rsidRPr="004C0BFE">
              <w:rPr>
                <w:sz w:val="22"/>
                <w:szCs w:val="22"/>
              </w:rPr>
              <w:t xml:space="preserve">Forecast RPS Adder, </w:t>
            </w:r>
            <w:r w:rsidR="0024542B" w:rsidRPr="004C0BFE">
              <w:rPr>
                <w:sz w:val="22"/>
                <w:szCs w:val="22"/>
              </w:rPr>
              <w:t xml:space="preserve">as </w:t>
            </w:r>
            <w:r w:rsidRPr="004C0BFE">
              <w:rPr>
                <w:sz w:val="22"/>
                <w:szCs w:val="22"/>
              </w:rPr>
              <w:t>calculated by Staff</w:t>
            </w:r>
          </w:p>
        </w:tc>
        <w:tc>
          <w:tcPr>
            <w:tcW w:w="2337" w:type="dxa"/>
          </w:tcPr>
          <w:p w14:paraId="008E7667" w14:textId="77777777" w:rsidR="00B46674" w:rsidRPr="003F737D" w:rsidRDefault="00B46674" w:rsidP="00395FF3">
            <w:pPr>
              <w:pStyle w:val="ALJBodyText"/>
              <w:spacing w:after="120" w:line="240" w:lineRule="auto"/>
              <w:ind w:firstLine="0"/>
              <w:rPr>
                <w:sz w:val="22"/>
                <w:szCs w:val="22"/>
              </w:rPr>
            </w:pPr>
            <w:r w:rsidRPr="004C0BFE">
              <w:rPr>
                <w:sz w:val="22"/>
                <w:szCs w:val="22"/>
              </w:rPr>
              <w:t>Forecasted IOU RPS compliance need</w:t>
            </w:r>
          </w:p>
        </w:tc>
      </w:tr>
      <w:tr w:rsidR="00B46674" w:rsidRPr="00C47BE0" w14:paraId="72604CB5" w14:textId="77777777" w:rsidTr="00395FF3">
        <w:trPr>
          <w:jc w:val="center"/>
        </w:trPr>
        <w:tc>
          <w:tcPr>
            <w:tcW w:w="2338" w:type="dxa"/>
          </w:tcPr>
          <w:p w14:paraId="456125E9" w14:textId="77777777" w:rsidR="00B46674" w:rsidRPr="003F737D" w:rsidRDefault="00B46674" w:rsidP="00395FF3">
            <w:pPr>
              <w:pStyle w:val="ALJBodyText"/>
              <w:spacing w:after="120" w:line="240" w:lineRule="auto"/>
              <w:ind w:firstLine="0"/>
              <w:rPr>
                <w:sz w:val="22"/>
                <w:szCs w:val="22"/>
              </w:rPr>
            </w:pPr>
            <w:r w:rsidRPr="004C0BFE">
              <w:rPr>
                <w:sz w:val="22"/>
                <w:szCs w:val="22"/>
              </w:rPr>
              <w:t>Actual Sold</w:t>
            </w:r>
          </w:p>
        </w:tc>
        <w:tc>
          <w:tcPr>
            <w:tcW w:w="2338" w:type="dxa"/>
          </w:tcPr>
          <w:p w14:paraId="3AF844EB" w14:textId="01FEF29A" w:rsidR="00B46674" w:rsidRPr="003F737D" w:rsidRDefault="00B46674" w:rsidP="00395FF3">
            <w:pPr>
              <w:pStyle w:val="ALJBodyText"/>
              <w:spacing w:after="120" w:line="240" w:lineRule="auto"/>
              <w:ind w:firstLine="0"/>
              <w:rPr>
                <w:sz w:val="22"/>
                <w:szCs w:val="22"/>
              </w:rPr>
            </w:pPr>
            <w:r w:rsidRPr="004C0BFE">
              <w:rPr>
                <w:sz w:val="22"/>
                <w:szCs w:val="22"/>
              </w:rPr>
              <w:t>Actual price</w:t>
            </w:r>
            <w:r w:rsidR="0024542B" w:rsidRPr="004C0BFE">
              <w:rPr>
                <w:sz w:val="22"/>
                <w:szCs w:val="22"/>
              </w:rPr>
              <w:t>s</w:t>
            </w:r>
            <w:r w:rsidRPr="004C0BFE">
              <w:rPr>
                <w:sz w:val="22"/>
                <w:szCs w:val="22"/>
              </w:rPr>
              <w:t xml:space="preserve"> for transactions up to 45 days prior to ERRA Forecast filing (November update)</w:t>
            </w:r>
          </w:p>
        </w:tc>
        <w:tc>
          <w:tcPr>
            <w:tcW w:w="2337" w:type="dxa"/>
          </w:tcPr>
          <w:p w14:paraId="6178CD13" w14:textId="6E7590AE" w:rsidR="00B46674" w:rsidRPr="003F737D" w:rsidRDefault="00B46674" w:rsidP="00395FF3">
            <w:pPr>
              <w:pStyle w:val="ALJBodyText"/>
              <w:spacing w:after="120" w:line="240" w:lineRule="auto"/>
              <w:ind w:firstLine="0"/>
              <w:rPr>
                <w:sz w:val="22"/>
                <w:szCs w:val="22"/>
              </w:rPr>
            </w:pPr>
            <w:r w:rsidRPr="004C0BFE">
              <w:rPr>
                <w:sz w:val="22"/>
                <w:szCs w:val="22"/>
              </w:rPr>
              <w:t>Actual volume</w:t>
            </w:r>
            <w:r w:rsidR="0024542B" w:rsidRPr="004C0BFE">
              <w:rPr>
                <w:sz w:val="22"/>
                <w:szCs w:val="22"/>
              </w:rPr>
              <w:t>s</w:t>
            </w:r>
            <w:r w:rsidRPr="004C0BFE">
              <w:rPr>
                <w:sz w:val="22"/>
                <w:szCs w:val="22"/>
              </w:rPr>
              <w:t xml:space="preserve"> of </w:t>
            </w:r>
            <w:r w:rsidR="0024542B" w:rsidRPr="004C0BFE">
              <w:rPr>
                <w:sz w:val="22"/>
                <w:szCs w:val="22"/>
              </w:rPr>
              <w:t>sale</w:t>
            </w:r>
            <w:r w:rsidRPr="004C0BFE">
              <w:rPr>
                <w:sz w:val="22"/>
                <w:szCs w:val="22"/>
              </w:rPr>
              <w:t>s up to 45 days prior to ERRA Forecast filing (November update)</w:t>
            </w:r>
          </w:p>
        </w:tc>
      </w:tr>
      <w:tr w:rsidR="00B46674" w:rsidRPr="004C0BFE" w14:paraId="1A3354D4" w14:textId="77777777" w:rsidTr="00395FF3">
        <w:trPr>
          <w:jc w:val="center"/>
        </w:trPr>
        <w:tc>
          <w:tcPr>
            <w:tcW w:w="2338" w:type="dxa"/>
          </w:tcPr>
          <w:p w14:paraId="736BB0CA" w14:textId="77777777" w:rsidR="00B46674" w:rsidRPr="003F737D" w:rsidRDefault="00B46674" w:rsidP="00395FF3">
            <w:pPr>
              <w:pStyle w:val="ALJBodyText"/>
              <w:spacing w:after="120" w:line="240" w:lineRule="auto"/>
              <w:ind w:firstLine="0"/>
              <w:rPr>
                <w:sz w:val="22"/>
                <w:szCs w:val="22"/>
              </w:rPr>
            </w:pPr>
            <w:r w:rsidRPr="004C0BFE">
              <w:rPr>
                <w:sz w:val="22"/>
                <w:szCs w:val="22"/>
              </w:rPr>
              <w:t>Forecast Sold</w:t>
            </w:r>
          </w:p>
        </w:tc>
        <w:tc>
          <w:tcPr>
            <w:tcW w:w="2338" w:type="dxa"/>
          </w:tcPr>
          <w:p w14:paraId="056A2B19" w14:textId="47C15157" w:rsidR="00B46674" w:rsidRPr="003F737D" w:rsidRDefault="0024542B" w:rsidP="00395FF3">
            <w:pPr>
              <w:pStyle w:val="ALJBodyText"/>
              <w:spacing w:after="120" w:line="240" w:lineRule="auto"/>
              <w:ind w:firstLine="0"/>
              <w:rPr>
                <w:sz w:val="22"/>
                <w:szCs w:val="22"/>
              </w:rPr>
            </w:pPr>
            <w:r w:rsidRPr="004C0BFE">
              <w:rPr>
                <w:sz w:val="22"/>
                <w:szCs w:val="22"/>
              </w:rPr>
              <w:t>Forecast</w:t>
            </w:r>
            <w:r w:rsidR="00B46674" w:rsidRPr="004C0BFE">
              <w:rPr>
                <w:sz w:val="22"/>
                <w:szCs w:val="22"/>
              </w:rPr>
              <w:t xml:space="preserve"> RPS Adder</w:t>
            </w:r>
          </w:p>
        </w:tc>
        <w:tc>
          <w:tcPr>
            <w:tcW w:w="2337" w:type="dxa"/>
          </w:tcPr>
          <w:p w14:paraId="55041F58" w14:textId="77777777" w:rsidR="00B46674" w:rsidRPr="004C0BFE" w:rsidRDefault="00B46674" w:rsidP="00395FF3">
            <w:pPr>
              <w:pStyle w:val="ALJBodyText"/>
              <w:spacing w:after="120" w:line="240" w:lineRule="auto"/>
              <w:ind w:firstLine="0"/>
              <w:rPr>
                <w:sz w:val="22"/>
                <w:szCs w:val="22"/>
              </w:rPr>
            </w:pPr>
            <w:r w:rsidRPr="004C0BFE">
              <w:rPr>
                <w:sz w:val="22"/>
                <w:szCs w:val="22"/>
              </w:rPr>
              <w:t>Forecasted sold volume</w:t>
            </w:r>
          </w:p>
        </w:tc>
      </w:tr>
    </w:tbl>
    <w:p w14:paraId="53811DE8" w14:textId="77777777" w:rsidR="00B46674" w:rsidRPr="004C0BFE" w:rsidRDefault="00B46674" w:rsidP="00844D9B">
      <w:pPr>
        <w:pStyle w:val="ALJBodyText"/>
        <w:jc w:val="center"/>
        <w:rPr>
          <w:b/>
          <w:bCs/>
        </w:rPr>
      </w:pPr>
    </w:p>
    <w:p w14:paraId="59630512" w14:textId="1F354A79" w:rsidR="00B46674" w:rsidRPr="004C0BFE" w:rsidRDefault="00B46674" w:rsidP="00B46674">
      <w:pPr>
        <w:pStyle w:val="ALJBodyText"/>
        <w:jc w:val="center"/>
      </w:pPr>
      <w:r w:rsidRPr="004C0BFE">
        <w:rPr>
          <w:b/>
          <w:bCs/>
        </w:rPr>
        <w:t xml:space="preserve">Table II: Forecast RA </w:t>
      </w:r>
      <w:r w:rsidR="00466F13" w:rsidRPr="004C0BFE">
        <w:rPr>
          <w:b/>
          <w:bCs/>
        </w:rPr>
        <w:t xml:space="preserve">Value </w:t>
      </w:r>
      <w:r w:rsidR="00EF3FFC" w:rsidRPr="004C0BFE">
        <w:rPr>
          <w:b/>
          <w:bCs/>
        </w:rPr>
        <w:t>(</w:t>
      </w:r>
      <w:r w:rsidRPr="004C0BFE">
        <w:rPr>
          <w:b/>
          <w:bCs/>
        </w:rPr>
        <w:t>Price and Quantity</w:t>
      </w:r>
      <w:r w:rsidR="00EF3FFC" w:rsidRPr="004C0BFE">
        <w:rPr>
          <w:b/>
          <w:bCs/>
        </w:rPr>
        <w:t>)</w:t>
      </w:r>
    </w:p>
    <w:tbl>
      <w:tblPr>
        <w:tblStyle w:val="TableGrid"/>
        <w:tblW w:w="0" w:type="auto"/>
        <w:jc w:val="center"/>
        <w:tblLook w:val="04A0" w:firstRow="1" w:lastRow="0" w:firstColumn="1" w:lastColumn="0" w:noHBand="0" w:noVBand="1"/>
      </w:tblPr>
      <w:tblGrid>
        <w:gridCol w:w="3116"/>
        <w:gridCol w:w="3117"/>
        <w:gridCol w:w="3117"/>
      </w:tblGrid>
      <w:tr w:rsidR="00B46674" w:rsidRPr="00466F13" w14:paraId="4DFFE6CA" w14:textId="77777777" w:rsidTr="00395FF3">
        <w:trPr>
          <w:jc w:val="center"/>
        </w:trPr>
        <w:tc>
          <w:tcPr>
            <w:tcW w:w="3116" w:type="dxa"/>
          </w:tcPr>
          <w:p w14:paraId="46C67B0D" w14:textId="77777777" w:rsidR="00B46674" w:rsidRPr="003F737D" w:rsidRDefault="00B46674" w:rsidP="00395FF3">
            <w:pPr>
              <w:pStyle w:val="ALJBodyText"/>
              <w:spacing w:line="240" w:lineRule="auto"/>
              <w:rPr>
                <w:b/>
                <w:bCs/>
                <w:sz w:val="22"/>
                <w:szCs w:val="22"/>
              </w:rPr>
            </w:pPr>
          </w:p>
        </w:tc>
        <w:tc>
          <w:tcPr>
            <w:tcW w:w="3117" w:type="dxa"/>
          </w:tcPr>
          <w:p w14:paraId="476B70B2" w14:textId="77777777" w:rsidR="00B46674" w:rsidRPr="003F737D" w:rsidRDefault="00B46674" w:rsidP="00395FF3">
            <w:pPr>
              <w:pStyle w:val="ALJBodyText"/>
              <w:spacing w:line="240" w:lineRule="auto"/>
              <w:rPr>
                <w:b/>
                <w:bCs/>
                <w:sz w:val="22"/>
                <w:szCs w:val="22"/>
              </w:rPr>
            </w:pPr>
            <w:r w:rsidRPr="004C0BFE">
              <w:rPr>
                <w:b/>
                <w:bCs/>
                <w:sz w:val="22"/>
                <w:szCs w:val="22"/>
              </w:rPr>
              <w:t>Price ($/kW-year)</w:t>
            </w:r>
          </w:p>
        </w:tc>
        <w:tc>
          <w:tcPr>
            <w:tcW w:w="3117" w:type="dxa"/>
          </w:tcPr>
          <w:p w14:paraId="7FCF47BC" w14:textId="77777777" w:rsidR="00B46674" w:rsidRPr="003F737D" w:rsidRDefault="00B46674" w:rsidP="00395FF3">
            <w:pPr>
              <w:pStyle w:val="ALJBodyText"/>
              <w:spacing w:line="240" w:lineRule="auto"/>
              <w:rPr>
                <w:b/>
                <w:bCs/>
                <w:sz w:val="22"/>
                <w:szCs w:val="22"/>
              </w:rPr>
            </w:pPr>
            <w:r w:rsidRPr="004C0BFE">
              <w:rPr>
                <w:b/>
                <w:bCs/>
                <w:sz w:val="22"/>
                <w:szCs w:val="22"/>
              </w:rPr>
              <w:t>Quantity (MW)</w:t>
            </w:r>
          </w:p>
        </w:tc>
      </w:tr>
      <w:tr w:rsidR="00B46674" w:rsidRPr="00466F13" w14:paraId="118EA24D" w14:textId="77777777" w:rsidTr="00395FF3">
        <w:trPr>
          <w:jc w:val="center"/>
        </w:trPr>
        <w:tc>
          <w:tcPr>
            <w:tcW w:w="3116" w:type="dxa"/>
          </w:tcPr>
          <w:p w14:paraId="6D45B802" w14:textId="77777777" w:rsidR="00B46674" w:rsidRPr="004C0BFE" w:rsidRDefault="00B46674" w:rsidP="00395FF3">
            <w:pPr>
              <w:pStyle w:val="ALJBodyText"/>
              <w:spacing w:after="120" w:line="240" w:lineRule="auto"/>
              <w:ind w:firstLine="0"/>
              <w:rPr>
                <w:sz w:val="22"/>
                <w:szCs w:val="22"/>
              </w:rPr>
            </w:pPr>
            <w:r w:rsidRPr="004C0BFE">
              <w:rPr>
                <w:sz w:val="22"/>
                <w:szCs w:val="22"/>
              </w:rPr>
              <w:t>Forecast Retained RA</w:t>
            </w:r>
          </w:p>
          <w:p w14:paraId="26B122C2" w14:textId="77777777" w:rsidR="00B46674" w:rsidRPr="003F737D" w:rsidRDefault="00B46674" w:rsidP="00395FF3">
            <w:pPr>
              <w:pStyle w:val="ALJBodyText"/>
              <w:spacing w:after="120" w:line="240" w:lineRule="auto"/>
              <w:ind w:firstLine="0"/>
              <w:rPr>
                <w:sz w:val="22"/>
                <w:szCs w:val="22"/>
              </w:rPr>
            </w:pPr>
          </w:p>
        </w:tc>
        <w:tc>
          <w:tcPr>
            <w:tcW w:w="3117" w:type="dxa"/>
          </w:tcPr>
          <w:p w14:paraId="6D671372" w14:textId="77777777" w:rsidR="00016D89" w:rsidRDefault="00016D89" w:rsidP="00395FF3">
            <w:pPr>
              <w:pStyle w:val="ALJBodyText"/>
              <w:spacing w:after="120" w:line="240" w:lineRule="auto"/>
              <w:ind w:firstLine="0"/>
              <w:rPr>
                <w:sz w:val="22"/>
                <w:szCs w:val="22"/>
              </w:rPr>
            </w:pPr>
            <w:r>
              <w:rPr>
                <w:sz w:val="22"/>
                <w:szCs w:val="22"/>
              </w:rPr>
              <w:t>June: Forecast RA Adder published in November of previous year</w:t>
            </w:r>
          </w:p>
          <w:p w14:paraId="748F3408" w14:textId="5FFDCC62" w:rsidR="00B46674" w:rsidRPr="003F737D" w:rsidRDefault="00016D89" w:rsidP="00395FF3">
            <w:pPr>
              <w:pStyle w:val="ALJBodyText"/>
              <w:spacing w:after="120" w:line="240" w:lineRule="auto"/>
              <w:ind w:firstLine="0"/>
              <w:rPr>
                <w:sz w:val="22"/>
                <w:szCs w:val="22"/>
              </w:rPr>
            </w:pPr>
            <w:r>
              <w:rPr>
                <w:sz w:val="22"/>
                <w:szCs w:val="22"/>
              </w:rPr>
              <w:t xml:space="preserve">November: </w:t>
            </w:r>
            <w:r w:rsidR="00EF3FFC" w:rsidRPr="004C0BFE">
              <w:rPr>
                <w:sz w:val="22"/>
                <w:szCs w:val="22"/>
              </w:rPr>
              <w:t xml:space="preserve">Applicable </w:t>
            </w:r>
            <w:r w:rsidR="00B46674" w:rsidRPr="004C0BFE">
              <w:rPr>
                <w:sz w:val="22"/>
                <w:szCs w:val="22"/>
              </w:rPr>
              <w:t>Forecast RA Adder, as calculated by Staff</w:t>
            </w:r>
          </w:p>
        </w:tc>
        <w:tc>
          <w:tcPr>
            <w:tcW w:w="3117" w:type="dxa"/>
          </w:tcPr>
          <w:p w14:paraId="5885BCBE" w14:textId="354A37A1" w:rsidR="00016D89" w:rsidRDefault="00016D89" w:rsidP="00395FF3">
            <w:pPr>
              <w:pStyle w:val="ALJBodyText"/>
              <w:spacing w:after="120" w:line="240" w:lineRule="auto"/>
              <w:ind w:firstLine="0"/>
              <w:rPr>
                <w:sz w:val="22"/>
                <w:szCs w:val="22"/>
              </w:rPr>
            </w:pPr>
            <w:r>
              <w:rPr>
                <w:sz w:val="22"/>
                <w:szCs w:val="22"/>
              </w:rPr>
              <w:t>June: IOU forecasted RA allocations and amounts retained for IOU use</w:t>
            </w:r>
            <w:r w:rsidR="00D921E3">
              <w:rPr>
                <w:rStyle w:val="FootnoteReference"/>
                <w:sz w:val="22"/>
                <w:szCs w:val="22"/>
              </w:rPr>
              <w:footnoteReference w:id="34"/>
            </w:r>
          </w:p>
          <w:p w14:paraId="34CC02A7" w14:textId="2A2400E8" w:rsidR="00B46674" w:rsidRPr="003F737D" w:rsidRDefault="00016D89" w:rsidP="00395FF3">
            <w:pPr>
              <w:pStyle w:val="ALJBodyText"/>
              <w:spacing w:after="120" w:line="240" w:lineRule="auto"/>
              <w:ind w:firstLine="0"/>
              <w:rPr>
                <w:sz w:val="22"/>
                <w:szCs w:val="22"/>
              </w:rPr>
            </w:pPr>
            <w:r>
              <w:rPr>
                <w:sz w:val="22"/>
                <w:szCs w:val="22"/>
              </w:rPr>
              <w:t xml:space="preserve">November: </w:t>
            </w:r>
            <w:r w:rsidR="00B46674" w:rsidRPr="004C0BFE">
              <w:rPr>
                <w:sz w:val="22"/>
                <w:szCs w:val="22"/>
              </w:rPr>
              <w:t>Final RA allocations and the amount</w:t>
            </w:r>
            <w:r w:rsidR="00EF3FFC" w:rsidRPr="004C0BFE">
              <w:rPr>
                <w:sz w:val="22"/>
                <w:szCs w:val="22"/>
              </w:rPr>
              <w:t>s forecasted</w:t>
            </w:r>
            <w:r w:rsidR="00B46674" w:rsidRPr="004C0BFE">
              <w:rPr>
                <w:sz w:val="22"/>
                <w:szCs w:val="22"/>
              </w:rPr>
              <w:t xml:space="preserve"> retained for IOU use</w:t>
            </w:r>
          </w:p>
        </w:tc>
      </w:tr>
      <w:tr w:rsidR="00B46674" w:rsidRPr="00466F13" w14:paraId="1E41CF02" w14:textId="77777777" w:rsidTr="00395FF3">
        <w:trPr>
          <w:jc w:val="center"/>
        </w:trPr>
        <w:tc>
          <w:tcPr>
            <w:tcW w:w="3116" w:type="dxa"/>
          </w:tcPr>
          <w:p w14:paraId="27F53173" w14:textId="77777777" w:rsidR="00B46674" w:rsidRPr="004C0BFE" w:rsidRDefault="00B46674" w:rsidP="00395FF3">
            <w:pPr>
              <w:pStyle w:val="ALJBodyText"/>
              <w:spacing w:after="120" w:line="240" w:lineRule="auto"/>
              <w:ind w:firstLine="0"/>
              <w:rPr>
                <w:sz w:val="22"/>
                <w:szCs w:val="22"/>
              </w:rPr>
            </w:pPr>
            <w:r w:rsidRPr="004C0BFE">
              <w:rPr>
                <w:sz w:val="22"/>
                <w:szCs w:val="22"/>
              </w:rPr>
              <w:t>Actual Sold RA</w:t>
            </w:r>
          </w:p>
          <w:p w14:paraId="0476DB94" w14:textId="77777777" w:rsidR="00B46674" w:rsidRPr="003F737D" w:rsidRDefault="00B46674" w:rsidP="00395FF3">
            <w:pPr>
              <w:pStyle w:val="ALJBodyText"/>
              <w:spacing w:after="120" w:line="240" w:lineRule="auto"/>
              <w:ind w:firstLine="0"/>
              <w:rPr>
                <w:sz w:val="22"/>
                <w:szCs w:val="22"/>
              </w:rPr>
            </w:pPr>
          </w:p>
        </w:tc>
        <w:tc>
          <w:tcPr>
            <w:tcW w:w="3117" w:type="dxa"/>
          </w:tcPr>
          <w:p w14:paraId="48823F35" w14:textId="64ACFDDA" w:rsidR="00B46674" w:rsidRPr="003F737D" w:rsidRDefault="00B46674" w:rsidP="00395FF3">
            <w:pPr>
              <w:pStyle w:val="ALJBodyText"/>
              <w:spacing w:after="120" w:line="240" w:lineRule="auto"/>
              <w:ind w:firstLine="0"/>
              <w:rPr>
                <w:sz w:val="22"/>
                <w:szCs w:val="22"/>
              </w:rPr>
            </w:pPr>
            <w:r w:rsidRPr="004C0BFE">
              <w:rPr>
                <w:sz w:val="22"/>
                <w:szCs w:val="22"/>
              </w:rPr>
              <w:t>Actual price</w:t>
            </w:r>
            <w:r w:rsidR="00EF3FFC" w:rsidRPr="004C0BFE">
              <w:rPr>
                <w:sz w:val="22"/>
                <w:szCs w:val="22"/>
              </w:rPr>
              <w:t>s</w:t>
            </w:r>
            <w:r w:rsidRPr="004C0BFE">
              <w:rPr>
                <w:sz w:val="22"/>
                <w:szCs w:val="22"/>
              </w:rPr>
              <w:t xml:space="preserve"> for </w:t>
            </w:r>
            <w:r w:rsidR="00EF3FFC" w:rsidRPr="004C0BFE">
              <w:rPr>
                <w:sz w:val="22"/>
                <w:szCs w:val="22"/>
              </w:rPr>
              <w:t>sales</w:t>
            </w:r>
            <w:r w:rsidRPr="004C0BFE">
              <w:rPr>
                <w:sz w:val="22"/>
                <w:szCs w:val="22"/>
              </w:rPr>
              <w:t xml:space="preserve"> up to 45 days</w:t>
            </w:r>
            <w:r w:rsidR="00EF3FFC" w:rsidRPr="004C0BFE">
              <w:rPr>
                <w:sz w:val="22"/>
                <w:szCs w:val="22"/>
              </w:rPr>
              <w:t xml:space="preserve"> </w:t>
            </w:r>
            <w:r w:rsidRPr="004C0BFE">
              <w:rPr>
                <w:sz w:val="22"/>
                <w:szCs w:val="22"/>
              </w:rPr>
              <w:t>prior to ERRA Forecast filing</w:t>
            </w:r>
            <w:r w:rsidR="00EF3FFC" w:rsidRPr="004C0BFE">
              <w:rPr>
                <w:sz w:val="22"/>
                <w:szCs w:val="22"/>
              </w:rPr>
              <w:t xml:space="preserve"> (November update)</w:t>
            </w:r>
          </w:p>
        </w:tc>
        <w:tc>
          <w:tcPr>
            <w:tcW w:w="3117" w:type="dxa"/>
          </w:tcPr>
          <w:p w14:paraId="47BFA5A0" w14:textId="1BEBCE96" w:rsidR="00B46674" w:rsidRPr="003F737D" w:rsidRDefault="00B46674" w:rsidP="00395FF3">
            <w:pPr>
              <w:pStyle w:val="ALJBodyText"/>
              <w:spacing w:after="120" w:line="240" w:lineRule="auto"/>
              <w:ind w:firstLine="0"/>
              <w:rPr>
                <w:sz w:val="22"/>
                <w:szCs w:val="22"/>
              </w:rPr>
            </w:pPr>
            <w:r w:rsidRPr="004C0BFE">
              <w:rPr>
                <w:sz w:val="22"/>
                <w:szCs w:val="22"/>
              </w:rPr>
              <w:t>Actual volume</w:t>
            </w:r>
            <w:r w:rsidR="00EF3FFC" w:rsidRPr="004C0BFE">
              <w:rPr>
                <w:sz w:val="22"/>
                <w:szCs w:val="22"/>
              </w:rPr>
              <w:t>s</w:t>
            </w:r>
            <w:r w:rsidRPr="004C0BFE">
              <w:rPr>
                <w:sz w:val="22"/>
                <w:szCs w:val="22"/>
              </w:rPr>
              <w:t xml:space="preserve"> for </w:t>
            </w:r>
            <w:r w:rsidR="00EF3FFC" w:rsidRPr="004C0BFE">
              <w:rPr>
                <w:sz w:val="22"/>
                <w:szCs w:val="22"/>
              </w:rPr>
              <w:t>sale</w:t>
            </w:r>
            <w:r w:rsidRPr="004C0BFE">
              <w:rPr>
                <w:sz w:val="22"/>
                <w:szCs w:val="22"/>
              </w:rPr>
              <w:t>s up to 45 days prior to ERRA Forecast filing</w:t>
            </w:r>
            <w:r w:rsidR="00EF3FFC" w:rsidRPr="004C0BFE">
              <w:rPr>
                <w:sz w:val="22"/>
                <w:szCs w:val="22"/>
              </w:rPr>
              <w:t xml:space="preserve"> (November update)</w:t>
            </w:r>
          </w:p>
        </w:tc>
      </w:tr>
      <w:tr w:rsidR="00B46674" w:rsidRPr="00466F13" w14:paraId="04D638CD" w14:textId="77777777" w:rsidTr="00395FF3">
        <w:trPr>
          <w:jc w:val="center"/>
        </w:trPr>
        <w:tc>
          <w:tcPr>
            <w:tcW w:w="3116" w:type="dxa"/>
          </w:tcPr>
          <w:p w14:paraId="5DAF3812" w14:textId="77777777" w:rsidR="00B46674" w:rsidRPr="003F737D" w:rsidRDefault="00B46674" w:rsidP="00395FF3">
            <w:pPr>
              <w:pStyle w:val="ALJBodyText"/>
              <w:spacing w:after="120" w:line="240" w:lineRule="auto"/>
              <w:ind w:firstLine="0"/>
              <w:rPr>
                <w:sz w:val="22"/>
                <w:szCs w:val="22"/>
              </w:rPr>
            </w:pPr>
            <w:r w:rsidRPr="004C0BFE">
              <w:rPr>
                <w:sz w:val="22"/>
                <w:szCs w:val="22"/>
              </w:rPr>
              <w:t>Forecast Sold RA</w:t>
            </w:r>
          </w:p>
        </w:tc>
        <w:tc>
          <w:tcPr>
            <w:tcW w:w="3117" w:type="dxa"/>
          </w:tcPr>
          <w:p w14:paraId="2606FB28" w14:textId="2516DD92" w:rsidR="00B46674" w:rsidRPr="003F737D" w:rsidRDefault="00B46674" w:rsidP="00395FF3">
            <w:pPr>
              <w:pStyle w:val="ALJBodyText"/>
              <w:spacing w:after="120" w:line="240" w:lineRule="auto"/>
              <w:ind w:firstLine="0"/>
              <w:rPr>
                <w:sz w:val="22"/>
                <w:szCs w:val="22"/>
              </w:rPr>
            </w:pPr>
            <w:r w:rsidRPr="004C0BFE">
              <w:rPr>
                <w:sz w:val="22"/>
                <w:szCs w:val="22"/>
              </w:rPr>
              <w:t xml:space="preserve">Applicable </w:t>
            </w:r>
            <w:r w:rsidR="00EF3FFC" w:rsidRPr="004C0BFE">
              <w:rPr>
                <w:sz w:val="22"/>
                <w:szCs w:val="22"/>
              </w:rPr>
              <w:t xml:space="preserve">Forecast </w:t>
            </w:r>
            <w:r w:rsidRPr="004C0BFE">
              <w:rPr>
                <w:sz w:val="22"/>
                <w:szCs w:val="22"/>
              </w:rPr>
              <w:t>RA Adder</w:t>
            </w:r>
            <w:r w:rsidR="00EF3FFC" w:rsidRPr="004C0BFE">
              <w:rPr>
                <w:sz w:val="22"/>
                <w:szCs w:val="22"/>
              </w:rPr>
              <w:t>, as calculated by Staff</w:t>
            </w:r>
          </w:p>
        </w:tc>
        <w:tc>
          <w:tcPr>
            <w:tcW w:w="3117" w:type="dxa"/>
          </w:tcPr>
          <w:p w14:paraId="74DE0798" w14:textId="702745C5" w:rsidR="00B46674" w:rsidRPr="003F737D" w:rsidRDefault="00EF3FFC" w:rsidP="00395FF3">
            <w:pPr>
              <w:pStyle w:val="ALJBodyText"/>
              <w:spacing w:after="120" w:line="240" w:lineRule="auto"/>
              <w:ind w:firstLine="0"/>
              <w:rPr>
                <w:sz w:val="22"/>
                <w:szCs w:val="22"/>
              </w:rPr>
            </w:pPr>
            <w:r w:rsidRPr="004C0BFE">
              <w:rPr>
                <w:sz w:val="22"/>
                <w:szCs w:val="22"/>
              </w:rPr>
              <w:t>Applicable f</w:t>
            </w:r>
            <w:r w:rsidR="00B46674" w:rsidRPr="004C0BFE">
              <w:rPr>
                <w:sz w:val="22"/>
                <w:szCs w:val="22"/>
              </w:rPr>
              <w:t>orecasted sold volume</w:t>
            </w:r>
            <w:r w:rsidRPr="004C0BFE">
              <w:rPr>
                <w:sz w:val="22"/>
                <w:szCs w:val="22"/>
              </w:rPr>
              <w:t>s</w:t>
            </w:r>
          </w:p>
        </w:tc>
      </w:tr>
      <w:tr w:rsidR="00B46674" w:rsidRPr="004C0BFE" w14:paraId="7BB9085A" w14:textId="77777777" w:rsidTr="00395FF3">
        <w:trPr>
          <w:jc w:val="center"/>
        </w:trPr>
        <w:tc>
          <w:tcPr>
            <w:tcW w:w="3116" w:type="dxa"/>
          </w:tcPr>
          <w:p w14:paraId="294DB736" w14:textId="77777777" w:rsidR="00B46674" w:rsidRPr="004C0BFE" w:rsidRDefault="00B46674" w:rsidP="00395FF3">
            <w:pPr>
              <w:pStyle w:val="ALJBodyText"/>
              <w:spacing w:after="120" w:line="240" w:lineRule="auto"/>
              <w:ind w:firstLine="0"/>
              <w:rPr>
                <w:sz w:val="22"/>
                <w:szCs w:val="22"/>
              </w:rPr>
            </w:pPr>
            <w:r w:rsidRPr="004C0BFE">
              <w:rPr>
                <w:sz w:val="22"/>
                <w:szCs w:val="22"/>
              </w:rPr>
              <w:t>Forecast Unsold RA</w:t>
            </w:r>
          </w:p>
          <w:p w14:paraId="257A68F0" w14:textId="77777777" w:rsidR="00B46674" w:rsidRPr="003F737D" w:rsidRDefault="00B46674" w:rsidP="00395FF3">
            <w:pPr>
              <w:pStyle w:val="ALJBodyText"/>
              <w:spacing w:after="120" w:line="240" w:lineRule="auto"/>
              <w:ind w:firstLine="0"/>
              <w:rPr>
                <w:sz w:val="22"/>
                <w:szCs w:val="22"/>
              </w:rPr>
            </w:pPr>
          </w:p>
        </w:tc>
        <w:tc>
          <w:tcPr>
            <w:tcW w:w="3117" w:type="dxa"/>
          </w:tcPr>
          <w:p w14:paraId="64187C41" w14:textId="31BB749A" w:rsidR="00B46674" w:rsidRPr="003F737D" w:rsidRDefault="00B46674" w:rsidP="00395FF3">
            <w:pPr>
              <w:pStyle w:val="ALJBodyText"/>
              <w:spacing w:after="120" w:line="240" w:lineRule="auto"/>
              <w:ind w:firstLine="0"/>
              <w:rPr>
                <w:sz w:val="22"/>
                <w:szCs w:val="22"/>
              </w:rPr>
            </w:pPr>
            <w:r w:rsidRPr="004C0BFE">
              <w:rPr>
                <w:sz w:val="22"/>
                <w:szCs w:val="22"/>
              </w:rPr>
              <w:lastRenderedPageBreak/>
              <w:t xml:space="preserve"> $0 </w:t>
            </w:r>
          </w:p>
        </w:tc>
        <w:tc>
          <w:tcPr>
            <w:tcW w:w="3117" w:type="dxa"/>
          </w:tcPr>
          <w:p w14:paraId="1A63A4E1" w14:textId="34AFE793" w:rsidR="00B46674" w:rsidRPr="004C0BFE" w:rsidRDefault="00EF3FFC" w:rsidP="00395FF3">
            <w:pPr>
              <w:pStyle w:val="ALJBodyText"/>
              <w:spacing w:after="120" w:line="240" w:lineRule="auto"/>
              <w:ind w:firstLine="0"/>
              <w:rPr>
                <w:sz w:val="22"/>
                <w:szCs w:val="22"/>
              </w:rPr>
            </w:pPr>
            <w:r w:rsidRPr="004C0BFE">
              <w:rPr>
                <w:sz w:val="22"/>
                <w:szCs w:val="22"/>
              </w:rPr>
              <w:t>Applicable f</w:t>
            </w:r>
            <w:r w:rsidR="00B46674" w:rsidRPr="004C0BFE">
              <w:rPr>
                <w:sz w:val="22"/>
                <w:szCs w:val="22"/>
              </w:rPr>
              <w:t>orecasted unsold volume</w:t>
            </w:r>
            <w:r w:rsidRPr="004C0BFE">
              <w:rPr>
                <w:sz w:val="22"/>
                <w:szCs w:val="22"/>
              </w:rPr>
              <w:t>s</w:t>
            </w:r>
            <w:r w:rsidR="00791CCE">
              <w:rPr>
                <w:rStyle w:val="FootnoteReference"/>
                <w:sz w:val="22"/>
                <w:szCs w:val="22"/>
              </w:rPr>
              <w:footnoteReference w:id="35"/>
            </w:r>
          </w:p>
        </w:tc>
      </w:tr>
    </w:tbl>
    <w:p w14:paraId="3824798F" w14:textId="04785AF3" w:rsidR="00714CF2" w:rsidRPr="003F737D" w:rsidRDefault="00714CF2" w:rsidP="00844D9B">
      <w:pPr>
        <w:pStyle w:val="Main"/>
        <w:rPr>
          <w:sz w:val="22"/>
          <w:szCs w:val="22"/>
        </w:rPr>
      </w:pPr>
    </w:p>
    <w:p w14:paraId="4D2FDE02" w14:textId="52946AB1" w:rsidR="00B46674" w:rsidRPr="004C0BFE" w:rsidRDefault="00B46674" w:rsidP="0072662C">
      <w:pPr>
        <w:pStyle w:val="ALJBodyText"/>
        <w:keepNext/>
        <w:keepLines/>
        <w:jc w:val="center"/>
        <w:rPr>
          <w:b/>
          <w:bCs/>
        </w:rPr>
      </w:pPr>
      <w:r w:rsidRPr="004C0BFE">
        <w:rPr>
          <w:b/>
          <w:bCs/>
        </w:rPr>
        <w:t>Table III: RPS Value True Up</w:t>
      </w:r>
      <w:r w:rsidR="00466F13" w:rsidRPr="004C0BFE">
        <w:rPr>
          <w:b/>
          <w:bCs/>
        </w:rPr>
        <w:t xml:space="preserve"> </w:t>
      </w:r>
      <w:r w:rsidR="00EF3FFC" w:rsidRPr="004C0BFE">
        <w:rPr>
          <w:b/>
          <w:bCs/>
        </w:rPr>
        <w:t>(</w:t>
      </w:r>
      <w:r w:rsidR="00466F13" w:rsidRPr="004C0BFE">
        <w:rPr>
          <w:b/>
          <w:bCs/>
        </w:rPr>
        <w:t>Price and Quantity</w:t>
      </w:r>
      <w:r w:rsidR="00EF3FFC" w:rsidRPr="004C0BFE">
        <w:rPr>
          <w:b/>
          <w:bCs/>
        </w:rPr>
        <w:t>)</w:t>
      </w:r>
    </w:p>
    <w:tbl>
      <w:tblPr>
        <w:tblStyle w:val="TableGrid"/>
        <w:tblW w:w="0" w:type="auto"/>
        <w:jc w:val="center"/>
        <w:tblLook w:val="04A0" w:firstRow="1" w:lastRow="0" w:firstColumn="1" w:lastColumn="0" w:noHBand="0" w:noVBand="1"/>
      </w:tblPr>
      <w:tblGrid>
        <w:gridCol w:w="1855"/>
        <w:gridCol w:w="3075"/>
        <w:gridCol w:w="4646"/>
      </w:tblGrid>
      <w:tr w:rsidR="00B46674" w14:paraId="50C28417" w14:textId="77777777" w:rsidTr="00395FF3">
        <w:trPr>
          <w:jc w:val="center"/>
        </w:trPr>
        <w:tc>
          <w:tcPr>
            <w:tcW w:w="0" w:type="auto"/>
          </w:tcPr>
          <w:p w14:paraId="4064C154" w14:textId="77777777" w:rsidR="00B46674" w:rsidRPr="003F737D" w:rsidRDefault="00B46674" w:rsidP="0072662C">
            <w:pPr>
              <w:pStyle w:val="ALJBodyText"/>
              <w:keepNext/>
              <w:keepLines/>
              <w:spacing w:after="120" w:line="240" w:lineRule="auto"/>
              <w:ind w:firstLine="0"/>
              <w:rPr>
                <w:sz w:val="22"/>
                <w:szCs w:val="22"/>
              </w:rPr>
            </w:pPr>
            <w:r w:rsidRPr="004C0BFE">
              <w:rPr>
                <w:sz w:val="22"/>
                <w:szCs w:val="22"/>
              </w:rPr>
              <w:t>Type of RPS Product</w:t>
            </w:r>
          </w:p>
        </w:tc>
        <w:tc>
          <w:tcPr>
            <w:tcW w:w="0" w:type="auto"/>
          </w:tcPr>
          <w:p w14:paraId="74597BBE" w14:textId="77777777" w:rsidR="00B46674" w:rsidRPr="003F737D" w:rsidRDefault="00B46674" w:rsidP="0072662C">
            <w:pPr>
              <w:pStyle w:val="ALJBodyText"/>
              <w:keepNext/>
              <w:keepLines/>
              <w:spacing w:after="120" w:line="240" w:lineRule="auto"/>
              <w:ind w:firstLine="0"/>
              <w:rPr>
                <w:rFonts w:cs="Arial"/>
                <w:b/>
                <w:bCs/>
                <w:sz w:val="22"/>
                <w:szCs w:val="22"/>
              </w:rPr>
            </w:pPr>
            <w:r w:rsidRPr="004C0BFE">
              <w:rPr>
                <w:rFonts w:cs="Arial"/>
                <w:b/>
                <w:bCs/>
                <w:sz w:val="22"/>
                <w:szCs w:val="22"/>
              </w:rPr>
              <w:t>Price</w:t>
            </w:r>
          </w:p>
        </w:tc>
        <w:tc>
          <w:tcPr>
            <w:tcW w:w="0" w:type="auto"/>
          </w:tcPr>
          <w:p w14:paraId="27ED2C20" w14:textId="77777777" w:rsidR="00B46674" w:rsidRPr="003F737D" w:rsidRDefault="00B46674" w:rsidP="0072662C">
            <w:pPr>
              <w:pStyle w:val="ALJBodyText"/>
              <w:keepNext/>
              <w:keepLines/>
              <w:spacing w:after="120" w:line="240" w:lineRule="auto"/>
              <w:ind w:firstLine="0"/>
              <w:rPr>
                <w:rFonts w:cs="Arial"/>
                <w:b/>
                <w:bCs/>
                <w:sz w:val="22"/>
                <w:szCs w:val="22"/>
              </w:rPr>
            </w:pPr>
            <w:r w:rsidRPr="004C0BFE">
              <w:rPr>
                <w:rFonts w:cs="Arial"/>
                <w:b/>
                <w:bCs/>
                <w:sz w:val="22"/>
                <w:szCs w:val="22"/>
              </w:rPr>
              <w:t>Quantity</w:t>
            </w:r>
          </w:p>
        </w:tc>
      </w:tr>
      <w:tr w:rsidR="00B46674" w14:paraId="71124051" w14:textId="77777777" w:rsidTr="00395FF3">
        <w:trPr>
          <w:jc w:val="center"/>
        </w:trPr>
        <w:tc>
          <w:tcPr>
            <w:tcW w:w="0" w:type="auto"/>
          </w:tcPr>
          <w:p w14:paraId="51525699" w14:textId="77777777" w:rsidR="00B46674" w:rsidRPr="004C0BFE" w:rsidRDefault="00B46674" w:rsidP="0072662C">
            <w:pPr>
              <w:pStyle w:val="ALJBodyText"/>
              <w:keepNext/>
              <w:keepLines/>
              <w:spacing w:after="120" w:line="240" w:lineRule="auto"/>
              <w:ind w:firstLine="0"/>
              <w:rPr>
                <w:sz w:val="22"/>
                <w:szCs w:val="22"/>
              </w:rPr>
            </w:pPr>
            <w:r w:rsidRPr="004C0BFE">
              <w:rPr>
                <w:sz w:val="22"/>
                <w:szCs w:val="22"/>
              </w:rPr>
              <w:t>Actual Retained</w:t>
            </w:r>
          </w:p>
          <w:p w14:paraId="5ED1092A" w14:textId="77777777" w:rsidR="00B46674" w:rsidRPr="003F737D" w:rsidRDefault="00B46674" w:rsidP="0072662C">
            <w:pPr>
              <w:pStyle w:val="ALJBodyText"/>
              <w:keepNext/>
              <w:keepLines/>
              <w:spacing w:after="120" w:line="240" w:lineRule="auto"/>
              <w:ind w:firstLine="0"/>
              <w:rPr>
                <w:sz w:val="22"/>
                <w:szCs w:val="22"/>
              </w:rPr>
            </w:pPr>
          </w:p>
        </w:tc>
        <w:tc>
          <w:tcPr>
            <w:tcW w:w="0" w:type="auto"/>
          </w:tcPr>
          <w:p w14:paraId="14598B71" w14:textId="21B50786" w:rsidR="00B46674" w:rsidRPr="003F737D" w:rsidRDefault="00B46674" w:rsidP="0072662C">
            <w:pPr>
              <w:pStyle w:val="ALJBodyText"/>
              <w:keepNext/>
              <w:keepLines/>
              <w:spacing w:after="120" w:line="240" w:lineRule="auto"/>
              <w:ind w:firstLine="0"/>
              <w:rPr>
                <w:sz w:val="22"/>
                <w:szCs w:val="22"/>
              </w:rPr>
            </w:pPr>
            <w:r w:rsidRPr="004C0BFE">
              <w:rPr>
                <w:sz w:val="22"/>
                <w:szCs w:val="22"/>
              </w:rPr>
              <w:t xml:space="preserve">Final RPS Adder, </w:t>
            </w:r>
            <w:r w:rsidR="00EF3FFC" w:rsidRPr="004C0BFE">
              <w:rPr>
                <w:sz w:val="22"/>
                <w:szCs w:val="22"/>
              </w:rPr>
              <w:t xml:space="preserve">as </w:t>
            </w:r>
            <w:r w:rsidRPr="004C0BFE">
              <w:rPr>
                <w:sz w:val="22"/>
                <w:szCs w:val="22"/>
              </w:rPr>
              <w:t xml:space="preserve">calculated by </w:t>
            </w:r>
            <w:r w:rsidR="00F77DF7" w:rsidRPr="004C0BFE">
              <w:rPr>
                <w:sz w:val="22"/>
                <w:szCs w:val="22"/>
              </w:rPr>
              <w:t>Staff</w:t>
            </w:r>
          </w:p>
        </w:tc>
        <w:tc>
          <w:tcPr>
            <w:tcW w:w="0" w:type="auto"/>
          </w:tcPr>
          <w:p w14:paraId="296A60D9" w14:textId="62184709" w:rsidR="00B46674" w:rsidRPr="003F737D" w:rsidRDefault="00B46674" w:rsidP="0072662C">
            <w:pPr>
              <w:pStyle w:val="ALJBodyText"/>
              <w:keepNext/>
              <w:keepLines/>
              <w:spacing w:after="120" w:line="240" w:lineRule="auto"/>
              <w:ind w:firstLine="0"/>
              <w:rPr>
                <w:sz w:val="22"/>
                <w:szCs w:val="22"/>
              </w:rPr>
            </w:pPr>
            <w:r w:rsidRPr="004C0BFE">
              <w:rPr>
                <w:sz w:val="22"/>
                <w:szCs w:val="22"/>
              </w:rPr>
              <w:t xml:space="preserve">Volume used for IOU compliance from PCIA-eligible portfolio </w:t>
            </w:r>
          </w:p>
        </w:tc>
      </w:tr>
      <w:tr w:rsidR="00B46674" w14:paraId="24C32F3D" w14:textId="77777777" w:rsidTr="00395FF3">
        <w:trPr>
          <w:jc w:val="center"/>
        </w:trPr>
        <w:tc>
          <w:tcPr>
            <w:tcW w:w="0" w:type="auto"/>
          </w:tcPr>
          <w:p w14:paraId="643A5B4F" w14:textId="77777777" w:rsidR="00B46674" w:rsidRPr="003F737D" w:rsidRDefault="00B46674" w:rsidP="0072662C">
            <w:pPr>
              <w:pStyle w:val="ALJBodyText"/>
              <w:keepNext/>
              <w:keepLines/>
              <w:spacing w:after="120" w:line="240" w:lineRule="auto"/>
              <w:ind w:firstLine="0"/>
              <w:rPr>
                <w:sz w:val="22"/>
                <w:szCs w:val="22"/>
              </w:rPr>
            </w:pPr>
            <w:r w:rsidRPr="004C0BFE">
              <w:rPr>
                <w:sz w:val="22"/>
                <w:szCs w:val="22"/>
              </w:rPr>
              <w:t>Actual Sold</w:t>
            </w:r>
          </w:p>
        </w:tc>
        <w:tc>
          <w:tcPr>
            <w:tcW w:w="0" w:type="auto"/>
          </w:tcPr>
          <w:p w14:paraId="2DCDD784" w14:textId="38EE721A" w:rsidR="00B46674" w:rsidRPr="003F737D" w:rsidRDefault="00B46674" w:rsidP="0072662C">
            <w:pPr>
              <w:pStyle w:val="ALJBodyText"/>
              <w:keepNext/>
              <w:keepLines/>
              <w:spacing w:after="120" w:line="240" w:lineRule="auto"/>
              <w:ind w:firstLine="0"/>
              <w:rPr>
                <w:sz w:val="22"/>
                <w:szCs w:val="22"/>
              </w:rPr>
            </w:pPr>
            <w:r w:rsidRPr="004C0BFE">
              <w:rPr>
                <w:sz w:val="22"/>
                <w:szCs w:val="22"/>
              </w:rPr>
              <w:t xml:space="preserve">Actual transacted price </w:t>
            </w:r>
            <w:r w:rsidR="00EF3FFC" w:rsidRPr="004C0BFE">
              <w:rPr>
                <w:sz w:val="22"/>
                <w:szCs w:val="22"/>
              </w:rPr>
              <w:t>s</w:t>
            </w:r>
          </w:p>
        </w:tc>
        <w:tc>
          <w:tcPr>
            <w:tcW w:w="0" w:type="auto"/>
          </w:tcPr>
          <w:p w14:paraId="4CD1B96B" w14:textId="2E9C21CB" w:rsidR="00B46674" w:rsidRPr="003F737D" w:rsidRDefault="00B46674" w:rsidP="0072662C">
            <w:pPr>
              <w:pStyle w:val="ALJBodyText"/>
              <w:keepNext/>
              <w:keepLines/>
              <w:spacing w:after="120" w:line="240" w:lineRule="auto"/>
              <w:ind w:firstLine="0"/>
              <w:rPr>
                <w:sz w:val="22"/>
                <w:szCs w:val="22"/>
              </w:rPr>
            </w:pPr>
            <w:r w:rsidRPr="004C0BFE">
              <w:rPr>
                <w:sz w:val="22"/>
                <w:szCs w:val="22"/>
              </w:rPr>
              <w:t>Actual transacted volume</w:t>
            </w:r>
            <w:r w:rsidR="00EF3FFC" w:rsidRPr="004C0BFE">
              <w:rPr>
                <w:sz w:val="22"/>
                <w:szCs w:val="22"/>
              </w:rPr>
              <w:t>s</w:t>
            </w:r>
          </w:p>
        </w:tc>
      </w:tr>
      <w:tr w:rsidR="00B46674" w:rsidRPr="004C0BFE" w14:paraId="3ACB0B03" w14:textId="77777777" w:rsidTr="00395FF3">
        <w:trPr>
          <w:jc w:val="center"/>
        </w:trPr>
        <w:tc>
          <w:tcPr>
            <w:tcW w:w="0" w:type="auto"/>
          </w:tcPr>
          <w:p w14:paraId="3CAB6A71" w14:textId="57D05D7E" w:rsidR="00B46674" w:rsidRPr="003F737D" w:rsidRDefault="00B46674" w:rsidP="0072662C">
            <w:pPr>
              <w:pStyle w:val="ALJBodyText"/>
              <w:keepNext/>
              <w:keepLines/>
              <w:spacing w:after="120" w:line="240" w:lineRule="auto"/>
              <w:ind w:firstLine="0"/>
              <w:rPr>
                <w:sz w:val="22"/>
                <w:szCs w:val="22"/>
              </w:rPr>
            </w:pPr>
            <w:r w:rsidRPr="004C0BFE">
              <w:rPr>
                <w:sz w:val="22"/>
                <w:szCs w:val="22"/>
              </w:rPr>
              <w:t>Actual Unsold</w:t>
            </w:r>
          </w:p>
        </w:tc>
        <w:tc>
          <w:tcPr>
            <w:tcW w:w="0" w:type="auto"/>
          </w:tcPr>
          <w:p w14:paraId="171F41E7" w14:textId="7F74F71B" w:rsidR="00B46674" w:rsidRPr="003F737D" w:rsidRDefault="00EF3FFC" w:rsidP="0072662C">
            <w:pPr>
              <w:pStyle w:val="ALJBodyText"/>
              <w:keepNext/>
              <w:keepLines/>
              <w:spacing w:after="120" w:line="240" w:lineRule="auto"/>
              <w:ind w:firstLine="0"/>
              <w:rPr>
                <w:sz w:val="22"/>
                <w:szCs w:val="22"/>
              </w:rPr>
            </w:pPr>
            <w:r w:rsidRPr="004C0BFE">
              <w:rPr>
                <w:sz w:val="22"/>
                <w:szCs w:val="22"/>
              </w:rPr>
              <w:t>$0</w:t>
            </w:r>
          </w:p>
        </w:tc>
        <w:tc>
          <w:tcPr>
            <w:tcW w:w="0" w:type="auto"/>
          </w:tcPr>
          <w:p w14:paraId="252FEE05" w14:textId="280A0CC2" w:rsidR="00B46674" w:rsidRPr="004C0BFE" w:rsidRDefault="00B46674" w:rsidP="0072662C">
            <w:pPr>
              <w:pStyle w:val="ALJBodyText"/>
              <w:keepNext/>
              <w:keepLines/>
              <w:spacing w:after="120" w:line="240" w:lineRule="auto"/>
              <w:ind w:firstLine="0"/>
              <w:rPr>
                <w:sz w:val="22"/>
                <w:szCs w:val="22"/>
              </w:rPr>
            </w:pPr>
            <w:r w:rsidRPr="004C0BFE">
              <w:rPr>
                <w:sz w:val="22"/>
                <w:szCs w:val="22"/>
              </w:rPr>
              <w:t>Actual unsold volume</w:t>
            </w:r>
          </w:p>
        </w:tc>
      </w:tr>
    </w:tbl>
    <w:p w14:paraId="7C0A9DF3" w14:textId="13ACF127" w:rsidR="00B46674" w:rsidRPr="004C0BFE" w:rsidRDefault="00B46674" w:rsidP="0072662C">
      <w:pPr>
        <w:keepNext/>
        <w:keepLines/>
      </w:pPr>
    </w:p>
    <w:p w14:paraId="6CAC3304" w14:textId="252E1618" w:rsidR="00B46674" w:rsidRPr="004C0BFE" w:rsidRDefault="00B46674" w:rsidP="00B46674"/>
    <w:p w14:paraId="7DBDA5EF" w14:textId="1BC70C01" w:rsidR="00B46674" w:rsidRPr="004C0BFE" w:rsidRDefault="00B46674" w:rsidP="00B46674">
      <w:pPr>
        <w:pStyle w:val="ALJBodyText"/>
        <w:ind w:left="1440" w:firstLine="0"/>
        <w:jc w:val="center"/>
        <w:rPr>
          <w:b/>
          <w:bCs/>
        </w:rPr>
      </w:pPr>
      <w:r w:rsidRPr="004C0BFE">
        <w:rPr>
          <w:b/>
          <w:bCs/>
        </w:rPr>
        <w:t>Table IV: RA Value True Up</w:t>
      </w:r>
      <w:r w:rsidR="00466F13" w:rsidRPr="004C0BFE">
        <w:rPr>
          <w:b/>
          <w:bCs/>
        </w:rPr>
        <w:t xml:space="preserve"> </w:t>
      </w:r>
      <w:r w:rsidR="0097001D">
        <w:rPr>
          <w:b/>
          <w:bCs/>
        </w:rPr>
        <w:t>(</w:t>
      </w:r>
      <w:r w:rsidR="00466F13" w:rsidRPr="004C0BFE">
        <w:rPr>
          <w:b/>
          <w:bCs/>
        </w:rPr>
        <w:t>Price and Quantity</w:t>
      </w:r>
      <w:r w:rsidR="0097001D">
        <w:rPr>
          <w:b/>
          <w:bCs/>
        </w:rPr>
        <w:t>)</w:t>
      </w:r>
    </w:p>
    <w:tbl>
      <w:tblPr>
        <w:tblStyle w:val="TableGrid"/>
        <w:tblW w:w="0" w:type="auto"/>
        <w:jc w:val="center"/>
        <w:tblLook w:val="04A0" w:firstRow="1" w:lastRow="0" w:firstColumn="1" w:lastColumn="0" w:noHBand="0" w:noVBand="1"/>
      </w:tblPr>
      <w:tblGrid>
        <w:gridCol w:w="3116"/>
        <w:gridCol w:w="3117"/>
        <w:gridCol w:w="3117"/>
      </w:tblGrid>
      <w:tr w:rsidR="00B46674" w14:paraId="5A6552DA" w14:textId="77777777" w:rsidTr="00395FF3">
        <w:trPr>
          <w:jc w:val="center"/>
        </w:trPr>
        <w:tc>
          <w:tcPr>
            <w:tcW w:w="3116" w:type="dxa"/>
          </w:tcPr>
          <w:p w14:paraId="6F93C638" w14:textId="46A9E596" w:rsidR="00B46674" w:rsidRPr="003F737D" w:rsidRDefault="002F5719" w:rsidP="00395FF3">
            <w:pPr>
              <w:pStyle w:val="ALJBodyText"/>
              <w:spacing w:after="120" w:line="240" w:lineRule="auto"/>
              <w:ind w:firstLine="0"/>
              <w:rPr>
                <w:rFonts w:cs="Arial"/>
                <w:b/>
                <w:bCs/>
                <w:sz w:val="22"/>
                <w:szCs w:val="22"/>
              </w:rPr>
            </w:pPr>
            <w:r w:rsidRPr="004C0BFE">
              <w:rPr>
                <w:rFonts w:cs="Arial"/>
                <w:b/>
                <w:bCs/>
                <w:sz w:val="22"/>
                <w:szCs w:val="22"/>
              </w:rPr>
              <w:t>Type of RA Product</w:t>
            </w:r>
          </w:p>
        </w:tc>
        <w:tc>
          <w:tcPr>
            <w:tcW w:w="3117" w:type="dxa"/>
          </w:tcPr>
          <w:p w14:paraId="1328510D" w14:textId="77777777" w:rsidR="00B46674" w:rsidRPr="003F737D" w:rsidRDefault="00B46674" w:rsidP="00395FF3">
            <w:pPr>
              <w:pStyle w:val="ALJBodyText"/>
              <w:spacing w:after="120" w:line="240" w:lineRule="auto"/>
              <w:ind w:firstLine="0"/>
              <w:rPr>
                <w:rFonts w:cs="Arial"/>
                <w:b/>
                <w:bCs/>
                <w:sz w:val="22"/>
                <w:szCs w:val="22"/>
              </w:rPr>
            </w:pPr>
            <w:r w:rsidRPr="004C0BFE">
              <w:rPr>
                <w:rFonts w:cs="Arial"/>
                <w:b/>
                <w:bCs/>
                <w:sz w:val="22"/>
                <w:szCs w:val="22"/>
              </w:rPr>
              <w:t>Price</w:t>
            </w:r>
          </w:p>
        </w:tc>
        <w:tc>
          <w:tcPr>
            <w:tcW w:w="3117" w:type="dxa"/>
          </w:tcPr>
          <w:p w14:paraId="0CBA1932" w14:textId="77777777" w:rsidR="00B46674" w:rsidRPr="003F737D" w:rsidRDefault="00B46674" w:rsidP="00395FF3">
            <w:pPr>
              <w:pStyle w:val="ALJBodyText"/>
              <w:spacing w:after="120" w:line="240" w:lineRule="auto"/>
              <w:ind w:firstLine="0"/>
              <w:rPr>
                <w:rFonts w:cs="Arial"/>
                <w:b/>
                <w:bCs/>
                <w:sz w:val="22"/>
                <w:szCs w:val="22"/>
              </w:rPr>
            </w:pPr>
            <w:r w:rsidRPr="004C0BFE">
              <w:rPr>
                <w:rFonts w:cs="Arial"/>
                <w:b/>
                <w:bCs/>
                <w:sz w:val="22"/>
                <w:szCs w:val="22"/>
              </w:rPr>
              <w:t>Quantity</w:t>
            </w:r>
          </w:p>
        </w:tc>
      </w:tr>
      <w:tr w:rsidR="00B46674" w14:paraId="2D936496" w14:textId="77777777" w:rsidTr="00395FF3">
        <w:trPr>
          <w:jc w:val="center"/>
        </w:trPr>
        <w:tc>
          <w:tcPr>
            <w:tcW w:w="3116" w:type="dxa"/>
          </w:tcPr>
          <w:p w14:paraId="7C285E2B" w14:textId="31127EB9" w:rsidR="00B46674" w:rsidRPr="004C0BFE" w:rsidRDefault="00B46674" w:rsidP="00395FF3">
            <w:pPr>
              <w:pStyle w:val="ALJBodyText"/>
              <w:spacing w:after="120" w:line="240" w:lineRule="auto"/>
              <w:ind w:firstLine="0"/>
              <w:rPr>
                <w:sz w:val="22"/>
                <w:szCs w:val="22"/>
              </w:rPr>
            </w:pPr>
            <w:r w:rsidRPr="004C0BFE">
              <w:rPr>
                <w:sz w:val="22"/>
                <w:szCs w:val="22"/>
              </w:rPr>
              <w:t xml:space="preserve">Actual Retained </w:t>
            </w:r>
          </w:p>
          <w:p w14:paraId="33B183D2" w14:textId="4B0D6CE4" w:rsidR="00B46674" w:rsidRPr="003F737D" w:rsidRDefault="00B46674" w:rsidP="00395FF3">
            <w:pPr>
              <w:pStyle w:val="ALJBodyText"/>
              <w:spacing w:after="120" w:line="240" w:lineRule="auto"/>
              <w:ind w:firstLine="0"/>
              <w:rPr>
                <w:sz w:val="22"/>
                <w:szCs w:val="22"/>
              </w:rPr>
            </w:pPr>
          </w:p>
        </w:tc>
        <w:tc>
          <w:tcPr>
            <w:tcW w:w="3117" w:type="dxa"/>
          </w:tcPr>
          <w:p w14:paraId="3C1ACDDB" w14:textId="61F74467" w:rsidR="00B46674" w:rsidRPr="003F737D" w:rsidRDefault="00EF3FFC" w:rsidP="00395FF3">
            <w:pPr>
              <w:pStyle w:val="ALJBodyText"/>
              <w:spacing w:after="120" w:line="240" w:lineRule="auto"/>
              <w:ind w:firstLine="0"/>
              <w:rPr>
                <w:sz w:val="22"/>
                <w:szCs w:val="22"/>
              </w:rPr>
            </w:pPr>
            <w:r w:rsidRPr="004C0BFE">
              <w:rPr>
                <w:sz w:val="22"/>
                <w:szCs w:val="22"/>
              </w:rPr>
              <w:t xml:space="preserve">Applicable </w:t>
            </w:r>
            <w:r w:rsidR="00B46674" w:rsidRPr="004C0BFE">
              <w:rPr>
                <w:sz w:val="22"/>
                <w:szCs w:val="22"/>
              </w:rPr>
              <w:t>Final RA Adder, as calculated by Staff</w:t>
            </w:r>
          </w:p>
        </w:tc>
        <w:tc>
          <w:tcPr>
            <w:tcW w:w="3117" w:type="dxa"/>
          </w:tcPr>
          <w:p w14:paraId="6B5817BB" w14:textId="66082049" w:rsidR="00B46674" w:rsidRPr="003F737D" w:rsidRDefault="00B46674" w:rsidP="00395FF3">
            <w:pPr>
              <w:pStyle w:val="ALJBodyText"/>
              <w:spacing w:after="120" w:line="240" w:lineRule="auto"/>
              <w:ind w:firstLine="0"/>
              <w:rPr>
                <w:sz w:val="22"/>
                <w:szCs w:val="22"/>
              </w:rPr>
            </w:pPr>
            <w:r w:rsidRPr="004C0BFE">
              <w:rPr>
                <w:sz w:val="22"/>
                <w:szCs w:val="22"/>
              </w:rPr>
              <w:t>RA used for compliance and the amount</w:t>
            </w:r>
            <w:r w:rsidR="00EF3FFC" w:rsidRPr="004C0BFE">
              <w:rPr>
                <w:sz w:val="22"/>
                <w:szCs w:val="22"/>
              </w:rPr>
              <w:t>s</w:t>
            </w:r>
            <w:r w:rsidRPr="004C0BFE">
              <w:rPr>
                <w:sz w:val="22"/>
                <w:szCs w:val="22"/>
              </w:rPr>
              <w:t xml:space="preserve"> retained for IOU use</w:t>
            </w:r>
          </w:p>
        </w:tc>
      </w:tr>
      <w:tr w:rsidR="00B46674" w14:paraId="3BED7379" w14:textId="77777777" w:rsidTr="00395FF3">
        <w:trPr>
          <w:jc w:val="center"/>
        </w:trPr>
        <w:tc>
          <w:tcPr>
            <w:tcW w:w="3116" w:type="dxa"/>
          </w:tcPr>
          <w:p w14:paraId="0A868784" w14:textId="77777777" w:rsidR="00B46674" w:rsidRPr="004C0BFE" w:rsidRDefault="00B46674" w:rsidP="00395FF3">
            <w:pPr>
              <w:pStyle w:val="ALJBodyText"/>
              <w:spacing w:after="120" w:line="240" w:lineRule="auto"/>
              <w:ind w:firstLine="0"/>
              <w:rPr>
                <w:sz w:val="22"/>
                <w:szCs w:val="22"/>
              </w:rPr>
            </w:pPr>
            <w:r w:rsidRPr="004C0BFE">
              <w:rPr>
                <w:sz w:val="22"/>
                <w:szCs w:val="22"/>
              </w:rPr>
              <w:t>Actual Sold RA</w:t>
            </w:r>
          </w:p>
          <w:p w14:paraId="66098F32" w14:textId="5F97579C" w:rsidR="00B46674" w:rsidRPr="003F737D" w:rsidRDefault="00B46674" w:rsidP="00395FF3">
            <w:pPr>
              <w:pStyle w:val="ALJBodyText"/>
              <w:spacing w:after="120" w:line="240" w:lineRule="auto"/>
              <w:ind w:firstLine="0"/>
              <w:rPr>
                <w:sz w:val="22"/>
                <w:szCs w:val="22"/>
              </w:rPr>
            </w:pPr>
          </w:p>
        </w:tc>
        <w:tc>
          <w:tcPr>
            <w:tcW w:w="3117" w:type="dxa"/>
          </w:tcPr>
          <w:p w14:paraId="17C74C81" w14:textId="1E4F41EF" w:rsidR="00B46674" w:rsidRPr="003F737D" w:rsidRDefault="00EF3FFC" w:rsidP="00395FF3">
            <w:pPr>
              <w:pStyle w:val="ALJBodyText"/>
              <w:spacing w:after="120" w:line="240" w:lineRule="auto"/>
              <w:ind w:firstLine="0"/>
              <w:rPr>
                <w:sz w:val="22"/>
                <w:szCs w:val="22"/>
              </w:rPr>
            </w:pPr>
            <w:r w:rsidRPr="004C0BFE">
              <w:rPr>
                <w:sz w:val="22"/>
                <w:szCs w:val="22"/>
              </w:rPr>
              <w:t>Applicable a</w:t>
            </w:r>
            <w:r w:rsidR="00B46674" w:rsidRPr="004C0BFE">
              <w:rPr>
                <w:sz w:val="22"/>
                <w:szCs w:val="22"/>
              </w:rPr>
              <w:t>ctual transacted price</w:t>
            </w:r>
            <w:r w:rsidRPr="004C0BFE">
              <w:rPr>
                <w:sz w:val="22"/>
                <w:szCs w:val="22"/>
              </w:rPr>
              <w:t>s</w:t>
            </w:r>
            <w:r w:rsidR="00B46674" w:rsidRPr="004C0BFE">
              <w:rPr>
                <w:sz w:val="22"/>
                <w:szCs w:val="22"/>
              </w:rPr>
              <w:t xml:space="preserve"> </w:t>
            </w:r>
          </w:p>
        </w:tc>
        <w:tc>
          <w:tcPr>
            <w:tcW w:w="3117" w:type="dxa"/>
          </w:tcPr>
          <w:p w14:paraId="53CEB473" w14:textId="3EDBD396" w:rsidR="00B46674" w:rsidRPr="003F737D" w:rsidRDefault="00EF3FFC" w:rsidP="00395FF3">
            <w:pPr>
              <w:pStyle w:val="ALJBodyText"/>
              <w:spacing w:after="120" w:line="240" w:lineRule="auto"/>
              <w:ind w:firstLine="0"/>
              <w:rPr>
                <w:sz w:val="22"/>
                <w:szCs w:val="22"/>
              </w:rPr>
            </w:pPr>
            <w:r w:rsidRPr="004C0BFE">
              <w:rPr>
                <w:sz w:val="22"/>
                <w:szCs w:val="22"/>
              </w:rPr>
              <w:t>Applicable a</w:t>
            </w:r>
            <w:r w:rsidR="00B46674" w:rsidRPr="004C0BFE">
              <w:rPr>
                <w:sz w:val="22"/>
                <w:szCs w:val="22"/>
              </w:rPr>
              <w:t>ctual transacted volume</w:t>
            </w:r>
          </w:p>
        </w:tc>
      </w:tr>
      <w:tr w:rsidR="00B46674" w:rsidRPr="004C0BFE" w14:paraId="132B07D8" w14:textId="77777777" w:rsidTr="00395FF3">
        <w:trPr>
          <w:jc w:val="center"/>
        </w:trPr>
        <w:tc>
          <w:tcPr>
            <w:tcW w:w="3116" w:type="dxa"/>
          </w:tcPr>
          <w:p w14:paraId="1F73BEAD" w14:textId="77777777" w:rsidR="00B46674" w:rsidRPr="004C0BFE" w:rsidRDefault="00B46674" w:rsidP="00395FF3">
            <w:pPr>
              <w:pStyle w:val="ALJBodyText"/>
              <w:spacing w:after="120" w:line="240" w:lineRule="auto"/>
              <w:ind w:firstLine="0"/>
              <w:rPr>
                <w:sz w:val="22"/>
                <w:szCs w:val="22"/>
              </w:rPr>
            </w:pPr>
            <w:r w:rsidRPr="004C0BFE">
              <w:rPr>
                <w:sz w:val="22"/>
                <w:szCs w:val="22"/>
              </w:rPr>
              <w:t>Actual Unsold RA</w:t>
            </w:r>
          </w:p>
          <w:p w14:paraId="3666C4E5" w14:textId="43EF0BB3" w:rsidR="00B46674" w:rsidRPr="003F737D" w:rsidRDefault="00B46674" w:rsidP="00395FF3">
            <w:pPr>
              <w:pStyle w:val="ALJBodyText"/>
              <w:spacing w:after="120" w:line="240" w:lineRule="auto"/>
              <w:ind w:firstLine="0"/>
              <w:rPr>
                <w:sz w:val="22"/>
                <w:szCs w:val="22"/>
              </w:rPr>
            </w:pPr>
          </w:p>
        </w:tc>
        <w:tc>
          <w:tcPr>
            <w:tcW w:w="3117" w:type="dxa"/>
          </w:tcPr>
          <w:p w14:paraId="542825F3" w14:textId="5A4623D3" w:rsidR="00B46674" w:rsidRPr="003F737D" w:rsidRDefault="00B46674" w:rsidP="00395FF3">
            <w:pPr>
              <w:pStyle w:val="ALJBodyText"/>
              <w:spacing w:after="120" w:line="240" w:lineRule="auto"/>
              <w:ind w:firstLine="0"/>
              <w:rPr>
                <w:sz w:val="22"/>
                <w:szCs w:val="22"/>
              </w:rPr>
            </w:pPr>
            <w:r w:rsidRPr="004C0BFE">
              <w:rPr>
                <w:sz w:val="22"/>
                <w:szCs w:val="22"/>
              </w:rPr>
              <w:t>$0</w:t>
            </w:r>
          </w:p>
        </w:tc>
        <w:tc>
          <w:tcPr>
            <w:tcW w:w="3117" w:type="dxa"/>
          </w:tcPr>
          <w:p w14:paraId="192DF55F" w14:textId="48FF3BE2" w:rsidR="00B46674" w:rsidRPr="004C0BFE" w:rsidRDefault="00B46674" w:rsidP="00395FF3">
            <w:pPr>
              <w:pStyle w:val="ALJBodyText"/>
              <w:spacing w:after="120" w:line="240" w:lineRule="auto"/>
              <w:ind w:firstLine="0"/>
              <w:rPr>
                <w:sz w:val="22"/>
                <w:szCs w:val="22"/>
              </w:rPr>
            </w:pPr>
            <w:r w:rsidRPr="004C0BFE">
              <w:rPr>
                <w:sz w:val="22"/>
                <w:szCs w:val="22"/>
              </w:rPr>
              <w:t>Quantity offered for sale but not sold or used by IOU</w:t>
            </w:r>
          </w:p>
        </w:tc>
      </w:tr>
    </w:tbl>
    <w:p w14:paraId="74125116" w14:textId="0CEE60FF" w:rsidR="00B46674" w:rsidRPr="004C0BFE" w:rsidRDefault="00B46674" w:rsidP="0072662C"/>
    <w:p w14:paraId="07C7B5B4" w14:textId="2B3F9ECF" w:rsidR="0072662C" w:rsidRPr="004C0BFE" w:rsidRDefault="0072662C" w:rsidP="0072662C">
      <w:pPr>
        <w:jc w:val="center"/>
        <w:rPr>
          <w:b/>
          <w:bCs/>
        </w:rPr>
      </w:pPr>
      <w:r w:rsidRPr="004C0BFE">
        <w:rPr>
          <w:b/>
          <w:bCs/>
        </w:rPr>
        <w:t>(END OF ATTACHMENT B)</w:t>
      </w:r>
    </w:p>
    <w:p w14:paraId="42BC318F" w14:textId="48C603EE" w:rsidR="00941CDB" w:rsidRPr="004C0BFE" w:rsidRDefault="00941CDB" w:rsidP="00941CDB"/>
    <w:p w14:paraId="6F919827" w14:textId="3F86F014" w:rsidR="00941CDB" w:rsidRPr="004C0BFE" w:rsidRDefault="00941CDB" w:rsidP="00941CDB"/>
    <w:p w14:paraId="7D6CBE0F" w14:textId="77777777" w:rsidR="00941CDB" w:rsidRPr="004C0BFE" w:rsidRDefault="00941CDB" w:rsidP="00941CDB">
      <w:pPr>
        <w:jc w:val="center"/>
      </w:pPr>
    </w:p>
    <w:sectPr w:rsidR="00941CDB" w:rsidRPr="004C0BFE" w:rsidSect="00662FE5">
      <w:headerReference w:type="first" r:id="rId25"/>
      <w:footerReference w:type="first" r:id="rId26"/>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0F21FC" w14:textId="77777777" w:rsidR="00AD5B9C" w:rsidRDefault="00AD5B9C" w:rsidP="0098138E">
      <w:pPr>
        <w:spacing w:line="240" w:lineRule="auto"/>
      </w:pPr>
      <w:r>
        <w:separator/>
      </w:r>
    </w:p>
  </w:endnote>
  <w:endnote w:type="continuationSeparator" w:id="0">
    <w:p w14:paraId="290482E1" w14:textId="77777777" w:rsidR="00AD5B9C" w:rsidRDefault="00AD5B9C" w:rsidP="009813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D774C" w14:textId="301A6CBD" w:rsidR="00264334" w:rsidRPr="004C0BFE" w:rsidRDefault="00EB164C" w:rsidP="007E0FEE">
    <w:pPr>
      <w:tabs>
        <w:tab w:val="center" w:pos="4680"/>
      </w:tabs>
      <w:ind w:firstLine="0"/>
      <w:rPr>
        <w:noProof/>
      </w:rPr>
    </w:pPr>
    <w:sdt>
      <w:sdtPr>
        <w:id w:val="1823697604"/>
        <w:docPartObj>
          <w:docPartGallery w:val="Page Numbers (Bottom of Page)"/>
          <w:docPartUnique/>
        </w:docPartObj>
      </w:sdtPr>
      <w:sdtEndPr>
        <w:rPr>
          <w:noProof/>
        </w:rPr>
      </w:sdtEndPr>
      <w:sdtContent>
        <w:r w:rsidR="00305D47">
          <w:rPr>
            <w:rFonts w:ascii="Tahoma" w:hAnsi="Tahoma" w:cs="Tahoma"/>
            <w:sz w:val="17"/>
            <w:szCs w:val="17"/>
          </w:rPr>
          <w:t>318167258</w:t>
        </w:r>
        <w:r w:rsidR="00264334">
          <w:rPr>
            <w:rFonts w:ascii="Arial" w:hAnsi="Arial" w:cs="Arial"/>
            <w:sz w:val="16"/>
            <w:szCs w:val="16"/>
          </w:rPr>
          <w:tab/>
        </w:r>
        <w:r w:rsidR="00264334" w:rsidRPr="004C0BFE">
          <w:t xml:space="preserve">- </w:t>
        </w:r>
        <w:r w:rsidR="00264334" w:rsidRPr="004C0BFE">
          <w:fldChar w:fldCharType="begin"/>
        </w:r>
        <w:r w:rsidR="00264334" w:rsidRPr="004C0BFE">
          <w:instrText xml:space="preserve"> PAGE   \* MERGEFORMAT </w:instrText>
        </w:r>
        <w:r w:rsidR="00264334" w:rsidRPr="004C0BFE">
          <w:fldChar w:fldCharType="separate"/>
        </w:r>
        <w:r>
          <w:rPr>
            <w:noProof/>
          </w:rPr>
          <w:t>1</w:t>
        </w:r>
        <w:r w:rsidR="00264334" w:rsidRPr="004C0BFE">
          <w:rPr>
            <w:noProof/>
          </w:rPr>
          <w:fldChar w:fldCharType="end"/>
        </w:r>
      </w:sdtContent>
    </w:sdt>
    <w:r w:rsidR="00264334" w:rsidRPr="004C0BFE">
      <w:rPr>
        <w:noProof/>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A2EC7" w14:textId="77777777" w:rsidR="00264334" w:rsidRPr="004C0BFE" w:rsidRDefault="00264334" w:rsidP="007E0FEE">
    <w:pPr>
      <w:ind w:firstLine="0"/>
      <w:jc w:val="center"/>
    </w:pPr>
    <w:r w:rsidRPr="004C0BFE">
      <w:t xml:space="preserve">- </w:t>
    </w:r>
    <w:sdt>
      <w:sdtPr>
        <w:id w:val="1793169647"/>
        <w:docPartObj>
          <w:docPartGallery w:val="Page Numbers (Bottom of Page)"/>
          <w:docPartUnique/>
        </w:docPartObj>
      </w:sdtPr>
      <w:sdtEndPr>
        <w:rPr>
          <w:noProof/>
        </w:rPr>
      </w:sdtEndPr>
      <w:sdtContent>
        <w:r w:rsidRPr="004C0BFE">
          <w:fldChar w:fldCharType="begin"/>
        </w:r>
        <w:r w:rsidRPr="004C0BFE">
          <w:instrText xml:space="preserve"> PAGE   \* MERGEFORMAT </w:instrText>
        </w:r>
        <w:r w:rsidRPr="004C0BFE">
          <w:fldChar w:fldCharType="separate"/>
        </w:r>
        <w:r w:rsidR="00EB164C">
          <w:rPr>
            <w:noProof/>
          </w:rPr>
          <w:t>ii</w:t>
        </w:r>
        <w:r w:rsidRPr="004C0BFE">
          <w:rPr>
            <w:noProof/>
          </w:rPr>
          <w:fldChar w:fldCharType="end"/>
        </w:r>
        <w:r w:rsidRPr="004C0BFE">
          <w:rPr>
            <w:noProof/>
          </w:rPr>
          <w:t xml:space="preserve"> -</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73431" w14:textId="77777777" w:rsidR="00264334" w:rsidRPr="004C0BFE" w:rsidRDefault="00264334" w:rsidP="007E0FEE">
    <w:pPr>
      <w:ind w:firstLine="0"/>
      <w:jc w:val="center"/>
    </w:pPr>
    <w:r w:rsidRPr="004C0BFE">
      <w:t>-</w:t>
    </w:r>
    <w:sdt>
      <w:sdtPr>
        <w:id w:val="-1034043401"/>
        <w:docPartObj>
          <w:docPartGallery w:val="Page Numbers (Bottom of Page)"/>
          <w:docPartUnique/>
        </w:docPartObj>
      </w:sdtPr>
      <w:sdtEndPr>
        <w:rPr>
          <w:noProof/>
        </w:rPr>
      </w:sdtEndPr>
      <w:sdtContent>
        <w:r w:rsidRPr="004C0BFE">
          <w:t xml:space="preserve"> </w:t>
        </w:r>
        <w:r w:rsidRPr="004C0BFE">
          <w:fldChar w:fldCharType="begin"/>
        </w:r>
        <w:r w:rsidRPr="004C0BFE">
          <w:instrText xml:space="preserve"> PAGE   \* MERGEFORMAT </w:instrText>
        </w:r>
        <w:r w:rsidRPr="004C0BFE">
          <w:fldChar w:fldCharType="separate"/>
        </w:r>
        <w:r w:rsidR="00EB164C">
          <w:rPr>
            <w:noProof/>
          </w:rPr>
          <w:t>57</w:t>
        </w:r>
        <w:r w:rsidRPr="004C0BFE">
          <w:rPr>
            <w:noProof/>
          </w:rPr>
          <w:fldChar w:fldCharType="end"/>
        </w:r>
        <w:r w:rsidRPr="004C0BFE">
          <w:rPr>
            <w:noProof/>
          </w:rPr>
          <w:t xml:space="preserve"> -</w:t>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AF59A" w14:textId="77777777" w:rsidR="00264334" w:rsidRPr="004C0BFE" w:rsidRDefault="00EB164C" w:rsidP="007E0FEE">
    <w:pPr>
      <w:ind w:firstLine="0"/>
      <w:jc w:val="center"/>
    </w:pPr>
    <w:sdt>
      <w:sdtPr>
        <w:id w:val="2103290103"/>
        <w:docPartObj>
          <w:docPartGallery w:val="Page Numbers (Bottom of Page)"/>
          <w:docPartUnique/>
        </w:docPartObj>
      </w:sdtPr>
      <w:sdtEndPr>
        <w:rPr>
          <w:noProof/>
        </w:rPr>
      </w:sdtEndP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9F923" w14:textId="7D577B34" w:rsidR="00264334" w:rsidRPr="004C0BFE" w:rsidRDefault="00264334" w:rsidP="00662FE5">
    <w:pPr>
      <w:pStyle w:val="Footer"/>
      <w:jc w:val="center"/>
    </w:pPr>
    <w:r w:rsidRPr="004C0BFE">
      <w:fldChar w:fldCharType="begin"/>
    </w:r>
    <w:r w:rsidRPr="004C0BFE">
      <w:instrText xml:space="preserve"> PAGE   \* MERGEFORMAT </w:instrText>
    </w:r>
    <w:r w:rsidRPr="004C0BFE">
      <w:fldChar w:fldCharType="separate"/>
    </w:r>
    <w:r w:rsidR="00EB164C">
      <w:rPr>
        <w:noProof/>
      </w:rPr>
      <w:t>2</w:t>
    </w:r>
    <w:r w:rsidRPr="004C0BFE">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618AA" w14:textId="1FA33210" w:rsidR="00264334" w:rsidRPr="004C0BFE" w:rsidRDefault="00264334" w:rsidP="00662FE5">
    <w:pPr>
      <w:pStyle w:val="Footer"/>
      <w:jc w:val="center"/>
    </w:pPr>
    <w:r w:rsidRPr="004C0BFE">
      <w:fldChar w:fldCharType="begin"/>
    </w:r>
    <w:r w:rsidRPr="004C0BFE">
      <w:instrText xml:space="preserve"> PAGE   \* MERGEFORMAT </w:instrText>
    </w:r>
    <w:r w:rsidRPr="004C0BFE">
      <w:fldChar w:fldCharType="separate"/>
    </w:r>
    <w:r w:rsidR="00EB164C">
      <w:rPr>
        <w:noProof/>
      </w:rPr>
      <w:t>1</w:t>
    </w:r>
    <w:r w:rsidRPr="004C0BFE">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3C303" w14:textId="00493A36" w:rsidR="00264334" w:rsidRPr="004C0BFE" w:rsidRDefault="00264334" w:rsidP="00662FE5">
    <w:pPr>
      <w:pStyle w:val="Footer"/>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01267" w14:textId="77777777" w:rsidR="00264334" w:rsidRPr="004C0BFE" w:rsidRDefault="00264334" w:rsidP="00662FE5">
    <w:pPr>
      <w:pStyle w:val="Footer"/>
      <w:jc w:val="center"/>
    </w:pPr>
    <w:r w:rsidRPr="004C0BFE">
      <w:fldChar w:fldCharType="begin"/>
    </w:r>
    <w:r w:rsidRPr="004C0BFE">
      <w:instrText xml:space="preserve"> PAGE   \* MERGEFORMAT </w:instrText>
    </w:r>
    <w:r w:rsidRPr="004C0BFE">
      <w:fldChar w:fldCharType="separate"/>
    </w:r>
    <w:r w:rsidR="00EB164C">
      <w:rPr>
        <w:noProof/>
      </w:rPr>
      <w:t>1</w:t>
    </w:r>
    <w:r w:rsidRPr="004C0BF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F7C4B7" w14:textId="77777777" w:rsidR="00AD5B9C" w:rsidRDefault="00AD5B9C" w:rsidP="00DF58E7">
      <w:pPr>
        <w:spacing w:line="240" w:lineRule="auto"/>
        <w:ind w:firstLine="0"/>
      </w:pPr>
      <w:r>
        <w:separator/>
      </w:r>
    </w:p>
  </w:footnote>
  <w:footnote w:type="continuationSeparator" w:id="0">
    <w:p w14:paraId="3283ABA7" w14:textId="77777777" w:rsidR="00AD5B9C" w:rsidRDefault="00AD5B9C" w:rsidP="00DF58E7">
      <w:pPr>
        <w:spacing w:line="240" w:lineRule="auto"/>
        <w:ind w:firstLine="0"/>
      </w:pPr>
      <w:r>
        <w:continuationSeparator/>
      </w:r>
    </w:p>
  </w:footnote>
  <w:footnote w:type="continuationNotice" w:id="1">
    <w:p w14:paraId="07CC120B" w14:textId="77777777" w:rsidR="00AD5B9C" w:rsidRPr="00DF58E7" w:rsidRDefault="00AD5B9C" w:rsidP="00DF58E7">
      <w:pPr>
        <w:spacing w:line="240" w:lineRule="auto"/>
        <w:ind w:firstLine="0"/>
        <w:jc w:val="right"/>
        <w:rPr>
          <w:i/>
          <w:sz w:val="22"/>
        </w:rPr>
      </w:pPr>
    </w:p>
  </w:footnote>
  <w:footnote w:id="2">
    <w:p w14:paraId="2483714C" w14:textId="77777777" w:rsidR="00264334" w:rsidRPr="004C0BFE" w:rsidRDefault="00264334" w:rsidP="00844D9B">
      <w:pPr>
        <w:pStyle w:val="FootnoteText"/>
      </w:pPr>
      <w:r w:rsidRPr="004C0BFE">
        <w:rPr>
          <w:rStyle w:val="FootnoteReference"/>
        </w:rPr>
        <w:footnoteRef/>
      </w:r>
      <w:r w:rsidRPr="004C0BFE">
        <w:t xml:space="preserve"> D.18-10-019 at 117. </w:t>
      </w:r>
    </w:p>
  </w:footnote>
  <w:footnote w:id="3">
    <w:p w14:paraId="619E4281" w14:textId="125EC6F4" w:rsidR="00264334" w:rsidRPr="004C0BFE" w:rsidRDefault="00264334" w:rsidP="00844D9B">
      <w:pPr>
        <w:pStyle w:val="FootnoteText"/>
      </w:pPr>
      <w:r w:rsidRPr="004C0BFE">
        <w:rPr>
          <w:rStyle w:val="FootnoteReference"/>
        </w:rPr>
        <w:footnoteRef/>
      </w:r>
      <w:r w:rsidRPr="004C0BFE">
        <w:t xml:space="preserve"> ERRA proceedings are used to determine fuel and purchased power costs which can be recovered in rates.  Annual ERRA Forecast proceeding  adopts a forecast of the utility’s electric procurement cost revenue requirement and electricity sales for the coming year; whereas annual ERRA Compliance proceeding reviews the utility’s compliance in the preceding year regarding energy resource contract administration, administration of utility-owned generation, least-cost dispatch, fuel procurement, and the ERRA balancing account.</w:t>
      </w:r>
    </w:p>
  </w:footnote>
  <w:footnote w:id="4">
    <w:p w14:paraId="0F6A3D29" w14:textId="77777777" w:rsidR="00264334" w:rsidRPr="004C0BFE" w:rsidRDefault="00264334" w:rsidP="00844D9B">
      <w:pPr>
        <w:pStyle w:val="FootnoteText"/>
      </w:pPr>
      <w:r w:rsidRPr="004C0BFE">
        <w:rPr>
          <w:rStyle w:val="FootnoteReference"/>
        </w:rPr>
        <w:footnoteRef/>
      </w:r>
      <w:r w:rsidRPr="004C0BFE">
        <w:t xml:space="preserve"> California Community Choice Association represents the interests of 18 community choice electricity providers in California: Apple Valley Choice Energy, Clean Power SF, Clean Power Alliance, East Bay Community Energy, Lancaster Choice Energy, Marin Clean Energy, Monterey Bay Community Power, Peninsula Clean Energy, Pioneer Community Energy, Pico Rivera Innovative Municipal Energy, Rancho Mirage Energy Authority, Redwood Coast Energy Authority, San Jacinto Power, San Jose Clean Energy, Silicon Valley Clean Energy, Solana Energy Alliance, Sonoma Clean Power, and Valley Clean Energy.</w:t>
      </w:r>
    </w:p>
  </w:footnote>
  <w:footnote w:id="5">
    <w:p w14:paraId="7D607615" w14:textId="77777777" w:rsidR="00264334" w:rsidRPr="004C0BFE" w:rsidRDefault="00264334" w:rsidP="00EE3748">
      <w:pPr>
        <w:pStyle w:val="FootnoteText"/>
        <w:spacing w:after="0"/>
      </w:pPr>
      <w:r w:rsidRPr="004C0BFE">
        <w:rPr>
          <w:rStyle w:val="FootnoteReference"/>
        </w:rPr>
        <w:footnoteRef/>
      </w:r>
      <w:r w:rsidRPr="004C0BFE">
        <w:t xml:space="preserve"> The issue of attaching to the final report comments served by the parties, as opposed to filing comments on the final report, was discussed at the prehearing conference held on </w:t>
      </w:r>
    </w:p>
    <w:p w14:paraId="1322120B" w14:textId="77777777" w:rsidR="00264334" w:rsidRPr="004C0BFE" w:rsidRDefault="00264334" w:rsidP="00EE3748">
      <w:pPr>
        <w:pStyle w:val="FootnoteText"/>
        <w:spacing w:after="0"/>
      </w:pPr>
      <w:r w:rsidRPr="004C0BFE">
        <w:t xml:space="preserve">December 19, 2018 and parties present at the prehearing conference did not object to it.  </w:t>
      </w:r>
    </w:p>
    <w:p w14:paraId="79B90FC1" w14:textId="67CABD0A" w:rsidR="00264334" w:rsidRPr="004C0BFE" w:rsidRDefault="00264334" w:rsidP="00EE3748">
      <w:pPr>
        <w:pStyle w:val="FootnoteText"/>
        <w:spacing w:after="0"/>
      </w:pPr>
      <w:r w:rsidRPr="004C0BFE">
        <w:t>(</w:t>
      </w:r>
      <w:r w:rsidRPr="004C0BFE">
        <w:rPr>
          <w:i/>
          <w:iCs/>
        </w:rPr>
        <w:t>See</w:t>
      </w:r>
      <w:r w:rsidRPr="004C0BFE">
        <w:t xml:space="preserve"> Reporter’s Transcript at 173.)</w:t>
      </w:r>
    </w:p>
  </w:footnote>
  <w:footnote w:id="6">
    <w:p w14:paraId="4B9E525A" w14:textId="77777777" w:rsidR="00264334" w:rsidRPr="004C0BFE" w:rsidRDefault="00264334" w:rsidP="00844D9B">
      <w:pPr>
        <w:pStyle w:val="FootnoteText"/>
      </w:pPr>
      <w:r w:rsidRPr="004C0BFE">
        <w:rPr>
          <w:rStyle w:val="FootnoteReference"/>
        </w:rPr>
        <w:footnoteRef/>
      </w:r>
      <w:r w:rsidRPr="004C0BFE">
        <w:t xml:space="preserve"> The</w:t>
      </w:r>
      <w:r w:rsidRPr="004C0BFE">
        <w:rPr>
          <w:i/>
          <w:iCs/>
        </w:rPr>
        <w:t xml:space="preserve"> July 9, 2019 ALJ Ruling Modifying Proceeding Schedule</w:t>
      </w:r>
      <w:r w:rsidRPr="004C0BFE">
        <w:t xml:space="preserve"> allowed for additional comments and reply comments on the July Report.</w:t>
      </w:r>
    </w:p>
  </w:footnote>
  <w:footnote w:id="7">
    <w:p w14:paraId="3099CB72" w14:textId="08454162" w:rsidR="00264334" w:rsidRPr="004C0BFE" w:rsidRDefault="00264334">
      <w:pPr>
        <w:pStyle w:val="FootnoteText"/>
      </w:pPr>
      <w:r w:rsidRPr="004C0BFE">
        <w:rPr>
          <w:rStyle w:val="FootnoteReference"/>
        </w:rPr>
        <w:footnoteRef/>
      </w:r>
      <w:r w:rsidRPr="004C0BFE">
        <w:t xml:space="preserve"> RPS-eligible energy represents the resources in a utility portfolio that qualify to satisfy the utility’s RPS obligations.</w:t>
      </w:r>
    </w:p>
  </w:footnote>
  <w:footnote w:id="8">
    <w:p w14:paraId="13CA2EA0" w14:textId="77777777" w:rsidR="00264334" w:rsidRPr="004C0BFE" w:rsidRDefault="00264334" w:rsidP="00844D9B">
      <w:pPr>
        <w:pStyle w:val="FootnoteText"/>
      </w:pPr>
      <w:r w:rsidRPr="004C0BFE">
        <w:rPr>
          <w:rStyle w:val="FootnoteReference"/>
        </w:rPr>
        <w:footnoteRef/>
      </w:r>
      <w:r w:rsidRPr="004C0BFE">
        <w:t xml:space="preserve"> D.08-09-012 at Conclusion of Law 15.</w:t>
      </w:r>
    </w:p>
  </w:footnote>
  <w:footnote w:id="9">
    <w:p w14:paraId="4E6B6121" w14:textId="77777777" w:rsidR="00264334" w:rsidRPr="004C0BFE" w:rsidRDefault="00264334" w:rsidP="00844D9B">
      <w:pPr>
        <w:pStyle w:val="FootnoteText"/>
      </w:pPr>
      <w:r w:rsidRPr="004C0BFE">
        <w:rPr>
          <w:rStyle w:val="FootnoteReference"/>
        </w:rPr>
        <w:footnoteRef/>
      </w:r>
      <w:r w:rsidRPr="004C0BFE">
        <w:t xml:space="preserve"> Based on Table 1a and 1b of the May Report. </w:t>
      </w:r>
    </w:p>
  </w:footnote>
  <w:footnote w:id="10">
    <w:p w14:paraId="087A00E3" w14:textId="77777777" w:rsidR="00264334" w:rsidRPr="004C0BFE" w:rsidRDefault="00264334" w:rsidP="00844D9B">
      <w:pPr>
        <w:pStyle w:val="FootnoteText"/>
      </w:pPr>
      <w:r w:rsidRPr="004C0BFE">
        <w:rPr>
          <w:rStyle w:val="FootnoteReference"/>
        </w:rPr>
        <w:footnoteRef/>
      </w:r>
      <w:r w:rsidRPr="004C0BFE">
        <w:t xml:space="preserve"> D.18-10-019 at 73.</w:t>
      </w:r>
    </w:p>
  </w:footnote>
  <w:footnote w:id="11">
    <w:p w14:paraId="4B80CC65" w14:textId="13315907" w:rsidR="00264334" w:rsidRPr="004C0BFE" w:rsidRDefault="00264334" w:rsidP="00844D9B">
      <w:pPr>
        <w:pStyle w:val="FootnoteText"/>
      </w:pPr>
      <w:r w:rsidRPr="004C0BFE">
        <w:rPr>
          <w:rStyle w:val="FootnoteReference"/>
        </w:rPr>
        <w:footnoteRef/>
      </w:r>
      <w:r w:rsidRPr="004C0BFE">
        <w:t xml:space="preserve"> D.18-10-019 at Findings of Fact 3. </w:t>
      </w:r>
    </w:p>
  </w:footnote>
  <w:footnote w:id="12">
    <w:p w14:paraId="272E26EB" w14:textId="77777777" w:rsidR="00264334" w:rsidRPr="004C0BFE" w:rsidRDefault="00264334" w:rsidP="00844D9B">
      <w:pPr>
        <w:pStyle w:val="FootnoteText"/>
      </w:pPr>
      <w:r w:rsidRPr="004C0BFE">
        <w:rPr>
          <w:rStyle w:val="FootnoteReference"/>
        </w:rPr>
        <w:footnoteRef/>
      </w:r>
      <w:r w:rsidRPr="004C0BFE">
        <w:t xml:space="preserve"> Public Utilities Code Section 399.13(b) provides the following:</w:t>
      </w:r>
    </w:p>
    <w:p w14:paraId="3097D240" w14:textId="77777777" w:rsidR="00264334" w:rsidRPr="004C0BFE" w:rsidRDefault="00264334" w:rsidP="00844D9B">
      <w:pPr>
        <w:pStyle w:val="FootnoteText"/>
      </w:pPr>
      <w:r w:rsidRPr="004C0BFE">
        <w:t>A retail seller may enter into a combination of long- and short-term contracts for electricity and associated renewable energy credits. Beginning January 1, 2021, at least 65 percent of the procurement a retail seller counts toward the renewables portfolio standard requirement of each compliance period shall be from its contracts of 10 years or more in duration or in its ownership or ownership agreements for eligible renewable energy resources.</w:t>
      </w:r>
    </w:p>
  </w:footnote>
  <w:footnote w:id="13">
    <w:p w14:paraId="2BC9572A" w14:textId="1DC8631A" w:rsidR="00264334" w:rsidRPr="004C0BFE" w:rsidRDefault="00264334">
      <w:pPr>
        <w:pStyle w:val="FootnoteText"/>
      </w:pPr>
      <w:r w:rsidRPr="004C0BFE">
        <w:rPr>
          <w:rStyle w:val="FootnoteReference"/>
        </w:rPr>
        <w:footnoteRef/>
      </w:r>
      <w:r w:rsidRPr="004C0BFE">
        <w:t xml:space="preserve"> Public Utilities Code Section 701.</w:t>
      </w:r>
    </w:p>
  </w:footnote>
  <w:footnote w:id="14">
    <w:p w14:paraId="4B69A2A9" w14:textId="77777777" w:rsidR="00264334" w:rsidRPr="004C0BFE" w:rsidRDefault="00264334" w:rsidP="00844D9B">
      <w:pPr>
        <w:pStyle w:val="FootnoteText"/>
      </w:pPr>
      <w:r w:rsidRPr="004C0BFE">
        <w:rPr>
          <w:rStyle w:val="FootnoteReference"/>
        </w:rPr>
        <w:footnoteRef/>
      </w:r>
      <w:r w:rsidRPr="004C0BFE">
        <w:t xml:space="preserve"> D.18-10-019 at Findings of Fact 4. </w:t>
      </w:r>
    </w:p>
  </w:footnote>
  <w:footnote w:id="15">
    <w:p w14:paraId="2E921D30" w14:textId="3D8E5B94" w:rsidR="00264334" w:rsidRPr="004C0BFE" w:rsidRDefault="00264334" w:rsidP="00844D9B">
      <w:pPr>
        <w:pStyle w:val="FootnoteText"/>
      </w:pPr>
      <w:r w:rsidRPr="004C0BFE">
        <w:rPr>
          <w:rStyle w:val="FootnoteReference"/>
        </w:rPr>
        <w:footnoteRef/>
      </w:r>
      <w:r w:rsidRPr="004C0BFE">
        <w:t xml:space="preserve"> D.18-10-019 at Findings of Fact 5. </w:t>
      </w:r>
    </w:p>
  </w:footnote>
  <w:footnote w:id="16">
    <w:p w14:paraId="6F746AFB" w14:textId="1242BBAD" w:rsidR="00264334" w:rsidRPr="004C0BFE" w:rsidRDefault="00264334">
      <w:pPr>
        <w:pStyle w:val="FootnoteText"/>
      </w:pPr>
      <w:r w:rsidRPr="004C0BFE">
        <w:rPr>
          <w:rStyle w:val="FootnoteReference"/>
        </w:rPr>
        <w:footnoteRef/>
      </w:r>
      <w:r w:rsidRPr="004C0BFE">
        <w:t xml:space="preserve"> CAISO Tariff 43A.</w:t>
      </w:r>
    </w:p>
  </w:footnote>
  <w:footnote w:id="17">
    <w:p w14:paraId="36769494" w14:textId="4BA7E45A" w:rsidR="00264334" w:rsidRPr="004C0BFE" w:rsidRDefault="00264334" w:rsidP="00844D9B">
      <w:pPr>
        <w:pStyle w:val="FootnoteText"/>
      </w:pPr>
      <w:r w:rsidRPr="004C0BFE">
        <w:rPr>
          <w:rStyle w:val="FootnoteReference"/>
        </w:rPr>
        <w:footnoteRef/>
      </w:r>
      <w:r w:rsidRPr="004C0BFE">
        <w:t xml:space="preserve"> Commercial Energy, Informal Comments, April 2, 2019, at 2 (May Report Exhibit E)</w:t>
      </w:r>
      <w:r>
        <w:t>.</w:t>
      </w:r>
    </w:p>
  </w:footnote>
  <w:footnote w:id="18">
    <w:p w14:paraId="7E2EB8F2" w14:textId="77777777" w:rsidR="00264334" w:rsidRPr="004C0BFE" w:rsidRDefault="00264334" w:rsidP="00844D9B">
      <w:pPr>
        <w:pStyle w:val="FootnoteText"/>
      </w:pPr>
      <w:r w:rsidRPr="004C0BFE">
        <w:rPr>
          <w:rStyle w:val="FootnoteReference"/>
        </w:rPr>
        <w:footnoteRef/>
      </w:r>
      <w:r w:rsidRPr="004C0BFE">
        <w:t xml:space="preserve"> AReM/DACC, Informal Comments, March 8, 2019; CLECA, Informal Comments, March 8, 2019 (May Report Exhibit F). </w:t>
      </w:r>
    </w:p>
  </w:footnote>
  <w:footnote w:id="19">
    <w:p w14:paraId="617A0B2E" w14:textId="02F02E82" w:rsidR="00264334" w:rsidRPr="004C0BFE" w:rsidRDefault="00264334" w:rsidP="00844D9B">
      <w:pPr>
        <w:pStyle w:val="FootnoteText"/>
      </w:pPr>
      <w:r w:rsidRPr="004C0BFE">
        <w:rPr>
          <w:rStyle w:val="FootnoteReference"/>
        </w:rPr>
        <w:footnoteRef/>
      </w:r>
      <w:r w:rsidRPr="004C0BFE">
        <w:t xml:space="preserve"> Shell Energy, Informal Comments, April 2, 2019, at 1 (May Report Exhibit E)</w:t>
      </w:r>
      <w:r>
        <w:t>.</w:t>
      </w:r>
    </w:p>
  </w:footnote>
  <w:footnote w:id="20">
    <w:p w14:paraId="220BD9E0" w14:textId="77777777" w:rsidR="00264334" w:rsidRPr="004C0BFE" w:rsidRDefault="00264334" w:rsidP="00844D9B">
      <w:pPr>
        <w:pStyle w:val="FootnoteText"/>
      </w:pPr>
      <w:r w:rsidRPr="004C0BFE">
        <w:rPr>
          <w:rStyle w:val="FootnoteReference"/>
        </w:rPr>
        <w:footnoteRef/>
      </w:r>
      <w:r w:rsidRPr="004C0BFE">
        <w:t xml:space="preserve"> D.06-06-066 was modified by D.07-05-032 and D.08-04-023.</w:t>
      </w:r>
    </w:p>
  </w:footnote>
  <w:footnote w:id="21">
    <w:p w14:paraId="3BB22B03" w14:textId="77777777" w:rsidR="00264334" w:rsidRPr="004C0BFE" w:rsidRDefault="00264334" w:rsidP="00844D9B">
      <w:pPr>
        <w:pStyle w:val="FootnoteText"/>
      </w:pPr>
      <w:r w:rsidRPr="004C0BFE">
        <w:rPr>
          <w:rStyle w:val="FootnoteReference"/>
        </w:rPr>
        <w:footnoteRef/>
      </w:r>
      <w:r w:rsidRPr="004C0BFE">
        <w:t xml:space="preserve"> D.06-06-006 at Ordering Paragraph 11 states: “Intervenor groups that are non-market participants shall not be precluded from access to any ESP or IOU data as long as they agree to a protective order or confidentiality agreement where there is a need to protect the data.” </w:t>
      </w:r>
    </w:p>
    <w:p w14:paraId="3D28D441" w14:textId="77777777" w:rsidR="00264334" w:rsidRPr="004C0BFE" w:rsidRDefault="00264334" w:rsidP="00844D9B">
      <w:pPr>
        <w:pStyle w:val="FootnoteText"/>
      </w:pPr>
      <w:bookmarkStart w:id="42" w:name="_Hlk15552365"/>
      <w:r w:rsidRPr="004C0BFE">
        <w:t xml:space="preserve">Public Utilities Code Section 454.5(g) </w:t>
      </w:r>
      <w:bookmarkEnd w:id="42"/>
      <w:r w:rsidRPr="004C0BFE">
        <w:t>provides:  “The commission shall adopt appropriate procedures to ensure the confidentiality of any market sensitive information submitted in an electrical corporation’s proposed procurement plan or resulting from or related to its approved procurement plan, including, but not limited to, proposed or executed power purchase agreements, data request responses, or consultant reports, or any combination, provided that the Public Advocate’s Office of the Public Utilities Commission and other consumer groups that are nonmarket participants shall be provided access to this information under confidentiality procedures authorized by the commission.”</w:t>
      </w:r>
    </w:p>
  </w:footnote>
  <w:footnote w:id="22">
    <w:p w14:paraId="626383FF" w14:textId="77777777" w:rsidR="00264334" w:rsidRPr="004C0BFE" w:rsidRDefault="00264334" w:rsidP="00844D9B">
      <w:pPr>
        <w:pStyle w:val="FootnoteText"/>
      </w:pPr>
      <w:r w:rsidRPr="004C0BFE">
        <w:rPr>
          <w:rStyle w:val="FootnoteReference"/>
        </w:rPr>
        <w:footnoteRef/>
      </w:r>
      <w:r w:rsidRPr="004C0BFE">
        <w:t xml:space="preserve"> D.08-04-023 at OP 1:</w:t>
      </w:r>
    </w:p>
    <w:p w14:paraId="1ECBCB4B" w14:textId="77777777" w:rsidR="00264334" w:rsidRPr="004C0BFE" w:rsidRDefault="00264334" w:rsidP="00844D9B">
      <w:pPr>
        <w:pStyle w:val="FootnoteText"/>
      </w:pPr>
      <w:r w:rsidRPr="004C0BFE">
        <w:t>“With this decision, we adopt a model protective order and non-disclosure agreement (Model), attached to this decision as Appendix A, for use with confidential documents governed by this proceeding.  Parties to other proceedings, and in industries other than the electric sector, may find the Model useful as well, although we will not obligate them to use it.  Parties to the Resource Adequacy (RA), Procurement, Renewables Portfolio Standard (RPS) and offshoot or successor proceedings shall use the Model.  These proceedings bear the following docket numbers:  Rulemaking (R.) 08-01-025, R.05-12-013 and R.04-04-003 (RA); R.06-02-013 (Procurement); and R.06-05-027, R.06-02-012, and R.04-04-026 (RPS).”</w:t>
      </w:r>
    </w:p>
  </w:footnote>
  <w:footnote w:id="23">
    <w:p w14:paraId="58D77AE2" w14:textId="32F0F8C7" w:rsidR="00264334" w:rsidRDefault="00264334">
      <w:pPr>
        <w:pStyle w:val="FootnoteText"/>
      </w:pPr>
      <w:r>
        <w:rPr>
          <w:rStyle w:val="FootnoteReference"/>
        </w:rPr>
        <w:footnoteRef/>
      </w:r>
      <w:r>
        <w:t xml:space="preserve"> The co-chairs disagree on the valuation of unsold RPS, but they agree that the general principles apply to RECs generated commencing January 1, 2019 and going forward.</w:t>
      </w:r>
    </w:p>
  </w:footnote>
  <w:footnote w:id="24">
    <w:p w14:paraId="04E40252" w14:textId="16177A6E" w:rsidR="00264334" w:rsidRDefault="00264334">
      <w:pPr>
        <w:pStyle w:val="FootnoteText"/>
      </w:pPr>
      <w:r>
        <w:rPr>
          <w:rStyle w:val="FootnoteReference"/>
        </w:rPr>
        <w:footnoteRef/>
      </w:r>
      <w:r>
        <w:t xml:space="preserve"> This pro rata allocation is on a total PCIA-eligible portfolio basis and will be calculated by the total product positions, by vintages, as included in the pending or authorized annual ERRA forecast.</w:t>
      </w:r>
    </w:p>
  </w:footnote>
  <w:footnote w:id="25">
    <w:p w14:paraId="0B42C72E" w14:textId="77777777" w:rsidR="00264334" w:rsidRPr="004C0BFE" w:rsidRDefault="00264334" w:rsidP="00844D9B">
      <w:pPr>
        <w:pStyle w:val="FootnoteText"/>
      </w:pPr>
      <w:r w:rsidRPr="004C0BFE">
        <w:rPr>
          <w:rStyle w:val="FootnoteReference"/>
        </w:rPr>
        <w:footnoteRef/>
      </w:r>
      <w:r w:rsidRPr="004C0BFE">
        <w:t xml:space="preserve"> In D.04-12-048 and D.07-12-052, the Commission directed the IOUs to use an independent evaluator to monitor competitive solicitations that involved affiliate transactions and long-term transactions. </w:t>
      </w:r>
    </w:p>
  </w:footnote>
  <w:footnote w:id="26">
    <w:p w14:paraId="1BDFD567" w14:textId="77777777" w:rsidR="00264334" w:rsidRPr="004C0BFE" w:rsidRDefault="00264334" w:rsidP="00844D9B">
      <w:pPr>
        <w:pStyle w:val="FootnoteText"/>
      </w:pPr>
      <w:r w:rsidRPr="004C0BFE">
        <w:rPr>
          <w:rStyle w:val="FootnoteReference"/>
        </w:rPr>
        <w:footnoteRef/>
      </w:r>
      <w:r w:rsidRPr="004C0BFE">
        <w:t xml:space="preserve"> In D.02-08-071, the Commission required each utility to establish a Commission-authorized Procurement Review Group in order to ensure that interim procurement contracts entered into by the utilities are subject to sufficient and expedited review. </w:t>
      </w:r>
    </w:p>
  </w:footnote>
  <w:footnote w:id="27">
    <w:p w14:paraId="750A91E7" w14:textId="43F9FAF2" w:rsidR="00264334" w:rsidRPr="004C0BFE" w:rsidRDefault="00264334" w:rsidP="00844D9B">
      <w:pPr>
        <w:pStyle w:val="FootnoteText"/>
      </w:pPr>
      <w:r w:rsidRPr="004C0BFE">
        <w:rPr>
          <w:rStyle w:val="FootnoteReference"/>
        </w:rPr>
        <w:footnoteRef/>
      </w:r>
      <w:r w:rsidRPr="004C0BFE">
        <w:t xml:space="preserve"> D.18-10-019 Findings of Fact 16. </w:t>
      </w:r>
    </w:p>
  </w:footnote>
  <w:footnote w:id="28">
    <w:p w14:paraId="318C41AE" w14:textId="1A5B1732" w:rsidR="00264334" w:rsidRPr="004C0BFE" w:rsidRDefault="00264334" w:rsidP="00844D9B">
      <w:pPr>
        <w:pStyle w:val="FootnoteText"/>
      </w:pPr>
      <w:r w:rsidRPr="004C0BFE">
        <w:rPr>
          <w:rStyle w:val="FootnoteReference"/>
        </w:rPr>
        <w:footnoteRef/>
      </w:r>
      <w:r w:rsidRPr="004C0BFE">
        <w:t xml:space="preserve"> D.18-10-019 at Findings of Fact 15.</w:t>
      </w:r>
    </w:p>
  </w:footnote>
  <w:footnote w:id="29">
    <w:p w14:paraId="6CC0864D" w14:textId="0C15968A" w:rsidR="00264334" w:rsidRPr="004C0BFE" w:rsidRDefault="00264334" w:rsidP="00844D9B">
      <w:pPr>
        <w:pStyle w:val="FootnoteText"/>
      </w:pPr>
      <w:r w:rsidRPr="004C0BFE">
        <w:rPr>
          <w:rStyle w:val="FootnoteReference"/>
        </w:rPr>
        <w:footnoteRef/>
      </w:r>
      <w:r w:rsidRPr="004C0BFE">
        <w:t xml:space="preserve"> D.18-10-019 at Ordering Paragraph 1. </w:t>
      </w:r>
    </w:p>
  </w:footnote>
  <w:footnote w:id="30">
    <w:p w14:paraId="30ED2CDD" w14:textId="77777777" w:rsidR="00264334" w:rsidRPr="004C0BFE" w:rsidRDefault="00264334" w:rsidP="00844D9B">
      <w:pPr>
        <w:pStyle w:val="FootnoteText"/>
      </w:pPr>
      <w:r w:rsidRPr="004C0BFE">
        <w:rPr>
          <w:rStyle w:val="FootnoteReference"/>
        </w:rPr>
        <w:footnoteRef/>
      </w:r>
      <w:r w:rsidRPr="004C0BFE">
        <w:t xml:space="preserve"> The Commission currently requires each IOU to submit a Quarterly Compliance Report via the Commission’s advice letter process within 30 days of the end of every calendar quarter, in order for Commission Staff to review the IOU’s procurement transactions for compliance with the Commission-approved procurement plans.</w:t>
      </w:r>
    </w:p>
  </w:footnote>
  <w:footnote w:id="31">
    <w:p w14:paraId="23C31434" w14:textId="1F5875FE" w:rsidR="00264334" w:rsidRPr="004C0BFE" w:rsidRDefault="00264334">
      <w:pPr>
        <w:pStyle w:val="FootnoteText"/>
      </w:pPr>
      <w:r w:rsidRPr="004C0BFE">
        <w:rPr>
          <w:rStyle w:val="FootnoteReference"/>
        </w:rPr>
        <w:footnoteRef/>
      </w:r>
      <w:r w:rsidRPr="004C0BFE">
        <w:t xml:space="preserve"> Joint IOUs, Informal Comments, May 29, 2019, at 4-5. (May Report Exhibit E)</w:t>
      </w:r>
    </w:p>
  </w:footnote>
  <w:footnote w:id="32">
    <w:p w14:paraId="15DEDB8D" w14:textId="77777777" w:rsidR="00264334" w:rsidRPr="004C0BFE" w:rsidRDefault="00264334" w:rsidP="00844D9B">
      <w:pPr>
        <w:pStyle w:val="FootnoteText"/>
      </w:pPr>
      <w:r w:rsidRPr="004C0BFE">
        <w:rPr>
          <w:rStyle w:val="FootnoteReference"/>
        </w:rPr>
        <w:footnoteRef/>
      </w:r>
      <w:r w:rsidRPr="004C0BFE">
        <w:t xml:space="preserve"> The July Report at E-16.</w:t>
      </w:r>
    </w:p>
  </w:footnote>
  <w:footnote w:id="33">
    <w:p w14:paraId="21996BB8" w14:textId="77777777" w:rsidR="00264334" w:rsidRPr="004C0BFE" w:rsidRDefault="00264334" w:rsidP="00844D9B">
      <w:pPr>
        <w:pStyle w:val="FootnoteText"/>
      </w:pPr>
      <w:r w:rsidRPr="004C0BFE">
        <w:rPr>
          <w:rStyle w:val="FootnoteReference"/>
        </w:rPr>
        <w:footnoteRef/>
      </w:r>
      <w:r w:rsidRPr="004C0BFE">
        <w:t xml:space="preserve"> Because D.18-10-019 was silent on billing determinant modifications, SCE and PG&amp;E were directed to continue to use system-level billing determinants in their PCIA forecast for the 2019 ERRA forecast proceedings. </w:t>
      </w:r>
    </w:p>
  </w:footnote>
  <w:footnote w:id="34">
    <w:p w14:paraId="7B519F44" w14:textId="7C5594DA" w:rsidR="00264334" w:rsidRDefault="00264334">
      <w:pPr>
        <w:pStyle w:val="FootnoteText"/>
      </w:pPr>
      <w:r>
        <w:rPr>
          <w:rStyle w:val="FootnoteReference"/>
        </w:rPr>
        <w:footnoteRef/>
      </w:r>
      <w:r>
        <w:t xml:space="preserve"> The amount of RA retained for IOU use is the amount of RA not offered for sale or forecasted to be offered for sale.</w:t>
      </w:r>
    </w:p>
  </w:footnote>
  <w:footnote w:id="35">
    <w:p w14:paraId="5B53BB3B" w14:textId="3E72D7E6" w:rsidR="00264334" w:rsidRDefault="00264334" w:rsidP="00791CCE">
      <w:pPr>
        <w:pStyle w:val="FootnoteText"/>
      </w:pPr>
      <w:r>
        <w:rPr>
          <w:rStyle w:val="FootnoteReference"/>
        </w:rPr>
        <w:footnoteRef/>
      </w:r>
      <w:r>
        <w:t xml:space="preserve"> If the forecasted volume is equal to the prior year’s unsold RA capacity plus or minus a value corresponding to forecasted change in departing load, then the volume will be accepted in the ERRA forecast without further review. The calculation of the amount corresponding to the change in departing load is the product of the year-over-year difference in IOU load share and the system RA requirement for each month. Volumes outside of range may be subject to reasonableness review in the ERRA Forecast proceeding.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45992" w14:textId="21198BB5" w:rsidR="00264334" w:rsidRPr="004C0BFE" w:rsidRDefault="00264334" w:rsidP="00EE4315">
    <w:pPr>
      <w:pStyle w:val="Header"/>
      <w:tabs>
        <w:tab w:val="clear" w:pos="4680"/>
      </w:tabs>
      <w:ind w:firstLine="0"/>
      <w:rPr>
        <w:b/>
      </w:rPr>
    </w:pPr>
    <w:r w:rsidRPr="004C0BFE">
      <w:t>R.17-06-026  ALJ/NIL/mph</w:t>
    </w:r>
    <w:r w:rsidRPr="004C0BFE">
      <w:tab/>
    </w:r>
  </w:p>
  <w:p w14:paraId="40DF70A3" w14:textId="56F0E8AB" w:rsidR="00264334" w:rsidRPr="004C0BFE" w:rsidRDefault="00264334" w:rsidP="00EE4315">
    <w:pPr>
      <w:pStyle w:val="Header"/>
      <w:tabs>
        <w:tab w:val="clear" w:pos="4680"/>
      </w:tabs>
      <w:ind w:firstLine="0"/>
      <w:rPr>
        <w:b/>
      </w:rPr>
    </w:pPr>
  </w:p>
  <w:p w14:paraId="731ABE96" w14:textId="77777777" w:rsidR="00264334" w:rsidRPr="004C0BFE" w:rsidRDefault="00264334" w:rsidP="00EE4315">
    <w:pPr>
      <w:pStyle w:val="Header"/>
      <w:tabs>
        <w:tab w:val="clear" w:pos="4680"/>
      </w:tabs>
      <w:ind w:firstLine="0"/>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07FD3" w14:textId="745ABBC0" w:rsidR="00264334" w:rsidRPr="004C0BFE" w:rsidRDefault="00264334" w:rsidP="00EE4315">
    <w:pPr>
      <w:pStyle w:val="Header"/>
      <w:tabs>
        <w:tab w:val="clear" w:pos="4680"/>
      </w:tabs>
      <w:ind w:firstLine="0"/>
      <w:rPr>
        <w:b/>
      </w:rPr>
    </w:pPr>
    <w:r w:rsidRPr="004C0BFE">
      <w:t>R.17-06-026  ALJ/NIL/mph</w:t>
    </w:r>
    <w:r w:rsidRPr="004C0BFE">
      <w:tab/>
    </w:r>
  </w:p>
  <w:p w14:paraId="7D435EAB" w14:textId="1C93BC5C" w:rsidR="00264334" w:rsidRPr="004C0BFE" w:rsidRDefault="00264334" w:rsidP="00EE4315">
    <w:pPr>
      <w:pStyle w:val="Header"/>
      <w:tabs>
        <w:tab w:val="clear" w:pos="4680"/>
      </w:tabs>
      <w:ind w:firstLine="0"/>
      <w:rPr>
        <w:b/>
      </w:rPr>
    </w:pPr>
  </w:p>
  <w:p w14:paraId="6AADE12C" w14:textId="77777777" w:rsidR="00264334" w:rsidRPr="004C0BFE" w:rsidRDefault="00264334" w:rsidP="00EE4315">
    <w:pPr>
      <w:pStyle w:val="Header"/>
      <w:tabs>
        <w:tab w:val="clear" w:pos="4680"/>
      </w:tabs>
      <w:ind w:firstLine="0"/>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46CC9" w14:textId="69620034" w:rsidR="00264334" w:rsidRPr="004C0BFE" w:rsidRDefault="00264334" w:rsidP="00EE4315">
    <w:pPr>
      <w:pStyle w:val="Header"/>
      <w:tabs>
        <w:tab w:val="clear" w:pos="4680"/>
      </w:tabs>
      <w:ind w:firstLine="0"/>
    </w:pPr>
    <w:r w:rsidRPr="004C0BFE">
      <w:t>R.17-06-026  ALJ/NIL/mph</w:t>
    </w:r>
  </w:p>
  <w:p w14:paraId="6FAEA999" w14:textId="1AAD4334" w:rsidR="00264334" w:rsidRPr="004C0BFE" w:rsidRDefault="00264334" w:rsidP="00EE4315">
    <w:pPr>
      <w:pStyle w:val="Header"/>
      <w:tabs>
        <w:tab w:val="clear" w:pos="4680"/>
      </w:tabs>
      <w:ind w:firstLine="0"/>
    </w:pPr>
  </w:p>
  <w:p w14:paraId="03F7D5AC" w14:textId="77777777" w:rsidR="00264334" w:rsidRPr="004C0BFE" w:rsidRDefault="00264334" w:rsidP="00EE4315">
    <w:pPr>
      <w:pStyle w:val="Header"/>
      <w:tabs>
        <w:tab w:val="clear" w:pos="4680"/>
      </w:tabs>
      <w:ind w:firstLine="0"/>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E823D" w14:textId="77777777" w:rsidR="00264334" w:rsidRPr="004C0BFE" w:rsidRDefault="00264334" w:rsidP="00662FE5">
    <w:pPr>
      <w:pStyle w:val="Header"/>
      <w:ind w:firstLine="0"/>
    </w:pPr>
    <w:r w:rsidRPr="004C0BFE">
      <w:t>R.17-06-026  ALJ/NIL/mph</w:t>
    </w:r>
  </w:p>
  <w:p w14:paraId="6E333D13" w14:textId="5B671F46" w:rsidR="00264334" w:rsidRPr="004C0BFE" w:rsidRDefault="00264334">
    <w:pPr>
      <w:pStyle w:val="Header"/>
    </w:pPr>
  </w:p>
  <w:p w14:paraId="1E27945A" w14:textId="77777777" w:rsidR="00264334" w:rsidRPr="004C0BFE" w:rsidRDefault="0026433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6DF17" w14:textId="77777777" w:rsidR="00264334" w:rsidRPr="004C0BFE" w:rsidRDefault="00264334" w:rsidP="004F6D4C">
    <w:pPr>
      <w:pStyle w:val="Header"/>
      <w:ind w:firstLine="0"/>
    </w:pPr>
    <w:r w:rsidRPr="004C0BFE">
      <w:t>R.17-06-026  ALJ/NIL/mph</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B58D7" w14:textId="77777777" w:rsidR="00264334" w:rsidRPr="004C0BFE" w:rsidRDefault="00264334" w:rsidP="004F6D4C">
    <w:pPr>
      <w:pStyle w:val="Header"/>
      <w:ind w:firstLine="0"/>
    </w:pPr>
    <w:r w:rsidRPr="004C0BFE">
      <w:t>R.17-06-026  ALJ/NIL/mph</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19FD1" w14:textId="77777777" w:rsidR="00264334" w:rsidRPr="004C0BFE" w:rsidRDefault="00264334" w:rsidP="004F6D4C">
    <w:pPr>
      <w:pStyle w:val="Header"/>
      <w:ind w:firstLine="0"/>
    </w:pPr>
    <w:r w:rsidRPr="004C0BFE">
      <w:t>R.17-06-026  ALJ/NIL/mph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A1C77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B"/>
    <w:multiLevelType w:val="multilevel"/>
    <w:tmpl w:val="234803AE"/>
    <w:lvl w:ilvl="0">
      <w:start w:val="1"/>
      <w:numFmt w:val="decimal"/>
      <w:lvlText w:val="%1."/>
      <w:legacy w:legacy="1" w:legacySpace="0" w:legacyIndent="720"/>
      <w:lvlJc w:val="left"/>
      <w:pPr>
        <w:ind w:left="720" w:hanging="720"/>
      </w:pPr>
      <w:rPr>
        <w:b/>
      </w:rPr>
    </w:lvl>
    <w:lvl w:ilvl="1">
      <w:start w:val="1"/>
      <w:numFmt w:val="decimal"/>
      <w:lvlText w:val="%1.%2."/>
      <w:legacy w:legacy="1" w:legacySpace="0" w:legacyIndent="720"/>
      <w:lvlJc w:val="left"/>
      <w:pPr>
        <w:ind w:left="1440" w:hanging="720"/>
      </w:pPr>
      <w:rPr>
        <w:b/>
      </w:r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720"/>
      <w:lvlJc w:val="left"/>
      <w:pPr>
        <w:ind w:left="2880" w:hanging="720"/>
      </w:pPr>
    </w:lvl>
    <w:lvl w:ilvl="4">
      <w:start w:val="1"/>
      <w:numFmt w:val="decimal"/>
      <w:lvlText w:val="%1.%2.%3.%4.%5."/>
      <w:legacy w:legacy="1" w:legacySpace="0" w:legacyIndent="720"/>
      <w:lvlJc w:val="left"/>
      <w:pPr>
        <w:ind w:left="4140" w:hanging="720"/>
      </w:pPr>
      <w:rPr>
        <w:rFonts w:ascii="Helvetica" w:hAnsi="Helvetica" w:cs="Times New Roman" w:hint="default"/>
        <w:sz w:val="26"/>
        <w:szCs w:val="26"/>
      </w:rPr>
    </w:lvl>
    <w:lvl w:ilvl="5">
      <w:start w:val="1"/>
      <w:numFmt w:val="decimal"/>
      <w:lvlText w:val="%1.%2.%3.%4.%5.%6."/>
      <w:legacy w:legacy="1" w:legacySpace="0" w:legacyIndent="720"/>
      <w:lvlJc w:val="left"/>
      <w:pPr>
        <w:ind w:left="4320" w:hanging="720"/>
      </w:pPr>
      <w:rPr>
        <w:b/>
        <w:i w:val="0"/>
        <w:sz w:val="26"/>
        <w:szCs w:val="26"/>
      </w:rPr>
    </w:lvl>
    <w:lvl w:ilvl="6">
      <w:start w:val="1"/>
      <w:numFmt w:val="decimal"/>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lvlText w:val="%1.%2.%3.%4.%5.%6.%7.%8.%9."/>
      <w:legacy w:legacy="1" w:legacySpace="0" w:legacyIndent="720"/>
      <w:lvlJc w:val="left"/>
      <w:pPr>
        <w:ind w:left="6480" w:hanging="720"/>
      </w:pPr>
    </w:lvl>
  </w:abstractNum>
  <w:abstractNum w:abstractNumId="2">
    <w:nsid w:val="02B20D65"/>
    <w:multiLevelType w:val="hybridMultilevel"/>
    <w:tmpl w:val="012A20A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nsid w:val="02FA5B07"/>
    <w:multiLevelType w:val="hybridMultilevel"/>
    <w:tmpl w:val="CC4AD1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38A7DEB"/>
    <w:multiLevelType w:val="hybridMultilevel"/>
    <w:tmpl w:val="CCCC33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4BC40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CD44B48"/>
    <w:multiLevelType w:val="hybridMultilevel"/>
    <w:tmpl w:val="88F48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1C15DE2"/>
    <w:multiLevelType w:val="hybridMultilevel"/>
    <w:tmpl w:val="5E9CF918"/>
    <w:lvl w:ilvl="0" w:tplc="8FA0863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6C1C14"/>
    <w:multiLevelType w:val="multilevel"/>
    <w:tmpl w:val="18F4A5AC"/>
    <w:styleLink w:val="FoFCoLOP"/>
    <w:lvl w:ilvl="0">
      <w:start w:val="1"/>
      <w:numFmt w:val="decimal"/>
      <w:pStyle w:val="OP"/>
      <w:lvlText w:val="%1."/>
      <w:lvlJc w:val="right"/>
      <w:pPr>
        <w:ind w:left="0" w:firstLine="540"/>
      </w:pPr>
      <w:rPr>
        <w:rFonts w:hint="default"/>
      </w:rPr>
    </w:lvl>
    <w:lvl w:ilvl="1">
      <w:start w:val="1"/>
      <w:numFmt w:val="lowerLetter"/>
      <w:lvlText w:val="(%2)"/>
      <w:lvlJc w:val="right"/>
      <w:pPr>
        <w:ind w:left="1152" w:hanging="72"/>
      </w:pPr>
      <w:rPr>
        <w:rFonts w:hint="default"/>
      </w:rPr>
    </w:lvl>
    <w:lvl w:ilvl="2">
      <w:start w:val="1"/>
      <w:numFmt w:val="none"/>
      <w:lvlText w:val=""/>
      <w:lvlJc w:val="left"/>
      <w:pPr>
        <w:ind w:left="720" w:firstLine="0"/>
      </w:pPr>
      <w:rPr>
        <w:rFonts w:hint="default"/>
      </w:rPr>
    </w:lvl>
    <w:lvl w:ilvl="3">
      <w:start w:val="1"/>
      <w:numFmt w:val="none"/>
      <w:lvlText w:val=""/>
      <w:lvlJc w:val="left"/>
      <w:pPr>
        <w:ind w:left="720" w:firstLine="0"/>
      </w:pPr>
      <w:rPr>
        <w:rFonts w:hint="default"/>
      </w:rPr>
    </w:lvl>
    <w:lvl w:ilvl="4">
      <w:start w:val="1"/>
      <w:numFmt w:val="none"/>
      <w:lvlText w:val=""/>
      <w:lvlJc w:val="left"/>
      <w:pPr>
        <w:ind w:left="720" w:firstLine="0"/>
      </w:pPr>
      <w:rPr>
        <w:rFonts w:hint="default"/>
      </w:rPr>
    </w:lvl>
    <w:lvl w:ilvl="5">
      <w:start w:val="1"/>
      <w:numFmt w:val="none"/>
      <w:lvlText w:val=""/>
      <w:lvlJc w:val="left"/>
      <w:pPr>
        <w:ind w:left="720" w:firstLine="0"/>
      </w:pPr>
      <w:rPr>
        <w:rFonts w:hint="default"/>
      </w:rPr>
    </w:lvl>
    <w:lvl w:ilvl="6">
      <w:start w:val="1"/>
      <w:numFmt w:val="none"/>
      <w:lvlText w:val=""/>
      <w:lvlJc w:val="left"/>
      <w:pPr>
        <w:ind w:left="720" w:firstLine="0"/>
      </w:pPr>
      <w:rPr>
        <w:rFonts w:hint="default"/>
      </w:rPr>
    </w:lvl>
    <w:lvl w:ilvl="7">
      <w:start w:val="1"/>
      <w:numFmt w:val="none"/>
      <w:lvlText w:val=""/>
      <w:lvlJc w:val="left"/>
      <w:pPr>
        <w:ind w:left="720" w:firstLine="0"/>
      </w:pPr>
      <w:rPr>
        <w:rFonts w:hint="default"/>
      </w:rPr>
    </w:lvl>
    <w:lvl w:ilvl="8">
      <w:start w:val="1"/>
      <w:numFmt w:val="none"/>
      <w:lvlText w:val=""/>
      <w:lvlJc w:val="left"/>
      <w:pPr>
        <w:ind w:left="720" w:firstLine="0"/>
      </w:pPr>
      <w:rPr>
        <w:rFonts w:hint="default"/>
      </w:rPr>
    </w:lvl>
  </w:abstractNum>
  <w:abstractNum w:abstractNumId="9">
    <w:nsid w:val="15F056CB"/>
    <w:multiLevelType w:val="multilevel"/>
    <w:tmpl w:val="18F4A5AC"/>
    <w:numStyleLink w:val="FoFCoLOP"/>
  </w:abstractNum>
  <w:abstractNum w:abstractNumId="10">
    <w:nsid w:val="17F37487"/>
    <w:multiLevelType w:val="hybridMultilevel"/>
    <w:tmpl w:val="6980DE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E2242C9"/>
    <w:multiLevelType w:val="multilevel"/>
    <w:tmpl w:val="81169AF6"/>
    <w:numStyleLink w:val="Headings"/>
  </w:abstractNum>
  <w:abstractNum w:abstractNumId="12">
    <w:nsid w:val="23010D01"/>
    <w:multiLevelType w:val="hybridMultilevel"/>
    <w:tmpl w:val="2BDAB852"/>
    <w:lvl w:ilvl="0" w:tplc="93F80C28">
      <w:start w:val="1"/>
      <w:numFmt w:val="decimal"/>
      <w:pStyle w:val="conclusionoflaw"/>
      <w:lvlText w:val="%1."/>
      <w:lvlJc w:val="lef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3083046"/>
    <w:multiLevelType w:val="hybridMultilevel"/>
    <w:tmpl w:val="6F300B72"/>
    <w:lvl w:ilvl="0" w:tplc="23E469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6B81247"/>
    <w:multiLevelType w:val="hybridMultilevel"/>
    <w:tmpl w:val="C5E6A1A2"/>
    <w:lvl w:ilvl="0" w:tplc="D8B88EA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729799D"/>
    <w:multiLevelType w:val="hybridMultilevel"/>
    <w:tmpl w:val="950698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FB28E2"/>
    <w:multiLevelType w:val="hybridMultilevel"/>
    <w:tmpl w:val="5142A606"/>
    <w:lvl w:ilvl="0" w:tplc="23E46998">
      <w:start w:val="1"/>
      <w:numFmt w:val="decimal"/>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32604A56"/>
    <w:multiLevelType w:val="hybridMultilevel"/>
    <w:tmpl w:val="5FE082EE"/>
    <w:lvl w:ilvl="0" w:tplc="4628B9D4">
      <w:start w:val="1"/>
      <w:numFmt w:val="decimal"/>
      <w:pStyle w:val="ListParagraph"/>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31F6D42"/>
    <w:multiLevelType w:val="multilevel"/>
    <w:tmpl w:val="81169AF6"/>
    <w:styleLink w:val="Headings"/>
    <w:lvl w:ilvl="0">
      <w:start w:val="1"/>
      <w:numFmt w:val="decimal"/>
      <w:pStyle w:val="Heading1"/>
      <w:lvlText w:val="%1."/>
      <w:lvlJc w:val="left"/>
      <w:pPr>
        <w:ind w:left="360" w:hanging="36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pStyle w:val="Heading2"/>
      <w:lvlText w:val="%1.%2."/>
      <w:lvlJc w:val="left"/>
      <w:pPr>
        <w:tabs>
          <w:tab w:val="num" w:pos="720"/>
        </w:tabs>
        <w:ind w:left="1368" w:hanging="648"/>
      </w:pPr>
      <w:rPr>
        <w:rFonts w:ascii="Arial" w:hAnsi="Arial" w:hint="default"/>
        <w:b/>
        <w:i w:val="0"/>
        <w:caps w:val="0"/>
        <w:strike w:val="0"/>
        <w:dstrike w:val="0"/>
        <w:vanish w:val="0"/>
        <w:color w:val="auto"/>
        <w:kern w:val="0"/>
        <w:sz w:val="26"/>
        <w:u w:val="none"/>
        <w:vertAlign w:val="baseline"/>
        <w14:cntxtAlts w14:val="0"/>
      </w:rPr>
    </w:lvl>
    <w:lvl w:ilvl="2">
      <w:start w:val="1"/>
      <w:numFmt w:val="decimal"/>
      <w:pStyle w:val="Heading3"/>
      <w:lvlText w:val="%1.%2.%3."/>
      <w:lvlJc w:val="left"/>
      <w:pPr>
        <w:tabs>
          <w:tab w:val="num" w:pos="1440"/>
        </w:tabs>
        <w:ind w:left="2304" w:hanging="864"/>
      </w:pPr>
      <w:rPr>
        <w:rFonts w:ascii="Arial" w:hAnsi="Arial" w:hint="default"/>
        <w:b/>
        <w:i w:val="0"/>
        <w:caps w:val="0"/>
        <w:strike w:val="0"/>
        <w:dstrike w:val="0"/>
        <w:vanish w:val="0"/>
        <w:color w:val="auto"/>
        <w:kern w:val="0"/>
        <w:sz w:val="26"/>
        <w:u w:val="none"/>
        <w:vertAlign w:val="baseline"/>
        <w14:cntxtAlts w14:val="0"/>
      </w:rPr>
    </w:lvl>
    <w:lvl w:ilvl="3">
      <w:start w:val="1"/>
      <w:numFmt w:val="decimal"/>
      <w:pStyle w:val="Heading4"/>
      <w:lvlText w:val="%1.%2.%3.%4."/>
      <w:lvlJc w:val="left"/>
      <w:pPr>
        <w:tabs>
          <w:tab w:val="num" w:pos="2160"/>
        </w:tabs>
        <w:ind w:left="3240" w:hanging="1080"/>
      </w:pPr>
      <w:rPr>
        <w:rFonts w:ascii="Arial" w:hAnsi="Arial" w:hint="default"/>
        <w:b/>
        <w:i w:val="0"/>
        <w:caps w:val="0"/>
        <w:strike w:val="0"/>
        <w:dstrike w:val="0"/>
        <w:vanish w:val="0"/>
        <w:kern w:val="0"/>
        <w:sz w:val="26"/>
        <w:vertAlign w:val="baseline"/>
        <w14:cntxtAlts w14:val="0"/>
      </w:rPr>
    </w:lvl>
    <w:lvl w:ilvl="4">
      <w:start w:val="1"/>
      <w:numFmt w:val="decimal"/>
      <w:pStyle w:val="Heading5"/>
      <w:lvlText w:val="%1.%2.%3.%4.%5."/>
      <w:lvlJc w:val="left"/>
      <w:pPr>
        <w:tabs>
          <w:tab w:val="num" w:pos="2880"/>
        </w:tabs>
        <w:ind w:left="4176" w:hanging="1296"/>
      </w:pPr>
      <w:rPr>
        <w:rFonts w:ascii="Arial" w:hAnsi="Arial" w:hint="default"/>
        <w:b/>
        <w:i w:val="0"/>
        <w:sz w:val="26"/>
      </w:rPr>
    </w:lvl>
    <w:lvl w:ilvl="5">
      <w:start w:val="1"/>
      <w:numFmt w:val="decimal"/>
      <w:pStyle w:val="Heading6"/>
      <w:lvlText w:val="%1.%2.%3.%4.%5.%6."/>
      <w:lvlJc w:val="left"/>
      <w:pPr>
        <w:tabs>
          <w:tab w:val="num" w:pos="3600"/>
        </w:tabs>
        <w:ind w:left="5112" w:hanging="1512"/>
      </w:pPr>
      <w:rPr>
        <w:rFonts w:ascii="Arial" w:hAnsi="Arial" w:hint="default"/>
        <w:b/>
        <w:i w:val="0"/>
        <w:sz w:val="26"/>
      </w:rPr>
    </w:lvl>
    <w:lvl w:ilvl="6">
      <w:start w:val="1"/>
      <w:numFmt w:val="decimal"/>
      <w:lvlText w:val="%1.%2.%3.%4.%5.%6.%7."/>
      <w:lvlJc w:val="left"/>
      <w:pPr>
        <w:tabs>
          <w:tab w:val="num" w:pos="4320"/>
        </w:tabs>
        <w:ind w:left="5760" w:hanging="1440"/>
      </w:pPr>
      <w:rPr>
        <w:rFonts w:ascii="Arial" w:hAnsi="Arial" w:hint="default"/>
        <w:b/>
        <w:i w:val="0"/>
        <w:sz w:val="26"/>
      </w:rPr>
    </w:lvl>
    <w:lvl w:ilvl="7">
      <w:start w:val="1"/>
      <w:numFmt w:val="lowerLetter"/>
      <w:pStyle w:val="ListAlpha"/>
      <w:lvlText w:val="%8."/>
      <w:lvlJc w:val="left"/>
      <w:pPr>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19">
    <w:nsid w:val="3640612A"/>
    <w:multiLevelType w:val="hybridMultilevel"/>
    <w:tmpl w:val="F8242C50"/>
    <w:lvl w:ilvl="0" w:tplc="5DE0CA64">
      <w:start w:val="1"/>
      <w:numFmt w:val="decimal"/>
      <w:pStyle w:val="ALJOP"/>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CA25B13"/>
    <w:multiLevelType w:val="hybridMultilevel"/>
    <w:tmpl w:val="026AF068"/>
    <w:lvl w:ilvl="0" w:tplc="B16AD35C">
      <w:numFmt w:val="bullet"/>
      <w:lvlText w:val="-"/>
      <w:lvlJc w:val="left"/>
      <w:pPr>
        <w:ind w:left="720" w:hanging="360"/>
      </w:pPr>
      <w:rPr>
        <w:rFonts w:ascii="Book Antiqua" w:eastAsiaTheme="minorHAnsi"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A714D9"/>
    <w:multiLevelType w:val="hybridMultilevel"/>
    <w:tmpl w:val="5AE690A6"/>
    <w:lvl w:ilvl="0" w:tplc="0A9C552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nsid w:val="417A19A4"/>
    <w:multiLevelType w:val="hybridMultilevel"/>
    <w:tmpl w:val="15FE10E6"/>
    <w:lvl w:ilvl="0" w:tplc="E816221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29D3CD2"/>
    <w:multiLevelType w:val="hybridMultilevel"/>
    <w:tmpl w:val="059CA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7835CE"/>
    <w:multiLevelType w:val="hybridMultilevel"/>
    <w:tmpl w:val="2F70613C"/>
    <w:lvl w:ilvl="0" w:tplc="E38032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A1713CD"/>
    <w:multiLevelType w:val="hybridMultilevel"/>
    <w:tmpl w:val="51348AE2"/>
    <w:lvl w:ilvl="0" w:tplc="67FCC05E">
      <w:start w:val="1"/>
      <w:numFmt w:val="decimal"/>
      <w:pStyle w:val="ALJHeading4"/>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5C575B"/>
    <w:multiLevelType w:val="hybridMultilevel"/>
    <w:tmpl w:val="FA507DB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7">
    <w:nsid w:val="4CF05931"/>
    <w:multiLevelType w:val="hybridMultilevel"/>
    <w:tmpl w:val="8B5CEDFC"/>
    <w:lvl w:ilvl="0" w:tplc="EB106176">
      <w:numFmt w:val="bullet"/>
      <w:lvlText w:val="•"/>
      <w:lvlJc w:val="left"/>
      <w:pPr>
        <w:ind w:left="1440" w:hanging="720"/>
      </w:pPr>
      <w:rPr>
        <w:rFonts w:ascii="Book Antiqua" w:eastAsiaTheme="minorHAnsi" w:hAnsi="Book Antiqu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1AD23B5"/>
    <w:multiLevelType w:val="multilevel"/>
    <w:tmpl w:val="8A1CF38A"/>
    <w:lvl w:ilvl="0">
      <w:start w:val="1"/>
      <w:numFmt w:val="decimal"/>
      <w:pStyle w:val="ALJHeading1"/>
      <w:lvlText w:val="%1."/>
      <w:lvlJc w:val="left"/>
      <w:pPr>
        <w:ind w:left="360" w:hanging="360"/>
      </w:pPr>
    </w:lvl>
    <w:lvl w:ilvl="1">
      <w:start w:val="1"/>
      <w:numFmt w:val="decimal"/>
      <w:pStyle w:val="ALJHeading2"/>
      <w:lvlText w:val="%1.%2."/>
      <w:lvlJc w:val="left"/>
      <w:pPr>
        <w:ind w:left="792" w:hanging="432"/>
      </w:pPr>
    </w:lvl>
    <w:lvl w:ilvl="2">
      <w:start w:val="1"/>
      <w:numFmt w:val="decimal"/>
      <w:pStyle w:val="ALJ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6096737"/>
    <w:multiLevelType w:val="hybridMultilevel"/>
    <w:tmpl w:val="042A1B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7440BFB"/>
    <w:multiLevelType w:val="hybridMultilevel"/>
    <w:tmpl w:val="931E7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7D4A38"/>
    <w:multiLevelType w:val="hybridMultilevel"/>
    <w:tmpl w:val="C2641E1C"/>
    <w:lvl w:ilvl="0" w:tplc="0409000B">
      <w:start w:val="1"/>
      <w:numFmt w:val="bullet"/>
      <w:lvlText w:val=""/>
      <w:lvlJc w:val="left"/>
      <w:pPr>
        <w:ind w:left="1440" w:hanging="360"/>
      </w:pPr>
      <w:rPr>
        <w:rFonts w:ascii="Wingdings" w:hAnsi="Wingdings" w:hint="default"/>
      </w:rPr>
    </w:lvl>
    <w:lvl w:ilvl="1" w:tplc="858841A4">
      <w:numFmt w:val="bullet"/>
      <w:lvlText w:val="•"/>
      <w:lvlJc w:val="left"/>
      <w:pPr>
        <w:ind w:left="2520" w:hanging="720"/>
      </w:pPr>
      <w:rPr>
        <w:rFonts w:ascii="Book Antiqua" w:eastAsiaTheme="minorHAnsi" w:hAnsi="Book Antiqua"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9D042D7"/>
    <w:multiLevelType w:val="multilevel"/>
    <w:tmpl w:val="18F4A5AC"/>
    <w:numStyleLink w:val="FoFCoLOP"/>
  </w:abstractNum>
  <w:abstractNum w:abstractNumId="33">
    <w:nsid w:val="5A193B09"/>
    <w:multiLevelType w:val="hybridMultilevel"/>
    <w:tmpl w:val="EF3C9A7C"/>
    <w:lvl w:ilvl="0" w:tplc="408002C8">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A9E2171"/>
    <w:multiLevelType w:val="multilevel"/>
    <w:tmpl w:val="BD4C7B80"/>
    <w:lvl w:ilvl="0">
      <w:start w:val="1"/>
      <w:numFmt w:val="decimal"/>
      <w:lvlText w:val="%1."/>
      <w:lvlJc w:val="left"/>
      <w:pPr>
        <w:ind w:left="360" w:hanging="36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lvlText w:val="%1.%2."/>
      <w:lvlJc w:val="left"/>
      <w:pPr>
        <w:ind w:left="144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lvlText w:val="%1.%2.%3."/>
      <w:lvlJc w:val="left"/>
      <w:pPr>
        <w:tabs>
          <w:tab w:val="num" w:pos="792"/>
        </w:tabs>
        <w:ind w:left="1440" w:hanging="720"/>
      </w:pPr>
      <w:rPr>
        <w:rFonts w:ascii="Arial" w:hAnsi="Arial" w:hint="default"/>
        <w:b/>
        <w:i w:val="0"/>
        <w:caps w:val="0"/>
        <w:strike w:val="0"/>
        <w:dstrike w:val="0"/>
        <w:vanish w:val="0"/>
        <w:color w:val="auto"/>
        <w:kern w:val="0"/>
        <w:sz w:val="26"/>
        <w:u w:val="none"/>
        <w:vertAlign w:val="baseline"/>
        <w14:cntxtAlts w14:val="0"/>
      </w:rPr>
    </w:lvl>
    <w:lvl w:ilvl="3">
      <w:start w:val="1"/>
      <w:numFmt w:val="decimal"/>
      <w:lvlText w:val="%3.%2.%1.%4."/>
      <w:lvlJc w:val="left"/>
      <w:pPr>
        <w:ind w:left="1440" w:hanging="720"/>
      </w:pPr>
      <w:rPr>
        <w:rFonts w:ascii="Arial" w:hAnsi="Arial" w:hint="default"/>
        <w:b/>
        <w:i w:val="0"/>
        <w:caps w:val="0"/>
        <w:strike w:val="0"/>
        <w:dstrike w:val="0"/>
        <w:vanish w:val="0"/>
        <w:kern w:val="0"/>
        <w:sz w:val="26"/>
        <w:vertAlign w:val="baseline"/>
        <w14:cntxtAlts w14: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682C3D5F"/>
    <w:multiLevelType w:val="hybridMultilevel"/>
    <w:tmpl w:val="C1DA5AC0"/>
    <w:lvl w:ilvl="0" w:tplc="5A60A80E">
      <w:numFmt w:val="bullet"/>
      <w:lvlText w:val="-"/>
      <w:lvlJc w:val="left"/>
      <w:pPr>
        <w:ind w:left="1080" w:hanging="360"/>
      </w:pPr>
      <w:rPr>
        <w:rFonts w:ascii="Book Antiqua" w:eastAsiaTheme="minorHAnsi" w:hAnsi="Book Antiqu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94545E8"/>
    <w:multiLevelType w:val="hybridMultilevel"/>
    <w:tmpl w:val="18641B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A213245"/>
    <w:multiLevelType w:val="hybridMultilevel"/>
    <w:tmpl w:val="5A2812BE"/>
    <w:lvl w:ilvl="0" w:tplc="F59851A4">
      <w:numFmt w:val="bullet"/>
      <w:lvlText w:val="-"/>
      <w:lvlJc w:val="left"/>
      <w:pPr>
        <w:ind w:left="720" w:hanging="360"/>
      </w:pPr>
      <w:rPr>
        <w:rFonts w:ascii="Book Antiqua" w:eastAsiaTheme="minorHAnsi"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2E2CD1"/>
    <w:multiLevelType w:val="hybridMultilevel"/>
    <w:tmpl w:val="A23A2F74"/>
    <w:lvl w:ilvl="0" w:tplc="0409000B">
      <w:start w:val="1"/>
      <w:numFmt w:val="bullet"/>
      <w:lvlText w:val=""/>
      <w:lvlJc w:val="left"/>
      <w:pPr>
        <w:ind w:left="2160" w:hanging="360"/>
      </w:pPr>
      <w:rPr>
        <w:rFonts w:ascii="Wingdings" w:hAnsi="Wingdings" w:hint="default"/>
      </w:rPr>
    </w:lvl>
    <w:lvl w:ilvl="1" w:tplc="0409000B">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6FDF7E1C"/>
    <w:multiLevelType w:val="hybridMultilevel"/>
    <w:tmpl w:val="2F5AD6F8"/>
    <w:lvl w:ilvl="0" w:tplc="721C313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3C655FE"/>
    <w:multiLevelType w:val="hybridMultilevel"/>
    <w:tmpl w:val="70063984"/>
    <w:lvl w:ilvl="0" w:tplc="23E4699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9A0AFE"/>
    <w:multiLevelType w:val="multilevel"/>
    <w:tmpl w:val="18F4A5AC"/>
    <w:numStyleLink w:val="FoFCoLOP"/>
  </w:abstractNum>
  <w:abstractNum w:abstractNumId="42">
    <w:nsid w:val="7AC065FD"/>
    <w:multiLevelType w:val="hybridMultilevel"/>
    <w:tmpl w:val="8B5E0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D0A355B"/>
    <w:multiLevelType w:val="hybridMultilevel"/>
    <w:tmpl w:val="91AE493A"/>
    <w:lvl w:ilvl="0" w:tplc="94A88440">
      <w:start w:val="1"/>
      <w:numFmt w:val="decimal"/>
      <w:pStyle w:val="FindingofFAct"/>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2"/>
  </w:num>
  <w:num w:numId="4">
    <w:abstractNumId w:val="9"/>
  </w:num>
  <w:num w:numId="5">
    <w:abstractNumId w:val="41"/>
  </w:num>
  <w:num w:numId="6">
    <w:abstractNumId w:val="18"/>
  </w:num>
  <w:num w:numId="7">
    <w:abstractNumId w:val="11"/>
  </w:num>
  <w:num w:numId="8">
    <w:abstractNumId w:val="39"/>
  </w:num>
  <w:num w:numId="9">
    <w:abstractNumId w:val="0"/>
  </w:num>
  <w:num w:numId="10">
    <w:abstractNumId w:val="28"/>
  </w:num>
  <w:num w:numId="11">
    <w:abstractNumId w:val="1"/>
  </w:num>
  <w:num w:numId="12">
    <w:abstractNumId w:val="37"/>
  </w:num>
  <w:num w:numId="13">
    <w:abstractNumId w:val="20"/>
  </w:num>
  <w:num w:numId="14">
    <w:abstractNumId w:val="35"/>
  </w:num>
  <w:num w:numId="15">
    <w:abstractNumId w:val="43"/>
  </w:num>
  <w:num w:numId="16">
    <w:abstractNumId w:val="12"/>
  </w:num>
  <w:num w:numId="17">
    <w:abstractNumId w:val="19"/>
  </w:num>
  <w:num w:numId="18">
    <w:abstractNumId w:val="25"/>
  </w:num>
  <w:num w:numId="19">
    <w:abstractNumId w:val="10"/>
  </w:num>
  <w:num w:numId="20">
    <w:abstractNumId w:val="33"/>
  </w:num>
  <w:num w:numId="21">
    <w:abstractNumId w:val="17"/>
  </w:num>
  <w:num w:numId="22">
    <w:abstractNumId w:val="26"/>
  </w:num>
  <w:num w:numId="23">
    <w:abstractNumId w:val="7"/>
  </w:num>
  <w:num w:numId="24">
    <w:abstractNumId w:val="22"/>
  </w:num>
  <w:num w:numId="25">
    <w:abstractNumId w:val="42"/>
  </w:num>
  <w:num w:numId="26">
    <w:abstractNumId w:val="13"/>
  </w:num>
  <w:num w:numId="27">
    <w:abstractNumId w:val="16"/>
  </w:num>
  <w:num w:numId="28">
    <w:abstractNumId w:val="40"/>
  </w:num>
  <w:num w:numId="29">
    <w:abstractNumId w:val="3"/>
  </w:num>
  <w:num w:numId="30">
    <w:abstractNumId w:val="6"/>
  </w:num>
  <w:num w:numId="31">
    <w:abstractNumId w:val="36"/>
  </w:num>
  <w:num w:numId="32">
    <w:abstractNumId w:val="5"/>
  </w:num>
  <w:num w:numId="33">
    <w:abstractNumId w:val="29"/>
  </w:num>
  <w:num w:numId="34">
    <w:abstractNumId w:val="14"/>
  </w:num>
  <w:num w:numId="35">
    <w:abstractNumId w:val="24"/>
  </w:num>
  <w:num w:numId="36">
    <w:abstractNumId w:val="2"/>
  </w:num>
  <w:num w:numId="37">
    <w:abstractNumId w:val="31"/>
  </w:num>
  <w:num w:numId="38">
    <w:abstractNumId w:val="27"/>
  </w:num>
  <w:num w:numId="39">
    <w:abstractNumId w:val="38"/>
  </w:num>
  <w:num w:numId="40">
    <w:abstractNumId w:val="4"/>
  </w:num>
  <w:num w:numId="41">
    <w:abstractNumId w:val="15"/>
  </w:num>
  <w:num w:numId="42">
    <w:abstractNumId w:val="30"/>
  </w:num>
  <w:num w:numId="43">
    <w:abstractNumId w:val="23"/>
  </w:num>
  <w:num w:numId="44">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efaultTabStop w:val="720"/>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D9B"/>
    <w:rsid w:val="00000F6A"/>
    <w:rsid w:val="0000373C"/>
    <w:rsid w:val="00003DC2"/>
    <w:rsid w:val="00004CE0"/>
    <w:rsid w:val="000051F6"/>
    <w:rsid w:val="00016D89"/>
    <w:rsid w:val="00021EEF"/>
    <w:rsid w:val="000230B8"/>
    <w:rsid w:val="00023920"/>
    <w:rsid w:val="00026772"/>
    <w:rsid w:val="00027089"/>
    <w:rsid w:val="000311C3"/>
    <w:rsid w:val="00031401"/>
    <w:rsid w:val="000339C9"/>
    <w:rsid w:val="00034ACD"/>
    <w:rsid w:val="000352D6"/>
    <w:rsid w:val="00037611"/>
    <w:rsid w:val="000425A7"/>
    <w:rsid w:val="00053803"/>
    <w:rsid w:val="000578AF"/>
    <w:rsid w:val="000608DF"/>
    <w:rsid w:val="0006139E"/>
    <w:rsid w:val="00066F20"/>
    <w:rsid w:val="000709FF"/>
    <w:rsid w:val="0007115A"/>
    <w:rsid w:val="00077F66"/>
    <w:rsid w:val="000853DC"/>
    <w:rsid w:val="00085909"/>
    <w:rsid w:val="000949A6"/>
    <w:rsid w:val="000973C8"/>
    <w:rsid w:val="00097F00"/>
    <w:rsid w:val="000A2587"/>
    <w:rsid w:val="000A2AA9"/>
    <w:rsid w:val="000A481C"/>
    <w:rsid w:val="000A56F2"/>
    <w:rsid w:val="000A6E05"/>
    <w:rsid w:val="000B12FA"/>
    <w:rsid w:val="000B48B2"/>
    <w:rsid w:val="000B5812"/>
    <w:rsid w:val="000B6C26"/>
    <w:rsid w:val="000C08BF"/>
    <w:rsid w:val="000C1327"/>
    <w:rsid w:val="000C3B9A"/>
    <w:rsid w:val="000C6C34"/>
    <w:rsid w:val="000D12F0"/>
    <w:rsid w:val="000D25A8"/>
    <w:rsid w:val="000D27BE"/>
    <w:rsid w:val="000D31E8"/>
    <w:rsid w:val="000E0446"/>
    <w:rsid w:val="000E4C53"/>
    <w:rsid w:val="000F7206"/>
    <w:rsid w:val="00104445"/>
    <w:rsid w:val="00106D21"/>
    <w:rsid w:val="0011362B"/>
    <w:rsid w:val="00115238"/>
    <w:rsid w:val="0011685D"/>
    <w:rsid w:val="00116DFB"/>
    <w:rsid w:val="00121089"/>
    <w:rsid w:val="00127275"/>
    <w:rsid w:val="00133ACE"/>
    <w:rsid w:val="00136942"/>
    <w:rsid w:val="0014047B"/>
    <w:rsid w:val="00147A16"/>
    <w:rsid w:val="00151BB6"/>
    <w:rsid w:val="0016074B"/>
    <w:rsid w:val="00164E6D"/>
    <w:rsid w:val="00166110"/>
    <w:rsid w:val="0017252B"/>
    <w:rsid w:val="0017549A"/>
    <w:rsid w:val="00181014"/>
    <w:rsid w:val="001824E3"/>
    <w:rsid w:val="00187B5E"/>
    <w:rsid w:val="0019110C"/>
    <w:rsid w:val="00192EA5"/>
    <w:rsid w:val="001A15C7"/>
    <w:rsid w:val="001A1656"/>
    <w:rsid w:val="001A507F"/>
    <w:rsid w:val="001A59A4"/>
    <w:rsid w:val="001B4292"/>
    <w:rsid w:val="001C1A35"/>
    <w:rsid w:val="001C363F"/>
    <w:rsid w:val="001C58EC"/>
    <w:rsid w:val="001E16C2"/>
    <w:rsid w:val="001E2A62"/>
    <w:rsid w:val="001E2B59"/>
    <w:rsid w:val="001E390A"/>
    <w:rsid w:val="001E41C3"/>
    <w:rsid w:val="001E424A"/>
    <w:rsid w:val="001E79C1"/>
    <w:rsid w:val="001F179F"/>
    <w:rsid w:val="001F1EA5"/>
    <w:rsid w:val="001F2819"/>
    <w:rsid w:val="002043EC"/>
    <w:rsid w:val="00204801"/>
    <w:rsid w:val="00206536"/>
    <w:rsid w:val="00210B79"/>
    <w:rsid w:val="00212652"/>
    <w:rsid w:val="00212927"/>
    <w:rsid w:val="00215C50"/>
    <w:rsid w:val="002203B4"/>
    <w:rsid w:val="00243DC0"/>
    <w:rsid w:val="0024542B"/>
    <w:rsid w:val="00247477"/>
    <w:rsid w:val="00257001"/>
    <w:rsid w:val="002611C4"/>
    <w:rsid w:val="00262336"/>
    <w:rsid w:val="002623E2"/>
    <w:rsid w:val="00264334"/>
    <w:rsid w:val="00265026"/>
    <w:rsid w:val="00270440"/>
    <w:rsid w:val="002805BD"/>
    <w:rsid w:val="00283978"/>
    <w:rsid w:val="0028479C"/>
    <w:rsid w:val="00286CD4"/>
    <w:rsid w:val="0029397F"/>
    <w:rsid w:val="00293DEE"/>
    <w:rsid w:val="002A0B5D"/>
    <w:rsid w:val="002A1051"/>
    <w:rsid w:val="002A3154"/>
    <w:rsid w:val="002A4069"/>
    <w:rsid w:val="002A5E23"/>
    <w:rsid w:val="002B0374"/>
    <w:rsid w:val="002B0C1A"/>
    <w:rsid w:val="002B2A2F"/>
    <w:rsid w:val="002B458B"/>
    <w:rsid w:val="002C29FB"/>
    <w:rsid w:val="002C54AA"/>
    <w:rsid w:val="002C7FE9"/>
    <w:rsid w:val="002D1EBA"/>
    <w:rsid w:val="002D2A74"/>
    <w:rsid w:val="002D3E44"/>
    <w:rsid w:val="002D4EFD"/>
    <w:rsid w:val="002D67A0"/>
    <w:rsid w:val="002E0D98"/>
    <w:rsid w:val="002F5719"/>
    <w:rsid w:val="00302FD6"/>
    <w:rsid w:val="00303E4F"/>
    <w:rsid w:val="00305D47"/>
    <w:rsid w:val="00316071"/>
    <w:rsid w:val="00320EED"/>
    <w:rsid w:val="0032156E"/>
    <w:rsid w:val="003239F1"/>
    <w:rsid w:val="00325762"/>
    <w:rsid w:val="00330EEC"/>
    <w:rsid w:val="0033378A"/>
    <w:rsid w:val="00335B3C"/>
    <w:rsid w:val="00343E5C"/>
    <w:rsid w:val="00352900"/>
    <w:rsid w:val="00354192"/>
    <w:rsid w:val="0036017B"/>
    <w:rsid w:val="0036173D"/>
    <w:rsid w:val="00362755"/>
    <w:rsid w:val="00373B93"/>
    <w:rsid w:val="00374975"/>
    <w:rsid w:val="00374F7D"/>
    <w:rsid w:val="00375BB4"/>
    <w:rsid w:val="00395FF3"/>
    <w:rsid w:val="003A0952"/>
    <w:rsid w:val="003A38F0"/>
    <w:rsid w:val="003A51F5"/>
    <w:rsid w:val="003B65F9"/>
    <w:rsid w:val="003B7B4E"/>
    <w:rsid w:val="003C1E2D"/>
    <w:rsid w:val="003C3DA0"/>
    <w:rsid w:val="003E2216"/>
    <w:rsid w:val="003E68BD"/>
    <w:rsid w:val="003F4329"/>
    <w:rsid w:val="003F464F"/>
    <w:rsid w:val="003F737D"/>
    <w:rsid w:val="003F77F4"/>
    <w:rsid w:val="00412534"/>
    <w:rsid w:val="00412C83"/>
    <w:rsid w:val="0042007A"/>
    <w:rsid w:val="00424721"/>
    <w:rsid w:val="00426014"/>
    <w:rsid w:val="00433165"/>
    <w:rsid w:val="004332E4"/>
    <w:rsid w:val="004569FF"/>
    <w:rsid w:val="00460B7D"/>
    <w:rsid w:val="00463AA2"/>
    <w:rsid w:val="00466F13"/>
    <w:rsid w:val="004702DD"/>
    <w:rsid w:val="00472C43"/>
    <w:rsid w:val="004747E2"/>
    <w:rsid w:val="00474833"/>
    <w:rsid w:val="00480CB0"/>
    <w:rsid w:val="00480CDE"/>
    <w:rsid w:val="00487EED"/>
    <w:rsid w:val="00490047"/>
    <w:rsid w:val="004A5C46"/>
    <w:rsid w:val="004B34EA"/>
    <w:rsid w:val="004B4AB6"/>
    <w:rsid w:val="004B5494"/>
    <w:rsid w:val="004C0BFE"/>
    <w:rsid w:val="004C1D87"/>
    <w:rsid w:val="004C307D"/>
    <w:rsid w:val="004C7D3A"/>
    <w:rsid w:val="004D106A"/>
    <w:rsid w:val="004D4DBC"/>
    <w:rsid w:val="004D61EB"/>
    <w:rsid w:val="004E2951"/>
    <w:rsid w:val="004E2E24"/>
    <w:rsid w:val="004E34D5"/>
    <w:rsid w:val="004E667B"/>
    <w:rsid w:val="004F6D4C"/>
    <w:rsid w:val="00500DFA"/>
    <w:rsid w:val="005018A8"/>
    <w:rsid w:val="00501FB0"/>
    <w:rsid w:val="00504490"/>
    <w:rsid w:val="00505A39"/>
    <w:rsid w:val="00511FC8"/>
    <w:rsid w:val="0051338E"/>
    <w:rsid w:val="00515814"/>
    <w:rsid w:val="005240BF"/>
    <w:rsid w:val="00525ED3"/>
    <w:rsid w:val="0052625E"/>
    <w:rsid w:val="00531831"/>
    <w:rsid w:val="00532829"/>
    <w:rsid w:val="00533304"/>
    <w:rsid w:val="00544983"/>
    <w:rsid w:val="00547B73"/>
    <w:rsid w:val="00547CDE"/>
    <w:rsid w:val="00574F93"/>
    <w:rsid w:val="00580B88"/>
    <w:rsid w:val="00585390"/>
    <w:rsid w:val="00585DE4"/>
    <w:rsid w:val="0059086D"/>
    <w:rsid w:val="00591E0F"/>
    <w:rsid w:val="005931C5"/>
    <w:rsid w:val="005939A5"/>
    <w:rsid w:val="005A148C"/>
    <w:rsid w:val="005A55E4"/>
    <w:rsid w:val="005D0277"/>
    <w:rsid w:val="005D0C28"/>
    <w:rsid w:val="005D27E1"/>
    <w:rsid w:val="005D6B16"/>
    <w:rsid w:val="005D6DBA"/>
    <w:rsid w:val="005E24D3"/>
    <w:rsid w:val="005E71A3"/>
    <w:rsid w:val="005E7833"/>
    <w:rsid w:val="005F384F"/>
    <w:rsid w:val="005F40D4"/>
    <w:rsid w:val="005F70C6"/>
    <w:rsid w:val="0060019F"/>
    <w:rsid w:val="00603026"/>
    <w:rsid w:val="006079FD"/>
    <w:rsid w:val="00611F7D"/>
    <w:rsid w:val="00613113"/>
    <w:rsid w:val="00613F43"/>
    <w:rsid w:val="0062030A"/>
    <w:rsid w:val="0062295D"/>
    <w:rsid w:val="00623ABD"/>
    <w:rsid w:val="00625CA0"/>
    <w:rsid w:val="00631FB0"/>
    <w:rsid w:val="00632207"/>
    <w:rsid w:val="0063491C"/>
    <w:rsid w:val="00653C6F"/>
    <w:rsid w:val="0065470C"/>
    <w:rsid w:val="00661E82"/>
    <w:rsid w:val="00662FE5"/>
    <w:rsid w:val="006640F0"/>
    <w:rsid w:val="006703E3"/>
    <w:rsid w:val="00683878"/>
    <w:rsid w:val="006967E7"/>
    <w:rsid w:val="0069795B"/>
    <w:rsid w:val="006A3944"/>
    <w:rsid w:val="006B2EB6"/>
    <w:rsid w:val="006B7E13"/>
    <w:rsid w:val="006C6974"/>
    <w:rsid w:val="006D0D0F"/>
    <w:rsid w:val="006D2FEA"/>
    <w:rsid w:val="006E0BC8"/>
    <w:rsid w:val="006E4EE6"/>
    <w:rsid w:val="006E5E28"/>
    <w:rsid w:val="006E6574"/>
    <w:rsid w:val="006F13AF"/>
    <w:rsid w:val="007022F2"/>
    <w:rsid w:val="00704F27"/>
    <w:rsid w:val="00713837"/>
    <w:rsid w:val="00714150"/>
    <w:rsid w:val="00714CF2"/>
    <w:rsid w:val="007156B9"/>
    <w:rsid w:val="007172BD"/>
    <w:rsid w:val="00720817"/>
    <w:rsid w:val="00720840"/>
    <w:rsid w:val="00721ED2"/>
    <w:rsid w:val="00722850"/>
    <w:rsid w:val="007229D3"/>
    <w:rsid w:val="007248FA"/>
    <w:rsid w:val="007251FC"/>
    <w:rsid w:val="0072662C"/>
    <w:rsid w:val="0073353F"/>
    <w:rsid w:val="007358C5"/>
    <w:rsid w:val="00735B7A"/>
    <w:rsid w:val="00742E45"/>
    <w:rsid w:val="00743837"/>
    <w:rsid w:val="007447AF"/>
    <w:rsid w:val="007457ED"/>
    <w:rsid w:val="00750816"/>
    <w:rsid w:val="00755C0B"/>
    <w:rsid w:val="007615C9"/>
    <w:rsid w:val="007620D6"/>
    <w:rsid w:val="007657C1"/>
    <w:rsid w:val="00770715"/>
    <w:rsid w:val="007711F5"/>
    <w:rsid w:val="0077124F"/>
    <w:rsid w:val="00777272"/>
    <w:rsid w:val="0078499F"/>
    <w:rsid w:val="00784BB0"/>
    <w:rsid w:val="0078552C"/>
    <w:rsid w:val="007857E5"/>
    <w:rsid w:val="00786894"/>
    <w:rsid w:val="007873BF"/>
    <w:rsid w:val="0078788F"/>
    <w:rsid w:val="00791CCE"/>
    <w:rsid w:val="007949F7"/>
    <w:rsid w:val="007967AD"/>
    <w:rsid w:val="007979B3"/>
    <w:rsid w:val="007A3BC7"/>
    <w:rsid w:val="007A406D"/>
    <w:rsid w:val="007A62B0"/>
    <w:rsid w:val="007A7153"/>
    <w:rsid w:val="007B6868"/>
    <w:rsid w:val="007C3BD8"/>
    <w:rsid w:val="007C5A0C"/>
    <w:rsid w:val="007D1C42"/>
    <w:rsid w:val="007E0FEE"/>
    <w:rsid w:val="007E14FC"/>
    <w:rsid w:val="007E6F7A"/>
    <w:rsid w:val="007F2017"/>
    <w:rsid w:val="0081192E"/>
    <w:rsid w:val="00816D7D"/>
    <w:rsid w:val="0082020E"/>
    <w:rsid w:val="008216A0"/>
    <w:rsid w:val="00822BEC"/>
    <w:rsid w:val="00825C2E"/>
    <w:rsid w:val="00826997"/>
    <w:rsid w:val="008339BB"/>
    <w:rsid w:val="00833B92"/>
    <w:rsid w:val="00836892"/>
    <w:rsid w:val="00841BF1"/>
    <w:rsid w:val="008421B1"/>
    <w:rsid w:val="00844D9B"/>
    <w:rsid w:val="00850DF5"/>
    <w:rsid w:val="00853821"/>
    <w:rsid w:val="0086419A"/>
    <w:rsid w:val="0087023B"/>
    <w:rsid w:val="0087354C"/>
    <w:rsid w:val="00874755"/>
    <w:rsid w:val="00892500"/>
    <w:rsid w:val="008A179F"/>
    <w:rsid w:val="008A21FE"/>
    <w:rsid w:val="008A5263"/>
    <w:rsid w:val="008B0864"/>
    <w:rsid w:val="008B1522"/>
    <w:rsid w:val="008B1653"/>
    <w:rsid w:val="008B1A0C"/>
    <w:rsid w:val="008B62A5"/>
    <w:rsid w:val="008C7413"/>
    <w:rsid w:val="008D0C4F"/>
    <w:rsid w:val="008D16B7"/>
    <w:rsid w:val="008E6AE6"/>
    <w:rsid w:val="008F0116"/>
    <w:rsid w:val="008F0FE0"/>
    <w:rsid w:val="008F143D"/>
    <w:rsid w:val="008F76AE"/>
    <w:rsid w:val="00903BB8"/>
    <w:rsid w:val="00923C96"/>
    <w:rsid w:val="00924226"/>
    <w:rsid w:val="00925DAA"/>
    <w:rsid w:val="00932865"/>
    <w:rsid w:val="0093514F"/>
    <w:rsid w:val="00941CDB"/>
    <w:rsid w:val="00943613"/>
    <w:rsid w:val="00944A34"/>
    <w:rsid w:val="00946D49"/>
    <w:rsid w:val="00956BEC"/>
    <w:rsid w:val="00964687"/>
    <w:rsid w:val="0097001D"/>
    <w:rsid w:val="009709B9"/>
    <w:rsid w:val="0098138E"/>
    <w:rsid w:val="00984F21"/>
    <w:rsid w:val="0098519D"/>
    <w:rsid w:val="0098655A"/>
    <w:rsid w:val="00990382"/>
    <w:rsid w:val="009918B9"/>
    <w:rsid w:val="00992378"/>
    <w:rsid w:val="009A7711"/>
    <w:rsid w:val="009B484F"/>
    <w:rsid w:val="009B5A1D"/>
    <w:rsid w:val="009C5575"/>
    <w:rsid w:val="009C67CB"/>
    <w:rsid w:val="009D04C7"/>
    <w:rsid w:val="009E7C7F"/>
    <w:rsid w:val="009F25FE"/>
    <w:rsid w:val="009F272E"/>
    <w:rsid w:val="009F4EF3"/>
    <w:rsid w:val="009F5446"/>
    <w:rsid w:val="009F59D9"/>
    <w:rsid w:val="00A0228D"/>
    <w:rsid w:val="00A0550C"/>
    <w:rsid w:val="00A13FB7"/>
    <w:rsid w:val="00A17CE0"/>
    <w:rsid w:val="00A20F4E"/>
    <w:rsid w:val="00A233F7"/>
    <w:rsid w:val="00A2362E"/>
    <w:rsid w:val="00A2516A"/>
    <w:rsid w:val="00A26228"/>
    <w:rsid w:val="00A30959"/>
    <w:rsid w:val="00A31B7A"/>
    <w:rsid w:val="00A42306"/>
    <w:rsid w:val="00A46E2D"/>
    <w:rsid w:val="00A55ACD"/>
    <w:rsid w:val="00A82781"/>
    <w:rsid w:val="00A92840"/>
    <w:rsid w:val="00A9386D"/>
    <w:rsid w:val="00A95476"/>
    <w:rsid w:val="00A964B6"/>
    <w:rsid w:val="00AA0249"/>
    <w:rsid w:val="00AA4821"/>
    <w:rsid w:val="00AC04C5"/>
    <w:rsid w:val="00AD0BDF"/>
    <w:rsid w:val="00AD2FCA"/>
    <w:rsid w:val="00AD4506"/>
    <w:rsid w:val="00AD5B9C"/>
    <w:rsid w:val="00AE0287"/>
    <w:rsid w:val="00AE1F23"/>
    <w:rsid w:val="00AF1C38"/>
    <w:rsid w:val="00AF222F"/>
    <w:rsid w:val="00AF2C93"/>
    <w:rsid w:val="00AF611E"/>
    <w:rsid w:val="00B01F7E"/>
    <w:rsid w:val="00B0584D"/>
    <w:rsid w:val="00B06625"/>
    <w:rsid w:val="00B075D3"/>
    <w:rsid w:val="00B07D0D"/>
    <w:rsid w:val="00B10FEE"/>
    <w:rsid w:val="00B21AD6"/>
    <w:rsid w:val="00B3087D"/>
    <w:rsid w:val="00B34794"/>
    <w:rsid w:val="00B35F6F"/>
    <w:rsid w:val="00B45B7E"/>
    <w:rsid w:val="00B46674"/>
    <w:rsid w:val="00B479C0"/>
    <w:rsid w:val="00B51B82"/>
    <w:rsid w:val="00B56745"/>
    <w:rsid w:val="00B60421"/>
    <w:rsid w:val="00B60DFD"/>
    <w:rsid w:val="00B74225"/>
    <w:rsid w:val="00B765A2"/>
    <w:rsid w:val="00B84A97"/>
    <w:rsid w:val="00B8582E"/>
    <w:rsid w:val="00B9452A"/>
    <w:rsid w:val="00BA22FB"/>
    <w:rsid w:val="00BB0243"/>
    <w:rsid w:val="00BB2EF7"/>
    <w:rsid w:val="00BB38DA"/>
    <w:rsid w:val="00BB46BA"/>
    <w:rsid w:val="00BB7E1D"/>
    <w:rsid w:val="00BC1A6E"/>
    <w:rsid w:val="00BC4CC6"/>
    <w:rsid w:val="00BD5699"/>
    <w:rsid w:val="00BE27DE"/>
    <w:rsid w:val="00BE6256"/>
    <w:rsid w:val="00BE7718"/>
    <w:rsid w:val="00BF3993"/>
    <w:rsid w:val="00BF71DE"/>
    <w:rsid w:val="00C01445"/>
    <w:rsid w:val="00C020CD"/>
    <w:rsid w:val="00C10B5F"/>
    <w:rsid w:val="00C139AD"/>
    <w:rsid w:val="00C15E37"/>
    <w:rsid w:val="00C15FA4"/>
    <w:rsid w:val="00C16C17"/>
    <w:rsid w:val="00C16ED9"/>
    <w:rsid w:val="00C17E35"/>
    <w:rsid w:val="00C21AEF"/>
    <w:rsid w:val="00C23015"/>
    <w:rsid w:val="00C304B4"/>
    <w:rsid w:val="00C34903"/>
    <w:rsid w:val="00C52019"/>
    <w:rsid w:val="00C55A63"/>
    <w:rsid w:val="00C67FD0"/>
    <w:rsid w:val="00C70B1D"/>
    <w:rsid w:val="00C913A1"/>
    <w:rsid w:val="00C915FE"/>
    <w:rsid w:val="00C935EE"/>
    <w:rsid w:val="00CA29E8"/>
    <w:rsid w:val="00CA7051"/>
    <w:rsid w:val="00CB058C"/>
    <w:rsid w:val="00CB2696"/>
    <w:rsid w:val="00CC1E51"/>
    <w:rsid w:val="00CC4972"/>
    <w:rsid w:val="00CC4C91"/>
    <w:rsid w:val="00CC6A99"/>
    <w:rsid w:val="00CD340A"/>
    <w:rsid w:val="00CD4F47"/>
    <w:rsid w:val="00CD511E"/>
    <w:rsid w:val="00CE43AD"/>
    <w:rsid w:val="00CE7E04"/>
    <w:rsid w:val="00CF032B"/>
    <w:rsid w:val="00CF1FA6"/>
    <w:rsid w:val="00CF73B0"/>
    <w:rsid w:val="00D00AA3"/>
    <w:rsid w:val="00D03AB4"/>
    <w:rsid w:val="00D04A56"/>
    <w:rsid w:val="00D07F73"/>
    <w:rsid w:val="00D15204"/>
    <w:rsid w:val="00D2041C"/>
    <w:rsid w:val="00D22C5A"/>
    <w:rsid w:val="00D24322"/>
    <w:rsid w:val="00D25ADE"/>
    <w:rsid w:val="00D30A75"/>
    <w:rsid w:val="00D40333"/>
    <w:rsid w:val="00D405B9"/>
    <w:rsid w:val="00D43297"/>
    <w:rsid w:val="00D44DB6"/>
    <w:rsid w:val="00D50119"/>
    <w:rsid w:val="00D506A3"/>
    <w:rsid w:val="00D629B5"/>
    <w:rsid w:val="00D65608"/>
    <w:rsid w:val="00D66D08"/>
    <w:rsid w:val="00D70A01"/>
    <w:rsid w:val="00D72526"/>
    <w:rsid w:val="00D82A43"/>
    <w:rsid w:val="00D854B1"/>
    <w:rsid w:val="00D86AAA"/>
    <w:rsid w:val="00D921E3"/>
    <w:rsid w:val="00D944AF"/>
    <w:rsid w:val="00D96DD3"/>
    <w:rsid w:val="00DA7B5D"/>
    <w:rsid w:val="00DB1B03"/>
    <w:rsid w:val="00DC11A6"/>
    <w:rsid w:val="00DC2DA6"/>
    <w:rsid w:val="00DC57AE"/>
    <w:rsid w:val="00DD1E19"/>
    <w:rsid w:val="00DD7E6A"/>
    <w:rsid w:val="00DE24E6"/>
    <w:rsid w:val="00DE63D2"/>
    <w:rsid w:val="00DF1C7C"/>
    <w:rsid w:val="00DF4F00"/>
    <w:rsid w:val="00DF56B7"/>
    <w:rsid w:val="00DF58E7"/>
    <w:rsid w:val="00DF76C3"/>
    <w:rsid w:val="00E03019"/>
    <w:rsid w:val="00E054BB"/>
    <w:rsid w:val="00E11876"/>
    <w:rsid w:val="00E13525"/>
    <w:rsid w:val="00E23B61"/>
    <w:rsid w:val="00E23CBB"/>
    <w:rsid w:val="00E323DE"/>
    <w:rsid w:val="00E33330"/>
    <w:rsid w:val="00E33898"/>
    <w:rsid w:val="00E355E8"/>
    <w:rsid w:val="00E3592A"/>
    <w:rsid w:val="00E37B59"/>
    <w:rsid w:val="00E37E37"/>
    <w:rsid w:val="00E5140C"/>
    <w:rsid w:val="00E560B1"/>
    <w:rsid w:val="00E6402D"/>
    <w:rsid w:val="00E72533"/>
    <w:rsid w:val="00E72FAD"/>
    <w:rsid w:val="00E81E70"/>
    <w:rsid w:val="00E826CB"/>
    <w:rsid w:val="00E945A4"/>
    <w:rsid w:val="00E977DC"/>
    <w:rsid w:val="00E97B62"/>
    <w:rsid w:val="00EA0B73"/>
    <w:rsid w:val="00EA0E41"/>
    <w:rsid w:val="00EA2CB3"/>
    <w:rsid w:val="00EA36C6"/>
    <w:rsid w:val="00EA3A20"/>
    <w:rsid w:val="00EA5DB0"/>
    <w:rsid w:val="00EA737D"/>
    <w:rsid w:val="00EA7DE6"/>
    <w:rsid w:val="00EB01B6"/>
    <w:rsid w:val="00EB164C"/>
    <w:rsid w:val="00EB6343"/>
    <w:rsid w:val="00EC3C56"/>
    <w:rsid w:val="00EC6CF2"/>
    <w:rsid w:val="00ED1F34"/>
    <w:rsid w:val="00ED5725"/>
    <w:rsid w:val="00ED59E8"/>
    <w:rsid w:val="00ED6D44"/>
    <w:rsid w:val="00ED7031"/>
    <w:rsid w:val="00EE16C0"/>
    <w:rsid w:val="00EE3060"/>
    <w:rsid w:val="00EE3685"/>
    <w:rsid w:val="00EE3748"/>
    <w:rsid w:val="00EE39E8"/>
    <w:rsid w:val="00EE4315"/>
    <w:rsid w:val="00EE56A6"/>
    <w:rsid w:val="00EF2C21"/>
    <w:rsid w:val="00EF3FFC"/>
    <w:rsid w:val="00EF74A3"/>
    <w:rsid w:val="00F04DC8"/>
    <w:rsid w:val="00F1649A"/>
    <w:rsid w:val="00F26ED3"/>
    <w:rsid w:val="00F31014"/>
    <w:rsid w:val="00F318BC"/>
    <w:rsid w:val="00F35A50"/>
    <w:rsid w:val="00F37B96"/>
    <w:rsid w:val="00F4053F"/>
    <w:rsid w:val="00F42045"/>
    <w:rsid w:val="00F43429"/>
    <w:rsid w:val="00F5713C"/>
    <w:rsid w:val="00F62B7A"/>
    <w:rsid w:val="00F6397D"/>
    <w:rsid w:val="00F653C0"/>
    <w:rsid w:val="00F65762"/>
    <w:rsid w:val="00F66572"/>
    <w:rsid w:val="00F7293E"/>
    <w:rsid w:val="00F74B18"/>
    <w:rsid w:val="00F76650"/>
    <w:rsid w:val="00F77DF7"/>
    <w:rsid w:val="00F8195E"/>
    <w:rsid w:val="00F82859"/>
    <w:rsid w:val="00F9187B"/>
    <w:rsid w:val="00F92385"/>
    <w:rsid w:val="00F94539"/>
    <w:rsid w:val="00F964A1"/>
    <w:rsid w:val="00F97E21"/>
    <w:rsid w:val="00FA1B4F"/>
    <w:rsid w:val="00FB03A9"/>
    <w:rsid w:val="00FB3A2A"/>
    <w:rsid w:val="00FB553B"/>
    <w:rsid w:val="00FB6ADD"/>
    <w:rsid w:val="00FC0900"/>
    <w:rsid w:val="00FC47F9"/>
    <w:rsid w:val="00FD720C"/>
    <w:rsid w:val="00FD7824"/>
    <w:rsid w:val="00FE40D6"/>
    <w:rsid w:val="00FE5580"/>
    <w:rsid w:val="00FE769E"/>
    <w:rsid w:val="00FE795A"/>
    <w:rsid w:val="00FF11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7E8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semiHidden="0" w:uiPriority="0" w:unhideWhenUsed="0"/>
    <w:lsdException w:name="heading 7" w:uiPriority="0" w:unhideWhenUsed="0" w:qFormat="1"/>
    <w:lsdException w:name="heading 8" w:uiPriority="9" w:unhideWhenUsed="0" w:qFormat="1"/>
    <w:lsdException w:name="heading 9"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List Bullet" w:semiHidden="0" w:uiPriority="4" w:unhideWhenUsed="0" w:qFormat="1"/>
    <w:lsdException w:name="Title" w:semiHidden="0"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rsid w:val="00B46674"/>
    <w:pPr>
      <w:spacing w:after="0" w:line="360" w:lineRule="auto"/>
      <w:ind w:firstLine="720"/>
    </w:pPr>
    <w:rPr>
      <w:rFonts w:ascii="Book Antiqua" w:hAnsi="Book Antiqua"/>
      <w:sz w:val="26"/>
    </w:rPr>
  </w:style>
  <w:style w:type="paragraph" w:styleId="Heading1">
    <w:name w:val="heading 1"/>
    <w:basedOn w:val="Dummy"/>
    <w:next w:val="Standard"/>
    <w:link w:val="Heading1Char"/>
    <w:qFormat/>
    <w:rsid w:val="000A56F2"/>
    <w:pPr>
      <w:numPr>
        <w:numId w:val="6"/>
      </w:numPr>
    </w:pPr>
    <w:rPr>
      <w:rFonts w:eastAsiaTheme="majorEastAsia" w:cstheme="majorBidi"/>
      <w:szCs w:val="32"/>
    </w:rPr>
  </w:style>
  <w:style w:type="paragraph" w:styleId="Heading2">
    <w:name w:val="heading 2"/>
    <w:basedOn w:val="Dummy"/>
    <w:next w:val="Standard"/>
    <w:link w:val="Heading2Char"/>
    <w:qFormat/>
    <w:rsid w:val="000A56F2"/>
    <w:pPr>
      <w:numPr>
        <w:ilvl w:val="1"/>
        <w:numId w:val="6"/>
      </w:numPr>
      <w:outlineLvl w:val="1"/>
    </w:pPr>
  </w:style>
  <w:style w:type="paragraph" w:styleId="Heading3">
    <w:name w:val="heading 3"/>
    <w:basedOn w:val="Dummy"/>
    <w:next w:val="Standard"/>
    <w:link w:val="Heading3Char"/>
    <w:qFormat/>
    <w:rsid w:val="000A56F2"/>
    <w:pPr>
      <w:numPr>
        <w:ilvl w:val="2"/>
        <w:numId w:val="6"/>
      </w:numPr>
      <w:outlineLvl w:val="2"/>
    </w:pPr>
    <w:rPr>
      <w:rFonts w:eastAsiaTheme="majorEastAsia" w:cstheme="majorBidi"/>
      <w:szCs w:val="24"/>
    </w:rPr>
  </w:style>
  <w:style w:type="paragraph" w:styleId="Heading4">
    <w:name w:val="heading 4"/>
    <w:basedOn w:val="Dummy"/>
    <w:next w:val="Standard"/>
    <w:link w:val="Heading4Char"/>
    <w:rsid w:val="000A56F2"/>
    <w:pPr>
      <w:numPr>
        <w:ilvl w:val="3"/>
        <w:numId w:val="6"/>
      </w:numPr>
      <w:outlineLvl w:val="3"/>
    </w:pPr>
    <w:rPr>
      <w:rFonts w:eastAsiaTheme="majorEastAsia" w:cstheme="majorBidi"/>
      <w:iCs/>
    </w:rPr>
  </w:style>
  <w:style w:type="paragraph" w:styleId="Heading5">
    <w:name w:val="heading 5"/>
    <w:basedOn w:val="Dummy"/>
    <w:next w:val="Standard"/>
    <w:link w:val="Heading5Char"/>
    <w:rsid w:val="000A56F2"/>
    <w:pPr>
      <w:numPr>
        <w:ilvl w:val="4"/>
        <w:numId w:val="6"/>
      </w:numPr>
      <w:outlineLvl w:val="4"/>
    </w:pPr>
    <w:rPr>
      <w:rFonts w:eastAsiaTheme="majorEastAsia" w:cstheme="majorBidi"/>
    </w:rPr>
  </w:style>
  <w:style w:type="paragraph" w:styleId="Heading6">
    <w:name w:val="heading 6"/>
    <w:basedOn w:val="Dummy"/>
    <w:next w:val="Standard"/>
    <w:link w:val="Heading6Char"/>
    <w:rsid w:val="000A56F2"/>
    <w:pPr>
      <w:numPr>
        <w:ilvl w:val="5"/>
        <w:numId w:val="6"/>
      </w:numPr>
      <w:spacing w:before="40"/>
      <w:outlineLvl w:val="5"/>
    </w:pPr>
    <w:rPr>
      <w:rFonts w:eastAsiaTheme="majorEastAsia" w:cstheme="majorBidi"/>
    </w:rPr>
  </w:style>
  <w:style w:type="paragraph" w:styleId="Heading7">
    <w:name w:val="heading 7"/>
    <w:basedOn w:val="Normal"/>
    <w:next w:val="Normal"/>
    <w:link w:val="Heading7Char"/>
    <w:rsid w:val="00844D9B"/>
    <w:pPr>
      <w:tabs>
        <w:tab w:val="left" w:pos="2520"/>
      </w:tabs>
      <w:spacing w:before="120" w:after="120" w:line="240" w:lineRule="auto"/>
      <w:ind w:left="2520" w:hanging="1800"/>
      <w:outlineLvl w:val="6"/>
    </w:pPr>
    <w:rPr>
      <w:rFonts w:ascii="Helvetica" w:eastAsia="Times New Roman" w:hAnsi="Helvetica" w:cs="Times New Roman"/>
      <w:b/>
      <w:szCs w:val="20"/>
    </w:rPr>
  </w:style>
  <w:style w:type="paragraph" w:styleId="Heading9">
    <w:name w:val="heading 9"/>
    <w:basedOn w:val="Normal"/>
    <w:next w:val="Normal"/>
    <w:link w:val="Heading9Char"/>
    <w:autoRedefine/>
    <w:rsid w:val="00844D9B"/>
    <w:pPr>
      <w:tabs>
        <w:tab w:val="left" w:pos="2880"/>
      </w:tabs>
      <w:spacing w:before="120" w:after="120" w:line="240" w:lineRule="auto"/>
      <w:ind w:left="2880" w:hanging="2160"/>
      <w:outlineLvl w:val="8"/>
    </w:pPr>
    <w:rPr>
      <w:rFonts w:ascii="Helvetica" w:eastAsia="Times New Roman" w:hAnsi="Helvetica"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7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6017B"/>
    <w:rPr>
      <w:rFonts w:ascii="Arial" w:eastAsiaTheme="majorEastAsia" w:hAnsi="Arial" w:cstheme="majorBidi"/>
      <w:b/>
      <w:sz w:val="26"/>
      <w:szCs w:val="32"/>
    </w:rPr>
  </w:style>
  <w:style w:type="paragraph" w:styleId="TOCHeading">
    <w:name w:val="TOC Heading"/>
    <w:next w:val="Normal"/>
    <w:uiPriority w:val="39"/>
    <w:unhideWhenUsed/>
    <w:qFormat/>
    <w:rsid w:val="001E2A62"/>
    <w:pPr>
      <w:spacing w:line="240" w:lineRule="auto"/>
      <w:jc w:val="center"/>
    </w:pPr>
    <w:rPr>
      <w:rFonts w:ascii="Arial" w:eastAsiaTheme="majorEastAsia" w:hAnsi="Arial" w:cstheme="majorBidi"/>
      <w:b/>
      <w:sz w:val="26"/>
      <w:szCs w:val="32"/>
    </w:rPr>
  </w:style>
  <w:style w:type="paragraph" w:styleId="Title">
    <w:name w:val="Title"/>
    <w:basedOn w:val="Dummy"/>
    <w:next w:val="Normal"/>
    <w:link w:val="TitleChar"/>
    <w:uiPriority w:val="10"/>
    <w:semiHidden/>
    <w:rsid w:val="00121089"/>
    <w:pPr>
      <w:spacing w:after="0"/>
      <w:contextualSpacing/>
      <w:jc w:val="center"/>
    </w:pPr>
    <w:rPr>
      <w:rFonts w:eastAsiaTheme="majorEastAsia" w:cstheme="majorBidi"/>
      <w:caps/>
      <w:szCs w:val="56"/>
    </w:rPr>
  </w:style>
  <w:style w:type="character" w:customStyle="1" w:styleId="TitleChar">
    <w:name w:val="Title Char"/>
    <w:basedOn w:val="DefaultParagraphFont"/>
    <w:link w:val="Title"/>
    <w:uiPriority w:val="10"/>
    <w:semiHidden/>
    <w:rsid w:val="0036017B"/>
    <w:rPr>
      <w:rFonts w:ascii="Arial" w:eastAsiaTheme="majorEastAsia" w:hAnsi="Arial" w:cstheme="majorBidi"/>
      <w:b/>
      <w:caps/>
      <w:sz w:val="26"/>
      <w:szCs w:val="56"/>
    </w:rPr>
  </w:style>
  <w:style w:type="paragraph" w:customStyle="1" w:styleId="Dummy">
    <w:name w:val="Dummy"/>
    <w:next w:val="Normal"/>
    <w:uiPriority w:val="19"/>
    <w:rsid w:val="00F62B7A"/>
    <w:pPr>
      <w:keepNext/>
      <w:keepLines/>
      <w:spacing w:after="120" w:line="240" w:lineRule="auto"/>
      <w:outlineLvl w:val="0"/>
    </w:pPr>
    <w:rPr>
      <w:rFonts w:ascii="Arial" w:hAnsi="Arial" w:cs="Arial"/>
      <w:b/>
      <w:sz w:val="26"/>
      <w:szCs w:val="26"/>
    </w:rPr>
  </w:style>
  <w:style w:type="character" w:customStyle="1" w:styleId="Heading2Char">
    <w:name w:val="Heading 2 Char"/>
    <w:basedOn w:val="DefaultParagraphFont"/>
    <w:link w:val="Heading2"/>
    <w:rsid w:val="00ED5725"/>
    <w:rPr>
      <w:rFonts w:ascii="Arial" w:hAnsi="Arial" w:cs="Arial"/>
      <w:b/>
      <w:sz w:val="26"/>
      <w:szCs w:val="26"/>
    </w:rPr>
  </w:style>
  <w:style w:type="character" w:customStyle="1" w:styleId="Heading3Char">
    <w:name w:val="Heading 3 Char"/>
    <w:basedOn w:val="DefaultParagraphFont"/>
    <w:link w:val="Heading3"/>
    <w:rsid w:val="00722850"/>
    <w:rPr>
      <w:rFonts w:ascii="Arial" w:eastAsiaTheme="majorEastAsia" w:hAnsi="Arial" w:cstheme="majorBidi"/>
      <w:b/>
      <w:sz w:val="26"/>
      <w:szCs w:val="24"/>
    </w:rPr>
  </w:style>
  <w:style w:type="character" w:customStyle="1" w:styleId="Heading4Char">
    <w:name w:val="Heading 4 Char"/>
    <w:basedOn w:val="DefaultParagraphFont"/>
    <w:link w:val="Heading4"/>
    <w:rsid w:val="007A406D"/>
    <w:rPr>
      <w:rFonts w:ascii="Arial" w:eastAsiaTheme="majorEastAsia" w:hAnsi="Arial" w:cstheme="majorBidi"/>
      <w:b/>
      <w:iCs/>
      <w:sz w:val="26"/>
      <w:szCs w:val="26"/>
    </w:rPr>
  </w:style>
  <w:style w:type="character" w:customStyle="1" w:styleId="Heading5Char">
    <w:name w:val="Heading 5 Char"/>
    <w:basedOn w:val="DefaultParagraphFont"/>
    <w:link w:val="Heading5"/>
    <w:rsid w:val="008A179F"/>
    <w:rPr>
      <w:rFonts w:ascii="Arial" w:eastAsiaTheme="majorEastAsia" w:hAnsi="Arial" w:cstheme="majorBidi"/>
      <w:b/>
      <w:sz w:val="26"/>
      <w:szCs w:val="26"/>
    </w:rPr>
  </w:style>
  <w:style w:type="paragraph" w:customStyle="1" w:styleId="Main">
    <w:name w:val="Main"/>
    <w:next w:val="Normal"/>
    <w:uiPriority w:val="19"/>
    <w:rsid w:val="00F62B7A"/>
    <w:pPr>
      <w:spacing w:after="0" w:line="240" w:lineRule="auto"/>
      <w:jc w:val="center"/>
    </w:pPr>
    <w:rPr>
      <w:rFonts w:ascii="Arial" w:eastAsiaTheme="majorEastAsia" w:hAnsi="Arial" w:cstheme="majorBidi"/>
      <w:b/>
      <w:caps/>
      <w:sz w:val="26"/>
      <w:szCs w:val="56"/>
    </w:rPr>
  </w:style>
  <w:style w:type="paragraph" w:customStyle="1" w:styleId="Mainex">
    <w:name w:val="Mainex"/>
    <w:basedOn w:val="Main"/>
    <w:next w:val="Normal"/>
    <w:uiPriority w:val="19"/>
    <w:rsid w:val="000A6E05"/>
    <w:pPr>
      <w:keepNext/>
      <w:spacing w:line="360" w:lineRule="auto"/>
      <w:outlineLvl w:val="0"/>
    </w:pPr>
    <w:rPr>
      <w:spacing w:val="120"/>
    </w:rPr>
  </w:style>
  <w:style w:type="paragraph" w:styleId="TOC2">
    <w:name w:val="toc 2"/>
    <w:basedOn w:val="Normal"/>
    <w:next w:val="Normal"/>
    <w:uiPriority w:val="39"/>
    <w:unhideWhenUsed/>
    <w:rsid w:val="00ED5725"/>
    <w:pPr>
      <w:spacing w:line="240" w:lineRule="auto"/>
      <w:ind w:left="864" w:hanging="648"/>
    </w:pPr>
    <w:rPr>
      <w:rFonts w:eastAsiaTheme="minorEastAsia" w:cs="Times New Roman"/>
    </w:rPr>
  </w:style>
  <w:style w:type="paragraph" w:styleId="TOC1">
    <w:name w:val="toc 1"/>
    <w:basedOn w:val="Normal"/>
    <w:next w:val="Normal"/>
    <w:uiPriority w:val="39"/>
    <w:unhideWhenUsed/>
    <w:rsid w:val="00ED5725"/>
    <w:pPr>
      <w:spacing w:line="240" w:lineRule="auto"/>
      <w:ind w:left="432" w:hanging="432"/>
    </w:pPr>
    <w:rPr>
      <w:rFonts w:eastAsiaTheme="minorEastAsia" w:cs="Times New Roman"/>
    </w:rPr>
  </w:style>
  <w:style w:type="paragraph" w:styleId="TOC3">
    <w:name w:val="toc 3"/>
    <w:basedOn w:val="Normal"/>
    <w:next w:val="Normal"/>
    <w:uiPriority w:val="39"/>
    <w:unhideWhenUsed/>
    <w:rsid w:val="008C7413"/>
    <w:pPr>
      <w:spacing w:line="240" w:lineRule="auto"/>
      <w:ind w:left="1296" w:hanging="864"/>
    </w:pPr>
    <w:rPr>
      <w:rFonts w:eastAsiaTheme="minorEastAsia" w:cs="Times New Roman"/>
    </w:rPr>
  </w:style>
  <w:style w:type="character" w:styleId="Hyperlink">
    <w:name w:val="Hyperlink"/>
    <w:basedOn w:val="DefaultParagraphFont"/>
    <w:uiPriority w:val="99"/>
    <w:rsid w:val="00D82A43"/>
    <w:rPr>
      <w:color w:val="0563C1" w:themeColor="hyperlink"/>
      <w:u w:val="single"/>
    </w:rPr>
  </w:style>
  <w:style w:type="numbering" w:customStyle="1" w:styleId="FoFCoLOP">
    <w:name w:val="FoF/CoL/OP"/>
    <w:uiPriority w:val="99"/>
    <w:rsid w:val="008E6AE6"/>
    <w:pPr>
      <w:numPr>
        <w:numId w:val="2"/>
      </w:numPr>
    </w:pPr>
  </w:style>
  <w:style w:type="paragraph" w:styleId="TOC9">
    <w:name w:val="toc 9"/>
    <w:basedOn w:val="Normal"/>
    <w:next w:val="Normal"/>
    <w:autoRedefine/>
    <w:uiPriority w:val="39"/>
    <w:semiHidden/>
    <w:unhideWhenUsed/>
    <w:rsid w:val="00D82A43"/>
    <w:pPr>
      <w:spacing w:after="100"/>
      <w:ind w:left="2080"/>
    </w:pPr>
  </w:style>
  <w:style w:type="paragraph" w:styleId="Header">
    <w:name w:val="header"/>
    <w:basedOn w:val="Normal"/>
    <w:link w:val="HeaderChar"/>
    <w:rsid w:val="0098138E"/>
    <w:pPr>
      <w:tabs>
        <w:tab w:val="center" w:pos="4680"/>
        <w:tab w:val="right" w:pos="9360"/>
      </w:tabs>
      <w:spacing w:line="240" w:lineRule="auto"/>
    </w:pPr>
  </w:style>
  <w:style w:type="character" w:customStyle="1" w:styleId="HeaderChar">
    <w:name w:val="Header Char"/>
    <w:basedOn w:val="DefaultParagraphFont"/>
    <w:link w:val="Header"/>
    <w:rsid w:val="000A56F2"/>
    <w:rPr>
      <w:rFonts w:ascii="Book Antiqua" w:hAnsi="Book Antiqua"/>
      <w:sz w:val="26"/>
    </w:rPr>
  </w:style>
  <w:style w:type="paragraph" w:styleId="Footer">
    <w:name w:val="footer"/>
    <w:basedOn w:val="Normal"/>
    <w:link w:val="FooterChar"/>
    <w:uiPriority w:val="99"/>
    <w:rsid w:val="00EE3060"/>
    <w:pPr>
      <w:tabs>
        <w:tab w:val="center" w:pos="4680"/>
        <w:tab w:val="right" w:pos="9360"/>
      </w:tabs>
      <w:spacing w:line="240" w:lineRule="auto"/>
    </w:pPr>
  </w:style>
  <w:style w:type="character" w:customStyle="1" w:styleId="FooterChar">
    <w:name w:val="Footer Char"/>
    <w:basedOn w:val="DefaultParagraphFont"/>
    <w:link w:val="Footer"/>
    <w:uiPriority w:val="99"/>
    <w:rsid w:val="007657C1"/>
    <w:rPr>
      <w:rFonts w:ascii="Book Antiqua" w:hAnsi="Book Antiqua"/>
      <w:sz w:val="26"/>
    </w:rPr>
  </w:style>
  <w:style w:type="paragraph" w:customStyle="1" w:styleId="BlockQuote">
    <w:name w:val="Block Quote"/>
    <w:basedOn w:val="Standard"/>
    <w:uiPriority w:val="5"/>
    <w:qFormat/>
    <w:rsid w:val="00EA36C6"/>
    <w:pPr>
      <w:spacing w:after="120" w:line="240" w:lineRule="auto"/>
      <w:ind w:left="720" w:right="720" w:firstLine="0"/>
    </w:pPr>
  </w:style>
  <w:style w:type="paragraph" w:styleId="FootnoteText">
    <w:name w:val="footnote text"/>
    <w:basedOn w:val="Normal"/>
    <w:link w:val="FootnoteTextChar"/>
    <w:uiPriority w:val="99"/>
    <w:qFormat/>
    <w:rsid w:val="00B01F7E"/>
    <w:pPr>
      <w:spacing w:after="120" w:line="240" w:lineRule="auto"/>
      <w:ind w:firstLine="0"/>
    </w:pPr>
    <w:rPr>
      <w:sz w:val="22"/>
      <w:szCs w:val="20"/>
    </w:rPr>
  </w:style>
  <w:style w:type="character" w:customStyle="1" w:styleId="FootnoteTextChar">
    <w:name w:val="Footnote Text Char"/>
    <w:basedOn w:val="DefaultParagraphFont"/>
    <w:link w:val="FootnoteText"/>
    <w:uiPriority w:val="99"/>
    <w:rsid w:val="007657C1"/>
    <w:rPr>
      <w:rFonts w:ascii="Book Antiqua" w:hAnsi="Book Antiqua"/>
      <w:szCs w:val="20"/>
    </w:rPr>
  </w:style>
  <w:style w:type="character" w:styleId="FootnoteReference">
    <w:name w:val="footnote reference"/>
    <w:basedOn w:val="DefaultParagraphFont"/>
    <w:uiPriority w:val="99"/>
    <w:semiHidden/>
    <w:unhideWhenUsed/>
    <w:rsid w:val="00DF58E7"/>
    <w:rPr>
      <w:vertAlign w:val="superscript"/>
    </w:rPr>
  </w:style>
  <w:style w:type="paragraph" w:customStyle="1" w:styleId="FoF">
    <w:name w:val="FoF"/>
    <w:basedOn w:val="Standard"/>
    <w:uiPriority w:val="6"/>
    <w:qFormat/>
    <w:rsid w:val="001E2A62"/>
    <w:pPr>
      <w:numPr>
        <w:numId w:val="3"/>
      </w:numPr>
      <w:ind w:firstLine="547"/>
    </w:pPr>
  </w:style>
  <w:style w:type="paragraph" w:customStyle="1" w:styleId="CoL">
    <w:name w:val="CoL"/>
    <w:basedOn w:val="Standard"/>
    <w:uiPriority w:val="7"/>
    <w:qFormat/>
    <w:rsid w:val="001E2A62"/>
    <w:pPr>
      <w:numPr>
        <w:numId w:val="4"/>
      </w:numPr>
      <w:ind w:firstLine="547"/>
    </w:pPr>
  </w:style>
  <w:style w:type="paragraph" w:styleId="NoSpacing">
    <w:name w:val="No Spacing"/>
    <w:basedOn w:val="Standard"/>
    <w:uiPriority w:val="1"/>
    <w:rsid w:val="001E2A62"/>
    <w:pPr>
      <w:spacing w:line="240" w:lineRule="auto"/>
      <w:ind w:firstLine="0"/>
    </w:pPr>
  </w:style>
  <w:style w:type="paragraph" w:customStyle="1" w:styleId="OP">
    <w:name w:val="OP"/>
    <w:basedOn w:val="Standard"/>
    <w:uiPriority w:val="8"/>
    <w:qFormat/>
    <w:rsid w:val="001E2A62"/>
    <w:pPr>
      <w:numPr>
        <w:numId w:val="5"/>
      </w:numPr>
    </w:pPr>
  </w:style>
  <w:style w:type="paragraph" w:styleId="BalloonText">
    <w:name w:val="Balloon Text"/>
    <w:basedOn w:val="Normal"/>
    <w:link w:val="BalloonTextChar"/>
    <w:uiPriority w:val="99"/>
    <w:semiHidden/>
    <w:unhideWhenUsed/>
    <w:rsid w:val="004C7D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D3A"/>
    <w:rPr>
      <w:rFonts w:ascii="Segoe UI" w:hAnsi="Segoe UI" w:cs="Segoe UI"/>
      <w:sz w:val="18"/>
      <w:szCs w:val="18"/>
    </w:rPr>
  </w:style>
  <w:style w:type="numbering" w:customStyle="1" w:styleId="Headings">
    <w:name w:val="Headings"/>
    <w:uiPriority w:val="99"/>
    <w:rsid w:val="000A56F2"/>
    <w:pPr>
      <w:numPr>
        <w:numId w:val="6"/>
      </w:numPr>
    </w:pPr>
  </w:style>
  <w:style w:type="paragraph" w:customStyle="1" w:styleId="Standard">
    <w:name w:val="Standard"/>
    <w:basedOn w:val="Normal"/>
    <w:qFormat/>
    <w:rsid w:val="007A406D"/>
  </w:style>
  <w:style w:type="paragraph" w:customStyle="1" w:styleId="ListAlpha">
    <w:name w:val="List Alpha"/>
    <w:basedOn w:val="Standard"/>
    <w:uiPriority w:val="4"/>
    <w:qFormat/>
    <w:rsid w:val="000A56F2"/>
    <w:pPr>
      <w:numPr>
        <w:ilvl w:val="7"/>
        <w:numId w:val="6"/>
      </w:numPr>
      <w:spacing w:after="120" w:line="240" w:lineRule="auto"/>
    </w:pPr>
  </w:style>
  <w:style w:type="paragraph" w:styleId="ListBullet">
    <w:name w:val="List Bullet"/>
    <w:basedOn w:val="Standard"/>
    <w:uiPriority w:val="4"/>
    <w:qFormat/>
    <w:rsid w:val="001F2819"/>
    <w:pPr>
      <w:numPr>
        <w:numId w:val="9"/>
      </w:numPr>
      <w:tabs>
        <w:tab w:val="clear" w:pos="360"/>
      </w:tabs>
      <w:spacing w:after="120" w:line="240" w:lineRule="auto"/>
      <w:ind w:left="1080"/>
    </w:pPr>
  </w:style>
  <w:style w:type="character" w:customStyle="1" w:styleId="Heading6Char">
    <w:name w:val="Heading 6 Char"/>
    <w:basedOn w:val="DefaultParagraphFont"/>
    <w:link w:val="Heading6"/>
    <w:rsid w:val="000A56F2"/>
    <w:rPr>
      <w:rFonts w:ascii="Arial" w:eastAsiaTheme="majorEastAsia" w:hAnsi="Arial" w:cstheme="majorBidi"/>
      <w:b/>
      <w:sz w:val="26"/>
      <w:szCs w:val="26"/>
    </w:rPr>
  </w:style>
  <w:style w:type="paragraph" w:styleId="TOC4">
    <w:name w:val="toc 4"/>
    <w:basedOn w:val="Normal"/>
    <w:next w:val="Normal"/>
    <w:autoRedefine/>
    <w:uiPriority w:val="39"/>
    <w:unhideWhenUsed/>
    <w:rsid w:val="008C7413"/>
    <w:pPr>
      <w:spacing w:line="240" w:lineRule="auto"/>
      <w:ind w:left="1728" w:hanging="1080"/>
    </w:pPr>
  </w:style>
  <w:style w:type="paragraph" w:styleId="TOC5">
    <w:name w:val="toc 5"/>
    <w:basedOn w:val="Normal"/>
    <w:next w:val="Normal"/>
    <w:autoRedefine/>
    <w:uiPriority w:val="39"/>
    <w:unhideWhenUsed/>
    <w:rsid w:val="008C7413"/>
    <w:pPr>
      <w:spacing w:line="240" w:lineRule="auto"/>
      <w:ind w:left="2160" w:hanging="1296"/>
    </w:pPr>
  </w:style>
  <w:style w:type="paragraph" w:styleId="TOC6">
    <w:name w:val="toc 6"/>
    <w:basedOn w:val="Normal"/>
    <w:next w:val="Normal"/>
    <w:autoRedefine/>
    <w:uiPriority w:val="39"/>
    <w:unhideWhenUsed/>
    <w:rsid w:val="008C7413"/>
    <w:pPr>
      <w:spacing w:line="240" w:lineRule="auto"/>
      <w:ind w:left="2592" w:hanging="1512"/>
    </w:pPr>
  </w:style>
  <w:style w:type="paragraph" w:customStyle="1" w:styleId="ALJBodyText">
    <w:name w:val="ALJ Body Text"/>
    <w:basedOn w:val="Normal"/>
    <w:link w:val="ALJBodyTextChar"/>
    <w:qFormat/>
    <w:rsid w:val="00844D9B"/>
    <w:rPr>
      <w:rFonts w:cs="Times New Roman"/>
      <w:szCs w:val="20"/>
    </w:rPr>
  </w:style>
  <w:style w:type="character" w:customStyle="1" w:styleId="ALJBodyTextChar">
    <w:name w:val="ALJ Body Text Char"/>
    <w:basedOn w:val="DefaultParagraphFont"/>
    <w:link w:val="ALJBodyText"/>
    <w:rsid w:val="00844D9B"/>
    <w:rPr>
      <w:rFonts w:ascii="Book Antiqua" w:hAnsi="Book Antiqua" w:cs="Times New Roman"/>
      <w:sz w:val="26"/>
      <w:szCs w:val="20"/>
    </w:rPr>
  </w:style>
  <w:style w:type="paragraph" w:customStyle="1" w:styleId="ALJTitle">
    <w:name w:val="ALJ Title"/>
    <w:basedOn w:val="ALJBodyText"/>
    <w:next w:val="ALJBodyText"/>
    <w:link w:val="ALJTitleChar"/>
    <w:qFormat/>
    <w:rsid w:val="00844D9B"/>
    <w:pPr>
      <w:spacing w:after="240" w:line="240" w:lineRule="auto"/>
      <w:ind w:firstLine="0"/>
      <w:jc w:val="center"/>
    </w:pPr>
    <w:rPr>
      <w:rFonts w:ascii="Arial" w:hAnsi="Arial" w:cs="Arial"/>
      <w:b/>
    </w:rPr>
  </w:style>
  <w:style w:type="character" w:customStyle="1" w:styleId="ALJTitleChar">
    <w:name w:val="ALJ Title Char"/>
    <w:basedOn w:val="ALJBodyTextChar"/>
    <w:link w:val="ALJTitle"/>
    <w:rsid w:val="00844D9B"/>
    <w:rPr>
      <w:rFonts w:ascii="Arial" w:hAnsi="Arial" w:cs="Arial"/>
      <w:b/>
      <w:sz w:val="26"/>
      <w:szCs w:val="20"/>
    </w:rPr>
  </w:style>
  <w:style w:type="paragraph" w:customStyle="1" w:styleId="ALJHeadingNo">
    <w:name w:val="ALJ Heading No #"/>
    <w:basedOn w:val="ALJBodyText"/>
    <w:next w:val="ALJBodyText"/>
    <w:link w:val="ALJHeadingNoChar"/>
    <w:qFormat/>
    <w:rsid w:val="00844D9B"/>
    <w:pPr>
      <w:keepNext/>
      <w:spacing w:before="120" w:after="120" w:line="240" w:lineRule="auto"/>
      <w:ind w:firstLine="0"/>
    </w:pPr>
    <w:rPr>
      <w:rFonts w:ascii="Arial" w:hAnsi="Arial" w:cs="Arial"/>
      <w:b/>
    </w:rPr>
  </w:style>
  <w:style w:type="character" w:customStyle="1" w:styleId="ALJHeadingNoChar">
    <w:name w:val="ALJ Heading No # Char"/>
    <w:basedOn w:val="ALJBodyTextChar"/>
    <w:link w:val="ALJHeadingNo"/>
    <w:rsid w:val="00844D9B"/>
    <w:rPr>
      <w:rFonts w:ascii="Arial" w:hAnsi="Arial" w:cs="Arial"/>
      <w:b/>
      <w:sz w:val="26"/>
      <w:szCs w:val="20"/>
    </w:rPr>
  </w:style>
  <w:style w:type="character" w:customStyle="1" w:styleId="Heading7Char">
    <w:name w:val="Heading 7 Char"/>
    <w:basedOn w:val="DefaultParagraphFont"/>
    <w:link w:val="Heading7"/>
    <w:rsid w:val="00844D9B"/>
    <w:rPr>
      <w:rFonts w:ascii="Helvetica" w:eastAsia="Times New Roman" w:hAnsi="Helvetica" w:cs="Times New Roman"/>
      <w:b/>
      <w:sz w:val="26"/>
      <w:szCs w:val="20"/>
    </w:rPr>
  </w:style>
  <w:style w:type="character" w:customStyle="1" w:styleId="Heading9Char">
    <w:name w:val="Heading 9 Char"/>
    <w:basedOn w:val="DefaultParagraphFont"/>
    <w:link w:val="Heading9"/>
    <w:rsid w:val="00844D9B"/>
    <w:rPr>
      <w:rFonts w:ascii="Helvetica" w:eastAsia="Times New Roman" w:hAnsi="Helvetica" w:cs="Times New Roman"/>
      <w:b/>
      <w:sz w:val="26"/>
      <w:szCs w:val="24"/>
    </w:rPr>
  </w:style>
  <w:style w:type="paragraph" w:customStyle="1" w:styleId="ALJHeading1">
    <w:name w:val="ALJ Heading 1"/>
    <w:basedOn w:val="Heading1"/>
    <w:next w:val="ALJBodyText"/>
    <w:link w:val="ALJHeading1Char"/>
    <w:qFormat/>
    <w:rsid w:val="00844D9B"/>
    <w:pPr>
      <w:keepLines w:val="0"/>
      <w:numPr>
        <w:numId w:val="10"/>
      </w:numPr>
      <w:spacing w:before="120"/>
      <w:ind w:right="720"/>
    </w:pPr>
    <w:rPr>
      <w:rFonts w:eastAsia="Times New Roman" w:cs="Arial"/>
      <w:kern w:val="28"/>
      <w:szCs w:val="26"/>
    </w:rPr>
  </w:style>
  <w:style w:type="paragraph" w:customStyle="1" w:styleId="ALJHeading2">
    <w:name w:val="ALJ Heading 2"/>
    <w:basedOn w:val="Heading2"/>
    <w:next w:val="ALJBodyText"/>
    <w:link w:val="ALJHeading2Char"/>
    <w:qFormat/>
    <w:rsid w:val="00844D9B"/>
    <w:pPr>
      <w:keepLines w:val="0"/>
      <w:numPr>
        <w:numId w:val="10"/>
      </w:numPr>
      <w:tabs>
        <w:tab w:val="left" w:pos="1080"/>
      </w:tabs>
      <w:spacing w:before="120"/>
    </w:pPr>
    <w:rPr>
      <w:rFonts w:eastAsia="Times New Roman"/>
    </w:rPr>
  </w:style>
  <w:style w:type="character" w:customStyle="1" w:styleId="ALJHeading1Char">
    <w:name w:val="ALJ Heading 1 Char"/>
    <w:basedOn w:val="ALJBodyTextChar"/>
    <w:link w:val="ALJHeading1"/>
    <w:rsid w:val="00844D9B"/>
    <w:rPr>
      <w:rFonts w:ascii="Arial" w:eastAsia="Times New Roman" w:hAnsi="Arial" w:cs="Arial"/>
      <w:b/>
      <w:kern w:val="28"/>
      <w:sz w:val="26"/>
      <w:szCs w:val="26"/>
    </w:rPr>
  </w:style>
  <w:style w:type="paragraph" w:customStyle="1" w:styleId="ALJHeading3">
    <w:name w:val="ALJ Heading 3"/>
    <w:basedOn w:val="Heading3"/>
    <w:next w:val="ALJBodyText"/>
    <w:link w:val="ALJHeading3Char"/>
    <w:qFormat/>
    <w:rsid w:val="00844D9B"/>
    <w:pPr>
      <w:keepLines w:val="0"/>
      <w:numPr>
        <w:numId w:val="10"/>
      </w:numPr>
      <w:tabs>
        <w:tab w:val="left" w:pos="1620"/>
      </w:tabs>
      <w:spacing w:before="120"/>
    </w:pPr>
    <w:rPr>
      <w:rFonts w:eastAsia="Times New Roman" w:cs="Arial"/>
      <w:szCs w:val="26"/>
    </w:rPr>
  </w:style>
  <w:style w:type="character" w:customStyle="1" w:styleId="ALJHeading2Char">
    <w:name w:val="ALJ Heading 2 Char"/>
    <w:basedOn w:val="ALJBodyTextChar"/>
    <w:link w:val="ALJHeading2"/>
    <w:rsid w:val="00844D9B"/>
    <w:rPr>
      <w:rFonts w:ascii="Arial" w:eastAsia="Times New Roman" w:hAnsi="Arial" w:cs="Arial"/>
      <w:b/>
      <w:sz w:val="26"/>
      <w:szCs w:val="26"/>
    </w:rPr>
  </w:style>
  <w:style w:type="character" w:customStyle="1" w:styleId="ALJHeading3Char">
    <w:name w:val="ALJ Heading 3 Char"/>
    <w:basedOn w:val="ALJBodyTextChar"/>
    <w:link w:val="ALJHeading3"/>
    <w:rsid w:val="00844D9B"/>
    <w:rPr>
      <w:rFonts w:ascii="Arial" w:eastAsia="Times New Roman" w:hAnsi="Arial" w:cs="Arial"/>
      <w:b/>
      <w:sz w:val="26"/>
      <w:szCs w:val="26"/>
    </w:rPr>
  </w:style>
  <w:style w:type="paragraph" w:customStyle="1" w:styleId="contentservernumber">
    <w:name w:val="content server number"/>
    <w:basedOn w:val="Footer"/>
    <w:link w:val="contentservernumberChar"/>
    <w:rsid w:val="00844D9B"/>
    <w:pPr>
      <w:ind w:firstLine="0"/>
    </w:pPr>
    <w:rPr>
      <w:rFonts w:ascii="Arial" w:hAnsi="Arial" w:cs="Arial"/>
      <w:sz w:val="16"/>
      <w:szCs w:val="16"/>
    </w:rPr>
  </w:style>
  <w:style w:type="character" w:customStyle="1" w:styleId="contentservernumberChar">
    <w:name w:val="content server number Char"/>
    <w:basedOn w:val="FooterChar"/>
    <w:link w:val="contentservernumber"/>
    <w:rsid w:val="00844D9B"/>
    <w:rPr>
      <w:rFonts w:ascii="Arial" w:hAnsi="Arial" w:cs="Arial"/>
      <w:sz w:val="16"/>
      <w:szCs w:val="16"/>
    </w:rPr>
  </w:style>
  <w:style w:type="paragraph" w:customStyle="1" w:styleId="ALJFootnote">
    <w:name w:val="ALJ Footnote"/>
    <w:basedOn w:val="FootnoteText"/>
    <w:link w:val="ALJFootnoteChar"/>
    <w:qFormat/>
    <w:rsid w:val="00844D9B"/>
    <w:rPr>
      <w:rFonts w:cs="Times New Roman"/>
      <w:szCs w:val="24"/>
    </w:rPr>
  </w:style>
  <w:style w:type="character" w:customStyle="1" w:styleId="ALJFootnoteChar">
    <w:name w:val="ALJ Footnote Char"/>
    <w:basedOn w:val="FootnoteTextChar"/>
    <w:link w:val="ALJFootnote"/>
    <w:rsid w:val="00844D9B"/>
    <w:rPr>
      <w:rFonts w:ascii="Book Antiqua" w:hAnsi="Book Antiqua" w:cs="Times New Roman"/>
      <w:szCs w:val="24"/>
    </w:rPr>
  </w:style>
  <w:style w:type="paragraph" w:customStyle="1" w:styleId="FindingofFAct">
    <w:name w:val="Finding of FAct"/>
    <w:basedOn w:val="ALJBodyText"/>
    <w:link w:val="FindingofFActChar"/>
    <w:qFormat/>
    <w:rsid w:val="00844D9B"/>
    <w:pPr>
      <w:numPr>
        <w:numId w:val="15"/>
      </w:numPr>
      <w:ind w:left="0" w:firstLine="720"/>
    </w:pPr>
  </w:style>
  <w:style w:type="paragraph" w:customStyle="1" w:styleId="conclusionoflaw">
    <w:name w:val="conclusion of law"/>
    <w:basedOn w:val="ALJBodyText"/>
    <w:link w:val="conclusionoflawChar"/>
    <w:qFormat/>
    <w:rsid w:val="00844D9B"/>
    <w:pPr>
      <w:numPr>
        <w:numId w:val="16"/>
      </w:numPr>
      <w:ind w:left="0" w:firstLine="720"/>
    </w:pPr>
  </w:style>
  <w:style w:type="character" w:customStyle="1" w:styleId="FindingofFActChar">
    <w:name w:val="Finding of FAct Char"/>
    <w:basedOn w:val="ALJBodyTextChar"/>
    <w:link w:val="FindingofFAct"/>
    <w:rsid w:val="00844D9B"/>
    <w:rPr>
      <w:rFonts w:ascii="Book Antiqua" w:hAnsi="Book Antiqua" w:cs="Times New Roman"/>
      <w:sz w:val="26"/>
      <w:szCs w:val="20"/>
    </w:rPr>
  </w:style>
  <w:style w:type="paragraph" w:customStyle="1" w:styleId="ALJHeading4">
    <w:name w:val="ALJ Heading 4"/>
    <w:basedOn w:val="Heading4"/>
    <w:next w:val="ALJBodyText"/>
    <w:link w:val="ALJHeading4Char"/>
    <w:qFormat/>
    <w:rsid w:val="00844D9B"/>
    <w:pPr>
      <w:keepLines w:val="0"/>
      <w:numPr>
        <w:ilvl w:val="0"/>
        <w:numId w:val="18"/>
      </w:numPr>
      <w:tabs>
        <w:tab w:val="left" w:pos="1800"/>
      </w:tabs>
      <w:spacing w:before="120"/>
    </w:pPr>
    <w:rPr>
      <w:rFonts w:ascii="Helvetica" w:eastAsia="Times New Roman" w:hAnsi="Helvetica" w:cs="Times New Roman"/>
      <w:iCs w:val="0"/>
    </w:rPr>
  </w:style>
  <w:style w:type="character" w:customStyle="1" w:styleId="conclusionoflawChar">
    <w:name w:val="conclusion of law Char"/>
    <w:basedOn w:val="ALJBodyTextChar"/>
    <w:link w:val="conclusionoflaw"/>
    <w:rsid w:val="00844D9B"/>
    <w:rPr>
      <w:rFonts w:ascii="Book Antiqua" w:hAnsi="Book Antiqua" w:cs="Times New Roman"/>
      <w:sz w:val="26"/>
      <w:szCs w:val="20"/>
    </w:rPr>
  </w:style>
  <w:style w:type="paragraph" w:styleId="ListParagraph">
    <w:name w:val="List Paragraph"/>
    <w:basedOn w:val="Normal"/>
    <w:uiPriority w:val="34"/>
    <w:qFormat/>
    <w:rsid w:val="00844D9B"/>
    <w:pPr>
      <w:numPr>
        <w:numId w:val="21"/>
      </w:numPr>
      <w:spacing w:after="240" w:line="240" w:lineRule="auto"/>
    </w:pPr>
    <w:rPr>
      <w:rFonts w:cs="Times New Roman"/>
      <w:szCs w:val="20"/>
    </w:rPr>
  </w:style>
  <w:style w:type="character" w:customStyle="1" w:styleId="ALJHeading4Char">
    <w:name w:val="ALJ Heading 4 Char"/>
    <w:basedOn w:val="ALJBodyTextChar"/>
    <w:link w:val="ALJHeading4"/>
    <w:rsid w:val="00844D9B"/>
    <w:rPr>
      <w:rFonts w:ascii="Helvetica" w:eastAsia="Times New Roman" w:hAnsi="Helvetica" w:cs="Times New Roman"/>
      <w:b/>
      <w:sz w:val="26"/>
      <w:szCs w:val="26"/>
    </w:rPr>
  </w:style>
  <w:style w:type="paragraph" w:customStyle="1" w:styleId="tabletext">
    <w:name w:val="table text"/>
    <w:basedOn w:val="ALJBodyText"/>
    <w:link w:val="tabletextChar"/>
    <w:qFormat/>
    <w:rsid w:val="00844D9B"/>
    <w:pPr>
      <w:spacing w:after="120" w:line="240" w:lineRule="auto"/>
      <w:ind w:firstLine="0"/>
    </w:pPr>
  </w:style>
  <w:style w:type="paragraph" w:customStyle="1" w:styleId="TableColumnHeading">
    <w:name w:val="Table Column Heading"/>
    <w:basedOn w:val="ALJBodyText"/>
    <w:link w:val="TableColumnHeadingChar"/>
    <w:qFormat/>
    <w:rsid w:val="00844D9B"/>
    <w:pPr>
      <w:ind w:firstLine="0"/>
      <w:jc w:val="center"/>
    </w:pPr>
    <w:rPr>
      <w:rFonts w:ascii="Arial" w:hAnsi="Arial" w:cs="Arial"/>
      <w:b/>
    </w:rPr>
  </w:style>
  <w:style w:type="character" w:customStyle="1" w:styleId="tabletextChar">
    <w:name w:val="table text Char"/>
    <w:basedOn w:val="ALJBodyTextChar"/>
    <w:link w:val="tabletext"/>
    <w:rsid w:val="00844D9B"/>
    <w:rPr>
      <w:rFonts w:ascii="Book Antiqua" w:hAnsi="Book Antiqua" w:cs="Times New Roman"/>
      <w:sz w:val="26"/>
      <w:szCs w:val="20"/>
    </w:rPr>
  </w:style>
  <w:style w:type="paragraph" w:customStyle="1" w:styleId="ALJOP">
    <w:name w:val="ALJ OP"/>
    <w:basedOn w:val="ALJBodyText"/>
    <w:link w:val="ALJOPChar"/>
    <w:qFormat/>
    <w:rsid w:val="00844D9B"/>
    <w:pPr>
      <w:numPr>
        <w:numId w:val="17"/>
      </w:numPr>
      <w:ind w:left="0" w:firstLine="720"/>
    </w:pPr>
  </w:style>
  <w:style w:type="character" w:customStyle="1" w:styleId="TableColumnHeadingChar">
    <w:name w:val="Table Column Heading Char"/>
    <w:basedOn w:val="ALJBodyTextChar"/>
    <w:link w:val="TableColumnHeading"/>
    <w:rsid w:val="00844D9B"/>
    <w:rPr>
      <w:rFonts w:ascii="Arial" w:hAnsi="Arial" w:cs="Arial"/>
      <w:b/>
      <w:sz w:val="26"/>
      <w:szCs w:val="20"/>
    </w:rPr>
  </w:style>
  <w:style w:type="paragraph" w:customStyle="1" w:styleId="ALJBlockQuote">
    <w:name w:val="ALJ Block Quote"/>
    <w:basedOn w:val="ALJBodyText"/>
    <w:next w:val="ALJBodyText"/>
    <w:link w:val="ALJBlockQuoteChar"/>
    <w:qFormat/>
    <w:rsid w:val="00844D9B"/>
    <w:pPr>
      <w:spacing w:before="120" w:after="120" w:line="240" w:lineRule="auto"/>
      <w:ind w:left="1440" w:right="1440" w:firstLine="0"/>
    </w:pPr>
  </w:style>
  <w:style w:type="character" w:customStyle="1" w:styleId="ALJOPChar">
    <w:name w:val="ALJ OP Char"/>
    <w:basedOn w:val="ALJBodyTextChar"/>
    <w:link w:val="ALJOP"/>
    <w:rsid w:val="00844D9B"/>
    <w:rPr>
      <w:rFonts w:ascii="Book Antiqua" w:hAnsi="Book Antiqua" w:cs="Times New Roman"/>
      <w:sz w:val="26"/>
      <w:szCs w:val="20"/>
    </w:rPr>
  </w:style>
  <w:style w:type="paragraph" w:customStyle="1" w:styleId="standard0">
    <w:name w:val="standard"/>
    <w:basedOn w:val="Normal"/>
    <w:link w:val="standardChar"/>
    <w:rsid w:val="00844D9B"/>
    <w:rPr>
      <w:rFonts w:ascii="Palatino" w:eastAsia="Times New Roman" w:hAnsi="Palatino" w:cs="Times New Roman"/>
      <w:szCs w:val="20"/>
    </w:rPr>
  </w:style>
  <w:style w:type="character" w:customStyle="1" w:styleId="ALJBlockQuoteChar">
    <w:name w:val="ALJ Block Quote Char"/>
    <w:basedOn w:val="ALJBodyTextChar"/>
    <w:link w:val="ALJBlockQuote"/>
    <w:rsid w:val="00844D9B"/>
    <w:rPr>
      <w:rFonts w:ascii="Book Antiqua" w:hAnsi="Book Antiqua" w:cs="Times New Roman"/>
      <w:sz w:val="26"/>
      <w:szCs w:val="20"/>
    </w:rPr>
  </w:style>
  <w:style w:type="character" w:customStyle="1" w:styleId="standardChar">
    <w:name w:val="standard Char"/>
    <w:link w:val="standard0"/>
    <w:rsid w:val="00844D9B"/>
    <w:rPr>
      <w:rFonts w:ascii="Palatino" w:eastAsia="Times New Roman" w:hAnsi="Palatino" w:cs="Times New Roman"/>
      <w:sz w:val="26"/>
      <w:szCs w:val="20"/>
    </w:rPr>
  </w:style>
  <w:style w:type="character" w:styleId="CommentReference">
    <w:name w:val="annotation reference"/>
    <w:basedOn w:val="DefaultParagraphFont"/>
    <w:uiPriority w:val="99"/>
    <w:semiHidden/>
    <w:unhideWhenUsed/>
    <w:rsid w:val="00844D9B"/>
    <w:rPr>
      <w:sz w:val="16"/>
      <w:szCs w:val="16"/>
    </w:rPr>
  </w:style>
  <w:style w:type="paragraph" w:styleId="CommentText">
    <w:name w:val="annotation text"/>
    <w:basedOn w:val="Normal"/>
    <w:link w:val="CommentTextChar"/>
    <w:semiHidden/>
    <w:unhideWhenUsed/>
    <w:rsid w:val="00844D9B"/>
    <w:pPr>
      <w:spacing w:line="240" w:lineRule="auto"/>
      <w:ind w:firstLine="0"/>
    </w:pPr>
    <w:rPr>
      <w:rFonts w:cs="Times New Roman"/>
      <w:sz w:val="20"/>
      <w:szCs w:val="20"/>
    </w:rPr>
  </w:style>
  <w:style w:type="character" w:customStyle="1" w:styleId="CommentTextChar">
    <w:name w:val="Comment Text Char"/>
    <w:basedOn w:val="DefaultParagraphFont"/>
    <w:link w:val="CommentText"/>
    <w:semiHidden/>
    <w:rsid w:val="00844D9B"/>
    <w:rPr>
      <w:rFonts w:ascii="Book Antiqua" w:hAnsi="Book Antiqua" w:cs="Times New Roman"/>
      <w:sz w:val="20"/>
      <w:szCs w:val="20"/>
    </w:rPr>
  </w:style>
  <w:style w:type="paragraph" w:styleId="CommentSubject">
    <w:name w:val="annotation subject"/>
    <w:basedOn w:val="CommentText"/>
    <w:next w:val="CommentText"/>
    <w:link w:val="CommentSubjectChar"/>
    <w:uiPriority w:val="99"/>
    <w:semiHidden/>
    <w:unhideWhenUsed/>
    <w:rsid w:val="00844D9B"/>
    <w:rPr>
      <w:b/>
      <w:bCs/>
    </w:rPr>
  </w:style>
  <w:style w:type="character" w:customStyle="1" w:styleId="CommentSubjectChar">
    <w:name w:val="Comment Subject Char"/>
    <w:basedOn w:val="CommentTextChar"/>
    <w:link w:val="CommentSubject"/>
    <w:uiPriority w:val="99"/>
    <w:semiHidden/>
    <w:rsid w:val="00844D9B"/>
    <w:rPr>
      <w:rFonts w:ascii="Book Antiqua" w:hAnsi="Book Antiqua"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semiHidden="0" w:uiPriority="0" w:unhideWhenUsed="0"/>
    <w:lsdException w:name="heading 7" w:uiPriority="0" w:unhideWhenUsed="0" w:qFormat="1"/>
    <w:lsdException w:name="heading 8" w:uiPriority="9" w:unhideWhenUsed="0" w:qFormat="1"/>
    <w:lsdException w:name="heading 9"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List Bullet" w:semiHidden="0" w:uiPriority="4" w:unhideWhenUsed="0" w:qFormat="1"/>
    <w:lsdException w:name="Title" w:semiHidden="0"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rsid w:val="00B46674"/>
    <w:pPr>
      <w:spacing w:after="0" w:line="360" w:lineRule="auto"/>
      <w:ind w:firstLine="720"/>
    </w:pPr>
    <w:rPr>
      <w:rFonts w:ascii="Book Antiqua" w:hAnsi="Book Antiqua"/>
      <w:sz w:val="26"/>
    </w:rPr>
  </w:style>
  <w:style w:type="paragraph" w:styleId="Heading1">
    <w:name w:val="heading 1"/>
    <w:basedOn w:val="Dummy"/>
    <w:next w:val="Standard"/>
    <w:link w:val="Heading1Char"/>
    <w:qFormat/>
    <w:rsid w:val="000A56F2"/>
    <w:pPr>
      <w:numPr>
        <w:numId w:val="6"/>
      </w:numPr>
    </w:pPr>
    <w:rPr>
      <w:rFonts w:eastAsiaTheme="majorEastAsia" w:cstheme="majorBidi"/>
      <w:szCs w:val="32"/>
    </w:rPr>
  </w:style>
  <w:style w:type="paragraph" w:styleId="Heading2">
    <w:name w:val="heading 2"/>
    <w:basedOn w:val="Dummy"/>
    <w:next w:val="Standard"/>
    <w:link w:val="Heading2Char"/>
    <w:qFormat/>
    <w:rsid w:val="000A56F2"/>
    <w:pPr>
      <w:numPr>
        <w:ilvl w:val="1"/>
        <w:numId w:val="6"/>
      </w:numPr>
      <w:outlineLvl w:val="1"/>
    </w:pPr>
  </w:style>
  <w:style w:type="paragraph" w:styleId="Heading3">
    <w:name w:val="heading 3"/>
    <w:basedOn w:val="Dummy"/>
    <w:next w:val="Standard"/>
    <w:link w:val="Heading3Char"/>
    <w:qFormat/>
    <w:rsid w:val="000A56F2"/>
    <w:pPr>
      <w:numPr>
        <w:ilvl w:val="2"/>
        <w:numId w:val="6"/>
      </w:numPr>
      <w:outlineLvl w:val="2"/>
    </w:pPr>
    <w:rPr>
      <w:rFonts w:eastAsiaTheme="majorEastAsia" w:cstheme="majorBidi"/>
      <w:szCs w:val="24"/>
    </w:rPr>
  </w:style>
  <w:style w:type="paragraph" w:styleId="Heading4">
    <w:name w:val="heading 4"/>
    <w:basedOn w:val="Dummy"/>
    <w:next w:val="Standard"/>
    <w:link w:val="Heading4Char"/>
    <w:rsid w:val="000A56F2"/>
    <w:pPr>
      <w:numPr>
        <w:ilvl w:val="3"/>
        <w:numId w:val="6"/>
      </w:numPr>
      <w:outlineLvl w:val="3"/>
    </w:pPr>
    <w:rPr>
      <w:rFonts w:eastAsiaTheme="majorEastAsia" w:cstheme="majorBidi"/>
      <w:iCs/>
    </w:rPr>
  </w:style>
  <w:style w:type="paragraph" w:styleId="Heading5">
    <w:name w:val="heading 5"/>
    <w:basedOn w:val="Dummy"/>
    <w:next w:val="Standard"/>
    <w:link w:val="Heading5Char"/>
    <w:rsid w:val="000A56F2"/>
    <w:pPr>
      <w:numPr>
        <w:ilvl w:val="4"/>
        <w:numId w:val="6"/>
      </w:numPr>
      <w:outlineLvl w:val="4"/>
    </w:pPr>
    <w:rPr>
      <w:rFonts w:eastAsiaTheme="majorEastAsia" w:cstheme="majorBidi"/>
    </w:rPr>
  </w:style>
  <w:style w:type="paragraph" w:styleId="Heading6">
    <w:name w:val="heading 6"/>
    <w:basedOn w:val="Dummy"/>
    <w:next w:val="Standard"/>
    <w:link w:val="Heading6Char"/>
    <w:rsid w:val="000A56F2"/>
    <w:pPr>
      <w:numPr>
        <w:ilvl w:val="5"/>
        <w:numId w:val="6"/>
      </w:numPr>
      <w:spacing w:before="40"/>
      <w:outlineLvl w:val="5"/>
    </w:pPr>
    <w:rPr>
      <w:rFonts w:eastAsiaTheme="majorEastAsia" w:cstheme="majorBidi"/>
    </w:rPr>
  </w:style>
  <w:style w:type="paragraph" w:styleId="Heading7">
    <w:name w:val="heading 7"/>
    <w:basedOn w:val="Normal"/>
    <w:next w:val="Normal"/>
    <w:link w:val="Heading7Char"/>
    <w:rsid w:val="00844D9B"/>
    <w:pPr>
      <w:tabs>
        <w:tab w:val="left" w:pos="2520"/>
      </w:tabs>
      <w:spacing w:before="120" w:after="120" w:line="240" w:lineRule="auto"/>
      <w:ind w:left="2520" w:hanging="1800"/>
      <w:outlineLvl w:val="6"/>
    </w:pPr>
    <w:rPr>
      <w:rFonts w:ascii="Helvetica" w:eastAsia="Times New Roman" w:hAnsi="Helvetica" w:cs="Times New Roman"/>
      <w:b/>
      <w:szCs w:val="20"/>
    </w:rPr>
  </w:style>
  <w:style w:type="paragraph" w:styleId="Heading9">
    <w:name w:val="heading 9"/>
    <w:basedOn w:val="Normal"/>
    <w:next w:val="Normal"/>
    <w:link w:val="Heading9Char"/>
    <w:autoRedefine/>
    <w:rsid w:val="00844D9B"/>
    <w:pPr>
      <w:tabs>
        <w:tab w:val="left" w:pos="2880"/>
      </w:tabs>
      <w:spacing w:before="120" w:after="120" w:line="240" w:lineRule="auto"/>
      <w:ind w:left="2880" w:hanging="2160"/>
      <w:outlineLvl w:val="8"/>
    </w:pPr>
    <w:rPr>
      <w:rFonts w:ascii="Helvetica" w:eastAsia="Times New Roman" w:hAnsi="Helvetica"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7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6017B"/>
    <w:rPr>
      <w:rFonts w:ascii="Arial" w:eastAsiaTheme="majorEastAsia" w:hAnsi="Arial" w:cstheme="majorBidi"/>
      <w:b/>
      <w:sz w:val="26"/>
      <w:szCs w:val="32"/>
    </w:rPr>
  </w:style>
  <w:style w:type="paragraph" w:styleId="TOCHeading">
    <w:name w:val="TOC Heading"/>
    <w:next w:val="Normal"/>
    <w:uiPriority w:val="39"/>
    <w:unhideWhenUsed/>
    <w:qFormat/>
    <w:rsid w:val="001E2A62"/>
    <w:pPr>
      <w:spacing w:line="240" w:lineRule="auto"/>
      <w:jc w:val="center"/>
    </w:pPr>
    <w:rPr>
      <w:rFonts w:ascii="Arial" w:eastAsiaTheme="majorEastAsia" w:hAnsi="Arial" w:cstheme="majorBidi"/>
      <w:b/>
      <w:sz w:val="26"/>
      <w:szCs w:val="32"/>
    </w:rPr>
  </w:style>
  <w:style w:type="paragraph" w:styleId="Title">
    <w:name w:val="Title"/>
    <w:basedOn w:val="Dummy"/>
    <w:next w:val="Normal"/>
    <w:link w:val="TitleChar"/>
    <w:uiPriority w:val="10"/>
    <w:semiHidden/>
    <w:rsid w:val="00121089"/>
    <w:pPr>
      <w:spacing w:after="0"/>
      <w:contextualSpacing/>
      <w:jc w:val="center"/>
    </w:pPr>
    <w:rPr>
      <w:rFonts w:eastAsiaTheme="majorEastAsia" w:cstheme="majorBidi"/>
      <w:caps/>
      <w:szCs w:val="56"/>
    </w:rPr>
  </w:style>
  <w:style w:type="character" w:customStyle="1" w:styleId="TitleChar">
    <w:name w:val="Title Char"/>
    <w:basedOn w:val="DefaultParagraphFont"/>
    <w:link w:val="Title"/>
    <w:uiPriority w:val="10"/>
    <w:semiHidden/>
    <w:rsid w:val="0036017B"/>
    <w:rPr>
      <w:rFonts w:ascii="Arial" w:eastAsiaTheme="majorEastAsia" w:hAnsi="Arial" w:cstheme="majorBidi"/>
      <w:b/>
      <w:caps/>
      <w:sz w:val="26"/>
      <w:szCs w:val="56"/>
    </w:rPr>
  </w:style>
  <w:style w:type="paragraph" w:customStyle="1" w:styleId="Dummy">
    <w:name w:val="Dummy"/>
    <w:next w:val="Normal"/>
    <w:uiPriority w:val="19"/>
    <w:rsid w:val="00F62B7A"/>
    <w:pPr>
      <w:keepNext/>
      <w:keepLines/>
      <w:spacing w:after="120" w:line="240" w:lineRule="auto"/>
      <w:outlineLvl w:val="0"/>
    </w:pPr>
    <w:rPr>
      <w:rFonts w:ascii="Arial" w:hAnsi="Arial" w:cs="Arial"/>
      <w:b/>
      <w:sz w:val="26"/>
      <w:szCs w:val="26"/>
    </w:rPr>
  </w:style>
  <w:style w:type="character" w:customStyle="1" w:styleId="Heading2Char">
    <w:name w:val="Heading 2 Char"/>
    <w:basedOn w:val="DefaultParagraphFont"/>
    <w:link w:val="Heading2"/>
    <w:rsid w:val="00ED5725"/>
    <w:rPr>
      <w:rFonts w:ascii="Arial" w:hAnsi="Arial" w:cs="Arial"/>
      <w:b/>
      <w:sz w:val="26"/>
      <w:szCs w:val="26"/>
    </w:rPr>
  </w:style>
  <w:style w:type="character" w:customStyle="1" w:styleId="Heading3Char">
    <w:name w:val="Heading 3 Char"/>
    <w:basedOn w:val="DefaultParagraphFont"/>
    <w:link w:val="Heading3"/>
    <w:rsid w:val="00722850"/>
    <w:rPr>
      <w:rFonts w:ascii="Arial" w:eastAsiaTheme="majorEastAsia" w:hAnsi="Arial" w:cstheme="majorBidi"/>
      <w:b/>
      <w:sz w:val="26"/>
      <w:szCs w:val="24"/>
    </w:rPr>
  </w:style>
  <w:style w:type="character" w:customStyle="1" w:styleId="Heading4Char">
    <w:name w:val="Heading 4 Char"/>
    <w:basedOn w:val="DefaultParagraphFont"/>
    <w:link w:val="Heading4"/>
    <w:rsid w:val="007A406D"/>
    <w:rPr>
      <w:rFonts w:ascii="Arial" w:eastAsiaTheme="majorEastAsia" w:hAnsi="Arial" w:cstheme="majorBidi"/>
      <w:b/>
      <w:iCs/>
      <w:sz w:val="26"/>
      <w:szCs w:val="26"/>
    </w:rPr>
  </w:style>
  <w:style w:type="character" w:customStyle="1" w:styleId="Heading5Char">
    <w:name w:val="Heading 5 Char"/>
    <w:basedOn w:val="DefaultParagraphFont"/>
    <w:link w:val="Heading5"/>
    <w:rsid w:val="008A179F"/>
    <w:rPr>
      <w:rFonts w:ascii="Arial" w:eastAsiaTheme="majorEastAsia" w:hAnsi="Arial" w:cstheme="majorBidi"/>
      <w:b/>
      <w:sz w:val="26"/>
      <w:szCs w:val="26"/>
    </w:rPr>
  </w:style>
  <w:style w:type="paragraph" w:customStyle="1" w:styleId="Main">
    <w:name w:val="Main"/>
    <w:next w:val="Normal"/>
    <w:uiPriority w:val="19"/>
    <w:rsid w:val="00F62B7A"/>
    <w:pPr>
      <w:spacing w:after="0" w:line="240" w:lineRule="auto"/>
      <w:jc w:val="center"/>
    </w:pPr>
    <w:rPr>
      <w:rFonts w:ascii="Arial" w:eastAsiaTheme="majorEastAsia" w:hAnsi="Arial" w:cstheme="majorBidi"/>
      <w:b/>
      <w:caps/>
      <w:sz w:val="26"/>
      <w:szCs w:val="56"/>
    </w:rPr>
  </w:style>
  <w:style w:type="paragraph" w:customStyle="1" w:styleId="Mainex">
    <w:name w:val="Mainex"/>
    <w:basedOn w:val="Main"/>
    <w:next w:val="Normal"/>
    <w:uiPriority w:val="19"/>
    <w:rsid w:val="000A6E05"/>
    <w:pPr>
      <w:keepNext/>
      <w:spacing w:line="360" w:lineRule="auto"/>
      <w:outlineLvl w:val="0"/>
    </w:pPr>
    <w:rPr>
      <w:spacing w:val="120"/>
    </w:rPr>
  </w:style>
  <w:style w:type="paragraph" w:styleId="TOC2">
    <w:name w:val="toc 2"/>
    <w:basedOn w:val="Normal"/>
    <w:next w:val="Normal"/>
    <w:uiPriority w:val="39"/>
    <w:unhideWhenUsed/>
    <w:rsid w:val="00ED5725"/>
    <w:pPr>
      <w:spacing w:line="240" w:lineRule="auto"/>
      <w:ind w:left="864" w:hanging="648"/>
    </w:pPr>
    <w:rPr>
      <w:rFonts w:eastAsiaTheme="minorEastAsia" w:cs="Times New Roman"/>
    </w:rPr>
  </w:style>
  <w:style w:type="paragraph" w:styleId="TOC1">
    <w:name w:val="toc 1"/>
    <w:basedOn w:val="Normal"/>
    <w:next w:val="Normal"/>
    <w:uiPriority w:val="39"/>
    <w:unhideWhenUsed/>
    <w:rsid w:val="00ED5725"/>
    <w:pPr>
      <w:spacing w:line="240" w:lineRule="auto"/>
      <w:ind w:left="432" w:hanging="432"/>
    </w:pPr>
    <w:rPr>
      <w:rFonts w:eastAsiaTheme="minorEastAsia" w:cs="Times New Roman"/>
    </w:rPr>
  </w:style>
  <w:style w:type="paragraph" w:styleId="TOC3">
    <w:name w:val="toc 3"/>
    <w:basedOn w:val="Normal"/>
    <w:next w:val="Normal"/>
    <w:uiPriority w:val="39"/>
    <w:unhideWhenUsed/>
    <w:rsid w:val="008C7413"/>
    <w:pPr>
      <w:spacing w:line="240" w:lineRule="auto"/>
      <w:ind w:left="1296" w:hanging="864"/>
    </w:pPr>
    <w:rPr>
      <w:rFonts w:eastAsiaTheme="minorEastAsia" w:cs="Times New Roman"/>
    </w:rPr>
  </w:style>
  <w:style w:type="character" w:styleId="Hyperlink">
    <w:name w:val="Hyperlink"/>
    <w:basedOn w:val="DefaultParagraphFont"/>
    <w:uiPriority w:val="99"/>
    <w:rsid w:val="00D82A43"/>
    <w:rPr>
      <w:color w:val="0563C1" w:themeColor="hyperlink"/>
      <w:u w:val="single"/>
    </w:rPr>
  </w:style>
  <w:style w:type="numbering" w:customStyle="1" w:styleId="FoFCoLOP">
    <w:name w:val="FoF/CoL/OP"/>
    <w:uiPriority w:val="99"/>
    <w:rsid w:val="008E6AE6"/>
    <w:pPr>
      <w:numPr>
        <w:numId w:val="2"/>
      </w:numPr>
    </w:pPr>
  </w:style>
  <w:style w:type="paragraph" w:styleId="TOC9">
    <w:name w:val="toc 9"/>
    <w:basedOn w:val="Normal"/>
    <w:next w:val="Normal"/>
    <w:autoRedefine/>
    <w:uiPriority w:val="39"/>
    <w:semiHidden/>
    <w:unhideWhenUsed/>
    <w:rsid w:val="00D82A43"/>
    <w:pPr>
      <w:spacing w:after="100"/>
      <w:ind w:left="2080"/>
    </w:pPr>
  </w:style>
  <w:style w:type="paragraph" w:styleId="Header">
    <w:name w:val="header"/>
    <w:basedOn w:val="Normal"/>
    <w:link w:val="HeaderChar"/>
    <w:rsid w:val="0098138E"/>
    <w:pPr>
      <w:tabs>
        <w:tab w:val="center" w:pos="4680"/>
        <w:tab w:val="right" w:pos="9360"/>
      </w:tabs>
      <w:spacing w:line="240" w:lineRule="auto"/>
    </w:pPr>
  </w:style>
  <w:style w:type="character" w:customStyle="1" w:styleId="HeaderChar">
    <w:name w:val="Header Char"/>
    <w:basedOn w:val="DefaultParagraphFont"/>
    <w:link w:val="Header"/>
    <w:rsid w:val="000A56F2"/>
    <w:rPr>
      <w:rFonts w:ascii="Book Antiqua" w:hAnsi="Book Antiqua"/>
      <w:sz w:val="26"/>
    </w:rPr>
  </w:style>
  <w:style w:type="paragraph" w:styleId="Footer">
    <w:name w:val="footer"/>
    <w:basedOn w:val="Normal"/>
    <w:link w:val="FooterChar"/>
    <w:uiPriority w:val="99"/>
    <w:rsid w:val="00EE3060"/>
    <w:pPr>
      <w:tabs>
        <w:tab w:val="center" w:pos="4680"/>
        <w:tab w:val="right" w:pos="9360"/>
      </w:tabs>
      <w:spacing w:line="240" w:lineRule="auto"/>
    </w:pPr>
  </w:style>
  <w:style w:type="character" w:customStyle="1" w:styleId="FooterChar">
    <w:name w:val="Footer Char"/>
    <w:basedOn w:val="DefaultParagraphFont"/>
    <w:link w:val="Footer"/>
    <w:uiPriority w:val="99"/>
    <w:rsid w:val="007657C1"/>
    <w:rPr>
      <w:rFonts w:ascii="Book Antiqua" w:hAnsi="Book Antiqua"/>
      <w:sz w:val="26"/>
    </w:rPr>
  </w:style>
  <w:style w:type="paragraph" w:customStyle="1" w:styleId="BlockQuote">
    <w:name w:val="Block Quote"/>
    <w:basedOn w:val="Standard"/>
    <w:uiPriority w:val="5"/>
    <w:qFormat/>
    <w:rsid w:val="00EA36C6"/>
    <w:pPr>
      <w:spacing w:after="120" w:line="240" w:lineRule="auto"/>
      <w:ind w:left="720" w:right="720" w:firstLine="0"/>
    </w:pPr>
  </w:style>
  <w:style w:type="paragraph" w:styleId="FootnoteText">
    <w:name w:val="footnote text"/>
    <w:basedOn w:val="Normal"/>
    <w:link w:val="FootnoteTextChar"/>
    <w:uiPriority w:val="99"/>
    <w:qFormat/>
    <w:rsid w:val="00B01F7E"/>
    <w:pPr>
      <w:spacing w:after="120" w:line="240" w:lineRule="auto"/>
      <w:ind w:firstLine="0"/>
    </w:pPr>
    <w:rPr>
      <w:sz w:val="22"/>
      <w:szCs w:val="20"/>
    </w:rPr>
  </w:style>
  <w:style w:type="character" w:customStyle="1" w:styleId="FootnoteTextChar">
    <w:name w:val="Footnote Text Char"/>
    <w:basedOn w:val="DefaultParagraphFont"/>
    <w:link w:val="FootnoteText"/>
    <w:uiPriority w:val="99"/>
    <w:rsid w:val="007657C1"/>
    <w:rPr>
      <w:rFonts w:ascii="Book Antiqua" w:hAnsi="Book Antiqua"/>
      <w:szCs w:val="20"/>
    </w:rPr>
  </w:style>
  <w:style w:type="character" w:styleId="FootnoteReference">
    <w:name w:val="footnote reference"/>
    <w:basedOn w:val="DefaultParagraphFont"/>
    <w:uiPriority w:val="99"/>
    <w:semiHidden/>
    <w:unhideWhenUsed/>
    <w:rsid w:val="00DF58E7"/>
    <w:rPr>
      <w:vertAlign w:val="superscript"/>
    </w:rPr>
  </w:style>
  <w:style w:type="paragraph" w:customStyle="1" w:styleId="FoF">
    <w:name w:val="FoF"/>
    <w:basedOn w:val="Standard"/>
    <w:uiPriority w:val="6"/>
    <w:qFormat/>
    <w:rsid w:val="001E2A62"/>
    <w:pPr>
      <w:numPr>
        <w:numId w:val="3"/>
      </w:numPr>
      <w:ind w:firstLine="547"/>
    </w:pPr>
  </w:style>
  <w:style w:type="paragraph" w:customStyle="1" w:styleId="CoL">
    <w:name w:val="CoL"/>
    <w:basedOn w:val="Standard"/>
    <w:uiPriority w:val="7"/>
    <w:qFormat/>
    <w:rsid w:val="001E2A62"/>
    <w:pPr>
      <w:numPr>
        <w:numId w:val="4"/>
      </w:numPr>
      <w:ind w:firstLine="547"/>
    </w:pPr>
  </w:style>
  <w:style w:type="paragraph" w:styleId="NoSpacing">
    <w:name w:val="No Spacing"/>
    <w:basedOn w:val="Standard"/>
    <w:uiPriority w:val="1"/>
    <w:rsid w:val="001E2A62"/>
    <w:pPr>
      <w:spacing w:line="240" w:lineRule="auto"/>
      <w:ind w:firstLine="0"/>
    </w:pPr>
  </w:style>
  <w:style w:type="paragraph" w:customStyle="1" w:styleId="OP">
    <w:name w:val="OP"/>
    <w:basedOn w:val="Standard"/>
    <w:uiPriority w:val="8"/>
    <w:qFormat/>
    <w:rsid w:val="001E2A62"/>
    <w:pPr>
      <w:numPr>
        <w:numId w:val="5"/>
      </w:numPr>
    </w:pPr>
  </w:style>
  <w:style w:type="paragraph" w:styleId="BalloonText">
    <w:name w:val="Balloon Text"/>
    <w:basedOn w:val="Normal"/>
    <w:link w:val="BalloonTextChar"/>
    <w:uiPriority w:val="99"/>
    <w:semiHidden/>
    <w:unhideWhenUsed/>
    <w:rsid w:val="004C7D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D3A"/>
    <w:rPr>
      <w:rFonts w:ascii="Segoe UI" w:hAnsi="Segoe UI" w:cs="Segoe UI"/>
      <w:sz w:val="18"/>
      <w:szCs w:val="18"/>
    </w:rPr>
  </w:style>
  <w:style w:type="numbering" w:customStyle="1" w:styleId="Headings">
    <w:name w:val="Headings"/>
    <w:uiPriority w:val="99"/>
    <w:rsid w:val="000A56F2"/>
    <w:pPr>
      <w:numPr>
        <w:numId w:val="6"/>
      </w:numPr>
    </w:pPr>
  </w:style>
  <w:style w:type="paragraph" w:customStyle="1" w:styleId="Standard">
    <w:name w:val="Standard"/>
    <w:basedOn w:val="Normal"/>
    <w:qFormat/>
    <w:rsid w:val="007A406D"/>
  </w:style>
  <w:style w:type="paragraph" w:customStyle="1" w:styleId="ListAlpha">
    <w:name w:val="List Alpha"/>
    <w:basedOn w:val="Standard"/>
    <w:uiPriority w:val="4"/>
    <w:qFormat/>
    <w:rsid w:val="000A56F2"/>
    <w:pPr>
      <w:numPr>
        <w:ilvl w:val="7"/>
        <w:numId w:val="6"/>
      </w:numPr>
      <w:spacing w:after="120" w:line="240" w:lineRule="auto"/>
    </w:pPr>
  </w:style>
  <w:style w:type="paragraph" w:styleId="ListBullet">
    <w:name w:val="List Bullet"/>
    <w:basedOn w:val="Standard"/>
    <w:uiPriority w:val="4"/>
    <w:qFormat/>
    <w:rsid w:val="001F2819"/>
    <w:pPr>
      <w:numPr>
        <w:numId w:val="9"/>
      </w:numPr>
      <w:tabs>
        <w:tab w:val="clear" w:pos="360"/>
      </w:tabs>
      <w:spacing w:after="120" w:line="240" w:lineRule="auto"/>
      <w:ind w:left="1080"/>
    </w:pPr>
  </w:style>
  <w:style w:type="character" w:customStyle="1" w:styleId="Heading6Char">
    <w:name w:val="Heading 6 Char"/>
    <w:basedOn w:val="DefaultParagraphFont"/>
    <w:link w:val="Heading6"/>
    <w:rsid w:val="000A56F2"/>
    <w:rPr>
      <w:rFonts w:ascii="Arial" w:eastAsiaTheme="majorEastAsia" w:hAnsi="Arial" w:cstheme="majorBidi"/>
      <w:b/>
      <w:sz w:val="26"/>
      <w:szCs w:val="26"/>
    </w:rPr>
  </w:style>
  <w:style w:type="paragraph" w:styleId="TOC4">
    <w:name w:val="toc 4"/>
    <w:basedOn w:val="Normal"/>
    <w:next w:val="Normal"/>
    <w:autoRedefine/>
    <w:uiPriority w:val="39"/>
    <w:unhideWhenUsed/>
    <w:rsid w:val="008C7413"/>
    <w:pPr>
      <w:spacing w:line="240" w:lineRule="auto"/>
      <w:ind w:left="1728" w:hanging="1080"/>
    </w:pPr>
  </w:style>
  <w:style w:type="paragraph" w:styleId="TOC5">
    <w:name w:val="toc 5"/>
    <w:basedOn w:val="Normal"/>
    <w:next w:val="Normal"/>
    <w:autoRedefine/>
    <w:uiPriority w:val="39"/>
    <w:unhideWhenUsed/>
    <w:rsid w:val="008C7413"/>
    <w:pPr>
      <w:spacing w:line="240" w:lineRule="auto"/>
      <w:ind w:left="2160" w:hanging="1296"/>
    </w:pPr>
  </w:style>
  <w:style w:type="paragraph" w:styleId="TOC6">
    <w:name w:val="toc 6"/>
    <w:basedOn w:val="Normal"/>
    <w:next w:val="Normal"/>
    <w:autoRedefine/>
    <w:uiPriority w:val="39"/>
    <w:unhideWhenUsed/>
    <w:rsid w:val="008C7413"/>
    <w:pPr>
      <w:spacing w:line="240" w:lineRule="auto"/>
      <w:ind w:left="2592" w:hanging="1512"/>
    </w:pPr>
  </w:style>
  <w:style w:type="paragraph" w:customStyle="1" w:styleId="ALJBodyText">
    <w:name w:val="ALJ Body Text"/>
    <w:basedOn w:val="Normal"/>
    <w:link w:val="ALJBodyTextChar"/>
    <w:qFormat/>
    <w:rsid w:val="00844D9B"/>
    <w:rPr>
      <w:rFonts w:cs="Times New Roman"/>
      <w:szCs w:val="20"/>
    </w:rPr>
  </w:style>
  <w:style w:type="character" w:customStyle="1" w:styleId="ALJBodyTextChar">
    <w:name w:val="ALJ Body Text Char"/>
    <w:basedOn w:val="DefaultParagraphFont"/>
    <w:link w:val="ALJBodyText"/>
    <w:rsid w:val="00844D9B"/>
    <w:rPr>
      <w:rFonts w:ascii="Book Antiqua" w:hAnsi="Book Antiqua" w:cs="Times New Roman"/>
      <w:sz w:val="26"/>
      <w:szCs w:val="20"/>
    </w:rPr>
  </w:style>
  <w:style w:type="paragraph" w:customStyle="1" w:styleId="ALJTitle">
    <w:name w:val="ALJ Title"/>
    <w:basedOn w:val="ALJBodyText"/>
    <w:next w:val="ALJBodyText"/>
    <w:link w:val="ALJTitleChar"/>
    <w:qFormat/>
    <w:rsid w:val="00844D9B"/>
    <w:pPr>
      <w:spacing w:after="240" w:line="240" w:lineRule="auto"/>
      <w:ind w:firstLine="0"/>
      <w:jc w:val="center"/>
    </w:pPr>
    <w:rPr>
      <w:rFonts w:ascii="Arial" w:hAnsi="Arial" w:cs="Arial"/>
      <w:b/>
    </w:rPr>
  </w:style>
  <w:style w:type="character" w:customStyle="1" w:styleId="ALJTitleChar">
    <w:name w:val="ALJ Title Char"/>
    <w:basedOn w:val="ALJBodyTextChar"/>
    <w:link w:val="ALJTitle"/>
    <w:rsid w:val="00844D9B"/>
    <w:rPr>
      <w:rFonts w:ascii="Arial" w:hAnsi="Arial" w:cs="Arial"/>
      <w:b/>
      <w:sz w:val="26"/>
      <w:szCs w:val="20"/>
    </w:rPr>
  </w:style>
  <w:style w:type="paragraph" w:customStyle="1" w:styleId="ALJHeadingNo">
    <w:name w:val="ALJ Heading No #"/>
    <w:basedOn w:val="ALJBodyText"/>
    <w:next w:val="ALJBodyText"/>
    <w:link w:val="ALJHeadingNoChar"/>
    <w:qFormat/>
    <w:rsid w:val="00844D9B"/>
    <w:pPr>
      <w:keepNext/>
      <w:spacing w:before="120" w:after="120" w:line="240" w:lineRule="auto"/>
      <w:ind w:firstLine="0"/>
    </w:pPr>
    <w:rPr>
      <w:rFonts w:ascii="Arial" w:hAnsi="Arial" w:cs="Arial"/>
      <w:b/>
    </w:rPr>
  </w:style>
  <w:style w:type="character" w:customStyle="1" w:styleId="ALJHeadingNoChar">
    <w:name w:val="ALJ Heading No # Char"/>
    <w:basedOn w:val="ALJBodyTextChar"/>
    <w:link w:val="ALJHeadingNo"/>
    <w:rsid w:val="00844D9B"/>
    <w:rPr>
      <w:rFonts w:ascii="Arial" w:hAnsi="Arial" w:cs="Arial"/>
      <w:b/>
      <w:sz w:val="26"/>
      <w:szCs w:val="20"/>
    </w:rPr>
  </w:style>
  <w:style w:type="character" w:customStyle="1" w:styleId="Heading7Char">
    <w:name w:val="Heading 7 Char"/>
    <w:basedOn w:val="DefaultParagraphFont"/>
    <w:link w:val="Heading7"/>
    <w:rsid w:val="00844D9B"/>
    <w:rPr>
      <w:rFonts w:ascii="Helvetica" w:eastAsia="Times New Roman" w:hAnsi="Helvetica" w:cs="Times New Roman"/>
      <w:b/>
      <w:sz w:val="26"/>
      <w:szCs w:val="20"/>
    </w:rPr>
  </w:style>
  <w:style w:type="character" w:customStyle="1" w:styleId="Heading9Char">
    <w:name w:val="Heading 9 Char"/>
    <w:basedOn w:val="DefaultParagraphFont"/>
    <w:link w:val="Heading9"/>
    <w:rsid w:val="00844D9B"/>
    <w:rPr>
      <w:rFonts w:ascii="Helvetica" w:eastAsia="Times New Roman" w:hAnsi="Helvetica" w:cs="Times New Roman"/>
      <w:b/>
      <w:sz w:val="26"/>
      <w:szCs w:val="24"/>
    </w:rPr>
  </w:style>
  <w:style w:type="paragraph" w:customStyle="1" w:styleId="ALJHeading1">
    <w:name w:val="ALJ Heading 1"/>
    <w:basedOn w:val="Heading1"/>
    <w:next w:val="ALJBodyText"/>
    <w:link w:val="ALJHeading1Char"/>
    <w:qFormat/>
    <w:rsid w:val="00844D9B"/>
    <w:pPr>
      <w:keepLines w:val="0"/>
      <w:numPr>
        <w:numId w:val="10"/>
      </w:numPr>
      <w:spacing w:before="120"/>
      <w:ind w:right="720"/>
    </w:pPr>
    <w:rPr>
      <w:rFonts w:eastAsia="Times New Roman" w:cs="Arial"/>
      <w:kern w:val="28"/>
      <w:szCs w:val="26"/>
    </w:rPr>
  </w:style>
  <w:style w:type="paragraph" w:customStyle="1" w:styleId="ALJHeading2">
    <w:name w:val="ALJ Heading 2"/>
    <w:basedOn w:val="Heading2"/>
    <w:next w:val="ALJBodyText"/>
    <w:link w:val="ALJHeading2Char"/>
    <w:qFormat/>
    <w:rsid w:val="00844D9B"/>
    <w:pPr>
      <w:keepLines w:val="0"/>
      <w:numPr>
        <w:numId w:val="10"/>
      </w:numPr>
      <w:tabs>
        <w:tab w:val="left" w:pos="1080"/>
      </w:tabs>
      <w:spacing w:before="120"/>
    </w:pPr>
    <w:rPr>
      <w:rFonts w:eastAsia="Times New Roman"/>
    </w:rPr>
  </w:style>
  <w:style w:type="character" w:customStyle="1" w:styleId="ALJHeading1Char">
    <w:name w:val="ALJ Heading 1 Char"/>
    <w:basedOn w:val="ALJBodyTextChar"/>
    <w:link w:val="ALJHeading1"/>
    <w:rsid w:val="00844D9B"/>
    <w:rPr>
      <w:rFonts w:ascii="Arial" w:eastAsia="Times New Roman" w:hAnsi="Arial" w:cs="Arial"/>
      <w:b/>
      <w:kern w:val="28"/>
      <w:sz w:val="26"/>
      <w:szCs w:val="26"/>
    </w:rPr>
  </w:style>
  <w:style w:type="paragraph" w:customStyle="1" w:styleId="ALJHeading3">
    <w:name w:val="ALJ Heading 3"/>
    <w:basedOn w:val="Heading3"/>
    <w:next w:val="ALJBodyText"/>
    <w:link w:val="ALJHeading3Char"/>
    <w:qFormat/>
    <w:rsid w:val="00844D9B"/>
    <w:pPr>
      <w:keepLines w:val="0"/>
      <w:numPr>
        <w:numId w:val="10"/>
      </w:numPr>
      <w:tabs>
        <w:tab w:val="left" w:pos="1620"/>
      </w:tabs>
      <w:spacing w:before="120"/>
    </w:pPr>
    <w:rPr>
      <w:rFonts w:eastAsia="Times New Roman" w:cs="Arial"/>
      <w:szCs w:val="26"/>
    </w:rPr>
  </w:style>
  <w:style w:type="character" w:customStyle="1" w:styleId="ALJHeading2Char">
    <w:name w:val="ALJ Heading 2 Char"/>
    <w:basedOn w:val="ALJBodyTextChar"/>
    <w:link w:val="ALJHeading2"/>
    <w:rsid w:val="00844D9B"/>
    <w:rPr>
      <w:rFonts w:ascii="Arial" w:eastAsia="Times New Roman" w:hAnsi="Arial" w:cs="Arial"/>
      <w:b/>
      <w:sz w:val="26"/>
      <w:szCs w:val="26"/>
    </w:rPr>
  </w:style>
  <w:style w:type="character" w:customStyle="1" w:styleId="ALJHeading3Char">
    <w:name w:val="ALJ Heading 3 Char"/>
    <w:basedOn w:val="ALJBodyTextChar"/>
    <w:link w:val="ALJHeading3"/>
    <w:rsid w:val="00844D9B"/>
    <w:rPr>
      <w:rFonts w:ascii="Arial" w:eastAsia="Times New Roman" w:hAnsi="Arial" w:cs="Arial"/>
      <w:b/>
      <w:sz w:val="26"/>
      <w:szCs w:val="26"/>
    </w:rPr>
  </w:style>
  <w:style w:type="paragraph" w:customStyle="1" w:styleId="contentservernumber">
    <w:name w:val="content server number"/>
    <w:basedOn w:val="Footer"/>
    <w:link w:val="contentservernumberChar"/>
    <w:rsid w:val="00844D9B"/>
    <w:pPr>
      <w:ind w:firstLine="0"/>
    </w:pPr>
    <w:rPr>
      <w:rFonts w:ascii="Arial" w:hAnsi="Arial" w:cs="Arial"/>
      <w:sz w:val="16"/>
      <w:szCs w:val="16"/>
    </w:rPr>
  </w:style>
  <w:style w:type="character" w:customStyle="1" w:styleId="contentservernumberChar">
    <w:name w:val="content server number Char"/>
    <w:basedOn w:val="FooterChar"/>
    <w:link w:val="contentservernumber"/>
    <w:rsid w:val="00844D9B"/>
    <w:rPr>
      <w:rFonts w:ascii="Arial" w:hAnsi="Arial" w:cs="Arial"/>
      <w:sz w:val="16"/>
      <w:szCs w:val="16"/>
    </w:rPr>
  </w:style>
  <w:style w:type="paragraph" w:customStyle="1" w:styleId="ALJFootnote">
    <w:name w:val="ALJ Footnote"/>
    <w:basedOn w:val="FootnoteText"/>
    <w:link w:val="ALJFootnoteChar"/>
    <w:qFormat/>
    <w:rsid w:val="00844D9B"/>
    <w:rPr>
      <w:rFonts w:cs="Times New Roman"/>
      <w:szCs w:val="24"/>
    </w:rPr>
  </w:style>
  <w:style w:type="character" w:customStyle="1" w:styleId="ALJFootnoteChar">
    <w:name w:val="ALJ Footnote Char"/>
    <w:basedOn w:val="FootnoteTextChar"/>
    <w:link w:val="ALJFootnote"/>
    <w:rsid w:val="00844D9B"/>
    <w:rPr>
      <w:rFonts w:ascii="Book Antiqua" w:hAnsi="Book Antiqua" w:cs="Times New Roman"/>
      <w:szCs w:val="24"/>
    </w:rPr>
  </w:style>
  <w:style w:type="paragraph" w:customStyle="1" w:styleId="FindingofFAct">
    <w:name w:val="Finding of FAct"/>
    <w:basedOn w:val="ALJBodyText"/>
    <w:link w:val="FindingofFActChar"/>
    <w:qFormat/>
    <w:rsid w:val="00844D9B"/>
    <w:pPr>
      <w:numPr>
        <w:numId w:val="15"/>
      </w:numPr>
      <w:ind w:left="0" w:firstLine="720"/>
    </w:pPr>
  </w:style>
  <w:style w:type="paragraph" w:customStyle="1" w:styleId="conclusionoflaw">
    <w:name w:val="conclusion of law"/>
    <w:basedOn w:val="ALJBodyText"/>
    <w:link w:val="conclusionoflawChar"/>
    <w:qFormat/>
    <w:rsid w:val="00844D9B"/>
    <w:pPr>
      <w:numPr>
        <w:numId w:val="16"/>
      </w:numPr>
      <w:ind w:left="0" w:firstLine="720"/>
    </w:pPr>
  </w:style>
  <w:style w:type="character" w:customStyle="1" w:styleId="FindingofFActChar">
    <w:name w:val="Finding of FAct Char"/>
    <w:basedOn w:val="ALJBodyTextChar"/>
    <w:link w:val="FindingofFAct"/>
    <w:rsid w:val="00844D9B"/>
    <w:rPr>
      <w:rFonts w:ascii="Book Antiqua" w:hAnsi="Book Antiqua" w:cs="Times New Roman"/>
      <w:sz w:val="26"/>
      <w:szCs w:val="20"/>
    </w:rPr>
  </w:style>
  <w:style w:type="paragraph" w:customStyle="1" w:styleId="ALJHeading4">
    <w:name w:val="ALJ Heading 4"/>
    <w:basedOn w:val="Heading4"/>
    <w:next w:val="ALJBodyText"/>
    <w:link w:val="ALJHeading4Char"/>
    <w:qFormat/>
    <w:rsid w:val="00844D9B"/>
    <w:pPr>
      <w:keepLines w:val="0"/>
      <w:numPr>
        <w:ilvl w:val="0"/>
        <w:numId w:val="18"/>
      </w:numPr>
      <w:tabs>
        <w:tab w:val="left" w:pos="1800"/>
      </w:tabs>
      <w:spacing w:before="120"/>
    </w:pPr>
    <w:rPr>
      <w:rFonts w:ascii="Helvetica" w:eastAsia="Times New Roman" w:hAnsi="Helvetica" w:cs="Times New Roman"/>
      <w:iCs w:val="0"/>
    </w:rPr>
  </w:style>
  <w:style w:type="character" w:customStyle="1" w:styleId="conclusionoflawChar">
    <w:name w:val="conclusion of law Char"/>
    <w:basedOn w:val="ALJBodyTextChar"/>
    <w:link w:val="conclusionoflaw"/>
    <w:rsid w:val="00844D9B"/>
    <w:rPr>
      <w:rFonts w:ascii="Book Antiqua" w:hAnsi="Book Antiqua" w:cs="Times New Roman"/>
      <w:sz w:val="26"/>
      <w:szCs w:val="20"/>
    </w:rPr>
  </w:style>
  <w:style w:type="paragraph" w:styleId="ListParagraph">
    <w:name w:val="List Paragraph"/>
    <w:basedOn w:val="Normal"/>
    <w:uiPriority w:val="34"/>
    <w:qFormat/>
    <w:rsid w:val="00844D9B"/>
    <w:pPr>
      <w:numPr>
        <w:numId w:val="21"/>
      </w:numPr>
      <w:spacing w:after="240" w:line="240" w:lineRule="auto"/>
    </w:pPr>
    <w:rPr>
      <w:rFonts w:cs="Times New Roman"/>
      <w:szCs w:val="20"/>
    </w:rPr>
  </w:style>
  <w:style w:type="character" w:customStyle="1" w:styleId="ALJHeading4Char">
    <w:name w:val="ALJ Heading 4 Char"/>
    <w:basedOn w:val="ALJBodyTextChar"/>
    <w:link w:val="ALJHeading4"/>
    <w:rsid w:val="00844D9B"/>
    <w:rPr>
      <w:rFonts w:ascii="Helvetica" w:eastAsia="Times New Roman" w:hAnsi="Helvetica" w:cs="Times New Roman"/>
      <w:b/>
      <w:sz w:val="26"/>
      <w:szCs w:val="26"/>
    </w:rPr>
  </w:style>
  <w:style w:type="paragraph" w:customStyle="1" w:styleId="tabletext">
    <w:name w:val="table text"/>
    <w:basedOn w:val="ALJBodyText"/>
    <w:link w:val="tabletextChar"/>
    <w:qFormat/>
    <w:rsid w:val="00844D9B"/>
    <w:pPr>
      <w:spacing w:after="120" w:line="240" w:lineRule="auto"/>
      <w:ind w:firstLine="0"/>
    </w:pPr>
  </w:style>
  <w:style w:type="paragraph" w:customStyle="1" w:styleId="TableColumnHeading">
    <w:name w:val="Table Column Heading"/>
    <w:basedOn w:val="ALJBodyText"/>
    <w:link w:val="TableColumnHeadingChar"/>
    <w:qFormat/>
    <w:rsid w:val="00844D9B"/>
    <w:pPr>
      <w:ind w:firstLine="0"/>
      <w:jc w:val="center"/>
    </w:pPr>
    <w:rPr>
      <w:rFonts w:ascii="Arial" w:hAnsi="Arial" w:cs="Arial"/>
      <w:b/>
    </w:rPr>
  </w:style>
  <w:style w:type="character" w:customStyle="1" w:styleId="tabletextChar">
    <w:name w:val="table text Char"/>
    <w:basedOn w:val="ALJBodyTextChar"/>
    <w:link w:val="tabletext"/>
    <w:rsid w:val="00844D9B"/>
    <w:rPr>
      <w:rFonts w:ascii="Book Antiqua" w:hAnsi="Book Antiqua" w:cs="Times New Roman"/>
      <w:sz w:val="26"/>
      <w:szCs w:val="20"/>
    </w:rPr>
  </w:style>
  <w:style w:type="paragraph" w:customStyle="1" w:styleId="ALJOP">
    <w:name w:val="ALJ OP"/>
    <w:basedOn w:val="ALJBodyText"/>
    <w:link w:val="ALJOPChar"/>
    <w:qFormat/>
    <w:rsid w:val="00844D9B"/>
    <w:pPr>
      <w:numPr>
        <w:numId w:val="17"/>
      </w:numPr>
      <w:ind w:left="0" w:firstLine="720"/>
    </w:pPr>
  </w:style>
  <w:style w:type="character" w:customStyle="1" w:styleId="TableColumnHeadingChar">
    <w:name w:val="Table Column Heading Char"/>
    <w:basedOn w:val="ALJBodyTextChar"/>
    <w:link w:val="TableColumnHeading"/>
    <w:rsid w:val="00844D9B"/>
    <w:rPr>
      <w:rFonts w:ascii="Arial" w:hAnsi="Arial" w:cs="Arial"/>
      <w:b/>
      <w:sz w:val="26"/>
      <w:szCs w:val="20"/>
    </w:rPr>
  </w:style>
  <w:style w:type="paragraph" w:customStyle="1" w:styleId="ALJBlockQuote">
    <w:name w:val="ALJ Block Quote"/>
    <w:basedOn w:val="ALJBodyText"/>
    <w:next w:val="ALJBodyText"/>
    <w:link w:val="ALJBlockQuoteChar"/>
    <w:qFormat/>
    <w:rsid w:val="00844D9B"/>
    <w:pPr>
      <w:spacing w:before="120" w:after="120" w:line="240" w:lineRule="auto"/>
      <w:ind w:left="1440" w:right="1440" w:firstLine="0"/>
    </w:pPr>
  </w:style>
  <w:style w:type="character" w:customStyle="1" w:styleId="ALJOPChar">
    <w:name w:val="ALJ OP Char"/>
    <w:basedOn w:val="ALJBodyTextChar"/>
    <w:link w:val="ALJOP"/>
    <w:rsid w:val="00844D9B"/>
    <w:rPr>
      <w:rFonts w:ascii="Book Antiqua" w:hAnsi="Book Antiqua" w:cs="Times New Roman"/>
      <w:sz w:val="26"/>
      <w:szCs w:val="20"/>
    </w:rPr>
  </w:style>
  <w:style w:type="paragraph" w:customStyle="1" w:styleId="standard0">
    <w:name w:val="standard"/>
    <w:basedOn w:val="Normal"/>
    <w:link w:val="standardChar"/>
    <w:rsid w:val="00844D9B"/>
    <w:rPr>
      <w:rFonts w:ascii="Palatino" w:eastAsia="Times New Roman" w:hAnsi="Palatino" w:cs="Times New Roman"/>
      <w:szCs w:val="20"/>
    </w:rPr>
  </w:style>
  <w:style w:type="character" w:customStyle="1" w:styleId="ALJBlockQuoteChar">
    <w:name w:val="ALJ Block Quote Char"/>
    <w:basedOn w:val="ALJBodyTextChar"/>
    <w:link w:val="ALJBlockQuote"/>
    <w:rsid w:val="00844D9B"/>
    <w:rPr>
      <w:rFonts w:ascii="Book Antiqua" w:hAnsi="Book Antiqua" w:cs="Times New Roman"/>
      <w:sz w:val="26"/>
      <w:szCs w:val="20"/>
    </w:rPr>
  </w:style>
  <w:style w:type="character" w:customStyle="1" w:styleId="standardChar">
    <w:name w:val="standard Char"/>
    <w:link w:val="standard0"/>
    <w:rsid w:val="00844D9B"/>
    <w:rPr>
      <w:rFonts w:ascii="Palatino" w:eastAsia="Times New Roman" w:hAnsi="Palatino" w:cs="Times New Roman"/>
      <w:sz w:val="26"/>
      <w:szCs w:val="20"/>
    </w:rPr>
  </w:style>
  <w:style w:type="character" w:styleId="CommentReference">
    <w:name w:val="annotation reference"/>
    <w:basedOn w:val="DefaultParagraphFont"/>
    <w:uiPriority w:val="99"/>
    <w:semiHidden/>
    <w:unhideWhenUsed/>
    <w:rsid w:val="00844D9B"/>
    <w:rPr>
      <w:sz w:val="16"/>
      <w:szCs w:val="16"/>
    </w:rPr>
  </w:style>
  <w:style w:type="paragraph" w:styleId="CommentText">
    <w:name w:val="annotation text"/>
    <w:basedOn w:val="Normal"/>
    <w:link w:val="CommentTextChar"/>
    <w:semiHidden/>
    <w:unhideWhenUsed/>
    <w:rsid w:val="00844D9B"/>
    <w:pPr>
      <w:spacing w:line="240" w:lineRule="auto"/>
      <w:ind w:firstLine="0"/>
    </w:pPr>
    <w:rPr>
      <w:rFonts w:cs="Times New Roman"/>
      <w:sz w:val="20"/>
      <w:szCs w:val="20"/>
    </w:rPr>
  </w:style>
  <w:style w:type="character" w:customStyle="1" w:styleId="CommentTextChar">
    <w:name w:val="Comment Text Char"/>
    <w:basedOn w:val="DefaultParagraphFont"/>
    <w:link w:val="CommentText"/>
    <w:semiHidden/>
    <w:rsid w:val="00844D9B"/>
    <w:rPr>
      <w:rFonts w:ascii="Book Antiqua" w:hAnsi="Book Antiqua" w:cs="Times New Roman"/>
      <w:sz w:val="20"/>
      <w:szCs w:val="20"/>
    </w:rPr>
  </w:style>
  <w:style w:type="paragraph" w:styleId="CommentSubject">
    <w:name w:val="annotation subject"/>
    <w:basedOn w:val="CommentText"/>
    <w:next w:val="CommentText"/>
    <w:link w:val="CommentSubjectChar"/>
    <w:uiPriority w:val="99"/>
    <w:semiHidden/>
    <w:unhideWhenUsed/>
    <w:rsid w:val="00844D9B"/>
    <w:rPr>
      <w:b/>
      <w:bCs/>
    </w:rPr>
  </w:style>
  <w:style w:type="character" w:customStyle="1" w:styleId="CommentSubjectChar">
    <w:name w:val="Comment Subject Char"/>
    <w:basedOn w:val="CommentTextChar"/>
    <w:link w:val="CommentSubject"/>
    <w:uiPriority w:val="99"/>
    <w:semiHidden/>
    <w:rsid w:val="00844D9B"/>
    <w:rPr>
      <w:rFonts w:ascii="Book Antiqua" w:hAnsi="Book Antiqu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5.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FFBBE0AC460F4AA4CC26C1F6896B31" ma:contentTypeVersion="8" ma:contentTypeDescription="Create a new document." ma:contentTypeScope="" ma:versionID="8812240532f331aed5adaba7c5355ab7">
  <xsd:schema xmlns:xsd="http://www.w3.org/2001/XMLSchema" xmlns:xs="http://www.w3.org/2001/XMLSchema" xmlns:p="http://schemas.microsoft.com/office/2006/metadata/properties" xmlns:ns3="d029ddf9-aa33-495e-b1b4-6d6821277222" targetNamespace="http://schemas.microsoft.com/office/2006/metadata/properties" ma:root="true" ma:fieldsID="54fff2bcfe19870eb78e78db47f33893" ns3:_="">
    <xsd:import namespace="d029ddf9-aa33-495e-b1b4-6d682127722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29ddf9-aa33-495e-b1b4-6d68212772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03661-917C-4F13-B637-9D8887224775}">
  <ds:schemaRefs>
    <ds:schemaRef ds:uri="http://schemas.microsoft.com/sharepoint/v3/contenttype/forms"/>
  </ds:schemaRefs>
</ds:datastoreItem>
</file>

<file path=customXml/itemProps2.xml><?xml version="1.0" encoding="utf-8"?>
<ds:datastoreItem xmlns:ds="http://schemas.openxmlformats.org/officeDocument/2006/customXml" ds:itemID="{287FA2EA-8B8C-40B7-A4BA-17EB47B590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9C1477-B347-4EE6-867E-88E4343D76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29ddf9-aa33-495e-b1b4-6d6821277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93D020-9D7D-44DC-8A64-B42C96035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14757</Words>
  <Characters>84119</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2019-10-17T17:18:00Z</cp:lastPrinted>
  <dcterms:created xsi:type="dcterms:W3CDTF">2019-10-17T10:26:00Z</dcterms:created>
  <dcterms:modified xsi:type="dcterms:W3CDTF">2019-10-17T17:26:00Z</dcterms:modified>
</cp:coreProperties>
</file>