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E5A62" w14:textId="77777777" w:rsidR="00BC6E63" w:rsidRPr="0070228F" w:rsidRDefault="00BC6E63" w:rsidP="00D91A96">
      <w:pPr>
        <w:jc w:val="center"/>
        <w:rPr>
          <w:rFonts w:ascii="Palatino Linotype" w:hAnsi="Palatino Linotype"/>
          <w:b/>
          <w:sz w:val="24"/>
          <w:szCs w:val="24"/>
        </w:rPr>
      </w:pPr>
      <w:bookmarkStart w:id="0" w:name="_GoBack"/>
      <w:bookmarkEnd w:id="0"/>
      <w:r w:rsidRPr="0070228F">
        <w:rPr>
          <w:rFonts w:ascii="Palatino Linotype" w:hAnsi="Palatino Linotype"/>
          <w:b/>
          <w:sz w:val="24"/>
          <w:szCs w:val="24"/>
        </w:rPr>
        <w:t>PUBLIC UTILITIES COMMISSION OF THE STATE OF CALIFORNIA</w:t>
      </w:r>
    </w:p>
    <w:p w14:paraId="32FDFFF3" w14:textId="77777777" w:rsidR="00BC6E63" w:rsidRPr="0070228F" w:rsidRDefault="00BC6E63" w:rsidP="00BC6E63">
      <w:pPr>
        <w:rPr>
          <w:rFonts w:ascii="Palatino Linotype" w:hAnsi="Palatino Linotype"/>
          <w:b/>
          <w:sz w:val="24"/>
          <w:szCs w:val="24"/>
        </w:rPr>
      </w:pPr>
    </w:p>
    <w:p w14:paraId="5550D668" w14:textId="77777777" w:rsidR="00BC6E63" w:rsidRPr="0070228F" w:rsidRDefault="00BC6E63" w:rsidP="00BC6E63">
      <w:pPr>
        <w:pStyle w:val="xl28"/>
        <w:spacing w:before="0" w:beforeAutospacing="0" w:after="0" w:afterAutospacing="0"/>
        <w:rPr>
          <w:rFonts w:ascii="Palatino Linotype" w:eastAsia="Times New Roman" w:hAnsi="Palatino Linotype" w:cs="Times New Roman"/>
          <w:bCs w:val="0"/>
        </w:rPr>
      </w:pPr>
    </w:p>
    <w:tbl>
      <w:tblPr>
        <w:tblW w:w="0" w:type="auto"/>
        <w:tblInd w:w="198" w:type="dxa"/>
        <w:tblLayout w:type="fixed"/>
        <w:tblLook w:val="0000" w:firstRow="0" w:lastRow="0" w:firstColumn="0" w:lastColumn="0" w:noHBand="0" w:noVBand="0"/>
      </w:tblPr>
      <w:tblGrid>
        <w:gridCol w:w="5760"/>
        <w:gridCol w:w="3150"/>
      </w:tblGrid>
      <w:tr w:rsidR="00BC6E63" w:rsidRPr="0070228F" w14:paraId="5ACB401F" w14:textId="77777777">
        <w:tc>
          <w:tcPr>
            <w:tcW w:w="5760" w:type="dxa"/>
          </w:tcPr>
          <w:p w14:paraId="193E43EA" w14:textId="77777777" w:rsidR="00BC6E63" w:rsidRPr="0070228F" w:rsidRDefault="00BC6E63" w:rsidP="00DF0816">
            <w:pPr>
              <w:rPr>
                <w:rFonts w:ascii="Palatino Linotype" w:hAnsi="Palatino Linotype"/>
                <w:b/>
                <w:sz w:val="24"/>
                <w:szCs w:val="24"/>
              </w:rPr>
            </w:pPr>
            <w:r w:rsidRPr="0070228F">
              <w:rPr>
                <w:rFonts w:ascii="Palatino Linotype" w:hAnsi="Palatino Linotype"/>
                <w:b/>
                <w:sz w:val="24"/>
                <w:szCs w:val="24"/>
              </w:rPr>
              <w:t>Communications Division</w:t>
            </w:r>
          </w:p>
        </w:tc>
        <w:tc>
          <w:tcPr>
            <w:tcW w:w="3150" w:type="dxa"/>
          </w:tcPr>
          <w:p w14:paraId="04C02800" w14:textId="7C8E0AAE" w:rsidR="00BC6E63" w:rsidRPr="0070228F" w:rsidRDefault="00BC6E63" w:rsidP="00DF0816">
            <w:pPr>
              <w:pStyle w:val="xl24"/>
              <w:spacing w:before="0" w:beforeAutospacing="0" w:after="0" w:afterAutospacing="0"/>
              <w:rPr>
                <w:rFonts w:ascii="Palatino Linotype" w:eastAsia="Times New Roman" w:hAnsi="Palatino Linotype" w:cs="Times New Roman"/>
                <w:bCs w:val="0"/>
              </w:rPr>
            </w:pPr>
            <w:r w:rsidRPr="0070228F">
              <w:rPr>
                <w:rFonts w:ascii="Palatino Linotype" w:eastAsia="Times New Roman" w:hAnsi="Palatino Linotype" w:cs="Times New Roman"/>
                <w:bCs w:val="0"/>
              </w:rPr>
              <w:t>RESOLUTION</w:t>
            </w:r>
            <w:r w:rsidR="00C313F0">
              <w:rPr>
                <w:rFonts w:ascii="Palatino Linotype" w:eastAsia="Times New Roman" w:hAnsi="Palatino Linotype" w:cs="Times New Roman"/>
                <w:bCs w:val="0"/>
              </w:rPr>
              <w:t xml:space="preserve"> T-</w:t>
            </w:r>
            <w:r w:rsidR="00C07ADA">
              <w:rPr>
                <w:rFonts w:ascii="Palatino Linotype" w:eastAsia="Times New Roman" w:hAnsi="Palatino Linotype" w:cs="Times New Roman"/>
                <w:bCs w:val="0"/>
              </w:rPr>
              <w:t>17672</w:t>
            </w:r>
            <w:r w:rsidRPr="0070228F">
              <w:rPr>
                <w:rFonts w:ascii="Palatino Linotype" w:eastAsia="Times New Roman" w:hAnsi="Palatino Linotype" w:cs="Times New Roman"/>
                <w:bCs w:val="0"/>
              </w:rPr>
              <w:t xml:space="preserve"> </w:t>
            </w:r>
          </w:p>
        </w:tc>
      </w:tr>
      <w:tr w:rsidR="00223AED" w:rsidRPr="00223AED" w14:paraId="6CA6218D" w14:textId="77777777">
        <w:tc>
          <w:tcPr>
            <w:tcW w:w="5760" w:type="dxa"/>
          </w:tcPr>
          <w:p w14:paraId="4267C0F9" w14:textId="77777777" w:rsidR="00BC6E63" w:rsidRPr="00223AED" w:rsidRDefault="00BC6E63" w:rsidP="0061509F">
            <w:pPr>
              <w:rPr>
                <w:rFonts w:ascii="Palatino Linotype" w:hAnsi="Palatino Linotype"/>
                <w:b/>
                <w:sz w:val="24"/>
                <w:szCs w:val="24"/>
              </w:rPr>
            </w:pPr>
            <w:r w:rsidRPr="00223AED">
              <w:rPr>
                <w:rFonts w:ascii="Palatino Linotype" w:hAnsi="Palatino Linotype"/>
                <w:b/>
                <w:sz w:val="24"/>
                <w:szCs w:val="24"/>
              </w:rPr>
              <w:t xml:space="preserve">Broadband, </w:t>
            </w:r>
            <w:r w:rsidR="0061509F" w:rsidRPr="00223AED">
              <w:rPr>
                <w:rFonts w:ascii="Palatino Linotype" w:hAnsi="Palatino Linotype"/>
                <w:b/>
                <w:sz w:val="24"/>
                <w:szCs w:val="24"/>
              </w:rPr>
              <w:t>Video and Market</w:t>
            </w:r>
            <w:r w:rsidRPr="00223AED">
              <w:rPr>
                <w:rFonts w:ascii="Palatino Linotype" w:hAnsi="Palatino Linotype"/>
                <w:b/>
                <w:sz w:val="24"/>
                <w:szCs w:val="24"/>
              </w:rPr>
              <w:t xml:space="preserve"> Branch </w:t>
            </w:r>
          </w:p>
        </w:tc>
        <w:tc>
          <w:tcPr>
            <w:tcW w:w="3150" w:type="dxa"/>
          </w:tcPr>
          <w:p w14:paraId="2162F6E3" w14:textId="666FD23E" w:rsidR="00BC6E63" w:rsidRPr="00223AED" w:rsidRDefault="00835F10" w:rsidP="00DF0816">
            <w:pPr>
              <w:jc w:val="right"/>
              <w:rPr>
                <w:rFonts w:ascii="Palatino Linotype" w:hAnsi="Palatino Linotype"/>
                <w:b/>
                <w:sz w:val="24"/>
                <w:szCs w:val="24"/>
              </w:rPr>
            </w:pPr>
            <w:r>
              <w:rPr>
                <w:rFonts w:ascii="Palatino Linotype" w:hAnsi="Palatino Linotype"/>
                <w:b/>
                <w:sz w:val="24"/>
                <w:szCs w:val="24"/>
              </w:rPr>
              <w:t>December 5</w:t>
            </w:r>
            <w:r w:rsidR="00C313F0" w:rsidRPr="00223AED">
              <w:rPr>
                <w:rFonts w:ascii="Palatino Linotype" w:hAnsi="Palatino Linotype"/>
                <w:b/>
                <w:sz w:val="24"/>
                <w:szCs w:val="24"/>
              </w:rPr>
              <w:t>,</w:t>
            </w:r>
            <w:r>
              <w:rPr>
                <w:rFonts w:ascii="Palatino Linotype" w:hAnsi="Palatino Linotype"/>
                <w:b/>
                <w:sz w:val="24"/>
                <w:szCs w:val="24"/>
              </w:rPr>
              <w:t xml:space="preserve"> </w:t>
            </w:r>
            <w:r w:rsidR="00C07ADA">
              <w:rPr>
                <w:rFonts w:ascii="Palatino Linotype" w:hAnsi="Palatino Linotype"/>
                <w:b/>
                <w:sz w:val="24"/>
                <w:szCs w:val="24"/>
              </w:rPr>
              <w:t>2019</w:t>
            </w:r>
          </w:p>
        </w:tc>
      </w:tr>
    </w:tbl>
    <w:p w14:paraId="6708FF89" w14:textId="149E5B59" w:rsidR="00BC6E63" w:rsidRPr="00223AED" w:rsidRDefault="00F87833" w:rsidP="003C382C">
      <w:pPr>
        <w:jc w:val="center"/>
        <w:rPr>
          <w:rFonts w:ascii="Palatino Linotype" w:hAnsi="Palatino Linotype"/>
          <w:b/>
          <w:sz w:val="24"/>
          <w:szCs w:val="24"/>
        </w:rPr>
      </w:pPr>
      <w:r w:rsidRPr="00223AED">
        <w:rPr>
          <w:rFonts w:ascii="Palatino Linotype" w:hAnsi="Palatino Linotype"/>
          <w:b/>
          <w:sz w:val="24"/>
          <w:szCs w:val="24"/>
        </w:rPr>
        <w:t xml:space="preserve">  </w:t>
      </w:r>
    </w:p>
    <w:p w14:paraId="38452C17" w14:textId="77777777" w:rsidR="00BC6E63" w:rsidRPr="00223AED" w:rsidRDefault="00BC6E63" w:rsidP="00BC6E63">
      <w:pPr>
        <w:ind w:right="990"/>
        <w:jc w:val="center"/>
        <w:rPr>
          <w:rFonts w:ascii="Palatino Linotype" w:hAnsi="Palatino Linotype"/>
          <w:sz w:val="24"/>
          <w:szCs w:val="24"/>
          <w:u w:val="single"/>
        </w:rPr>
      </w:pPr>
      <w:r w:rsidRPr="00223AED">
        <w:rPr>
          <w:rFonts w:ascii="Palatino Linotype" w:hAnsi="Palatino Linotype"/>
          <w:b/>
          <w:sz w:val="24"/>
          <w:szCs w:val="24"/>
          <w:u w:val="single"/>
        </w:rPr>
        <w:t>R</w:t>
      </w:r>
      <w:r w:rsidRPr="00223AED">
        <w:rPr>
          <w:rFonts w:ascii="Palatino Linotype" w:hAnsi="Palatino Linotype"/>
          <w:sz w:val="24"/>
          <w:szCs w:val="24"/>
          <w:u w:val="single"/>
        </w:rPr>
        <w:t xml:space="preserve"> </w:t>
      </w:r>
      <w:r w:rsidRPr="00223AED">
        <w:rPr>
          <w:rFonts w:ascii="Palatino Linotype" w:hAnsi="Palatino Linotype"/>
          <w:b/>
          <w:sz w:val="24"/>
          <w:szCs w:val="24"/>
          <w:u w:val="single"/>
        </w:rPr>
        <w:t>E</w:t>
      </w:r>
      <w:r w:rsidRPr="00223AED">
        <w:rPr>
          <w:rFonts w:ascii="Palatino Linotype" w:hAnsi="Palatino Linotype"/>
          <w:sz w:val="24"/>
          <w:szCs w:val="24"/>
          <w:u w:val="single"/>
        </w:rPr>
        <w:t xml:space="preserve"> </w:t>
      </w:r>
      <w:r w:rsidRPr="00223AED">
        <w:rPr>
          <w:rFonts w:ascii="Palatino Linotype" w:hAnsi="Palatino Linotype"/>
          <w:b/>
          <w:sz w:val="24"/>
          <w:szCs w:val="24"/>
          <w:u w:val="single"/>
        </w:rPr>
        <w:t>S</w:t>
      </w:r>
      <w:r w:rsidRPr="00223AED">
        <w:rPr>
          <w:rFonts w:ascii="Palatino Linotype" w:hAnsi="Palatino Linotype"/>
          <w:sz w:val="24"/>
          <w:szCs w:val="24"/>
          <w:u w:val="single"/>
        </w:rPr>
        <w:t xml:space="preserve"> </w:t>
      </w:r>
      <w:r w:rsidRPr="00223AED">
        <w:rPr>
          <w:rFonts w:ascii="Palatino Linotype" w:hAnsi="Palatino Linotype"/>
          <w:b/>
          <w:sz w:val="24"/>
          <w:szCs w:val="24"/>
          <w:u w:val="single"/>
        </w:rPr>
        <w:t>O</w:t>
      </w:r>
      <w:r w:rsidRPr="00223AED">
        <w:rPr>
          <w:rFonts w:ascii="Palatino Linotype" w:hAnsi="Palatino Linotype"/>
          <w:sz w:val="24"/>
          <w:szCs w:val="24"/>
          <w:u w:val="single"/>
        </w:rPr>
        <w:t xml:space="preserve"> </w:t>
      </w:r>
      <w:r w:rsidRPr="00223AED">
        <w:rPr>
          <w:rFonts w:ascii="Palatino Linotype" w:hAnsi="Palatino Linotype"/>
          <w:b/>
          <w:sz w:val="24"/>
          <w:szCs w:val="24"/>
          <w:u w:val="single"/>
        </w:rPr>
        <w:t>L</w:t>
      </w:r>
      <w:r w:rsidRPr="00223AED">
        <w:rPr>
          <w:rFonts w:ascii="Palatino Linotype" w:hAnsi="Palatino Linotype"/>
          <w:sz w:val="24"/>
          <w:szCs w:val="24"/>
          <w:u w:val="single"/>
        </w:rPr>
        <w:t xml:space="preserve"> </w:t>
      </w:r>
      <w:r w:rsidRPr="00223AED">
        <w:rPr>
          <w:rFonts w:ascii="Palatino Linotype" w:hAnsi="Palatino Linotype"/>
          <w:b/>
          <w:sz w:val="24"/>
          <w:szCs w:val="24"/>
          <w:u w:val="single"/>
        </w:rPr>
        <w:t>U</w:t>
      </w:r>
      <w:r w:rsidRPr="00223AED">
        <w:rPr>
          <w:rFonts w:ascii="Palatino Linotype" w:hAnsi="Palatino Linotype"/>
          <w:sz w:val="24"/>
          <w:szCs w:val="24"/>
          <w:u w:val="single"/>
        </w:rPr>
        <w:t xml:space="preserve"> </w:t>
      </w:r>
      <w:r w:rsidRPr="00223AED">
        <w:rPr>
          <w:rFonts w:ascii="Palatino Linotype" w:hAnsi="Palatino Linotype"/>
          <w:b/>
          <w:sz w:val="24"/>
          <w:szCs w:val="24"/>
          <w:u w:val="single"/>
        </w:rPr>
        <w:t>T</w:t>
      </w:r>
      <w:r w:rsidRPr="00223AED">
        <w:rPr>
          <w:rFonts w:ascii="Palatino Linotype" w:hAnsi="Palatino Linotype"/>
          <w:sz w:val="24"/>
          <w:szCs w:val="24"/>
          <w:u w:val="single"/>
        </w:rPr>
        <w:t xml:space="preserve"> </w:t>
      </w:r>
      <w:r w:rsidRPr="00223AED">
        <w:rPr>
          <w:rFonts w:ascii="Palatino Linotype" w:hAnsi="Palatino Linotype"/>
          <w:b/>
          <w:sz w:val="24"/>
          <w:szCs w:val="24"/>
          <w:u w:val="single"/>
        </w:rPr>
        <w:t>I</w:t>
      </w:r>
      <w:r w:rsidRPr="00223AED">
        <w:rPr>
          <w:rFonts w:ascii="Palatino Linotype" w:hAnsi="Palatino Linotype"/>
          <w:sz w:val="24"/>
          <w:szCs w:val="24"/>
          <w:u w:val="single"/>
        </w:rPr>
        <w:t xml:space="preserve"> </w:t>
      </w:r>
      <w:r w:rsidRPr="00223AED">
        <w:rPr>
          <w:rFonts w:ascii="Palatino Linotype" w:hAnsi="Palatino Linotype"/>
          <w:b/>
          <w:sz w:val="24"/>
          <w:szCs w:val="24"/>
          <w:u w:val="single"/>
        </w:rPr>
        <w:t>O</w:t>
      </w:r>
      <w:r w:rsidRPr="00223AED">
        <w:rPr>
          <w:rFonts w:ascii="Palatino Linotype" w:hAnsi="Palatino Linotype"/>
          <w:sz w:val="24"/>
          <w:szCs w:val="24"/>
          <w:u w:val="single"/>
        </w:rPr>
        <w:t xml:space="preserve"> </w:t>
      </w:r>
      <w:r w:rsidRPr="00223AED">
        <w:rPr>
          <w:rFonts w:ascii="Palatino Linotype" w:hAnsi="Palatino Linotype"/>
          <w:b/>
          <w:sz w:val="24"/>
          <w:szCs w:val="24"/>
          <w:u w:val="single"/>
        </w:rPr>
        <w:t>N</w:t>
      </w:r>
    </w:p>
    <w:p w14:paraId="50B94F2A" w14:textId="77777777" w:rsidR="00BC6E63" w:rsidRPr="00223AED" w:rsidRDefault="00BC6E63" w:rsidP="00BC6E63">
      <w:pPr>
        <w:ind w:right="990"/>
        <w:rPr>
          <w:rFonts w:ascii="Palatino Linotype" w:hAnsi="Palatino Linotype"/>
          <w:sz w:val="24"/>
          <w:szCs w:val="24"/>
        </w:rPr>
      </w:pPr>
    </w:p>
    <w:p w14:paraId="701ECBCE" w14:textId="1EC2E0C4" w:rsidR="00C313F0" w:rsidRPr="00A92DBA" w:rsidRDefault="00C313F0" w:rsidP="00D91A96">
      <w:pPr>
        <w:ind w:left="450" w:right="540"/>
        <w:rPr>
          <w:rFonts w:ascii="Palatino Linotype" w:hAnsi="Palatino Linotype"/>
          <w:b/>
          <w:bCs/>
          <w:sz w:val="24"/>
          <w:szCs w:val="24"/>
        </w:rPr>
      </w:pPr>
      <w:r w:rsidRPr="00223AED">
        <w:rPr>
          <w:rFonts w:ascii="Palatino Linotype" w:hAnsi="Palatino Linotype"/>
          <w:b/>
          <w:bCs/>
          <w:sz w:val="24"/>
          <w:szCs w:val="24"/>
        </w:rPr>
        <w:t>Resolution T-</w:t>
      </w:r>
      <w:r w:rsidR="00C07ADA">
        <w:rPr>
          <w:rFonts w:ascii="Palatino Linotype" w:hAnsi="Palatino Linotype"/>
          <w:b/>
          <w:bCs/>
          <w:sz w:val="24"/>
          <w:szCs w:val="24"/>
        </w:rPr>
        <w:t>17672</w:t>
      </w:r>
      <w:r w:rsidR="00D15FF3" w:rsidRPr="00223AED">
        <w:rPr>
          <w:rFonts w:ascii="Palatino Linotype" w:hAnsi="Palatino Linotype"/>
          <w:b/>
          <w:bCs/>
          <w:sz w:val="24"/>
          <w:szCs w:val="24"/>
        </w:rPr>
        <w:t>:</w:t>
      </w:r>
      <w:r w:rsidRPr="00223AED">
        <w:rPr>
          <w:rFonts w:ascii="Palatino Linotype" w:hAnsi="Palatino Linotype"/>
          <w:b/>
          <w:bCs/>
          <w:sz w:val="24"/>
          <w:szCs w:val="24"/>
        </w:rPr>
        <w:t xml:space="preserve"> </w:t>
      </w:r>
      <w:r w:rsidRPr="00223AED">
        <w:rPr>
          <w:rFonts w:ascii="Palatino Linotype" w:hAnsi="Palatino Linotype"/>
          <w:sz w:val="24"/>
          <w:szCs w:val="24"/>
        </w:rPr>
        <w:t xml:space="preserve">Approval of </w:t>
      </w:r>
      <w:r w:rsidR="00A9456A" w:rsidRPr="00223AED">
        <w:rPr>
          <w:rFonts w:ascii="Palatino Linotype" w:hAnsi="Palatino Linotype"/>
          <w:sz w:val="24"/>
          <w:szCs w:val="24"/>
        </w:rPr>
        <w:t>f</w:t>
      </w:r>
      <w:r w:rsidRPr="00223AED">
        <w:rPr>
          <w:rFonts w:ascii="Palatino Linotype" w:hAnsi="Palatino Linotype"/>
          <w:sz w:val="24"/>
          <w:szCs w:val="24"/>
        </w:rPr>
        <w:t xml:space="preserve">unding for the </w:t>
      </w:r>
      <w:r w:rsidR="00A9456A" w:rsidRPr="00223AED">
        <w:rPr>
          <w:rFonts w:ascii="Palatino Linotype" w:hAnsi="Palatino Linotype"/>
          <w:sz w:val="24"/>
          <w:szCs w:val="24"/>
        </w:rPr>
        <w:t>g</w:t>
      </w:r>
      <w:r w:rsidRPr="00223AED">
        <w:rPr>
          <w:rFonts w:ascii="Palatino Linotype" w:hAnsi="Palatino Linotype"/>
          <w:sz w:val="24"/>
          <w:szCs w:val="24"/>
        </w:rPr>
        <w:t xml:space="preserve">rant </w:t>
      </w:r>
      <w:r w:rsidR="00A9456A" w:rsidRPr="00223AED">
        <w:rPr>
          <w:rFonts w:ascii="Palatino Linotype" w:hAnsi="Palatino Linotype"/>
          <w:sz w:val="24"/>
          <w:szCs w:val="24"/>
        </w:rPr>
        <w:t>a</w:t>
      </w:r>
      <w:r w:rsidRPr="00223AED">
        <w:rPr>
          <w:rFonts w:ascii="Palatino Linotype" w:hAnsi="Palatino Linotype"/>
          <w:sz w:val="24"/>
          <w:szCs w:val="24"/>
        </w:rPr>
        <w:t xml:space="preserve">pplication of </w:t>
      </w:r>
      <w:r w:rsidR="002C1037" w:rsidRPr="00223AED">
        <w:rPr>
          <w:rFonts w:ascii="Palatino Linotype" w:hAnsi="Palatino Linotype"/>
          <w:sz w:val="24"/>
          <w:szCs w:val="24"/>
        </w:rPr>
        <w:t>Plumas Sierra Telec</w:t>
      </w:r>
      <w:r w:rsidR="00895060" w:rsidRPr="00223AED">
        <w:rPr>
          <w:rFonts w:ascii="Palatino Linotype" w:hAnsi="Palatino Linotype"/>
          <w:sz w:val="24"/>
          <w:szCs w:val="24"/>
        </w:rPr>
        <w:t>ommunications</w:t>
      </w:r>
      <w:r w:rsidRPr="00223AED">
        <w:rPr>
          <w:rFonts w:ascii="Palatino Linotype" w:hAnsi="Palatino Linotype"/>
          <w:sz w:val="24"/>
          <w:szCs w:val="24"/>
        </w:rPr>
        <w:t xml:space="preserve"> (</w:t>
      </w:r>
      <w:r w:rsidR="003B23CF" w:rsidRPr="00223AED">
        <w:rPr>
          <w:rFonts w:ascii="Palatino Linotype" w:hAnsi="Palatino Linotype"/>
          <w:sz w:val="24"/>
          <w:szCs w:val="24"/>
        </w:rPr>
        <w:t>U-7218-C</w:t>
      </w:r>
      <w:r w:rsidRPr="00223AED">
        <w:rPr>
          <w:rFonts w:ascii="Palatino Linotype" w:hAnsi="Palatino Linotype"/>
          <w:sz w:val="24"/>
          <w:szCs w:val="24"/>
        </w:rPr>
        <w:t xml:space="preserve">), from the California Advanced Services Fund </w:t>
      </w:r>
      <w:r w:rsidR="00F4292E">
        <w:rPr>
          <w:rFonts w:ascii="Palatino Linotype" w:hAnsi="Palatino Linotype"/>
          <w:sz w:val="24"/>
          <w:szCs w:val="24"/>
        </w:rPr>
        <w:t>u</w:t>
      </w:r>
      <w:r w:rsidR="00D15FF3" w:rsidRPr="00223AED">
        <w:rPr>
          <w:rFonts w:ascii="Palatino Linotype" w:hAnsi="Palatino Linotype"/>
          <w:sz w:val="24"/>
          <w:szCs w:val="24"/>
        </w:rPr>
        <w:t>p to</w:t>
      </w:r>
      <w:r w:rsidRPr="00223AED">
        <w:rPr>
          <w:rFonts w:ascii="Palatino Linotype" w:hAnsi="Palatino Linotype"/>
          <w:sz w:val="24"/>
          <w:szCs w:val="24"/>
        </w:rPr>
        <w:t xml:space="preserve"> the </w:t>
      </w:r>
      <w:r w:rsidR="00F9104B" w:rsidRPr="00223AED">
        <w:rPr>
          <w:rFonts w:ascii="Palatino Linotype" w:hAnsi="Palatino Linotype"/>
          <w:sz w:val="24"/>
          <w:szCs w:val="24"/>
        </w:rPr>
        <w:t>a</w:t>
      </w:r>
      <w:r w:rsidRPr="00223AED">
        <w:rPr>
          <w:rFonts w:ascii="Palatino Linotype" w:hAnsi="Palatino Linotype"/>
          <w:sz w:val="24"/>
          <w:szCs w:val="24"/>
        </w:rPr>
        <w:t>mount of $</w:t>
      </w:r>
      <w:r w:rsidR="00B61156" w:rsidRPr="00223AED">
        <w:rPr>
          <w:rFonts w:ascii="Palatino Linotype" w:hAnsi="Palatino Linotype"/>
          <w:sz w:val="24"/>
          <w:szCs w:val="24"/>
        </w:rPr>
        <w:t xml:space="preserve">1,512,163 </w:t>
      </w:r>
      <w:r w:rsidRPr="00223AED">
        <w:rPr>
          <w:rFonts w:ascii="Palatino Linotype" w:hAnsi="Palatino Linotype"/>
          <w:sz w:val="24"/>
          <w:szCs w:val="24"/>
        </w:rPr>
        <w:t xml:space="preserve">for </w:t>
      </w:r>
      <w:r w:rsidRPr="00D15FF3">
        <w:rPr>
          <w:rFonts w:ascii="Palatino Linotype" w:hAnsi="Palatino Linotype"/>
          <w:sz w:val="24"/>
          <w:szCs w:val="24"/>
        </w:rPr>
        <w:t xml:space="preserve">the </w:t>
      </w:r>
      <w:r w:rsidR="00B61156" w:rsidRPr="00D15FF3">
        <w:rPr>
          <w:rFonts w:ascii="Palatino Linotype" w:hAnsi="Palatino Linotype"/>
          <w:sz w:val="24"/>
          <w:szCs w:val="24"/>
        </w:rPr>
        <w:t>Keddie Project</w:t>
      </w:r>
      <w:r w:rsidRPr="00D15FF3">
        <w:rPr>
          <w:rFonts w:ascii="Palatino Linotype" w:hAnsi="Palatino Linotype"/>
          <w:sz w:val="24"/>
          <w:szCs w:val="24"/>
        </w:rPr>
        <w:t xml:space="preserve"> located </w:t>
      </w:r>
      <w:r w:rsidR="00DE61F8" w:rsidRPr="00D15FF3">
        <w:rPr>
          <w:rFonts w:ascii="Palatino Linotype" w:hAnsi="Palatino Linotype"/>
          <w:sz w:val="24"/>
          <w:szCs w:val="24"/>
        </w:rPr>
        <w:t>in Plumas County</w:t>
      </w:r>
      <w:r w:rsidRPr="00D15FF3">
        <w:rPr>
          <w:rFonts w:ascii="Palatino Linotype" w:hAnsi="Palatino Linotype"/>
          <w:sz w:val="24"/>
          <w:szCs w:val="24"/>
        </w:rPr>
        <w:t>.</w:t>
      </w:r>
      <w:r w:rsidR="006F77AC" w:rsidRPr="00A92DBA">
        <w:rPr>
          <w:rFonts w:ascii="Palatino Linotype" w:hAnsi="Palatino Linotype"/>
          <w:b/>
          <w:sz w:val="24"/>
          <w:szCs w:val="24"/>
        </w:rPr>
        <w:t xml:space="preserve"> </w:t>
      </w:r>
    </w:p>
    <w:p w14:paraId="687D9DF6" w14:textId="77777777" w:rsidR="00C313F0" w:rsidRPr="00A92DBA" w:rsidRDefault="00C313F0" w:rsidP="00BC6E63">
      <w:pPr>
        <w:pBdr>
          <w:bottom w:val="single" w:sz="12" w:space="1" w:color="auto"/>
        </w:pBdr>
        <w:ind w:left="450" w:right="630"/>
        <w:rPr>
          <w:rFonts w:ascii="Palatino Linotype" w:hAnsi="Palatino Linotype"/>
          <w:b/>
          <w:sz w:val="24"/>
          <w:szCs w:val="24"/>
        </w:rPr>
      </w:pPr>
    </w:p>
    <w:p w14:paraId="3621D796" w14:textId="77777777" w:rsidR="00BC6E63" w:rsidRPr="00A92DBA" w:rsidRDefault="00BC6E63" w:rsidP="00BC6E63">
      <w:pPr>
        <w:ind w:left="720" w:right="630"/>
        <w:rPr>
          <w:rFonts w:ascii="Palatino Linotype" w:hAnsi="Palatino Linotype"/>
          <w:sz w:val="24"/>
          <w:szCs w:val="24"/>
        </w:rPr>
      </w:pPr>
    </w:p>
    <w:p w14:paraId="3B7D1209" w14:textId="5F358BF3" w:rsidR="00157319" w:rsidRPr="00D15FF3" w:rsidRDefault="00D15FF3" w:rsidP="00157319">
      <w:pPr>
        <w:rPr>
          <w:rFonts w:ascii="Palatino Linotype" w:hAnsi="Palatino Linotype"/>
          <w:b/>
          <w:bCs/>
          <w:sz w:val="26"/>
          <w:szCs w:val="26"/>
          <w:u w:val="single"/>
        </w:rPr>
      </w:pPr>
      <w:r w:rsidRPr="00D15FF3">
        <w:rPr>
          <w:rFonts w:ascii="Palatino Linotype" w:hAnsi="Palatino Linotype"/>
          <w:b/>
          <w:bCs/>
          <w:sz w:val="26"/>
          <w:szCs w:val="26"/>
          <w:u w:val="single"/>
        </w:rPr>
        <w:t xml:space="preserve">SUMMARY </w:t>
      </w:r>
    </w:p>
    <w:p w14:paraId="4D698DEE" w14:textId="77777777" w:rsidR="00D15FF3" w:rsidRDefault="00D15FF3" w:rsidP="00833542">
      <w:pPr>
        <w:pStyle w:val="xl41"/>
        <w:keepNext/>
        <w:spacing w:before="0" w:after="0"/>
        <w:jc w:val="both"/>
        <w:rPr>
          <w:rFonts w:ascii="Palatino Linotype" w:eastAsia="Times New Roman" w:hAnsi="Palatino Linotype" w:cs="Palatino Linotype"/>
          <w:color w:val="000000"/>
          <w:szCs w:val="24"/>
        </w:rPr>
      </w:pPr>
    </w:p>
    <w:p w14:paraId="47A00CC3" w14:textId="4F238EA3" w:rsidR="00EB328C" w:rsidRPr="00A92DBA" w:rsidRDefault="00EB328C" w:rsidP="003C1CC7">
      <w:pPr>
        <w:pStyle w:val="xl41"/>
        <w:keepNext/>
        <w:spacing w:before="0" w:after="0"/>
        <w:rPr>
          <w:rFonts w:ascii="Palatino Linotype" w:eastAsia="Times New Roman" w:hAnsi="Palatino Linotype" w:cs="Palatino Linotype"/>
          <w:szCs w:val="24"/>
        </w:rPr>
      </w:pPr>
      <w:r w:rsidRPr="00A92DBA">
        <w:rPr>
          <w:rFonts w:ascii="Palatino Linotype" w:eastAsia="Times New Roman" w:hAnsi="Palatino Linotype" w:cs="Palatino Linotype"/>
          <w:color w:val="000000"/>
          <w:szCs w:val="24"/>
        </w:rPr>
        <w:t>This Resolution approves $</w:t>
      </w:r>
      <w:r w:rsidR="0073127D" w:rsidRPr="00A92DBA">
        <w:rPr>
          <w:rFonts w:ascii="Palatino Linotype" w:eastAsia="Times New Roman" w:hAnsi="Palatino Linotype" w:cs="Palatino Linotype"/>
          <w:color w:val="000000"/>
          <w:szCs w:val="24"/>
        </w:rPr>
        <w:t>1,512,163</w:t>
      </w:r>
      <w:r w:rsidRPr="00A92DBA">
        <w:rPr>
          <w:rFonts w:ascii="Palatino Linotype" w:eastAsia="Times New Roman" w:hAnsi="Palatino Linotype" w:cs="Palatino Linotype"/>
          <w:color w:val="000000"/>
          <w:szCs w:val="24"/>
        </w:rPr>
        <w:t xml:space="preserve"> in funding from the California Advanced Service</w:t>
      </w:r>
      <w:r w:rsidR="0073127D" w:rsidRPr="00A92DBA">
        <w:rPr>
          <w:rFonts w:ascii="Palatino Linotype" w:eastAsia="Times New Roman" w:hAnsi="Palatino Linotype" w:cs="Palatino Linotype"/>
          <w:color w:val="000000"/>
          <w:szCs w:val="24"/>
        </w:rPr>
        <w:t>s</w:t>
      </w:r>
      <w:r w:rsidRPr="00A92DBA">
        <w:rPr>
          <w:rFonts w:ascii="Palatino Linotype" w:eastAsia="Times New Roman" w:hAnsi="Palatino Linotype" w:cs="Palatino Linotype"/>
          <w:color w:val="000000"/>
          <w:szCs w:val="24"/>
        </w:rPr>
        <w:t xml:space="preserve"> Fund (CASF</w:t>
      </w:r>
      <w:r w:rsidRPr="00A92DBA">
        <w:rPr>
          <w:rFonts w:ascii="Palatino Linotype" w:eastAsia="Times New Roman" w:hAnsi="Palatino Linotype" w:cs="Palatino Linotype"/>
          <w:szCs w:val="24"/>
        </w:rPr>
        <w:t xml:space="preserve">) for the grant application of </w:t>
      </w:r>
      <w:r w:rsidR="00360702" w:rsidRPr="00A92DBA">
        <w:rPr>
          <w:rFonts w:ascii="Palatino Linotype" w:eastAsia="Times New Roman" w:hAnsi="Palatino Linotype" w:cs="Palatino Linotype"/>
          <w:szCs w:val="24"/>
        </w:rPr>
        <w:t>Plumas Sierra Telecommunications</w:t>
      </w:r>
      <w:r w:rsidRPr="00A92DBA">
        <w:rPr>
          <w:rFonts w:ascii="Palatino Linotype" w:eastAsia="Times New Roman" w:hAnsi="Palatino Linotype" w:cs="Palatino Linotype"/>
          <w:szCs w:val="24"/>
        </w:rPr>
        <w:t xml:space="preserve"> (</w:t>
      </w:r>
      <w:r w:rsidR="00360702" w:rsidRPr="00A92DBA">
        <w:rPr>
          <w:rFonts w:ascii="Palatino Linotype" w:eastAsia="Times New Roman" w:hAnsi="Palatino Linotype" w:cs="Palatino Linotype"/>
          <w:szCs w:val="24"/>
        </w:rPr>
        <w:t>PST</w:t>
      </w:r>
      <w:r w:rsidRPr="00A92DBA">
        <w:rPr>
          <w:rFonts w:ascii="Palatino Linotype" w:eastAsia="Times New Roman" w:hAnsi="Palatino Linotype" w:cs="Palatino Linotype"/>
          <w:szCs w:val="24"/>
        </w:rPr>
        <w:t xml:space="preserve">) to construct the </w:t>
      </w:r>
      <w:r w:rsidR="00360702" w:rsidRPr="00A92DBA">
        <w:rPr>
          <w:rFonts w:ascii="Palatino Linotype" w:eastAsia="Times New Roman" w:hAnsi="Palatino Linotype" w:cs="Palatino Linotype"/>
          <w:szCs w:val="24"/>
        </w:rPr>
        <w:t>Keddie</w:t>
      </w:r>
      <w:r w:rsidRPr="00A92DBA">
        <w:rPr>
          <w:rFonts w:ascii="Palatino Linotype" w:eastAsia="Times New Roman" w:hAnsi="Palatino Linotype" w:cs="Palatino Linotype"/>
          <w:szCs w:val="24"/>
        </w:rPr>
        <w:t xml:space="preserve"> Project.</w:t>
      </w:r>
      <w:r w:rsidR="005C456D" w:rsidRPr="00A92DBA">
        <w:rPr>
          <w:rFonts w:ascii="Palatino Linotype" w:eastAsia="Times New Roman" w:hAnsi="Palatino Linotype" w:cs="Palatino Linotype"/>
          <w:szCs w:val="24"/>
        </w:rPr>
        <w:t xml:space="preserve">  </w:t>
      </w:r>
      <w:r w:rsidR="00360702" w:rsidRPr="00A92DBA">
        <w:rPr>
          <w:rFonts w:ascii="Palatino Linotype" w:eastAsia="Times New Roman" w:hAnsi="Palatino Linotype" w:cs="Palatino Linotype"/>
          <w:szCs w:val="24"/>
        </w:rPr>
        <w:t>PST</w:t>
      </w:r>
      <w:r w:rsidRPr="00A92DBA">
        <w:rPr>
          <w:rFonts w:ascii="Palatino Linotype" w:eastAsia="Times New Roman" w:hAnsi="Palatino Linotype" w:cs="Palatino Linotype"/>
          <w:szCs w:val="24"/>
        </w:rPr>
        <w:t xml:space="preserve"> proposes to deploy </w:t>
      </w:r>
      <w:r w:rsidR="00D8280D" w:rsidRPr="0017590F">
        <w:rPr>
          <w:rFonts w:ascii="Palatino Linotype" w:hAnsi="Palatino Linotype"/>
        </w:rPr>
        <w:t xml:space="preserve">middle-mile and last-mile fiber infrastructure to </w:t>
      </w:r>
      <w:r w:rsidR="00D8280D">
        <w:rPr>
          <w:rFonts w:ascii="Palatino Linotype" w:hAnsi="Palatino Linotype"/>
        </w:rPr>
        <w:t>provide</w:t>
      </w:r>
      <w:r w:rsidR="00D8280D" w:rsidRPr="0017590F">
        <w:rPr>
          <w:rFonts w:ascii="Palatino Linotype" w:hAnsi="Palatino Linotype"/>
        </w:rPr>
        <w:t xml:space="preserve"> fiber-to-the-home (FTTH) high-speed Internet service</w:t>
      </w:r>
      <w:r w:rsidRPr="00A92DBA">
        <w:rPr>
          <w:rFonts w:ascii="Palatino Linotype" w:eastAsia="Times New Roman" w:hAnsi="Palatino Linotype" w:cs="Palatino Linotype"/>
          <w:szCs w:val="24"/>
        </w:rPr>
        <w:t xml:space="preserve"> in </w:t>
      </w:r>
      <w:r w:rsidR="009635DB" w:rsidRPr="00A92DBA">
        <w:rPr>
          <w:rFonts w:ascii="Palatino Linotype" w:eastAsia="Times New Roman" w:hAnsi="Palatino Linotype" w:cs="Palatino Linotype"/>
          <w:szCs w:val="24"/>
        </w:rPr>
        <w:t>Keddie</w:t>
      </w:r>
      <w:r w:rsidRPr="00A92DBA">
        <w:rPr>
          <w:rFonts w:ascii="Palatino Linotype" w:eastAsia="Times New Roman" w:hAnsi="Palatino Linotype" w:cs="Palatino Linotype"/>
          <w:szCs w:val="24"/>
        </w:rPr>
        <w:t xml:space="preserve"> located in P</w:t>
      </w:r>
      <w:r w:rsidR="009635DB" w:rsidRPr="00A92DBA">
        <w:rPr>
          <w:rFonts w:ascii="Palatino Linotype" w:eastAsia="Times New Roman" w:hAnsi="Palatino Linotype" w:cs="Palatino Linotype"/>
          <w:szCs w:val="24"/>
        </w:rPr>
        <w:t>lumas</w:t>
      </w:r>
      <w:r w:rsidRPr="00A92DBA">
        <w:rPr>
          <w:rFonts w:ascii="Palatino Linotype" w:eastAsia="Times New Roman" w:hAnsi="Palatino Linotype" w:cs="Palatino Linotype"/>
          <w:szCs w:val="24"/>
        </w:rPr>
        <w:t xml:space="preserve"> County.  </w:t>
      </w:r>
      <w:r w:rsidR="00D15FF3" w:rsidRPr="00A92DBA">
        <w:rPr>
          <w:rFonts w:ascii="Palatino Linotype" w:eastAsia="Times New Roman" w:hAnsi="Palatino Linotype" w:cs="Palatino Linotype"/>
          <w:szCs w:val="24"/>
        </w:rPr>
        <w:t xml:space="preserve">The proposed project will enable broadband access at speeds of at least 100 </w:t>
      </w:r>
      <w:r w:rsidR="001B2EB2">
        <w:rPr>
          <w:rFonts w:ascii="Palatino Linotype" w:eastAsia="Times New Roman" w:hAnsi="Palatino Linotype" w:cs="Palatino Linotype"/>
          <w:szCs w:val="24"/>
        </w:rPr>
        <w:t>Megabits per second (</w:t>
      </w:r>
      <w:r w:rsidR="00D15FF3" w:rsidRPr="00A92DBA">
        <w:rPr>
          <w:rFonts w:ascii="Palatino Linotype" w:eastAsia="Times New Roman" w:hAnsi="Palatino Linotype" w:cs="Palatino Linotype"/>
          <w:szCs w:val="24"/>
        </w:rPr>
        <w:t>Mbps</w:t>
      </w:r>
      <w:r w:rsidR="001B2EB2">
        <w:rPr>
          <w:rFonts w:ascii="Palatino Linotype" w:eastAsia="Times New Roman" w:hAnsi="Palatino Linotype" w:cs="Palatino Linotype"/>
          <w:szCs w:val="24"/>
        </w:rPr>
        <w:t>)</w:t>
      </w:r>
      <w:r w:rsidR="00D15FF3" w:rsidRPr="00A92DBA">
        <w:rPr>
          <w:rFonts w:ascii="Palatino Linotype" w:eastAsia="Times New Roman" w:hAnsi="Palatino Linotype" w:cs="Palatino Linotype"/>
          <w:szCs w:val="24"/>
        </w:rPr>
        <w:t xml:space="preserve"> download and 20 Mbps upload to 36 </w:t>
      </w:r>
      <w:r w:rsidR="00346905">
        <w:rPr>
          <w:rFonts w:ascii="Palatino Linotype" w:eastAsia="Times New Roman" w:hAnsi="Palatino Linotype" w:cs="Palatino Linotype"/>
          <w:szCs w:val="24"/>
        </w:rPr>
        <w:t>unserved</w:t>
      </w:r>
      <w:r w:rsidR="00D15FF3" w:rsidRPr="00A92DBA">
        <w:rPr>
          <w:rFonts w:ascii="Palatino Linotype" w:eastAsia="Times New Roman" w:hAnsi="Palatino Linotype" w:cs="Palatino Linotype"/>
          <w:color w:val="000000"/>
          <w:szCs w:val="24"/>
        </w:rPr>
        <w:t xml:space="preserve"> households</w:t>
      </w:r>
      <w:r w:rsidR="00D15FF3">
        <w:rPr>
          <w:rFonts w:ascii="Palatino Linotype" w:eastAsia="Times New Roman" w:hAnsi="Palatino Linotype" w:cs="Palatino Linotype"/>
          <w:color w:val="000000"/>
          <w:szCs w:val="24"/>
        </w:rPr>
        <w:t>.</w:t>
      </w:r>
      <w:r w:rsidR="00D15FF3" w:rsidRPr="00352E7F">
        <w:rPr>
          <w:rFonts w:ascii="Palatino Linotype" w:eastAsia="Times New Roman" w:hAnsi="Palatino Linotype"/>
          <w:szCs w:val="24"/>
        </w:rPr>
        <w:t xml:space="preserve">  </w:t>
      </w:r>
      <w:r w:rsidR="00614AC9" w:rsidRPr="00A92DBA">
        <w:rPr>
          <w:rFonts w:ascii="Palatino Linotype" w:eastAsia="Times New Roman" w:hAnsi="Palatino Linotype" w:cs="Palatino Linotype"/>
          <w:szCs w:val="24"/>
        </w:rPr>
        <w:t xml:space="preserve">The proposed project will provide ancillary benefits, including improved connectivity in </w:t>
      </w:r>
      <w:r w:rsidR="00D25751" w:rsidRPr="00A92DBA">
        <w:rPr>
          <w:rFonts w:ascii="Palatino Linotype" w:eastAsia="Times New Roman" w:hAnsi="Palatino Linotype" w:cs="Palatino Linotype"/>
          <w:szCs w:val="24"/>
        </w:rPr>
        <w:t xml:space="preserve">a </w:t>
      </w:r>
      <w:r w:rsidR="00614AC9" w:rsidRPr="00A92DBA">
        <w:rPr>
          <w:rFonts w:ascii="Palatino Linotype" w:eastAsia="Times New Roman" w:hAnsi="Palatino Linotype" w:cs="Palatino Linotype"/>
          <w:szCs w:val="24"/>
        </w:rPr>
        <w:t xml:space="preserve">region located in a Tier 2 </w:t>
      </w:r>
      <w:r w:rsidR="00346905">
        <w:rPr>
          <w:rFonts w:ascii="Palatino Linotype" w:eastAsia="Times New Roman" w:hAnsi="Palatino Linotype" w:cs="Palatino Linotype"/>
          <w:szCs w:val="24"/>
        </w:rPr>
        <w:t>F</w:t>
      </w:r>
      <w:r w:rsidR="00614AC9" w:rsidRPr="00A92DBA">
        <w:rPr>
          <w:rFonts w:ascii="Palatino Linotype" w:eastAsia="Times New Roman" w:hAnsi="Palatino Linotype" w:cs="Palatino Linotype"/>
          <w:szCs w:val="24"/>
        </w:rPr>
        <w:t>ire-</w:t>
      </w:r>
      <w:r w:rsidR="00346905">
        <w:rPr>
          <w:rFonts w:ascii="Palatino Linotype" w:eastAsia="Times New Roman" w:hAnsi="Palatino Linotype" w:cs="Palatino Linotype"/>
          <w:szCs w:val="24"/>
        </w:rPr>
        <w:t>T</w:t>
      </w:r>
      <w:r w:rsidR="00614AC9" w:rsidRPr="00A92DBA">
        <w:rPr>
          <w:rFonts w:ascii="Palatino Linotype" w:eastAsia="Times New Roman" w:hAnsi="Palatino Linotype" w:cs="Palatino Linotype"/>
          <w:szCs w:val="24"/>
        </w:rPr>
        <w:t xml:space="preserve">hreat </w:t>
      </w:r>
      <w:r w:rsidR="00346905">
        <w:rPr>
          <w:rFonts w:ascii="Palatino Linotype" w:eastAsia="Times New Roman" w:hAnsi="Palatino Linotype" w:cs="Palatino Linotype"/>
          <w:szCs w:val="24"/>
        </w:rPr>
        <w:t>District</w:t>
      </w:r>
      <w:r w:rsidR="00614AC9" w:rsidRPr="00A92DBA">
        <w:rPr>
          <w:rFonts w:ascii="Palatino Linotype" w:eastAsia="Times New Roman" w:hAnsi="Palatino Linotype" w:cs="Palatino Linotype"/>
          <w:szCs w:val="24"/>
        </w:rPr>
        <w:t xml:space="preserve"> o</w:t>
      </w:r>
      <w:r w:rsidR="005C36BD">
        <w:rPr>
          <w:rFonts w:ascii="Palatino Linotype" w:eastAsia="Times New Roman" w:hAnsi="Palatino Linotype" w:cs="Palatino Linotype"/>
          <w:szCs w:val="24"/>
        </w:rPr>
        <w:t>n</w:t>
      </w:r>
      <w:r w:rsidR="00614AC9" w:rsidRPr="00A92DBA">
        <w:rPr>
          <w:rFonts w:ascii="Palatino Linotype" w:eastAsia="Times New Roman" w:hAnsi="Palatino Linotype" w:cs="Palatino Linotype"/>
          <w:szCs w:val="24"/>
        </w:rPr>
        <w:t xml:space="preserve"> the </w:t>
      </w:r>
      <w:r w:rsidR="0022337F">
        <w:rPr>
          <w:rFonts w:ascii="Palatino Linotype" w:eastAsia="Times New Roman" w:hAnsi="Palatino Linotype" w:cs="Palatino Linotype"/>
          <w:szCs w:val="24"/>
        </w:rPr>
        <w:t xml:space="preserve">California Public Utilities </w:t>
      </w:r>
      <w:r w:rsidR="00614AC9" w:rsidRPr="00A92DBA">
        <w:rPr>
          <w:rFonts w:ascii="Palatino Linotype" w:eastAsia="Times New Roman" w:hAnsi="Palatino Linotype" w:cs="Palatino Linotype"/>
          <w:szCs w:val="24"/>
        </w:rPr>
        <w:t xml:space="preserve">Commission’s </w:t>
      </w:r>
      <w:r w:rsidR="0022337F">
        <w:rPr>
          <w:rFonts w:ascii="Palatino Linotype" w:eastAsia="Times New Roman" w:hAnsi="Palatino Linotype" w:cs="Palatino Linotype"/>
          <w:szCs w:val="24"/>
        </w:rPr>
        <w:t xml:space="preserve">(Commission) </w:t>
      </w:r>
      <w:r w:rsidR="00614AC9" w:rsidRPr="00A92DBA">
        <w:rPr>
          <w:rFonts w:ascii="Palatino Linotype" w:eastAsia="Times New Roman" w:hAnsi="Palatino Linotype" w:cs="Palatino Linotype"/>
          <w:szCs w:val="24"/>
        </w:rPr>
        <w:t xml:space="preserve">Fire Map.  </w:t>
      </w:r>
    </w:p>
    <w:p w14:paraId="613C82EF" w14:textId="2936C8B8" w:rsidR="00157319" w:rsidRDefault="00157319" w:rsidP="00833542">
      <w:pPr>
        <w:pStyle w:val="xl41"/>
        <w:keepNext/>
        <w:spacing w:before="0" w:after="0"/>
        <w:jc w:val="both"/>
        <w:rPr>
          <w:rFonts w:ascii="Palatino Linotype" w:eastAsia="Times New Roman" w:hAnsi="Palatino Linotype" w:cs="Palatino Linotype"/>
          <w:color w:val="000000"/>
          <w:szCs w:val="24"/>
        </w:rPr>
      </w:pPr>
    </w:p>
    <w:p w14:paraId="11A0DAE3" w14:textId="27259729" w:rsidR="00BC6E63" w:rsidRPr="00D15FF3" w:rsidRDefault="00D15FF3" w:rsidP="00D15FF3">
      <w:pPr>
        <w:pStyle w:val="Heading1"/>
        <w:rPr>
          <w:rFonts w:ascii="Palatino Linotype" w:hAnsi="Palatino Linotype"/>
          <w:sz w:val="26"/>
          <w:szCs w:val="26"/>
        </w:rPr>
      </w:pPr>
      <w:r w:rsidRPr="00D15FF3">
        <w:rPr>
          <w:sz w:val="26"/>
          <w:szCs w:val="26"/>
        </w:rPr>
        <w:t>BACKGROUND</w:t>
      </w:r>
    </w:p>
    <w:p w14:paraId="66E4A86F" w14:textId="77777777" w:rsidR="00D15FF3" w:rsidRDefault="00D15FF3" w:rsidP="0084087F">
      <w:pPr>
        <w:autoSpaceDE w:val="0"/>
        <w:autoSpaceDN w:val="0"/>
        <w:adjustRightInd w:val="0"/>
        <w:jc w:val="both"/>
      </w:pPr>
    </w:p>
    <w:p w14:paraId="6E5E45E3" w14:textId="4401ABF8" w:rsidR="00D15FF3" w:rsidRPr="00D15FF3" w:rsidDel="03604B48" w:rsidRDefault="00C470A6" w:rsidP="003C1CC7">
      <w:pPr>
        <w:rPr>
          <w:rFonts w:ascii="Palatino Linotype" w:hAnsi="Palatino Linotype"/>
          <w:color w:val="000000" w:themeColor="text1"/>
          <w:sz w:val="24"/>
          <w:szCs w:val="24"/>
        </w:rPr>
      </w:pPr>
      <w:r>
        <w:rPr>
          <w:rFonts w:ascii="Palatino Linotype" w:hAnsi="Palatino Linotype"/>
          <w:color w:val="000000" w:themeColor="text1"/>
          <w:sz w:val="24"/>
          <w:szCs w:val="24"/>
        </w:rPr>
        <w:t xml:space="preserve">The </w:t>
      </w:r>
      <w:r w:rsidR="00D15FF3" w:rsidRPr="00D15FF3">
        <w:rPr>
          <w:rFonts w:ascii="Palatino Linotype" w:hAnsi="Palatino Linotype"/>
          <w:color w:val="000000" w:themeColor="text1"/>
          <w:sz w:val="24"/>
          <w:szCs w:val="24"/>
        </w:rPr>
        <w:t xml:space="preserve">CASF Infrastructure Grant Account </w:t>
      </w:r>
      <w:r>
        <w:rPr>
          <w:rFonts w:ascii="Palatino Linotype" w:hAnsi="Palatino Linotype"/>
          <w:color w:val="000000" w:themeColor="text1"/>
          <w:sz w:val="24"/>
          <w:szCs w:val="24"/>
        </w:rPr>
        <w:t xml:space="preserve">(CASF Infrastructure) </w:t>
      </w:r>
      <w:r w:rsidR="00D15FF3" w:rsidRPr="00D15FF3">
        <w:rPr>
          <w:rFonts w:ascii="Palatino Linotype" w:hAnsi="Palatino Linotype"/>
          <w:color w:val="000000" w:themeColor="text1"/>
          <w:sz w:val="24"/>
          <w:szCs w:val="24"/>
        </w:rPr>
        <w:t xml:space="preserve">assists Internet service providers to build or upgrade broadband infrastructure in areas that are </w:t>
      </w:r>
      <w:r w:rsidR="00D15FF3" w:rsidRPr="0016479D">
        <w:rPr>
          <w:rFonts w:ascii="Palatino Linotype" w:hAnsi="Palatino Linotype"/>
          <w:color w:val="000000" w:themeColor="text1"/>
          <w:sz w:val="24"/>
          <w:szCs w:val="24"/>
        </w:rPr>
        <w:t xml:space="preserve">unserved </w:t>
      </w:r>
      <w:r w:rsidR="00D15FF3" w:rsidRPr="00D15FF3">
        <w:rPr>
          <w:rFonts w:ascii="Palatino Linotype" w:hAnsi="Palatino Linotype"/>
          <w:color w:val="000000" w:themeColor="text1"/>
          <w:sz w:val="24"/>
          <w:szCs w:val="24"/>
        </w:rPr>
        <w:t xml:space="preserve">by existing broadband providers.  </w:t>
      </w:r>
      <w:r w:rsidR="00D15FF3" w:rsidRPr="00D15FF3">
        <w:rPr>
          <w:rFonts w:ascii="Palatino Linotype" w:eastAsia="Palatino Linotype" w:hAnsi="Palatino Linotype" w:cs="Palatino Linotype"/>
          <w:sz w:val="24"/>
          <w:szCs w:val="24"/>
        </w:rPr>
        <w:t>T</w:t>
      </w:r>
      <w:r w:rsidR="00D15FF3" w:rsidRPr="00D15FF3">
        <w:rPr>
          <w:rFonts w:ascii="Palatino Linotype" w:hAnsi="Palatino Linotype"/>
          <w:color w:val="000000" w:themeColor="text1"/>
          <w:sz w:val="24"/>
          <w:szCs w:val="24"/>
        </w:rPr>
        <w:t xml:space="preserve">he </w:t>
      </w:r>
      <w:r w:rsidR="00E60F70">
        <w:rPr>
          <w:rFonts w:ascii="Palatino Linotype" w:hAnsi="Palatino Linotype"/>
          <w:color w:val="000000" w:themeColor="text1"/>
          <w:sz w:val="24"/>
          <w:szCs w:val="24"/>
        </w:rPr>
        <w:t xml:space="preserve">CASF program was initiated in 2008, after the program was first adopted by the </w:t>
      </w:r>
      <w:r w:rsidR="00D15FF3" w:rsidRPr="00D15FF3">
        <w:rPr>
          <w:rFonts w:ascii="Palatino Linotype" w:hAnsi="Palatino Linotype"/>
          <w:color w:val="000000" w:themeColor="text1"/>
          <w:sz w:val="24"/>
          <w:szCs w:val="24"/>
        </w:rPr>
        <w:t>Commission in Decision (D.)07-12-054</w:t>
      </w:r>
      <w:r w:rsidR="0011188B">
        <w:rPr>
          <w:rFonts w:ascii="Palatino Linotype" w:hAnsi="Palatino Linotype"/>
          <w:color w:val="000000" w:themeColor="text1"/>
          <w:sz w:val="24"/>
          <w:szCs w:val="24"/>
        </w:rPr>
        <w:t xml:space="preserve"> and enacted into statue pursuant to </w:t>
      </w:r>
      <w:r w:rsidR="00D15FF3" w:rsidRPr="00D15FF3">
        <w:rPr>
          <w:rFonts w:ascii="Palatino Linotype" w:hAnsi="Palatino Linotype"/>
          <w:color w:val="000000" w:themeColor="text1"/>
          <w:sz w:val="24"/>
          <w:szCs w:val="24"/>
        </w:rPr>
        <w:t>Senate Bill 1193</w:t>
      </w:r>
      <w:r w:rsidR="0011188B">
        <w:rPr>
          <w:rFonts w:ascii="Palatino Linotype" w:hAnsi="Palatino Linotype"/>
          <w:color w:val="000000" w:themeColor="text1"/>
          <w:sz w:val="24"/>
          <w:szCs w:val="24"/>
        </w:rPr>
        <w:t>.</w:t>
      </w:r>
      <w:r w:rsidR="00837B30">
        <w:rPr>
          <w:rFonts w:ascii="Palatino Linotype" w:hAnsi="Palatino Linotype"/>
          <w:color w:val="000000" w:themeColor="text1"/>
          <w:sz w:val="24"/>
          <w:szCs w:val="24"/>
        </w:rPr>
        <w:t xml:space="preserve">  </w:t>
      </w:r>
    </w:p>
    <w:p w14:paraId="3185F5C5" w14:textId="77777777" w:rsidR="00D15FF3" w:rsidRPr="00D15FF3" w:rsidRDefault="00D15FF3" w:rsidP="00D15FF3">
      <w:pPr>
        <w:rPr>
          <w:rFonts w:ascii="Palatino Linotype" w:hAnsi="Palatino Linotype"/>
          <w:sz w:val="24"/>
          <w:szCs w:val="24"/>
        </w:rPr>
      </w:pPr>
    </w:p>
    <w:p w14:paraId="7B324BA6" w14:textId="4E50FA25" w:rsidR="00D15FF3" w:rsidRDefault="00D15FF3" w:rsidP="003C1CC7">
      <w:pPr>
        <w:rPr>
          <w:rFonts w:ascii="Palatino Linotype" w:hAnsi="Palatino Linotype"/>
          <w:sz w:val="24"/>
          <w:szCs w:val="24"/>
        </w:rPr>
      </w:pPr>
      <w:r w:rsidRPr="00D15FF3">
        <w:rPr>
          <w:rFonts w:ascii="Palatino Linotype" w:hAnsi="Palatino Linotype"/>
          <w:sz w:val="24"/>
          <w:szCs w:val="24"/>
        </w:rPr>
        <w:t>On October 15, 2017, Governor Brown signed Assembly Bill (AB) 1665 (Garcia)</w:t>
      </w:r>
      <w:r w:rsidRPr="00D15FF3">
        <w:rPr>
          <w:rStyle w:val="FootnoteReference"/>
          <w:rFonts w:ascii="Palatino Linotype" w:hAnsi="Palatino Linotype"/>
          <w:sz w:val="24"/>
          <w:szCs w:val="24"/>
        </w:rPr>
        <w:footnoteReference w:id="1"/>
      </w:r>
      <w:r w:rsidRPr="00D15FF3">
        <w:rPr>
          <w:rFonts w:ascii="Palatino Linotype" w:hAnsi="Palatino Linotype"/>
          <w:sz w:val="24"/>
          <w:szCs w:val="24"/>
        </w:rPr>
        <w:t xml:space="preserve"> into law.  Th</w:t>
      </w:r>
      <w:r w:rsidR="00F4292E">
        <w:rPr>
          <w:rFonts w:ascii="Palatino Linotype" w:hAnsi="Palatino Linotype"/>
          <w:sz w:val="24"/>
          <w:szCs w:val="24"/>
        </w:rPr>
        <w:t>at</w:t>
      </w:r>
      <w:r w:rsidRPr="00D15FF3">
        <w:rPr>
          <w:rFonts w:ascii="Palatino Linotype" w:hAnsi="Palatino Linotype"/>
          <w:sz w:val="24"/>
          <w:szCs w:val="24"/>
        </w:rPr>
        <w:t xml:space="preserve"> legislation amended the statute governing the CASF program, Public Utilities Code, §</w:t>
      </w:r>
      <w:r w:rsidR="00D00AC4">
        <w:rPr>
          <w:rFonts w:ascii="Palatino Linotype" w:hAnsi="Palatino Linotype"/>
          <w:sz w:val="24"/>
          <w:szCs w:val="24"/>
        </w:rPr>
        <w:t xml:space="preserve"> </w:t>
      </w:r>
      <w:r w:rsidRPr="00D15FF3">
        <w:rPr>
          <w:rFonts w:ascii="Palatino Linotype" w:hAnsi="Palatino Linotype"/>
          <w:sz w:val="24"/>
          <w:szCs w:val="24"/>
        </w:rPr>
        <w:t xml:space="preserve">281.  The Commission issued D.18-12-018 adopting the programmatic changes </w:t>
      </w:r>
      <w:r w:rsidRPr="00D15FF3">
        <w:rPr>
          <w:rFonts w:ascii="Palatino Linotype" w:hAnsi="Palatino Linotype"/>
          <w:sz w:val="24"/>
          <w:szCs w:val="24"/>
        </w:rPr>
        <w:lastRenderedPageBreak/>
        <w:t>to the CASF.  Appendix 1 of D.18-12-018 set forth the rules, application requirements and guideline</w:t>
      </w:r>
      <w:r w:rsidR="00420A38">
        <w:rPr>
          <w:rFonts w:ascii="Palatino Linotype" w:hAnsi="Palatino Linotype"/>
          <w:sz w:val="24"/>
          <w:szCs w:val="24"/>
        </w:rPr>
        <w:t>s</w:t>
      </w:r>
      <w:r w:rsidRPr="00D15FF3">
        <w:rPr>
          <w:rFonts w:ascii="Palatino Linotype" w:hAnsi="Palatino Linotype"/>
          <w:sz w:val="24"/>
          <w:szCs w:val="24"/>
        </w:rPr>
        <w:t xml:space="preserve"> for the CASF Infrastructure.</w:t>
      </w:r>
      <w:r w:rsidR="00C470A6" w:rsidRPr="00D15FF3">
        <w:rPr>
          <w:rStyle w:val="FootnoteReference"/>
          <w:rFonts w:ascii="Palatino Linotype" w:hAnsi="Palatino Linotype"/>
          <w:sz w:val="24"/>
          <w:szCs w:val="24"/>
        </w:rPr>
        <w:footnoteReference w:id="2"/>
      </w:r>
      <w:r w:rsidRPr="00D15FF3">
        <w:rPr>
          <w:rFonts w:ascii="Palatino Linotype" w:hAnsi="Palatino Linotype"/>
          <w:sz w:val="24"/>
          <w:szCs w:val="24"/>
        </w:rPr>
        <w:t xml:space="preserve"> </w:t>
      </w:r>
    </w:p>
    <w:p w14:paraId="78DA3ADE" w14:textId="77777777" w:rsidR="00D91A96" w:rsidRDefault="00D91A96" w:rsidP="00D91A96">
      <w:pPr>
        <w:rPr>
          <w:rFonts w:ascii="Palatino Linotype" w:hAnsi="Palatino Linotype"/>
          <w:sz w:val="24"/>
          <w:szCs w:val="24"/>
        </w:rPr>
      </w:pPr>
    </w:p>
    <w:p w14:paraId="6E5E9416" w14:textId="342E2904" w:rsidR="00D15FF3" w:rsidRDefault="009E725F" w:rsidP="003C1CC7">
      <w:pPr>
        <w:autoSpaceDE w:val="0"/>
        <w:autoSpaceDN w:val="0"/>
        <w:adjustRightInd w:val="0"/>
        <w:rPr>
          <w:rFonts w:ascii="Palatino Linotype" w:hAnsi="Palatino Linotype"/>
          <w:sz w:val="24"/>
          <w:szCs w:val="24"/>
        </w:rPr>
      </w:pPr>
      <w:r w:rsidRPr="00223AED">
        <w:rPr>
          <w:rFonts w:ascii="Palatino Linotype" w:hAnsi="Palatino Linotype"/>
          <w:b/>
          <w:bCs/>
          <w:color w:val="000000" w:themeColor="text1"/>
          <w:sz w:val="24"/>
          <w:szCs w:val="24"/>
        </w:rPr>
        <w:t xml:space="preserve">On </w:t>
      </w:r>
      <w:r w:rsidR="00971A45" w:rsidRPr="00223AED">
        <w:rPr>
          <w:rFonts w:ascii="Palatino Linotype" w:hAnsi="Palatino Linotype"/>
          <w:b/>
          <w:bCs/>
          <w:color w:val="000000" w:themeColor="text1"/>
          <w:sz w:val="24"/>
          <w:szCs w:val="24"/>
        </w:rPr>
        <w:t>May</w:t>
      </w:r>
      <w:r w:rsidRPr="00223AED">
        <w:rPr>
          <w:rFonts w:ascii="Palatino Linotype" w:hAnsi="Palatino Linotype"/>
          <w:b/>
          <w:bCs/>
          <w:color w:val="000000" w:themeColor="text1"/>
          <w:sz w:val="24"/>
          <w:szCs w:val="24"/>
        </w:rPr>
        <w:t xml:space="preserve"> 1, 201</w:t>
      </w:r>
      <w:r w:rsidR="00971A45" w:rsidRPr="00223AED">
        <w:rPr>
          <w:rFonts w:ascii="Palatino Linotype" w:hAnsi="Palatino Linotype"/>
          <w:b/>
          <w:bCs/>
          <w:color w:val="000000" w:themeColor="text1"/>
          <w:sz w:val="24"/>
          <w:szCs w:val="24"/>
        </w:rPr>
        <w:t>9</w:t>
      </w:r>
      <w:r w:rsidRPr="00223AED">
        <w:rPr>
          <w:rFonts w:ascii="Palatino Linotype" w:hAnsi="Palatino Linotype"/>
          <w:b/>
          <w:bCs/>
          <w:color w:val="000000" w:themeColor="text1"/>
          <w:sz w:val="24"/>
          <w:szCs w:val="24"/>
        </w:rPr>
        <w:t xml:space="preserve">, </w:t>
      </w:r>
      <w:r w:rsidR="008E4E91" w:rsidRPr="00223AED">
        <w:rPr>
          <w:rFonts w:ascii="Palatino Linotype" w:hAnsi="Palatino Linotype"/>
          <w:b/>
          <w:bCs/>
          <w:color w:val="000000" w:themeColor="text1"/>
          <w:sz w:val="24"/>
          <w:szCs w:val="24"/>
        </w:rPr>
        <w:t>PST</w:t>
      </w:r>
      <w:r w:rsidRPr="00223AED">
        <w:rPr>
          <w:rFonts w:ascii="Palatino Linotype" w:hAnsi="Palatino Linotype"/>
          <w:b/>
          <w:bCs/>
          <w:color w:val="000000" w:themeColor="text1"/>
          <w:sz w:val="24"/>
          <w:szCs w:val="24"/>
        </w:rPr>
        <w:t xml:space="preserve"> submitted a</w:t>
      </w:r>
      <w:r w:rsidR="00065DB6" w:rsidRPr="00223AED">
        <w:rPr>
          <w:rFonts w:ascii="Palatino Linotype" w:hAnsi="Palatino Linotype"/>
          <w:b/>
          <w:bCs/>
          <w:color w:val="000000" w:themeColor="text1"/>
          <w:sz w:val="24"/>
          <w:szCs w:val="24"/>
        </w:rPr>
        <w:t xml:space="preserve"> </w:t>
      </w:r>
      <w:r w:rsidRPr="00223AED">
        <w:rPr>
          <w:rFonts w:ascii="Palatino Linotype" w:hAnsi="Palatino Linotype"/>
          <w:b/>
          <w:bCs/>
          <w:color w:val="000000" w:themeColor="text1"/>
          <w:sz w:val="24"/>
          <w:szCs w:val="24"/>
        </w:rPr>
        <w:t>CASF Infrastructure application</w:t>
      </w:r>
      <w:r w:rsidR="00D15FF3" w:rsidRPr="00223AED">
        <w:rPr>
          <w:rFonts w:ascii="Palatino Linotype" w:hAnsi="Palatino Linotype"/>
          <w:b/>
          <w:bCs/>
          <w:color w:val="000000" w:themeColor="text1"/>
          <w:sz w:val="24"/>
          <w:szCs w:val="24"/>
        </w:rPr>
        <w:t xml:space="preserve">, requesting 100-percent funding of $1,583,660 to deploy middle-mile fiber and last-mile FTTH broadband access to </w:t>
      </w:r>
      <w:r w:rsidR="00D15FF3" w:rsidRPr="00223AED">
        <w:rPr>
          <w:rFonts w:ascii="Palatino Linotype" w:hAnsi="Palatino Linotype"/>
          <w:b/>
          <w:bCs/>
          <w:sz w:val="24"/>
          <w:szCs w:val="24"/>
        </w:rPr>
        <w:t>33 unserved households in the community of Keddie in Plumas County.</w:t>
      </w:r>
      <w:r w:rsidR="00D15FF3">
        <w:rPr>
          <w:rFonts w:ascii="Palatino Linotype" w:hAnsi="Palatino Linotype"/>
          <w:sz w:val="24"/>
          <w:szCs w:val="24"/>
        </w:rPr>
        <w:t xml:space="preserve">  The CASF grant funding request w</w:t>
      </w:r>
      <w:r w:rsidR="0016479D">
        <w:rPr>
          <w:rFonts w:ascii="Palatino Linotype" w:hAnsi="Palatino Linotype"/>
          <w:sz w:val="24"/>
          <w:szCs w:val="24"/>
        </w:rPr>
        <w:t>ould</w:t>
      </w:r>
      <w:r w:rsidR="00D15FF3">
        <w:rPr>
          <w:rFonts w:ascii="Palatino Linotype" w:hAnsi="Palatino Linotype"/>
          <w:sz w:val="24"/>
          <w:szCs w:val="24"/>
        </w:rPr>
        <w:t xml:space="preserve"> cover </w:t>
      </w:r>
      <w:r w:rsidR="00223AED">
        <w:rPr>
          <w:rFonts w:ascii="Palatino Linotype" w:hAnsi="Palatino Linotype"/>
          <w:sz w:val="24"/>
          <w:szCs w:val="24"/>
        </w:rPr>
        <w:t>the complete</w:t>
      </w:r>
      <w:r w:rsidR="00D15FF3">
        <w:rPr>
          <w:rFonts w:ascii="Palatino Linotype" w:hAnsi="Palatino Linotype"/>
          <w:sz w:val="24"/>
          <w:szCs w:val="24"/>
        </w:rPr>
        <w:t xml:space="preserve"> project deployment costs of the Keddie Project. </w:t>
      </w:r>
    </w:p>
    <w:p w14:paraId="410AD44A" w14:textId="77777777" w:rsidR="00D15FF3" w:rsidRDefault="00D15FF3" w:rsidP="0084087F">
      <w:pPr>
        <w:autoSpaceDE w:val="0"/>
        <w:autoSpaceDN w:val="0"/>
        <w:adjustRightInd w:val="0"/>
        <w:jc w:val="both"/>
        <w:rPr>
          <w:rFonts w:ascii="Palatino Linotype" w:hAnsi="Palatino Linotype"/>
          <w:sz w:val="24"/>
          <w:szCs w:val="24"/>
        </w:rPr>
      </w:pPr>
    </w:p>
    <w:p w14:paraId="641A92E4" w14:textId="06A13C96" w:rsidR="009E725F" w:rsidRDefault="00032463" w:rsidP="003C1CC7">
      <w:pPr>
        <w:autoSpaceDE w:val="0"/>
        <w:autoSpaceDN w:val="0"/>
        <w:adjustRightInd w:val="0"/>
        <w:rPr>
          <w:rFonts w:ascii="Palatino Linotype" w:hAnsi="Palatino Linotype"/>
          <w:iCs/>
          <w:color w:val="000000" w:themeColor="text1"/>
          <w:sz w:val="24"/>
          <w:szCs w:val="24"/>
        </w:rPr>
      </w:pPr>
      <w:r w:rsidRPr="00032463">
        <w:rPr>
          <w:rFonts w:ascii="Palatino Linotype" w:hAnsi="Palatino Linotype"/>
          <w:iCs/>
          <w:color w:val="000000" w:themeColor="text1"/>
          <w:sz w:val="24"/>
          <w:szCs w:val="24"/>
        </w:rPr>
        <w:t xml:space="preserve">PST </w:t>
      </w:r>
      <w:r w:rsidR="009E725F" w:rsidRPr="00032463">
        <w:rPr>
          <w:rFonts w:ascii="Palatino Linotype" w:hAnsi="Palatino Linotype"/>
          <w:iCs/>
          <w:color w:val="000000" w:themeColor="text1"/>
          <w:sz w:val="24"/>
          <w:szCs w:val="24"/>
        </w:rPr>
        <w:t xml:space="preserve">is a </w:t>
      </w:r>
      <w:r w:rsidR="00C21224">
        <w:rPr>
          <w:rFonts w:ascii="Palatino Linotype" w:hAnsi="Palatino Linotype"/>
          <w:iCs/>
          <w:color w:val="000000" w:themeColor="text1"/>
          <w:sz w:val="24"/>
          <w:szCs w:val="24"/>
        </w:rPr>
        <w:t>wholly owned</w:t>
      </w:r>
      <w:r w:rsidR="001B414B">
        <w:rPr>
          <w:rFonts w:ascii="Palatino Linotype" w:hAnsi="Palatino Linotype"/>
          <w:iCs/>
          <w:color w:val="000000" w:themeColor="text1"/>
          <w:sz w:val="24"/>
          <w:szCs w:val="24"/>
        </w:rPr>
        <w:t xml:space="preserve"> subsidiary of Plumas-Sierra Rural Electric Cooperative (P</w:t>
      </w:r>
      <w:r w:rsidR="0028094C">
        <w:rPr>
          <w:rFonts w:ascii="Palatino Linotype" w:hAnsi="Palatino Linotype"/>
          <w:iCs/>
          <w:color w:val="000000" w:themeColor="text1"/>
          <w:sz w:val="24"/>
          <w:szCs w:val="24"/>
        </w:rPr>
        <w:t>SREC)</w:t>
      </w:r>
      <w:r w:rsidR="0073708B">
        <w:rPr>
          <w:rFonts w:ascii="Palatino Linotype" w:hAnsi="Palatino Linotype"/>
          <w:iCs/>
          <w:color w:val="000000" w:themeColor="text1"/>
          <w:sz w:val="24"/>
          <w:szCs w:val="24"/>
        </w:rPr>
        <w:t>.  F</w:t>
      </w:r>
      <w:r w:rsidR="0028094C">
        <w:rPr>
          <w:rFonts w:ascii="Palatino Linotype" w:hAnsi="Palatino Linotype"/>
          <w:iCs/>
          <w:color w:val="000000" w:themeColor="text1"/>
          <w:sz w:val="24"/>
          <w:szCs w:val="24"/>
        </w:rPr>
        <w:t>ounded in 1937</w:t>
      </w:r>
      <w:r w:rsidR="0073708B">
        <w:rPr>
          <w:rFonts w:ascii="Palatino Linotype" w:hAnsi="Palatino Linotype"/>
          <w:iCs/>
          <w:color w:val="000000" w:themeColor="text1"/>
          <w:sz w:val="24"/>
          <w:szCs w:val="24"/>
        </w:rPr>
        <w:t xml:space="preserve">, </w:t>
      </w:r>
      <w:r w:rsidR="0028094C">
        <w:rPr>
          <w:rFonts w:ascii="Palatino Linotype" w:hAnsi="Palatino Linotype"/>
          <w:iCs/>
          <w:color w:val="000000" w:themeColor="text1"/>
          <w:sz w:val="24"/>
          <w:szCs w:val="24"/>
        </w:rPr>
        <w:t>PSREC is a member-owned electric distribution utility providing electric</w:t>
      </w:r>
      <w:r w:rsidR="001679CC">
        <w:rPr>
          <w:rFonts w:ascii="Palatino Linotype" w:hAnsi="Palatino Linotype"/>
          <w:iCs/>
          <w:color w:val="000000" w:themeColor="text1"/>
          <w:sz w:val="24"/>
          <w:szCs w:val="24"/>
        </w:rPr>
        <w:t>al power</w:t>
      </w:r>
      <w:r w:rsidR="0028094C">
        <w:rPr>
          <w:rFonts w:ascii="Palatino Linotype" w:hAnsi="Palatino Linotype"/>
          <w:iCs/>
          <w:color w:val="000000" w:themeColor="text1"/>
          <w:sz w:val="24"/>
          <w:szCs w:val="24"/>
        </w:rPr>
        <w:t xml:space="preserve"> and related services to over </w:t>
      </w:r>
      <w:r w:rsidR="00BA6E5A">
        <w:rPr>
          <w:rFonts w:ascii="Palatino Linotype" w:hAnsi="Palatino Linotype"/>
          <w:iCs/>
          <w:color w:val="000000" w:themeColor="text1"/>
          <w:sz w:val="24"/>
          <w:szCs w:val="24"/>
        </w:rPr>
        <w:t>7</w:t>
      </w:r>
      <w:r w:rsidR="0028094C">
        <w:rPr>
          <w:rFonts w:ascii="Palatino Linotype" w:hAnsi="Palatino Linotype"/>
          <w:iCs/>
          <w:color w:val="000000" w:themeColor="text1"/>
          <w:sz w:val="24"/>
          <w:szCs w:val="24"/>
        </w:rPr>
        <w:t xml:space="preserve">,500 member/owners in Plumas, Lassen, and Sierra counties in California, and portions of Washoe County in Nevada.  </w:t>
      </w:r>
      <w:r w:rsidR="00CA439A">
        <w:rPr>
          <w:rFonts w:ascii="Palatino Linotype" w:hAnsi="Palatino Linotype"/>
          <w:iCs/>
          <w:color w:val="000000" w:themeColor="text1"/>
          <w:sz w:val="24"/>
          <w:szCs w:val="24"/>
        </w:rPr>
        <w:t xml:space="preserve">In 1987, </w:t>
      </w:r>
      <w:r w:rsidR="00961707">
        <w:rPr>
          <w:rFonts w:ascii="Palatino Linotype" w:hAnsi="Palatino Linotype"/>
          <w:iCs/>
          <w:color w:val="000000" w:themeColor="text1"/>
          <w:sz w:val="24"/>
          <w:szCs w:val="24"/>
        </w:rPr>
        <w:t xml:space="preserve">PSREC </w:t>
      </w:r>
      <w:r w:rsidR="00535858">
        <w:rPr>
          <w:rFonts w:ascii="Palatino Linotype" w:hAnsi="Palatino Linotype"/>
          <w:iCs/>
          <w:color w:val="000000" w:themeColor="text1"/>
          <w:sz w:val="24"/>
          <w:szCs w:val="24"/>
        </w:rPr>
        <w:t xml:space="preserve">management and board of directors formed its </w:t>
      </w:r>
      <w:r w:rsidR="00D1285A">
        <w:rPr>
          <w:rFonts w:ascii="Palatino Linotype" w:hAnsi="Palatino Linotype"/>
          <w:iCs/>
          <w:color w:val="000000" w:themeColor="text1"/>
          <w:sz w:val="24"/>
          <w:szCs w:val="24"/>
        </w:rPr>
        <w:t xml:space="preserve">PST </w:t>
      </w:r>
      <w:r w:rsidR="00535858">
        <w:rPr>
          <w:rFonts w:ascii="Palatino Linotype" w:hAnsi="Palatino Linotype"/>
          <w:iCs/>
          <w:color w:val="000000" w:themeColor="text1"/>
          <w:sz w:val="24"/>
          <w:szCs w:val="24"/>
        </w:rPr>
        <w:t xml:space="preserve">subsidiary </w:t>
      </w:r>
      <w:r w:rsidR="00C7512A">
        <w:rPr>
          <w:rFonts w:ascii="Palatino Linotype" w:hAnsi="Palatino Linotype"/>
          <w:iCs/>
          <w:color w:val="000000" w:themeColor="text1"/>
          <w:sz w:val="24"/>
          <w:szCs w:val="24"/>
        </w:rPr>
        <w:t xml:space="preserve">to </w:t>
      </w:r>
      <w:r w:rsidR="004126D7">
        <w:rPr>
          <w:rFonts w:ascii="Palatino Linotype" w:hAnsi="Palatino Linotype"/>
          <w:iCs/>
          <w:color w:val="000000" w:themeColor="text1"/>
          <w:sz w:val="24"/>
          <w:szCs w:val="24"/>
        </w:rPr>
        <w:t xml:space="preserve">offer affordable telecommunication and internet services in </w:t>
      </w:r>
      <w:r w:rsidR="00E8268C">
        <w:rPr>
          <w:rFonts w:ascii="Palatino Linotype" w:hAnsi="Palatino Linotype"/>
          <w:iCs/>
          <w:color w:val="000000" w:themeColor="text1"/>
          <w:sz w:val="24"/>
          <w:szCs w:val="24"/>
        </w:rPr>
        <w:t>PSREC’s</w:t>
      </w:r>
      <w:r w:rsidR="004126D7">
        <w:rPr>
          <w:rFonts w:ascii="Palatino Linotype" w:hAnsi="Palatino Linotype"/>
          <w:iCs/>
          <w:color w:val="000000" w:themeColor="text1"/>
          <w:sz w:val="24"/>
          <w:szCs w:val="24"/>
        </w:rPr>
        <w:t xml:space="preserve"> </w:t>
      </w:r>
      <w:r w:rsidR="00BE2900">
        <w:rPr>
          <w:rFonts w:ascii="Palatino Linotype" w:hAnsi="Palatino Linotype"/>
          <w:iCs/>
          <w:color w:val="000000" w:themeColor="text1"/>
          <w:sz w:val="24"/>
          <w:szCs w:val="24"/>
        </w:rPr>
        <w:t xml:space="preserve">electrical </w:t>
      </w:r>
      <w:r w:rsidR="004126D7">
        <w:rPr>
          <w:rFonts w:ascii="Palatino Linotype" w:hAnsi="Palatino Linotype"/>
          <w:iCs/>
          <w:color w:val="000000" w:themeColor="text1"/>
          <w:sz w:val="24"/>
          <w:szCs w:val="24"/>
        </w:rPr>
        <w:t>service area</w:t>
      </w:r>
      <w:r w:rsidR="00BE2900">
        <w:rPr>
          <w:rFonts w:ascii="Palatino Linotype" w:hAnsi="Palatino Linotype"/>
          <w:iCs/>
          <w:color w:val="000000" w:themeColor="text1"/>
          <w:sz w:val="24"/>
          <w:szCs w:val="24"/>
        </w:rPr>
        <w:t>s</w:t>
      </w:r>
      <w:r w:rsidR="00C0105D">
        <w:rPr>
          <w:rFonts w:ascii="Palatino Linotype" w:hAnsi="Palatino Linotype"/>
          <w:iCs/>
          <w:color w:val="000000" w:themeColor="text1"/>
          <w:sz w:val="24"/>
          <w:szCs w:val="24"/>
        </w:rPr>
        <w:t xml:space="preserve"> where </w:t>
      </w:r>
      <w:r w:rsidR="00BE2900">
        <w:rPr>
          <w:rFonts w:ascii="Palatino Linotype" w:hAnsi="Palatino Linotype"/>
          <w:iCs/>
          <w:color w:val="000000" w:themeColor="text1"/>
          <w:sz w:val="24"/>
          <w:szCs w:val="24"/>
        </w:rPr>
        <w:t xml:space="preserve">communications were </w:t>
      </w:r>
      <w:r w:rsidR="00C0105D">
        <w:rPr>
          <w:rFonts w:ascii="Palatino Linotype" w:hAnsi="Palatino Linotype"/>
          <w:iCs/>
          <w:color w:val="000000" w:themeColor="text1"/>
          <w:sz w:val="24"/>
          <w:szCs w:val="24"/>
        </w:rPr>
        <w:t xml:space="preserve">not previously available.  </w:t>
      </w:r>
      <w:r w:rsidR="0028094C">
        <w:rPr>
          <w:rFonts w:ascii="Palatino Linotype" w:hAnsi="Palatino Linotype"/>
          <w:iCs/>
          <w:color w:val="000000" w:themeColor="text1"/>
          <w:sz w:val="24"/>
          <w:szCs w:val="24"/>
        </w:rPr>
        <w:t>PST headquarters are in Portola, CA, with a second office in Susanville (Lassen County).</w:t>
      </w:r>
    </w:p>
    <w:p w14:paraId="0FCBDE5E" w14:textId="1B1E63A3" w:rsidR="00335CC4" w:rsidRDefault="00335CC4" w:rsidP="0084087F">
      <w:pPr>
        <w:autoSpaceDE w:val="0"/>
        <w:autoSpaceDN w:val="0"/>
        <w:adjustRightInd w:val="0"/>
        <w:jc w:val="both"/>
        <w:rPr>
          <w:rFonts w:ascii="Palatino Linotype" w:hAnsi="Palatino Linotype"/>
          <w:iCs/>
          <w:color w:val="000000" w:themeColor="text1"/>
          <w:sz w:val="24"/>
          <w:szCs w:val="24"/>
        </w:rPr>
      </w:pPr>
    </w:p>
    <w:p w14:paraId="77E1337C" w14:textId="3FAD253D" w:rsidR="00335CC4" w:rsidRDefault="00335CC4" w:rsidP="003C1CC7">
      <w:pPr>
        <w:autoSpaceDE w:val="0"/>
        <w:autoSpaceDN w:val="0"/>
        <w:adjustRightInd w:val="0"/>
        <w:rPr>
          <w:rFonts w:ascii="Palatino Linotype" w:hAnsi="Palatino Linotype"/>
          <w:iCs/>
          <w:color w:val="000000" w:themeColor="text1"/>
          <w:sz w:val="24"/>
          <w:szCs w:val="24"/>
        </w:rPr>
      </w:pPr>
      <w:r>
        <w:rPr>
          <w:rFonts w:ascii="Palatino Linotype" w:hAnsi="Palatino Linotype"/>
          <w:iCs/>
          <w:color w:val="000000" w:themeColor="text1"/>
          <w:sz w:val="24"/>
          <w:szCs w:val="24"/>
        </w:rPr>
        <w:t>PST is an experience</w:t>
      </w:r>
      <w:r w:rsidR="008A0BF1">
        <w:rPr>
          <w:rFonts w:ascii="Palatino Linotype" w:hAnsi="Palatino Linotype"/>
          <w:iCs/>
          <w:color w:val="000000" w:themeColor="text1"/>
          <w:sz w:val="24"/>
          <w:szCs w:val="24"/>
        </w:rPr>
        <w:t>d</w:t>
      </w:r>
      <w:r>
        <w:rPr>
          <w:rFonts w:ascii="Palatino Linotype" w:hAnsi="Palatino Linotype"/>
          <w:iCs/>
          <w:color w:val="000000" w:themeColor="text1"/>
          <w:sz w:val="24"/>
          <w:szCs w:val="24"/>
        </w:rPr>
        <w:t xml:space="preserve"> wireless Internet </w:t>
      </w:r>
      <w:r w:rsidR="00346905">
        <w:rPr>
          <w:rFonts w:ascii="Palatino Linotype" w:hAnsi="Palatino Linotype"/>
          <w:iCs/>
          <w:color w:val="000000" w:themeColor="text1"/>
          <w:sz w:val="24"/>
          <w:szCs w:val="24"/>
        </w:rPr>
        <w:t>s</w:t>
      </w:r>
      <w:r>
        <w:rPr>
          <w:rFonts w:ascii="Palatino Linotype" w:hAnsi="Palatino Linotype"/>
          <w:iCs/>
          <w:color w:val="000000" w:themeColor="text1"/>
          <w:sz w:val="24"/>
          <w:szCs w:val="24"/>
        </w:rPr>
        <w:t xml:space="preserve">ervice </w:t>
      </w:r>
      <w:r w:rsidR="00346905">
        <w:rPr>
          <w:rFonts w:ascii="Palatino Linotype" w:hAnsi="Palatino Linotype"/>
          <w:iCs/>
          <w:color w:val="000000" w:themeColor="text1"/>
          <w:sz w:val="24"/>
          <w:szCs w:val="24"/>
        </w:rPr>
        <w:t>p</w:t>
      </w:r>
      <w:r>
        <w:rPr>
          <w:rFonts w:ascii="Palatino Linotype" w:hAnsi="Palatino Linotype"/>
          <w:iCs/>
          <w:color w:val="000000" w:themeColor="text1"/>
          <w:sz w:val="24"/>
          <w:szCs w:val="24"/>
        </w:rPr>
        <w:t xml:space="preserve">rovider that operates wireless networks in Plumas </w:t>
      </w:r>
      <w:r w:rsidR="003B2E2B">
        <w:rPr>
          <w:rFonts w:ascii="Palatino Linotype" w:hAnsi="Palatino Linotype"/>
          <w:iCs/>
          <w:color w:val="000000" w:themeColor="text1"/>
          <w:sz w:val="24"/>
          <w:szCs w:val="24"/>
        </w:rPr>
        <w:t xml:space="preserve">and Eastern Sierra counties.  Since the </w:t>
      </w:r>
      <w:r w:rsidR="00C21224">
        <w:rPr>
          <w:rFonts w:ascii="Palatino Linotype" w:hAnsi="Palatino Linotype"/>
          <w:iCs/>
          <w:color w:val="000000" w:themeColor="text1"/>
          <w:sz w:val="24"/>
          <w:szCs w:val="24"/>
        </w:rPr>
        <w:t>mid-1990s</w:t>
      </w:r>
      <w:r w:rsidR="003B2E2B">
        <w:rPr>
          <w:rFonts w:ascii="Palatino Linotype" w:hAnsi="Palatino Linotype"/>
          <w:iCs/>
          <w:color w:val="000000" w:themeColor="text1"/>
          <w:sz w:val="24"/>
          <w:szCs w:val="24"/>
        </w:rPr>
        <w:t>, PST has offered satell</w:t>
      </w:r>
      <w:r w:rsidR="00C70AC4">
        <w:rPr>
          <w:rFonts w:ascii="Palatino Linotype" w:hAnsi="Palatino Linotype"/>
          <w:iCs/>
          <w:color w:val="000000" w:themeColor="text1"/>
          <w:sz w:val="24"/>
          <w:szCs w:val="24"/>
        </w:rPr>
        <w:t>ite television, dial-up Internet access, satellite high-speed broadband, Wi-Fi Internet access</w:t>
      </w:r>
      <w:r w:rsidR="00777B4E">
        <w:rPr>
          <w:rFonts w:ascii="Palatino Linotype" w:hAnsi="Palatino Linotype"/>
          <w:iCs/>
          <w:color w:val="000000" w:themeColor="text1"/>
          <w:sz w:val="24"/>
          <w:szCs w:val="24"/>
        </w:rPr>
        <w:t>,</w:t>
      </w:r>
      <w:r w:rsidR="00C70AC4">
        <w:rPr>
          <w:rFonts w:ascii="Palatino Linotype" w:hAnsi="Palatino Linotype"/>
          <w:iCs/>
          <w:color w:val="000000" w:themeColor="text1"/>
          <w:sz w:val="24"/>
          <w:szCs w:val="24"/>
        </w:rPr>
        <w:t xml:space="preserve"> an</w:t>
      </w:r>
      <w:r w:rsidR="00777B4E">
        <w:rPr>
          <w:rFonts w:ascii="Palatino Linotype" w:hAnsi="Palatino Linotype"/>
          <w:iCs/>
          <w:color w:val="000000" w:themeColor="text1"/>
          <w:sz w:val="24"/>
          <w:szCs w:val="24"/>
        </w:rPr>
        <w:t>d</w:t>
      </w:r>
      <w:r w:rsidR="00C70AC4">
        <w:rPr>
          <w:rFonts w:ascii="Palatino Linotype" w:hAnsi="Palatino Linotype"/>
          <w:iCs/>
          <w:color w:val="000000" w:themeColor="text1"/>
          <w:sz w:val="24"/>
          <w:szCs w:val="24"/>
        </w:rPr>
        <w:t xml:space="preserve"> wireless cellular telephone services in several areas within its service territory.</w:t>
      </w:r>
      <w:r w:rsidR="00B7665B">
        <w:rPr>
          <w:rFonts w:ascii="Palatino Linotype" w:hAnsi="Palatino Linotype"/>
          <w:iCs/>
          <w:color w:val="000000" w:themeColor="text1"/>
          <w:sz w:val="24"/>
          <w:szCs w:val="24"/>
        </w:rPr>
        <w:t xml:space="preserve">  In 2010, PST accepted </w:t>
      </w:r>
      <w:r w:rsidR="0016479D">
        <w:rPr>
          <w:rFonts w:ascii="Palatino Linotype" w:hAnsi="Palatino Linotype"/>
          <w:iCs/>
          <w:color w:val="000000" w:themeColor="text1"/>
          <w:sz w:val="24"/>
          <w:szCs w:val="24"/>
        </w:rPr>
        <w:t xml:space="preserve">CASF </w:t>
      </w:r>
      <w:r w:rsidR="00020584">
        <w:rPr>
          <w:rFonts w:ascii="Palatino Linotype" w:hAnsi="Palatino Linotype"/>
          <w:iCs/>
          <w:color w:val="000000" w:themeColor="text1"/>
          <w:sz w:val="24"/>
          <w:szCs w:val="24"/>
        </w:rPr>
        <w:t>and</w:t>
      </w:r>
      <w:r w:rsidR="0016479D">
        <w:rPr>
          <w:rFonts w:ascii="Palatino Linotype" w:hAnsi="Palatino Linotype"/>
          <w:iCs/>
          <w:color w:val="000000" w:themeColor="text1"/>
          <w:sz w:val="24"/>
          <w:szCs w:val="24"/>
        </w:rPr>
        <w:t xml:space="preserve"> American Reinvestment and Recovery Ac</w:t>
      </w:r>
      <w:r w:rsidR="008726A0">
        <w:rPr>
          <w:rFonts w:ascii="Palatino Linotype" w:hAnsi="Palatino Linotype"/>
          <w:iCs/>
          <w:color w:val="000000" w:themeColor="text1"/>
          <w:sz w:val="24"/>
          <w:szCs w:val="24"/>
        </w:rPr>
        <w:t>t</w:t>
      </w:r>
      <w:r w:rsidR="0016479D">
        <w:rPr>
          <w:rFonts w:ascii="Palatino Linotype" w:hAnsi="Palatino Linotype"/>
          <w:iCs/>
          <w:color w:val="000000" w:themeColor="text1"/>
          <w:sz w:val="24"/>
          <w:szCs w:val="24"/>
        </w:rPr>
        <w:t xml:space="preserve"> (ARRA)</w:t>
      </w:r>
      <w:r w:rsidR="00B7665B">
        <w:rPr>
          <w:rFonts w:ascii="Palatino Linotype" w:hAnsi="Palatino Linotype"/>
          <w:iCs/>
          <w:color w:val="000000" w:themeColor="text1"/>
          <w:sz w:val="24"/>
          <w:szCs w:val="24"/>
        </w:rPr>
        <w:t xml:space="preserve"> </w:t>
      </w:r>
      <w:r w:rsidR="00020584">
        <w:rPr>
          <w:rFonts w:ascii="Palatino Linotype" w:hAnsi="Palatino Linotype"/>
          <w:iCs/>
          <w:color w:val="000000" w:themeColor="text1"/>
          <w:sz w:val="24"/>
          <w:szCs w:val="24"/>
        </w:rPr>
        <w:t xml:space="preserve">grants </w:t>
      </w:r>
      <w:r w:rsidR="00B7665B">
        <w:rPr>
          <w:rFonts w:ascii="Palatino Linotype" w:hAnsi="Palatino Linotype"/>
          <w:iCs/>
          <w:color w:val="000000" w:themeColor="text1"/>
          <w:sz w:val="24"/>
          <w:szCs w:val="24"/>
        </w:rPr>
        <w:t xml:space="preserve">to build a 198 middle-mile fiber optic network </w:t>
      </w:r>
      <w:r w:rsidR="00476308">
        <w:rPr>
          <w:rFonts w:ascii="Palatino Linotype" w:hAnsi="Palatino Linotype"/>
          <w:iCs/>
          <w:color w:val="000000" w:themeColor="text1"/>
          <w:sz w:val="24"/>
          <w:szCs w:val="24"/>
        </w:rPr>
        <w:t>along Highway 395 from Reno, Nevada to Susanville and Quincy.</w:t>
      </w:r>
      <w:r w:rsidR="00B97E5B">
        <w:rPr>
          <w:rFonts w:ascii="Palatino Linotype" w:hAnsi="Palatino Linotype"/>
          <w:iCs/>
          <w:color w:val="000000" w:themeColor="text1"/>
          <w:sz w:val="24"/>
          <w:szCs w:val="24"/>
        </w:rPr>
        <w:t xml:space="preserve">  The PST fiber network was completed in 2013 and provides access to wholesale broadband for large anchor institutions and Internet </w:t>
      </w:r>
      <w:r w:rsidR="00120EA4">
        <w:rPr>
          <w:rFonts w:ascii="Palatino Linotype" w:hAnsi="Palatino Linotype"/>
          <w:iCs/>
          <w:color w:val="000000" w:themeColor="text1"/>
          <w:sz w:val="24"/>
          <w:szCs w:val="24"/>
        </w:rPr>
        <w:t>s</w:t>
      </w:r>
      <w:r w:rsidR="00B97E5B">
        <w:rPr>
          <w:rFonts w:ascii="Palatino Linotype" w:hAnsi="Palatino Linotype"/>
          <w:iCs/>
          <w:color w:val="000000" w:themeColor="text1"/>
          <w:sz w:val="24"/>
          <w:szCs w:val="24"/>
        </w:rPr>
        <w:t xml:space="preserve">ervice </w:t>
      </w:r>
      <w:r w:rsidR="00120EA4">
        <w:rPr>
          <w:rFonts w:ascii="Palatino Linotype" w:hAnsi="Palatino Linotype"/>
          <w:iCs/>
          <w:color w:val="000000" w:themeColor="text1"/>
          <w:sz w:val="24"/>
          <w:szCs w:val="24"/>
        </w:rPr>
        <w:t>p</w:t>
      </w:r>
      <w:r w:rsidR="00B97E5B">
        <w:rPr>
          <w:rFonts w:ascii="Palatino Linotype" w:hAnsi="Palatino Linotype"/>
          <w:iCs/>
          <w:color w:val="000000" w:themeColor="text1"/>
          <w:sz w:val="24"/>
          <w:szCs w:val="24"/>
        </w:rPr>
        <w:t>roviders</w:t>
      </w:r>
      <w:r w:rsidR="00EC257B">
        <w:rPr>
          <w:rFonts w:ascii="Palatino Linotype" w:hAnsi="Palatino Linotype"/>
          <w:iCs/>
          <w:color w:val="000000" w:themeColor="text1"/>
          <w:sz w:val="24"/>
          <w:szCs w:val="24"/>
        </w:rPr>
        <w:t xml:space="preserve">, as well as broadband services to local businesses and communities.  Since the completion of the PST </w:t>
      </w:r>
      <w:r w:rsidR="005C001C">
        <w:rPr>
          <w:rFonts w:ascii="Palatino Linotype" w:hAnsi="Palatino Linotype"/>
          <w:iCs/>
          <w:color w:val="000000" w:themeColor="text1"/>
          <w:sz w:val="24"/>
          <w:szCs w:val="24"/>
        </w:rPr>
        <w:t xml:space="preserve">fiber network, PST has </w:t>
      </w:r>
      <w:r w:rsidR="00777B4E">
        <w:rPr>
          <w:rFonts w:ascii="Palatino Linotype" w:hAnsi="Palatino Linotype"/>
          <w:iCs/>
          <w:color w:val="000000" w:themeColor="text1"/>
          <w:sz w:val="24"/>
          <w:szCs w:val="24"/>
        </w:rPr>
        <w:t>continued</w:t>
      </w:r>
      <w:r w:rsidR="005C001C">
        <w:rPr>
          <w:rFonts w:ascii="Palatino Linotype" w:hAnsi="Palatino Linotype"/>
          <w:iCs/>
          <w:color w:val="000000" w:themeColor="text1"/>
          <w:sz w:val="24"/>
          <w:szCs w:val="24"/>
        </w:rPr>
        <w:t xml:space="preserve"> to expand broadband services in the area, acquiring an abandoned cable TV </w:t>
      </w:r>
      <w:r w:rsidR="003F7E7D">
        <w:rPr>
          <w:rFonts w:ascii="Palatino Linotype" w:hAnsi="Palatino Linotype"/>
          <w:iCs/>
          <w:color w:val="000000" w:themeColor="text1"/>
          <w:sz w:val="24"/>
          <w:szCs w:val="24"/>
        </w:rPr>
        <w:t>system to provide broadband services in Portola, Quincy</w:t>
      </w:r>
      <w:r w:rsidR="00AB0CC2">
        <w:rPr>
          <w:rFonts w:ascii="Palatino Linotype" w:hAnsi="Palatino Linotype"/>
          <w:iCs/>
          <w:color w:val="000000" w:themeColor="text1"/>
          <w:sz w:val="24"/>
          <w:szCs w:val="24"/>
        </w:rPr>
        <w:t>,</w:t>
      </w:r>
      <w:r w:rsidR="003F7E7D">
        <w:rPr>
          <w:rFonts w:ascii="Palatino Linotype" w:hAnsi="Palatino Linotype"/>
          <w:iCs/>
          <w:color w:val="000000" w:themeColor="text1"/>
          <w:sz w:val="24"/>
          <w:szCs w:val="24"/>
        </w:rPr>
        <w:t xml:space="preserve"> and Graeagle with speeds of up to 25</w:t>
      </w:r>
      <w:r w:rsidR="0042488B">
        <w:rPr>
          <w:rFonts w:ascii="Palatino Linotype" w:hAnsi="Palatino Linotype"/>
          <w:iCs/>
          <w:color w:val="000000" w:themeColor="text1"/>
          <w:sz w:val="24"/>
          <w:szCs w:val="24"/>
        </w:rPr>
        <w:t xml:space="preserve"> Mbps download a</w:t>
      </w:r>
      <w:r w:rsidR="00F4292E">
        <w:rPr>
          <w:rFonts w:ascii="Palatino Linotype" w:hAnsi="Palatino Linotype"/>
          <w:iCs/>
          <w:color w:val="000000" w:themeColor="text1"/>
          <w:sz w:val="24"/>
          <w:szCs w:val="24"/>
        </w:rPr>
        <w:t>n</w:t>
      </w:r>
      <w:r w:rsidR="0042488B">
        <w:rPr>
          <w:rFonts w:ascii="Palatino Linotype" w:hAnsi="Palatino Linotype"/>
          <w:iCs/>
          <w:color w:val="000000" w:themeColor="text1"/>
          <w:sz w:val="24"/>
          <w:szCs w:val="24"/>
        </w:rPr>
        <w:t>d 10 Mbps upload.</w:t>
      </w:r>
    </w:p>
    <w:p w14:paraId="03DFC816" w14:textId="16E5E7D9" w:rsidR="005B12D3" w:rsidRDefault="005B12D3">
      <w:pPr>
        <w:rPr>
          <w:rFonts w:ascii="Palatino Linotype" w:hAnsi="Palatino Linotype"/>
          <w:b/>
          <w:sz w:val="26"/>
          <w:szCs w:val="26"/>
          <w:u w:val="single"/>
        </w:rPr>
      </w:pPr>
    </w:p>
    <w:p w14:paraId="0CFC2DCD" w14:textId="4175CD44" w:rsidR="00E77845" w:rsidRDefault="00E77845">
      <w:pPr>
        <w:rPr>
          <w:rFonts w:ascii="Palatino Linotype" w:hAnsi="Palatino Linotype"/>
          <w:b/>
          <w:sz w:val="26"/>
          <w:szCs w:val="26"/>
          <w:u w:val="single"/>
        </w:rPr>
      </w:pPr>
    </w:p>
    <w:p w14:paraId="5F508198" w14:textId="2E888088" w:rsidR="00E77845" w:rsidRDefault="00E77845">
      <w:pPr>
        <w:rPr>
          <w:rFonts w:ascii="Palatino Linotype" w:hAnsi="Palatino Linotype"/>
          <w:b/>
          <w:sz w:val="26"/>
          <w:szCs w:val="26"/>
          <w:u w:val="single"/>
        </w:rPr>
      </w:pPr>
    </w:p>
    <w:p w14:paraId="45B7B2DA" w14:textId="77777777" w:rsidR="00E77845" w:rsidRDefault="00E77845">
      <w:pPr>
        <w:rPr>
          <w:rFonts w:ascii="Palatino Linotype" w:hAnsi="Palatino Linotype"/>
          <w:b/>
          <w:sz w:val="26"/>
          <w:szCs w:val="26"/>
          <w:u w:val="single"/>
        </w:rPr>
      </w:pPr>
    </w:p>
    <w:p w14:paraId="0A5D5CCF" w14:textId="559658F6" w:rsidR="00BC6E63" w:rsidRPr="00223AED" w:rsidRDefault="00223AED" w:rsidP="00223AED">
      <w:pPr>
        <w:pStyle w:val="Heading1"/>
        <w:tabs>
          <w:tab w:val="left" w:pos="900"/>
        </w:tabs>
        <w:rPr>
          <w:rFonts w:ascii="Palatino Linotype" w:hAnsi="Palatino Linotype"/>
          <w:sz w:val="26"/>
          <w:szCs w:val="26"/>
        </w:rPr>
      </w:pPr>
      <w:r w:rsidRPr="00223AED">
        <w:rPr>
          <w:rFonts w:ascii="Palatino Linotype" w:hAnsi="Palatino Linotype"/>
          <w:sz w:val="26"/>
          <w:szCs w:val="26"/>
        </w:rPr>
        <w:lastRenderedPageBreak/>
        <w:t>NOTICE</w:t>
      </w:r>
    </w:p>
    <w:p w14:paraId="587DAE17" w14:textId="77777777" w:rsidR="003E3FDC" w:rsidRDefault="003E3FDC" w:rsidP="003C1CC7">
      <w:pPr>
        <w:autoSpaceDE w:val="0"/>
        <w:autoSpaceDN w:val="0"/>
        <w:adjustRightInd w:val="0"/>
        <w:rPr>
          <w:rFonts w:ascii="Palatino Linotype" w:hAnsi="Palatino Linotype"/>
          <w:sz w:val="24"/>
          <w:szCs w:val="24"/>
        </w:rPr>
      </w:pPr>
    </w:p>
    <w:p w14:paraId="1667FDDC" w14:textId="2388F723" w:rsidR="00EB328C" w:rsidRDefault="00EB328C" w:rsidP="003C1CC7">
      <w:pPr>
        <w:autoSpaceDE w:val="0"/>
        <w:autoSpaceDN w:val="0"/>
        <w:adjustRightInd w:val="0"/>
        <w:rPr>
          <w:rFonts w:ascii="Palatino Linotype" w:hAnsi="Palatino Linotype"/>
          <w:color w:val="000000"/>
          <w:sz w:val="24"/>
          <w:szCs w:val="24"/>
        </w:rPr>
      </w:pPr>
      <w:r w:rsidRPr="003B274B">
        <w:rPr>
          <w:rFonts w:ascii="Palatino Linotype" w:hAnsi="Palatino Linotype"/>
          <w:sz w:val="24"/>
          <w:szCs w:val="24"/>
        </w:rPr>
        <w:t xml:space="preserve">On </w:t>
      </w:r>
      <w:r w:rsidR="00294FDB">
        <w:rPr>
          <w:rFonts w:ascii="Palatino Linotype" w:hAnsi="Palatino Linotype"/>
          <w:sz w:val="24"/>
          <w:szCs w:val="24"/>
        </w:rPr>
        <w:t>May 15, 2019</w:t>
      </w:r>
      <w:r w:rsidRPr="003B274B">
        <w:rPr>
          <w:rFonts w:ascii="Palatino Linotype" w:hAnsi="Palatino Linotype"/>
          <w:sz w:val="24"/>
          <w:szCs w:val="24"/>
        </w:rPr>
        <w:t xml:space="preserve">, Staff posted the proposed project </w:t>
      </w:r>
      <w:r w:rsidRPr="003B274B">
        <w:rPr>
          <w:rFonts w:ascii="Palatino Linotype" w:hAnsi="Palatino Linotype"/>
          <w:color w:val="000000"/>
          <w:sz w:val="24"/>
          <w:szCs w:val="24"/>
        </w:rPr>
        <w:t>area map, census block</w:t>
      </w:r>
      <w:r w:rsidR="00662A52">
        <w:rPr>
          <w:rFonts w:ascii="Palatino Linotype" w:hAnsi="Palatino Linotype"/>
          <w:color w:val="000000"/>
          <w:sz w:val="24"/>
          <w:szCs w:val="24"/>
        </w:rPr>
        <w:t>s,</w:t>
      </w:r>
      <w:r w:rsidRPr="003B274B">
        <w:rPr>
          <w:rFonts w:ascii="Palatino Linotype" w:hAnsi="Palatino Linotype"/>
          <w:color w:val="000000"/>
          <w:sz w:val="24"/>
          <w:szCs w:val="24"/>
        </w:rPr>
        <w:t xml:space="preserve"> and zip codes for the </w:t>
      </w:r>
      <w:r w:rsidR="0044663E">
        <w:rPr>
          <w:rFonts w:ascii="Palatino Linotype" w:hAnsi="Palatino Linotype"/>
          <w:color w:val="000000"/>
          <w:sz w:val="24"/>
          <w:szCs w:val="24"/>
        </w:rPr>
        <w:t>Keddie</w:t>
      </w:r>
      <w:r w:rsidRPr="003B274B">
        <w:rPr>
          <w:rFonts w:ascii="Palatino Linotype" w:hAnsi="Palatino Linotype"/>
          <w:color w:val="000000"/>
          <w:sz w:val="24"/>
          <w:szCs w:val="24"/>
        </w:rPr>
        <w:t xml:space="preserve"> Project on the Commission’s CASF webpage</w:t>
      </w:r>
      <w:r w:rsidR="00223AED">
        <w:rPr>
          <w:rStyle w:val="FootnoteReference"/>
          <w:rFonts w:ascii="Palatino Linotype" w:hAnsi="Palatino Linotype"/>
          <w:color w:val="000000"/>
          <w:sz w:val="24"/>
          <w:szCs w:val="24"/>
        </w:rPr>
        <w:footnoteReference w:id="3"/>
      </w:r>
      <w:r w:rsidRPr="003B274B">
        <w:rPr>
          <w:rFonts w:ascii="Palatino Linotype" w:hAnsi="Palatino Linotype"/>
          <w:color w:val="000000"/>
          <w:sz w:val="24"/>
          <w:szCs w:val="24"/>
        </w:rPr>
        <w:t xml:space="preserve"> under “CASF Application Project Summaries” and sent notice regarding the project to its </w:t>
      </w:r>
      <w:r w:rsidR="00223AED">
        <w:rPr>
          <w:rFonts w:ascii="Palatino Linotype" w:hAnsi="Palatino Linotype"/>
          <w:color w:val="000000"/>
          <w:sz w:val="24"/>
          <w:szCs w:val="24"/>
        </w:rPr>
        <w:t>CASF Distribution List.</w:t>
      </w:r>
      <w:r w:rsidR="00C470A6">
        <w:rPr>
          <w:rStyle w:val="FootnoteReference"/>
          <w:rFonts w:ascii="Palatino Linotype" w:hAnsi="Palatino Linotype"/>
          <w:color w:val="000000"/>
          <w:sz w:val="24"/>
          <w:szCs w:val="24"/>
        </w:rPr>
        <w:footnoteReference w:id="4"/>
      </w:r>
    </w:p>
    <w:p w14:paraId="5BD4308B" w14:textId="5CA8A2B0" w:rsidR="00223AED" w:rsidRDefault="00223AED" w:rsidP="00EB328C">
      <w:pPr>
        <w:autoSpaceDE w:val="0"/>
        <w:autoSpaceDN w:val="0"/>
        <w:adjustRightInd w:val="0"/>
        <w:jc w:val="both"/>
        <w:rPr>
          <w:rFonts w:ascii="Palatino Linotype" w:hAnsi="Palatino Linotype"/>
          <w:color w:val="000000"/>
          <w:sz w:val="24"/>
          <w:szCs w:val="24"/>
        </w:rPr>
      </w:pPr>
    </w:p>
    <w:p w14:paraId="4C76254F" w14:textId="6AF18613" w:rsidR="00BF4564" w:rsidRPr="00BF4564" w:rsidRDefault="00BF4564" w:rsidP="00EB328C">
      <w:pPr>
        <w:autoSpaceDE w:val="0"/>
        <w:autoSpaceDN w:val="0"/>
        <w:adjustRightInd w:val="0"/>
        <w:jc w:val="both"/>
        <w:rPr>
          <w:rFonts w:ascii="Palatino Linotype" w:hAnsi="Palatino Linotype"/>
          <w:b/>
          <w:bCs/>
          <w:sz w:val="26"/>
          <w:szCs w:val="26"/>
          <w:u w:val="single"/>
        </w:rPr>
      </w:pPr>
      <w:r w:rsidRPr="00BF4564">
        <w:rPr>
          <w:rFonts w:ascii="Palatino Linotype" w:hAnsi="Palatino Linotype"/>
          <w:b/>
          <w:bCs/>
          <w:sz w:val="26"/>
          <w:szCs w:val="26"/>
          <w:u w:val="single"/>
        </w:rPr>
        <w:t>PROTEST/CHALLENGES</w:t>
      </w:r>
    </w:p>
    <w:p w14:paraId="4EB181DC" w14:textId="77777777" w:rsidR="00BF4564" w:rsidRDefault="00BF4564" w:rsidP="00EB328C">
      <w:pPr>
        <w:autoSpaceDE w:val="0"/>
        <w:autoSpaceDN w:val="0"/>
        <w:adjustRightInd w:val="0"/>
        <w:jc w:val="both"/>
        <w:rPr>
          <w:rFonts w:ascii="Palatino Linotype" w:hAnsi="Palatino Linotype"/>
          <w:color w:val="000000"/>
          <w:sz w:val="24"/>
          <w:szCs w:val="24"/>
        </w:rPr>
      </w:pPr>
    </w:p>
    <w:p w14:paraId="60F01357" w14:textId="71925B31" w:rsidR="00686406" w:rsidRDefault="00BF4564" w:rsidP="003C1CC7">
      <w:pPr>
        <w:autoSpaceDE w:val="0"/>
        <w:autoSpaceDN w:val="0"/>
        <w:adjustRightInd w:val="0"/>
        <w:rPr>
          <w:rFonts w:ascii="Palatino Linotype" w:hAnsi="Palatino Linotype"/>
          <w:color w:val="000000" w:themeColor="text1"/>
          <w:sz w:val="24"/>
          <w:szCs w:val="24"/>
        </w:rPr>
      </w:pPr>
      <w:r>
        <w:rPr>
          <w:rFonts w:ascii="Palatino Linotype" w:hAnsi="Palatino Linotype"/>
          <w:color w:val="000000" w:themeColor="text1"/>
          <w:sz w:val="24"/>
          <w:szCs w:val="24"/>
        </w:rPr>
        <w:t xml:space="preserve">On June </w:t>
      </w:r>
      <w:r w:rsidR="00686406">
        <w:rPr>
          <w:rFonts w:ascii="Palatino Linotype" w:hAnsi="Palatino Linotype"/>
          <w:color w:val="000000" w:themeColor="text1"/>
          <w:sz w:val="24"/>
          <w:szCs w:val="24"/>
        </w:rPr>
        <w:t>5</w:t>
      </w:r>
      <w:r>
        <w:rPr>
          <w:rFonts w:ascii="Palatino Linotype" w:hAnsi="Palatino Linotype"/>
          <w:color w:val="000000" w:themeColor="text1"/>
          <w:sz w:val="24"/>
          <w:szCs w:val="24"/>
        </w:rPr>
        <w:t>,</w:t>
      </w:r>
      <w:r w:rsidR="0019663F">
        <w:rPr>
          <w:rFonts w:ascii="Palatino Linotype" w:hAnsi="Palatino Linotype"/>
          <w:color w:val="000000" w:themeColor="text1"/>
          <w:sz w:val="24"/>
          <w:szCs w:val="24"/>
        </w:rPr>
        <w:t xml:space="preserve"> 2019,</w:t>
      </w:r>
      <w:r>
        <w:rPr>
          <w:rFonts w:ascii="Palatino Linotype" w:hAnsi="Palatino Linotype"/>
          <w:color w:val="000000" w:themeColor="text1"/>
          <w:sz w:val="24"/>
          <w:szCs w:val="24"/>
        </w:rPr>
        <w:t xml:space="preserve"> </w:t>
      </w:r>
      <w:r w:rsidR="00686406">
        <w:rPr>
          <w:rFonts w:ascii="Palatino Linotype" w:hAnsi="Palatino Linotype"/>
          <w:color w:val="000000" w:themeColor="text1"/>
          <w:sz w:val="24"/>
          <w:szCs w:val="24"/>
        </w:rPr>
        <w:t>DigitalPath</w:t>
      </w:r>
      <w:r w:rsidR="00974407">
        <w:rPr>
          <w:rFonts w:ascii="Palatino Linotype" w:hAnsi="Palatino Linotype"/>
          <w:color w:val="000000" w:themeColor="text1"/>
          <w:sz w:val="24"/>
          <w:szCs w:val="24"/>
        </w:rPr>
        <w:t xml:space="preserve"> Inc. (DigitalPath)</w:t>
      </w:r>
      <w:r w:rsidR="00686406">
        <w:rPr>
          <w:rFonts w:ascii="Palatino Linotype" w:hAnsi="Palatino Linotype"/>
          <w:color w:val="000000" w:themeColor="text1"/>
          <w:sz w:val="24"/>
          <w:szCs w:val="24"/>
        </w:rPr>
        <w:t xml:space="preserve"> challenged the application stating </w:t>
      </w:r>
      <w:r w:rsidR="00F4292E">
        <w:rPr>
          <w:rFonts w:ascii="Palatino Linotype" w:hAnsi="Palatino Linotype"/>
          <w:color w:val="000000" w:themeColor="text1"/>
          <w:sz w:val="24"/>
          <w:szCs w:val="24"/>
        </w:rPr>
        <w:t>it</w:t>
      </w:r>
      <w:r w:rsidR="00686406">
        <w:rPr>
          <w:rFonts w:ascii="Palatino Linotype" w:hAnsi="Palatino Linotype"/>
          <w:color w:val="000000" w:themeColor="text1"/>
          <w:sz w:val="24"/>
          <w:szCs w:val="24"/>
        </w:rPr>
        <w:t xml:space="preserve"> provides broadband availability at served speeds in the Quincy area.  </w:t>
      </w:r>
    </w:p>
    <w:p w14:paraId="70E3834B" w14:textId="3FF157CF" w:rsidR="00CE266B" w:rsidRDefault="00CE266B" w:rsidP="00212A74">
      <w:pPr>
        <w:autoSpaceDE w:val="0"/>
        <w:autoSpaceDN w:val="0"/>
        <w:adjustRightInd w:val="0"/>
        <w:jc w:val="both"/>
        <w:rPr>
          <w:rFonts w:ascii="Palatino Linotype" w:hAnsi="Palatino Linotype"/>
          <w:color w:val="000000" w:themeColor="text1"/>
          <w:sz w:val="24"/>
          <w:szCs w:val="24"/>
        </w:rPr>
      </w:pPr>
    </w:p>
    <w:p w14:paraId="28C2855B" w14:textId="00AC4CCF" w:rsidR="00CE266B" w:rsidRDefault="00CE266B" w:rsidP="003C1CC7">
      <w:pPr>
        <w:autoSpaceDE w:val="0"/>
        <w:autoSpaceDN w:val="0"/>
        <w:adjustRightInd w:val="0"/>
        <w:rPr>
          <w:rFonts w:ascii="Palatino Linotype" w:hAnsi="Palatino Linotype"/>
          <w:color w:val="000000" w:themeColor="text1"/>
          <w:sz w:val="24"/>
          <w:szCs w:val="24"/>
        </w:rPr>
      </w:pPr>
      <w:r>
        <w:rPr>
          <w:rFonts w:ascii="Palatino Linotype" w:hAnsi="Palatino Linotype"/>
          <w:color w:val="000000" w:themeColor="text1"/>
          <w:sz w:val="24"/>
          <w:szCs w:val="24"/>
        </w:rPr>
        <w:t xml:space="preserve">The outcome of </w:t>
      </w:r>
      <w:r w:rsidR="00E77845">
        <w:rPr>
          <w:rFonts w:ascii="Palatino Linotype" w:hAnsi="Palatino Linotype"/>
          <w:color w:val="000000" w:themeColor="text1"/>
          <w:sz w:val="24"/>
          <w:szCs w:val="24"/>
        </w:rPr>
        <w:t xml:space="preserve">the </w:t>
      </w:r>
      <w:r>
        <w:rPr>
          <w:rFonts w:ascii="Palatino Linotype" w:hAnsi="Palatino Linotype"/>
          <w:color w:val="000000" w:themeColor="text1"/>
          <w:sz w:val="24"/>
          <w:szCs w:val="24"/>
        </w:rPr>
        <w:t>challenge is addressed in the Discussion, Section I</w:t>
      </w:r>
      <w:r w:rsidR="001B2EB2">
        <w:rPr>
          <w:rFonts w:ascii="Palatino Linotype" w:hAnsi="Palatino Linotype"/>
          <w:color w:val="000000" w:themeColor="text1"/>
          <w:sz w:val="24"/>
          <w:szCs w:val="24"/>
        </w:rPr>
        <w:t>, Project Area Eligibility</w:t>
      </w:r>
      <w:r w:rsidR="00DC4446">
        <w:rPr>
          <w:rFonts w:ascii="Palatino Linotype" w:hAnsi="Palatino Linotype"/>
          <w:color w:val="000000" w:themeColor="text1"/>
          <w:sz w:val="24"/>
          <w:szCs w:val="24"/>
        </w:rPr>
        <w:t>.</w:t>
      </w:r>
    </w:p>
    <w:p w14:paraId="73F0C32D" w14:textId="77777777" w:rsidR="00686406" w:rsidRDefault="00686406" w:rsidP="00686406">
      <w:pPr>
        <w:autoSpaceDE w:val="0"/>
        <w:autoSpaceDN w:val="0"/>
        <w:adjustRightInd w:val="0"/>
        <w:jc w:val="both"/>
        <w:rPr>
          <w:rFonts w:ascii="Palatino Linotype" w:hAnsi="Palatino Linotype"/>
          <w:color w:val="000000"/>
          <w:sz w:val="24"/>
          <w:szCs w:val="24"/>
        </w:rPr>
      </w:pPr>
    </w:p>
    <w:p w14:paraId="767C7B9F" w14:textId="033A4C8C" w:rsidR="00686406" w:rsidRPr="00BF4564" w:rsidRDefault="00686406" w:rsidP="00686406">
      <w:pPr>
        <w:autoSpaceDE w:val="0"/>
        <w:autoSpaceDN w:val="0"/>
        <w:adjustRightInd w:val="0"/>
        <w:jc w:val="both"/>
        <w:rPr>
          <w:rFonts w:ascii="Palatino Linotype" w:hAnsi="Palatino Linotype"/>
          <w:b/>
          <w:bCs/>
          <w:sz w:val="26"/>
          <w:szCs w:val="26"/>
          <w:u w:val="single"/>
        </w:rPr>
      </w:pPr>
      <w:r>
        <w:rPr>
          <w:rFonts w:ascii="Palatino Linotype" w:hAnsi="Palatino Linotype"/>
          <w:b/>
          <w:bCs/>
          <w:sz w:val="26"/>
          <w:szCs w:val="26"/>
          <w:u w:val="single"/>
        </w:rPr>
        <w:t>DISCUSSION</w:t>
      </w:r>
    </w:p>
    <w:p w14:paraId="020347B6" w14:textId="3B15A949" w:rsidR="00BC6E63" w:rsidRDefault="00BC6E63" w:rsidP="00BC6E63">
      <w:pPr>
        <w:ind w:right="630"/>
        <w:rPr>
          <w:rFonts w:ascii="Palatino Linotype" w:hAnsi="Palatino Linotype"/>
          <w:color w:val="000000"/>
          <w:sz w:val="24"/>
          <w:szCs w:val="24"/>
        </w:rPr>
      </w:pPr>
    </w:p>
    <w:p w14:paraId="46035B22" w14:textId="420E9FDF" w:rsidR="00686406" w:rsidRDefault="00686406" w:rsidP="003C1CC7">
      <w:pPr>
        <w:ind w:right="630"/>
        <w:rPr>
          <w:rFonts w:ascii="Palatino Linotype" w:hAnsi="Palatino Linotype"/>
          <w:sz w:val="24"/>
          <w:szCs w:val="24"/>
        </w:rPr>
      </w:pPr>
      <w:r>
        <w:rPr>
          <w:rFonts w:ascii="Palatino Linotype" w:hAnsi="Palatino Linotype"/>
          <w:color w:val="000000"/>
          <w:sz w:val="24"/>
          <w:szCs w:val="24"/>
        </w:rPr>
        <w:t xml:space="preserve">In compliance with D.18-12-018, Staff determined PST’s revised Keddie Project </w:t>
      </w:r>
      <w:r w:rsidR="00DD41E3">
        <w:rPr>
          <w:rFonts w:ascii="Palatino Linotype" w:hAnsi="Palatino Linotype"/>
          <w:color w:val="000000"/>
          <w:sz w:val="24"/>
          <w:szCs w:val="24"/>
        </w:rPr>
        <w:t>is eligible to received $1,</w:t>
      </w:r>
      <w:r w:rsidR="00DD41E3" w:rsidRPr="00223AED">
        <w:rPr>
          <w:rFonts w:ascii="Palatino Linotype" w:hAnsi="Palatino Linotype"/>
          <w:sz w:val="24"/>
          <w:szCs w:val="24"/>
        </w:rPr>
        <w:t>512,163</w:t>
      </w:r>
      <w:r w:rsidR="00DD41E3">
        <w:rPr>
          <w:rFonts w:ascii="Palatino Linotype" w:hAnsi="Palatino Linotype"/>
          <w:sz w:val="24"/>
          <w:szCs w:val="24"/>
        </w:rPr>
        <w:t xml:space="preserve"> in CASF Infrastructure grant funding.  PST is required to comply with all guidelines, requirements, and conditions associated with the grant of CASF Infrastructure funds.  Payments to PST will be made in accordance </w:t>
      </w:r>
      <w:r w:rsidR="00693947">
        <w:rPr>
          <w:rFonts w:ascii="Palatino Linotype" w:hAnsi="Palatino Linotype"/>
          <w:sz w:val="24"/>
          <w:szCs w:val="24"/>
        </w:rPr>
        <w:t>with</w:t>
      </w:r>
      <w:r w:rsidR="00DD41E3">
        <w:rPr>
          <w:rFonts w:ascii="Palatino Linotype" w:hAnsi="Palatino Linotype"/>
          <w:sz w:val="24"/>
          <w:szCs w:val="24"/>
        </w:rPr>
        <w:t xml:space="preserve"> </w:t>
      </w:r>
      <w:r w:rsidR="004E6F90">
        <w:rPr>
          <w:rFonts w:ascii="Palatino Linotype" w:hAnsi="Palatino Linotype"/>
          <w:sz w:val="24"/>
          <w:szCs w:val="24"/>
        </w:rPr>
        <w:t xml:space="preserve">Pub. </w:t>
      </w:r>
      <w:r w:rsidR="004E6F90" w:rsidRPr="00D00AC4">
        <w:rPr>
          <w:rFonts w:ascii="Palatino Linotype" w:hAnsi="Palatino Linotype"/>
          <w:sz w:val="24"/>
          <w:szCs w:val="24"/>
        </w:rPr>
        <w:t xml:space="preserve">Util. </w:t>
      </w:r>
      <w:r w:rsidR="00D00AC4" w:rsidRPr="00D00AC4">
        <w:rPr>
          <w:rFonts w:ascii="Palatino Linotype" w:hAnsi="Palatino Linotype"/>
          <w:sz w:val="24"/>
          <w:szCs w:val="24"/>
        </w:rPr>
        <w:t>§</w:t>
      </w:r>
      <w:r w:rsidR="00DD41E3">
        <w:rPr>
          <w:rFonts w:ascii="Palatino Linotype" w:hAnsi="Palatino Linotype"/>
          <w:sz w:val="24"/>
          <w:szCs w:val="24"/>
        </w:rPr>
        <w:t xml:space="preserve"> 281 (f)(11).  </w:t>
      </w:r>
    </w:p>
    <w:p w14:paraId="552FE104" w14:textId="28D83743" w:rsidR="00DD41E3" w:rsidRDefault="00DD41E3" w:rsidP="003C1CC7">
      <w:pPr>
        <w:ind w:right="630"/>
        <w:rPr>
          <w:rFonts w:ascii="Palatino Linotype" w:hAnsi="Palatino Linotype"/>
          <w:sz w:val="24"/>
          <w:szCs w:val="24"/>
        </w:rPr>
      </w:pPr>
    </w:p>
    <w:p w14:paraId="490C1C67" w14:textId="7F99A00C" w:rsidR="0084087F" w:rsidRDefault="00DD41E3" w:rsidP="003C1CC7">
      <w:pPr>
        <w:ind w:right="630"/>
        <w:rPr>
          <w:rFonts w:ascii="Palatino Linotype" w:hAnsi="Palatino Linotype"/>
          <w:color w:val="000000"/>
          <w:sz w:val="24"/>
          <w:szCs w:val="24"/>
        </w:rPr>
      </w:pPr>
      <w:r>
        <w:rPr>
          <w:rFonts w:ascii="Palatino Linotype" w:hAnsi="Palatino Linotype"/>
          <w:color w:val="000000"/>
          <w:sz w:val="24"/>
          <w:szCs w:val="24"/>
        </w:rPr>
        <w:t>Details of Staff analysis are explained in the following sections:</w:t>
      </w:r>
    </w:p>
    <w:p w14:paraId="48FEBDCB" w14:textId="6FC3FC4B" w:rsidR="00DA1D07" w:rsidRDefault="00DA1D07" w:rsidP="003C1CC7">
      <w:pPr>
        <w:ind w:right="630"/>
        <w:rPr>
          <w:rFonts w:ascii="Palatino Linotype" w:hAnsi="Palatino Linotype"/>
          <w:color w:val="000000"/>
          <w:sz w:val="24"/>
          <w:szCs w:val="24"/>
        </w:rPr>
      </w:pPr>
    </w:p>
    <w:p w14:paraId="354985BA" w14:textId="7F4DFA8C" w:rsidR="00936B65" w:rsidRDefault="00DD41E3" w:rsidP="003C1CC7">
      <w:pPr>
        <w:pStyle w:val="ListParagraph"/>
        <w:numPr>
          <w:ilvl w:val="0"/>
          <w:numId w:val="18"/>
        </w:numPr>
        <w:ind w:right="630"/>
        <w:rPr>
          <w:rFonts w:ascii="Palatino Linotype" w:hAnsi="Palatino Linotype"/>
          <w:color w:val="000000"/>
          <w:sz w:val="24"/>
          <w:szCs w:val="24"/>
        </w:rPr>
      </w:pPr>
      <w:r>
        <w:rPr>
          <w:rFonts w:ascii="Palatino Linotype" w:hAnsi="Palatino Linotype"/>
          <w:color w:val="000000"/>
          <w:sz w:val="24"/>
          <w:szCs w:val="24"/>
        </w:rPr>
        <w:t>Project Area Eligibility</w:t>
      </w:r>
    </w:p>
    <w:p w14:paraId="6D91C2F2" w14:textId="3FCE5C6D" w:rsidR="00DD41E3" w:rsidRDefault="00DD41E3" w:rsidP="003C1CC7">
      <w:pPr>
        <w:pStyle w:val="ListParagraph"/>
        <w:numPr>
          <w:ilvl w:val="0"/>
          <w:numId w:val="18"/>
        </w:numPr>
        <w:ind w:right="630"/>
        <w:rPr>
          <w:rFonts w:ascii="Palatino Linotype" w:hAnsi="Palatino Linotype"/>
          <w:color w:val="000000"/>
          <w:sz w:val="24"/>
          <w:szCs w:val="24"/>
        </w:rPr>
      </w:pPr>
      <w:r>
        <w:rPr>
          <w:rFonts w:ascii="Palatino Linotype" w:hAnsi="Palatino Linotype"/>
          <w:color w:val="000000"/>
          <w:sz w:val="24"/>
          <w:szCs w:val="24"/>
        </w:rPr>
        <w:t>Minimum Performance Criteria</w:t>
      </w:r>
    </w:p>
    <w:p w14:paraId="6ABC96A4" w14:textId="7C68FE95" w:rsidR="00DD41E3" w:rsidRDefault="00DD41E3" w:rsidP="003C1CC7">
      <w:pPr>
        <w:pStyle w:val="ListParagraph"/>
        <w:numPr>
          <w:ilvl w:val="0"/>
          <w:numId w:val="18"/>
        </w:numPr>
        <w:ind w:right="630"/>
        <w:rPr>
          <w:rFonts w:ascii="Palatino Linotype" w:hAnsi="Palatino Linotype"/>
          <w:color w:val="000000"/>
          <w:sz w:val="24"/>
          <w:szCs w:val="24"/>
        </w:rPr>
      </w:pPr>
      <w:r>
        <w:rPr>
          <w:rFonts w:ascii="Palatino Linotype" w:hAnsi="Palatino Linotype"/>
          <w:color w:val="000000"/>
          <w:sz w:val="24"/>
          <w:szCs w:val="24"/>
        </w:rPr>
        <w:t>Funding Determination</w:t>
      </w:r>
    </w:p>
    <w:p w14:paraId="62FB9FE0" w14:textId="54CDFBFA" w:rsidR="00DD41E3" w:rsidRDefault="00DD41E3" w:rsidP="003C1CC7">
      <w:pPr>
        <w:pStyle w:val="ListParagraph"/>
        <w:numPr>
          <w:ilvl w:val="0"/>
          <w:numId w:val="18"/>
        </w:numPr>
        <w:ind w:right="630"/>
        <w:rPr>
          <w:rFonts w:ascii="Palatino Linotype" w:hAnsi="Palatino Linotype"/>
          <w:color w:val="000000"/>
          <w:sz w:val="24"/>
          <w:szCs w:val="24"/>
        </w:rPr>
      </w:pPr>
      <w:r>
        <w:rPr>
          <w:rFonts w:ascii="Palatino Linotype" w:hAnsi="Palatino Linotype"/>
          <w:color w:val="000000"/>
          <w:sz w:val="24"/>
          <w:szCs w:val="24"/>
        </w:rPr>
        <w:t>Safety and Community Support</w:t>
      </w:r>
    </w:p>
    <w:p w14:paraId="7D489529" w14:textId="6C6CC550" w:rsidR="00DD41E3" w:rsidRDefault="00DD41E3" w:rsidP="003C1CC7">
      <w:pPr>
        <w:pStyle w:val="ListParagraph"/>
        <w:numPr>
          <w:ilvl w:val="0"/>
          <w:numId w:val="18"/>
        </w:numPr>
        <w:ind w:right="630"/>
        <w:rPr>
          <w:rFonts w:ascii="Palatino Linotype" w:hAnsi="Palatino Linotype"/>
          <w:color w:val="000000"/>
          <w:sz w:val="24"/>
          <w:szCs w:val="24"/>
        </w:rPr>
      </w:pPr>
      <w:r>
        <w:rPr>
          <w:rFonts w:ascii="Palatino Linotype" w:hAnsi="Palatino Linotype"/>
          <w:color w:val="000000"/>
          <w:sz w:val="24"/>
          <w:szCs w:val="24"/>
        </w:rPr>
        <w:t>Compliance Requirements</w:t>
      </w:r>
    </w:p>
    <w:p w14:paraId="23DA78EA" w14:textId="4990D235" w:rsidR="00DD41E3" w:rsidRDefault="00DD41E3" w:rsidP="003C1CC7">
      <w:pPr>
        <w:pStyle w:val="ListParagraph"/>
        <w:numPr>
          <w:ilvl w:val="0"/>
          <w:numId w:val="18"/>
        </w:numPr>
        <w:ind w:right="630"/>
        <w:rPr>
          <w:rFonts w:ascii="Palatino Linotype" w:hAnsi="Palatino Linotype"/>
          <w:color w:val="000000"/>
          <w:sz w:val="24"/>
          <w:szCs w:val="24"/>
        </w:rPr>
      </w:pPr>
      <w:r>
        <w:rPr>
          <w:rFonts w:ascii="Palatino Linotype" w:hAnsi="Palatino Linotype"/>
          <w:color w:val="000000"/>
          <w:sz w:val="24"/>
          <w:szCs w:val="24"/>
        </w:rPr>
        <w:t>Payments to CASF Recipients</w:t>
      </w:r>
    </w:p>
    <w:p w14:paraId="074EBBAB" w14:textId="77777777" w:rsidR="00DD41E3" w:rsidRDefault="00DD41E3" w:rsidP="003C1CC7">
      <w:pPr>
        <w:ind w:right="630"/>
        <w:rPr>
          <w:rFonts w:ascii="Palatino Linotype" w:hAnsi="Palatino Linotype"/>
          <w:color w:val="000000"/>
          <w:sz w:val="24"/>
          <w:szCs w:val="24"/>
        </w:rPr>
      </w:pPr>
    </w:p>
    <w:p w14:paraId="53DD1BC3" w14:textId="401CF164" w:rsidR="00DD41E3" w:rsidRDefault="00DD41E3" w:rsidP="003C1CC7">
      <w:pPr>
        <w:ind w:right="630"/>
        <w:rPr>
          <w:rFonts w:ascii="Palatino Linotype" w:hAnsi="Palatino Linotype"/>
          <w:color w:val="000000"/>
          <w:sz w:val="24"/>
          <w:szCs w:val="24"/>
        </w:rPr>
      </w:pPr>
      <w:r>
        <w:rPr>
          <w:rFonts w:ascii="Palatino Linotype" w:hAnsi="Palatino Linotype"/>
          <w:color w:val="000000"/>
          <w:sz w:val="24"/>
          <w:szCs w:val="24"/>
        </w:rPr>
        <w:t xml:space="preserve">Key project information and maps are shown </w:t>
      </w:r>
      <w:r w:rsidRPr="00420A38">
        <w:rPr>
          <w:rFonts w:ascii="Palatino Linotype" w:hAnsi="Palatino Linotype"/>
          <w:sz w:val="24"/>
          <w:szCs w:val="24"/>
        </w:rPr>
        <w:t>in Appendix A</w:t>
      </w:r>
      <w:r w:rsidR="00C07ADA" w:rsidRPr="00420A38">
        <w:rPr>
          <w:rFonts w:ascii="Palatino Linotype" w:hAnsi="Palatino Linotype"/>
          <w:sz w:val="24"/>
          <w:szCs w:val="24"/>
        </w:rPr>
        <w:t xml:space="preserve"> and B</w:t>
      </w:r>
      <w:r w:rsidR="00C07ADA">
        <w:rPr>
          <w:rFonts w:ascii="Palatino Linotype" w:hAnsi="Palatino Linotype"/>
          <w:color w:val="FF0000"/>
          <w:sz w:val="24"/>
          <w:szCs w:val="24"/>
        </w:rPr>
        <w:t>.</w:t>
      </w:r>
    </w:p>
    <w:p w14:paraId="76B80AED" w14:textId="77777777" w:rsidR="006709C6" w:rsidRPr="00DD41E3" w:rsidRDefault="006709C6" w:rsidP="00DD41E3">
      <w:pPr>
        <w:ind w:right="630"/>
        <w:rPr>
          <w:rFonts w:ascii="Palatino Linotype" w:hAnsi="Palatino Linotype"/>
          <w:color w:val="000000"/>
          <w:sz w:val="24"/>
          <w:szCs w:val="24"/>
        </w:rPr>
      </w:pPr>
    </w:p>
    <w:p w14:paraId="52E2C15F" w14:textId="5C47779D" w:rsidR="00BC6E63" w:rsidRPr="00DD41E3" w:rsidRDefault="00BC6E63" w:rsidP="00DD41E3">
      <w:pPr>
        <w:pStyle w:val="Heading2"/>
        <w:numPr>
          <w:ilvl w:val="0"/>
          <w:numId w:val="19"/>
        </w:numPr>
        <w:rPr>
          <w:rFonts w:ascii="Palatino Linotype" w:hAnsi="Palatino Linotype"/>
          <w:bCs/>
          <w:u w:val="single"/>
        </w:rPr>
      </w:pPr>
      <w:bookmarkStart w:id="1" w:name="_Toc444857028"/>
      <w:r w:rsidRPr="00DD41E3">
        <w:rPr>
          <w:rFonts w:ascii="Palatino Linotype" w:hAnsi="Palatino Linotype"/>
          <w:bCs/>
          <w:u w:val="single"/>
        </w:rPr>
        <w:t xml:space="preserve">Project </w:t>
      </w:r>
      <w:r w:rsidR="00075B58" w:rsidRPr="00DD41E3">
        <w:rPr>
          <w:rFonts w:ascii="Palatino Linotype" w:hAnsi="Palatino Linotype"/>
          <w:bCs/>
          <w:u w:val="single"/>
        </w:rPr>
        <w:t>Area Eligibility</w:t>
      </w:r>
      <w:bookmarkEnd w:id="1"/>
      <w:r w:rsidRPr="00DD41E3">
        <w:rPr>
          <w:rFonts w:ascii="Palatino Linotype" w:hAnsi="Palatino Linotype"/>
          <w:bCs/>
          <w:u w:val="single"/>
        </w:rPr>
        <w:t xml:space="preserve"> </w:t>
      </w:r>
    </w:p>
    <w:p w14:paraId="03AC9832" w14:textId="476CC286" w:rsidR="00DD41E3" w:rsidRDefault="001E2A95" w:rsidP="003C1CC7">
      <w:pPr>
        <w:rPr>
          <w:rFonts w:ascii="Palatino Linotype" w:hAnsi="Palatino Linotype"/>
          <w:sz w:val="24"/>
          <w:szCs w:val="24"/>
        </w:rPr>
      </w:pPr>
      <w:r>
        <w:rPr>
          <w:rFonts w:ascii="Palatino Linotype" w:hAnsi="Palatino Linotype"/>
          <w:sz w:val="24"/>
          <w:szCs w:val="24"/>
        </w:rPr>
        <w:t xml:space="preserve">No provider filed a “right-of first refusal” for PST’s project area by January 15, 2019, nor does the proposed project area include census blocks identified by the </w:t>
      </w:r>
      <w:r w:rsidRPr="00AE0D80">
        <w:rPr>
          <w:rFonts w:ascii="Palatino Linotype" w:hAnsi="Palatino Linotype"/>
          <w:sz w:val="24"/>
          <w:szCs w:val="24"/>
        </w:rPr>
        <w:t xml:space="preserve">Federal </w:t>
      </w:r>
      <w:r w:rsidRPr="00AE0D80">
        <w:rPr>
          <w:rFonts w:ascii="Palatino Linotype" w:hAnsi="Palatino Linotype"/>
          <w:sz w:val="24"/>
          <w:szCs w:val="24"/>
        </w:rPr>
        <w:lastRenderedPageBreak/>
        <w:t>Communications Commission’s Connect America Fund Phase II</w:t>
      </w:r>
      <w:r>
        <w:rPr>
          <w:rFonts w:ascii="Palatino Linotype" w:hAnsi="Palatino Linotype"/>
          <w:sz w:val="24"/>
          <w:szCs w:val="24"/>
        </w:rPr>
        <w:t xml:space="preserve"> </w:t>
      </w:r>
      <w:r w:rsidRPr="00AE0D80">
        <w:rPr>
          <w:rFonts w:ascii="Palatino Linotype" w:hAnsi="Palatino Linotype"/>
          <w:sz w:val="24"/>
          <w:szCs w:val="24"/>
        </w:rPr>
        <w:t>program</w:t>
      </w:r>
      <w:r>
        <w:rPr>
          <w:rFonts w:ascii="Palatino Linotype" w:hAnsi="Palatino Linotype"/>
          <w:sz w:val="24"/>
          <w:szCs w:val="24"/>
        </w:rPr>
        <w:t xml:space="preserve">.  </w:t>
      </w:r>
      <w:r w:rsidR="00DD41E3">
        <w:rPr>
          <w:rFonts w:ascii="Palatino Linotype" w:hAnsi="Palatino Linotype"/>
          <w:sz w:val="24"/>
          <w:szCs w:val="24"/>
        </w:rPr>
        <w:t xml:space="preserve">Staff requested PST to revise its original application </w:t>
      </w:r>
      <w:r w:rsidR="00075C23">
        <w:rPr>
          <w:rFonts w:ascii="Palatino Linotype" w:hAnsi="Palatino Linotype"/>
          <w:sz w:val="24"/>
          <w:szCs w:val="24"/>
        </w:rPr>
        <w:t xml:space="preserve">based on </w:t>
      </w:r>
      <w:r w:rsidR="007125F7">
        <w:rPr>
          <w:rFonts w:ascii="Palatino Linotype" w:hAnsi="Palatino Linotype"/>
          <w:sz w:val="24"/>
          <w:szCs w:val="24"/>
        </w:rPr>
        <w:t xml:space="preserve">the </w:t>
      </w:r>
      <w:r w:rsidR="004E6F90">
        <w:rPr>
          <w:rFonts w:ascii="Palatino Linotype" w:hAnsi="Palatino Linotype"/>
          <w:sz w:val="24"/>
          <w:szCs w:val="24"/>
        </w:rPr>
        <w:t xml:space="preserve">determination of the successful </w:t>
      </w:r>
      <w:r w:rsidR="007125F7">
        <w:rPr>
          <w:rFonts w:ascii="Palatino Linotype" w:hAnsi="Palatino Linotype"/>
          <w:sz w:val="24"/>
          <w:szCs w:val="24"/>
        </w:rPr>
        <w:t xml:space="preserve">challenge </w:t>
      </w:r>
      <w:r w:rsidR="004E6F90">
        <w:rPr>
          <w:rFonts w:ascii="Palatino Linotype" w:hAnsi="Palatino Linotype"/>
          <w:sz w:val="24"/>
          <w:szCs w:val="24"/>
        </w:rPr>
        <w:t>submitted</w:t>
      </w:r>
      <w:r w:rsidR="007125F7">
        <w:rPr>
          <w:rFonts w:ascii="Palatino Linotype" w:hAnsi="Palatino Linotype"/>
          <w:sz w:val="24"/>
          <w:szCs w:val="24"/>
        </w:rPr>
        <w:t xml:space="preserve"> by </w:t>
      </w:r>
      <w:r w:rsidR="00075C23">
        <w:rPr>
          <w:rFonts w:ascii="Palatino Linotype" w:hAnsi="Palatino Linotype"/>
          <w:sz w:val="24"/>
          <w:szCs w:val="24"/>
        </w:rPr>
        <w:t>DigitalPath</w:t>
      </w:r>
      <w:r w:rsidR="007125F7">
        <w:rPr>
          <w:rFonts w:ascii="Palatino Linotype" w:hAnsi="Palatino Linotype"/>
          <w:sz w:val="24"/>
          <w:szCs w:val="24"/>
        </w:rPr>
        <w:t xml:space="preserve">.  </w:t>
      </w:r>
      <w:r w:rsidR="0019663F">
        <w:rPr>
          <w:rFonts w:ascii="Palatino Linotype" w:hAnsi="Palatino Linotype"/>
          <w:sz w:val="24"/>
          <w:szCs w:val="24"/>
        </w:rPr>
        <w:t xml:space="preserve">The </w:t>
      </w:r>
      <w:r w:rsidR="00075C23">
        <w:rPr>
          <w:rFonts w:ascii="Palatino Linotype" w:hAnsi="Palatino Linotype"/>
          <w:sz w:val="24"/>
          <w:szCs w:val="24"/>
        </w:rPr>
        <w:t xml:space="preserve">revised Keddie Project Summary was posted on the Commission’s webpage on </w:t>
      </w:r>
      <w:r w:rsidR="0070359C" w:rsidRPr="00420A38">
        <w:rPr>
          <w:rFonts w:ascii="Palatino Linotype" w:hAnsi="Palatino Linotype"/>
          <w:sz w:val="24"/>
          <w:szCs w:val="24"/>
        </w:rPr>
        <w:t>October 1</w:t>
      </w:r>
      <w:r w:rsidR="00075C23" w:rsidRPr="00420A38">
        <w:rPr>
          <w:rFonts w:ascii="Palatino Linotype" w:hAnsi="Palatino Linotype"/>
          <w:sz w:val="24"/>
          <w:szCs w:val="24"/>
        </w:rPr>
        <w:t xml:space="preserve">, </w:t>
      </w:r>
      <w:r w:rsidR="00075C23" w:rsidRPr="00626AEC">
        <w:rPr>
          <w:rFonts w:ascii="Palatino Linotype" w:hAnsi="Palatino Linotype"/>
          <w:sz w:val="24"/>
          <w:szCs w:val="24"/>
        </w:rPr>
        <w:t>2019</w:t>
      </w:r>
      <w:r w:rsidR="00075C23">
        <w:rPr>
          <w:rFonts w:ascii="Palatino Linotype" w:hAnsi="Palatino Linotype"/>
          <w:sz w:val="24"/>
          <w:szCs w:val="24"/>
        </w:rPr>
        <w:t xml:space="preserve">.  Based on PST’s project revision, Staff determined the Keddie Project, including middle-mile infrastructure, is eligible for a CASF Infrastructure grant.  </w:t>
      </w:r>
    </w:p>
    <w:p w14:paraId="29AA312A" w14:textId="77777777" w:rsidR="00DD41E3" w:rsidRDefault="00DD41E3" w:rsidP="00E463A0">
      <w:pPr>
        <w:jc w:val="both"/>
        <w:rPr>
          <w:rFonts w:ascii="Palatino Linotype" w:hAnsi="Palatino Linotype"/>
          <w:sz w:val="24"/>
          <w:szCs w:val="24"/>
        </w:rPr>
      </w:pPr>
    </w:p>
    <w:p w14:paraId="0E873725" w14:textId="66D0BB0A" w:rsidR="00017EB6" w:rsidRDefault="000E2A2D" w:rsidP="003C1CC7">
      <w:pPr>
        <w:autoSpaceDE w:val="0"/>
        <w:autoSpaceDN w:val="0"/>
        <w:adjustRightInd w:val="0"/>
        <w:rPr>
          <w:rFonts w:ascii="Palatino Linotype" w:hAnsi="Palatino Linotype"/>
          <w:sz w:val="24"/>
          <w:szCs w:val="24"/>
        </w:rPr>
      </w:pPr>
      <w:r>
        <w:rPr>
          <w:rFonts w:ascii="Palatino Linotype" w:hAnsi="Palatino Linotype"/>
          <w:b/>
          <w:bCs/>
          <w:sz w:val="24"/>
          <w:szCs w:val="24"/>
        </w:rPr>
        <w:t>PST r</w:t>
      </w:r>
      <w:r w:rsidR="00075C23" w:rsidRPr="002F6CF2">
        <w:rPr>
          <w:rFonts w:ascii="Palatino Linotype" w:hAnsi="Palatino Linotype"/>
          <w:b/>
          <w:bCs/>
          <w:sz w:val="24"/>
          <w:szCs w:val="24"/>
        </w:rPr>
        <w:t xml:space="preserve">evised </w:t>
      </w:r>
      <w:r w:rsidR="0019663F">
        <w:rPr>
          <w:rFonts w:ascii="Palatino Linotype" w:hAnsi="Palatino Linotype"/>
          <w:b/>
          <w:bCs/>
          <w:sz w:val="24"/>
          <w:szCs w:val="24"/>
        </w:rPr>
        <w:t>its proposed p</w:t>
      </w:r>
      <w:r w:rsidR="007E047D">
        <w:rPr>
          <w:rFonts w:ascii="Palatino Linotype" w:hAnsi="Palatino Linotype"/>
          <w:b/>
          <w:bCs/>
          <w:sz w:val="24"/>
          <w:szCs w:val="24"/>
        </w:rPr>
        <w:t>roject</w:t>
      </w:r>
      <w:r w:rsidR="00AF64AD" w:rsidRPr="002F6CF2">
        <w:rPr>
          <w:rFonts w:ascii="Palatino Linotype" w:hAnsi="Palatino Linotype"/>
          <w:b/>
          <w:bCs/>
          <w:sz w:val="24"/>
          <w:szCs w:val="24"/>
        </w:rPr>
        <w:t xml:space="preserve"> </w:t>
      </w:r>
      <w:r w:rsidR="0019663F">
        <w:rPr>
          <w:rFonts w:ascii="Palatino Linotype" w:hAnsi="Palatino Linotype"/>
          <w:b/>
          <w:bCs/>
          <w:sz w:val="24"/>
          <w:szCs w:val="24"/>
        </w:rPr>
        <w:t xml:space="preserve">because </w:t>
      </w:r>
      <w:r w:rsidR="00BA6E3E">
        <w:rPr>
          <w:rFonts w:ascii="Palatino Linotype" w:hAnsi="Palatino Linotype"/>
          <w:b/>
          <w:bCs/>
          <w:sz w:val="24"/>
          <w:szCs w:val="24"/>
        </w:rPr>
        <w:t>two</w:t>
      </w:r>
      <w:r w:rsidR="002F6CF2" w:rsidRPr="002F6CF2">
        <w:rPr>
          <w:rFonts w:ascii="Palatino Linotype" w:hAnsi="Palatino Linotype"/>
          <w:b/>
          <w:bCs/>
          <w:sz w:val="24"/>
          <w:szCs w:val="24"/>
        </w:rPr>
        <w:t xml:space="preserve"> census blocks were </w:t>
      </w:r>
      <w:r w:rsidR="0019663F">
        <w:rPr>
          <w:rFonts w:ascii="Palatino Linotype" w:hAnsi="Palatino Linotype"/>
          <w:b/>
          <w:bCs/>
          <w:sz w:val="24"/>
          <w:szCs w:val="24"/>
        </w:rPr>
        <w:t>identified to be served</w:t>
      </w:r>
      <w:r w:rsidR="00145587">
        <w:rPr>
          <w:rFonts w:ascii="Palatino Linotype" w:hAnsi="Palatino Linotype"/>
          <w:b/>
          <w:bCs/>
          <w:sz w:val="24"/>
          <w:szCs w:val="24"/>
        </w:rPr>
        <w:t xml:space="preserve"> by DigitalPath</w:t>
      </w:r>
      <w:r w:rsidR="0019663F">
        <w:rPr>
          <w:rFonts w:ascii="Palatino Linotype" w:hAnsi="Palatino Linotype"/>
          <w:b/>
          <w:bCs/>
          <w:sz w:val="24"/>
          <w:szCs w:val="24"/>
        </w:rPr>
        <w:t>.</w:t>
      </w:r>
      <w:r w:rsidR="002F6CF2">
        <w:rPr>
          <w:rFonts w:ascii="Palatino Linotype" w:hAnsi="Palatino Linotype"/>
          <w:sz w:val="24"/>
          <w:szCs w:val="24"/>
        </w:rPr>
        <w:t xml:space="preserve">  </w:t>
      </w:r>
      <w:r w:rsidR="00C967BD">
        <w:rPr>
          <w:rFonts w:ascii="Palatino Linotype" w:hAnsi="Palatino Linotype"/>
          <w:sz w:val="24"/>
          <w:szCs w:val="24"/>
        </w:rPr>
        <w:t xml:space="preserve">Only </w:t>
      </w:r>
      <w:r w:rsidR="00366D42">
        <w:rPr>
          <w:rFonts w:ascii="Palatino Linotype" w:hAnsi="Palatino Linotype"/>
          <w:sz w:val="24"/>
          <w:szCs w:val="24"/>
        </w:rPr>
        <w:t>households</w:t>
      </w:r>
      <w:r w:rsidR="00C967BD">
        <w:rPr>
          <w:rFonts w:ascii="Palatino Linotype" w:hAnsi="Palatino Linotype"/>
          <w:sz w:val="24"/>
          <w:szCs w:val="24"/>
        </w:rPr>
        <w:t xml:space="preserve"> that are </w:t>
      </w:r>
      <w:r w:rsidR="00C967BD" w:rsidRPr="00500F38">
        <w:rPr>
          <w:rFonts w:ascii="Palatino Linotype" w:hAnsi="Palatino Linotype"/>
          <w:iCs/>
          <w:sz w:val="24"/>
          <w:szCs w:val="24"/>
        </w:rPr>
        <w:t>unserved</w:t>
      </w:r>
      <w:r w:rsidR="00C967BD">
        <w:rPr>
          <w:rFonts w:ascii="Palatino Linotype" w:hAnsi="Palatino Linotype"/>
          <w:sz w:val="24"/>
          <w:szCs w:val="24"/>
        </w:rPr>
        <w:t xml:space="preserve"> are eligible for the CASF Infrastructure grant.  Unserved means there is no provider offering access at speeds of 6Mbps downstream and 1 Mbps upstream.  </w:t>
      </w:r>
      <w:r w:rsidR="00BA6E3E">
        <w:rPr>
          <w:rFonts w:ascii="Palatino Linotype" w:hAnsi="Palatino Linotype"/>
          <w:sz w:val="24"/>
          <w:szCs w:val="24"/>
        </w:rPr>
        <w:t xml:space="preserve">In PST’s original application, PST </w:t>
      </w:r>
      <w:r w:rsidR="00C967BD">
        <w:rPr>
          <w:rFonts w:ascii="Palatino Linotype" w:hAnsi="Palatino Linotype"/>
          <w:sz w:val="24"/>
          <w:szCs w:val="24"/>
        </w:rPr>
        <w:t xml:space="preserve">claimed there are </w:t>
      </w:r>
      <w:r w:rsidR="00E5590E">
        <w:rPr>
          <w:rFonts w:ascii="Palatino Linotype" w:hAnsi="Palatino Linotype"/>
          <w:sz w:val="24"/>
          <w:szCs w:val="24"/>
        </w:rPr>
        <w:t>33 unserved households located</w:t>
      </w:r>
      <w:r w:rsidR="00673E78">
        <w:rPr>
          <w:rFonts w:ascii="Palatino Linotype" w:hAnsi="Palatino Linotype"/>
          <w:sz w:val="24"/>
          <w:szCs w:val="24"/>
        </w:rPr>
        <w:t xml:space="preserve"> with</w:t>
      </w:r>
      <w:r w:rsidR="00E5590E">
        <w:rPr>
          <w:rFonts w:ascii="Palatino Linotype" w:hAnsi="Palatino Linotype"/>
          <w:sz w:val="24"/>
          <w:szCs w:val="24"/>
        </w:rPr>
        <w:t xml:space="preserve">in </w:t>
      </w:r>
      <w:r w:rsidR="00C967BD">
        <w:rPr>
          <w:rFonts w:ascii="Palatino Linotype" w:hAnsi="Palatino Linotype"/>
          <w:sz w:val="24"/>
          <w:szCs w:val="24"/>
        </w:rPr>
        <w:t xml:space="preserve">the </w:t>
      </w:r>
      <w:r w:rsidR="00E5590E">
        <w:rPr>
          <w:rFonts w:ascii="Palatino Linotype" w:hAnsi="Palatino Linotype"/>
          <w:sz w:val="24"/>
          <w:szCs w:val="24"/>
        </w:rPr>
        <w:t xml:space="preserve">nine census blocks in the Keddie </w:t>
      </w:r>
      <w:r w:rsidR="00837B30">
        <w:rPr>
          <w:rFonts w:ascii="Palatino Linotype" w:hAnsi="Palatino Linotype"/>
          <w:sz w:val="24"/>
          <w:szCs w:val="24"/>
        </w:rPr>
        <w:t xml:space="preserve">project </w:t>
      </w:r>
      <w:r w:rsidR="00E5590E">
        <w:rPr>
          <w:rFonts w:ascii="Palatino Linotype" w:hAnsi="Palatino Linotype"/>
          <w:sz w:val="24"/>
          <w:szCs w:val="24"/>
        </w:rPr>
        <w:t xml:space="preserve">area.  </w:t>
      </w:r>
      <w:r w:rsidR="0084646F">
        <w:rPr>
          <w:rFonts w:ascii="Palatino Linotype" w:hAnsi="Palatino Linotype"/>
          <w:color w:val="000000" w:themeColor="text1"/>
          <w:sz w:val="24"/>
          <w:szCs w:val="24"/>
        </w:rPr>
        <w:t>DigitalPath challenged the application stating the company provides broadband availability at served speeds in</w:t>
      </w:r>
      <w:r w:rsidR="00294EDA">
        <w:rPr>
          <w:rFonts w:ascii="Palatino Linotype" w:hAnsi="Palatino Linotype"/>
          <w:color w:val="000000" w:themeColor="text1"/>
          <w:sz w:val="24"/>
          <w:szCs w:val="24"/>
        </w:rPr>
        <w:t xml:space="preserve"> Quincy area.  Based on </w:t>
      </w:r>
      <w:r w:rsidR="00294EDA">
        <w:rPr>
          <w:rFonts w:ascii="Palatino Linotype" w:hAnsi="Palatino Linotype"/>
          <w:sz w:val="24"/>
          <w:szCs w:val="24"/>
        </w:rPr>
        <w:t xml:space="preserve">customer address and billing information submitted by DigitalPath, Staff </w:t>
      </w:r>
      <w:r w:rsidR="00673E78">
        <w:rPr>
          <w:rFonts w:ascii="Palatino Linotype" w:hAnsi="Palatino Linotype"/>
          <w:sz w:val="24"/>
          <w:szCs w:val="24"/>
        </w:rPr>
        <w:t xml:space="preserve">determined two census blocks </w:t>
      </w:r>
      <w:r w:rsidR="00294EDA">
        <w:rPr>
          <w:rFonts w:ascii="Palatino Linotype" w:hAnsi="Palatino Linotype"/>
          <w:sz w:val="24"/>
          <w:szCs w:val="24"/>
        </w:rPr>
        <w:t xml:space="preserve">in the proposed project area </w:t>
      </w:r>
      <w:r w:rsidR="00673E78">
        <w:rPr>
          <w:rFonts w:ascii="Palatino Linotype" w:hAnsi="Palatino Linotype"/>
          <w:sz w:val="24"/>
          <w:szCs w:val="24"/>
        </w:rPr>
        <w:t xml:space="preserve">were already </w:t>
      </w:r>
      <w:r w:rsidR="00DC4446">
        <w:rPr>
          <w:rFonts w:ascii="Palatino Linotype" w:hAnsi="Palatino Linotype"/>
          <w:sz w:val="24"/>
          <w:szCs w:val="24"/>
        </w:rPr>
        <w:t>served and</w:t>
      </w:r>
      <w:r w:rsidR="00017EB6">
        <w:rPr>
          <w:rFonts w:ascii="Palatino Linotype" w:hAnsi="Palatino Linotype"/>
          <w:sz w:val="24"/>
          <w:szCs w:val="24"/>
        </w:rPr>
        <w:t xml:space="preserve"> directed PST to revise its application. </w:t>
      </w:r>
      <w:r w:rsidR="00294EDA">
        <w:rPr>
          <w:rFonts w:ascii="Palatino Linotype" w:hAnsi="Palatino Linotype"/>
          <w:sz w:val="24"/>
          <w:szCs w:val="24"/>
        </w:rPr>
        <w:t xml:space="preserve"> </w:t>
      </w:r>
    </w:p>
    <w:p w14:paraId="14EC420B" w14:textId="77777777" w:rsidR="00017EB6" w:rsidRDefault="00017EB6" w:rsidP="003C1CC7">
      <w:pPr>
        <w:autoSpaceDE w:val="0"/>
        <w:autoSpaceDN w:val="0"/>
        <w:adjustRightInd w:val="0"/>
        <w:rPr>
          <w:rFonts w:ascii="Palatino Linotype" w:hAnsi="Palatino Linotype"/>
          <w:sz w:val="24"/>
          <w:szCs w:val="24"/>
        </w:rPr>
      </w:pPr>
    </w:p>
    <w:p w14:paraId="26B89753" w14:textId="4DDD775B" w:rsidR="007A1C75" w:rsidRDefault="00974407" w:rsidP="00C678BD">
      <w:pPr>
        <w:rPr>
          <w:rFonts w:ascii="Palatino Linotype" w:hAnsi="Palatino Linotype"/>
          <w:sz w:val="24"/>
          <w:szCs w:val="24"/>
        </w:rPr>
      </w:pPr>
      <w:r>
        <w:rPr>
          <w:rFonts w:ascii="Palatino Linotype" w:hAnsi="Palatino Linotype"/>
          <w:sz w:val="24"/>
          <w:szCs w:val="24"/>
        </w:rPr>
        <w:t>In its revised application, PST</w:t>
      </w:r>
      <w:r w:rsidR="000E2A2D">
        <w:rPr>
          <w:rFonts w:ascii="Palatino Linotype" w:hAnsi="Palatino Linotype"/>
          <w:sz w:val="24"/>
          <w:szCs w:val="24"/>
        </w:rPr>
        <w:t xml:space="preserve"> re</w:t>
      </w:r>
      <w:r w:rsidR="00B513C9">
        <w:rPr>
          <w:rFonts w:ascii="Palatino Linotype" w:hAnsi="Palatino Linotype"/>
          <w:sz w:val="24"/>
          <w:szCs w:val="24"/>
        </w:rPr>
        <w:t>duced the grant</w:t>
      </w:r>
      <w:r w:rsidR="00017EB6">
        <w:rPr>
          <w:rFonts w:ascii="Palatino Linotype" w:hAnsi="Palatino Linotype"/>
          <w:sz w:val="24"/>
          <w:szCs w:val="24"/>
        </w:rPr>
        <w:t xml:space="preserve"> funding request to </w:t>
      </w:r>
      <w:r w:rsidR="000E2A2D">
        <w:rPr>
          <w:rFonts w:ascii="Palatino Linotype" w:hAnsi="Palatino Linotype"/>
          <w:sz w:val="24"/>
          <w:szCs w:val="24"/>
        </w:rPr>
        <w:t xml:space="preserve">$1,512,163 </w:t>
      </w:r>
      <w:r w:rsidR="00B513C9">
        <w:rPr>
          <w:rFonts w:ascii="Palatino Linotype" w:hAnsi="Palatino Linotype"/>
          <w:sz w:val="24"/>
          <w:szCs w:val="24"/>
        </w:rPr>
        <w:t xml:space="preserve">and reduced the number of </w:t>
      </w:r>
      <w:r w:rsidR="000E2A2D">
        <w:rPr>
          <w:rFonts w:ascii="Palatino Linotype" w:hAnsi="Palatino Linotype"/>
          <w:sz w:val="24"/>
          <w:szCs w:val="24"/>
        </w:rPr>
        <w:t>census blocks</w:t>
      </w:r>
      <w:r w:rsidR="00B513C9">
        <w:rPr>
          <w:rFonts w:ascii="Palatino Linotype" w:hAnsi="Palatino Linotype"/>
          <w:sz w:val="24"/>
          <w:szCs w:val="24"/>
        </w:rPr>
        <w:t xml:space="preserve"> </w:t>
      </w:r>
      <w:r w:rsidR="004E6F90">
        <w:rPr>
          <w:rFonts w:ascii="Palatino Linotype" w:hAnsi="Palatino Linotype"/>
          <w:sz w:val="24"/>
          <w:szCs w:val="24"/>
        </w:rPr>
        <w:t xml:space="preserve">from nine </w:t>
      </w:r>
      <w:r w:rsidR="00B513C9">
        <w:rPr>
          <w:rFonts w:ascii="Palatino Linotype" w:hAnsi="Palatino Linotype"/>
          <w:sz w:val="24"/>
          <w:szCs w:val="24"/>
        </w:rPr>
        <w:t xml:space="preserve">to seven; </w:t>
      </w:r>
      <w:r w:rsidR="000124DD">
        <w:rPr>
          <w:rFonts w:ascii="Palatino Linotype" w:hAnsi="Palatino Linotype"/>
          <w:sz w:val="24"/>
          <w:szCs w:val="24"/>
        </w:rPr>
        <w:t>but the number of unserved households had increased from 33 to 39</w:t>
      </w:r>
      <w:r w:rsidR="000E2A2D">
        <w:rPr>
          <w:rFonts w:ascii="Palatino Linotype" w:hAnsi="Palatino Linotype"/>
          <w:sz w:val="24"/>
          <w:szCs w:val="24"/>
        </w:rPr>
        <w:t xml:space="preserve">.  </w:t>
      </w:r>
      <w:r w:rsidR="00B513C9">
        <w:rPr>
          <w:rFonts w:ascii="Palatino Linotype" w:hAnsi="Palatino Linotype"/>
          <w:sz w:val="24"/>
          <w:szCs w:val="24"/>
        </w:rPr>
        <w:t xml:space="preserve">PST claimed </w:t>
      </w:r>
      <w:r w:rsidR="00642D62">
        <w:rPr>
          <w:rFonts w:ascii="Palatino Linotype" w:hAnsi="Palatino Linotype"/>
          <w:sz w:val="24"/>
          <w:szCs w:val="24"/>
        </w:rPr>
        <w:t>several</w:t>
      </w:r>
      <w:r w:rsidR="00B513C9">
        <w:rPr>
          <w:rFonts w:ascii="Palatino Linotype" w:hAnsi="Palatino Linotype"/>
          <w:sz w:val="24"/>
          <w:szCs w:val="24"/>
        </w:rPr>
        <w:t xml:space="preserve"> unserved households w</w:t>
      </w:r>
      <w:r w:rsidR="00642D62">
        <w:rPr>
          <w:rFonts w:ascii="Palatino Linotype" w:hAnsi="Palatino Linotype"/>
          <w:sz w:val="24"/>
          <w:szCs w:val="24"/>
        </w:rPr>
        <w:t>ere</w:t>
      </w:r>
      <w:r w:rsidR="00B513C9">
        <w:rPr>
          <w:rFonts w:ascii="Palatino Linotype" w:hAnsi="Palatino Linotype"/>
          <w:sz w:val="24"/>
          <w:szCs w:val="24"/>
        </w:rPr>
        <w:t xml:space="preserve"> inadvertently omitted in the original application</w:t>
      </w:r>
      <w:r w:rsidR="00376418">
        <w:rPr>
          <w:rFonts w:ascii="Palatino Linotype" w:hAnsi="Palatino Linotype"/>
          <w:sz w:val="24"/>
          <w:szCs w:val="24"/>
        </w:rPr>
        <w:t xml:space="preserve">; and </w:t>
      </w:r>
      <w:r w:rsidR="00076A0A">
        <w:rPr>
          <w:rFonts w:ascii="Palatino Linotype" w:hAnsi="Palatino Linotype"/>
          <w:sz w:val="24"/>
          <w:szCs w:val="24"/>
        </w:rPr>
        <w:t>provid</w:t>
      </w:r>
      <w:r w:rsidR="00B513C9">
        <w:rPr>
          <w:rFonts w:ascii="Palatino Linotype" w:hAnsi="Palatino Linotype"/>
          <w:sz w:val="24"/>
          <w:szCs w:val="24"/>
        </w:rPr>
        <w:t>ed</w:t>
      </w:r>
      <w:r w:rsidR="00076A0A">
        <w:rPr>
          <w:rFonts w:ascii="Palatino Linotype" w:hAnsi="Palatino Linotype"/>
          <w:sz w:val="24"/>
          <w:szCs w:val="24"/>
        </w:rPr>
        <w:t xml:space="preserve"> parcel address</w:t>
      </w:r>
      <w:r w:rsidR="0016479D">
        <w:rPr>
          <w:rFonts w:ascii="Palatino Linotype" w:hAnsi="Palatino Linotype"/>
          <w:sz w:val="24"/>
          <w:szCs w:val="24"/>
        </w:rPr>
        <w:t>es</w:t>
      </w:r>
      <w:r w:rsidR="00076A0A">
        <w:rPr>
          <w:rFonts w:ascii="Palatino Linotype" w:hAnsi="Palatino Linotype"/>
          <w:sz w:val="24"/>
          <w:szCs w:val="24"/>
        </w:rPr>
        <w:t xml:space="preserve"> </w:t>
      </w:r>
      <w:r w:rsidR="00376418">
        <w:rPr>
          <w:rFonts w:ascii="Palatino Linotype" w:hAnsi="Palatino Linotype"/>
          <w:sz w:val="24"/>
          <w:szCs w:val="24"/>
        </w:rPr>
        <w:t>as verification.</w:t>
      </w:r>
      <w:r>
        <w:rPr>
          <w:rFonts w:ascii="Palatino Linotype" w:hAnsi="Palatino Linotype"/>
          <w:sz w:val="24"/>
          <w:szCs w:val="24"/>
        </w:rPr>
        <w:t xml:space="preserve"> </w:t>
      </w:r>
      <w:r w:rsidR="0018180E">
        <w:rPr>
          <w:rFonts w:ascii="Palatino Linotype" w:hAnsi="Palatino Linotype"/>
          <w:sz w:val="24"/>
          <w:szCs w:val="24"/>
        </w:rPr>
        <w:t xml:space="preserve"> </w:t>
      </w:r>
      <w:r w:rsidR="00076A0A">
        <w:rPr>
          <w:rFonts w:ascii="Palatino Linotype" w:hAnsi="Palatino Linotype"/>
          <w:sz w:val="24"/>
          <w:szCs w:val="24"/>
        </w:rPr>
        <w:t xml:space="preserve">Staff mapped the address data and </w:t>
      </w:r>
      <w:r w:rsidR="00974EC6">
        <w:rPr>
          <w:rFonts w:ascii="Palatino Linotype" w:hAnsi="Palatino Linotype"/>
          <w:sz w:val="24"/>
          <w:szCs w:val="24"/>
        </w:rPr>
        <w:t>found</w:t>
      </w:r>
      <w:r w:rsidR="00076A0A">
        <w:rPr>
          <w:rFonts w:ascii="Palatino Linotype" w:hAnsi="Palatino Linotype"/>
          <w:sz w:val="24"/>
          <w:szCs w:val="24"/>
        </w:rPr>
        <w:t xml:space="preserve"> </w:t>
      </w:r>
      <w:r w:rsidR="0018180E">
        <w:rPr>
          <w:rFonts w:ascii="Palatino Linotype" w:hAnsi="Palatino Linotype"/>
          <w:sz w:val="24"/>
          <w:szCs w:val="24"/>
        </w:rPr>
        <w:t>3 of the 39</w:t>
      </w:r>
      <w:r w:rsidR="00076A0A">
        <w:rPr>
          <w:rFonts w:ascii="Palatino Linotype" w:hAnsi="Palatino Linotype"/>
          <w:sz w:val="24"/>
          <w:szCs w:val="24"/>
        </w:rPr>
        <w:t xml:space="preserve"> households were not in the project area census blocks.  </w:t>
      </w:r>
      <w:r w:rsidR="00974EC6">
        <w:rPr>
          <w:rFonts w:ascii="Palatino Linotype" w:hAnsi="Palatino Linotype"/>
          <w:sz w:val="24"/>
          <w:szCs w:val="24"/>
        </w:rPr>
        <w:t xml:space="preserve">Thus, Staff determined the household count for </w:t>
      </w:r>
      <w:r w:rsidR="00B513C9">
        <w:rPr>
          <w:rFonts w:ascii="Palatino Linotype" w:hAnsi="Palatino Linotype"/>
          <w:sz w:val="24"/>
          <w:szCs w:val="24"/>
        </w:rPr>
        <w:t xml:space="preserve">the revised </w:t>
      </w:r>
      <w:r w:rsidR="00974EC6">
        <w:rPr>
          <w:rFonts w:ascii="Palatino Linotype" w:hAnsi="Palatino Linotype"/>
          <w:sz w:val="24"/>
          <w:szCs w:val="24"/>
        </w:rPr>
        <w:t xml:space="preserve">project </w:t>
      </w:r>
      <w:r w:rsidR="00642D62">
        <w:rPr>
          <w:rFonts w:ascii="Palatino Linotype" w:hAnsi="Palatino Linotype"/>
          <w:sz w:val="24"/>
          <w:szCs w:val="24"/>
        </w:rPr>
        <w:t xml:space="preserve">is </w:t>
      </w:r>
      <w:r w:rsidR="00974EC6">
        <w:rPr>
          <w:rFonts w:ascii="Palatino Linotype" w:hAnsi="Palatino Linotype"/>
          <w:sz w:val="24"/>
          <w:szCs w:val="24"/>
        </w:rPr>
        <w:t>36</w:t>
      </w:r>
      <w:r w:rsidR="00376418">
        <w:rPr>
          <w:rFonts w:ascii="Palatino Linotype" w:hAnsi="Palatino Linotype"/>
          <w:sz w:val="24"/>
          <w:szCs w:val="24"/>
        </w:rPr>
        <w:t xml:space="preserve"> unserved</w:t>
      </w:r>
      <w:r w:rsidR="000E2A2D">
        <w:rPr>
          <w:rFonts w:ascii="Palatino Linotype" w:hAnsi="Palatino Linotype"/>
          <w:sz w:val="24"/>
          <w:szCs w:val="24"/>
        </w:rPr>
        <w:t xml:space="preserve"> households.</w:t>
      </w:r>
      <w:r w:rsidR="0019663F">
        <w:rPr>
          <w:rFonts w:ascii="Palatino Linotype" w:hAnsi="Palatino Linotype"/>
          <w:sz w:val="24"/>
          <w:szCs w:val="24"/>
        </w:rPr>
        <w:t xml:space="preserve"> </w:t>
      </w:r>
      <w:r w:rsidR="00376418">
        <w:rPr>
          <w:rFonts w:ascii="Palatino Linotype" w:hAnsi="Palatino Linotype"/>
          <w:sz w:val="24"/>
          <w:szCs w:val="24"/>
        </w:rPr>
        <w:t xml:space="preserve"> This number also </w:t>
      </w:r>
      <w:r w:rsidR="0016479D">
        <w:rPr>
          <w:rFonts w:ascii="Palatino Linotype" w:hAnsi="Palatino Linotype"/>
          <w:sz w:val="24"/>
          <w:szCs w:val="24"/>
        </w:rPr>
        <w:t xml:space="preserve">conforms </w:t>
      </w:r>
      <w:r w:rsidR="00376418">
        <w:rPr>
          <w:rFonts w:ascii="Palatino Linotype" w:hAnsi="Palatino Linotype"/>
          <w:sz w:val="24"/>
          <w:szCs w:val="24"/>
        </w:rPr>
        <w:t xml:space="preserve">with the </w:t>
      </w:r>
      <w:r w:rsidR="00076A0A">
        <w:rPr>
          <w:rFonts w:ascii="Palatino Linotype" w:hAnsi="Palatino Linotype"/>
          <w:sz w:val="24"/>
          <w:szCs w:val="24"/>
        </w:rPr>
        <w:t>U.S. 2010 Census data</w:t>
      </w:r>
      <w:r w:rsidR="00376418">
        <w:rPr>
          <w:rFonts w:ascii="Palatino Linotype" w:hAnsi="Palatino Linotype"/>
          <w:sz w:val="24"/>
          <w:szCs w:val="24"/>
        </w:rPr>
        <w:t>.</w:t>
      </w:r>
      <w:r w:rsidR="003C1CC7">
        <w:rPr>
          <w:rFonts w:ascii="Palatino Linotype" w:hAnsi="Palatino Linotype"/>
          <w:sz w:val="24"/>
          <w:szCs w:val="24"/>
        </w:rPr>
        <w:t xml:space="preserve">  Table 1</w:t>
      </w:r>
      <w:r w:rsidR="00C678BD">
        <w:rPr>
          <w:rFonts w:ascii="Palatino Linotype" w:hAnsi="Palatino Linotype"/>
          <w:sz w:val="24"/>
          <w:szCs w:val="24"/>
        </w:rPr>
        <w:t xml:space="preserve">, below, </w:t>
      </w:r>
      <w:r w:rsidR="004E6F90">
        <w:rPr>
          <w:rFonts w:ascii="Palatino Linotype" w:hAnsi="Palatino Linotype"/>
          <w:sz w:val="24"/>
          <w:szCs w:val="24"/>
        </w:rPr>
        <w:t>compares PST’s Original Application to the Revised Application.</w:t>
      </w:r>
      <w:r w:rsidR="00C678BD">
        <w:rPr>
          <w:rFonts w:ascii="Palatino Linotype" w:hAnsi="Palatino Linotype"/>
          <w:sz w:val="24"/>
          <w:szCs w:val="24"/>
        </w:rPr>
        <w:t xml:space="preserve"> </w:t>
      </w:r>
    </w:p>
    <w:p w14:paraId="5B27FA79" w14:textId="77777777" w:rsidR="005B12D3" w:rsidRDefault="005B12D3" w:rsidP="00C678BD">
      <w:pPr>
        <w:rPr>
          <w:rFonts w:ascii="Palatino Linotype" w:hAnsi="Palatino Linotype"/>
          <w:sz w:val="24"/>
          <w:szCs w:val="24"/>
        </w:rPr>
      </w:pPr>
    </w:p>
    <w:p w14:paraId="07AFEE27" w14:textId="5DE14A2B" w:rsidR="007A1C75" w:rsidRPr="004822E1" w:rsidRDefault="007A1C75" w:rsidP="004822E1">
      <w:pPr>
        <w:pStyle w:val="Caption"/>
        <w:keepNext/>
        <w:spacing w:after="120"/>
        <w:jc w:val="center"/>
        <w:rPr>
          <w:rFonts w:ascii="Palatino Linotype" w:hAnsi="Palatino Linotype"/>
          <w:b/>
          <w:bCs/>
          <w:i w:val="0"/>
          <w:iCs w:val="0"/>
          <w:color w:val="auto"/>
          <w:sz w:val="24"/>
          <w:szCs w:val="24"/>
        </w:rPr>
      </w:pPr>
      <w:r w:rsidRPr="004822E1">
        <w:rPr>
          <w:rFonts w:ascii="Palatino Linotype" w:hAnsi="Palatino Linotype"/>
          <w:b/>
          <w:bCs/>
          <w:i w:val="0"/>
          <w:iCs w:val="0"/>
          <w:color w:val="auto"/>
          <w:sz w:val="24"/>
          <w:szCs w:val="24"/>
        </w:rPr>
        <w:t xml:space="preserve">Table </w:t>
      </w:r>
      <w:r w:rsidRPr="004822E1">
        <w:rPr>
          <w:rFonts w:ascii="Palatino Linotype" w:hAnsi="Palatino Linotype"/>
          <w:b/>
          <w:bCs/>
          <w:i w:val="0"/>
          <w:iCs w:val="0"/>
          <w:color w:val="auto"/>
          <w:sz w:val="24"/>
          <w:szCs w:val="24"/>
        </w:rPr>
        <w:fldChar w:fldCharType="begin"/>
      </w:r>
      <w:r w:rsidRPr="004822E1">
        <w:rPr>
          <w:rFonts w:ascii="Palatino Linotype" w:hAnsi="Palatino Linotype"/>
          <w:b/>
          <w:bCs/>
          <w:i w:val="0"/>
          <w:iCs w:val="0"/>
          <w:color w:val="auto"/>
          <w:sz w:val="24"/>
          <w:szCs w:val="24"/>
        </w:rPr>
        <w:instrText xml:space="preserve"> SEQ Table \* ARABIC </w:instrText>
      </w:r>
      <w:r w:rsidRPr="004822E1">
        <w:rPr>
          <w:rFonts w:ascii="Palatino Linotype" w:hAnsi="Palatino Linotype"/>
          <w:b/>
          <w:bCs/>
          <w:i w:val="0"/>
          <w:iCs w:val="0"/>
          <w:color w:val="auto"/>
          <w:sz w:val="24"/>
          <w:szCs w:val="24"/>
        </w:rPr>
        <w:fldChar w:fldCharType="separate"/>
      </w:r>
      <w:r w:rsidR="00636BA0">
        <w:rPr>
          <w:rFonts w:ascii="Palatino Linotype" w:hAnsi="Palatino Linotype"/>
          <w:b/>
          <w:bCs/>
          <w:i w:val="0"/>
          <w:iCs w:val="0"/>
          <w:noProof/>
          <w:color w:val="auto"/>
          <w:sz w:val="24"/>
          <w:szCs w:val="24"/>
        </w:rPr>
        <w:t>1</w:t>
      </w:r>
      <w:r w:rsidRPr="004822E1">
        <w:rPr>
          <w:rFonts w:ascii="Palatino Linotype" w:hAnsi="Palatino Linotype"/>
          <w:b/>
          <w:bCs/>
          <w:i w:val="0"/>
          <w:iCs w:val="0"/>
          <w:color w:val="auto"/>
          <w:sz w:val="24"/>
          <w:szCs w:val="24"/>
        </w:rPr>
        <w:fldChar w:fldCharType="end"/>
      </w:r>
      <w:r w:rsidRPr="004822E1">
        <w:rPr>
          <w:rFonts w:ascii="Palatino Linotype" w:hAnsi="Palatino Linotype"/>
          <w:b/>
          <w:bCs/>
          <w:i w:val="0"/>
          <w:iCs w:val="0"/>
          <w:color w:val="auto"/>
          <w:sz w:val="24"/>
          <w:szCs w:val="24"/>
        </w:rPr>
        <w:t>:</w:t>
      </w:r>
      <w:r w:rsidR="00DC4446">
        <w:rPr>
          <w:rFonts w:ascii="Palatino Linotype" w:hAnsi="Palatino Linotype"/>
          <w:b/>
          <w:bCs/>
          <w:i w:val="0"/>
          <w:iCs w:val="0"/>
          <w:color w:val="auto"/>
          <w:sz w:val="24"/>
          <w:szCs w:val="24"/>
        </w:rPr>
        <w:t xml:space="preserve"> </w:t>
      </w:r>
      <w:r w:rsidRPr="004822E1">
        <w:rPr>
          <w:rFonts w:ascii="Palatino Linotype" w:hAnsi="Palatino Linotype"/>
          <w:b/>
          <w:bCs/>
          <w:i w:val="0"/>
          <w:iCs w:val="0"/>
          <w:color w:val="auto"/>
          <w:sz w:val="24"/>
          <w:szCs w:val="24"/>
        </w:rPr>
        <w:t xml:space="preserve"> PST's Revised CASF Infrastructure Grant Application</w:t>
      </w:r>
    </w:p>
    <w:tbl>
      <w:tblPr>
        <w:tblStyle w:val="TableGrid"/>
        <w:tblW w:w="0" w:type="auto"/>
        <w:tblInd w:w="355" w:type="dxa"/>
        <w:tblLayout w:type="fixed"/>
        <w:tblLook w:val="04A0" w:firstRow="1" w:lastRow="0" w:firstColumn="1" w:lastColumn="0" w:noHBand="0" w:noVBand="1"/>
      </w:tblPr>
      <w:tblGrid>
        <w:gridCol w:w="3420"/>
        <w:gridCol w:w="1575"/>
        <w:gridCol w:w="1575"/>
        <w:gridCol w:w="1980"/>
      </w:tblGrid>
      <w:tr w:rsidR="00CE4F73" w14:paraId="00828D8F" w14:textId="77777777" w:rsidTr="001764EE">
        <w:tc>
          <w:tcPr>
            <w:tcW w:w="3420" w:type="dxa"/>
            <w:shd w:val="clear" w:color="auto" w:fill="EEECE1" w:themeFill="background2"/>
          </w:tcPr>
          <w:p w14:paraId="3A73F146" w14:textId="77777777" w:rsidR="00CE4F73" w:rsidRDefault="00CE4F73" w:rsidP="00642D62">
            <w:pPr>
              <w:pStyle w:val="ListParagraph"/>
              <w:ind w:left="0"/>
              <w:jc w:val="center"/>
              <w:rPr>
                <w:rFonts w:ascii="Palatino Linotype" w:hAnsi="Palatino Linotype"/>
                <w:sz w:val="24"/>
                <w:szCs w:val="24"/>
              </w:rPr>
            </w:pPr>
          </w:p>
        </w:tc>
        <w:tc>
          <w:tcPr>
            <w:tcW w:w="1575" w:type="dxa"/>
            <w:shd w:val="clear" w:color="auto" w:fill="EEECE1" w:themeFill="background2"/>
          </w:tcPr>
          <w:p w14:paraId="0CFBD43D" w14:textId="04C6BE4F" w:rsidR="00CE4F73" w:rsidRDefault="00CE4F73" w:rsidP="00642D62">
            <w:pPr>
              <w:pStyle w:val="ListParagraph"/>
              <w:ind w:left="0"/>
              <w:jc w:val="center"/>
              <w:rPr>
                <w:rFonts w:ascii="Palatino Linotype" w:hAnsi="Palatino Linotype"/>
                <w:sz w:val="24"/>
                <w:szCs w:val="24"/>
              </w:rPr>
            </w:pPr>
            <w:r>
              <w:rPr>
                <w:rFonts w:ascii="Palatino Linotype" w:hAnsi="Palatino Linotype"/>
                <w:sz w:val="24"/>
                <w:szCs w:val="24"/>
              </w:rPr>
              <w:t>Unserved Households</w:t>
            </w:r>
          </w:p>
        </w:tc>
        <w:tc>
          <w:tcPr>
            <w:tcW w:w="1575" w:type="dxa"/>
            <w:shd w:val="clear" w:color="auto" w:fill="EEECE1" w:themeFill="background2"/>
          </w:tcPr>
          <w:p w14:paraId="3409D86A" w14:textId="23CDC763" w:rsidR="00CE4F73" w:rsidRDefault="00CE4F73" w:rsidP="00642D62">
            <w:pPr>
              <w:pStyle w:val="ListParagraph"/>
              <w:ind w:left="0"/>
              <w:jc w:val="center"/>
              <w:rPr>
                <w:rFonts w:ascii="Palatino Linotype" w:hAnsi="Palatino Linotype"/>
                <w:sz w:val="24"/>
                <w:szCs w:val="24"/>
              </w:rPr>
            </w:pPr>
            <w:r>
              <w:rPr>
                <w:rFonts w:ascii="Palatino Linotype" w:hAnsi="Palatino Linotype"/>
                <w:sz w:val="24"/>
                <w:szCs w:val="24"/>
              </w:rPr>
              <w:t>Census Blocks</w:t>
            </w:r>
          </w:p>
        </w:tc>
        <w:tc>
          <w:tcPr>
            <w:tcW w:w="1980" w:type="dxa"/>
            <w:shd w:val="clear" w:color="auto" w:fill="EEECE1" w:themeFill="background2"/>
          </w:tcPr>
          <w:p w14:paraId="78C03372" w14:textId="100AE3A8" w:rsidR="00CE4F73" w:rsidRDefault="00CE4F73" w:rsidP="009D377A">
            <w:pPr>
              <w:pStyle w:val="ListParagraph"/>
              <w:ind w:left="0"/>
              <w:jc w:val="center"/>
              <w:rPr>
                <w:rFonts w:ascii="Palatino Linotype" w:hAnsi="Palatino Linotype"/>
                <w:sz w:val="24"/>
                <w:szCs w:val="24"/>
              </w:rPr>
            </w:pPr>
            <w:r>
              <w:rPr>
                <w:rFonts w:ascii="Palatino Linotype" w:hAnsi="Palatino Linotype"/>
                <w:sz w:val="24"/>
                <w:szCs w:val="24"/>
              </w:rPr>
              <w:t xml:space="preserve">CASF </w:t>
            </w:r>
            <w:r w:rsidR="009D377A">
              <w:rPr>
                <w:rFonts w:ascii="Palatino Linotype" w:hAnsi="Palatino Linotype"/>
                <w:sz w:val="24"/>
                <w:szCs w:val="24"/>
              </w:rPr>
              <w:t>Fund Request</w:t>
            </w:r>
          </w:p>
        </w:tc>
      </w:tr>
      <w:tr w:rsidR="00CE4F73" w14:paraId="26DEA00A" w14:textId="77777777" w:rsidTr="001764EE">
        <w:tc>
          <w:tcPr>
            <w:tcW w:w="3420" w:type="dxa"/>
          </w:tcPr>
          <w:p w14:paraId="2B7D6537" w14:textId="7FC235EB" w:rsidR="00CE4F73" w:rsidRDefault="00CE4F73" w:rsidP="00CE266B">
            <w:pPr>
              <w:pStyle w:val="ListParagraph"/>
              <w:ind w:left="0"/>
              <w:rPr>
                <w:rFonts w:ascii="Palatino Linotype" w:hAnsi="Palatino Linotype"/>
                <w:sz w:val="24"/>
                <w:szCs w:val="24"/>
              </w:rPr>
            </w:pPr>
            <w:r>
              <w:rPr>
                <w:rFonts w:ascii="Palatino Linotype" w:hAnsi="Palatino Linotype"/>
                <w:sz w:val="24"/>
                <w:szCs w:val="24"/>
              </w:rPr>
              <w:t>Original Application</w:t>
            </w:r>
          </w:p>
        </w:tc>
        <w:tc>
          <w:tcPr>
            <w:tcW w:w="1575" w:type="dxa"/>
          </w:tcPr>
          <w:p w14:paraId="04A0C6A7" w14:textId="62B7DFC4" w:rsidR="00CE4F73" w:rsidRDefault="00CE4F73" w:rsidP="00642D62">
            <w:pPr>
              <w:pStyle w:val="ListParagraph"/>
              <w:ind w:left="0"/>
              <w:jc w:val="center"/>
              <w:rPr>
                <w:rFonts w:ascii="Palatino Linotype" w:hAnsi="Palatino Linotype"/>
                <w:sz w:val="24"/>
                <w:szCs w:val="24"/>
              </w:rPr>
            </w:pPr>
            <w:r>
              <w:rPr>
                <w:rFonts w:ascii="Palatino Linotype" w:hAnsi="Palatino Linotype"/>
                <w:sz w:val="24"/>
                <w:szCs w:val="24"/>
              </w:rPr>
              <w:t>33</w:t>
            </w:r>
          </w:p>
        </w:tc>
        <w:tc>
          <w:tcPr>
            <w:tcW w:w="1575" w:type="dxa"/>
          </w:tcPr>
          <w:p w14:paraId="26F1A137" w14:textId="7BD47421" w:rsidR="00CE4F73" w:rsidRDefault="00CE4F73" w:rsidP="00642D62">
            <w:pPr>
              <w:pStyle w:val="ListParagraph"/>
              <w:ind w:left="0"/>
              <w:jc w:val="center"/>
              <w:rPr>
                <w:rFonts w:ascii="Palatino Linotype" w:hAnsi="Palatino Linotype"/>
                <w:sz w:val="24"/>
                <w:szCs w:val="24"/>
              </w:rPr>
            </w:pPr>
            <w:r>
              <w:rPr>
                <w:rFonts w:ascii="Palatino Linotype" w:hAnsi="Palatino Linotype"/>
                <w:sz w:val="24"/>
                <w:szCs w:val="24"/>
              </w:rPr>
              <w:t>9</w:t>
            </w:r>
          </w:p>
        </w:tc>
        <w:tc>
          <w:tcPr>
            <w:tcW w:w="1980" w:type="dxa"/>
          </w:tcPr>
          <w:p w14:paraId="1EC28114" w14:textId="458BF8A3" w:rsidR="00CE4F73" w:rsidRDefault="00CE4F73" w:rsidP="00642D62">
            <w:pPr>
              <w:pStyle w:val="ListParagraph"/>
              <w:ind w:left="0"/>
              <w:jc w:val="center"/>
              <w:rPr>
                <w:rFonts w:ascii="Palatino Linotype" w:hAnsi="Palatino Linotype"/>
                <w:sz w:val="24"/>
                <w:szCs w:val="24"/>
              </w:rPr>
            </w:pPr>
            <w:r>
              <w:rPr>
                <w:rFonts w:ascii="Palatino Linotype" w:hAnsi="Palatino Linotype"/>
                <w:sz w:val="24"/>
                <w:szCs w:val="24"/>
              </w:rPr>
              <w:t>$1,583,660</w:t>
            </w:r>
          </w:p>
        </w:tc>
      </w:tr>
      <w:tr w:rsidR="00CE4F73" w14:paraId="7221DF57" w14:textId="77777777" w:rsidTr="001764EE">
        <w:tc>
          <w:tcPr>
            <w:tcW w:w="3420" w:type="dxa"/>
            <w:tcBorders>
              <w:bottom w:val="single" w:sz="12" w:space="0" w:color="auto"/>
            </w:tcBorders>
          </w:tcPr>
          <w:p w14:paraId="35D6DB7F" w14:textId="589B6AEF" w:rsidR="00CE4F73" w:rsidRDefault="00CE4F73" w:rsidP="00CE266B">
            <w:pPr>
              <w:pStyle w:val="ListParagraph"/>
              <w:ind w:left="0"/>
              <w:rPr>
                <w:rFonts w:ascii="Palatino Linotype" w:hAnsi="Palatino Linotype"/>
                <w:sz w:val="24"/>
                <w:szCs w:val="24"/>
              </w:rPr>
            </w:pPr>
            <w:r>
              <w:rPr>
                <w:rFonts w:ascii="Palatino Linotype" w:hAnsi="Palatino Linotype"/>
                <w:sz w:val="24"/>
                <w:szCs w:val="24"/>
              </w:rPr>
              <w:t>Revised Application</w:t>
            </w:r>
          </w:p>
        </w:tc>
        <w:tc>
          <w:tcPr>
            <w:tcW w:w="1575" w:type="dxa"/>
            <w:tcBorders>
              <w:bottom w:val="single" w:sz="12" w:space="0" w:color="auto"/>
            </w:tcBorders>
          </w:tcPr>
          <w:p w14:paraId="0EAF7088" w14:textId="4CA24D7B" w:rsidR="00CE4F73" w:rsidRDefault="00CE4F73" w:rsidP="00642D62">
            <w:pPr>
              <w:pStyle w:val="ListParagraph"/>
              <w:ind w:left="0"/>
              <w:jc w:val="center"/>
              <w:rPr>
                <w:rFonts w:ascii="Palatino Linotype" w:hAnsi="Palatino Linotype"/>
                <w:sz w:val="24"/>
                <w:szCs w:val="24"/>
              </w:rPr>
            </w:pPr>
            <w:r>
              <w:rPr>
                <w:rFonts w:ascii="Palatino Linotype" w:hAnsi="Palatino Linotype"/>
                <w:sz w:val="24"/>
                <w:szCs w:val="24"/>
              </w:rPr>
              <w:t>39</w:t>
            </w:r>
          </w:p>
        </w:tc>
        <w:tc>
          <w:tcPr>
            <w:tcW w:w="1575" w:type="dxa"/>
            <w:tcBorders>
              <w:bottom w:val="single" w:sz="12" w:space="0" w:color="auto"/>
            </w:tcBorders>
          </w:tcPr>
          <w:p w14:paraId="7B7CB944" w14:textId="01910535" w:rsidR="00CE4F73" w:rsidRDefault="00CE4F73" w:rsidP="00642D62">
            <w:pPr>
              <w:pStyle w:val="ListParagraph"/>
              <w:ind w:left="0"/>
              <w:jc w:val="center"/>
              <w:rPr>
                <w:rFonts w:ascii="Palatino Linotype" w:hAnsi="Palatino Linotype"/>
                <w:sz w:val="24"/>
                <w:szCs w:val="24"/>
              </w:rPr>
            </w:pPr>
            <w:r>
              <w:rPr>
                <w:rFonts w:ascii="Palatino Linotype" w:hAnsi="Palatino Linotype"/>
                <w:sz w:val="24"/>
                <w:szCs w:val="24"/>
              </w:rPr>
              <w:t>7</w:t>
            </w:r>
          </w:p>
        </w:tc>
        <w:tc>
          <w:tcPr>
            <w:tcW w:w="1980" w:type="dxa"/>
            <w:tcBorders>
              <w:bottom w:val="single" w:sz="12" w:space="0" w:color="auto"/>
            </w:tcBorders>
          </w:tcPr>
          <w:p w14:paraId="7ADC57D1" w14:textId="47AD5C47" w:rsidR="00CE4F73" w:rsidRDefault="00CE266B" w:rsidP="00642D62">
            <w:pPr>
              <w:pStyle w:val="ListParagraph"/>
              <w:ind w:left="0"/>
              <w:jc w:val="center"/>
              <w:rPr>
                <w:rFonts w:ascii="Palatino Linotype" w:hAnsi="Palatino Linotype"/>
                <w:sz w:val="24"/>
                <w:szCs w:val="24"/>
              </w:rPr>
            </w:pPr>
            <w:r>
              <w:rPr>
                <w:rFonts w:ascii="Palatino Linotype" w:hAnsi="Palatino Linotype"/>
                <w:sz w:val="24"/>
                <w:szCs w:val="24"/>
              </w:rPr>
              <w:t>$1,512,163</w:t>
            </w:r>
          </w:p>
        </w:tc>
      </w:tr>
      <w:tr w:rsidR="00CE4F73" w14:paraId="7EC3C957" w14:textId="77777777" w:rsidTr="001764EE">
        <w:tc>
          <w:tcPr>
            <w:tcW w:w="3420" w:type="dxa"/>
            <w:tcBorders>
              <w:top w:val="single" w:sz="12" w:space="0" w:color="auto"/>
            </w:tcBorders>
            <w:shd w:val="clear" w:color="auto" w:fill="auto"/>
          </w:tcPr>
          <w:p w14:paraId="1881F489" w14:textId="1E8B5710" w:rsidR="00CE4F73" w:rsidRPr="001764EE" w:rsidRDefault="005C36BD" w:rsidP="00CE266B">
            <w:pPr>
              <w:pStyle w:val="ListParagraph"/>
              <w:ind w:left="0"/>
              <w:rPr>
                <w:rFonts w:ascii="Palatino Linotype" w:hAnsi="Palatino Linotype"/>
                <w:b/>
                <w:sz w:val="24"/>
                <w:szCs w:val="24"/>
              </w:rPr>
            </w:pPr>
            <w:r>
              <w:rPr>
                <w:rFonts w:ascii="Palatino Linotype" w:hAnsi="Palatino Linotype"/>
                <w:b/>
                <w:sz w:val="24"/>
                <w:szCs w:val="24"/>
              </w:rPr>
              <w:t>Final Eligible Project Area</w:t>
            </w:r>
          </w:p>
        </w:tc>
        <w:tc>
          <w:tcPr>
            <w:tcW w:w="1575" w:type="dxa"/>
            <w:tcBorders>
              <w:top w:val="single" w:sz="12" w:space="0" w:color="auto"/>
            </w:tcBorders>
            <w:shd w:val="clear" w:color="auto" w:fill="auto"/>
          </w:tcPr>
          <w:p w14:paraId="4C8EDCD9" w14:textId="67FD3C25" w:rsidR="00CE4F73" w:rsidRPr="001764EE" w:rsidRDefault="00CE4F73" w:rsidP="00642D62">
            <w:pPr>
              <w:pStyle w:val="ListParagraph"/>
              <w:ind w:left="0"/>
              <w:jc w:val="center"/>
              <w:rPr>
                <w:rFonts w:ascii="Palatino Linotype" w:hAnsi="Palatino Linotype"/>
                <w:b/>
                <w:sz w:val="24"/>
                <w:szCs w:val="24"/>
              </w:rPr>
            </w:pPr>
            <w:r w:rsidRPr="001764EE">
              <w:rPr>
                <w:rFonts w:ascii="Palatino Linotype" w:hAnsi="Palatino Linotype"/>
                <w:b/>
                <w:sz w:val="24"/>
                <w:szCs w:val="24"/>
              </w:rPr>
              <w:t>36</w:t>
            </w:r>
          </w:p>
        </w:tc>
        <w:tc>
          <w:tcPr>
            <w:tcW w:w="1575" w:type="dxa"/>
            <w:tcBorders>
              <w:top w:val="single" w:sz="12" w:space="0" w:color="auto"/>
            </w:tcBorders>
            <w:shd w:val="clear" w:color="auto" w:fill="auto"/>
          </w:tcPr>
          <w:p w14:paraId="1FBB49B3" w14:textId="6114A396" w:rsidR="00CE4F73" w:rsidRPr="001764EE" w:rsidRDefault="00CE4F73" w:rsidP="00642D62">
            <w:pPr>
              <w:pStyle w:val="ListParagraph"/>
              <w:ind w:left="0"/>
              <w:jc w:val="center"/>
              <w:rPr>
                <w:rFonts w:ascii="Palatino Linotype" w:hAnsi="Palatino Linotype"/>
                <w:b/>
                <w:sz w:val="24"/>
                <w:szCs w:val="24"/>
              </w:rPr>
            </w:pPr>
            <w:r w:rsidRPr="001764EE">
              <w:rPr>
                <w:rFonts w:ascii="Palatino Linotype" w:hAnsi="Palatino Linotype"/>
                <w:b/>
                <w:sz w:val="24"/>
                <w:szCs w:val="24"/>
              </w:rPr>
              <w:t>7</w:t>
            </w:r>
          </w:p>
        </w:tc>
        <w:tc>
          <w:tcPr>
            <w:tcW w:w="1980" w:type="dxa"/>
            <w:tcBorders>
              <w:top w:val="single" w:sz="12" w:space="0" w:color="auto"/>
            </w:tcBorders>
            <w:shd w:val="clear" w:color="auto" w:fill="auto"/>
          </w:tcPr>
          <w:p w14:paraId="6F071BD6" w14:textId="096F156A" w:rsidR="00CE4F73" w:rsidRPr="001764EE" w:rsidRDefault="00CE266B" w:rsidP="00642D62">
            <w:pPr>
              <w:pStyle w:val="ListParagraph"/>
              <w:ind w:left="0"/>
              <w:jc w:val="center"/>
              <w:rPr>
                <w:rFonts w:ascii="Palatino Linotype" w:hAnsi="Palatino Linotype"/>
                <w:b/>
                <w:sz w:val="24"/>
                <w:szCs w:val="24"/>
              </w:rPr>
            </w:pPr>
            <w:r w:rsidRPr="001764EE">
              <w:rPr>
                <w:rFonts w:ascii="Palatino Linotype" w:hAnsi="Palatino Linotype"/>
                <w:b/>
                <w:sz w:val="24"/>
                <w:szCs w:val="24"/>
              </w:rPr>
              <w:t>$1,512,163</w:t>
            </w:r>
          </w:p>
        </w:tc>
      </w:tr>
    </w:tbl>
    <w:p w14:paraId="49AB9230" w14:textId="77777777" w:rsidR="005B12D3" w:rsidRDefault="005B12D3" w:rsidP="003C1CC7">
      <w:pPr>
        <w:rPr>
          <w:rFonts w:ascii="Palatino Linotype" w:hAnsi="Palatino Linotype"/>
          <w:b/>
          <w:bCs/>
          <w:sz w:val="24"/>
          <w:szCs w:val="24"/>
        </w:rPr>
      </w:pPr>
    </w:p>
    <w:p w14:paraId="5C07329A" w14:textId="5840E14C" w:rsidR="00974407" w:rsidRDefault="0016479D" w:rsidP="003C1CC7">
      <w:pPr>
        <w:rPr>
          <w:rFonts w:ascii="Palatino Linotype" w:hAnsi="Palatino Linotype"/>
          <w:sz w:val="24"/>
          <w:szCs w:val="24"/>
        </w:rPr>
      </w:pPr>
      <w:r>
        <w:rPr>
          <w:rFonts w:ascii="Palatino Linotype" w:hAnsi="Palatino Linotype"/>
          <w:b/>
          <w:bCs/>
          <w:sz w:val="24"/>
          <w:szCs w:val="24"/>
        </w:rPr>
        <w:t>The r</w:t>
      </w:r>
      <w:r w:rsidR="00974407" w:rsidRPr="00974407">
        <w:rPr>
          <w:rFonts w:ascii="Palatino Linotype" w:hAnsi="Palatino Linotype"/>
          <w:b/>
          <w:bCs/>
          <w:sz w:val="24"/>
          <w:szCs w:val="24"/>
        </w:rPr>
        <w:t xml:space="preserve">evised </w:t>
      </w:r>
      <w:r w:rsidR="00974407">
        <w:rPr>
          <w:rFonts w:ascii="Palatino Linotype" w:hAnsi="Palatino Linotype"/>
          <w:b/>
          <w:bCs/>
          <w:sz w:val="24"/>
          <w:szCs w:val="24"/>
        </w:rPr>
        <w:t xml:space="preserve">Keddie </w:t>
      </w:r>
      <w:r w:rsidR="001061E3">
        <w:rPr>
          <w:rFonts w:ascii="Palatino Linotype" w:hAnsi="Palatino Linotype"/>
          <w:b/>
          <w:bCs/>
          <w:sz w:val="24"/>
          <w:szCs w:val="24"/>
        </w:rPr>
        <w:t>project area</w:t>
      </w:r>
      <w:r w:rsidR="00974407" w:rsidRPr="00974407">
        <w:rPr>
          <w:rFonts w:ascii="Palatino Linotype" w:hAnsi="Palatino Linotype"/>
          <w:b/>
          <w:bCs/>
          <w:sz w:val="24"/>
          <w:szCs w:val="24"/>
        </w:rPr>
        <w:t xml:space="preserve"> is eligible for a CASF grant</w:t>
      </w:r>
      <w:r w:rsidR="004E6F90">
        <w:rPr>
          <w:rFonts w:ascii="Palatino Linotype" w:hAnsi="Palatino Linotype"/>
          <w:b/>
          <w:bCs/>
          <w:sz w:val="24"/>
          <w:szCs w:val="24"/>
        </w:rPr>
        <w:t>.</w:t>
      </w:r>
      <w:r w:rsidR="00974407" w:rsidRPr="00974407">
        <w:rPr>
          <w:rFonts w:ascii="Palatino Linotype" w:hAnsi="Palatino Linotype"/>
          <w:b/>
          <w:bCs/>
          <w:sz w:val="24"/>
          <w:szCs w:val="24"/>
        </w:rPr>
        <w:t xml:space="preserve"> </w:t>
      </w:r>
      <w:r w:rsidR="00DC4446">
        <w:rPr>
          <w:rFonts w:ascii="Palatino Linotype" w:hAnsi="Palatino Linotype"/>
          <w:b/>
          <w:bCs/>
          <w:sz w:val="24"/>
          <w:szCs w:val="24"/>
        </w:rPr>
        <w:t xml:space="preserve"> </w:t>
      </w:r>
      <w:r w:rsidR="00974407" w:rsidRPr="00974407">
        <w:rPr>
          <w:rFonts w:ascii="Palatino Linotype" w:hAnsi="Palatino Linotype"/>
          <w:sz w:val="24"/>
          <w:szCs w:val="24"/>
        </w:rPr>
        <w:t xml:space="preserve">There are no existing facilities-based wireline or fixed wireless broadband service providers in the project </w:t>
      </w:r>
      <w:r w:rsidR="00974407" w:rsidRPr="00974407">
        <w:rPr>
          <w:rFonts w:ascii="Palatino Linotype" w:hAnsi="Palatino Linotype"/>
          <w:sz w:val="24"/>
          <w:szCs w:val="24"/>
        </w:rPr>
        <w:lastRenderedPageBreak/>
        <w:t xml:space="preserve">area.  </w:t>
      </w:r>
      <w:r w:rsidR="0062786B">
        <w:rPr>
          <w:rFonts w:ascii="Palatino Linotype" w:hAnsi="Palatino Linotype"/>
          <w:sz w:val="24"/>
          <w:szCs w:val="24"/>
        </w:rPr>
        <w:t xml:space="preserve">According to the California Interactive Broadband Map, the area </w:t>
      </w:r>
      <w:r w:rsidR="00170675">
        <w:rPr>
          <w:rFonts w:ascii="Palatino Linotype" w:hAnsi="Palatino Linotype"/>
          <w:sz w:val="24"/>
          <w:szCs w:val="24"/>
        </w:rPr>
        <w:t>only has</w:t>
      </w:r>
      <w:r w:rsidR="0062786B">
        <w:rPr>
          <w:rFonts w:ascii="Palatino Linotype" w:hAnsi="Palatino Linotype"/>
          <w:sz w:val="24"/>
          <w:szCs w:val="24"/>
        </w:rPr>
        <w:t xml:space="preserve"> </w:t>
      </w:r>
      <w:r w:rsidR="00974407" w:rsidRPr="00974407">
        <w:rPr>
          <w:rFonts w:ascii="Palatino Linotype" w:hAnsi="Palatino Linotype"/>
          <w:sz w:val="24"/>
          <w:szCs w:val="24"/>
        </w:rPr>
        <w:t>access to dial-up.</w:t>
      </w:r>
      <w:r w:rsidR="00C470A6" w:rsidRPr="00974407">
        <w:rPr>
          <w:rStyle w:val="FootnoteReference"/>
          <w:rFonts w:ascii="Palatino Linotype" w:hAnsi="Palatino Linotype"/>
          <w:sz w:val="24"/>
          <w:szCs w:val="24"/>
        </w:rPr>
        <w:footnoteReference w:id="5"/>
      </w:r>
      <w:r w:rsidR="00974407" w:rsidRPr="00974407">
        <w:rPr>
          <w:rFonts w:ascii="Palatino Linotype" w:hAnsi="Palatino Linotype"/>
          <w:sz w:val="24"/>
          <w:szCs w:val="24"/>
        </w:rPr>
        <w:t xml:space="preserve"> </w:t>
      </w:r>
    </w:p>
    <w:p w14:paraId="30320BC2" w14:textId="77777777" w:rsidR="003C1CC7" w:rsidRPr="00974407" w:rsidRDefault="003C1CC7" w:rsidP="003C1CC7">
      <w:pPr>
        <w:rPr>
          <w:rFonts w:ascii="Palatino Linotype" w:hAnsi="Palatino Linotype"/>
          <w:sz w:val="24"/>
          <w:szCs w:val="24"/>
        </w:rPr>
      </w:pPr>
    </w:p>
    <w:p w14:paraId="2590FE23" w14:textId="37FECB12" w:rsidR="008B7DE7" w:rsidRDefault="0062786B" w:rsidP="008B7DE7">
      <w:pPr>
        <w:rPr>
          <w:rFonts w:ascii="Palatino Linotype" w:hAnsi="Palatino Linotype"/>
          <w:sz w:val="24"/>
          <w:szCs w:val="24"/>
        </w:rPr>
      </w:pPr>
      <w:r>
        <w:rPr>
          <w:rFonts w:ascii="Palatino Linotype" w:hAnsi="Palatino Linotype"/>
          <w:b/>
          <w:bCs/>
          <w:sz w:val="24"/>
          <w:szCs w:val="24"/>
        </w:rPr>
        <w:t xml:space="preserve">Middle-Mile infrastructure is eligible for </w:t>
      </w:r>
      <w:r w:rsidR="005F7424">
        <w:rPr>
          <w:rFonts w:ascii="Palatino Linotype" w:hAnsi="Palatino Linotype"/>
          <w:b/>
          <w:bCs/>
          <w:sz w:val="24"/>
          <w:szCs w:val="24"/>
        </w:rPr>
        <w:t xml:space="preserve">a </w:t>
      </w:r>
      <w:r>
        <w:rPr>
          <w:rFonts w:ascii="Palatino Linotype" w:hAnsi="Palatino Linotype"/>
          <w:b/>
          <w:bCs/>
          <w:sz w:val="24"/>
          <w:szCs w:val="24"/>
        </w:rPr>
        <w:t>CASF Infrastructure grant.</w:t>
      </w:r>
      <w:r>
        <w:rPr>
          <w:rFonts w:ascii="Palatino Linotype" w:hAnsi="Palatino Linotype"/>
          <w:sz w:val="24"/>
          <w:szCs w:val="24"/>
        </w:rPr>
        <w:t xml:space="preserve">  </w:t>
      </w:r>
      <w:r w:rsidR="008B7DE7" w:rsidRPr="0062786B">
        <w:rPr>
          <w:rFonts w:ascii="Palatino Linotype" w:hAnsi="Palatino Linotype"/>
          <w:sz w:val="24"/>
          <w:szCs w:val="24"/>
        </w:rPr>
        <w:t xml:space="preserve">PST proposes to place approximately 13.7 miles of middle-mile fiber optic cable, connecting Keddie to PST’s core fiber network located in Quincy, and 10.5 miles of last mile fiber optic cable for the FTTH facilities.  </w:t>
      </w:r>
      <w:r w:rsidR="008B7DE7">
        <w:rPr>
          <w:rFonts w:ascii="Palatino Linotype" w:hAnsi="Palatino Linotype"/>
          <w:sz w:val="24"/>
          <w:szCs w:val="24"/>
        </w:rPr>
        <w:t xml:space="preserve">Currently, the city of East Quincy is served by last-mile fiber infrastructure deployed by PST with the aid of ARRA and CASF grant funds.  PST proposes to extend its existing middle-mile infrastructure from East Quincy to Keddie to deliver last-mile service.  PST is unable to deliver last-mile service absent building the additional fiber infrastructure.  Therefore, Staff has determined the middle-mile infrastructure is indispensable in order to serve the proposed communities. </w:t>
      </w:r>
    </w:p>
    <w:p w14:paraId="20F5C362" w14:textId="77777777" w:rsidR="008B7DE7" w:rsidRDefault="008B7DE7" w:rsidP="003C1CC7">
      <w:pPr>
        <w:rPr>
          <w:rFonts w:ascii="Palatino Linotype" w:hAnsi="Palatino Linotype"/>
          <w:sz w:val="24"/>
          <w:szCs w:val="24"/>
        </w:rPr>
      </w:pPr>
    </w:p>
    <w:p w14:paraId="08F04654" w14:textId="2C0758CD" w:rsidR="004B4208" w:rsidRDefault="00E605DA" w:rsidP="003C1CC7">
      <w:pPr>
        <w:rPr>
          <w:rFonts w:ascii="Palatino Linotype" w:hAnsi="Palatino Linotype"/>
          <w:sz w:val="24"/>
          <w:szCs w:val="24"/>
        </w:rPr>
      </w:pPr>
      <w:r>
        <w:rPr>
          <w:rFonts w:ascii="Palatino Linotype" w:hAnsi="Palatino Linotype"/>
          <w:sz w:val="24"/>
          <w:szCs w:val="24"/>
        </w:rPr>
        <w:t>According to the California Interactive Broadband Map, the</w:t>
      </w:r>
      <w:r w:rsidR="0099702D">
        <w:rPr>
          <w:rFonts w:ascii="Palatino Linotype" w:hAnsi="Palatino Linotype"/>
          <w:sz w:val="24"/>
          <w:szCs w:val="24"/>
        </w:rPr>
        <w:t xml:space="preserve"> </w:t>
      </w:r>
      <w:r w:rsidR="0010021C">
        <w:rPr>
          <w:rFonts w:ascii="Palatino Linotype" w:hAnsi="Palatino Linotype"/>
          <w:sz w:val="24"/>
          <w:szCs w:val="24"/>
        </w:rPr>
        <w:t>Quincy</w:t>
      </w:r>
      <w:r w:rsidR="00642D62">
        <w:rPr>
          <w:rFonts w:ascii="Palatino Linotype" w:hAnsi="Palatino Linotype"/>
          <w:sz w:val="24"/>
          <w:szCs w:val="24"/>
        </w:rPr>
        <w:t xml:space="preserve"> </w:t>
      </w:r>
      <w:r w:rsidR="0099702D">
        <w:rPr>
          <w:rFonts w:ascii="Palatino Linotype" w:hAnsi="Palatino Linotype"/>
          <w:sz w:val="24"/>
          <w:szCs w:val="24"/>
        </w:rPr>
        <w:t>area is partially served by</w:t>
      </w:r>
      <w:r w:rsidR="003D4A31">
        <w:rPr>
          <w:rFonts w:ascii="Palatino Linotype" w:hAnsi="Palatino Linotype"/>
          <w:sz w:val="24"/>
          <w:szCs w:val="24"/>
        </w:rPr>
        <w:t xml:space="preserve"> DigitalPath, a</w:t>
      </w:r>
      <w:r w:rsidR="0099702D">
        <w:rPr>
          <w:rFonts w:ascii="Palatino Linotype" w:hAnsi="Palatino Linotype"/>
          <w:sz w:val="24"/>
          <w:szCs w:val="24"/>
        </w:rPr>
        <w:t xml:space="preserve"> fixed wireless </w:t>
      </w:r>
      <w:r w:rsidR="00963DC0">
        <w:rPr>
          <w:rFonts w:ascii="Palatino Linotype" w:hAnsi="Palatino Linotype"/>
          <w:sz w:val="24"/>
          <w:szCs w:val="24"/>
        </w:rPr>
        <w:t>service provider</w:t>
      </w:r>
      <w:r w:rsidR="00A832F8">
        <w:rPr>
          <w:rFonts w:ascii="Palatino Linotype" w:hAnsi="Palatino Linotype"/>
          <w:sz w:val="24"/>
          <w:szCs w:val="24"/>
        </w:rPr>
        <w:t xml:space="preserve">, </w:t>
      </w:r>
      <w:r w:rsidR="00224F84">
        <w:rPr>
          <w:rFonts w:ascii="Palatino Linotype" w:hAnsi="Palatino Linotype"/>
          <w:sz w:val="24"/>
          <w:szCs w:val="24"/>
        </w:rPr>
        <w:t>but</w:t>
      </w:r>
      <w:r w:rsidR="0099702D">
        <w:rPr>
          <w:rFonts w:ascii="Palatino Linotype" w:hAnsi="Palatino Linotype"/>
          <w:sz w:val="24"/>
          <w:szCs w:val="24"/>
        </w:rPr>
        <w:t xml:space="preserve"> the</w:t>
      </w:r>
      <w:r>
        <w:rPr>
          <w:rFonts w:ascii="Palatino Linotype" w:hAnsi="Palatino Linotype"/>
          <w:sz w:val="24"/>
          <w:szCs w:val="24"/>
        </w:rPr>
        <w:t xml:space="preserve">re is no existing wireline </w:t>
      </w:r>
      <w:r w:rsidR="00F3258B">
        <w:rPr>
          <w:rFonts w:ascii="Palatino Linotype" w:hAnsi="Palatino Linotype"/>
          <w:sz w:val="24"/>
          <w:szCs w:val="24"/>
        </w:rPr>
        <w:t xml:space="preserve">infrastructure </w:t>
      </w:r>
      <w:r w:rsidR="00DA01F2">
        <w:rPr>
          <w:rFonts w:ascii="Palatino Linotype" w:hAnsi="Palatino Linotype"/>
          <w:sz w:val="24"/>
          <w:szCs w:val="24"/>
        </w:rPr>
        <w:t xml:space="preserve">to serve </w:t>
      </w:r>
      <w:r w:rsidR="009B568D">
        <w:rPr>
          <w:rFonts w:ascii="Palatino Linotype" w:hAnsi="Palatino Linotype"/>
          <w:sz w:val="24"/>
          <w:szCs w:val="24"/>
        </w:rPr>
        <w:t>households in Keddie</w:t>
      </w:r>
      <w:r w:rsidR="007771B9">
        <w:rPr>
          <w:rFonts w:ascii="Palatino Linotype" w:hAnsi="Palatino Linotype"/>
          <w:sz w:val="24"/>
          <w:szCs w:val="24"/>
        </w:rPr>
        <w:t>.</w:t>
      </w:r>
      <w:r w:rsidR="009B568D">
        <w:rPr>
          <w:rFonts w:ascii="Palatino Linotype" w:hAnsi="Palatino Linotype"/>
          <w:sz w:val="24"/>
          <w:szCs w:val="24"/>
        </w:rPr>
        <w:t xml:space="preserve">  </w:t>
      </w:r>
      <w:r w:rsidR="00747B40">
        <w:rPr>
          <w:rFonts w:ascii="Palatino Linotype" w:hAnsi="Palatino Linotype"/>
          <w:sz w:val="24"/>
          <w:szCs w:val="24"/>
        </w:rPr>
        <w:t xml:space="preserve">AT&amp;T Communications is the local Incumbent Local Exchange Carrier (ILEC) and does not offer broadband Internet service to households in Keddie.  </w:t>
      </w:r>
      <w:r w:rsidR="00DC4446">
        <w:rPr>
          <w:rFonts w:ascii="Palatino Linotype" w:hAnsi="Palatino Linotype"/>
          <w:sz w:val="24"/>
          <w:szCs w:val="24"/>
        </w:rPr>
        <w:t>Therefore, Staff determined the middle-mile infrastructure is necessary to serve the proposed communities</w:t>
      </w:r>
      <w:r w:rsidR="008B7DE7" w:rsidRPr="008B7DE7">
        <w:rPr>
          <w:rFonts w:ascii="Palatino Linotype" w:hAnsi="Palatino Linotype"/>
          <w:sz w:val="24"/>
          <w:szCs w:val="24"/>
        </w:rPr>
        <w:t xml:space="preserve"> </w:t>
      </w:r>
      <w:r w:rsidR="008B7DE7">
        <w:rPr>
          <w:rFonts w:ascii="Palatino Linotype" w:hAnsi="Palatino Linotype"/>
          <w:sz w:val="24"/>
          <w:szCs w:val="24"/>
        </w:rPr>
        <w:t>and thus eligible for CASF funding</w:t>
      </w:r>
      <w:r w:rsidR="00DC4446">
        <w:rPr>
          <w:rFonts w:ascii="Palatino Linotype" w:hAnsi="Palatino Linotype"/>
          <w:sz w:val="24"/>
          <w:szCs w:val="24"/>
        </w:rPr>
        <w:t xml:space="preserve">, pursuant to </w:t>
      </w:r>
      <w:bookmarkStart w:id="2" w:name="_Hlk21954591"/>
      <w:r w:rsidR="00DC4446">
        <w:rPr>
          <w:rFonts w:ascii="Palatino Linotype" w:hAnsi="Palatino Linotype"/>
          <w:sz w:val="24"/>
          <w:szCs w:val="24"/>
        </w:rPr>
        <w:t xml:space="preserve">Pub. Util. Code </w:t>
      </w:r>
      <w:bookmarkEnd w:id="2"/>
      <w:r w:rsidR="00D00AC4" w:rsidRPr="00D00AC4">
        <w:rPr>
          <w:rFonts w:ascii="Palatino Linotype" w:hAnsi="Palatino Linotype"/>
          <w:sz w:val="24"/>
          <w:szCs w:val="24"/>
        </w:rPr>
        <w:t>§</w:t>
      </w:r>
      <w:r w:rsidR="00DC4446">
        <w:rPr>
          <w:rFonts w:ascii="Palatino Linotype" w:hAnsi="Palatino Linotype"/>
          <w:sz w:val="24"/>
          <w:szCs w:val="24"/>
        </w:rPr>
        <w:t xml:space="preserve"> 281 (f)(5)(B).  </w:t>
      </w:r>
    </w:p>
    <w:p w14:paraId="7AE19463" w14:textId="77777777" w:rsidR="00DD0BC5" w:rsidRDefault="00DD0BC5" w:rsidP="004231A2">
      <w:pPr>
        <w:rPr>
          <w:rFonts w:ascii="Palatino Linotype" w:hAnsi="Palatino Linotype"/>
          <w:sz w:val="24"/>
          <w:szCs w:val="24"/>
        </w:rPr>
      </w:pPr>
    </w:p>
    <w:p w14:paraId="4DBC79FB" w14:textId="77777777" w:rsidR="0018180E" w:rsidRPr="001111AA" w:rsidRDefault="0018180E" w:rsidP="0018180E">
      <w:pPr>
        <w:pStyle w:val="Heading2"/>
        <w:numPr>
          <w:ilvl w:val="6"/>
          <w:numId w:val="20"/>
        </w:numPr>
        <w:ind w:left="993" w:hanging="446"/>
        <w:rPr>
          <w:rFonts w:ascii="Palatino Linotype" w:hAnsi="Palatino Linotype"/>
          <w:szCs w:val="24"/>
          <w:u w:val="single"/>
        </w:rPr>
      </w:pPr>
      <w:r w:rsidRPr="00A7035F">
        <w:rPr>
          <w:rFonts w:ascii="Palatino Linotype" w:hAnsi="Palatino Linotype"/>
          <w:szCs w:val="24"/>
          <w:u w:val="single"/>
        </w:rPr>
        <w:t xml:space="preserve">Minimum Performance Criteria </w:t>
      </w:r>
    </w:p>
    <w:p w14:paraId="52A05F36" w14:textId="730929D9" w:rsidR="0018180E" w:rsidRDefault="0031304F" w:rsidP="003C1CC7">
      <w:pPr>
        <w:pStyle w:val="Default"/>
        <w:rPr>
          <w:rFonts w:ascii="Palatino Linotype" w:hAnsi="Palatino Linotype"/>
          <w:color w:val="auto"/>
        </w:rPr>
      </w:pPr>
      <w:r>
        <w:rPr>
          <w:rFonts w:ascii="Palatino Linotype" w:hAnsi="Palatino Linotype"/>
          <w:color w:val="auto"/>
        </w:rPr>
        <w:t>Based on Staff’s review,</w:t>
      </w:r>
      <w:r w:rsidR="0018180E">
        <w:rPr>
          <w:rFonts w:ascii="Palatino Linotype" w:hAnsi="Palatino Linotype"/>
          <w:color w:val="auto"/>
        </w:rPr>
        <w:t xml:space="preserve"> the Keddie Project</w:t>
      </w:r>
      <w:r w:rsidR="0018180E" w:rsidRPr="00352E7F">
        <w:rPr>
          <w:rFonts w:ascii="Palatino Linotype" w:hAnsi="Palatino Linotype"/>
          <w:color w:val="auto"/>
        </w:rPr>
        <w:t xml:space="preserve"> meets the minimum performance criteria pursuant to D.18-12-018, Appendix 1, Section 6, as summarized </w:t>
      </w:r>
      <w:r w:rsidR="0018180E">
        <w:rPr>
          <w:rFonts w:ascii="Palatino Linotype" w:hAnsi="Palatino Linotype"/>
          <w:color w:val="auto"/>
        </w:rPr>
        <w:t xml:space="preserve">in Table </w:t>
      </w:r>
      <w:r w:rsidR="007A1C75">
        <w:rPr>
          <w:rFonts w:ascii="Palatino Linotype" w:hAnsi="Palatino Linotype"/>
          <w:color w:val="auto"/>
        </w:rPr>
        <w:t>2</w:t>
      </w:r>
      <w:r w:rsidR="0018180E" w:rsidRPr="00352E7F">
        <w:rPr>
          <w:rFonts w:ascii="Palatino Linotype" w:hAnsi="Palatino Linotype"/>
          <w:color w:val="auto"/>
        </w:rPr>
        <w:t>.</w:t>
      </w:r>
    </w:p>
    <w:p w14:paraId="0669328F" w14:textId="3F8C2164" w:rsidR="00C678BD" w:rsidRDefault="00C678BD">
      <w:pPr>
        <w:rPr>
          <w:rStyle w:val="BookTitle"/>
          <w:rFonts w:ascii="Palatino Linotype" w:hAnsi="Palatino Linotype"/>
          <w:i w:val="0"/>
          <w:iCs w:val="0"/>
          <w:color w:val="000000"/>
          <w:sz w:val="24"/>
          <w:szCs w:val="24"/>
        </w:rPr>
      </w:pPr>
    </w:p>
    <w:p w14:paraId="32FB1048" w14:textId="132ED334" w:rsidR="0018180E" w:rsidRPr="0018180E" w:rsidRDefault="0018180E" w:rsidP="0018180E">
      <w:pPr>
        <w:pStyle w:val="Default"/>
        <w:spacing w:after="120"/>
        <w:jc w:val="center"/>
        <w:rPr>
          <w:rStyle w:val="BookTitle"/>
          <w:rFonts w:ascii="Palatino Linotype" w:hAnsi="Palatino Linotype"/>
          <w:i w:val="0"/>
          <w:iCs w:val="0"/>
        </w:rPr>
      </w:pPr>
      <w:r w:rsidRPr="0018180E">
        <w:rPr>
          <w:rStyle w:val="BookTitle"/>
          <w:rFonts w:ascii="Palatino Linotype" w:hAnsi="Palatino Linotype"/>
          <w:i w:val="0"/>
          <w:iCs w:val="0"/>
        </w:rPr>
        <w:t xml:space="preserve">Table </w:t>
      </w:r>
      <w:r w:rsidR="007A1C75">
        <w:rPr>
          <w:rStyle w:val="BookTitle"/>
          <w:rFonts w:ascii="Palatino Linotype" w:hAnsi="Palatino Linotype"/>
          <w:i w:val="0"/>
          <w:iCs w:val="0"/>
        </w:rPr>
        <w:t>2</w:t>
      </w:r>
      <w:r w:rsidRPr="0018180E">
        <w:rPr>
          <w:rStyle w:val="BookTitle"/>
          <w:rFonts w:ascii="Palatino Linotype" w:hAnsi="Palatino Linotype"/>
          <w:i w:val="0"/>
          <w:iCs w:val="0"/>
        </w:rPr>
        <w:t>.  Minimum Performance Criteria</w:t>
      </w:r>
    </w:p>
    <w:tbl>
      <w:tblPr>
        <w:tblStyle w:val="TableGrid"/>
        <w:tblW w:w="0" w:type="auto"/>
        <w:tblLook w:val="04A0" w:firstRow="1" w:lastRow="0" w:firstColumn="1" w:lastColumn="0" w:noHBand="0" w:noVBand="1"/>
      </w:tblPr>
      <w:tblGrid>
        <w:gridCol w:w="2065"/>
        <w:gridCol w:w="4770"/>
        <w:gridCol w:w="2515"/>
      </w:tblGrid>
      <w:tr w:rsidR="0018180E" w:rsidRPr="00352E7F" w14:paraId="4C1CBAD3" w14:textId="77777777" w:rsidTr="00974EC6">
        <w:tc>
          <w:tcPr>
            <w:tcW w:w="2065" w:type="dxa"/>
            <w:shd w:val="clear" w:color="auto" w:fill="EEECE1" w:themeFill="background2"/>
          </w:tcPr>
          <w:p w14:paraId="64AC7531" w14:textId="77777777" w:rsidR="0018180E" w:rsidRPr="0018180E" w:rsidRDefault="0018180E" w:rsidP="00974EC6">
            <w:pPr>
              <w:rPr>
                <w:rFonts w:ascii="Palatino Linotype" w:hAnsi="Palatino Linotype"/>
                <w:b/>
                <w:bCs/>
                <w:color w:val="000000" w:themeColor="text1"/>
                <w:sz w:val="24"/>
                <w:szCs w:val="24"/>
              </w:rPr>
            </w:pPr>
          </w:p>
        </w:tc>
        <w:tc>
          <w:tcPr>
            <w:tcW w:w="4770" w:type="dxa"/>
            <w:shd w:val="clear" w:color="auto" w:fill="EEECE1" w:themeFill="background2"/>
          </w:tcPr>
          <w:p w14:paraId="4718CD3D" w14:textId="77777777" w:rsidR="0018180E" w:rsidRPr="0018180E" w:rsidRDefault="0018180E" w:rsidP="00974EC6">
            <w:pPr>
              <w:jc w:val="center"/>
              <w:rPr>
                <w:rFonts w:ascii="Palatino Linotype" w:hAnsi="Palatino Linotype"/>
                <w:b/>
                <w:bCs/>
                <w:color w:val="000000" w:themeColor="text1"/>
                <w:sz w:val="24"/>
                <w:szCs w:val="24"/>
              </w:rPr>
            </w:pPr>
            <w:r w:rsidRPr="0018180E">
              <w:rPr>
                <w:rFonts w:ascii="Palatino Linotype" w:hAnsi="Palatino Linotype"/>
                <w:b/>
                <w:bCs/>
                <w:color w:val="000000" w:themeColor="text1"/>
                <w:sz w:val="24"/>
                <w:szCs w:val="24"/>
              </w:rPr>
              <w:t>CASF Performance Criteria</w:t>
            </w:r>
          </w:p>
        </w:tc>
        <w:tc>
          <w:tcPr>
            <w:tcW w:w="2515" w:type="dxa"/>
            <w:shd w:val="clear" w:color="auto" w:fill="EEECE1" w:themeFill="background2"/>
          </w:tcPr>
          <w:p w14:paraId="1D868157" w14:textId="78149D39" w:rsidR="0018180E" w:rsidRPr="0018180E" w:rsidRDefault="0018180E" w:rsidP="00974EC6">
            <w:pPr>
              <w:jc w:val="center"/>
              <w:rPr>
                <w:rFonts w:ascii="Palatino Linotype" w:hAnsi="Palatino Linotype"/>
                <w:b/>
                <w:bCs/>
                <w:color w:val="000000" w:themeColor="text1"/>
                <w:sz w:val="24"/>
                <w:szCs w:val="24"/>
              </w:rPr>
            </w:pPr>
            <w:r w:rsidRPr="0018180E">
              <w:rPr>
                <w:rFonts w:ascii="Palatino Linotype" w:hAnsi="Palatino Linotype"/>
                <w:b/>
                <w:bCs/>
                <w:color w:val="000000" w:themeColor="text1"/>
                <w:sz w:val="24"/>
                <w:szCs w:val="24"/>
              </w:rPr>
              <w:t>Proposed Project</w:t>
            </w:r>
          </w:p>
        </w:tc>
      </w:tr>
      <w:tr w:rsidR="003E10D7" w:rsidRPr="00352E7F" w14:paraId="2B5DBC48" w14:textId="77777777" w:rsidTr="00974EC6">
        <w:tc>
          <w:tcPr>
            <w:tcW w:w="2065" w:type="dxa"/>
            <w:vAlign w:val="center"/>
          </w:tcPr>
          <w:p w14:paraId="3B2427CB" w14:textId="39B1B8E1" w:rsidR="003E10D7" w:rsidRPr="0018180E" w:rsidRDefault="003E10D7" w:rsidP="003E10D7">
            <w:pPr>
              <w:rPr>
                <w:rFonts w:ascii="Palatino Linotype" w:hAnsi="Palatino Linotype"/>
                <w:b/>
                <w:bCs/>
                <w:color w:val="000000" w:themeColor="text1"/>
                <w:sz w:val="24"/>
                <w:szCs w:val="24"/>
              </w:rPr>
            </w:pPr>
            <w:r>
              <w:rPr>
                <w:rFonts w:ascii="Palatino Linotype" w:hAnsi="Palatino Linotype"/>
                <w:b/>
                <w:bCs/>
                <w:color w:val="000000" w:themeColor="text1"/>
                <w:sz w:val="24"/>
                <w:szCs w:val="24"/>
              </w:rPr>
              <w:t>Project Completion</w:t>
            </w:r>
          </w:p>
        </w:tc>
        <w:tc>
          <w:tcPr>
            <w:tcW w:w="4770" w:type="dxa"/>
            <w:vAlign w:val="center"/>
          </w:tcPr>
          <w:p w14:paraId="20F06907" w14:textId="251A5DD8" w:rsidR="003E10D7" w:rsidRPr="0018180E" w:rsidRDefault="003E10D7" w:rsidP="003E10D7">
            <w:pPr>
              <w:jc w:val="center"/>
              <w:rPr>
                <w:rFonts w:ascii="Palatino Linotype" w:hAnsi="Palatino Linotype"/>
                <w:color w:val="000000" w:themeColor="text1"/>
                <w:sz w:val="24"/>
                <w:szCs w:val="24"/>
              </w:rPr>
            </w:pPr>
            <w:r>
              <w:rPr>
                <w:rFonts w:ascii="Palatino Linotype" w:hAnsi="Palatino Linotype"/>
                <w:color w:val="000000" w:themeColor="text1"/>
                <w:sz w:val="24"/>
                <w:szCs w:val="24"/>
              </w:rPr>
              <w:t xml:space="preserve">CEQA-exempt projects must be completed within 12 months, and all other projects shall be completed within 24 months after receiving CEQA permit </w:t>
            </w:r>
          </w:p>
        </w:tc>
        <w:tc>
          <w:tcPr>
            <w:tcW w:w="2515" w:type="dxa"/>
            <w:vAlign w:val="center"/>
          </w:tcPr>
          <w:p w14:paraId="56B4E860" w14:textId="6BA65882" w:rsidR="003E10D7" w:rsidRDefault="003E10D7" w:rsidP="003E10D7">
            <w:pPr>
              <w:jc w:val="center"/>
              <w:rPr>
                <w:rFonts w:ascii="Palatino Linotype" w:hAnsi="Palatino Linotype"/>
                <w:color w:val="000000" w:themeColor="text1"/>
                <w:sz w:val="24"/>
                <w:szCs w:val="24"/>
              </w:rPr>
            </w:pPr>
            <w:r>
              <w:rPr>
                <w:rFonts w:ascii="Palatino Linotype" w:hAnsi="Palatino Linotype"/>
                <w:color w:val="000000" w:themeColor="text1"/>
                <w:sz w:val="24"/>
                <w:szCs w:val="24"/>
              </w:rPr>
              <w:t>12 months</w:t>
            </w:r>
          </w:p>
          <w:p w14:paraId="41F9E89E" w14:textId="7F8EFF6E" w:rsidR="003E10D7" w:rsidRPr="0018180E" w:rsidRDefault="003E10D7" w:rsidP="003E10D7">
            <w:pPr>
              <w:jc w:val="center"/>
              <w:rPr>
                <w:rFonts w:ascii="Palatino Linotype" w:hAnsi="Palatino Linotype"/>
                <w:color w:val="000000" w:themeColor="text1"/>
                <w:sz w:val="24"/>
                <w:szCs w:val="24"/>
              </w:rPr>
            </w:pPr>
            <w:r>
              <w:rPr>
                <w:rFonts w:ascii="Palatino Linotype" w:hAnsi="Palatino Linotype"/>
                <w:color w:val="000000" w:themeColor="text1"/>
                <w:sz w:val="24"/>
                <w:szCs w:val="24"/>
              </w:rPr>
              <w:t>(CEQA exempt)</w:t>
            </w:r>
          </w:p>
        </w:tc>
      </w:tr>
      <w:tr w:rsidR="003E10D7" w:rsidRPr="00352E7F" w14:paraId="1918EBEA" w14:textId="77777777" w:rsidTr="00974EC6">
        <w:tc>
          <w:tcPr>
            <w:tcW w:w="2065" w:type="dxa"/>
            <w:vAlign w:val="center"/>
          </w:tcPr>
          <w:p w14:paraId="1DD6AE8C" w14:textId="30838956" w:rsidR="003E10D7" w:rsidRPr="0018180E" w:rsidRDefault="003E10D7" w:rsidP="003E10D7">
            <w:pPr>
              <w:rPr>
                <w:rFonts w:ascii="Palatino Linotype" w:hAnsi="Palatino Linotype"/>
                <w:b/>
                <w:bCs/>
                <w:color w:val="000000" w:themeColor="text1"/>
                <w:sz w:val="24"/>
                <w:szCs w:val="24"/>
              </w:rPr>
            </w:pPr>
            <w:r w:rsidRPr="0018180E">
              <w:rPr>
                <w:rFonts w:ascii="Palatino Linotype" w:hAnsi="Palatino Linotype"/>
                <w:b/>
                <w:bCs/>
                <w:color w:val="000000" w:themeColor="text1"/>
                <w:sz w:val="24"/>
                <w:szCs w:val="24"/>
              </w:rPr>
              <w:t>Pricing</w:t>
            </w:r>
          </w:p>
        </w:tc>
        <w:tc>
          <w:tcPr>
            <w:tcW w:w="4770" w:type="dxa"/>
            <w:vAlign w:val="center"/>
          </w:tcPr>
          <w:p w14:paraId="41387066" w14:textId="77777777" w:rsidR="003E10D7" w:rsidRPr="0018180E" w:rsidRDefault="003E10D7" w:rsidP="003E10D7">
            <w:pPr>
              <w:jc w:val="center"/>
              <w:rPr>
                <w:rFonts w:ascii="Palatino Linotype" w:hAnsi="Palatino Linotype"/>
                <w:color w:val="000000" w:themeColor="text1"/>
                <w:sz w:val="24"/>
                <w:szCs w:val="24"/>
              </w:rPr>
            </w:pPr>
            <w:r w:rsidRPr="0018180E">
              <w:rPr>
                <w:rFonts w:ascii="Palatino Linotype" w:hAnsi="Palatino Linotype"/>
                <w:color w:val="000000" w:themeColor="text1"/>
                <w:sz w:val="24"/>
                <w:szCs w:val="24"/>
              </w:rPr>
              <w:t>Prices committed for two years</w:t>
            </w:r>
          </w:p>
          <w:p w14:paraId="4FF2FEB6" w14:textId="2D3CCFD3" w:rsidR="003E10D7" w:rsidRPr="0018180E" w:rsidRDefault="003E10D7" w:rsidP="003E10D7">
            <w:pPr>
              <w:jc w:val="center"/>
              <w:rPr>
                <w:rFonts w:ascii="Palatino Linotype" w:hAnsi="Palatino Linotype"/>
                <w:color w:val="000000" w:themeColor="text1"/>
                <w:sz w:val="24"/>
                <w:szCs w:val="24"/>
              </w:rPr>
            </w:pPr>
            <w:r w:rsidRPr="0018180E">
              <w:rPr>
                <w:rFonts w:ascii="Palatino Linotype" w:hAnsi="Palatino Linotype"/>
                <w:color w:val="000000" w:themeColor="text1"/>
                <w:sz w:val="24"/>
                <w:szCs w:val="24"/>
              </w:rPr>
              <w:t xml:space="preserve"> after completion of the project</w:t>
            </w:r>
          </w:p>
        </w:tc>
        <w:tc>
          <w:tcPr>
            <w:tcW w:w="2515" w:type="dxa"/>
            <w:vAlign w:val="center"/>
          </w:tcPr>
          <w:p w14:paraId="38225B64" w14:textId="10FD922B" w:rsidR="003E10D7" w:rsidRPr="0018180E" w:rsidRDefault="003E10D7" w:rsidP="003E10D7">
            <w:pPr>
              <w:jc w:val="center"/>
              <w:rPr>
                <w:rFonts w:ascii="Palatino Linotype" w:hAnsi="Palatino Linotype"/>
                <w:color w:val="000000" w:themeColor="text1"/>
                <w:sz w:val="24"/>
                <w:szCs w:val="24"/>
              </w:rPr>
            </w:pPr>
            <w:r w:rsidRPr="0018180E">
              <w:rPr>
                <w:rFonts w:ascii="Palatino Linotype" w:hAnsi="Palatino Linotype"/>
                <w:color w:val="000000" w:themeColor="text1"/>
                <w:sz w:val="24"/>
                <w:szCs w:val="24"/>
              </w:rPr>
              <w:t>2-year</w:t>
            </w:r>
          </w:p>
        </w:tc>
      </w:tr>
      <w:tr w:rsidR="003E10D7" w:rsidRPr="00352E7F" w14:paraId="77773237" w14:textId="77777777" w:rsidTr="00974EC6">
        <w:tc>
          <w:tcPr>
            <w:tcW w:w="2065" w:type="dxa"/>
            <w:vAlign w:val="center"/>
          </w:tcPr>
          <w:p w14:paraId="460CE98D" w14:textId="77777777" w:rsidR="003E10D7" w:rsidRPr="0018180E" w:rsidRDefault="003E10D7" w:rsidP="003E10D7">
            <w:pPr>
              <w:rPr>
                <w:rFonts w:ascii="Palatino Linotype" w:hAnsi="Palatino Linotype"/>
                <w:b/>
                <w:bCs/>
                <w:color w:val="000000" w:themeColor="text1"/>
                <w:sz w:val="24"/>
                <w:szCs w:val="24"/>
              </w:rPr>
            </w:pPr>
            <w:r w:rsidRPr="0018180E">
              <w:rPr>
                <w:rFonts w:ascii="Palatino Linotype" w:hAnsi="Palatino Linotype"/>
                <w:b/>
                <w:bCs/>
                <w:color w:val="000000" w:themeColor="text1"/>
                <w:sz w:val="24"/>
                <w:szCs w:val="24"/>
              </w:rPr>
              <w:t>Speed</w:t>
            </w:r>
          </w:p>
        </w:tc>
        <w:tc>
          <w:tcPr>
            <w:tcW w:w="4770" w:type="dxa"/>
            <w:vAlign w:val="center"/>
          </w:tcPr>
          <w:p w14:paraId="7868A66D" w14:textId="77777777" w:rsidR="003E10D7" w:rsidRPr="0018180E" w:rsidRDefault="003E10D7" w:rsidP="003E10D7">
            <w:pPr>
              <w:jc w:val="center"/>
              <w:rPr>
                <w:rFonts w:ascii="Palatino Linotype" w:hAnsi="Palatino Linotype"/>
                <w:color w:val="000000" w:themeColor="text1"/>
                <w:sz w:val="24"/>
                <w:szCs w:val="24"/>
              </w:rPr>
            </w:pPr>
            <w:r w:rsidRPr="0018180E">
              <w:rPr>
                <w:rFonts w:ascii="Palatino Linotype" w:hAnsi="Palatino Linotype"/>
                <w:color w:val="000000" w:themeColor="text1"/>
                <w:sz w:val="24"/>
                <w:szCs w:val="24"/>
              </w:rPr>
              <w:t>At least 10/1 Mbps</w:t>
            </w:r>
          </w:p>
        </w:tc>
        <w:tc>
          <w:tcPr>
            <w:tcW w:w="2515" w:type="dxa"/>
            <w:vAlign w:val="center"/>
          </w:tcPr>
          <w:p w14:paraId="61C5AC7D" w14:textId="4CA2B74E" w:rsidR="003E10D7" w:rsidRPr="0018180E" w:rsidRDefault="003E10D7" w:rsidP="003E10D7">
            <w:pPr>
              <w:jc w:val="center"/>
              <w:rPr>
                <w:rFonts w:ascii="Palatino Linotype" w:hAnsi="Palatino Linotype"/>
                <w:color w:val="000000" w:themeColor="text1"/>
                <w:sz w:val="24"/>
                <w:szCs w:val="24"/>
              </w:rPr>
            </w:pPr>
            <w:r w:rsidRPr="0018180E">
              <w:rPr>
                <w:rFonts w:ascii="Palatino Linotype" w:hAnsi="Palatino Linotype"/>
                <w:color w:val="000000" w:themeColor="text1"/>
                <w:sz w:val="24"/>
                <w:szCs w:val="24"/>
              </w:rPr>
              <w:t>1</w:t>
            </w:r>
            <w:r>
              <w:rPr>
                <w:rFonts w:ascii="Palatino Linotype" w:hAnsi="Palatino Linotype"/>
                <w:color w:val="000000" w:themeColor="text1"/>
                <w:sz w:val="24"/>
                <w:szCs w:val="24"/>
              </w:rPr>
              <w:t>0</w:t>
            </w:r>
            <w:r w:rsidRPr="0018180E">
              <w:rPr>
                <w:rFonts w:ascii="Palatino Linotype" w:hAnsi="Palatino Linotype"/>
                <w:color w:val="000000" w:themeColor="text1"/>
                <w:sz w:val="24"/>
                <w:szCs w:val="24"/>
              </w:rPr>
              <w:t>0</w:t>
            </w:r>
            <w:r>
              <w:rPr>
                <w:rFonts w:ascii="Palatino Linotype" w:hAnsi="Palatino Linotype"/>
                <w:color w:val="000000" w:themeColor="text1"/>
                <w:sz w:val="24"/>
                <w:szCs w:val="24"/>
              </w:rPr>
              <w:t xml:space="preserve"> </w:t>
            </w:r>
            <w:r w:rsidRPr="0018180E">
              <w:rPr>
                <w:rFonts w:ascii="Palatino Linotype" w:hAnsi="Palatino Linotype"/>
                <w:color w:val="000000" w:themeColor="text1"/>
                <w:sz w:val="24"/>
                <w:szCs w:val="24"/>
              </w:rPr>
              <w:t>/</w:t>
            </w:r>
            <w:r>
              <w:rPr>
                <w:rFonts w:ascii="Palatino Linotype" w:hAnsi="Palatino Linotype"/>
                <w:color w:val="000000" w:themeColor="text1"/>
                <w:sz w:val="24"/>
                <w:szCs w:val="24"/>
              </w:rPr>
              <w:t xml:space="preserve"> 20</w:t>
            </w:r>
            <w:r w:rsidRPr="0018180E">
              <w:rPr>
                <w:rFonts w:ascii="Palatino Linotype" w:hAnsi="Palatino Linotype"/>
                <w:color w:val="000000" w:themeColor="text1"/>
                <w:sz w:val="24"/>
                <w:szCs w:val="24"/>
              </w:rPr>
              <w:t xml:space="preserve"> Mbps</w:t>
            </w:r>
          </w:p>
        </w:tc>
      </w:tr>
      <w:tr w:rsidR="003E10D7" w:rsidRPr="00352E7F" w14:paraId="19792217" w14:textId="77777777" w:rsidTr="00974EC6">
        <w:tc>
          <w:tcPr>
            <w:tcW w:w="2065" w:type="dxa"/>
            <w:vAlign w:val="center"/>
          </w:tcPr>
          <w:p w14:paraId="32CE5D05" w14:textId="77777777" w:rsidR="003E10D7" w:rsidRPr="0018180E" w:rsidRDefault="003E10D7" w:rsidP="003E10D7">
            <w:pPr>
              <w:rPr>
                <w:rFonts w:ascii="Palatino Linotype" w:hAnsi="Palatino Linotype"/>
                <w:b/>
                <w:bCs/>
                <w:color w:val="000000" w:themeColor="text1"/>
                <w:sz w:val="24"/>
                <w:szCs w:val="24"/>
              </w:rPr>
            </w:pPr>
            <w:r w:rsidRPr="0018180E">
              <w:rPr>
                <w:rFonts w:ascii="Palatino Linotype" w:hAnsi="Palatino Linotype"/>
                <w:b/>
                <w:bCs/>
                <w:color w:val="000000" w:themeColor="text1"/>
                <w:sz w:val="24"/>
                <w:szCs w:val="24"/>
              </w:rPr>
              <w:t>Latency</w:t>
            </w:r>
          </w:p>
        </w:tc>
        <w:tc>
          <w:tcPr>
            <w:tcW w:w="4770" w:type="dxa"/>
            <w:vAlign w:val="center"/>
          </w:tcPr>
          <w:p w14:paraId="31D3582B" w14:textId="77777777" w:rsidR="003E10D7" w:rsidRPr="0018180E" w:rsidRDefault="003E10D7" w:rsidP="003E10D7">
            <w:pPr>
              <w:jc w:val="center"/>
              <w:rPr>
                <w:rFonts w:ascii="Palatino Linotype" w:hAnsi="Palatino Linotype"/>
                <w:color w:val="000000" w:themeColor="text1"/>
                <w:sz w:val="24"/>
                <w:szCs w:val="24"/>
              </w:rPr>
            </w:pPr>
            <w:r w:rsidRPr="0018180E">
              <w:rPr>
                <w:rFonts w:ascii="Palatino Linotype" w:hAnsi="Palatino Linotype"/>
                <w:color w:val="000000" w:themeColor="text1"/>
                <w:sz w:val="24"/>
                <w:szCs w:val="24"/>
              </w:rPr>
              <w:t>Maximum of 100 ms of latency</w:t>
            </w:r>
          </w:p>
        </w:tc>
        <w:tc>
          <w:tcPr>
            <w:tcW w:w="2515" w:type="dxa"/>
            <w:vAlign w:val="center"/>
          </w:tcPr>
          <w:p w14:paraId="13EA2AD0" w14:textId="0E093C96" w:rsidR="003E10D7" w:rsidRPr="0018180E" w:rsidRDefault="003E10D7" w:rsidP="003E10D7">
            <w:pPr>
              <w:jc w:val="center"/>
              <w:rPr>
                <w:rFonts w:ascii="Palatino Linotype" w:hAnsi="Palatino Linotype"/>
                <w:color w:val="000000" w:themeColor="text1"/>
                <w:sz w:val="24"/>
                <w:szCs w:val="24"/>
              </w:rPr>
            </w:pPr>
            <w:r>
              <w:rPr>
                <w:rFonts w:ascii="Palatino Linotype" w:hAnsi="Palatino Linotype"/>
                <w:color w:val="000000" w:themeColor="text1"/>
                <w:sz w:val="24"/>
                <w:szCs w:val="24"/>
              </w:rPr>
              <w:t>25</w:t>
            </w:r>
            <w:r w:rsidRPr="0018180E">
              <w:rPr>
                <w:rFonts w:ascii="Palatino Linotype" w:hAnsi="Palatino Linotype"/>
                <w:color w:val="000000" w:themeColor="text1"/>
                <w:sz w:val="24"/>
                <w:szCs w:val="24"/>
              </w:rPr>
              <w:t xml:space="preserve"> ms</w:t>
            </w:r>
          </w:p>
        </w:tc>
      </w:tr>
      <w:tr w:rsidR="003E10D7" w:rsidRPr="00352E7F" w14:paraId="1B8F1508" w14:textId="77777777" w:rsidTr="00974EC6">
        <w:tc>
          <w:tcPr>
            <w:tcW w:w="2065" w:type="dxa"/>
            <w:vAlign w:val="center"/>
          </w:tcPr>
          <w:p w14:paraId="571D8C7E" w14:textId="77777777" w:rsidR="003E10D7" w:rsidRPr="0018180E" w:rsidRDefault="003E10D7" w:rsidP="003E10D7">
            <w:pPr>
              <w:rPr>
                <w:rFonts w:ascii="Palatino Linotype" w:hAnsi="Palatino Linotype"/>
                <w:b/>
                <w:bCs/>
                <w:color w:val="000000" w:themeColor="text1"/>
                <w:sz w:val="24"/>
                <w:szCs w:val="24"/>
              </w:rPr>
            </w:pPr>
            <w:r w:rsidRPr="0018180E">
              <w:rPr>
                <w:rFonts w:ascii="Palatino Linotype" w:hAnsi="Palatino Linotype"/>
                <w:b/>
                <w:bCs/>
                <w:color w:val="000000" w:themeColor="text1"/>
                <w:sz w:val="24"/>
                <w:szCs w:val="24"/>
              </w:rPr>
              <w:t>Data Caps</w:t>
            </w:r>
          </w:p>
        </w:tc>
        <w:tc>
          <w:tcPr>
            <w:tcW w:w="4770" w:type="dxa"/>
            <w:vAlign w:val="center"/>
          </w:tcPr>
          <w:p w14:paraId="23A3AA32" w14:textId="77777777" w:rsidR="003E10D7" w:rsidRPr="0018180E" w:rsidRDefault="003E10D7" w:rsidP="003E10D7">
            <w:pPr>
              <w:jc w:val="center"/>
              <w:rPr>
                <w:rFonts w:ascii="Palatino Linotype" w:hAnsi="Palatino Linotype"/>
                <w:color w:val="000000" w:themeColor="text1"/>
                <w:sz w:val="24"/>
                <w:szCs w:val="24"/>
              </w:rPr>
            </w:pPr>
            <w:r w:rsidRPr="0018180E">
              <w:rPr>
                <w:rFonts w:ascii="Palatino Linotype" w:hAnsi="Palatino Linotype"/>
                <w:color w:val="000000" w:themeColor="text1"/>
                <w:sz w:val="24"/>
                <w:szCs w:val="24"/>
              </w:rPr>
              <w:t>Minimum of 190 GBs per month</w:t>
            </w:r>
          </w:p>
        </w:tc>
        <w:tc>
          <w:tcPr>
            <w:tcW w:w="2515" w:type="dxa"/>
            <w:vAlign w:val="center"/>
          </w:tcPr>
          <w:p w14:paraId="58C513A2" w14:textId="77777777" w:rsidR="003E10D7" w:rsidRPr="0018180E" w:rsidRDefault="003E10D7" w:rsidP="003E10D7">
            <w:pPr>
              <w:jc w:val="center"/>
              <w:rPr>
                <w:rFonts w:ascii="Palatino Linotype" w:hAnsi="Palatino Linotype"/>
                <w:color w:val="000000" w:themeColor="text1"/>
                <w:sz w:val="24"/>
                <w:szCs w:val="24"/>
              </w:rPr>
            </w:pPr>
            <w:r w:rsidRPr="0018180E">
              <w:rPr>
                <w:rFonts w:ascii="Palatino Linotype" w:hAnsi="Palatino Linotype"/>
                <w:color w:val="000000" w:themeColor="text1"/>
                <w:sz w:val="24"/>
                <w:szCs w:val="24"/>
              </w:rPr>
              <w:t>No data cap</w:t>
            </w:r>
          </w:p>
        </w:tc>
      </w:tr>
      <w:tr w:rsidR="003E10D7" w:rsidRPr="00352E7F" w14:paraId="2EA78D09" w14:textId="77777777" w:rsidTr="00974EC6">
        <w:tc>
          <w:tcPr>
            <w:tcW w:w="2065" w:type="dxa"/>
            <w:vAlign w:val="center"/>
          </w:tcPr>
          <w:p w14:paraId="5B268BF4" w14:textId="77777777" w:rsidR="003E10D7" w:rsidRPr="0018180E" w:rsidRDefault="003E10D7" w:rsidP="003E10D7">
            <w:pPr>
              <w:rPr>
                <w:rFonts w:ascii="Palatino Linotype" w:hAnsi="Palatino Linotype"/>
                <w:b/>
                <w:bCs/>
                <w:color w:val="000000" w:themeColor="text1"/>
                <w:sz w:val="24"/>
                <w:szCs w:val="24"/>
              </w:rPr>
            </w:pPr>
            <w:r w:rsidRPr="0018180E">
              <w:rPr>
                <w:rFonts w:ascii="Palatino Linotype" w:hAnsi="Palatino Linotype"/>
                <w:b/>
                <w:bCs/>
                <w:color w:val="000000" w:themeColor="text1"/>
                <w:sz w:val="24"/>
                <w:szCs w:val="24"/>
              </w:rPr>
              <w:t>Affordability</w:t>
            </w:r>
          </w:p>
        </w:tc>
        <w:tc>
          <w:tcPr>
            <w:tcW w:w="4770" w:type="dxa"/>
            <w:vAlign w:val="center"/>
          </w:tcPr>
          <w:p w14:paraId="70D3E462" w14:textId="77777777" w:rsidR="003E10D7" w:rsidRPr="0018180E" w:rsidRDefault="003E10D7" w:rsidP="003E10D7">
            <w:pPr>
              <w:jc w:val="center"/>
              <w:rPr>
                <w:rFonts w:ascii="Palatino Linotype" w:hAnsi="Palatino Linotype"/>
                <w:color w:val="000000" w:themeColor="text1"/>
                <w:sz w:val="24"/>
                <w:szCs w:val="24"/>
              </w:rPr>
            </w:pPr>
            <w:r w:rsidRPr="0018180E">
              <w:rPr>
                <w:rFonts w:ascii="Palatino Linotype" w:hAnsi="Palatino Linotype"/>
                <w:color w:val="000000" w:themeColor="text1"/>
                <w:sz w:val="24"/>
                <w:szCs w:val="24"/>
              </w:rPr>
              <w:t>Must offer low-income plan</w:t>
            </w:r>
          </w:p>
        </w:tc>
        <w:tc>
          <w:tcPr>
            <w:tcW w:w="2515" w:type="dxa"/>
            <w:vAlign w:val="center"/>
          </w:tcPr>
          <w:p w14:paraId="0BED6E27" w14:textId="400B052A" w:rsidR="003E10D7" w:rsidRPr="0018180E" w:rsidRDefault="003E10D7" w:rsidP="003E10D7">
            <w:pPr>
              <w:jc w:val="center"/>
              <w:rPr>
                <w:rFonts w:ascii="Palatino Linotype" w:hAnsi="Palatino Linotype"/>
                <w:color w:val="000000" w:themeColor="text1"/>
                <w:sz w:val="24"/>
                <w:szCs w:val="24"/>
              </w:rPr>
            </w:pPr>
            <w:r>
              <w:rPr>
                <w:rFonts w:ascii="Palatino Linotype" w:hAnsi="Palatino Linotype"/>
                <w:color w:val="000000" w:themeColor="text1"/>
                <w:sz w:val="24"/>
                <w:szCs w:val="24"/>
              </w:rPr>
              <w:t xml:space="preserve">$10 monthly </w:t>
            </w:r>
            <w:r>
              <w:rPr>
                <w:rFonts w:ascii="Palatino Linotype" w:hAnsi="Palatino Linotype"/>
                <w:color w:val="000000" w:themeColor="text1"/>
                <w:sz w:val="24"/>
                <w:szCs w:val="24"/>
              </w:rPr>
              <w:lastRenderedPageBreak/>
              <w:t>discount</w:t>
            </w:r>
          </w:p>
        </w:tc>
      </w:tr>
    </w:tbl>
    <w:p w14:paraId="5BB67348" w14:textId="688C80EB" w:rsidR="007A1C75" w:rsidRDefault="007A1C75" w:rsidP="00B67A2C">
      <w:pPr>
        <w:pStyle w:val="Default"/>
        <w:rPr>
          <w:rFonts w:ascii="Palatino Linotype" w:hAnsi="Palatino Linotype" w:cs="Palatino Linotype"/>
        </w:rPr>
      </w:pPr>
    </w:p>
    <w:p w14:paraId="4382AEA6" w14:textId="22CC302F" w:rsidR="003E10D7" w:rsidRDefault="00185283" w:rsidP="003E10D7">
      <w:pPr>
        <w:pStyle w:val="Default"/>
        <w:rPr>
          <w:rFonts w:ascii="Palatino Linotype" w:hAnsi="Palatino Linotype"/>
        </w:rPr>
      </w:pPr>
      <w:r>
        <w:rPr>
          <w:rFonts w:ascii="Palatino Linotype" w:hAnsi="Palatino Linotype"/>
          <w:b/>
          <w:bCs/>
        </w:rPr>
        <w:t>PST’s</w:t>
      </w:r>
      <w:r w:rsidRPr="005C36BD">
        <w:rPr>
          <w:rFonts w:ascii="Palatino Linotype" w:hAnsi="Palatino Linotype"/>
          <w:b/>
          <w:bCs/>
        </w:rPr>
        <w:t xml:space="preserve"> Keddie Project is categorically exempt from </w:t>
      </w:r>
      <w:r w:rsidR="00DC5801">
        <w:rPr>
          <w:rFonts w:ascii="Palatino Linotype" w:hAnsi="Palatino Linotype"/>
          <w:b/>
          <w:bCs/>
        </w:rPr>
        <w:t>California Environmental Quality Act (</w:t>
      </w:r>
      <w:r w:rsidRPr="005C36BD">
        <w:rPr>
          <w:rFonts w:ascii="Palatino Linotype" w:hAnsi="Palatino Linotype"/>
          <w:b/>
          <w:bCs/>
        </w:rPr>
        <w:t>CEQA</w:t>
      </w:r>
      <w:r w:rsidR="00DC5801">
        <w:rPr>
          <w:rFonts w:ascii="Palatino Linotype" w:hAnsi="Palatino Linotype"/>
          <w:b/>
          <w:bCs/>
        </w:rPr>
        <w:t>)</w:t>
      </w:r>
      <w:r w:rsidRPr="005C36BD">
        <w:rPr>
          <w:rFonts w:ascii="Palatino Linotype" w:hAnsi="Palatino Linotype"/>
          <w:b/>
          <w:bCs/>
        </w:rPr>
        <w:t xml:space="preserve"> review.</w:t>
      </w:r>
      <w:r>
        <w:rPr>
          <w:rFonts w:ascii="Palatino Linotype" w:hAnsi="Palatino Linotype"/>
        </w:rPr>
        <w:t xml:space="preserve">  </w:t>
      </w:r>
      <w:r w:rsidR="003E10D7">
        <w:rPr>
          <w:rFonts w:ascii="Palatino Linotype" w:hAnsi="Palatino Linotype"/>
        </w:rPr>
        <w:t xml:space="preserve">The Commission must review all </w:t>
      </w:r>
      <w:r w:rsidR="003E10D7" w:rsidRPr="00CC02A9">
        <w:rPr>
          <w:rFonts w:ascii="Palatino Linotype" w:hAnsi="Palatino Linotype"/>
        </w:rPr>
        <w:t xml:space="preserve">CASF </w:t>
      </w:r>
      <w:r w:rsidR="003E10D7">
        <w:rPr>
          <w:rFonts w:ascii="Palatino Linotype" w:hAnsi="Palatino Linotype"/>
        </w:rPr>
        <w:t xml:space="preserve">projects in accordance to </w:t>
      </w:r>
      <w:r w:rsidR="003E10D7" w:rsidRPr="00CC02A9">
        <w:rPr>
          <w:rFonts w:ascii="Palatino Linotype" w:hAnsi="Palatino Linotype"/>
        </w:rPr>
        <w:t>CEQA requirements</w:t>
      </w:r>
      <w:r w:rsidR="003E10D7">
        <w:rPr>
          <w:rFonts w:ascii="Palatino Linotype" w:hAnsi="Palatino Linotype"/>
        </w:rPr>
        <w:t xml:space="preserve"> unless the project is statutorily or categorically exempt pursuant to CEQA guidelines.  </w:t>
      </w:r>
    </w:p>
    <w:p w14:paraId="0772EF9F" w14:textId="77777777" w:rsidR="003E10D7" w:rsidRDefault="003E10D7" w:rsidP="003E10D7">
      <w:pPr>
        <w:pStyle w:val="Default"/>
        <w:rPr>
          <w:rFonts w:ascii="Palatino Linotype" w:hAnsi="Palatino Linotype"/>
        </w:rPr>
      </w:pPr>
    </w:p>
    <w:p w14:paraId="5F5F6E04" w14:textId="3BDE3AED" w:rsidR="003E10D7" w:rsidRDefault="005C36BD" w:rsidP="003E10D7">
      <w:pPr>
        <w:pStyle w:val="Default"/>
        <w:rPr>
          <w:rFonts w:ascii="Palatino Linotype" w:hAnsi="Palatino Linotype"/>
        </w:rPr>
      </w:pPr>
      <w:r>
        <w:rPr>
          <w:rFonts w:ascii="Palatino Linotype" w:hAnsi="Palatino Linotype"/>
        </w:rPr>
        <w:t xml:space="preserve">In its application, </w:t>
      </w:r>
      <w:r w:rsidR="003E10D7">
        <w:rPr>
          <w:rFonts w:ascii="Palatino Linotype" w:hAnsi="Palatino Linotype"/>
        </w:rPr>
        <w:t xml:space="preserve">PST </w:t>
      </w:r>
      <w:r>
        <w:rPr>
          <w:rFonts w:ascii="Palatino Linotype" w:hAnsi="Palatino Linotype"/>
        </w:rPr>
        <w:t xml:space="preserve">requested categorical exemption from CEQA and </w:t>
      </w:r>
      <w:r w:rsidR="003E10D7">
        <w:rPr>
          <w:rFonts w:ascii="Palatino Linotype" w:hAnsi="Palatino Linotype"/>
        </w:rPr>
        <w:t>provided the Commission with its plan to use existing PSREC owned poles, public utility easements (PUE), and public rights of ways (ROW) for the installation of underground and aerial fiber cable.  The proposed project would cover approximately 0.87 square miles in the Keddie and Quincy area of Plumas County, California</w:t>
      </w:r>
      <w:r w:rsidR="004F5E59">
        <w:rPr>
          <w:rFonts w:ascii="Palatino Linotype" w:hAnsi="Palatino Linotype"/>
        </w:rPr>
        <w:t>.</w:t>
      </w:r>
      <w:r w:rsidR="003E10D7">
        <w:rPr>
          <w:rFonts w:ascii="Palatino Linotype" w:hAnsi="Palatino Linotype"/>
        </w:rPr>
        <w:t xml:space="preserve"> </w:t>
      </w:r>
      <w:r w:rsidR="004F5E59">
        <w:rPr>
          <w:rFonts w:ascii="Palatino Linotype" w:hAnsi="Palatino Linotype"/>
        </w:rPr>
        <w:t xml:space="preserve"> </w:t>
      </w:r>
    </w:p>
    <w:p w14:paraId="6B0C85B0" w14:textId="77777777" w:rsidR="003E10D7" w:rsidRDefault="003E10D7" w:rsidP="003E10D7">
      <w:pPr>
        <w:pStyle w:val="Default"/>
        <w:rPr>
          <w:rFonts w:ascii="Palatino Linotype" w:hAnsi="Palatino Linotype"/>
        </w:rPr>
      </w:pPr>
    </w:p>
    <w:p w14:paraId="5A71A2E7" w14:textId="77777777" w:rsidR="003E10D7" w:rsidRDefault="003E10D7" w:rsidP="003E10D7">
      <w:pPr>
        <w:pStyle w:val="Default"/>
        <w:rPr>
          <w:rFonts w:ascii="Palatino Linotype" w:hAnsi="Palatino Linotype"/>
        </w:rPr>
      </w:pPr>
      <w:r>
        <w:rPr>
          <w:rFonts w:ascii="Palatino Linotype" w:hAnsi="Palatino Linotype"/>
        </w:rPr>
        <w:t xml:space="preserve">The majority of the build will consist of 22.95 miles of aerial fiber installation on existing overhead electrical infrastructure and 0.2 miles of underground installation of fiber conduit.  The aerial portion will follow existing powerline corridors in federal and county ROWs and PUEs.  New underground construction will occur along Highway 89 in the event an aerial route cannot be found.  Trenching will be performed with a backhoe in an existing PUE.  PST also plans to install one cabinet vault located on a new site also within a PSREC PUE.  Following the installation of underground facilities and cabling, the site will be returned to its original condition.  </w:t>
      </w:r>
    </w:p>
    <w:p w14:paraId="54835C65" w14:textId="77777777" w:rsidR="003E10D7" w:rsidRDefault="003E10D7" w:rsidP="003E10D7">
      <w:pPr>
        <w:pStyle w:val="Default"/>
        <w:rPr>
          <w:rFonts w:ascii="Palatino Linotype" w:hAnsi="Palatino Linotype"/>
        </w:rPr>
      </w:pPr>
    </w:p>
    <w:p w14:paraId="4E7C7EC9" w14:textId="783D1CCF" w:rsidR="003E10D7" w:rsidRDefault="003E10D7" w:rsidP="003E10D7">
      <w:pPr>
        <w:pStyle w:val="Default"/>
        <w:rPr>
          <w:rFonts w:ascii="Palatino Linotype" w:hAnsi="Palatino Linotype"/>
        </w:rPr>
      </w:pPr>
      <w:r>
        <w:rPr>
          <w:rFonts w:ascii="Palatino Linotype" w:hAnsi="Palatino Linotype"/>
        </w:rPr>
        <w:t xml:space="preserve">Based on the above information, Energy Division has confirmed that the project is categorically exempt from CEQA review.  This project meets the criteria of the CEQA categorical exemptions for CEQA </w:t>
      </w:r>
      <w:r w:rsidRPr="00256AA3">
        <w:rPr>
          <w:rFonts w:ascii="Palatino Linotype" w:hAnsi="Palatino Linotype"/>
        </w:rPr>
        <w:t>Guidelines</w:t>
      </w:r>
      <w:r>
        <w:rPr>
          <w:rFonts w:ascii="Palatino Linotype" w:hAnsi="Palatino Linotype"/>
        </w:rPr>
        <w:t>, 14 C.C.R.</w:t>
      </w:r>
      <w:r w:rsidRPr="00256AA3">
        <w:rPr>
          <w:rFonts w:ascii="Palatino Linotype" w:hAnsi="Palatino Linotype"/>
        </w:rPr>
        <w:t xml:space="preserve"> § 15301 (Existing Facilities)</w:t>
      </w:r>
      <w:r>
        <w:rPr>
          <w:rFonts w:ascii="Palatino Linotype" w:hAnsi="Palatino Linotype"/>
        </w:rPr>
        <w:t xml:space="preserve"> and </w:t>
      </w:r>
      <w:r w:rsidRPr="00256AA3">
        <w:rPr>
          <w:rFonts w:ascii="Palatino Linotype" w:hAnsi="Palatino Linotype"/>
        </w:rPr>
        <w:t>§ 1530</w:t>
      </w:r>
      <w:r>
        <w:rPr>
          <w:rFonts w:ascii="Palatino Linotype" w:hAnsi="Palatino Linotype"/>
        </w:rPr>
        <w:t>4 (Minor Alterations to Land)</w:t>
      </w:r>
      <w:r w:rsidRPr="00256AA3">
        <w:rPr>
          <w:rFonts w:ascii="Palatino Linotype" w:hAnsi="Palatino Linotype"/>
        </w:rPr>
        <w:t xml:space="preserve">.  Thus, the entirety of the </w:t>
      </w:r>
      <w:r>
        <w:rPr>
          <w:rFonts w:ascii="Palatino Linotype" w:hAnsi="Palatino Linotype"/>
        </w:rPr>
        <w:t>Keddie Pr</w:t>
      </w:r>
      <w:r w:rsidRPr="00256AA3">
        <w:rPr>
          <w:rFonts w:ascii="Palatino Linotype" w:hAnsi="Palatino Linotype"/>
        </w:rPr>
        <w:t>oject is categorically exempt from CEQA review.</w:t>
      </w:r>
    </w:p>
    <w:p w14:paraId="5B873A77" w14:textId="77777777" w:rsidR="00DC5801" w:rsidRDefault="00DC5801" w:rsidP="003E10D7">
      <w:pPr>
        <w:pStyle w:val="Default"/>
        <w:rPr>
          <w:rFonts w:ascii="Palatino Linotype" w:hAnsi="Palatino Linotype"/>
        </w:rPr>
      </w:pPr>
    </w:p>
    <w:p w14:paraId="08888403" w14:textId="77777777" w:rsidR="00DC5801" w:rsidRDefault="00DC5801" w:rsidP="00DC5801">
      <w:pPr>
        <w:rPr>
          <w:rFonts w:ascii="Palatino Linotype" w:hAnsi="Palatino Linotype"/>
          <w:sz w:val="24"/>
          <w:szCs w:val="24"/>
        </w:rPr>
      </w:pPr>
      <w:r w:rsidRPr="00756621">
        <w:rPr>
          <w:rFonts w:ascii="Palatino Linotype" w:hAnsi="Palatino Linotype"/>
          <w:b/>
          <w:bCs/>
          <w:sz w:val="24"/>
          <w:szCs w:val="24"/>
        </w:rPr>
        <w:t xml:space="preserve">PST’s </w:t>
      </w:r>
      <w:r>
        <w:rPr>
          <w:rFonts w:ascii="Palatino Linotype" w:hAnsi="Palatino Linotype"/>
          <w:b/>
          <w:bCs/>
          <w:sz w:val="24"/>
          <w:szCs w:val="24"/>
        </w:rPr>
        <w:t xml:space="preserve">broadband </w:t>
      </w:r>
      <w:r w:rsidRPr="00756621">
        <w:rPr>
          <w:rFonts w:ascii="Palatino Linotype" w:hAnsi="Palatino Linotype"/>
          <w:b/>
          <w:bCs/>
          <w:sz w:val="24"/>
          <w:szCs w:val="24"/>
        </w:rPr>
        <w:t>service offering meets CASF minimum performance criteria.</w:t>
      </w:r>
      <w:r>
        <w:rPr>
          <w:rFonts w:ascii="Palatino Linotype" w:hAnsi="Palatino Linotype"/>
          <w:sz w:val="24"/>
          <w:szCs w:val="24"/>
        </w:rPr>
        <w:t xml:space="preserve">  PST commits to a broadband pricing plan, as summarized in Table 3, for</w:t>
      </w:r>
      <w:r w:rsidRPr="00CC02A9">
        <w:rPr>
          <w:rFonts w:ascii="Palatino Linotype" w:hAnsi="Palatino Linotype"/>
          <w:sz w:val="24"/>
          <w:szCs w:val="24"/>
        </w:rPr>
        <w:t xml:space="preserve"> two years</w:t>
      </w:r>
      <w:r>
        <w:rPr>
          <w:rFonts w:ascii="Palatino Linotype" w:hAnsi="Palatino Linotype"/>
          <w:sz w:val="24"/>
          <w:szCs w:val="24"/>
        </w:rPr>
        <w:t>,</w:t>
      </w:r>
      <w:r w:rsidRPr="00CC02A9">
        <w:rPr>
          <w:rFonts w:ascii="Palatino Linotype" w:hAnsi="Palatino Linotype"/>
          <w:sz w:val="24"/>
          <w:szCs w:val="24"/>
        </w:rPr>
        <w:t xml:space="preserve"> starting from the beginning date of service.  </w:t>
      </w:r>
      <w:r>
        <w:rPr>
          <w:rFonts w:ascii="Palatino Linotype" w:hAnsi="Palatino Linotype"/>
          <w:sz w:val="24"/>
          <w:szCs w:val="24"/>
        </w:rPr>
        <w:t>Activation and installation fees will be waived for this project, in line with CASF requirements.  PST’s equipment</w:t>
      </w:r>
      <w:r w:rsidRPr="00CC02A9">
        <w:rPr>
          <w:rFonts w:ascii="Palatino Linotype" w:hAnsi="Palatino Linotype"/>
          <w:sz w:val="24"/>
          <w:szCs w:val="24"/>
        </w:rPr>
        <w:t xml:space="preserve"> fee </w:t>
      </w:r>
      <w:r>
        <w:rPr>
          <w:rFonts w:ascii="Palatino Linotype" w:hAnsi="Palatino Linotype"/>
          <w:sz w:val="24"/>
          <w:szCs w:val="24"/>
        </w:rPr>
        <w:t xml:space="preserve">will be waived for the first two years and will cost $99 per year thereafter.  </w:t>
      </w:r>
    </w:p>
    <w:p w14:paraId="1D8DF60B" w14:textId="6A24B958" w:rsidR="000C229C" w:rsidRDefault="000C229C" w:rsidP="007E28BC">
      <w:pPr>
        <w:rPr>
          <w:rFonts w:ascii="Palatino Linotype" w:hAnsi="Palatino Linotype"/>
          <w:sz w:val="24"/>
          <w:szCs w:val="24"/>
        </w:rPr>
      </w:pPr>
    </w:p>
    <w:p w14:paraId="4D444725" w14:textId="5960934C" w:rsidR="000C229C" w:rsidRDefault="000C229C" w:rsidP="000C229C">
      <w:pPr>
        <w:pStyle w:val="Caption"/>
        <w:keepNext/>
        <w:spacing w:after="120"/>
        <w:jc w:val="center"/>
        <w:rPr>
          <w:rFonts w:ascii="Palatino Linotype" w:hAnsi="Palatino Linotype"/>
          <w:b/>
          <w:bCs/>
          <w:i w:val="0"/>
          <w:iCs w:val="0"/>
          <w:color w:val="auto"/>
          <w:sz w:val="24"/>
          <w:szCs w:val="24"/>
        </w:rPr>
      </w:pPr>
      <w:r w:rsidRPr="00352E7F">
        <w:rPr>
          <w:rFonts w:ascii="Palatino Linotype" w:hAnsi="Palatino Linotype"/>
          <w:b/>
          <w:bCs/>
          <w:i w:val="0"/>
          <w:iCs w:val="0"/>
          <w:color w:val="auto"/>
          <w:sz w:val="24"/>
          <w:szCs w:val="24"/>
        </w:rPr>
        <w:t xml:space="preserve">Table </w:t>
      </w:r>
      <w:r w:rsidR="007A1C75">
        <w:rPr>
          <w:rFonts w:ascii="Palatino Linotype" w:hAnsi="Palatino Linotype"/>
          <w:b/>
          <w:bCs/>
          <w:i w:val="0"/>
          <w:iCs w:val="0"/>
          <w:color w:val="auto"/>
          <w:sz w:val="24"/>
          <w:szCs w:val="24"/>
        </w:rPr>
        <w:t>3</w:t>
      </w:r>
      <w:r w:rsidRPr="00352E7F">
        <w:rPr>
          <w:rFonts w:ascii="Palatino Linotype" w:hAnsi="Palatino Linotype"/>
          <w:b/>
          <w:bCs/>
          <w:i w:val="0"/>
          <w:iCs w:val="0"/>
          <w:color w:val="auto"/>
          <w:sz w:val="24"/>
          <w:szCs w:val="24"/>
        </w:rPr>
        <w:t xml:space="preserve">: </w:t>
      </w:r>
      <w:r>
        <w:rPr>
          <w:rFonts w:ascii="Palatino Linotype" w:hAnsi="Palatino Linotype"/>
          <w:b/>
          <w:bCs/>
          <w:i w:val="0"/>
          <w:iCs w:val="0"/>
          <w:color w:val="auto"/>
          <w:sz w:val="24"/>
          <w:szCs w:val="24"/>
        </w:rPr>
        <w:t xml:space="preserve"> </w:t>
      </w:r>
      <w:r w:rsidRPr="00352E7F">
        <w:rPr>
          <w:rFonts w:ascii="Palatino Linotype" w:hAnsi="Palatino Linotype"/>
          <w:b/>
          <w:bCs/>
          <w:i w:val="0"/>
          <w:iCs w:val="0"/>
          <w:color w:val="auto"/>
          <w:sz w:val="24"/>
          <w:szCs w:val="24"/>
        </w:rPr>
        <w:t>Broadband Pricing</w:t>
      </w:r>
      <w:r>
        <w:rPr>
          <w:rFonts w:ascii="Palatino Linotype" w:hAnsi="Palatino Linotype"/>
          <w:b/>
          <w:bCs/>
          <w:i w:val="0"/>
          <w:iCs w:val="0"/>
          <w:color w:val="auto"/>
          <w:sz w:val="24"/>
          <w:szCs w:val="24"/>
        </w:rPr>
        <w:t xml:space="preserve"> Plan</w:t>
      </w:r>
    </w:p>
    <w:tbl>
      <w:tblPr>
        <w:tblStyle w:val="TableGrid"/>
        <w:tblW w:w="0" w:type="auto"/>
        <w:jc w:val="center"/>
        <w:tblLook w:val="04A0" w:firstRow="1" w:lastRow="0" w:firstColumn="1" w:lastColumn="0" w:noHBand="0" w:noVBand="1"/>
      </w:tblPr>
      <w:tblGrid>
        <w:gridCol w:w="2159"/>
        <w:gridCol w:w="2338"/>
        <w:gridCol w:w="2338"/>
      </w:tblGrid>
      <w:tr w:rsidR="000C229C" w:rsidRPr="00352E7F" w14:paraId="215F06ED" w14:textId="77777777" w:rsidTr="00974EC6">
        <w:trPr>
          <w:jc w:val="center"/>
        </w:trPr>
        <w:tc>
          <w:tcPr>
            <w:tcW w:w="21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F6A2E08" w14:textId="77777777" w:rsidR="000C229C" w:rsidRPr="000C229C" w:rsidRDefault="000C229C" w:rsidP="00974EC6">
            <w:pPr>
              <w:jc w:val="center"/>
              <w:rPr>
                <w:rFonts w:ascii="Palatino Linotype" w:hAnsi="Palatino Linotype"/>
                <w:b/>
                <w:color w:val="000000"/>
                <w:sz w:val="24"/>
                <w:szCs w:val="24"/>
              </w:rPr>
            </w:pPr>
            <w:bookmarkStart w:id="3" w:name="_Hlk16606925"/>
            <w:r w:rsidRPr="000C229C">
              <w:rPr>
                <w:rFonts w:ascii="Palatino Linotype" w:hAnsi="Palatino Linotype"/>
                <w:b/>
                <w:color w:val="000000"/>
                <w:sz w:val="24"/>
                <w:szCs w:val="24"/>
              </w:rPr>
              <w:t>Download Speed</w:t>
            </w:r>
          </w:p>
        </w:tc>
        <w:tc>
          <w:tcPr>
            <w:tcW w:w="233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774CFB5" w14:textId="77777777" w:rsidR="000C229C" w:rsidRPr="000C229C" w:rsidRDefault="000C229C" w:rsidP="00974EC6">
            <w:pPr>
              <w:jc w:val="center"/>
              <w:rPr>
                <w:rFonts w:ascii="Palatino Linotype" w:hAnsi="Palatino Linotype"/>
                <w:b/>
                <w:color w:val="000000"/>
                <w:sz w:val="24"/>
                <w:szCs w:val="24"/>
              </w:rPr>
            </w:pPr>
            <w:r w:rsidRPr="000C229C">
              <w:rPr>
                <w:rFonts w:ascii="Palatino Linotype" w:hAnsi="Palatino Linotype"/>
                <w:b/>
                <w:color w:val="000000"/>
                <w:sz w:val="24"/>
                <w:szCs w:val="24"/>
              </w:rPr>
              <w:t>Upload Speed</w:t>
            </w:r>
          </w:p>
        </w:tc>
        <w:tc>
          <w:tcPr>
            <w:tcW w:w="233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75134B0" w14:textId="77777777" w:rsidR="000C229C" w:rsidRPr="000C229C" w:rsidRDefault="000C229C" w:rsidP="00974EC6">
            <w:pPr>
              <w:jc w:val="center"/>
              <w:rPr>
                <w:rFonts w:ascii="Palatino Linotype" w:hAnsi="Palatino Linotype"/>
                <w:b/>
                <w:color w:val="000000"/>
                <w:sz w:val="24"/>
                <w:szCs w:val="24"/>
              </w:rPr>
            </w:pPr>
            <w:r w:rsidRPr="000C229C">
              <w:rPr>
                <w:rFonts w:ascii="Palatino Linotype" w:hAnsi="Palatino Linotype"/>
                <w:b/>
                <w:color w:val="000000"/>
                <w:sz w:val="24"/>
                <w:szCs w:val="24"/>
              </w:rPr>
              <w:t>Monthly Price</w:t>
            </w:r>
          </w:p>
        </w:tc>
      </w:tr>
      <w:tr w:rsidR="000C229C" w:rsidRPr="00352E7F" w14:paraId="02B617B3" w14:textId="77777777" w:rsidTr="00974EC6">
        <w:trPr>
          <w:jc w:val="center"/>
        </w:trPr>
        <w:tc>
          <w:tcPr>
            <w:tcW w:w="2159" w:type="dxa"/>
            <w:tcBorders>
              <w:top w:val="single" w:sz="4" w:space="0" w:color="auto"/>
              <w:left w:val="single" w:sz="4" w:space="0" w:color="auto"/>
              <w:bottom w:val="single" w:sz="4" w:space="0" w:color="auto"/>
              <w:right w:val="single" w:sz="4" w:space="0" w:color="auto"/>
            </w:tcBorders>
            <w:hideMark/>
          </w:tcPr>
          <w:p w14:paraId="55997469" w14:textId="4C815B37" w:rsidR="000C229C" w:rsidRPr="000C229C" w:rsidRDefault="000C229C" w:rsidP="000C229C">
            <w:pPr>
              <w:jc w:val="center"/>
              <w:rPr>
                <w:rFonts w:ascii="Palatino Linotype" w:hAnsi="Palatino Linotype"/>
                <w:color w:val="000000"/>
                <w:sz w:val="24"/>
                <w:szCs w:val="24"/>
              </w:rPr>
            </w:pPr>
            <w:r w:rsidRPr="000C229C">
              <w:rPr>
                <w:rFonts w:ascii="Palatino Linotype" w:hAnsi="Palatino Linotype"/>
                <w:color w:val="000000"/>
                <w:sz w:val="24"/>
                <w:szCs w:val="24"/>
              </w:rPr>
              <w:t>10 Mbps</w:t>
            </w:r>
          </w:p>
        </w:tc>
        <w:tc>
          <w:tcPr>
            <w:tcW w:w="2338" w:type="dxa"/>
            <w:tcBorders>
              <w:top w:val="single" w:sz="4" w:space="0" w:color="auto"/>
              <w:left w:val="single" w:sz="4" w:space="0" w:color="auto"/>
              <w:bottom w:val="single" w:sz="4" w:space="0" w:color="auto"/>
              <w:right w:val="single" w:sz="4" w:space="0" w:color="auto"/>
            </w:tcBorders>
            <w:hideMark/>
          </w:tcPr>
          <w:p w14:paraId="7B13B077" w14:textId="0BFBE113" w:rsidR="000C229C" w:rsidRPr="000C229C" w:rsidRDefault="000C229C" w:rsidP="000C229C">
            <w:pPr>
              <w:jc w:val="center"/>
              <w:rPr>
                <w:rFonts w:ascii="Palatino Linotype" w:hAnsi="Palatino Linotype"/>
                <w:color w:val="000000"/>
                <w:sz w:val="24"/>
                <w:szCs w:val="24"/>
              </w:rPr>
            </w:pPr>
            <w:r w:rsidRPr="000C229C">
              <w:rPr>
                <w:rFonts w:ascii="Palatino Linotype" w:hAnsi="Palatino Linotype"/>
                <w:color w:val="000000"/>
                <w:sz w:val="24"/>
                <w:szCs w:val="24"/>
              </w:rPr>
              <w:t>1 Mbps</w:t>
            </w:r>
          </w:p>
        </w:tc>
        <w:tc>
          <w:tcPr>
            <w:tcW w:w="2338" w:type="dxa"/>
            <w:tcBorders>
              <w:top w:val="single" w:sz="4" w:space="0" w:color="auto"/>
              <w:left w:val="single" w:sz="4" w:space="0" w:color="auto"/>
              <w:bottom w:val="single" w:sz="4" w:space="0" w:color="auto"/>
              <w:right w:val="single" w:sz="4" w:space="0" w:color="auto"/>
            </w:tcBorders>
            <w:hideMark/>
          </w:tcPr>
          <w:p w14:paraId="3D65BAA5" w14:textId="7B448197" w:rsidR="000C229C" w:rsidRPr="000C229C" w:rsidRDefault="000C229C" w:rsidP="000C229C">
            <w:pPr>
              <w:jc w:val="center"/>
              <w:rPr>
                <w:rFonts w:ascii="Palatino Linotype" w:hAnsi="Palatino Linotype"/>
                <w:color w:val="000000"/>
                <w:sz w:val="24"/>
                <w:szCs w:val="24"/>
              </w:rPr>
            </w:pPr>
            <w:r w:rsidRPr="000C229C">
              <w:rPr>
                <w:rFonts w:ascii="Palatino Linotype" w:hAnsi="Palatino Linotype"/>
                <w:color w:val="000000"/>
                <w:sz w:val="24"/>
                <w:szCs w:val="24"/>
              </w:rPr>
              <w:t>$55.00</w:t>
            </w:r>
          </w:p>
        </w:tc>
      </w:tr>
      <w:tr w:rsidR="000C229C" w:rsidRPr="00352E7F" w14:paraId="2290EDE8" w14:textId="77777777" w:rsidTr="00974EC6">
        <w:trPr>
          <w:jc w:val="center"/>
        </w:trPr>
        <w:tc>
          <w:tcPr>
            <w:tcW w:w="2159" w:type="dxa"/>
            <w:tcBorders>
              <w:top w:val="single" w:sz="4" w:space="0" w:color="auto"/>
              <w:left w:val="single" w:sz="4" w:space="0" w:color="auto"/>
              <w:bottom w:val="single" w:sz="4" w:space="0" w:color="auto"/>
              <w:right w:val="single" w:sz="4" w:space="0" w:color="auto"/>
            </w:tcBorders>
            <w:hideMark/>
          </w:tcPr>
          <w:p w14:paraId="1EB7D3A5" w14:textId="58635FDC" w:rsidR="000C229C" w:rsidRPr="000C229C" w:rsidRDefault="000C229C" w:rsidP="000C229C">
            <w:pPr>
              <w:jc w:val="center"/>
              <w:rPr>
                <w:rFonts w:ascii="Palatino Linotype" w:hAnsi="Palatino Linotype"/>
                <w:color w:val="000000"/>
                <w:sz w:val="24"/>
                <w:szCs w:val="24"/>
              </w:rPr>
            </w:pPr>
            <w:r w:rsidRPr="000C229C">
              <w:rPr>
                <w:rFonts w:ascii="Palatino Linotype" w:hAnsi="Palatino Linotype"/>
                <w:color w:val="000000"/>
                <w:sz w:val="24"/>
                <w:szCs w:val="24"/>
              </w:rPr>
              <w:t>15 Mbps</w:t>
            </w:r>
          </w:p>
        </w:tc>
        <w:tc>
          <w:tcPr>
            <w:tcW w:w="2338" w:type="dxa"/>
            <w:tcBorders>
              <w:top w:val="single" w:sz="4" w:space="0" w:color="auto"/>
              <w:left w:val="single" w:sz="4" w:space="0" w:color="auto"/>
              <w:bottom w:val="single" w:sz="4" w:space="0" w:color="auto"/>
              <w:right w:val="single" w:sz="4" w:space="0" w:color="auto"/>
            </w:tcBorders>
            <w:hideMark/>
          </w:tcPr>
          <w:p w14:paraId="0D3F1B77" w14:textId="6AFDBA05" w:rsidR="000C229C" w:rsidRPr="000C229C" w:rsidRDefault="000C229C" w:rsidP="000C229C">
            <w:pPr>
              <w:jc w:val="center"/>
              <w:rPr>
                <w:rFonts w:ascii="Palatino Linotype" w:hAnsi="Palatino Linotype"/>
                <w:color w:val="000000"/>
                <w:sz w:val="24"/>
                <w:szCs w:val="24"/>
              </w:rPr>
            </w:pPr>
            <w:r w:rsidRPr="000C229C">
              <w:rPr>
                <w:rFonts w:ascii="Palatino Linotype" w:hAnsi="Palatino Linotype"/>
                <w:color w:val="000000"/>
                <w:sz w:val="24"/>
                <w:szCs w:val="24"/>
              </w:rPr>
              <w:t>5 Mbps</w:t>
            </w:r>
          </w:p>
        </w:tc>
        <w:tc>
          <w:tcPr>
            <w:tcW w:w="2338" w:type="dxa"/>
            <w:tcBorders>
              <w:top w:val="single" w:sz="4" w:space="0" w:color="auto"/>
              <w:left w:val="single" w:sz="4" w:space="0" w:color="auto"/>
              <w:bottom w:val="single" w:sz="4" w:space="0" w:color="auto"/>
              <w:right w:val="single" w:sz="4" w:space="0" w:color="auto"/>
            </w:tcBorders>
            <w:hideMark/>
          </w:tcPr>
          <w:p w14:paraId="490D6964" w14:textId="10803950" w:rsidR="000C229C" w:rsidRPr="000C229C" w:rsidRDefault="000C229C" w:rsidP="000C229C">
            <w:pPr>
              <w:jc w:val="center"/>
              <w:rPr>
                <w:rFonts w:ascii="Palatino Linotype" w:hAnsi="Palatino Linotype"/>
                <w:color w:val="000000"/>
                <w:sz w:val="24"/>
                <w:szCs w:val="24"/>
              </w:rPr>
            </w:pPr>
            <w:r w:rsidRPr="000C229C">
              <w:rPr>
                <w:rFonts w:ascii="Palatino Linotype" w:hAnsi="Palatino Linotype"/>
                <w:color w:val="000000"/>
                <w:sz w:val="24"/>
                <w:szCs w:val="24"/>
              </w:rPr>
              <w:t>$65.00</w:t>
            </w:r>
          </w:p>
        </w:tc>
      </w:tr>
      <w:tr w:rsidR="000C229C" w:rsidRPr="00352E7F" w14:paraId="1B6AC17F" w14:textId="77777777" w:rsidTr="00974EC6">
        <w:trPr>
          <w:jc w:val="center"/>
        </w:trPr>
        <w:tc>
          <w:tcPr>
            <w:tcW w:w="2159" w:type="dxa"/>
            <w:tcBorders>
              <w:top w:val="single" w:sz="4" w:space="0" w:color="auto"/>
              <w:left w:val="single" w:sz="4" w:space="0" w:color="auto"/>
              <w:bottom w:val="single" w:sz="4" w:space="0" w:color="auto"/>
              <w:right w:val="single" w:sz="4" w:space="0" w:color="auto"/>
            </w:tcBorders>
            <w:hideMark/>
          </w:tcPr>
          <w:p w14:paraId="2D03A92F" w14:textId="424618F4" w:rsidR="000C229C" w:rsidRPr="000C229C" w:rsidRDefault="000C229C" w:rsidP="000C229C">
            <w:pPr>
              <w:jc w:val="center"/>
              <w:rPr>
                <w:rFonts w:ascii="Palatino Linotype" w:hAnsi="Palatino Linotype"/>
                <w:color w:val="000000"/>
                <w:sz w:val="24"/>
                <w:szCs w:val="24"/>
              </w:rPr>
            </w:pPr>
            <w:r w:rsidRPr="000C229C">
              <w:rPr>
                <w:rFonts w:ascii="Palatino Linotype" w:hAnsi="Palatino Linotype"/>
                <w:color w:val="000000"/>
                <w:sz w:val="24"/>
                <w:szCs w:val="24"/>
              </w:rPr>
              <w:t>20 Mbps</w:t>
            </w:r>
          </w:p>
        </w:tc>
        <w:tc>
          <w:tcPr>
            <w:tcW w:w="2338" w:type="dxa"/>
            <w:tcBorders>
              <w:top w:val="single" w:sz="4" w:space="0" w:color="auto"/>
              <w:left w:val="single" w:sz="4" w:space="0" w:color="auto"/>
              <w:bottom w:val="single" w:sz="4" w:space="0" w:color="auto"/>
              <w:right w:val="single" w:sz="4" w:space="0" w:color="auto"/>
            </w:tcBorders>
            <w:hideMark/>
          </w:tcPr>
          <w:p w14:paraId="007E49FE" w14:textId="01284A86" w:rsidR="000C229C" w:rsidRPr="000C229C" w:rsidRDefault="000C229C" w:rsidP="000C229C">
            <w:pPr>
              <w:jc w:val="center"/>
              <w:rPr>
                <w:rFonts w:ascii="Palatino Linotype" w:hAnsi="Palatino Linotype"/>
                <w:color w:val="000000"/>
                <w:sz w:val="24"/>
                <w:szCs w:val="24"/>
              </w:rPr>
            </w:pPr>
            <w:r w:rsidRPr="000C229C">
              <w:rPr>
                <w:rFonts w:ascii="Palatino Linotype" w:hAnsi="Palatino Linotype"/>
                <w:color w:val="000000"/>
                <w:sz w:val="24"/>
                <w:szCs w:val="24"/>
              </w:rPr>
              <w:t>5 Mbps</w:t>
            </w:r>
          </w:p>
        </w:tc>
        <w:tc>
          <w:tcPr>
            <w:tcW w:w="2338" w:type="dxa"/>
            <w:tcBorders>
              <w:top w:val="single" w:sz="4" w:space="0" w:color="auto"/>
              <w:left w:val="single" w:sz="4" w:space="0" w:color="auto"/>
              <w:bottom w:val="single" w:sz="4" w:space="0" w:color="auto"/>
              <w:right w:val="single" w:sz="4" w:space="0" w:color="auto"/>
            </w:tcBorders>
            <w:hideMark/>
          </w:tcPr>
          <w:p w14:paraId="07E9478E" w14:textId="3353D6A9" w:rsidR="000C229C" w:rsidRPr="000C229C" w:rsidRDefault="000C229C" w:rsidP="000C229C">
            <w:pPr>
              <w:jc w:val="center"/>
              <w:rPr>
                <w:rFonts w:ascii="Palatino Linotype" w:hAnsi="Palatino Linotype"/>
                <w:color w:val="000000"/>
                <w:sz w:val="24"/>
                <w:szCs w:val="24"/>
              </w:rPr>
            </w:pPr>
            <w:r w:rsidRPr="000C229C">
              <w:rPr>
                <w:rFonts w:ascii="Palatino Linotype" w:hAnsi="Palatino Linotype"/>
                <w:color w:val="000000"/>
                <w:sz w:val="24"/>
                <w:szCs w:val="24"/>
              </w:rPr>
              <w:t>$75.00</w:t>
            </w:r>
          </w:p>
        </w:tc>
      </w:tr>
      <w:tr w:rsidR="000C229C" w:rsidRPr="00352E7F" w14:paraId="681DC771" w14:textId="77777777" w:rsidTr="00974EC6">
        <w:trPr>
          <w:jc w:val="center"/>
        </w:trPr>
        <w:tc>
          <w:tcPr>
            <w:tcW w:w="2159" w:type="dxa"/>
            <w:tcBorders>
              <w:top w:val="single" w:sz="4" w:space="0" w:color="auto"/>
              <w:left w:val="single" w:sz="4" w:space="0" w:color="auto"/>
              <w:bottom w:val="single" w:sz="4" w:space="0" w:color="auto"/>
              <w:right w:val="single" w:sz="4" w:space="0" w:color="auto"/>
            </w:tcBorders>
            <w:hideMark/>
          </w:tcPr>
          <w:p w14:paraId="698DD8DF" w14:textId="7B0AAEB6" w:rsidR="000C229C" w:rsidRPr="000C229C" w:rsidRDefault="000C229C" w:rsidP="000C229C">
            <w:pPr>
              <w:jc w:val="center"/>
              <w:rPr>
                <w:rFonts w:ascii="Palatino Linotype" w:hAnsi="Palatino Linotype"/>
                <w:color w:val="000000"/>
                <w:sz w:val="24"/>
                <w:szCs w:val="24"/>
              </w:rPr>
            </w:pPr>
            <w:r w:rsidRPr="000C229C">
              <w:rPr>
                <w:rFonts w:ascii="Palatino Linotype" w:hAnsi="Palatino Linotype"/>
                <w:color w:val="000000"/>
                <w:sz w:val="24"/>
                <w:szCs w:val="24"/>
              </w:rPr>
              <w:lastRenderedPageBreak/>
              <w:t>25 Mbps</w:t>
            </w:r>
          </w:p>
        </w:tc>
        <w:tc>
          <w:tcPr>
            <w:tcW w:w="2338" w:type="dxa"/>
            <w:tcBorders>
              <w:top w:val="single" w:sz="4" w:space="0" w:color="auto"/>
              <w:left w:val="single" w:sz="4" w:space="0" w:color="auto"/>
              <w:bottom w:val="single" w:sz="4" w:space="0" w:color="auto"/>
              <w:right w:val="single" w:sz="4" w:space="0" w:color="auto"/>
            </w:tcBorders>
            <w:hideMark/>
          </w:tcPr>
          <w:p w14:paraId="01C5E042" w14:textId="44D8A1E9" w:rsidR="000C229C" w:rsidRPr="000C229C" w:rsidRDefault="000C229C" w:rsidP="000C229C">
            <w:pPr>
              <w:jc w:val="center"/>
              <w:rPr>
                <w:rFonts w:ascii="Palatino Linotype" w:hAnsi="Palatino Linotype"/>
                <w:color w:val="000000"/>
                <w:sz w:val="24"/>
                <w:szCs w:val="24"/>
              </w:rPr>
            </w:pPr>
            <w:r w:rsidRPr="000C229C">
              <w:rPr>
                <w:rFonts w:ascii="Palatino Linotype" w:hAnsi="Palatino Linotype"/>
                <w:color w:val="000000"/>
                <w:sz w:val="24"/>
                <w:szCs w:val="24"/>
              </w:rPr>
              <w:t>10 Mbps</w:t>
            </w:r>
          </w:p>
        </w:tc>
        <w:tc>
          <w:tcPr>
            <w:tcW w:w="2338" w:type="dxa"/>
            <w:tcBorders>
              <w:top w:val="single" w:sz="4" w:space="0" w:color="auto"/>
              <w:left w:val="single" w:sz="4" w:space="0" w:color="auto"/>
              <w:bottom w:val="single" w:sz="4" w:space="0" w:color="auto"/>
              <w:right w:val="single" w:sz="4" w:space="0" w:color="auto"/>
            </w:tcBorders>
            <w:hideMark/>
          </w:tcPr>
          <w:p w14:paraId="1F38FBBA" w14:textId="300ED201" w:rsidR="000C229C" w:rsidRPr="000C229C" w:rsidRDefault="000C229C" w:rsidP="000C229C">
            <w:pPr>
              <w:jc w:val="center"/>
              <w:rPr>
                <w:rFonts w:ascii="Palatino Linotype" w:hAnsi="Palatino Linotype"/>
                <w:color w:val="000000"/>
                <w:sz w:val="24"/>
                <w:szCs w:val="24"/>
              </w:rPr>
            </w:pPr>
            <w:r w:rsidRPr="000C229C">
              <w:rPr>
                <w:rFonts w:ascii="Palatino Linotype" w:hAnsi="Palatino Linotype"/>
                <w:color w:val="000000"/>
                <w:sz w:val="24"/>
                <w:szCs w:val="24"/>
              </w:rPr>
              <w:t>$85.00</w:t>
            </w:r>
          </w:p>
        </w:tc>
      </w:tr>
      <w:tr w:rsidR="000C229C" w:rsidRPr="00352E7F" w14:paraId="52F34F50" w14:textId="77777777" w:rsidTr="00974EC6">
        <w:trPr>
          <w:jc w:val="center"/>
        </w:trPr>
        <w:tc>
          <w:tcPr>
            <w:tcW w:w="2159" w:type="dxa"/>
            <w:tcBorders>
              <w:top w:val="single" w:sz="4" w:space="0" w:color="auto"/>
              <w:left w:val="single" w:sz="4" w:space="0" w:color="auto"/>
              <w:bottom w:val="single" w:sz="4" w:space="0" w:color="auto"/>
              <w:right w:val="single" w:sz="4" w:space="0" w:color="auto"/>
            </w:tcBorders>
            <w:hideMark/>
          </w:tcPr>
          <w:p w14:paraId="597925B9" w14:textId="334A4ECD" w:rsidR="000C229C" w:rsidRPr="000C229C" w:rsidRDefault="000C229C" w:rsidP="000C229C">
            <w:pPr>
              <w:jc w:val="center"/>
              <w:rPr>
                <w:rFonts w:ascii="Palatino Linotype" w:hAnsi="Palatino Linotype"/>
                <w:color w:val="000000"/>
                <w:sz w:val="24"/>
                <w:szCs w:val="24"/>
              </w:rPr>
            </w:pPr>
            <w:r w:rsidRPr="000C229C">
              <w:rPr>
                <w:rFonts w:ascii="Palatino Linotype" w:hAnsi="Palatino Linotype"/>
                <w:color w:val="000000"/>
                <w:sz w:val="24"/>
                <w:szCs w:val="24"/>
              </w:rPr>
              <w:t>50 Mbps</w:t>
            </w:r>
          </w:p>
        </w:tc>
        <w:tc>
          <w:tcPr>
            <w:tcW w:w="2338" w:type="dxa"/>
            <w:tcBorders>
              <w:top w:val="single" w:sz="4" w:space="0" w:color="auto"/>
              <w:left w:val="single" w:sz="4" w:space="0" w:color="auto"/>
              <w:bottom w:val="single" w:sz="4" w:space="0" w:color="auto"/>
              <w:right w:val="single" w:sz="4" w:space="0" w:color="auto"/>
            </w:tcBorders>
            <w:hideMark/>
          </w:tcPr>
          <w:p w14:paraId="17A904B9" w14:textId="44D972FC" w:rsidR="000C229C" w:rsidRPr="000C229C" w:rsidRDefault="000C229C" w:rsidP="000C229C">
            <w:pPr>
              <w:jc w:val="center"/>
              <w:rPr>
                <w:rFonts w:ascii="Palatino Linotype" w:hAnsi="Palatino Linotype"/>
                <w:color w:val="000000"/>
                <w:sz w:val="24"/>
                <w:szCs w:val="24"/>
              </w:rPr>
            </w:pPr>
            <w:r w:rsidRPr="000C229C">
              <w:rPr>
                <w:rFonts w:ascii="Palatino Linotype" w:hAnsi="Palatino Linotype"/>
                <w:color w:val="000000"/>
                <w:sz w:val="24"/>
                <w:szCs w:val="24"/>
              </w:rPr>
              <w:t>10 Mbps</w:t>
            </w:r>
          </w:p>
        </w:tc>
        <w:tc>
          <w:tcPr>
            <w:tcW w:w="2338" w:type="dxa"/>
            <w:tcBorders>
              <w:top w:val="single" w:sz="4" w:space="0" w:color="auto"/>
              <w:left w:val="single" w:sz="4" w:space="0" w:color="auto"/>
              <w:bottom w:val="single" w:sz="4" w:space="0" w:color="auto"/>
              <w:right w:val="single" w:sz="4" w:space="0" w:color="auto"/>
            </w:tcBorders>
            <w:hideMark/>
          </w:tcPr>
          <w:p w14:paraId="4A26F0DE" w14:textId="24F65B0B" w:rsidR="000C229C" w:rsidRPr="000C229C" w:rsidRDefault="000C229C" w:rsidP="000C229C">
            <w:pPr>
              <w:jc w:val="center"/>
              <w:rPr>
                <w:rFonts w:ascii="Palatino Linotype" w:hAnsi="Palatino Linotype"/>
                <w:color w:val="000000"/>
                <w:sz w:val="24"/>
                <w:szCs w:val="24"/>
              </w:rPr>
            </w:pPr>
            <w:r w:rsidRPr="000C229C">
              <w:rPr>
                <w:rFonts w:ascii="Palatino Linotype" w:hAnsi="Palatino Linotype"/>
                <w:color w:val="000000"/>
                <w:sz w:val="24"/>
                <w:szCs w:val="24"/>
              </w:rPr>
              <w:t>$95.00</w:t>
            </w:r>
          </w:p>
        </w:tc>
      </w:tr>
      <w:tr w:rsidR="000C229C" w:rsidRPr="00352E7F" w14:paraId="4C94EECF" w14:textId="77777777" w:rsidTr="00974EC6">
        <w:trPr>
          <w:jc w:val="center"/>
        </w:trPr>
        <w:tc>
          <w:tcPr>
            <w:tcW w:w="2159" w:type="dxa"/>
            <w:tcBorders>
              <w:top w:val="single" w:sz="4" w:space="0" w:color="auto"/>
              <w:left w:val="single" w:sz="4" w:space="0" w:color="auto"/>
              <w:bottom w:val="single" w:sz="4" w:space="0" w:color="auto"/>
              <w:right w:val="single" w:sz="4" w:space="0" w:color="auto"/>
            </w:tcBorders>
            <w:hideMark/>
          </w:tcPr>
          <w:p w14:paraId="5B3681A8" w14:textId="61BC5B5A" w:rsidR="000C229C" w:rsidRPr="000C229C" w:rsidRDefault="000C229C" w:rsidP="000C229C">
            <w:pPr>
              <w:jc w:val="center"/>
              <w:rPr>
                <w:rFonts w:ascii="Palatino Linotype" w:hAnsi="Palatino Linotype"/>
                <w:color w:val="000000"/>
                <w:sz w:val="24"/>
                <w:szCs w:val="24"/>
              </w:rPr>
            </w:pPr>
            <w:r w:rsidRPr="000C229C">
              <w:rPr>
                <w:rFonts w:ascii="Palatino Linotype" w:hAnsi="Palatino Linotype"/>
                <w:color w:val="000000"/>
                <w:sz w:val="24"/>
                <w:szCs w:val="24"/>
              </w:rPr>
              <w:t>100 Mbps</w:t>
            </w:r>
          </w:p>
        </w:tc>
        <w:tc>
          <w:tcPr>
            <w:tcW w:w="2338" w:type="dxa"/>
            <w:tcBorders>
              <w:top w:val="single" w:sz="4" w:space="0" w:color="auto"/>
              <w:left w:val="single" w:sz="4" w:space="0" w:color="auto"/>
              <w:bottom w:val="single" w:sz="4" w:space="0" w:color="auto"/>
              <w:right w:val="single" w:sz="4" w:space="0" w:color="auto"/>
            </w:tcBorders>
            <w:hideMark/>
          </w:tcPr>
          <w:p w14:paraId="551902D1" w14:textId="10FB82BE" w:rsidR="000C229C" w:rsidRPr="000C229C" w:rsidRDefault="000C229C" w:rsidP="000C229C">
            <w:pPr>
              <w:jc w:val="center"/>
              <w:rPr>
                <w:rFonts w:ascii="Palatino Linotype" w:hAnsi="Palatino Linotype"/>
                <w:color w:val="000000"/>
                <w:sz w:val="24"/>
                <w:szCs w:val="24"/>
              </w:rPr>
            </w:pPr>
            <w:r w:rsidRPr="000C229C">
              <w:rPr>
                <w:rFonts w:ascii="Palatino Linotype" w:hAnsi="Palatino Linotype"/>
                <w:color w:val="000000"/>
                <w:sz w:val="24"/>
                <w:szCs w:val="24"/>
              </w:rPr>
              <w:t>20 Mbps</w:t>
            </w:r>
          </w:p>
        </w:tc>
        <w:tc>
          <w:tcPr>
            <w:tcW w:w="2338" w:type="dxa"/>
            <w:tcBorders>
              <w:top w:val="single" w:sz="4" w:space="0" w:color="auto"/>
              <w:left w:val="single" w:sz="4" w:space="0" w:color="auto"/>
              <w:bottom w:val="single" w:sz="4" w:space="0" w:color="auto"/>
              <w:right w:val="single" w:sz="4" w:space="0" w:color="auto"/>
            </w:tcBorders>
            <w:hideMark/>
          </w:tcPr>
          <w:p w14:paraId="3B8DDE46" w14:textId="181E6D87" w:rsidR="000C229C" w:rsidRPr="000C229C" w:rsidRDefault="000C229C" w:rsidP="000C229C">
            <w:pPr>
              <w:jc w:val="center"/>
              <w:rPr>
                <w:rFonts w:ascii="Palatino Linotype" w:hAnsi="Palatino Linotype"/>
                <w:color w:val="000000"/>
                <w:sz w:val="24"/>
                <w:szCs w:val="24"/>
              </w:rPr>
            </w:pPr>
            <w:r w:rsidRPr="000C229C">
              <w:rPr>
                <w:rFonts w:ascii="Palatino Linotype" w:hAnsi="Palatino Linotype"/>
                <w:color w:val="000000"/>
                <w:sz w:val="24"/>
                <w:szCs w:val="24"/>
              </w:rPr>
              <w:t>$109.00</w:t>
            </w:r>
          </w:p>
        </w:tc>
      </w:tr>
      <w:bookmarkEnd w:id="3"/>
    </w:tbl>
    <w:p w14:paraId="5C49C80B" w14:textId="77777777" w:rsidR="003E10D7" w:rsidRDefault="003E10D7" w:rsidP="003C1CC7">
      <w:pPr>
        <w:rPr>
          <w:rFonts w:ascii="Palatino Linotype" w:hAnsi="Palatino Linotype"/>
          <w:sz w:val="24"/>
          <w:szCs w:val="24"/>
        </w:rPr>
      </w:pPr>
    </w:p>
    <w:p w14:paraId="15B5F842" w14:textId="3CB0AD2C" w:rsidR="000C229C" w:rsidRPr="00CC02A9" w:rsidRDefault="000C229C" w:rsidP="003C1CC7">
      <w:pPr>
        <w:rPr>
          <w:rFonts w:ascii="Palatino Linotype" w:hAnsi="Palatino Linotype"/>
          <w:sz w:val="24"/>
          <w:szCs w:val="24"/>
        </w:rPr>
      </w:pPr>
      <w:r>
        <w:rPr>
          <w:rFonts w:ascii="Palatino Linotype" w:hAnsi="Palatino Linotype"/>
          <w:sz w:val="24"/>
          <w:szCs w:val="24"/>
        </w:rPr>
        <w:t>The proposed speed offerings (up to 100 Mbps download and up to 20 Mbps upload) meet the 10/1 minimum performance requirement.</w:t>
      </w:r>
      <w:r w:rsidR="00095F45">
        <w:rPr>
          <w:rFonts w:ascii="Palatino Linotype" w:hAnsi="Palatino Linotype"/>
          <w:sz w:val="24"/>
          <w:szCs w:val="24"/>
        </w:rPr>
        <w:t xml:space="preserve">  </w:t>
      </w:r>
      <w:r w:rsidR="00095F45" w:rsidRPr="0062786B">
        <w:rPr>
          <w:rFonts w:ascii="Palatino Linotype" w:hAnsi="Palatino Linotype"/>
          <w:sz w:val="24"/>
          <w:szCs w:val="24"/>
        </w:rPr>
        <w:t xml:space="preserve">This project </w:t>
      </w:r>
      <w:r w:rsidR="007E1009">
        <w:rPr>
          <w:rFonts w:ascii="Palatino Linotype" w:hAnsi="Palatino Linotype"/>
          <w:sz w:val="24"/>
          <w:szCs w:val="24"/>
        </w:rPr>
        <w:t>is</w:t>
      </w:r>
      <w:r w:rsidR="00095F45" w:rsidRPr="0062786B">
        <w:rPr>
          <w:rFonts w:ascii="Palatino Linotype" w:hAnsi="Palatino Linotype"/>
          <w:sz w:val="24"/>
          <w:szCs w:val="24"/>
        </w:rPr>
        <w:t xml:space="preserve"> capable of providing Internet service with speeds of up to 1 Gbps download and 1 Gbps upload</w:t>
      </w:r>
      <w:r w:rsidR="00DC4446">
        <w:rPr>
          <w:rFonts w:ascii="Palatino Linotype" w:hAnsi="Palatino Linotype"/>
          <w:sz w:val="24"/>
          <w:szCs w:val="24"/>
        </w:rPr>
        <w:t>, which will be available to customers</w:t>
      </w:r>
      <w:r w:rsidR="0016479D">
        <w:rPr>
          <w:rFonts w:ascii="Palatino Linotype" w:hAnsi="Palatino Linotype"/>
          <w:sz w:val="24"/>
          <w:szCs w:val="24"/>
        </w:rPr>
        <w:t>;</w:t>
      </w:r>
      <w:r w:rsidR="00095F45" w:rsidRPr="0062786B">
        <w:rPr>
          <w:rFonts w:ascii="Palatino Linotype" w:hAnsi="Palatino Linotype"/>
          <w:sz w:val="24"/>
          <w:szCs w:val="24"/>
        </w:rPr>
        <w:t xml:space="preserve"> however, the standard service offering is 100 Mbps download and 20 Mbps upload.  PST’s service offering is for broadband access only; no</w:t>
      </w:r>
      <w:r w:rsidR="00747B40">
        <w:rPr>
          <w:rFonts w:ascii="Palatino Linotype" w:hAnsi="Palatino Linotype"/>
          <w:sz w:val="24"/>
          <w:szCs w:val="24"/>
        </w:rPr>
        <w:t>t</w:t>
      </w:r>
      <w:r w:rsidR="00095F45" w:rsidRPr="0062786B">
        <w:rPr>
          <w:rFonts w:ascii="Palatino Linotype" w:hAnsi="Palatino Linotype"/>
          <w:sz w:val="24"/>
          <w:szCs w:val="24"/>
        </w:rPr>
        <w:t xml:space="preserve"> voice </w:t>
      </w:r>
      <w:r w:rsidR="00095F45">
        <w:rPr>
          <w:rFonts w:ascii="Palatino Linotype" w:hAnsi="Palatino Linotype"/>
          <w:sz w:val="24"/>
          <w:szCs w:val="24"/>
        </w:rPr>
        <w:t>services</w:t>
      </w:r>
      <w:r w:rsidR="00747B40">
        <w:rPr>
          <w:rFonts w:ascii="Palatino Linotype" w:hAnsi="Palatino Linotype"/>
          <w:sz w:val="24"/>
          <w:szCs w:val="24"/>
        </w:rPr>
        <w:t>.</w:t>
      </w:r>
      <w:r w:rsidR="00095F45">
        <w:rPr>
          <w:rFonts w:ascii="Palatino Linotype" w:hAnsi="Palatino Linotype"/>
          <w:sz w:val="24"/>
          <w:szCs w:val="24"/>
        </w:rPr>
        <w:t xml:space="preserve">  </w:t>
      </w:r>
      <w:r w:rsidR="00095F45" w:rsidRPr="00DC4446">
        <w:rPr>
          <w:rFonts w:ascii="Palatino Linotype" w:hAnsi="Palatino Linotype"/>
          <w:sz w:val="24"/>
          <w:szCs w:val="24"/>
        </w:rPr>
        <w:t xml:space="preserve">The </w:t>
      </w:r>
      <w:r w:rsidR="00747B40" w:rsidRPr="00DC4446">
        <w:rPr>
          <w:rFonts w:ascii="Palatino Linotype" w:hAnsi="Palatino Linotype"/>
          <w:sz w:val="24"/>
          <w:szCs w:val="24"/>
        </w:rPr>
        <w:t xml:space="preserve">broadband </w:t>
      </w:r>
      <w:r w:rsidR="00095F45" w:rsidRPr="00DC4446">
        <w:rPr>
          <w:rFonts w:ascii="Palatino Linotype" w:hAnsi="Palatino Linotype"/>
          <w:sz w:val="24"/>
          <w:szCs w:val="24"/>
        </w:rPr>
        <w:t xml:space="preserve">service will be available to the </w:t>
      </w:r>
      <w:r w:rsidR="00747B40" w:rsidRPr="00DC4446">
        <w:rPr>
          <w:rFonts w:ascii="Palatino Linotype" w:hAnsi="Palatino Linotype"/>
          <w:sz w:val="24"/>
          <w:szCs w:val="24"/>
        </w:rPr>
        <w:t>public</w:t>
      </w:r>
      <w:r w:rsidR="00095F45" w:rsidRPr="00DC4446">
        <w:rPr>
          <w:rFonts w:ascii="Palatino Linotype" w:hAnsi="Palatino Linotype"/>
          <w:sz w:val="24"/>
          <w:szCs w:val="24"/>
        </w:rPr>
        <w:t>, as well as anchor institutions and small businesses, such as the Oakland Feather River Camp.</w:t>
      </w:r>
    </w:p>
    <w:p w14:paraId="26A6ADFB" w14:textId="684BD6E4" w:rsidR="00974EC6" w:rsidRDefault="00974EC6" w:rsidP="00974EC6">
      <w:pPr>
        <w:pStyle w:val="Default"/>
        <w:rPr>
          <w:rFonts w:ascii="Palatino Linotype" w:hAnsi="Palatino Linotype"/>
          <w:color w:val="auto"/>
          <w:highlight w:val="yellow"/>
        </w:rPr>
      </w:pPr>
    </w:p>
    <w:p w14:paraId="2D736756" w14:textId="3ABE9FC3" w:rsidR="00974EC6" w:rsidRPr="00974EC6" w:rsidRDefault="00974EC6" w:rsidP="00974EC6">
      <w:pPr>
        <w:pStyle w:val="Heading2"/>
        <w:numPr>
          <w:ilvl w:val="6"/>
          <w:numId w:val="20"/>
        </w:numPr>
        <w:ind w:left="993" w:hanging="446"/>
        <w:rPr>
          <w:rFonts w:ascii="Palatino Linotype" w:hAnsi="Palatino Linotype"/>
          <w:szCs w:val="24"/>
          <w:u w:val="single"/>
        </w:rPr>
      </w:pPr>
      <w:r w:rsidRPr="00974EC6">
        <w:rPr>
          <w:rFonts w:ascii="Palatino Linotype" w:hAnsi="Palatino Linotype"/>
          <w:szCs w:val="24"/>
          <w:u w:val="single"/>
        </w:rPr>
        <w:t>Funding Determination</w:t>
      </w:r>
    </w:p>
    <w:p w14:paraId="6BCC5FF2" w14:textId="540D4486" w:rsidR="00974EC6" w:rsidRPr="00974EC6" w:rsidRDefault="00C678BD" w:rsidP="003C1CC7">
      <w:pPr>
        <w:autoSpaceDE w:val="0"/>
        <w:autoSpaceDN w:val="0"/>
        <w:adjustRightInd w:val="0"/>
        <w:rPr>
          <w:rFonts w:ascii="Palatino Linotype" w:hAnsi="Palatino Linotype"/>
          <w:sz w:val="24"/>
          <w:szCs w:val="24"/>
        </w:rPr>
      </w:pPr>
      <w:r>
        <w:rPr>
          <w:rFonts w:ascii="Palatino Linotype" w:hAnsi="Palatino Linotype"/>
          <w:sz w:val="24"/>
          <w:szCs w:val="24"/>
        </w:rPr>
        <w:t xml:space="preserve">Table 4 is a comparison of PST’s funding request and Staff’s funding recommendation.  </w:t>
      </w:r>
    </w:p>
    <w:p w14:paraId="1A89BFC7" w14:textId="77777777" w:rsidR="00974EC6" w:rsidRPr="00974EC6" w:rsidRDefault="00974EC6" w:rsidP="00974EC6">
      <w:pPr>
        <w:autoSpaceDE w:val="0"/>
        <w:autoSpaceDN w:val="0"/>
        <w:adjustRightInd w:val="0"/>
        <w:rPr>
          <w:rFonts w:ascii="Palatino Linotype" w:hAnsi="Palatino Linotype"/>
          <w:sz w:val="24"/>
          <w:szCs w:val="24"/>
        </w:rPr>
      </w:pPr>
    </w:p>
    <w:p w14:paraId="318EE852" w14:textId="623848C9" w:rsidR="00974EC6" w:rsidRPr="00974EC6" w:rsidRDefault="00974EC6" w:rsidP="00974EC6">
      <w:pPr>
        <w:spacing w:after="120"/>
        <w:jc w:val="center"/>
        <w:rPr>
          <w:rFonts w:ascii="Palatino Linotype" w:hAnsi="Palatino Linotype"/>
          <w:b/>
          <w:bCs/>
          <w:sz w:val="24"/>
          <w:szCs w:val="24"/>
        </w:rPr>
      </w:pPr>
      <w:r w:rsidRPr="00974EC6">
        <w:rPr>
          <w:rFonts w:ascii="Palatino Linotype" w:hAnsi="Palatino Linotype"/>
          <w:b/>
          <w:bCs/>
          <w:sz w:val="24"/>
          <w:szCs w:val="24"/>
        </w:rPr>
        <w:t xml:space="preserve">Table </w:t>
      </w:r>
      <w:r w:rsidR="007A1C75">
        <w:rPr>
          <w:rFonts w:ascii="Palatino Linotype" w:hAnsi="Palatino Linotype"/>
          <w:b/>
          <w:bCs/>
          <w:sz w:val="24"/>
          <w:szCs w:val="24"/>
        </w:rPr>
        <w:t>4</w:t>
      </w:r>
      <w:r w:rsidRPr="00974EC6">
        <w:rPr>
          <w:rFonts w:ascii="Palatino Linotype" w:hAnsi="Palatino Linotype"/>
          <w:b/>
          <w:bCs/>
          <w:sz w:val="24"/>
          <w:szCs w:val="24"/>
        </w:rPr>
        <w:t xml:space="preserve">: </w:t>
      </w:r>
      <w:r w:rsidR="006709C6">
        <w:rPr>
          <w:rFonts w:ascii="Palatino Linotype" w:hAnsi="Palatino Linotype"/>
          <w:b/>
          <w:bCs/>
          <w:sz w:val="24"/>
          <w:szCs w:val="24"/>
        </w:rPr>
        <w:t xml:space="preserve"> </w:t>
      </w:r>
      <w:r w:rsidRPr="00974EC6">
        <w:rPr>
          <w:rFonts w:ascii="Palatino Linotype" w:hAnsi="Palatino Linotype"/>
          <w:b/>
          <w:bCs/>
          <w:sz w:val="24"/>
          <w:szCs w:val="24"/>
        </w:rPr>
        <w:t xml:space="preserve">Summary of </w:t>
      </w:r>
      <w:r>
        <w:rPr>
          <w:rFonts w:ascii="Palatino Linotype" w:hAnsi="Palatino Linotype"/>
          <w:b/>
          <w:bCs/>
          <w:sz w:val="24"/>
          <w:szCs w:val="24"/>
        </w:rPr>
        <w:t>PST’s</w:t>
      </w:r>
      <w:r w:rsidRPr="00974EC6">
        <w:rPr>
          <w:rFonts w:ascii="Palatino Linotype" w:hAnsi="Palatino Linotype"/>
          <w:b/>
          <w:bCs/>
          <w:sz w:val="24"/>
          <w:szCs w:val="24"/>
        </w:rPr>
        <w:t xml:space="preserve"> Funding</w:t>
      </w:r>
    </w:p>
    <w:tbl>
      <w:tblPr>
        <w:tblStyle w:val="TableGrid"/>
        <w:tblW w:w="0" w:type="auto"/>
        <w:jc w:val="center"/>
        <w:tblLook w:val="04A0" w:firstRow="1" w:lastRow="0" w:firstColumn="1" w:lastColumn="0" w:noHBand="0" w:noVBand="1"/>
      </w:tblPr>
      <w:tblGrid>
        <w:gridCol w:w="3685"/>
        <w:gridCol w:w="2160"/>
        <w:gridCol w:w="1530"/>
        <w:gridCol w:w="1422"/>
      </w:tblGrid>
      <w:tr w:rsidR="00974EC6" w:rsidRPr="00974EC6" w14:paraId="27C7326E" w14:textId="77777777" w:rsidTr="007E1009">
        <w:trPr>
          <w:jc w:val="center"/>
        </w:trPr>
        <w:tc>
          <w:tcPr>
            <w:tcW w:w="3685" w:type="dxa"/>
            <w:shd w:val="clear" w:color="auto" w:fill="EEECE1" w:themeFill="background2"/>
          </w:tcPr>
          <w:p w14:paraId="52736003" w14:textId="77777777" w:rsidR="00974EC6" w:rsidRPr="00974EC6" w:rsidRDefault="00974EC6" w:rsidP="00974EC6">
            <w:pPr>
              <w:jc w:val="center"/>
              <w:rPr>
                <w:rFonts w:ascii="Palatino Linotype" w:hAnsi="Palatino Linotype"/>
                <w:sz w:val="24"/>
                <w:szCs w:val="24"/>
              </w:rPr>
            </w:pPr>
          </w:p>
        </w:tc>
        <w:tc>
          <w:tcPr>
            <w:tcW w:w="2160" w:type="dxa"/>
            <w:shd w:val="clear" w:color="auto" w:fill="EEECE1" w:themeFill="background2"/>
            <w:vAlign w:val="center"/>
          </w:tcPr>
          <w:p w14:paraId="2F374535" w14:textId="77777777" w:rsidR="00974EC6" w:rsidRPr="00974EC6" w:rsidRDefault="00974EC6" w:rsidP="00974EC6">
            <w:pPr>
              <w:jc w:val="center"/>
              <w:rPr>
                <w:rFonts w:ascii="Palatino Linotype" w:hAnsi="Palatino Linotype"/>
                <w:sz w:val="24"/>
                <w:szCs w:val="24"/>
              </w:rPr>
            </w:pPr>
            <w:r w:rsidRPr="00974EC6">
              <w:rPr>
                <w:rFonts w:ascii="Palatino Linotype" w:hAnsi="Palatino Linotype"/>
                <w:sz w:val="24"/>
                <w:szCs w:val="24"/>
              </w:rPr>
              <w:t>Middle-Mile</w:t>
            </w:r>
          </w:p>
          <w:p w14:paraId="7666CE3A" w14:textId="77777777" w:rsidR="00974EC6" w:rsidRPr="00974EC6" w:rsidRDefault="00974EC6" w:rsidP="00974EC6">
            <w:pPr>
              <w:jc w:val="center"/>
              <w:rPr>
                <w:rFonts w:ascii="Palatino Linotype" w:hAnsi="Palatino Linotype"/>
                <w:sz w:val="24"/>
                <w:szCs w:val="24"/>
              </w:rPr>
            </w:pPr>
            <w:r w:rsidRPr="00974EC6">
              <w:rPr>
                <w:rFonts w:ascii="Palatino Linotype" w:hAnsi="Palatino Linotype"/>
                <w:sz w:val="24"/>
                <w:szCs w:val="24"/>
              </w:rPr>
              <w:t>Funding</w:t>
            </w:r>
          </w:p>
        </w:tc>
        <w:tc>
          <w:tcPr>
            <w:tcW w:w="1530" w:type="dxa"/>
            <w:shd w:val="clear" w:color="auto" w:fill="EEECE1" w:themeFill="background2"/>
            <w:vAlign w:val="center"/>
          </w:tcPr>
          <w:p w14:paraId="61028E50" w14:textId="77777777" w:rsidR="00974EC6" w:rsidRPr="00974EC6" w:rsidRDefault="00974EC6" w:rsidP="00974EC6">
            <w:pPr>
              <w:jc w:val="center"/>
              <w:rPr>
                <w:rFonts w:ascii="Palatino Linotype" w:hAnsi="Palatino Linotype"/>
                <w:sz w:val="24"/>
                <w:szCs w:val="24"/>
              </w:rPr>
            </w:pPr>
            <w:r w:rsidRPr="00974EC6">
              <w:rPr>
                <w:rFonts w:ascii="Palatino Linotype" w:hAnsi="Palatino Linotype"/>
                <w:sz w:val="24"/>
                <w:szCs w:val="24"/>
              </w:rPr>
              <w:t>Last-Mile Funding</w:t>
            </w:r>
          </w:p>
        </w:tc>
        <w:tc>
          <w:tcPr>
            <w:tcW w:w="1422" w:type="dxa"/>
            <w:shd w:val="clear" w:color="auto" w:fill="EEECE1" w:themeFill="background2"/>
            <w:vAlign w:val="center"/>
          </w:tcPr>
          <w:p w14:paraId="3A1A8E05" w14:textId="77777777" w:rsidR="00974EC6" w:rsidRPr="00974EC6" w:rsidRDefault="00974EC6" w:rsidP="00974EC6">
            <w:pPr>
              <w:jc w:val="center"/>
              <w:rPr>
                <w:rFonts w:ascii="Palatino Linotype" w:hAnsi="Palatino Linotype"/>
                <w:sz w:val="24"/>
                <w:szCs w:val="24"/>
              </w:rPr>
            </w:pPr>
            <w:r w:rsidRPr="00974EC6">
              <w:rPr>
                <w:rFonts w:ascii="Palatino Linotype" w:hAnsi="Palatino Linotype"/>
                <w:sz w:val="24"/>
                <w:szCs w:val="24"/>
              </w:rPr>
              <w:t>Total</w:t>
            </w:r>
          </w:p>
        </w:tc>
      </w:tr>
      <w:tr w:rsidR="00974EC6" w:rsidRPr="00974EC6" w14:paraId="7ABA1F12" w14:textId="77777777" w:rsidTr="007E1009">
        <w:trPr>
          <w:jc w:val="center"/>
        </w:trPr>
        <w:tc>
          <w:tcPr>
            <w:tcW w:w="3685" w:type="dxa"/>
            <w:tcBorders>
              <w:bottom w:val="single" w:sz="4" w:space="0" w:color="auto"/>
            </w:tcBorders>
          </w:tcPr>
          <w:p w14:paraId="1FE66CEC" w14:textId="40DA140A" w:rsidR="00974EC6" w:rsidRPr="00974EC6" w:rsidRDefault="00974EC6" w:rsidP="00974EC6">
            <w:pPr>
              <w:rPr>
                <w:rFonts w:ascii="Palatino Linotype" w:hAnsi="Palatino Linotype"/>
                <w:sz w:val="24"/>
                <w:szCs w:val="24"/>
              </w:rPr>
            </w:pPr>
            <w:r>
              <w:rPr>
                <w:rFonts w:ascii="Palatino Linotype" w:hAnsi="Palatino Linotype"/>
                <w:sz w:val="24"/>
                <w:szCs w:val="24"/>
              </w:rPr>
              <w:t>PST</w:t>
            </w:r>
            <w:r w:rsidRPr="00974EC6">
              <w:rPr>
                <w:rFonts w:ascii="Palatino Linotype" w:hAnsi="Palatino Linotype"/>
                <w:sz w:val="24"/>
                <w:szCs w:val="24"/>
              </w:rPr>
              <w:t xml:space="preserve">’s </w:t>
            </w:r>
            <w:r w:rsidR="002B5CF4">
              <w:rPr>
                <w:rFonts w:ascii="Palatino Linotype" w:hAnsi="Palatino Linotype"/>
                <w:sz w:val="24"/>
                <w:szCs w:val="24"/>
              </w:rPr>
              <w:t xml:space="preserve">Revised </w:t>
            </w:r>
            <w:r w:rsidRPr="00974EC6">
              <w:rPr>
                <w:rFonts w:ascii="Palatino Linotype" w:hAnsi="Palatino Linotype"/>
                <w:sz w:val="24"/>
                <w:szCs w:val="24"/>
              </w:rPr>
              <w:t>Funding Request</w:t>
            </w:r>
          </w:p>
        </w:tc>
        <w:tc>
          <w:tcPr>
            <w:tcW w:w="2160" w:type="dxa"/>
            <w:tcBorders>
              <w:bottom w:val="single" w:sz="4" w:space="0" w:color="auto"/>
            </w:tcBorders>
          </w:tcPr>
          <w:p w14:paraId="65ED4DBC" w14:textId="565E883B" w:rsidR="00974EC6" w:rsidRPr="00974EC6" w:rsidRDefault="00974EC6" w:rsidP="00974EC6">
            <w:pPr>
              <w:jc w:val="center"/>
              <w:rPr>
                <w:rFonts w:ascii="Palatino Linotype" w:hAnsi="Palatino Linotype"/>
                <w:sz w:val="24"/>
                <w:szCs w:val="24"/>
              </w:rPr>
            </w:pPr>
            <w:r w:rsidRPr="00974EC6">
              <w:rPr>
                <w:rFonts w:ascii="Palatino Linotype" w:hAnsi="Palatino Linotype"/>
                <w:sz w:val="24"/>
                <w:szCs w:val="24"/>
              </w:rPr>
              <w:t>$</w:t>
            </w:r>
            <w:r>
              <w:rPr>
                <w:rFonts w:ascii="Palatino Linotype" w:hAnsi="Palatino Linotype"/>
                <w:sz w:val="24"/>
                <w:szCs w:val="24"/>
              </w:rPr>
              <w:t>1,315,410</w:t>
            </w:r>
          </w:p>
        </w:tc>
        <w:tc>
          <w:tcPr>
            <w:tcW w:w="1530" w:type="dxa"/>
            <w:tcBorders>
              <w:bottom w:val="single" w:sz="4" w:space="0" w:color="auto"/>
            </w:tcBorders>
          </w:tcPr>
          <w:p w14:paraId="5BCC0162" w14:textId="2633A55F" w:rsidR="00974EC6" w:rsidRPr="00974EC6" w:rsidRDefault="00974EC6" w:rsidP="00974EC6">
            <w:pPr>
              <w:jc w:val="center"/>
              <w:rPr>
                <w:rFonts w:ascii="Palatino Linotype" w:hAnsi="Palatino Linotype"/>
                <w:sz w:val="24"/>
                <w:szCs w:val="24"/>
              </w:rPr>
            </w:pPr>
            <w:r w:rsidRPr="00974EC6">
              <w:rPr>
                <w:rFonts w:ascii="Palatino Linotype" w:hAnsi="Palatino Linotype"/>
                <w:sz w:val="24"/>
                <w:szCs w:val="24"/>
              </w:rPr>
              <w:t>$</w:t>
            </w:r>
            <w:r>
              <w:rPr>
                <w:rFonts w:ascii="Palatino Linotype" w:hAnsi="Palatino Linotype"/>
                <w:sz w:val="24"/>
                <w:szCs w:val="24"/>
              </w:rPr>
              <w:t>196,753</w:t>
            </w:r>
          </w:p>
        </w:tc>
        <w:tc>
          <w:tcPr>
            <w:tcW w:w="1422" w:type="dxa"/>
            <w:tcBorders>
              <w:bottom w:val="single" w:sz="4" w:space="0" w:color="auto"/>
            </w:tcBorders>
          </w:tcPr>
          <w:p w14:paraId="3C5DEF82" w14:textId="119CFA6F" w:rsidR="00974EC6" w:rsidRPr="00974EC6" w:rsidRDefault="00974EC6" w:rsidP="00974EC6">
            <w:pPr>
              <w:jc w:val="center"/>
              <w:rPr>
                <w:rFonts w:ascii="Palatino Linotype" w:hAnsi="Palatino Linotype"/>
                <w:sz w:val="24"/>
                <w:szCs w:val="24"/>
              </w:rPr>
            </w:pPr>
            <w:r w:rsidRPr="00974EC6">
              <w:rPr>
                <w:rFonts w:ascii="Palatino Linotype" w:hAnsi="Palatino Linotype"/>
                <w:sz w:val="24"/>
                <w:szCs w:val="24"/>
              </w:rPr>
              <w:t>$</w:t>
            </w:r>
            <w:r>
              <w:rPr>
                <w:rFonts w:ascii="Palatino Linotype" w:hAnsi="Palatino Linotype"/>
                <w:sz w:val="24"/>
                <w:szCs w:val="24"/>
              </w:rPr>
              <w:t>1,512,163</w:t>
            </w:r>
          </w:p>
        </w:tc>
      </w:tr>
      <w:tr w:rsidR="00974EC6" w:rsidRPr="00974EC6" w14:paraId="5456CC73" w14:textId="77777777" w:rsidTr="007E1009">
        <w:trPr>
          <w:jc w:val="center"/>
        </w:trPr>
        <w:tc>
          <w:tcPr>
            <w:tcW w:w="3685" w:type="dxa"/>
            <w:tcBorders>
              <w:bottom w:val="single" w:sz="12" w:space="0" w:color="auto"/>
            </w:tcBorders>
          </w:tcPr>
          <w:p w14:paraId="5146F55E" w14:textId="4B447878" w:rsidR="00974EC6" w:rsidRPr="00974EC6" w:rsidRDefault="00974EC6" w:rsidP="00974EC6">
            <w:pPr>
              <w:rPr>
                <w:rFonts w:ascii="Palatino Linotype" w:hAnsi="Palatino Linotype"/>
                <w:b/>
                <w:bCs/>
                <w:sz w:val="24"/>
                <w:szCs w:val="24"/>
              </w:rPr>
            </w:pPr>
            <w:r>
              <w:rPr>
                <w:rFonts w:ascii="Palatino Linotype" w:hAnsi="Palatino Linotype"/>
                <w:b/>
                <w:bCs/>
                <w:sz w:val="24"/>
                <w:szCs w:val="24"/>
              </w:rPr>
              <w:t>PST</w:t>
            </w:r>
            <w:r w:rsidRPr="00974EC6">
              <w:rPr>
                <w:rFonts w:ascii="Palatino Linotype" w:hAnsi="Palatino Linotype"/>
                <w:b/>
                <w:bCs/>
                <w:sz w:val="24"/>
                <w:szCs w:val="24"/>
              </w:rPr>
              <w:t>’s Funding Approval</w:t>
            </w:r>
          </w:p>
        </w:tc>
        <w:tc>
          <w:tcPr>
            <w:tcW w:w="2160" w:type="dxa"/>
            <w:tcBorders>
              <w:bottom w:val="single" w:sz="12" w:space="0" w:color="auto"/>
            </w:tcBorders>
          </w:tcPr>
          <w:p w14:paraId="2A3FEC7E" w14:textId="531B0DA5" w:rsidR="00974EC6" w:rsidRPr="00974EC6" w:rsidRDefault="00974EC6" w:rsidP="00974EC6">
            <w:pPr>
              <w:jc w:val="center"/>
              <w:rPr>
                <w:rFonts w:ascii="Palatino Linotype" w:hAnsi="Palatino Linotype"/>
                <w:b/>
                <w:bCs/>
                <w:sz w:val="24"/>
                <w:szCs w:val="24"/>
              </w:rPr>
            </w:pPr>
            <w:r w:rsidRPr="00974EC6">
              <w:rPr>
                <w:rFonts w:ascii="Palatino Linotype" w:hAnsi="Palatino Linotype"/>
                <w:b/>
                <w:bCs/>
                <w:sz w:val="24"/>
                <w:szCs w:val="24"/>
              </w:rPr>
              <w:t>$1,315,410</w:t>
            </w:r>
          </w:p>
        </w:tc>
        <w:tc>
          <w:tcPr>
            <w:tcW w:w="1530" w:type="dxa"/>
            <w:tcBorders>
              <w:bottom w:val="single" w:sz="12" w:space="0" w:color="auto"/>
            </w:tcBorders>
          </w:tcPr>
          <w:p w14:paraId="71607357" w14:textId="76E6CCEC" w:rsidR="00974EC6" w:rsidRPr="00974EC6" w:rsidRDefault="00974EC6" w:rsidP="00974EC6">
            <w:pPr>
              <w:jc w:val="center"/>
              <w:rPr>
                <w:rFonts w:ascii="Palatino Linotype" w:hAnsi="Palatino Linotype"/>
                <w:b/>
                <w:bCs/>
                <w:sz w:val="24"/>
                <w:szCs w:val="24"/>
              </w:rPr>
            </w:pPr>
            <w:r w:rsidRPr="00974EC6">
              <w:rPr>
                <w:rFonts w:ascii="Palatino Linotype" w:hAnsi="Palatino Linotype"/>
                <w:b/>
                <w:bCs/>
                <w:sz w:val="24"/>
                <w:szCs w:val="24"/>
              </w:rPr>
              <w:t>$196,753</w:t>
            </w:r>
          </w:p>
        </w:tc>
        <w:tc>
          <w:tcPr>
            <w:tcW w:w="1422" w:type="dxa"/>
            <w:tcBorders>
              <w:bottom w:val="single" w:sz="12" w:space="0" w:color="auto"/>
            </w:tcBorders>
          </w:tcPr>
          <w:p w14:paraId="1C35BB15" w14:textId="1A520151" w:rsidR="00974EC6" w:rsidRPr="00974EC6" w:rsidRDefault="00974EC6" w:rsidP="00974EC6">
            <w:pPr>
              <w:jc w:val="center"/>
              <w:rPr>
                <w:rFonts w:ascii="Palatino Linotype" w:hAnsi="Palatino Linotype"/>
                <w:b/>
                <w:bCs/>
                <w:sz w:val="24"/>
                <w:szCs w:val="24"/>
              </w:rPr>
            </w:pPr>
            <w:r w:rsidRPr="00974EC6">
              <w:rPr>
                <w:rFonts w:ascii="Palatino Linotype" w:hAnsi="Palatino Linotype"/>
                <w:b/>
                <w:bCs/>
                <w:sz w:val="24"/>
                <w:szCs w:val="24"/>
              </w:rPr>
              <w:t>$1,512,163</w:t>
            </w:r>
          </w:p>
        </w:tc>
      </w:tr>
    </w:tbl>
    <w:p w14:paraId="565C1BE3" w14:textId="6DE167AA" w:rsidR="00974EC6" w:rsidRDefault="00974EC6" w:rsidP="007E28BC">
      <w:pPr>
        <w:rPr>
          <w:rFonts w:ascii="Palatino Linotype" w:hAnsi="Palatino Linotype"/>
          <w:iCs/>
          <w:sz w:val="24"/>
          <w:szCs w:val="24"/>
        </w:rPr>
      </w:pPr>
    </w:p>
    <w:p w14:paraId="27FC8E1F" w14:textId="1BB48AE7" w:rsidR="00974EC6" w:rsidRPr="00974EC6" w:rsidRDefault="00974EC6" w:rsidP="003C1CC7">
      <w:pPr>
        <w:rPr>
          <w:rFonts w:ascii="Palatino Linotype" w:hAnsi="Palatino Linotype"/>
          <w:sz w:val="24"/>
          <w:szCs w:val="24"/>
        </w:rPr>
      </w:pPr>
      <w:r w:rsidRPr="00974EC6">
        <w:rPr>
          <w:rFonts w:ascii="Palatino Linotype" w:hAnsi="Palatino Linotype"/>
          <w:b/>
          <w:bCs/>
          <w:iCs/>
          <w:sz w:val="24"/>
          <w:szCs w:val="24"/>
        </w:rPr>
        <w:t xml:space="preserve">PST is </w:t>
      </w:r>
      <w:r w:rsidR="00801C77">
        <w:rPr>
          <w:rFonts w:ascii="Palatino Linotype" w:hAnsi="Palatino Linotype"/>
          <w:b/>
          <w:bCs/>
          <w:iCs/>
          <w:sz w:val="24"/>
          <w:szCs w:val="24"/>
        </w:rPr>
        <w:t>eligible to receive</w:t>
      </w:r>
      <w:r w:rsidR="00801C77" w:rsidRPr="00974EC6">
        <w:rPr>
          <w:rFonts w:ascii="Palatino Linotype" w:hAnsi="Palatino Linotype"/>
          <w:b/>
          <w:bCs/>
          <w:iCs/>
          <w:sz w:val="24"/>
          <w:szCs w:val="24"/>
        </w:rPr>
        <w:t xml:space="preserve"> </w:t>
      </w:r>
      <w:r w:rsidRPr="00974EC6">
        <w:rPr>
          <w:rFonts w:ascii="Palatino Linotype" w:hAnsi="Palatino Linotype"/>
          <w:b/>
          <w:bCs/>
          <w:iCs/>
          <w:sz w:val="24"/>
          <w:szCs w:val="24"/>
        </w:rPr>
        <w:t>100 percent funding for its Keddie Project.</w:t>
      </w:r>
      <w:r>
        <w:rPr>
          <w:rFonts w:ascii="Palatino Linotype" w:hAnsi="Palatino Linotype"/>
          <w:iCs/>
          <w:sz w:val="24"/>
          <w:szCs w:val="24"/>
        </w:rPr>
        <w:t xml:space="preserve">  </w:t>
      </w:r>
      <w:r w:rsidRPr="00974EC6">
        <w:rPr>
          <w:rFonts w:ascii="Palatino Linotype" w:hAnsi="Palatino Linotype"/>
          <w:sz w:val="24"/>
          <w:szCs w:val="24"/>
        </w:rPr>
        <w:t>AB 1665 authorizes the Commission to award grants to fund all or portion of the project and requires that it determine, on a case-by-case basis, the level of funding to be provided.</w:t>
      </w:r>
      <w:r w:rsidRPr="00974EC6">
        <w:rPr>
          <w:rStyle w:val="FootnoteReference"/>
          <w:rFonts w:ascii="Palatino Linotype" w:hAnsi="Palatino Linotype"/>
          <w:sz w:val="24"/>
          <w:szCs w:val="24"/>
        </w:rPr>
        <w:footnoteReference w:id="6"/>
      </w:r>
      <w:r w:rsidRPr="00974EC6">
        <w:rPr>
          <w:rFonts w:ascii="Palatino Linotype" w:hAnsi="Palatino Linotype"/>
          <w:sz w:val="24"/>
          <w:szCs w:val="24"/>
        </w:rPr>
        <w:t xml:space="preserve">  Staff used the statutory factors for consideration of the grant funding level, as described by Pub. Util. Code </w:t>
      </w:r>
      <w:r w:rsidR="00D00AC4" w:rsidRPr="00D00AC4">
        <w:rPr>
          <w:rFonts w:ascii="Palatino Linotype" w:hAnsi="Palatino Linotype"/>
          <w:sz w:val="24"/>
          <w:szCs w:val="24"/>
        </w:rPr>
        <w:t>§§</w:t>
      </w:r>
      <w:r w:rsidRPr="00974EC6">
        <w:rPr>
          <w:rFonts w:ascii="Palatino Linotype" w:hAnsi="Palatino Linotype"/>
          <w:sz w:val="24"/>
          <w:szCs w:val="24"/>
        </w:rPr>
        <w:t xml:space="preserve"> 281(f)(13) and 281(b)(2)(B)(i), and CASF rules adopted in D.18-12-018.  Based on those factors, Staff determined </w:t>
      </w:r>
      <w:r>
        <w:rPr>
          <w:rFonts w:ascii="Palatino Linotype" w:hAnsi="Palatino Linotype"/>
          <w:sz w:val="24"/>
          <w:szCs w:val="24"/>
        </w:rPr>
        <w:t>PST</w:t>
      </w:r>
      <w:r w:rsidRPr="00974EC6">
        <w:rPr>
          <w:rFonts w:ascii="Palatino Linotype" w:hAnsi="Palatino Linotype"/>
          <w:sz w:val="24"/>
          <w:szCs w:val="24"/>
        </w:rPr>
        <w:t xml:space="preserve">’s request of a 100 percent funding level is appropriate; and thereby </w:t>
      </w:r>
      <w:r w:rsidR="00801C77">
        <w:rPr>
          <w:rFonts w:ascii="Palatino Linotype" w:hAnsi="Palatino Linotype"/>
          <w:sz w:val="24"/>
          <w:szCs w:val="24"/>
        </w:rPr>
        <w:t>recommends awarding</w:t>
      </w:r>
      <w:r w:rsidR="00801C77" w:rsidRPr="00974EC6">
        <w:rPr>
          <w:rFonts w:ascii="Palatino Linotype" w:hAnsi="Palatino Linotype"/>
          <w:sz w:val="24"/>
          <w:szCs w:val="24"/>
        </w:rPr>
        <w:t xml:space="preserve"> </w:t>
      </w:r>
      <w:r w:rsidRPr="00974EC6">
        <w:rPr>
          <w:rFonts w:ascii="Palatino Linotype" w:hAnsi="Palatino Linotype"/>
          <w:sz w:val="24"/>
          <w:szCs w:val="24"/>
        </w:rPr>
        <w:t xml:space="preserve">CASF Infrastructure grant of </w:t>
      </w:r>
      <w:r w:rsidRPr="00974EC6">
        <w:rPr>
          <w:rFonts w:ascii="Palatino Linotype" w:hAnsi="Palatino Linotype"/>
          <w:sz w:val="24"/>
          <w:szCs w:val="24"/>
        </w:rPr>
        <w:lastRenderedPageBreak/>
        <w:t>$1,</w:t>
      </w:r>
      <w:r>
        <w:rPr>
          <w:rFonts w:ascii="Palatino Linotype" w:hAnsi="Palatino Linotype"/>
          <w:sz w:val="24"/>
          <w:szCs w:val="24"/>
        </w:rPr>
        <w:t>512,163</w:t>
      </w:r>
      <w:r w:rsidRPr="00974EC6">
        <w:rPr>
          <w:rFonts w:ascii="Palatino Linotype" w:hAnsi="Palatino Linotype"/>
          <w:sz w:val="24"/>
          <w:szCs w:val="24"/>
        </w:rPr>
        <w:t xml:space="preserve"> for the </w:t>
      </w:r>
      <w:r>
        <w:rPr>
          <w:rFonts w:ascii="Palatino Linotype" w:hAnsi="Palatino Linotype"/>
          <w:sz w:val="24"/>
          <w:szCs w:val="24"/>
        </w:rPr>
        <w:t>Keddie</w:t>
      </w:r>
      <w:r w:rsidRPr="00974EC6">
        <w:rPr>
          <w:rFonts w:ascii="Palatino Linotype" w:hAnsi="Palatino Linotype"/>
          <w:sz w:val="24"/>
          <w:szCs w:val="24"/>
        </w:rPr>
        <w:t xml:space="preserve"> Project.</w:t>
      </w:r>
      <w:r>
        <w:rPr>
          <w:rFonts w:ascii="Palatino Linotype" w:hAnsi="Palatino Linotype"/>
          <w:sz w:val="24"/>
          <w:szCs w:val="24"/>
        </w:rPr>
        <w:t xml:space="preserve"> </w:t>
      </w:r>
      <w:r w:rsidRPr="00974EC6">
        <w:rPr>
          <w:rFonts w:ascii="Palatino Linotype" w:hAnsi="Palatino Linotype"/>
          <w:sz w:val="24"/>
          <w:szCs w:val="24"/>
        </w:rPr>
        <w:t xml:space="preserve"> </w:t>
      </w:r>
      <w:r w:rsidR="00C678BD">
        <w:rPr>
          <w:rFonts w:ascii="Palatino Linotype" w:hAnsi="Palatino Linotype"/>
          <w:sz w:val="24"/>
          <w:szCs w:val="24"/>
        </w:rPr>
        <w:t>Table 5</w:t>
      </w:r>
      <w:r w:rsidR="00801C77">
        <w:rPr>
          <w:rFonts w:ascii="Palatino Linotype" w:hAnsi="Palatino Linotype"/>
          <w:sz w:val="24"/>
          <w:szCs w:val="24"/>
        </w:rPr>
        <w:t>, below,</w:t>
      </w:r>
      <w:r w:rsidR="00C678BD">
        <w:rPr>
          <w:rFonts w:ascii="Palatino Linotype" w:hAnsi="Palatino Linotype"/>
          <w:sz w:val="24"/>
          <w:szCs w:val="24"/>
        </w:rPr>
        <w:t xml:space="preserve"> summarizes Staff’s funding level determination for </w:t>
      </w:r>
      <w:r w:rsidR="00801C77">
        <w:rPr>
          <w:rFonts w:ascii="Palatino Linotype" w:hAnsi="Palatino Linotype"/>
          <w:sz w:val="24"/>
          <w:szCs w:val="24"/>
        </w:rPr>
        <w:t>the project</w:t>
      </w:r>
      <w:r w:rsidR="00C678BD">
        <w:rPr>
          <w:rFonts w:ascii="Palatino Linotype" w:hAnsi="Palatino Linotype"/>
          <w:sz w:val="24"/>
          <w:szCs w:val="24"/>
        </w:rPr>
        <w:t xml:space="preserve">.  </w:t>
      </w:r>
    </w:p>
    <w:p w14:paraId="524B7294" w14:textId="77777777" w:rsidR="00DD0BC5" w:rsidRDefault="00DD0BC5" w:rsidP="007E28BC">
      <w:pPr>
        <w:rPr>
          <w:rFonts w:ascii="Palatino Linotype" w:hAnsi="Palatino Linotype"/>
          <w:iCs/>
          <w:sz w:val="24"/>
          <w:szCs w:val="24"/>
        </w:rPr>
      </w:pPr>
    </w:p>
    <w:p w14:paraId="1828E02E" w14:textId="2093B65C" w:rsidR="00974EC6" w:rsidRPr="00974EC6" w:rsidRDefault="00974EC6" w:rsidP="00974EC6">
      <w:pPr>
        <w:spacing w:after="120"/>
        <w:jc w:val="center"/>
        <w:rPr>
          <w:rStyle w:val="BookTitle"/>
          <w:rFonts w:ascii="Palatino Linotype" w:hAnsi="Palatino Linotype"/>
          <w:i w:val="0"/>
          <w:iCs w:val="0"/>
          <w:sz w:val="24"/>
          <w:szCs w:val="24"/>
        </w:rPr>
      </w:pPr>
      <w:r w:rsidRPr="00974EC6">
        <w:rPr>
          <w:rStyle w:val="BookTitle"/>
          <w:rFonts w:ascii="Palatino Linotype" w:hAnsi="Palatino Linotype"/>
          <w:i w:val="0"/>
          <w:iCs w:val="0"/>
          <w:sz w:val="24"/>
          <w:szCs w:val="24"/>
        </w:rPr>
        <w:t xml:space="preserve">Table </w:t>
      </w:r>
      <w:r w:rsidR="007A1C75">
        <w:rPr>
          <w:rStyle w:val="BookTitle"/>
          <w:rFonts w:ascii="Palatino Linotype" w:hAnsi="Palatino Linotype"/>
          <w:i w:val="0"/>
          <w:iCs w:val="0"/>
          <w:sz w:val="24"/>
          <w:szCs w:val="24"/>
        </w:rPr>
        <w:t>5</w:t>
      </w:r>
      <w:r w:rsidRPr="00974EC6">
        <w:rPr>
          <w:rStyle w:val="BookTitle"/>
          <w:rFonts w:ascii="Palatino Linotype" w:hAnsi="Palatino Linotype"/>
          <w:i w:val="0"/>
          <w:iCs w:val="0"/>
          <w:sz w:val="24"/>
          <w:szCs w:val="24"/>
        </w:rPr>
        <w:t xml:space="preserve">. </w:t>
      </w:r>
      <w:r w:rsidR="006709C6">
        <w:rPr>
          <w:rStyle w:val="BookTitle"/>
          <w:rFonts w:ascii="Palatino Linotype" w:hAnsi="Palatino Linotype"/>
          <w:i w:val="0"/>
          <w:iCs w:val="0"/>
          <w:sz w:val="24"/>
          <w:szCs w:val="24"/>
        </w:rPr>
        <w:t xml:space="preserve"> </w:t>
      </w:r>
      <w:r w:rsidRPr="00974EC6">
        <w:rPr>
          <w:rStyle w:val="BookTitle"/>
          <w:rFonts w:ascii="Palatino Linotype" w:hAnsi="Palatino Linotype"/>
          <w:i w:val="0"/>
          <w:iCs w:val="0"/>
          <w:sz w:val="24"/>
          <w:szCs w:val="24"/>
        </w:rPr>
        <w:t xml:space="preserve">Criteria for Project Funding Level for </w:t>
      </w:r>
      <w:r w:rsidR="00EC683E">
        <w:rPr>
          <w:rStyle w:val="BookTitle"/>
          <w:rFonts w:ascii="Palatino Linotype" w:hAnsi="Palatino Linotype"/>
          <w:i w:val="0"/>
          <w:iCs w:val="0"/>
          <w:sz w:val="24"/>
          <w:szCs w:val="24"/>
        </w:rPr>
        <w:t xml:space="preserve">PST </w:t>
      </w:r>
    </w:p>
    <w:tbl>
      <w:tblPr>
        <w:tblStyle w:val="TableGrid"/>
        <w:tblW w:w="0" w:type="auto"/>
        <w:tblLook w:val="04E0" w:firstRow="1" w:lastRow="1" w:firstColumn="1" w:lastColumn="0" w:noHBand="0" w:noVBand="1"/>
      </w:tblPr>
      <w:tblGrid>
        <w:gridCol w:w="7375"/>
        <w:gridCol w:w="1918"/>
      </w:tblGrid>
      <w:tr w:rsidR="00974EC6" w:rsidRPr="00352E7F" w14:paraId="4A0446D0" w14:textId="77777777" w:rsidTr="009D18D7">
        <w:tc>
          <w:tcPr>
            <w:tcW w:w="7375" w:type="dxa"/>
            <w:shd w:val="clear" w:color="auto" w:fill="EEECE1" w:themeFill="background2"/>
          </w:tcPr>
          <w:p w14:paraId="732D0466" w14:textId="77777777" w:rsidR="00974EC6" w:rsidRPr="00974EC6" w:rsidRDefault="00974EC6" w:rsidP="00974EC6">
            <w:pPr>
              <w:rPr>
                <w:rFonts w:ascii="Palatino Linotype" w:hAnsi="Palatino Linotype"/>
                <w:b/>
                <w:bCs/>
                <w:sz w:val="24"/>
                <w:szCs w:val="24"/>
              </w:rPr>
            </w:pPr>
            <w:r w:rsidRPr="00974EC6">
              <w:rPr>
                <w:rFonts w:ascii="Palatino Linotype" w:hAnsi="Palatino Linotype"/>
                <w:b/>
                <w:bCs/>
                <w:sz w:val="24"/>
                <w:szCs w:val="24"/>
              </w:rPr>
              <w:t>Funding Criteria</w:t>
            </w:r>
          </w:p>
        </w:tc>
        <w:tc>
          <w:tcPr>
            <w:tcW w:w="1918" w:type="dxa"/>
            <w:shd w:val="clear" w:color="auto" w:fill="EEECE1" w:themeFill="background2"/>
          </w:tcPr>
          <w:p w14:paraId="210EA608" w14:textId="5DC7B832" w:rsidR="00974EC6" w:rsidRPr="00974EC6" w:rsidRDefault="00801C77" w:rsidP="00974EC6">
            <w:pPr>
              <w:jc w:val="center"/>
              <w:rPr>
                <w:rFonts w:ascii="Palatino Linotype" w:hAnsi="Palatino Linotype"/>
                <w:b/>
                <w:bCs/>
                <w:sz w:val="24"/>
                <w:szCs w:val="24"/>
              </w:rPr>
            </w:pPr>
            <w:r>
              <w:rPr>
                <w:rFonts w:ascii="Palatino Linotype" w:hAnsi="Palatino Linotype"/>
                <w:b/>
                <w:bCs/>
                <w:sz w:val="24"/>
                <w:szCs w:val="24"/>
              </w:rPr>
              <w:t>Keddie</w:t>
            </w:r>
            <w:r w:rsidRPr="00974EC6">
              <w:rPr>
                <w:rFonts w:ascii="Palatino Linotype" w:hAnsi="Palatino Linotype"/>
                <w:b/>
                <w:bCs/>
                <w:sz w:val="24"/>
                <w:szCs w:val="24"/>
              </w:rPr>
              <w:t xml:space="preserve"> </w:t>
            </w:r>
            <w:r w:rsidR="00974EC6" w:rsidRPr="00974EC6">
              <w:rPr>
                <w:rFonts w:ascii="Palatino Linotype" w:hAnsi="Palatino Linotype"/>
                <w:b/>
                <w:bCs/>
                <w:sz w:val="24"/>
                <w:szCs w:val="24"/>
              </w:rPr>
              <w:t>Project</w:t>
            </w:r>
          </w:p>
        </w:tc>
      </w:tr>
      <w:tr w:rsidR="00974EC6" w:rsidRPr="00352E7F" w14:paraId="0149E366" w14:textId="77777777" w:rsidTr="009D18D7">
        <w:tc>
          <w:tcPr>
            <w:tcW w:w="7375" w:type="dxa"/>
          </w:tcPr>
          <w:p w14:paraId="211D8576" w14:textId="77777777" w:rsidR="00974EC6" w:rsidRPr="00974EC6" w:rsidRDefault="00974EC6" w:rsidP="00974EC6">
            <w:pPr>
              <w:rPr>
                <w:rFonts w:ascii="Palatino Linotype" w:hAnsi="Palatino Linotype"/>
                <w:sz w:val="24"/>
                <w:szCs w:val="24"/>
              </w:rPr>
            </w:pPr>
            <w:r w:rsidRPr="00974EC6">
              <w:rPr>
                <w:rFonts w:ascii="Palatino Linotype" w:hAnsi="Palatino Linotype"/>
                <w:sz w:val="24"/>
                <w:szCs w:val="24"/>
              </w:rPr>
              <w:t>Baseline for Eligible Project (60%)</w:t>
            </w:r>
          </w:p>
        </w:tc>
        <w:tc>
          <w:tcPr>
            <w:tcW w:w="1918" w:type="dxa"/>
          </w:tcPr>
          <w:p w14:paraId="0495C8ED" w14:textId="77777777" w:rsidR="00974EC6" w:rsidRPr="00974EC6" w:rsidRDefault="00974EC6" w:rsidP="00974EC6">
            <w:pPr>
              <w:jc w:val="center"/>
              <w:rPr>
                <w:rFonts w:ascii="Palatino Linotype" w:hAnsi="Palatino Linotype"/>
                <w:sz w:val="24"/>
                <w:szCs w:val="24"/>
              </w:rPr>
            </w:pPr>
            <w:r w:rsidRPr="00974EC6">
              <w:rPr>
                <w:rFonts w:ascii="Palatino Linotype" w:hAnsi="Palatino Linotype"/>
                <w:sz w:val="24"/>
                <w:szCs w:val="24"/>
              </w:rPr>
              <w:t>60%</w:t>
            </w:r>
          </w:p>
        </w:tc>
      </w:tr>
      <w:tr w:rsidR="00974EC6" w:rsidRPr="00352E7F" w14:paraId="65A67750" w14:textId="77777777" w:rsidTr="009D18D7">
        <w:tc>
          <w:tcPr>
            <w:tcW w:w="7375" w:type="dxa"/>
          </w:tcPr>
          <w:p w14:paraId="0AA5757B" w14:textId="77777777" w:rsidR="00974EC6" w:rsidRPr="00974EC6" w:rsidRDefault="00974EC6" w:rsidP="00974EC6">
            <w:pPr>
              <w:rPr>
                <w:rFonts w:ascii="Palatino Linotype" w:hAnsi="Palatino Linotype"/>
                <w:sz w:val="24"/>
                <w:szCs w:val="24"/>
              </w:rPr>
            </w:pPr>
            <w:r w:rsidRPr="00974EC6">
              <w:rPr>
                <w:rFonts w:ascii="Palatino Linotype" w:hAnsi="Palatino Linotype"/>
                <w:sz w:val="24"/>
                <w:szCs w:val="24"/>
              </w:rPr>
              <w:t>Service Level Preference: Only Dial-up or No Internet Connectivity (40%)—no fixed or mobile broadband</w:t>
            </w:r>
          </w:p>
        </w:tc>
        <w:tc>
          <w:tcPr>
            <w:tcW w:w="1918" w:type="dxa"/>
          </w:tcPr>
          <w:p w14:paraId="0898B6B8" w14:textId="26DDD02D" w:rsidR="00974EC6" w:rsidRPr="00974EC6" w:rsidRDefault="00EC683E" w:rsidP="00974EC6">
            <w:pPr>
              <w:jc w:val="center"/>
              <w:rPr>
                <w:rFonts w:ascii="Palatino Linotype" w:hAnsi="Palatino Linotype"/>
                <w:sz w:val="24"/>
                <w:szCs w:val="24"/>
              </w:rPr>
            </w:pPr>
            <w:r>
              <w:rPr>
                <w:rFonts w:ascii="Palatino Linotype" w:hAnsi="Palatino Linotype"/>
                <w:sz w:val="24"/>
                <w:szCs w:val="24"/>
              </w:rPr>
              <w:t>20</w:t>
            </w:r>
            <w:r w:rsidR="00974EC6" w:rsidRPr="00974EC6">
              <w:rPr>
                <w:rFonts w:ascii="Palatino Linotype" w:hAnsi="Palatino Linotype"/>
                <w:sz w:val="24"/>
                <w:szCs w:val="24"/>
              </w:rPr>
              <w:t>%</w:t>
            </w:r>
          </w:p>
        </w:tc>
      </w:tr>
      <w:tr w:rsidR="00974EC6" w:rsidRPr="00352E7F" w14:paraId="479324C5" w14:textId="77777777" w:rsidTr="009D18D7">
        <w:tc>
          <w:tcPr>
            <w:tcW w:w="7375" w:type="dxa"/>
          </w:tcPr>
          <w:p w14:paraId="3E3C1EAD" w14:textId="77777777" w:rsidR="00974EC6" w:rsidRPr="00974EC6" w:rsidRDefault="00974EC6" w:rsidP="00974EC6">
            <w:pPr>
              <w:rPr>
                <w:rFonts w:ascii="Palatino Linotype" w:hAnsi="Palatino Linotype"/>
                <w:sz w:val="24"/>
                <w:szCs w:val="24"/>
              </w:rPr>
            </w:pPr>
            <w:r w:rsidRPr="00974EC6">
              <w:rPr>
                <w:rFonts w:ascii="Palatino Linotype" w:hAnsi="Palatino Linotype"/>
                <w:sz w:val="24"/>
                <w:szCs w:val="24"/>
              </w:rPr>
              <w:t>Low Income - up to 40%</w:t>
            </w:r>
          </w:p>
          <w:p w14:paraId="2371B681" w14:textId="77777777" w:rsidR="00974EC6" w:rsidRPr="00974EC6" w:rsidRDefault="00974EC6" w:rsidP="00974EC6">
            <w:pPr>
              <w:pStyle w:val="ListParagraph"/>
              <w:numPr>
                <w:ilvl w:val="0"/>
                <w:numId w:val="22"/>
              </w:numPr>
              <w:rPr>
                <w:rFonts w:ascii="Palatino Linotype" w:hAnsi="Palatino Linotype"/>
                <w:color w:val="000000" w:themeColor="text1"/>
                <w:sz w:val="24"/>
                <w:szCs w:val="24"/>
              </w:rPr>
            </w:pPr>
            <w:r w:rsidRPr="00974EC6">
              <w:rPr>
                <w:rFonts w:ascii="Palatino Linotype" w:hAnsi="Palatino Linotype"/>
                <w:sz w:val="24"/>
                <w:szCs w:val="24"/>
              </w:rPr>
              <w:t>Median Household Income for community is less than CARE standard for family of 4, which is currently $50,200 (30%)</w:t>
            </w:r>
          </w:p>
          <w:p w14:paraId="5C733CAB" w14:textId="77777777" w:rsidR="00974EC6" w:rsidRPr="00974EC6" w:rsidRDefault="00974EC6" w:rsidP="00974EC6">
            <w:pPr>
              <w:pStyle w:val="ListParagraph"/>
              <w:numPr>
                <w:ilvl w:val="0"/>
                <w:numId w:val="22"/>
              </w:numPr>
              <w:rPr>
                <w:rFonts w:ascii="Palatino Linotype" w:hAnsi="Palatino Linotype"/>
                <w:color w:val="000000" w:themeColor="text1"/>
                <w:sz w:val="24"/>
                <w:szCs w:val="24"/>
              </w:rPr>
            </w:pPr>
            <w:r w:rsidRPr="00974EC6">
              <w:rPr>
                <w:rFonts w:ascii="Palatino Linotype" w:hAnsi="Palatino Linotype"/>
                <w:sz w:val="24"/>
                <w:szCs w:val="24"/>
              </w:rPr>
              <w:t>Applicant serves low-income customers for no more than $15/month (10%)</w:t>
            </w:r>
          </w:p>
        </w:tc>
        <w:tc>
          <w:tcPr>
            <w:tcW w:w="1918" w:type="dxa"/>
          </w:tcPr>
          <w:p w14:paraId="4BEB42BD" w14:textId="77777777" w:rsidR="00974EC6" w:rsidRPr="00974EC6" w:rsidRDefault="00974EC6" w:rsidP="00974EC6">
            <w:pPr>
              <w:jc w:val="center"/>
              <w:rPr>
                <w:rFonts w:ascii="Palatino Linotype" w:hAnsi="Palatino Linotype"/>
                <w:sz w:val="24"/>
                <w:szCs w:val="24"/>
              </w:rPr>
            </w:pPr>
          </w:p>
          <w:p w14:paraId="1B6C259A" w14:textId="3010DCFD" w:rsidR="00974EC6" w:rsidRPr="00974EC6" w:rsidRDefault="00EC683E" w:rsidP="00974EC6">
            <w:pPr>
              <w:jc w:val="center"/>
              <w:rPr>
                <w:rFonts w:ascii="Palatino Linotype" w:hAnsi="Palatino Linotype"/>
                <w:sz w:val="24"/>
                <w:szCs w:val="24"/>
              </w:rPr>
            </w:pPr>
            <w:r>
              <w:rPr>
                <w:rFonts w:ascii="Palatino Linotype" w:hAnsi="Palatino Linotype"/>
                <w:sz w:val="24"/>
                <w:szCs w:val="24"/>
              </w:rPr>
              <w:t>0</w:t>
            </w:r>
            <w:r w:rsidR="00974EC6" w:rsidRPr="00974EC6">
              <w:rPr>
                <w:rFonts w:ascii="Palatino Linotype" w:hAnsi="Palatino Linotype"/>
                <w:sz w:val="24"/>
                <w:szCs w:val="24"/>
              </w:rPr>
              <w:t>%</w:t>
            </w:r>
          </w:p>
          <w:p w14:paraId="1EEB4FBA" w14:textId="77777777" w:rsidR="00974EC6" w:rsidRPr="00974EC6" w:rsidRDefault="00974EC6" w:rsidP="00974EC6">
            <w:pPr>
              <w:jc w:val="center"/>
              <w:rPr>
                <w:rFonts w:ascii="Palatino Linotype" w:hAnsi="Palatino Linotype"/>
                <w:sz w:val="24"/>
                <w:szCs w:val="24"/>
              </w:rPr>
            </w:pPr>
          </w:p>
          <w:p w14:paraId="445E50B0" w14:textId="77777777" w:rsidR="00974EC6" w:rsidRPr="00974EC6" w:rsidRDefault="00974EC6" w:rsidP="00974EC6">
            <w:pPr>
              <w:jc w:val="center"/>
              <w:rPr>
                <w:rFonts w:ascii="Palatino Linotype" w:hAnsi="Palatino Linotype"/>
                <w:sz w:val="24"/>
                <w:szCs w:val="24"/>
              </w:rPr>
            </w:pPr>
          </w:p>
          <w:p w14:paraId="6FB19DEE" w14:textId="77777777" w:rsidR="00801C77" w:rsidRDefault="00801C77" w:rsidP="00974EC6">
            <w:pPr>
              <w:jc w:val="center"/>
              <w:rPr>
                <w:rFonts w:ascii="Palatino Linotype" w:hAnsi="Palatino Linotype"/>
                <w:sz w:val="24"/>
                <w:szCs w:val="24"/>
              </w:rPr>
            </w:pPr>
          </w:p>
          <w:p w14:paraId="714A39AA" w14:textId="48333629" w:rsidR="00974EC6" w:rsidRPr="00974EC6" w:rsidRDefault="00EC683E" w:rsidP="00974EC6">
            <w:pPr>
              <w:jc w:val="center"/>
              <w:rPr>
                <w:rFonts w:ascii="Palatino Linotype" w:hAnsi="Palatino Linotype"/>
                <w:sz w:val="24"/>
                <w:szCs w:val="24"/>
              </w:rPr>
            </w:pPr>
            <w:r>
              <w:rPr>
                <w:rFonts w:ascii="Palatino Linotype" w:hAnsi="Palatino Linotype"/>
                <w:sz w:val="24"/>
                <w:szCs w:val="24"/>
              </w:rPr>
              <w:t>0</w:t>
            </w:r>
            <w:r w:rsidR="00974EC6" w:rsidRPr="00974EC6">
              <w:rPr>
                <w:rFonts w:ascii="Palatino Linotype" w:hAnsi="Palatino Linotype"/>
                <w:sz w:val="24"/>
                <w:szCs w:val="24"/>
              </w:rPr>
              <w:t>%</w:t>
            </w:r>
          </w:p>
        </w:tc>
      </w:tr>
      <w:tr w:rsidR="00974EC6" w:rsidRPr="00352E7F" w14:paraId="52185B26" w14:textId="77777777" w:rsidTr="009D18D7">
        <w:tc>
          <w:tcPr>
            <w:tcW w:w="7375" w:type="dxa"/>
            <w:tcBorders>
              <w:bottom w:val="single" w:sz="12" w:space="0" w:color="auto"/>
            </w:tcBorders>
          </w:tcPr>
          <w:p w14:paraId="2A6EAF0B" w14:textId="733DF4DC" w:rsidR="00EC683E" w:rsidRPr="00974EC6" w:rsidRDefault="00974EC6" w:rsidP="00974EC6">
            <w:pPr>
              <w:rPr>
                <w:rFonts w:ascii="Palatino Linotype" w:hAnsi="Palatino Linotype"/>
                <w:sz w:val="24"/>
                <w:szCs w:val="24"/>
              </w:rPr>
            </w:pPr>
            <w:r w:rsidRPr="00974EC6">
              <w:rPr>
                <w:rFonts w:ascii="Palatino Linotype" w:hAnsi="Palatino Linotype"/>
                <w:sz w:val="24"/>
                <w:szCs w:val="24"/>
              </w:rPr>
              <w:t>Others: PU Code Sec 281 (f)(13) Criteria - up to 20%</w:t>
            </w:r>
          </w:p>
          <w:p w14:paraId="7434A8C3" w14:textId="77777777" w:rsidR="00974EC6" w:rsidRPr="00974EC6" w:rsidRDefault="00974EC6" w:rsidP="00974EC6">
            <w:pPr>
              <w:pStyle w:val="ListParagraph"/>
              <w:numPr>
                <w:ilvl w:val="0"/>
                <w:numId w:val="23"/>
              </w:numPr>
              <w:rPr>
                <w:rFonts w:ascii="Palatino Linotype" w:hAnsi="Palatino Linotype"/>
                <w:color w:val="000000" w:themeColor="text1"/>
                <w:sz w:val="24"/>
                <w:szCs w:val="24"/>
              </w:rPr>
            </w:pPr>
            <w:r w:rsidRPr="00974EC6">
              <w:rPr>
                <w:rFonts w:ascii="Palatino Linotype" w:hAnsi="Palatino Linotype"/>
                <w:sz w:val="24"/>
                <w:szCs w:val="24"/>
              </w:rPr>
              <w:t>Inaccessible Location (10%)</w:t>
            </w:r>
          </w:p>
          <w:p w14:paraId="233B24DF" w14:textId="77777777" w:rsidR="00974EC6" w:rsidRPr="00974EC6" w:rsidRDefault="00974EC6" w:rsidP="00974EC6">
            <w:pPr>
              <w:pStyle w:val="ListParagraph"/>
              <w:numPr>
                <w:ilvl w:val="0"/>
                <w:numId w:val="23"/>
              </w:numPr>
              <w:rPr>
                <w:rFonts w:ascii="Palatino Linotype" w:hAnsi="Palatino Linotype"/>
                <w:color w:val="000000" w:themeColor="text1"/>
                <w:sz w:val="24"/>
                <w:szCs w:val="24"/>
              </w:rPr>
            </w:pPr>
            <w:r w:rsidRPr="00974EC6">
              <w:rPr>
                <w:rFonts w:ascii="Palatino Linotype" w:hAnsi="Palatino Linotype"/>
                <w:sz w:val="24"/>
                <w:szCs w:val="24"/>
              </w:rPr>
              <w:t>Uses Existing Infrastructure (10%)</w:t>
            </w:r>
          </w:p>
          <w:p w14:paraId="2F02455F" w14:textId="77777777" w:rsidR="00974EC6" w:rsidRPr="00974EC6" w:rsidRDefault="00974EC6" w:rsidP="00974EC6">
            <w:pPr>
              <w:pStyle w:val="ListParagraph"/>
              <w:numPr>
                <w:ilvl w:val="0"/>
                <w:numId w:val="23"/>
              </w:numPr>
              <w:rPr>
                <w:rFonts w:ascii="Palatino Linotype" w:hAnsi="Palatino Linotype"/>
                <w:color w:val="000000" w:themeColor="text1"/>
                <w:sz w:val="24"/>
                <w:szCs w:val="24"/>
              </w:rPr>
            </w:pPr>
            <w:r w:rsidRPr="00974EC6">
              <w:rPr>
                <w:rFonts w:ascii="Palatino Linotype" w:hAnsi="Palatino Linotype"/>
                <w:sz w:val="24"/>
                <w:szCs w:val="24"/>
              </w:rPr>
              <w:t>Makes a Significant Contribution to the Program Goal (10%)</w:t>
            </w:r>
          </w:p>
        </w:tc>
        <w:tc>
          <w:tcPr>
            <w:tcW w:w="1918" w:type="dxa"/>
            <w:tcBorders>
              <w:bottom w:val="single" w:sz="12" w:space="0" w:color="auto"/>
            </w:tcBorders>
          </w:tcPr>
          <w:p w14:paraId="052C167F" w14:textId="77777777" w:rsidR="00974EC6" w:rsidRPr="00974EC6" w:rsidRDefault="00974EC6" w:rsidP="00974EC6">
            <w:pPr>
              <w:rPr>
                <w:rFonts w:ascii="Palatino Linotype" w:hAnsi="Palatino Linotype"/>
                <w:sz w:val="24"/>
                <w:szCs w:val="24"/>
              </w:rPr>
            </w:pPr>
          </w:p>
          <w:p w14:paraId="0767B678" w14:textId="77777777" w:rsidR="00974EC6" w:rsidRPr="00974EC6" w:rsidRDefault="00974EC6" w:rsidP="00974EC6">
            <w:pPr>
              <w:jc w:val="center"/>
              <w:rPr>
                <w:rFonts w:ascii="Palatino Linotype" w:hAnsi="Palatino Linotype"/>
                <w:sz w:val="24"/>
                <w:szCs w:val="24"/>
              </w:rPr>
            </w:pPr>
            <w:r w:rsidRPr="00974EC6">
              <w:rPr>
                <w:rFonts w:ascii="Palatino Linotype" w:hAnsi="Palatino Linotype"/>
                <w:sz w:val="24"/>
                <w:szCs w:val="24"/>
              </w:rPr>
              <w:t>10%</w:t>
            </w:r>
          </w:p>
          <w:p w14:paraId="30CFD324" w14:textId="6687CFBF" w:rsidR="00974EC6" w:rsidRPr="00974EC6" w:rsidRDefault="00974EC6" w:rsidP="00974EC6">
            <w:pPr>
              <w:jc w:val="center"/>
              <w:rPr>
                <w:rFonts w:ascii="Palatino Linotype" w:hAnsi="Palatino Linotype"/>
                <w:sz w:val="24"/>
                <w:szCs w:val="24"/>
              </w:rPr>
            </w:pPr>
            <w:r w:rsidRPr="009D18D7">
              <w:rPr>
                <w:rFonts w:ascii="Palatino Linotype" w:hAnsi="Palatino Linotype"/>
                <w:sz w:val="24"/>
                <w:szCs w:val="24"/>
              </w:rPr>
              <w:t>0%</w:t>
            </w:r>
          </w:p>
          <w:p w14:paraId="2FE3D2BD" w14:textId="77777777" w:rsidR="00974EC6" w:rsidRPr="00974EC6" w:rsidRDefault="00974EC6" w:rsidP="00974EC6">
            <w:pPr>
              <w:jc w:val="center"/>
              <w:rPr>
                <w:rFonts w:ascii="Palatino Linotype" w:hAnsi="Palatino Linotype"/>
                <w:sz w:val="24"/>
                <w:szCs w:val="24"/>
              </w:rPr>
            </w:pPr>
            <w:r w:rsidRPr="00974EC6">
              <w:rPr>
                <w:rFonts w:ascii="Palatino Linotype" w:hAnsi="Palatino Linotype"/>
                <w:sz w:val="24"/>
                <w:szCs w:val="24"/>
              </w:rPr>
              <w:t>10%</w:t>
            </w:r>
          </w:p>
        </w:tc>
      </w:tr>
      <w:tr w:rsidR="00974EC6" w:rsidRPr="00352E7F" w14:paraId="04ED3218" w14:textId="77777777" w:rsidTr="009D18D7">
        <w:tc>
          <w:tcPr>
            <w:tcW w:w="7375" w:type="dxa"/>
            <w:tcBorders>
              <w:top w:val="single" w:sz="12" w:space="0" w:color="auto"/>
            </w:tcBorders>
          </w:tcPr>
          <w:p w14:paraId="0B6DAD61" w14:textId="77777777" w:rsidR="00974EC6" w:rsidRPr="00EC683E" w:rsidRDefault="00974EC6" w:rsidP="00974EC6">
            <w:pPr>
              <w:rPr>
                <w:rFonts w:ascii="Palatino Linotype" w:hAnsi="Palatino Linotype"/>
                <w:b/>
                <w:bCs/>
                <w:sz w:val="24"/>
                <w:szCs w:val="24"/>
              </w:rPr>
            </w:pPr>
            <w:r w:rsidRPr="00EC683E">
              <w:rPr>
                <w:rFonts w:ascii="Palatino Linotype" w:hAnsi="Palatino Linotype"/>
                <w:b/>
                <w:bCs/>
                <w:sz w:val="24"/>
                <w:szCs w:val="24"/>
              </w:rPr>
              <w:t>Total Funding Level</w:t>
            </w:r>
          </w:p>
        </w:tc>
        <w:tc>
          <w:tcPr>
            <w:tcW w:w="1918" w:type="dxa"/>
            <w:tcBorders>
              <w:top w:val="single" w:sz="12" w:space="0" w:color="auto"/>
            </w:tcBorders>
          </w:tcPr>
          <w:p w14:paraId="09A11D49" w14:textId="77777777" w:rsidR="00974EC6" w:rsidRPr="00EC683E" w:rsidRDefault="00974EC6" w:rsidP="00974EC6">
            <w:pPr>
              <w:jc w:val="center"/>
              <w:rPr>
                <w:rFonts w:ascii="Palatino Linotype" w:hAnsi="Palatino Linotype"/>
                <w:b/>
                <w:bCs/>
                <w:sz w:val="24"/>
                <w:szCs w:val="24"/>
              </w:rPr>
            </w:pPr>
            <w:r w:rsidRPr="00EC683E">
              <w:rPr>
                <w:rFonts w:ascii="Palatino Linotype" w:hAnsi="Palatino Linotype"/>
                <w:b/>
                <w:bCs/>
                <w:sz w:val="24"/>
                <w:szCs w:val="24"/>
              </w:rPr>
              <w:t>100%</w:t>
            </w:r>
            <w:r w:rsidRPr="00EC683E">
              <w:rPr>
                <w:rStyle w:val="FootnoteReference"/>
                <w:rFonts w:ascii="Palatino Linotype" w:hAnsi="Palatino Linotype"/>
                <w:b/>
                <w:bCs/>
                <w:sz w:val="24"/>
                <w:szCs w:val="24"/>
              </w:rPr>
              <w:footnoteReference w:id="7"/>
            </w:r>
          </w:p>
        </w:tc>
      </w:tr>
    </w:tbl>
    <w:p w14:paraId="1AA77B84" w14:textId="77777777" w:rsidR="00974EC6" w:rsidRPr="00EC683E" w:rsidRDefault="00974EC6" w:rsidP="00974EC6">
      <w:pPr>
        <w:rPr>
          <w:rFonts w:ascii="Palatino Linotype" w:hAnsi="Palatino Linotype"/>
          <w:sz w:val="24"/>
          <w:szCs w:val="24"/>
        </w:rPr>
      </w:pPr>
    </w:p>
    <w:p w14:paraId="6F573649" w14:textId="07456794" w:rsidR="00EC683E" w:rsidRPr="00EC683E" w:rsidRDefault="00EC683E" w:rsidP="003C1CC7">
      <w:pPr>
        <w:rPr>
          <w:rFonts w:ascii="Palatino Linotype" w:hAnsi="Palatino Linotype"/>
          <w:sz w:val="24"/>
          <w:szCs w:val="24"/>
        </w:rPr>
      </w:pPr>
      <w:r w:rsidRPr="00EC683E">
        <w:rPr>
          <w:rFonts w:ascii="Palatino Linotype" w:hAnsi="Palatino Linotype"/>
          <w:sz w:val="24"/>
          <w:szCs w:val="24"/>
        </w:rPr>
        <w:t>Details of the appropriate funding level are described below.</w:t>
      </w:r>
    </w:p>
    <w:p w14:paraId="7FCA8B59" w14:textId="77777777" w:rsidR="00EC683E" w:rsidRPr="00EC683E" w:rsidRDefault="00EC683E" w:rsidP="003C1CC7">
      <w:pPr>
        <w:rPr>
          <w:rFonts w:ascii="Palatino Linotype" w:hAnsi="Palatino Linotype"/>
          <w:b/>
          <w:bCs/>
          <w:sz w:val="24"/>
          <w:szCs w:val="24"/>
        </w:rPr>
      </w:pPr>
      <w:r w:rsidRPr="00EC683E">
        <w:rPr>
          <w:rFonts w:ascii="Palatino Linotype" w:hAnsi="Palatino Linotype"/>
          <w:b/>
          <w:bCs/>
          <w:sz w:val="24"/>
          <w:szCs w:val="24"/>
        </w:rPr>
        <w:t xml:space="preserve"> </w:t>
      </w:r>
    </w:p>
    <w:p w14:paraId="1850C6DA" w14:textId="580D89D5" w:rsidR="00EC683E" w:rsidRPr="00EC683E" w:rsidRDefault="00EC683E" w:rsidP="003C1CC7">
      <w:pPr>
        <w:pStyle w:val="ListParagraph"/>
        <w:rPr>
          <w:rFonts w:ascii="Palatino Linotype" w:hAnsi="Palatino Linotype"/>
          <w:sz w:val="24"/>
          <w:szCs w:val="24"/>
        </w:rPr>
      </w:pPr>
      <w:r w:rsidRPr="00EC683E">
        <w:rPr>
          <w:rFonts w:ascii="Palatino Linotype" w:hAnsi="Palatino Linotype"/>
          <w:b/>
          <w:bCs/>
          <w:sz w:val="24"/>
          <w:szCs w:val="24"/>
        </w:rPr>
        <w:t xml:space="preserve">Baseline for </w:t>
      </w:r>
      <w:r w:rsidR="00A75DF8">
        <w:rPr>
          <w:rFonts w:ascii="Palatino Linotype" w:hAnsi="Palatino Linotype"/>
          <w:b/>
          <w:bCs/>
          <w:sz w:val="24"/>
          <w:szCs w:val="24"/>
        </w:rPr>
        <w:t xml:space="preserve">an </w:t>
      </w:r>
      <w:r w:rsidRPr="00EC683E">
        <w:rPr>
          <w:rFonts w:ascii="Palatino Linotype" w:hAnsi="Palatino Linotype"/>
          <w:b/>
          <w:bCs/>
          <w:sz w:val="24"/>
          <w:szCs w:val="24"/>
        </w:rPr>
        <w:t>Eligible Project qualifies for 60 percent funding.</w:t>
      </w:r>
      <w:r w:rsidRPr="00EC683E">
        <w:rPr>
          <w:rFonts w:ascii="Palatino Linotype" w:hAnsi="Palatino Linotype"/>
          <w:sz w:val="24"/>
          <w:szCs w:val="24"/>
        </w:rPr>
        <w:t xml:space="preserve">  </w:t>
      </w:r>
      <w:r w:rsidR="0016479D">
        <w:rPr>
          <w:rFonts w:ascii="Palatino Linotype" w:hAnsi="Palatino Linotype"/>
          <w:sz w:val="24"/>
          <w:szCs w:val="24"/>
        </w:rPr>
        <w:t xml:space="preserve">The </w:t>
      </w:r>
      <w:r w:rsidRPr="00EC683E">
        <w:rPr>
          <w:rFonts w:ascii="Palatino Linotype" w:hAnsi="Palatino Linotype"/>
          <w:sz w:val="24"/>
          <w:szCs w:val="24"/>
        </w:rPr>
        <w:t>CASF program is intended to finance capital costs of projects deploying broadband facilities in unserved areas of California.  The identified</w:t>
      </w:r>
      <w:r>
        <w:rPr>
          <w:rFonts w:ascii="Palatino Linotype" w:hAnsi="Palatino Linotype"/>
          <w:sz w:val="24"/>
          <w:szCs w:val="24"/>
        </w:rPr>
        <w:t xml:space="preserve"> community of Keddie </w:t>
      </w:r>
      <w:r w:rsidRPr="00EC683E">
        <w:rPr>
          <w:rFonts w:ascii="Palatino Linotype" w:hAnsi="Palatino Linotype"/>
          <w:sz w:val="24"/>
          <w:szCs w:val="24"/>
        </w:rPr>
        <w:t>meet</w:t>
      </w:r>
      <w:r>
        <w:rPr>
          <w:rFonts w:ascii="Palatino Linotype" w:hAnsi="Palatino Linotype"/>
          <w:sz w:val="24"/>
          <w:szCs w:val="24"/>
        </w:rPr>
        <w:t>s</w:t>
      </w:r>
      <w:r w:rsidRPr="00EC683E">
        <w:rPr>
          <w:rFonts w:ascii="Palatino Linotype" w:hAnsi="Palatino Linotype"/>
          <w:sz w:val="24"/>
          <w:szCs w:val="24"/>
        </w:rPr>
        <w:t xml:space="preserve"> all of the eligibility criteria, as previously described in the Project Area Eligibility section.</w:t>
      </w:r>
    </w:p>
    <w:p w14:paraId="6DE953DD" w14:textId="77777777" w:rsidR="00EC683E" w:rsidRPr="00EC683E" w:rsidRDefault="00EC683E" w:rsidP="003C1CC7">
      <w:pPr>
        <w:pStyle w:val="ListParagraph"/>
        <w:rPr>
          <w:rFonts w:ascii="Palatino Linotype" w:hAnsi="Palatino Linotype"/>
          <w:sz w:val="24"/>
          <w:szCs w:val="24"/>
        </w:rPr>
      </w:pPr>
    </w:p>
    <w:p w14:paraId="4C3715DE" w14:textId="040E432F" w:rsidR="007B5FFE" w:rsidRDefault="00EC683E" w:rsidP="003C1CC7">
      <w:pPr>
        <w:pStyle w:val="ListParagraph"/>
      </w:pPr>
      <w:r w:rsidRPr="00EC683E">
        <w:rPr>
          <w:rFonts w:ascii="Palatino Linotype" w:hAnsi="Palatino Linotype"/>
          <w:b/>
          <w:bCs/>
          <w:sz w:val="24"/>
          <w:szCs w:val="24"/>
        </w:rPr>
        <w:t xml:space="preserve">Service Level Preference qualifies for </w:t>
      </w:r>
      <w:r w:rsidR="00770DDC">
        <w:rPr>
          <w:rFonts w:ascii="Palatino Linotype" w:hAnsi="Palatino Linotype"/>
          <w:b/>
          <w:bCs/>
          <w:sz w:val="24"/>
          <w:szCs w:val="24"/>
        </w:rPr>
        <w:t xml:space="preserve">an additional </w:t>
      </w:r>
      <w:r w:rsidRPr="00EC683E">
        <w:rPr>
          <w:rFonts w:ascii="Palatino Linotype" w:hAnsi="Palatino Linotype"/>
          <w:b/>
          <w:bCs/>
          <w:sz w:val="24"/>
          <w:szCs w:val="24"/>
        </w:rPr>
        <w:t xml:space="preserve">20 percent funding.  </w:t>
      </w:r>
      <w:r w:rsidR="00497AEB" w:rsidRPr="009D18D7">
        <w:rPr>
          <w:rFonts w:ascii="Palatino Linotype" w:hAnsi="Palatino Linotype"/>
          <w:bCs/>
          <w:sz w:val="24"/>
          <w:szCs w:val="24"/>
        </w:rPr>
        <w:t>Pub. Util. Code</w:t>
      </w:r>
      <w:r w:rsidR="00497AEB">
        <w:rPr>
          <w:rFonts w:ascii="Palatino Linotype" w:hAnsi="Palatino Linotype"/>
          <w:b/>
          <w:bCs/>
          <w:sz w:val="24"/>
          <w:szCs w:val="24"/>
        </w:rPr>
        <w:t xml:space="preserve"> </w:t>
      </w:r>
      <w:r w:rsidR="00D00AC4" w:rsidRPr="00D00AC4">
        <w:rPr>
          <w:rFonts w:ascii="Palatino Linotype" w:hAnsi="Palatino Linotype"/>
          <w:sz w:val="24"/>
          <w:szCs w:val="24"/>
        </w:rPr>
        <w:t>§</w:t>
      </w:r>
      <w:r w:rsidRPr="00EC683E">
        <w:rPr>
          <w:rFonts w:ascii="Palatino Linotype" w:hAnsi="Palatino Linotype"/>
          <w:sz w:val="24"/>
          <w:szCs w:val="24"/>
        </w:rPr>
        <w:t xml:space="preserve"> </w:t>
      </w:r>
      <w:r w:rsidRPr="00EC683E">
        <w:rPr>
          <w:rFonts w:ascii="Palatino Linotype" w:hAnsi="Palatino Linotype"/>
          <w:color w:val="000000" w:themeColor="text1"/>
          <w:sz w:val="24"/>
          <w:szCs w:val="24"/>
        </w:rPr>
        <w:t xml:space="preserve">281(b)(2)(B)(i) encourages the Commission to give preference to projects in areas with no Internet connectivity or where Internet connectivity is available only through dial-up service and are not served by any form of wireline or wireless facility-based broadband service.  </w:t>
      </w:r>
      <w:r w:rsidRPr="00253BFC">
        <w:rPr>
          <w:rFonts w:ascii="Palatino Linotype" w:hAnsi="Palatino Linotype"/>
          <w:sz w:val="24"/>
          <w:szCs w:val="24"/>
        </w:rPr>
        <w:t>According to the California Interactive Broadband Map, all</w:t>
      </w:r>
      <w:r w:rsidR="001D220E">
        <w:rPr>
          <w:rFonts w:ascii="Palatino Linotype" w:hAnsi="Palatino Linotype"/>
          <w:sz w:val="24"/>
          <w:szCs w:val="24"/>
        </w:rPr>
        <w:t xml:space="preserve"> of</w:t>
      </w:r>
      <w:r w:rsidRPr="00253BFC">
        <w:rPr>
          <w:rFonts w:ascii="Palatino Linotype" w:hAnsi="Palatino Linotype"/>
          <w:sz w:val="24"/>
          <w:szCs w:val="24"/>
        </w:rPr>
        <w:t xml:space="preserve"> the proposed project areas are unserved by wireline or fixed wireless broadband service</w:t>
      </w:r>
      <w:r w:rsidR="00E659FE">
        <w:rPr>
          <w:rFonts w:ascii="Palatino Linotype" w:hAnsi="Palatino Linotype"/>
          <w:sz w:val="24"/>
          <w:szCs w:val="24"/>
        </w:rPr>
        <w:t>.</w:t>
      </w:r>
      <w:r>
        <w:rPr>
          <w:rFonts w:ascii="Palatino Linotype" w:hAnsi="Palatino Linotype"/>
          <w:sz w:val="24"/>
          <w:szCs w:val="24"/>
        </w:rPr>
        <w:t xml:space="preserve"> </w:t>
      </w:r>
      <w:r w:rsidR="00E659FE">
        <w:rPr>
          <w:rFonts w:ascii="Palatino Linotype" w:hAnsi="Palatino Linotype"/>
          <w:sz w:val="24"/>
          <w:szCs w:val="24"/>
        </w:rPr>
        <w:t xml:space="preserve"> H</w:t>
      </w:r>
      <w:r>
        <w:rPr>
          <w:rFonts w:ascii="Palatino Linotype" w:hAnsi="Palatino Linotype"/>
          <w:sz w:val="24"/>
          <w:szCs w:val="24"/>
        </w:rPr>
        <w:t xml:space="preserve">owever, </w:t>
      </w:r>
      <w:r w:rsidRPr="00500F38">
        <w:rPr>
          <w:rFonts w:ascii="Palatino Linotype" w:hAnsi="Palatino Linotype"/>
          <w:sz w:val="24"/>
          <w:szCs w:val="24"/>
        </w:rPr>
        <w:t xml:space="preserve">Staff </w:t>
      </w:r>
      <w:r w:rsidR="00E659FE">
        <w:rPr>
          <w:rFonts w:ascii="Palatino Linotype" w:hAnsi="Palatino Linotype"/>
          <w:sz w:val="24"/>
          <w:szCs w:val="24"/>
        </w:rPr>
        <w:t>identified</w:t>
      </w:r>
      <w:r w:rsidR="00E659FE" w:rsidRPr="00500F38">
        <w:rPr>
          <w:rFonts w:ascii="Palatino Linotype" w:hAnsi="Palatino Linotype"/>
          <w:sz w:val="24"/>
          <w:szCs w:val="24"/>
        </w:rPr>
        <w:t xml:space="preserve"> </w:t>
      </w:r>
      <w:r w:rsidR="00356F2A" w:rsidRPr="00E659FE">
        <w:rPr>
          <w:rFonts w:ascii="Palatino Linotype" w:hAnsi="Palatino Linotype"/>
          <w:sz w:val="24"/>
          <w:szCs w:val="24"/>
        </w:rPr>
        <w:t>four</w:t>
      </w:r>
      <w:r w:rsidRPr="00E659FE">
        <w:rPr>
          <w:rFonts w:ascii="Palatino Linotype" w:hAnsi="Palatino Linotype"/>
          <w:sz w:val="24"/>
          <w:szCs w:val="24"/>
        </w:rPr>
        <w:t xml:space="preserve"> out of seven census blocks have </w:t>
      </w:r>
      <w:r w:rsidR="00E659FE">
        <w:rPr>
          <w:rFonts w:ascii="Palatino Linotype" w:hAnsi="Palatino Linotype"/>
          <w:sz w:val="24"/>
          <w:szCs w:val="24"/>
        </w:rPr>
        <w:t>access to mobile data service,</w:t>
      </w:r>
      <w:r w:rsidR="00E659FE" w:rsidRPr="00E659FE">
        <w:rPr>
          <w:rFonts w:ascii="Palatino Linotype" w:hAnsi="Palatino Linotype"/>
          <w:sz w:val="24"/>
          <w:szCs w:val="24"/>
        </w:rPr>
        <w:t xml:space="preserve"> </w:t>
      </w:r>
      <w:r w:rsidR="00E659FE">
        <w:rPr>
          <w:rFonts w:ascii="Palatino Linotype" w:hAnsi="Palatino Linotype"/>
          <w:sz w:val="24"/>
          <w:szCs w:val="24"/>
        </w:rPr>
        <w:t>which is considered as “internet connectivity,”</w:t>
      </w:r>
      <w:r w:rsidRPr="00E659FE">
        <w:rPr>
          <w:rFonts w:ascii="Palatino Linotype" w:hAnsi="Palatino Linotype"/>
          <w:sz w:val="24"/>
          <w:szCs w:val="24"/>
        </w:rPr>
        <w:t xml:space="preserve"> </w:t>
      </w:r>
      <w:r w:rsidR="00356F2A" w:rsidRPr="00E659FE">
        <w:rPr>
          <w:rFonts w:ascii="Palatino Linotype" w:hAnsi="Palatino Linotype"/>
          <w:sz w:val="24"/>
          <w:szCs w:val="24"/>
        </w:rPr>
        <w:t xml:space="preserve">and </w:t>
      </w:r>
      <w:r w:rsidRPr="00E659FE">
        <w:rPr>
          <w:rFonts w:ascii="Palatino Linotype" w:hAnsi="Palatino Linotype"/>
          <w:sz w:val="24"/>
          <w:szCs w:val="24"/>
        </w:rPr>
        <w:t>thus</w:t>
      </w:r>
      <w:r w:rsidR="00FB6F1C" w:rsidRPr="00E659FE">
        <w:rPr>
          <w:rFonts w:ascii="Palatino Linotype" w:hAnsi="Palatino Linotype"/>
          <w:sz w:val="24"/>
          <w:szCs w:val="24"/>
        </w:rPr>
        <w:t>,</w:t>
      </w:r>
      <w:r w:rsidRPr="00E659FE">
        <w:rPr>
          <w:rFonts w:ascii="Palatino Linotype" w:hAnsi="Palatino Linotype"/>
          <w:sz w:val="24"/>
          <w:szCs w:val="24"/>
        </w:rPr>
        <w:t xml:space="preserve"> </w:t>
      </w:r>
      <w:r w:rsidR="00FB6F1C" w:rsidRPr="00E659FE">
        <w:rPr>
          <w:rFonts w:ascii="Palatino Linotype" w:hAnsi="Palatino Linotype"/>
          <w:sz w:val="24"/>
          <w:szCs w:val="24"/>
        </w:rPr>
        <w:t xml:space="preserve">do not qualify for </w:t>
      </w:r>
      <w:r w:rsidRPr="00E659FE">
        <w:rPr>
          <w:rFonts w:ascii="Palatino Linotype" w:hAnsi="Palatino Linotype"/>
          <w:sz w:val="24"/>
          <w:szCs w:val="24"/>
        </w:rPr>
        <w:t xml:space="preserve">additional funding.  Census </w:t>
      </w:r>
      <w:r w:rsidRPr="00E659FE">
        <w:rPr>
          <w:rFonts w:ascii="Palatino Linotype" w:hAnsi="Palatino Linotype"/>
          <w:sz w:val="24"/>
          <w:szCs w:val="24"/>
        </w:rPr>
        <w:lastRenderedPageBreak/>
        <w:t xml:space="preserve">blocks that </w:t>
      </w:r>
      <w:r w:rsidR="00FB6F1C" w:rsidRPr="00E659FE">
        <w:rPr>
          <w:rFonts w:ascii="Palatino Linotype" w:hAnsi="Palatino Linotype"/>
          <w:sz w:val="24"/>
          <w:szCs w:val="24"/>
        </w:rPr>
        <w:t xml:space="preserve">qualify for the </w:t>
      </w:r>
      <w:r w:rsidR="006709C6" w:rsidRPr="00E659FE">
        <w:rPr>
          <w:rFonts w:ascii="Palatino Linotype" w:hAnsi="Palatino Linotype"/>
          <w:sz w:val="24"/>
          <w:szCs w:val="24"/>
        </w:rPr>
        <w:t xml:space="preserve">Service Level Preference </w:t>
      </w:r>
      <w:r w:rsidRPr="00E659FE">
        <w:rPr>
          <w:rFonts w:ascii="Palatino Linotype" w:hAnsi="Palatino Linotype"/>
          <w:sz w:val="24"/>
          <w:szCs w:val="24"/>
        </w:rPr>
        <w:t>are 060630001006002, 060630002021065, and 060630002021066.</w:t>
      </w:r>
      <w:r w:rsidRPr="00262534">
        <w:rPr>
          <w:rFonts w:ascii="Palatino Linotype" w:hAnsi="Palatino Linotype"/>
          <w:sz w:val="24"/>
          <w:szCs w:val="24"/>
        </w:rPr>
        <w:t xml:space="preserve">  </w:t>
      </w:r>
    </w:p>
    <w:p w14:paraId="706E36CA" w14:textId="77777777" w:rsidR="00EC683E" w:rsidRDefault="00EC683E" w:rsidP="003C1CC7">
      <w:pPr>
        <w:pStyle w:val="ListParagraph"/>
        <w:rPr>
          <w:rFonts w:ascii="Palatino Linotype" w:hAnsi="Palatino Linotype"/>
          <w:sz w:val="24"/>
          <w:szCs w:val="24"/>
        </w:rPr>
      </w:pPr>
    </w:p>
    <w:p w14:paraId="4F38E442" w14:textId="44C4A793" w:rsidR="00EC683E" w:rsidRDefault="00274F7A" w:rsidP="003C1CC7">
      <w:pPr>
        <w:pStyle w:val="ListParagraph"/>
        <w:rPr>
          <w:rFonts w:ascii="Palatino Linotype" w:hAnsi="Palatino Linotype"/>
          <w:sz w:val="24"/>
          <w:szCs w:val="24"/>
        </w:rPr>
      </w:pPr>
      <w:r>
        <w:rPr>
          <w:rFonts w:ascii="Palatino Linotype" w:hAnsi="Palatino Linotype"/>
          <w:sz w:val="24"/>
          <w:szCs w:val="24"/>
        </w:rPr>
        <w:t xml:space="preserve">The maximum funding level for Service Level Preference is 40 percent.  Staff calculated the </w:t>
      </w:r>
      <w:r w:rsidR="007B5FFE">
        <w:rPr>
          <w:rFonts w:ascii="Palatino Linotype" w:hAnsi="Palatino Linotype"/>
          <w:sz w:val="24"/>
          <w:szCs w:val="24"/>
        </w:rPr>
        <w:t xml:space="preserve">percentage </w:t>
      </w:r>
      <w:r w:rsidR="0010021C">
        <w:rPr>
          <w:rFonts w:ascii="Palatino Linotype" w:hAnsi="Palatino Linotype"/>
          <w:sz w:val="24"/>
          <w:szCs w:val="24"/>
        </w:rPr>
        <w:t xml:space="preserve">of additional </w:t>
      </w:r>
      <w:r>
        <w:rPr>
          <w:rFonts w:ascii="Palatino Linotype" w:hAnsi="Palatino Linotype"/>
          <w:sz w:val="24"/>
          <w:szCs w:val="24"/>
        </w:rPr>
        <w:t>funding</w:t>
      </w:r>
      <w:r w:rsidR="0062160F">
        <w:rPr>
          <w:rFonts w:ascii="Palatino Linotype" w:hAnsi="Palatino Linotype"/>
          <w:sz w:val="24"/>
          <w:szCs w:val="24"/>
        </w:rPr>
        <w:t xml:space="preserve"> </w:t>
      </w:r>
      <w:r w:rsidR="007B5FFE">
        <w:rPr>
          <w:rFonts w:ascii="Palatino Linotype" w:hAnsi="Palatino Linotype"/>
          <w:sz w:val="24"/>
          <w:szCs w:val="24"/>
        </w:rPr>
        <w:t xml:space="preserve">in </w:t>
      </w:r>
      <w:r>
        <w:rPr>
          <w:rFonts w:ascii="Palatino Linotype" w:hAnsi="Palatino Linotype"/>
          <w:sz w:val="24"/>
          <w:szCs w:val="24"/>
        </w:rPr>
        <w:t>proportion to the percentage of households in the project area.</w:t>
      </w:r>
      <w:r w:rsidRPr="00274F7A">
        <w:rPr>
          <w:rFonts w:ascii="Palatino Linotype" w:hAnsi="Palatino Linotype"/>
          <w:sz w:val="24"/>
          <w:szCs w:val="24"/>
        </w:rPr>
        <w:t xml:space="preserve"> </w:t>
      </w:r>
      <w:r w:rsidR="00356F2A">
        <w:rPr>
          <w:rFonts w:ascii="Palatino Linotype" w:hAnsi="Palatino Linotype"/>
          <w:sz w:val="24"/>
          <w:szCs w:val="24"/>
        </w:rPr>
        <w:t xml:space="preserve"> </w:t>
      </w:r>
      <w:r w:rsidRPr="00262534">
        <w:rPr>
          <w:rFonts w:ascii="Palatino Linotype" w:hAnsi="Palatino Linotype"/>
          <w:sz w:val="24"/>
          <w:szCs w:val="24"/>
        </w:rPr>
        <w:t>The census blocks</w:t>
      </w:r>
      <w:r>
        <w:rPr>
          <w:rFonts w:ascii="Palatino Linotype" w:hAnsi="Palatino Linotype"/>
          <w:sz w:val="24"/>
          <w:szCs w:val="24"/>
        </w:rPr>
        <w:t xml:space="preserve"> identified above include 18 of the 36 CASF-eligible households, which represent half of the households in the project area.  </w:t>
      </w:r>
      <w:r w:rsidR="0062160F">
        <w:rPr>
          <w:rFonts w:ascii="Palatino Linotype" w:hAnsi="Palatino Linotype"/>
          <w:sz w:val="24"/>
          <w:szCs w:val="24"/>
        </w:rPr>
        <w:t xml:space="preserve">Therefore, this project should receive half of the Service Level Preference funding, which equates to </w:t>
      </w:r>
      <w:r w:rsidR="00145587">
        <w:rPr>
          <w:rFonts w:ascii="Palatino Linotype" w:hAnsi="Palatino Linotype"/>
          <w:sz w:val="24"/>
          <w:szCs w:val="24"/>
        </w:rPr>
        <w:t xml:space="preserve">an additional </w:t>
      </w:r>
      <w:r w:rsidR="0062160F">
        <w:rPr>
          <w:rFonts w:ascii="Palatino Linotype" w:hAnsi="Palatino Linotype"/>
          <w:sz w:val="24"/>
          <w:szCs w:val="24"/>
        </w:rPr>
        <w:t xml:space="preserve">20 percent funding for this criterion.  </w:t>
      </w:r>
    </w:p>
    <w:p w14:paraId="4A587193" w14:textId="77777777" w:rsidR="00EC683E" w:rsidRPr="00EC683E" w:rsidRDefault="00EC683E" w:rsidP="003C1CC7">
      <w:pPr>
        <w:pStyle w:val="ListParagraph"/>
        <w:rPr>
          <w:rFonts w:ascii="Palatino Linotype" w:hAnsi="Palatino Linotype"/>
          <w:sz w:val="24"/>
          <w:szCs w:val="24"/>
        </w:rPr>
      </w:pPr>
    </w:p>
    <w:p w14:paraId="747F8678" w14:textId="418147D3" w:rsidR="00611086" w:rsidRDefault="00EC683E" w:rsidP="003C1CC7">
      <w:pPr>
        <w:ind w:left="720"/>
        <w:rPr>
          <w:rFonts w:ascii="Palatino Linotype" w:hAnsi="Palatino Linotype"/>
          <w:sz w:val="24"/>
          <w:szCs w:val="24"/>
        </w:rPr>
      </w:pPr>
      <w:r w:rsidRPr="00EC683E">
        <w:rPr>
          <w:rFonts w:ascii="Palatino Linotype" w:hAnsi="Palatino Linotype"/>
          <w:b/>
          <w:bCs/>
          <w:sz w:val="24"/>
          <w:szCs w:val="24"/>
        </w:rPr>
        <w:t xml:space="preserve">Low Income </w:t>
      </w:r>
      <w:r w:rsidR="00F54DA5">
        <w:rPr>
          <w:rFonts w:ascii="Palatino Linotype" w:hAnsi="Palatino Linotype"/>
          <w:b/>
          <w:bCs/>
          <w:sz w:val="24"/>
          <w:szCs w:val="24"/>
        </w:rPr>
        <w:t>consideration</w:t>
      </w:r>
      <w:r w:rsidR="00A75DF8">
        <w:rPr>
          <w:rFonts w:ascii="Palatino Linotype" w:hAnsi="Palatino Linotype"/>
          <w:b/>
          <w:bCs/>
          <w:sz w:val="24"/>
          <w:szCs w:val="24"/>
        </w:rPr>
        <w:t>s</w:t>
      </w:r>
      <w:r>
        <w:rPr>
          <w:rFonts w:ascii="Palatino Linotype" w:hAnsi="Palatino Linotype"/>
          <w:b/>
          <w:bCs/>
          <w:sz w:val="24"/>
          <w:szCs w:val="24"/>
        </w:rPr>
        <w:t xml:space="preserve"> </w:t>
      </w:r>
      <w:r w:rsidRPr="004822E1">
        <w:rPr>
          <w:rFonts w:ascii="Palatino Linotype" w:hAnsi="Palatino Linotype"/>
          <w:b/>
          <w:bCs/>
          <w:sz w:val="24"/>
          <w:szCs w:val="24"/>
        </w:rPr>
        <w:t>do not qualify</w:t>
      </w:r>
      <w:r>
        <w:rPr>
          <w:rFonts w:ascii="Palatino Linotype" w:hAnsi="Palatino Linotype"/>
          <w:b/>
          <w:bCs/>
          <w:sz w:val="24"/>
          <w:szCs w:val="24"/>
        </w:rPr>
        <w:t xml:space="preserve"> for</w:t>
      </w:r>
      <w:r w:rsidRPr="00EC683E">
        <w:rPr>
          <w:rFonts w:ascii="Palatino Linotype" w:hAnsi="Palatino Linotype"/>
          <w:b/>
          <w:bCs/>
          <w:sz w:val="24"/>
          <w:szCs w:val="24"/>
        </w:rPr>
        <w:t xml:space="preserve"> </w:t>
      </w:r>
      <w:r w:rsidR="00770DDC">
        <w:rPr>
          <w:rFonts w:ascii="Palatino Linotype" w:hAnsi="Palatino Linotype"/>
          <w:b/>
          <w:bCs/>
          <w:sz w:val="24"/>
          <w:szCs w:val="24"/>
        </w:rPr>
        <w:t xml:space="preserve">additional </w:t>
      </w:r>
      <w:r w:rsidRPr="00EC683E">
        <w:rPr>
          <w:rFonts w:ascii="Palatino Linotype" w:hAnsi="Palatino Linotype"/>
          <w:b/>
          <w:bCs/>
          <w:sz w:val="24"/>
          <w:szCs w:val="24"/>
        </w:rPr>
        <w:t>funding</w:t>
      </w:r>
      <w:r w:rsidRPr="00EC683E">
        <w:rPr>
          <w:rFonts w:ascii="Palatino Linotype" w:hAnsi="Palatino Linotype"/>
          <w:sz w:val="24"/>
          <w:szCs w:val="24"/>
        </w:rPr>
        <w:t xml:space="preserve">.  </w:t>
      </w:r>
      <w:r w:rsidRPr="00253BFC">
        <w:rPr>
          <w:rFonts w:ascii="Palatino Linotype" w:hAnsi="Palatino Linotype"/>
          <w:sz w:val="24"/>
          <w:szCs w:val="24"/>
        </w:rPr>
        <w:t xml:space="preserve">The </w:t>
      </w:r>
      <w:r w:rsidR="00F86A9C">
        <w:rPr>
          <w:rFonts w:ascii="Palatino Linotype" w:hAnsi="Palatino Linotype"/>
          <w:sz w:val="24"/>
          <w:szCs w:val="24"/>
        </w:rPr>
        <w:t xml:space="preserve">average </w:t>
      </w:r>
      <w:r w:rsidRPr="00253BFC">
        <w:rPr>
          <w:rFonts w:ascii="Palatino Linotype" w:hAnsi="Palatino Linotype"/>
          <w:sz w:val="24"/>
          <w:szCs w:val="24"/>
        </w:rPr>
        <w:t xml:space="preserve">median </w:t>
      </w:r>
      <w:r w:rsidR="00F86A9C">
        <w:rPr>
          <w:rFonts w:ascii="Palatino Linotype" w:hAnsi="Palatino Linotype"/>
          <w:sz w:val="24"/>
          <w:szCs w:val="24"/>
        </w:rPr>
        <w:t xml:space="preserve">household </w:t>
      </w:r>
      <w:r w:rsidRPr="00253BFC">
        <w:rPr>
          <w:rFonts w:ascii="Palatino Linotype" w:hAnsi="Palatino Linotype"/>
          <w:sz w:val="24"/>
          <w:szCs w:val="24"/>
        </w:rPr>
        <w:t xml:space="preserve">income of the census block groups in the proposed project area is </w:t>
      </w:r>
      <w:r>
        <w:rPr>
          <w:rFonts w:ascii="Palatino Linotype" w:hAnsi="Palatino Linotype"/>
          <w:sz w:val="24"/>
          <w:szCs w:val="24"/>
        </w:rPr>
        <w:t xml:space="preserve">$58,029.  </w:t>
      </w:r>
      <w:r w:rsidR="001D220E">
        <w:rPr>
          <w:rFonts w:ascii="Palatino Linotype" w:hAnsi="Palatino Linotype"/>
          <w:sz w:val="24"/>
          <w:szCs w:val="24"/>
        </w:rPr>
        <w:t xml:space="preserve">Based on </w:t>
      </w:r>
      <w:r>
        <w:rPr>
          <w:rFonts w:ascii="Palatino Linotype" w:hAnsi="Palatino Linotype"/>
          <w:sz w:val="24"/>
          <w:szCs w:val="24"/>
        </w:rPr>
        <w:t xml:space="preserve">the proportion of households located in each census block group, the weighted median </w:t>
      </w:r>
      <w:r w:rsidR="00F86A9C">
        <w:rPr>
          <w:rFonts w:ascii="Palatino Linotype" w:hAnsi="Palatino Linotype"/>
          <w:sz w:val="24"/>
          <w:szCs w:val="24"/>
        </w:rPr>
        <w:t xml:space="preserve">household </w:t>
      </w:r>
      <w:r>
        <w:rPr>
          <w:rFonts w:ascii="Palatino Linotype" w:hAnsi="Palatino Linotype"/>
          <w:sz w:val="24"/>
          <w:szCs w:val="24"/>
        </w:rPr>
        <w:t xml:space="preserve">income of the proposed project area reduces to </w:t>
      </w:r>
      <w:r w:rsidRPr="00253BFC">
        <w:rPr>
          <w:rFonts w:ascii="Palatino Linotype" w:hAnsi="Palatino Linotype"/>
          <w:sz w:val="24"/>
          <w:szCs w:val="24"/>
        </w:rPr>
        <w:t>$</w:t>
      </w:r>
      <w:r>
        <w:rPr>
          <w:rFonts w:ascii="Palatino Linotype" w:hAnsi="Palatino Linotype"/>
          <w:sz w:val="24"/>
          <w:szCs w:val="24"/>
        </w:rPr>
        <w:t>54</w:t>
      </w:r>
      <w:r w:rsidRPr="00253BFC">
        <w:rPr>
          <w:rFonts w:ascii="Palatino Linotype" w:hAnsi="Palatino Linotype"/>
          <w:sz w:val="24"/>
          <w:szCs w:val="24"/>
        </w:rPr>
        <w:t>,</w:t>
      </w:r>
      <w:r>
        <w:rPr>
          <w:rFonts w:ascii="Palatino Linotype" w:hAnsi="Palatino Linotype"/>
          <w:sz w:val="24"/>
          <w:szCs w:val="24"/>
        </w:rPr>
        <w:t xml:space="preserve">291, which </w:t>
      </w:r>
      <w:r w:rsidR="001D220E">
        <w:rPr>
          <w:rFonts w:ascii="Palatino Linotype" w:hAnsi="Palatino Linotype"/>
          <w:sz w:val="24"/>
          <w:szCs w:val="24"/>
        </w:rPr>
        <w:t xml:space="preserve">still </w:t>
      </w:r>
      <w:r>
        <w:rPr>
          <w:rFonts w:ascii="Palatino Linotype" w:hAnsi="Palatino Linotype"/>
          <w:sz w:val="24"/>
          <w:szCs w:val="24"/>
        </w:rPr>
        <w:t xml:space="preserve">does not meet the CASF low-income eligibility threshold.  </w:t>
      </w:r>
    </w:p>
    <w:p w14:paraId="230273CB" w14:textId="77777777" w:rsidR="00611086" w:rsidRDefault="00611086" w:rsidP="003C1CC7">
      <w:pPr>
        <w:ind w:left="720"/>
        <w:rPr>
          <w:rFonts w:ascii="Palatino Linotype" w:hAnsi="Palatino Linotype"/>
          <w:sz w:val="24"/>
          <w:szCs w:val="24"/>
        </w:rPr>
      </w:pPr>
    </w:p>
    <w:p w14:paraId="5C633704" w14:textId="58961D97" w:rsidR="00EC683E" w:rsidRPr="00253BFC" w:rsidRDefault="00EC683E" w:rsidP="003C1CC7">
      <w:pPr>
        <w:ind w:left="720"/>
        <w:rPr>
          <w:rFonts w:ascii="Palatino Linotype" w:hAnsi="Palatino Linotype"/>
          <w:sz w:val="24"/>
          <w:szCs w:val="24"/>
        </w:rPr>
      </w:pPr>
      <w:r>
        <w:rPr>
          <w:rFonts w:ascii="Palatino Linotype" w:hAnsi="Palatino Linotype"/>
          <w:sz w:val="24"/>
          <w:szCs w:val="24"/>
        </w:rPr>
        <w:t>PST will offer a $10 monthly discount on the broadband plan of the customer’s choice</w:t>
      </w:r>
      <w:r w:rsidR="00611086" w:rsidRPr="00611086">
        <w:rPr>
          <w:rFonts w:ascii="Palatino Linotype" w:hAnsi="Palatino Linotype"/>
          <w:sz w:val="24"/>
          <w:szCs w:val="24"/>
        </w:rPr>
        <w:t xml:space="preserve"> </w:t>
      </w:r>
      <w:r w:rsidR="00611086">
        <w:rPr>
          <w:rFonts w:ascii="Palatino Linotype" w:hAnsi="Palatino Linotype"/>
          <w:sz w:val="24"/>
          <w:szCs w:val="24"/>
        </w:rPr>
        <w:t>for customers with incomes below 190 percent of the federal poverty level</w:t>
      </w:r>
      <w:r w:rsidR="00A47E00">
        <w:rPr>
          <w:rFonts w:ascii="Palatino Linotype" w:hAnsi="Palatino Linotype"/>
          <w:sz w:val="24"/>
          <w:szCs w:val="24"/>
        </w:rPr>
        <w:t>.</w:t>
      </w:r>
      <w:r w:rsidR="006709C6">
        <w:rPr>
          <w:rFonts w:ascii="Palatino Linotype" w:hAnsi="Palatino Linotype"/>
          <w:sz w:val="24"/>
          <w:szCs w:val="24"/>
        </w:rPr>
        <w:t xml:space="preserve"> </w:t>
      </w:r>
      <w:r w:rsidRPr="00F20F4B">
        <w:rPr>
          <w:rFonts w:ascii="Palatino Linotype" w:hAnsi="Palatino Linotype"/>
          <w:sz w:val="24"/>
          <w:szCs w:val="24"/>
        </w:rPr>
        <w:t xml:space="preserve"> </w:t>
      </w:r>
      <w:r w:rsidR="00611086">
        <w:rPr>
          <w:rFonts w:ascii="Palatino Linotype" w:hAnsi="Palatino Linotype"/>
          <w:sz w:val="24"/>
          <w:szCs w:val="24"/>
        </w:rPr>
        <w:t>Even with the discount, all the broadband plans are more than $15 per month</w:t>
      </w:r>
      <w:r w:rsidR="006A2798">
        <w:rPr>
          <w:rFonts w:ascii="Palatino Linotype" w:hAnsi="Palatino Linotype"/>
          <w:sz w:val="24"/>
          <w:szCs w:val="24"/>
        </w:rPr>
        <w:t>; th</w:t>
      </w:r>
      <w:r w:rsidR="00611086">
        <w:rPr>
          <w:rFonts w:ascii="Palatino Linotype" w:hAnsi="Palatino Linotype"/>
          <w:sz w:val="24"/>
          <w:szCs w:val="24"/>
        </w:rPr>
        <w:t xml:space="preserve">is project does not </w:t>
      </w:r>
      <w:r w:rsidR="006A2798">
        <w:rPr>
          <w:rFonts w:ascii="Palatino Linotype" w:hAnsi="Palatino Linotype"/>
          <w:sz w:val="24"/>
          <w:szCs w:val="24"/>
        </w:rPr>
        <w:t>meet the low-income service criteria</w:t>
      </w:r>
      <w:r w:rsidR="00611086">
        <w:rPr>
          <w:rFonts w:ascii="Palatino Linotype" w:hAnsi="Palatino Linotype"/>
          <w:sz w:val="24"/>
          <w:szCs w:val="24"/>
        </w:rPr>
        <w:t>.</w:t>
      </w:r>
      <w:r w:rsidR="0000753C">
        <w:rPr>
          <w:rFonts w:ascii="Palatino Linotype" w:hAnsi="Palatino Linotype"/>
          <w:sz w:val="24"/>
          <w:szCs w:val="24"/>
        </w:rPr>
        <w:t xml:space="preserve">  </w:t>
      </w:r>
    </w:p>
    <w:p w14:paraId="1E02B254" w14:textId="77777777" w:rsidR="00EC683E" w:rsidRPr="00EC683E" w:rsidRDefault="00EC683E" w:rsidP="00212A74">
      <w:pPr>
        <w:jc w:val="both"/>
        <w:rPr>
          <w:rFonts w:ascii="Palatino Linotype" w:hAnsi="Palatino Linotype"/>
          <w:b/>
          <w:bCs/>
          <w:sz w:val="24"/>
          <w:szCs w:val="24"/>
        </w:rPr>
      </w:pPr>
    </w:p>
    <w:p w14:paraId="687FF7A9" w14:textId="75E4C95B" w:rsidR="00EC683E" w:rsidRPr="00EC683E" w:rsidRDefault="00EC683E" w:rsidP="003C1CC7">
      <w:pPr>
        <w:pStyle w:val="ListParagraph"/>
        <w:rPr>
          <w:rFonts w:ascii="Palatino Linotype" w:hAnsi="Palatino Linotype"/>
          <w:b/>
          <w:bCs/>
          <w:sz w:val="24"/>
          <w:szCs w:val="24"/>
        </w:rPr>
      </w:pPr>
      <w:r w:rsidRPr="00EC683E">
        <w:rPr>
          <w:rFonts w:ascii="Palatino Linotype" w:hAnsi="Palatino Linotype"/>
          <w:b/>
          <w:bCs/>
          <w:sz w:val="24"/>
          <w:szCs w:val="24"/>
        </w:rPr>
        <w:t xml:space="preserve">Other Factor </w:t>
      </w:r>
      <w:r w:rsidR="004F5E59">
        <w:rPr>
          <w:rFonts w:ascii="Palatino Linotype" w:hAnsi="Palatino Linotype"/>
          <w:b/>
          <w:bCs/>
          <w:sz w:val="24"/>
          <w:szCs w:val="24"/>
        </w:rPr>
        <w:t>c</w:t>
      </w:r>
      <w:r w:rsidRPr="00EC683E">
        <w:rPr>
          <w:rFonts w:ascii="Palatino Linotype" w:hAnsi="Palatino Linotype"/>
          <w:b/>
          <w:bCs/>
          <w:sz w:val="24"/>
          <w:szCs w:val="24"/>
        </w:rPr>
        <w:t>onsiderations qualif</w:t>
      </w:r>
      <w:r w:rsidR="00A75DF8">
        <w:rPr>
          <w:rFonts w:ascii="Palatino Linotype" w:hAnsi="Palatino Linotype"/>
          <w:b/>
          <w:bCs/>
          <w:sz w:val="24"/>
          <w:szCs w:val="24"/>
        </w:rPr>
        <w:t>y</w:t>
      </w:r>
      <w:r w:rsidRPr="00EC683E">
        <w:rPr>
          <w:rFonts w:ascii="Palatino Linotype" w:hAnsi="Palatino Linotype"/>
          <w:b/>
          <w:bCs/>
          <w:sz w:val="24"/>
          <w:szCs w:val="24"/>
        </w:rPr>
        <w:t xml:space="preserve"> for </w:t>
      </w:r>
      <w:r w:rsidR="00770DDC">
        <w:rPr>
          <w:rFonts w:ascii="Palatino Linotype" w:hAnsi="Palatino Linotype"/>
          <w:b/>
          <w:bCs/>
          <w:sz w:val="24"/>
          <w:szCs w:val="24"/>
        </w:rPr>
        <w:t xml:space="preserve">an additional </w:t>
      </w:r>
      <w:r w:rsidRPr="00EC683E">
        <w:rPr>
          <w:rFonts w:ascii="Palatino Linotype" w:hAnsi="Palatino Linotype"/>
          <w:b/>
          <w:bCs/>
          <w:sz w:val="24"/>
          <w:szCs w:val="24"/>
        </w:rPr>
        <w:t xml:space="preserve">20 percent funding.  </w:t>
      </w:r>
      <w:r w:rsidRPr="00EC683E">
        <w:rPr>
          <w:rFonts w:ascii="Palatino Linotype" w:hAnsi="Palatino Linotype"/>
          <w:sz w:val="24"/>
          <w:szCs w:val="24"/>
        </w:rPr>
        <w:t>Th</w:t>
      </w:r>
      <w:r w:rsidR="00F54DA5">
        <w:rPr>
          <w:rFonts w:ascii="Palatino Linotype" w:hAnsi="Palatino Linotype"/>
          <w:sz w:val="24"/>
          <w:szCs w:val="24"/>
        </w:rPr>
        <w:t>e</w:t>
      </w:r>
      <w:r w:rsidRPr="00EC683E">
        <w:rPr>
          <w:rFonts w:ascii="Palatino Linotype" w:hAnsi="Palatino Linotype"/>
          <w:sz w:val="24"/>
          <w:szCs w:val="24"/>
        </w:rPr>
        <w:t xml:space="preserve"> </w:t>
      </w:r>
      <w:r w:rsidR="00F54DA5">
        <w:rPr>
          <w:rFonts w:ascii="Palatino Linotype" w:hAnsi="Palatino Linotype"/>
          <w:sz w:val="24"/>
          <w:szCs w:val="24"/>
        </w:rPr>
        <w:t>Keddie</w:t>
      </w:r>
      <w:r w:rsidRPr="00EC683E">
        <w:rPr>
          <w:rFonts w:ascii="Palatino Linotype" w:hAnsi="Palatino Linotype"/>
          <w:sz w:val="24"/>
          <w:szCs w:val="24"/>
        </w:rPr>
        <w:t xml:space="preserve"> Project meets </w:t>
      </w:r>
      <w:r w:rsidR="00F54DA5">
        <w:rPr>
          <w:rFonts w:ascii="Palatino Linotype" w:hAnsi="Palatino Linotype"/>
          <w:sz w:val="24"/>
          <w:szCs w:val="24"/>
        </w:rPr>
        <w:t>two of the</w:t>
      </w:r>
      <w:r w:rsidRPr="00EC683E">
        <w:rPr>
          <w:rFonts w:ascii="Palatino Linotype" w:hAnsi="Palatino Linotype"/>
          <w:sz w:val="24"/>
          <w:szCs w:val="24"/>
        </w:rPr>
        <w:t xml:space="preserve"> three criteria and qualifies for </w:t>
      </w:r>
      <w:r w:rsidR="00A438F2">
        <w:rPr>
          <w:rFonts w:ascii="Palatino Linotype" w:hAnsi="Palatino Linotype"/>
          <w:sz w:val="24"/>
          <w:szCs w:val="24"/>
        </w:rPr>
        <w:t>an</w:t>
      </w:r>
      <w:r w:rsidRPr="00EC683E">
        <w:rPr>
          <w:rFonts w:ascii="Palatino Linotype" w:hAnsi="Palatino Linotype"/>
          <w:sz w:val="24"/>
          <w:szCs w:val="24"/>
        </w:rPr>
        <w:t xml:space="preserve"> additional 20 percent funding.</w:t>
      </w:r>
    </w:p>
    <w:p w14:paraId="104D029D" w14:textId="77777777" w:rsidR="00EC683E" w:rsidRPr="00EC683E" w:rsidRDefault="00EC683E" w:rsidP="003C1CC7">
      <w:pPr>
        <w:rPr>
          <w:rFonts w:ascii="Palatino Linotype" w:hAnsi="Palatino Linotype"/>
          <w:sz w:val="24"/>
          <w:szCs w:val="24"/>
        </w:rPr>
      </w:pPr>
    </w:p>
    <w:p w14:paraId="1E3FF945" w14:textId="76C2E8F1" w:rsidR="00F54DA5" w:rsidRDefault="00F54DA5" w:rsidP="003C1CC7">
      <w:pPr>
        <w:ind w:left="720"/>
        <w:rPr>
          <w:rFonts w:ascii="Palatino Linotype" w:hAnsi="Palatino Linotype"/>
          <w:sz w:val="24"/>
          <w:szCs w:val="24"/>
        </w:rPr>
      </w:pPr>
      <w:r>
        <w:rPr>
          <w:rFonts w:ascii="Palatino Linotype" w:hAnsi="Palatino Linotype"/>
          <w:sz w:val="24"/>
          <w:szCs w:val="24"/>
        </w:rPr>
        <w:t xml:space="preserve">Staff determined the proposed project meets the inaccessible location criteria for an additional 10 percent funding.  The </w:t>
      </w:r>
      <w:r w:rsidRPr="00253BFC">
        <w:rPr>
          <w:rFonts w:ascii="Palatino Linotype" w:hAnsi="Palatino Linotype"/>
          <w:sz w:val="24"/>
          <w:szCs w:val="24"/>
        </w:rPr>
        <w:t>project</w:t>
      </w:r>
      <w:r>
        <w:rPr>
          <w:rFonts w:ascii="Palatino Linotype" w:hAnsi="Palatino Linotype"/>
          <w:sz w:val="24"/>
          <w:szCs w:val="24"/>
        </w:rPr>
        <w:t xml:space="preserve"> area is</w:t>
      </w:r>
      <w:r w:rsidRPr="00253BFC">
        <w:rPr>
          <w:rFonts w:ascii="Palatino Linotype" w:hAnsi="Palatino Linotype"/>
          <w:sz w:val="24"/>
          <w:szCs w:val="24"/>
        </w:rPr>
        <w:t xml:space="preserve"> locat</w:t>
      </w:r>
      <w:r>
        <w:rPr>
          <w:rFonts w:ascii="Palatino Linotype" w:hAnsi="Palatino Linotype"/>
          <w:sz w:val="24"/>
          <w:szCs w:val="24"/>
        </w:rPr>
        <w:t>ed</w:t>
      </w:r>
      <w:r w:rsidRPr="00253BFC">
        <w:rPr>
          <w:rFonts w:ascii="Palatino Linotype" w:hAnsi="Palatino Linotype"/>
          <w:sz w:val="24"/>
          <w:szCs w:val="24"/>
        </w:rPr>
        <w:t xml:space="preserve"> in the remote </w:t>
      </w:r>
      <w:r>
        <w:rPr>
          <w:rFonts w:ascii="Palatino Linotype" w:hAnsi="Palatino Linotype"/>
          <w:sz w:val="24"/>
          <w:szCs w:val="24"/>
        </w:rPr>
        <w:t xml:space="preserve">northern </w:t>
      </w:r>
      <w:r w:rsidRPr="00253BFC">
        <w:rPr>
          <w:rFonts w:ascii="Palatino Linotype" w:hAnsi="Palatino Linotype"/>
          <w:sz w:val="24"/>
          <w:szCs w:val="24"/>
        </w:rPr>
        <w:t>Sierra Nevada</w:t>
      </w:r>
      <w:r>
        <w:rPr>
          <w:rFonts w:ascii="Palatino Linotype" w:hAnsi="Palatino Linotype"/>
          <w:sz w:val="24"/>
          <w:szCs w:val="24"/>
        </w:rPr>
        <w:t xml:space="preserve"> mountains and Plumas National Forest. </w:t>
      </w:r>
      <w:r w:rsidRPr="00253BFC">
        <w:rPr>
          <w:rFonts w:ascii="Palatino Linotype" w:hAnsi="Palatino Linotype"/>
          <w:sz w:val="24"/>
          <w:szCs w:val="24"/>
        </w:rPr>
        <w:t xml:space="preserve"> Staff considers the project area to be </w:t>
      </w:r>
      <w:r>
        <w:rPr>
          <w:rFonts w:ascii="Palatino Linotype" w:hAnsi="Palatino Linotype"/>
          <w:sz w:val="24"/>
          <w:szCs w:val="24"/>
        </w:rPr>
        <w:t>difficult</w:t>
      </w:r>
      <w:r w:rsidRPr="00253BFC">
        <w:rPr>
          <w:rFonts w:ascii="Palatino Linotype" w:hAnsi="Palatino Linotype"/>
          <w:sz w:val="24"/>
          <w:szCs w:val="24"/>
        </w:rPr>
        <w:t xml:space="preserve"> terrain and relatively inaccessible to advanced broadband communications infrastructure.</w:t>
      </w:r>
      <w:r>
        <w:rPr>
          <w:rFonts w:ascii="Palatino Linotype" w:hAnsi="Palatino Linotype"/>
          <w:sz w:val="24"/>
          <w:szCs w:val="24"/>
        </w:rPr>
        <w:t xml:space="preserve">  Additionally, the proposed project areas are in rural census blocks as defined by the U.S. Census.</w:t>
      </w:r>
      <w:r w:rsidRPr="00253BFC">
        <w:rPr>
          <w:rFonts w:ascii="Palatino Linotype" w:hAnsi="Palatino Linotype"/>
          <w:sz w:val="24"/>
          <w:szCs w:val="24"/>
        </w:rPr>
        <w:t xml:space="preserve">  </w:t>
      </w:r>
      <w:r w:rsidRPr="00EC683E">
        <w:rPr>
          <w:rFonts w:ascii="Palatino Linotype" w:hAnsi="Palatino Linotype"/>
          <w:sz w:val="24"/>
          <w:szCs w:val="24"/>
        </w:rPr>
        <w:t xml:space="preserve">Details of geography and topography are shown </w:t>
      </w:r>
      <w:r w:rsidRPr="00C470A6">
        <w:rPr>
          <w:rFonts w:ascii="Palatino Linotype" w:hAnsi="Palatino Linotype"/>
          <w:sz w:val="24"/>
          <w:szCs w:val="24"/>
        </w:rPr>
        <w:t xml:space="preserve">in </w:t>
      </w:r>
      <w:r w:rsidRPr="004822E1">
        <w:rPr>
          <w:rFonts w:ascii="Palatino Linotype" w:hAnsi="Palatino Linotype"/>
          <w:sz w:val="24"/>
          <w:szCs w:val="24"/>
        </w:rPr>
        <w:t xml:space="preserve">Appendix </w:t>
      </w:r>
      <w:r w:rsidR="00CC79E9" w:rsidRPr="004822E1">
        <w:rPr>
          <w:rFonts w:ascii="Palatino Linotype" w:hAnsi="Palatino Linotype"/>
          <w:sz w:val="24"/>
          <w:szCs w:val="24"/>
        </w:rPr>
        <w:t>C</w:t>
      </w:r>
      <w:r w:rsidRPr="00C470A6">
        <w:rPr>
          <w:rFonts w:ascii="Palatino Linotype" w:hAnsi="Palatino Linotype"/>
          <w:sz w:val="24"/>
          <w:szCs w:val="24"/>
        </w:rPr>
        <w:t>.</w:t>
      </w:r>
    </w:p>
    <w:p w14:paraId="150DE546" w14:textId="77777777" w:rsidR="00F54DA5" w:rsidRPr="00EC683E" w:rsidRDefault="00F54DA5" w:rsidP="003C1CC7">
      <w:pPr>
        <w:ind w:left="720"/>
        <w:rPr>
          <w:rFonts w:ascii="Palatino Linotype" w:hAnsi="Palatino Linotype"/>
          <w:sz w:val="24"/>
          <w:szCs w:val="24"/>
        </w:rPr>
      </w:pPr>
    </w:p>
    <w:p w14:paraId="54266393" w14:textId="5EDC5A8D" w:rsidR="00F54DA5" w:rsidRDefault="00F54DA5" w:rsidP="003C1CC7">
      <w:pPr>
        <w:ind w:left="720"/>
        <w:rPr>
          <w:rFonts w:ascii="Palatino Linotype" w:hAnsi="Palatino Linotype"/>
          <w:sz w:val="24"/>
          <w:szCs w:val="24"/>
        </w:rPr>
      </w:pPr>
      <w:r w:rsidRPr="00EC683E">
        <w:rPr>
          <w:rFonts w:ascii="Palatino Linotype" w:hAnsi="Palatino Linotype"/>
          <w:sz w:val="24"/>
          <w:szCs w:val="24"/>
        </w:rPr>
        <w:t>Staff determined the project makes a significant contribution to the program goal and is eligible for a</w:t>
      </w:r>
      <w:r>
        <w:rPr>
          <w:rFonts w:ascii="Palatino Linotype" w:hAnsi="Palatino Linotype"/>
          <w:sz w:val="24"/>
          <w:szCs w:val="24"/>
        </w:rPr>
        <w:t>n additional</w:t>
      </w:r>
      <w:r w:rsidRPr="00EC683E">
        <w:rPr>
          <w:rFonts w:ascii="Palatino Linotype" w:hAnsi="Palatino Linotype"/>
          <w:sz w:val="24"/>
          <w:szCs w:val="24"/>
        </w:rPr>
        <w:t xml:space="preserve"> 10 percent funding.  </w:t>
      </w:r>
      <w:r>
        <w:rPr>
          <w:rFonts w:ascii="Palatino Linotype" w:hAnsi="Palatino Linotype"/>
          <w:sz w:val="24"/>
          <w:szCs w:val="24"/>
        </w:rPr>
        <w:t>T</w:t>
      </w:r>
      <w:r w:rsidRPr="00253BFC">
        <w:rPr>
          <w:rFonts w:ascii="Palatino Linotype" w:hAnsi="Palatino Linotype"/>
          <w:sz w:val="24"/>
          <w:szCs w:val="24"/>
        </w:rPr>
        <w:t xml:space="preserve">he </w:t>
      </w:r>
      <w:r>
        <w:rPr>
          <w:rFonts w:ascii="Palatino Linotype" w:hAnsi="Palatino Linotype"/>
          <w:sz w:val="24"/>
          <w:szCs w:val="24"/>
        </w:rPr>
        <w:t>Northeast California Connect Consortium region to which the community of Keddie belongs,</w:t>
      </w:r>
      <w:r w:rsidR="00C51BF2">
        <w:rPr>
          <w:rFonts w:ascii="Palatino Linotype" w:hAnsi="Palatino Linotype"/>
          <w:sz w:val="24"/>
          <w:szCs w:val="24"/>
        </w:rPr>
        <w:t xml:space="preserve"> is at </w:t>
      </w:r>
      <w:r w:rsidR="00E659FE">
        <w:rPr>
          <w:rFonts w:ascii="Palatino Linotype" w:hAnsi="Palatino Linotype"/>
          <w:sz w:val="24"/>
          <w:szCs w:val="24"/>
        </w:rPr>
        <w:t>90.4</w:t>
      </w:r>
      <w:r w:rsidR="00C51BF2">
        <w:rPr>
          <w:rFonts w:ascii="Palatino Linotype" w:hAnsi="Palatino Linotype"/>
          <w:sz w:val="24"/>
          <w:szCs w:val="24"/>
        </w:rPr>
        <w:t xml:space="preserve"> </w:t>
      </w:r>
      <w:r w:rsidR="00C51BF2">
        <w:rPr>
          <w:rFonts w:ascii="Palatino Linotype" w:hAnsi="Palatino Linotype"/>
          <w:sz w:val="24"/>
          <w:szCs w:val="24"/>
        </w:rPr>
        <w:lastRenderedPageBreak/>
        <w:t>percent,</w:t>
      </w:r>
      <w:r w:rsidR="00E659FE">
        <w:rPr>
          <w:rStyle w:val="FootnoteReference"/>
          <w:rFonts w:ascii="Palatino Linotype" w:hAnsi="Palatino Linotype"/>
          <w:sz w:val="24"/>
          <w:szCs w:val="24"/>
        </w:rPr>
        <w:footnoteReference w:id="8"/>
      </w:r>
      <w:r w:rsidR="00C51BF2">
        <w:rPr>
          <w:rFonts w:ascii="Palatino Linotype" w:hAnsi="Palatino Linotype"/>
          <w:sz w:val="24"/>
          <w:szCs w:val="24"/>
        </w:rPr>
        <w:t xml:space="preserve"> which is below the CASF program goal.</w:t>
      </w:r>
      <w:r>
        <w:rPr>
          <w:rFonts w:ascii="Palatino Linotype" w:hAnsi="Palatino Linotype"/>
          <w:sz w:val="24"/>
          <w:szCs w:val="24"/>
        </w:rPr>
        <w:t xml:space="preserve"> </w:t>
      </w:r>
      <w:r w:rsidR="004F5E59">
        <w:rPr>
          <w:rFonts w:ascii="Palatino Linotype" w:hAnsi="Palatino Linotype"/>
          <w:sz w:val="24"/>
          <w:szCs w:val="24"/>
        </w:rPr>
        <w:t xml:space="preserve"> </w:t>
      </w:r>
      <w:r w:rsidR="00C51BF2">
        <w:rPr>
          <w:rFonts w:ascii="Palatino Linotype" w:hAnsi="Palatino Linotype"/>
          <w:sz w:val="24"/>
          <w:szCs w:val="24"/>
        </w:rPr>
        <w:t>T</w:t>
      </w:r>
      <w:r>
        <w:rPr>
          <w:rFonts w:ascii="Palatino Linotype" w:hAnsi="Palatino Linotype"/>
          <w:sz w:val="24"/>
          <w:szCs w:val="24"/>
        </w:rPr>
        <w:t>herefore, this project is considered as making a significant contribution to the program goal.</w:t>
      </w:r>
      <w:r w:rsidRPr="00253BFC">
        <w:rPr>
          <w:rFonts w:ascii="Palatino Linotype" w:hAnsi="Palatino Linotype"/>
          <w:sz w:val="24"/>
          <w:szCs w:val="24"/>
        </w:rPr>
        <w:t xml:space="preserve">  </w:t>
      </w:r>
    </w:p>
    <w:p w14:paraId="5B741236" w14:textId="77777777" w:rsidR="00CC79E9" w:rsidRDefault="00CC79E9" w:rsidP="00F54DA5">
      <w:pPr>
        <w:ind w:left="720"/>
        <w:jc w:val="both"/>
        <w:rPr>
          <w:rFonts w:ascii="Palatino Linotype" w:hAnsi="Palatino Linotype"/>
          <w:sz w:val="24"/>
          <w:szCs w:val="24"/>
        </w:rPr>
      </w:pPr>
    </w:p>
    <w:p w14:paraId="70C5641C" w14:textId="3D7F8DF3" w:rsidR="00CC79E9" w:rsidRPr="00974EC6" w:rsidRDefault="00CC79E9" w:rsidP="00CC79E9">
      <w:pPr>
        <w:pStyle w:val="Heading2"/>
        <w:numPr>
          <w:ilvl w:val="6"/>
          <w:numId w:val="20"/>
        </w:numPr>
        <w:ind w:left="993" w:hanging="446"/>
        <w:rPr>
          <w:rFonts w:ascii="Palatino Linotype" w:hAnsi="Palatino Linotype"/>
          <w:szCs w:val="24"/>
          <w:u w:val="single"/>
        </w:rPr>
      </w:pPr>
      <w:r>
        <w:rPr>
          <w:rFonts w:ascii="Palatino Linotype" w:hAnsi="Palatino Linotype"/>
          <w:szCs w:val="24"/>
          <w:u w:val="single"/>
        </w:rPr>
        <w:t>Safety and Community Support</w:t>
      </w:r>
    </w:p>
    <w:p w14:paraId="1A8EA43C" w14:textId="2D23C1FF" w:rsidR="009B79BE" w:rsidRDefault="00BA2A2D" w:rsidP="003C1CC7">
      <w:pPr>
        <w:rPr>
          <w:rFonts w:ascii="Palatino Linotype" w:hAnsi="Palatino Linotype"/>
          <w:sz w:val="24"/>
          <w:szCs w:val="24"/>
        </w:rPr>
      </w:pPr>
      <w:r>
        <w:rPr>
          <w:rFonts w:ascii="Palatino Linotype" w:hAnsi="Palatino Linotype"/>
          <w:sz w:val="24"/>
          <w:szCs w:val="24"/>
        </w:rPr>
        <w:t xml:space="preserve">The CASF program encourages the deployment of broadband throughout the State to enable </w:t>
      </w:r>
      <w:r w:rsidR="002F30FA">
        <w:rPr>
          <w:rFonts w:ascii="Palatino Linotype" w:hAnsi="Palatino Linotype"/>
          <w:sz w:val="24"/>
          <w:szCs w:val="24"/>
        </w:rPr>
        <w:t xml:space="preserve">the public to access Internet-based safety applications, telehealth services, access to emergency services, and to allow first responders to communicate with each other and collaborate during emergencies.  </w:t>
      </w:r>
    </w:p>
    <w:p w14:paraId="2D9EE0E5" w14:textId="77777777" w:rsidR="002B7B17" w:rsidRDefault="002B7B17" w:rsidP="003C1CC7">
      <w:pPr>
        <w:rPr>
          <w:rFonts w:ascii="Palatino Linotype" w:hAnsi="Palatino Linotype"/>
          <w:sz w:val="24"/>
          <w:szCs w:val="24"/>
        </w:rPr>
      </w:pPr>
    </w:p>
    <w:p w14:paraId="40AA5E8D" w14:textId="07532F80" w:rsidR="00845950" w:rsidRDefault="00CC79E9" w:rsidP="003C1CC7">
      <w:pPr>
        <w:rPr>
          <w:rFonts w:ascii="Palatino Linotype" w:hAnsi="Palatino Linotype"/>
          <w:sz w:val="24"/>
          <w:szCs w:val="24"/>
        </w:rPr>
      </w:pPr>
      <w:r>
        <w:rPr>
          <w:rFonts w:ascii="Palatino Linotype" w:hAnsi="Palatino Linotype"/>
          <w:b/>
          <w:bCs/>
          <w:sz w:val="24"/>
          <w:szCs w:val="24"/>
        </w:rPr>
        <w:t>PST</w:t>
      </w:r>
      <w:r w:rsidRPr="00CC79E9">
        <w:rPr>
          <w:rFonts w:ascii="Palatino Linotype" w:hAnsi="Palatino Linotype"/>
          <w:b/>
          <w:bCs/>
          <w:sz w:val="24"/>
          <w:szCs w:val="24"/>
        </w:rPr>
        <w:t xml:space="preserve">’s </w:t>
      </w:r>
      <w:r>
        <w:rPr>
          <w:rFonts w:ascii="Palatino Linotype" w:hAnsi="Palatino Linotype"/>
          <w:b/>
          <w:bCs/>
          <w:sz w:val="24"/>
          <w:szCs w:val="24"/>
        </w:rPr>
        <w:t>Keddie P</w:t>
      </w:r>
      <w:r w:rsidRPr="00CC79E9">
        <w:rPr>
          <w:rFonts w:ascii="Palatino Linotype" w:hAnsi="Palatino Linotype"/>
          <w:b/>
          <w:bCs/>
          <w:sz w:val="24"/>
          <w:szCs w:val="24"/>
        </w:rPr>
        <w:t>roject will provide enhanced communications services that will promote public safety capabilities in an area located in a Tier 2 Fire-Threat District.</w:t>
      </w:r>
      <w:r w:rsidR="00924FA6">
        <w:rPr>
          <w:rStyle w:val="FootnoteReference"/>
          <w:rFonts w:ascii="Palatino Linotype" w:hAnsi="Palatino Linotype"/>
          <w:sz w:val="24"/>
          <w:szCs w:val="24"/>
        </w:rPr>
        <w:footnoteReference w:id="9"/>
      </w:r>
      <w:r w:rsidR="00921283">
        <w:rPr>
          <w:rFonts w:ascii="Palatino Linotype" w:hAnsi="Palatino Linotype"/>
          <w:sz w:val="24"/>
          <w:szCs w:val="24"/>
        </w:rPr>
        <w:t xml:space="preserve">  </w:t>
      </w:r>
      <w:r w:rsidR="00732867">
        <w:rPr>
          <w:rFonts w:ascii="Palatino Linotype" w:hAnsi="Palatino Linotype"/>
          <w:sz w:val="24"/>
          <w:szCs w:val="24"/>
        </w:rPr>
        <w:t xml:space="preserve">The </w:t>
      </w:r>
      <w:r w:rsidR="006B69C0">
        <w:rPr>
          <w:rFonts w:ascii="Palatino Linotype" w:hAnsi="Palatino Linotype"/>
          <w:sz w:val="24"/>
          <w:szCs w:val="24"/>
        </w:rPr>
        <w:t xml:space="preserve">communities of </w:t>
      </w:r>
      <w:r w:rsidR="00732867">
        <w:rPr>
          <w:rFonts w:ascii="Palatino Linotype" w:hAnsi="Palatino Linotype"/>
          <w:sz w:val="24"/>
          <w:szCs w:val="24"/>
        </w:rPr>
        <w:t xml:space="preserve">Keddie and Quincy </w:t>
      </w:r>
      <w:r w:rsidR="006B69C0">
        <w:rPr>
          <w:rFonts w:ascii="Palatino Linotype" w:hAnsi="Palatino Linotype"/>
          <w:sz w:val="24"/>
          <w:szCs w:val="24"/>
        </w:rPr>
        <w:t>have</w:t>
      </w:r>
      <w:r w:rsidR="00732867">
        <w:rPr>
          <w:rFonts w:ascii="Palatino Linotype" w:hAnsi="Palatino Linotype"/>
          <w:sz w:val="24"/>
          <w:szCs w:val="24"/>
        </w:rPr>
        <w:t xml:space="preserve"> been designated by CalFire as “Communities at Risk” of damage from wildfire.  </w:t>
      </w:r>
      <w:r w:rsidR="00320756" w:rsidRPr="00CC02A9">
        <w:rPr>
          <w:rFonts w:ascii="Palatino Linotype" w:hAnsi="Palatino Linotype"/>
          <w:sz w:val="24"/>
          <w:szCs w:val="24"/>
        </w:rPr>
        <w:t xml:space="preserve">The </w:t>
      </w:r>
      <w:r w:rsidR="00320756">
        <w:rPr>
          <w:rFonts w:ascii="Palatino Linotype" w:hAnsi="Palatino Linotype"/>
          <w:sz w:val="24"/>
          <w:szCs w:val="24"/>
        </w:rPr>
        <w:t>city of</w:t>
      </w:r>
      <w:r w:rsidR="00320756" w:rsidRPr="00CC02A9">
        <w:rPr>
          <w:rFonts w:ascii="Palatino Linotype" w:hAnsi="Palatino Linotype"/>
          <w:sz w:val="24"/>
          <w:szCs w:val="24"/>
        </w:rPr>
        <w:t xml:space="preserve"> </w:t>
      </w:r>
      <w:r w:rsidR="00320756">
        <w:rPr>
          <w:rFonts w:ascii="Palatino Linotype" w:hAnsi="Palatino Linotype"/>
          <w:sz w:val="24"/>
          <w:szCs w:val="24"/>
        </w:rPr>
        <w:t>Keddie</w:t>
      </w:r>
      <w:r w:rsidR="00320756" w:rsidRPr="00CC02A9">
        <w:rPr>
          <w:rFonts w:ascii="Palatino Linotype" w:hAnsi="Palatino Linotype"/>
          <w:sz w:val="24"/>
          <w:szCs w:val="24"/>
        </w:rPr>
        <w:t xml:space="preserve"> is only accessible by </w:t>
      </w:r>
      <w:r w:rsidR="00320756">
        <w:rPr>
          <w:rFonts w:ascii="Palatino Linotype" w:hAnsi="Palatino Linotype"/>
          <w:sz w:val="24"/>
          <w:szCs w:val="24"/>
        </w:rPr>
        <w:t>Highway 70</w:t>
      </w:r>
      <w:r w:rsidR="000B41B3">
        <w:rPr>
          <w:rFonts w:ascii="Palatino Linotype" w:hAnsi="Palatino Linotype"/>
          <w:sz w:val="24"/>
          <w:szCs w:val="24"/>
        </w:rPr>
        <w:t>,</w:t>
      </w:r>
      <w:r w:rsidR="00320756">
        <w:rPr>
          <w:rFonts w:ascii="Palatino Linotype" w:hAnsi="Palatino Linotype"/>
          <w:sz w:val="24"/>
          <w:szCs w:val="24"/>
        </w:rPr>
        <w:t xml:space="preserve"> </w:t>
      </w:r>
      <w:r w:rsidR="000B41B3">
        <w:rPr>
          <w:rFonts w:ascii="Palatino Linotype" w:hAnsi="Palatino Linotype"/>
          <w:sz w:val="24"/>
          <w:szCs w:val="24"/>
        </w:rPr>
        <w:t>where</w:t>
      </w:r>
      <w:r w:rsidR="00320756">
        <w:rPr>
          <w:rFonts w:ascii="Palatino Linotype" w:hAnsi="Palatino Linotype"/>
          <w:sz w:val="24"/>
          <w:szCs w:val="24"/>
        </w:rPr>
        <w:t xml:space="preserve"> i</w:t>
      </w:r>
      <w:r w:rsidR="00C75B2C" w:rsidRPr="00CC02A9">
        <w:rPr>
          <w:rFonts w:ascii="Palatino Linotype" w:hAnsi="Palatino Linotype"/>
          <w:sz w:val="24"/>
          <w:szCs w:val="24"/>
        </w:rPr>
        <w:t xml:space="preserve">n an event of a major </w:t>
      </w:r>
      <w:r w:rsidR="00343F8B">
        <w:rPr>
          <w:rFonts w:ascii="Palatino Linotype" w:hAnsi="Palatino Linotype"/>
          <w:sz w:val="24"/>
          <w:szCs w:val="24"/>
        </w:rPr>
        <w:t>wildfire</w:t>
      </w:r>
      <w:r w:rsidR="000B41B3">
        <w:rPr>
          <w:rFonts w:ascii="Palatino Linotype" w:hAnsi="Palatino Linotype"/>
          <w:sz w:val="24"/>
          <w:szCs w:val="24"/>
        </w:rPr>
        <w:t>,</w:t>
      </w:r>
      <w:r w:rsidR="00C75B2C" w:rsidRPr="00CC02A9">
        <w:rPr>
          <w:rFonts w:ascii="Palatino Linotype" w:hAnsi="Palatino Linotype"/>
          <w:sz w:val="24"/>
          <w:szCs w:val="24"/>
        </w:rPr>
        <w:t xml:space="preserve"> the </w:t>
      </w:r>
      <w:r w:rsidR="00343F8B">
        <w:rPr>
          <w:rFonts w:ascii="Palatino Linotype" w:hAnsi="Palatino Linotype"/>
          <w:sz w:val="24"/>
          <w:szCs w:val="24"/>
        </w:rPr>
        <w:t>Keddie</w:t>
      </w:r>
      <w:r w:rsidR="00C75B2C" w:rsidRPr="00CC02A9">
        <w:rPr>
          <w:rFonts w:ascii="Palatino Linotype" w:hAnsi="Palatino Linotype"/>
          <w:sz w:val="24"/>
          <w:szCs w:val="24"/>
        </w:rPr>
        <w:t xml:space="preserve"> area could easily become isolated.  </w:t>
      </w:r>
      <w:r w:rsidR="005B62C1">
        <w:rPr>
          <w:rFonts w:ascii="Palatino Linotype" w:hAnsi="Palatino Linotype"/>
          <w:sz w:val="24"/>
          <w:szCs w:val="24"/>
        </w:rPr>
        <w:t xml:space="preserve">East Sierra Valley Chamber of Commerce and Plumas County Public Health Agency filed letters of support for the project emphasizing the importance of broadband access in rural communities for safety and emergency services.  </w:t>
      </w:r>
      <w:r w:rsidR="00F24202">
        <w:rPr>
          <w:rFonts w:ascii="Palatino Linotype" w:hAnsi="Palatino Linotype"/>
          <w:sz w:val="24"/>
          <w:szCs w:val="24"/>
        </w:rPr>
        <w:t xml:space="preserve">Per East Sierra Valley Chamber of Commerce, PST has been providing critical telecommunications services to neighboring rural communities, however, not all have access to high-speed Internet.  The Sierra Valley has been overlooked by </w:t>
      </w:r>
      <w:r w:rsidR="00EF18EC">
        <w:rPr>
          <w:rFonts w:ascii="Palatino Linotype" w:hAnsi="Palatino Linotype"/>
          <w:sz w:val="24"/>
          <w:szCs w:val="24"/>
        </w:rPr>
        <w:t xml:space="preserve">service providers </w:t>
      </w:r>
      <w:r w:rsidR="00BD7C42">
        <w:rPr>
          <w:rFonts w:ascii="Palatino Linotype" w:hAnsi="Palatino Linotype"/>
          <w:sz w:val="24"/>
          <w:szCs w:val="24"/>
        </w:rPr>
        <w:t xml:space="preserve">such as </w:t>
      </w:r>
      <w:r w:rsidR="00F24202">
        <w:rPr>
          <w:rFonts w:ascii="Palatino Linotype" w:hAnsi="Palatino Linotype"/>
          <w:sz w:val="24"/>
          <w:szCs w:val="24"/>
        </w:rPr>
        <w:t>AT&amp;T and Verizon</w:t>
      </w:r>
      <w:r w:rsidR="0016479D">
        <w:rPr>
          <w:rFonts w:ascii="Palatino Linotype" w:hAnsi="Palatino Linotype"/>
          <w:sz w:val="24"/>
          <w:szCs w:val="24"/>
        </w:rPr>
        <w:t>, such that the area is lacking</w:t>
      </w:r>
      <w:r w:rsidR="00EF18EC">
        <w:rPr>
          <w:rFonts w:ascii="Palatino Linotype" w:hAnsi="Palatino Linotype"/>
          <w:sz w:val="24"/>
          <w:szCs w:val="24"/>
        </w:rPr>
        <w:t xml:space="preserve"> good, reliable communications</w:t>
      </w:r>
      <w:r w:rsidR="00F24202">
        <w:rPr>
          <w:rFonts w:ascii="Palatino Linotype" w:hAnsi="Palatino Linotype"/>
          <w:sz w:val="24"/>
          <w:szCs w:val="24"/>
        </w:rPr>
        <w:t xml:space="preserve">. </w:t>
      </w:r>
      <w:r w:rsidR="0053300D">
        <w:rPr>
          <w:rFonts w:ascii="Palatino Linotype" w:hAnsi="Palatino Linotype"/>
          <w:sz w:val="24"/>
          <w:szCs w:val="24"/>
        </w:rPr>
        <w:t xml:space="preserve"> </w:t>
      </w:r>
      <w:r w:rsidR="00975CF7" w:rsidRPr="00CC02A9">
        <w:rPr>
          <w:rFonts w:ascii="Palatino Linotype" w:hAnsi="Palatino Linotype"/>
          <w:sz w:val="24"/>
          <w:szCs w:val="24"/>
        </w:rPr>
        <w:t xml:space="preserve">For these reasons, </w:t>
      </w:r>
      <w:r w:rsidR="00975CF7">
        <w:rPr>
          <w:rFonts w:ascii="Palatino Linotype" w:hAnsi="Palatino Linotype"/>
          <w:sz w:val="24"/>
          <w:szCs w:val="24"/>
        </w:rPr>
        <w:t>Staff</w:t>
      </w:r>
      <w:r w:rsidR="00975CF7" w:rsidRPr="00CC02A9">
        <w:rPr>
          <w:rFonts w:ascii="Palatino Linotype" w:hAnsi="Palatino Linotype"/>
          <w:sz w:val="24"/>
          <w:szCs w:val="24"/>
        </w:rPr>
        <w:t xml:space="preserve"> finds the project will enhance public safety.  </w:t>
      </w:r>
    </w:p>
    <w:p w14:paraId="12489155" w14:textId="3A67F18C" w:rsidR="0053300D" w:rsidRDefault="00975CF7" w:rsidP="00E92045">
      <w:pPr>
        <w:rPr>
          <w:rFonts w:ascii="Palatino Linotype" w:hAnsi="Palatino Linotype"/>
          <w:sz w:val="24"/>
          <w:szCs w:val="24"/>
        </w:rPr>
      </w:pPr>
      <w:r w:rsidRPr="00CC02A9">
        <w:rPr>
          <w:rFonts w:ascii="Palatino Linotype" w:hAnsi="Palatino Linotype"/>
          <w:sz w:val="24"/>
          <w:szCs w:val="24"/>
        </w:rPr>
        <w:t xml:space="preserve"> </w:t>
      </w:r>
    </w:p>
    <w:p w14:paraId="4262FC97" w14:textId="2B869E66" w:rsidR="001B7114" w:rsidRDefault="00CC79E9" w:rsidP="003C1CC7">
      <w:pPr>
        <w:rPr>
          <w:rFonts w:ascii="Palatino Linotype" w:hAnsi="Palatino Linotype"/>
          <w:sz w:val="24"/>
          <w:szCs w:val="24"/>
        </w:rPr>
      </w:pPr>
      <w:r w:rsidRPr="00CC79E9">
        <w:rPr>
          <w:rFonts w:ascii="Palatino Linotype" w:hAnsi="Palatino Linotype"/>
          <w:b/>
          <w:bCs/>
          <w:sz w:val="24"/>
          <w:szCs w:val="24"/>
        </w:rPr>
        <w:t xml:space="preserve">The project is </w:t>
      </w:r>
      <w:r w:rsidR="006B69C0">
        <w:rPr>
          <w:rFonts w:ascii="Palatino Linotype" w:hAnsi="Palatino Linotype"/>
          <w:b/>
          <w:bCs/>
          <w:sz w:val="24"/>
          <w:szCs w:val="24"/>
        </w:rPr>
        <w:t>great</w:t>
      </w:r>
      <w:r w:rsidRPr="00CC79E9">
        <w:rPr>
          <w:rFonts w:ascii="Palatino Linotype" w:hAnsi="Palatino Linotype"/>
          <w:b/>
          <w:bCs/>
          <w:sz w:val="24"/>
          <w:szCs w:val="24"/>
        </w:rPr>
        <w:t xml:space="preserve">ly supported by the community for its potential to remove barriers </w:t>
      </w:r>
      <w:r w:rsidR="00E557FF">
        <w:rPr>
          <w:rFonts w:ascii="Palatino Linotype" w:hAnsi="Palatino Linotype"/>
          <w:b/>
          <w:bCs/>
          <w:sz w:val="24"/>
          <w:szCs w:val="24"/>
        </w:rPr>
        <w:t>to</w:t>
      </w:r>
      <w:r w:rsidRPr="00CC79E9">
        <w:rPr>
          <w:rFonts w:ascii="Palatino Linotype" w:hAnsi="Palatino Linotype"/>
          <w:b/>
          <w:bCs/>
          <w:sz w:val="24"/>
          <w:szCs w:val="24"/>
        </w:rPr>
        <w:t xml:space="preserve"> economic and workforce development, health care, education and public safety.</w:t>
      </w:r>
      <w:r w:rsidRPr="00CC79E9">
        <w:rPr>
          <w:rFonts w:ascii="Palatino Linotype" w:hAnsi="Palatino Linotype"/>
          <w:sz w:val="24"/>
          <w:szCs w:val="24"/>
        </w:rPr>
        <w:t xml:space="preserve">  </w:t>
      </w:r>
      <w:r w:rsidR="0066309B" w:rsidRPr="00CC79E9">
        <w:rPr>
          <w:rFonts w:ascii="Palatino Linotype" w:hAnsi="Palatino Linotype"/>
          <w:sz w:val="24"/>
          <w:szCs w:val="24"/>
        </w:rPr>
        <w:t>A</w:t>
      </w:r>
      <w:r w:rsidR="00924521" w:rsidRPr="00CC79E9">
        <w:rPr>
          <w:rFonts w:ascii="Palatino Linotype" w:hAnsi="Palatino Linotype"/>
          <w:sz w:val="24"/>
          <w:szCs w:val="24"/>
        </w:rPr>
        <w:t xml:space="preserve">s the only higher education provider in Plumas County, </w:t>
      </w:r>
      <w:r w:rsidR="00667EBE" w:rsidRPr="00CC79E9">
        <w:rPr>
          <w:rFonts w:ascii="Palatino Linotype" w:hAnsi="Palatino Linotype"/>
          <w:sz w:val="24"/>
          <w:szCs w:val="24"/>
        </w:rPr>
        <w:t>Feather River College</w:t>
      </w:r>
      <w:r w:rsidR="00B3065C" w:rsidRPr="00CC79E9">
        <w:rPr>
          <w:rFonts w:ascii="Palatino Linotype" w:hAnsi="Palatino Linotype"/>
          <w:sz w:val="24"/>
          <w:szCs w:val="24"/>
        </w:rPr>
        <w:t xml:space="preserve"> supports the</w:t>
      </w:r>
      <w:r w:rsidR="00B3065C">
        <w:rPr>
          <w:rFonts w:ascii="Palatino Linotype" w:hAnsi="Palatino Linotype"/>
          <w:sz w:val="24"/>
          <w:szCs w:val="24"/>
        </w:rPr>
        <w:t xml:space="preserve"> project based on the premise that access to high-speed </w:t>
      </w:r>
      <w:r w:rsidR="00770416">
        <w:rPr>
          <w:rFonts w:ascii="Palatino Linotype" w:hAnsi="Palatino Linotype"/>
          <w:sz w:val="24"/>
          <w:szCs w:val="24"/>
        </w:rPr>
        <w:t>I</w:t>
      </w:r>
      <w:r w:rsidR="00B3065C">
        <w:rPr>
          <w:rFonts w:ascii="Palatino Linotype" w:hAnsi="Palatino Linotype"/>
          <w:sz w:val="24"/>
          <w:szCs w:val="24"/>
        </w:rPr>
        <w:t xml:space="preserve">nternet is integral </w:t>
      </w:r>
      <w:r w:rsidR="00360C23">
        <w:rPr>
          <w:rFonts w:ascii="Palatino Linotype" w:hAnsi="Palatino Linotype"/>
          <w:sz w:val="24"/>
          <w:szCs w:val="24"/>
        </w:rPr>
        <w:t>for residents to</w:t>
      </w:r>
      <w:r w:rsidR="005E3FBA">
        <w:rPr>
          <w:rFonts w:ascii="Palatino Linotype" w:hAnsi="Palatino Linotype"/>
          <w:sz w:val="24"/>
          <w:szCs w:val="24"/>
        </w:rPr>
        <w:t xml:space="preserve"> access academic content </w:t>
      </w:r>
      <w:r w:rsidR="00204C72">
        <w:rPr>
          <w:rFonts w:ascii="Palatino Linotype" w:hAnsi="Palatino Linotype"/>
          <w:sz w:val="24"/>
          <w:szCs w:val="24"/>
        </w:rPr>
        <w:t>essential for community and economic development.</w:t>
      </w:r>
      <w:r w:rsidR="00B5627A">
        <w:rPr>
          <w:rFonts w:ascii="Palatino Linotype" w:hAnsi="Palatino Linotype"/>
          <w:sz w:val="24"/>
          <w:szCs w:val="24"/>
        </w:rPr>
        <w:t xml:space="preserve">  </w:t>
      </w:r>
      <w:r w:rsidR="005C4CD7">
        <w:rPr>
          <w:rFonts w:ascii="Palatino Linotype" w:hAnsi="Palatino Linotype"/>
          <w:sz w:val="24"/>
          <w:szCs w:val="24"/>
        </w:rPr>
        <w:t xml:space="preserve">Feather River College </w:t>
      </w:r>
      <w:r w:rsidR="001620F6">
        <w:rPr>
          <w:rFonts w:ascii="Palatino Linotype" w:hAnsi="Palatino Linotype"/>
          <w:sz w:val="24"/>
          <w:szCs w:val="24"/>
        </w:rPr>
        <w:t xml:space="preserve">offers online courses, including video streaming content, </w:t>
      </w:r>
      <w:r w:rsidR="008C6577">
        <w:rPr>
          <w:rFonts w:ascii="Palatino Linotype" w:hAnsi="Palatino Linotype"/>
          <w:sz w:val="24"/>
          <w:szCs w:val="24"/>
        </w:rPr>
        <w:t>for entrepreneurship training and website development.</w:t>
      </w:r>
      <w:r w:rsidR="00B73834">
        <w:rPr>
          <w:rFonts w:ascii="Palatino Linotype" w:hAnsi="Palatino Linotype"/>
          <w:sz w:val="24"/>
          <w:szCs w:val="24"/>
        </w:rPr>
        <w:t xml:space="preserve">  </w:t>
      </w:r>
      <w:r w:rsidR="001609C1">
        <w:rPr>
          <w:rFonts w:ascii="Palatino Linotype" w:hAnsi="Palatino Linotype"/>
          <w:sz w:val="24"/>
          <w:szCs w:val="24"/>
        </w:rPr>
        <w:t xml:space="preserve">The project brings the prospect of economic growth </w:t>
      </w:r>
      <w:r w:rsidR="002A56EF">
        <w:rPr>
          <w:rFonts w:ascii="Palatino Linotype" w:hAnsi="Palatino Linotype"/>
          <w:sz w:val="24"/>
          <w:szCs w:val="24"/>
        </w:rPr>
        <w:t xml:space="preserve">by attracting new businesses </w:t>
      </w:r>
      <w:r w:rsidR="008545D2">
        <w:rPr>
          <w:rFonts w:ascii="Palatino Linotype" w:hAnsi="Palatino Linotype"/>
          <w:sz w:val="24"/>
          <w:szCs w:val="24"/>
        </w:rPr>
        <w:t>that</w:t>
      </w:r>
      <w:r w:rsidR="001609C1">
        <w:rPr>
          <w:rFonts w:ascii="Palatino Linotype" w:hAnsi="Palatino Linotype"/>
          <w:sz w:val="24"/>
          <w:szCs w:val="24"/>
        </w:rPr>
        <w:t xml:space="preserve"> will provide and create jobs in the region.</w:t>
      </w:r>
      <w:r w:rsidR="00703B53">
        <w:rPr>
          <w:rFonts w:ascii="Palatino Linotype" w:hAnsi="Palatino Linotype"/>
          <w:sz w:val="24"/>
          <w:szCs w:val="24"/>
        </w:rPr>
        <w:t xml:space="preserve">  </w:t>
      </w:r>
      <w:r w:rsidR="00C51BF2">
        <w:rPr>
          <w:rFonts w:ascii="Palatino Linotype" w:hAnsi="Palatino Linotype"/>
          <w:sz w:val="24"/>
          <w:szCs w:val="24"/>
        </w:rPr>
        <w:t>T</w:t>
      </w:r>
      <w:r w:rsidR="001B7114" w:rsidRPr="001B7114">
        <w:rPr>
          <w:rFonts w:ascii="Palatino Linotype" w:hAnsi="Palatino Linotype"/>
          <w:sz w:val="24"/>
          <w:szCs w:val="24"/>
        </w:rPr>
        <w:t xml:space="preserve">he project is supported by the community for its potential to remove barriers </w:t>
      </w:r>
      <w:r w:rsidR="000D0B10">
        <w:rPr>
          <w:rFonts w:ascii="Palatino Linotype" w:hAnsi="Palatino Linotype"/>
          <w:sz w:val="24"/>
          <w:szCs w:val="24"/>
        </w:rPr>
        <w:t>to</w:t>
      </w:r>
      <w:r w:rsidR="001B7114" w:rsidRPr="001B7114">
        <w:rPr>
          <w:rFonts w:ascii="Palatino Linotype" w:hAnsi="Palatino Linotype"/>
          <w:sz w:val="24"/>
          <w:szCs w:val="24"/>
        </w:rPr>
        <w:t xml:space="preserve"> economic and workforce development </w:t>
      </w:r>
      <w:r w:rsidR="00035B4F">
        <w:rPr>
          <w:rFonts w:ascii="Palatino Linotype" w:hAnsi="Palatino Linotype"/>
          <w:sz w:val="24"/>
          <w:szCs w:val="24"/>
        </w:rPr>
        <w:t xml:space="preserve">and </w:t>
      </w:r>
      <w:r w:rsidR="00F0052A">
        <w:rPr>
          <w:rFonts w:ascii="Palatino Linotype" w:hAnsi="Palatino Linotype"/>
          <w:sz w:val="24"/>
          <w:szCs w:val="24"/>
        </w:rPr>
        <w:t xml:space="preserve">to </w:t>
      </w:r>
      <w:r w:rsidR="00035B4F">
        <w:rPr>
          <w:rFonts w:ascii="Palatino Linotype" w:hAnsi="Palatino Linotype"/>
          <w:sz w:val="24"/>
          <w:szCs w:val="24"/>
        </w:rPr>
        <w:t xml:space="preserve">improve </w:t>
      </w:r>
      <w:r w:rsidR="001B7114" w:rsidRPr="001B7114">
        <w:rPr>
          <w:rFonts w:ascii="Palatino Linotype" w:hAnsi="Palatino Linotype"/>
          <w:sz w:val="24"/>
          <w:szCs w:val="24"/>
        </w:rPr>
        <w:t>health care, education</w:t>
      </w:r>
      <w:r w:rsidR="003C56EC">
        <w:rPr>
          <w:rFonts w:ascii="Palatino Linotype" w:hAnsi="Palatino Linotype"/>
          <w:sz w:val="24"/>
          <w:szCs w:val="24"/>
        </w:rPr>
        <w:t>,</w:t>
      </w:r>
      <w:r w:rsidR="001B7114" w:rsidRPr="001B7114">
        <w:rPr>
          <w:rFonts w:ascii="Palatino Linotype" w:hAnsi="Palatino Linotype"/>
          <w:sz w:val="24"/>
          <w:szCs w:val="24"/>
        </w:rPr>
        <w:t xml:space="preserve"> public safety</w:t>
      </w:r>
      <w:r w:rsidR="00FB4256">
        <w:rPr>
          <w:rFonts w:ascii="Palatino Linotype" w:hAnsi="Palatino Linotype"/>
          <w:sz w:val="24"/>
          <w:szCs w:val="24"/>
        </w:rPr>
        <w:t xml:space="preserve"> and quality of life for community members.</w:t>
      </w:r>
    </w:p>
    <w:p w14:paraId="03347392" w14:textId="77777777" w:rsidR="009C625F" w:rsidRPr="001B7114" w:rsidRDefault="009C625F" w:rsidP="003C1CC7">
      <w:pPr>
        <w:rPr>
          <w:rFonts w:ascii="Palatino Linotype" w:hAnsi="Palatino Linotype"/>
          <w:sz w:val="24"/>
          <w:szCs w:val="24"/>
        </w:rPr>
      </w:pPr>
    </w:p>
    <w:p w14:paraId="0576C982" w14:textId="1510B87D" w:rsidR="005B62C1" w:rsidRDefault="00A04E7B" w:rsidP="003C1CC7">
      <w:pPr>
        <w:rPr>
          <w:rFonts w:ascii="Palatino Linotype" w:hAnsi="Palatino Linotype"/>
          <w:sz w:val="24"/>
          <w:szCs w:val="24"/>
        </w:rPr>
      </w:pPr>
      <w:r>
        <w:rPr>
          <w:rFonts w:ascii="Palatino Linotype" w:hAnsi="Palatino Linotype"/>
          <w:sz w:val="24"/>
          <w:szCs w:val="24"/>
        </w:rPr>
        <w:lastRenderedPageBreak/>
        <w:t xml:space="preserve">Letters of Support were also </w:t>
      </w:r>
      <w:r w:rsidRPr="000420BF">
        <w:rPr>
          <w:rFonts w:ascii="Palatino Linotype" w:hAnsi="Palatino Linotype"/>
          <w:sz w:val="24"/>
          <w:szCs w:val="24"/>
        </w:rPr>
        <w:t xml:space="preserve">received </w:t>
      </w:r>
      <w:r w:rsidR="0016479D">
        <w:rPr>
          <w:rFonts w:ascii="Palatino Linotype" w:hAnsi="Palatino Linotype"/>
          <w:sz w:val="24"/>
          <w:szCs w:val="24"/>
        </w:rPr>
        <w:t>from</w:t>
      </w:r>
      <w:r w:rsidRPr="000420BF">
        <w:rPr>
          <w:rFonts w:ascii="Palatino Linotype" w:hAnsi="Palatino Linotype"/>
          <w:sz w:val="24"/>
          <w:szCs w:val="24"/>
        </w:rPr>
        <w:t xml:space="preserve"> </w:t>
      </w:r>
      <w:r w:rsidR="000420BF" w:rsidRPr="000420BF">
        <w:rPr>
          <w:rFonts w:ascii="Palatino Linotype" w:hAnsi="Palatino Linotype"/>
          <w:sz w:val="24"/>
          <w:szCs w:val="24"/>
        </w:rPr>
        <w:t>US House Representative Doug LaMalfa (District 1), California Assemblyman Brian Dahle (District 1)</w:t>
      </w:r>
      <w:r w:rsidR="00E61DCE">
        <w:rPr>
          <w:rFonts w:ascii="Palatino Linotype" w:hAnsi="Palatino Linotype"/>
          <w:sz w:val="24"/>
          <w:szCs w:val="24"/>
        </w:rPr>
        <w:t xml:space="preserve">, Plumas County Board of Supervisors, </w:t>
      </w:r>
      <w:r w:rsidR="00A76223">
        <w:rPr>
          <w:rFonts w:ascii="Palatino Linotype" w:hAnsi="Palatino Linotype"/>
          <w:sz w:val="24"/>
          <w:szCs w:val="24"/>
        </w:rPr>
        <w:t xml:space="preserve">Mohawk Valley Stewardship Council, </w:t>
      </w:r>
      <w:r w:rsidR="00902CA7">
        <w:rPr>
          <w:rFonts w:ascii="Palatino Linotype" w:hAnsi="Palatino Linotype"/>
          <w:sz w:val="24"/>
          <w:szCs w:val="24"/>
        </w:rPr>
        <w:t xml:space="preserve">and </w:t>
      </w:r>
      <w:r w:rsidR="00A76223">
        <w:rPr>
          <w:rFonts w:ascii="Palatino Linotype" w:hAnsi="Palatino Linotype"/>
          <w:sz w:val="24"/>
          <w:szCs w:val="24"/>
        </w:rPr>
        <w:t>Sierra Nevada Journeys</w:t>
      </w:r>
      <w:r w:rsidR="000420BF" w:rsidRPr="000420BF">
        <w:rPr>
          <w:rFonts w:ascii="Palatino Linotype" w:hAnsi="Palatino Linotype"/>
          <w:sz w:val="24"/>
          <w:szCs w:val="24"/>
        </w:rPr>
        <w:t>.</w:t>
      </w:r>
      <w:r w:rsidR="00694C5B" w:rsidRPr="00694C5B">
        <w:rPr>
          <w:rFonts w:ascii="Palatino Linotype" w:hAnsi="Palatino Linotype"/>
          <w:sz w:val="24"/>
          <w:szCs w:val="24"/>
        </w:rPr>
        <w:t xml:space="preserve"> </w:t>
      </w:r>
      <w:r w:rsidR="00694C5B">
        <w:rPr>
          <w:rFonts w:ascii="Palatino Linotype" w:hAnsi="Palatino Linotype"/>
          <w:sz w:val="24"/>
          <w:szCs w:val="24"/>
        </w:rPr>
        <w:t xml:space="preserve"> </w:t>
      </w:r>
    </w:p>
    <w:p w14:paraId="6C0F425A" w14:textId="20715D46" w:rsidR="00CC79E9" w:rsidRPr="00CC79E9" w:rsidRDefault="00CC79E9" w:rsidP="00CC79E9">
      <w:pPr>
        <w:rPr>
          <w:sz w:val="24"/>
          <w:szCs w:val="24"/>
        </w:rPr>
      </w:pPr>
      <w:bookmarkStart w:id="4" w:name="_Toc444857032"/>
    </w:p>
    <w:bookmarkEnd w:id="4"/>
    <w:p w14:paraId="436DA39E" w14:textId="77777777" w:rsidR="00CC79E9" w:rsidRPr="00352E7F" w:rsidRDefault="00CC79E9" w:rsidP="00CC79E9">
      <w:pPr>
        <w:pStyle w:val="Heading2"/>
      </w:pPr>
      <w:r w:rsidRPr="00D56F16">
        <w:t xml:space="preserve">V. </w:t>
      </w:r>
      <w:bookmarkStart w:id="5" w:name="_Toc503946618"/>
      <w:r w:rsidRPr="00D56F16">
        <w:rPr>
          <w:u w:val="single"/>
        </w:rPr>
        <w:t>Compliance Requirements</w:t>
      </w:r>
      <w:bookmarkEnd w:id="5"/>
    </w:p>
    <w:p w14:paraId="0A239E4C" w14:textId="5701E346" w:rsidR="00BC6E63" w:rsidRDefault="00DA5B62" w:rsidP="003C1CC7">
      <w:pPr>
        <w:pStyle w:val="Default"/>
        <w:rPr>
          <w:rFonts w:ascii="Palatino Linotype" w:hAnsi="Palatino Linotype" w:cs="Palatino Linotype"/>
        </w:rPr>
      </w:pPr>
      <w:r w:rsidRPr="00DA5B62">
        <w:rPr>
          <w:rFonts w:ascii="Palatino Linotype" w:hAnsi="Palatino Linotype" w:cs="Palatino Linotype"/>
          <w:color w:val="auto"/>
        </w:rPr>
        <w:t>PST</w:t>
      </w:r>
      <w:r w:rsidR="00267FA7" w:rsidRPr="00DA5B62">
        <w:rPr>
          <w:rFonts w:ascii="Palatino Linotype" w:hAnsi="Palatino Linotype" w:cs="Palatino Linotype"/>
          <w:color w:val="auto"/>
        </w:rPr>
        <w:t xml:space="preserve"> </w:t>
      </w:r>
      <w:r w:rsidR="00BC6E63" w:rsidRPr="00DA5B62">
        <w:rPr>
          <w:rFonts w:ascii="Palatino Linotype" w:hAnsi="Palatino Linotype" w:cs="Palatino Linotype"/>
          <w:color w:val="auto"/>
        </w:rPr>
        <w:t xml:space="preserve">is required </w:t>
      </w:r>
      <w:r w:rsidR="00BC6E63" w:rsidRPr="00687F25">
        <w:rPr>
          <w:rFonts w:ascii="Palatino Linotype" w:hAnsi="Palatino Linotype" w:cs="Palatino Linotype"/>
        </w:rPr>
        <w:t xml:space="preserve">to comply with all the guidelines, requirements, and conditions associated with the grant of CASF funds as specified in </w:t>
      </w:r>
      <w:r w:rsidR="00267FA7" w:rsidRPr="00267FA7">
        <w:rPr>
          <w:rFonts w:ascii="Palatino Linotype" w:hAnsi="Palatino Linotype" w:cs="Palatino Linotype"/>
        </w:rPr>
        <w:t>D. 18-12-018.</w:t>
      </w:r>
      <w:r w:rsidR="00BC6E63" w:rsidRPr="00687F25">
        <w:rPr>
          <w:rFonts w:ascii="Palatino Linotype" w:hAnsi="Palatino Linotype" w:cs="Palatino Linotype"/>
        </w:rPr>
        <w:t xml:space="preserve"> </w:t>
      </w:r>
      <w:r w:rsidR="00DF2511" w:rsidRPr="00687F25">
        <w:rPr>
          <w:rFonts w:ascii="Palatino Linotype" w:hAnsi="Palatino Linotype" w:cs="Palatino Linotype"/>
        </w:rPr>
        <w:t xml:space="preserve"> </w:t>
      </w:r>
      <w:r w:rsidR="00BC6E63" w:rsidRPr="00687F25">
        <w:rPr>
          <w:rFonts w:ascii="Palatino Linotype" w:hAnsi="Palatino Linotype" w:cs="Palatino Linotype"/>
        </w:rPr>
        <w:t>Such compliance includes, but is not limited to</w:t>
      </w:r>
      <w:r w:rsidR="00267FA7">
        <w:rPr>
          <w:rFonts w:ascii="Palatino Linotype" w:hAnsi="Palatino Linotype" w:cs="Palatino Linotype"/>
        </w:rPr>
        <w:t>, the items noted below.</w:t>
      </w:r>
      <w:r w:rsidR="00BC6E63" w:rsidRPr="00687F25">
        <w:rPr>
          <w:rFonts w:ascii="Palatino Linotype" w:hAnsi="Palatino Linotype" w:cs="Palatino Linotype"/>
        </w:rPr>
        <w:t xml:space="preserve"> </w:t>
      </w:r>
    </w:p>
    <w:p w14:paraId="7E78C8CC" w14:textId="77777777" w:rsidR="00983FE7" w:rsidRPr="00687F25" w:rsidRDefault="00983FE7" w:rsidP="003C1CC7">
      <w:pPr>
        <w:pStyle w:val="Default"/>
        <w:rPr>
          <w:rFonts w:ascii="Palatino Linotype" w:hAnsi="Palatino Linotype" w:cs="Palatino Linotype"/>
        </w:rPr>
      </w:pPr>
    </w:p>
    <w:p w14:paraId="080A96A2" w14:textId="77777777" w:rsidR="00B558F2" w:rsidRPr="006E75C4" w:rsidRDefault="00B558F2" w:rsidP="009A5136">
      <w:pPr>
        <w:pStyle w:val="Heading2"/>
        <w:numPr>
          <w:ilvl w:val="0"/>
          <w:numId w:val="6"/>
        </w:numPr>
        <w:spacing w:after="0"/>
        <w:rPr>
          <w:rFonts w:ascii="Palatino Linotype" w:hAnsi="Palatino Linotype"/>
          <w:b w:val="0"/>
          <w:u w:val="single"/>
        </w:rPr>
      </w:pPr>
      <w:bookmarkStart w:id="6" w:name="_Toc444857034"/>
      <w:r w:rsidRPr="006E75C4">
        <w:rPr>
          <w:rFonts w:ascii="Palatino Linotype" w:hAnsi="Palatino Linotype"/>
          <w:b w:val="0"/>
          <w:u w:val="single"/>
        </w:rPr>
        <w:t>Deployment Schedule</w:t>
      </w:r>
      <w:bookmarkEnd w:id="6"/>
      <w:r w:rsidRPr="006E75C4">
        <w:rPr>
          <w:rFonts w:ascii="Palatino Linotype" w:hAnsi="Palatino Linotype"/>
          <w:b w:val="0"/>
          <w:u w:val="single"/>
        </w:rPr>
        <w:t xml:space="preserve"> </w:t>
      </w:r>
    </w:p>
    <w:p w14:paraId="12516FA4" w14:textId="7C891425" w:rsidR="00983FE7" w:rsidRPr="00352E7F" w:rsidRDefault="00983FE7" w:rsidP="00983FE7">
      <w:pPr>
        <w:pStyle w:val="Default"/>
        <w:rPr>
          <w:rFonts w:ascii="Palatino Linotype" w:hAnsi="Palatino Linotype"/>
          <w:color w:val="auto"/>
        </w:rPr>
      </w:pPr>
      <w:r w:rsidRPr="00352E7F">
        <w:rPr>
          <w:rFonts w:ascii="Palatino Linotype" w:hAnsi="Palatino Linotype"/>
          <w:color w:val="auto"/>
        </w:rPr>
        <w:t xml:space="preserve">The Commission expects </w:t>
      </w:r>
      <w:r>
        <w:rPr>
          <w:rFonts w:ascii="Palatino Linotype" w:hAnsi="Palatino Linotype"/>
          <w:color w:val="auto"/>
        </w:rPr>
        <w:t>PST</w:t>
      </w:r>
      <w:r w:rsidRPr="00352E7F">
        <w:rPr>
          <w:rFonts w:ascii="Palatino Linotype" w:hAnsi="Palatino Linotype"/>
          <w:color w:val="auto"/>
        </w:rPr>
        <w:t xml:space="preserve"> to complete the project within </w:t>
      </w:r>
      <w:r>
        <w:rPr>
          <w:rFonts w:ascii="Palatino Linotype" w:hAnsi="Palatino Linotype"/>
          <w:color w:val="auto"/>
        </w:rPr>
        <w:t>12</w:t>
      </w:r>
      <w:r w:rsidRPr="00352E7F">
        <w:rPr>
          <w:rFonts w:ascii="Palatino Linotype" w:hAnsi="Palatino Linotype"/>
          <w:color w:val="auto"/>
        </w:rPr>
        <w:t xml:space="preserve"> months from </w:t>
      </w:r>
      <w:r>
        <w:rPr>
          <w:rFonts w:ascii="Palatino Linotype" w:hAnsi="Palatino Linotype"/>
          <w:color w:val="auto"/>
        </w:rPr>
        <w:t xml:space="preserve">the </w:t>
      </w:r>
      <w:r w:rsidRPr="00352E7F">
        <w:rPr>
          <w:rFonts w:ascii="Palatino Linotype" w:hAnsi="Palatino Linotype"/>
          <w:color w:val="auto"/>
        </w:rPr>
        <w:t>start date (</w:t>
      </w:r>
      <w:r>
        <w:rPr>
          <w:rFonts w:ascii="Palatino Linotype" w:hAnsi="Palatino Linotype"/>
          <w:color w:val="auto"/>
        </w:rPr>
        <w:t>whereby the applicants have secured CEQA approval from the Commission and all required permits</w:t>
      </w:r>
      <w:r w:rsidRPr="00352E7F">
        <w:rPr>
          <w:rFonts w:ascii="Palatino Linotype" w:hAnsi="Palatino Linotype"/>
          <w:color w:val="auto"/>
        </w:rPr>
        <w:t xml:space="preserve">), and the applicant has committed to do so.  If </w:t>
      </w:r>
      <w:r>
        <w:rPr>
          <w:rFonts w:ascii="Palatino Linotype" w:hAnsi="Palatino Linotype"/>
          <w:color w:val="auto"/>
        </w:rPr>
        <w:t>PST</w:t>
      </w:r>
      <w:r w:rsidRPr="00352E7F">
        <w:rPr>
          <w:rFonts w:ascii="Palatino Linotype" w:hAnsi="Palatino Linotype"/>
          <w:color w:val="auto"/>
        </w:rPr>
        <w:t xml:space="preserve"> is unable to complete the proposed project within the </w:t>
      </w:r>
      <w:r>
        <w:rPr>
          <w:rFonts w:ascii="Palatino Linotype" w:hAnsi="Palatino Linotype"/>
          <w:color w:val="auto"/>
        </w:rPr>
        <w:t>12</w:t>
      </w:r>
      <w:r w:rsidRPr="00352E7F">
        <w:rPr>
          <w:rFonts w:ascii="Palatino Linotype" w:hAnsi="Palatino Linotype"/>
          <w:color w:val="auto"/>
        </w:rPr>
        <w:t xml:space="preserve">-month timeframe requirement, </w:t>
      </w:r>
      <w:r>
        <w:rPr>
          <w:rFonts w:ascii="Palatino Linotype" w:hAnsi="Palatino Linotype"/>
          <w:color w:val="auto"/>
        </w:rPr>
        <w:t>PST</w:t>
      </w:r>
      <w:r w:rsidRPr="00352E7F">
        <w:rPr>
          <w:rFonts w:ascii="Palatino Linotype" w:hAnsi="Palatino Linotype"/>
          <w:color w:val="auto"/>
        </w:rPr>
        <w:t xml:space="preserve"> must notify the Director of the Communications Division as soon as </w:t>
      </w:r>
      <w:r>
        <w:rPr>
          <w:rFonts w:ascii="Palatino Linotype" w:hAnsi="Palatino Linotype"/>
          <w:color w:val="auto"/>
        </w:rPr>
        <w:t>PST</w:t>
      </w:r>
      <w:r w:rsidRPr="00352E7F">
        <w:rPr>
          <w:rFonts w:ascii="Palatino Linotype" w:hAnsi="Palatino Linotype"/>
          <w:color w:val="auto"/>
        </w:rPr>
        <w:t xml:space="preserve"> becomes aware of this possibility.  If such notice is not provided, the Commission may reduce payment for failure to satisfy this requirement of notifying the Director on a timely basis.</w:t>
      </w:r>
    </w:p>
    <w:p w14:paraId="6898EC8C" w14:textId="77777777" w:rsidR="00B558F2" w:rsidRPr="009C625F" w:rsidRDefault="00B558F2" w:rsidP="00B558F2">
      <w:pPr>
        <w:pStyle w:val="Default"/>
        <w:rPr>
          <w:rFonts w:ascii="Palatino Linotype" w:hAnsi="Palatino Linotype" w:cs="Palatino Linotype"/>
          <w:color w:val="auto"/>
        </w:rPr>
      </w:pPr>
    </w:p>
    <w:p w14:paraId="4DB7A84D" w14:textId="77777777" w:rsidR="00B558F2" w:rsidRPr="006E75C4" w:rsidRDefault="00B558F2" w:rsidP="009A5136">
      <w:pPr>
        <w:pStyle w:val="Heading2"/>
        <w:numPr>
          <w:ilvl w:val="0"/>
          <w:numId w:val="6"/>
        </w:numPr>
        <w:spacing w:after="0"/>
        <w:rPr>
          <w:rFonts w:ascii="Palatino Linotype" w:hAnsi="Palatino Linotype"/>
          <w:b w:val="0"/>
          <w:u w:val="single"/>
        </w:rPr>
      </w:pPr>
      <w:bookmarkStart w:id="7" w:name="_Toc444857035"/>
      <w:r w:rsidRPr="006E75C4">
        <w:rPr>
          <w:rFonts w:ascii="Palatino Linotype" w:hAnsi="Palatino Linotype"/>
          <w:b w:val="0"/>
          <w:u w:val="single"/>
        </w:rPr>
        <w:t>Execution and Performance</w:t>
      </w:r>
      <w:bookmarkEnd w:id="7"/>
      <w:r w:rsidRPr="006E75C4">
        <w:rPr>
          <w:rFonts w:ascii="Palatino Linotype" w:hAnsi="Palatino Linotype"/>
          <w:b w:val="0"/>
          <w:u w:val="single"/>
        </w:rPr>
        <w:t xml:space="preserve"> </w:t>
      </w:r>
    </w:p>
    <w:p w14:paraId="07B26831" w14:textId="5F94B1A4" w:rsidR="00B558F2" w:rsidRPr="00CC02A9" w:rsidRDefault="006D2425" w:rsidP="003C1CC7">
      <w:pPr>
        <w:pStyle w:val="Default"/>
        <w:rPr>
          <w:rFonts w:ascii="Palatino Linotype" w:hAnsi="Palatino Linotype" w:cs="Palatino Linotype"/>
          <w:color w:val="auto"/>
        </w:rPr>
      </w:pPr>
      <w:r>
        <w:rPr>
          <w:rFonts w:ascii="Palatino Linotype" w:hAnsi="Palatino Linotype" w:cs="Palatino Linotype"/>
          <w:color w:val="auto"/>
        </w:rPr>
        <w:t>Staff</w:t>
      </w:r>
      <w:r w:rsidR="00B558F2" w:rsidRPr="00CC02A9">
        <w:rPr>
          <w:rFonts w:ascii="Palatino Linotype" w:hAnsi="Palatino Linotype" w:cs="Palatino Linotype"/>
          <w:color w:val="auto"/>
        </w:rPr>
        <w:t xml:space="preserve"> </w:t>
      </w:r>
      <w:r w:rsidR="00B558F2" w:rsidRPr="00256AA3">
        <w:rPr>
          <w:rFonts w:ascii="Palatino Linotype" w:hAnsi="Palatino Linotype" w:cs="Palatino Linotype"/>
          <w:color w:val="auto"/>
        </w:rPr>
        <w:t xml:space="preserve">and </w:t>
      </w:r>
      <w:r w:rsidR="00256AA3" w:rsidRPr="00256AA3">
        <w:rPr>
          <w:rFonts w:ascii="Palatino Linotype" w:hAnsi="Palatino Linotype" w:cs="Palatino Linotype"/>
          <w:color w:val="auto"/>
        </w:rPr>
        <w:t>PST</w:t>
      </w:r>
      <w:r w:rsidR="00B558F2" w:rsidRPr="00256AA3">
        <w:rPr>
          <w:rFonts w:ascii="Palatino Linotype" w:hAnsi="Palatino Linotype" w:cs="Palatino Linotype"/>
          <w:color w:val="auto"/>
        </w:rPr>
        <w:t xml:space="preserve"> shall determine a project start date after </w:t>
      </w:r>
      <w:r w:rsidR="00624C1B">
        <w:rPr>
          <w:rFonts w:ascii="Palatino Linotype" w:hAnsi="Palatino Linotype" w:cs="Palatino Linotype"/>
          <w:color w:val="auto"/>
        </w:rPr>
        <w:t>PST</w:t>
      </w:r>
      <w:r w:rsidR="00B558F2" w:rsidRPr="00256AA3">
        <w:rPr>
          <w:rFonts w:ascii="Palatino Linotype" w:hAnsi="Palatino Linotype" w:cs="Palatino Linotype"/>
          <w:color w:val="auto"/>
        </w:rPr>
        <w:t xml:space="preserve"> has obtained all approvals.  </w:t>
      </w:r>
      <w:r w:rsidR="00AD5B25">
        <w:rPr>
          <w:rFonts w:ascii="Palatino Linotype" w:hAnsi="Palatino Linotype" w:cs="Palatino Linotype"/>
          <w:color w:val="auto"/>
        </w:rPr>
        <w:t xml:space="preserve">The Commission may terminate the grant should </w:t>
      </w:r>
      <w:r w:rsidR="0070359C">
        <w:rPr>
          <w:rFonts w:ascii="Palatino Linotype" w:hAnsi="Palatino Linotype" w:cs="Palatino Linotype"/>
          <w:color w:val="auto"/>
        </w:rPr>
        <w:t>PST</w:t>
      </w:r>
      <w:r w:rsidR="00AD5B25">
        <w:rPr>
          <w:rFonts w:ascii="Palatino Linotype" w:hAnsi="Palatino Linotype" w:cs="Palatino Linotype"/>
          <w:color w:val="auto"/>
        </w:rPr>
        <w:t xml:space="preserve"> or any contractor it retains fail to commence work by the designated date, upon five days written notice to PST.</w:t>
      </w:r>
      <w:r w:rsidR="00B558F2" w:rsidRPr="00256AA3">
        <w:rPr>
          <w:rFonts w:ascii="Palatino Linotype" w:hAnsi="Palatino Linotype" w:cs="Palatino Linotype"/>
          <w:color w:val="auto"/>
        </w:rPr>
        <w:t xml:space="preserve">  In the event that </w:t>
      </w:r>
      <w:r w:rsidR="00AD5B25">
        <w:rPr>
          <w:rFonts w:ascii="Palatino Linotype" w:hAnsi="Palatino Linotype" w:cs="Palatino Linotype"/>
          <w:color w:val="auto"/>
        </w:rPr>
        <w:t>PST</w:t>
      </w:r>
      <w:r w:rsidR="00B558F2" w:rsidRPr="00256AA3">
        <w:rPr>
          <w:rFonts w:ascii="Palatino Linotype" w:hAnsi="Palatino Linotype" w:cs="Palatino Linotype"/>
          <w:color w:val="auto"/>
        </w:rPr>
        <w:t xml:space="preserve"> fails to complete the project in accordance with the terms of </w:t>
      </w:r>
      <w:r w:rsidR="004964B8" w:rsidRPr="00256AA3">
        <w:rPr>
          <w:rFonts w:ascii="Palatino Linotype" w:hAnsi="Palatino Linotype" w:cs="Palatino Linotype"/>
          <w:color w:val="auto"/>
        </w:rPr>
        <w:t xml:space="preserve">CPUC </w:t>
      </w:r>
      <w:r w:rsidR="00B558F2" w:rsidRPr="00256AA3">
        <w:rPr>
          <w:rFonts w:ascii="Palatino Linotype" w:hAnsi="Palatino Linotype" w:cs="Palatino Linotype"/>
          <w:color w:val="auto"/>
        </w:rPr>
        <w:t xml:space="preserve">approval </w:t>
      </w:r>
      <w:r w:rsidR="004964B8" w:rsidRPr="00256AA3">
        <w:rPr>
          <w:rFonts w:ascii="Palatino Linotype" w:hAnsi="Palatino Linotype" w:cs="Palatino Linotype"/>
          <w:color w:val="auto"/>
        </w:rPr>
        <w:t>as set forth in this resolution</w:t>
      </w:r>
      <w:r w:rsidR="00B558F2" w:rsidRPr="00256AA3">
        <w:rPr>
          <w:rFonts w:ascii="Palatino Linotype" w:hAnsi="Palatino Linotype" w:cs="Palatino Linotype"/>
          <w:color w:val="auto"/>
        </w:rPr>
        <w:t xml:space="preserve">, </w:t>
      </w:r>
      <w:r w:rsidR="00256AA3" w:rsidRPr="00256AA3">
        <w:rPr>
          <w:rFonts w:ascii="Palatino Linotype" w:hAnsi="Palatino Linotype" w:cs="Palatino Linotype"/>
          <w:color w:val="auto"/>
        </w:rPr>
        <w:t>PST</w:t>
      </w:r>
      <w:r w:rsidR="00B558F2" w:rsidRPr="00256AA3">
        <w:rPr>
          <w:rFonts w:ascii="Palatino Linotype" w:hAnsi="Palatino Linotype" w:cs="Palatino Linotype"/>
          <w:color w:val="auto"/>
        </w:rPr>
        <w:t xml:space="preserve"> </w:t>
      </w:r>
      <w:r w:rsidR="00E77845" w:rsidRPr="00256AA3">
        <w:rPr>
          <w:rFonts w:ascii="Palatino Linotype" w:hAnsi="Palatino Linotype" w:cs="Palatino Linotype"/>
          <w:color w:val="auto"/>
        </w:rPr>
        <w:t>shall reimburse</w:t>
      </w:r>
      <w:r w:rsidR="00B558F2" w:rsidRPr="00256AA3">
        <w:rPr>
          <w:rFonts w:ascii="Palatino Linotype" w:hAnsi="Palatino Linotype" w:cs="Palatino Linotype"/>
          <w:color w:val="auto"/>
        </w:rPr>
        <w:t xml:space="preserve"> some or all of the CASF funds that it has received.  </w:t>
      </w:r>
      <w:r w:rsidR="00256AA3" w:rsidRPr="00256AA3">
        <w:rPr>
          <w:rFonts w:ascii="Palatino Linotype" w:hAnsi="Palatino Linotype" w:cs="Palatino Linotype"/>
          <w:color w:val="auto"/>
        </w:rPr>
        <w:t>PST</w:t>
      </w:r>
      <w:r w:rsidR="00267FA7" w:rsidRPr="00256AA3">
        <w:rPr>
          <w:rFonts w:ascii="Palatino Linotype" w:hAnsi="Palatino Linotype" w:cs="Palatino Linotype"/>
          <w:color w:val="auto"/>
        </w:rPr>
        <w:t xml:space="preserve"> </w:t>
      </w:r>
      <w:r w:rsidR="00B558F2" w:rsidRPr="00256AA3">
        <w:rPr>
          <w:rFonts w:ascii="Palatino Linotype" w:hAnsi="Palatino Linotype" w:cs="Palatino Linotype"/>
          <w:color w:val="auto"/>
        </w:rPr>
        <w:t xml:space="preserve">must </w:t>
      </w:r>
      <w:r w:rsidR="00B558F2" w:rsidRPr="00CC02A9">
        <w:rPr>
          <w:rFonts w:ascii="Palatino Linotype" w:hAnsi="Palatino Linotype" w:cs="Palatino Linotype"/>
          <w:color w:val="auto"/>
        </w:rPr>
        <w:t xml:space="preserve">complete all </w:t>
      </w:r>
      <w:r w:rsidR="004964B8">
        <w:rPr>
          <w:rFonts w:ascii="Palatino Linotype" w:hAnsi="Palatino Linotype" w:cs="Palatino Linotype"/>
          <w:color w:val="auto"/>
        </w:rPr>
        <w:t xml:space="preserve">construction covered by the grant </w:t>
      </w:r>
      <w:r w:rsidR="00B558F2" w:rsidRPr="00CC02A9">
        <w:rPr>
          <w:rFonts w:ascii="Palatino Linotype" w:hAnsi="Palatino Linotype" w:cs="Palatino Linotype"/>
          <w:color w:val="auto"/>
        </w:rPr>
        <w:t xml:space="preserve">on or before the </w:t>
      </w:r>
      <w:r w:rsidR="004964B8">
        <w:rPr>
          <w:rFonts w:ascii="Palatino Linotype" w:hAnsi="Palatino Linotype" w:cs="Palatino Linotype"/>
          <w:color w:val="auto"/>
        </w:rPr>
        <w:t xml:space="preserve">grant’s </w:t>
      </w:r>
      <w:r w:rsidR="00B558F2" w:rsidRPr="00CC02A9">
        <w:rPr>
          <w:rFonts w:ascii="Palatino Linotype" w:hAnsi="Palatino Linotype" w:cs="Palatino Linotype"/>
          <w:color w:val="auto"/>
        </w:rPr>
        <w:t>termination date</w:t>
      </w:r>
      <w:r w:rsidR="004964B8">
        <w:rPr>
          <w:rFonts w:ascii="Palatino Linotype" w:hAnsi="Palatino Linotype" w:cs="Palatino Linotype"/>
          <w:color w:val="auto"/>
        </w:rPr>
        <w:t>.</w:t>
      </w:r>
    </w:p>
    <w:p w14:paraId="6253E03D" w14:textId="77777777" w:rsidR="00BC6E63" w:rsidRPr="00CC02A9" w:rsidRDefault="00BC6E63" w:rsidP="00BC6E63">
      <w:pPr>
        <w:autoSpaceDE w:val="0"/>
        <w:autoSpaceDN w:val="0"/>
        <w:adjustRightInd w:val="0"/>
        <w:rPr>
          <w:rFonts w:ascii="Palatino Linotype" w:hAnsi="Palatino Linotype" w:cs="Palatino Linotype"/>
        </w:rPr>
      </w:pPr>
    </w:p>
    <w:p w14:paraId="46CE6617" w14:textId="21730B24" w:rsidR="00B558F2" w:rsidRPr="006E75C4" w:rsidRDefault="009B79BE" w:rsidP="009A5136">
      <w:pPr>
        <w:pStyle w:val="Heading2"/>
        <w:numPr>
          <w:ilvl w:val="0"/>
          <w:numId w:val="6"/>
        </w:numPr>
        <w:spacing w:after="0"/>
        <w:rPr>
          <w:rFonts w:ascii="Palatino Linotype" w:hAnsi="Palatino Linotype"/>
          <w:b w:val="0"/>
          <w:u w:val="single"/>
        </w:rPr>
      </w:pPr>
      <w:bookmarkStart w:id="8" w:name="_Toc444857036"/>
      <w:r>
        <w:rPr>
          <w:rFonts w:ascii="Palatino Linotype" w:hAnsi="Palatino Linotype"/>
          <w:b w:val="0"/>
          <w:u w:val="single"/>
        </w:rPr>
        <w:t>Letter of Credit</w:t>
      </w:r>
      <w:bookmarkEnd w:id="8"/>
      <w:r w:rsidR="00B558F2" w:rsidRPr="006E75C4">
        <w:rPr>
          <w:rFonts w:ascii="Palatino Linotype" w:hAnsi="Palatino Linotype"/>
          <w:b w:val="0"/>
          <w:u w:val="single"/>
        </w:rPr>
        <w:t xml:space="preserve"> </w:t>
      </w:r>
    </w:p>
    <w:p w14:paraId="33367387" w14:textId="6A952EDB" w:rsidR="0003128C" w:rsidRPr="0003128C" w:rsidRDefault="0003128C" w:rsidP="003C1CC7">
      <w:pPr>
        <w:rPr>
          <w:rFonts w:ascii="Palatino Linotype" w:hAnsi="Palatino Linotype"/>
          <w:color w:val="000000" w:themeColor="text1"/>
          <w:sz w:val="24"/>
          <w:szCs w:val="24"/>
        </w:rPr>
      </w:pPr>
      <w:r w:rsidRPr="0003128C">
        <w:rPr>
          <w:rFonts w:ascii="Palatino Linotype" w:hAnsi="Palatino Linotype"/>
          <w:color w:val="000000" w:themeColor="text1"/>
          <w:sz w:val="24"/>
          <w:szCs w:val="24"/>
        </w:rPr>
        <w:t xml:space="preserve">The Commission exempts Certificate of Public Convenience and Necessity (CPCN) holders from providing a letter of credit, on the basis that the company submitted a performance bond to the Commission to maintain its CPCN and that the Commission has other means to enforce compliance.  In its application, </w:t>
      </w:r>
      <w:r w:rsidR="000F6D15">
        <w:rPr>
          <w:rFonts w:ascii="Palatino Linotype" w:hAnsi="Palatino Linotype"/>
          <w:color w:val="000000" w:themeColor="text1"/>
          <w:sz w:val="24"/>
          <w:szCs w:val="24"/>
        </w:rPr>
        <w:t>PST</w:t>
      </w:r>
      <w:r w:rsidRPr="0003128C">
        <w:rPr>
          <w:rFonts w:ascii="Palatino Linotype" w:hAnsi="Palatino Linotype"/>
          <w:color w:val="000000" w:themeColor="text1"/>
          <w:sz w:val="24"/>
          <w:szCs w:val="24"/>
        </w:rPr>
        <w:t xml:space="preserve"> provided proof of CPCN registration and thus, </w:t>
      </w:r>
      <w:r w:rsidR="0016479D">
        <w:rPr>
          <w:rFonts w:ascii="Palatino Linotype" w:hAnsi="Palatino Linotype"/>
          <w:color w:val="000000" w:themeColor="text1"/>
          <w:sz w:val="24"/>
          <w:szCs w:val="24"/>
        </w:rPr>
        <w:t xml:space="preserve">is </w:t>
      </w:r>
      <w:r w:rsidRPr="0003128C">
        <w:rPr>
          <w:rFonts w:ascii="Palatino Linotype" w:hAnsi="Palatino Linotype"/>
          <w:color w:val="000000" w:themeColor="text1"/>
          <w:sz w:val="24"/>
          <w:szCs w:val="24"/>
        </w:rPr>
        <w:t xml:space="preserve">exempt from providing a letter of credit. </w:t>
      </w:r>
    </w:p>
    <w:p w14:paraId="755B5D62" w14:textId="77777777" w:rsidR="00CD3E9F" w:rsidRPr="00CC02A9" w:rsidRDefault="00CD3E9F" w:rsidP="003C1CC7">
      <w:pPr>
        <w:pStyle w:val="Default"/>
        <w:rPr>
          <w:rFonts w:ascii="Palatino Linotype" w:hAnsi="Palatino Linotype" w:cs="Palatino Linotype"/>
          <w:color w:val="auto"/>
        </w:rPr>
      </w:pPr>
    </w:p>
    <w:p w14:paraId="4D1A6AB8" w14:textId="77777777" w:rsidR="00BC6E63" w:rsidRPr="006E75C4" w:rsidRDefault="00BC6E63" w:rsidP="003C1CC7">
      <w:pPr>
        <w:pStyle w:val="Heading2"/>
        <w:numPr>
          <w:ilvl w:val="0"/>
          <w:numId w:val="6"/>
        </w:numPr>
        <w:spacing w:after="0"/>
        <w:rPr>
          <w:rFonts w:ascii="Palatino Linotype" w:hAnsi="Palatino Linotype"/>
          <w:b w:val="0"/>
          <w:u w:val="single"/>
        </w:rPr>
      </w:pPr>
      <w:bookmarkStart w:id="9" w:name="_Toc444857038"/>
      <w:r w:rsidRPr="006E75C4">
        <w:rPr>
          <w:rFonts w:ascii="Palatino Linotype" w:hAnsi="Palatino Linotype"/>
          <w:b w:val="0"/>
          <w:u w:val="single"/>
        </w:rPr>
        <w:t>Project Audit</w:t>
      </w:r>
      <w:bookmarkEnd w:id="9"/>
      <w:r w:rsidRPr="006E75C4">
        <w:rPr>
          <w:rFonts w:ascii="Palatino Linotype" w:hAnsi="Palatino Linotype"/>
          <w:b w:val="0"/>
          <w:u w:val="single"/>
        </w:rPr>
        <w:t xml:space="preserve"> </w:t>
      </w:r>
    </w:p>
    <w:p w14:paraId="16CC990B" w14:textId="77777777" w:rsidR="00BC6E63" w:rsidRPr="00CC02A9" w:rsidRDefault="00BC6E63" w:rsidP="003C1CC7">
      <w:pPr>
        <w:pStyle w:val="Default"/>
        <w:rPr>
          <w:rFonts w:ascii="Palatino Linotype" w:hAnsi="Palatino Linotype" w:cs="Palatino Linotype"/>
          <w:color w:val="auto"/>
        </w:rPr>
      </w:pPr>
      <w:r w:rsidRPr="00CC02A9">
        <w:rPr>
          <w:rFonts w:ascii="Palatino Linotype" w:hAnsi="Palatino Linotype" w:cs="Palatino Linotype"/>
          <w:color w:val="auto"/>
        </w:rPr>
        <w:t>The Commission has the right to conduct any necessary audit, verification, and discovery during project implementation/construction to ensure that CASF funds are spent in accordance with Commission approval.</w:t>
      </w:r>
    </w:p>
    <w:p w14:paraId="42180B65" w14:textId="77777777" w:rsidR="00BC6E63" w:rsidRPr="00CC02A9" w:rsidRDefault="00BC6E63" w:rsidP="003C1CC7">
      <w:pPr>
        <w:pStyle w:val="Default"/>
        <w:rPr>
          <w:rFonts w:ascii="Palatino Linotype" w:hAnsi="Palatino Linotype" w:cs="Palatino Linotype"/>
          <w:color w:val="auto"/>
        </w:rPr>
      </w:pPr>
    </w:p>
    <w:p w14:paraId="2F79F7B6" w14:textId="4FA2A328" w:rsidR="00BC6E63" w:rsidRPr="00CC02A9" w:rsidRDefault="00BC6E63" w:rsidP="003C1CC7">
      <w:pPr>
        <w:pStyle w:val="Default"/>
        <w:rPr>
          <w:rFonts w:ascii="Palatino Linotype" w:hAnsi="Palatino Linotype" w:cs="Palatino Linotype"/>
          <w:color w:val="auto"/>
        </w:rPr>
      </w:pPr>
      <w:r w:rsidRPr="00CC02A9">
        <w:rPr>
          <w:rFonts w:ascii="Palatino Linotype" w:hAnsi="Palatino Linotype" w:cs="Palatino Linotype"/>
          <w:color w:val="auto"/>
        </w:rPr>
        <w:lastRenderedPageBreak/>
        <w:t>The</w:t>
      </w:r>
      <w:r w:rsidRPr="0003128C">
        <w:rPr>
          <w:rFonts w:ascii="Palatino Linotype" w:hAnsi="Palatino Linotype" w:cs="Palatino Linotype"/>
          <w:color w:val="auto"/>
        </w:rPr>
        <w:t xml:space="preserve"> </w:t>
      </w:r>
      <w:r w:rsidR="0003128C" w:rsidRPr="0003128C">
        <w:rPr>
          <w:rFonts w:ascii="Palatino Linotype" w:hAnsi="Palatino Linotype" w:cs="Palatino Linotype"/>
          <w:color w:val="auto"/>
        </w:rPr>
        <w:t>PST</w:t>
      </w:r>
      <w:r w:rsidRPr="0003128C">
        <w:rPr>
          <w:rFonts w:ascii="Palatino Linotype" w:hAnsi="Palatino Linotype" w:cs="Palatino Linotype"/>
          <w:color w:val="auto"/>
        </w:rPr>
        <w:t xml:space="preserve"> </w:t>
      </w:r>
      <w:r w:rsidRPr="00CC02A9">
        <w:rPr>
          <w:rFonts w:ascii="Palatino Linotype" w:hAnsi="Palatino Linotype" w:cs="Palatino Linotype"/>
          <w:color w:val="auto"/>
        </w:rPr>
        <w:t>invoices will be subject to a financial audit by the Commission at any time within three years of completion of the work.</w:t>
      </w:r>
    </w:p>
    <w:p w14:paraId="787841F9" w14:textId="77777777" w:rsidR="007A1C75" w:rsidRPr="00CC02A9" w:rsidRDefault="007A1C75" w:rsidP="003C1CC7">
      <w:pPr>
        <w:rPr>
          <w:rFonts w:ascii="Palatino Linotype" w:hAnsi="Palatino Linotype" w:cs="Palatino Linotype"/>
          <w:sz w:val="24"/>
          <w:szCs w:val="24"/>
        </w:rPr>
      </w:pPr>
    </w:p>
    <w:p w14:paraId="7A39710D" w14:textId="77777777" w:rsidR="00E466CA" w:rsidRPr="006E75C4" w:rsidRDefault="00E466CA" w:rsidP="003C1CC7">
      <w:pPr>
        <w:pStyle w:val="Heading2"/>
        <w:numPr>
          <w:ilvl w:val="0"/>
          <w:numId w:val="6"/>
        </w:numPr>
        <w:spacing w:after="0"/>
        <w:rPr>
          <w:rFonts w:ascii="Palatino Linotype" w:hAnsi="Palatino Linotype"/>
          <w:b w:val="0"/>
          <w:u w:val="single"/>
        </w:rPr>
      </w:pPr>
      <w:bookmarkStart w:id="10" w:name="_Toc444857040"/>
      <w:r w:rsidRPr="006E75C4">
        <w:rPr>
          <w:rFonts w:ascii="Palatino Linotype" w:hAnsi="Palatino Linotype"/>
          <w:b w:val="0"/>
          <w:u w:val="single"/>
        </w:rPr>
        <w:t>Reporting</w:t>
      </w:r>
      <w:bookmarkEnd w:id="10"/>
      <w:r w:rsidRPr="006E75C4">
        <w:rPr>
          <w:rFonts w:ascii="Palatino Linotype" w:hAnsi="Palatino Linotype"/>
          <w:b w:val="0"/>
          <w:u w:val="single"/>
        </w:rPr>
        <w:t xml:space="preserve"> </w:t>
      </w:r>
    </w:p>
    <w:p w14:paraId="568F7327" w14:textId="04DF6530" w:rsidR="00E466CA" w:rsidRPr="00CC02A9" w:rsidRDefault="000964DC" w:rsidP="003C1CC7">
      <w:pPr>
        <w:pStyle w:val="Default"/>
        <w:rPr>
          <w:rFonts w:ascii="Palatino Linotype" w:hAnsi="Palatino Linotype" w:cs="Palatino Linotype"/>
          <w:color w:val="auto"/>
        </w:rPr>
      </w:pPr>
      <w:r>
        <w:rPr>
          <w:rFonts w:ascii="Palatino Linotype" w:hAnsi="Palatino Linotype" w:cs="Palatino Linotype"/>
          <w:color w:val="auto"/>
        </w:rPr>
        <w:t>All g</w:t>
      </w:r>
      <w:r w:rsidR="00E466CA" w:rsidRPr="00CC02A9">
        <w:rPr>
          <w:rFonts w:ascii="Palatino Linotype" w:hAnsi="Palatino Linotype" w:cs="Palatino Linotype"/>
          <w:color w:val="auto"/>
        </w:rPr>
        <w:t xml:space="preserve">rantees must submit </w:t>
      </w:r>
      <w:r w:rsidR="006E00EF">
        <w:rPr>
          <w:rFonts w:ascii="Palatino Linotype" w:hAnsi="Palatino Linotype" w:cs="Palatino Linotype"/>
          <w:color w:val="auto"/>
        </w:rPr>
        <w:t>biannual</w:t>
      </w:r>
      <w:r w:rsidR="00E466CA" w:rsidRPr="00CC02A9">
        <w:rPr>
          <w:rFonts w:ascii="Palatino Linotype" w:hAnsi="Palatino Linotype" w:cs="Palatino Linotype"/>
          <w:color w:val="auto"/>
        </w:rPr>
        <w:t xml:space="preserve"> progress reports on the status of the project irrespective of whether grantees request reimbursement or payment.  Before full payment of the project, the</w:t>
      </w:r>
      <w:r w:rsidR="00E466CA" w:rsidRPr="0003128C">
        <w:rPr>
          <w:rFonts w:ascii="Palatino Linotype" w:hAnsi="Palatino Linotype" w:cs="Palatino Linotype"/>
          <w:color w:val="auto"/>
        </w:rPr>
        <w:t xml:space="preserve"> </w:t>
      </w:r>
      <w:r w:rsidR="0003128C" w:rsidRPr="0003128C">
        <w:rPr>
          <w:rFonts w:ascii="Palatino Linotype" w:hAnsi="Palatino Linotype" w:cs="Palatino Linotype"/>
          <w:color w:val="auto"/>
        </w:rPr>
        <w:t xml:space="preserve">PST </w:t>
      </w:r>
      <w:r w:rsidR="00E466CA" w:rsidRPr="00CC02A9">
        <w:rPr>
          <w:rFonts w:ascii="Palatino Linotype" w:hAnsi="Palatino Linotype" w:cs="Palatino Linotype"/>
          <w:color w:val="auto"/>
        </w:rPr>
        <w:t>must submit a project completion report.  Progress reports shall use the schedule for deployment, major construction milestones and costs submitted in the proposal; indicate the actual date of completion of each task/milestone as well as problems and issues encountered, and the actions taken to resolve these problems and issues during project implementation and construction; and identify future risks to the project.</w:t>
      </w:r>
    </w:p>
    <w:p w14:paraId="58418A04" w14:textId="77777777" w:rsidR="00E466CA" w:rsidRPr="00CC02A9" w:rsidRDefault="00E466CA" w:rsidP="003C1CC7">
      <w:pPr>
        <w:pStyle w:val="Default"/>
        <w:rPr>
          <w:rFonts w:ascii="Palatino Linotype" w:hAnsi="Palatino Linotype" w:cs="Palatino Linotype"/>
          <w:color w:val="auto"/>
        </w:rPr>
      </w:pPr>
    </w:p>
    <w:p w14:paraId="6558960A" w14:textId="66AC4A4D" w:rsidR="00E466CA" w:rsidRPr="0003128C" w:rsidRDefault="00E466CA" w:rsidP="003C1CC7">
      <w:pPr>
        <w:pStyle w:val="Default"/>
        <w:rPr>
          <w:rFonts w:ascii="Palatino Linotype" w:hAnsi="Palatino Linotype" w:cs="Palatino Linotype"/>
          <w:color w:val="auto"/>
        </w:rPr>
      </w:pPr>
      <w:r w:rsidRPr="00CC02A9">
        <w:rPr>
          <w:rFonts w:ascii="Palatino Linotype" w:hAnsi="Palatino Linotype" w:cs="Palatino Linotype"/>
          <w:color w:val="auto"/>
        </w:rPr>
        <w:t xml:space="preserve">Recipients shall also include test results on the download and upload speeds on a </w:t>
      </w:r>
      <w:r w:rsidR="00267FA7">
        <w:rPr>
          <w:rFonts w:ascii="Palatino Linotype" w:hAnsi="Palatino Linotype" w:cs="Palatino Linotype"/>
          <w:color w:val="auto"/>
        </w:rPr>
        <w:t>census block</w:t>
      </w:r>
      <w:r w:rsidRPr="00CC02A9">
        <w:rPr>
          <w:rFonts w:ascii="Palatino Linotype" w:hAnsi="Palatino Linotype" w:cs="Palatino Linotype"/>
          <w:color w:val="auto"/>
        </w:rPr>
        <w:t xml:space="preserve"> basis in the final completion report.  </w:t>
      </w:r>
      <w:r w:rsidR="0003128C" w:rsidRPr="0003128C">
        <w:rPr>
          <w:rFonts w:ascii="Palatino Linotype" w:hAnsi="Palatino Linotype" w:cs="Palatino Linotype"/>
          <w:color w:val="auto"/>
        </w:rPr>
        <w:t>PST</w:t>
      </w:r>
      <w:r w:rsidRPr="0003128C">
        <w:rPr>
          <w:rFonts w:ascii="Palatino Linotype" w:hAnsi="Palatino Linotype" w:cs="Palatino Linotype"/>
          <w:color w:val="auto"/>
        </w:rPr>
        <w:t xml:space="preserve"> must </w:t>
      </w:r>
      <w:r w:rsidRPr="00CC02A9">
        <w:rPr>
          <w:rFonts w:ascii="Palatino Linotype" w:hAnsi="Palatino Linotype" w:cs="Palatino Linotype"/>
          <w:color w:val="auto"/>
        </w:rPr>
        <w:t xml:space="preserve">certify that each progress </w:t>
      </w:r>
      <w:r w:rsidRPr="0003128C">
        <w:rPr>
          <w:rFonts w:ascii="Palatino Linotype" w:hAnsi="Palatino Linotype" w:cs="Palatino Linotype"/>
          <w:color w:val="auto"/>
        </w:rPr>
        <w:t xml:space="preserve">report is true and correct under penalty of perjury. </w:t>
      </w:r>
    </w:p>
    <w:p w14:paraId="1280EEA1" w14:textId="77777777" w:rsidR="00E466CA" w:rsidRPr="0003128C" w:rsidRDefault="00E466CA" w:rsidP="00E466CA">
      <w:pPr>
        <w:pStyle w:val="Default"/>
        <w:rPr>
          <w:rFonts w:ascii="Palatino Linotype" w:hAnsi="Palatino Linotype" w:cs="Palatino Linotype"/>
          <w:color w:val="auto"/>
        </w:rPr>
      </w:pPr>
    </w:p>
    <w:p w14:paraId="225145BC" w14:textId="77777777" w:rsidR="000469B1" w:rsidRPr="0003128C" w:rsidRDefault="000469B1" w:rsidP="000469B1">
      <w:pPr>
        <w:pStyle w:val="Heading2"/>
        <w:numPr>
          <w:ilvl w:val="0"/>
          <w:numId w:val="6"/>
        </w:numPr>
        <w:spacing w:after="0"/>
        <w:rPr>
          <w:rFonts w:ascii="Palatino Linotype" w:hAnsi="Palatino Linotype"/>
          <w:b w:val="0"/>
          <w:u w:val="single"/>
        </w:rPr>
      </w:pPr>
      <w:bookmarkStart w:id="11" w:name="_Toc444857041"/>
      <w:r w:rsidRPr="0003128C">
        <w:rPr>
          <w:rFonts w:ascii="Palatino Linotype" w:hAnsi="Palatino Linotype"/>
          <w:b w:val="0"/>
          <w:u w:val="single"/>
        </w:rPr>
        <w:t xml:space="preserve">Submission of Form 477 </w:t>
      </w:r>
    </w:p>
    <w:p w14:paraId="7BBD3579" w14:textId="26EAC944" w:rsidR="000469B1" w:rsidRDefault="0016479D" w:rsidP="003C1CC7">
      <w:pPr>
        <w:pStyle w:val="Default"/>
        <w:rPr>
          <w:rFonts w:ascii="Palatino Linotype" w:hAnsi="Palatino Linotype" w:cs="Palatino Linotype"/>
          <w:color w:val="auto"/>
        </w:rPr>
      </w:pPr>
      <w:r w:rsidRPr="00CC02A9">
        <w:rPr>
          <w:rFonts w:ascii="Palatino Linotype" w:hAnsi="Palatino Linotype" w:cs="Palatino Linotype"/>
          <w:color w:val="auto"/>
        </w:rPr>
        <w:t xml:space="preserve">The </w:t>
      </w:r>
      <w:r w:rsidR="003F7FBD">
        <w:rPr>
          <w:rFonts w:ascii="Palatino Linotype" w:hAnsi="Palatino Linotype" w:cs="Palatino Linotype"/>
          <w:color w:val="auto"/>
        </w:rPr>
        <w:t>Federal Communications Commission (</w:t>
      </w:r>
      <w:r w:rsidRPr="00CC02A9">
        <w:rPr>
          <w:rFonts w:ascii="Palatino Linotype" w:hAnsi="Palatino Linotype" w:cs="Palatino Linotype"/>
          <w:color w:val="auto"/>
        </w:rPr>
        <w:t>FCC</w:t>
      </w:r>
      <w:r w:rsidR="003F7FBD">
        <w:rPr>
          <w:rFonts w:ascii="Palatino Linotype" w:hAnsi="Palatino Linotype" w:cs="Palatino Linotype"/>
          <w:color w:val="auto"/>
        </w:rPr>
        <w:t>)</w:t>
      </w:r>
      <w:r w:rsidRPr="00CC02A9">
        <w:rPr>
          <w:rFonts w:ascii="Palatino Linotype" w:hAnsi="Palatino Linotype" w:cs="Palatino Linotype"/>
          <w:color w:val="auto"/>
        </w:rPr>
        <w:t xml:space="preserve"> currently requires broadband providers to </w:t>
      </w:r>
      <w:r>
        <w:rPr>
          <w:rFonts w:ascii="Palatino Linotype" w:hAnsi="Palatino Linotype" w:cs="Palatino Linotype"/>
          <w:color w:val="auto"/>
        </w:rPr>
        <w:t>semiannually</w:t>
      </w:r>
      <w:r w:rsidRPr="00CC02A9">
        <w:rPr>
          <w:rFonts w:ascii="Palatino Linotype" w:hAnsi="Palatino Linotype" w:cs="Palatino Linotype"/>
          <w:color w:val="auto"/>
        </w:rPr>
        <w:t xml:space="preserve"> submit Form 477, which includes speed data.</w:t>
      </w:r>
      <w:r>
        <w:rPr>
          <w:rFonts w:ascii="Palatino Linotype" w:hAnsi="Palatino Linotype" w:cs="Palatino Linotype"/>
          <w:color w:val="auto"/>
        </w:rPr>
        <w:t xml:space="preserve"> </w:t>
      </w:r>
      <w:r w:rsidRPr="00CC02A9">
        <w:rPr>
          <w:rFonts w:ascii="Palatino Linotype" w:hAnsi="Palatino Linotype" w:cs="Palatino Linotype"/>
          <w:color w:val="auto"/>
        </w:rPr>
        <w:t xml:space="preserve"> While there is an imperfect match between the data that is reported in Form 477 and </w:t>
      </w:r>
      <w:r>
        <w:rPr>
          <w:rFonts w:ascii="Palatino Linotype" w:hAnsi="Palatino Linotype" w:cs="Palatino Linotype"/>
          <w:color w:val="auto"/>
        </w:rPr>
        <w:t xml:space="preserve">data relevant to </w:t>
      </w:r>
      <w:r w:rsidRPr="00CC02A9">
        <w:rPr>
          <w:rFonts w:ascii="Palatino Linotype" w:hAnsi="Palatino Linotype" w:cs="Palatino Linotype"/>
          <w:color w:val="auto"/>
        </w:rPr>
        <w:t>the CASF</w:t>
      </w:r>
      <w:r>
        <w:rPr>
          <w:rFonts w:ascii="Palatino Linotype" w:hAnsi="Palatino Linotype" w:cs="Palatino Linotype"/>
          <w:color w:val="auto"/>
        </w:rPr>
        <w:t xml:space="preserve"> program</w:t>
      </w:r>
      <w:r w:rsidRPr="00CC02A9">
        <w:rPr>
          <w:rFonts w:ascii="Palatino Linotype" w:hAnsi="Palatino Linotype" w:cs="Palatino Linotype"/>
          <w:color w:val="auto"/>
        </w:rPr>
        <w:t>, Form 477 data will be useful in documenting CASF deployment for the</w:t>
      </w:r>
      <w:r>
        <w:rPr>
          <w:rFonts w:ascii="Palatino Linotype" w:hAnsi="Palatino Linotype" w:cs="Palatino Linotype"/>
          <w:color w:val="auto"/>
        </w:rPr>
        <w:t xml:space="preserve"> service provider’s</w:t>
      </w:r>
      <w:r w:rsidRPr="00CC02A9">
        <w:rPr>
          <w:rFonts w:ascii="Palatino Linotype" w:hAnsi="Palatino Linotype" w:cs="Palatino Linotype"/>
          <w:color w:val="auto"/>
        </w:rPr>
        <w:t xml:space="preserve"> new service.</w:t>
      </w:r>
      <w:r w:rsidR="000469B1" w:rsidRPr="00CC02A9">
        <w:rPr>
          <w:rFonts w:ascii="Palatino Linotype" w:hAnsi="Palatino Linotype" w:cs="Palatino Linotype"/>
          <w:color w:val="auto"/>
        </w:rPr>
        <w:t xml:space="preserve">  </w:t>
      </w:r>
      <w:r w:rsidR="000469B1">
        <w:rPr>
          <w:rFonts w:ascii="Palatino Linotype" w:hAnsi="Palatino Linotype" w:cs="Palatino Linotype"/>
          <w:color w:val="auto"/>
        </w:rPr>
        <w:t xml:space="preserve">Pursuant to General Order 66-C, service providers in California must </w:t>
      </w:r>
      <w:r w:rsidR="000469B1" w:rsidRPr="00CC02A9">
        <w:rPr>
          <w:rFonts w:ascii="Palatino Linotype" w:hAnsi="Palatino Linotype" w:cs="Palatino Linotype"/>
          <w:color w:val="auto"/>
        </w:rPr>
        <w:t>submit a copy of their Form 477 data directly to the C</w:t>
      </w:r>
      <w:r w:rsidR="000469B1">
        <w:rPr>
          <w:rFonts w:ascii="Palatino Linotype" w:hAnsi="Palatino Linotype" w:cs="Palatino Linotype"/>
          <w:color w:val="auto"/>
        </w:rPr>
        <w:t>PUC</w:t>
      </w:r>
      <w:r w:rsidR="000469B1" w:rsidRPr="00CC02A9">
        <w:rPr>
          <w:rFonts w:ascii="Palatino Linotype" w:hAnsi="Palatino Linotype" w:cs="Palatino Linotype"/>
          <w:color w:val="auto"/>
        </w:rPr>
        <w:t xml:space="preserve">, </w:t>
      </w:r>
      <w:r w:rsidR="000469B1">
        <w:rPr>
          <w:rFonts w:ascii="Palatino Linotype" w:hAnsi="Palatino Linotype" w:cs="Palatino Linotype"/>
          <w:color w:val="auto"/>
        </w:rPr>
        <w:t xml:space="preserve">concurrent with their submission of the same data to </w:t>
      </w:r>
      <w:r w:rsidR="000469B1" w:rsidRPr="00CC02A9">
        <w:rPr>
          <w:rFonts w:ascii="Palatino Linotype" w:hAnsi="Palatino Linotype" w:cs="Palatino Linotype"/>
          <w:color w:val="auto"/>
        </w:rPr>
        <w:t>the FCC</w:t>
      </w:r>
      <w:r>
        <w:rPr>
          <w:rFonts w:ascii="Palatino Linotype" w:hAnsi="Palatino Linotype" w:cs="Palatino Linotype"/>
          <w:color w:val="auto"/>
        </w:rPr>
        <w:t>,</w:t>
      </w:r>
      <w:r w:rsidR="000469B1" w:rsidRPr="00CC02A9">
        <w:rPr>
          <w:rFonts w:ascii="Palatino Linotype" w:hAnsi="Palatino Linotype" w:cs="Palatino Linotype"/>
          <w:color w:val="auto"/>
        </w:rPr>
        <w:t xml:space="preserve"> for a five-year period after completion of the project.</w:t>
      </w:r>
      <w:r w:rsidR="000469B1" w:rsidRPr="00CC02A9">
        <w:rPr>
          <w:rStyle w:val="FootnoteReference"/>
          <w:rFonts w:ascii="Palatino Linotype" w:hAnsi="Palatino Linotype" w:cs="Palatino Linotype"/>
          <w:color w:val="auto"/>
        </w:rPr>
        <w:footnoteReference w:id="10"/>
      </w:r>
    </w:p>
    <w:p w14:paraId="5CE1D462" w14:textId="77777777" w:rsidR="007B3DF5" w:rsidRDefault="007B3DF5" w:rsidP="003C1CC7">
      <w:pPr>
        <w:pStyle w:val="Default"/>
        <w:rPr>
          <w:rFonts w:ascii="Palatino Linotype" w:hAnsi="Palatino Linotype" w:cs="Palatino Linotype"/>
          <w:color w:val="auto"/>
        </w:rPr>
      </w:pPr>
    </w:p>
    <w:p w14:paraId="51601376" w14:textId="50F03E72" w:rsidR="000469B1" w:rsidRDefault="000469B1" w:rsidP="003C1CC7">
      <w:pPr>
        <w:pStyle w:val="Heading2"/>
        <w:numPr>
          <w:ilvl w:val="0"/>
          <w:numId w:val="6"/>
        </w:numPr>
        <w:spacing w:after="0"/>
        <w:rPr>
          <w:rFonts w:ascii="Palatino Linotype" w:hAnsi="Palatino Linotype"/>
          <w:b w:val="0"/>
          <w:u w:val="single"/>
        </w:rPr>
      </w:pPr>
      <w:r>
        <w:rPr>
          <w:rFonts w:ascii="Palatino Linotype" w:hAnsi="Palatino Linotype"/>
          <w:b w:val="0"/>
          <w:u w:val="single"/>
        </w:rPr>
        <w:t>Prevailing Wage</w:t>
      </w:r>
    </w:p>
    <w:bookmarkEnd w:id="11"/>
    <w:p w14:paraId="1C208DE2" w14:textId="0E17C79F" w:rsidR="00DE5A1E" w:rsidRDefault="000469B1" w:rsidP="003C1CC7">
      <w:pPr>
        <w:pStyle w:val="Default"/>
        <w:rPr>
          <w:rFonts w:ascii="Palatino Linotype" w:hAnsi="Palatino Linotype" w:cs="Palatino Linotype"/>
          <w:color w:val="auto"/>
        </w:rPr>
      </w:pPr>
      <w:r>
        <w:rPr>
          <w:rFonts w:ascii="Palatino Linotype" w:hAnsi="Palatino Linotype" w:cs="Palatino Linotype"/>
          <w:color w:val="auto"/>
        </w:rPr>
        <w:t xml:space="preserve">Section 1720 of the California Labor Code specifies that CASF-subsidized projects are subject to prevailing wage requirements.  </w:t>
      </w:r>
      <w:r w:rsidR="00A51D30" w:rsidRPr="00A51D30">
        <w:rPr>
          <w:rFonts w:ascii="Palatino Linotype" w:hAnsi="Palatino Linotype" w:cs="Palatino Linotype"/>
          <w:color w:val="auto"/>
        </w:rPr>
        <w:t>PST</w:t>
      </w:r>
      <w:r w:rsidRPr="00A51D30">
        <w:rPr>
          <w:rFonts w:ascii="Palatino Linotype" w:hAnsi="Palatino Linotype" w:cs="Palatino Linotype"/>
          <w:color w:val="auto"/>
        </w:rPr>
        <w:t xml:space="preserve"> has </w:t>
      </w:r>
      <w:r>
        <w:rPr>
          <w:rFonts w:ascii="Palatino Linotype" w:hAnsi="Palatino Linotype" w:cs="Palatino Linotype"/>
          <w:color w:val="auto"/>
        </w:rPr>
        <w:t>committed to follow state prevailing wage requirements with regards to this project.</w:t>
      </w:r>
    </w:p>
    <w:p w14:paraId="4A2E8DE5" w14:textId="77777777" w:rsidR="00A5551F" w:rsidRDefault="00A5551F" w:rsidP="003C1CC7">
      <w:pPr>
        <w:pStyle w:val="BodyText"/>
        <w:tabs>
          <w:tab w:val="left" w:pos="1170"/>
        </w:tabs>
        <w:spacing w:after="0"/>
        <w:rPr>
          <w:rFonts w:ascii="Palatino Linotype" w:hAnsi="Palatino Linotype"/>
          <w:szCs w:val="24"/>
        </w:rPr>
      </w:pPr>
    </w:p>
    <w:p w14:paraId="708EE7C2" w14:textId="77777777" w:rsidR="0059616C" w:rsidRPr="00AA679D" w:rsidRDefault="0059616C" w:rsidP="003C1CC7">
      <w:pPr>
        <w:pStyle w:val="Heading1"/>
        <w:numPr>
          <w:ilvl w:val="0"/>
          <w:numId w:val="24"/>
        </w:numPr>
        <w:tabs>
          <w:tab w:val="left" w:pos="990"/>
        </w:tabs>
        <w:spacing w:after="120"/>
        <w:rPr>
          <w:rFonts w:ascii="Palatino Linotype" w:hAnsi="Palatino Linotype"/>
          <w:szCs w:val="24"/>
        </w:rPr>
      </w:pPr>
      <w:r w:rsidRPr="00AA679D">
        <w:rPr>
          <w:rFonts w:ascii="Palatino Linotype" w:hAnsi="Palatino Linotype"/>
          <w:szCs w:val="24"/>
        </w:rPr>
        <w:t>Payments to CASF Recipients</w:t>
      </w:r>
    </w:p>
    <w:p w14:paraId="263C1588" w14:textId="62FE9A89" w:rsidR="00CC79E9" w:rsidRDefault="0059616C" w:rsidP="003C1CC7">
      <w:pPr>
        <w:rPr>
          <w:rFonts w:ascii="Palatino Linotype" w:hAnsi="Palatino Linotype"/>
          <w:color w:val="000000" w:themeColor="text1"/>
          <w:sz w:val="24"/>
          <w:szCs w:val="24"/>
        </w:rPr>
      </w:pPr>
      <w:r w:rsidRPr="004822E1">
        <w:rPr>
          <w:rFonts w:ascii="Palatino Linotype" w:hAnsi="Palatino Linotype" w:cs="Palatino Linotype"/>
          <w:color w:val="000000"/>
          <w:sz w:val="24"/>
          <w:szCs w:val="24"/>
        </w:rPr>
        <w:t>T</w:t>
      </w:r>
      <w:r w:rsidRPr="004822E1">
        <w:rPr>
          <w:rFonts w:ascii="Palatino Linotype" w:hAnsi="Palatino Linotype"/>
          <w:color w:val="000000"/>
          <w:sz w:val="24"/>
          <w:szCs w:val="24"/>
        </w:rPr>
        <w:t xml:space="preserve">he Commission may reimburse </w:t>
      </w:r>
      <w:r w:rsidR="004512FA">
        <w:rPr>
          <w:rFonts w:ascii="Palatino Linotype" w:hAnsi="Palatino Linotype"/>
          <w:color w:val="000000"/>
          <w:sz w:val="24"/>
          <w:szCs w:val="24"/>
        </w:rPr>
        <w:t>PST</w:t>
      </w:r>
      <w:r w:rsidRPr="004822E1">
        <w:rPr>
          <w:rFonts w:ascii="Palatino Linotype" w:hAnsi="Palatino Linotype"/>
          <w:color w:val="000000"/>
          <w:sz w:val="24"/>
          <w:szCs w:val="24"/>
        </w:rPr>
        <w:t xml:space="preserve">’s expense in accordance to Pub. Util. Code </w:t>
      </w:r>
      <w:r w:rsidR="00D00AC4">
        <w:rPr>
          <w:rFonts w:ascii="Palatino Linotype" w:hAnsi="Palatino Linotype"/>
          <w:color w:val="000000"/>
          <w:sz w:val="24"/>
          <w:szCs w:val="24"/>
        </w:rPr>
        <w:t xml:space="preserve">            </w:t>
      </w:r>
      <w:r w:rsidR="00D00AC4" w:rsidRPr="00D00AC4">
        <w:rPr>
          <w:rFonts w:ascii="Palatino Linotype" w:hAnsi="Palatino Linotype"/>
          <w:sz w:val="24"/>
          <w:szCs w:val="24"/>
        </w:rPr>
        <w:t>§</w:t>
      </w:r>
      <w:r w:rsidRPr="004822E1">
        <w:rPr>
          <w:rFonts w:ascii="Palatino Linotype" w:hAnsi="Palatino Linotype"/>
          <w:color w:val="000000"/>
          <w:sz w:val="24"/>
          <w:szCs w:val="24"/>
        </w:rPr>
        <w:t xml:space="preserve"> 281(f)(11).  Details of reimbursable expenses are in </w:t>
      </w:r>
      <w:r w:rsidRPr="004822E1">
        <w:rPr>
          <w:rFonts w:ascii="Palatino Linotype" w:hAnsi="Palatino Linotype"/>
          <w:color w:val="000000" w:themeColor="text1"/>
          <w:sz w:val="24"/>
          <w:szCs w:val="24"/>
        </w:rPr>
        <w:t>Appendix D</w:t>
      </w:r>
      <w:r w:rsidR="00624C1B">
        <w:rPr>
          <w:rFonts w:ascii="Palatino Linotype" w:hAnsi="Palatino Linotype"/>
          <w:color w:val="000000" w:themeColor="text1"/>
          <w:sz w:val="24"/>
          <w:szCs w:val="24"/>
        </w:rPr>
        <w:t>.</w:t>
      </w:r>
    </w:p>
    <w:p w14:paraId="5B0CF881" w14:textId="41C4EF28" w:rsidR="00A5551F" w:rsidRDefault="00A5551F">
      <w:pPr>
        <w:rPr>
          <w:rFonts w:ascii="Palatino Linotype" w:hAnsi="Palatino Linotype"/>
          <w:b/>
          <w:sz w:val="26"/>
          <w:szCs w:val="26"/>
          <w:u w:val="single"/>
        </w:rPr>
      </w:pPr>
    </w:p>
    <w:p w14:paraId="6A12C8FD" w14:textId="4F5716A8" w:rsidR="00CC79E9" w:rsidRPr="00FB157E" w:rsidRDefault="00CC79E9" w:rsidP="003C1CC7">
      <w:pPr>
        <w:pStyle w:val="Heading1"/>
        <w:tabs>
          <w:tab w:val="left" w:pos="990"/>
        </w:tabs>
        <w:ind w:left="720"/>
        <w:rPr>
          <w:rFonts w:ascii="Palatino Linotype" w:hAnsi="Palatino Linotype"/>
          <w:sz w:val="26"/>
          <w:szCs w:val="26"/>
        </w:rPr>
      </w:pPr>
      <w:r w:rsidRPr="00FB157E">
        <w:rPr>
          <w:rFonts w:ascii="Palatino Linotype" w:hAnsi="Palatino Linotype"/>
          <w:sz w:val="26"/>
          <w:szCs w:val="26"/>
        </w:rPr>
        <w:lastRenderedPageBreak/>
        <w:t>COMMENTS ON DRAFT RESOLUTION</w:t>
      </w:r>
    </w:p>
    <w:p w14:paraId="1E982510" w14:textId="77777777" w:rsidR="00CC79E9" w:rsidRPr="00CC79E9" w:rsidRDefault="00CC79E9" w:rsidP="003C1CC7">
      <w:pPr>
        <w:pStyle w:val="BodyText"/>
        <w:tabs>
          <w:tab w:val="clear" w:pos="720"/>
          <w:tab w:val="left" w:pos="1170"/>
        </w:tabs>
        <w:spacing w:after="0"/>
        <w:ind w:right="630"/>
        <w:rPr>
          <w:rFonts w:ascii="Palatino Linotype" w:hAnsi="Palatino Linotype"/>
          <w:szCs w:val="24"/>
        </w:rPr>
      </w:pPr>
    </w:p>
    <w:p w14:paraId="65B63733" w14:textId="36799206" w:rsidR="00BC6E63" w:rsidRPr="00CC79E9" w:rsidRDefault="00BC6E63" w:rsidP="003C1CC7">
      <w:pPr>
        <w:pStyle w:val="BodyText"/>
        <w:tabs>
          <w:tab w:val="clear" w:pos="720"/>
          <w:tab w:val="left" w:pos="1170"/>
        </w:tabs>
        <w:spacing w:after="0"/>
        <w:ind w:right="630"/>
        <w:rPr>
          <w:rFonts w:ascii="Palatino Linotype" w:hAnsi="Palatino Linotype"/>
          <w:szCs w:val="24"/>
        </w:rPr>
      </w:pPr>
      <w:r w:rsidRPr="00CC02A9">
        <w:rPr>
          <w:rFonts w:ascii="Palatino Linotype" w:hAnsi="Palatino Linotype"/>
          <w:szCs w:val="24"/>
        </w:rPr>
        <w:t xml:space="preserve">In compliance with Public Utilities Code § 311(g), a notice letter was e-mailed </w:t>
      </w:r>
      <w:r w:rsidRPr="00CC02A9">
        <w:rPr>
          <w:rFonts w:ascii="Palatino Linotype" w:hAnsi="Palatino Linotype"/>
          <w:color w:val="000000"/>
          <w:szCs w:val="24"/>
        </w:rPr>
        <w:t xml:space="preserve">on </w:t>
      </w:r>
      <w:r w:rsidR="00701EAE" w:rsidRPr="00701EAE">
        <w:rPr>
          <w:rFonts w:ascii="Palatino Linotype" w:hAnsi="Palatino Linotype"/>
          <w:szCs w:val="24"/>
        </w:rPr>
        <w:t>October 31</w:t>
      </w:r>
      <w:r w:rsidR="00231F4C" w:rsidRPr="00701EAE">
        <w:rPr>
          <w:rFonts w:ascii="Palatino Linotype" w:hAnsi="Palatino Linotype"/>
          <w:szCs w:val="24"/>
        </w:rPr>
        <w:t>, 2019</w:t>
      </w:r>
      <w:r w:rsidRPr="00701EAE">
        <w:rPr>
          <w:rFonts w:ascii="Palatino Linotype" w:hAnsi="Palatino Linotype"/>
          <w:szCs w:val="24"/>
        </w:rPr>
        <w:t xml:space="preserve">, </w:t>
      </w:r>
      <w:r w:rsidRPr="00CC02A9">
        <w:rPr>
          <w:rFonts w:ascii="Palatino Linotype" w:hAnsi="Palatino Linotype"/>
          <w:color w:val="000000"/>
          <w:szCs w:val="24"/>
        </w:rPr>
        <w:t>informing all parties on the CASF</w:t>
      </w:r>
      <w:r w:rsidRPr="00CC02A9">
        <w:rPr>
          <w:rFonts w:ascii="Palatino Linotype" w:hAnsi="Palatino Linotype"/>
          <w:szCs w:val="24"/>
        </w:rPr>
        <w:t xml:space="preserve"> Distribution List of the availability of the draft of this resolution for public comments at the Commission's website at </w:t>
      </w:r>
      <w:hyperlink r:id="rId12" w:history="1">
        <w:r w:rsidRPr="00CC02A9">
          <w:rPr>
            <w:rStyle w:val="Hyperlink"/>
            <w:rFonts w:ascii="Palatino Linotype" w:hAnsi="Palatino Linotype"/>
            <w:szCs w:val="24"/>
          </w:rPr>
          <w:t>http://www.cpuc.ca.gov/PUC/documents/</w:t>
        </w:r>
      </w:hyperlink>
      <w:r w:rsidRPr="00CC02A9">
        <w:rPr>
          <w:rFonts w:ascii="Palatino Linotype" w:hAnsi="Palatino Linotype"/>
          <w:szCs w:val="24"/>
        </w:rPr>
        <w:t xml:space="preserve">.  This letter also informed parties that the final conformed </w:t>
      </w:r>
      <w:r w:rsidRPr="00CC79E9">
        <w:rPr>
          <w:rFonts w:ascii="Palatino Linotype" w:hAnsi="Palatino Linotype"/>
          <w:szCs w:val="24"/>
        </w:rPr>
        <w:t>Resolution adopted by the Commission will be posted and available at this same website.</w:t>
      </w:r>
      <w:r w:rsidR="00A62259" w:rsidRPr="00CC79E9">
        <w:rPr>
          <w:rFonts w:ascii="Palatino Linotype" w:hAnsi="Palatino Linotype"/>
          <w:szCs w:val="24"/>
        </w:rPr>
        <w:t xml:space="preserve">  </w:t>
      </w:r>
    </w:p>
    <w:p w14:paraId="1E3F3173" w14:textId="77777777" w:rsidR="00CC79E9" w:rsidRPr="00CC79E9" w:rsidRDefault="00CC79E9" w:rsidP="003C1CC7">
      <w:pPr>
        <w:rPr>
          <w:rFonts w:ascii="Palatino Linotype" w:hAnsi="Palatino Linotype"/>
          <w:sz w:val="24"/>
          <w:szCs w:val="24"/>
        </w:rPr>
      </w:pPr>
    </w:p>
    <w:p w14:paraId="7958C82A" w14:textId="6F5784ED" w:rsidR="00CC79E9" w:rsidRPr="00FB157E" w:rsidRDefault="00CC79E9" w:rsidP="003C1CC7">
      <w:pPr>
        <w:pStyle w:val="Heading1"/>
        <w:tabs>
          <w:tab w:val="left" w:pos="990"/>
        </w:tabs>
        <w:ind w:left="720"/>
        <w:rPr>
          <w:rFonts w:ascii="Palatino Linotype" w:hAnsi="Palatino Linotype"/>
          <w:sz w:val="26"/>
          <w:szCs w:val="26"/>
        </w:rPr>
      </w:pPr>
      <w:r>
        <w:rPr>
          <w:rFonts w:ascii="Palatino Linotype" w:hAnsi="Palatino Linotype"/>
          <w:sz w:val="26"/>
          <w:szCs w:val="26"/>
        </w:rPr>
        <w:t>FINDINGS</w:t>
      </w:r>
    </w:p>
    <w:p w14:paraId="6FBD3640" w14:textId="05EDF5F9" w:rsidR="00BC6E63" w:rsidRDefault="00BC6E63" w:rsidP="003C1CC7">
      <w:pPr>
        <w:autoSpaceDE w:val="0"/>
        <w:autoSpaceDN w:val="0"/>
        <w:adjustRightInd w:val="0"/>
        <w:rPr>
          <w:rFonts w:ascii="Palatino Linotype" w:hAnsi="Palatino Linotype" w:cs="Palatino Linotype"/>
          <w:color w:val="000000"/>
          <w:sz w:val="24"/>
          <w:szCs w:val="24"/>
        </w:rPr>
      </w:pPr>
    </w:p>
    <w:p w14:paraId="01028DB9" w14:textId="0298AA65" w:rsidR="00BC6E63" w:rsidRPr="007F6BA5" w:rsidRDefault="006023A0" w:rsidP="001E2A95">
      <w:pPr>
        <w:numPr>
          <w:ilvl w:val="0"/>
          <w:numId w:val="3"/>
        </w:numPr>
        <w:autoSpaceDE w:val="0"/>
        <w:autoSpaceDN w:val="0"/>
        <w:adjustRightInd w:val="0"/>
        <w:spacing w:after="170"/>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PST </w:t>
      </w:r>
      <w:r w:rsidR="00BC6E63" w:rsidRPr="007F6BA5">
        <w:rPr>
          <w:rFonts w:ascii="Palatino Linotype" w:hAnsi="Palatino Linotype" w:cs="Palatino Linotype"/>
          <w:color w:val="000000"/>
          <w:sz w:val="24"/>
          <w:szCs w:val="24"/>
        </w:rPr>
        <w:t xml:space="preserve">filed an application for CASF funding for its </w:t>
      </w:r>
      <w:r>
        <w:rPr>
          <w:rFonts w:ascii="Palatino Linotype" w:hAnsi="Palatino Linotype" w:cs="Palatino Linotype"/>
          <w:color w:val="000000"/>
          <w:sz w:val="24"/>
          <w:szCs w:val="24"/>
        </w:rPr>
        <w:t>Keddie</w:t>
      </w:r>
      <w:r w:rsidR="00BC6E63" w:rsidRPr="007F6BA5">
        <w:rPr>
          <w:rFonts w:ascii="Palatino Linotype" w:hAnsi="Palatino Linotype" w:cs="Palatino Linotype"/>
          <w:color w:val="000000"/>
          <w:sz w:val="24"/>
          <w:szCs w:val="24"/>
        </w:rPr>
        <w:t xml:space="preserve"> Project on </w:t>
      </w:r>
      <w:r>
        <w:rPr>
          <w:rFonts w:ascii="Palatino Linotype" w:hAnsi="Palatino Linotype" w:cs="Palatino Linotype"/>
          <w:color w:val="000000"/>
          <w:sz w:val="24"/>
          <w:szCs w:val="24"/>
        </w:rPr>
        <w:t>May 1</w:t>
      </w:r>
      <w:r w:rsidR="00BC6E63" w:rsidRPr="007F6BA5">
        <w:rPr>
          <w:rFonts w:ascii="Palatino Linotype" w:hAnsi="Palatino Linotype" w:cs="Palatino Linotype"/>
          <w:color w:val="000000"/>
          <w:sz w:val="24"/>
          <w:szCs w:val="24"/>
        </w:rPr>
        <w:t>, 201</w:t>
      </w:r>
      <w:r>
        <w:rPr>
          <w:rFonts w:ascii="Palatino Linotype" w:hAnsi="Palatino Linotype" w:cs="Palatino Linotype"/>
          <w:color w:val="000000"/>
          <w:sz w:val="24"/>
          <w:szCs w:val="24"/>
        </w:rPr>
        <w:t>9</w:t>
      </w:r>
      <w:r w:rsidR="00BC6E63" w:rsidRPr="007F6BA5">
        <w:rPr>
          <w:rFonts w:ascii="Palatino Linotype" w:hAnsi="Palatino Linotype" w:cs="Palatino Linotype"/>
          <w:color w:val="000000"/>
          <w:sz w:val="24"/>
          <w:szCs w:val="24"/>
        </w:rPr>
        <w:t xml:space="preserve">. </w:t>
      </w:r>
      <w:r w:rsidR="00E6181D">
        <w:rPr>
          <w:rFonts w:ascii="Palatino Linotype" w:hAnsi="Palatino Linotype" w:cs="Palatino Linotype"/>
          <w:color w:val="000000"/>
          <w:sz w:val="24"/>
          <w:szCs w:val="24"/>
        </w:rPr>
        <w:t xml:space="preserve">The </w:t>
      </w:r>
      <w:r w:rsidR="00420A38">
        <w:rPr>
          <w:rFonts w:ascii="Palatino Linotype" w:hAnsi="Palatino Linotype" w:cs="Palatino Linotype"/>
          <w:color w:val="000000"/>
          <w:sz w:val="24"/>
          <w:szCs w:val="24"/>
        </w:rPr>
        <w:t xml:space="preserve">revised </w:t>
      </w:r>
      <w:r w:rsidR="00E6181D">
        <w:rPr>
          <w:rFonts w:ascii="Palatino Linotype" w:hAnsi="Palatino Linotype" w:cs="Palatino Linotype"/>
          <w:color w:val="000000"/>
          <w:sz w:val="24"/>
          <w:szCs w:val="24"/>
        </w:rPr>
        <w:t>proposed project w</w:t>
      </w:r>
      <w:r w:rsidR="00914038">
        <w:rPr>
          <w:rFonts w:ascii="Palatino Linotype" w:hAnsi="Palatino Linotype" w:cs="Palatino Linotype"/>
          <w:color w:val="000000"/>
          <w:sz w:val="24"/>
          <w:szCs w:val="24"/>
        </w:rPr>
        <w:t>ould</w:t>
      </w:r>
      <w:r w:rsidR="00E6181D">
        <w:rPr>
          <w:rFonts w:ascii="Palatino Linotype" w:hAnsi="Palatino Linotype" w:cs="Palatino Linotype"/>
          <w:color w:val="000000"/>
          <w:sz w:val="24"/>
          <w:szCs w:val="24"/>
        </w:rPr>
        <w:t xml:space="preserve"> deploy middle-mile and last-mile </w:t>
      </w:r>
      <w:r w:rsidR="009A7499">
        <w:rPr>
          <w:rFonts w:ascii="Palatino Linotype" w:hAnsi="Palatino Linotype" w:cs="Palatino Linotype"/>
          <w:color w:val="000000"/>
          <w:sz w:val="24"/>
          <w:szCs w:val="24"/>
        </w:rPr>
        <w:t xml:space="preserve">fiber </w:t>
      </w:r>
      <w:r w:rsidR="00E6181D">
        <w:rPr>
          <w:rFonts w:ascii="Palatino Linotype" w:hAnsi="Palatino Linotype" w:cs="Palatino Linotype"/>
          <w:color w:val="000000"/>
          <w:sz w:val="24"/>
          <w:szCs w:val="24"/>
        </w:rPr>
        <w:t xml:space="preserve">facilities </w:t>
      </w:r>
      <w:r w:rsidR="00D27E3F">
        <w:rPr>
          <w:rFonts w:ascii="Palatino Linotype" w:hAnsi="Palatino Linotype" w:cs="Palatino Linotype"/>
          <w:color w:val="000000"/>
          <w:sz w:val="24"/>
          <w:szCs w:val="24"/>
        </w:rPr>
        <w:t>t</w:t>
      </w:r>
      <w:r w:rsidR="00E6181D">
        <w:rPr>
          <w:rFonts w:ascii="Palatino Linotype" w:hAnsi="Palatino Linotype" w:cs="Palatino Linotype"/>
          <w:color w:val="000000"/>
          <w:sz w:val="24"/>
          <w:szCs w:val="24"/>
        </w:rPr>
        <w:t xml:space="preserve">hat will enable provision of high-speed Internet service with speeds of up to 100 Mbps download and </w:t>
      </w:r>
      <w:r w:rsidR="003745F1">
        <w:rPr>
          <w:rFonts w:ascii="Palatino Linotype" w:hAnsi="Palatino Linotype" w:cs="Palatino Linotype"/>
          <w:color w:val="000000"/>
          <w:sz w:val="24"/>
          <w:szCs w:val="24"/>
        </w:rPr>
        <w:t>20 Mbps upload to 36 households in the unserved community of Keddie</w:t>
      </w:r>
      <w:r w:rsidR="00FE3AA3">
        <w:rPr>
          <w:rFonts w:ascii="Palatino Linotype" w:hAnsi="Palatino Linotype" w:cs="Palatino Linotype"/>
          <w:color w:val="000000"/>
          <w:sz w:val="24"/>
          <w:szCs w:val="24"/>
        </w:rPr>
        <w:t xml:space="preserve"> in Plumas County</w:t>
      </w:r>
      <w:r w:rsidR="003745F1">
        <w:rPr>
          <w:rFonts w:ascii="Palatino Linotype" w:hAnsi="Palatino Linotype" w:cs="Palatino Linotype"/>
          <w:color w:val="000000"/>
          <w:sz w:val="24"/>
          <w:szCs w:val="24"/>
        </w:rPr>
        <w:t>.</w:t>
      </w:r>
      <w:r w:rsidR="00FE3AA3">
        <w:rPr>
          <w:rFonts w:ascii="Palatino Linotype" w:hAnsi="Palatino Linotype" w:cs="Palatino Linotype"/>
          <w:color w:val="000000"/>
          <w:sz w:val="24"/>
          <w:szCs w:val="24"/>
        </w:rPr>
        <w:t xml:space="preserve">  </w:t>
      </w:r>
    </w:p>
    <w:p w14:paraId="59EB43E0" w14:textId="1DA0405E" w:rsidR="0019142D" w:rsidRPr="008B7DE7" w:rsidRDefault="00914038" w:rsidP="001E2A95">
      <w:pPr>
        <w:numPr>
          <w:ilvl w:val="0"/>
          <w:numId w:val="3"/>
        </w:numPr>
        <w:autoSpaceDE w:val="0"/>
        <w:autoSpaceDN w:val="0"/>
        <w:adjustRightInd w:val="0"/>
        <w:spacing w:after="170"/>
        <w:rPr>
          <w:rFonts w:ascii="Palatino Linotype" w:hAnsi="Palatino Linotype" w:cs="Palatino Linotype"/>
          <w:color w:val="000000"/>
          <w:sz w:val="24"/>
          <w:szCs w:val="24"/>
        </w:rPr>
      </w:pPr>
      <w:r>
        <w:rPr>
          <w:rFonts w:ascii="Palatino Linotype" w:hAnsi="Palatino Linotype" w:cs="Palatino Linotype"/>
          <w:color w:val="000000"/>
          <w:sz w:val="24"/>
          <w:szCs w:val="24"/>
        </w:rPr>
        <w:t>On May 15, 2019, Staff</w:t>
      </w:r>
      <w:r w:rsidRPr="00CC02A9">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t>posted</w:t>
      </w:r>
      <w:r w:rsidRPr="00CC02A9">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t>a summary of the proposed project, including</w:t>
      </w:r>
      <w:r w:rsidRPr="0065566E">
        <w:rPr>
          <w:rFonts w:ascii="Palatino Linotype" w:hAnsi="Palatino Linotype" w:cs="Palatino Linotype"/>
          <w:color w:val="000000"/>
          <w:sz w:val="24"/>
          <w:szCs w:val="24"/>
        </w:rPr>
        <w:t xml:space="preserve"> </w:t>
      </w:r>
      <w:r>
        <w:rPr>
          <w:rFonts w:ascii="Palatino Linotype" w:hAnsi="Palatino Linotype" w:cs="Palatino Linotype"/>
          <w:color w:val="000000"/>
          <w:sz w:val="24"/>
          <w:szCs w:val="24"/>
        </w:rPr>
        <w:t>a listing of the census blocks and zip codes covered, and t</w:t>
      </w:r>
      <w:r w:rsidRPr="00CC02A9">
        <w:rPr>
          <w:rFonts w:ascii="Palatino Linotype" w:hAnsi="Palatino Linotype" w:cs="Palatino Linotype"/>
          <w:color w:val="000000"/>
          <w:sz w:val="24"/>
          <w:szCs w:val="24"/>
        </w:rPr>
        <w:t>he proposed project area map</w:t>
      </w:r>
      <w:r>
        <w:rPr>
          <w:rFonts w:ascii="Palatino Linotype" w:hAnsi="Palatino Linotype" w:cs="Palatino Linotype"/>
          <w:color w:val="000000"/>
          <w:sz w:val="24"/>
          <w:szCs w:val="24"/>
        </w:rPr>
        <w:t xml:space="preserve">.  The project summary was posted on the </w:t>
      </w:r>
      <w:r w:rsidRPr="00CC02A9">
        <w:rPr>
          <w:rFonts w:ascii="Palatino Linotype" w:hAnsi="Palatino Linotype" w:cs="Palatino Linotype"/>
          <w:color w:val="000000"/>
          <w:sz w:val="24"/>
          <w:szCs w:val="24"/>
        </w:rPr>
        <w:t>“CASF Application</w:t>
      </w:r>
      <w:r>
        <w:rPr>
          <w:rFonts w:ascii="Palatino Linotype" w:hAnsi="Palatino Linotype" w:cs="Palatino Linotype"/>
          <w:color w:val="000000"/>
          <w:sz w:val="24"/>
          <w:szCs w:val="24"/>
        </w:rPr>
        <w:t>s</w:t>
      </w:r>
      <w:r w:rsidRPr="00CC02A9">
        <w:rPr>
          <w:rFonts w:ascii="Palatino Linotype" w:hAnsi="Palatino Linotype" w:cs="Palatino Linotype"/>
          <w:color w:val="000000"/>
          <w:sz w:val="24"/>
          <w:szCs w:val="24"/>
        </w:rPr>
        <w:t xml:space="preserve"> Project </w:t>
      </w:r>
      <w:r w:rsidRPr="001E2A95">
        <w:rPr>
          <w:rFonts w:ascii="Palatino Linotype" w:hAnsi="Palatino Linotype" w:cs="Palatino Linotype"/>
          <w:color w:val="000000"/>
          <w:sz w:val="24"/>
          <w:szCs w:val="24"/>
        </w:rPr>
        <w:t xml:space="preserve">Summaries” webpage, which may be found on the Commission’s CASF website. </w:t>
      </w:r>
    </w:p>
    <w:p w14:paraId="5A039DD0" w14:textId="27D21218" w:rsidR="00BC6E63" w:rsidRPr="001E2A95" w:rsidRDefault="0019142D" w:rsidP="001E2A95">
      <w:pPr>
        <w:numPr>
          <w:ilvl w:val="0"/>
          <w:numId w:val="3"/>
        </w:numPr>
        <w:autoSpaceDE w:val="0"/>
        <w:autoSpaceDN w:val="0"/>
        <w:adjustRightInd w:val="0"/>
        <w:spacing w:after="170"/>
        <w:rPr>
          <w:rFonts w:ascii="Palatino Linotype" w:hAnsi="Palatino Linotype" w:cs="Palatino Linotype"/>
          <w:color w:val="000000"/>
          <w:sz w:val="24"/>
          <w:szCs w:val="24"/>
        </w:rPr>
      </w:pPr>
      <w:r w:rsidRPr="003E3FDC">
        <w:rPr>
          <w:rFonts w:ascii="Palatino Linotype" w:hAnsi="Palatino Linotype" w:cs="Palatino Linotype"/>
          <w:color w:val="000000"/>
          <w:sz w:val="24"/>
          <w:szCs w:val="24"/>
        </w:rPr>
        <w:t xml:space="preserve">Staff received </w:t>
      </w:r>
      <w:r w:rsidR="00914038" w:rsidRPr="001E2A95">
        <w:rPr>
          <w:rFonts w:ascii="Palatino Linotype" w:hAnsi="Palatino Linotype" w:cs="Palatino Linotype"/>
          <w:color w:val="000000"/>
          <w:sz w:val="24"/>
          <w:szCs w:val="24"/>
        </w:rPr>
        <w:t>one</w:t>
      </w:r>
      <w:r w:rsidRPr="001E2A95">
        <w:rPr>
          <w:rFonts w:ascii="Palatino Linotype" w:hAnsi="Palatino Linotype" w:cs="Palatino Linotype"/>
          <w:color w:val="000000"/>
          <w:sz w:val="24"/>
          <w:szCs w:val="24"/>
        </w:rPr>
        <w:t xml:space="preserve"> challenge to this project from Digital Path, Inc.  Based on the review of information submitted, Staff </w:t>
      </w:r>
      <w:r w:rsidR="008C1593" w:rsidRPr="001E2A95">
        <w:rPr>
          <w:rFonts w:ascii="Palatino Linotype" w:hAnsi="Palatino Linotype" w:cs="Palatino Linotype"/>
          <w:color w:val="000000"/>
          <w:sz w:val="24"/>
          <w:szCs w:val="24"/>
        </w:rPr>
        <w:t xml:space="preserve">concluded </w:t>
      </w:r>
      <w:r w:rsidR="00EC0B48" w:rsidRPr="001E2A95">
        <w:rPr>
          <w:rFonts w:ascii="Palatino Linotype" w:hAnsi="Palatino Linotype" w:cs="Palatino Linotype"/>
          <w:color w:val="000000"/>
          <w:sz w:val="24"/>
          <w:szCs w:val="24"/>
        </w:rPr>
        <w:t>two</w:t>
      </w:r>
      <w:r w:rsidR="008C1593" w:rsidRPr="001E2A95">
        <w:rPr>
          <w:rFonts w:ascii="Palatino Linotype" w:hAnsi="Palatino Linotype" w:cs="Palatino Linotype"/>
          <w:color w:val="000000"/>
          <w:sz w:val="24"/>
          <w:szCs w:val="24"/>
        </w:rPr>
        <w:t xml:space="preserve"> of </w:t>
      </w:r>
      <w:r w:rsidR="00A313C3" w:rsidRPr="001E2A95">
        <w:rPr>
          <w:rFonts w:ascii="Palatino Linotype" w:hAnsi="Palatino Linotype" w:cs="Palatino Linotype"/>
          <w:color w:val="000000"/>
          <w:sz w:val="24"/>
          <w:szCs w:val="24"/>
        </w:rPr>
        <w:t xml:space="preserve">proposed census blocks were already served.  </w:t>
      </w:r>
      <w:r w:rsidR="00C72EF5" w:rsidRPr="001E2A95">
        <w:rPr>
          <w:rFonts w:ascii="Palatino Linotype" w:hAnsi="Palatino Linotype" w:cs="Palatino Linotype"/>
          <w:color w:val="000000"/>
          <w:sz w:val="24"/>
          <w:szCs w:val="24"/>
        </w:rPr>
        <w:t xml:space="preserve">Staff requested </w:t>
      </w:r>
      <w:r w:rsidR="00914038" w:rsidRPr="001E2A95">
        <w:rPr>
          <w:rFonts w:ascii="Palatino Linotype" w:hAnsi="Palatino Linotype" w:cs="Palatino Linotype"/>
          <w:color w:val="000000"/>
          <w:sz w:val="24"/>
          <w:szCs w:val="24"/>
        </w:rPr>
        <w:t xml:space="preserve">that </w:t>
      </w:r>
      <w:r w:rsidR="00C72EF5" w:rsidRPr="001E2A95">
        <w:rPr>
          <w:rFonts w:ascii="Palatino Linotype" w:hAnsi="Palatino Linotype" w:cs="Palatino Linotype"/>
          <w:color w:val="000000"/>
          <w:sz w:val="24"/>
          <w:szCs w:val="24"/>
        </w:rPr>
        <w:t>PST revise its application to remove the served census blocks.</w:t>
      </w:r>
      <w:r w:rsidR="008C1593" w:rsidRPr="001E2A95">
        <w:rPr>
          <w:rFonts w:ascii="Palatino Linotype" w:hAnsi="Palatino Linotype" w:cs="Palatino Linotype"/>
          <w:color w:val="000000"/>
          <w:sz w:val="24"/>
          <w:szCs w:val="24"/>
        </w:rPr>
        <w:t xml:space="preserve"> </w:t>
      </w:r>
      <w:r w:rsidR="00BC6E63" w:rsidRPr="001E2A95">
        <w:rPr>
          <w:rFonts w:ascii="Palatino Linotype" w:hAnsi="Palatino Linotype" w:cs="Palatino Linotype"/>
          <w:color w:val="000000"/>
          <w:sz w:val="24"/>
          <w:szCs w:val="24"/>
        </w:rPr>
        <w:t xml:space="preserve"> </w:t>
      </w:r>
      <w:r w:rsidR="001E2A95" w:rsidRPr="001E2A95">
        <w:rPr>
          <w:rFonts w:ascii="Palatino Linotype" w:hAnsi="Palatino Linotype"/>
          <w:color w:val="000000"/>
          <w:sz w:val="24"/>
          <w:szCs w:val="24"/>
        </w:rPr>
        <w:t xml:space="preserve">On October 1, 2019, Staff posted the revised project summary on the “CASF Applications Project Summaries” webpage.  </w:t>
      </w:r>
      <w:r w:rsidR="008C1593" w:rsidRPr="001E2A95">
        <w:rPr>
          <w:rFonts w:ascii="Palatino Linotype" w:hAnsi="Palatino Linotype" w:cs="Palatino Linotype"/>
          <w:color w:val="000000"/>
          <w:sz w:val="24"/>
          <w:szCs w:val="24"/>
        </w:rPr>
        <w:t xml:space="preserve">The </w:t>
      </w:r>
      <w:r w:rsidR="005F20E7" w:rsidRPr="001E2A95">
        <w:rPr>
          <w:rFonts w:ascii="Palatino Linotype" w:hAnsi="Palatino Linotype" w:cs="Palatino Linotype"/>
          <w:color w:val="000000"/>
          <w:sz w:val="24"/>
          <w:szCs w:val="24"/>
        </w:rPr>
        <w:t xml:space="preserve">application eligible areas are in </w:t>
      </w:r>
      <w:r w:rsidR="008C1593" w:rsidRPr="001E2A95">
        <w:rPr>
          <w:rFonts w:ascii="Palatino Linotype" w:hAnsi="Palatino Linotype" w:cs="Palatino Linotype"/>
          <w:color w:val="000000"/>
          <w:sz w:val="24"/>
          <w:szCs w:val="24"/>
        </w:rPr>
        <w:t>CBGs</w:t>
      </w:r>
      <w:r w:rsidR="005F20E7" w:rsidRPr="001E2A95">
        <w:rPr>
          <w:rFonts w:ascii="Palatino Linotype" w:hAnsi="Palatino Linotype" w:cs="Palatino Linotype"/>
          <w:color w:val="000000"/>
          <w:sz w:val="24"/>
          <w:szCs w:val="24"/>
        </w:rPr>
        <w:t>:</w:t>
      </w:r>
      <w:r w:rsidR="008C1593" w:rsidRPr="001E2A95">
        <w:rPr>
          <w:rFonts w:ascii="Palatino Linotype" w:hAnsi="Palatino Linotype" w:cs="Palatino Linotype"/>
          <w:color w:val="000000"/>
          <w:sz w:val="24"/>
          <w:szCs w:val="24"/>
        </w:rPr>
        <w:t xml:space="preserve"> 060630001005, 060630001006, and 060630002021.</w:t>
      </w:r>
    </w:p>
    <w:p w14:paraId="72C7C5DE" w14:textId="010EABD8" w:rsidR="00BC6E63" w:rsidRPr="00CC02A9" w:rsidRDefault="00914038" w:rsidP="001E2A95">
      <w:pPr>
        <w:numPr>
          <w:ilvl w:val="0"/>
          <w:numId w:val="3"/>
        </w:numPr>
        <w:autoSpaceDE w:val="0"/>
        <w:autoSpaceDN w:val="0"/>
        <w:adjustRightInd w:val="0"/>
        <w:spacing w:after="170"/>
        <w:rPr>
          <w:rFonts w:ascii="Palatino Linotype" w:hAnsi="Palatino Linotype"/>
          <w:sz w:val="24"/>
          <w:szCs w:val="24"/>
        </w:rPr>
      </w:pPr>
      <w:r w:rsidRPr="001E2A95">
        <w:rPr>
          <w:rFonts w:ascii="Palatino Linotype" w:hAnsi="Palatino Linotype"/>
          <w:sz w:val="24"/>
          <w:szCs w:val="24"/>
        </w:rPr>
        <w:t>Based on its</w:t>
      </w:r>
      <w:r w:rsidRPr="00CC02A9">
        <w:rPr>
          <w:rFonts w:ascii="Palatino Linotype" w:hAnsi="Palatino Linotype"/>
          <w:sz w:val="24"/>
          <w:szCs w:val="24"/>
        </w:rPr>
        <w:t xml:space="preserve"> review, </w:t>
      </w:r>
      <w:r>
        <w:rPr>
          <w:rFonts w:ascii="Palatino Linotype" w:hAnsi="Palatino Linotype"/>
          <w:sz w:val="24"/>
          <w:szCs w:val="24"/>
        </w:rPr>
        <w:t>Staff</w:t>
      </w:r>
      <w:r w:rsidRPr="00CC02A9">
        <w:rPr>
          <w:rFonts w:ascii="Palatino Linotype" w:hAnsi="Palatino Linotype"/>
          <w:sz w:val="24"/>
          <w:szCs w:val="24"/>
        </w:rPr>
        <w:t xml:space="preserve"> determined that the project qualifies for funding </w:t>
      </w:r>
      <w:r>
        <w:rPr>
          <w:rFonts w:ascii="Palatino Linotype" w:hAnsi="Palatino Linotype"/>
          <w:sz w:val="24"/>
          <w:szCs w:val="24"/>
        </w:rPr>
        <w:t>pursuant to</w:t>
      </w:r>
      <w:r w:rsidRPr="00CC02A9">
        <w:rPr>
          <w:rFonts w:ascii="Palatino Linotype" w:hAnsi="Palatino Linotype"/>
          <w:sz w:val="24"/>
          <w:szCs w:val="24"/>
        </w:rPr>
        <w:t xml:space="preserve"> </w:t>
      </w:r>
      <w:r>
        <w:rPr>
          <w:rFonts w:ascii="Palatino Linotype" w:hAnsi="Palatino Linotype"/>
          <w:sz w:val="24"/>
          <w:szCs w:val="24"/>
        </w:rPr>
        <w:t xml:space="preserve">CASF guidelines and requirements found in </w:t>
      </w:r>
      <w:r w:rsidRPr="007F6BA5">
        <w:rPr>
          <w:rFonts w:ascii="Palatino Linotype" w:hAnsi="Palatino Linotype"/>
          <w:sz w:val="24"/>
          <w:szCs w:val="24"/>
        </w:rPr>
        <w:t>D. 18-12-018</w:t>
      </w:r>
      <w:r>
        <w:rPr>
          <w:rFonts w:ascii="Palatino Linotype" w:hAnsi="Palatino Linotype"/>
          <w:sz w:val="24"/>
          <w:szCs w:val="24"/>
        </w:rPr>
        <w:t xml:space="preserve"> and its Appendix 1 </w:t>
      </w:r>
      <w:r w:rsidR="00BC6E63" w:rsidRPr="00CC02A9">
        <w:rPr>
          <w:rFonts w:ascii="Palatino Linotype" w:hAnsi="Palatino Linotype"/>
          <w:sz w:val="24"/>
          <w:szCs w:val="24"/>
        </w:rPr>
        <w:t>and recommends Commission approval of CASF funding for</w:t>
      </w:r>
      <w:r w:rsidR="00E00ADE">
        <w:rPr>
          <w:rFonts w:ascii="Palatino Linotype" w:hAnsi="Palatino Linotype"/>
          <w:sz w:val="24"/>
          <w:szCs w:val="24"/>
        </w:rPr>
        <w:t xml:space="preserve"> PST’s</w:t>
      </w:r>
      <w:r w:rsidR="00BC6E63" w:rsidRPr="00CC02A9">
        <w:rPr>
          <w:rFonts w:ascii="Palatino Linotype" w:hAnsi="Palatino Linotype"/>
          <w:sz w:val="24"/>
          <w:szCs w:val="24"/>
        </w:rPr>
        <w:t xml:space="preserve"> </w:t>
      </w:r>
      <w:r w:rsidR="00E00ADE">
        <w:rPr>
          <w:rFonts w:ascii="Palatino Linotype" w:hAnsi="Palatino Linotype"/>
          <w:sz w:val="24"/>
          <w:szCs w:val="24"/>
        </w:rPr>
        <w:t>Keddie</w:t>
      </w:r>
      <w:r w:rsidR="00BC6E63" w:rsidRPr="00CC02A9">
        <w:rPr>
          <w:rFonts w:ascii="Palatino Linotype" w:hAnsi="Palatino Linotype"/>
          <w:sz w:val="24"/>
          <w:szCs w:val="24"/>
        </w:rPr>
        <w:t xml:space="preserve"> Project. </w:t>
      </w:r>
    </w:p>
    <w:p w14:paraId="49EE024D" w14:textId="5A2C4EBC" w:rsidR="00BC6E63" w:rsidRPr="00CC02A9" w:rsidRDefault="00BC6E63" w:rsidP="001E2A95">
      <w:pPr>
        <w:numPr>
          <w:ilvl w:val="0"/>
          <w:numId w:val="3"/>
        </w:numPr>
        <w:autoSpaceDE w:val="0"/>
        <w:autoSpaceDN w:val="0"/>
        <w:adjustRightInd w:val="0"/>
        <w:spacing w:after="170"/>
        <w:rPr>
          <w:rFonts w:ascii="Palatino Linotype" w:hAnsi="Palatino Linotype"/>
          <w:color w:val="000000"/>
          <w:sz w:val="24"/>
          <w:szCs w:val="24"/>
        </w:rPr>
      </w:pPr>
      <w:r w:rsidRPr="00CC02A9">
        <w:rPr>
          <w:rFonts w:ascii="Palatino Linotype" w:hAnsi="Palatino Linotype"/>
          <w:color w:val="000000"/>
          <w:sz w:val="24"/>
          <w:szCs w:val="24"/>
        </w:rPr>
        <w:t xml:space="preserve">The Commission has determined that the project is categorically exempt from CEQA review, under </w:t>
      </w:r>
      <w:r w:rsidR="0016479D">
        <w:rPr>
          <w:rFonts w:ascii="Palatino Linotype" w:hAnsi="Palatino Linotype"/>
          <w:color w:val="000000"/>
          <w:sz w:val="24"/>
          <w:szCs w:val="24"/>
        </w:rPr>
        <w:t xml:space="preserve">14 C.C.R. </w:t>
      </w:r>
      <w:r w:rsidR="00D00AC4" w:rsidRPr="00D00AC4">
        <w:rPr>
          <w:rFonts w:ascii="Palatino Linotype" w:hAnsi="Palatino Linotype"/>
          <w:sz w:val="24"/>
          <w:szCs w:val="24"/>
        </w:rPr>
        <w:t>§</w:t>
      </w:r>
      <w:r w:rsidRPr="00CC02A9">
        <w:rPr>
          <w:rFonts w:ascii="Palatino Linotype" w:hAnsi="Palatino Linotype"/>
          <w:color w:val="000000"/>
          <w:sz w:val="24"/>
          <w:szCs w:val="24"/>
        </w:rPr>
        <w:t xml:space="preserve"> 15301 regarding exemption for existing facilities</w:t>
      </w:r>
      <w:r w:rsidR="002914E4">
        <w:rPr>
          <w:rFonts w:ascii="Palatino Linotype" w:hAnsi="Palatino Linotype"/>
          <w:color w:val="000000"/>
          <w:sz w:val="24"/>
          <w:szCs w:val="24"/>
        </w:rPr>
        <w:t xml:space="preserve"> and </w:t>
      </w:r>
      <w:r w:rsidR="0016479D">
        <w:rPr>
          <w:rFonts w:ascii="Palatino Linotype" w:hAnsi="Palatino Linotype"/>
          <w:color w:val="000000"/>
          <w:sz w:val="24"/>
          <w:szCs w:val="24"/>
        </w:rPr>
        <w:t xml:space="preserve">14 C.C.R. </w:t>
      </w:r>
      <w:r w:rsidR="00D00AC4" w:rsidRPr="00D00AC4">
        <w:rPr>
          <w:rFonts w:ascii="Palatino Linotype" w:hAnsi="Palatino Linotype"/>
          <w:sz w:val="24"/>
          <w:szCs w:val="24"/>
        </w:rPr>
        <w:t>§</w:t>
      </w:r>
      <w:r w:rsidR="002914E4">
        <w:rPr>
          <w:rFonts w:ascii="Palatino Linotype" w:hAnsi="Palatino Linotype"/>
          <w:color w:val="000000"/>
          <w:sz w:val="24"/>
          <w:szCs w:val="24"/>
        </w:rPr>
        <w:t xml:space="preserve"> 15304 regarding minor alterations to land</w:t>
      </w:r>
      <w:r w:rsidRPr="00CC02A9">
        <w:rPr>
          <w:rFonts w:ascii="Palatino Linotype" w:hAnsi="Palatino Linotype"/>
          <w:color w:val="000000"/>
          <w:sz w:val="24"/>
          <w:szCs w:val="24"/>
        </w:rPr>
        <w:t>.</w:t>
      </w:r>
    </w:p>
    <w:p w14:paraId="554F8C7F" w14:textId="475F116A" w:rsidR="00BC6E63" w:rsidRDefault="00BC6E63" w:rsidP="001E2A95">
      <w:pPr>
        <w:numPr>
          <w:ilvl w:val="0"/>
          <w:numId w:val="3"/>
        </w:numPr>
        <w:autoSpaceDE w:val="0"/>
        <w:autoSpaceDN w:val="0"/>
        <w:adjustRightInd w:val="0"/>
        <w:spacing w:after="170"/>
        <w:rPr>
          <w:rFonts w:ascii="Palatino Linotype" w:hAnsi="Palatino Linotype"/>
          <w:color w:val="000000"/>
          <w:sz w:val="24"/>
          <w:szCs w:val="24"/>
        </w:rPr>
      </w:pPr>
      <w:r w:rsidRPr="00CC02A9">
        <w:rPr>
          <w:rFonts w:ascii="Palatino Linotype" w:hAnsi="Palatino Linotype"/>
          <w:sz w:val="24"/>
          <w:szCs w:val="24"/>
        </w:rPr>
        <w:t xml:space="preserve">A notice letter was e-mailed on </w:t>
      </w:r>
      <w:r w:rsidR="00701EAE" w:rsidRPr="00701EAE">
        <w:rPr>
          <w:rFonts w:ascii="Palatino Linotype" w:hAnsi="Palatino Linotype"/>
          <w:sz w:val="24"/>
          <w:szCs w:val="24"/>
        </w:rPr>
        <w:t>October 31</w:t>
      </w:r>
      <w:r w:rsidR="00231F4C" w:rsidRPr="00701EAE">
        <w:rPr>
          <w:rFonts w:ascii="Palatino Linotype" w:hAnsi="Palatino Linotype"/>
          <w:sz w:val="24"/>
          <w:szCs w:val="24"/>
        </w:rPr>
        <w:t>, 2019</w:t>
      </w:r>
      <w:r w:rsidRPr="00CC02A9">
        <w:rPr>
          <w:rFonts w:ascii="Palatino Linotype" w:hAnsi="Palatino Linotype"/>
          <w:sz w:val="24"/>
          <w:szCs w:val="24"/>
        </w:rPr>
        <w:t>, informing all applicants filing for CASF funding</w:t>
      </w:r>
      <w:r w:rsidR="008373A8">
        <w:rPr>
          <w:rFonts w:ascii="Palatino Linotype" w:hAnsi="Palatino Linotype"/>
          <w:sz w:val="24"/>
          <w:szCs w:val="24"/>
        </w:rPr>
        <w:t xml:space="preserve"> and</w:t>
      </w:r>
      <w:r w:rsidRPr="00CC02A9">
        <w:rPr>
          <w:rFonts w:ascii="Palatino Linotype" w:hAnsi="Palatino Linotype"/>
          <w:sz w:val="24"/>
          <w:szCs w:val="24"/>
        </w:rPr>
        <w:t xml:space="preserve"> parties on the CASF distribution list of the availability of </w:t>
      </w:r>
      <w:r w:rsidRPr="00CC02A9">
        <w:rPr>
          <w:rFonts w:ascii="Palatino Linotype" w:hAnsi="Palatino Linotype"/>
          <w:sz w:val="24"/>
          <w:szCs w:val="24"/>
        </w:rPr>
        <w:lastRenderedPageBreak/>
        <w:t xml:space="preserve">the draft of this Resolution for public comments at the Commission’s website </w:t>
      </w:r>
      <w:r w:rsidRPr="00CC02A9">
        <w:rPr>
          <w:rFonts w:ascii="Palatino Linotype" w:hAnsi="Palatino Linotype"/>
          <w:color w:val="0000FF"/>
          <w:sz w:val="24"/>
          <w:szCs w:val="24"/>
        </w:rPr>
        <w:t>http://www.cpuc.ca.gov/PUC/documents/</w:t>
      </w:r>
      <w:r w:rsidRPr="00CC02A9">
        <w:rPr>
          <w:rFonts w:ascii="Palatino Linotype" w:hAnsi="Palatino Linotype"/>
          <w:color w:val="000000"/>
          <w:sz w:val="24"/>
          <w:szCs w:val="24"/>
        </w:rPr>
        <w:t xml:space="preserve">.  </w:t>
      </w:r>
    </w:p>
    <w:p w14:paraId="6E8C3FD5" w14:textId="77777777" w:rsidR="008324EB" w:rsidRDefault="008324EB" w:rsidP="003C1CC7">
      <w:pPr>
        <w:rPr>
          <w:rFonts w:ascii="Palatino Linotype" w:hAnsi="Palatino Linotype"/>
          <w:b/>
          <w:sz w:val="24"/>
          <w:szCs w:val="24"/>
        </w:rPr>
      </w:pPr>
    </w:p>
    <w:p w14:paraId="2F3DBFF1" w14:textId="4F96FD9D" w:rsidR="00BC6E63" w:rsidRPr="00CC02A9" w:rsidRDefault="00BC6E63" w:rsidP="003C1CC7">
      <w:pPr>
        <w:rPr>
          <w:rFonts w:ascii="Palatino Linotype" w:hAnsi="Palatino Linotype"/>
          <w:sz w:val="24"/>
          <w:szCs w:val="24"/>
        </w:rPr>
      </w:pPr>
      <w:r w:rsidRPr="00CC02A9">
        <w:rPr>
          <w:rFonts w:ascii="Palatino Linotype" w:hAnsi="Palatino Linotype"/>
          <w:b/>
          <w:sz w:val="24"/>
          <w:szCs w:val="24"/>
        </w:rPr>
        <w:t>THEREFORE, IT IS ORDERED that:</w:t>
      </w:r>
    </w:p>
    <w:p w14:paraId="6EF950F2" w14:textId="77777777" w:rsidR="00BC6E63" w:rsidRPr="00CC02A9" w:rsidRDefault="00BC6E63" w:rsidP="003C1CC7">
      <w:pPr>
        <w:autoSpaceDE w:val="0"/>
        <w:autoSpaceDN w:val="0"/>
        <w:adjustRightInd w:val="0"/>
        <w:rPr>
          <w:rFonts w:ascii="Palatino Linotype" w:hAnsi="Palatino Linotype" w:cs="Palatino Linotype"/>
          <w:color w:val="000000"/>
          <w:sz w:val="24"/>
          <w:szCs w:val="24"/>
        </w:rPr>
      </w:pPr>
    </w:p>
    <w:p w14:paraId="2D4C3B2B" w14:textId="00DA7AC3" w:rsidR="00BC6E63" w:rsidRPr="00914038" w:rsidRDefault="00BC6E63" w:rsidP="004F5E59">
      <w:pPr>
        <w:numPr>
          <w:ilvl w:val="1"/>
          <w:numId w:val="2"/>
        </w:numPr>
        <w:autoSpaceDE w:val="0"/>
        <w:autoSpaceDN w:val="0"/>
        <w:adjustRightInd w:val="0"/>
        <w:spacing w:afterLines="170" w:after="408"/>
        <w:ind w:left="720"/>
        <w:rPr>
          <w:rFonts w:ascii="Palatino Linotype" w:hAnsi="Palatino Linotype" w:cs="Palatino Linotype"/>
          <w:color w:val="000000"/>
          <w:sz w:val="24"/>
          <w:szCs w:val="24"/>
        </w:rPr>
      </w:pPr>
      <w:r w:rsidRPr="00914038">
        <w:rPr>
          <w:rFonts w:ascii="Palatino Linotype" w:hAnsi="Palatino Linotype" w:cs="Palatino Linotype"/>
          <w:color w:val="000000"/>
          <w:sz w:val="24"/>
          <w:szCs w:val="24"/>
        </w:rPr>
        <w:t>The Commission shall award $</w:t>
      </w:r>
      <w:r w:rsidR="00C01BC9" w:rsidRPr="00914038">
        <w:rPr>
          <w:rFonts w:ascii="Palatino Linotype" w:hAnsi="Palatino Linotype" w:cs="Palatino Linotype"/>
          <w:color w:val="000000"/>
          <w:sz w:val="24"/>
          <w:szCs w:val="24"/>
        </w:rPr>
        <w:t>1,512,163</w:t>
      </w:r>
      <w:r w:rsidRPr="001E2A95">
        <w:rPr>
          <w:rFonts w:ascii="Palatino Linotype" w:hAnsi="Palatino Linotype" w:cs="Palatino Linotype"/>
          <w:color w:val="000000"/>
          <w:sz w:val="24"/>
          <w:szCs w:val="24"/>
        </w:rPr>
        <w:t xml:space="preserve"> to </w:t>
      </w:r>
      <w:r w:rsidR="00C01BC9" w:rsidRPr="001E2A95">
        <w:rPr>
          <w:rFonts w:ascii="Palatino Linotype" w:hAnsi="Palatino Linotype" w:cs="Palatino Linotype"/>
          <w:color w:val="000000"/>
          <w:sz w:val="24"/>
          <w:szCs w:val="24"/>
        </w:rPr>
        <w:t>PST</w:t>
      </w:r>
      <w:r w:rsidRPr="001E2A95">
        <w:rPr>
          <w:rFonts w:ascii="Palatino Linotype" w:hAnsi="Palatino Linotype" w:cs="Palatino Linotype"/>
          <w:color w:val="000000"/>
          <w:sz w:val="24"/>
          <w:szCs w:val="24"/>
        </w:rPr>
        <w:t xml:space="preserve"> for the </w:t>
      </w:r>
      <w:r w:rsidR="00C01BC9" w:rsidRPr="001E2A95">
        <w:rPr>
          <w:rFonts w:ascii="Palatino Linotype" w:hAnsi="Palatino Linotype" w:cs="Palatino Linotype"/>
          <w:color w:val="000000"/>
          <w:sz w:val="24"/>
          <w:szCs w:val="24"/>
        </w:rPr>
        <w:t>Keddie</w:t>
      </w:r>
      <w:r w:rsidRPr="001E2A95">
        <w:rPr>
          <w:rFonts w:ascii="Palatino Linotype" w:hAnsi="Palatino Linotype" w:cs="Palatino Linotype"/>
          <w:color w:val="000000"/>
          <w:sz w:val="24"/>
          <w:szCs w:val="24"/>
        </w:rPr>
        <w:t xml:space="preserve"> Project as described herein and summarized in Appendix A of this Resolution</w:t>
      </w:r>
      <w:r w:rsidR="00914038" w:rsidRPr="001E2A95">
        <w:rPr>
          <w:rFonts w:ascii="Palatino Linotype" w:hAnsi="Palatino Linotype" w:cs="Palatino Linotype"/>
          <w:color w:val="000000"/>
          <w:sz w:val="24"/>
          <w:szCs w:val="24"/>
        </w:rPr>
        <w:t>,</w:t>
      </w:r>
      <w:r w:rsidR="00914038">
        <w:rPr>
          <w:rFonts w:ascii="Palatino Linotype" w:hAnsi="Palatino Linotype" w:cs="Palatino Linotype"/>
          <w:color w:val="000000"/>
          <w:sz w:val="24"/>
          <w:szCs w:val="24"/>
        </w:rPr>
        <w:t xml:space="preserve"> which</w:t>
      </w:r>
      <w:r w:rsidRPr="00914038">
        <w:rPr>
          <w:rFonts w:ascii="Palatino Linotype" w:hAnsi="Palatino Linotype" w:cs="Palatino Linotype"/>
          <w:color w:val="000000"/>
          <w:sz w:val="24"/>
          <w:szCs w:val="24"/>
        </w:rPr>
        <w:t xml:space="preserve"> shall be paid out of the CASF Infrastructure Grant Account in accordance with the guidelines adopted in </w:t>
      </w:r>
      <w:r w:rsidR="007F6BA5" w:rsidRPr="00914038">
        <w:rPr>
          <w:rFonts w:ascii="Palatino Linotype" w:hAnsi="Palatino Linotype" w:cs="Palatino Linotype"/>
          <w:color w:val="000000"/>
          <w:sz w:val="24"/>
          <w:szCs w:val="24"/>
        </w:rPr>
        <w:t>D. 18-12-018</w:t>
      </w:r>
      <w:r w:rsidR="00914038">
        <w:rPr>
          <w:rFonts w:ascii="Palatino Linotype" w:hAnsi="Palatino Linotype" w:cs="Palatino Linotype"/>
          <w:color w:val="000000"/>
          <w:sz w:val="24"/>
          <w:szCs w:val="24"/>
        </w:rPr>
        <w:t xml:space="preserve"> and its Appendix 1</w:t>
      </w:r>
      <w:r w:rsidRPr="00914038">
        <w:rPr>
          <w:rFonts w:ascii="Palatino Linotype" w:hAnsi="Palatino Linotype" w:cs="Palatino Linotype"/>
          <w:color w:val="000000"/>
          <w:sz w:val="24"/>
          <w:szCs w:val="24"/>
        </w:rPr>
        <w:t>,</w:t>
      </w:r>
      <w:r w:rsidR="00914038">
        <w:rPr>
          <w:rFonts w:ascii="Palatino Linotype" w:hAnsi="Palatino Linotype" w:cs="Palatino Linotype"/>
          <w:color w:val="000000"/>
          <w:sz w:val="24"/>
          <w:szCs w:val="24"/>
        </w:rPr>
        <w:t xml:space="preserve"> and with the process defined in Appendix D “Payments to CASF Recipients” of this Resolution.</w:t>
      </w:r>
    </w:p>
    <w:p w14:paraId="24FAAD79" w14:textId="2FBA2B9E" w:rsidR="00914038" w:rsidRDefault="00914038" w:rsidP="004F5E59">
      <w:pPr>
        <w:numPr>
          <w:ilvl w:val="1"/>
          <w:numId w:val="2"/>
        </w:numPr>
        <w:autoSpaceDE w:val="0"/>
        <w:autoSpaceDN w:val="0"/>
        <w:adjustRightInd w:val="0"/>
        <w:spacing w:afterLines="170" w:after="408"/>
        <w:ind w:left="720" w:right="180"/>
        <w:rPr>
          <w:rFonts w:ascii="Palatino Linotype" w:hAnsi="Palatino Linotype" w:cs="Palatino Linotype"/>
          <w:color w:val="000000"/>
          <w:sz w:val="24"/>
          <w:szCs w:val="24"/>
        </w:rPr>
      </w:pPr>
      <w:r>
        <w:rPr>
          <w:rFonts w:ascii="Palatino Linotype" w:hAnsi="Palatino Linotype" w:cs="Palatino Linotype"/>
          <w:color w:val="000000"/>
          <w:sz w:val="24"/>
          <w:szCs w:val="24"/>
        </w:rPr>
        <w:t>PST</w:t>
      </w:r>
      <w:r w:rsidRPr="00CC02A9">
        <w:rPr>
          <w:rFonts w:ascii="Palatino Linotype" w:hAnsi="Palatino Linotype" w:cs="Palatino Linotype"/>
          <w:color w:val="000000"/>
          <w:sz w:val="24"/>
          <w:szCs w:val="24"/>
        </w:rPr>
        <w:t xml:space="preserve"> shall comply with all guidelines, requirements and conditions associated with </w:t>
      </w:r>
      <w:r>
        <w:rPr>
          <w:rFonts w:ascii="Palatino Linotype" w:hAnsi="Palatino Linotype" w:cs="Palatino Linotype"/>
          <w:color w:val="000000"/>
          <w:sz w:val="24"/>
          <w:szCs w:val="24"/>
        </w:rPr>
        <w:t>a</w:t>
      </w:r>
      <w:r w:rsidRPr="00CC02A9">
        <w:rPr>
          <w:rFonts w:ascii="Palatino Linotype" w:hAnsi="Palatino Linotype" w:cs="Palatino Linotype"/>
          <w:color w:val="000000"/>
          <w:sz w:val="24"/>
          <w:szCs w:val="24"/>
        </w:rPr>
        <w:t xml:space="preserve"> CASF award</w:t>
      </w:r>
      <w:r>
        <w:rPr>
          <w:rFonts w:ascii="Palatino Linotype" w:hAnsi="Palatino Linotype" w:cs="Palatino Linotype"/>
          <w:color w:val="000000"/>
          <w:sz w:val="24"/>
          <w:szCs w:val="24"/>
        </w:rPr>
        <w:t>,</w:t>
      </w:r>
      <w:r w:rsidRPr="00CC02A9">
        <w:rPr>
          <w:rFonts w:ascii="Palatino Linotype" w:hAnsi="Palatino Linotype" w:cs="Palatino Linotype"/>
          <w:color w:val="000000"/>
          <w:sz w:val="24"/>
          <w:szCs w:val="24"/>
        </w:rPr>
        <w:t xml:space="preserve"> as specified in </w:t>
      </w:r>
      <w:r w:rsidRPr="007F6BA5">
        <w:rPr>
          <w:rFonts w:ascii="Palatino Linotype" w:hAnsi="Palatino Linotype" w:cs="Palatino Linotype"/>
          <w:color w:val="000000"/>
          <w:sz w:val="24"/>
          <w:szCs w:val="24"/>
        </w:rPr>
        <w:t>D. 18-12-018</w:t>
      </w:r>
      <w:r>
        <w:rPr>
          <w:rFonts w:ascii="Palatino Linotype" w:hAnsi="Palatino Linotype" w:cs="Palatino Linotype"/>
          <w:color w:val="000000"/>
          <w:sz w:val="24"/>
          <w:szCs w:val="24"/>
        </w:rPr>
        <w:t xml:space="preserve"> and its Appendix 1, </w:t>
      </w:r>
      <w:r w:rsidRPr="00CC02A9">
        <w:rPr>
          <w:rFonts w:ascii="Palatino Linotype" w:hAnsi="Palatino Linotype" w:cs="Palatino Linotype"/>
          <w:color w:val="000000"/>
          <w:sz w:val="24"/>
          <w:szCs w:val="24"/>
        </w:rPr>
        <w:t xml:space="preserve">and </w:t>
      </w:r>
      <w:r>
        <w:rPr>
          <w:rFonts w:ascii="Palatino Linotype" w:hAnsi="Palatino Linotype" w:cs="Palatino Linotype"/>
          <w:color w:val="000000"/>
          <w:sz w:val="24"/>
          <w:szCs w:val="24"/>
        </w:rPr>
        <w:t xml:space="preserve">all requirements for this project included in this resolution, and </w:t>
      </w:r>
      <w:r w:rsidRPr="00CC02A9">
        <w:rPr>
          <w:rFonts w:ascii="Palatino Linotype" w:hAnsi="Palatino Linotype" w:cs="Palatino Linotype"/>
          <w:color w:val="000000"/>
          <w:sz w:val="24"/>
          <w:szCs w:val="24"/>
        </w:rPr>
        <w:t xml:space="preserve">must submit FCC Form 477 to the Commission, as specified in Resolution T-17143. </w:t>
      </w:r>
    </w:p>
    <w:p w14:paraId="388A9233" w14:textId="5C1E24DB" w:rsidR="00914038" w:rsidRDefault="00914038" w:rsidP="004F5E59">
      <w:pPr>
        <w:numPr>
          <w:ilvl w:val="1"/>
          <w:numId w:val="2"/>
        </w:numPr>
        <w:autoSpaceDE w:val="0"/>
        <w:autoSpaceDN w:val="0"/>
        <w:adjustRightInd w:val="0"/>
        <w:spacing w:afterLines="170" w:after="408"/>
        <w:ind w:left="720" w:right="180"/>
        <w:rPr>
          <w:rFonts w:ascii="Palatino Linotype" w:hAnsi="Palatino Linotype" w:cs="Palatino Linotype"/>
          <w:color w:val="000000"/>
          <w:sz w:val="24"/>
          <w:szCs w:val="24"/>
        </w:rPr>
      </w:pPr>
      <w:r w:rsidRPr="0015445B">
        <w:rPr>
          <w:rFonts w:ascii="Palatino Linotype" w:hAnsi="Palatino Linotype"/>
          <w:sz w:val="24"/>
          <w:szCs w:val="24"/>
        </w:rPr>
        <w:t xml:space="preserve">If </w:t>
      </w:r>
      <w:r>
        <w:rPr>
          <w:rFonts w:ascii="Palatino Linotype" w:hAnsi="Palatino Linotype"/>
          <w:sz w:val="24"/>
          <w:szCs w:val="24"/>
        </w:rPr>
        <w:t>PST</w:t>
      </w:r>
      <w:r w:rsidRPr="0015445B">
        <w:rPr>
          <w:rFonts w:ascii="Palatino Linotype" w:hAnsi="Palatino Linotype"/>
          <w:sz w:val="24"/>
          <w:szCs w:val="24"/>
        </w:rPr>
        <w:t xml:space="preserve"> fails to complete the project in accordance with the </w:t>
      </w:r>
      <w:r>
        <w:rPr>
          <w:rFonts w:ascii="Palatino Linotype" w:hAnsi="Palatino Linotype"/>
          <w:sz w:val="24"/>
          <w:szCs w:val="24"/>
        </w:rPr>
        <w:t xml:space="preserve">CASF guidelines and requirements </w:t>
      </w:r>
      <w:r w:rsidRPr="0015445B">
        <w:rPr>
          <w:rFonts w:ascii="Palatino Linotype" w:hAnsi="Palatino Linotype"/>
          <w:sz w:val="24"/>
          <w:szCs w:val="24"/>
        </w:rPr>
        <w:t>outlined in D.18-12-018</w:t>
      </w:r>
      <w:r>
        <w:rPr>
          <w:rFonts w:ascii="Palatino Linotype" w:hAnsi="Palatino Linotype"/>
          <w:sz w:val="24"/>
          <w:szCs w:val="24"/>
        </w:rPr>
        <w:t xml:space="preserve"> and its Appendix 1</w:t>
      </w:r>
      <w:r w:rsidRPr="0015445B">
        <w:rPr>
          <w:rFonts w:ascii="Palatino Linotype" w:hAnsi="Palatino Linotype"/>
          <w:sz w:val="24"/>
          <w:szCs w:val="24"/>
        </w:rPr>
        <w:t xml:space="preserve">, and </w:t>
      </w:r>
      <w:r>
        <w:rPr>
          <w:rFonts w:ascii="Palatino Linotype" w:hAnsi="Palatino Linotype"/>
          <w:sz w:val="24"/>
          <w:szCs w:val="24"/>
        </w:rPr>
        <w:t xml:space="preserve">the terms in </w:t>
      </w:r>
      <w:r w:rsidRPr="0015445B">
        <w:rPr>
          <w:rFonts w:ascii="Palatino Linotype" w:hAnsi="Palatino Linotype"/>
          <w:sz w:val="24"/>
          <w:szCs w:val="24"/>
        </w:rPr>
        <w:t xml:space="preserve">this Resolution, </w:t>
      </w:r>
      <w:r>
        <w:rPr>
          <w:rFonts w:ascii="Palatino Linotype" w:hAnsi="Palatino Linotype"/>
          <w:sz w:val="24"/>
          <w:szCs w:val="24"/>
        </w:rPr>
        <w:t>PST</w:t>
      </w:r>
      <w:r w:rsidRPr="0015445B">
        <w:rPr>
          <w:rFonts w:ascii="Palatino Linotype" w:hAnsi="Palatino Linotype"/>
          <w:sz w:val="24"/>
          <w:szCs w:val="24"/>
        </w:rPr>
        <w:t xml:space="preserve"> must reimburse some or all of the CASF funds that it has received.</w:t>
      </w:r>
    </w:p>
    <w:p w14:paraId="1E1F0114" w14:textId="238041A4" w:rsidR="00914038" w:rsidRPr="00684AF2" w:rsidRDefault="00914038" w:rsidP="004F5E59">
      <w:pPr>
        <w:numPr>
          <w:ilvl w:val="1"/>
          <w:numId w:val="2"/>
        </w:numPr>
        <w:autoSpaceDE w:val="0"/>
        <w:autoSpaceDN w:val="0"/>
        <w:adjustRightInd w:val="0"/>
        <w:spacing w:afterLines="170" w:after="408"/>
        <w:ind w:left="720" w:right="180"/>
        <w:rPr>
          <w:rFonts w:ascii="Palatino Linotype" w:hAnsi="Palatino Linotype" w:cs="Palatino Linotype"/>
          <w:color w:val="000000"/>
          <w:sz w:val="24"/>
          <w:szCs w:val="24"/>
        </w:rPr>
      </w:pPr>
      <w:r>
        <w:rPr>
          <w:rFonts w:ascii="Palatino Linotype" w:hAnsi="Palatino Linotype" w:cs="Palatino Linotype"/>
          <w:color w:val="000000"/>
          <w:sz w:val="24"/>
          <w:szCs w:val="24"/>
        </w:rPr>
        <w:t>PST</w:t>
      </w:r>
      <w:r w:rsidRPr="00684AF2">
        <w:rPr>
          <w:rFonts w:ascii="Palatino Linotype" w:hAnsi="Palatino Linotype" w:cs="Palatino Linotype"/>
          <w:color w:val="000000"/>
          <w:sz w:val="24"/>
          <w:szCs w:val="24"/>
        </w:rPr>
        <w:t xml:space="preserve"> </w:t>
      </w:r>
      <w:r w:rsidRPr="00816D25">
        <w:rPr>
          <w:rFonts w:ascii="Palatino Linotype" w:hAnsi="Palatino Linotype" w:cs="Palatino Linotype"/>
          <w:color w:val="000000"/>
          <w:sz w:val="24"/>
          <w:szCs w:val="24"/>
        </w:rPr>
        <w:t xml:space="preserve">must </w:t>
      </w:r>
      <w:bookmarkStart w:id="12" w:name="_Hlk22042516"/>
      <w:r w:rsidRPr="00816D25">
        <w:rPr>
          <w:rFonts w:ascii="Palatino Linotype" w:hAnsi="Palatino Linotype" w:cs="Palatino Linotype"/>
          <w:color w:val="000000"/>
          <w:sz w:val="24"/>
          <w:szCs w:val="24"/>
        </w:rPr>
        <w:t xml:space="preserve">complete and execute the consent form (to be sent to the Grantee after this Resolution is adopted) agreeing to the conditions set forth in this Resolution and </w:t>
      </w:r>
      <w:r>
        <w:rPr>
          <w:rFonts w:ascii="Palatino Linotype" w:hAnsi="Palatino Linotype" w:cs="Palatino Linotype"/>
          <w:color w:val="000000"/>
          <w:sz w:val="24"/>
          <w:szCs w:val="24"/>
        </w:rPr>
        <w:t>return</w:t>
      </w:r>
      <w:r w:rsidRPr="00816D25">
        <w:rPr>
          <w:rFonts w:ascii="Palatino Linotype" w:hAnsi="Palatino Linotype" w:cs="Palatino Linotype"/>
          <w:color w:val="000000"/>
          <w:sz w:val="24"/>
          <w:szCs w:val="24"/>
        </w:rPr>
        <w:t xml:space="preserve"> it </w:t>
      </w:r>
      <w:r>
        <w:rPr>
          <w:rFonts w:ascii="Palatino Linotype" w:hAnsi="Palatino Linotype" w:cs="Palatino Linotype"/>
          <w:color w:val="000000"/>
          <w:sz w:val="24"/>
          <w:szCs w:val="24"/>
        </w:rPr>
        <w:t xml:space="preserve">the CASF Staff </w:t>
      </w:r>
      <w:r w:rsidRPr="00816D25">
        <w:rPr>
          <w:rFonts w:ascii="Palatino Linotype" w:hAnsi="Palatino Linotype" w:cs="Palatino Linotype"/>
          <w:color w:val="000000"/>
          <w:sz w:val="24"/>
          <w:szCs w:val="24"/>
        </w:rPr>
        <w:t xml:space="preserve">within 30 calendar days from the date of the adoption of this Resolution. </w:t>
      </w:r>
      <w:r>
        <w:rPr>
          <w:rFonts w:ascii="Palatino Linotype" w:hAnsi="Palatino Linotype" w:cs="Palatino Linotype"/>
          <w:color w:val="000000"/>
          <w:sz w:val="24"/>
          <w:szCs w:val="24"/>
        </w:rPr>
        <w:t xml:space="preserve"> </w:t>
      </w:r>
      <w:r w:rsidRPr="00816D25">
        <w:rPr>
          <w:rFonts w:ascii="Palatino Linotype" w:hAnsi="Palatino Linotype" w:cs="Palatino Linotype"/>
          <w:color w:val="000000"/>
          <w:sz w:val="24"/>
          <w:szCs w:val="24"/>
        </w:rPr>
        <w:t xml:space="preserve">Failure to submit the consent form within 30 calendar days from the adoption date of this Resolution </w:t>
      </w:r>
      <w:r>
        <w:rPr>
          <w:rFonts w:ascii="Palatino Linotype" w:hAnsi="Palatino Linotype" w:cs="Palatino Linotype"/>
          <w:color w:val="000000"/>
          <w:sz w:val="24"/>
          <w:szCs w:val="24"/>
        </w:rPr>
        <w:t>may result in the Commission voiding the grant award</w:t>
      </w:r>
      <w:r w:rsidRPr="00816D25">
        <w:rPr>
          <w:rFonts w:ascii="Palatino Linotype" w:hAnsi="Palatino Linotype" w:cs="Palatino Linotype"/>
          <w:color w:val="000000"/>
          <w:sz w:val="24"/>
          <w:szCs w:val="24"/>
        </w:rPr>
        <w:t>.</w:t>
      </w:r>
      <w:bookmarkEnd w:id="12"/>
    </w:p>
    <w:p w14:paraId="01C2DA89" w14:textId="2B49ECC6" w:rsidR="00E0438A" w:rsidRDefault="00E0438A" w:rsidP="003C1CC7">
      <w:pPr>
        <w:rPr>
          <w:rFonts w:ascii="Palatino Linotype" w:hAnsi="Palatino Linotype"/>
          <w:sz w:val="24"/>
          <w:szCs w:val="24"/>
        </w:rPr>
      </w:pPr>
    </w:p>
    <w:p w14:paraId="30A7D8C1" w14:textId="6F0A85FB" w:rsidR="00BC6E63" w:rsidRPr="00CC02A9" w:rsidRDefault="00BC6E63" w:rsidP="00BC6E63">
      <w:pPr>
        <w:keepNext/>
        <w:keepLines/>
        <w:tabs>
          <w:tab w:val="left" w:pos="360"/>
        </w:tabs>
        <w:spacing w:after="120"/>
        <w:ind w:right="630"/>
        <w:rPr>
          <w:rFonts w:ascii="Palatino Linotype" w:hAnsi="Palatino Linotype"/>
          <w:sz w:val="24"/>
          <w:szCs w:val="24"/>
        </w:rPr>
      </w:pPr>
      <w:r w:rsidRPr="00CC02A9">
        <w:rPr>
          <w:rFonts w:ascii="Palatino Linotype" w:hAnsi="Palatino Linotype"/>
          <w:sz w:val="24"/>
          <w:szCs w:val="24"/>
        </w:rPr>
        <w:lastRenderedPageBreak/>
        <w:t>This Resolution is effective today.</w:t>
      </w:r>
    </w:p>
    <w:p w14:paraId="32332EAB" w14:textId="77777777" w:rsidR="00BC6E63" w:rsidRPr="00CC02A9" w:rsidRDefault="00BC6E63" w:rsidP="00BC6E63">
      <w:pPr>
        <w:pStyle w:val="xl41"/>
        <w:keepNext/>
        <w:keepLines/>
        <w:overflowPunct/>
        <w:autoSpaceDE/>
        <w:autoSpaceDN/>
        <w:adjustRightInd/>
        <w:spacing w:before="0" w:after="0"/>
        <w:ind w:right="630"/>
        <w:textAlignment w:val="auto"/>
        <w:rPr>
          <w:rFonts w:ascii="Palatino Linotype" w:eastAsia="Times New Roman" w:hAnsi="Palatino Linotype"/>
          <w:szCs w:val="24"/>
        </w:rPr>
      </w:pPr>
    </w:p>
    <w:p w14:paraId="709225B1" w14:textId="5659FB14" w:rsidR="00BC6E63" w:rsidRPr="00CC02A9" w:rsidRDefault="00BC6E63" w:rsidP="00095165">
      <w:pPr>
        <w:keepNext/>
        <w:keepLines/>
        <w:rPr>
          <w:rFonts w:ascii="Palatino Linotype" w:hAnsi="Palatino Linotype"/>
          <w:sz w:val="24"/>
          <w:szCs w:val="24"/>
        </w:rPr>
      </w:pPr>
      <w:r w:rsidRPr="00CC02A9">
        <w:rPr>
          <w:rFonts w:ascii="Palatino Linotype" w:hAnsi="Palatino Linotype"/>
          <w:sz w:val="24"/>
          <w:szCs w:val="24"/>
        </w:rPr>
        <w:t>I hereby certify that this Resolution was adopted by the Public Utilities Commission at its regular meeting on</w:t>
      </w:r>
      <w:r w:rsidR="00701EAE">
        <w:rPr>
          <w:rFonts w:ascii="Palatino Linotype" w:hAnsi="Palatino Linotype"/>
          <w:sz w:val="24"/>
          <w:szCs w:val="24"/>
        </w:rPr>
        <w:t>______________</w:t>
      </w:r>
      <w:r w:rsidRPr="00CC02A9">
        <w:rPr>
          <w:rFonts w:ascii="Palatino Linotype" w:hAnsi="Palatino Linotype"/>
          <w:sz w:val="24"/>
          <w:szCs w:val="24"/>
        </w:rPr>
        <w:t>.  The following Commissioners approved it:</w:t>
      </w:r>
    </w:p>
    <w:p w14:paraId="31BCF3C2" w14:textId="77777777" w:rsidR="00BC6E63" w:rsidRPr="00CC02A9" w:rsidRDefault="00BC6E63" w:rsidP="00BC6E63">
      <w:pPr>
        <w:keepNext/>
        <w:keepLines/>
        <w:rPr>
          <w:rFonts w:ascii="Palatino Linotype" w:hAnsi="Palatino Linotype"/>
          <w:sz w:val="24"/>
          <w:szCs w:val="24"/>
        </w:rPr>
      </w:pPr>
    </w:p>
    <w:p w14:paraId="38E02814" w14:textId="77777777" w:rsidR="00BC6E63" w:rsidRPr="00CC02A9" w:rsidRDefault="00BC6E63" w:rsidP="00BC6E63">
      <w:pPr>
        <w:keepNext/>
        <w:keepLines/>
        <w:rPr>
          <w:rFonts w:ascii="Palatino Linotype" w:hAnsi="Palatino Linotype"/>
          <w:sz w:val="24"/>
          <w:szCs w:val="24"/>
        </w:rPr>
      </w:pPr>
    </w:p>
    <w:p w14:paraId="0A6E4F80" w14:textId="77777777" w:rsidR="00BC6E63" w:rsidRPr="00CC02A9" w:rsidRDefault="00BC6E63" w:rsidP="00BC6E63">
      <w:pPr>
        <w:keepNext/>
        <w:keepLines/>
        <w:rPr>
          <w:rFonts w:ascii="Palatino Linotype" w:hAnsi="Palatino Linotype"/>
          <w:sz w:val="24"/>
          <w:szCs w:val="24"/>
        </w:rPr>
      </w:pPr>
    </w:p>
    <w:tbl>
      <w:tblPr>
        <w:tblW w:w="0" w:type="auto"/>
        <w:tblInd w:w="4788" w:type="dxa"/>
        <w:tblLayout w:type="fixed"/>
        <w:tblLook w:val="0000" w:firstRow="0" w:lastRow="0" w:firstColumn="0" w:lastColumn="0" w:noHBand="0" w:noVBand="0"/>
      </w:tblPr>
      <w:tblGrid>
        <w:gridCol w:w="3870"/>
      </w:tblGrid>
      <w:tr w:rsidR="00BC6E63" w:rsidRPr="00CC02A9" w14:paraId="43B185C4" w14:textId="77777777">
        <w:tc>
          <w:tcPr>
            <w:tcW w:w="3870" w:type="dxa"/>
            <w:tcBorders>
              <w:bottom w:val="single" w:sz="6" w:space="0" w:color="auto"/>
            </w:tcBorders>
          </w:tcPr>
          <w:p w14:paraId="44EC98DF" w14:textId="77777777" w:rsidR="00BC6E63" w:rsidRPr="00CC02A9" w:rsidRDefault="00BC6E63" w:rsidP="00DF0816">
            <w:pPr>
              <w:keepNext/>
              <w:keepLines/>
              <w:ind w:right="-648"/>
              <w:rPr>
                <w:rFonts w:ascii="Palatino Linotype" w:hAnsi="Palatino Linotype"/>
                <w:sz w:val="24"/>
                <w:szCs w:val="24"/>
              </w:rPr>
            </w:pPr>
            <w:r w:rsidRPr="00CC02A9">
              <w:rPr>
                <w:rFonts w:ascii="Palatino Linotype" w:hAnsi="Palatino Linotype"/>
                <w:sz w:val="24"/>
                <w:szCs w:val="24"/>
              </w:rPr>
              <w:t xml:space="preserve">               </w:t>
            </w:r>
          </w:p>
        </w:tc>
      </w:tr>
      <w:tr w:rsidR="00BC6E63" w:rsidRPr="0070228F" w14:paraId="7A5643FC" w14:textId="77777777">
        <w:tc>
          <w:tcPr>
            <w:tcW w:w="3870" w:type="dxa"/>
          </w:tcPr>
          <w:p w14:paraId="6EEB906B" w14:textId="77777777" w:rsidR="007F6BA5" w:rsidRDefault="007F6BA5" w:rsidP="00DF0816">
            <w:pPr>
              <w:pStyle w:val="Heading6"/>
              <w:keepLines/>
              <w:spacing w:before="0"/>
              <w:jc w:val="center"/>
              <w:rPr>
                <w:rFonts w:ascii="Palatino Linotype" w:hAnsi="Palatino Linotype"/>
                <w:szCs w:val="24"/>
              </w:rPr>
            </w:pPr>
            <w:r w:rsidRPr="007F6BA5">
              <w:rPr>
                <w:rFonts w:ascii="Palatino Linotype" w:hAnsi="Palatino Linotype"/>
                <w:szCs w:val="24"/>
              </w:rPr>
              <w:t>ALICE STEBBINS</w:t>
            </w:r>
          </w:p>
          <w:p w14:paraId="492F8DF9" w14:textId="77777777" w:rsidR="00BC6E63" w:rsidRDefault="00BC6E63" w:rsidP="00DF0816">
            <w:pPr>
              <w:pStyle w:val="Heading6"/>
              <w:keepLines/>
              <w:spacing w:before="0"/>
              <w:jc w:val="center"/>
              <w:rPr>
                <w:rFonts w:ascii="Palatino Linotype" w:hAnsi="Palatino Linotype"/>
                <w:szCs w:val="24"/>
              </w:rPr>
            </w:pPr>
            <w:r w:rsidRPr="00CC02A9">
              <w:rPr>
                <w:rFonts w:ascii="Palatino Linotype" w:hAnsi="Palatino Linotype"/>
                <w:szCs w:val="24"/>
              </w:rPr>
              <w:t>Executive Director</w:t>
            </w:r>
          </w:p>
          <w:p w14:paraId="34DF2205" w14:textId="77777777" w:rsidR="00000D31" w:rsidRDefault="00000D31" w:rsidP="00000D31"/>
          <w:p w14:paraId="0F8E776D" w14:textId="77777777" w:rsidR="00000D31" w:rsidRDefault="00000D31" w:rsidP="00000D31"/>
          <w:p w14:paraId="30BDBF07" w14:textId="704FF6AC" w:rsidR="00000D31" w:rsidRPr="00000D31" w:rsidRDefault="00000D31" w:rsidP="00000D31">
            <w:pPr>
              <w:ind w:firstLine="689"/>
            </w:pPr>
          </w:p>
        </w:tc>
      </w:tr>
      <w:tr w:rsidR="00000D31" w:rsidRPr="0070228F" w14:paraId="6D24A5F3" w14:textId="77777777">
        <w:tc>
          <w:tcPr>
            <w:tcW w:w="3870" w:type="dxa"/>
          </w:tcPr>
          <w:p w14:paraId="06079D27" w14:textId="77777777" w:rsidR="00000D31" w:rsidRPr="007F6BA5" w:rsidRDefault="00000D31" w:rsidP="00DF0816">
            <w:pPr>
              <w:pStyle w:val="Heading6"/>
              <w:keepLines/>
              <w:spacing w:before="0"/>
              <w:jc w:val="center"/>
              <w:rPr>
                <w:rFonts w:ascii="Palatino Linotype" w:hAnsi="Palatino Linotype"/>
                <w:szCs w:val="24"/>
              </w:rPr>
            </w:pPr>
          </w:p>
        </w:tc>
      </w:tr>
    </w:tbl>
    <w:p w14:paraId="5A7B0F95" w14:textId="77777777" w:rsidR="00BC6E63" w:rsidRPr="0070228F" w:rsidRDefault="00BC6E63" w:rsidP="00BC6E63">
      <w:pPr>
        <w:keepNext/>
        <w:keepLines/>
        <w:jc w:val="right"/>
        <w:rPr>
          <w:rFonts w:ascii="Palatino Linotype" w:hAnsi="Palatino Linotype"/>
          <w:sz w:val="24"/>
          <w:szCs w:val="24"/>
        </w:rPr>
      </w:pPr>
    </w:p>
    <w:p w14:paraId="3E11BCD7" w14:textId="77777777" w:rsidR="00BC6E63" w:rsidRPr="0070228F" w:rsidRDefault="00BC6E63" w:rsidP="00BC6E63">
      <w:pPr>
        <w:keepNext/>
        <w:keepLines/>
        <w:jc w:val="right"/>
        <w:rPr>
          <w:rFonts w:ascii="Palatino Linotype" w:hAnsi="Palatino Linotype"/>
          <w:sz w:val="24"/>
          <w:szCs w:val="24"/>
        </w:rPr>
      </w:pPr>
    </w:p>
    <w:p w14:paraId="49866BA8" w14:textId="77777777" w:rsidR="00BC6E63" w:rsidRPr="0070228F" w:rsidRDefault="00BC6E63" w:rsidP="00BC6E63">
      <w:pPr>
        <w:keepNext/>
        <w:keepLines/>
        <w:jc w:val="right"/>
        <w:rPr>
          <w:rFonts w:ascii="Palatino Linotype" w:hAnsi="Palatino Linotype"/>
          <w:sz w:val="24"/>
          <w:szCs w:val="24"/>
        </w:rPr>
      </w:pPr>
    </w:p>
    <w:p w14:paraId="44DCE6EB" w14:textId="77777777" w:rsidR="00BC6E63" w:rsidRDefault="00BC6E63" w:rsidP="00BC6E63">
      <w:pPr>
        <w:rPr>
          <w:rFonts w:ascii="Palatino Linotype" w:hAnsi="Palatino Linotype"/>
          <w:sz w:val="24"/>
          <w:szCs w:val="24"/>
        </w:rPr>
      </w:pPr>
      <w:r w:rsidRPr="0070228F">
        <w:rPr>
          <w:rFonts w:ascii="Palatino Linotype" w:hAnsi="Palatino Linotype"/>
          <w:sz w:val="24"/>
          <w:szCs w:val="24"/>
        </w:rPr>
        <w:br w:type="page"/>
      </w:r>
    </w:p>
    <w:p w14:paraId="6993ABDF" w14:textId="77777777" w:rsidR="00BC6E63" w:rsidRDefault="00BC6E63" w:rsidP="00BC6E63">
      <w:pPr>
        <w:rPr>
          <w:rFonts w:ascii="Palatino Linotype" w:hAnsi="Palatino Linotype"/>
          <w:sz w:val="24"/>
          <w:szCs w:val="24"/>
        </w:rPr>
        <w:sectPr w:rsidR="00BC6E63">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475" w:gutter="0"/>
          <w:pgNumType w:start="1"/>
          <w:cols w:space="720"/>
          <w:titlePg/>
          <w:docGrid w:linePitch="272"/>
        </w:sectPr>
      </w:pPr>
    </w:p>
    <w:p w14:paraId="54D8AD86" w14:textId="77777777" w:rsidR="00BC6E63" w:rsidRPr="0070228F" w:rsidRDefault="00BC6E63" w:rsidP="00BC6E63">
      <w:pPr>
        <w:keepNext/>
        <w:keepLines/>
        <w:jc w:val="center"/>
        <w:rPr>
          <w:rFonts w:ascii="Palatino Linotype" w:hAnsi="Palatino Linotype"/>
          <w:b/>
          <w:sz w:val="24"/>
          <w:szCs w:val="24"/>
        </w:rPr>
      </w:pPr>
      <w:r w:rsidRPr="0070228F">
        <w:rPr>
          <w:rFonts w:ascii="Palatino Linotype" w:hAnsi="Palatino Linotype"/>
          <w:b/>
          <w:sz w:val="24"/>
          <w:szCs w:val="24"/>
        </w:rPr>
        <w:lastRenderedPageBreak/>
        <w:t>APPENDIX A</w:t>
      </w:r>
    </w:p>
    <w:p w14:paraId="06601BA9" w14:textId="55C3E26A" w:rsidR="00BC6E63" w:rsidRPr="0070228F" w:rsidRDefault="00BC6E63" w:rsidP="00BC6E63">
      <w:pPr>
        <w:keepNext/>
        <w:keepLines/>
        <w:jc w:val="center"/>
        <w:rPr>
          <w:rFonts w:ascii="Palatino Linotype" w:hAnsi="Palatino Linotype"/>
          <w:b/>
          <w:sz w:val="24"/>
          <w:szCs w:val="24"/>
        </w:rPr>
      </w:pPr>
      <w:r w:rsidRPr="00C6116A">
        <w:rPr>
          <w:rFonts w:ascii="Palatino Linotype" w:hAnsi="Palatino Linotype"/>
          <w:b/>
          <w:sz w:val="24"/>
          <w:szCs w:val="24"/>
        </w:rPr>
        <w:t>Resolution T-</w:t>
      </w:r>
      <w:r w:rsidR="00CC79E9">
        <w:rPr>
          <w:rFonts w:ascii="Palatino Linotype" w:hAnsi="Palatino Linotype"/>
          <w:b/>
          <w:sz w:val="24"/>
          <w:szCs w:val="24"/>
        </w:rPr>
        <w:t>17672</w:t>
      </w:r>
      <w:r w:rsidR="00AA679D">
        <w:rPr>
          <w:rFonts w:ascii="Palatino Linotype" w:hAnsi="Palatino Linotype"/>
          <w:b/>
          <w:sz w:val="24"/>
          <w:szCs w:val="24"/>
        </w:rPr>
        <w:t xml:space="preserve">: </w:t>
      </w:r>
      <w:r w:rsidR="00E03662" w:rsidRPr="00C6116A">
        <w:rPr>
          <w:rFonts w:ascii="Palatino Linotype" w:hAnsi="Palatino Linotype"/>
          <w:b/>
          <w:sz w:val="24"/>
          <w:szCs w:val="24"/>
        </w:rPr>
        <w:t>Plumas</w:t>
      </w:r>
      <w:r w:rsidR="00AA679D">
        <w:rPr>
          <w:rFonts w:ascii="Palatino Linotype" w:hAnsi="Palatino Linotype"/>
          <w:b/>
          <w:sz w:val="24"/>
          <w:szCs w:val="24"/>
        </w:rPr>
        <w:t xml:space="preserve"> </w:t>
      </w:r>
      <w:r w:rsidR="00E03662" w:rsidRPr="00C6116A">
        <w:rPr>
          <w:rFonts w:ascii="Palatino Linotype" w:hAnsi="Palatino Linotype"/>
          <w:b/>
          <w:sz w:val="24"/>
          <w:szCs w:val="24"/>
        </w:rPr>
        <w:t>Sierra Telecommunications</w:t>
      </w:r>
      <w:r w:rsidRPr="00C6116A">
        <w:rPr>
          <w:rFonts w:ascii="Palatino Linotype" w:hAnsi="Palatino Linotype"/>
          <w:b/>
          <w:sz w:val="24"/>
          <w:szCs w:val="24"/>
        </w:rPr>
        <w:t xml:space="preserve"> </w:t>
      </w:r>
      <w:r w:rsidR="00E03662" w:rsidRPr="00C6116A">
        <w:rPr>
          <w:rFonts w:ascii="Palatino Linotype" w:hAnsi="Palatino Linotype"/>
          <w:b/>
          <w:sz w:val="24"/>
          <w:szCs w:val="24"/>
        </w:rPr>
        <w:t>Keddie</w:t>
      </w:r>
      <w:r w:rsidRPr="00C6116A">
        <w:rPr>
          <w:rFonts w:ascii="Palatino Linotype" w:hAnsi="Palatino Linotype"/>
          <w:b/>
          <w:sz w:val="24"/>
          <w:szCs w:val="24"/>
        </w:rPr>
        <w:t xml:space="preserve"> Project</w:t>
      </w:r>
    </w:p>
    <w:p w14:paraId="3011C949" w14:textId="77777777" w:rsidR="00BC6E63" w:rsidRDefault="00BC6E63" w:rsidP="00BC6E63">
      <w:pPr>
        <w:keepNext/>
        <w:keepLines/>
        <w:jc w:val="center"/>
        <w:rPr>
          <w:rFonts w:ascii="Palatino Linotype" w:hAnsi="Palatino Linotype"/>
          <w:b/>
          <w:sz w:val="24"/>
          <w:szCs w:val="24"/>
        </w:rPr>
      </w:pPr>
      <w:r>
        <w:rPr>
          <w:rFonts w:ascii="Palatino Linotype" w:hAnsi="Palatino Linotype"/>
          <w:b/>
          <w:sz w:val="24"/>
          <w:szCs w:val="24"/>
        </w:rPr>
        <w:t xml:space="preserve">CASF Applicant </w:t>
      </w:r>
      <w:r w:rsidRPr="0070228F">
        <w:rPr>
          <w:rFonts w:ascii="Palatino Linotype" w:hAnsi="Palatino Linotype"/>
          <w:b/>
          <w:sz w:val="24"/>
          <w:szCs w:val="24"/>
        </w:rPr>
        <w:t>Key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6854"/>
      </w:tblGrid>
      <w:tr w:rsidR="00BC6E63" w:rsidRPr="0070228F" w14:paraId="4654FEE4" w14:textId="77777777" w:rsidTr="007F6BA5">
        <w:tc>
          <w:tcPr>
            <w:tcW w:w="2496" w:type="dxa"/>
            <w:shd w:val="clear" w:color="auto" w:fill="BFBFBF"/>
            <w:vAlign w:val="center"/>
          </w:tcPr>
          <w:p w14:paraId="3563B369" w14:textId="77777777" w:rsidR="00BC6E63" w:rsidRPr="0070228F" w:rsidRDefault="00BC6E63" w:rsidP="00DF0816">
            <w:pPr>
              <w:keepNext/>
              <w:keepLines/>
              <w:spacing w:before="120" w:after="120"/>
              <w:jc w:val="center"/>
              <w:rPr>
                <w:rFonts w:ascii="Palatino Linotype" w:hAnsi="Palatino Linotype"/>
                <w:i/>
                <w:sz w:val="24"/>
                <w:szCs w:val="24"/>
              </w:rPr>
            </w:pPr>
            <w:r w:rsidRPr="0070228F">
              <w:rPr>
                <w:rFonts w:ascii="Palatino Linotype" w:hAnsi="Palatino Linotype"/>
                <w:i/>
                <w:sz w:val="24"/>
                <w:szCs w:val="24"/>
              </w:rPr>
              <w:t>Project Name</w:t>
            </w:r>
          </w:p>
        </w:tc>
        <w:tc>
          <w:tcPr>
            <w:tcW w:w="6854" w:type="dxa"/>
            <w:shd w:val="clear" w:color="auto" w:fill="BFBFBF"/>
            <w:vAlign w:val="center"/>
          </w:tcPr>
          <w:p w14:paraId="4CE69E55" w14:textId="00B0A171" w:rsidR="00BC6E63" w:rsidRPr="0070228F" w:rsidRDefault="00E03662" w:rsidP="00DF0816">
            <w:pPr>
              <w:keepNext/>
              <w:keepLines/>
              <w:spacing w:before="120" w:after="120"/>
              <w:jc w:val="center"/>
              <w:rPr>
                <w:rFonts w:ascii="Palatino Linotype" w:hAnsi="Palatino Linotype"/>
                <w:b/>
                <w:sz w:val="24"/>
                <w:szCs w:val="24"/>
              </w:rPr>
            </w:pPr>
            <w:r w:rsidRPr="00C6116A">
              <w:rPr>
                <w:rFonts w:ascii="Palatino Linotype" w:hAnsi="Palatino Linotype"/>
                <w:b/>
                <w:sz w:val="24"/>
                <w:szCs w:val="24"/>
              </w:rPr>
              <w:t>PST Keddie</w:t>
            </w:r>
            <w:r w:rsidR="00BC6E63" w:rsidRPr="00C6116A">
              <w:rPr>
                <w:rFonts w:ascii="Palatino Linotype" w:hAnsi="Palatino Linotype"/>
                <w:b/>
                <w:sz w:val="24"/>
                <w:szCs w:val="24"/>
              </w:rPr>
              <w:t xml:space="preserve"> Project</w:t>
            </w:r>
          </w:p>
        </w:tc>
      </w:tr>
      <w:tr w:rsidR="00BC6E63" w:rsidRPr="0070228F" w14:paraId="66930112" w14:textId="77777777" w:rsidTr="007F6BA5">
        <w:tc>
          <w:tcPr>
            <w:tcW w:w="2496" w:type="dxa"/>
            <w:shd w:val="clear" w:color="auto" w:fill="auto"/>
            <w:vAlign w:val="center"/>
          </w:tcPr>
          <w:p w14:paraId="45C34CC4" w14:textId="77777777" w:rsidR="00BC6E63" w:rsidRPr="0075019F" w:rsidRDefault="00BC6E63" w:rsidP="00DF0816">
            <w:pPr>
              <w:keepNext/>
              <w:keepLines/>
              <w:spacing w:before="120" w:after="120"/>
              <w:jc w:val="center"/>
              <w:rPr>
                <w:rFonts w:ascii="Palatino Linotype" w:hAnsi="Palatino Linotype"/>
                <w:i/>
              </w:rPr>
            </w:pPr>
            <w:r w:rsidRPr="0075019F">
              <w:rPr>
                <w:rFonts w:ascii="Palatino Linotype" w:hAnsi="Palatino Linotype"/>
                <w:i/>
              </w:rPr>
              <w:t>Project Plan</w:t>
            </w:r>
          </w:p>
        </w:tc>
        <w:tc>
          <w:tcPr>
            <w:tcW w:w="6854" w:type="dxa"/>
            <w:shd w:val="clear" w:color="auto" w:fill="auto"/>
            <w:vAlign w:val="center"/>
          </w:tcPr>
          <w:p w14:paraId="7064D02B" w14:textId="59E463E7" w:rsidR="00BC6E63" w:rsidRPr="00AC28F1" w:rsidRDefault="00883081" w:rsidP="003C1CC7">
            <w:pPr>
              <w:keepNext/>
              <w:keepLines/>
              <w:jc w:val="both"/>
              <w:rPr>
                <w:rFonts w:ascii="Palatino Linotype" w:hAnsi="Palatino Linotype"/>
                <w:highlight w:val="yellow"/>
              </w:rPr>
            </w:pPr>
            <w:r w:rsidRPr="0017590F">
              <w:rPr>
                <w:rFonts w:ascii="Palatino Linotype" w:hAnsi="Palatino Linotype"/>
              </w:rPr>
              <w:t>The project propose</w:t>
            </w:r>
            <w:r w:rsidR="009841F4" w:rsidRPr="0017590F">
              <w:rPr>
                <w:rFonts w:ascii="Palatino Linotype" w:hAnsi="Palatino Linotype"/>
              </w:rPr>
              <w:t>s</w:t>
            </w:r>
            <w:r w:rsidRPr="0017590F">
              <w:rPr>
                <w:rFonts w:ascii="Palatino Linotype" w:hAnsi="Palatino Linotype"/>
              </w:rPr>
              <w:t xml:space="preserve"> to </w:t>
            </w:r>
            <w:r w:rsidR="00F244EA" w:rsidRPr="0017590F">
              <w:rPr>
                <w:rFonts w:ascii="Palatino Linotype" w:hAnsi="Palatino Linotype"/>
              </w:rPr>
              <w:t xml:space="preserve">build </w:t>
            </w:r>
            <w:r w:rsidR="00743AE2" w:rsidRPr="0017590F">
              <w:rPr>
                <w:rFonts w:ascii="Palatino Linotype" w:hAnsi="Palatino Linotype"/>
              </w:rPr>
              <w:t xml:space="preserve">middle-mile and last-mile </w:t>
            </w:r>
            <w:r w:rsidR="00F244EA" w:rsidRPr="0017590F">
              <w:rPr>
                <w:rFonts w:ascii="Palatino Linotype" w:hAnsi="Palatino Linotype"/>
              </w:rPr>
              <w:t xml:space="preserve">fiber </w:t>
            </w:r>
            <w:r w:rsidR="00CB3611" w:rsidRPr="0017590F">
              <w:rPr>
                <w:rFonts w:ascii="Palatino Linotype" w:hAnsi="Palatino Linotype"/>
              </w:rPr>
              <w:t>infrastructure</w:t>
            </w:r>
            <w:r w:rsidR="00F244EA" w:rsidRPr="0017590F">
              <w:rPr>
                <w:rFonts w:ascii="Palatino Linotype" w:hAnsi="Palatino Linotype"/>
              </w:rPr>
              <w:t xml:space="preserve"> </w:t>
            </w:r>
            <w:r w:rsidR="0069729C" w:rsidRPr="0017590F">
              <w:rPr>
                <w:rFonts w:ascii="Palatino Linotype" w:hAnsi="Palatino Linotype"/>
              </w:rPr>
              <w:t>in Keddie to</w:t>
            </w:r>
            <w:r w:rsidR="00F244EA" w:rsidRPr="0017590F">
              <w:rPr>
                <w:rFonts w:ascii="Palatino Linotype" w:hAnsi="Palatino Linotype"/>
              </w:rPr>
              <w:t xml:space="preserve"> deploy fiber-to-the-home (FTTH) high-speed Internet</w:t>
            </w:r>
            <w:r w:rsidR="00DE383D" w:rsidRPr="0017590F">
              <w:rPr>
                <w:rFonts w:ascii="Palatino Linotype" w:hAnsi="Palatino Linotype"/>
              </w:rPr>
              <w:t xml:space="preserve"> service</w:t>
            </w:r>
            <w:r w:rsidR="0017590F" w:rsidRPr="0017590F">
              <w:rPr>
                <w:rFonts w:ascii="Palatino Linotype" w:hAnsi="Palatino Linotype"/>
              </w:rPr>
              <w:t xml:space="preserve"> to 36 </w:t>
            </w:r>
            <w:r w:rsidR="00365511">
              <w:rPr>
                <w:rFonts w:ascii="Palatino Linotype" w:hAnsi="Palatino Linotype"/>
              </w:rPr>
              <w:t>unserved</w:t>
            </w:r>
            <w:r w:rsidR="0017590F" w:rsidRPr="0017590F">
              <w:rPr>
                <w:rFonts w:ascii="Palatino Linotype" w:hAnsi="Palatino Linotype"/>
              </w:rPr>
              <w:t xml:space="preserve"> households</w:t>
            </w:r>
            <w:r w:rsidR="00DE383D" w:rsidRPr="0017590F">
              <w:rPr>
                <w:rFonts w:ascii="Palatino Linotype" w:hAnsi="Palatino Linotype"/>
              </w:rPr>
              <w:t>.  There is no broadband infrastructure currently in exist</w:t>
            </w:r>
            <w:r w:rsidR="008236D1" w:rsidRPr="0017590F">
              <w:rPr>
                <w:rFonts w:ascii="Palatino Linotype" w:hAnsi="Palatino Linotype"/>
              </w:rPr>
              <w:t xml:space="preserve">ence.  </w:t>
            </w:r>
            <w:r w:rsidR="00326146">
              <w:rPr>
                <w:rFonts w:ascii="Palatino Linotype" w:hAnsi="Palatino Linotype"/>
              </w:rPr>
              <w:t xml:space="preserve">Fiber facilities </w:t>
            </w:r>
            <w:r w:rsidR="00DA13C3">
              <w:rPr>
                <w:rFonts w:ascii="Palatino Linotype" w:hAnsi="Palatino Linotype"/>
              </w:rPr>
              <w:t xml:space="preserve">will utilize existing poles and rights of ways.  </w:t>
            </w:r>
            <w:r w:rsidR="0017590F" w:rsidRPr="0017590F">
              <w:rPr>
                <w:rFonts w:ascii="Palatino Linotype" w:hAnsi="Palatino Linotype"/>
              </w:rPr>
              <w:t>The project will provide up to 100 Mbps download and 20 Mbps upload speeds.</w:t>
            </w:r>
          </w:p>
        </w:tc>
      </w:tr>
      <w:tr w:rsidR="00BC6E63" w:rsidRPr="0070228F" w14:paraId="62AD6495" w14:textId="77777777" w:rsidTr="007F6BA5">
        <w:tc>
          <w:tcPr>
            <w:tcW w:w="2496" w:type="dxa"/>
            <w:shd w:val="clear" w:color="auto" w:fill="auto"/>
            <w:vAlign w:val="center"/>
          </w:tcPr>
          <w:p w14:paraId="222F2A3A" w14:textId="77777777" w:rsidR="005B12D3" w:rsidRDefault="00BC6E63" w:rsidP="00DF0816">
            <w:pPr>
              <w:keepNext/>
              <w:keepLines/>
              <w:jc w:val="center"/>
              <w:rPr>
                <w:rFonts w:ascii="Palatino Linotype" w:hAnsi="Palatino Linotype"/>
                <w:i/>
              </w:rPr>
            </w:pPr>
            <w:r w:rsidRPr="0075019F">
              <w:rPr>
                <w:rFonts w:ascii="Palatino Linotype" w:hAnsi="Palatino Linotype"/>
                <w:i/>
              </w:rPr>
              <w:t xml:space="preserve">Project Size </w:t>
            </w:r>
          </w:p>
          <w:p w14:paraId="309D0EB2" w14:textId="2C7867B4" w:rsidR="00BC6E63" w:rsidRPr="0075019F" w:rsidRDefault="00BC6E63" w:rsidP="00DF0816">
            <w:pPr>
              <w:keepNext/>
              <w:keepLines/>
              <w:jc w:val="center"/>
              <w:rPr>
                <w:rFonts w:ascii="Palatino Linotype" w:hAnsi="Palatino Linotype"/>
                <w:i/>
              </w:rPr>
            </w:pPr>
            <w:r w:rsidRPr="0075019F">
              <w:rPr>
                <w:rFonts w:ascii="Palatino Linotype" w:hAnsi="Palatino Linotype"/>
                <w:i/>
              </w:rPr>
              <w:t>(in square miles)</w:t>
            </w:r>
          </w:p>
        </w:tc>
        <w:tc>
          <w:tcPr>
            <w:tcW w:w="6854" w:type="dxa"/>
            <w:shd w:val="clear" w:color="auto" w:fill="auto"/>
            <w:vAlign w:val="center"/>
          </w:tcPr>
          <w:p w14:paraId="14497F82" w14:textId="21604253" w:rsidR="00BC6E63" w:rsidRPr="00A45270" w:rsidRDefault="00A45270" w:rsidP="00DF0816">
            <w:pPr>
              <w:keepNext/>
              <w:keepLines/>
              <w:spacing w:before="120" w:after="120"/>
              <w:jc w:val="center"/>
              <w:rPr>
                <w:rFonts w:ascii="Palatino Linotype" w:hAnsi="Palatino Linotype"/>
              </w:rPr>
            </w:pPr>
            <w:r w:rsidRPr="00A45270">
              <w:rPr>
                <w:rFonts w:ascii="Palatino Linotype" w:hAnsi="Palatino Linotype"/>
              </w:rPr>
              <w:t>0.87</w:t>
            </w:r>
          </w:p>
        </w:tc>
      </w:tr>
      <w:tr w:rsidR="00BC6E63" w:rsidRPr="0070228F" w14:paraId="31DF6737" w14:textId="77777777" w:rsidTr="007F6BA5">
        <w:tc>
          <w:tcPr>
            <w:tcW w:w="2496" w:type="dxa"/>
            <w:shd w:val="clear" w:color="auto" w:fill="auto"/>
            <w:vAlign w:val="center"/>
          </w:tcPr>
          <w:p w14:paraId="30F89779" w14:textId="77777777" w:rsidR="00BC6E63" w:rsidRPr="0075019F" w:rsidRDefault="00BC6E63" w:rsidP="00DF0816">
            <w:pPr>
              <w:keepNext/>
              <w:keepLines/>
              <w:jc w:val="center"/>
              <w:rPr>
                <w:rFonts w:ascii="Palatino Linotype" w:hAnsi="Palatino Linotype"/>
                <w:i/>
              </w:rPr>
            </w:pPr>
            <w:r w:rsidRPr="0075019F">
              <w:rPr>
                <w:rFonts w:ascii="Palatino Linotype" w:hAnsi="Palatino Linotype"/>
                <w:i/>
              </w:rPr>
              <w:t>Download/Upload speed</w:t>
            </w:r>
          </w:p>
        </w:tc>
        <w:tc>
          <w:tcPr>
            <w:tcW w:w="6854" w:type="dxa"/>
            <w:shd w:val="clear" w:color="auto" w:fill="auto"/>
            <w:vAlign w:val="center"/>
          </w:tcPr>
          <w:p w14:paraId="4BD7D3A6" w14:textId="4CF18421" w:rsidR="00BC6E63" w:rsidRPr="00A45270" w:rsidRDefault="00A45270" w:rsidP="00DF0816">
            <w:pPr>
              <w:keepNext/>
              <w:keepLines/>
              <w:spacing w:before="120" w:after="120"/>
              <w:jc w:val="center"/>
              <w:rPr>
                <w:rFonts w:ascii="Palatino Linotype" w:hAnsi="Palatino Linotype"/>
              </w:rPr>
            </w:pPr>
            <w:r w:rsidRPr="00A45270">
              <w:rPr>
                <w:rFonts w:ascii="Palatino Linotype" w:hAnsi="Palatino Linotype"/>
              </w:rPr>
              <w:t>100</w:t>
            </w:r>
            <w:r w:rsidR="00BC6E63" w:rsidRPr="00A45270">
              <w:rPr>
                <w:rFonts w:ascii="Palatino Linotype" w:hAnsi="Palatino Linotype"/>
              </w:rPr>
              <w:t xml:space="preserve"> Mbps / </w:t>
            </w:r>
            <w:r w:rsidRPr="00A45270">
              <w:rPr>
                <w:rFonts w:ascii="Palatino Linotype" w:hAnsi="Palatino Linotype"/>
              </w:rPr>
              <w:t>20</w:t>
            </w:r>
            <w:r w:rsidR="00BC6E63" w:rsidRPr="00A45270">
              <w:rPr>
                <w:rFonts w:ascii="Palatino Linotype" w:hAnsi="Palatino Linotype"/>
              </w:rPr>
              <w:t xml:space="preserve"> Mbps</w:t>
            </w:r>
          </w:p>
        </w:tc>
      </w:tr>
      <w:tr w:rsidR="00BC6E63" w:rsidRPr="0070228F" w14:paraId="2C1369C0" w14:textId="77777777" w:rsidTr="007F6BA5">
        <w:tc>
          <w:tcPr>
            <w:tcW w:w="2496" w:type="dxa"/>
            <w:shd w:val="clear" w:color="auto" w:fill="auto"/>
            <w:vAlign w:val="center"/>
          </w:tcPr>
          <w:p w14:paraId="62876FA3" w14:textId="77777777" w:rsidR="00BC6E63" w:rsidRPr="0075019F" w:rsidRDefault="00BC6E63" w:rsidP="00DF0816">
            <w:pPr>
              <w:keepNext/>
              <w:keepLines/>
              <w:spacing w:before="120" w:after="120"/>
              <w:jc w:val="center"/>
              <w:rPr>
                <w:rFonts w:ascii="Palatino Linotype" w:hAnsi="Palatino Linotype"/>
                <w:i/>
              </w:rPr>
            </w:pPr>
            <w:r w:rsidRPr="0075019F">
              <w:rPr>
                <w:rFonts w:ascii="Palatino Linotype" w:hAnsi="Palatino Linotype"/>
                <w:i/>
              </w:rPr>
              <w:t>Location</w:t>
            </w:r>
          </w:p>
        </w:tc>
        <w:tc>
          <w:tcPr>
            <w:tcW w:w="6854" w:type="dxa"/>
            <w:shd w:val="clear" w:color="auto" w:fill="auto"/>
            <w:vAlign w:val="center"/>
          </w:tcPr>
          <w:p w14:paraId="00D2A513" w14:textId="3B46DAB7" w:rsidR="00BC6E63" w:rsidRPr="00A45270" w:rsidRDefault="00A45270" w:rsidP="00DF0816">
            <w:pPr>
              <w:keepNext/>
              <w:keepLines/>
              <w:spacing w:before="120" w:after="120"/>
              <w:jc w:val="center"/>
              <w:rPr>
                <w:rFonts w:ascii="Palatino Linotype" w:hAnsi="Palatino Linotype"/>
              </w:rPr>
            </w:pPr>
            <w:r w:rsidRPr="00A45270">
              <w:rPr>
                <w:rFonts w:ascii="Palatino Linotype" w:hAnsi="Palatino Linotype"/>
              </w:rPr>
              <w:t xml:space="preserve">Plumas </w:t>
            </w:r>
            <w:r w:rsidR="00BC6E63" w:rsidRPr="00A45270">
              <w:rPr>
                <w:rFonts w:ascii="Palatino Linotype" w:hAnsi="Palatino Linotype"/>
              </w:rPr>
              <w:t>County</w:t>
            </w:r>
          </w:p>
        </w:tc>
      </w:tr>
      <w:tr w:rsidR="00BC6E63" w:rsidRPr="0070228F" w14:paraId="71149DA1" w14:textId="77777777" w:rsidTr="007F6BA5">
        <w:tc>
          <w:tcPr>
            <w:tcW w:w="2496" w:type="dxa"/>
            <w:shd w:val="clear" w:color="auto" w:fill="auto"/>
            <w:vAlign w:val="center"/>
          </w:tcPr>
          <w:p w14:paraId="7FCCA5CB" w14:textId="77777777" w:rsidR="00BC6E63" w:rsidRPr="0075019F" w:rsidRDefault="00BC6E63" w:rsidP="00DF0816">
            <w:pPr>
              <w:keepNext/>
              <w:keepLines/>
              <w:jc w:val="center"/>
              <w:rPr>
                <w:rFonts w:ascii="Palatino Linotype" w:hAnsi="Palatino Linotype"/>
                <w:i/>
              </w:rPr>
            </w:pPr>
            <w:r w:rsidRPr="0075019F">
              <w:rPr>
                <w:rFonts w:ascii="Palatino Linotype" w:hAnsi="Palatino Linotype"/>
                <w:i/>
              </w:rPr>
              <w:t>Community Names</w:t>
            </w:r>
          </w:p>
        </w:tc>
        <w:tc>
          <w:tcPr>
            <w:tcW w:w="6854" w:type="dxa"/>
            <w:shd w:val="clear" w:color="auto" w:fill="auto"/>
            <w:vAlign w:val="center"/>
          </w:tcPr>
          <w:p w14:paraId="6901472E" w14:textId="7ABF2749" w:rsidR="00BC6E63" w:rsidRPr="007832A6" w:rsidRDefault="00A45270" w:rsidP="00DF0816">
            <w:pPr>
              <w:keepNext/>
              <w:keepLines/>
              <w:spacing w:before="120" w:after="120"/>
              <w:jc w:val="center"/>
              <w:rPr>
                <w:rFonts w:ascii="Palatino Linotype" w:hAnsi="Palatino Linotype"/>
              </w:rPr>
            </w:pPr>
            <w:r w:rsidRPr="007832A6">
              <w:rPr>
                <w:rFonts w:ascii="Palatino Linotype" w:hAnsi="Palatino Linotype" w:cs="Palatino Linotype"/>
                <w:color w:val="000000"/>
              </w:rPr>
              <w:t>Keddie</w:t>
            </w:r>
          </w:p>
        </w:tc>
      </w:tr>
      <w:tr w:rsidR="00BC6E63" w:rsidRPr="0070228F" w14:paraId="062AC971" w14:textId="77777777" w:rsidTr="007F6BA5">
        <w:tc>
          <w:tcPr>
            <w:tcW w:w="2496" w:type="dxa"/>
            <w:shd w:val="clear" w:color="auto" w:fill="auto"/>
            <w:vAlign w:val="center"/>
          </w:tcPr>
          <w:p w14:paraId="3EF0153C" w14:textId="2D15C565" w:rsidR="00BC6E63" w:rsidRPr="0075019F" w:rsidRDefault="00BC6E63" w:rsidP="00DF0816">
            <w:pPr>
              <w:keepNext/>
              <w:keepLines/>
              <w:jc w:val="center"/>
              <w:rPr>
                <w:rFonts w:ascii="Palatino Linotype" w:hAnsi="Palatino Linotype"/>
                <w:i/>
              </w:rPr>
            </w:pPr>
            <w:r w:rsidRPr="0075019F">
              <w:rPr>
                <w:rFonts w:ascii="Palatino Linotype" w:hAnsi="Palatino Linotype"/>
                <w:i/>
              </w:rPr>
              <w:t>Census Blocks</w:t>
            </w:r>
          </w:p>
        </w:tc>
        <w:tc>
          <w:tcPr>
            <w:tcW w:w="6854" w:type="dxa"/>
            <w:shd w:val="clear" w:color="auto" w:fill="auto"/>
            <w:vAlign w:val="center"/>
          </w:tcPr>
          <w:p w14:paraId="195630D3" w14:textId="24CEC007" w:rsidR="00BC6E63" w:rsidRPr="007832A6" w:rsidRDefault="00A45270" w:rsidP="00DF0816">
            <w:pPr>
              <w:jc w:val="center"/>
              <w:rPr>
                <w:rFonts w:ascii="Palatino Linotype" w:hAnsi="Palatino Linotype"/>
                <w:color w:val="000000"/>
              </w:rPr>
            </w:pPr>
            <w:r w:rsidRPr="007832A6">
              <w:rPr>
                <w:rFonts w:ascii="Palatino Linotype" w:hAnsi="Palatino Linotype"/>
                <w:color w:val="000000"/>
              </w:rPr>
              <w:t>060630001005005</w:t>
            </w:r>
          </w:p>
          <w:p w14:paraId="2AA99FCA" w14:textId="0063A828" w:rsidR="007832A6" w:rsidRPr="007832A6" w:rsidRDefault="007832A6" w:rsidP="00DF0816">
            <w:pPr>
              <w:jc w:val="center"/>
              <w:rPr>
                <w:rFonts w:ascii="Palatino Linotype" w:hAnsi="Palatino Linotype"/>
                <w:color w:val="000000"/>
              </w:rPr>
            </w:pPr>
            <w:r w:rsidRPr="007832A6">
              <w:rPr>
                <w:rFonts w:ascii="Palatino Linotype" w:hAnsi="Palatino Linotype"/>
                <w:color w:val="000000"/>
              </w:rPr>
              <w:t>060630001006002</w:t>
            </w:r>
          </w:p>
          <w:p w14:paraId="71BC13E1" w14:textId="77777777" w:rsidR="00A45270" w:rsidRPr="007832A6" w:rsidRDefault="00A45270" w:rsidP="00DF0816">
            <w:pPr>
              <w:jc w:val="center"/>
              <w:rPr>
                <w:rFonts w:ascii="Palatino Linotype" w:hAnsi="Palatino Linotype"/>
                <w:color w:val="000000"/>
              </w:rPr>
            </w:pPr>
            <w:r w:rsidRPr="007832A6">
              <w:rPr>
                <w:rFonts w:ascii="Palatino Linotype" w:hAnsi="Palatino Linotype"/>
                <w:color w:val="000000"/>
              </w:rPr>
              <w:t>060630001006030</w:t>
            </w:r>
          </w:p>
          <w:p w14:paraId="0BFCB478" w14:textId="77777777" w:rsidR="00A45270" w:rsidRPr="007832A6" w:rsidRDefault="00A45270" w:rsidP="00DF0816">
            <w:pPr>
              <w:jc w:val="center"/>
              <w:rPr>
                <w:rFonts w:ascii="Palatino Linotype" w:hAnsi="Palatino Linotype"/>
                <w:color w:val="000000"/>
              </w:rPr>
            </w:pPr>
            <w:r w:rsidRPr="007832A6">
              <w:rPr>
                <w:rFonts w:ascii="Palatino Linotype" w:hAnsi="Palatino Linotype"/>
                <w:color w:val="000000"/>
              </w:rPr>
              <w:t>060630001006039</w:t>
            </w:r>
          </w:p>
          <w:p w14:paraId="25F075E9" w14:textId="77777777" w:rsidR="00A45270" w:rsidRPr="007832A6" w:rsidRDefault="00A45270" w:rsidP="00DF0816">
            <w:pPr>
              <w:jc w:val="center"/>
              <w:rPr>
                <w:rFonts w:ascii="Palatino Linotype" w:hAnsi="Palatino Linotype"/>
                <w:color w:val="000000"/>
              </w:rPr>
            </w:pPr>
            <w:r w:rsidRPr="007832A6">
              <w:rPr>
                <w:rFonts w:ascii="Palatino Linotype" w:hAnsi="Palatino Linotype"/>
                <w:color w:val="000000"/>
              </w:rPr>
              <w:t>060630001006042</w:t>
            </w:r>
          </w:p>
          <w:p w14:paraId="7A744CC7" w14:textId="77777777" w:rsidR="00A45270" w:rsidRPr="007832A6" w:rsidRDefault="00A45270" w:rsidP="00DF0816">
            <w:pPr>
              <w:jc w:val="center"/>
              <w:rPr>
                <w:rFonts w:ascii="Palatino Linotype" w:hAnsi="Palatino Linotype"/>
                <w:color w:val="000000"/>
              </w:rPr>
            </w:pPr>
            <w:r w:rsidRPr="007832A6">
              <w:rPr>
                <w:rFonts w:ascii="Palatino Linotype" w:hAnsi="Palatino Linotype"/>
                <w:color w:val="000000"/>
              </w:rPr>
              <w:t>060630002021065</w:t>
            </w:r>
          </w:p>
          <w:p w14:paraId="1B6B806E" w14:textId="7CE97F8A" w:rsidR="00A45270" w:rsidRPr="007832A6" w:rsidRDefault="007832A6" w:rsidP="00DF0816">
            <w:pPr>
              <w:jc w:val="center"/>
              <w:rPr>
                <w:rFonts w:ascii="Palatino Linotype" w:hAnsi="Palatino Linotype"/>
              </w:rPr>
            </w:pPr>
            <w:r w:rsidRPr="007832A6">
              <w:rPr>
                <w:rFonts w:ascii="Palatino Linotype" w:hAnsi="Palatino Linotype"/>
                <w:color w:val="000000"/>
              </w:rPr>
              <w:t>060630002021066</w:t>
            </w:r>
          </w:p>
        </w:tc>
      </w:tr>
      <w:tr w:rsidR="00BC6E63" w:rsidRPr="0070228F" w14:paraId="1FD2DF26" w14:textId="77777777" w:rsidTr="007F6BA5">
        <w:tc>
          <w:tcPr>
            <w:tcW w:w="2496" w:type="dxa"/>
            <w:shd w:val="clear" w:color="auto" w:fill="auto"/>
            <w:vAlign w:val="center"/>
          </w:tcPr>
          <w:p w14:paraId="327EA07C" w14:textId="77777777" w:rsidR="00BC6E63" w:rsidRPr="0075019F" w:rsidRDefault="00BC6E63" w:rsidP="00DF0816">
            <w:pPr>
              <w:keepNext/>
              <w:keepLines/>
              <w:jc w:val="center"/>
              <w:rPr>
                <w:rFonts w:ascii="Palatino Linotype" w:hAnsi="Palatino Linotype"/>
                <w:i/>
              </w:rPr>
            </w:pPr>
            <w:r w:rsidRPr="0075019F">
              <w:rPr>
                <w:rFonts w:ascii="Palatino Linotype" w:hAnsi="Palatino Linotype"/>
                <w:i/>
              </w:rPr>
              <w:t xml:space="preserve"> Median Household Income</w:t>
            </w:r>
            <w:r>
              <w:rPr>
                <w:rFonts w:ascii="Palatino Linotype" w:hAnsi="Palatino Linotype"/>
                <w:i/>
              </w:rPr>
              <w:t xml:space="preserve"> (by Census Block Group)</w:t>
            </w:r>
          </w:p>
        </w:tc>
        <w:tc>
          <w:tcPr>
            <w:tcW w:w="6854" w:type="dxa"/>
            <w:shd w:val="clear" w:color="auto" w:fill="auto"/>
            <w:vAlign w:val="center"/>
          </w:tcPr>
          <w:p w14:paraId="3EDF83DF" w14:textId="37A3FA8A" w:rsidR="00BC6E63" w:rsidRPr="0027613F" w:rsidRDefault="00BC6E63" w:rsidP="00DF0816">
            <w:pPr>
              <w:keepNext/>
              <w:keepLines/>
              <w:spacing w:before="120" w:after="120"/>
              <w:jc w:val="center"/>
              <w:rPr>
                <w:rFonts w:ascii="Palatino Linotype" w:hAnsi="Palatino Linotype"/>
              </w:rPr>
            </w:pPr>
            <w:r w:rsidRPr="0027613F">
              <w:rPr>
                <w:rFonts w:ascii="Palatino Linotype" w:hAnsi="Palatino Linotype"/>
              </w:rPr>
              <w:t>$</w:t>
            </w:r>
            <w:r w:rsidRPr="0027613F">
              <w:t xml:space="preserve"> </w:t>
            </w:r>
            <w:r w:rsidR="002155ED" w:rsidRPr="0027613F">
              <w:rPr>
                <w:rFonts w:ascii="Palatino Linotype" w:hAnsi="Palatino Linotype"/>
              </w:rPr>
              <w:t>58,029</w:t>
            </w:r>
          </w:p>
        </w:tc>
      </w:tr>
      <w:tr w:rsidR="00BC6E63" w:rsidRPr="0070228F" w14:paraId="352AF79C" w14:textId="77777777" w:rsidTr="007F6BA5">
        <w:tc>
          <w:tcPr>
            <w:tcW w:w="2496" w:type="dxa"/>
            <w:shd w:val="clear" w:color="auto" w:fill="auto"/>
            <w:vAlign w:val="center"/>
          </w:tcPr>
          <w:p w14:paraId="6DD665C7" w14:textId="77777777" w:rsidR="00BC6E63" w:rsidRPr="0075019F" w:rsidRDefault="00BC6E63" w:rsidP="00DF0816">
            <w:pPr>
              <w:keepNext/>
              <w:keepLines/>
              <w:jc w:val="center"/>
              <w:rPr>
                <w:rFonts w:ascii="Palatino Linotype" w:hAnsi="Palatino Linotype"/>
                <w:i/>
              </w:rPr>
            </w:pPr>
            <w:r w:rsidRPr="0075019F">
              <w:rPr>
                <w:rFonts w:ascii="Palatino Linotype" w:hAnsi="Palatino Linotype"/>
                <w:i/>
              </w:rPr>
              <w:t>Estimated potential subscriber size</w:t>
            </w:r>
          </w:p>
        </w:tc>
        <w:tc>
          <w:tcPr>
            <w:tcW w:w="6854" w:type="dxa"/>
            <w:shd w:val="clear" w:color="auto" w:fill="auto"/>
            <w:vAlign w:val="center"/>
          </w:tcPr>
          <w:p w14:paraId="550B7F99" w14:textId="71CD2457" w:rsidR="00BC6E63" w:rsidRPr="0027613F" w:rsidRDefault="00E84338" w:rsidP="00DF0816">
            <w:pPr>
              <w:keepNext/>
              <w:keepLines/>
              <w:spacing w:before="120" w:after="120"/>
              <w:jc w:val="center"/>
              <w:rPr>
                <w:rFonts w:ascii="Palatino Linotype" w:hAnsi="Palatino Linotype"/>
              </w:rPr>
            </w:pPr>
            <w:r w:rsidRPr="0027613F">
              <w:rPr>
                <w:rFonts w:ascii="Palatino Linotype" w:hAnsi="Palatino Linotype"/>
              </w:rPr>
              <w:t>36</w:t>
            </w:r>
            <w:r w:rsidR="00BC6E63" w:rsidRPr="0027613F">
              <w:rPr>
                <w:rFonts w:ascii="Palatino Linotype" w:hAnsi="Palatino Linotype"/>
              </w:rPr>
              <w:t xml:space="preserve"> households</w:t>
            </w:r>
          </w:p>
        </w:tc>
      </w:tr>
      <w:tr w:rsidR="00BC6E63" w:rsidRPr="0070228F" w14:paraId="72A35365" w14:textId="77777777" w:rsidTr="007F6BA5">
        <w:tc>
          <w:tcPr>
            <w:tcW w:w="2496" w:type="dxa"/>
            <w:shd w:val="clear" w:color="auto" w:fill="auto"/>
            <w:vAlign w:val="center"/>
          </w:tcPr>
          <w:p w14:paraId="4C69EC25" w14:textId="77777777" w:rsidR="00BC6E63" w:rsidRPr="0075019F" w:rsidRDefault="00BC6E63" w:rsidP="00DF0816">
            <w:pPr>
              <w:keepNext/>
              <w:keepLines/>
              <w:jc w:val="center"/>
              <w:rPr>
                <w:rFonts w:ascii="Palatino Linotype" w:hAnsi="Palatino Linotype"/>
                <w:i/>
              </w:rPr>
            </w:pPr>
            <w:r w:rsidRPr="0075019F">
              <w:rPr>
                <w:rFonts w:ascii="Palatino Linotype" w:hAnsi="Palatino Linotype"/>
                <w:i/>
              </w:rPr>
              <w:t>Applicant expectations</w:t>
            </w:r>
          </w:p>
        </w:tc>
        <w:tc>
          <w:tcPr>
            <w:tcW w:w="6854" w:type="dxa"/>
            <w:shd w:val="clear" w:color="auto" w:fill="auto"/>
            <w:vAlign w:val="center"/>
          </w:tcPr>
          <w:p w14:paraId="1695246E" w14:textId="596C3D39" w:rsidR="00BC6E63" w:rsidRPr="0027613F" w:rsidRDefault="00A84931" w:rsidP="00DF0816">
            <w:pPr>
              <w:keepNext/>
              <w:keepLines/>
              <w:spacing w:before="120" w:after="120"/>
              <w:jc w:val="center"/>
              <w:rPr>
                <w:rFonts w:ascii="Palatino Linotype" w:hAnsi="Palatino Linotype"/>
              </w:rPr>
            </w:pPr>
            <w:r w:rsidRPr="0027613F">
              <w:rPr>
                <w:rFonts w:ascii="Palatino Linotype" w:hAnsi="Palatino Linotype"/>
              </w:rPr>
              <w:t>11</w:t>
            </w:r>
            <w:r w:rsidR="00BC6E63" w:rsidRPr="0027613F">
              <w:rPr>
                <w:rFonts w:ascii="Palatino Linotype" w:hAnsi="Palatino Linotype"/>
              </w:rPr>
              <w:t xml:space="preserve"> households</w:t>
            </w:r>
            <w:r w:rsidR="0027613F" w:rsidRPr="0027613F">
              <w:rPr>
                <w:rFonts w:ascii="Palatino Linotype" w:hAnsi="Palatino Linotype"/>
              </w:rPr>
              <w:t xml:space="preserve"> (30-percent take rate)</w:t>
            </w:r>
          </w:p>
        </w:tc>
      </w:tr>
      <w:tr w:rsidR="00BC6E63" w:rsidRPr="0070228F" w14:paraId="58D008DB" w14:textId="77777777" w:rsidTr="007F6BA5">
        <w:tc>
          <w:tcPr>
            <w:tcW w:w="2496" w:type="dxa"/>
            <w:shd w:val="clear" w:color="auto" w:fill="auto"/>
            <w:vAlign w:val="center"/>
          </w:tcPr>
          <w:p w14:paraId="7EC335CF" w14:textId="77777777" w:rsidR="00BC6E63" w:rsidRPr="0075019F" w:rsidRDefault="00BC6E63" w:rsidP="00DF0816">
            <w:pPr>
              <w:keepNext/>
              <w:keepLines/>
              <w:jc w:val="center"/>
              <w:rPr>
                <w:rFonts w:ascii="Palatino Linotype" w:hAnsi="Palatino Linotype"/>
                <w:i/>
              </w:rPr>
            </w:pPr>
            <w:r w:rsidRPr="0075019F">
              <w:rPr>
                <w:rFonts w:ascii="Palatino Linotype" w:hAnsi="Palatino Linotype"/>
                <w:i/>
              </w:rPr>
              <w:t>Pricing Plan</w:t>
            </w:r>
            <w:r>
              <w:rPr>
                <w:rFonts w:ascii="Palatino Linotype" w:hAnsi="Palatino Linotype"/>
                <w:i/>
              </w:rPr>
              <w:t xml:space="preserve"> (Monthly)</w:t>
            </w:r>
          </w:p>
        </w:tc>
        <w:tc>
          <w:tcPr>
            <w:tcW w:w="6854" w:type="dxa"/>
            <w:shd w:val="clear" w:color="auto" w:fill="auto"/>
            <w:vAlign w:val="center"/>
          </w:tcPr>
          <w:p w14:paraId="33DEA7EC" w14:textId="69EDDBEF" w:rsidR="00BC6E63" w:rsidRPr="00A8441A" w:rsidRDefault="00BC6E63" w:rsidP="00331844">
            <w:pPr>
              <w:keepNext/>
              <w:keepLines/>
              <w:ind w:left="-89"/>
              <w:jc w:val="center"/>
              <w:rPr>
                <w:rFonts w:ascii="Palatino Linotype" w:hAnsi="Palatino Linotype"/>
              </w:rPr>
            </w:pPr>
            <w:r w:rsidRPr="00A8441A">
              <w:rPr>
                <w:rFonts w:ascii="Palatino Linotype" w:hAnsi="Palatino Linotype"/>
              </w:rPr>
              <w:t xml:space="preserve"> </w:t>
            </w:r>
            <w:r w:rsidR="00C675BB" w:rsidRPr="00A8441A">
              <w:rPr>
                <w:rFonts w:ascii="Palatino Linotype" w:hAnsi="Palatino Linotype"/>
              </w:rPr>
              <w:t>10</w:t>
            </w:r>
            <w:r w:rsidRPr="00A8441A">
              <w:rPr>
                <w:rFonts w:ascii="Palatino Linotype" w:hAnsi="Palatino Linotype"/>
              </w:rPr>
              <w:t>/1 - $</w:t>
            </w:r>
            <w:r w:rsidR="00C675BB" w:rsidRPr="00A8441A">
              <w:rPr>
                <w:rFonts w:ascii="Palatino Linotype" w:hAnsi="Palatino Linotype"/>
              </w:rPr>
              <w:t>55</w:t>
            </w:r>
            <w:r w:rsidRPr="00A8441A">
              <w:rPr>
                <w:rFonts w:ascii="Palatino Linotype" w:hAnsi="Palatino Linotype"/>
              </w:rPr>
              <w:t xml:space="preserve">; </w:t>
            </w:r>
            <w:r w:rsidR="00331844">
              <w:rPr>
                <w:rFonts w:ascii="Palatino Linotype" w:hAnsi="Palatino Linotype"/>
              </w:rPr>
              <w:t xml:space="preserve"> </w:t>
            </w:r>
            <w:r w:rsidRPr="00A8441A">
              <w:rPr>
                <w:rFonts w:ascii="Palatino Linotype" w:hAnsi="Palatino Linotype"/>
              </w:rPr>
              <w:t>1</w:t>
            </w:r>
            <w:r w:rsidR="00C675BB" w:rsidRPr="00A8441A">
              <w:rPr>
                <w:rFonts w:ascii="Palatino Linotype" w:hAnsi="Palatino Linotype"/>
              </w:rPr>
              <w:t>5</w:t>
            </w:r>
            <w:r w:rsidRPr="00A8441A">
              <w:rPr>
                <w:rFonts w:ascii="Palatino Linotype" w:hAnsi="Palatino Linotype"/>
              </w:rPr>
              <w:t>/5 - $</w:t>
            </w:r>
            <w:r w:rsidR="00C675BB" w:rsidRPr="00A8441A">
              <w:rPr>
                <w:rFonts w:ascii="Palatino Linotype" w:hAnsi="Palatino Linotype"/>
              </w:rPr>
              <w:t>65</w:t>
            </w:r>
            <w:r w:rsidRPr="00A8441A">
              <w:rPr>
                <w:rFonts w:ascii="Palatino Linotype" w:hAnsi="Palatino Linotype"/>
              </w:rPr>
              <w:t>;</w:t>
            </w:r>
            <w:r w:rsidR="00331844">
              <w:rPr>
                <w:rFonts w:ascii="Palatino Linotype" w:hAnsi="Palatino Linotype"/>
              </w:rPr>
              <w:t xml:space="preserve"> </w:t>
            </w:r>
            <w:r w:rsidRPr="00A8441A">
              <w:rPr>
                <w:rFonts w:ascii="Palatino Linotype" w:hAnsi="Palatino Linotype"/>
              </w:rPr>
              <w:t xml:space="preserve"> 2</w:t>
            </w:r>
            <w:r w:rsidR="00C675BB" w:rsidRPr="00A8441A">
              <w:rPr>
                <w:rFonts w:ascii="Palatino Linotype" w:hAnsi="Palatino Linotype"/>
              </w:rPr>
              <w:t>0</w:t>
            </w:r>
            <w:r w:rsidRPr="00A8441A">
              <w:rPr>
                <w:rFonts w:ascii="Palatino Linotype" w:hAnsi="Palatino Linotype"/>
              </w:rPr>
              <w:t>/</w:t>
            </w:r>
            <w:r w:rsidR="00A8441A" w:rsidRPr="00A8441A">
              <w:rPr>
                <w:rFonts w:ascii="Palatino Linotype" w:hAnsi="Palatino Linotype"/>
              </w:rPr>
              <w:t>5</w:t>
            </w:r>
            <w:r w:rsidRPr="00A8441A">
              <w:rPr>
                <w:rFonts w:ascii="Palatino Linotype" w:hAnsi="Palatino Linotype"/>
              </w:rPr>
              <w:t xml:space="preserve"> - $</w:t>
            </w:r>
            <w:r w:rsidR="00A8441A" w:rsidRPr="00A8441A">
              <w:rPr>
                <w:rFonts w:ascii="Palatino Linotype" w:hAnsi="Palatino Linotype"/>
              </w:rPr>
              <w:t xml:space="preserve">75; </w:t>
            </w:r>
            <w:r w:rsidR="00331844">
              <w:rPr>
                <w:rFonts w:ascii="Palatino Linotype" w:hAnsi="Palatino Linotype"/>
              </w:rPr>
              <w:t xml:space="preserve"> </w:t>
            </w:r>
            <w:r w:rsidR="00A8441A" w:rsidRPr="00A8441A">
              <w:rPr>
                <w:rFonts w:ascii="Palatino Linotype" w:hAnsi="Palatino Linotype"/>
              </w:rPr>
              <w:t>25/10 - $85;</w:t>
            </w:r>
            <w:r w:rsidR="00331844">
              <w:rPr>
                <w:rFonts w:ascii="Palatino Linotype" w:hAnsi="Palatino Linotype"/>
              </w:rPr>
              <w:t xml:space="preserve"> </w:t>
            </w:r>
            <w:r w:rsidR="00A8441A" w:rsidRPr="00A8441A">
              <w:rPr>
                <w:rFonts w:ascii="Palatino Linotype" w:hAnsi="Palatino Linotype"/>
              </w:rPr>
              <w:t xml:space="preserve"> 50/10 - $95;</w:t>
            </w:r>
            <w:r w:rsidR="00331844">
              <w:rPr>
                <w:rFonts w:ascii="Palatino Linotype" w:hAnsi="Palatino Linotype"/>
              </w:rPr>
              <w:t xml:space="preserve"> </w:t>
            </w:r>
            <w:r w:rsidR="00A8441A" w:rsidRPr="00A8441A">
              <w:rPr>
                <w:rFonts w:ascii="Palatino Linotype" w:hAnsi="Palatino Linotype"/>
              </w:rPr>
              <w:t xml:space="preserve"> 100/20 - $109</w:t>
            </w:r>
          </w:p>
          <w:p w14:paraId="7FDCE87D" w14:textId="7D38CB5F" w:rsidR="00BC6E63" w:rsidRPr="00A8441A" w:rsidRDefault="00BC6E63" w:rsidP="001545DD">
            <w:pPr>
              <w:keepNext/>
              <w:keepLines/>
              <w:jc w:val="center"/>
              <w:rPr>
                <w:rFonts w:ascii="Palatino Linotype" w:hAnsi="Palatino Linotype"/>
              </w:rPr>
            </w:pPr>
            <w:r w:rsidRPr="00A8441A">
              <w:rPr>
                <w:rFonts w:ascii="Palatino Linotype" w:hAnsi="Palatino Linotype"/>
              </w:rPr>
              <w:t>(no installation fee)</w:t>
            </w:r>
          </w:p>
        </w:tc>
      </w:tr>
      <w:tr w:rsidR="00BC6E63" w:rsidRPr="0070228F" w14:paraId="409B4DC0" w14:textId="77777777" w:rsidTr="007F6BA5">
        <w:tc>
          <w:tcPr>
            <w:tcW w:w="2496" w:type="dxa"/>
            <w:shd w:val="clear" w:color="auto" w:fill="auto"/>
            <w:vAlign w:val="center"/>
          </w:tcPr>
          <w:p w14:paraId="3FF0A6BB" w14:textId="01452F9B" w:rsidR="00BC6E63" w:rsidRPr="0075019F" w:rsidRDefault="00BC6E63" w:rsidP="00DF0816">
            <w:pPr>
              <w:keepNext/>
              <w:keepLines/>
              <w:jc w:val="center"/>
              <w:rPr>
                <w:rFonts w:ascii="Palatino Linotype" w:hAnsi="Palatino Linotype"/>
                <w:i/>
              </w:rPr>
            </w:pPr>
            <w:r w:rsidRPr="0075019F">
              <w:rPr>
                <w:rFonts w:ascii="Palatino Linotype" w:hAnsi="Palatino Linotype"/>
                <w:i/>
              </w:rPr>
              <w:t>Deployment Schedule</w:t>
            </w:r>
            <w:r w:rsidRPr="0075019F">
              <w:rPr>
                <w:rFonts w:ascii="Palatino Linotype" w:hAnsi="Palatino Linotype"/>
                <w:i/>
              </w:rPr>
              <w:br/>
              <w:t>(from</w:t>
            </w:r>
            <w:r w:rsidR="004621FE">
              <w:rPr>
                <w:rFonts w:ascii="Palatino Linotype" w:hAnsi="Palatino Linotype"/>
                <w:i/>
              </w:rPr>
              <w:t xml:space="preserve"> permit</w:t>
            </w:r>
            <w:r w:rsidRPr="0075019F">
              <w:rPr>
                <w:rFonts w:ascii="Palatino Linotype" w:hAnsi="Palatino Linotype"/>
                <w:i/>
              </w:rPr>
              <w:t xml:space="preserve"> approval date)</w:t>
            </w:r>
          </w:p>
        </w:tc>
        <w:tc>
          <w:tcPr>
            <w:tcW w:w="6854" w:type="dxa"/>
            <w:shd w:val="clear" w:color="auto" w:fill="auto"/>
            <w:vAlign w:val="center"/>
          </w:tcPr>
          <w:p w14:paraId="0E39205D" w14:textId="06A90160" w:rsidR="00BC6E63" w:rsidRPr="00AC28F1" w:rsidRDefault="00126D5F" w:rsidP="00DF0816">
            <w:pPr>
              <w:keepNext/>
              <w:keepLines/>
              <w:spacing w:before="120" w:after="120"/>
              <w:jc w:val="center"/>
              <w:rPr>
                <w:rFonts w:ascii="Palatino Linotype" w:hAnsi="Palatino Linotype"/>
                <w:highlight w:val="yellow"/>
              </w:rPr>
            </w:pPr>
            <w:r w:rsidRPr="00126D5F">
              <w:rPr>
                <w:rFonts w:ascii="Palatino Linotype" w:hAnsi="Palatino Linotype"/>
              </w:rPr>
              <w:t>6</w:t>
            </w:r>
            <w:r w:rsidR="00BC6E63" w:rsidRPr="00126D5F">
              <w:rPr>
                <w:rFonts w:ascii="Palatino Linotype" w:hAnsi="Palatino Linotype"/>
              </w:rPr>
              <w:t xml:space="preserve"> months</w:t>
            </w:r>
          </w:p>
        </w:tc>
      </w:tr>
      <w:tr w:rsidR="00BC6E63" w:rsidRPr="0070228F" w14:paraId="47B6C04C" w14:textId="77777777" w:rsidTr="007F6BA5">
        <w:tc>
          <w:tcPr>
            <w:tcW w:w="2496" w:type="dxa"/>
            <w:shd w:val="clear" w:color="auto" w:fill="auto"/>
            <w:vAlign w:val="center"/>
          </w:tcPr>
          <w:p w14:paraId="2102A0E9" w14:textId="77777777" w:rsidR="00BC6E63" w:rsidRPr="0075019F" w:rsidRDefault="00BC6E63" w:rsidP="005B12D3">
            <w:pPr>
              <w:keepNext/>
              <w:keepLines/>
              <w:jc w:val="center"/>
              <w:rPr>
                <w:rFonts w:ascii="Palatino Linotype" w:hAnsi="Palatino Linotype"/>
                <w:i/>
              </w:rPr>
            </w:pPr>
            <w:r w:rsidRPr="0075019F">
              <w:rPr>
                <w:rFonts w:ascii="Palatino Linotype" w:hAnsi="Palatino Linotype"/>
                <w:i/>
              </w:rPr>
              <w:t>Proposed Project Budget (Total)</w:t>
            </w:r>
          </w:p>
        </w:tc>
        <w:tc>
          <w:tcPr>
            <w:tcW w:w="6854" w:type="dxa"/>
            <w:shd w:val="clear" w:color="auto" w:fill="auto"/>
            <w:vAlign w:val="center"/>
          </w:tcPr>
          <w:p w14:paraId="1F728765" w14:textId="77777777" w:rsidR="00BC6E63" w:rsidRDefault="00BC6E63" w:rsidP="005B12D3">
            <w:pPr>
              <w:keepNext/>
              <w:keepLines/>
              <w:jc w:val="center"/>
              <w:rPr>
                <w:rFonts w:ascii="Palatino Linotype" w:hAnsi="Palatino Linotype"/>
              </w:rPr>
            </w:pPr>
            <w:r w:rsidRPr="001C286B">
              <w:rPr>
                <w:rFonts w:ascii="Palatino Linotype" w:hAnsi="Palatino Linotype"/>
              </w:rPr>
              <w:t>$</w:t>
            </w:r>
            <w:r w:rsidRPr="001C286B">
              <w:t xml:space="preserve"> </w:t>
            </w:r>
            <w:r w:rsidR="004621FE" w:rsidRPr="001C286B">
              <w:rPr>
                <w:rFonts w:ascii="Palatino Linotype" w:hAnsi="Palatino Linotype"/>
              </w:rPr>
              <w:t>1,512,163</w:t>
            </w:r>
          </w:p>
          <w:p w14:paraId="5046979A" w14:textId="77777777" w:rsidR="005B12D3" w:rsidRDefault="005B12D3" w:rsidP="005B12D3">
            <w:pPr>
              <w:keepNext/>
              <w:keepLines/>
              <w:jc w:val="center"/>
              <w:rPr>
                <w:rFonts w:ascii="Palatino Linotype" w:hAnsi="Palatino Linotype"/>
              </w:rPr>
            </w:pPr>
            <w:r>
              <w:rPr>
                <w:rFonts w:ascii="Palatino Linotype" w:hAnsi="Palatino Linotype"/>
              </w:rPr>
              <w:t>Middle-Mile Budget: $ 1,315,410</w:t>
            </w:r>
          </w:p>
          <w:p w14:paraId="7CE3BC2B" w14:textId="24ECD6A7" w:rsidR="005B12D3" w:rsidRPr="001C286B" w:rsidRDefault="005B12D3" w:rsidP="005B12D3">
            <w:pPr>
              <w:keepNext/>
              <w:keepLines/>
              <w:jc w:val="center"/>
              <w:rPr>
                <w:rFonts w:ascii="Palatino Linotype" w:hAnsi="Palatino Linotype"/>
              </w:rPr>
            </w:pPr>
            <w:r>
              <w:rPr>
                <w:rFonts w:ascii="Palatino Linotype" w:hAnsi="Palatino Linotype"/>
              </w:rPr>
              <w:t>Last Mile Budget: $ 196,753</w:t>
            </w:r>
          </w:p>
        </w:tc>
      </w:tr>
      <w:tr w:rsidR="00BC6E63" w:rsidRPr="0070228F" w14:paraId="46CB1F6A" w14:textId="77777777" w:rsidTr="007F6BA5">
        <w:tc>
          <w:tcPr>
            <w:tcW w:w="2496" w:type="dxa"/>
            <w:shd w:val="clear" w:color="auto" w:fill="auto"/>
            <w:vAlign w:val="center"/>
          </w:tcPr>
          <w:p w14:paraId="48FBF50E" w14:textId="7176A730" w:rsidR="00BC6E63" w:rsidRPr="00A92DBA" w:rsidRDefault="00232AFC" w:rsidP="00DF0816">
            <w:pPr>
              <w:keepNext/>
              <w:keepLines/>
              <w:jc w:val="center"/>
              <w:rPr>
                <w:rFonts w:ascii="Palatino Linotype" w:hAnsi="Palatino Linotype"/>
                <w:i/>
              </w:rPr>
            </w:pPr>
            <w:r w:rsidRPr="00A92DBA">
              <w:rPr>
                <w:rFonts w:ascii="Palatino Linotype" w:hAnsi="Palatino Linotype"/>
                <w:i/>
              </w:rPr>
              <w:t>Grant Requested Amount</w:t>
            </w:r>
            <w:r w:rsidR="00BC6E63" w:rsidRPr="00A92DBA">
              <w:rPr>
                <w:rFonts w:ascii="Palatino Linotype" w:hAnsi="Palatino Linotype"/>
                <w:i/>
              </w:rPr>
              <w:t xml:space="preserve"> (</w:t>
            </w:r>
            <w:r w:rsidR="0011464E" w:rsidRPr="00A92DBA">
              <w:rPr>
                <w:rFonts w:ascii="Palatino Linotype" w:hAnsi="Palatino Linotype"/>
                <w:i/>
              </w:rPr>
              <w:t>100</w:t>
            </w:r>
            <w:r w:rsidR="00F4621E" w:rsidRPr="00A92DBA">
              <w:rPr>
                <w:rFonts w:ascii="Palatino Linotype" w:hAnsi="Palatino Linotype"/>
                <w:i/>
              </w:rPr>
              <w:t xml:space="preserve"> percent</w:t>
            </w:r>
            <w:r w:rsidR="00BC6E63" w:rsidRPr="00A92DBA">
              <w:rPr>
                <w:rFonts w:ascii="Palatino Linotype" w:hAnsi="Palatino Linotype"/>
                <w:i/>
              </w:rPr>
              <w:t>)</w:t>
            </w:r>
          </w:p>
        </w:tc>
        <w:tc>
          <w:tcPr>
            <w:tcW w:w="6854" w:type="dxa"/>
            <w:shd w:val="clear" w:color="auto" w:fill="auto"/>
            <w:vAlign w:val="center"/>
          </w:tcPr>
          <w:p w14:paraId="04F504F0" w14:textId="01033643" w:rsidR="00BC6E63" w:rsidRPr="001C286B" w:rsidRDefault="00BC6E63" w:rsidP="00DF0816">
            <w:pPr>
              <w:keepNext/>
              <w:keepLines/>
              <w:spacing w:before="120" w:after="120"/>
              <w:jc w:val="center"/>
              <w:rPr>
                <w:rFonts w:ascii="Palatino Linotype" w:hAnsi="Palatino Linotype"/>
              </w:rPr>
            </w:pPr>
            <w:r w:rsidRPr="001C286B">
              <w:rPr>
                <w:rFonts w:ascii="Palatino Linotype" w:hAnsi="Palatino Linotype"/>
              </w:rPr>
              <w:t>$</w:t>
            </w:r>
            <w:r w:rsidRPr="001C286B">
              <w:t xml:space="preserve"> </w:t>
            </w:r>
            <w:r w:rsidR="004621FE" w:rsidRPr="001C286B">
              <w:rPr>
                <w:rFonts w:ascii="Palatino Linotype" w:hAnsi="Palatino Linotype"/>
              </w:rPr>
              <w:t>1,512,163</w:t>
            </w:r>
          </w:p>
        </w:tc>
      </w:tr>
      <w:tr w:rsidR="00BC6E63" w:rsidRPr="0070228F" w14:paraId="4732C706" w14:textId="77777777" w:rsidTr="007F6BA5">
        <w:tc>
          <w:tcPr>
            <w:tcW w:w="2496" w:type="dxa"/>
            <w:shd w:val="clear" w:color="auto" w:fill="auto"/>
            <w:vAlign w:val="center"/>
          </w:tcPr>
          <w:p w14:paraId="2A837386" w14:textId="77777777" w:rsidR="00232AFC" w:rsidRPr="00A92DBA" w:rsidRDefault="00232AFC" w:rsidP="00DF0816">
            <w:pPr>
              <w:keepNext/>
              <w:keepLines/>
              <w:jc w:val="center"/>
              <w:rPr>
                <w:rFonts w:ascii="Palatino Linotype" w:hAnsi="Palatino Linotype"/>
                <w:i/>
              </w:rPr>
            </w:pPr>
            <w:r w:rsidRPr="00A92DBA">
              <w:rPr>
                <w:rFonts w:ascii="Palatino Linotype" w:hAnsi="Palatino Linotype"/>
                <w:i/>
              </w:rPr>
              <w:t>CASF Grant Amount</w:t>
            </w:r>
            <w:r w:rsidR="00BC6E63" w:rsidRPr="00A92DBA">
              <w:rPr>
                <w:rFonts w:ascii="Palatino Linotype" w:hAnsi="Palatino Linotype"/>
                <w:i/>
              </w:rPr>
              <w:t xml:space="preserve"> </w:t>
            </w:r>
          </w:p>
          <w:p w14:paraId="7980F022" w14:textId="31E14792" w:rsidR="00BC6E63" w:rsidRPr="00A92DBA" w:rsidRDefault="00BC6E63" w:rsidP="00DF0816">
            <w:pPr>
              <w:keepNext/>
              <w:keepLines/>
              <w:jc w:val="center"/>
              <w:rPr>
                <w:rFonts w:ascii="Palatino Linotype" w:hAnsi="Palatino Linotype"/>
                <w:i/>
              </w:rPr>
            </w:pPr>
            <w:r w:rsidRPr="00A92DBA">
              <w:rPr>
                <w:rFonts w:ascii="Palatino Linotype" w:hAnsi="Palatino Linotype"/>
                <w:i/>
              </w:rPr>
              <w:t>(</w:t>
            </w:r>
            <w:r w:rsidR="00232AFC" w:rsidRPr="00A92DBA">
              <w:rPr>
                <w:rFonts w:ascii="Palatino Linotype" w:hAnsi="Palatino Linotype"/>
                <w:i/>
              </w:rPr>
              <w:t>100 percent</w:t>
            </w:r>
            <w:r w:rsidRPr="00A92DBA">
              <w:rPr>
                <w:rFonts w:ascii="Palatino Linotype" w:hAnsi="Palatino Linotype"/>
                <w:i/>
              </w:rPr>
              <w:t>)</w:t>
            </w:r>
          </w:p>
        </w:tc>
        <w:tc>
          <w:tcPr>
            <w:tcW w:w="6854" w:type="dxa"/>
            <w:shd w:val="clear" w:color="auto" w:fill="auto"/>
            <w:vAlign w:val="center"/>
          </w:tcPr>
          <w:p w14:paraId="62894541" w14:textId="47E9AF84" w:rsidR="00BC6E63" w:rsidRPr="001C286B" w:rsidRDefault="00BC6E63" w:rsidP="00DF0816">
            <w:pPr>
              <w:keepNext/>
              <w:keepLines/>
              <w:spacing w:before="120" w:after="120"/>
              <w:jc w:val="center"/>
              <w:rPr>
                <w:rFonts w:ascii="Palatino Linotype" w:hAnsi="Palatino Linotype"/>
              </w:rPr>
            </w:pPr>
            <w:r w:rsidRPr="001C286B">
              <w:rPr>
                <w:rFonts w:ascii="Palatino Linotype" w:hAnsi="Palatino Linotype"/>
              </w:rPr>
              <w:t>$</w:t>
            </w:r>
            <w:r w:rsidRPr="001C286B">
              <w:t xml:space="preserve"> </w:t>
            </w:r>
            <w:r w:rsidR="001C286B" w:rsidRPr="001C286B">
              <w:rPr>
                <w:rFonts w:ascii="Palatino Linotype" w:hAnsi="Palatino Linotype"/>
              </w:rPr>
              <w:t>1,512,163</w:t>
            </w:r>
          </w:p>
        </w:tc>
      </w:tr>
      <w:tr w:rsidR="00F4621E" w:rsidRPr="0070228F" w14:paraId="2F023EB1" w14:textId="77777777" w:rsidTr="007F6BA5">
        <w:tc>
          <w:tcPr>
            <w:tcW w:w="2496" w:type="dxa"/>
            <w:shd w:val="clear" w:color="auto" w:fill="auto"/>
            <w:vAlign w:val="center"/>
          </w:tcPr>
          <w:p w14:paraId="1130F913" w14:textId="36157B88" w:rsidR="00F4621E" w:rsidRPr="0075019F" w:rsidRDefault="00F4621E" w:rsidP="0040608F">
            <w:pPr>
              <w:keepNext/>
              <w:keepLines/>
              <w:jc w:val="center"/>
              <w:rPr>
                <w:rFonts w:ascii="Palatino Linotype" w:hAnsi="Palatino Linotype"/>
                <w:i/>
              </w:rPr>
            </w:pPr>
            <w:r>
              <w:rPr>
                <w:rFonts w:ascii="Palatino Linotype" w:hAnsi="Palatino Linotype"/>
                <w:i/>
              </w:rPr>
              <w:t>Recommended Grant per household passed</w:t>
            </w:r>
          </w:p>
        </w:tc>
        <w:tc>
          <w:tcPr>
            <w:tcW w:w="6854" w:type="dxa"/>
            <w:shd w:val="clear" w:color="auto" w:fill="auto"/>
            <w:vAlign w:val="center"/>
          </w:tcPr>
          <w:p w14:paraId="1DE8A25A" w14:textId="4895DBB4" w:rsidR="00F4621E" w:rsidRDefault="00F4621E" w:rsidP="0040608F">
            <w:pPr>
              <w:keepNext/>
              <w:keepLines/>
              <w:jc w:val="center"/>
              <w:rPr>
                <w:rFonts w:ascii="Palatino Linotype" w:hAnsi="Palatino Linotype"/>
              </w:rPr>
            </w:pPr>
            <w:r w:rsidRPr="001C286B">
              <w:rPr>
                <w:rFonts w:ascii="Palatino Linotype" w:hAnsi="Palatino Linotype"/>
              </w:rPr>
              <w:t>$</w:t>
            </w:r>
            <w:r w:rsidR="00291AD3" w:rsidRPr="001C286B">
              <w:rPr>
                <w:rFonts w:ascii="Palatino Linotype" w:hAnsi="Palatino Linotype"/>
              </w:rPr>
              <w:t xml:space="preserve"> 42,004</w:t>
            </w:r>
          </w:p>
          <w:p w14:paraId="1ED00FFE" w14:textId="1FA3EAF7" w:rsidR="005B12D3" w:rsidRPr="001C286B" w:rsidRDefault="0040608F" w:rsidP="0040608F">
            <w:pPr>
              <w:keepNext/>
              <w:keepLines/>
              <w:jc w:val="center"/>
              <w:rPr>
                <w:rFonts w:ascii="Palatino Linotype" w:hAnsi="Palatino Linotype"/>
              </w:rPr>
            </w:pPr>
            <w:r>
              <w:rPr>
                <w:rFonts w:ascii="Palatino Linotype" w:hAnsi="Palatino Linotype"/>
              </w:rPr>
              <w:t>$ 5,465 (last mile costs only)</w:t>
            </w:r>
          </w:p>
        </w:tc>
      </w:tr>
    </w:tbl>
    <w:p w14:paraId="55BD3757" w14:textId="0078A57B" w:rsidR="00BC6E63" w:rsidRDefault="00BC6E63" w:rsidP="00BC6E63">
      <w:pPr>
        <w:keepNext/>
        <w:keepLines/>
        <w:jc w:val="center"/>
        <w:rPr>
          <w:rFonts w:ascii="Palatino Linotype" w:hAnsi="Palatino Linotype"/>
          <w:sz w:val="24"/>
          <w:szCs w:val="24"/>
        </w:rPr>
        <w:sectPr w:rsidR="00BC6E63">
          <w:headerReference w:type="first" r:id="rId19"/>
          <w:footerReference w:type="first" r:id="rId20"/>
          <w:type w:val="continuous"/>
          <w:pgSz w:w="12240" w:h="15840" w:code="1"/>
          <w:pgMar w:top="1440" w:right="1440" w:bottom="1440" w:left="1440" w:header="720" w:footer="475" w:gutter="0"/>
          <w:pgNumType w:start="1"/>
          <w:cols w:space="720"/>
          <w:titlePg/>
          <w:docGrid w:linePitch="272"/>
        </w:sectPr>
      </w:pPr>
    </w:p>
    <w:p w14:paraId="5700F899" w14:textId="77777777" w:rsidR="00BC6E63" w:rsidRPr="0070228F" w:rsidRDefault="00BC6E63" w:rsidP="00BC6E63">
      <w:pPr>
        <w:keepNext/>
        <w:keepLines/>
        <w:jc w:val="center"/>
        <w:rPr>
          <w:rFonts w:ascii="Palatino Linotype" w:hAnsi="Palatino Linotype"/>
          <w:b/>
          <w:sz w:val="24"/>
          <w:szCs w:val="24"/>
        </w:rPr>
      </w:pPr>
      <w:r w:rsidRPr="0070228F">
        <w:rPr>
          <w:rFonts w:ascii="Palatino Linotype" w:hAnsi="Palatino Linotype"/>
          <w:b/>
          <w:sz w:val="24"/>
          <w:szCs w:val="24"/>
        </w:rPr>
        <w:lastRenderedPageBreak/>
        <w:t>Appendix B</w:t>
      </w:r>
    </w:p>
    <w:p w14:paraId="5B4DD6F4" w14:textId="46D80026" w:rsidR="00BC6E63" w:rsidRPr="009C625F" w:rsidRDefault="00BC6E63" w:rsidP="00BC6E63">
      <w:pPr>
        <w:keepNext/>
        <w:keepLines/>
        <w:jc w:val="center"/>
        <w:rPr>
          <w:rFonts w:ascii="Palatino Linotype" w:hAnsi="Palatino Linotype"/>
          <w:b/>
          <w:sz w:val="24"/>
          <w:szCs w:val="24"/>
        </w:rPr>
      </w:pPr>
      <w:r w:rsidRPr="009C625F">
        <w:rPr>
          <w:rFonts w:ascii="Palatino Linotype" w:hAnsi="Palatino Linotype"/>
          <w:b/>
          <w:sz w:val="24"/>
          <w:szCs w:val="24"/>
        </w:rPr>
        <w:t>Resolution T-</w:t>
      </w:r>
      <w:r w:rsidR="00CC79E9">
        <w:rPr>
          <w:rFonts w:ascii="Palatino Linotype" w:hAnsi="Palatino Linotype"/>
          <w:b/>
          <w:sz w:val="24"/>
          <w:szCs w:val="24"/>
        </w:rPr>
        <w:t>17672</w:t>
      </w:r>
      <w:r w:rsidR="00AA679D">
        <w:rPr>
          <w:rFonts w:ascii="Palatino Linotype" w:hAnsi="Palatino Linotype"/>
          <w:b/>
          <w:sz w:val="24"/>
          <w:szCs w:val="24"/>
        </w:rPr>
        <w:t>:</w:t>
      </w:r>
      <w:r w:rsidRPr="009C625F">
        <w:rPr>
          <w:rFonts w:ascii="Palatino Linotype" w:hAnsi="Palatino Linotype"/>
          <w:b/>
          <w:sz w:val="24"/>
          <w:szCs w:val="24"/>
        </w:rPr>
        <w:t xml:space="preserve"> </w:t>
      </w:r>
      <w:r w:rsidR="00121FAD" w:rsidRPr="009C625F">
        <w:rPr>
          <w:rFonts w:ascii="Palatino Linotype" w:hAnsi="Palatino Linotype"/>
          <w:b/>
          <w:sz w:val="24"/>
          <w:szCs w:val="24"/>
        </w:rPr>
        <w:t>Plumas Sierra Telecommunications Keddie</w:t>
      </w:r>
      <w:r w:rsidRPr="009C625F">
        <w:rPr>
          <w:rFonts w:ascii="Palatino Linotype" w:hAnsi="Palatino Linotype"/>
          <w:b/>
          <w:sz w:val="24"/>
          <w:szCs w:val="24"/>
        </w:rPr>
        <w:t xml:space="preserve"> Project</w:t>
      </w:r>
    </w:p>
    <w:p w14:paraId="543C3285" w14:textId="46CCA022" w:rsidR="00BC6E63" w:rsidRDefault="00BC6E63" w:rsidP="00BC6E63">
      <w:pPr>
        <w:keepNext/>
        <w:keepLines/>
        <w:jc w:val="center"/>
        <w:rPr>
          <w:rFonts w:ascii="Palatino Linotype" w:hAnsi="Palatino Linotype"/>
          <w:b/>
          <w:sz w:val="24"/>
          <w:szCs w:val="24"/>
        </w:rPr>
      </w:pPr>
      <w:r w:rsidRPr="009C625F">
        <w:rPr>
          <w:rFonts w:ascii="Palatino Linotype" w:hAnsi="Palatino Linotype"/>
          <w:b/>
          <w:sz w:val="24"/>
          <w:szCs w:val="24"/>
        </w:rPr>
        <w:t xml:space="preserve">Project </w:t>
      </w:r>
      <w:r w:rsidR="00C023AD">
        <w:rPr>
          <w:rFonts w:ascii="Palatino Linotype" w:hAnsi="Palatino Linotype"/>
          <w:b/>
          <w:sz w:val="24"/>
          <w:szCs w:val="24"/>
        </w:rPr>
        <w:t>L</w:t>
      </w:r>
      <w:r w:rsidRPr="009C625F">
        <w:rPr>
          <w:rFonts w:ascii="Palatino Linotype" w:hAnsi="Palatino Linotype"/>
          <w:b/>
          <w:sz w:val="24"/>
          <w:szCs w:val="24"/>
        </w:rPr>
        <w:t xml:space="preserve">ocation </w:t>
      </w:r>
      <w:r w:rsidR="00C023AD">
        <w:rPr>
          <w:rFonts w:ascii="Palatino Linotype" w:hAnsi="Palatino Linotype"/>
          <w:b/>
          <w:sz w:val="24"/>
          <w:szCs w:val="24"/>
        </w:rPr>
        <w:t>M</w:t>
      </w:r>
      <w:r w:rsidRPr="009C625F">
        <w:rPr>
          <w:rFonts w:ascii="Palatino Linotype" w:hAnsi="Palatino Linotype"/>
          <w:b/>
          <w:sz w:val="24"/>
          <w:szCs w:val="24"/>
        </w:rPr>
        <w:t>ap</w:t>
      </w:r>
    </w:p>
    <w:p w14:paraId="0482CB42" w14:textId="77777777" w:rsidR="00734E9F" w:rsidRDefault="00C023AD" w:rsidP="00C34FDE">
      <w:pPr>
        <w:keepNext/>
        <w:keepLines/>
        <w:jc w:val="center"/>
        <w:rPr>
          <w:rFonts w:ascii="Palatino Linotype" w:hAnsi="Palatino Linotype"/>
          <w:sz w:val="24"/>
          <w:szCs w:val="24"/>
        </w:rPr>
        <w:sectPr w:rsidR="00734E9F" w:rsidSect="003A6443">
          <w:footerReference w:type="first" r:id="rId21"/>
          <w:type w:val="continuous"/>
          <w:pgSz w:w="12240" w:h="15840" w:code="1"/>
          <w:pgMar w:top="1440" w:right="1440" w:bottom="1440" w:left="1440" w:header="720" w:footer="475" w:gutter="0"/>
          <w:pgNumType w:start="1"/>
          <w:cols w:space="720"/>
          <w:titlePg/>
          <w:docGrid w:linePitch="272"/>
        </w:sectPr>
      </w:pPr>
      <w:r>
        <w:rPr>
          <w:noProof/>
        </w:rPr>
        <w:drawing>
          <wp:inline distT="0" distB="0" distL="0" distR="0" wp14:anchorId="1AF7CEFA" wp14:editId="2FCC17FA">
            <wp:extent cx="5715000" cy="7439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15000" cy="7439025"/>
                    </a:xfrm>
                    <a:prstGeom prst="rect">
                      <a:avLst/>
                    </a:prstGeom>
                  </pic:spPr>
                </pic:pic>
              </a:graphicData>
            </a:graphic>
          </wp:inline>
        </w:drawing>
      </w:r>
    </w:p>
    <w:p w14:paraId="2DA3FD7A" w14:textId="0E1CDE24" w:rsidR="00734E9F" w:rsidRDefault="00734E9F" w:rsidP="00C34FDE">
      <w:pPr>
        <w:keepNext/>
        <w:keepLines/>
        <w:jc w:val="center"/>
        <w:rPr>
          <w:rFonts w:ascii="Palatino Linotype" w:hAnsi="Palatino Linotype"/>
          <w:sz w:val="24"/>
          <w:szCs w:val="24"/>
        </w:rPr>
        <w:sectPr w:rsidR="00734E9F" w:rsidSect="003A6443">
          <w:type w:val="continuous"/>
          <w:pgSz w:w="12240" w:h="15840" w:code="1"/>
          <w:pgMar w:top="1440" w:right="1440" w:bottom="1440" w:left="1440" w:header="720" w:footer="475" w:gutter="0"/>
          <w:pgNumType w:start="1"/>
          <w:cols w:space="720"/>
          <w:titlePg/>
          <w:docGrid w:linePitch="272"/>
        </w:sectPr>
      </w:pPr>
    </w:p>
    <w:p w14:paraId="2C72F1DA" w14:textId="06411289" w:rsidR="00223AED" w:rsidRPr="00223AED" w:rsidRDefault="00223AED" w:rsidP="00223AED">
      <w:pPr>
        <w:keepNext/>
        <w:keepLines/>
        <w:jc w:val="center"/>
        <w:rPr>
          <w:rFonts w:ascii="Palatino Linotype" w:hAnsi="Palatino Linotype"/>
          <w:b/>
          <w:sz w:val="24"/>
          <w:szCs w:val="24"/>
        </w:rPr>
      </w:pPr>
      <w:r w:rsidRPr="00223AED">
        <w:rPr>
          <w:rFonts w:ascii="Palatino Linotype" w:hAnsi="Palatino Linotype"/>
          <w:b/>
          <w:sz w:val="24"/>
          <w:szCs w:val="24"/>
        </w:rPr>
        <w:lastRenderedPageBreak/>
        <w:t xml:space="preserve">APPENDIX </w:t>
      </w:r>
      <w:r w:rsidR="00CC79E9">
        <w:rPr>
          <w:rFonts w:ascii="Palatino Linotype" w:hAnsi="Palatino Linotype"/>
          <w:b/>
          <w:sz w:val="24"/>
          <w:szCs w:val="24"/>
        </w:rPr>
        <w:t>C</w:t>
      </w:r>
    </w:p>
    <w:p w14:paraId="50B4FA35" w14:textId="0E30FBE6" w:rsidR="00223AED" w:rsidRPr="00223AED" w:rsidRDefault="00223AED" w:rsidP="00223AED">
      <w:pPr>
        <w:keepNext/>
        <w:keepLines/>
        <w:jc w:val="center"/>
        <w:rPr>
          <w:rFonts w:ascii="Palatino Linotype" w:hAnsi="Palatino Linotype"/>
          <w:b/>
          <w:sz w:val="24"/>
          <w:szCs w:val="24"/>
        </w:rPr>
      </w:pPr>
      <w:r w:rsidRPr="00223AED">
        <w:rPr>
          <w:rFonts w:ascii="Palatino Linotype" w:hAnsi="Palatino Linotype"/>
          <w:b/>
          <w:sz w:val="24"/>
          <w:szCs w:val="24"/>
        </w:rPr>
        <w:t>Resolution T-</w:t>
      </w:r>
      <w:r w:rsidR="00CC79E9">
        <w:rPr>
          <w:rFonts w:ascii="Palatino Linotype" w:hAnsi="Palatino Linotype"/>
          <w:b/>
          <w:sz w:val="24"/>
          <w:szCs w:val="24"/>
        </w:rPr>
        <w:t>17672</w:t>
      </w:r>
      <w:r w:rsidRPr="00223AED">
        <w:rPr>
          <w:rFonts w:ascii="Palatino Linotype" w:hAnsi="Palatino Linotype"/>
          <w:b/>
          <w:sz w:val="24"/>
          <w:szCs w:val="24"/>
        </w:rPr>
        <w:t xml:space="preserve">: </w:t>
      </w:r>
      <w:r>
        <w:rPr>
          <w:rFonts w:ascii="Palatino Linotype" w:hAnsi="Palatino Linotype"/>
          <w:b/>
          <w:sz w:val="24"/>
          <w:szCs w:val="24"/>
        </w:rPr>
        <w:t>Plumas Sierra Telecommunications Keddie Project</w:t>
      </w:r>
    </w:p>
    <w:p w14:paraId="49EF9E11" w14:textId="2EEF3197" w:rsidR="00223AED" w:rsidRPr="00223AED" w:rsidRDefault="00223AED" w:rsidP="00223AED">
      <w:pPr>
        <w:keepNext/>
        <w:keepLines/>
        <w:jc w:val="center"/>
        <w:rPr>
          <w:rFonts w:ascii="Palatino Linotype" w:hAnsi="Palatino Linotype"/>
          <w:b/>
          <w:bCs/>
          <w:iCs/>
          <w:sz w:val="24"/>
          <w:szCs w:val="24"/>
        </w:rPr>
      </w:pPr>
      <w:r w:rsidRPr="00223AED">
        <w:rPr>
          <w:rFonts w:ascii="Palatino Linotype" w:hAnsi="Palatino Linotype"/>
          <w:b/>
          <w:bCs/>
          <w:iCs/>
          <w:sz w:val="24"/>
          <w:szCs w:val="24"/>
        </w:rPr>
        <w:t xml:space="preserve">Geography and Topography  </w:t>
      </w:r>
    </w:p>
    <w:p w14:paraId="088FD1B7" w14:textId="77777777" w:rsidR="00223AED" w:rsidRPr="00223AED" w:rsidRDefault="00223AED" w:rsidP="00223AED">
      <w:pPr>
        <w:keepNext/>
        <w:keepLines/>
        <w:jc w:val="center"/>
        <w:rPr>
          <w:rFonts w:ascii="Palatino Linotype" w:hAnsi="Palatino Linotype"/>
          <w:iCs/>
          <w:sz w:val="24"/>
          <w:szCs w:val="24"/>
        </w:rPr>
      </w:pPr>
    </w:p>
    <w:p w14:paraId="31B6EF1C" w14:textId="28C0FFE4" w:rsidR="00223AED" w:rsidRDefault="00223AED" w:rsidP="003C1CC7">
      <w:pPr>
        <w:autoSpaceDE w:val="0"/>
        <w:autoSpaceDN w:val="0"/>
        <w:adjustRightInd w:val="0"/>
        <w:rPr>
          <w:rFonts w:ascii="Palatino Linotype" w:hAnsi="Palatino Linotype"/>
          <w:color w:val="000000" w:themeColor="text1"/>
          <w:sz w:val="24"/>
          <w:szCs w:val="24"/>
        </w:rPr>
      </w:pPr>
      <w:r w:rsidRPr="0084087F">
        <w:rPr>
          <w:rFonts w:ascii="Palatino Linotype" w:hAnsi="Palatino Linotype"/>
          <w:i/>
          <w:color w:val="000000" w:themeColor="text1"/>
          <w:sz w:val="24"/>
          <w:szCs w:val="24"/>
        </w:rPr>
        <w:t>Geography and Topography</w:t>
      </w:r>
      <w:r>
        <w:rPr>
          <w:rFonts w:ascii="Palatino Linotype" w:hAnsi="Palatino Linotype"/>
          <w:i/>
          <w:color w:val="000000" w:themeColor="text1"/>
          <w:sz w:val="24"/>
          <w:szCs w:val="24"/>
        </w:rPr>
        <w:t>:</w:t>
      </w:r>
      <w:r w:rsidRPr="00FD6BDC">
        <w:rPr>
          <w:rFonts w:ascii="Palatino Linotype" w:hAnsi="Palatino Linotype"/>
          <w:color w:val="000000" w:themeColor="text1"/>
          <w:sz w:val="24"/>
          <w:szCs w:val="24"/>
        </w:rPr>
        <w:t xml:space="preserve">  </w:t>
      </w:r>
      <w:r>
        <w:rPr>
          <w:rFonts w:ascii="Palatino Linotype" w:hAnsi="Palatino Linotype"/>
          <w:color w:val="000000" w:themeColor="text1"/>
          <w:sz w:val="24"/>
          <w:szCs w:val="24"/>
        </w:rPr>
        <w:t xml:space="preserve">Keddie is city </w:t>
      </w:r>
      <w:r w:rsidRPr="0084087F">
        <w:rPr>
          <w:rFonts w:ascii="Palatino Linotype" w:hAnsi="Palatino Linotype"/>
          <w:color w:val="000000" w:themeColor="text1"/>
          <w:sz w:val="24"/>
          <w:szCs w:val="24"/>
        </w:rPr>
        <w:t xml:space="preserve">located </w:t>
      </w:r>
      <w:r>
        <w:rPr>
          <w:rFonts w:ascii="Palatino Linotype" w:hAnsi="Palatino Linotype"/>
          <w:color w:val="000000" w:themeColor="text1"/>
          <w:sz w:val="24"/>
          <w:szCs w:val="24"/>
        </w:rPr>
        <w:t>along the Feather River</w:t>
      </w:r>
      <w:r w:rsidRPr="0084087F">
        <w:rPr>
          <w:rFonts w:ascii="Palatino Linotype" w:hAnsi="Palatino Linotype"/>
          <w:color w:val="000000" w:themeColor="text1"/>
          <w:sz w:val="24"/>
          <w:szCs w:val="24"/>
        </w:rPr>
        <w:t xml:space="preserve"> </w:t>
      </w:r>
      <w:r>
        <w:rPr>
          <w:rFonts w:ascii="Palatino Linotype" w:hAnsi="Palatino Linotype"/>
          <w:color w:val="000000" w:themeColor="text1"/>
          <w:sz w:val="24"/>
          <w:szCs w:val="24"/>
        </w:rPr>
        <w:t>i</w:t>
      </w:r>
      <w:r w:rsidRPr="0084087F">
        <w:rPr>
          <w:rFonts w:ascii="Palatino Linotype" w:hAnsi="Palatino Linotype"/>
          <w:color w:val="000000" w:themeColor="text1"/>
          <w:sz w:val="24"/>
          <w:szCs w:val="24"/>
        </w:rPr>
        <w:t xml:space="preserve">n the </w:t>
      </w:r>
      <w:r>
        <w:rPr>
          <w:rFonts w:ascii="Palatino Linotype" w:hAnsi="Palatino Linotype"/>
          <w:color w:val="000000" w:themeColor="text1"/>
          <w:sz w:val="24"/>
          <w:szCs w:val="24"/>
        </w:rPr>
        <w:t>Sierra Nevada</w:t>
      </w:r>
      <w:r w:rsidRPr="0084087F">
        <w:rPr>
          <w:rFonts w:ascii="Palatino Linotype" w:hAnsi="Palatino Linotype"/>
          <w:color w:val="000000" w:themeColor="text1"/>
          <w:sz w:val="24"/>
          <w:szCs w:val="24"/>
        </w:rPr>
        <w:t xml:space="preserve"> Mountains </w:t>
      </w:r>
      <w:r>
        <w:rPr>
          <w:rFonts w:ascii="Palatino Linotype" w:hAnsi="Palatino Linotype"/>
          <w:color w:val="000000" w:themeColor="text1"/>
          <w:sz w:val="24"/>
          <w:szCs w:val="24"/>
        </w:rPr>
        <w:t>in</w:t>
      </w:r>
      <w:r w:rsidRPr="0084087F">
        <w:rPr>
          <w:rFonts w:ascii="Palatino Linotype" w:hAnsi="Palatino Linotype"/>
          <w:color w:val="000000" w:themeColor="text1"/>
          <w:sz w:val="24"/>
          <w:szCs w:val="24"/>
        </w:rPr>
        <w:t xml:space="preserve"> </w:t>
      </w:r>
      <w:r>
        <w:rPr>
          <w:rFonts w:ascii="Palatino Linotype" w:hAnsi="Palatino Linotype"/>
          <w:color w:val="000000" w:themeColor="text1"/>
          <w:sz w:val="24"/>
          <w:szCs w:val="24"/>
        </w:rPr>
        <w:t>Plumas</w:t>
      </w:r>
      <w:r w:rsidRPr="0084087F">
        <w:rPr>
          <w:rFonts w:ascii="Palatino Linotype" w:hAnsi="Palatino Linotype"/>
          <w:color w:val="000000" w:themeColor="text1"/>
          <w:sz w:val="24"/>
          <w:szCs w:val="24"/>
        </w:rPr>
        <w:t xml:space="preserve"> County, about </w:t>
      </w:r>
      <w:r>
        <w:rPr>
          <w:rFonts w:ascii="Palatino Linotype" w:hAnsi="Palatino Linotype"/>
          <w:color w:val="000000" w:themeColor="text1"/>
          <w:sz w:val="24"/>
          <w:szCs w:val="24"/>
        </w:rPr>
        <w:t>5</w:t>
      </w:r>
      <w:r w:rsidRPr="0084087F">
        <w:rPr>
          <w:rFonts w:ascii="Palatino Linotype" w:hAnsi="Palatino Linotype"/>
          <w:color w:val="000000" w:themeColor="text1"/>
          <w:sz w:val="24"/>
          <w:szCs w:val="24"/>
        </w:rPr>
        <w:t xml:space="preserve"> miles north of </w:t>
      </w:r>
      <w:r>
        <w:rPr>
          <w:rFonts w:ascii="Palatino Linotype" w:hAnsi="Palatino Linotype"/>
          <w:color w:val="000000" w:themeColor="text1"/>
          <w:sz w:val="24"/>
          <w:szCs w:val="24"/>
        </w:rPr>
        <w:t>Quincy</w:t>
      </w:r>
      <w:r w:rsidRPr="0084087F">
        <w:rPr>
          <w:rFonts w:ascii="Palatino Linotype" w:hAnsi="Palatino Linotype"/>
          <w:color w:val="000000" w:themeColor="text1"/>
          <w:sz w:val="24"/>
          <w:szCs w:val="24"/>
        </w:rPr>
        <w:t>.</w:t>
      </w:r>
      <w:r>
        <w:rPr>
          <w:rFonts w:ascii="Palatino Linotype" w:hAnsi="Palatino Linotype"/>
          <w:color w:val="000000" w:themeColor="text1"/>
          <w:sz w:val="24"/>
          <w:szCs w:val="24"/>
        </w:rPr>
        <w:t xml:space="preserve">  </w:t>
      </w:r>
      <w:r w:rsidRPr="0084087F">
        <w:rPr>
          <w:rFonts w:ascii="Palatino Linotype" w:hAnsi="Palatino Linotype"/>
          <w:color w:val="000000" w:themeColor="text1"/>
          <w:sz w:val="24"/>
          <w:szCs w:val="24"/>
        </w:rPr>
        <w:t xml:space="preserve">Located entirely within the boundaries of the </w:t>
      </w:r>
      <w:r>
        <w:rPr>
          <w:rFonts w:ascii="Palatino Linotype" w:hAnsi="Palatino Linotype"/>
          <w:color w:val="000000" w:themeColor="text1"/>
          <w:sz w:val="24"/>
          <w:szCs w:val="24"/>
        </w:rPr>
        <w:t>Plumas</w:t>
      </w:r>
      <w:r w:rsidRPr="0084087F">
        <w:rPr>
          <w:rFonts w:ascii="Palatino Linotype" w:hAnsi="Palatino Linotype"/>
          <w:color w:val="000000" w:themeColor="text1"/>
          <w:sz w:val="24"/>
          <w:szCs w:val="24"/>
        </w:rPr>
        <w:t xml:space="preserve"> National Forest, the proposed project’s route </w:t>
      </w:r>
      <w:r>
        <w:rPr>
          <w:rFonts w:ascii="Palatino Linotype" w:hAnsi="Palatino Linotype"/>
          <w:color w:val="000000" w:themeColor="text1"/>
          <w:sz w:val="24"/>
          <w:szCs w:val="24"/>
        </w:rPr>
        <w:t>follows Highway 70 through mountainous</w:t>
      </w:r>
      <w:r w:rsidRPr="0084087F">
        <w:rPr>
          <w:rFonts w:ascii="Palatino Linotype" w:hAnsi="Palatino Linotype"/>
          <w:color w:val="000000" w:themeColor="text1"/>
          <w:sz w:val="24"/>
          <w:szCs w:val="24"/>
        </w:rPr>
        <w:t xml:space="preserve"> </w:t>
      </w:r>
      <w:r>
        <w:rPr>
          <w:rFonts w:ascii="Palatino Linotype" w:hAnsi="Palatino Linotype"/>
          <w:color w:val="000000" w:themeColor="text1"/>
          <w:sz w:val="24"/>
          <w:szCs w:val="24"/>
        </w:rPr>
        <w:t>terrain of fir and pine</w:t>
      </w:r>
      <w:r w:rsidRPr="0084087F">
        <w:rPr>
          <w:rFonts w:ascii="Palatino Linotype" w:hAnsi="Palatino Linotype"/>
          <w:color w:val="000000" w:themeColor="text1"/>
          <w:sz w:val="24"/>
          <w:szCs w:val="24"/>
        </w:rPr>
        <w:t xml:space="preserve"> forests</w:t>
      </w:r>
      <w:r>
        <w:rPr>
          <w:rFonts w:ascii="Palatino Linotype" w:hAnsi="Palatino Linotype"/>
          <w:color w:val="000000" w:themeColor="text1"/>
          <w:sz w:val="24"/>
          <w:szCs w:val="24"/>
        </w:rPr>
        <w:t>.</w:t>
      </w:r>
      <w:r w:rsidRPr="0084087F">
        <w:rPr>
          <w:rFonts w:ascii="Palatino Linotype" w:hAnsi="Palatino Linotype"/>
          <w:color w:val="000000" w:themeColor="text1"/>
          <w:sz w:val="24"/>
          <w:szCs w:val="24"/>
        </w:rPr>
        <w:t xml:space="preserve"> </w:t>
      </w:r>
      <w:r>
        <w:rPr>
          <w:rFonts w:ascii="Palatino Linotype" w:hAnsi="Palatino Linotype"/>
          <w:color w:val="000000" w:themeColor="text1"/>
          <w:sz w:val="24"/>
          <w:szCs w:val="24"/>
        </w:rPr>
        <w:t xml:space="preserve"> The project area also includes unincorporated areas of Quincy.  </w:t>
      </w:r>
    </w:p>
    <w:p w14:paraId="0F25959D" w14:textId="77777777" w:rsidR="00223AED" w:rsidRPr="0084087F" w:rsidRDefault="00223AED" w:rsidP="00223AED">
      <w:pPr>
        <w:autoSpaceDE w:val="0"/>
        <w:autoSpaceDN w:val="0"/>
        <w:adjustRightInd w:val="0"/>
        <w:jc w:val="both"/>
        <w:rPr>
          <w:rFonts w:ascii="Palatino Linotype" w:hAnsi="Palatino Linotype"/>
          <w:color w:val="000000" w:themeColor="text1"/>
          <w:sz w:val="24"/>
          <w:szCs w:val="24"/>
        </w:rPr>
      </w:pPr>
    </w:p>
    <w:p w14:paraId="28BE2659" w14:textId="77777777" w:rsidR="00734E9F" w:rsidRDefault="00223AED" w:rsidP="00223AED">
      <w:pPr>
        <w:spacing w:after="160" w:line="259" w:lineRule="auto"/>
        <w:rPr>
          <w:b/>
          <w:szCs w:val="24"/>
        </w:rPr>
        <w:sectPr w:rsidR="00734E9F" w:rsidSect="003A6443">
          <w:footerReference w:type="first" r:id="rId23"/>
          <w:type w:val="continuous"/>
          <w:pgSz w:w="12240" w:h="15840" w:code="1"/>
          <w:pgMar w:top="1440" w:right="1440" w:bottom="1440" w:left="1440" w:header="720" w:footer="475" w:gutter="0"/>
          <w:pgNumType w:start="1"/>
          <w:cols w:space="720"/>
          <w:titlePg/>
          <w:docGrid w:linePitch="272"/>
        </w:sectPr>
      </w:pPr>
      <w:r>
        <w:rPr>
          <w:b/>
          <w:szCs w:val="24"/>
        </w:rPr>
        <w:br w:type="page"/>
      </w:r>
    </w:p>
    <w:p w14:paraId="2BCDB109" w14:textId="07403D17" w:rsidR="00223AED" w:rsidRPr="00223AED" w:rsidRDefault="00223AED" w:rsidP="00223AED">
      <w:pPr>
        <w:keepNext/>
        <w:keepLines/>
        <w:jc w:val="center"/>
        <w:rPr>
          <w:rFonts w:ascii="Palatino Linotype" w:hAnsi="Palatino Linotype"/>
          <w:b/>
          <w:sz w:val="24"/>
          <w:szCs w:val="24"/>
        </w:rPr>
      </w:pPr>
      <w:r w:rsidRPr="00223AED">
        <w:rPr>
          <w:rFonts w:ascii="Palatino Linotype" w:hAnsi="Palatino Linotype"/>
          <w:b/>
          <w:sz w:val="24"/>
          <w:szCs w:val="24"/>
        </w:rPr>
        <w:lastRenderedPageBreak/>
        <w:t>APPENDIX</w:t>
      </w:r>
      <w:r w:rsidR="00CC79E9">
        <w:rPr>
          <w:rFonts w:ascii="Palatino Linotype" w:hAnsi="Palatino Linotype"/>
          <w:b/>
          <w:sz w:val="24"/>
          <w:szCs w:val="24"/>
        </w:rPr>
        <w:t xml:space="preserve"> </w:t>
      </w:r>
      <w:r w:rsidR="00E3782B">
        <w:rPr>
          <w:rFonts w:ascii="Palatino Linotype" w:hAnsi="Palatino Linotype"/>
          <w:b/>
          <w:sz w:val="24"/>
          <w:szCs w:val="24"/>
        </w:rPr>
        <w:t>D</w:t>
      </w:r>
    </w:p>
    <w:p w14:paraId="0D0D770C" w14:textId="0DD24A40" w:rsidR="00223AED" w:rsidRPr="00223AED" w:rsidRDefault="00223AED" w:rsidP="00223AED">
      <w:pPr>
        <w:keepNext/>
        <w:keepLines/>
        <w:jc w:val="center"/>
        <w:rPr>
          <w:rFonts w:ascii="Palatino Linotype" w:hAnsi="Palatino Linotype"/>
          <w:b/>
          <w:sz w:val="24"/>
          <w:szCs w:val="24"/>
        </w:rPr>
      </w:pPr>
      <w:r w:rsidRPr="00223AED">
        <w:rPr>
          <w:rFonts w:ascii="Palatino Linotype" w:hAnsi="Palatino Linotype"/>
          <w:b/>
          <w:sz w:val="24"/>
          <w:szCs w:val="24"/>
        </w:rPr>
        <w:t>Resolution T-</w:t>
      </w:r>
      <w:r w:rsidR="00CC79E9">
        <w:rPr>
          <w:rFonts w:ascii="Palatino Linotype" w:hAnsi="Palatino Linotype"/>
          <w:b/>
          <w:sz w:val="24"/>
          <w:szCs w:val="24"/>
        </w:rPr>
        <w:t>17672</w:t>
      </w:r>
      <w:r w:rsidRPr="00223AED">
        <w:rPr>
          <w:rFonts w:ascii="Palatino Linotype" w:hAnsi="Palatino Linotype"/>
          <w:b/>
          <w:sz w:val="24"/>
          <w:szCs w:val="24"/>
        </w:rPr>
        <w:t xml:space="preserve">: </w:t>
      </w:r>
      <w:r>
        <w:rPr>
          <w:rFonts w:ascii="Palatino Linotype" w:hAnsi="Palatino Linotype"/>
          <w:b/>
          <w:sz w:val="24"/>
          <w:szCs w:val="24"/>
        </w:rPr>
        <w:t>Plumas Sierra Telecommunications Keddie Project</w:t>
      </w:r>
    </w:p>
    <w:p w14:paraId="589CB37E" w14:textId="77777777" w:rsidR="00223AED" w:rsidRPr="00223AED" w:rsidRDefault="00223AED" w:rsidP="00223AED">
      <w:pPr>
        <w:keepNext/>
        <w:keepLines/>
        <w:jc w:val="center"/>
        <w:rPr>
          <w:rFonts w:ascii="Palatino Linotype" w:hAnsi="Palatino Linotype"/>
          <w:b/>
          <w:sz w:val="24"/>
          <w:szCs w:val="24"/>
        </w:rPr>
      </w:pPr>
      <w:r w:rsidRPr="00223AED">
        <w:rPr>
          <w:rFonts w:ascii="Palatino Linotype" w:hAnsi="Palatino Linotype"/>
          <w:b/>
          <w:sz w:val="24"/>
          <w:szCs w:val="24"/>
        </w:rPr>
        <w:t>Payments to CASF Recipients</w:t>
      </w:r>
    </w:p>
    <w:p w14:paraId="0E9EC217" w14:textId="77777777" w:rsidR="00223AED" w:rsidRPr="00223AED" w:rsidRDefault="00223AED" w:rsidP="00223AED">
      <w:pPr>
        <w:autoSpaceDE w:val="0"/>
        <w:autoSpaceDN w:val="0"/>
        <w:adjustRightInd w:val="0"/>
        <w:rPr>
          <w:rFonts w:ascii="Palatino Linotype" w:hAnsi="Palatino Linotype"/>
          <w:color w:val="000000"/>
          <w:sz w:val="24"/>
          <w:szCs w:val="24"/>
        </w:rPr>
      </w:pPr>
    </w:p>
    <w:p w14:paraId="7B88B39C" w14:textId="7A692CB8" w:rsidR="00223AED" w:rsidRPr="00223AED" w:rsidRDefault="00223AED" w:rsidP="003C1CC7">
      <w:pPr>
        <w:autoSpaceDE w:val="0"/>
        <w:autoSpaceDN w:val="0"/>
        <w:adjustRightInd w:val="0"/>
        <w:rPr>
          <w:rFonts w:ascii="Palatino Linotype" w:hAnsi="Palatino Linotype"/>
          <w:color w:val="000000"/>
          <w:sz w:val="24"/>
          <w:szCs w:val="24"/>
        </w:rPr>
      </w:pPr>
      <w:r w:rsidRPr="00223AED">
        <w:rPr>
          <w:rFonts w:ascii="Palatino Linotype" w:hAnsi="Palatino Linotype"/>
          <w:color w:val="000000"/>
          <w:sz w:val="24"/>
          <w:szCs w:val="24"/>
        </w:rPr>
        <w:t xml:space="preserve">Pub. Util. Code </w:t>
      </w:r>
      <w:r w:rsidR="00D00AC4" w:rsidRPr="006219D0">
        <w:rPr>
          <w:rFonts w:ascii="Palatino Linotype" w:hAnsi="Palatino Linotype"/>
        </w:rPr>
        <w:t>§</w:t>
      </w:r>
      <w:r w:rsidRPr="00223AED">
        <w:rPr>
          <w:rFonts w:ascii="Palatino Linotype" w:hAnsi="Palatino Linotype"/>
          <w:color w:val="000000"/>
          <w:sz w:val="24"/>
          <w:szCs w:val="24"/>
        </w:rPr>
        <w:t xml:space="preserve"> 281(f)(11) define</w:t>
      </w:r>
      <w:r w:rsidR="00C470A6">
        <w:rPr>
          <w:rFonts w:ascii="Palatino Linotype" w:hAnsi="Palatino Linotype"/>
          <w:color w:val="000000"/>
          <w:sz w:val="24"/>
          <w:szCs w:val="24"/>
        </w:rPr>
        <w:t>s</w:t>
      </w:r>
      <w:r w:rsidRPr="00223AED">
        <w:rPr>
          <w:rFonts w:ascii="Palatino Linotype" w:hAnsi="Palatino Linotype"/>
          <w:color w:val="000000"/>
          <w:sz w:val="24"/>
          <w:szCs w:val="24"/>
        </w:rPr>
        <w:t xml:space="preserve"> the costs the Commission may reimburse as follows:</w:t>
      </w:r>
    </w:p>
    <w:p w14:paraId="465F5DE9" w14:textId="77777777" w:rsidR="00223AED" w:rsidRPr="00223AED" w:rsidRDefault="00223AED" w:rsidP="003C1CC7">
      <w:pPr>
        <w:pStyle w:val="ListParagraph"/>
        <w:numPr>
          <w:ilvl w:val="0"/>
          <w:numId w:val="12"/>
        </w:numPr>
        <w:autoSpaceDE w:val="0"/>
        <w:autoSpaceDN w:val="0"/>
        <w:adjustRightInd w:val="0"/>
        <w:ind w:left="720"/>
        <w:rPr>
          <w:rFonts w:ascii="Palatino Linotype" w:hAnsi="Palatino Linotype"/>
          <w:color w:val="000000"/>
          <w:sz w:val="24"/>
          <w:szCs w:val="24"/>
        </w:rPr>
      </w:pPr>
      <w:r w:rsidRPr="00223AED">
        <w:rPr>
          <w:rFonts w:ascii="Palatino Linotype" w:hAnsi="Palatino Linotype"/>
          <w:color w:val="000000"/>
          <w:sz w:val="24"/>
          <w:szCs w:val="24"/>
        </w:rPr>
        <w:t>Costs directly related to the deployment of infrastructure;</w:t>
      </w:r>
    </w:p>
    <w:p w14:paraId="53A27F65" w14:textId="77777777" w:rsidR="00223AED" w:rsidRPr="00223AED" w:rsidRDefault="00223AED" w:rsidP="003C1CC7">
      <w:pPr>
        <w:pStyle w:val="ListParagraph"/>
        <w:numPr>
          <w:ilvl w:val="0"/>
          <w:numId w:val="12"/>
        </w:numPr>
        <w:autoSpaceDE w:val="0"/>
        <w:autoSpaceDN w:val="0"/>
        <w:adjustRightInd w:val="0"/>
        <w:ind w:left="720"/>
        <w:rPr>
          <w:rFonts w:ascii="Palatino Linotype" w:hAnsi="Palatino Linotype"/>
          <w:color w:val="000000"/>
          <w:sz w:val="24"/>
          <w:szCs w:val="24"/>
        </w:rPr>
      </w:pPr>
      <w:r w:rsidRPr="00223AED">
        <w:rPr>
          <w:rFonts w:ascii="Palatino Linotype" w:hAnsi="Palatino Linotype"/>
          <w:color w:val="000000"/>
          <w:sz w:val="24"/>
          <w:szCs w:val="24"/>
        </w:rPr>
        <w:t>Costs to lease access to property or for Internet backhaul services for a period not to exceed five years; and</w:t>
      </w:r>
    </w:p>
    <w:p w14:paraId="1BFE3809" w14:textId="77777777" w:rsidR="00223AED" w:rsidRPr="00223AED" w:rsidRDefault="00223AED" w:rsidP="003C1CC7">
      <w:pPr>
        <w:pStyle w:val="ListParagraph"/>
        <w:numPr>
          <w:ilvl w:val="0"/>
          <w:numId w:val="12"/>
        </w:numPr>
        <w:autoSpaceDE w:val="0"/>
        <w:autoSpaceDN w:val="0"/>
        <w:adjustRightInd w:val="0"/>
        <w:ind w:left="720"/>
        <w:rPr>
          <w:rFonts w:ascii="Palatino Linotype" w:hAnsi="Palatino Linotype"/>
          <w:color w:val="000000"/>
          <w:sz w:val="24"/>
          <w:szCs w:val="24"/>
        </w:rPr>
      </w:pPr>
      <w:r w:rsidRPr="00223AED">
        <w:rPr>
          <w:rFonts w:ascii="Palatino Linotype" w:hAnsi="Palatino Linotype"/>
          <w:color w:val="000000"/>
          <w:sz w:val="24"/>
          <w:szCs w:val="24"/>
        </w:rPr>
        <w:t>Costs incurred by an existing facility-based broadband provider to upgrade its existing facilities to provide for interconnection.</w:t>
      </w:r>
    </w:p>
    <w:p w14:paraId="02B86BCB" w14:textId="77777777" w:rsidR="00223AED" w:rsidRPr="00223AED" w:rsidRDefault="00223AED" w:rsidP="003C1CC7">
      <w:pPr>
        <w:autoSpaceDE w:val="0"/>
        <w:autoSpaceDN w:val="0"/>
        <w:adjustRightInd w:val="0"/>
        <w:rPr>
          <w:rFonts w:ascii="Palatino Linotype" w:hAnsi="Palatino Linotype"/>
          <w:color w:val="000000"/>
          <w:sz w:val="24"/>
          <w:szCs w:val="24"/>
        </w:rPr>
      </w:pPr>
    </w:p>
    <w:p w14:paraId="780BF8E6" w14:textId="77777777" w:rsidR="00223AED" w:rsidRPr="00223AED" w:rsidRDefault="00223AED" w:rsidP="003C1CC7">
      <w:pPr>
        <w:autoSpaceDE w:val="0"/>
        <w:autoSpaceDN w:val="0"/>
        <w:adjustRightInd w:val="0"/>
        <w:rPr>
          <w:rFonts w:ascii="Palatino Linotype" w:hAnsi="Palatino Linotype"/>
          <w:color w:val="000000"/>
          <w:sz w:val="24"/>
          <w:szCs w:val="24"/>
        </w:rPr>
      </w:pPr>
      <w:r w:rsidRPr="00223AED">
        <w:rPr>
          <w:rFonts w:ascii="Palatino Linotype" w:hAnsi="Palatino Linotype"/>
          <w:color w:val="000000"/>
          <w:sz w:val="24"/>
          <w:szCs w:val="24"/>
        </w:rPr>
        <w:t>Additionally, D. 18-12-018 (Appendix 1, Section 7) caps administrative expenses directly related to the project at 15 percent of the grant amount.</w:t>
      </w:r>
      <w:r w:rsidRPr="00223AED">
        <w:rPr>
          <w:rStyle w:val="FootnoteReference"/>
          <w:rFonts w:ascii="Palatino Linotype" w:hAnsi="Palatino Linotype"/>
          <w:color w:val="000000"/>
          <w:sz w:val="24"/>
          <w:szCs w:val="24"/>
        </w:rPr>
        <w:footnoteReference w:id="11"/>
      </w:r>
      <w:r w:rsidRPr="00223AED">
        <w:rPr>
          <w:rFonts w:ascii="Palatino Linotype" w:hAnsi="Palatino Linotype"/>
          <w:color w:val="000000"/>
          <w:sz w:val="24"/>
          <w:szCs w:val="24"/>
        </w:rPr>
        <w:t xml:space="preserve">  </w:t>
      </w:r>
    </w:p>
    <w:p w14:paraId="7E588B8F" w14:textId="77777777" w:rsidR="00223AED" w:rsidRPr="00223AED" w:rsidRDefault="00223AED" w:rsidP="003C1CC7">
      <w:pPr>
        <w:autoSpaceDE w:val="0"/>
        <w:autoSpaceDN w:val="0"/>
        <w:adjustRightInd w:val="0"/>
        <w:rPr>
          <w:rFonts w:ascii="Palatino Linotype" w:hAnsi="Palatino Linotype"/>
          <w:color w:val="000000"/>
          <w:sz w:val="24"/>
          <w:szCs w:val="24"/>
        </w:rPr>
      </w:pPr>
    </w:p>
    <w:p w14:paraId="25EEF565" w14:textId="77777777" w:rsidR="00223AED" w:rsidRPr="00223AED" w:rsidRDefault="00223AED" w:rsidP="003C1CC7">
      <w:pPr>
        <w:autoSpaceDE w:val="0"/>
        <w:autoSpaceDN w:val="0"/>
        <w:adjustRightInd w:val="0"/>
        <w:rPr>
          <w:rFonts w:ascii="Palatino Linotype" w:hAnsi="Palatino Linotype"/>
          <w:color w:val="000000"/>
          <w:sz w:val="24"/>
          <w:szCs w:val="24"/>
        </w:rPr>
      </w:pPr>
      <w:r w:rsidRPr="00223AED">
        <w:rPr>
          <w:rFonts w:ascii="Palatino Linotype" w:hAnsi="Palatino Linotype"/>
          <w:color w:val="000000"/>
          <w:sz w:val="24"/>
          <w:szCs w:val="24"/>
        </w:rPr>
        <w:t>The grantee may submit reimbursement requests at the following intervals:</w:t>
      </w:r>
    </w:p>
    <w:p w14:paraId="5B48F4B0" w14:textId="77777777" w:rsidR="00223AED" w:rsidRPr="00223AED" w:rsidRDefault="00223AED" w:rsidP="003C1CC7">
      <w:pPr>
        <w:pStyle w:val="ListParagraph"/>
        <w:numPr>
          <w:ilvl w:val="0"/>
          <w:numId w:val="15"/>
        </w:numPr>
        <w:autoSpaceDE w:val="0"/>
        <w:autoSpaceDN w:val="0"/>
        <w:adjustRightInd w:val="0"/>
        <w:ind w:left="720"/>
        <w:rPr>
          <w:rFonts w:ascii="Palatino Linotype" w:hAnsi="Palatino Linotype"/>
          <w:color w:val="000000"/>
          <w:sz w:val="24"/>
          <w:szCs w:val="24"/>
        </w:rPr>
      </w:pPr>
      <w:r w:rsidRPr="00223AED">
        <w:rPr>
          <w:rFonts w:ascii="Palatino Linotype" w:hAnsi="Palatino Linotype"/>
          <w:color w:val="000000"/>
          <w:sz w:val="24"/>
          <w:szCs w:val="24"/>
        </w:rPr>
        <w:t>10 percent completion;</w:t>
      </w:r>
    </w:p>
    <w:p w14:paraId="18DFEB57" w14:textId="77777777" w:rsidR="00223AED" w:rsidRPr="00223AED" w:rsidRDefault="00223AED" w:rsidP="003C1CC7">
      <w:pPr>
        <w:pStyle w:val="ListParagraph"/>
        <w:numPr>
          <w:ilvl w:val="0"/>
          <w:numId w:val="15"/>
        </w:numPr>
        <w:autoSpaceDE w:val="0"/>
        <w:autoSpaceDN w:val="0"/>
        <w:adjustRightInd w:val="0"/>
        <w:ind w:left="720"/>
        <w:rPr>
          <w:rFonts w:ascii="Palatino Linotype" w:hAnsi="Palatino Linotype"/>
          <w:color w:val="000000"/>
          <w:sz w:val="24"/>
          <w:szCs w:val="24"/>
        </w:rPr>
      </w:pPr>
      <w:r w:rsidRPr="00223AED">
        <w:rPr>
          <w:rFonts w:ascii="Palatino Linotype" w:hAnsi="Palatino Linotype"/>
          <w:color w:val="000000"/>
          <w:sz w:val="24"/>
          <w:szCs w:val="24"/>
        </w:rPr>
        <w:t xml:space="preserve">35 percent completion; </w:t>
      </w:r>
    </w:p>
    <w:p w14:paraId="6154358E" w14:textId="77777777" w:rsidR="00223AED" w:rsidRPr="00223AED" w:rsidRDefault="00223AED" w:rsidP="003C1CC7">
      <w:pPr>
        <w:pStyle w:val="ListParagraph"/>
        <w:numPr>
          <w:ilvl w:val="0"/>
          <w:numId w:val="15"/>
        </w:numPr>
        <w:autoSpaceDE w:val="0"/>
        <w:autoSpaceDN w:val="0"/>
        <w:adjustRightInd w:val="0"/>
        <w:ind w:left="720"/>
        <w:rPr>
          <w:rFonts w:ascii="Palatino Linotype" w:hAnsi="Palatino Linotype"/>
          <w:color w:val="000000"/>
          <w:sz w:val="24"/>
          <w:szCs w:val="24"/>
        </w:rPr>
      </w:pPr>
      <w:r w:rsidRPr="00223AED">
        <w:rPr>
          <w:rFonts w:ascii="Palatino Linotype" w:hAnsi="Palatino Linotype"/>
          <w:color w:val="000000"/>
          <w:sz w:val="24"/>
          <w:szCs w:val="24"/>
        </w:rPr>
        <w:t xml:space="preserve">60 percent completion; </w:t>
      </w:r>
    </w:p>
    <w:p w14:paraId="76977754" w14:textId="77777777" w:rsidR="00223AED" w:rsidRPr="00223AED" w:rsidRDefault="00223AED" w:rsidP="003C1CC7">
      <w:pPr>
        <w:pStyle w:val="ListParagraph"/>
        <w:numPr>
          <w:ilvl w:val="0"/>
          <w:numId w:val="15"/>
        </w:numPr>
        <w:autoSpaceDE w:val="0"/>
        <w:autoSpaceDN w:val="0"/>
        <w:adjustRightInd w:val="0"/>
        <w:ind w:left="720"/>
        <w:rPr>
          <w:rFonts w:ascii="Palatino Linotype" w:hAnsi="Palatino Linotype"/>
          <w:color w:val="000000"/>
          <w:sz w:val="24"/>
          <w:szCs w:val="24"/>
        </w:rPr>
      </w:pPr>
      <w:r w:rsidRPr="00223AED">
        <w:rPr>
          <w:rFonts w:ascii="Palatino Linotype" w:hAnsi="Palatino Linotype"/>
          <w:color w:val="000000"/>
          <w:sz w:val="24"/>
          <w:szCs w:val="24"/>
        </w:rPr>
        <w:t xml:space="preserve">85 percent completion; and </w:t>
      </w:r>
    </w:p>
    <w:p w14:paraId="2BC9BD30" w14:textId="77777777" w:rsidR="00223AED" w:rsidRPr="00223AED" w:rsidRDefault="00223AED" w:rsidP="003C1CC7">
      <w:pPr>
        <w:pStyle w:val="ListParagraph"/>
        <w:numPr>
          <w:ilvl w:val="0"/>
          <w:numId w:val="15"/>
        </w:numPr>
        <w:autoSpaceDE w:val="0"/>
        <w:autoSpaceDN w:val="0"/>
        <w:adjustRightInd w:val="0"/>
        <w:ind w:left="720"/>
        <w:rPr>
          <w:rFonts w:ascii="Palatino Linotype" w:hAnsi="Palatino Linotype"/>
          <w:color w:val="000000"/>
          <w:sz w:val="24"/>
          <w:szCs w:val="24"/>
        </w:rPr>
      </w:pPr>
      <w:r w:rsidRPr="00223AED">
        <w:rPr>
          <w:rFonts w:ascii="Palatino Linotype" w:hAnsi="Palatino Linotype"/>
          <w:color w:val="000000"/>
          <w:sz w:val="24"/>
          <w:szCs w:val="24"/>
        </w:rPr>
        <w:t xml:space="preserve">100 percent completion. </w:t>
      </w:r>
    </w:p>
    <w:p w14:paraId="756BB506" w14:textId="77777777" w:rsidR="00223AED" w:rsidRPr="00223AED" w:rsidRDefault="00223AED" w:rsidP="003C1CC7">
      <w:pPr>
        <w:autoSpaceDE w:val="0"/>
        <w:autoSpaceDN w:val="0"/>
        <w:adjustRightInd w:val="0"/>
        <w:rPr>
          <w:rFonts w:ascii="Palatino Linotype" w:hAnsi="Palatino Linotype"/>
          <w:color w:val="000000"/>
          <w:sz w:val="24"/>
          <w:szCs w:val="24"/>
        </w:rPr>
      </w:pPr>
    </w:p>
    <w:p w14:paraId="400C982C" w14:textId="77777777" w:rsidR="00223AED" w:rsidRPr="00223AED" w:rsidRDefault="00223AED" w:rsidP="003C1CC7">
      <w:pPr>
        <w:autoSpaceDE w:val="0"/>
        <w:autoSpaceDN w:val="0"/>
        <w:adjustRightInd w:val="0"/>
        <w:rPr>
          <w:rFonts w:ascii="Palatino Linotype" w:hAnsi="Palatino Linotype"/>
          <w:color w:val="000000"/>
          <w:sz w:val="24"/>
          <w:szCs w:val="24"/>
        </w:rPr>
      </w:pPr>
      <w:r w:rsidRPr="00223AED">
        <w:rPr>
          <w:rFonts w:ascii="Palatino Linotype" w:hAnsi="Palatino Linotype"/>
          <w:color w:val="000000"/>
          <w:sz w:val="24"/>
          <w:szCs w:val="24"/>
        </w:rPr>
        <w:t>The final 15 percent payment request (from 85 to 100 percent) will not be paid without an approved completion report. Payments are based on submitted receipts, invoices and other supporting documentation showing expenditures incurred for the project in accordance with the approved CASF funding budget included in the CASF grantee’s application.</w:t>
      </w:r>
    </w:p>
    <w:p w14:paraId="3E36A687" w14:textId="77777777" w:rsidR="00223AED" w:rsidRPr="00223AED" w:rsidRDefault="00223AED" w:rsidP="003C1CC7">
      <w:pPr>
        <w:autoSpaceDE w:val="0"/>
        <w:autoSpaceDN w:val="0"/>
        <w:adjustRightInd w:val="0"/>
        <w:rPr>
          <w:rFonts w:ascii="Palatino Linotype" w:hAnsi="Palatino Linotype"/>
          <w:color w:val="000000"/>
          <w:sz w:val="24"/>
          <w:szCs w:val="24"/>
        </w:rPr>
      </w:pPr>
    </w:p>
    <w:p w14:paraId="519F5B04" w14:textId="139930EA" w:rsidR="00223AED" w:rsidRPr="00223AED" w:rsidRDefault="00223AED" w:rsidP="00D00AC4">
      <w:pPr>
        <w:pStyle w:val="BodyText"/>
        <w:tabs>
          <w:tab w:val="left" w:pos="1170"/>
        </w:tabs>
        <w:rPr>
          <w:rFonts w:ascii="Palatino Linotype" w:hAnsi="Palatino Linotype"/>
          <w:szCs w:val="24"/>
        </w:rPr>
      </w:pPr>
      <w:r w:rsidRPr="00223AED">
        <w:rPr>
          <w:rFonts w:ascii="Palatino Linotype" w:hAnsi="Palatino Linotype"/>
          <w:color w:val="000000"/>
          <w:szCs w:val="24"/>
        </w:rPr>
        <w:t>Payment to grantees shall follow the process adopted for funds created under P.U. Code §</w:t>
      </w:r>
      <w:r w:rsidR="00D00AC4">
        <w:rPr>
          <w:rFonts w:ascii="Palatino Linotype" w:hAnsi="Palatino Linotype"/>
          <w:color w:val="000000"/>
          <w:szCs w:val="24"/>
        </w:rPr>
        <w:t xml:space="preserve"> </w:t>
      </w:r>
      <w:r w:rsidRPr="00223AED">
        <w:rPr>
          <w:rFonts w:ascii="Palatino Linotype" w:hAnsi="Palatino Linotype"/>
          <w:color w:val="000000"/>
          <w:szCs w:val="24"/>
        </w:rPr>
        <w:t>270.  The Commission generally processes payments within 20-25 business days, including Communications Division and Administrative Services review time.</w:t>
      </w:r>
      <w:r w:rsidRPr="00223AED">
        <w:rPr>
          <w:rFonts w:ascii="Palatino Linotype" w:hAnsi="Palatino Linotype"/>
          <w:szCs w:val="24"/>
        </w:rPr>
        <w:t xml:space="preserve">  The State Controller’s Office (SCO) requires an additional 14- 21 days to issue payment from the day that requests are received by SCO from </w:t>
      </w:r>
      <w:r w:rsidRPr="00223AED">
        <w:rPr>
          <w:rFonts w:ascii="Palatino Linotype" w:hAnsi="Palatino Linotype"/>
          <w:color w:val="000000"/>
          <w:szCs w:val="24"/>
        </w:rPr>
        <w:t>Administrative Services</w:t>
      </w:r>
      <w:r w:rsidRPr="00223AED">
        <w:rPr>
          <w:rFonts w:ascii="Palatino Linotype" w:hAnsi="Palatino Linotype"/>
          <w:szCs w:val="24"/>
        </w:rPr>
        <w:t>.</w:t>
      </w:r>
    </w:p>
    <w:sectPr w:rsidR="00223AED" w:rsidRPr="00223AED" w:rsidSect="003A6443">
      <w:footerReference w:type="first" r:id="rId24"/>
      <w:type w:val="continuous"/>
      <w:pgSz w:w="12240" w:h="15840" w:code="1"/>
      <w:pgMar w:top="1440" w:right="1440" w:bottom="1440" w:left="1440" w:header="720" w:footer="475"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2B833" w14:textId="77777777" w:rsidR="00375D11" w:rsidRDefault="00375D11">
      <w:r>
        <w:separator/>
      </w:r>
    </w:p>
  </w:endnote>
  <w:endnote w:type="continuationSeparator" w:id="0">
    <w:p w14:paraId="2161939B" w14:textId="77777777" w:rsidR="00375D11" w:rsidRDefault="0037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Antiqua">
    <w:altName w:val="Book Antiqua"/>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725AC" w14:textId="77777777" w:rsidR="00E37D90" w:rsidRDefault="00E37D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41523" w14:textId="2FFC8BC9" w:rsidR="00914038" w:rsidRDefault="00914038" w:rsidP="00592763">
    <w:pPr>
      <w:pStyle w:val="Footer"/>
      <w:jc w:val="center"/>
    </w:pPr>
    <w:r>
      <w:fldChar w:fldCharType="begin"/>
    </w:r>
    <w:r>
      <w:instrText xml:space="preserve"> PAGE   \* MERGEFORMAT </w:instrText>
    </w:r>
    <w:r>
      <w:fldChar w:fldCharType="separate"/>
    </w:r>
    <w:r w:rsidR="00636BA0">
      <w:rPr>
        <w:noProof/>
      </w:rPr>
      <w:t>15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D944" w14:textId="230C31BF" w:rsidR="00D00AC4" w:rsidRPr="00D00AC4" w:rsidRDefault="00B06E8F">
    <w:pPr>
      <w:pStyle w:val="Footer"/>
      <w:rPr>
        <w:rFonts w:ascii="Palatino Linotype" w:hAnsi="Palatino Linotype"/>
        <w:sz w:val="22"/>
        <w:szCs w:val="22"/>
      </w:rPr>
    </w:pPr>
    <w:r>
      <w:rPr>
        <w:rFonts w:ascii="Palatino Linotype" w:hAnsi="Palatino Linotype"/>
        <w:sz w:val="22"/>
        <w:szCs w:val="22"/>
      </w:rPr>
      <w:t>319052107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9C1B8" w14:textId="77777777" w:rsidR="00914038" w:rsidRPr="00F34BDA" w:rsidRDefault="00914038" w:rsidP="00E55215">
    <w:pPr>
      <w:pStyle w:val="Footer"/>
      <w:jc w:val="center"/>
      <w:rPr>
        <w:sz w:val="22"/>
        <w:szCs w:val="22"/>
      </w:rPr>
    </w:pPr>
    <w:r w:rsidRPr="00F34BDA">
      <w:rPr>
        <w:sz w:val="22"/>
        <w:szCs w:val="22"/>
      </w:rPr>
      <w:t>Appendix A-1</w:t>
    </w:r>
  </w:p>
  <w:p w14:paraId="6C699478" w14:textId="77777777" w:rsidR="00914038" w:rsidRPr="00F34BDA" w:rsidRDefault="00914038" w:rsidP="00E55215">
    <w:pPr>
      <w:pStyle w:val="Footer"/>
      <w:jc w:val="center"/>
      <w:rPr>
        <w:sz w:val="22"/>
        <w:szCs w:val="22"/>
      </w:rPr>
    </w:pPr>
    <w:r w:rsidRPr="00F34BDA">
      <w:rPr>
        <w:sz w:val="22"/>
        <w:szCs w:val="22"/>
      </w:rPr>
      <w:t>(End)</w:t>
    </w:r>
  </w:p>
  <w:p w14:paraId="2971BDB3" w14:textId="77777777" w:rsidR="00914038" w:rsidRDefault="0091403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1C1C0" w14:textId="03528309" w:rsidR="00914038" w:rsidRPr="00F34BDA" w:rsidRDefault="00914038" w:rsidP="00E55215">
    <w:pPr>
      <w:pStyle w:val="Footer"/>
      <w:jc w:val="center"/>
      <w:rPr>
        <w:sz w:val="22"/>
        <w:szCs w:val="22"/>
      </w:rPr>
    </w:pPr>
    <w:r w:rsidRPr="00F34BDA">
      <w:rPr>
        <w:sz w:val="22"/>
        <w:szCs w:val="22"/>
      </w:rPr>
      <w:t xml:space="preserve">Appendix </w:t>
    </w:r>
    <w:r>
      <w:rPr>
        <w:sz w:val="22"/>
        <w:szCs w:val="22"/>
      </w:rPr>
      <w:t>B</w:t>
    </w:r>
    <w:r w:rsidRPr="00F34BDA">
      <w:rPr>
        <w:sz w:val="22"/>
        <w:szCs w:val="22"/>
      </w:rPr>
      <w:t>-1</w:t>
    </w:r>
  </w:p>
  <w:p w14:paraId="31D2B373" w14:textId="77777777" w:rsidR="00914038" w:rsidRPr="00F34BDA" w:rsidRDefault="00914038" w:rsidP="00E55215">
    <w:pPr>
      <w:pStyle w:val="Footer"/>
      <w:jc w:val="center"/>
      <w:rPr>
        <w:sz w:val="22"/>
        <w:szCs w:val="22"/>
      </w:rPr>
    </w:pPr>
    <w:r w:rsidRPr="00F34BDA">
      <w:rPr>
        <w:sz w:val="22"/>
        <w:szCs w:val="22"/>
      </w:rPr>
      <w:t>(End)</w:t>
    </w:r>
  </w:p>
  <w:p w14:paraId="7B3B0E4D" w14:textId="77777777" w:rsidR="00914038" w:rsidRDefault="0091403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CF8EE" w14:textId="5F748003" w:rsidR="00914038" w:rsidRPr="00F34BDA" w:rsidRDefault="00914038" w:rsidP="00E55215">
    <w:pPr>
      <w:pStyle w:val="Footer"/>
      <w:jc w:val="center"/>
      <w:rPr>
        <w:sz w:val="22"/>
        <w:szCs w:val="22"/>
      </w:rPr>
    </w:pPr>
    <w:r w:rsidRPr="00F34BDA">
      <w:rPr>
        <w:sz w:val="22"/>
        <w:szCs w:val="22"/>
      </w:rPr>
      <w:t xml:space="preserve">Appendix </w:t>
    </w:r>
    <w:r>
      <w:rPr>
        <w:sz w:val="22"/>
        <w:szCs w:val="22"/>
      </w:rPr>
      <w:t>C</w:t>
    </w:r>
    <w:r w:rsidRPr="00F34BDA">
      <w:rPr>
        <w:sz w:val="22"/>
        <w:szCs w:val="22"/>
      </w:rPr>
      <w:t>-1</w:t>
    </w:r>
  </w:p>
  <w:p w14:paraId="58C68A80" w14:textId="77777777" w:rsidR="00914038" w:rsidRPr="00F34BDA" w:rsidRDefault="00914038" w:rsidP="00E55215">
    <w:pPr>
      <w:pStyle w:val="Footer"/>
      <w:jc w:val="center"/>
      <w:rPr>
        <w:sz w:val="22"/>
        <w:szCs w:val="22"/>
      </w:rPr>
    </w:pPr>
    <w:r w:rsidRPr="00F34BDA">
      <w:rPr>
        <w:sz w:val="22"/>
        <w:szCs w:val="22"/>
      </w:rPr>
      <w:t>(End)</w:t>
    </w:r>
  </w:p>
  <w:p w14:paraId="53BC285A" w14:textId="77777777" w:rsidR="00914038" w:rsidRDefault="0091403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49C97" w14:textId="4F8A99C2" w:rsidR="00914038" w:rsidRPr="00F34BDA" w:rsidRDefault="00914038" w:rsidP="00E55215">
    <w:pPr>
      <w:pStyle w:val="Footer"/>
      <w:jc w:val="center"/>
      <w:rPr>
        <w:sz w:val="22"/>
        <w:szCs w:val="22"/>
      </w:rPr>
    </w:pPr>
    <w:r w:rsidRPr="00F34BDA">
      <w:rPr>
        <w:sz w:val="22"/>
        <w:szCs w:val="22"/>
      </w:rPr>
      <w:t xml:space="preserve">Appendix </w:t>
    </w:r>
    <w:r>
      <w:rPr>
        <w:sz w:val="22"/>
        <w:szCs w:val="22"/>
      </w:rPr>
      <w:t>D</w:t>
    </w:r>
    <w:r w:rsidRPr="00F34BDA">
      <w:rPr>
        <w:sz w:val="22"/>
        <w:szCs w:val="22"/>
      </w:rPr>
      <w:t>-1</w:t>
    </w:r>
  </w:p>
  <w:p w14:paraId="1A281384" w14:textId="77777777" w:rsidR="00914038" w:rsidRPr="00F34BDA" w:rsidRDefault="00914038" w:rsidP="00E55215">
    <w:pPr>
      <w:pStyle w:val="Footer"/>
      <w:jc w:val="center"/>
      <w:rPr>
        <w:sz w:val="22"/>
        <w:szCs w:val="22"/>
      </w:rPr>
    </w:pPr>
    <w:r w:rsidRPr="00F34BDA">
      <w:rPr>
        <w:sz w:val="22"/>
        <w:szCs w:val="22"/>
      </w:rPr>
      <w:t>(End)</w:t>
    </w:r>
  </w:p>
  <w:p w14:paraId="0E816D72" w14:textId="77777777" w:rsidR="00914038" w:rsidRDefault="00914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D978B" w14:textId="77777777" w:rsidR="00375D11" w:rsidRDefault="00375D11">
      <w:r>
        <w:separator/>
      </w:r>
    </w:p>
  </w:footnote>
  <w:footnote w:type="continuationSeparator" w:id="0">
    <w:p w14:paraId="508A79DB" w14:textId="77777777" w:rsidR="00375D11" w:rsidRDefault="00375D11">
      <w:r>
        <w:continuationSeparator/>
      </w:r>
    </w:p>
  </w:footnote>
  <w:footnote w:id="1">
    <w:p w14:paraId="64F672E4" w14:textId="4530D165" w:rsidR="00914038" w:rsidRPr="00106F6B" w:rsidRDefault="00914038" w:rsidP="00D15FF3">
      <w:pPr>
        <w:pStyle w:val="FootnoteText"/>
        <w:rPr>
          <w:rFonts w:ascii="Palatino Linotype" w:hAnsi="Palatino Linotype"/>
        </w:rPr>
      </w:pPr>
      <w:r>
        <w:rPr>
          <w:rStyle w:val="FootnoteReference"/>
        </w:rPr>
        <w:footnoteRef/>
      </w:r>
      <w:r>
        <w:t xml:space="preserve">  </w:t>
      </w:r>
      <w:r w:rsidRPr="00106F6B">
        <w:rPr>
          <w:rFonts w:ascii="Palatino Linotype" w:hAnsi="Palatino Linotype" w:cs="BookAntiqua"/>
        </w:rPr>
        <w:t xml:space="preserve">AB 1665 is codified at Public Utilities (Pub. Util.) </w:t>
      </w:r>
      <w:r w:rsidRPr="00D00AC4">
        <w:rPr>
          <w:rFonts w:ascii="Palatino Linotype" w:hAnsi="Palatino Linotype" w:cs="BookAntiqua"/>
        </w:rPr>
        <w:t xml:space="preserve">Code </w:t>
      </w:r>
      <w:r w:rsidR="00D00AC4" w:rsidRPr="00D00AC4">
        <w:rPr>
          <w:rFonts w:ascii="Palatino Linotype" w:hAnsi="Palatino Linotype"/>
        </w:rPr>
        <w:t>§</w:t>
      </w:r>
      <w:r w:rsidRPr="00106F6B">
        <w:rPr>
          <w:rFonts w:ascii="Palatino Linotype" w:hAnsi="Palatino Linotype" w:cs="BookAntiqua"/>
        </w:rPr>
        <w:t xml:space="preserve"> 281.</w:t>
      </w:r>
    </w:p>
  </w:footnote>
  <w:footnote w:id="2">
    <w:p w14:paraId="7589A24D" w14:textId="77777777" w:rsidR="00914038" w:rsidRDefault="00914038" w:rsidP="00C470A6">
      <w:pPr>
        <w:pStyle w:val="FootnoteText"/>
      </w:pPr>
      <w:r>
        <w:rPr>
          <w:rStyle w:val="FootnoteReference"/>
        </w:rPr>
        <w:footnoteRef/>
      </w:r>
      <w:r>
        <w:t xml:space="preserve"> T</w:t>
      </w:r>
      <w:r w:rsidRPr="00352E7F">
        <w:rPr>
          <w:rFonts w:ascii="Palatino Linotype" w:hAnsi="Palatino Linotype"/>
          <w:szCs w:val="24"/>
        </w:rPr>
        <w:t>he Commission extended the CASF Infrastructure application deadline from April 1 to May 1, 2019, and all subsequent deadlines are moved back by one month</w:t>
      </w:r>
      <w:r>
        <w:rPr>
          <w:rFonts w:ascii="Palatino Linotype" w:hAnsi="Palatino Linotype"/>
          <w:szCs w:val="24"/>
        </w:rPr>
        <w:t xml:space="preserve">.  </w:t>
      </w:r>
      <w:r w:rsidRPr="00106F6B">
        <w:rPr>
          <w:rFonts w:ascii="Palatino Linotype" w:hAnsi="Palatino Linotype"/>
        </w:rPr>
        <w:t>Assigned Commissioner’s Ruling R.12-10-012</w:t>
      </w:r>
      <w:r>
        <w:rPr>
          <w:rFonts w:ascii="Palatino Linotype" w:hAnsi="Palatino Linotype"/>
        </w:rPr>
        <w:t xml:space="preserve">, March </w:t>
      </w:r>
      <w:r>
        <w:t>14, 2019.</w:t>
      </w:r>
    </w:p>
  </w:footnote>
  <w:footnote w:id="3">
    <w:p w14:paraId="08EECCBB" w14:textId="442FE856" w:rsidR="00914038" w:rsidRPr="00223AED" w:rsidRDefault="00914038">
      <w:pPr>
        <w:pStyle w:val="FootnoteText"/>
        <w:rPr>
          <w:rFonts w:ascii="Palatino Linotype" w:hAnsi="Palatino Linotype"/>
        </w:rPr>
      </w:pPr>
      <w:r w:rsidRPr="00223AED">
        <w:rPr>
          <w:rStyle w:val="FootnoteReference"/>
          <w:rFonts w:ascii="Palatino Linotype" w:hAnsi="Palatino Linotype"/>
        </w:rPr>
        <w:footnoteRef/>
      </w:r>
      <w:r w:rsidRPr="00223AED">
        <w:rPr>
          <w:rFonts w:ascii="Palatino Linotype" w:hAnsi="Palatino Linotype"/>
        </w:rPr>
        <w:t xml:space="preserve"> https://www.cpuc.ca.gov/General.aspx?id=1040</w:t>
      </w:r>
    </w:p>
  </w:footnote>
  <w:footnote w:id="4">
    <w:p w14:paraId="24C13CFA" w14:textId="77777777" w:rsidR="00914038" w:rsidRDefault="00914038" w:rsidP="00C470A6">
      <w:pPr>
        <w:pStyle w:val="FootnoteText"/>
      </w:pPr>
      <w:r w:rsidRPr="00223AED">
        <w:rPr>
          <w:rStyle w:val="FootnoteReference"/>
          <w:rFonts w:ascii="Palatino Linotype" w:hAnsi="Palatino Linotype"/>
        </w:rPr>
        <w:footnoteRef/>
      </w:r>
      <w:r w:rsidRPr="00223AED">
        <w:rPr>
          <w:rFonts w:ascii="Palatino Linotype" w:hAnsi="Palatino Linotype"/>
        </w:rPr>
        <w:t xml:space="preserve"> https://www.cpuc.ca.gov/General.aspx?id=8246</w:t>
      </w:r>
    </w:p>
  </w:footnote>
  <w:footnote w:id="5">
    <w:p w14:paraId="6032AF1F" w14:textId="233A92FC" w:rsidR="00914038" w:rsidRDefault="00914038" w:rsidP="00C470A6">
      <w:pPr>
        <w:pStyle w:val="FootnoteText"/>
      </w:pPr>
      <w:r>
        <w:rPr>
          <w:rStyle w:val="FootnoteReference"/>
        </w:rPr>
        <w:footnoteRef/>
      </w:r>
      <w:r>
        <w:t xml:space="preserve"> Dial-up provides speeds of less than 200 Kbps downstream and 200 Kbps upstream.</w:t>
      </w:r>
    </w:p>
  </w:footnote>
  <w:footnote w:id="6">
    <w:p w14:paraId="522B7D5D" w14:textId="74F5B32A" w:rsidR="00914038" w:rsidRPr="00974EC6" w:rsidRDefault="00914038" w:rsidP="004822E1">
      <w:pPr>
        <w:pStyle w:val="FootnoteText"/>
        <w:spacing w:after="120"/>
        <w:rPr>
          <w:rFonts w:ascii="Palatino Linotype" w:hAnsi="Palatino Linotype"/>
        </w:rPr>
      </w:pPr>
      <w:r w:rsidRPr="00974EC6">
        <w:rPr>
          <w:rStyle w:val="FootnoteReference"/>
          <w:rFonts w:ascii="Palatino Linotype" w:hAnsi="Palatino Linotype"/>
        </w:rPr>
        <w:footnoteRef/>
      </w:r>
      <w:r w:rsidRPr="00974EC6">
        <w:rPr>
          <w:rFonts w:ascii="Palatino Linotype" w:hAnsi="Palatino Linotype"/>
        </w:rPr>
        <w:t xml:space="preserve"> Pub. Util. Code, § 281(f)(13).  See Bill Analysis prepared by California Assembly Committee on Conveyance, April 26, 2017, p.4. “Arguably since the creation of CASF, most areas that have been served by CASF funds are projects in which applicants feel that their cost, combined with CASF funds, warrant an investment in deploying broadband in such areas.  However, this leaves most of the remaining unserved areas of state, mostly in rural and small communities, still without broadband connectivity due to the lack of investment by providers who feel that the difficulties associated with deploying and maintaining such a network in the area for a limited amount of potential customers, even combined with CASF funds, would not result in a positive return on investment.  Arguably, the remaining unserved households potentially are households in which even a 70% total cost CASF grant still does not provide enough incentive for a provider to build. Hence, CPUC should consider awarding grants that offer funding for 100% of total costs when warranted.”</w:t>
      </w:r>
    </w:p>
  </w:footnote>
  <w:footnote w:id="7">
    <w:p w14:paraId="263A44A8" w14:textId="59167E77" w:rsidR="00914038" w:rsidRPr="00ED63D1" w:rsidRDefault="00914038" w:rsidP="00974EC6">
      <w:pPr>
        <w:pStyle w:val="FootnoteText"/>
        <w:rPr>
          <w:rFonts w:ascii="Palatino Linotype" w:hAnsi="Palatino Linotype"/>
        </w:rPr>
      </w:pPr>
      <w:r w:rsidRPr="00ED63D1">
        <w:rPr>
          <w:rStyle w:val="FootnoteReference"/>
          <w:rFonts w:ascii="Palatino Linotype" w:hAnsi="Palatino Linotype"/>
        </w:rPr>
        <w:footnoteRef/>
      </w:r>
      <w:r w:rsidRPr="00ED63D1">
        <w:rPr>
          <w:rFonts w:ascii="Palatino Linotype" w:hAnsi="Palatino Linotype"/>
        </w:rPr>
        <w:t xml:space="preserve"> </w:t>
      </w:r>
      <w:r w:rsidR="00120EA4" w:rsidRPr="00ED63D1">
        <w:rPr>
          <w:rFonts w:ascii="Palatino Linotype" w:hAnsi="Palatino Linotype"/>
        </w:rPr>
        <w:t>Maximum funding level is 100 percent</w:t>
      </w:r>
      <w:r w:rsidR="00120EA4">
        <w:rPr>
          <w:rFonts w:ascii="Palatino Linotype" w:hAnsi="Palatino Linotype"/>
        </w:rPr>
        <w:t>. See</w:t>
      </w:r>
      <w:r w:rsidR="00120EA4" w:rsidRPr="00ED63D1">
        <w:rPr>
          <w:rFonts w:ascii="Palatino Linotype" w:hAnsi="Palatino Linotype"/>
        </w:rPr>
        <w:t xml:space="preserve"> </w:t>
      </w:r>
      <w:r w:rsidRPr="00ED63D1">
        <w:rPr>
          <w:rFonts w:ascii="Palatino Linotype" w:hAnsi="Palatino Linotype"/>
        </w:rPr>
        <w:t>D.18-12-018, Table 1. Summary of Funding Level Determinations.</w:t>
      </w:r>
    </w:p>
  </w:footnote>
  <w:footnote w:id="8">
    <w:p w14:paraId="6454A012" w14:textId="7B46233F" w:rsidR="00914038" w:rsidRDefault="00914038">
      <w:pPr>
        <w:pStyle w:val="FootnoteText"/>
      </w:pPr>
      <w:r>
        <w:rPr>
          <w:rStyle w:val="FootnoteReference"/>
        </w:rPr>
        <w:footnoteRef/>
      </w:r>
      <w:r>
        <w:t xml:space="preserve"> </w:t>
      </w:r>
      <w:r w:rsidRPr="00E659FE">
        <w:rPr>
          <w:rFonts w:ascii="Palatino Linotype" w:hAnsi="Palatino Linotype"/>
        </w:rPr>
        <w:t xml:space="preserve">See 2018 Annual Report on the California Advanced Services Fund, California Public Utilities Commission, Issued April 2019, page </w:t>
      </w:r>
      <w:r>
        <w:rPr>
          <w:rFonts w:ascii="Palatino Linotype" w:hAnsi="Palatino Linotype"/>
        </w:rPr>
        <w:t>4</w:t>
      </w:r>
      <w:r w:rsidRPr="00E659FE">
        <w:rPr>
          <w:rFonts w:ascii="Palatino Linotype" w:hAnsi="Palatino Linotype"/>
        </w:rPr>
        <w:t>.</w:t>
      </w:r>
    </w:p>
  </w:footnote>
  <w:footnote w:id="9">
    <w:p w14:paraId="5DD391CC" w14:textId="0A1C7366" w:rsidR="00914038" w:rsidRPr="00924FA6" w:rsidRDefault="00914038">
      <w:pPr>
        <w:pStyle w:val="FootnoteText"/>
        <w:rPr>
          <w:rFonts w:ascii="Palatino Linotype" w:hAnsi="Palatino Linotype"/>
        </w:rPr>
      </w:pPr>
      <w:r w:rsidRPr="00924FA6">
        <w:rPr>
          <w:rStyle w:val="FootnoteReference"/>
          <w:rFonts w:ascii="Palatino Linotype" w:hAnsi="Palatino Linotype"/>
        </w:rPr>
        <w:footnoteRef/>
      </w:r>
      <w:r w:rsidRPr="00924FA6">
        <w:rPr>
          <w:rFonts w:ascii="Palatino Linotype" w:hAnsi="Palatino Linotype"/>
        </w:rPr>
        <w:t xml:space="preserve"> See https://www.cpuc.ca.gov/firethreatmaps/</w:t>
      </w:r>
    </w:p>
  </w:footnote>
  <w:footnote w:id="10">
    <w:p w14:paraId="24B94AE2" w14:textId="77777777" w:rsidR="00914038" w:rsidRPr="00AD1DC7" w:rsidRDefault="00914038" w:rsidP="000469B1">
      <w:pPr>
        <w:pStyle w:val="FootnoteText"/>
        <w:rPr>
          <w:rFonts w:ascii="Palatino Linotype" w:hAnsi="Palatino Linotype"/>
        </w:rPr>
      </w:pPr>
      <w:r w:rsidRPr="00AD1DC7">
        <w:rPr>
          <w:rStyle w:val="FootnoteReference"/>
          <w:rFonts w:ascii="Palatino Linotype" w:hAnsi="Palatino Linotype"/>
        </w:rPr>
        <w:footnoteRef/>
      </w:r>
      <w:r w:rsidRPr="00AD1DC7">
        <w:rPr>
          <w:rFonts w:ascii="Palatino Linotype" w:hAnsi="Palatino Linotype"/>
        </w:rPr>
        <w:t xml:space="preserve"> </w:t>
      </w:r>
      <w:r w:rsidRPr="00066D9A">
        <w:rPr>
          <w:rFonts w:cs="Book Antiqua"/>
          <w:i/>
          <w:iCs/>
        </w:rPr>
        <w:t xml:space="preserve">Approval of the California Advanced Services Fund (CASF) Application Requirements and Scoring Criteria for Awarding CASF Funds </w:t>
      </w:r>
      <w:r w:rsidRPr="00066D9A">
        <w:rPr>
          <w:rFonts w:cs="Book Antiqua"/>
        </w:rPr>
        <w:t>(2008) Cal. P.U.C. Res. No. T-17143 at 4.</w:t>
      </w:r>
    </w:p>
  </w:footnote>
  <w:footnote w:id="11">
    <w:p w14:paraId="3183D4BA" w14:textId="2D254CD6" w:rsidR="00914038" w:rsidRPr="00CC79E9" w:rsidRDefault="00914038" w:rsidP="00223AED">
      <w:pPr>
        <w:pStyle w:val="FootnoteText"/>
        <w:rPr>
          <w:rFonts w:ascii="Palatino Linotype" w:hAnsi="Palatino Linotype"/>
        </w:rPr>
      </w:pPr>
      <w:r w:rsidRPr="009D69FB">
        <w:rPr>
          <w:rStyle w:val="FootnoteReference"/>
        </w:rPr>
        <w:footnoteRef/>
      </w:r>
      <w:r w:rsidRPr="009D69FB">
        <w:t xml:space="preserve"> </w:t>
      </w:r>
      <w:r w:rsidRPr="00CC79E9">
        <w:rPr>
          <w:rFonts w:ascii="Palatino Linotype" w:hAnsi="Palatino Linotype"/>
        </w:rPr>
        <w:t>Administrative costs are define</w:t>
      </w:r>
      <w:r>
        <w:rPr>
          <w:rFonts w:ascii="Palatino Linotype" w:hAnsi="Palatino Linotype"/>
        </w:rPr>
        <w:t>d</w:t>
      </w:r>
      <w:r w:rsidRPr="00CC79E9">
        <w:rPr>
          <w:rFonts w:ascii="Palatino Linotype" w:hAnsi="Palatino Linotype"/>
        </w:rPr>
        <w:t xml:space="preserve"> as “indirect overhead costs attributable to a project, per generally accepted accounting principles (GAAP), and the direct cost of complying with Commission administrative and regulatory requirements related to the grant itself.” Applicants seeking additional funds will require a Commission exemption included in a draft resolution.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5417A" w14:textId="77777777" w:rsidR="00E37D90" w:rsidRDefault="00E37D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978F1" w14:textId="1EF3DB28" w:rsidR="00914038" w:rsidRPr="00CC02A9" w:rsidRDefault="00914038">
    <w:pPr>
      <w:pStyle w:val="Header"/>
      <w:rPr>
        <w:rFonts w:ascii="Palatino Linotype" w:hAnsi="Palatino Linotype"/>
        <w:sz w:val="22"/>
        <w:szCs w:val="22"/>
      </w:rPr>
    </w:pPr>
    <w:r w:rsidRPr="00CC02A9">
      <w:rPr>
        <w:rFonts w:ascii="Palatino Linotype" w:hAnsi="Palatino Linotype"/>
        <w:sz w:val="22"/>
        <w:szCs w:val="22"/>
      </w:rPr>
      <w:t>Resolution T-</w:t>
    </w:r>
    <w:r>
      <w:rPr>
        <w:rFonts w:ascii="Palatino Linotype" w:hAnsi="Palatino Linotype"/>
        <w:sz w:val="22"/>
        <w:szCs w:val="22"/>
      </w:rPr>
      <w:t>17672</w:t>
    </w:r>
    <w:r w:rsidRPr="00CC02A9">
      <w:rPr>
        <w:rFonts w:ascii="Palatino Linotype" w:hAnsi="Palatino Linotype"/>
        <w:sz w:val="22"/>
        <w:szCs w:val="22"/>
      </w:rPr>
      <w:tab/>
    </w:r>
    <w:r>
      <w:rPr>
        <w:rFonts w:ascii="Palatino Linotype" w:hAnsi="Palatino Linotype"/>
        <w:sz w:val="22"/>
        <w:szCs w:val="22"/>
      </w:rPr>
      <w:t>DRAFT</w:t>
    </w:r>
    <w:r w:rsidRPr="00CC02A9">
      <w:rPr>
        <w:rFonts w:ascii="Palatino Linotype" w:hAnsi="Palatino Linotype"/>
        <w:sz w:val="22"/>
        <w:szCs w:val="22"/>
      </w:rPr>
      <w:tab/>
    </w:r>
    <w:r w:rsidR="00D00AC4">
      <w:rPr>
        <w:rFonts w:ascii="Palatino Linotype" w:hAnsi="Palatino Linotype"/>
        <w:sz w:val="22"/>
        <w:szCs w:val="22"/>
      </w:rPr>
      <w:t>December 5, 2019</w:t>
    </w:r>
  </w:p>
  <w:p w14:paraId="15B18A73" w14:textId="01B7BEE2" w:rsidR="00914038" w:rsidRPr="00D74B2C" w:rsidRDefault="00914038">
    <w:pPr>
      <w:pStyle w:val="Header"/>
      <w:rPr>
        <w:rFonts w:ascii="Palatino Linotype" w:hAnsi="Palatino Linotype"/>
        <w:sz w:val="22"/>
        <w:szCs w:val="22"/>
      </w:rPr>
    </w:pPr>
    <w:r w:rsidRPr="00CC02A9">
      <w:rPr>
        <w:rFonts w:ascii="Palatino Linotype" w:hAnsi="Palatino Linotype"/>
        <w:sz w:val="22"/>
        <w:szCs w:val="22"/>
      </w:rPr>
      <w:t>CD/</w:t>
    </w:r>
    <w:r>
      <w:rPr>
        <w:rFonts w:ascii="Palatino Linotype" w:hAnsi="Palatino Linotype"/>
        <w:sz w:val="22"/>
        <w:szCs w:val="22"/>
      </w:rPr>
      <w:t>JSC</w:t>
    </w:r>
    <w:r w:rsidRPr="00D74B2C">
      <w:rPr>
        <w:rFonts w:ascii="Palatino Linotype" w:hAnsi="Palatino Linotype"/>
        <w:sz w:val="22"/>
        <w:szCs w:val="22"/>
      </w:rPr>
      <w:tab/>
    </w:r>
    <w:r w:rsidRPr="00D74B2C">
      <w:rPr>
        <w:rFonts w:ascii="Palatino Linotype" w:hAnsi="Palatino Linotype"/>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29E19" w14:textId="0B8FC26F" w:rsidR="00914038" w:rsidRPr="00CC02A9" w:rsidRDefault="00914038" w:rsidP="00592763">
    <w:pPr>
      <w:pStyle w:val="Header"/>
      <w:rPr>
        <w:rFonts w:ascii="Palatino Linotype" w:hAnsi="Palatino Linotype"/>
        <w:sz w:val="22"/>
        <w:szCs w:val="22"/>
      </w:rPr>
    </w:pPr>
    <w:r w:rsidRPr="00CC02A9">
      <w:rPr>
        <w:rFonts w:ascii="Palatino Linotype" w:hAnsi="Palatino Linotype"/>
        <w:sz w:val="22"/>
        <w:szCs w:val="22"/>
      </w:rPr>
      <w:t>Resolution T-</w:t>
    </w:r>
    <w:r>
      <w:rPr>
        <w:rFonts w:ascii="Palatino Linotype" w:hAnsi="Palatino Linotype"/>
        <w:sz w:val="22"/>
        <w:szCs w:val="22"/>
      </w:rPr>
      <w:t>17672</w:t>
    </w:r>
    <w:r w:rsidRPr="00CC02A9">
      <w:rPr>
        <w:rFonts w:ascii="Palatino Linotype" w:hAnsi="Palatino Linotype"/>
        <w:sz w:val="22"/>
        <w:szCs w:val="22"/>
      </w:rPr>
      <w:tab/>
      <w:t>DRAFT</w:t>
    </w:r>
    <w:r w:rsidRPr="00CC02A9">
      <w:rPr>
        <w:rFonts w:ascii="Palatino Linotype" w:hAnsi="Palatino Linotype"/>
        <w:sz w:val="22"/>
        <w:szCs w:val="22"/>
      </w:rPr>
      <w:tab/>
    </w:r>
    <w:r w:rsidR="00D00AC4">
      <w:rPr>
        <w:rFonts w:ascii="Palatino Linotype" w:hAnsi="Palatino Linotype"/>
        <w:sz w:val="22"/>
        <w:szCs w:val="22"/>
      </w:rPr>
      <w:t>Agenda ID #</w:t>
    </w:r>
    <w:r w:rsidR="00E37D90">
      <w:rPr>
        <w:rFonts w:ascii="Palatino Linotype" w:hAnsi="Palatino Linotype"/>
        <w:sz w:val="22"/>
        <w:szCs w:val="22"/>
      </w:rPr>
      <w:t>17900</w:t>
    </w:r>
  </w:p>
  <w:p w14:paraId="5108143D" w14:textId="2DFD62C9" w:rsidR="00914038" w:rsidRPr="00D74B2C" w:rsidRDefault="00914038" w:rsidP="00592763">
    <w:pPr>
      <w:pStyle w:val="Header"/>
      <w:rPr>
        <w:rFonts w:ascii="Palatino Linotype" w:hAnsi="Palatino Linotype"/>
        <w:sz w:val="22"/>
        <w:szCs w:val="22"/>
      </w:rPr>
    </w:pPr>
    <w:r w:rsidRPr="00CC02A9">
      <w:rPr>
        <w:rFonts w:ascii="Palatino Linotype" w:hAnsi="Palatino Linotype"/>
        <w:sz w:val="22"/>
        <w:szCs w:val="22"/>
      </w:rPr>
      <w:t>CD/</w:t>
    </w:r>
    <w:r>
      <w:rPr>
        <w:rFonts w:ascii="Palatino Linotype" w:hAnsi="Palatino Linotype"/>
        <w:sz w:val="22"/>
        <w:szCs w:val="22"/>
      </w:rPr>
      <w:t>JSC</w:t>
    </w:r>
    <w:r w:rsidRPr="00D74B2C">
      <w:rPr>
        <w:rFonts w:ascii="Palatino Linotype" w:hAnsi="Palatino Linotype"/>
        <w:sz w:val="22"/>
        <w:szCs w:val="22"/>
      </w:rPr>
      <w:tab/>
    </w:r>
    <w:r w:rsidRPr="00D74B2C">
      <w:rPr>
        <w:rFonts w:ascii="Palatino Linotype" w:hAnsi="Palatino Linotype"/>
        <w:sz w:val="22"/>
        <w:szCs w:val="22"/>
      </w:rPr>
      <w:tab/>
    </w:r>
  </w:p>
  <w:p w14:paraId="3DFD4093" w14:textId="77777777" w:rsidR="00914038" w:rsidRDefault="009140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026A0" w14:textId="2E0E2937" w:rsidR="00D00AC4" w:rsidRPr="00CC02A9" w:rsidRDefault="00D00AC4" w:rsidP="00592763">
    <w:pPr>
      <w:pStyle w:val="Header"/>
      <w:rPr>
        <w:rFonts w:ascii="Palatino Linotype" w:hAnsi="Palatino Linotype"/>
        <w:sz w:val="22"/>
        <w:szCs w:val="22"/>
      </w:rPr>
    </w:pPr>
    <w:r w:rsidRPr="00CC02A9">
      <w:rPr>
        <w:rFonts w:ascii="Palatino Linotype" w:hAnsi="Palatino Linotype"/>
        <w:sz w:val="22"/>
        <w:szCs w:val="22"/>
      </w:rPr>
      <w:t>Resolution T-</w:t>
    </w:r>
    <w:r>
      <w:rPr>
        <w:rFonts w:ascii="Palatino Linotype" w:hAnsi="Palatino Linotype"/>
        <w:sz w:val="22"/>
        <w:szCs w:val="22"/>
      </w:rPr>
      <w:t>17672</w:t>
    </w:r>
    <w:r w:rsidRPr="00CC02A9">
      <w:rPr>
        <w:rFonts w:ascii="Palatino Linotype" w:hAnsi="Palatino Linotype"/>
        <w:sz w:val="22"/>
        <w:szCs w:val="22"/>
      </w:rPr>
      <w:tab/>
      <w:t>DRAFT</w:t>
    </w:r>
    <w:r w:rsidRPr="00CC02A9">
      <w:rPr>
        <w:rFonts w:ascii="Palatino Linotype" w:hAnsi="Palatino Linotype"/>
        <w:sz w:val="22"/>
        <w:szCs w:val="22"/>
      </w:rPr>
      <w:tab/>
    </w:r>
    <w:r>
      <w:rPr>
        <w:rFonts w:ascii="Palatino Linotype" w:hAnsi="Palatino Linotype"/>
        <w:sz w:val="22"/>
        <w:szCs w:val="22"/>
      </w:rPr>
      <w:t>December 5, 2019</w:t>
    </w:r>
  </w:p>
  <w:p w14:paraId="35267143" w14:textId="77777777" w:rsidR="00D00AC4" w:rsidRPr="00D74B2C" w:rsidRDefault="00D00AC4" w:rsidP="00592763">
    <w:pPr>
      <w:pStyle w:val="Header"/>
      <w:rPr>
        <w:rFonts w:ascii="Palatino Linotype" w:hAnsi="Palatino Linotype"/>
        <w:sz w:val="22"/>
        <w:szCs w:val="22"/>
      </w:rPr>
    </w:pPr>
    <w:r w:rsidRPr="00CC02A9">
      <w:rPr>
        <w:rFonts w:ascii="Palatino Linotype" w:hAnsi="Palatino Linotype"/>
        <w:sz w:val="22"/>
        <w:szCs w:val="22"/>
      </w:rPr>
      <w:t>CD/</w:t>
    </w:r>
    <w:r>
      <w:rPr>
        <w:rFonts w:ascii="Palatino Linotype" w:hAnsi="Palatino Linotype"/>
        <w:sz w:val="22"/>
        <w:szCs w:val="22"/>
      </w:rPr>
      <w:t>JSC</w:t>
    </w:r>
    <w:r w:rsidRPr="00D74B2C">
      <w:rPr>
        <w:rFonts w:ascii="Palatino Linotype" w:hAnsi="Palatino Linotype"/>
        <w:sz w:val="22"/>
        <w:szCs w:val="22"/>
      </w:rPr>
      <w:tab/>
    </w:r>
    <w:r w:rsidRPr="00D74B2C">
      <w:rPr>
        <w:rFonts w:ascii="Palatino Linotype" w:hAnsi="Palatino Linotype"/>
        <w:sz w:val="22"/>
        <w:szCs w:val="22"/>
      </w:rPr>
      <w:tab/>
    </w:r>
  </w:p>
  <w:p w14:paraId="1ED3E678" w14:textId="77777777" w:rsidR="00D00AC4" w:rsidRDefault="00D00A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1AA11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0D799C"/>
    <w:multiLevelType w:val="hybridMultilevel"/>
    <w:tmpl w:val="EDBA78EE"/>
    <w:lvl w:ilvl="0" w:tplc="A3186166">
      <w:start w:val="3"/>
      <w:numFmt w:val="upperRoman"/>
      <w:lvlText w:val="%1."/>
      <w:lvlJc w:val="left"/>
      <w:pPr>
        <w:tabs>
          <w:tab w:val="num" w:pos="720"/>
        </w:tabs>
        <w:ind w:left="720" w:hanging="360"/>
      </w:pPr>
      <w:rPr>
        <w:rFonts w:ascii="Palatino Linotype" w:hAnsi="Palatino Linotype"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A08DE"/>
    <w:multiLevelType w:val="hybridMultilevel"/>
    <w:tmpl w:val="C6982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D625DD"/>
    <w:multiLevelType w:val="hybridMultilevel"/>
    <w:tmpl w:val="64E41124"/>
    <w:lvl w:ilvl="0" w:tplc="94B6B1B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818DE"/>
    <w:multiLevelType w:val="hybridMultilevel"/>
    <w:tmpl w:val="C5340D10"/>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B55188A"/>
    <w:multiLevelType w:val="hybridMultilevel"/>
    <w:tmpl w:val="3370A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E407F48"/>
    <w:multiLevelType w:val="hybridMultilevel"/>
    <w:tmpl w:val="7702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836753"/>
    <w:multiLevelType w:val="hybridMultilevel"/>
    <w:tmpl w:val="1C380C1A"/>
    <w:lvl w:ilvl="0" w:tplc="3D70533C">
      <w:start w:val="1"/>
      <w:numFmt w:val="upperRoman"/>
      <w:lvlText w:val="%1."/>
      <w:lvlJc w:val="left"/>
      <w:pPr>
        <w:ind w:left="720" w:hanging="360"/>
      </w:pPr>
      <w:rPr>
        <w:rFonts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E42785"/>
    <w:multiLevelType w:val="hybridMultilevel"/>
    <w:tmpl w:val="FB26A908"/>
    <w:lvl w:ilvl="0" w:tplc="627CAA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FE393E"/>
    <w:multiLevelType w:val="hybridMultilevel"/>
    <w:tmpl w:val="8D22F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91731BA"/>
    <w:multiLevelType w:val="hybridMultilevel"/>
    <w:tmpl w:val="B2A4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8A634C"/>
    <w:multiLevelType w:val="hybridMultilevel"/>
    <w:tmpl w:val="9B8E0560"/>
    <w:lvl w:ilvl="0" w:tplc="94840206">
      <w:start w:val="1"/>
      <w:numFmt w:val="bullet"/>
      <w:lvlText w:val="o"/>
      <w:lvlJc w:val="left"/>
      <w:pPr>
        <w:ind w:left="2160" w:hanging="360"/>
      </w:pPr>
      <w:rPr>
        <w:rFonts w:ascii="Courier New" w:hAnsi="Courier New" w:cs="Courier New" w:hint="default"/>
        <w:color w:val="000000"/>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nsid w:val="5495162F"/>
    <w:multiLevelType w:val="hybridMultilevel"/>
    <w:tmpl w:val="BFEAFD5E"/>
    <w:lvl w:ilvl="0" w:tplc="5AD65B0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B35794"/>
    <w:multiLevelType w:val="hybridMultilevel"/>
    <w:tmpl w:val="3188994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2884EB0">
      <w:start w:val="1"/>
      <w:numFmt w:val="upperLetter"/>
      <w:lvlText w:val="%5."/>
      <w:lvlJc w:val="left"/>
      <w:pPr>
        <w:ind w:left="3600" w:hanging="360"/>
      </w:pPr>
      <w:rPr>
        <w:rFonts w:hint="default"/>
      </w:rPr>
    </w:lvl>
    <w:lvl w:ilvl="5" w:tplc="5BB0C0A8">
      <w:start w:val="2"/>
      <w:numFmt w:val="decimal"/>
      <w:lvlText w:val="%6"/>
      <w:lvlJc w:val="left"/>
      <w:pPr>
        <w:ind w:left="4500" w:hanging="360"/>
      </w:pPr>
      <w:rPr>
        <w:rFonts w:hint="default"/>
      </w:rPr>
    </w:lvl>
    <w:lvl w:ilvl="6" w:tplc="DA02FE66">
      <w:start w:val="2"/>
      <w:numFmt w:val="upp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D13B48"/>
    <w:multiLevelType w:val="hybridMultilevel"/>
    <w:tmpl w:val="0A744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8E2214C"/>
    <w:multiLevelType w:val="hybridMultilevel"/>
    <w:tmpl w:val="1B1ED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E413B0F"/>
    <w:multiLevelType w:val="hybridMultilevel"/>
    <w:tmpl w:val="564868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2B76205"/>
    <w:multiLevelType w:val="hybridMultilevel"/>
    <w:tmpl w:val="3C469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9C15ECE"/>
    <w:multiLevelType w:val="hybridMultilevel"/>
    <w:tmpl w:val="097E9382"/>
    <w:lvl w:ilvl="0" w:tplc="228A8AF8">
      <w:start w:val="1"/>
      <w:numFmt w:val="upperRoman"/>
      <w:lvlText w:val="%1."/>
      <w:lvlJc w:val="left"/>
      <w:pPr>
        <w:ind w:left="1080" w:hanging="720"/>
      </w:pPr>
      <w:rPr>
        <w:rFonts w:hint="default"/>
      </w:rPr>
    </w:lvl>
    <w:lvl w:ilvl="1" w:tplc="654A5400">
      <w:start w:val="1"/>
      <w:numFmt w:val="decimal"/>
      <w:lvlText w:val="%2."/>
      <w:lvlJc w:val="left"/>
      <w:pPr>
        <w:ind w:left="25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1E73C1"/>
    <w:multiLevelType w:val="hybridMultilevel"/>
    <w:tmpl w:val="E4506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2A73075"/>
    <w:multiLevelType w:val="hybridMultilevel"/>
    <w:tmpl w:val="D334E8C0"/>
    <w:lvl w:ilvl="0" w:tplc="028C22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1E148B"/>
    <w:multiLevelType w:val="hybridMultilevel"/>
    <w:tmpl w:val="41CA3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3794114"/>
    <w:multiLevelType w:val="hybridMultilevel"/>
    <w:tmpl w:val="DD3841F0"/>
    <w:lvl w:ilvl="0" w:tplc="5AD65B0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48B5786"/>
    <w:multiLevelType w:val="hybridMultilevel"/>
    <w:tmpl w:val="02DAE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E1119F3"/>
    <w:multiLevelType w:val="hybridMultilevel"/>
    <w:tmpl w:val="9274FBC8"/>
    <w:lvl w:ilvl="0" w:tplc="EC1A566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007131"/>
    <w:multiLevelType w:val="hybridMultilevel"/>
    <w:tmpl w:val="4852EAF2"/>
    <w:lvl w:ilvl="0" w:tplc="DA02FE66">
      <w:start w:val="2"/>
      <w:numFmt w:val="upp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24"/>
  </w:num>
  <w:num w:numId="4">
    <w:abstractNumId w:val="15"/>
  </w:num>
  <w:num w:numId="5">
    <w:abstractNumId w:val="4"/>
  </w:num>
  <w:num w:numId="6">
    <w:abstractNumId w:val="12"/>
  </w:num>
  <w:num w:numId="7">
    <w:abstractNumId w:val="7"/>
  </w:num>
  <w:num w:numId="8">
    <w:abstractNumId w:val="1"/>
  </w:num>
  <w:num w:numId="9">
    <w:abstractNumId w:val="14"/>
  </w:num>
  <w:num w:numId="10">
    <w:abstractNumId w:val="5"/>
  </w:num>
  <w:num w:numId="11">
    <w:abstractNumId w:val="9"/>
  </w:num>
  <w:num w:numId="12">
    <w:abstractNumId w:val="2"/>
  </w:num>
  <w:num w:numId="13">
    <w:abstractNumId w:val="19"/>
  </w:num>
  <w:num w:numId="14">
    <w:abstractNumId w:val="17"/>
  </w:num>
  <w:num w:numId="15">
    <w:abstractNumId w:val="23"/>
  </w:num>
  <w:num w:numId="16">
    <w:abstractNumId w:val="22"/>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8"/>
  </w:num>
  <w:num w:numId="20">
    <w:abstractNumId w:val="13"/>
  </w:num>
  <w:num w:numId="21">
    <w:abstractNumId w:val="25"/>
  </w:num>
  <w:num w:numId="22">
    <w:abstractNumId w:val="10"/>
  </w:num>
  <w:num w:numId="23">
    <w:abstractNumId w:val="6"/>
  </w:num>
  <w:num w:numId="24">
    <w:abstractNumId w:val="3"/>
  </w:num>
  <w:num w:numId="25">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E0"/>
    <w:rsid w:val="00000D31"/>
    <w:rsid w:val="00000DB1"/>
    <w:rsid w:val="00000FF6"/>
    <w:rsid w:val="0000147C"/>
    <w:rsid w:val="000029B6"/>
    <w:rsid w:val="0000394C"/>
    <w:rsid w:val="00004286"/>
    <w:rsid w:val="000048CD"/>
    <w:rsid w:val="000056B8"/>
    <w:rsid w:val="00005BBC"/>
    <w:rsid w:val="0000718D"/>
    <w:rsid w:val="0000753C"/>
    <w:rsid w:val="00010F27"/>
    <w:rsid w:val="00011C7C"/>
    <w:rsid w:val="000124DD"/>
    <w:rsid w:val="00012D8C"/>
    <w:rsid w:val="00013386"/>
    <w:rsid w:val="00013422"/>
    <w:rsid w:val="00014DA2"/>
    <w:rsid w:val="00016812"/>
    <w:rsid w:val="00017EB6"/>
    <w:rsid w:val="00020584"/>
    <w:rsid w:val="00021C6D"/>
    <w:rsid w:val="00022E05"/>
    <w:rsid w:val="00023690"/>
    <w:rsid w:val="000257DB"/>
    <w:rsid w:val="00027221"/>
    <w:rsid w:val="0003128C"/>
    <w:rsid w:val="00032463"/>
    <w:rsid w:val="00032B9C"/>
    <w:rsid w:val="0003330C"/>
    <w:rsid w:val="00033B03"/>
    <w:rsid w:val="000344BA"/>
    <w:rsid w:val="00034794"/>
    <w:rsid w:val="00034F25"/>
    <w:rsid w:val="000352F8"/>
    <w:rsid w:val="0003549E"/>
    <w:rsid w:val="000357AA"/>
    <w:rsid w:val="00035B4F"/>
    <w:rsid w:val="00035E3D"/>
    <w:rsid w:val="000379F0"/>
    <w:rsid w:val="000405BB"/>
    <w:rsid w:val="000415ED"/>
    <w:rsid w:val="000420BF"/>
    <w:rsid w:val="000423BB"/>
    <w:rsid w:val="00043421"/>
    <w:rsid w:val="000436A4"/>
    <w:rsid w:val="00043ACE"/>
    <w:rsid w:val="00046337"/>
    <w:rsid w:val="000469B1"/>
    <w:rsid w:val="00047ADA"/>
    <w:rsid w:val="000506A4"/>
    <w:rsid w:val="00052A3C"/>
    <w:rsid w:val="00053D90"/>
    <w:rsid w:val="00056173"/>
    <w:rsid w:val="0006055E"/>
    <w:rsid w:val="00060E30"/>
    <w:rsid w:val="0006447A"/>
    <w:rsid w:val="00065DB6"/>
    <w:rsid w:val="00065F3B"/>
    <w:rsid w:val="00066BF8"/>
    <w:rsid w:val="00066D9A"/>
    <w:rsid w:val="00071A21"/>
    <w:rsid w:val="00071D87"/>
    <w:rsid w:val="00071F3B"/>
    <w:rsid w:val="000747DA"/>
    <w:rsid w:val="00075B58"/>
    <w:rsid w:val="00075C23"/>
    <w:rsid w:val="00076A0A"/>
    <w:rsid w:val="00077FCA"/>
    <w:rsid w:val="0008057F"/>
    <w:rsid w:val="00081518"/>
    <w:rsid w:val="0008181B"/>
    <w:rsid w:val="0008341B"/>
    <w:rsid w:val="000838E8"/>
    <w:rsid w:val="00085988"/>
    <w:rsid w:val="00091417"/>
    <w:rsid w:val="00092D83"/>
    <w:rsid w:val="000940A1"/>
    <w:rsid w:val="00094924"/>
    <w:rsid w:val="0009506D"/>
    <w:rsid w:val="00095165"/>
    <w:rsid w:val="00095BB6"/>
    <w:rsid w:val="00095F45"/>
    <w:rsid w:val="000964DC"/>
    <w:rsid w:val="00097703"/>
    <w:rsid w:val="000977D1"/>
    <w:rsid w:val="000A0FE6"/>
    <w:rsid w:val="000A1EC4"/>
    <w:rsid w:val="000A25BA"/>
    <w:rsid w:val="000A2B5F"/>
    <w:rsid w:val="000A40F0"/>
    <w:rsid w:val="000A5CE7"/>
    <w:rsid w:val="000A5DEE"/>
    <w:rsid w:val="000B36F8"/>
    <w:rsid w:val="000B405D"/>
    <w:rsid w:val="000B41B3"/>
    <w:rsid w:val="000B4609"/>
    <w:rsid w:val="000B57EB"/>
    <w:rsid w:val="000B6641"/>
    <w:rsid w:val="000B738B"/>
    <w:rsid w:val="000C229C"/>
    <w:rsid w:val="000C26AC"/>
    <w:rsid w:val="000C4993"/>
    <w:rsid w:val="000D0A50"/>
    <w:rsid w:val="000D0B10"/>
    <w:rsid w:val="000D13E1"/>
    <w:rsid w:val="000D23A0"/>
    <w:rsid w:val="000D2EE5"/>
    <w:rsid w:val="000D54BC"/>
    <w:rsid w:val="000E2A2D"/>
    <w:rsid w:val="000E2BBF"/>
    <w:rsid w:val="000E3679"/>
    <w:rsid w:val="000E38B4"/>
    <w:rsid w:val="000E47EA"/>
    <w:rsid w:val="000E68DB"/>
    <w:rsid w:val="000E743E"/>
    <w:rsid w:val="000F5D25"/>
    <w:rsid w:val="000F6D15"/>
    <w:rsid w:val="000F7781"/>
    <w:rsid w:val="0010021C"/>
    <w:rsid w:val="0010024F"/>
    <w:rsid w:val="00103221"/>
    <w:rsid w:val="001035C9"/>
    <w:rsid w:val="0010485E"/>
    <w:rsid w:val="00105398"/>
    <w:rsid w:val="00105476"/>
    <w:rsid w:val="00105694"/>
    <w:rsid w:val="001061E3"/>
    <w:rsid w:val="001067BF"/>
    <w:rsid w:val="00107B64"/>
    <w:rsid w:val="00111355"/>
    <w:rsid w:val="0011188B"/>
    <w:rsid w:val="00112392"/>
    <w:rsid w:val="00112A02"/>
    <w:rsid w:val="0011464E"/>
    <w:rsid w:val="0011514E"/>
    <w:rsid w:val="001153DA"/>
    <w:rsid w:val="001159EC"/>
    <w:rsid w:val="001179D4"/>
    <w:rsid w:val="00117FB2"/>
    <w:rsid w:val="0012028C"/>
    <w:rsid w:val="00120D86"/>
    <w:rsid w:val="00120EA4"/>
    <w:rsid w:val="00121672"/>
    <w:rsid w:val="00121961"/>
    <w:rsid w:val="00121FAD"/>
    <w:rsid w:val="00122207"/>
    <w:rsid w:val="00123FF2"/>
    <w:rsid w:val="00124AD7"/>
    <w:rsid w:val="00125B39"/>
    <w:rsid w:val="00126A08"/>
    <w:rsid w:val="00126D5F"/>
    <w:rsid w:val="00126F72"/>
    <w:rsid w:val="00132EC4"/>
    <w:rsid w:val="001338FD"/>
    <w:rsid w:val="00134377"/>
    <w:rsid w:val="00135BC9"/>
    <w:rsid w:val="00137BE1"/>
    <w:rsid w:val="00140F00"/>
    <w:rsid w:val="00142AE0"/>
    <w:rsid w:val="00145587"/>
    <w:rsid w:val="00147A63"/>
    <w:rsid w:val="001512B2"/>
    <w:rsid w:val="00153F30"/>
    <w:rsid w:val="001545DD"/>
    <w:rsid w:val="00155630"/>
    <w:rsid w:val="00157319"/>
    <w:rsid w:val="00157A94"/>
    <w:rsid w:val="001609C1"/>
    <w:rsid w:val="00161E47"/>
    <w:rsid w:val="001620F6"/>
    <w:rsid w:val="00162943"/>
    <w:rsid w:val="0016479D"/>
    <w:rsid w:val="00165D6E"/>
    <w:rsid w:val="00166028"/>
    <w:rsid w:val="001679CC"/>
    <w:rsid w:val="00167FA2"/>
    <w:rsid w:val="001700F8"/>
    <w:rsid w:val="00170675"/>
    <w:rsid w:val="00173348"/>
    <w:rsid w:val="00174211"/>
    <w:rsid w:val="0017590F"/>
    <w:rsid w:val="001764EE"/>
    <w:rsid w:val="00176CF4"/>
    <w:rsid w:val="00177A9D"/>
    <w:rsid w:val="00177D63"/>
    <w:rsid w:val="00180361"/>
    <w:rsid w:val="0018180E"/>
    <w:rsid w:val="0018443D"/>
    <w:rsid w:val="00184FFF"/>
    <w:rsid w:val="00185283"/>
    <w:rsid w:val="00186186"/>
    <w:rsid w:val="00186A16"/>
    <w:rsid w:val="00187F3E"/>
    <w:rsid w:val="0019142D"/>
    <w:rsid w:val="001920CB"/>
    <w:rsid w:val="001929BB"/>
    <w:rsid w:val="00193A91"/>
    <w:rsid w:val="0019419B"/>
    <w:rsid w:val="0019663F"/>
    <w:rsid w:val="00196EAA"/>
    <w:rsid w:val="001A0A84"/>
    <w:rsid w:val="001A125B"/>
    <w:rsid w:val="001A2315"/>
    <w:rsid w:val="001A2B69"/>
    <w:rsid w:val="001A6008"/>
    <w:rsid w:val="001A7FCF"/>
    <w:rsid w:val="001B017E"/>
    <w:rsid w:val="001B2EB2"/>
    <w:rsid w:val="001B342E"/>
    <w:rsid w:val="001B414B"/>
    <w:rsid w:val="001B435F"/>
    <w:rsid w:val="001B457D"/>
    <w:rsid w:val="001B5972"/>
    <w:rsid w:val="001B6177"/>
    <w:rsid w:val="001B7114"/>
    <w:rsid w:val="001C022B"/>
    <w:rsid w:val="001C029E"/>
    <w:rsid w:val="001C286B"/>
    <w:rsid w:val="001C55D9"/>
    <w:rsid w:val="001C5731"/>
    <w:rsid w:val="001C7633"/>
    <w:rsid w:val="001D16FB"/>
    <w:rsid w:val="001D220E"/>
    <w:rsid w:val="001D26A2"/>
    <w:rsid w:val="001D2914"/>
    <w:rsid w:val="001D3722"/>
    <w:rsid w:val="001D54E3"/>
    <w:rsid w:val="001D69BA"/>
    <w:rsid w:val="001D6B0E"/>
    <w:rsid w:val="001D7B71"/>
    <w:rsid w:val="001E1397"/>
    <w:rsid w:val="001E255A"/>
    <w:rsid w:val="001E29C3"/>
    <w:rsid w:val="001E2A95"/>
    <w:rsid w:val="001E316F"/>
    <w:rsid w:val="001E452A"/>
    <w:rsid w:val="001E5178"/>
    <w:rsid w:val="001E6072"/>
    <w:rsid w:val="001E7D7D"/>
    <w:rsid w:val="001E7F6E"/>
    <w:rsid w:val="001F0987"/>
    <w:rsid w:val="001F1346"/>
    <w:rsid w:val="001F14EA"/>
    <w:rsid w:val="001F14F8"/>
    <w:rsid w:val="001F2AB4"/>
    <w:rsid w:val="001F2C13"/>
    <w:rsid w:val="001F58AD"/>
    <w:rsid w:val="001F5F17"/>
    <w:rsid w:val="001F7E75"/>
    <w:rsid w:val="002002E2"/>
    <w:rsid w:val="002014A7"/>
    <w:rsid w:val="00201D00"/>
    <w:rsid w:val="002024F7"/>
    <w:rsid w:val="00204269"/>
    <w:rsid w:val="002048F8"/>
    <w:rsid w:val="00204C72"/>
    <w:rsid w:val="002056C5"/>
    <w:rsid w:val="00211095"/>
    <w:rsid w:val="002115BB"/>
    <w:rsid w:val="00211DF4"/>
    <w:rsid w:val="00212A74"/>
    <w:rsid w:val="00213EDC"/>
    <w:rsid w:val="002155ED"/>
    <w:rsid w:val="00215AF8"/>
    <w:rsid w:val="00217A33"/>
    <w:rsid w:val="00220332"/>
    <w:rsid w:val="00220DBF"/>
    <w:rsid w:val="00220E9F"/>
    <w:rsid w:val="002219B7"/>
    <w:rsid w:val="002227A5"/>
    <w:rsid w:val="0022337F"/>
    <w:rsid w:val="00223AED"/>
    <w:rsid w:val="00223BD4"/>
    <w:rsid w:val="00224F84"/>
    <w:rsid w:val="00227B98"/>
    <w:rsid w:val="00230A3D"/>
    <w:rsid w:val="0023120A"/>
    <w:rsid w:val="00231370"/>
    <w:rsid w:val="00231A18"/>
    <w:rsid w:val="00231CA4"/>
    <w:rsid w:val="00231F4C"/>
    <w:rsid w:val="00232915"/>
    <w:rsid w:val="002329AB"/>
    <w:rsid w:val="00232AFC"/>
    <w:rsid w:val="002344F6"/>
    <w:rsid w:val="0023452B"/>
    <w:rsid w:val="002348CE"/>
    <w:rsid w:val="00234FD3"/>
    <w:rsid w:val="0023525F"/>
    <w:rsid w:val="00235411"/>
    <w:rsid w:val="002367F5"/>
    <w:rsid w:val="00236BDB"/>
    <w:rsid w:val="0023742C"/>
    <w:rsid w:val="00237CA6"/>
    <w:rsid w:val="002425CC"/>
    <w:rsid w:val="002444AC"/>
    <w:rsid w:val="0024475D"/>
    <w:rsid w:val="00245CE9"/>
    <w:rsid w:val="00246A59"/>
    <w:rsid w:val="00246D13"/>
    <w:rsid w:val="00247648"/>
    <w:rsid w:val="00252758"/>
    <w:rsid w:val="00252A6F"/>
    <w:rsid w:val="00253BFC"/>
    <w:rsid w:val="0025583C"/>
    <w:rsid w:val="00256AA3"/>
    <w:rsid w:val="00262081"/>
    <w:rsid w:val="00262534"/>
    <w:rsid w:val="00263939"/>
    <w:rsid w:val="00263B3F"/>
    <w:rsid w:val="00264629"/>
    <w:rsid w:val="00266684"/>
    <w:rsid w:val="00267370"/>
    <w:rsid w:val="00267FA7"/>
    <w:rsid w:val="00270607"/>
    <w:rsid w:val="00270699"/>
    <w:rsid w:val="00270898"/>
    <w:rsid w:val="00271A04"/>
    <w:rsid w:val="00271A69"/>
    <w:rsid w:val="00272A1F"/>
    <w:rsid w:val="00272CEA"/>
    <w:rsid w:val="002744C5"/>
    <w:rsid w:val="00274759"/>
    <w:rsid w:val="00274F7A"/>
    <w:rsid w:val="002758AF"/>
    <w:rsid w:val="00275934"/>
    <w:rsid w:val="00275C99"/>
    <w:rsid w:val="0027613F"/>
    <w:rsid w:val="0028094C"/>
    <w:rsid w:val="002810A6"/>
    <w:rsid w:val="00281D6E"/>
    <w:rsid w:val="00282408"/>
    <w:rsid w:val="00287A7B"/>
    <w:rsid w:val="002914E4"/>
    <w:rsid w:val="00291AD3"/>
    <w:rsid w:val="0029267A"/>
    <w:rsid w:val="00292FEC"/>
    <w:rsid w:val="00293871"/>
    <w:rsid w:val="0029453C"/>
    <w:rsid w:val="00294EDA"/>
    <w:rsid w:val="00294FDB"/>
    <w:rsid w:val="00295384"/>
    <w:rsid w:val="00295C6D"/>
    <w:rsid w:val="00295E2F"/>
    <w:rsid w:val="00296C5E"/>
    <w:rsid w:val="00296E24"/>
    <w:rsid w:val="00297E66"/>
    <w:rsid w:val="002A1CCE"/>
    <w:rsid w:val="002A3685"/>
    <w:rsid w:val="002A4950"/>
    <w:rsid w:val="002A5409"/>
    <w:rsid w:val="002A56EF"/>
    <w:rsid w:val="002A5ED3"/>
    <w:rsid w:val="002A636D"/>
    <w:rsid w:val="002A7174"/>
    <w:rsid w:val="002B3242"/>
    <w:rsid w:val="002B4228"/>
    <w:rsid w:val="002B458A"/>
    <w:rsid w:val="002B4A61"/>
    <w:rsid w:val="002B5CF4"/>
    <w:rsid w:val="002B70C4"/>
    <w:rsid w:val="002B7B17"/>
    <w:rsid w:val="002C1037"/>
    <w:rsid w:val="002C2431"/>
    <w:rsid w:val="002C5030"/>
    <w:rsid w:val="002C5D67"/>
    <w:rsid w:val="002C7FD0"/>
    <w:rsid w:val="002D1AA3"/>
    <w:rsid w:val="002D2289"/>
    <w:rsid w:val="002D2E43"/>
    <w:rsid w:val="002D3D28"/>
    <w:rsid w:val="002D3F8F"/>
    <w:rsid w:val="002D45EF"/>
    <w:rsid w:val="002D4A5B"/>
    <w:rsid w:val="002D602E"/>
    <w:rsid w:val="002D6253"/>
    <w:rsid w:val="002E218D"/>
    <w:rsid w:val="002E3CB8"/>
    <w:rsid w:val="002E485A"/>
    <w:rsid w:val="002E7884"/>
    <w:rsid w:val="002E7F69"/>
    <w:rsid w:val="002F204D"/>
    <w:rsid w:val="002F24EA"/>
    <w:rsid w:val="002F2A79"/>
    <w:rsid w:val="002F30FA"/>
    <w:rsid w:val="002F5C4B"/>
    <w:rsid w:val="002F6CF2"/>
    <w:rsid w:val="002F72EC"/>
    <w:rsid w:val="00301DBC"/>
    <w:rsid w:val="0030352A"/>
    <w:rsid w:val="00303938"/>
    <w:rsid w:val="003047CC"/>
    <w:rsid w:val="00304BEF"/>
    <w:rsid w:val="003057DD"/>
    <w:rsid w:val="0031304F"/>
    <w:rsid w:val="00313167"/>
    <w:rsid w:val="00313810"/>
    <w:rsid w:val="00314F97"/>
    <w:rsid w:val="003150E8"/>
    <w:rsid w:val="00315210"/>
    <w:rsid w:val="00316952"/>
    <w:rsid w:val="00320756"/>
    <w:rsid w:val="0032372D"/>
    <w:rsid w:val="00326146"/>
    <w:rsid w:val="00326219"/>
    <w:rsid w:val="003262B2"/>
    <w:rsid w:val="0033068D"/>
    <w:rsid w:val="00330AA7"/>
    <w:rsid w:val="00330DF0"/>
    <w:rsid w:val="00331844"/>
    <w:rsid w:val="00335CC4"/>
    <w:rsid w:val="00337723"/>
    <w:rsid w:val="00340D19"/>
    <w:rsid w:val="00340ED5"/>
    <w:rsid w:val="00342578"/>
    <w:rsid w:val="0034288E"/>
    <w:rsid w:val="00343F8B"/>
    <w:rsid w:val="00344B0A"/>
    <w:rsid w:val="0034608A"/>
    <w:rsid w:val="0034650B"/>
    <w:rsid w:val="00346905"/>
    <w:rsid w:val="003473AE"/>
    <w:rsid w:val="00347F07"/>
    <w:rsid w:val="003513A9"/>
    <w:rsid w:val="0035177F"/>
    <w:rsid w:val="00351DBD"/>
    <w:rsid w:val="00355B02"/>
    <w:rsid w:val="003566D4"/>
    <w:rsid w:val="00356F2A"/>
    <w:rsid w:val="00357786"/>
    <w:rsid w:val="003577EF"/>
    <w:rsid w:val="00360702"/>
    <w:rsid w:val="00360BDD"/>
    <w:rsid w:val="00360C23"/>
    <w:rsid w:val="00365511"/>
    <w:rsid w:val="00366D42"/>
    <w:rsid w:val="00366D96"/>
    <w:rsid w:val="00366DA5"/>
    <w:rsid w:val="003676AB"/>
    <w:rsid w:val="00367890"/>
    <w:rsid w:val="00367BEB"/>
    <w:rsid w:val="00371462"/>
    <w:rsid w:val="003732DB"/>
    <w:rsid w:val="003745F1"/>
    <w:rsid w:val="00375D11"/>
    <w:rsid w:val="00376418"/>
    <w:rsid w:val="0037661E"/>
    <w:rsid w:val="00377B54"/>
    <w:rsid w:val="00381F24"/>
    <w:rsid w:val="00382328"/>
    <w:rsid w:val="003832BF"/>
    <w:rsid w:val="00384EF7"/>
    <w:rsid w:val="0038691E"/>
    <w:rsid w:val="00386BEC"/>
    <w:rsid w:val="00393CCF"/>
    <w:rsid w:val="00393FEF"/>
    <w:rsid w:val="00397767"/>
    <w:rsid w:val="003A04B9"/>
    <w:rsid w:val="003A04F1"/>
    <w:rsid w:val="003A16F9"/>
    <w:rsid w:val="003A3502"/>
    <w:rsid w:val="003A5381"/>
    <w:rsid w:val="003A6443"/>
    <w:rsid w:val="003A769A"/>
    <w:rsid w:val="003B056C"/>
    <w:rsid w:val="003B23CF"/>
    <w:rsid w:val="003B24D4"/>
    <w:rsid w:val="003B274B"/>
    <w:rsid w:val="003B2E2B"/>
    <w:rsid w:val="003B5444"/>
    <w:rsid w:val="003B6B2F"/>
    <w:rsid w:val="003B6C6F"/>
    <w:rsid w:val="003B7C26"/>
    <w:rsid w:val="003C067E"/>
    <w:rsid w:val="003C1CC7"/>
    <w:rsid w:val="003C1F8C"/>
    <w:rsid w:val="003C2E21"/>
    <w:rsid w:val="003C30AB"/>
    <w:rsid w:val="003C3182"/>
    <w:rsid w:val="003C3256"/>
    <w:rsid w:val="003C382C"/>
    <w:rsid w:val="003C56EC"/>
    <w:rsid w:val="003C6D4B"/>
    <w:rsid w:val="003C6E47"/>
    <w:rsid w:val="003C6FDB"/>
    <w:rsid w:val="003C7E2E"/>
    <w:rsid w:val="003D21A0"/>
    <w:rsid w:val="003D4A31"/>
    <w:rsid w:val="003D4D59"/>
    <w:rsid w:val="003D59E6"/>
    <w:rsid w:val="003D5FBB"/>
    <w:rsid w:val="003D6AE4"/>
    <w:rsid w:val="003E08FC"/>
    <w:rsid w:val="003E09DD"/>
    <w:rsid w:val="003E10D7"/>
    <w:rsid w:val="003E3872"/>
    <w:rsid w:val="003E3FDC"/>
    <w:rsid w:val="003E4F74"/>
    <w:rsid w:val="003E633F"/>
    <w:rsid w:val="003E7B31"/>
    <w:rsid w:val="003F0490"/>
    <w:rsid w:val="003F0779"/>
    <w:rsid w:val="003F0ACB"/>
    <w:rsid w:val="003F40EC"/>
    <w:rsid w:val="003F68E6"/>
    <w:rsid w:val="003F6C20"/>
    <w:rsid w:val="003F7E7D"/>
    <w:rsid w:val="003F7FBD"/>
    <w:rsid w:val="00401939"/>
    <w:rsid w:val="004024A2"/>
    <w:rsid w:val="00402547"/>
    <w:rsid w:val="00402971"/>
    <w:rsid w:val="004047E9"/>
    <w:rsid w:val="0040512E"/>
    <w:rsid w:val="0040608F"/>
    <w:rsid w:val="0040632E"/>
    <w:rsid w:val="004126D7"/>
    <w:rsid w:val="004142B8"/>
    <w:rsid w:val="00414A8D"/>
    <w:rsid w:val="00416342"/>
    <w:rsid w:val="004177AE"/>
    <w:rsid w:val="00420828"/>
    <w:rsid w:val="00420A38"/>
    <w:rsid w:val="00421E3D"/>
    <w:rsid w:val="00421F53"/>
    <w:rsid w:val="0042307C"/>
    <w:rsid w:val="004231A2"/>
    <w:rsid w:val="004234B5"/>
    <w:rsid w:val="0042488B"/>
    <w:rsid w:val="00425CF4"/>
    <w:rsid w:val="00425D6D"/>
    <w:rsid w:val="00427D18"/>
    <w:rsid w:val="00427E45"/>
    <w:rsid w:val="00432638"/>
    <w:rsid w:val="00433FC1"/>
    <w:rsid w:val="00434DBB"/>
    <w:rsid w:val="00435495"/>
    <w:rsid w:val="00435827"/>
    <w:rsid w:val="00440686"/>
    <w:rsid w:val="00441A54"/>
    <w:rsid w:val="00441B53"/>
    <w:rsid w:val="0044523D"/>
    <w:rsid w:val="0044663E"/>
    <w:rsid w:val="004512FA"/>
    <w:rsid w:val="00454E8D"/>
    <w:rsid w:val="00455719"/>
    <w:rsid w:val="00456C66"/>
    <w:rsid w:val="004571C2"/>
    <w:rsid w:val="00460628"/>
    <w:rsid w:val="00461656"/>
    <w:rsid w:val="004621FE"/>
    <w:rsid w:val="00462C16"/>
    <w:rsid w:val="00463039"/>
    <w:rsid w:val="0046304A"/>
    <w:rsid w:val="00463C63"/>
    <w:rsid w:val="004640A3"/>
    <w:rsid w:val="004647C6"/>
    <w:rsid w:val="00470412"/>
    <w:rsid w:val="00470467"/>
    <w:rsid w:val="00471B18"/>
    <w:rsid w:val="004737FE"/>
    <w:rsid w:val="00473B41"/>
    <w:rsid w:val="0047446F"/>
    <w:rsid w:val="004748FF"/>
    <w:rsid w:val="00474A53"/>
    <w:rsid w:val="00474BDE"/>
    <w:rsid w:val="00476308"/>
    <w:rsid w:val="00476502"/>
    <w:rsid w:val="004772C8"/>
    <w:rsid w:val="0048093C"/>
    <w:rsid w:val="004822E1"/>
    <w:rsid w:val="004823A1"/>
    <w:rsid w:val="00483016"/>
    <w:rsid w:val="0048413F"/>
    <w:rsid w:val="0048439A"/>
    <w:rsid w:val="004847DC"/>
    <w:rsid w:val="004876A4"/>
    <w:rsid w:val="00490145"/>
    <w:rsid w:val="0049091E"/>
    <w:rsid w:val="00491EC3"/>
    <w:rsid w:val="00494748"/>
    <w:rsid w:val="004964B8"/>
    <w:rsid w:val="00496A22"/>
    <w:rsid w:val="00497AEB"/>
    <w:rsid w:val="004A01ED"/>
    <w:rsid w:val="004A0481"/>
    <w:rsid w:val="004A0FFB"/>
    <w:rsid w:val="004A127B"/>
    <w:rsid w:val="004A227B"/>
    <w:rsid w:val="004A474D"/>
    <w:rsid w:val="004A509B"/>
    <w:rsid w:val="004A61FA"/>
    <w:rsid w:val="004A6FE5"/>
    <w:rsid w:val="004A74A7"/>
    <w:rsid w:val="004B043D"/>
    <w:rsid w:val="004B06B3"/>
    <w:rsid w:val="004B1C13"/>
    <w:rsid w:val="004B1DCD"/>
    <w:rsid w:val="004B32FC"/>
    <w:rsid w:val="004B35D4"/>
    <w:rsid w:val="004B4208"/>
    <w:rsid w:val="004B448B"/>
    <w:rsid w:val="004B451A"/>
    <w:rsid w:val="004B5502"/>
    <w:rsid w:val="004B773A"/>
    <w:rsid w:val="004B7C60"/>
    <w:rsid w:val="004B7D0B"/>
    <w:rsid w:val="004C0210"/>
    <w:rsid w:val="004C2C2B"/>
    <w:rsid w:val="004C2F05"/>
    <w:rsid w:val="004C34F2"/>
    <w:rsid w:val="004C3BD8"/>
    <w:rsid w:val="004C5175"/>
    <w:rsid w:val="004C6970"/>
    <w:rsid w:val="004D461C"/>
    <w:rsid w:val="004D569C"/>
    <w:rsid w:val="004D7F09"/>
    <w:rsid w:val="004E026D"/>
    <w:rsid w:val="004E0927"/>
    <w:rsid w:val="004E21AE"/>
    <w:rsid w:val="004E43CD"/>
    <w:rsid w:val="004E44B3"/>
    <w:rsid w:val="004E44DF"/>
    <w:rsid w:val="004E662D"/>
    <w:rsid w:val="004E68A8"/>
    <w:rsid w:val="004E6F90"/>
    <w:rsid w:val="004F160A"/>
    <w:rsid w:val="004F1B58"/>
    <w:rsid w:val="004F2132"/>
    <w:rsid w:val="004F438E"/>
    <w:rsid w:val="004F514A"/>
    <w:rsid w:val="004F518E"/>
    <w:rsid w:val="004F5E59"/>
    <w:rsid w:val="004F6375"/>
    <w:rsid w:val="004F6583"/>
    <w:rsid w:val="004F65AD"/>
    <w:rsid w:val="004F6926"/>
    <w:rsid w:val="00500F38"/>
    <w:rsid w:val="00501C86"/>
    <w:rsid w:val="00501DF6"/>
    <w:rsid w:val="00502284"/>
    <w:rsid w:val="00502A3F"/>
    <w:rsid w:val="0050338E"/>
    <w:rsid w:val="005057FF"/>
    <w:rsid w:val="00505AE4"/>
    <w:rsid w:val="00505DA3"/>
    <w:rsid w:val="00505DE0"/>
    <w:rsid w:val="00507441"/>
    <w:rsid w:val="005075F3"/>
    <w:rsid w:val="00512B80"/>
    <w:rsid w:val="00513C8D"/>
    <w:rsid w:val="00515B5A"/>
    <w:rsid w:val="00516FEA"/>
    <w:rsid w:val="00517486"/>
    <w:rsid w:val="005210F4"/>
    <w:rsid w:val="0052150C"/>
    <w:rsid w:val="00522D34"/>
    <w:rsid w:val="0052319A"/>
    <w:rsid w:val="00523829"/>
    <w:rsid w:val="00523876"/>
    <w:rsid w:val="0052480A"/>
    <w:rsid w:val="00524A64"/>
    <w:rsid w:val="005268B5"/>
    <w:rsid w:val="0053058F"/>
    <w:rsid w:val="0053300D"/>
    <w:rsid w:val="00533164"/>
    <w:rsid w:val="005345D0"/>
    <w:rsid w:val="00534AC1"/>
    <w:rsid w:val="00534DB3"/>
    <w:rsid w:val="0053546D"/>
    <w:rsid w:val="00535858"/>
    <w:rsid w:val="00535D60"/>
    <w:rsid w:val="00535F36"/>
    <w:rsid w:val="00536858"/>
    <w:rsid w:val="00536863"/>
    <w:rsid w:val="005372D1"/>
    <w:rsid w:val="005405BB"/>
    <w:rsid w:val="00540971"/>
    <w:rsid w:val="00540A16"/>
    <w:rsid w:val="00540F04"/>
    <w:rsid w:val="0054190E"/>
    <w:rsid w:val="00542758"/>
    <w:rsid w:val="00544671"/>
    <w:rsid w:val="00544BB3"/>
    <w:rsid w:val="00544E49"/>
    <w:rsid w:val="00546E4F"/>
    <w:rsid w:val="00547E06"/>
    <w:rsid w:val="00550FB9"/>
    <w:rsid w:val="0055151C"/>
    <w:rsid w:val="00551C3E"/>
    <w:rsid w:val="00552C55"/>
    <w:rsid w:val="00553E5C"/>
    <w:rsid w:val="00554695"/>
    <w:rsid w:val="005558A2"/>
    <w:rsid w:val="00556C5B"/>
    <w:rsid w:val="0056198F"/>
    <w:rsid w:val="0056323D"/>
    <w:rsid w:val="00563780"/>
    <w:rsid w:val="00566ED7"/>
    <w:rsid w:val="00567B79"/>
    <w:rsid w:val="005703FA"/>
    <w:rsid w:val="005707FA"/>
    <w:rsid w:val="00570D65"/>
    <w:rsid w:val="00571C82"/>
    <w:rsid w:val="00571E63"/>
    <w:rsid w:val="00574BC5"/>
    <w:rsid w:val="005753CC"/>
    <w:rsid w:val="00575750"/>
    <w:rsid w:val="0057602A"/>
    <w:rsid w:val="00580797"/>
    <w:rsid w:val="00580EFD"/>
    <w:rsid w:val="005812AD"/>
    <w:rsid w:val="00581B11"/>
    <w:rsid w:val="00581DFC"/>
    <w:rsid w:val="00582E66"/>
    <w:rsid w:val="00583DB0"/>
    <w:rsid w:val="00585C29"/>
    <w:rsid w:val="00585D74"/>
    <w:rsid w:val="00585D9D"/>
    <w:rsid w:val="0058622E"/>
    <w:rsid w:val="005873E0"/>
    <w:rsid w:val="00587E92"/>
    <w:rsid w:val="00592763"/>
    <w:rsid w:val="005927AB"/>
    <w:rsid w:val="00593E81"/>
    <w:rsid w:val="005950E7"/>
    <w:rsid w:val="0059616C"/>
    <w:rsid w:val="005969FE"/>
    <w:rsid w:val="00597206"/>
    <w:rsid w:val="005A1E1B"/>
    <w:rsid w:val="005A2220"/>
    <w:rsid w:val="005A3717"/>
    <w:rsid w:val="005A507D"/>
    <w:rsid w:val="005A6EF3"/>
    <w:rsid w:val="005A79E4"/>
    <w:rsid w:val="005A7BC4"/>
    <w:rsid w:val="005B08FD"/>
    <w:rsid w:val="005B12D3"/>
    <w:rsid w:val="005B13C7"/>
    <w:rsid w:val="005B1EE9"/>
    <w:rsid w:val="005B31A6"/>
    <w:rsid w:val="005B4A1A"/>
    <w:rsid w:val="005B62C1"/>
    <w:rsid w:val="005C001C"/>
    <w:rsid w:val="005C1F06"/>
    <w:rsid w:val="005C1FD4"/>
    <w:rsid w:val="005C25C0"/>
    <w:rsid w:val="005C2CB7"/>
    <w:rsid w:val="005C36BD"/>
    <w:rsid w:val="005C456D"/>
    <w:rsid w:val="005C47AE"/>
    <w:rsid w:val="005C4CD7"/>
    <w:rsid w:val="005C621E"/>
    <w:rsid w:val="005C65A1"/>
    <w:rsid w:val="005C7DBC"/>
    <w:rsid w:val="005D04A1"/>
    <w:rsid w:val="005D1C58"/>
    <w:rsid w:val="005D1E09"/>
    <w:rsid w:val="005D21CD"/>
    <w:rsid w:val="005D2E7F"/>
    <w:rsid w:val="005D2E9A"/>
    <w:rsid w:val="005D3926"/>
    <w:rsid w:val="005D3B5B"/>
    <w:rsid w:val="005D487A"/>
    <w:rsid w:val="005D6CDF"/>
    <w:rsid w:val="005D7D69"/>
    <w:rsid w:val="005E18D3"/>
    <w:rsid w:val="005E1BEE"/>
    <w:rsid w:val="005E29E3"/>
    <w:rsid w:val="005E356A"/>
    <w:rsid w:val="005E3FBA"/>
    <w:rsid w:val="005E4BF6"/>
    <w:rsid w:val="005E503B"/>
    <w:rsid w:val="005E5A7B"/>
    <w:rsid w:val="005E5B9C"/>
    <w:rsid w:val="005E64D2"/>
    <w:rsid w:val="005F05BD"/>
    <w:rsid w:val="005F1431"/>
    <w:rsid w:val="005F20E7"/>
    <w:rsid w:val="005F2B08"/>
    <w:rsid w:val="005F33BC"/>
    <w:rsid w:val="005F4117"/>
    <w:rsid w:val="005F4942"/>
    <w:rsid w:val="005F4984"/>
    <w:rsid w:val="005F7424"/>
    <w:rsid w:val="005F7FCC"/>
    <w:rsid w:val="0060239D"/>
    <w:rsid w:val="006023A0"/>
    <w:rsid w:val="00602883"/>
    <w:rsid w:val="00604748"/>
    <w:rsid w:val="006052CC"/>
    <w:rsid w:val="00605EF9"/>
    <w:rsid w:val="006077D9"/>
    <w:rsid w:val="00607E0C"/>
    <w:rsid w:val="00610AED"/>
    <w:rsid w:val="00611086"/>
    <w:rsid w:val="00612480"/>
    <w:rsid w:val="00614AC9"/>
    <w:rsid w:val="0061509F"/>
    <w:rsid w:val="006155C8"/>
    <w:rsid w:val="006159E3"/>
    <w:rsid w:val="0061613E"/>
    <w:rsid w:val="00617D17"/>
    <w:rsid w:val="0062035B"/>
    <w:rsid w:val="0062160F"/>
    <w:rsid w:val="00624C1B"/>
    <w:rsid w:val="00624D17"/>
    <w:rsid w:val="00625192"/>
    <w:rsid w:val="0062685A"/>
    <w:rsid w:val="00626AEC"/>
    <w:rsid w:val="0062786B"/>
    <w:rsid w:val="00631133"/>
    <w:rsid w:val="00631F1F"/>
    <w:rsid w:val="006346EA"/>
    <w:rsid w:val="00634C8A"/>
    <w:rsid w:val="00635199"/>
    <w:rsid w:val="00635751"/>
    <w:rsid w:val="00636629"/>
    <w:rsid w:val="00636BA0"/>
    <w:rsid w:val="006415B1"/>
    <w:rsid w:val="00642D62"/>
    <w:rsid w:val="00643580"/>
    <w:rsid w:val="00643A14"/>
    <w:rsid w:val="0064404F"/>
    <w:rsid w:val="00645F26"/>
    <w:rsid w:val="00650480"/>
    <w:rsid w:val="0066021D"/>
    <w:rsid w:val="00661846"/>
    <w:rsid w:val="00662A52"/>
    <w:rsid w:val="00662A73"/>
    <w:rsid w:val="0066309B"/>
    <w:rsid w:val="006636E7"/>
    <w:rsid w:val="00665A36"/>
    <w:rsid w:val="006668DD"/>
    <w:rsid w:val="00667EBE"/>
    <w:rsid w:val="00667FCE"/>
    <w:rsid w:val="00670149"/>
    <w:rsid w:val="006704B4"/>
    <w:rsid w:val="0067064D"/>
    <w:rsid w:val="006707D1"/>
    <w:rsid w:val="006709C6"/>
    <w:rsid w:val="006725FE"/>
    <w:rsid w:val="006730D5"/>
    <w:rsid w:val="00673B94"/>
    <w:rsid w:val="00673E78"/>
    <w:rsid w:val="0067417D"/>
    <w:rsid w:val="0067660C"/>
    <w:rsid w:val="00677ECB"/>
    <w:rsid w:val="00680E08"/>
    <w:rsid w:val="00681165"/>
    <w:rsid w:val="00681FED"/>
    <w:rsid w:val="006836DD"/>
    <w:rsid w:val="00684621"/>
    <w:rsid w:val="00685C75"/>
    <w:rsid w:val="00686406"/>
    <w:rsid w:val="00687891"/>
    <w:rsid w:val="00687F25"/>
    <w:rsid w:val="00690FAA"/>
    <w:rsid w:val="0069105C"/>
    <w:rsid w:val="0069147B"/>
    <w:rsid w:val="00691EB5"/>
    <w:rsid w:val="00692D2D"/>
    <w:rsid w:val="0069317D"/>
    <w:rsid w:val="00693947"/>
    <w:rsid w:val="00694122"/>
    <w:rsid w:val="00694C5B"/>
    <w:rsid w:val="00695BF1"/>
    <w:rsid w:val="0069729C"/>
    <w:rsid w:val="006A0739"/>
    <w:rsid w:val="006A2798"/>
    <w:rsid w:val="006A27DD"/>
    <w:rsid w:val="006A5425"/>
    <w:rsid w:val="006A5C85"/>
    <w:rsid w:val="006A736C"/>
    <w:rsid w:val="006A7A7C"/>
    <w:rsid w:val="006B0611"/>
    <w:rsid w:val="006B1D7F"/>
    <w:rsid w:val="006B22C3"/>
    <w:rsid w:val="006B26FE"/>
    <w:rsid w:val="006B2F6A"/>
    <w:rsid w:val="006B315C"/>
    <w:rsid w:val="006B4B14"/>
    <w:rsid w:val="006B526C"/>
    <w:rsid w:val="006B69C0"/>
    <w:rsid w:val="006C0597"/>
    <w:rsid w:val="006C1572"/>
    <w:rsid w:val="006C2F1A"/>
    <w:rsid w:val="006C4E92"/>
    <w:rsid w:val="006C56F9"/>
    <w:rsid w:val="006C6C5A"/>
    <w:rsid w:val="006D0EB4"/>
    <w:rsid w:val="006D17D6"/>
    <w:rsid w:val="006D2425"/>
    <w:rsid w:val="006D4B38"/>
    <w:rsid w:val="006E00EF"/>
    <w:rsid w:val="006E0A96"/>
    <w:rsid w:val="006E0F27"/>
    <w:rsid w:val="006E1D56"/>
    <w:rsid w:val="006E2C88"/>
    <w:rsid w:val="006E3B39"/>
    <w:rsid w:val="006E4CDB"/>
    <w:rsid w:val="006E54FC"/>
    <w:rsid w:val="006E569E"/>
    <w:rsid w:val="006E6406"/>
    <w:rsid w:val="006E6A36"/>
    <w:rsid w:val="006E75B3"/>
    <w:rsid w:val="006E75C4"/>
    <w:rsid w:val="006E7AD5"/>
    <w:rsid w:val="006E7F14"/>
    <w:rsid w:val="006F0160"/>
    <w:rsid w:val="006F1470"/>
    <w:rsid w:val="006F1843"/>
    <w:rsid w:val="006F29C1"/>
    <w:rsid w:val="006F46BA"/>
    <w:rsid w:val="006F4A8B"/>
    <w:rsid w:val="006F544E"/>
    <w:rsid w:val="006F730B"/>
    <w:rsid w:val="006F77AC"/>
    <w:rsid w:val="006F7F56"/>
    <w:rsid w:val="00700793"/>
    <w:rsid w:val="00701EAE"/>
    <w:rsid w:val="0070228F"/>
    <w:rsid w:val="0070279E"/>
    <w:rsid w:val="00702A5B"/>
    <w:rsid w:val="00702CE2"/>
    <w:rsid w:val="0070359C"/>
    <w:rsid w:val="00703B53"/>
    <w:rsid w:val="00704DF9"/>
    <w:rsid w:val="00704F4D"/>
    <w:rsid w:val="00704F83"/>
    <w:rsid w:val="0070555E"/>
    <w:rsid w:val="007114F4"/>
    <w:rsid w:val="00711993"/>
    <w:rsid w:val="00711B9A"/>
    <w:rsid w:val="0071223F"/>
    <w:rsid w:val="007125F7"/>
    <w:rsid w:val="00713893"/>
    <w:rsid w:val="00713CF9"/>
    <w:rsid w:val="007174BC"/>
    <w:rsid w:val="0072003A"/>
    <w:rsid w:val="0072095B"/>
    <w:rsid w:val="00720AF6"/>
    <w:rsid w:val="007216D6"/>
    <w:rsid w:val="00721D14"/>
    <w:rsid w:val="0073127D"/>
    <w:rsid w:val="007318CD"/>
    <w:rsid w:val="00732867"/>
    <w:rsid w:val="0073310E"/>
    <w:rsid w:val="00733636"/>
    <w:rsid w:val="00734E9F"/>
    <w:rsid w:val="00735390"/>
    <w:rsid w:val="007354F4"/>
    <w:rsid w:val="007356CF"/>
    <w:rsid w:val="0073708B"/>
    <w:rsid w:val="00737B91"/>
    <w:rsid w:val="00741611"/>
    <w:rsid w:val="007417AD"/>
    <w:rsid w:val="00743AE2"/>
    <w:rsid w:val="00744AA1"/>
    <w:rsid w:val="00744E72"/>
    <w:rsid w:val="00745BE7"/>
    <w:rsid w:val="00746485"/>
    <w:rsid w:val="00747B40"/>
    <w:rsid w:val="0075019F"/>
    <w:rsid w:val="00750CC0"/>
    <w:rsid w:val="007513DA"/>
    <w:rsid w:val="00751418"/>
    <w:rsid w:val="00751505"/>
    <w:rsid w:val="00754027"/>
    <w:rsid w:val="00754531"/>
    <w:rsid w:val="0075556F"/>
    <w:rsid w:val="00762372"/>
    <w:rsid w:val="00763F08"/>
    <w:rsid w:val="00764A71"/>
    <w:rsid w:val="0076512B"/>
    <w:rsid w:val="00767A2F"/>
    <w:rsid w:val="00770416"/>
    <w:rsid w:val="00770DDC"/>
    <w:rsid w:val="00770EF7"/>
    <w:rsid w:val="007715B8"/>
    <w:rsid w:val="00772B01"/>
    <w:rsid w:val="007771B9"/>
    <w:rsid w:val="00777B4E"/>
    <w:rsid w:val="00781C1F"/>
    <w:rsid w:val="00782383"/>
    <w:rsid w:val="007832A6"/>
    <w:rsid w:val="00783A93"/>
    <w:rsid w:val="0078513B"/>
    <w:rsid w:val="00787250"/>
    <w:rsid w:val="00791567"/>
    <w:rsid w:val="00792161"/>
    <w:rsid w:val="00792C26"/>
    <w:rsid w:val="00793DD2"/>
    <w:rsid w:val="00795BA0"/>
    <w:rsid w:val="007961A3"/>
    <w:rsid w:val="007965E2"/>
    <w:rsid w:val="007973D6"/>
    <w:rsid w:val="007A13D6"/>
    <w:rsid w:val="007A1999"/>
    <w:rsid w:val="007A1C75"/>
    <w:rsid w:val="007A1DEA"/>
    <w:rsid w:val="007A219A"/>
    <w:rsid w:val="007A38F0"/>
    <w:rsid w:val="007A6B33"/>
    <w:rsid w:val="007B21A4"/>
    <w:rsid w:val="007B2C3C"/>
    <w:rsid w:val="007B2E78"/>
    <w:rsid w:val="007B3DF5"/>
    <w:rsid w:val="007B5FFE"/>
    <w:rsid w:val="007B7B3B"/>
    <w:rsid w:val="007B7CF0"/>
    <w:rsid w:val="007C0F2E"/>
    <w:rsid w:val="007C15BE"/>
    <w:rsid w:val="007C1ABB"/>
    <w:rsid w:val="007C2891"/>
    <w:rsid w:val="007C2A06"/>
    <w:rsid w:val="007C4369"/>
    <w:rsid w:val="007C4AC7"/>
    <w:rsid w:val="007C70AF"/>
    <w:rsid w:val="007C7905"/>
    <w:rsid w:val="007D43A9"/>
    <w:rsid w:val="007D5003"/>
    <w:rsid w:val="007D53B8"/>
    <w:rsid w:val="007D54A4"/>
    <w:rsid w:val="007D694E"/>
    <w:rsid w:val="007D715F"/>
    <w:rsid w:val="007D796B"/>
    <w:rsid w:val="007E047D"/>
    <w:rsid w:val="007E1009"/>
    <w:rsid w:val="007E24D6"/>
    <w:rsid w:val="007E27E8"/>
    <w:rsid w:val="007E28BC"/>
    <w:rsid w:val="007E2C28"/>
    <w:rsid w:val="007F3DC7"/>
    <w:rsid w:val="007F4573"/>
    <w:rsid w:val="007F5B32"/>
    <w:rsid w:val="007F6BA5"/>
    <w:rsid w:val="00801011"/>
    <w:rsid w:val="00801179"/>
    <w:rsid w:val="00801C77"/>
    <w:rsid w:val="00802FE4"/>
    <w:rsid w:val="00803F2A"/>
    <w:rsid w:val="008042E6"/>
    <w:rsid w:val="0080458D"/>
    <w:rsid w:val="00805E4C"/>
    <w:rsid w:val="008078D6"/>
    <w:rsid w:val="00811B40"/>
    <w:rsid w:val="00814A22"/>
    <w:rsid w:val="00816560"/>
    <w:rsid w:val="008172BA"/>
    <w:rsid w:val="008236D1"/>
    <w:rsid w:val="008324EB"/>
    <w:rsid w:val="00833542"/>
    <w:rsid w:val="00835F10"/>
    <w:rsid w:val="008369A8"/>
    <w:rsid w:val="0083704F"/>
    <w:rsid w:val="008373A8"/>
    <w:rsid w:val="00837B30"/>
    <w:rsid w:val="0084040E"/>
    <w:rsid w:val="0084087F"/>
    <w:rsid w:val="008419E4"/>
    <w:rsid w:val="008421D9"/>
    <w:rsid w:val="008434AC"/>
    <w:rsid w:val="00845950"/>
    <w:rsid w:val="00845B0E"/>
    <w:rsid w:val="0084646F"/>
    <w:rsid w:val="0085057F"/>
    <w:rsid w:val="00852ECD"/>
    <w:rsid w:val="008531B7"/>
    <w:rsid w:val="008545D2"/>
    <w:rsid w:val="008552BE"/>
    <w:rsid w:val="00855597"/>
    <w:rsid w:val="00855611"/>
    <w:rsid w:val="00855C61"/>
    <w:rsid w:val="00855C70"/>
    <w:rsid w:val="00855F40"/>
    <w:rsid w:val="00856821"/>
    <w:rsid w:val="0085732F"/>
    <w:rsid w:val="0086021D"/>
    <w:rsid w:val="00861F64"/>
    <w:rsid w:val="00862069"/>
    <w:rsid w:val="00862822"/>
    <w:rsid w:val="0086287F"/>
    <w:rsid w:val="00862DC7"/>
    <w:rsid w:val="00864ABD"/>
    <w:rsid w:val="00865647"/>
    <w:rsid w:val="00870AAA"/>
    <w:rsid w:val="008715F1"/>
    <w:rsid w:val="00871C4F"/>
    <w:rsid w:val="008721CC"/>
    <w:rsid w:val="008726A0"/>
    <w:rsid w:val="00872D59"/>
    <w:rsid w:val="00873738"/>
    <w:rsid w:val="00873D66"/>
    <w:rsid w:val="00874B4E"/>
    <w:rsid w:val="00875CC4"/>
    <w:rsid w:val="00875D43"/>
    <w:rsid w:val="00875E8E"/>
    <w:rsid w:val="008773BF"/>
    <w:rsid w:val="008803D3"/>
    <w:rsid w:val="00880D54"/>
    <w:rsid w:val="0088133F"/>
    <w:rsid w:val="0088218E"/>
    <w:rsid w:val="0088305C"/>
    <w:rsid w:val="00883081"/>
    <w:rsid w:val="0088347B"/>
    <w:rsid w:val="00884ADD"/>
    <w:rsid w:val="00885D2E"/>
    <w:rsid w:val="00886439"/>
    <w:rsid w:val="0089049C"/>
    <w:rsid w:val="00893439"/>
    <w:rsid w:val="00894099"/>
    <w:rsid w:val="00894831"/>
    <w:rsid w:val="00895060"/>
    <w:rsid w:val="00895852"/>
    <w:rsid w:val="00896BC9"/>
    <w:rsid w:val="008A0BF1"/>
    <w:rsid w:val="008A11FC"/>
    <w:rsid w:val="008A1FDE"/>
    <w:rsid w:val="008A2509"/>
    <w:rsid w:val="008A264F"/>
    <w:rsid w:val="008A3C3A"/>
    <w:rsid w:val="008A48D3"/>
    <w:rsid w:val="008A4A68"/>
    <w:rsid w:val="008A5126"/>
    <w:rsid w:val="008A618B"/>
    <w:rsid w:val="008A645A"/>
    <w:rsid w:val="008A734C"/>
    <w:rsid w:val="008A74C4"/>
    <w:rsid w:val="008B0A9F"/>
    <w:rsid w:val="008B1E29"/>
    <w:rsid w:val="008B28EE"/>
    <w:rsid w:val="008B609B"/>
    <w:rsid w:val="008B65AD"/>
    <w:rsid w:val="008B682D"/>
    <w:rsid w:val="008B7DE7"/>
    <w:rsid w:val="008C0D34"/>
    <w:rsid w:val="008C1593"/>
    <w:rsid w:val="008C1BD2"/>
    <w:rsid w:val="008C208E"/>
    <w:rsid w:val="008C2BC1"/>
    <w:rsid w:val="008C33A2"/>
    <w:rsid w:val="008C38C7"/>
    <w:rsid w:val="008C4BA1"/>
    <w:rsid w:val="008C4EFF"/>
    <w:rsid w:val="008C5647"/>
    <w:rsid w:val="008C6577"/>
    <w:rsid w:val="008C793C"/>
    <w:rsid w:val="008D13A8"/>
    <w:rsid w:val="008D2679"/>
    <w:rsid w:val="008D4F38"/>
    <w:rsid w:val="008D569A"/>
    <w:rsid w:val="008D5E77"/>
    <w:rsid w:val="008D7F4B"/>
    <w:rsid w:val="008E089B"/>
    <w:rsid w:val="008E0F42"/>
    <w:rsid w:val="008E18D0"/>
    <w:rsid w:val="008E1A98"/>
    <w:rsid w:val="008E27A2"/>
    <w:rsid w:val="008E47DE"/>
    <w:rsid w:val="008E49B3"/>
    <w:rsid w:val="008E4E91"/>
    <w:rsid w:val="008E5097"/>
    <w:rsid w:val="008E5315"/>
    <w:rsid w:val="008E7A28"/>
    <w:rsid w:val="008F03B6"/>
    <w:rsid w:val="008F0DED"/>
    <w:rsid w:val="008F0FC1"/>
    <w:rsid w:val="008F196C"/>
    <w:rsid w:val="008F196F"/>
    <w:rsid w:val="008F36F9"/>
    <w:rsid w:val="008F3A1C"/>
    <w:rsid w:val="008F46D8"/>
    <w:rsid w:val="008F76AA"/>
    <w:rsid w:val="008F79DE"/>
    <w:rsid w:val="00902CA7"/>
    <w:rsid w:val="009048C1"/>
    <w:rsid w:val="00905047"/>
    <w:rsid w:val="009055CE"/>
    <w:rsid w:val="00906FB8"/>
    <w:rsid w:val="009076DA"/>
    <w:rsid w:val="00907727"/>
    <w:rsid w:val="009077DE"/>
    <w:rsid w:val="00911018"/>
    <w:rsid w:val="00914038"/>
    <w:rsid w:val="009145C2"/>
    <w:rsid w:val="0091668F"/>
    <w:rsid w:val="00920AD0"/>
    <w:rsid w:val="00921283"/>
    <w:rsid w:val="0092215D"/>
    <w:rsid w:val="00922564"/>
    <w:rsid w:val="0092319D"/>
    <w:rsid w:val="00923662"/>
    <w:rsid w:val="0092399D"/>
    <w:rsid w:val="00924521"/>
    <w:rsid w:val="00924BE3"/>
    <w:rsid w:val="00924FA6"/>
    <w:rsid w:val="009268FA"/>
    <w:rsid w:val="00930B47"/>
    <w:rsid w:val="00931004"/>
    <w:rsid w:val="009320A2"/>
    <w:rsid w:val="0093343C"/>
    <w:rsid w:val="00934E9D"/>
    <w:rsid w:val="00935435"/>
    <w:rsid w:val="00935555"/>
    <w:rsid w:val="00935F74"/>
    <w:rsid w:val="00936B5B"/>
    <w:rsid w:val="00936B65"/>
    <w:rsid w:val="00937A27"/>
    <w:rsid w:val="00941E89"/>
    <w:rsid w:val="00942194"/>
    <w:rsid w:val="00942470"/>
    <w:rsid w:val="00942497"/>
    <w:rsid w:val="009437F2"/>
    <w:rsid w:val="009464F2"/>
    <w:rsid w:val="009466E2"/>
    <w:rsid w:val="009468C4"/>
    <w:rsid w:val="00950745"/>
    <w:rsid w:val="00951593"/>
    <w:rsid w:val="009521D1"/>
    <w:rsid w:val="00955E70"/>
    <w:rsid w:val="00960BA7"/>
    <w:rsid w:val="00961223"/>
    <w:rsid w:val="00961707"/>
    <w:rsid w:val="00961A98"/>
    <w:rsid w:val="00962A59"/>
    <w:rsid w:val="00962DDC"/>
    <w:rsid w:val="00962EBD"/>
    <w:rsid w:val="00962F38"/>
    <w:rsid w:val="009635DB"/>
    <w:rsid w:val="00963DC0"/>
    <w:rsid w:val="009644A7"/>
    <w:rsid w:val="009652F2"/>
    <w:rsid w:val="0096584F"/>
    <w:rsid w:val="00967A09"/>
    <w:rsid w:val="00967DDD"/>
    <w:rsid w:val="00970E0E"/>
    <w:rsid w:val="00971A45"/>
    <w:rsid w:val="00971D06"/>
    <w:rsid w:val="009728E6"/>
    <w:rsid w:val="00974407"/>
    <w:rsid w:val="00974EC6"/>
    <w:rsid w:val="00975CF7"/>
    <w:rsid w:val="00981C85"/>
    <w:rsid w:val="009830BE"/>
    <w:rsid w:val="00983FE7"/>
    <w:rsid w:val="009841F4"/>
    <w:rsid w:val="00985089"/>
    <w:rsid w:val="00985406"/>
    <w:rsid w:val="0099078B"/>
    <w:rsid w:val="0099135C"/>
    <w:rsid w:val="009930B3"/>
    <w:rsid w:val="00994476"/>
    <w:rsid w:val="00995704"/>
    <w:rsid w:val="0099702D"/>
    <w:rsid w:val="009A119A"/>
    <w:rsid w:val="009A1514"/>
    <w:rsid w:val="009A1AA9"/>
    <w:rsid w:val="009A2726"/>
    <w:rsid w:val="009A5136"/>
    <w:rsid w:val="009A634F"/>
    <w:rsid w:val="009A674B"/>
    <w:rsid w:val="009A7144"/>
    <w:rsid w:val="009A7499"/>
    <w:rsid w:val="009B054C"/>
    <w:rsid w:val="009B17C5"/>
    <w:rsid w:val="009B1DC9"/>
    <w:rsid w:val="009B410D"/>
    <w:rsid w:val="009B5200"/>
    <w:rsid w:val="009B557F"/>
    <w:rsid w:val="009B568D"/>
    <w:rsid w:val="009B756C"/>
    <w:rsid w:val="009B79BE"/>
    <w:rsid w:val="009C006F"/>
    <w:rsid w:val="009C28FB"/>
    <w:rsid w:val="009C3ED8"/>
    <w:rsid w:val="009C46C2"/>
    <w:rsid w:val="009C4ECA"/>
    <w:rsid w:val="009C5A9F"/>
    <w:rsid w:val="009C625F"/>
    <w:rsid w:val="009C68AB"/>
    <w:rsid w:val="009C6D00"/>
    <w:rsid w:val="009D0E7A"/>
    <w:rsid w:val="009D1794"/>
    <w:rsid w:val="009D18D7"/>
    <w:rsid w:val="009D377A"/>
    <w:rsid w:val="009D3C2A"/>
    <w:rsid w:val="009D3E58"/>
    <w:rsid w:val="009D5211"/>
    <w:rsid w:val="009D5B39"/>
    <w:rsid w:val="009D6758"/>
    <w:rsid w:val="009D747D"/>
    <w:rsid w:val="009D7A97"/>
    <w:rsid w:val="009E0017"/>
    <w:rsid w:val="009E1306"/>
    <w:rsid w:val="009E25B1"/>
    <w:rsid w:val="009E5DEB"/>
    <w:rsid w:val="009E725F"/>
    <w:rsid w:val="009E7634"/>
    <w:rsid w:val="009E7E97"/>
    <w:rsid w:val="009F2D4D"/>
    <w:rsid w:val="009F5A8B"/>
    <w:rsid w:val="009F5FC9"/>
    <w:rsid w:val="009F6B7E"/>
    <w:rsid w:val="009F707F"/>
    <w:rsid w:val="009F7B98"/>
    <w:rsid w:val="00A010DB"/>
    <w:rsid w:val="00A015D0"/>
    <w:rsid w:val="00A04E7B"/>
    <w:rsid w:val="00A07725"/>
    <w:rsid w:val="00A1167D"/>
    <w:rsid w:val="00A128D5"/>
    <w:rsid w:val="00A13085"/>
    <w:rsid w:val="00A1371A"/>
    <w:rsid w:val="00A13901"/>
    <w:rsid w:val="00A14374"/>
    <w:rsid w:val="00A17BDE"/>
    <w:rsid w:val="00A204B4"/>
    <w:rsid w:val="00A2099C"/>
    <w:rsid w:val="00A212E4"/>
    <w:rsid w:val="00A2256D"/>
    <w:rsid w:val="00A22F39"/>
    <w:rsid w:val="00A24D4E"/>
    <w:rsid w:val="00A24ED4"/>
    <w:rsid w:val="00A26D5A"/>
    <w:rsid w:val="00A27230"/>
    <w:rsid w:val="00A2767A"/>
    <w:rsid w:val="00A277E5"/>
    <w:rsid w:val="00A3022C"/>
    <w:rsid w:val="00A303A2"/>
    <w:rsid w:val="00A313C3"/>
    <w:rsid w:val="00A32DC7"/>
    <w:rsid w:val="00A33197"/>
    <w:rsid w:val="00A34469"/>
    <w:rsid w:val="00A348EA"/>
    <w:rsid w:val="00A35F66"/>
    <w:rsid w:val="00A36BE9"/>
    <w:rsid w:val="00A37E5D"/>
    <w:rsid w:val="00A41010"/>
    <w:rsid w:val="00A42182"/>
    <w:rsid w:val="00A42458"/>
    <w:rsid w:val="00A42AC0"/>
    <w:rsid w:val="00A4376D"/>
    <w:rsid w:val="00A438F2"/>
    <w:rsid w:val="00A45270"/>
    <w:rsid w:val="00A452C1"/>
    <w:rsid w:val="00A45483"/>
    <w:rsid w:val="00A45F30"/>
    <w:rsid w:val="00A46353"/>
    <w:rsid w:val="00A47648"/>
    <w:rsid w:val="00A47E00"/>
    <w:rsid w:val="00A50083"/>
    <w:rsid w:val="00A506A5"/>
    <w:rsid w:val="00A51D30"/>
    <w:rsid w:val="00A548EA"/>
    <w:rsid w:val="00A5551F"/>
    <w:rsid w:val="00A577C0"/>
    <w:rsid w:val="00A62259"/>
    <w:rsid w:val="00A62545"/>
    <w:rsid w:val="00A62F87"/>
    <w:rsid w:val="00A65216"/>
    <w:rsid w:val="00A66FAB"/>
    <w:rsid w:val="00A706A1"/>
    <w:rsid w:val="00A710EB"/>
    <w:rsid w:val="00A71670"/>
    <w:rsid w:val="00A71D22"/>
    <w:rsid w:val="00A71EBC"/>
    <w:rsid w:val="00A73F4B"/>
    <w:rsid w:val="00A75038"/>
    <w:rsid w:val="00A75369"/>
    <w:rsid w:val="00A75DF8"/>
    <w:rsid w:val="00A76223"/>
    <w:rsid w:val="00A81434"/>
    <w:rsid w:val="00A8166F"/>
    <w:rsid w:val="00A829C8"/>
    <w:rsid w:val="00A82F57"/>
    <w:rsid w:val="00A832F8"/>
    <w:rsid w:val="00A83A66"/>
    <w:rsid w:val="00A8441A"/>
    <w:rsid w:val="00A84931"/>
    <w:rsid w:val="00A85941"/>
    <w:rsid w:val="00A8765D"/>
    <w:rsid w:val="00A91993"/>
    <w:rsid w:val="00A92AF0"/>
    <w:rsid w:val="00A92DBA"/>
    <w:rsid w:val="00A936C6"/>
    <w:rsid w:val="00A9456A"/>
    <w:rsid w:val="00A9478C"/>
    <w:rsid w:val="00AA679D"/>
    <w:rsid w:val="00AA743A"/>
    <w:rsid w:val="00AB0CC2"/>
    <w:rsid w:val="00AB0E03"/>
    <w:rsid w:val="00AB11DD"/>
    <w:rsid w:val="00AB327C"/>
    <w:rsid w:val="00AB4AA6"/>
    <w:rsid w:val="00AB7B8A"/>
    <w:rsid w:val="00AC114C"/>
    <w:rsid w:val="00AC12BA"/>
    <w:rsid w:val="00AC245F"/>
    <w:rsid w:val="00AC28F1"/>
    <w:rsid w:val="00AC3F0E"/>
    <w:rsid w:val="00AC670E"/>
    <w:rsid w:val="00AC79EA"/>
    <w:rsid w:val="00AD11DF"/>
    <w:rsid w:val="00AD17B0"/>
    <w:rsid w:val="00AD1DC7"/>
    <w:rsid w:val="00AD37AA"/>
    <w:rsid w:val="00AD48E5"/>
    <w:rsid w:val="00AD5887"/>
    <w:rsid w:val="00AD5B25"/>
    <w:rsid w:val="00AD5B40"/>
    <w:rsid w:val="00AD604C"/>
    <w:rsid w:val="00AD7C0D"/>
    <w:rsid w:val="00AE0919"/>
    <w:rsid w:val="00AE0D80"/>
    <w:rsid w:val="00AE1E8A"/>
    <w:rsid w:val="00AE2DBD"/>
    <w:rsid w:val="00AE2F8E"/>
    <w:rsid w:val="00AE48E2"/>
    <w:rsid w:val="00AE639C"/>
    <w:rsid w:val="00AF05F8"/>
    <w:rsid w:val="00AF2876"/>
    <w:rsid w:val="00AF2C8B"/>
    <w:rsid w:val="00AF4476"/>
    <w:rsid w:val="00AF4B6F"/>
    <w:rsid w:val="00AF62C4"/>
    <w:rsid w:val="00AF64AD"/>
    <w:rsid w:val="00B00A94"/>
    <w:rsid w:val="00B00FCC"/>
    <w:rsid w:val="00B012FD"/>
    <w:rsid w:val="00B04D53"/>
    <w:rsid w:val="00B0674E"/>
    <w:rsid w:val="00B067C6"/>
    <w:rsid w:val="00B06846"/>
    <w:rsid w:val="00B06E8F"/>
    <w:rsid w:val="00B07D3A"/>
    <w:rsid w:val="00B10786"/>
    <w:rsid w:val="00B11154"/>
    <w:rsid w:val="00B119FF"/>
    <w:rsid w:val="00B11F39"/>
    <w:rsid w:val="00B1371B"/>
    <w:rsid w:val="00B13DF1"/>
    <w:rsid w:val="00B16760"/>
    <w:rsid w:val="00B17937"/>
    <w:rsid w:val="00B22A09"/>
    <w:rsid w:val="00B231E1"/>
    <w:rsid w:val="00B234E5"/>
    <w:rsid w:val="00B23C15"/>
    <w:rsid w:val="00B24C4A"/>
    <w:rsid w:val="00B266CC"/>
    <w:rsid w:val="00B273CE"/>
    <w:rsid w:val="00B303A0"/>
    <w:rsid w:val="00B3065C"/>
    <w:rsid w:val="00B30B2B"/>
    <w:rsid w:val="00B32060"/>
    <w:rsid w:val="00B33145"/>
    <w:rsid w:val="00B3336C"/>
    <w:rsid w:val="00B34535"/>
    <w:rsid w:val="00B35733"/>
    <w:rsid w:val="00B36533"/>
    <w:rsid w:val="00B36C30"/>
    <w:rsid w:val="00B41E31"/>
    <w:rsid w:val="00B43E80"/>
    <w:rsid w:val="00B44167"/>
    <w:rsid w:val="00B45C51"/>
    <w:rsid w:val="00B474C8"/>
    <w:rsid w:val="00B513C9"/>
    <w:rsid w:val="00B52824"/>
    <w:rsid w:val="00B5430E"/>
    <w:rsid w:val="00B5434F"/>
    <w:rsid w:val="00B544AF"/>
    <w:rsid w:val="00B54A61"/>
    <w:rsid w:val="00B54D6B"/>
    <w:rsid w:val="00B558F2"/>
    <w:rsid w:val="00B5627A"/>
    <w:rsid w:val="00B56B0D"/>
    <w:rsid w:val="00B571D6"/>
    <w:rsid w:val="00B57459"/>
    <w:rsid w:val="00B57716"/>
    <w:rsid w:val="00B57979"/>
    <w:rsid w:val="00B600A3"/>
    <w:rsid w:val="00B605AC"/>
    <w:rsid w:val="00B609AB"/>
    <w:rsid w:val="00B61156"/>
    <w:rsid w:val="00B613CA"/>
    <w:rsid w:val="00B61E5E"/>
    <w:rsid w:val="00B62072"/>
    <w:rsid w:val="00B66605"/>
    <w:rsid w:val="00B66E1B"/>
    <w:rsid w:val="00B673FF"/>
    <w:rsid w:val="00B67A2C"/>
    <w:rsid w:val="00B70694"/>
    <w:rsid w:val="00B71FD6"/>
    <w:rsid w:val="00B72B59"/>
    <w:rsid w:val="00B73834"/>
    <w:rsid w:val="00B759DB"/>
    <w:rsid w:val="00B75C5E"/>
    <w:rsid w:val="00B75F92"/>
    <w:rsid w:val="00B7665B"/>
    <w:rsid w:val="00B77126"/>
    <w:rsid w:val="00B77EDF"/>
    <w:rsid w:val="00B8184B"/>
    <w:rsid w:val="00B82421"/>
    <w:rsid w:val="00B84706"/>
    <w:rsid w:val="00B84B4F"/>
    <w:rsid w:val="00B87160"/>
    <w:rsid w:val="00B87377"/>
    <w:rsid w:val="00B90387"/>
    <w:rsid w:val="00B92A93"/>
    <w:rsid w:val="00B941C4"/>
    <w:rsid w:val="00B95114"/>
    <w:rsid w:val="00B965C4"/>
    <w:rsid w:val="00B97E5B"/>
    <w:rsid w:val="00BA2A2D"/>
    <w:rsid w:val="00BA350D"/>
    <w:rsid w:val="00BA3753"/>
    <w:rsid w:val="00BA3898"/>
    <w:rsid w:val="00BA39A8"/>
    <w:rsid w:val="00BA6E3E"/>
    <w:rsid w:val="00BA6E5A"/>
    <w:rsid w:val="00BA7A5D"/>
    <w:rsid w:val="00BB10DD"/>
    <w:rsid w:val="00BB1FDD"/>
    <w:rsid w:val="00BB24A2"/>
    <w:rsid w:val="00BB57E0"/>
    <w:rsid w:val="00BC02B8"/>
    <w:rsid w:val="00BC2574"/>
    <w:rsid w:val="00BC4C5F"/>
    <w:rsid w:val="00BC52CC"/>
    <w:rsid w:val="00BC5E91"/>
    <w:rsid w:val="00BC6E63"/>
    <w:rsid w:val="00BD0A72"/>
    <w:rsid w:val="00BD385E"/>
    <w:rsid w:val="00BD3D72"/>
    <w:rsid w:val="00BD583E"/>
    <w:rsid w:val="00BD7C42"/>
    <w:rsid w:val="00BE0A55"/>
    <w:rsid w:val="00BE1D11"/>
    <w:rsid w:val="00BE2900"/>
    <w:rsid w:val="00BE3AFA"/>
    <w:rsid w:val="00BF11C8"/>
    <w:rsid w:val="00BF4564"/>
    <w:rsid w:val="00BF5956"/>
    <w:rsid w:val="00BF5FB3"/>
    <w:rsid w:val="00BF6478"/>
    <w:rsid w:val="00BF650C"/>
    <w:rsid w:val="00BF7573"/>
    <w:rsid w:val="00BF7A8C"/>
    <w:rsid w:val="00C00E82"/>
    <w:rsid w:val="00C0105D"/>
    <w:rsid w:val="00C01BC9"/>
    <w:rsid w:val="00C023AD"/>
    <w:rsid w:val="00C04225"/>
    <w:rsid w:val="00C048A1"/>
    <w:rsid w:val="00C04AB4"/>
    <w:rsid w:val="00C05DFE"/>
    <w:rsid w:val="00C07ADA"/>
    <w:rsid w:val="00C106F0"/>
    <w:rsid w:val="00C1141B"/>
    <w:rsid w:val="00C12515"/>
    <w:rsid w:val="00C1267F"/>
    <w:rsid w:val="00C1655D"/>
    <w:rsid w:val="00C1681D"/>
    <w:rsid w:val="00C16DB0"/>
    <w:rsid w:val="00C17E00"/>
    <w:rsid w:val="00C21224"/>
    <w:rsid w:val="00C214C0"/>
    <w:rsid w:val="00C23346"/>
    <w:rsid w:val="00C23D57"/>
    <w:rsid w:val="00C279ED"/>
    <w:rsid w:val="00C313F0"/>
    <w:rsid w:val="00C31C25"/>
    <w:rsid w:val="00C31D90"/>
    <w:rsid w:val="00C328FF"/>
    <w:rsid w:val="00C336E1"/>
    <w:rsid w:val="00C34FDE"/>
    <w:rsid w:val="00C3561D"/>
    <w:rsid w:val="00C35D8B"/>
    <w:rsid w:val="00C40822"/>
    <w:rsid w:val="00C40F82"/>
    <w:rsid w:val="00C416B1"/>
    <w:rsid w:val="00C43A4F"/>
    <w:rsid w:val="00C44641"/>
    <w:rsid w:val="00C44735"/>
    <w:rsid w:val="00C44739"/>
    <w:rsid w:val="00C45A02"/>
    <w:rsid w:val="00C4606F"/>
    <w:rsid w:val="00C4659B"/>
    <w:rsid w:val="00C470A6"/>
    <w:rsid w:val="00C47464"/>
    <w:rsid w:val="00C50EEB"/>
    <w:rsid w:val="00C5113B"/>
    <w:rsid w:val="00C51BF2"/>
    <w:rsid w:val="00C52612"/>
    <w:rsid w:val="00C52F31"/>
    <w:rsid w:val="00C5303A"/>
    <w:rsid w:val="00C5354B"/>
    <w:rsid w:val="00C53830"/>
    <w:rsid w:val="00C54E08"/>
    <w:rsid w:val="00C5720C"/>
    <w:rsid w:val="00C57C29"/>
    <w:rsid w:val="00C6052E"/>
    <w:rsid w:val="00C6116A"/>
    <w:rsid w:val="00C61A3B"/>
    <w:rsid w:val="00C623B9"/>
    <w:rsid w:val="00C62F5C"/>
    <w:rsid w:val="00C6306C"/>
    <w:rsid w:val="00C63449"/>
    <w:rsid w:val="00C64109"/>
    <w:rsid w:val="00C66069"/>
    <w:rsid w:val="00C675BB"/>
    <w:rsid w:val="00C678BD"/>
    <w:rsid w:val="00C70AC4"/>
    <w:rsid w:val="00C72BA3"/>
    <w:rsid w:val="00C72EF5"/>
    <w:rsid w:val="00C74A6B"/>
    <w:rsid w:val="00C7512A"/>
    <w:rsid w:val="00C7521B"/>
    <w:rsid w:val="00C75B2C"/>
    <w:rsid w:val="00C76B0A"/>
    <w:rsid w:val="00C80C7F"/>
    <w:rsid w:val="00C84FEA"/>
    <w:rsid w:val="00C853EA"/>
    <w:rsid w:val="00C860AA"/>
    <w:rsid w:val="00C90BD2"/>
    <w:rsid w:val="00C91BA0"/>
    <w:rsid w:val="00C927D3"/>
    <w:rsid w:val="00C931DF"/>
    <w:rsid w:val="00C93DCD"/>
    <w:rsid w:val="00C948CB"/>
    <w:rsid w:val="00C94A89"/>
    <w:rsid w:val="00C94CAA"/>
    <w:rsid w:val="00C95CDA"/>
    <w:rsid w:val="00C95D9B"/>
    <w:rsid w:val="00C967BD"/>
    <w:rsid w:val="00C96D68"/>
    <w:rsid w:val="00CA0811"/>
    <w:rsid w:val="00CA186B"/>
    <w:rsid w:val="00CA3763"/>
    <w:rsid w:val="00CA439A"/>
    <w:rsid w:val="00CA537F"/>
    <w:rsid w:val="00CA5B66"/>
    <w:rsid w:val="00CA61CA"/>
    <w:rsid w:val="00CB00CE"/>
    <w:rsid w:val="00CB01AA"/>
    <w:rsid w:val="00CB257C"/>
    <w:rsid w:val="00CB3611"/>
    <w:rsid w:val="00CB464B"/>
    <w:rsid w:val="00CB5BA0"/>
    <w:rsid w:val="00CB6674"/>
    <w:rsid w:val="00CB743B"/>
    <w:rsid w:val="00CB7EF3"/>
    <w:rsid w:val="00CC02A9"/>
    <w:rsid w:val="00CC08F8"/>
    <w:rsid w:val="00CC2282"/>
    <w:rsid w:val="00CC240C"/>
    <w:rsid w:val="00CC2A9B"/>
    <w:rsid w:val="00CC4B52"/>
    <w:rsid w:val="00CC564E"/>
    <w:rsid w:val="00CC604B"/>
    <w:rsid w:val="00CC79E9"/>
    <w:rsid w:val="00CD105D"/>
    <w:rsid w:val="00CD2660"/>
    <w:rsid w:val="00CD38FF"/>
    <w:rsid w:val="00CD3E9F"/>
    <w:rsid w:val="00CE00BF"/>
    <w:rsid w:val="00CE01AD"/>
    <w:rsid w:val="00CE0537"/>
    <w:rsid w:val="00CE17BE"/>
    <w:rsid w:val="00CE266B"/>
    <w:rsid w:val="00CE4D4F"/>
    <w:rsid w:val="00CE4F3A"/>
    <w:rsid w:val="00CE4F73"/>
    <w:rsid w:val="00CE7B6C"/>
    <w:rsid w:val="00CF0CA6"/>
    <w:rsid w:val="00CF11DE"/>
    <w:rsid w:val="00CF19A5"/>
    <w:rsid w:val="00CF477F"/>
    <w:rsid w:val="00CF48F9"/>
    <w:rsid w:val="00CF4D37"/>
    <w:rsid w:val="00CF77DA"/>
    <w:rsid w:val="00D00AC4"/>
    <w:rsid w:val="00D00EB1"/>
    <w:rsid w:val="00D00EFA"/>
    <w:rsid w:val="00D040F1"/>
    <w:rsid w:val="00D0421C"/>
    <w:rsid w:val="00D042E4"/>
    <w:rsid w:val="00D058F1"/>
    <w:rsid w:val="00D06C1A"/>
    <w:rsid w:val="00D106AF"/>
    <w:rsid w:val="00D10D46"/>
    <w:rsid w:val="00D1104B"/>
    <w:rsid w:val="00D1133C"/>
    <w:rsid w:val="00D119A7"/>
    <w:rsid w:val="00D11E9E"/>
    <w:rsid w:val="00D1285A"/>
    <w:rsid w:val="00D13B02"/>
    <w:rsid w:val="00D13E74"/>
    <w:rsid w:val="00D15586"/>
    <w:rsid w:val="00D15FF3"/>
    <w:rsid w:val="00D167BD"/>
    <w:rsid w:val="00D225EB"/>
    <w:rsid w:val="00D22AD4"/>
    <w:rsid w:val="00D236F2"/>
    <w:rsid w:val="00D25751"/>
    <w:rsid w:val="00D271E2"/>
    <w:rsid w:val="00D27E3F"/>
    <w:rsid w:val="00D333F7"/>
    <w:rsid w:val="00D345B3"/>
    <w:rsid w:val="00D3497D"/>
    <w:rsid w:val="00D36D12"/>
    <w:rsid w:val="00D3742F"/>
    <w:rsid w:val="00D375B8"/>
    <w:rsid w:val="00D40C45"/>
    <w:rsid w:val="00D423B2"/>
    <w:rsid w:val="00D43440"/>
    <w:rsid w:val="00D43DA8"/>
    <w:rsid w:val="00D44F97"/>
    <w:rsid w:val="00D476E0"/>
    <w:rsid w:val="00D50692"/>
    <w:rsid w:val="00D5213C"/>
    <w:rsid w:val="00D5547A"/>
    <w:rsid w:val="00D57D1B"/>
    <w:rsid w:val="00D608DE"/>
    <w:rsid w:val="00D61383"/>
    <w:rsid w:val="00D618F9"/>
    <w:rsid w:val="00D662D1"/>
    <w:rsid w:val="00D66786"/>
    <w:rsid w:val="00D66A77"/>
    <w:rsid w:val="00D672DF"/>
    <w:rsid w:val="00D700DE"/>
    <w:rsid w:val="00D7124F"/>
    <w:rsid w:val="00D736BC"/>
    <w:rsid w:val="00D73A68"/>
    <w:rsid w:val="00D74B2C"/>
    <w:rsid w:val="00D7576D"/>
    <w:rsid w:val="00D75B53"/>
    <w:rsid w:val="00D8031F"/>
    <w:rsid w:val="00D8280D"/>
    <w:rsid w:val="00D837E2"/>
    <w:rsid w:val="00D8704F"/>
    <w:rsid w:val="00D9110F"/>
    <w:rsid w:val="00D91A96"/>
    <w:rsid w:val="00D92EB7"/>
    <w:rsid w:val="00D9330E"/>
    <w:rsid w:val="00D936DD"/>
    <w:rsid w:val="00D9376E"/>
    <w:rsid w:val="00D96005"/>
    <w:rsid w:val="00DA01F2"/>
    <w:rsid w:val="00DA13C3"/>
    <w:rsid w:val="00DA1A9E"/>
    <w:rsid w:val="00DA1D07"/>
    <w:rsid w:val="00DA2F90"/>
    <w:rsid w:val="00DA38F2"/>
    <w:rsid w:val="00DA494C"/>
    <w:rsid w:val="00DA5136"/>
    <w:rsid w:val="00DA5320"/>
    <w:rsid w:val="00DA5B62"/>
    <w:rsid w:val="00DA6649"/>
    <w:rsid w:val="00DA799C"/>
    <w:rsid w:val="00DB0918"/>
    <w:rsid w:val="00DB25EC"/>
    <w:rsid w:val="00DB2837"/>
    <w:rsid w:val="00DB39FF"/>
    <w:rsid w:val="00DB56AF"/>
    <w:rsid w:val="00DB580E"/>
    <w:rsid w:val="00DB7D70"/>
    <w:rsid w:val="00DC1845"/>
    <w:rsid w:val="00DC4446"/>
    <w:rsid w:val="00DC5801"/>
    <w:rsid w:val="00DC6186"/>
    <w:rsid w:val="00DD0BC5"/>
    <w:rsid w:val="00DD0CE5"/>
    <w:rsid w:val="00DD2A62"/>
    <w:rsid w:val="00DD3257"/>
    <w:rsid w:val="00DD41E3"/>
    <w:rsid w:val="00DD530C"/>
    <w:rsid w:val="00DD542B"/>
    <w:rsid w:val="00DD651B"/>
    <w:rsid w:val="00DD76C0"/>
    <w:rsid w:val="00DE383D"/>
    <w:rsid w:val="00DE472A"/>
    <w:rsid w:val="00DE4E92"/>
    <w:rsid w:val="00DE5A1E"/>
    <w:rsid w:val="00DE61F8"/>
    <w:rsid w:val="00DF0816"/>
    <w:rsid w:val="00DF0F7A"/>
    <w:rsid w:val="00DF16F9"/>
    <w:rsid w:val="00DF2010"/>
    <w:rsid w:val="00DF2511"/>
    <w:rsid w:val="00DF2731"/>
    <w:rsid w:val="00DF4C2B"/>
    <w:rsid w:val="00DF6531"/>
    <w:rsid w:val="00E00ADE"/>
    <w:rsid w:val="00E014B1"/>
    <w:rsid w:val="00E03324"/>
    <w:rsid w:val="00E034AA"/>
    <w:rsid w:val="00E03662"/>
    <w:rsid w:val="00E0438A"/>
    <w:rsid w:val="00E0460E"/>
    <w:rsid w:val="00E05E20"/>
    <w:rsid w:val="00E07C31"/>
    <w:rsid w:val="00E12D6C"/>
    <w:rsid w:val="00E130AC"/>
    <w:rsid w:val="00E15099"/>
    <w:rsid w:val="00E15653"/>
    <w:rsid w:val="00E17095"/>
    <w:rsid w:val="00E17177"/>
    <w:rsid w:val="00E205C5"/>
    <w:rsid w:val="00E21896"/>
    <w:rsid w:val="00E218F6"/>
    <w:rsid w:val="00E2263F"/>
    <w:rsid w:val="00E232BE"/>
    <w:rsid w:val="00E2546D"/>
    <w:rsid w:val="00E25B6A"/>
    <w:rsid w:val="00E2603A"/>
    <w:rsid w:val="00E26A95"/>
    <w:rsid w:val="00E270DA"/>
    <w:rsid w:val="00E271BC"/>
    <w:rsid w:val="00E30D5C"/>
    <w:rsid w:val="00E32879"/>
    <w:rsid w:val="00E3442A"/>
    <w:rsid w:val="00E347B6"/>
    <w:rsid w:val="00E34B73"/>
    <w:rsid w:val="00E34FFB"/>
    <w:rsid w:val="00E35130"/>
    <w:rsid w:val="00E35BDD"/>
    <w:rsid w:val="00E35C51"/>
    <w:rsid w:val="00E373C9"/>
    <w:rsid w:val="00E3782B"/>
    <w:rsid w:val="00E37D90"/>
    <w:rsid w:val="00E400F2"/>
    <w:rsid w:val="00E40CFB"/>
    <w:rsid w:val="00E41466"/>
    <w:rsid w:val="00E41CC2"/>
    <w:rsid w:val="00E436BE"/>
    <w:rsid w:val="00E463A0"/>
    <w:rsid w:val="00E466CA"/>
    <w:rsid w:val="00E50C3C"/>
    <w:rsid w:val="00E51464"/>
    <w:rsid w:val="00E51A75"/>
    <w:rsid w:val="00E55215"/>
    <w:rsid w:val="00E55654"/>
    <w:rsid w:val="00E557FF"/>
    <w:rsid w:val="00E5590E"/>
    <w:rsid w:val="00E55BAF"/>
    <w:rsid w:val="00E565E4"/>
    <w:rsid w:val="00E579B7"/>
    <w:rsid w:val="00E57F6C"/>
    <w:rsid w:val="00E605DA"/>
    <w:rsid w:val="00E60F70"/>
    <w:rsid w:val="00E612D5"/>
    <w:rsid w:val="00E613B9"/>
    <w:rsid w:val="00E6181D"/>
    <w:rsid w:val="00E61D70"/>
    <w:rsid w:val="00E61DCE"/>
    <w:rsid w:val="00E63955"/>
    <w:rsid w:val="00E63ECA"/>
    <w:rsid w:val="00E6426A"/>
    <w:rsid w:val="00E64B93"/>
    <w:rsid w:val="00E64DF6"/>
    <w:rsid w:val="00E65644"/>
    <w:rsid w:val="00E659FE"/>
    <w:rsid w:val="00E66816"/>
    <w:rsid w:val="00E67360"/>
    <w:rsid w:val="00E70E48"/>
    <w:rsid w:val="00E727B3"/>
    <w:rsid w:val="00E72B06"/>
    <w:rsid w:val="00E747C6"/>
    <w:rsid w:val="00E77845"/>
    <w:rsid w:val="00E77BBF"/>
    <w:rsid w:val="00E80CBC"/>
    <w:rsid w:val="00E8268C"/>
    <w:rsid w:val="00E82753"/>
    <w:rsid w:val="00E82ADE"/>
    <w:rsid w:val="00E84338"/>
    <w:rsid w:val="00E860E3"/>
    <w:rsid w:val="00E86D04"/>
    <w:rsid w:val="00E87762"/>
    <w:rsid w:val="00E92045"/>
    <w:rsid w:val="00E9444C"/>
    <w:rsid w:val="00E94E7F"/>
    <w:rsid w:val="00E96376"/>
    <w:rsid w:val="00EA00FA"/>
    <w:rsid w:val="00EA1550"/>
    <w:rsid w:val="00EA30BF"/>
    <w:rsid w:val="00EA42CC"/>
    <w:rsid w:val="00EA5270"/>
    <w:rsid w:val="00EA5910"/>
    <w:rsid w:val="00EA5F4F"/>
    <w:rsid w:val="00EA5FFD"/>
    <w:rsid w:val="00EA6045"/>
    <w:rsid w:val="00EA6BF0"/>
    <w:rsid w:val="00EB1F1A"/>
    <w:rsid w:val="00EB2E08"/>
    <w:rsid w:val="00EB2EEE"/>
    <w:rsid w:val="00EB328C"/>
    <w:rsid w:val="00EB4D5D"/>
    <w:rsid w:val="00EB7857"/>
    <w:rsid w:val="00EB7A5D"/>
    <w:rsid w:val="00EC023C"/>
    <w:rsid w:val="00EC0B48"/>
    <w:rsid w:val="00EC2523"/>
    <w:rsid w:val="00EC257B"/>
    <w:rsid w:val="00EC3EF7"/>
    <w:rsid w:val="00EC4CC1"/>
    <w:rsid w:val="00EC5073"/>
    <w:rsid w:val="00EC683E"/>
    <w:rsid w:val="00EC6D98"/>
    <w:rsid w:val="00EC7FF8"/>
    <w:rsid w:val="00ED0B16"/>
    <w:rsid w:val="00ED1022"/>
    <w:rsid w:val="00ED4398"/>
    <w:rsid w:val="00ED4925"/>
    <w:rsid w:val="00ED5B34"/>
    <w:rsid w:val="00ED63D1"/>
    <w:rsid w:val="00ED6700"/>
    <w:rsid w:val="00EE082F"/>
    <w:rsid w:val="00EE28A5"/>
    <w:rsid w:val="00EE3823"/>
    <w:rsid w:val="00EE38A7"/>
    <w:rsid w:val="00EE6E4B"/>
    <w:rsid w:val="00EF0861"/>
    <w:rsid w:val="00EF0B8E"/>
    <w:rsid w:val="00EF0F2D"/>
    <w:rsid w:val="00EF18EC"/>
    <w:rsid w:val="00EF1E57"/>
    <w:rsid w:val="00EF3857"/>
    <w:rsid w:val="00EF4090"/>
    <w:rsid w:val="00EF4AF3"/>
    <w:rsid w:val="00EF5FFD"/>
    <w:rsid w:val="00EF694B"/>
    <w:rsid w:val="00EF6C15"/>
    <w:rsid w:val="00F0052A"/>
    <w:rsid w:val="00F05AC3"/>
    <w:rsid w:val="00F05DEC"/>
    <w:rsid w:val="00F05E2E"/>
    <w:rsid w:val="00F072C5"/>
    <w:rsid w:val="00F0759C"/>
    <w:rsid w:val="00F1305B"/>
    <w:rsid w:val="00F1368F"/>
    <w:rsid w:val="00F1374F"/>
    <w:rsid w:val="00F15884"/>
    <w:rsid w:val="00F1655E"/>
    <w:rsid w:val="00F172E3"/>
    <w:rsid w:val="00F2058D"/>
    <w:rsid w:val="00F20E04"/>
    <w:rsid w:val="00F20F18"/>
    <w:rsid w:val="00F20F4B"/>
    <w:rsid w:val="00F224BF"/>
    <w:rsid w:val="00F22B7D"/>
    <w:rsid w:val="00F22E62"/>
    <w:rsid w:val="00F22FD0"/>
    <w:rsid w:val="00F24202"/>
    <w:rsid w:val="00F24372"/>
    <w:rsid w:val="00F244EA"/>
    <w:rsid w:val="00F25568"/>
    <w:rsid w:val="00F25F94"/>
    <w:rsid w:val="00F26104"/>
    <w:rsid w:val="00F26844"/>
    <w:rsid w:val="00F31524"/>
    <w:rsid w:val="00F318D2"/>
    <w:rsid w:val="00F3207C"/>
    <w:rsid w:val="00F3258B"/>
    <w:rsid w:val="00F32C70"/>
    <w:rsid w:val="00F32E58"/>
    <w:rsid w:val="00F33AEF"/>
    <w:rsid w:val="00F33B71"/>
    <w:rsid w:val="00F3451D"/>
    <w:rsid w:val="00F3565D"/>
    <w:rsid w:val="00F41196"/>
    <w:rsid w:val="00F413C4"/>
    <w:rsid w:val="00F41436"/>
    <w:rsid w:val="00F4292E"/>
    <w:rsid w:val="00F42DEB"/>
    <w:rsid w:val="00F432B8"/>
    <w:rsid w:val="00F45478"/>
    <w:rsid w:val="00F4621E"/>
    <w:rsid w:val="00F53A1C"/>
    <w:rsid w:val="00F54DA5"/>
    <w:rsid w:val="00F557D0"/>
    <w:rsid w:val="00F5621A"/>
    <w:rsid w:val="00F60754"/>
    <w:rsid w:val="00F60B1E"/>
    <w:rsid w:val="00F614A4"/>
    <w:rsid w:val="00F621B0"/>
    <w:rsid w:val="00F634AD"/>
    <w:rsid w:val="00F647CB"/>
    <w:rsid w:val="00F65587"/>
    <w:rsid w:val="00F656DA"/>
    <w:rsid w:val="00F66324"/>
    <w:rsid w:val="00F666CD"/>
    <w:rsid w:val="00F667B8"/>
    <w:rsid w:val="00F669AD"/>
    <w:rsid w:val="00F72A74"/>
    <w:rsid w:val="00F751CF"/>
    <w:rsid w:val="00F7663D"/>
    <w:rsid w:val="00F769F0"/>
    <w:rsid w:val="00F770DC"/>
    <w:rsid w:val="00F77106"/>
    <w:rsid w:val="00F77497"/>
    <w:rsid w:val="00F802C8"/>
    <w:rsid w:val="00F82269"/>
    <w:rsid w:val="00F82372"/>
    <w:rsid w:val="00F8287D"/>
    <w:rsid w:val="00F837F4"/>
    <w:rsid w:val="00F83F7F"/>
    <w:rsid w:val="00F84052"/>
    <w:rsid w:val="00F84F2E"/>
    <w:rsid w:val="00F85405"/>
    <w:rsid w:val="00F86A9C"/>
    <w:rsid w:val="00F87833"/>
    <w:rsid w:val="00F879A1"/>
    <w:rsid w:val="00F9031D"/>
    <w:rsid w:val="00F90826"/>
    <w:rsid w:val="00F9089F"/>
    <w:rsid w:val="00F9104B"/>
    <w:rsid w:val="00F957AB"/>
    <w:rsid w:val="00F961F4"/>
    <w:rsid w:val="00F97D34"/>
    <w:rsid w:val="00FA071C"/>
    <w:rsid w:val="00FA1A6D"/>
    <w:rsid w:val="00FA2537"/>
    <w:rsid w:val="00FA2DFA"/>
    <w:rsid w:val="00FA49F1"/>
    <w:rsid w:val="00FA63B9"/>
    <w:rsid w:val="00FB0926"/>
    <w:rsid w:val="00FB18BC"/>
    <w:rsid w:val="00FB4256"/>
    <w:rsid w:val="00FB442C"/>
    <w:rsid w:val="00FB6F1C"/>
    <w:rsid w:val="00FC1DD2"/>
    <w:rsid w:val="00FC2917"/>
    <w:rsid w:val="00FC2D6D"/>
    <w:rsid w:val="00FC4411"/>
    <w:rsid w:val="00FC6BEA"/>
    <w:rsid w:val="00FC6ED3"/>
    <w:rsid w:val="00FC6EDA"/>
    <w:rsid w:val="00FC7913"/>
    <w:rsid w:val="00FD1198"/>
    <w:rsid w:val="00FD1302"/>
    <w:rsid w:val="00FD13E5"/>
    <w:rsid w:val="00FD4ABE"/>
    <w:rsid w:val="00FD664A"/>
    <w:rsid w:val="00FD6BDC"/>
    <w:rsid w:val="00FD70BA"/>
    <w:rsid w:val="00FD7E62"/>
    <w:rsid w:val="00FE0AB1"/>
    <w:rsid w:val="00FE1CD5"/>
    <w:rsid w:val="00FE3AA3"/>
    <w:rsid w:val="00FE42CF"/>
    <w:rsid w:val="00FE4B36"/>
    <w:rsid w:val="00FE5066"/>
    <w:rsid w:val="00FE628E"/>
    <w:rsid w:val="00FE7697"/>
    <w:rsid w:val="00FE7F46"/>
    <w:rsid w:val="00FF0C35"/>
    <w:rsid w:val="00FF20B5"/>
    <w:rsid w:val="00FF28B2"/>
    <w:rsid w:val="00FF2E4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DC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8C7"/>
  </w:style>
  <w:style w:type="paragraph" w:styleId="Heading1">
    <w:name w:val="heading 1"/>
    <w:basedOn w:val="Normal"/>
    <w:next w:val="Normal"/>
    <w:qFormat/>
    <w:pPr>
      <w:keepNext/>
      <w:outlineLvl w:val="0"/>
    </w:pPr>
    <w:rPr>
      <w:rFonts w:ascii="Palatino" w:hAnsi="Palatino"/>
      <w:b/>
      <w:sz w:val="24"/>
      <w:u w:val="single"/>
    </w:rPr>
  </w:style>
  <w:style w:type="paragraph" w:styleId="Heading2">
    <w:name w:val="heading 2"/>
    <w:basedOn w:val="Normal"/>
    <w:next w:val="Normal"/>
    <w:qFormat/>
    <w:pPr>
      <w:keepNext/>
      <w:tabs>
        <w:tab w:val="left" w:pos="720"/>
      </w:tabs>
      <w:spacing w:after="120"/>
      <w:ind w:left="720"/>
      <w:outlineLvl w:val="1"/>
    </w:pPr>
    <w:rPr>
      <w:rFonts w:ascii="Palatino" w:hAnsi="Palatino"/>
      <w:b/>
      <w:sz w:val="24"/>
    </w:rPr>
  </w:style>
  <w:style w:type="paragraph" w:styleId="Heading3">
    <w:name w:val="heading 3"/>
    <w:basedOn w:val="Normal"/>
    <w:next w:val="Normal"/>
    <w:qFormat/>
    <w:pPr>
      <w:keepNext/>
      <w:outlineLvl w:val="2"/>
    </w:pPr>
    <w:rPr>
      <w:rFonts w:ascii="Palatino" w:hAnsi="Palatino"/>
      <w:sz w:val="24"/>
    </w:rPr>
  </w:style>
  <w:style w:type="paragraph" w:styleId="Heading4">
    <w:name w:val="heading 4"/>
    <w:basedOn w:val="Normal"/>
    <w:next w:val="Normal"/>
    <w:qFormat/>
    <w:pPr>
      <w:keepNext/>
      <w:spacing w:after="120"/>
      <w:ind w:left="720"/>
      <w:outlineLvl w:val="3"/>
    </w:pPr>
    <w:rPr>
      <w:rFonts w:ascii="Palatino" w:hAnsi="Palatino"/>
      <w:b/>
      <w:sz w:val="24"/>
      <w:u w:val="single"/>
    </w:rPr>
  </w:style>
  <w:style w:type="paragraph" w:styleId="Heading5">
    <w:name w:val="heading 5"/>
    <w:basedOn w:val="Normal"/>
    <w:next w:val="Normal"/>
    <w:qFormat/>
    <w:pPr>
      <w:keepNext/>
      <w:ind w:left="720" w:right="1440"/>
      <w:outlineLvl w:val="4"/>
    </w:pPr>
    <w:rPr>
      <w:rFonts w:ascii="Palatino" w:hAnsi="Palatino"/>
      <w:b/>
      <w:bCs/>
      <w:sz w:val="24"/>
    </w:rPr>
  </w:style>
  <w:style w:type="paragraph" w:styleId="Heading6">
    <w:name w:val="heading 6"/>
    <w:basedOn w:val="Normal"/>
    <w:next w:val="Normal"/>
    <w:qFormat/>
    <w:pPr>
      <w:keepNext/>
      <w:spacing w:before="120"/>
      <w:jc w:val="right"/>
      <w:outlineLvl w:val="5"/>
    </w:pPr>
    <w:rPr>
      <w:sz w:val="24"/>
    </w:rPr>
  </w:style>
  <w:style w:type="paragraph" w:styleId="Heading7">
    <w:name w:val="heading 7"/>
    <w:basedOn w:val="Normal"/>
    <w:next w:val="Normal"/>
    <w:qFormat/>
    <w:pPr>
      <w:keepNext/>
      <w:spacing w:after="120"/>
      <w:ind w:right="-720" w:firstLine="720"/>
      <w:outlineLvl w:val="6"/>
    </w:pPr>
    <w:rPr>
      <w:rFonts w:ascii="Palatino" w:hAnsi="Palatino"/>
      <w:b/>
      <w:sz w:val="24"/>
      <w:u w:val="single"/>
    </w:rPr>
  </w:style>
  <w:style w:type="paragraph" w:styleId="Heading8">
    <w:name w:val="heading 8"/>
    <w:basedOn w:val="Normal"/>
    <w:next w:val="Normal"/>
    <w:qFormat/>
    <w:pPr>
      <w:keepNext/>
      <w:spacing w:after="120"/>
      <w:ind w:firstLine="720"/>
      <w:outlineLvl w:val="7"/>
    </w:pPr>
    <w:rPr>
      <w:b/>
      <w:sz w:val="24"/>
      <w:u w:val="single"/>
    </w:rPr>
  </w:style>
  <w:style w:type="paragraph" w:styleId="Heading9">
    <w:name w:val="heading 9"/>
    <w:basedOn w:val="Normal"/>
    <w:next w:val="Normal"/>
    <w:qFormat/>
    <w:pPr>
      <w:keepNext/>
      <w:outlineLvl w:val="8"/>
    </w:pPr>
    <w:rPr>
      <w:rFonts w:ascii="Palatino" w:hAnsi="Palatino"/>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BlockText">
    <w:name w:val="Block Text"/>
    <w:basedOn w:val="Normal"/>
    <w:pPr>
      <w:ind w:left="720" w:right="720"/>
      <w:jc w:val="both"/>
    </w:pPr>
    <w:rPr>
      <w:rFonts w:ascii="Palatino" w:hAnsi="Palatino"/>
      <w:sz w:val="24"/>
    </w:rPr>
  </w:style>
  <w:style w:type="paragraph" w:styleId="BodyText">
    <w:name w:val="Body Text"/>
    <w:basedOn w:val="Normal"/>
    <w:link w:val="BodyTextChar1"/>
    <w:pPr>
      <w:tabs>
        <w:tab w:val="left" w:pos="720"/>
      </w:tabs>
      <w:spacing w:after="120"/>
    </w:pPr>
    <w:rPr>
      <w:rFonts w:ascii="Palatino" w:hAnsi="Palatino"/>
      <w:sz w:val="24"/>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f,ALTS FOOTNOTE"/>
    <w:basedOn w:val="Normal"/>
    <w:link w:val="FootnoteTextChar"/>
  </w:style>
  <w:style w:type="character" w:styleId="FootnoteReference">
    <w:name w:val="footnote reference"/>
    <w:aliases w:val="o,fr,Style 3,o1,o2,o3,o4,o5,o6,o11,o21,o7,Appel note de bas de p,Style 12,(NECG) Footnote Reference,Style 124,Style 13,FR,Style 17,Style 6,Footnote Reference/,Style 7,Style 4,Style 34,Style 9,Footnote Reference1"/>
    <w:rPr>
      <w:vertAlign w:val="superscript"/>
    </w:rPr>
  </w:style>
  <w:style w:type="paragraph" w:styleId="BodyText2">
    <w:name w:val="Body Text 2"/>
    <w:basedOn w:val="Normal"/>
    <w:pPr>
      <w:spacing w:after="120"/>
      <w:ind w:right="-720"/>
    </w:pPr>
    <w:rPr>
      <w:sz w:val="24"/>
    </w:rPr>
  </w:style>
  <w:style w:type="character" w:styleId="Hyperlink">
    <w:name w:val="Hyperlink"/>
    <w:uiPriority w:val="99"/>
    <w:rPr>
      <w:color w:val="0000FF"/>
      <w:u w:val="single"/>
    </w:rPr>
  </w:style>
  <w:style w:type="paragraph" w:customStyle="1" w:styleId="xl41">
    <w:name w:val="xl41"/>
    <w:basedOn w:val="Normal"/>
    <w:pPr>
      <w:overflowPunct w:val="0"/>
      <w:autoSpaceDE w:val="0"/>
      <w:autoSpaceDN w:val="0"/>
      <w:adjustRightInd w:val="0"/>
      <w:spacing w:before="100" w:after="100"/>
      <w:textAlignment w:val="baseline"/>
    </w:pPr>
    <w:rPr>
      <w:rFonts w:ascii="Arial Unicode MS" w:eastAsia="Arial Unicode MS"/>
      <w:sz w:val="24"/>
    </w:rPr>
  </w:style>
  <w:style w:type="character" w:styleId="FollowedHyperlink">
    <w:name w:val="FollowedHyperlink"/>
    <w:rPr>
      <w:color w:val="800080"/>
      <w:u w:val="single"/>
    </w:rPr>
  </w:style>
  <w:style w:type="paragraph" w:styleId="BodyTextIndent">
    <w:name w:val="Body Text Indent"/>
    <w:basedOn w:val="Normal"/>
    <w:pPr>
      <w:tabs>
        <w:tab w:val="left" w:pos="360"/>
      </w:tabs>
      <w:ind w:left="360" w:hanging="360"/>
    </w:pPr>
    <w:rPr>
      <w:rFonts w:ascii="Palatino" w:hAnsi="Palatino"/>
      <w:sz w:val="24"/>
    </w:rPr>
  </w:style>
  <w:style w:type="paragraph" w:styleId="BodyTextIndent2">
    <w:name w:val="Body Text Indent 2"/>
    <w:basedOn w:val="Normal"/>
    <w:pPr>
      <w:ind w:left="60"/>
    </w:pPr>
    <w:rPr>
      <w:rFonts w:ascii="Palatino" w:hAnsi="Palatino"/>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Indent3">
    <w:name w:val="Body Text Indent 3"/>
    <w:basedOn w:val="Normal"/>
    <w:pPr>
      <w:tabs>
        <w:tab w:val="left" w:pos="360"/>
        <w:tab w:val="left" w:pos="9540"/>
      </w:tabs>
      <w:spacing w:after="120"/>
      <w:ind w:left="360"/>
    </w:pPr>
    <w:rPr>
      <w:rFonts w:ascii="Palatino" w:hAnsi="Palatino"/>
      <w:sz w:val="24"/>
    </w:rPr>
  </w:style>
  <w:style w:type="paragraph" w:customStyle="1" w:styleId="font0">
    <w:name w:val="font0"/>
    <w:basedOn w:val="Normal"/>
    <w:pPr>
      <w:spacing w:before="100" w:beforeAutospacing="1" w:after="100" w:afterAutospacing="1"/>
    </w:pPr>
    <w:rPr>
      <w:rFonts w:ascii="Arial" w:eastAsia="Arial Unicode MS" w:hAnsi="Arial" w:cs="Arial"/>
    </w:rPr>
  </w:style>
  <w:style w:type="paragraph" w:customStyle="1" w:styleId="font5">
    <w:name w:val="font5"/>
    <w:basedOn w:val="Normal"/>
    <w:pPr>
      <w:spacing w:before="100" w:beforeAutospacing="1" w:after="100" w:afterAutospacing="1"/>
    </w:pPr>
    <w:rPr>
      <w:rFonts w:ascii="Arial" w:eastAsia="Arial Unicode MS" w:hAnsi="Arial" w:cs="Arial"/>
      <w:sz w:val="16"/>
      <w:szCs w:val="16"/>
    </w:rPr>
  </w:style>
  <w:style w:type="paragraph" w:customStyle="1" w:styleId="xl24">
    <w:name w:val="xl24"/>
    <w:basedOn w:val="Normal"/>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25">
    <w:name w:val="xl25"/>
    <w:basedOn w:val="Normal"/>
    <w:pPr>
      <w:spacing w:before="100" w:beforeAutospacing="1" w:after="100" w:afterAutospacing="1"/>
      <w:jc w:val="right"/>
    </w:pPr>
    <w:rPr>
      <w:rFonts w:ascii="Arial" w:eastAsia="Arial Unicode MS" w:hAnsi="Arial" w:cs="Arial"/>
      <w:b/>
      <w:bCs/>
      <w:sz w:val="24"/>
      <w:szCs w:val="24"/>
      <w:u w:val="single"/>
    </w:rPr>
  </w:style>
  <w:style w:type="paragraph" w:customStyle="1" w:styleId="xl27">
    <w:name w:val="xl27"/>
    <w:basedOn w:val="Normal"/>
    <w:pPr>
      <w:spacing w:before="100" w:beforeAutospacing="1" w:after="100" w:afterAutospacing="1"/>
    </w:pPr>
    <w:rPr>
      <w:rFonts w:ascii="Arial" w:eastAsia="Arial Unicode MS" w:hAnsi="Arial" w:cs="Arial"/>
      <w:sz w:val="24"/>
      <w:szCs w:val="24"/>
    </w:rPr>
  </w:style>
  <w:style w:type="paragraph" w:customStyle="1" w:styleId="xl28">
    <w:name w:val="xl28"/>
    <w:basedOn w:val="Normal"/>
    <w:pPr>
      <w:spacing w:before="100" w:beforeAutospacing="1" w:after="100" w:afterAutospacing="1"/>
    </w:pPr>
    <w:rPr>
      <w:rFonts w:ascii="Arial" w:eastAsia="Arial Unicode MS" w:hAnsi="Arial" w:cs="Arial"/>
      <w:b/>
      <w:bCs/>
      <w:sz w:val="24"/>
      <w:szCs w:val="24"/>
    </w:rPr>
  </w:style>
  <w:style w:type="paragraph" w:customStyle="1" w:styleId="xl30">
    <w:name w:val="xl30"/>
    <w:basedOn w:val="Normal"/>
    <w:pPr>
      <w:spacing w:before="100" w:beforeAutospacing="1" w:after="100" w:afterAutospacing="1"/>
    </w:pPr>
    <w:rPr>
      <w:rFonts w:ascii="Arial Unicode MS" w:eastAsia="Arial Unicode MS" w:hAnsi="Arial Unicode MS" w:cs="Arial Unicode MS"/>
      <w:b/>
      <w:bCs/>
      <w:sz w:val="24"/>
      <w:szCs w:val="24"/>
    </w:rPr>
  </w:style>
  <w:style w:type="paragraph" w:customStyle="1" w:styleId="xl31">
    <w:name w:val="xl31"/>
    <w:basedOn w:val="Normal"/>
    <w:pPr>
      <w:spacing w:before="100" w:beforeAutospacing="1" w:after="100" w:afterAutospacing="1"/>
    </w:pPr>
    <w:rPr>
      <w:rFonts w:ascii="Arial" w:eastAsia="Arial Unicode MS" w:hAnsi="Arial" w:cs="Arial"/>
      <w:b/>
      <w:bCs/>
      <w:sz w:val="24"/>
      <w:szCs w:val="24"/>
    </w:rPr>
  </w:style>
  <w:style w:type="paragraph" w:customStyle="1" w:styleId="xl32">
    <w:name w:val="xl32"/>
    <w:basedOn w:val="Normal"/>
    <w:pPr>
      <w:spacing w:before="100" w:beforeAutospacing="1" w:after="100" w:afterAutospacing="1"/>
    </w:pPr>
    <w:rPr>
      <w:rFonts w:ascii="Arial" w:eastAsia="Arial Unicode MS" w:hAnsi="Arial" w:cs="Arial"/>
      <w:sz w:val="16"/>
      <w:szCs w:val="16"/>
    </w:rPr>
  </w:style>
  <w:style w:type="paragraph" w:customStyle="1" w:styleId="xl33">
    <w:name w:val="xl33"/>
    <w:basedOn w:val="Normal"/>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34">
    <w:name w:val="xl34"/>
    <w:basedOn w:val="Normal"/>
    <w:pPr>
      <w:spacing w:before="100" w:beforeAutospacing="1" w:after="100" w:afterAutospacing="1"/>
      <w:jc w:val="right"/>
    </w:pPr>
    <w:rPr>
      <w:rFonts w:ascii="Arial" w:eastAsia="Arial Unicode MS" w:hAnsi="Arial" w:cs="Arial"/>
      <w:b/>
      <w:bCs/>
      <w:sz w:val="24"/>
      <w:szCs w:val="24"/>
      <w:u w:val="single"/>
    </w:rPr>
  </w:style>
  <w:style w:type="paragraph" w:customStyle="1" w:styleId="xl35">
    <w:name w:val="xl35"/>
    <w:basedOn w:val="Normal"/>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6">
    <w:name w:val="xl36"/>
    <w:basedOn w:val="Normal"/>
    <w:pPr>
      <w:spacing w:before="100" w:beforeAutospacing="1" w:after="100" w:afterAutospacing="1"/>
      <w:jc w:val="right"/>
    </w:pPr>
    <w:rPr>
      <w:rFonts w:ascii="Arial" w:eastAsia="Arial Unicode MS" w:hAnsi="Arial" w:cs="Arial"/>
      <w:sz w:val="24"/>
      <w:szCs w:val="24"/>
    </w:rPr>
  </w:style>
  <w:style w:type="paragraph" w:customStyle="1" w:styleId="xl37">
    <w:name w:val="xl37"/>
    <w:basedOn w:val="Normal"/>
    <w:pPr>
      <w:spacing w:before="100" w:beforeAutospacing="1" w:after="100" w:afterAutospacing="1"/>
      <w:jc w:val="right"/>
    </w:pPr>
    <w:rPr>
      <w:rFonts w:ascii="Arial" w:eastAsia="Arial Unicode MS" w:hAnsi="Arial" w:cs="Arial"/>
      <w:b/>
      <w:bCs/>
      <w:sz w:val="24"/>
      <w:szCs w:val="24"/>
    </w:rPr>
  </w:style>
  <w:style w:type="paragraph" w:customStyle="1" w:styleId="xl38">
    <w:name w:val="xl38"/>
    <w:basedOn w:val="Normal"/>
    <w:pPr>
      <w:spacing w:before="100" w:beforeAutospacing="1" w:after="100" w:afterAutospacing="1"/>
    </w:pPr>
    <w:rPr>
      <w:rFonts w:ascii="Arial" w:eastAsia="Arial Unicode MS" w:hAnsi="Arial" w:cs="Arial"/>
      <w:b/>
      <w:bCs/>
      <w:sz w:val="24"/>
      <w:szCs w:val="24"/>
    </w:rPr>
  </w:style>
  <w:style w:type="paragraph" w:customStyle="1" w:styleId="xl39">
    <w:name w:val="xl39"/>
    <w:basedOn w:val="Normal"/>
    <w:pPr>
      <w:spacing w:before="100" w:beforeAutospacing="1" w:after="100" w:afterAutospacing="1"/>
      <w:textAlignment w:val="top"/>
    </w:pPr>
    <w:rPr>
      <w:rFonts w:ascii="Arial" w:eastAsia="Arial Unicode MS" w:hAnsi="Arial" w:cs="Arial"/>
      <w:b/>
      <w:bCs/>
      <w:sz w:val="24"/>
      <w:szCs w:val="24"/>
    </w:rPr>
  </w:style>
  <w:style w:type="paragraph" w:customStyle="1" w:styleId="xl40">
    <w:name w:val="xl40"/>
    <w:basedOn w:val="Normal"/>
    <w:pPr>
      <w:spacing w:before="100" w:beforeAutospacing="1" w:after="100" w:afterAutospacing="1"/>
      <w:textAlignment w:val="top"/>
    </w:pPr>
    <w:rPr>
      <w:rFonts w:ascii="Arial" w:eastAsia="Arial Unicode MS" w:hAnsi="Arial" w:cs="Arial"/>
      <w:sz w:val="24"/>
      <w:szCs w:val="24"/>
    </w:rPr>
  </w:style>
  <w:style w:type="paragraph" w:customStyle="1" w:styleId="xl42">
    <w:name w:val="xl42"/>
    <w:basedOn w:val="Normal"/>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43">
    <w:name w:val="xl43"/>
    <w:basedOn w:val="Normal"/>
    <w:pPr>
      <w:spacing w:before="100" w:beforeAutospacing="1" w:after="100" w:afterAutospacing="1"/>
      <w:textAlignment w:val="top"/>
    </w:pPr>
    <w:rPr>
      <w:rFonts w:ascii="Arial" w:eastAsia="Arial Unicode MS" w:hAnsi="Arial" w:cs="Arial"/>
      <w:sz w:val="16"/>
      <w:szCs w:val="16"/>
    </w:rPr>
  </w:style>
  <w:style w:type="paragraph" w:customStyle="1" w:styleId="xl44">
    <w:name w:val="xl44"/>
    <w:basedOn w:val="Normal"/>
    <w:pPr>
      <w:spacing w:before="100" w:beforeAutospacing="1" w:after="100" w:afterAutospacing="1"/>
    </w:pPr>
    <w:rPr>
      <w:rFonts w:ascii="Arial" w:eastAsia="Arial Unicode MS" w:hAnsi="Arial" w:cs="Arial"/>
      <w:sz w:val="24"/>
      <w:szCs w:val="24"/>
      <w:u w:val="single"/>
    </w:rPr>
  </w:style>
  <w:style w:type="paragraph" w:customStyle="1" w:styleId="xl45">
    <w:name w:val="xl45"/>
    <w:basedOn w:val="Normal"/>
    <w:pPr>
      <w:spacing w:before="100" w:beforeAutospacing="1" w:after="100" w:afterAutospacing="1"/>
    </w:pPr>
    <w:rPr>
      <w:rFonts w:ascii="Arial" w:eastAsia="Arial Unicode MS" w:hAnsi="Arial" w:cs="Arial"/>
      <w:color w:val="000000"/>
      <w:sz w:val="24"/>
      <w:szCs w:val="24"/>
    </w:rPr>
  </w:style>
  <w:style w:type="paragraph" w:customStyle="1" w:styleId="xl46">
    <w:name w:val="xl46"/>
    <w:basedOn w:val="Normal"/>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47">
    <w:name w:val="xl47"/>
    <w:basedOn w:val="Normal"/>
    <w:pP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8">
    <w:name w:val="xl48"/>
    <w:basedOn w:val="Normal"/>
    <w:pP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9">
    <w:name w:val="xl49"/>
    <w:basedOn w:val="Normal"/>
    <w:pPr>
      <w:spacing w:before="100" w:beforeAutospacing="1" w:after="100" w:afterAutospacing="1"/>
    </w:pPr>
    <w:rPr>
      <w:rFonts w:ascii="Arial" w:eastAsia="Arial Unicode MS" w:hAnsi="Arial" w:cs="Arial"/>
      <w:b/>
      <w:bCs/>
      <w:sz w:val="24"/>
      <w:szCs w:val="24"/>
    </w:rPr>
  </w:style>
  <w:style w:type="paragraph" w:customStyle="1" w:styleId="xl51">
    <w:name w:val="xl51"/>
    <w:basedOn w:val="Normal"/>
    <w:pPr>
      <w:spacing w:before="100" w:beforeAutospacing="1" w:after="100" w:afterAutospacing="1"/>
      <w:jc w:val="center"/>
    </w:pPr>
    <w:rPr>
      <w:rFonts w:ascii="Arial" w:eastAsia="Arial Unicode MS" w:hAnsi="Arial" w:cs="Arial"/>
      <w:b/>
      <w:bCs/>
      <w:sz w:val="24"/>
      <w:szCs w:val="24"/>
      <w:u w:val="single"/>
    </w:rPr>
  </w:style>
  <w:style w:type="paragraph" w:customStyle="1" w:styleId="xl52">
    <w:name w:val="xl52"/>
    <w:basedOn w:val="Normal"/>
    <w:pP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53">
    <w:name w:val="xl53"/>
    <w:basedOn w:val="Normal"/>
    <w:pPr>
      <w:spacing w:before="100" w:beforeAutospacing="1" w:after="100" w:afterAutospacing="1"/>
    </w:pPr>
    <w:rPr>
      <w:rFonts w:ascii="Arial" w:eastAsia="Arial Unicode MS" w:hAnsi="Arial" w:cs="Arial"/>
      <w:color w:val="000000"/>
      <w:sz w:val="24"/>
      <w:szCs w:val="24"/>
    </w:rPr>
  </w:style>
  <w:style w:type="paragraph" w:customStyle="1" w:styleId="xl56">
    <w:name w:val="xl56"/>
    <w:basedOn w:val="Normal"/>
    <w:pPr>
      <w:spacing w:before="100" w:beforeAutospacing="1" w:after="100" w:afterAutospacing="1"/>
    </w:pPr>
    <w:rPr>
      <w:rFonts w:ascii="Arial" w:eastAsia="Arial Unicode MS" w:hAnsi="Arial" w:cs="Arial"/>
      <w:color w:val="000000"/>
      <w:sz w:val="24"/>
      <w:szCs w:val="24"/>
    </w:rPr>
  </w:style>
  <w:style w:type="paragraph" w:customStyle="1" w:styleId="xl57">
    <w:name w:val="xl57"/>
    <w:basedOn w:val="Normal"/>
    <w:pPr>
      <w:spacing w:before="100" w:beforeAutospacing="1" w:after="100" w:afterAutospacing="1"/>
      <w:textAlignment w:val="top"/>
    </w:pPr>
    <w:rPr>
      <w:rFonts w:ascii="Arial" w:eastAsia="Arial Unicode MS" w:hAnsi="Arial" w:cs="Arial"/>
      <w:b/>
      <w:bCs/>
      <w:sz w:val="24"/>
      <w:szCs w:val="24"/>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pPr>
      <w:keepNext/>
      <w:spacing w:after="120"/>
      <w:ind w:right="90"/>
    </w:pPr>
    <w:rPr>
      <w:rFonts w:ascii="Palatino" w:hAnsi="Palatino"/>
      <w:bCs/>
      <w:sz w:val="24"/>
    </w:rPr>
  </w:style>
  <w:style w:type="paragraph" w:styleId="BalloonText">
    <w:name w:val="Balloon Text"/>
    <w:basedOn w:val="Normal"/>
    <w:semiHidden/>
    <w:rPr>
      <w:rFonts w:ascii="Tahoma" w:hAnsi="Tahoma" w:cs="Tahoma"/>
      <w:sz w:val="16"/>
      <w:szCs w:val="16"/>
    </w:rPr>
  </w:style>
  <w:style w:type="paragraph" w:customStyle="1" w:styleId="standard">
    <w:name w:val="standard"/>
    <w:basedOn w:val="Normal"/>
    <w:pPr>
      <w:spacing w:line="360" w:lineRule="auto"/>
      <w:ind w:firstLine="720"/>
    </w:pPr>
    <w:rPr>
      <w:rFonts w:ascii="Palatino" w:hAnsi="Palatino"/>
      <w:sz w:val="26"/>
    </w:rPr>
  </w:style>
  <w:style w:type="paragraph" w:customStyle="1" w:styleId="Default">
    <w:name w:val="Default"/>
    <w:pPr>
      <w:autoSpaceDE w:val="0"/>
      <w:autoSpaceDN w:val="0"/>
      <w:adjustRightInd w:val="0"/>
    </w:pPr>
    <w:rPr>
      <w:color w:val="000000"/>
      <w:sz w:val="24"/>
      <w:szCs w:val="24"/>
    </w:rPr>
  </w:style>
  <w:style w:type="paragraph" w:styleId="NormalWeb">
    <w:name w:val="Normal (Web)"/>
    <w:basedOn w:val="Normal"/>
    <w:pPr>
      <w:spacing w:before="100" w:beforeAutospacing="1" w:after="100" w:afterAutospacing="1"/>
    </w:pPr>
    <w:rPr>
      <w:sz w:val="24"/>
      <w:szCs w:val="24"/>
    </w:rPr>
  </w:style>
  <w:style w:type="paragraph" w:styleId="ListBullet">
    <w:name w:val="List Bullet"/>
    <w:basedOn w:val="Normal"/>
    <w:link w:val="ListBulletChar"/>
    <w:pPr>
      <w:numPr>
        <w:numId w:val="1"/>
      </w:numPr>
    </w:pPr>
  </w:style>
  <w:style w:type="character" w:customStyle="1" w:styleId="ListBulletChar">
    <w:name w:val="List Bullet Char"/>
    <w:link w:val="ListBullet"/>
  </w:style>
  <w:style w:type="paragraph" w:customStyle="1" w:styleId="bodytextblack">
    <w:name w:val="bodytextblack"/>
    <w:basedOn w:val="Normal"/>
    <w:pPr>
      <w:spacing w:before="100" w:beforeAutospacing="1" w:after="100" w:afterAutospacing="1"/>
    </w:pPr>
    <w:rPr>
      <w:rFonts w:ascii="Verdana" w:hAnsi="Verdana"/>
      <w:color w:val="000000"/>
      <w:sz w:val="22"/>
      <w:szCs w:val="22"/>
    </w:rPr>
  </w:style>
  <w:style w:type="character" w:customStyle="1" w:styleId="BodyTextChar1">
    <w:name w:val="Body Text Char1"/>
    <w:link w:val="BodyText"/>
    <w:rPr>
      <w:rFonts w:ascii="Palatino" w:hAnsi="Palatino"/>
      <w:sz w:val="24"/>
      <w:lang w:val="en-US" w:eastAsia="en-US" w:bidi="ar-SA"/>
    </w:rPr>
  </w:style>
  <w:style w:type="character" w:customStyle="1" w:styleId="BodyTextChar">
    <w:name w:val="Body Text Char"/>
    <w:rPr>
      <w:rFonts w:ascii="Palatino" w:hAnsi="Palatino"/>
      <w:sz w:val="24"/>
      <w:lang w:val="en-US" w:eastAsia="en-US" w:bidi="ar-SA"/>
    </w:rPr>
  </w:style>
  <w:style w:type="table" w:styleId="TableGrid">
    <w:name w:val="Table Grid"/>
    <w:basedOn w:val="TableNormal"/>
    <w:uiPriority w:val="39"/>
    <w:rsid w:val="0013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13810"/>
    <w:rPr>
      <w:sz w:val="16"/>
      <w:szCs w:val="16"/>
    </w:rPr>
  </w:style>
  <w:style w:type="paragraph" w:styleId="CommentText">
    <w:name w:val="annotation text"/>
    <w:basedOn w:val="Normal"/>
    <w:link w:val="CommentTextChar"/>
    <w:uiPriority w:val="99"/>
    <w:rsid w:val="00913810"/>
  </w:style>
  <w:style w:type="character" w:customStyle="1" w:styleId="CommentTextChar">
    <w:name w:val="Comment Text Char"/>
    <w:basedOn w:val="DefaultParagraphFont"/>
    <w:link w:val="CommentText"/>
    <w:uiPriority w:val="99"/>
    <w:rsid w:val="00913810"/>
  </w:style>
  <w:style w:type="paragraph" w:styleId="CommentSubject">
    <w:name w:val="annotation subject"/>
    <w:basedOn w:val="CommentText"/>
    <w:next w:val="CommentText"/>
    <w:link w:val="CommentSubjectChar"/>
    <w:rsid w:val="00913810"/>
    <w:rPr>
      <w:b/>
      <w:bCs/>
      <w:lang w:val="x-none" w:eastAsia="x-none"/>
    </w:rPr>
  </w:style>
  <w:style w:type="character" w:customStyle="1" w:styleId="CommentSubjectChar">
    <w:name w:val="Comment Subject Char"/>
    <w:link w:val="CommentSubject"/>
    <w:rsid w:val="00913810"/>
    <w:rPr>
      <w:b/>
      <w:bCs/>
    </w:rPr>
  </w:style>
  <w:style w:type="paragraph" w:customStyle="1" w:styleId="ColorfulList-Accent11">
    <w:name w:val="Colorful List - Accent 11"/>
    <w:basedOn w:val="Normal"/>
    <w:uiPriority w:val="34"/>
    <w:qFormat/>
    <w:rsid w:val="00412A2B"/>
    <w:pPr>
      <w:ind w:left="720"/>
    </w:pPr>
  </w:style>
  <w:style w:type="character" w:customStyle="1" w:styleId="FooterChar">
    <w:name w:val="Footer Char"/>
    <w:link w:val="Footer"/>
    <w:uiPriority w:val="99"/>
    <w:rsid w:val="00EB00F6"/>
  </w:style>
  <w:style w:type="paragraph" w:styleId="ListParagraph">
    <w:name w:val="List Paragraph"/>
    <w:basedOn w:val="Normal"/>
    <w:uiPriority w:val="34"/>
    <w:qFormat/>
    <w:rsid w:val="00DA38F2"/>
    <w:pPr>
      <w:ind w:left="720"/>
    </w:pPr>
  </w:style>
  <w:style w:type="character" w:customStyle="1" w:styleId="tgc">
    <w:name w:val="_tgc"/>
    <w:rsid w:val="00CA3763"/>
  </w:style>
  <w:style w:type="paragraph" w:styleId="Revision">
    <w:name w:val="Revision"/>
    <w:hidden/>
    <w:uiPriority w:val="99"/>
    <w:semiHidden/>
    <w:rsid w:val="00CA5B66"/>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link w:val="FootnoteText"/>
    <w:uiPriority w:val="99"/>
    <w:rsid w:val="008F3A1C"/>
  </w:style>
  <w:style w:type="paragraph" w:styleId="TOC1">
    <w:name w:val="toc 1"/>
    <w:basedOn w:val="Normal"/>
    <w:next w:val="Normal"/>
    <w:autoRedefine/>
    <w:uiPriority w:val="39"/>
    <w:rsid w:val="00421E3D"/>
    <w:pPr>
      <w:tabs>
        <w:tab w:val="left" w:pos="440"/>
        <w:tab w:val="right" w:leader="dot" w:pos="9350"/>
      </w:tabs>
      <w:spacing w:after="100"/>
      <w:jc w:val="center"/>
    </w:pPr>
  </w:style>
  <w:style w:type="paragraph" w:styleId="TOC2">
    <w:name w:val="toc 2"/>
    <w:basedOn w:val="Normal"/>
    <w:next w:val="Normal"/>
    <w:autoRedefine/>
    <w:uiPriority w:val="39"/>
    <w:rsid w:val="0030352A"/>
    <w:pPr>
      <w:spacing w:after="100"/>
      <w:ind w:left="200"/>
    </w:pPr>
  </w:style>
  <w:style w:type="paragraph" w:styleId="TOC3">
    <w:name w:val="toc 3"/>
    <w:basedOn w:val="Normal"/>
    <w:next w:val="Normal"/>
    <w:autoRedefine/>
    <w:uiPriority w:val="39"/>
    <w:rsid w:val="0030352A"/>
    <w:pPr>
      <w:spacing w:after="100"/>
      <w:ind w:left="400"/>
    </w:pPr>
  </w:style>
  <w:style w:type="character" w:customStyle="1" w:styleId="UnresolvedMention1">
    <w:name w:val="Unresolved Mention1"/>
    <w:basedOn w:val="DefaultParagraphFont"/>
    <w:uiPriority w:val="99"/>
    <w:semiHidden/>
    <w:unhideWhenUsed/>
    <w:rsid w:val="00DB0918"/>
    <w:rPr>
      <w:color w:val="605E5C"/>
      <w:shd w:val="clear" w:color="auto" w:fill="E1DFDD"/>
    </w:rPr>
  </w:style>
  <w:style w:type="paragraph" w:styleId="Caption">
    <w:name w:val="caption"/>
    <w:basedOn w:val="Normal"/>
    <w:next w:val="Normal"/>
    <w:unhideWhenUsed/>
    <w:qFormat/>
    <w:rsid w:val="00C1141B"/>
    <w:pPr>
      <w:spacing w:after="200"/>
    </w:pPr>
    <w:rPr>
      <w:i/>
      <w:iCs/>
      <w:color w:val="1F497D" w:themeColor="text2"/>
      <w:sz w:val="18"/>
      <w:szCs w:val="18"/>
    </w:rPr>
  </w:style>
  <w:style w:type="character" w:styleId="BookTitle">
    <w:name w:val="Book Title"/>
    <w:basedOn w:val="DefaultParagraphFont"/>
    <w:uiPriority w:val="33"/>
    <w:qFormat/>
    <w:rsid w:val="0018180E"/>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8C7"/>
  </w:style>
  <w:style w:type="paragraph" w:styleId="Heading1">
    <w:name w:val="heading 1"/>
    <w:basedOn w:val="Normal"/>
    <w:next w:val="Normal"/>
    <w:qFormat/>
    <w:pPr>
      <w:keepNext/>
      <w:outlineLvl w:val="0"/>
    </w:pPr>
    <w:rPr>
      <w:rFonts w:ascii="Palatino" w:hAnsi="Palatino"/>
      <w:b/>
      <w:sz w:val="24"/>
      <w:u w:val="single"/>
    </w:rPr>
  </w:style>
  <w:style w:type="paragraph" w:styleId="Heading2">
    <w:name w:val="heading 2"/>
    <w:basedOn w:val="Normal"/>
    <w:next w:val="Normal"/>
    <w:qFormat/>
    <w:pPr>
      <w:keepNext/>
      <w:tabs>
        <w:tab w:val="left" w:pos="720"/>
      </w:tabs>
      <w:spacing w:after="120"/>
      <w:ind w:left="720"/>
      <w:outlineLvl w:val="1"/>
    </w:pPr>
    <w:rPr>
      <w:rFonts w:ascii="Palatino" w:hAnsi="Palatino"/>
      <w:b/>
      <w:sz w:val="24"/>
    </w:rPr>
  </w:style>
  <w:style w:type="paragraph" w:styleId="Heading3">
    <w:name w:val="heading 3"/>
    <w:basedOn w:val="Normal"/>
    <w:next w:val="Normal"/>
    <w:qFormat/>
    <w:pPr>
      <w:keepNext/>
      <w:outlineLvl w:val="2"/>
    </w:pPr>
    <w:rPr>
      <w:rFonts w:ascii="Palatino" w:hAnsi="Palatino"/>
      <w:sz w:val="24"/>
    </w:rPr>
  </w:style>
  <w:style w:type="paragraph" w:styleId="Heading4">
    <w:name w:val="heading 4"/>
    <w:basedOn w:val="Normal"/>
    <w:next w:val="Normal"/>
    <w:qFormat/>
    <w:pPr>
      <w:keepNext/>
      <w:spacing w:after="120"/>
      <w:ind w:left="720"/>
      <w:outlineLvl w:val="3"/>
    </w:pPr>
    <w:rPr>
      <w:rFonts w:ascii="Palatino" w:hAnsi="Palatino"/>
      <w:b/>
      <w:sz w:val="24"/>
      <w:u w:val="single"/>
    </w:rPr>
  </w:style>
  <w:style w:type="paragraph" w:styleId="Heading5">
    <w:name w:val="heading 5"/>
    <w:basedOn w:val="Normal"/>
    <w:next w:val="Normal"/>
    <w:qFormat/>
    <w:pPr>
      <w:keepNext/>
      <w:ind w:left="720" w:right="1440"/>
      <w:outlineLvl w:val="4"/>
    </w:pPr>
    <w:rPr>
      <w:rFonts w:ascii="Palatino" w:hAnsi="Palatino"/>
      <w:b/>
      <w:bCs/>
      <w:sz w:val="24"/>
    </w:rPr>
  </w:style>
  <w:style w:type="paragraph" w:styleId="Heading6">
    <w:name w:val="heading 6"/>
    <w:basedOn w:val="Normal"/>
    <w:next w:val="Normal"/>
    <w:qFormat/>
    <w:pPr>
      <w:keepNext/>
      <w:spacing w:before="120"/>
      <w:jc w:val="right"/>
      <w:outlineLvl w:val="5"/>
    </w:pPr>
    <w:rPr>
      <w:sz w:val="24"/>
    </w:rPr>
  </w:style>
  <w:style w:type="paragraph" w:styleId="Heading7">
    <w:name w:val="heading 7"/>
    <w:basedOn w:val="Normal"/>
    <w:next w:val="Normal"/>
    <w:qFormat/>
    <w:pPr>
      <w:keepNext/>
      <w:spacing w:after="120"/>
      <w:ind w:right="-720" w:firstLine="720"/>
      <w:outlineLvl w:val="6"/>
    </w:pPr>
    <w:rPr>
      <w:rFonts w:ascii="Palatino" w:hAnsi="Palatino"/>
      <w:b/>
      <w:sz w:val="24"/>
      <w:u w:val="single"/>
    </w:rPr>
  </w:style>
  <w:style w:type="paragraph" w:styleId="Heading8">
    <w:name w:val="heading 8"/>
    <w:basedOn w:val="Normal"/>
    <w:next w:val="Normal"/>
    <w:qFormat/>
    <w:pPr>
      <w:keepNext/>
      <w:spacing w:after="120"/>
      <w:ind w:firstLine="720"/>
      <w:outlineLvl w:val="7"/>
    </w:pPr>
    <w:rPr>
      <w:b/>
      <w:sz w:val="24"/>
      <w:u w:val="single"/>
    </w:rPr>
  </w:style>
  <w:style w:type="paragraph" w:styleId="Heading9">
    <w:name w:val="heading 9"/>
    <w:basedOn w:val="Normal"/>
    <w:next w:val="Normal"/>
    <w:qFormat/>
    <w:pPr>
      <w:keepNext/>
      <w:outlineLvl w:val="8"/>
    </w:pPr>
    <w:rPr>
      <w:rFonts w:ascii="Palatino" w:hAnsi="Palatino"/>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BlockText">
    <w:name w:val="Block Text"/>
    <w:basedOn w:val="Normal"/>
    <w:pPr>
      <w:ind w:left="720" w:right="720"/>
      <w:jc w:val="both"/>
    </w:pPr>
    <w:rPr>
      <w:rFonts w:ascii="Palatino" w:hAnsi="Palatino"/>
      <w:sz w:val="24"/>
    </w:rPr>
  </w:style>
  <w:style w:type="paragraph" w:styleId="BodyText">
    <w:name w:val="Body Text"/>
    <w:basedOn w:val="Normal"/>
    <w:link w:val="BodyTextChar1"/>
    <w:pPr>
      <w:tabs>
        <w:tab w:val="left" w:pos="720"/>
      </w:tabs>
      <w:spacing w:after="120"/>
    </w:pPr>
    <w:rPr>
      <w:rFonts w:ascii="Palatino" w:hAnsi="Palatino"/>
      <w:sz w:val="24"/>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f,ALTS FOOTNOTE"/>
    <w:basedOn w:val="Normal"/>
    <w:link w:val="FootnoteTextChar"/>
  </w:style>
  <w:style w:type="character" w:styleId="FootnoteReference">
    <w:name w:val="footnote reference"/>
    <w:aliases w:val="o,fr,Style 3,o1,o2,o3,o4,o5,o6,o11,o21,o7,Appel note de bas de p,Style 12,(NECG) Footnote Reference,Style 124,Style 13,FR,Style 17,Style 6,Footnote Reference/,Style 7,Style 4,Style 34,Style 9,Footnote Reference1"/>
    <w:rPr>
      <w:vertAlign w:val="superscript"/>
    </w:rPr>
  </w:style>
  <w:style w:type="paragraph" w:styleId="BodyText2">
    <w:name w:val="Body Text 2"/>
    <w:basedOn w:val="Normal"/>
    <w:pPr>
      <w:spacing w:after="120"/>
      <w:ind w:right="-720"/>
    </w:pPr>
    <w:rPr>
      <w:sz w:val="24"/>
    </w:rPr>
  </w:style>
  <w:style w:type="character" w:styleId="Hyperlink">
    <w:name w:val="Hyperlink"/>
    <w:uiPriority w:val="99"/>
    <w:rPr>
      <w:color w:val="0000FF"/>
      <w:u w:val="single"/>
    </w:rPr>
  </w:style>
  <w:style w:type="paragraph" w:customStyle="1" w:styleId="xl41">
    <w:name w:val="xl41"/>
    <w:basedOn w:val="Normal"/>
    <w:pPr>
      <w:overflowPunct w:val="0"/>
      <w:autoSpaceDE w:val="0"/>
      <w:autoSpaceDN w:val="0"/>
      <w:adjustRightInd w:val="0"/>
      <w:spacing w:before="100" w:after="100"/>
      <w:textAlignment w:val="baseline"/>
    </w:pPr>
    <w:rPr>
      <w:rFonts w:ascii="Arial Unicode MS" w:eastAsia="Arial Unicode MS"/>
      <w:sz w:val="24"/>
    </w:rPr>
  </w:style>
  <w:style w:type="character" w:styleId="FollowedHyperlink">
    <w:name w:val="FollowedHyperlink"/>
    <w:rPr>
      <w:color w:val="800080"/>
      <w:u w:val="single"/>
    </w:rPr>
  </w:style>
  <w:style w:type="paragraph" w:styleId="BodyTextIndent">
    <w:name w:val="Body Text Indent"/>
    <w:basedOn w:val="Normal"/>
    <w:pPr>
      <w:tabs>
        <w:tab w:val="left" w:pos="360"/>
      </w:tabs>
      <w:ind w:left="360" w:hanging="360"/>
    </w:pPr>
    <w:rPr>
      <w:rFonts w:ascii="Palatino" w:hAnsi="Palatino"/>
      <w:sz w:val="24"/>
    </w:rPr>
  </w:style>
  <w:style w:type="paragraph" w:styleId="BodyTextIndent2">
    <w:name w:val="Body Text Indent 2"/>
    <w:basedOn w:val="Normal"/>
    <w:pPr>
      <w:ind w:left="60"/>
    </w:pPr>
    <w:rPr>
      <w:rFonts w:ascii="Palatino" w:hAnsi="Palatino"/>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Indent3">
    <w:name w:val="Body Text Indent 3"/>
    <w:basedOn w:val="Normal"/>
    <w:pPr>
      <w:tabs>
        <w:tab w:val="left" w:pos="360"/>
        <w:tab w:val="left" w:pos="9540"/>
      </w:tabs>
      <w:spacing w:after="120"/>
      <w:ind w:left="360"/>
    </w:pPr>
    <w:rPr>
      <w:rFonts w:ascii="Palatino" w:hAnsi="Palatino"/>
      <w:sz w:val="24"/>
    </w:rPr>
  </w:style>
  <w:style w:type="paragraph" w:customStyle="1" w:styleId="font0">
    <w:name w:val="font0"/>
    <w:basedOn w:val="Normal"/>
    <w:pPr>
      <w:spacing w:before="100" w:beforeAutospacing="1" w:after="100" w:afterAutospacing="1"/>
    </w:pPr>
    <w:rPr>
      <w:rFonts w:ascii="Arial" w:eastAsia="Arial Unicode MS" w:hAnsi="Arial" w:cs="Arial"/>
    </w:rPr>
  </w:style>
  <w:style w:type="paragraph" w:customStyle="1" w:styleId="font5">
    <w:name w:val="font5"/>
    <w:basedOn w:val="Normal"/>
    <w:pPr>
      <w:spacing w:before="100" w:beforeAutospacing="1" w:after="100" w:afterAutospacing="1"/>
    </w:pPr>
    <w:rPr>
      <w:rFonts w:ascii="Arial" w:eastAsia="Arial Unicode MS" w:hAnsi="Arial" w:cs="Arial"/>
      <w:sz w:val="16"/>
      <w:szCs w:val="16"/>
    </w:rPr>
  </w:style>
  <w:style w:type="paragraph" w:customStyle="1" w:styleId="xl24">
    <w:name w:val="xl24"/>
    <w:basedOn w:val="Normal"/>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25">
    <w:name w:val="xl25"/>
    <w:basedOn w:val="Normal"/>
    <w:pPr>
      <w:spacing w:before="100" w:beforeAutospacing="1" w:after="100" w:afterAutospacing="1"/>
      <w:jc w:val="right"/>
    </w:pPr>
    <w:rPr>
      <w:rFonts w:ascii="Arial" w:eastAsia="Arial Unicode MS" w:hAnsi="Arial" w:cs="Arial"/>
      <w:b/>
      <w:bCs/>
      <w:sz w:val="24"/>
      <w:szCs w:val="24"/>
      <w:u w:val="single"/>
    </w:rPr>
  </w:style>
  <w:style w:type="paragraph" w:customStyle="1" w:styleId="xl27">
    <w:name w:val="xl27"/>
    <w:basedOn w:val="Normal"/>
    <w:pPr>
      <w:spacing w:before="100" w:beforeAutospacing="1" w:after="100" w:afterAutospacing="1"/>
    </w:pPr>
    <w:rPr>
      <w:rFonts w:ascii="Arial" w:eastAsia="Arial Unicode MS" w:hAnsi="Arial" w:cs="Arial"/>
      <w:sz w:val="24"/>
      <w:szCs w:val="24"/>
    </w:rPr>
  </w:style>
  <w:style w:type="paragraph" w:customStyle="1" w:styleId="xl28">
    <w:name w:val="xl28"/>
    <w:basedOn w:val="Normal"/>
    <w:pPr>
      <w:spacing w:before="100" w:beforeAutospacing="1" w:after="100" w:afterAutospacing="1"/>
    </w:pPr>
    <w:rPr>
      <w:rFonts w:ascii="Arial" w:eastAsia="Arial Unicode MS" w:hAnsi="Arial" w:cs="Arial"/>
      <w:b/>
      <w:bCs/>
      <w:sz w:val="24"/>
      <w:szCs w:val="24"/>
    </w:rPr>
  </w:style>
  <w:style w:type="paragraph" w:customStyle="1" w:styleId="xl30">
    <w:name w:val="xl30"/>
    <w:basedOn w:val="Normal"/>
    <w:pPr>
      <w:spacing w:before="100" w:beforeAutospacing="1" w:after="100" w:afterAutospacing="1"/>
    </w:pPr>
    <w:rPr>
      <w:rFonts w:ascii="Arial Unicode MS" w:eastAsia="Arial Unicode MS" w:hAnsi="Arial Unicode MS" w:cs="Arial Unicode MS"/>
      <w:b/>
      <w:bCs/>
      <w:sz w:val="24"/>
      <w:szCs w:val="24"/>
    </w:rPr>
  </w:style>
  <w:style w:type="paragraph" w:customStyle="1" w:styleId="xl31">
    <w:name w:val="xl31"/>
    <w:basedOn w:val="Normal"/>
    <w:pPr>
      <w:spacing w:before="100" w:beforeAutospacing="1" w:after="100" w:afterAutospacing="1"/>
    </w:pPr>
    <w:rPr>
      <w:rFonts w:ascii="Arial" w:eastAsia="Arial Unicode MS" w:hAnsi="Arial" w:cs="Arial"/>
      <w:b/>
      <w:bCs/>
      <w:sz w:val="24"/>
      <w:szCs w:val="24"/>
    </w:rPr>
  </w:style>
  <w:style w:type="paragraph" w:customStyle="1" w:styleId="xl32">
    <w:name w:val="xl32"/>
    <w:basedOn w:val="Normal"/>
    <w:pPr>
      <w:spacing w:before="100" w:beforeAutospacing="1" w:after="100" w:afterAutospacing="1"/>
    </w:pPr>
    <w:rPr>
      <w:rFonts w:ascii="Arial" w:eastAsia="Arial Unicode MS" w:hAnsi="Arial" w:cs="Arial"/>
      <w:sz w:val="16"/>
      <w:szCs w:val="16"/>
    </w:rPr>
  </w:style>
  <w:style w:type="paragraph" w:customStyle="1" w:styleId="xl33">
    <w:name w:val="xl33"/>
    <w:basedOn w:val="Normal"/>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34">
    <w:name w:val="xl34"/>
    <w:basedOn w:val="Normal"/>
    <w:pPr>
      <w:spacing w:before="100" w:beforeAutospacing="1" w:after="100" w:afterAutospacing="1"/>
      <w:jc w:val="right"/>
    </w:pPr>
    <w:rPr>
      <w:rFonts w:ascii="Arial" w:eastAsia="Arial Unicode MS" w:hAnsi="Arial" w:cs="Arial"/>
      <w:b/>
      <w:bCs/>
      <w:sz w:val="24"/>
      <w:szCs w:val="24"/>
      <w:u w:val="single"/>
    </w:rPr>
  </w:style>
  <w:style w:type="paragraph" w:customStyle="1" w:styleId="xl35">
    <w:name w:val="xl35"/>
    <w:basedOn w:val="Normal"/>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6">
    <w:name w:val="xl36"/>
    <w:basedOn w:val="Normal"/>
    <w:pPr>
      <w:spacing w:before="100" w:beforeAutospacing="1" w:after="100" w:afterAutospacing="1"/>
      <w:jc w:val="right"/>
    </w:pPr>
    <w:rPr>
      <w:rFonts w:ascii="Arial" w:eastAsia="Arial Unicode MS" w:hAnsi="Arial" w:cs="Arial"/>
      <w:sz w:val="24"/>
      <w:szCs w:val="24"/>
    </w:rPr>
  </w:style>
  <w:style w:type="paragraph" w:customStyle="1" w:styleId="xl37">
    <w:name w:val="xl37"/>
    <w:basedOn w:val="Normal"/>
    <w:pPr>
      <w:spacing w:before="100" w:beforeAutospacing="1" w:after="100" w:afterAutospacing="1"/>
      <w:jc w:val="right"/>
    </w:pPr>
    <w:rPr>
      <w:rFonts w:ascii="Arial" w:eastAsia="Arial Unicode MS" w:hAnsi="Arial" w:cs="Arial"/>
      <w:b/>
      <w:bCs/>
      <w:sz w:val="24"/>
      <w:szCs w:val="24"/>
    </w:rPr>
  </w:style>
  <w:style w:type="paragraph" w:customStyle="1" w:styleId="xl38">
    <w:name w:val="xl38"/>
    <w:basedOn w:val="Normal"/>
    <w:pPr>
      <w:spacing w:before="100" w:beforeAutospacing="1" w:after="100" w:afterAutospacing="1"/>
    </w:pPr>
    <w:rPr>
      <w:rFonts w:ascii="Arial" w:eastAsia="Arial Unicode MS" w:hAnsi="Arial" w:cs="Arial"/>
      <w:b/>
      <w:bCs/>
      <w:sz w:val="24"/>
      <w:szCs w:val="24"/>
    </w:rPr>
  </w:style>
  <w:style w:type="paragraph" w:customStyle="1" w:styleId="xl39">
    <w:name w:val="xl39"/>
    <w:basedOn w:val="Normal"/>
    <w:pPr>
      <w:spacing w:before="100" w:beforeAutospacing="1" w:after="100" w:afterAutospacing="1"/>
      <w:textAlignment w:val="top"/>
    </w:pPr>
    <w:rPr>
      <w:rFonts w:ascii="Arial" w:eastAsia="Arial Unicode MS" w:hAnsi="Arial" w:cs="Arial"/>
      <w:b/>
      <w:bCs/>
      <w:sz w:val="24"/>
      <w:szCs w:val="24"/>
    </w:rPr>
  </w:style>
  <w:style w:type="paragraph" w:customStyle="1" w:styleId="xl40">
    <w:name w:val="xl40"/>
    <w:basedOn w:val="Normal"/>
    <w:pPr>
      <w:spacing w:before="100" w:beforeAutospacing="1" w:after="100" w:afterAutospacing="1"/>
      <w:textAlignment w:val="top"/>
    </w:pPr>
    <w:rPr>
      <w:rFonts w:ascii="Arial" w:eastAsia="Arial Unicode MS" w:hAnsi="Arial" w:cs="Arial"/>
      <w:sz w:val="24"/>
      <w:szCs w:val="24"/>
    </w:rPr>
  </w:style>
  <w:style w:type="paragraph" w:customStyle="1" w:styleId="xl42">
    <w:name w:val="xl42"/>
    <w:basedOn w:val="Normal"/>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43">
    <w:name w:val="xl43"/>
    <w:basedOn w:val="Normal"/>
    <w:pPr>
      <w:spacing w:before="100" w:beforeAutospacing="1" w:after="100" w:afterAutospacing="1"/>
      <w:textAlignment w:val="top"/>
    </w:pPr>
    <w:rPr>
      <w:rFonts w:ascii="Arial" w:eastAsia="Arial Unicode MS" w:hAnsi="Arial" w:cs="Arial"/>
      <w:sz w:val="16"/>
      <w:szCs w:val="16"/>
    </w:rPr>
  </w:style>
  <w:style w:type="paragraph" w:customStyle="1" w:styleId="xl44">
    <w:name w:val="xl44"/>
    <w:basedOn w:val="Normal"/>
    <w:pPr>
      <w:spacing w:before="100" w:beforeAutospacing="1" w:after="100" w:afterAutospacing="1"/>
    </w:pPr>
    <w:rPr>
      <w:rFonts w:ascii="Arial" w:eastAsia="Arial Unicode MS" w:hAnsi="Arial" w:cs="Arial"/>
      <w:sz w:val="24"/>
      <w:szCs w:val="24"/>
      <w:u w:val="single"/>
    </w:rPr>
  </w:style>
  <w:style w:type="paragraph" w:customStyle="1" w:styleId="xl45">
    <w:name w:val="xl45"/>
    <w:basedOn w:val="Normal"/>
    <w:pPr>
      <w:spacing w:before="100" w:beforeAutospacing="1" w:after="100" w:afterAutospacing="1"/>
    </w:pPr>
    <w:rPr>
      <w:rFonts w:ascii="Arial" w:eastAsia="Arial Unicode MS" w:hAnsi="Arial" w:cs="Arial"/>
      <w:color w:val="000000"/>
      <w:sz w:val="24"/>
      <w:szCs w:val="24"/>
    </w:rPr>
  </w:style>
  <w:style w:type="paragraph" w:customStyle="1" w:styleId="xl46">
    <w:name w:val="xl46"/>
    <w:basedOn w:val="Normal"/>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47">
    <w:name w:val="xl47"/>
    <w:basedOn w:val="Normal"/>
    <w:pP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8">
    <w:name w:val="xl48"/>
    <w:basedOn w:val="Normal"/>
    <w:pP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9">
    <w:name w:val="xl49"/>
    <w:basedOn w:val="Normal"/>
    <w:pPr>
      <w:spacing w:before="100" w:beforeAutospacing="1" w:after="100" w:afterAutospacing="1"/>
    </w:pPr>
    <w:rPr>
      <w:rFonts w:ascii="Arial" w:eastAsia="Arial Unicode MS" w:hAnsi="Arial" w:cs="Arial"/>
      <w:b/>
      <w:bCs/>
      <w:sz w:val="24"/>
      <w:szCs w:val="24"/>
    </w:rPr>
  </w:style>
  <w:style w:type="paragraph" w:customStyle="1" w:styleId="xl51">
    <w:name w:val="xl51"/>
    <w:basedOn w:val="Normal"/>
    <w:pPr>
      <w:spacing w:before="100" w:beforeAutospacing="1" w:after="100" w:afterAutospacing="1"/>
      <w:jc w:val="center"/>
    </w:pPr>
    <w:rPr>
      <w:rFonts w:ascii="Arial" w:eastAsia="Arial Unicode MS" w:hAnsi="Arial" w:cs="Arial"/>
      <w:b/>
      <w:bCs/>
      <w:sz w:val="24"/>
      <w:szCs w:val="24"/>
      <w:u w:val="single"/>
    </w:rPr>
  </w:style>
  <w:style w:type="paragraph" w:customStyle="1" w:styleId="xl52">
    <w:name w:val="xl52"/>
    <w:basedOn w:val="Normal"/>
    <w:pP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53">
    <w:name w:val="xl53"/>
    <w:basedOn w:val="Normal"/>
    <w:pPr>
      <w:spacing w:before="100" w:beforeAutospacing="1" w:after="100" w:afterAutospacing="1"/>
    </w:pPr>
    <w:rPr>
      <w:rFonts w:ascii="Arial" w:eastAsia="Arial Unicode MS" w:hAnsi="Arial" w:cs="Arial"/>
      <w:color w:val="000000"/>
      <w:sz w:val="24"/>
      <w:szCs w:val="24"/>
    </w:rPr>
  </w:style>
  <w:style w:type="paragraph" w:customStyle="1" w:styleId="xl56">
    <w:name w:val="xl56"/>
    <w:basedOn w:val="Normal"/>
    <w:pPr>
      <w:spacing w:before="100" w:beforeAutospacing="1" w:after="100" w:afterAutospacing="1"/>
    </w:pPr>
    <w:rPr>
      <w:rFonts w:ascii="Arial" w:eastAsia="Arial Unicode MS" w:hAnsi="Arial" w:cs="Arial"/>
      <w:color w:val="000000"/>
      <w:sz w:val="24"/>
      <w:szCs w:val="24"/>
    </w:rPr>
  </w:style>
  <w:style w:type="paragraph" w:customStyle="1" w:styleId="xl57">
    <w:name w:val="xl57"/>
    <w:basedOn w:val="Normal"/>
    <w:pPr>
      <w:spacing w:before="100" w:beforeAutospacing="1" w:after="100" w:afterAutospacing="1"/>
      <w:textAlignment w:val="top"/>
    </w:pPr>
    <w:rPr>
      <w:rFonts w:ascii="Arial" w:eastAsia="Arial Unicode MS" w:hAnsi="Arial" w:cs="Arial"/>
      <w:b/>
      <w:bCs/>
      <w:sz w:val="24"/>
      <w:szCs w:val="24"/>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pPr>
      <w:keepNext/>
      <w:spacing w:after="120"/>
      <w:ind w:right="90"/>
    </w:pPr>
    <w:rPr>
      <w:rFonts w:ascii="Palatino" w:hAnsi="Palatino"/>
      <w:bCs/>
      <w:sz w:val="24"/>
    </w:rPr>
  </w:style>
  <w:style w:type="paragraph" w:styleId="BalloonText">
    <w:name w:val="Balloon Text"/>
    <w:basedOn w:val="Normal"/>
    <w:semiHidden/>
    <w:rPr>
      <w:rFonts w:ascii="Tahoma" w:hAnsi="Tahoma" w:cs="Tahoma"/>
      <w:sz w:val="16"/>
      <w:szCs w:val="16"/>
    </w:rPr>
  </w:style>
  <w:style w:type="paragraph" w:customStyle="1" w:styleId="standard">
    <w:name w:val="standard"/>
    <w:basedOn w:val="Normal"/>
    <w:pPr>
      <w:spacing w:line="360" w:lineRule="auto"/>
      <w:ind w:firstLine="720"/>
    </w:pPr>
    <w:rPr>
      <w:rFonts w:ascii="Palatino" w:hAnsi="Palatino"/>
      <w:sz w:val="26"/>
    </w:rPr>
  </w:style>
  <w:style w:type="paragraph" w:customStyle="1" w:styleId="Default">
    <w:name w:val="Default"/>
    <w:pPr>
      <w:autoSpaceDE w:val="0"/>
      <w:autoSpaceDN w:val="0"/>
      <w:adjustRightInd w:val="0"/>
    </w:pPr>
    <w:rPr>
      <w:color w:val="000000"/>
      <w:sz w:val="24"/>
      <w:szCs w:val="24"/>
    </w:rPr>
  </w:style>
  <w:style w:type="paragraph" w:styleId="NormalWeb">
    <w:name w:val="Normal (Web)"/>
    <w:basedOn w:val="Normal"/>
    <w:pPr>
      <w:spacing w:before="100" w:beforeAutospacing="1" w:after="100" w:afterAutospacing="1"/>
    </w:pPr>
    <w:rPr>
      <w:sz w:val="24"/>
      <w:szCs w:val="24"/>
    </w:rPr>
  </w:style>
  <w:style w:type="paragraph" w:styleId="ListBullet">
    <w:name w:val="List Bullet"/>
    <w:basedOn w:val="Normal"/>
    <w:link w:val="ListBulletChar"/>
    <w:pPr>
      <w:numPr>
        <w:numId w:val="1"/>
      </w:numPr>
    </w:pPr>
  </w:style>
  <w:style w:type="character" w:customStyle="1" w:styleId="ListBulletChar">
    <w:name w:val="List Bullet Char"/>
    <w:link w:val="ListBullet"/>
  </w:style>
  <w:style w:type="paragraph" w:customStyle="1" w:styleId="bodytextblack">
    <w:name w:val="bodytextblack"/>
    <w:basedOn w:val="Normal"/>
    <w:pPr>
      <w:spacing w:before="100" w:beforeAutospacing="1" w:after="100" w:afterAutospacing="1"/>
    </w:pPr>
    <w:rPr>
      <w:rFonts w:ascii="Verdana" w:hAnsi="Verdana"/>
      <w:color w:val="000000"/>
      <w:sz w:val="22"/>
      <w:szCs w:val="22"/>
    </w:rPr>
  </w:style>
  <w:style w:type="character" w:customStyle="1" w:styleId="BodyTextChar1">
    <w:name w:val="Body Text Char1"/>
    <w:link w:val="BodyText"/>
    <w:rPr>
      <w:rFonts w:ascii="Palatino" w:hAnsi="Palatino"/>
      <w:sz w:val="24"/>
      <w:lang w:val="en-US" w:eastAsia="en-US" w:bidi="ar-SA"/>
    </w:rPr>
  </w:style>
  <w:style w:type="character" w:customStyle="1" w:styleId="BodyTextChar">
    <w:name w:val="Body Text Char"/>
    <w:rPr>
      <w:rFonts w:ascii="Palatino" w:hAnsi="Palatino"/>
      <w:sz w:val="24"/>
      <w:lang w:val="en-US" w:eastAsia="en-US" w:bidi="ar-SA"/>
    </w:rPr>
  </w:style>
  <w:style w:type="table" w:styleId="TableGrid">
    <w:name w:val="Table Grid"/>
    <w:basedOn w:val="TableNormal"/>
    <w:uiPriority w:val="39"/>
    <w:rsid w:val="0013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13810"/>
    <w:rPr>
      <w:sz w:val="16"/>
      <w:szCs w:val="16"/>
    </w:rPr>
  </w:style>
  <w:style w:type="paragraph" w:styleId="CommentText">
    <w:name w:val="annotation text"/>
    <w:basedOn w:val="Normal"/>
    <w:link w:val="CommentTextChar"/>
    <w:uiPriority w:val="99"/>
    <w:rsid w:val="00913810"/>
  </w:style>
  <w:style w:type="character" w:customStyle="1" w:styleId="CommentTextChar">
    <w:name w:val="Comment Text Char"/>
    <w:basedOn w:val="DefaultParagraphFont"/>
    <w:link w:val="CommentText"/>
    <w:uiPriority w:val="99"/>
    <w:rsid w:val="00913810"/>
  </w:style>
  <w:style w:type="paragraph" w:styleId="CommentSubject">
    <w:name w:val="annotation subject"/>
    <w:basedOn w:val="CommentText"/>
    <w:next w:val="CommentText"/>
    <w:link w:val="CommentSubjectChar"/>
    <w:rsid w:val="00913810"/>
    <w:rPr>
      <w:b/>
      <w:bCs/>
      <w:lang w:val="x-none" w:eastAsia="x-none"/>
    </w:rPr>
  </w:style>
  <w:style w:type="character" w:customStyle="1" w:styleId="CommentSubjectChar">
    <w:name w:val="Comment Subject Char"/>
    <w:link w:val="CommentSubject"/>
    <w:rsid w:val="00913810"/>
    <w:rPr>
      <w:b/>
      <w:bCs/>
    </w:rPr>
  </w:style>
  <w:style w:type="paragraph" w:customStyle="1" w:styleId="ColorfulList-Accent11">
    <w:name w:val="Colorful List - Accent 11"/>
    <w:basedOn w:val="Normal"/>
    <w:uiPriority w:val="34"/>
    <w:qFormat/>
    <w:rsid w:val="00412A2B"/>
    <w:pPr>
      <w:ind w:left="720"/>
    </w:pPr>
  </w:style>
  <w:style w:type="character" w:customStyle="1" w:styleId="FooterChar">
    <w:name w:val="Footer Char"/>
    <w:link w:val="Footer"/>
    <w:uiPriority w:val="99"/>
    <w:rsid w:val="00EB00F6"/>
  </w:style>
  <w:style w:type="paragraph" w:styleId="ListParagraph">
    <w:name w:val="List Paragraph"/>
    <w:basedOn w:val="Normal"/>
    <w:uiPriority w:val="34"/>
    <w:qFormat/>
    <w:rsid w:val="00DA38F2"/>
    <w:pPr>
      <w:ind w:left="720"/>
    </w:pPr>
  </w:style>
  <w:style w:type="character" w:customStyle="1" w:styleId="tgc">
    <w:name w:val="_tgc"/>
    <w:rsid w:val="00CA3763"/>
  </w:style>
  <w:style w:type="paragraph" w:styleId="Revision">
    <w:name w:val="Revision"/>
    <w:hidden/>
    <w:uiPriority w:val="99"/>
    <w:semiHidden/>
    <w:rsid w:val="00CA5B66"/>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link w:val="FootnoteText"/>
    <w:uiPriority w:val="99"/>
    <w:rsid w:val="008F3A1C"/>
  </w:style>
  <w:style w:type="paragraph" w:styleId="TOC1">
    <w:name w:val="toc 1"/>
    <w:basedOn w:val="Normal"/>
    <w:next w:val="Normal"/>
    <w:autoRedefine/>
    <w:uiPriority w:val="39"/>
    <w:rsid w:val="00421E3D"/>
    <w:pPr>
      <w:tabs>
        <w:tab w:val="left" w:pos="440"/>
        <w:tab w:val="right" w:leader="dot" w:pos="9350"/>
      </w:tabs>
      <w:spacing w:after="100"/>
      <w:jc w:val="center"/>
    </w:pPr>
  </w:style>
  <w:style w:type="paragraph" w:styleId="TOC2">
    <w:name w:val="toc 2"/>
    <w:basedOn w:val="Normal"/>
    <w:next w:val="Normal"/>
    <w:autoRedefine/>
    <w:uiPriority w:val="39"/>
    <w:rsid w:val="0030352A"/>
    <w:pPr>
      <w:spacing w:after="100"/>
      <w:ind w:left="200"/>
    </w:pPr>
  </w:style>
  <w:style w:type="paragraph" w:styleId="TOC3">
    <w:name w:val="toc 3"/>
    <w:basedOn w:val="Normal"/>
    <w:next w:val="Normal"/>
    <w:autoRedefine/>
    <w:uiPriority w:val="39"/>
    <w:rsid w:val="0030352A"/>
    <w:pPr>
      <w:spacing w:after="100"/>
      <w:ind w:left="400"/>
    </w:pPr>
  </w:style>
  <w:style w:type="character" w:customStyle="1" w:styleId="UnresolvedMention1">
    <w:name w:val="Unresolved Mention1"/>
    <w:basedOn w:val="DefaultParagraphFont"/>
    <w:uiPriority w:val="99"/>
    <w:semiHidden/>
    <w:unhideWhenUsed/>
    <w:rsid w:val="00DB0918"/>
    <w:rPr>
      <w:color w:val="605E5C"/>
      <w:shd w:val="clear" w:color="auto" w:fill="E1DFDD"/>
    </w:rPr>
  </w:style>
  <w:style w:type="paragraph" w:styleId="Caption">
    <w:name w:val="caption"/>
    <w:basedOn w:val="Normal"/>
    <w:next w:val="Normal"/>
    <w:unhideWhenUsed/>
    <w:qFormat/>
    <w:rsid w:val="00C1141B"/>
    <w:pPr>
      <w:spacing w:after="200"/>
    </w:pPr>
    <w:rPr>
      <w:i/>
      <w:iCs/>
      <w:color w:val="1F497D" w:themeColor="text2"/>
      <w:sz w:val="18"/>
      <w:szCs w:val="18"/>
    </w:rPr>
  </w:style>
  <w:style w:type="character" w:styleId="BookTitle">
    <w:name w:val="Book Title"/>
    <w:basedOn w:val="DefaultParagraphFont"/>
    <w:uiPriority w:val="33"/>
    <w:qFormat/>
    <w:rsid w:val="0018180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6510">
      <w:bodyDiv w:val="1"/>
      <w:marLeft w:val="0"/>
      <w:marRight w:val="0"/>
      <w:marTop w:val="0"/>
      <w:marBottom w:val="0"/>
      <w:divBdr>
        <w:top w:val="none" w:sz="0" w:space="0" w:color="auto"/>
        <w:left w:val="none" w:sz="0" w:space="0" w:color="auto"/>
        <w:bottom w:val="none" w:sz="0" w:space="0" w:color="auto"/>
        <w:right w:val="none" w:sz="0" w:space="0" w:color="auto"/>
      </w:divBdr>
    </w:div>
    <w:div w:id="67464583">
      <w:bodyDiv w:val="1"/>
      <w:marLeft w:val="0"/>
      <w:marRight w:val="0"/>
      <w:marTop w:val="0"/>
      <w:marBottom w:val="0"/>
      <w:divBdr>
        <w:top w:val="none" w:sz="0" w:space="0" w:color="auto"/>
        <w:left w:val="none" w:sz="0" w:space="0" w:color="auto"/>
        <w:bottom w:val="none" w:sz="0" w:space="0" w:color="auto"/>
        <w:right w:val="none" w:sz="0" w:space="0" w:color="auto"/>
      </w:divBdr>
    </w:div>
    <w:div w:id="74322787">
      <w:bodyDiv w:val="1"/>
      <w:marLeft w:val="0"/>
      <w:marRight w:val="0"/>
      <w:marTop w:val="0"/>
      <w:marBottom w:val="0"/>
      <w:divBdr>
        <w:top w:val="none" w:sz="0" w:space="0" w:color="auto"/>
        <w:left w:val="none" w:sz="0" w:space="0" w:color="auto"/>
        <w:bottom w:val="none" w:sz="0" w:space="0" w:color="auto"/>
        <w:right w:val="none" w:sz="0" w:space="0" w:color="auto"/>
      </w:divBdr>
    </w:div>
    <w:div w:id="81221301">
      <w:bodyDiv w:val="1"/>
      <w:marLeft w:val="0"/>
      <w:marRight w:val="0"/>
      <w:marTop w:val="0"/>
      <w:marBottom w:val="0"/>
      <w:divBdr>
        <w:top w:val="none" w:sz="0" w:space="0" w:color="auto"/>
        <w:left w:val="none" w:sz="0" w:space="0" w:color="auto"/>
        <w:bottom w:val="none" w:sz="0" w:space="0" w:color="auto"/>
        <w:right w:val="none" w:sz="0" w:space="0" w:color="auto"/>
      </w:divBdr>
    </w:div>
    <w:div w:id="122618361">
      <w:bodyDiv w:val="1"/>
      <w:marLeft w:val="0"/>
      <w:marRight w:val="0"/>
      <w:marTop w:val="0"/>
      <w:marBottom w:val="0"/>
      <w:divBdr>
        <w:top w:val="none" w:sz="0" w:space="0" w:color="auto"/>
        <w:left w:val="none" w:sz="0" w:space="0" w:color="auto"/>
        <w:bottom w:val="none" w:sz="0" w:space="0" w:color="auto"/>
        <w:right w:val="none" w:sz="0" w:space="0" w:color="auto"/>
      </w:divBdr>
    </w:div>
    <w:div w:id="181166515">
      <w:bodyDiv w:val="1"/>
      <w:marLeft w:val="0"/>
      <w:marRight w:val="0"/>
      <w:marTop w:val="0"/>
      <w:marBottom w:val="0"/>
      <w:divBdr>
        <w:top w:val="none" w:sz="0" w:space="0" w:color="auto"/>
        <w:left w:val="none" w:sz="0" w:space="0" w:color="auto"/>
        <w:bottom w:val="none" w:sz="0" w:space="0" w:color="auto"/>
        <w:right w:val="none" w:sz="0" w:space="0" w:color="auto"/>
      </w:divBdr>
    </w:div>
    <w:div w:id="187449080">
      <w:bodyDiv w:val="1"/>
      <w:marLeft w:val="0"/>
      <w:marRight w:val="0"/>
      <w:marTop w:val="0"/>
      <w:marBottom w:val="0"/>
      <w:divBdr>
        <w:top w:val="none" w:sz="0" w:space="0" w:color="auto"/>
        <w:left w:val="none" w:sz="0" w:space="0" w:color="auto"/>
        <w:bottom w:val="none" w:sz="0" w:space="0" w:color="auto"/>
        <w:right w:val="none" w:sz="0" w:space="0" w:color="auto"/>
      </w:divBdr>
    </w:div>
    <w:div w:id="217981764">
      <w:bodyDiv w:val="1"/>
      <w:marLeft w:val="0"/>
      <w:marRight w:val="0"/>
      <w:marTop w:val="0"/>
      <w:marBottom w:val="0"/>
      <w:divBdr>
        <w:top w:val="none" w:sz="0" w:space="0" w:color="auto"/>
        <w:left w:val="none" w:sz="0" w:space="0" w:color="auto"/>
        <w:bottom w:val="none" w:sz="0" w:space="0" w:color="auto"/>
        <w:right w:val="none" w:sz="0" w:space="0" w:color="auto"/>
      </w:divBdr>
    </w:div>
    <w:div w:id="236519800">
      <w:bodyDiv w:val="1"/>
      <w:marLeft w:val="0"/>
      <w:marRight w:val="0"/>
      <w:marTop w:val="0"/>
      <w:marBottom w:val="0"/>
      <w:divBdr>
        <w:top w:val="none" w:sz="0" w:space="0" w:color="auto"/>
        <w:left w:val="none" w:sz="0" w:space="0" w:color="auto"/>
        <w:bottom w:val="none" w:sz="0" w:space="0" w:color="auto"/>
        <w:right w:val="none" w:sz="0" w:space="0" w:color="auto"/>
      </w:divBdr>
    </w:div>
    <w:div w:id="299190077">
      <w:bodyDiv w:val="1"/>
      <w:marLeft w:val="0"/>
      <w:marRight w:val="0"/>
      <w:marTop w:val="0"/>
      <w:marBottom w:val="0"/>
      <w:divBdr>
        <w:top w:val="none" w:sz="0" w:space="0" w:color="auto"/>
        <w:left w:val="none" w:sz="0" w:space="0" w:color="auto"/>
        <w:bottom w:val="none" w:sz="0" w:space="0" w:color="auto"/>
        <w:right w:val="none" w:sz="0" w:space="0" w:color="auto"/>
      </w:divBdr>
    </w:div>
    <w:div w:id="331298202">
      <w:bodyDiv w:val="1"/>
      <w:marLeft w:val="0"/>
      <w:marRight w:val="0"/>
      <w:marTop w:val="0"/>
      <w:marBottom w:val="0"/>
      <w:divBdr>
        <w:top w:val="none" w:sz="0" w:space="0" w:color="auto"/>
        <w:left w:val="none" w:sz="0" w:space="0" w:color="auto"/>
        <w:bottom w:val="none" w:sz="0" w:space="0" w:color="auto"/>
        <w:right w:val="none" w:sz="0" w:space="0" w:color="auto"/>
      </w:divBdr>
    </w:div>
    <w:div w:id="357702904">
      <w:bodyDiv w:val="1"/>
      <w:marLeft w:val="0"/>
      <w:marRight w:val="0"/>
      <w:marTop w:val="0"/>
      <w:marBottom w:val="0"/>
      <w:divBdr>
        <w:top w:val="none" w:sz="0" w:space="0" w:color="auto"/>
        <w:left w:val="none" w:sz="0" w:space="0" w:color="auto"/>
        <w:bottom w:val="none" w:sz="0" w:space="0" w:color="auto"/>
        <w:right w:val="none" w:sz="0" w:space="0" w:color="auto"/>
      </w:divBdr>
    </w:div>
    <w:div w:id="433599819">
      <w:bodyDiv w:val="1"/>
      <w:marLeft w:val="0"/>
      <w:marRight w:val="0"/>
      <w:marTop w:val="0"/>
      <w:marBottom w:val="0"/>
      <w:divBdr>
        <w:top w:val="none" w:sz="0" w:space="0" w:color="auto"/>
        <w:left w:val="none" w:sz="0" w:space="0" w:color="auto"/>
        <w:bottom w:val="none" w:sz="0" w:space="0" w:color="auto"/>
        <w:right w:val="none" w:sz="0" w:space="0" w:color="auto"/>
      </w:divBdr>
    </w:div>
    <w:div w:id="452139961">
      <w:bodyDiv w:val="1"/>
      <w:marLeft w:val="0"/>
      <w:marRight w:val="0"/>
      <w:marTop w:val="0"/>
      <w:marBottom w:val="0"/>
      <w:divBdr>
        <w:top w:val="none" w:sz="0" w:space="0" w:color="auto"/>
        <w:left w:val="none" w:sz="0" w:space="0" w:color="auto"/>
        <w:bottom w:val="none" w:sz="0" w:space="0" w:color="auto"/>
        <w:right w:val="none" w:sz="0" w:space="0" w:color="auto"/>
      </w:divBdr>
    </w:div>
    <w:div w:id="460877765">
      <w:bodyDiv w:val="1"/>
      <w:marLeft w:val="0"/>
      <w:marRight w:val="0"/>
      <w:marTop w:val="0"/>
      <w:marBottom w:val="0"/>
      <w:divBdr>
        <w:top w:val="none" w:sz="0" w:space="0" w:color="auto"/>
        <w:left w:val="none" w:sz="0" w:space="0" w:color="auto"/>
        <w:bottom w:val="none" w:sz="0" w:space="0" w:color="auto"/>
        <w:right w:val="none" w:sz="0" w:space="0" w:color="auto"/>
      </w:divBdr>
    </w:div>
    <w:div w:id="484584983">
      <w:bodyDiv w:val="1"/>
      <w:marLeft w:val="0"/>
      <w:marRight w:val="0"/>
      <w:marTop w:val="0"/>
      <w:marBottom w:val="0"/>
      <w:divBdr>
        <w:top w:val="none" w:sz="0" w:space="0" w:color="auto"/>
        <w:left w:val="none" w:sz="0" w:space="0" w:color="auto"/>
        <w:bottom w:val="none" w:sz="0" w:space="0" w:color="auto"/>
        <w:right w:val="none" w:sz="0" w:space="0" w:color="auto"/>
      </w:divBdr>
    </w:div>
    <w:div w:id="508953797">
      <w:bodyDiv w:val="1"/>
      <w:marLeft w:val="0"/>
      <w:marRight w:val="0"/>
      <w:marTop w:val="0"/>
      <w:marBottom w:val="0"/>
      <w:divBdr>
        <w:top w:val="none" w:sz="0" w:space="0" w:color="auto"/>
        <w:left w:val="none" w:sz="0" w:space="0" w:color="auto"/>
        <w:bottom w:val="none" w:sz="0" w:space="0" w:color="auto"/>
        <w:right w:val="none" w:sz="0" w:space="0" w:color="auto"/>
      </w:divBdr>
    </w:div>
    <w:div w:id="567544199">
      <w:bodyDiv w:val="1"/>
      <w:marLeft w:val="0"/>
      <w:marRight w:val="0"/>
      <w:marTop w:val="0"/>
      <w:marBottom w:val="0"/>
      <w:divBdr>
        <w:top w:val="none" w:sz="0" w:space="0" w:color="auto"/>
        <w:left w:val="none" w:sz="0" w:space="0" w:color="auto"/>
        <w:bottom w:val="none" w:sz="0" w:space="0" w:color="auto"/>
        <w:right w:val="none" w:sz="0" w:space="0" w:color="auto"/>
      </w:divBdr>
    </w:div>
    <w:div w:id="595940782">
      <w:bodyDiv w:val="1"/>
      <w:marLeft w:val="0"/>
      <w:marRight w:val="0"/>
      <w:marTop w:val="0"/>
      <w:marBottom w:val="0"/>
      <w:divBdr>
        <w:top w:val="none" w:sz="0" w:space="0" w:color="auto"/>
        <w:left w:val="none" w:sz="0" w:space="0" w:color="auto"/>
        <w:bottom w:val="none" w:sz="0" w:space="0" w:color="auto"/>
        <w:right w:val="none" w:sz="0" w:space="0" w:color="auto"/>
      </w:divBdr>
    </w:div>
    <w:div w:id="600189714">
      <w:bodyDiv w:val="1"/>
      <w:marLeft w:val="0"/>
      <w:marRight w:val="0"/>
      <w:marTop w:val="0"/>
      <w:marBottom w:val="0"/>
      <w:divBdr>
        <w:top w:val="none" w:sz="0" w:space="0" w:color="auto"/>
        <w:left w:val="none" w:sz="0" w:space="0" w:color="auto"/>
        <w:bottom w:val="none" w:sz="0" w:space="0" w:color="auto"/>
        <w:right w:val="none" w:sz="0" w:space="0" w:color="auto"/>
      </w:divBdr>
      <w:divsChild>
        <w:div w:id="703410811">
          <w:marLeft w:val="0"/>
          <w:marRight w:val="0"/>
          <w:marTop w:val="0"/>
          <w:marBottom w:val="0"/>
          <w:divBdr>
            <w:top w:val="none" w:sz="0" w:space="0" w:color="auto"/>
            <w:left w:val="single" w:sz="6" w:space="0" w:color="999999"/>
            <w:bottom w:val="none" w:sz="0" w:space="0" w:color="auto"/>
            <w:right w:val="single" w:sz="6" w:space="0" w:color="999999"/>
          </w:divBdr>
          <w:divsChild>
            <w:div w:id="1947034118">
              <w:marLeft w:val="0"/>
              <w:marRight w:val="0"/>
              <w:marTop w:val="0"/>
              <w:marBottom w:val="0"/>
              <w:divBdr>
                <w:top w:val="none" w:sz="0" w:space="0" w:color="auto"/>
                <w:left w:val="none" w:sz="0" w:space="0" w:color="auto"/>
                <w:bottom w:val="none" w:sz="0" w:space="0" w:color="auto"/>
                <w:right w:val="none" w:sz="0" w:space="0" w:color="auto"/>
              </w:divBdr>
              <w:divsChild>
                <w:div w:id="1735733878">
                  <w:marLeft w:val="0"/>
                  <w:marRight w:val="0"/>
                  <w:marTop w:val="0"/>
                  <w:marBottom w:val="0"/>
                  <w:divBdr>
                    <w:top w:val="none" w:sz="0" w:space="0" w:color="auto"/>
                    <w:left w:val="none" w:sz="0" w:space="0" w:color="auto"/>
                    <w:bottom w:val="single" w:sz="6" w:space="9" w:color="FFFFFF"/>
                    <w:right w:val="none" w:sz="0" w:space="0" w:color="auto"/>
                  </w:divBdr>
                  <w:divsChild>
                    <w:div w:id="173424343">
                      <w:marLeft w:val="0"/>
                      <w:marRight w:val="0"/>
                      <w:marTop w:val="0"/>
                      <w:marBottom w:val="0"/>
                      <w:divBdr>
                        <w:top w:val="none" w:sz="0" w:space="0" w:color="auto"/>
                        <w:left w:val="none" w:sz="0" w:space="0" w:color="auto"/>
                        <w:bottom w:val="none" w:sz="0" w:space="0" w:color="auto"/>
                        <w:right w:val="none" w:sz="0" w:space="0" w:color="auto"/>
                      </w:divBdr>
                      <w:divsChild>
                        <w:div w:id="37361883">
                          <w:marLeft w:val="0"/>
                          <w:marRight w:val="0"/>
                          <w:marTop w:val="0"/>
                          <w:marBottom w:val="0"/>
                          <w:divBdr>
                            <w:top w:val="none" w:sz="0" w:space="0" w:color="auto"/>
                            <w:left w:val="none" w:sz="0" w:space="0" w:color="auto"/>
                            <w:bottom w:val="none" w:sz="0" w:space="0" w:color="auto"/>
                            <w:right w:val="none" w:sz="0" w:space="0" w:color="auto"/>
                          </w:divBdr>
                          <w:divsChild>
                            <w:div w:id="2044213435">
                              <w:marLeft w:val="0"/>
                              <w:marRight w:val="0"/>
                              <w:marTop w:val="0"/>
                              <w:marBottom w:val="0"/>
                              <w:divBdr>
                                <w:top w:val="none" w:sz="0" w:space="0" w:color="auto"/>
                                <w:left w:val="none" w:sz="0" w:space="0" w:color="auto"/>
                                <w:bottom w:val="none" w:sz="0" w:space="0" w:color="auto"/>
                                <w:right w:val="none" w:sz="0" w:space="0" w:color="auto"/>
                              </w:divBdr>
                              <w:divsChild>
                                <w:div w:id="621113342">
                                  <w:marLeft w:val="0"/>
                                  <w:marRight w:val="0"/>
                                  <w:marTop w:val="0"/>
                                  <w:marBottom w:val="0"/>
                                  <w:divBdr>
                                    <w:top w:val="none" w:sz="0" w:space="0" w:color="auto"/>
                                    <w:left w:val="none" w:sz="0" w:space="0" w:color="auto"/>
                                    <w:bottom w:val="none" w:sz="0" w:space="0" w:color="auto"/>
                                    <w:right w:val="none" w:sz="0" w:space="0" w:color="auto"/>
                                  </w:divBdr>
                                  <w:divsChild>
                                    <w:div w:id="1816943977">
                                      <w:marLeft w:val="0"/>
                                      <w:marRight w:val="0"/>
                                      <w:marTop w:val="0"/>
                                      <w:marBottom w:val="0"/>
                                      <w:divBdr>
                                        <w:top w:val="none" w:sz="0" w:space="0" w:color="auto"/>
                                        <w:left w:val="none" w:sz="0" w:space="0" w:color="auto"/>
                                        <w:bottom w:val="none" w:sz="0" w:space="0" w:color="auto"/>
                                        <w:right w:val="none" w:sz="0" w:space="0" w:color="auto"/>
                                      </w:divBdr>
                                      <w:divsChild>
                                        <w:div w:id="1427338935">
                                          <w:marLeft w:val="600"/>
                                          <w:marRight w:val="375"/>
                                          <w:marTop w:val="120"/>
                                          <w:marBottom w:val="0"/>
                                          <w:divBdr>
                                            <w:top w:val="none" w:sz="0" w:space="0" w:color="auto"/>
                                            <w:left w:val="none" w:sz="0" w:space="0" w:color="auto"/>
                                            <w:bottom w:val="none" w:sz="0" w:space="0" w:color="auto"/>
                                            <w:right w:val="none" w:sz="0" w:space="0" w:color="auto"/>
                                          </w:divBdr>
                                          <w:divsChild>
                                            <w:div w:id="6370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1133518">
      <w:bodyDiv w:val="1"/>
      <w:marLeft w:val="0"/>
      <w:marRight w:val="0"/>
      <w:marTop w:val="0"/>
      <w:marBottom w:val="0"/>
      <w:divBdr>
        <w:top w:val="none" w:sz="0" w:space="0" w:color="auto"/>
        <w:left w:val="none" w:sz="0" w:space="0" w:color="auto"/>
        <w:bottom w:val="none" w:sz="0" w:space="0" w:color="auto"/>
        <w:right w:val="none" w:sz="0" w:space="0" w:color="auto"/>
      </w:divBdr>
    </w:div>
    <w:div w:id="632751782">
      <w:bodyDiv w:val="1"/>
      <w:marLeft w:val="0"/>
      <w:marRight w:val="0"/>
      <w:marTop w:val="0"/>
      <w:marBottom w:val="0"/>
      <w:divBdr>
        <w:top w:val="none" w:sz="0" w:space="0" w:color="auto"/>
        <w:left w:val="none" w:sz="0" w:space="0" w:color="auto"/>
        <w:bottom w:val="none" w:sz="0" w:space="0" w:color="auto"/>
        <w:right w:val="none" w:sz="0" w:space="0" w:color="auto"/>
      </w:divBdr>
    </w:div>
    <w:div w:id="686980884">
      <w:bodyDiv w:val="1"/>
      <w:marLeft w:val="0"/>
      <w:marRight w:val="0"/>
      <w:marTop w:val="0"/>
      <w:marBottom w:val="0"/>
      <w:divBdr>
        <w:top w:val="none" w:sz="0" w:space="0" w:color="auto"/>
        <w:left w:val="none" w:sz="0" w:space="0" w:color="auto"/>
        <w:bottom w:val="none" w:sz="0" w:space="0" w:color="auto"/>
        <w:right w:val="none" w:sz="0" w:space="0" w:color="auto"/>
      </w:divBdr>
    </w:div>
    <w:div w:id="705638137">
      <w:bodyDiv w:val="1"/>
      <w:marLeft w:val="0"/>
      <w:marRight w:val="0"/>
      <w:marTop w:val="0"/>
      <w:marBottom w:val="0"/>
      <w:divBdr>
        <w:top w:val="none" w:sz="0" w:space="0" w:color="auto"/>
        <w:left w:val="none" w:sz="0" w:space="0" w:color="auto"/>
        <w:bottom w:val="none" w:sz="0" w:space="0" w:color="auto"/>
        <w:right w:val="none" w:sz="0" w:space="0" w:color="auto"/>
      </w:divBdr>
    </w:div>
    <w:div w:id="758676676">
      <w:bodyDiv w:val="1"/>
      <w:marLeft w:val="0"/>
      <w:marRight w:val="0"/>
      <w:marTop w:val="0"/>
      <w:marBottom w:val="0"/>
      <w:divBdr>
        <w:top w:val="none" w:sz="0" w:space="0" w:color="auto"/>
        <w:left w:val="none" w:sz="0" w:space="0" w:color="auto"/>
        <w:bottom w:val="none" w:sz="0" w:space="0" w:color="auto"/>
        <w:right w:val="none" w:sz="0" w:space="0" w:color="auto"/>
      </w:divBdr>
    </w:div>
    <w:div w:id="773289751">
      <w:bodyDiv w:val="1"/>
      <w:marLeft w:val="0"/>
      <w:marRight w:val="0"/>
      <w:marTop w:val="0"/>
      <w:marBottom w:val="0"/>
      <w:divBdr>
        <w:top w:val="none" w:sz="0" w:space="0" w:color="auto"/>
        <w:left w:val="none" w:sz="0" w:space="0" w:color="auto"/>
        <w:bottom w:val="none" w:sz="0" w:space="0" w:color="auto"/>
        <w:right w:val="none" w:sz="0" w:space="0" w:color="auto"/>
      </w:divBdr>
    </w:div>
    <w:div w:id="837497102">
      <w:bodyDiv w:val="1"/>
      <w:marLeft w:val="0"/>
      <w:marRight w:val="0"/>
      <w:marTop w:val="0"/>
      <w:marBottom w:val="0"/>
      <w:divBdr>
        <w:top w:val="none" w:sz="0" w:space="0" w:color="auto"/>
        <w:left w:val="none" w:sz="0" w:space="0" w:color="auto"/>
        <w:bottom w:val="none" w:sz="0" w:space="0" w:color="auto"/>
        <w:right w:val="none" w:sz="0" w:space="0" w:color="auto"/>
      </w:divBdr>
    </w:div>
    <w:div w:id="877470930">
      <w:bodyDiv w:val="1"/>
      <w:marLeft w:val="0"/>
      <w:marRight w:val="0"/>
      <w:marTop w:val="0"/>
      <w:marBottom w:val="0"/>
      <w:divBdr>
        <w:top w:val="none" w:sz="0" w:space="0" w:color="auto"/>
        <w:left w:val="none" w:sz="0" w:space="0" w:color="auto"/>
        <w:bottom w:val="none" w:sz="0" w:space="0" w:color="auto"/>
        <w:right w:val="none" w:sz="0" w:space="0" w:color="auto"/>
      </w:divBdr>
    </w:div>
    <w:div w:id="911816854">
      <w:bodyDiv w:val="1"/>
      <w:marLeft w:val="0"/>
      <w:marRight w:val="0"/>
      <w:marTop w:val="0"/>
      <w:marBottom w:val="0"/>
      <w:divBdr>
        <w:top w:val="none" w:sz="0" w:space="0" w:color="auto"/>
        <w:left w:val="none" w:sz="0" w:space="0" w:color="auto"/>
        <w:bottom w:val="none" w:sz="0" w:space="0" w:color="auto"/>
        <w:right w:val="none" w:sz="0" w:space="0" w:color="auto"/>
      </w:divBdr>
    </w:div>
    <w:div w:id="968785386">
      <w:bodyDiv w:val="1"/>
      <w:marLeft w:val="0"/>
      <w:marRight w:val="0"/>
      <w:marTop w:val="0"/>
      <w:marBottom w:val="0"/>
      <w:divBdr>
        <w:top w:val="none" w:sz="0" w:space="0" w:color="auto"/>
        <w:left w:val="none" w:sz="0" w:space="0" w:color="auto"/>
        <w:bottom w:val="none" w:sz="0" w:space="0" w:color="auto"/>
        <w:right w:val="none" w:sz="0" w:space="0" w:color="auto"/>
      </w:divBdr>
      <w:divsChild>
        <w:div w:id="106855237">
          <w:marLeft w:val="0"/>
          <w:marRight w:val="0"/>
          <w:marTop w:val="0"/>
          <w:marBottom w:val="0"/>
          <w:divBdr>
            <w:top w:val="none" w:sz="0" w:space="0" w:color="auto"/>
            <w:left w:val="none" w:sz="0" w:space="0" w:color="auto"/>
            <w:bottom w:val="none" w:sz="0" w:space="0" w:color="auto"/>
            <w:right w:val="none" w:sz="0" w:space="0" w:color="auto"/>
          </w:divBdr>
        </w:div>
      </w:divsChild>
    </w:div>
    <w:div w:id="1008021802">
      <w:bodyDiv w:val="1"/>
      <w:marLeft w:val="0"/>
      <w:marRight w:val="0"/>
      <w:marTop w:val="0"/>
      <w:marBottom w:val="0"/>
      <w:divBdr>
        <w:top w:val="none" w:sz="0" w:space="0" w:color="auto"/>
        <w:left w:val="none" w:sz="0" w:space="0" w:color="auto"/>
        <w:bottom w:val="none" w:sz="0" w:space="0" w:color="auto"/>
        <w:right w:val="none" w:sz="0" w:space="0" w:color="auto"/>
      </w:divBdr>
    </w:div>
    <w:div w:id="1059329071">
      <w:bodyDiv w:val="1"/>
      <w:marLeft w:val="0"/>
      <w:marRight w:val="0"/>
      <w:marTop w:val="0"/>
      <w:marBottom w:val="0"/>
      <w:divBdr>
        <w:top w:val="none" w:sz="0" w:space="0" w:color="auto"/>
        <w:left w:val="none" w:sz="0" w:space="0" w:color="auto"/>
        <w:bottom w:val="none" w:sz="0" w:space="0" w:color="auto"/>
        <w:right w:val="none" w:sz="0" w:space="0" w:color="auto"/>
      </w:divBdr>
    </w:div>
    <w:div w:id="1075475693">
      <w:bodyDiv w:val="1"/>
      <w:marLeft w:val="0"/>
      <w:marRight w:val="0"/>
      <w:marTop w:val="0"/>
      <w:marBottom w:val="0"/>
      <w:divBdr>
        <w:top w:val="none" w:sz="0" w:space="0" w:color="auto"/>
        <w:left w:val="none" w:sz="0" w:space="0" w:color="auto"/>
        <w:bottom w:val="none" w:sz="0" w:space="0" w:color="auto"/>
        <w:right w:val="none" w:sz="0" w:space="0" w:color="auto"/>
      </w:divBdr>
    </w:div>
    <w:div w:id="1112475237">
      <w:bodyDiv w:val="1"/>
      <w:marLeft w:val="0"/>
      <w:marRight w:val="0"/>
      <w:marTop w:val="0"/>
      <w:marBottom w:val="0"/>
      <w:divBdr>
        <w:top w:val="none" w:sz="0" w:space="0" w:color="auto"/>
        <w:left w:val="none" w:sz="0" w:space="0" w:color="auto"/>
        <w:bottom w:val="none" w:sz="0" w:space="0" w:color="auto"/>
        <w:right w:val="none" w:sz="0" w:space="0" w:color="auto"/>
      </w:divBdr>
    </w:div>
    <w:div w:id="1194464239">
      <w:bodyDiv w:val="1"/>
      <w:marLeft w:val="0"/>
      <w:marRight w:val="0"/>
      <w:marTop w:val="0"/>
      <w:marBottom w:val="0"/>
      <w:divBdr>
        <w:top w:val="none" w:sz="0" w:space="0" w:color="auto"/>
        <w:left w:val="none" w:sz="0" w:space="0" w:color="auto"/>
        <w:bottom w:val="none" w:sz="0" w:space="0" w:color="auto"/>
        <w:right w:val="none" w:sz="0" w:space="0" w:color="auto"/>
      </w:divBdr>
    </w:div>
    <w:div w:id="1217812221">
      <w:bodyDiv w:val="1"/>
      <w:marLeft w:val="0"/>
      <w:marRight w:val="0"/>
      <w:marTop w:val="0"/>
      <w:marBottom w:val="0"/>
      <w:divBdr>
        <w:top w:val="none" w:sz="0" w:space="0" w:color="auto"/>
        <w:left w:val="none" w:sz="0" w:space="0" w:color="auto"/>
        <w:bottom w:val="none" w:sz="0" w:space="0" w:color="auto"/>
        <w:right w:val="none" w:sz="0" w:space="0" w:color="auto"/>
      </w:divBdr>
    </w:div>
    <w:div w:id="1267232970">
      <w:bodyDiv w:val="1"/>
      <w:marLeft w:val="0"/>
      <w:marRight w:val="0"/>
      <w:marTop w:val="0"/>
      <w:marBottom w:val="0"/>
      <w:divBdr>
        <w:top w:val="none" w:sz="0" w:space="0" w:color="auto"/>
        <w:left w:val="none" w:sz="0" w:space="0" w:color="auto"/>
        <w:bottom w:val="none" w:sz="0" w:space="0" w:color="auto"/>
        <w:right w:val="none" w:sz="0" w:space="0" w:color="auto"/>
      </w:divBdr>
    </w:div>
    <w:div w:id="1298335464">
      <w:bodyDiv w:val="1"/>
      <w:marLeft w:val="0"/>
      <w:marRight w:val="0"/>
      <w:marTop w:val="0"/>
      <w:marBottom w:val="0"/>
      <w:divBdr>
        <w:top w:val="none" w:sz="0" w:space="0" w:color="auto"/>
        <w:left w:val="none" w:sz="0" w:space="0" w:color="auto"/>
        <w:bottom w:val="none" w:sz="0" w:space="0" w:color="auto"/>
        <w:right w:val="none" w:sz="0" w:space="0" w:color="auto"/>
      </w:divBdr>
      <w:divsChild>
        <w:div w:id="2045859665">
          <w:marLeft w:val="0"/>
          <w:marRight w:val="0"/>
          <w:marTop w:val="0"/>
          <w:marBottom w:val="0"/>
          <w:divBdr>
            <w:top w:val="none" w:sz="0" w:space="0" w:color="auto"/>
            <w:left w:val="none" w:sz="0" w:space="0" w:color="auto"/>
            <w:bottom w:val="none" w:sz="0" w:space="0" w:color="auto"/>
            <w:right w:val="none" w:sz="0" w:space="0" w:color="auto"/>
          </w:divBdr>
        </w:div>
      </w:divsChild>
    </w:div>
    <w:div w:id="1352031842">
      <w:bodyDiv w:val="1"/>
      <w:marLeft w:val="0"/>
      <w:marRight w:val="0"/>
      <w:marTop w:val="0"/>
      <w:marBottom w:val="0"/>
      <w:divBdr>
        <w:top w:val="none" w:sz="0" w:space="0" w:color="auto"/>
        <w:left w:val="none" w:sz="0" w:space="0" w:color="auto"/>
        <w:bottom w:val="none" w:sz="0" w:space="0" w:color="auto"/>
        <w:right w:val="none" w:sz="0" w:space="0" w:color="auto"/>
      </w:divBdr>
    </w:div>
    <w:div w:id="1389717975">
      <w:bodyDiv w:val="1"/>
      <w:marLeft w:val="0"/>
      <w:marRight w:val="0"/>
      <w:marTop w:val="0"/>
      <w:marBottom w:val="0"/>
      <w:divBdr>
        <w:top w:val="none" w:sz="0" w:space="0" w:color="auto"/>
        <w:left w:val="none" w:sz="0" w:space="0" w:color="auto"/>
        <w:bottom w:val="none" w:sz="0" w:space="0" w:color="auto"/>
        <w:right w:val="none" w:sz="0" w:space="0" w:color="auto"/>
      </w:divBdr>
    </w:div>
    <w:div w:id="1440219571">
      <w:bodyDiv w:val="1"/>
      <w:marLeft w:val="0"/>
      <w:marRight w:val="0"/>
      <w:marTop w:val="0"/>
      <w:marBottom w:val="0"/>
      <w:divBdr>
        <w:top w:val="none" w:sz="0" w:space="0" w:color="auto"/>
        <w:left w:val="none" w:sz="0" w:space="0" w:color="auto"/>
        <w:bottom w:val="none" w:sz="0" w:space="0" w:color="auto"/>
        <w:right w:val="none" w:sz="0" w:space="0" w:color="auto"/>
      </w:divBdr>
    </w:div>
    <w:div w:id="1545215134">
      <w:bodyDiv w:val="1"/>
      <w:marLeft w:val="0"/>
      <w:marRight w:val="0"/>
      <w:marTop w:val="0"/>
      <w:marBottom w:val="0"/>
      <w:divBdr>
        <w:top w:val="none" w:sz="0" w:space="0" w:color="auto"/>
        <w:left w:val="none" w:sz="0" w:space="0" w:color="auto"/>
        <w:bottom w:val="none" w:sz="0" w:space="0" w:color="auto"/>
        <w:right w:val="none" w:sz="0" w:space="0" w:color="auto"/>
      </w:divBdr>
    </w:div>
    <w:div w:id="1572304255">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
    <w:div w:id="1749498317">
      <w:bodyDiv w:val="1"/>
      <w:marLeft w:val="0"/>
      <w:marRight w:val="0"/>
      <w:marTop w:val="0"/>
      <w:marBottom w:val="0"/>
      <w:divBdr>
        <w:top w:val="none" w:sz="0" w:space="0" w:color="auto"/>
        <w:left w:val="none" w:sz="0" w:space="0" w:color="auto"/>
        <w:bottom w:val="none" w:sz="0" w:space="0" w:color="auto"/>
        <w:right w:val="none" w:sz="0" w:space="0" w:color="auto"/>
      </w:divBdr>
    </w:div>
    <w:div w:id="1755591315">
      <w:bodyDiv w:val="1"/>
      <w:marLeft w:val="0"/>
      <w:marRight w:val="0"/>
      <w:marTop w:val="0"/>
      <w:marBottom w:val="0"/>
      <w:divBdr>
        <w:top w:val="none" w:sz="0" w:space="0" w:color="auto"/>
        <w:left w:val="none" w:sz="0" w:space="0" w:color="auto"/>
        <w:bottom w:val="none" w:sz="0" w:space="0" w:color="auto"/>
        <w:right w:val="none" w:sz="0" w:space="0" w:color="auto"/>
      </w:divBdr>
      <w:divsChild>
        <w:div w:id="200673143">
          <w:marLeft w:val="0"/>
          <w:marRight w:val="0"/>
          <w:marTop w:val="0"/>
          <w:marBottom w:val="0"/>
          <w:divBdr>
            <w:top w:val="none" w:sz="0" w:space="0" w:color="auto"/>
            <w:left w:val="none" w:sz="0" w:space="0" w:color="auto"/>
            <w:bottom w:val="none" w:sz="0" w:space="0" w:color="auto"/>
            <w:right w:val="none" w:sz="0" w:space="0" w:color="auto"/>
          </w:divBdr>
        </w:div>
      </w:divsChild>
    </w:div>
    <w:div w:id="1780758226">
      <w:bodyDiv w:val="1"/>
      <w:marLeft w:val="0"/>
      <w:marRight w:val="0"/>
      <w:marTop w:val="0"/>
      <w:marBottom w:val="0"/>
      <w:divBdr>
        <w:top w:val="none" w:sz="0" w:space="0" w:color="auto"/>
        <w:left w:val="none" w:sz="0" w:space="0" w:color="auto"/>
        <w:bottom w:val="none" w:sz="0" w:space="0" w:color="auto"/>
        <w:right w:val="none" w:sz="0" w:space="0" w:color="auto"/>
      </w:divBdr>
    </w:div>
    <w:div w:id="1803226241">
      <w:bodyDiv w:val="1"/>
      <w:marLeft w:val="0"/>
      <w:marRight w:val="0"/>
      <w:marTop w:val="0"/>
      <w:marBottom w:val="0"/>
      <w:divBdr>
        <w:top w:val="none" w:sz="0" w:space="0" w:color="auto"/>
        <w:left w:val="none" w:sz="0" w:space="0" w:color="auto"/>
        <w:bottom w:val="none" w:sz="0" w:space="0" w:color="auto"/>
        <w:right w:val="none" w:sz="0" w:space="0" w:color="auto"/>
      </w:divBdr>
      <w:divsChild>
        <w:div w:id="620384748">
          <w:marLeft w:val="0"/>
          <w:marRight w:val="0"/>
          <w:marTop w:val="0"/>
          <w:marBottom w:val="0"/>
          <w:divBdr>
            <w:top w:val="none" w:sz="0" w:space="0" w:color="auto"/>
            <w:left w:val="single" w:sz="6" w:space="0" w:color="999999"/>
            <w:bottom w:val="none" w:sz="0" w:space="0" w:color="auto"/>
            <w:right w:val="single" w:sz="6" w:space="0" w:color="999999"/>
          </w:divBdr>
          <w:divsChild>
            <w:div w:id="630794784">
              <w:marLeft w:val="0"/>
              <w:marRight w:val="0"/>
              <w:marTop w:val="0"/>
              <w:marBottom w:val="0"/>
              <w:divBdr>
                <w:top w:val="none" w:sz="0" w:space="0" w:color="auto"/>
                <w:left w:val="none" w:sz="0" w:space="0" w:color="auto"/>
                <w:bottom w:val="none" w:sz="0" w:space="0" w:color="auto"/>
                <w:right w:val="none" w:sz="0" w:space="0" w:color="auto"/>
              </w:divBdr>
              <w:divsChild>
                <w:div w:id="1843858070">
                  <w:marLeft w:val="0"/>
                  <w:marRight w:val="0"/>
                  <w:marTop w:val="0"/>
                  <w:marBottom w:val="0"/>
                  <w:divBdr>
                    <w:top w:val="none" w:sz="0" w:space="0" w:color="auto"/>
                    <w:left w:val="none" w:sz="0" w:space="0" w:color="auto"/>
                    <w:bottom w:val="single" w:sz="6" w:space="9" w:color="FFFFFF"/>
                    <w:right w:val="none" w:sz="0" w:space="0" w:color="auto"/>
                  </w:divBdr>
                  <w:divsChild>
                    <w:div w:id="205258875">
                      <w:marLeft w:val="0"/>
                      <w:marRight w:val="0"/>
                      <w:marTop w:val="0"/>
                      <w:marBottom w:val="0"/>
                      <w:divBdr>
                        <w:top w:val="none" w:sz="0" w:space="0" w:color="auto"/>
                        <w:left w:val="none" w:sz="0" w:space="0" w:color="auto"/>
                        <w:bottom w:val="none" w:sz="0" w:space="0" w:color="auto"/>
                        <w:right w:val="none" w:sz="0" w:space="0" w:color="auto"/>
                      </w:divBdr>
                      <w:divsChild>
                        <w:div w:id="38744111">
                          <w:marLeft w:val="0"/>
                          <w:marRight w:val="0"/>
                          <w:marTop w:val="0"/>
                          <w:marBottom w:val="0"/>
                          <w:divBdr>
                            <w:top w:val="none" w:sz="0" w:space="0" w:color="auto"/>
                            <w:left w:val="none" w:sz="0" w:space="0" w:color="auto"/>
                            <w:bottom w:val="none" w:sz="0" w:space="0" w:color="auto"/>
                            <w:right w:val="none" w:sz="0" w:space="0" w:color="auto"/>
                          </w:divBdr>
                          <w:divsChild>
                            <w:div w:id="562760998">
                              <w:marLeft w:val="0"/>
                              <w:marRight w:val="0"/>
                              <w:marTop w:val="0"/>
                              <w:marBottom w:val="0"/>
                              <w:divBdr>
                                <w:top w:val="none" w:sz="0" w:space="0" w:color="auto"/>
                                <w:left w:val="none" w:sz="0" w:space="0" w:color="auto"/>
                                <w:bottom w:val="none" w:sz="0" w:space="0" w:color="auto"/>
                                <w:right w:val="none" w:sz="0" w:space="0" w:color="auto"/>
                              </w:divBdr>
                              <w:divsChild>
                                <w:div w:id="314995207">
                                  <w:marLeft w:val="0"/>
                                  <w:marRight w:val="0"/>
                                  <w:marTop w:val="0"/>
                                  <w:marBottom w:val="0"/>
                                  <w:divBdr>
                                    <w:top w:val="none" w:sz="0" w:space="0" w:color="auto"/>
                                    <w:left w:val="none" w:sz="0" w:space="0" w:color="auto"/>
                                    <w:bottom w:val="none" w:sz="0" w:space="0" w:color="auto"/>
                                    <w:right w:val="none" w:sz="0" w:space="0" w:color="auto"/>
                                  </w:divBdr>
                                  <w:divsChild>
                                    <w:div w:id="404691129">
                                      <w:marLeft w:val="0"/>
                                      <w:marRight w:val="0"/>
                                      <w:marTop w:val="0"/>
                                      <w:marBottom w:val="0"/>
                                      <w:divBdr>
                                        <w:top w:val="none" w:sz="0" w:space="0" w:color="auto"/>
                                        <w:left w:val="none" w:sz="0" w:space="0" w:color="auto"/>
                                        <w:bottom w:val="none" w:sz="0" w:space="0" w:color="auto"/>
                                        <w:right w:val="none" w:sz="0" w:space="0" w:color="auto"/>
                                      </w:divBdr>
                                      <w:divsChild>
                                        <w:div w:id="1013990635">
                                          <w:marLeft w:val="600"/>
                                          <w:marRight w:val="375"/>
                                          <w:marTop w:val="120"/>
                                          <w:marBottom w:val="0"/>
                                          <w:divBdr>
                                            <w:top w:val="none" w:sz="0" w:space="0" w:color="auto"/>
                                            <w:left w:val="none" w:sz="0" w:space="0" w:color="auto"/>
                                            <w:bottom w:val="none" w:sz="0" w:space="0" w:color="auto"/>
                                            <w:right w:val="none" w:sz="0" w:space="0" w:color="auto"/>
                                          </w:divBdr>
                                          <w:divsChild>
                                            <w:div w:id="7215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110098">
      <w:bodyDiv w:val="1"/>
      <w:marLeft w:val="0"/>
      <w:marRight w:val="0"/>
      <w:marTop w:val="0"/>
      <w:marBottom w:val="0"/>
      <w:divBdr>
        <w:top w:val="none" w:sz="0" w:space="0" w:color="auto"/>
        <w:left w:val="none" w:sz="0" w:space="0" w:color="auto"/>
        <w:bottom w:val="none" w:sz="0" w:space="0" w:color="auto"/>
        <w:right w:val="none" w:sz="0" w:space="0" w:color="auto"/>
      </w:divBdr>
    </w:div>
    <w:div w:id="1838230618">
      <w:bodyDiv w:val="1"/>
      <w:marLeft w:val="0"/>
      <w:marRight w:val="0"/>
      <w:marTop w:val="0"/>
      <w:marBottom w:val="0"/>
      <w:divBdr>
        <w:top w:val="none" w:sz="0" w:space="0" w:color="auto"/>
        <w:left w:val="none" w:sz="0" w:space="0" w:color="auto"/>
        <w:bottom w:val="none" w:sz="0" w:space="0" w:color="auto"/>
        <w:right w:val="none" w:sz="0" w:space="0" w:color="auto"/>
      </w:divBdr>
    </w:div>
    <w:div w:id="1911037851">
      <w:bodyDiv w:val="1"/>
      <w:marLeft w:val="0"/>
      <w:marRight w:val="0"/>
      <w:marTop w:val="0"/>
      <w:marBottom w:val="0"/>
      <w:divBdr>
        <w:top w:val="none" w:sz="0" w:space="0" w:color="auto"/>
        <w:left w:val="none" w:sz="0" w:space="0" w:color="auto"/>
        <w:bottom w:val="none" w:sz="0" w:space="0" w:color="auto"/>
        <w:right w:val="none" w:sz="0" w:space="0" w:color="auto"/>
      </w:divBdr>
    </w:div>
    <w:div w:id="1957445953">
      <w:bodyDiv w:val="1"/>
      <w:marLeft w:val="0"/>
      <w:marRight w:val="0"/>
      <w:marTop w:val="0"/>
      <w:marBottom w:val="0"/>
      <w:divBdr>
        <w:top w:val="none" w:sz="0" w:space="0" w:color="auto"/>
        <w:left w:val="none" w:sz="0" w:space="0" w:color="auto"/>
        <w:bottom w:val="none" w:sz="0" w:space="0" w:color="auto"/>
        <w:right w:val="none" w:sz="0" w:space="0" w:color="auto"/>
      </w:divBdr>
      <w:divsChild>
        <w:div w:id="1249924815">
          <w:marLeft w:val="0"/>
          <w:marRight w:val="0"/>
          <w:marTop w:val="0"/>
          <w:marBottom w:val="0"/>
          <w:divBdr>
            <w:top w:val="none" w:sz="0" w:space="0" w:color="auto"/>
            <w:left w:val="none" w:sz="0" w:space="0" w:color="auto"/>
            <w:bottom w:val="none" w:sz="0" w:space="0" w:color="auto"/>
            <w:right w:val="none" w:sz="0" w:space="0" w:color="auto"/>
          </w:divBdr>
        </w:div>
      </w:divsChild>
    </w:div>
    <w:div w:id="1962879398">
      <w:bodyDiv w:val="1"/>
      <w:marLeft w:val="0"/>
      <w:marRight w:val="0"/>
      <w:marTop w:val="0"/>
      <w:marBottom w:val="0"/>
      <w:divBdr>
        <w:top w:val="none" w:sz="0" w:space="0" w:color="auto"/>
        <w:left w:val="none" w:sz="0" w:space="0" w:color="auto"/>
        <w:bottom w:val="none" w:sz="0" w:space="0" w:color="auto"/>
        <w:right w:val="none" w:sz="0" w:space="0" w:color="auto"/>
      </w:divBdr>
    </w:div>
    <w:div w:id="1987079049">
      <w:bodyDiv w:val="1"/>
      <w:marLeft w:val="0"/>
      <w:marRight w:val="0"/>
      <w:marTop w:val="0"/>
      <w:marBottom w:val="0"/>
      <w:divBdr>
        <w:top w:val="none" w:sz="0" w:space="0" w:color="auto"/>
        <w:left w:val="none" w:sz="0" w:space="0" w:color="auto"/>
        <w:bottom w:val="none" w:sz="0" w:space="0" w:color="auto"/>
        <w:right w:val="none" w:sz="0" w:space="0" w:color="auto"/>
      </w:divBdr>
    </w:div>
    <w:div w:id="1999532964">
      <w:bodyDiv w:val="1"/>
      <w:marLeft w:val="0"/>
      <w:marRight w:val="0"/>
      <w:marTop w:val="0"/>
      <w:marBottom w:val="0"/>
      <w:divBdr>
        <w:top w:val="none" w:sz="0" w:space="0" w:color="auto"/>
        <w:left w:val="none" w:sz="0" w:space="0" w:color="auto"/>
        <w:bottom w:val="none" w:sz="0" w:space="0" w:color="auto"/>
        <w:right w:val="none" w:sz="0" w:space="0" w:color="auto"/>
      </w:divBdr>
    </w:div>
    <w:div w:id="2100711079">
      <w:bodyDiv w:val="1"/>
      <w:marLeft w:val="0"/>
      <w:marRight w:val="0"/>
      <w:marTop w:val="0"/>
      <w:marBottom w:val="0"/>
      <w:divBdr>
        <w:top w:val="none" w:sz="0" w:space="0" w:color="auto"/>
        <w:left w:val="none" w:sz="0" w:space="0" w:color="auto"/>
        <w:bottom w:val="none" w:sz="0" w:space="0" w:color="auto"/>
        <w:right w:val="none" w:sz="0" w:space="0" w:color="auto"/>
      </w:divBdr>
    </w:div>
    <w:div w:id="210668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yperlink" Target="http://www.cpuc.ca.gov/PUC/documents/"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5DC5E9AA888B4BABE46A10F900FA47" ma:contentTypeVersion="11" ma:contentTypeDescription="Create a new document." ma:contentTypeScope="" ma:versionID="06be4a14463cf02b43351b4bf8d4f5aa">
  <xsd:schema xmlns:xsd="http://www.w3.org/2001/XMLSchema" xmlns:xs="http://www.w3.org/2001/XMLSchema" xmlns:p="http://schemas.microsoft.com/office/2006/metadata/properties" xmlns:ns3="545dc32d-c4f5-4ce9-8756-416ba9881bed" xmlns:ns4="00f78aeb-3e8c-4a13-a8e5-d69b15d03b24" targetNamespace="http://schemas.microsoft.com/office/2006/metadata/properties" ma:root="true" ma:fieldsID="80a9b08120413157be36ca3278f81d2b" ns3:_="" ns4:_="">
    <xsd:import namespace="545dc32d-c4f5-4ce9-8756-416ba9881bed"/>
    <xsd:import namespace="00f78aeb-3e8c-4a13-a8e5-d69b15d03b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c32d-c4f5-4ce9-8756-416ba9881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78aeb-3e8c-4a13-a8e5-d69b15d03b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162E4-07F7-40C6-A426-0B318AE84EAE}">
  <ds:schemaRefs>
    <ds:schemaRef ds:uri="http://schemas.microsoft.com/sharepoint/v3/contenttype/forms"/>
  </ds:schemaRefs>
</ds:datastoreItem>
</file>

<file path=customXml/itemProps2.xml><?xml version="1.0" encoding="utf-8"?>
<ds:datastoreItem xmlns:ds="http://schemas.openxmlformats.org/officeDocument/2006/customXml" ds:itemID="{4AC75A1D-9CCA-4E2A-AB03-108DF99DC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c32d-c4f5-4ce9-8756-416ba9881bed"/>
    <ds:schemaRef ds:uri="00f78aeb-3e8c-4a13-a8e5-d69b15d03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F288C-5692-4C02-BBD5-DF5AEFDEA1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ACFB32-314F-4DF8-9A81-7FCD5413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4839</Words>
  <Characters>27585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32360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2011-06-16T20:30:00Z</cp:lastPrinted>
  <dcterms:created xsi:type="dcterms:W3CDTF">2019-10-31T15:19:00Z</dcterms:created>
  <dcterms:modified xsi:type="dcterms:W3CDTF">2019-10-31T22:19:00Z</dcterms:modified>
</cp:coreProperties>
</file>