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1DBD" w:rsidP="00A622F6" w:rsidRDefault="003B1DBD" w14:paraId="398CC33F" w14:textId="77777777">
      <w:pPr>
        <w:pStyle w:val="Title"/>
        <w:rPr>
          <w:rFonts w:ascii="Palatino Linotype" w:hAnsi="Palatino Linotype"/>
        </w:rPr>
      </w:pPr>
    </w:p>
    <w:p w:rsidR="003B1DBD" w:rsidP="00A622F6" w:rsidRDefault="003B1DBD" w14:paraId="682B15E3" w14:textId="77777777">
      <w:pPr>
        <w:pStyle w:val="Title"/>
        <w:rPr>
          <w:rFonts w:ascii="Palatino Linotype" w:hAnsi="Palatino Linotype"/>
        </w:rPr>
      </w:pPr>
    </w:p>
    <w:p w:rsidRPr="00825ECD" w:rsidR="003B1DBD" w:rsidP="00A622F6" w:rsidRDefault="003B1DBD" w14:paraId="57F382AD" w14:textId="77777777">
      <w:pPr>
        <w:pStyle w:val="Title"/>
        <w:rPr>
          <w:rFonts w:ascii="Palatino Linotype" w:hAnsi="Palatino Linotype"/>
        </w:rPr>
      </w:pPr>
      <w:r w:rsidRPr="00825ECD">
        <w:rPr>
          <w:rFonts w:ascii="Palatino Linotype" w:hAnsi="Palatino Linotype"/>
        </w:rPr>
        <w:t>PUBLIC UTILITIES COMMISSION OF THE STATE OF CALIFORNIA</w:t>
      </w:r>
    </w:p>
    <w:p w:rsidR="003B1DBD" w:rsidP="00A622F6" w:rsidRDefault="003B1DBD" w14:paraId="33E8FF30" w14:textId="77777777">
      <w:pPr>
        <w:rPr>
          <w:rFonts w:ascii="Palatino Linotype" w:hAnsi="Palatino Linotype"/>
        </w:rPr>
      </w:pPr>
    </w:p>
    <w:p w:rsidRPr="00825ECD" w:rsidR="003B1DBD" w:rsidP="001716EC" w:rsidRDefault="003B1DBD" w14:paraId="0C92B433" w14:textId="77777777">
      <w:pPr>
        <w:rPr>
          <w:rFonts w:ascii="Palatino Linotype" w:hAnsi="Palatino Linotype"/>
        </w:rPr>
      </w:pPr>
    </w:p>
    <w:p w:rsidRPr="00825ECD" w:rsidR="003B1DBD" w:rsidP="003B1DBD" w:rsidRDefault="003B1DBD" w14:paraId="7317C13F" w14:textId="4B891F0E">
      <w:pPr>
        <w:tabs>
          <w:tab w:val="right" w:pos="9360"/>
        </w:tabs>
        <w:rPr>
          <w:rFonts w:ascii="Palatino Linotype" w:hAnsi="Palatino Linotype"/>
          <w:b/>
        </w:rPr>
      </w:pPr>
      <w:r w:rsidRPr="00825ECD">
        <w:rPr>
          <w:rFonts w:ascii="Palatino Linotype" w:hAnsi="Palatino Linotype"/>
          <w:b/>
        </w:rPr>
        <w:t>Communications Division</w:t>
      </w:r>
      <w:r w:rsidRPr="00825ECD">
        <w:rPr>
          <w:rFonts w:ascii="Palatino Linotype" w:hAnsi="Palatino Linotype"/>
          <w:b/>
        </w:rPr>
        <w:tab/>
        <w:t>RESOLUTION T-</w:t>
      </w:r>
      <w:r w:rsidR="000320CF">
        <w:rPr>
          <w:rFonts w:ascii="Palatino Linotype" w:hAnsi="Palatino Linotype"/>
          <w:b/>
        </w:rPr>
        <w:t>17679</w:t>
      </w:r>
    </w:p>
    <w:p w:rsidRPr="00825ECD" w:rsidR="003B1DBD" w:rsidP="008D13D1" w:rsidRDefault="00D33105" w14:paraId="2A43DB02" w14:textId="2642CFDD">
      <w:pPr>
        <w:tabs>
          <w:tab w:val="right" w:pos="9360"/>
        </w:tabs>
        <w:rPr>
          <w:rFonts w:ascii="Palatino Linotype" w:hAnsi="Palatino Linotype"/>
          <w:i/>
          <w:sz w:val="20"/>
        </w:rPr>
      </w:pPr>
      <w:r>
        <w:rPr>
          <w:rFonts w:ascii="Palatino Linotype" w:hAnsi="Palatino Linotype"/>
          <w:b/>
        </w:rPr>
        <w:t>Consumer Programs Branch</w:t>
      </w:r>
      <w:r w:rsidRPr="00825ECD" w:rsidR="003B1DBD">
        <w:rPr>
          <w:rFonts w:ascii="Palatino Linotype" w:hAnsi="Palatino Linotype"/>
          <w:b/>
        </w:rPr>
        <w:tab/>
      </w:r>
      <w:r w:rsidR="00D42112">
        <w:rPr>
          <w:rFonts w:ascii="Palatino Linotype" w:hAnsi="Palatino Linotype"/>
          <w:b/>
        </w:rPr>
        <w:t>November 7</w:t>
      </w:r>
      <w:r w:rsidR="008D13D1">
        <w:rPr>
          <w:rFonts w:ascii="Palatino Linotype" w:hAnsi="Palatino Linotype"/>
          <w:b/>
        </w:rPr>
        <w:t>, 2019</w:t>
      </w:r>
    </w:p>
    <w:p w:rsidRPr="00825ECD" w:rsidR="003B1DBD" w:rsidP="003B1DBD" w:rsidRDefault="003B1DBD" w14:paraId="08359DE4" w14:textId="77777777">
      <w:pPr>
        <w:tabs>
          <w:tab w:val="right" w:pos="10080"/>
        </w:tabs>
        <w:rPr>
          <w:rFonts w:ascii="Palatino Linotype" w:hAnsi="Palatino Linotype"/>
        </w:rPr>
      </w:pPr>
    </w:p>
    <w:p w:rsidRPr="00A647B5" w:rsidR="003B1DBD" w:rsidP="003B1DBD" w:rsidRDefault="003B1DBD" w14:paraId="0BF6F638" w14:textId="77777777">
      <w:pPr>
        <w:tabs>
          <w:tab w:val="right" w:pos="10080"/>
        </w:tabs>
        <w:jc w:val="center"/>
        <w:rPr>
          <w:rFonts w:ascii="Palatino Linotype" w:hAnsi="Palatino Linotype"/>
          <w:b/>
          <w:u w:val="single"/>
        </w:rPr>
      </w:pPr>
      <w:r w:rsidRPr="00A647B5">
        <w:rPr>
          <w:rFonts w:ascii="Palatino Linotype" w:hAnsi="Palatino Linotype"/>
          <w:b/>
          <w:u w:val="single"/>
        </w:rPr>
        <w:t>R E S O L U T I O N</w:t>
      </w:r>
    </w:p>
    <w:p w:rsidRPr="00825ECD" w:rsidR="003B1DBD" w:rsidP="003B1DBD" w:rsidRDefault="003B1DBD" w14:paraId="1C507346" w14:textId="77777777">
      <w:pPr>
        <w:tabs>
          <w:tab w:val="right" w:pos="10080"/>
        </w:tabs>
        <w:jc w:val="center"/>
        <w:rPr>
          <w:rFonts w:ascii="Palatino Linotype" w:hAnsi="Palatino Linotype"/>
          <w:b/>
        </w:rPr>
      </w:pPr>
    </w:p>
    <w:p w:rsidRPr="00825ECD" w:rsidR="003B1DBD" w:rsidP="003B1DBD" w:rsidRDefault="003B1DBD" w14:paraId="55630F5B" w14:textId="77777777">
      <w:pPr>
        <w:tabs>
          <w:tab w:val="right" w:pos="10080"/>
        </w:tabs>
        <w:rPr>
          <w:rFonts w:ascii="Palatino Linotype" w:hAnsi="Palatino Linotype"/>
        </w:rPr>
      </w:pPr>
    </w:p>
    <w:p w:rsidRPr="00520FD8" w:rsidR="003B1DBD" w:rsidP="0042374F" w:rsidRDefault="003B1DBD" w14:paraId="43BEF1CF" w14:textId="4B55EBB4">
      <w:pPr>
        <w:tabs>
          <w:tab w:val="right" w:pos="10080"/>
        </w:tabs>
        <w:rPr>
          <w:rFonts w:ascii="Palatino Linotype" w:hAnsi="Palatino Linotype"/>
          <w:b/>
        </w:rPr>
      </w:pPr>
      <w:r w:rsidRPr="00520FD8">
        <w:rPr>
          <w:rFonts w:ascii="Palatino Linotype" w:hAnsi="Palatino Linotype"/>
          <w:b/>
        </w:rPr>
        <w:t>RESOLUTION T-</w:t>
      </w:r>
      <w:r w:rsidR="007209BF">
        <w:rPr>
          <w:rFonts w:ascii="Palatino Linotype" w:hAnsi="Palatino Linotype"/>
          <w:b/>
        </w:rPr>
        <w:t>17679</w:t>
      </w:r>
      <w:r w:rsidR="0042374F">
        <w:rPr>
          <w:rFonts w:ascii="Palatino Linotype" w:hAnsi="Palatino Linotype"/>
          <w:b/>
        </w:rPr>
        <w:t xml:space="preserve">. Grant of authority to Interface Children and Family Services to serve as the disaster 2-1-1 service provider for </w:t>
      </w:r>
      <w:r w:rsidR="00A80D40">
        <w:rPr>
          <w:rFonts w:ascii="Palatino Linotype" w:hAnsi="Palatino Linotype"/>
          <w:b/>
        </w:rPr>
        <w:t>participating unserved counties in California</w:t>
      </w:r>
      <w:r w:rsidR="0042374F">
        <w:rPr>
          <w:rFonts w:ascii="Palatino Linotype" w:hAnsi="Palatino Linotype"/>
          <w:b/>
        </w:rPr>
        <w:t>.</w:t>
      </w:r>
    </w:p>
    <w:p w:rsidRPr="00825ECD" w:rsidR="003B1DBD" w:rsidP="003B1DBD" w:rsidRDefault="003B1DBD" w14:paraId="0F4F629A" w14:textId="77777777">
      <w:pPr>
        <w:tabs>
          <w:tab w:val="right" w:pos="10080"/>
        </w:tabs>
        <w:rPr>
          <w:rFonts w:ascii="Palatino Linotype" w:hAnsi="Palatino Linotype"/>
        </w:rPr>
      </w:pPr>
    </w:p>
    <w:p w:rsidRPr="00825ECD" w:rsidR="003B1DBD" w:rsidP="001716EC" w:rsidRDefault="003B1DBD" w14:paraId="73865D99" w14:textId="77777777">
      <w:pPr>
        <w:rPr>
          <w:rFonts w:ascii="Palatino Linotype" w:hAnsi="Palatino Linotype"/>
          <w:b/>
          <w:u w:val="single"/>
        </w:rPr>
      </w:pPr>
    </w:p>
    <w:p w:rsidRPr="00520FD8" w:rsidR="003B1DBD" w:rsidP="00426552" w:rsidRDefault="003B1DBD" w14:paraId="04C1A481" w14:textId="77777777">
      <w:pPr>
        <w:keepNext/>
        <w:rPr>
          <w:rFonts w:ascii="Palatino Linotype" w:hAnsi="Palatino Linotype"/>
          <w:b/>
          <w:u w:val="single"/>
        </w:rPr>
      </w:pPr>
      <w:r w:rsidRPr="00520FD8">
        <w:rPr>
          <w:rFonts w:ascii="Palatino Linotype" w:hAnsi="Palatino Linotype"/>
          <w:b/>
          <w:u w:val="single"/>
        </w:rPr>
        <w:t>SUMMARY</w:t>
      </w:r>
    </w:p>
    <w:p w:rsidR="003B1DBD" w:rsidP="00426552" w:rsidRDefault="003B1DBD" w14:paraId="13D0AE53" w14:textId="2CA90A9A">
      <w:pPr>
        <w:keepNext/>
        <w:rPr>
          <w:rFonts w:ascii="Palatino Linotype" w:hAnsi="Palatino Linotype"/>
          <w:u w:val="single"/>
        </w:rPr>
      </w:pPr>
    </w:p>
    <w:p w:rsidRPr="00CE437D" w:rsidR="00426552" w:rsidP="00426552" w:rsidRDefault="00CE437D" w14:paraId="6C088704" w14:textId="590249D5">
      <w:pPr>
        <w:keepNext/>
        <w:rPr>
          <w:rFonts w:ascii="Palatino Linotype" w:hAnsi="Palatino Linotype"/>
        </w:rPr>
      </w:pPr>
      <w:r>
        <w:rPr>
          <w:rFonts w:ascii="Palatino Linotype" w:hAnsi="Palatino Linotype"/>
        </w:rPr>
        <w:t>This resolution grants Interface Children and Family Services the authority to use the 2</w:t>
      </w:r>
      <w:r w:rsidR="008C369F">
        <w:rPr>
          <w:rFonts w:ascii="Palatino Linotype" w:hAnsi="Palatino Linotype"/>
        </w:rPr>
        <w:noBreakHyphen/>
      </w:r>
      <w:r>
        <w:rPr>
          <w:rFonts w:ascii="Palatino Linotype" w:hAnsi="Palatino Linotype"/>
        </w:rPr>
        <w:t>1</w:t>
      </w:r>
      <w:r w:rsidR="008C369F">
        <w:rPr>
          <w:rFonts w:ascii="Palatino Linotype" w:hAnsi="Palatino Linotype"/>
        </w:rPr>
        <w:noBreakHyphen/>
      </w:r>
      <w:r>
        <w:rPr>
          <w:rFonts w:ascii="Palatino Linotype" w:hAnsi="Palatino Linotype"/>
        </w:rPr>
        <w:t xml:space="preserve">1 abbreviated dialing code to provide information and referral services during disasters to </w:t>
      </w:r>
      <w:r w:rsidR="008C369F">
        <w:rPr>
          <w:rFonts w:ascii="Palatino Linotype" w:hAnsi="Palatino Linotype"/>
        </w:rPr>
        <w:t>the counties of</w:t>
      </w:r>
      <w:r>
        <w:rPr>
          <w:rFonts w:ascii="Palatino Linotype" w:hAnsi="Palatino Linotype"/>
        </w:rPr>
        <w:t xml:space="preserve"> </w:t>
      </w:r>
      <w:r w:rsidR="00BA32D0">
        <w:rPr>
          <w:rFonts w:ascii="Palatino Linotype" w:hAnsi="Palatino Linotype"/>
        </w:rPr>
        <w:t>Alpine, Calaveras, Colusa, Del Norte, Inyo, Lake, Lassen, Madera, Mono, Siskiyou, Sutter, and Trinity</w:t>
      </w:r>
      <w:r>
        <w:rPr>
          <w:rFonts w:ascii="Palatino Linotype" w:hAnsi="Palatino Linotype"/>
        </w:rPr>
        <w:t xml:space="preserve">. </w:t>
      </w:r>
      <w:r w:rsidR="008C369F">
        <w:rPr>
          <w:rFonts w:ascii="Palatino Linotype" w:hAnsi="Palatino Linotype"/>
        </w:rPr>
        <w:t xml:space="preserve">This resolution </w:t>
      </w:r>
      <w:r w:rsidR="00AC6ED6">
        <w:rPr>
          <w:rFonts w:ascii="Palatino Linotype" w:hAnsi="Palatino Linotype"/>
        </w:rPr>
        <w:t>authorizes</w:t>
      </w:r>
      <w:r w:rsidR="008C369F">
        <w:rPr>
          <w:rFonts w:ascii="Palatino Linotype" w:hAnsi="Palatino Linotype"/>
        </w:rPr>
        <w:t xml:space="preserve"> </w:t>
      </w:r>
      <w:r w:rsidR="004A21D7">
        <w:rPr>
          <w:rFonts w:ascii="Palatino Linotype" w:hAnsi="Palatino Linotype"/>
        </w:rPr>
        <w:t xml:space="preserve">the expenditure of </w:t>
      </w:r>
      <w:r w:rsidR="00F129DA">
        <w:rPr>
          <w:rFonts w:ascii="Palatino Linotype" w:hAnsi="Palatino Linotype"/>
        </w:rPr>
        <w:t>$1,</w:t>
      </w:r>
      <w:r w:rsidR="00AF5B86">
        <w:rPr>
          <w:rFonts w:ascii="Palatino Linotype" w:hAnsi="Palatino Linotype"/>
        </w:rPr>
        <w:t>11</w:t>
      </w:r>
      <w:r w:rsidR="00F129DA">
        <w:rPr>
          <w:rFonts w:ascii="Palatino Linotype" w:hAnsi="Palatino Linotype"/>
        </w:rPr>
        <w:t xml:space="preserve">8,470 </w:t>
      </w:r>
      <w:r w:rsidR="00AC6ED6">
        <w:rPr>
          <w:rFonts w:ascii="Palatino Linotype" w:hAnsi="Palatino Linotype"/>
        </w:rPr>
        <w:t xml:space="preserve">from the California </w:t>
      </w:r>
      <w:proofErr w:type="spellStart"/>
      <w:r w:rsidR="00AC6ED6">
        <w:rPr>
          <w:rFonts w:ascii="Palatino Linotype" w:hAnsi="Palatino Linotype"/>
        </w:rPr>
        <w:t>Teleconnect</w:t>
      </w:r>
      <w:proofErr w:type="spellEnd"/>
      <w:r w:rsidR="00AC6ED6">
        <w:rPr>
          <w:rFonts w:ascii="Palatino Linotype" w:hAnsi="Palatino Linotype"/>
        </w:rPr>
        <w:t xml:space="preserve"> Fund to implement disaster-only 2-1-1 in accordance with Senate Bill 1212 (2016).</w:t>
      </w:r>
      <w:r>
        <w:rPr>
          <w:rFonts w:ascii="Palatino Linotype" w:hAnsi="Palatino Linotype"/>
        </w:rPr>
        <w:t xml:space="preserve"> Interface Children and Family Services shall </w:t>
      </w:r>
      <w:r w:rsidR="00A80D40">
        <w:rPr>
          <w:rFonts w:ascii="Palatino Linotype" w:hAnsi="Palatino Linotype"/>
        </w:rPr>
        <w:t>complete full implementation of</w:t>
      </w:r>
      <w:r>
        <w:rPr>
          <w:rFonts w:ascii="Palatino Linotype" w:hAnsi="Palatino Linotype"/>
        </w:rPr>
        <w:t xml:space="preserve"> disaster-only 2-1-1 service</w:t>
      </w:r>
      <w:r w:rsidR="004A21D7">
        <w:rPr>
          <w:rFonts w:ascii="Palatino Linotype" w:hAnsi="Palatino Linotype"/>
        </w:rPr>
        <w:t xml:space="preserve"> in the above listed counties</w:t>
      </w:r>
      <w:r>
        <w:rPr>
          <w:rFonts w:ascii="Palatino Linotype" w:hAnsi="Palatino Linotype"/>
        </w:rPr>
        <w:t xml:space="preserve"> in </w:t>
      </w:r>
      <w:r w:rsidR="004A21D7">
        <w:rPr>
          <w:rFonts w:ascii="Palatino Linotype" w:hAnsi="Palatino Linotype"/>
        </w:rPr>
        <w:t>accordance with the requirements set forth by this resolution</w:t>
      </w:r>
      <w:r w:rsidR="006A1D83">
        <w:rPr>
          <w:rFonts w:ascii="Palatino Linotype" w:hAnsi="Palatino Linotype"/>
        </w:rPr>
        <w:t xml:space="preserve"> </w:t>
      </w:r>
      <w:r w:rsidR="0042374F">
        <w:rPr>
          <w:rFonts w:ascii="Palatino Linotype" w:hAnsi="Palatino Linotype"/>
        </w:rPr>
        <w:t>within three years of this grant of authority.</w:t>
      </w:r>
    </w:p>
    <w:p w:rsidR="003B1DBD" w:rsidP="001716EC" w:rsidRDefault="003B1DBD" w14:paraId="47BC683D" w14:textId="73AD911E">
      <w:pPr>
        <w:rPr>
          <w:rFonts w:ascii="Palatino Linotype" w:hAnsi="Palatino Linotype"/>
        </w:rPr>
      </w:pPr>
    </w:p>
    <w:p w:rsidRPr="00520FD8" w:rsidR="003B1DBD" w:rsidP="00426552" w:rsidRDefault="003B1DBD" w14:paraId="21F7CDF2" w14:textId="77777777">
      <w:pPr>
        <w:keepNext/>
        <w:rPr>
          <w:rFonts w:ascii="Palatino Linotype" w:hAnsi="Palatino Linotype"/>
          <w:b/>
          <w:u w:val="single"/>
        </w:rPr>
      </w:pPr>
      <w:r w:rsidRPr="00520FD8">
        <w:rPr>
          <w:rFonts w:ascii="Palatino Linotype" w:hAnsi="Palatino Linotype"/>
          <w:b/>
          <w:u w:val="single"/>
        </w:rPr>
        <w:t>BACKGROUND</w:t>
      </w:r>
    </w:p>
    <w:p w:rsidRPr="00825ECD" w:rsidR="003B1DBD" w:rsidP="00426552" w:rsidRDefault="003B1DBD" w14:paraId="3AA471F7" w14:textId="77777777">
      <w:pPr>
        <w:keepNext/>
        <w:tabs>
          <w:tab w:val="right" w:pos="10080"/>
        </w:tabs>
        <w:rPr>
          <w:rFonts w:ascii="Palatino Linotype" w:hAnsi="Palatino Linotype"/>
        </w:rPr>
      </w:pPr>
    </w:p>
    <w:p w:rsidR="005637EC" w:rsidP="003B1DBD" w:rsidRDefault="004016C5" w14:paraId="05B73854" w14:textId="2D9A1B32">
      <w:pPr>
        <w:tabs>
          <w:tab w:val="right" w:pos="10080"/>
        </w:tabs>
        <w:rPr>
          <w:rFonts w:ascii="Palatino Linotype" w:hAnsi="Palatino Linotype"/>
        </w:rPr>
      </w:pPr>
      <w:r>
        <w:rPr>
          <w:rFonts w:ascii="Palatino Linotype" w:hAnsi="Palatino Linotype"/>
        </w:rPr>
        <w:t xml:space="preserve">On July 31, 2000, the Federal Communications Commission (FCC) issued its </w:t>
      </w:r>
      <w:r>
        <w:rPr>
          <w:rFonts w:ascii="Palatino Linotype" w:hAnsi="Palatino Linotype"/>
          <w:i/>
        </w:rPr>
        <w:t>N11 Third Report and Order</w:t>
      </w:r>
      <w:r>
        <w:rPr>
          <w:rFonts w:ascii="Palatino Linotype" w:hAnsi="Palatino Linotype"/>
        </w:rPr>
        <w:t xml:space="preserve"> assigning the 2-1-1 code as the national abbreviated dialing code for information and referral services.</w:t>
      </w:r>
      <w:r>
        <w:rPr>
          <w:rStyle w:val="FootnoteReference"/>
          <w:rFonts w:ascii="Palatino Linotype" w:hAnsi="Palatino Linotype"/>
        </w:rPr>
        <w:footnoteReference w:id="2"/>
      </w:r>
      <w:r>
        <w:rPr>
          <w:rFonts w:ascii="Palatino Linotype" w:hAnsi="Palatino Linotype"/>
        </w:rPr>
        <w:t xml:space="preserve"> The FCC noted that the assignment is in the public interest and recognized that the public need for social services could be met through the implementation of a 2-1-1 dialing program. The FCC encouraged the states to </w:t>
      </w:r>
      <w:r>
        <w:rPr>
          <w:rFonts w:ascii="Palatino Linotype" w:hAnsi="Palatino Linotype"/>
        </w:rPr>
        <w:lastRenderedPageBreak/>
        <w:t>implement 2-1-1 programs and directed that “states will be allowed to continue to make local [N11] assignments that do not conflict with [FCC] national assignments.”</w:t>
      </w:r>
      <w:r>
        <w:rPr>
          <w:rStyle w:val="FootnoteReference"/>
          <w:rFonts w:ascii="Palatino Linotype" w:hAnsi="Palatino Linotype"/>
        </w:rPr>
        <w:footnoteReference w:id="3"/>
      </w:r>
    </w:p>
    <w:p w:rsidR="004016C5" w:rsidP="003B1DBD" w:rsidRDefault="004016C5" w14:paraId="0C1211BA" w14:textId="2C3EC7C4">
      <w:pPr>
        <w:tabs>
          <w:tab w:val="right" w:pos="10080"/>
        </w:tabs>
        <w:rPr>
          <w:rFonts w:ascii="Palatino Linotype" w:hAnsi="Palatino Linotype"/>
        </w:rPr>
      </w:pPr>
    </w:p>
    <w:p w:rsidR="004016C5" w:rsidP="003B1DBD" w:rsidRDefault="004016C5" w14:paraId="7F8270B5" w14:textId="69AF37EC">
      <w:pPr>
        <w:tabs>
          <w:tab w:val="right" w:pos="10080"/>
        </w:tabs>
        <w:rPr>
          <w:rFonts w:ascii="Palatino Linotype" w:hAnsi="Palatino Linotype"/>
        </w:rPr>
      </w:pPr>
      <w:r>
        <w:rPr>
          <w:rFonts w:ascii="Palatino Linotype" w:hAnsi="Palatino Linotype"/>
        </w:rPr>
        <w:t xml:space="preserve">On January 23, 2002, the California Public Utilities Commission (CPUC or Commission) instituted Rulemaking (R.) 02-0-025 to implement 2-1-1 </w:t>
      </w:r>
      <w:r w:rsidR="00A80D40">
        <w:rPr>
          <w:rFonts w:ascii="Palatino Linotype" w:hAnsi="Palatino Linotype"/>
        </w:rPr>
        <w:t>service</w:t>
      </w:r>
      <w:r>
        <w:rPr>
          <w:rFonts w:ascii="Palatino Linotype" w:hAnsi="Palatino Linotype"/>
        </w:rPr>
        <w:t xml:space="preserve"> in the State of California. In Decision (D.) 03-02-029, the Commission adopted the regulatory policies and procedures needed to implement 2-1-1 dialing.</w:t>
      </w:r>
      <w:r>
        <w:rPr>
          <w:rStyle w:val="FootnoteReference"/>
          <w:rFonts w:ascii="Palatino Linotype" w:hAnsi="Palatino Linotype"/>
        </w:rPr>
        <w:footnoteReference w:id="4"/>
      </w:r>
    </w:p>
    <w:p w:rsidR="00103E0E" w:rsidP="003B1DBD" w:rsidRDefault="00103E0E" w14:paraId="44B68B3E" w14:textId="23FB11C1">
      <w:pPr>
        <w:tabs>
          <w:tab w:val="right" w:pos="10080"/>
        </w:tabs>
        <w:rPr>
          <w:rFonts w:ascii="Palatino Linotype" w:hAnsi="Palatino Linotype"/>
        </w:rPr>
      </w:pPr>
    </w:p>
    <w:p w:rsidR="00103E0E" w:rsidP="003B1DBD" w:rsidRDefault="00103E0E" w14:paraId="71E4D80D" w14:textId="02014828">
      <w:pPr>
        <w:tabs>
          <w:tab w:val="right" w:pos="10080"/>
        </w:tabs>
        <w:rPr>
          <w:rFonts w:ascii="Palatino Linotype" w:hAnsi="Palatino Linotype"/>
        </w:rPr>
      </w:pPr>
      <w:r>
        <w:rPr>
          <w:rFonts w:ascii="Palatino Linotype" w:hAnsi="Palatino Linotype"/>
        </w:rPr>
        <w:t>On June 3, 20</w:t>
      </w:r>
      <w:r w:rsidR="00694376">
        <w:rPr>
          <w:rFonts w:ascii="Palatino Linotype" w:hAnsi="Palatino Linotype"/>
        </w:rPr>
        <w:t>1</w:t>
      </w:r>
      <w:r>
        <w:rPr>
          <w:rFonts w:ascii="Palatino Linotype" w:hAnsi="Palatino Linotype"/>
        </w:rPr>
        <w:t>0, the Commission instituted R.10-06-002 to authorize disaster-only 2-1-1 service in counties that are still unserved by full-service 2-1-1. In D</w:t>
      </w:r>
      <w:r w:rsidR="00971627">
        <w:rPr>
          <w:rFonts w:ascii="Palatino Linotype" w:hAnsi="Palatino Linotype"/>
        </w:rPr>
        <w:t>.</w:t>
      </w:r>
      <w:r>
        <w:rPr>
          <w:rFonts w:ascii="Palatino Linotype" w:hAnsi="Palatino Linotype"/>
        </w:rPr>
        <w:t>11-09-016, the Commission adopted the regulatory policies and procedures needed to implement disaster-only 2-1-1 dialing.</w:t>
      </w:r>
      <w:r w:rsidR="001A5378">
        <w:rPr>
          <w:rStyle w:val="FootnoteReference"/>
          <w:rFonts w:ascii="Palatino Linotype" w:hAnsi="Palatino Linotype"/>
        </w:rPr>
        <w:footnoteReference w:id="5"/>
      </w:r>
    </w:p>
    <w:p w:rsidR="00DB7222" w:rsidP="003B1DBD" w:rsidRDefault="00DB7222" w14:paraId="664871B6" w14:textId="4599974A">
      <w:pPr>
        <w:tabs>
          <w:tab w:val="right" w:pos="10080"/>
        </w:tabs>
        <w:rPr>
          <w:rFonts w:ascii="Palatino Linotype" w:hAnsi="Palatino Linotype"/>
        </w:rPr>
      </w:pPr>
    </w:p>
    <w:p w:rsidR="00DB7222" w:rsidP="003B1DBD" w:rsidRDefault="008F7181" w14:paraId="304DBEFC" w14:textId="7473F63E">
      <w:pPr>
        <w:tabs>
          <w:tab w:val="right" w:pos="10080"/>
        </w:tabs>
        <w:rPr>
          <w:rFonts w:ascii="Palatino Linotype" w:hAnsi="Palatino Linotype"/>
        </w:rPr>
      </w:pPr>
      <w:r>
        <w:rPr>
          <w:rFonts w:ascii="Palatino Linotype" w:hAnsi="Palatino Linotype"/>
        </w:rPr>
        <w:t>In 2016, Governor Jerry Brown signed Senate Bill</w:t>
      </w:r>
      <w:r w:rsidR="004A21D7">
        <w:rPr>
          <w:rFonts w:ascii="Palatino Linotype" w:hAnsi="Palatino Linotype"/>
        </w:rPr>
        <w:t xml:space="preserve"> (SB)</w:t>
      </w:r>
      <w:r>
        <w:rPr>
          <w:rFonts w:ascii="Palatino Linotype" w:hAnsi="Palatino Linotype"/>
        </w:rPr>
        <w:t xml:space="preserve"> </w:t>
      </w:r>
      <w:r w:rsidR="004A21D7">
        <w:rPr>
          <w:rFonts w:ascii="Palatino Linotype" w:hAnsi="Palatino Linotype"/>
        </w:rPr>
        <w:t>1212</w:t>
      </w:r>
      <w:r>
        <w:rPr>
          <w:rFonts w:ascii="Palatino Linotype" w:hAnsi="Palatino Linotype"/>
        </w:rPr>
        <w:t xml:space="preserve"> into law. SB 1212 </w:t>
      </w:r>
      <w:r w:rsidRPr="008F7181">
        <w:rPr>
          <w:rFonts w:ascii="Palatino Linotype" w:hAnsi="Palatino Linotype"/>
        </w:rPr>
        <w:t>authoriz</w:t>
      </w:r>
      <w:r>
        <w:rPr>
          <w:rFonts w:ascii="Palatino Linotype" w:hAnsi="Palatino Linotype"/>
        </w:rPr>
        <w:t>es</w:t>
      </w:r>
      <w:r w:rsidRPr="008F7181">
        <w:rPr>
          <w:rFonts w:ascii="Palatino Linotype" w:hAnsi="Palatino Linotype"/>
        </w:rPr>
        <w:t xml:space="preserve"> the Commission to spend $1.5 million from the California </w:t>
      </w:r>
      <w:proofErr w:type="spellStart"/>
      <w:r w:rsidRPr="008F7181">
        <w:rPr>
          <w:rFonts w:ascii="Palatino Linotype" w:hAnsi="Palatino Linotype"/>
        </w:rPr>
        <w:t>Teleconnect</w:t>
      </w:r>
      <w:proofErr w:type="spellEnd"/>
      <w:r w:rsidRPr="008F7181">
        <w:rPr>
          <w:rFonts w:ascii="Palatino Linotype" w:hAnsi="Palatino Linotype"/>
        </w:rPr>
        <w:t xml:space="preserve"> Fund Administrative Committee Fund to implement disaster 2-1-1</w:t>
      </w:r>
      <w:r w:rsidR="00A80D40">
        <w:rPr>
          <w:rFonts w:ascii="Palatino Linotype" w:hAnsi="Palatino Linotype"/>
        </w:rPr>
        <w:t xml:space="preserve"> service</w:t>
      </w:r>
      <w:r w:rsidRPr="008F7181">
        <w:rPr>
          <w:rFonts w:ascii="Palatino Linotype" w:hAnsi="Palatino Linotype"/>
        </w:rPr>
        <w:t xml:space="preserve"> </w:t>
      </w:r>
      <w:r w:rsidR="001E0F5C">
        <w:rPr>
          <w:rFonts w:ascii="Palatino Linotype" w:hAnsi="Palatino Linotype"/>
        </w:rPr>
        <w:t>in unserved counties in California</w:t>
      </w:r>
      <w:r w:rsidRPr="008F7181">
        <w:rPr>
          <w:rFonts w:ascii="Palatino Linotype" w:hAnsi="Palatino Linotype"/>
        </w:rPr>
        <w:t>.</w:t>
      </w:r>
      <w:r>
        <w:rPr>
          <w:rFonts w:ascii="Palatino Linotype" w:hAnsi="Palatino Linotype"/>
        </w:rPr>
        <w:t xml:space="preserve"> This authority expires on January 1, 2023.</w:t>
      </w:r>
      <w:r w:rsidR="003C4F2B">
        <w:rPr>
          <w:rStyle w:val="FootnoteReference"/>
          <w:rFonts w:ascii="Palatino Linotype" w:hAnsi="Palatino Linotype"/>
        </w:rPr>
        <w:footnoteReference w:id="6"/>
      </w:r>
    </w:p>
    <w:p w:rsidRPr="004016C5" w:rsidR="004016C5" w:rsidP="003B1DBD" w:rsidRDefault="004016C5" w14:paraId="336E55A3" w14:textId="77777777">
      <w:pPr>
        <w:tabs>
          <w:tab w:val="right" w:pos="10080"/>
        </w:tabs>
        <w:rPr>
          <w:rFonts w:ascii="Palatino Linotype" w:hAnsi="Palatino Linotype"/>
        </w:rPr>
      </w:pPr>
    </w:p>
    <w:p w:rsidRPr="00520FD8" w:rsidR="003B1DBD" w:rsidP="0046140E" w:rsidRDefault="003B1DBD" w14:paraId="224D4F18" w14:textId="77777777">
      <w:pPr>
        <w:keepNext/>
        <w:tabs>
          <w:tab w:val="right" w:pos="10080"/>
        </w:tabs>
        <w:rPr>
          <w:rFonts w:ascii="Palatino Linotype" w:hAnsi="Palatino Linotype"/>
          <w:b/>
          <w:u w:val="single"/>
        </w:rPr>
      </w:pPr>
      <w:r w:rsidRPr="00520FD8">
        <w:rPr>
          <w:rFonts w:ascii="Palatino Linotype" w:hAnsi="Palatino Linotype"/>
          <w:b/>
          <w:u w:val="single"/>
        </w:rPr>
        <w:t>DISCUSSION</w:t>
      </w:r>
    </w:p>
    <w:p w:rsidRPr="00825ECD" w:rsidR="003B1DBD" w:rsidP="0046140E" w:rsidRDefault="003B1DBD" w14:paraId="0AE021D1" w14:textId="77777777">
      <w:pPr>
        <w:keepNext/>
        <w:tabs>
          <w:tab w:val="right" w:pos="10080"/>
        </w:tabs>
        <w:rPr>
          <w:rFonts w:ascii="Palatino Linotype" w:hAnsi="Palatino Linotype"/>
          <w:u w:val="single"/>
        </w:rPr>
      </w:pPr>
    </w:p>
    <w:p w:rsidRPr="0017167F" w:rsidR="0017167F" w:rsidP="0046140E" w:rsidRDefault="0017167F" w14:paraId="28A82192" w14:textId="53EA3963">
      <w:pPr>
        <w:keepNext/>
        <w:tabs>
          <w:tab w:val="right" w:pos="10080"/>
        </w:tabs>
        <w:rPr>
          <w:rFonts w:ascii="Palatino Linotype" w:hAnsi="Palatino Linotype"/>
          <w:b/>
          <w:bCs/>
          <w:u w:val="single"/>
        </w:rPr>
      </w:pPr>
      <w:r>
        <w:rPr>
          <w:rFonts w:ascii="Palatino Linotype" w:hAnsi="Palatino Linotype"/>
          <w:b/>
          <w:bCs/>
          <w:u w:val="single"/>
        </w:rPr>
        <w:t>2-1-1 in California</w:t>
      </w:r>
    </w:p>
    <w:p w:rsidR="0017167F" w:rsidP="0046140E" w:rsidRDefault="0017167F" w14:paraId="44AB1F41" w14:textId="77777777">
      <w:pPr>
        <w:keepNext/>
        <w:tabs>
          <w:tab w:val="right" w:pos="10080"/>
        </w:tabs>
        <w:rPr>
          <w:rFonts w:ascii="Palatino Linotype" w:hAnsi="Palatino Linotype"/>
        </w:rPr>
      </w:pPr>
    </w:p>
    <w:p w:rsidR="00EA4453" w:rsidP="0046140E" w:rsidRDefault="00EA4453" w14:paraId="678EBEC5" w14:textId="3E8E1E95">
      <w:pPr>
        <w:keepNext/>
        <w:tabs>
          <w:tab w:val="right" w:pos="10080"/>
        </w:tabs>
        <w:rPr>
          <w:rFonts w:ascii="Palatino Linotype" w:hAnsi="Palatino Linotype"/>
        </w:rPr>
      </w:pPr>
      <w:r>
        <w:rPr>
          <w:rFonts w:ascii="Palatino Linotype" w:hAnsi="Palatino Linotype"/>
        </w:rPr>
        <w:t xml:space="preserve">2-1-1 is </w:t>
      </w:r>
      <w:r w:rsidR="004E6582">
        <w:rPr>
          <w:rFonts w:ascii="Palatino Linotype" w:hAnsi="Palatino Linotype"/>
        </w:rPr>
        <w:t>a single, easy-to-remember</w:t>
      </w:r>
      <w:r>
        <w:rPr>
          <w:rFonts w:ascii="Palatino Linotype" w:hAnsi="Palatino Linotype"/>
        </w:rPr>
        <w:t xml:space="preserve"> telephone number used to access community information and referral (I&amp;R) providers. </w:t>
      </w:r>
      <w:r w:rsidR="001E0F5C">
        <w:rPr>
          <w:rFonts w:ascii="Palatino Linotype" w:hAnsi="Palatino Linotype"/>
        </w:rPr>
        <w:t xml:space="preserve">Originally intended for people to call </w:t>
      </w:r>
      <w:r w:rsidR="00800CB4">
        <w:rPr>
          <w:rFonts w:ascii="Palatino Linotype" w:hAnsi="Palatino Linotype"/>
        </w:rPr>
        <w:t>for</w:t>
      </w:r>
      <w:r w:rsidR="001E0F5C">
        <w:rPr>
          <w:rFonts w:ascii="Palatino Linotype" w:hAnsi="Palatino Linotype"/>
        </w:rPr>
        <w:t xml:space="preserve"> community and social services, 2-1-1 has developed to become a source of vital safety information during emergencies. </w:t>
      </w:r>
      <w:r>
        <w:rPr>
          <w:rFonts w:ascii="Palatino Linotype" w:hAnsi="Palatino Linotype"/>
        </w:rPr>
        <w:t>Upon dialing 2-1-1, a caller in need is routed to a call center, where a referral specialist</w:t>
      </w:r>
      <w:r w:rsidR="00A80D40">
        <w:rPr>
          <w:rFonts w:ascii="Palatino Linotype" w:hAnsi="Palatino Linotype"/>
        </w:rPr>
        <w:t xml:space="preserve"> provides the requested information and/or </w:t>
      </w:r>
      <w:r>
        <w:rPr>
          <w:rFonts w:ascii="Palatino Linotype" w:hAnsi="Palatino Linotype"/>
        </w:rPr>
        <w:t>refer</w:t>
      </w:r>
      <w:r w:rsidR="00B612B7">
        <w:rPr>
          <w:rFonts w:ascii="Palatino Linotype" w:hAnsi="Palatino Linotype"/>
        </w:rPr>
        <w:t>s</w:t>
      </w:r>
      <w:r>
        <w:rPr>
          <w:rFonts w:ascii="Palatino Linotype" w:hAnsi="Palatino Linotype"/>
        </w:rPr>
        <w:t xml:space="preserve"> or connect</w:t>
      </w:r>
      <w:r w:rsidR="00B612B7">
        <w:rPr>
          <w:rFonts w:ascii="Palatino Linotype" w:hAnsi="Palatino Linotype"/>
        </w:rPr>
        <w:t>s</w:t>
      </w:r>
      <w:r>
        <w:rPr>
          <w:rFonts w:ascii="Palatino Linotype" w:hAnsi="Palatino Linotype"/>
        </w:rPr>
        <w:t xml:space="preserve"> the caller to the appropriate agencies that will provide the needed services, such as shelter and food assistance, evacuation routes, and other non-emergency information not </w:t>
      </w:r>
      <w:r w:rsidR="006D1790">
        <w:rPr>
          <w:rFonts w:ascii="Palatino Linotype" w:hAnsi="Palatino Linotype"/>
        </w:rPr>
        <w:t>provided</w:t>
      </w:r>
      <w:r>
        <w:rPr>
          <w:rFonts w:ascii="Palatino Linotype" w:hAnsi="Palatino Linotype"/>
        </w:rPr>
        <w:t xml:space="preserve"> by 9-1-1 or 3-1-1 services.</w:t>
      </w:r>
    </w:p>
    <w:p w:rsidR="003B1DBD" w:rsidP="0046140E" w:rsidRDefault="003B1DBD" w14:paraId="537DF716" w14:textId="6A39870C">
      <w:pPr>
        <w:keepNext/>
        <w:tabs>
          <w:tab w:val="right" w:pos="10080"/>
        </w:tabs>
        <w:rPr>
          <w:rFonts w:ascii="Palatino Linotype" w:hAnsi="Palatino Linotype"/>
        </w:rPr>
      </w:pPr>
    </w:p>
    <w:p w:rsidR="003C4F2B" w:rsidP="0046140E" w:rsidRDefault="0015133F" w14:paraId="7B4CF6C8" w14:textId="0AC0E994">
      <w:pPr>
        <w:tabs>
          <w:tab w:val="right" w:pos="10080"/>
        </w:tabs>
        <w:rPr>
          <w:rFonts w:ascii="Palatino Linotype" w:hAnsi="Palatino Linotype"/>
        </w:rPr>
      </w:pPr>
      <w:r>
        <w:rPr>
          <w:rFonts w:ascii="Palatino Linotype" w:hAnsi="Palatino Linotype"/>
        </w:rPr>
        <w:t xml:space="preserve">As of </w:t>
      </w:r>
      <w:r w:rsidR="00463B3E">
        <w:rPr>
          <w:rFonts w:ascii="Palatino Linotype" w:hAnsi="Palatino Linotype"/>
        </w:rPr>
        <w:t>October</w:t>
      </w:r>
      <w:r w:rsidR="001E0F5C">
        <w:rPr>
          <w:rFonts w:ascii="Palatino Linotype" w:hAnsi="Palatino Linotype"/>
        </w:rPr>
        <w:t xml:space="preserve"> </w:t>
      </w:r>
      <w:r>
        <w:rPr>
          <w:rFonts w:ascii="Palatino Linotype" w:hAnsi="Palatino Linotype"/>
        </w:rPr>
        <w:t>1, 2019, 39</w:t>
      </w:r>
      <w:r w:rsidR="006D1790">
        <w:rPr>
          <w:rFonts w:ascii="Palatino Linotype" w:hAnsi="Palatino Linotype"/>
        </w:rPr>
        <w:t xml:space="preserve"> of California’s 58</w:t>
      </w:r>
      <w:r>
        <w:rPr>
          <w:rFonts w:ascii="Palatino Linotype" w:hAnsi="Palatino Linotype"/>
        </w:rPr>
        <w:t xml:space="preserve"> counties</w:t>
      </w:r>
      <w:r w:rsidR="00975DE2">
        <w:rPr>
          <w:rFonts w:ascii="Palatino Linotype" w:hAnsi="Palatino Linotype"/>
        </w:rPr>
        <w:t xml:space="preserve"> </w:t>
      </w:r>
      <w:r w:rsidR="006D1790">
        <w:rPr>
          <w:rFonts w:ascii="Palatino Linotype" w:hAnsi="Palatino Linotype"/>
        </w:rPr>
        <w:t xml:space="preserve">that </w:t>
      </w:r>
      <w:r w:rsidR="00975DE2">
        <w:rPr>
          <w:rFonts w:ascii="Palatino Linotype" w:hAnsi="Palatino Linotype"/>
        </w:rPr>
        <w:t>co</w:t>
      </w:r>
      <w:r w:rsidR="00CC041F">
        <w:rPr>
          <w:rFonts w:ascii="Palatino Linotype" w:hAnsi="Palatino Linotype"/>
        </w:rPr>
        <w:t>mpris</w:t>
      </w:r>
      <w:r w:rsidR="006D1790">
        <w:rPr>
          <w:rFonts w:ascii="Palatino Linotype" w:hAnsi="Palatino Linotype"/>
        </w:rPr>
        <w:t>e</w:t>
      </w:r>
      <w:r w:rsidR="00975DE2">
        <w:rPr>
          <w:rFonts w:ascii="Palatino Linotype" w:hAnsi="Palatino Linotype"/>
        </w:rPr>
        <w:t xml:space="preserve"> 97% of California’s population receive 2</w:t>
      </w:r>
      <w:r w:rsidR="00975DE2">
        <w:rPr>
          <w:rFonts w:ascii="Palatino Linotype" w:hAnsi="Palatino Linotype"/>
        </w:rPr>
        <w:noBreakHyphen/>
        <w:t>1</w:t>
      </w:r>
      <w:r w:rsidR="00975DE2">
        <w:rPr>
          <w:rFonts w:ascii="Palatino Linotype" w:hAnsi="Palatino Linotype"/>
        </w:rPr>
        <w:noBreakHyphen/>
        <w:t>1 service.</w:t>
      </w:r>
      <w:r w:rsidR="009C17A6">
        <w:rPr>
          <w:rFonts w:ascii="Palatino Linotype" w:hAnsi="Palatino Linotype"/>
        </w:rPr>
        <w:t xml:space="preserve"> </w:t>
      </w:r>
      <w:r w:rsidR="00463B3E">
        <w:rPr>
          <w:rFonts w:ascii="Palatino Linotype" w:hAnsi="Palatino Linotype"/>
        </w:rPr>
        <w:t>However,</w:t>
      </w:r>
      <w:r w:rsidR="003C4F2B">
        <w:rPr>
          <w:rFonts w:ascii="Palatino Linotype" w:hAnsi="Palatino Linotype"/>
        </w:rPr>
        <w:t xml:space="preserve"> 19 counties</w:t>
      </w:r>
      <w:r w:rsidR="00463B3E">
        <w:rPr>
          <w:rFonts w:ascii="Palatino Linotype" w:hAnsi="Palatino Linotype"/>
        </w:rPr>
        <w:t xml:space="preserve"> remain</w:t>
      </w:r>
      <w:r w:rsidR="003C4F2B">
        <w:rPr>
          <w:rFonts w:ascii="Palatino Linotype" w:hAnsi="Palatino Linotype"/>
        </w:rPr>
        <w:t xml:space="preserve"> unserved by 2-1-1, namely Alpine Amador, Calaveras, Colusa, Del Norte, Inyo, Lake, Lassen, Madera, </w:t>
      </w:r>
      <w:r w:rsidR="003C4F2B">
        <w:rPr>
          <w:rFonts w:ascii="Palatino Linotype" w:hAnsi="Palatino Linotype"/>
        </w:rPr>
        <w:lastRenderedPageBreak/>
        <w:t xml:space="preserve">Modoc, Mono, Placer, Plumas, Sierra, Siskiyou, Sutter, Trinity, Tuolumne, and Yuba (collectively, the “unserved counties”) are primarily located in rural, sparsely populated areas in northern and eastern California. </w:t>
      </w:r>
      <w:r w:rsidR="00CC041F">
        <w:rPr>
          <w:rFonts w:ascii="Palatino Linotype" w:hAnsi="Palatino Linotype"/>
        </w:rPr>
        <w:t>This</w:t>
      </w:r>
      <w:r w:rsidR="006D1790">
        <w:rPr>
          <w:rFonts w:ascii="Palatino Linotype" w:hAnsi="Palatino Linotype"/>
        </w:rPr>
        <w:t xml:space="preserve"> lack of access creates </w:t>
      </w:r>
      <w:r w:rsidR="00CC041F">
        <w:rPr>
          <w:rFonts w:ascii="Palatino Linotype" w:hAnsi="Palatino Linotype"/>
        </w:rPr>
        <w:t>significant gaps in disaster response capability</w:t>
      </w:r>
      <w:r w:rsidR="00C12886">
        <w:rPr>
          <w:rFonts w:ascii="Palatino Linotype" w:hAnsi="Palatino Linotype"/>
        </w:rPr>
        <w:t>, preventing</w:t>
      </w:r>
      <w:r w:rsidR="00CC041F">
        <w:rPr>
          <w:rFonts w:ascii="Palatino Linotype" w:hAnsi="Palatino Linotype"/>
        </w:rPr>
        <w:t xml:space="preserve"> Californians’ access to critical information </w:t>
      </w:r>
      <w:r w:rsidR="00A80D40">
        <w:rPr>
          <w:rFonts w:ascii="Palatino Linotype" w:hAnsi="Palatino Linotype"/>
        </w:rPr>
        <w:t xml:space="preserve">and </w:t>
      </w:r>
      <w:r w:rsidR="00CC041F">
        <w:rPr>
          <w:rFonts w:ascii="Palatino Linotype" w:hAnsi="Palatino Linotype"/>
        </w:rPr>
        <w:t>resources</w:t>
      </w:r>
      <w:r w:rsidR="00C12886">
        <w:rPr>
          <w:rFonts w:ascii="Palatino Linotype" w:hAnsi="Palatino Linotype"/>
        </w:rPr>
        <w:t xml:space="preserve"> during times of need</w:t>
      </w:r>
      <w:r w:rsidR="003C4F2B">
        <w:rPr>
          <w:rFonts w:ascii="Palatino Linotype" w:hAnsi="Palatino Linotype"/>
        </w:rPr>
        <w:t>.</w:t>
      </w:r>
    </w:p>
    <w:p w:rsidR="003C4F2B" w:rsidP="0046140E" w:rsidRDefault="003C4F2B" w14:paraId="029CEA97" w14:textId="77777777">
      <w:pPr>
        <w:tabs>
          <w:tab w:val="right" w:pos="10080"/>
        </w:tabs>
        <w:rPr>
          <w:rFonts w:ascii="Palatino Linotype" w:hAnsi="Palatino Linotype"/>
        </w:rPr>
      </w:pPr>
    </w:p>
    <w:p w:rsidR="0017167F" w:rsidP="0046140E" w:rsidRDefault="00C12886" w14:paraId="3B2874DA" w14:textId="5D9F3E29">
      <w:pPr>
        <w:tabs>
          <w:tab w:val="right" w:pos="10080"/>
        </w:tabs>
        <w:rPr>
          <w:rFonts w:ascii="Palatino Linotype" w:hAnsi="Palatino Linotype"/>
        </w:rPr>
      </w:pPr>
      <w:r>
        <w:rPr>
          <w:rFonts w:ascii="Palatino Linotype" w:hAnsi="Palatino Linotype"/>
        </w:rPr>
        <w:t>T</w:t>
      </w:r>
      <w:r w:rsidR="00CC041F">
        <w:rPr>
          <w:rFonts w:ascii="Palatino Linotype" w:hAnsi="Palatino Linotype"/>
        </w:rPr>
        <w:t xml:space="preserve">he </w:t>
      </w:r>
      <w:r>
        <w:rPr>
          <w:rFonts w:ascii="Palatino Linotype" w:hAnsi="Palatino Linotype"/>
        </w:rPr>
        <w:t>C</w:t>
      </w:r>
      <w:r w:rsidR="00AC5600">
        <w:rPr>
          <w:rFonts w:ascii="Palatino Linotype" w:hAnsi="Palatino Linotype"/>
        </w:rPr>
        <w:t>ommission</w:t>
      </w:r>
      <w:r>
        <w:rPr>
          <w:rFonts w:ascii="Palatino Linotype" w:hAnsi="Palatino Linotype"/>
        </w:rPr>
        <w:t xml:space="preserve"> and the </w:t>
      </w:r>
      <w:r w:rsidR="00CC041F">
        <w:rPr>
          <w:rFonts w:ascii="Palatino Linotype" w:hAnsi="Palatino Linotype"/>
        </w:rPr>
        <w:t xml:space="preserve">State Legislature recognized </w:t>
      </w:r>
      <w:r>
        <w:rPr>
          <w:rFonts w:ascii="Palatino Linotype" w:hAnsi="Palatino Linotype"/>
        </w:rPr>
        <w:t>the</w:t>
      </w:r>
      <w:r w:rsidR="00CC041F">
        <w:rPr>
          <w:rFonts w:ascii="Palatino Linotype" w:hAnsi="Palatino Linotype"/>
        </w:rPr>
        <w:t xml:space="preserve"> public need for 2</w:t>
      </w:r>
      <w:r w:rsidR="006D1790">
        <w:rPr>
          <w:rFonts w:ascii="Palatino Linotype" w:hAnsi="Palatino Linotype"/>
        </w:rPr>
        <w:t>-1-</w:t>
      </w:r>
      <w:r w:rsidR="00CC041F">
        <w:rPr>
          <w:rFonts w:ascii="Palatino Linotype" w:hAnsi="Palatino Linotype"/>
        </w:rPr>
        <w:t>1 service in order to facilitate access to disaster preparedness, response, and recovery informatio</w:t>
      </w:r>
      <w:r w:rsidR="00A80D40">
        <w:rPr>
          <w:rFonts w:ascii="Palatino Linotype" w:hAnsi="Palatino Linotype"/>
        </w:rPr>
        <w:t xml:space="preserve">n.  </w:t>
      </w:r>
      <w:r>
        <w:rPr>
          <w:rFonts w:ascii="Palatino Linotype" w:hAnsi="Palatino Linotype"/>
        </w:rPr>
        <w:t xml:space="preserve">The Commission set forth rules for disaster 2-1-1 </w:t>
      </w:r>
      <w:r w:rsidR="005D417B">
        <w:rPr>
          <w:rFonts w:ascii="Palatino Linotype" w:hAnsi="Palatino Linotype"/>
        </w:rPr>
        <w:t xml:space="preserve">dialing </w:t>
      </w:r>
      <w:r>
        <w:rPr>
          <w:rFonts w:ascii="Palatino Linotype" w:hAnsi="Palatino Linotype"/>
        </w:rPr>
        <w:t>in D.11-09-016 in 2011.</w:t>
      </w:r>
      <w:r w:rsidR="003C4F2B">
        <w:rPr>
          <w:rFonts w:ascii="Palatino Linotype" w:hAnsi="Palatino Linotype"/>
        </w:rPr>
        <w:t xml:space="preserve"> </w:t>
      </w:r>
      <w:r w:rsidR="007112C6">
        <w:rPr>
          <w:rFonts w:ascii="Palatino Linotype" w:hAnsi="Palatino Linotype"/>
        </w:rPr>
        <w:t xml:space="preserve">Under the framework set forth </w:t>
      </w:r>
      <w:r w:rsidR="005D417B">
        <w:rPr>
          <w:rFonts w:ascii="Palatino Linotype" w:hAnsi="Palatino Linotype"/>
        </w:rPr>
        <w:t xml:space="preserve">by the Decision, the Legislature directed the Commission </w:t>
      </w:r>
      <w:r w:rsidR="00A80D40">
        <w:rPr>
          <w:rFonts w:ascii="Palatino Linotype" w:hAnsi="Palatino Linotype"/>
        </w:rPr>
        <w:t xml:space="preserve">through SB 1212 </w:t>
      </w:r>
      <w:r w:rsidR="005D417B">
        <w:rPr>
          <w:rFonts w:ascii="Palatino Linotype" w:hAnsi="Palatino Linotype"/>
        </w:rPr>
        <w:t>to implement disaster 2-1-1 dialing in unserved counties</w:t>
      </w:r>
      <w:r w:rsidR="00A80D40">
        <w:rPr>
          <w:rFonts w:ascii="Palatino Linotype" w:hAnsi="Palatino Linotype"/>
        </w:rPr>
        <w:t xml:space="preserve"> and </w:t>
      </w:r>
      <w:r w:rsidDel="00F80901" w:rsidR="005D417B">
        <w:rPr>
          <w:rFonts w:ascii="Palatino Linotype" w:hAnsi="Palatino Linotype"/>
        </w:rPr>
        <w:t xml:space="preserve">authorized the </w:t>
      </w:r>
      <w:r w:rsidR="00A80D40">
        <w:rPr>
          <w:rFonts w:ascii="Palatino Linotype" w:hAnsi="Palatino Linotype"/>
        </w:rPr>
        <w:t>expenditure of up to</w:t>
      </w:r>
      <w:r w:rsidDel="00F80901" w:rsidR="005D417B">
        <w:rPr>
          <w:rFonts w:ascii="Palatino Linotype" w:hAnsi="Palatino Linotype"/>
        </w:rPr>
        <w:t xml:space="preserve"> $1.5 million from the California </w:t>
      </w:r>
      <w:proofErr w:type="spellStart"/>
      <w:r w:rsidDel="00F80901" w:rsidR="005D417B">
        <w:rPr>
          <w:rFonts w:ascii="Palatino Linotype" w:hAnsi="Palatino Linotype"/>
        </w:rPr>
        <w:t>Teleconnect</w:t>
      </w:r>
      <w:proofErr w:type="spellEnd"/>
      <w:r w:rsidDel="00F80901" w:rsidR="005D417B">
        <w:rPr>
          <w:rFonts w:ascii="Palatino Linotype" w:hAnsi="Palatino Linotype"/>
        </w:rPr>
        <w:t xml:space="preserve"> Fund Administrative Committee </w:t>
      </w:r>
      <w:r w:rsidR="00CD693C">
        <w:rPr>
          <w:rFonts w:ascii="Palatino Linotype" w:hAnsi="Palatino Linotype"/>
        </w:rPr>
        <w:t xml:space="preserve">Fund </w:t>
      </w:r>
      <w:r w:rsidDel="00F80901" w:rsidR="005D417B">
        <w:rPr>
          <w:rFonts w:ascii="Palatino Linotype" w:hAnsi="Palatino Linotype"/>
        </w:rPr>
        <w:t xml:space="preserve">to pay for implementation costs </w:t>
      </w:r>
      <w:r w:rsidR="00A80D40">
        <w:rPr>
          <w:rFonts w:ascii="Palatino Linotype" w:hAnsi="Palatino Linotype"/>
        </w:rPr>
        <w:t>in</w:t>
      </w:r>
      <w:r w:rsidDel="00F80901" w:rsidR="005D417B">
        <w:rPr>
          <w:rFonts w:ascii="Palatino Linotype" w:hAnsi="Palatino Linotype"/>
        </w:rPr>
        <w:t xml:space="preserve"> support </w:t>
      </w:r>
      <w:r w:rsidR="00A80D40">
        <w:rPr>
          <w:rFonts w:ascii="Palatino Linotype" w:hAnsi="Palatino Linotype"/>
        </w:rPr>
        <w:t>of this effort</w:t>
      </w:r>
      <w:r w:rsidDel="00F80901" w:rsidR="005D417B">
        <w:rPr>
          <w:rFonts w:ascii="Palatino Linotype" w:hAnsi="Palatino Linotype"/>
        </w:rPr>
        <w:t>.</w:t>
      </w:r>
      <w:r w:rsidR="003C4F2B">
        <w:rPr>
          <w:rStyle w:val="FootnoteReference"/>
          <w:rFonts w:ascii="Palatino Linotype" w:hAnsi="Palatino Linotype"/>
        </w:rPr>
        <w:footnoteReference w:id="7"/>
      </w:r>
    </w:p>
    <w:p w:rsidRPr="0017167F" w:rsidR="007112C6" w:rsidP="0046140E" w:rsidRDefault="007112C6" w14:paraId="55F7C029" w14:textId="77777777">
      <w:pPr>
        <w:tabs>
          <w:tab w:val="right" w:pos="10080"/>
        </w:tabs>
        <w:rPr>
          <w:rFonts w:ascii="Palatino Linotype" w:hAnsi="Palatino Linotype"/>
        </w:rPr>
      </w:pPr>
    </w:p>
    <w:p w:rsidR="00561FD0" w:rsidP="0046140E" w:rsidRDefault="00260413" w14:paraId="376321B1" w14:textId="0C414A35">
      <w:pPr>
        <w:tabs>
          <w:tab w:val="right" w:pos="10080"/>
        </w:tabs>
        <w:rPr>
          <w:rFonts w:ascii="Palatino Linotype" w:hAnsi="Palatino Linotype"/>
        </w:rPr>
      </w:pPr>
      <w:r>
        <w:rPr>
          <w:rFonts w:ascii="Palatino Linotype" w:hAnsi="Palatino Linotype"/>
        </w:rPr>
        <w:t>In</w:t>
      </w:r>
      <w:r w:rsidR="00FA079A">
        <w:rPr>
          <w:rFonts w:ascii="Palatino Linotype" w:hAnsi="Palatino Linotype"/>
        </w:rPr>
        <w:t xml:space="preserve"> late 2017, </w:t>
      </w:r>
      <w:r w:rsidR="00FF6EB5">
        <w:rPr>
          <w:rFonts w:ascii="Palatino Linotype" w:hAnsi="Palatino Linotype"/>
        </w:rPr>
        <w:t>Staff</w:t>
      </w:r>
      <w:r w:rsidR="00FA079A">
        <w:rPr>
          <w:rFonts w:ascii="Palatino Linotype" w:hAnsi="Palatino Linotype"/>
        </w:rPr>
        <w:t xml:space="preserve"> </w:t>
      </w:r>
      <w:r>
        <w:rPr>
          <w:rFonts w:ascii="Palatino Linotype" w:hAnsi="Palatino Linotype"/>
        </w:rPr>
        <w:t>began</w:t>
      </w:r>
      <w:r w:rsidR="00FA079A">
        <w:rPr>
          <w:rFonts w:ascii="Palatino Linotype" w:hAnsi="Palatino Linotype"/>
        </w:rPr>
        <w:t xml:space="preserve"> </w:t>
      </w:r>
      <w:r w:rsidR="00B528EF">
        <w:rPr>
          <w:rFonts w:ascii="Palatino Linotype" w:hAnsi="Palatino Linotype"/>
        </w:rPr>
        <w:t>working cooperatively with unserved counties</w:t>
      </w:r>
      <w:r>
        <w:rPr>
          <w:rFonts w:ascii="Palatino Linotype" w:hAnsi="Palatino Linotype"/>
        </w:rPr>
        <w:t xml:space="preserve"> </w:t>
      </w:r>
      <w:r w:rsidR="00FF6EB5">
        <w:rPr>
          <w:rFonts w:ascii="Palatino Linotype" w:hAnsi="Palatino Linotype"/>
        </w:rPr>
        <w:t>(</w:t>
      </w:r>
      <w:r>
        <w:rPr>
          <w:rFonts w:ascii="Palatino Linotype" w:hAnsi="Palatino Linotype"/>
        </w:rPr>
        <w:t>then numbering 21</w:t>
      </w:r>
      <w:r w:rsidR="00FF6EB5">
        <w:rPr>
          <w:rFonts w:ascii="Palatino Linotype" w:hAnsi="Palatino Linotype"/>
        </w:rPr>
        <w:t>)</w:t>
      </w:r>
      <w:r>
        <w:rPr>
          <w:rStyle w:val="FootnoteReference"/>
          <w:rFonts w:ascii="Palatino Linotype" w:hAnsi="Palatino Linotype"/>
        </w:rPr>
        <w:footnoteReference w:id="8"/>
      </w:r>
      <w:r w:rsidR="00B528EF">
        <w:rPr>
          <w:rFonts w:ascii="Palatino Linotype" w:hAnsi="Palatino Linotype"/>
        </w:rPr>
        <w:t xml:space="preserve"> and 2-1-1 service providers to </w:t>
      </w:r>
      <w:r>
        <w:rPr>
          <w:rFonts w:ascii="Palatino Linotype" w:hAnsi="Palatino Linotype"/>
        </w:rPr>
        <w:t>implement disaster 2-1-1 dialing</w:t>
      </w:r>
      <w:r w:rsidR="007B6ACE">
        <w:rPr>
          <w:rFonts w:ascii="Palatino Linotype" w:hAnsi="Palatino Linotype"/>
        </w:rPr>
        <w:t xml:space="preserve">. </w:t>
      </w:r>
      <w:r w:rsidR="00AF6F66">
        <w:rPr>
          <w:rFonts w:ascii="Palatino Linotype" w:hAnsi="Palatino Linotype"/>
        </w:rPr>
        <w:t xml:space="preserve">Over the course of the following </w:t>
      </w:r>
      <w:r w:rsidR="00E5751F">
        <w:rPr>
          <w:rFonts w:ascii="Palatino Linotype" w:hAnsi="Palatino Linotype"/>
        </w:rPr>
        <w:t>year and a half</w:t>
      </w:r>
      <w:r w:rsidR="00AF6F66">
        <w:rPr>
          <w:rFonts w:ascii="Palatino Linotype" w:hAnsi="Palatino Linotype"/>
        </w:rPr>
        <w:t xml:space="preserve">, </w:t>
      </w:r>
      <w:r w:rsidR="00FF6EB5">
        <w:rPr>
          <w:rFonts w:ascii="Palatino Linotype" w:hAnsi="Palatino Linotype"/>
        </w:rPr>
        <w:t>S</w:t>
      </w:r>
      <w:r w:rsidR="00AF6F66">
        <w:rPr>
          <w:rFonts w:ascii="Palatino Linotype" w:hAnsi="Palatino Linotype"/>
        </w:rPr>
        <w:t xml:space="preserve">taff engaged with stakeholders </w:t>
      </w:r>
      <w:r w:rsidR="00E5751F">
        <w:rPr>
          <w:rFonts w:ascii="Palatino Linotype" w:hAnsi="Palatino Linotype"/>
        </w:rPr>
        <w:t>through</w:t>
      </w:r>
      <w:r w:rsidR="00AF6F66">
        <w:rPr>
          <w:rFonts w:ascii="Palatino Linotype" w:hAnsi="Palatino Linotype"/>
        </w:rPr>
        <w:t xml:space="preserve"> conference calls, workshops,</w:t>
      </w:r>
      <w:r w:rsidR="00E5751F">
        <w:rPr>
          <w:rFonts w:ascii="Palatino Linotype" w:hAnsi="Palatino Linotype"/>
        </w:rPr>
        <w:t xml:space="preserve"> and</w:t>
      </w:r>
      <w:r w:rsidR="00AF6F66">
        <w:rPr>
          <w:rFonts w:ascii="Palatino Linotype" w:hAnsi="Palatino Linotype"/>
        </w:rPr>
        <w:t xml:space="preserve"> in-person meetings to </w:t>
      </w:r>
      <w:r w:rsidR="00E7553D">
        <w:rPr>
          <w:rFonts w:ascii="Palatino Linotype" w:hAnsi="Palatino Linotype"/>
        </w:rPr>
        <w:t xml:space="preserve">determine the needs </w:t>
      </w:r>
      <w:r w:rsidR="00561FD0">
        <w:rPr>
          <w:rFonts w:ascii="Palatino Linotype" w:hAnsi="Palatino Linotype"/>
        </w:rPr>
        <w:t xml:space="preserve">and budgets </w:t>
      </w:r>
      <w:r w:rsidR="00E7553D">
        <w:rPr>
          <w:rFonts w:ascii="Palatino Linotype" w:hAnsi="Palatino Linotype"/>
        </w:rPr>
        <w:t>of the</w:t>
      </w:r>
      <w:r w:rsidR="00692CDB">
        <w:rPr>
          <w:rFonts w:ascii="Palatino Linotype" w:hAnsi="Palatino Linotype"/>
        </w:rPr>
        <w:t xml:space="preserve"> unserved</w:t>
      </w:r>
      <w:r w:rsidR="00E7553D">
        <w:rPr>
          <w:rFonts w:ascii="Palatino Linotype" w:hAnsi="Palatino Linotype"/>
        </w:rPr>
        <w:t xml:space="preserve"> counties and the capabilities of service providers</w:t>
      </w:r>
      <w:r w:rsidR="00E5751F">
        <w:rPr>
          <w:rFonts w:ascii="Palatino Linotype" w:hAnsi="Palatino Linotype"/>
        </w:rPr>
        <w:t xml:space="preserve">. </w:t>
      </w:r>
      <w:r w:rsidR="00FF6EB5">
        <w:rPr>
          <w:rFonts w:ascii="Palatino Linotype" w:hAnsi="Palatino Linotype"/>
        </w:rPr>
        <w:t xml:space="preserve">Staff worked with the </w:t>
      </w:r>
      <w:r w:rsidR="00BF6910">
        <w:rPr>
          <w:rFonts w:ascii="Palatino Linotype" w:hAnsi="Palatino Linotype"/>
        </w:rPr>
        <w:t xml:space="preserve">unserved </w:t>
      </w:r>
      <w:r w:rsidR="009560E3">
        <w:rPr>
          <w:rFonts w:ascii="Palatino Linotype" w:hAnsi="Palatino Linotype"/>
        </w:rPr>
        <w:t xml:space="preserve">counties </w:t>
      </w:r>
      <w:r w:rsidR="00FF6EB5">
        <w:rPr>
          <w:rFonts w:ascii="Palatino Linotype" w:hAnsi="Palatino Linotype"/>
        </w:rPr>
        <w:t xml:space="preserve">to </w:t>
      </w:r>
      <w:r w:rsidR="009560E3">
        <w:rPr>
          <w:rFonts w:ascii="Palatino Linotype" w:hAnsi="Palatino Linotype"/>
        </w:rPr>
        <w:t>develop</w:t>
      </w:r>
      <w:r w:rsidR="00B06036">
        <w:rPr>
          <w:rFonts w:ascii="Palatino Linotype" w:hAnsi="Palatino Linotype"/>
        </w:rPr>
        <w:t xml:space="preserve"> a framework</w:t>
      </w:r>
      <w:r w:rsidR="009560E3">
        <w:rPr>
          <w:rFonts w:ascii="Palatino Linotype" w:hAnsi="Palatino Linotype"/>
        </w:rPr>
        <w:t xml:space="preserve"> </w:t>
      </w:r>
      <w:r w:rsidR="00FF6EB5">
        <w:rPr>
          <w:rFonts w:ascii="Palatino Linotype" w:hAnsi="Palatino Linotype"/>
        </w:rPr>
        <w:t>for</w:t>
      </w:r>
      <w:r w:rsidR="009560E3">
        <w:rPr>
          <w:rFonts w:ascii="Palatino Linotype" w:hAnsi="Palatino Linotype"/>
        </w:rPr>
        <w:t xml:space="preserve"> proposals were to be submitted</w:t>
      </w:r>
      <w:r w:rsidR="00F93DD0">
        <w:rPr>
          <w:rFonts w:ascii="Palatino Linotype" w:hAnsi="Palatino Linotype"/>
        </w:rPr>
        <w:t xml:space="preserve"> by 2-1-1 service providers.</w:t>
      </w:r>
    </w:p>
    <w:p w:rsidR="00561FD0" w:rsidP="0046140E" w:rsidRDefault="00561FD0" w14:paraId="6A32D03F" w14:textId="3A6BF6AD">
      <w:pPr>
        <w:tabs>
          <w:tab w:val="right" w:pos="10080"/>
        </w:tabs>
        <w:rPr>
          <w:rFonts w:ascii="Palatino Linotype" w:hAnsi="Palatino Linotype"/>
        </w:rPr>
      </w:pPr>
    </w:p>
    <w:p w:rsidR="00561FD0" w:rsidP="0046140E" w:rsidRDefault="00FF6EB5" w14:paraId="5AE31301" w14:textId="4CD30A58">
      <w:pPr>
        <w:tabs>
          <w:tab w:val="right" w:pos="10080"/>
        </w:tabs>
        <w:rPr>
          <w:rFonts w:ascii="Palatino Linotype" w:hAnsi="Palatino Linotype"/>
        </w:rPr>
      </w:pPr>
      <w:r>
        <w:rPr>
          <w:rFonts w:ascii="Palatino Linotype" w:hAnsi="Palatino Linotype"/>
        </w:rPr>
        <w:t>In 2019, Staff issued a</w:t>
      </w:r>
      <w:r w:rsidR="00E7277E">
        <w:rPr>
          <w:rFonts w:ascii="Palatino Linotype" w:hAnsi="Palatino Linotype"/>
        </w:rPr>
        <w:t xml:space="preserve"> request for proposals to implement disaster 2-1-1</w:t>
      </w:r>
      <w:r w:rsidR="00E60823">
        <w:rPr>
          <w:rFonts w:ascii="Palatino Linotype" w:hAnsi="Palatino Linotype"/>
        </w:rPr>
        <w:t xml:space="preserve">. Two entities submitted proposals: one </w:t>
      </w:r>
      <w:r w:rsidR="00F90C7B">
        <w:rPr>
          <w:rFonts w:ascii="Palatino Linotype" w:hAnsi="Palatino Linotype"/>
        </w:rPr>
        <w:t xml:space="preserve">dated March 29, 2019, </w:t>
      </w:r>
      <w:r w:rsidR="00E60823">
        <w:rPr>
          <w:rFonts w:ascii="Palatino Linotype" w:hAnsi="Palatino Linotype"/>
        </w:rPr>
        <w:t xml:space="preserve">from Interface Children and Family Services (Interface), which </w:t>
      </w:r>
      <w:r w:rsidR="0023312D">
        <w:rPr>
          <w:rFonts w:ascii="Palatino Linotype" w:hAnsi="Palatino Linotype"/>
        </w:rPr>
        <w:t xml:space="preserve">operates 2-1-1 services in </w:t>
      </w:r>
      <w:r w:rsidR="00E60823">
        <w:rPr>
          <w:rFonts w:ascii="Palatino Linotype" w:hAnsi="Palatino Linotype"/>
        </w:rPr>
        <w:t>Ventura County and 2</w:t>
      </w:r>
      <w:r w:rsidR="00AE2797">
        <w:rPr>
          <w:rFonts w:ascii="Palatino Linotype" w:hAnsi="Palatino Linotype"/>
        </w:rPr>
        <w:t>0</w:t>
      </w:r>
      <w:r w:rsidR="00E60823">
        <w:rPr>
          <w:rFonts w:ascii="Palatino Linotype" w:hAnsi="Palatino Linotype"/>
        </w:rPr>
        <w:t xml:space="preserve"> other counties,</w:t>
      </w:r>
      <w:r w:rsidR="00AE2797">
        <w:rPr>
          <w:rStyle w:val="FootnoteReference"/>
          <w:rFonts w:ascii="Palatino Linotype" w:hAnsi="Palatino Linotype"/>
        </w:rPr>
        <w:footnoteReference w:id="9"/>
      </w:r>
      <w:r w:rsidR="00E60823">
        <w:rPr>
          <w:rFonts w:ascii="Palatino Linotype" w:hAnsi="Palatino Linotype"/>
        </w:rPr>
        <w:t xml:space="preserve"> and the other </w:t>
      </w:r>
      <w:r w:rsidR="00F90C7B">
        <w:rPr>
          <w:rFonts w:ascii="Palatino Linotype" w:hAnsi="Palatino Linotype"/>
        </w:rPr>
        <w:t xml:space="preserve">dated March 28, 2019, </w:t>
      </w:r>
      <w:r w:rsidR="00E60823">
        <w:rPr>
          <w:rFonts w:ascii="Palatino Linotype" w:hAnsi="Palatino Linotype"/>
        </w:rPr>
        <w:t>from a consortium led by 211 Los Angeles County.</w:t>
      </w:r>
      <w:r w:rsidR="00AE2797">
        <w:rPr>
          <w:rStyle w:val="FootnoteReference"/>
          <w:rFonts w:ascii="Palatino Linotype" w:hAnsi="Palatino Linotype"/>
        </w:rPr>
        <w:footnoteReference w:id="10"/>
      </w:r>
    </w:p>
    <w:p w:rsidR="00E60823" w:rsidP="0046140E" w:rsidRDefault="00E60823" w14:paraId="6538CA80" w14:textId="4EBD8FBA">
      <w:pPr>
        <w:tabs>
          <w:tab w:val="right" w:pos="10080"/>
        </w:tabs>
        <w:rPr>
          <w:rFonts w:ascii="Palatino Linotype" w:hAnsi="Palatino Linotype"/>
        </w:rPr>
      </w:pPr>
    </w:p>
    <w:p w:rsidR="009560E3" w:rsidP="0046140E" w:rsidRDefault="009560E3" w14:paraId="1F7A5C1F" w14:textId="696C3C34">
      <w:pPr>
        <w:tabs>
          <w:tab w:val="right" w:pos="10080"/>
        </w:tabs>
        <w:rPr>
          <w:rFonts w:ascii="Palatino Linotype" w:hAnsi="Palatino Linotype"/>
        </w:rPr>
      </w:pPr>
      <w:r>
        <w:rPr>
          <w:rFonts w:ascii="Palatino Linotype" w:hAnsi="Palatino Linotype"/>
        </w:rPr>
        <w:t>T</w:t>
      </w:r>
      <w:r w:rsidR="00E60823">
        <w:rPr>
          <w:rFonts w:ascii="Palatino Linotype" w:hAnsi="Palatino Linotype"/>
        </w:rPr>
        <w:t xml:space="preserve">he unserved counties and </w:t>
      </w:r>
      <w:r w:rsidR="00FF6EB5">
        <w:rPr>
          <w:rFonts w:ascii="Palatino Linotype" w:hAnsi="Palatino Linotype"/>
        </w:rPr>
        <w:t>Staff</w:t>
      </w:r>
      <w:r>
        <w:rPr>
          <w:rFonts w:ascii="Palatino Linotype" w:hAnsi="Palatino Linotype"/>
        </w:rPr>
        <w:t xml:space="preserve"> </w:t>
      </w:r>
      <w:r w:rsidR="00E60823">
        <w:rPr>
          <w:rFonts w:ascii="Palatino Linotype" w:hAnsi="Palatino Linotype"/>
        </w:rPr>
        <w:t>reviewed the proposals</w:t>
      </w:r>
      <w:r>
        <w:rPr>
          <w:rFonts w:ascii="Palatino Linotype" w:hAnsi="Palatino Linotype"/>
        </w:rPr>
        <w:t xml:space="preserve"> in accordance with D.11-09-016 and the proposal framework.</w:t>
      </w:r>
      <w:r w:rsidR="00E60823">
        <w:rPr>
          <w:rFonts w:ascii="Palatino Linotype" w:hAnsi="Palatino Linotype"/>
        </w:rPr>
        <w:t xml:space="preserve"> </w:t>
      </w:r>
      <w:r>
        <w:rPr>
          <w:rFonts w:ascii="Palatino Linotype" w:hAnsi="Palatino Linotype"/>
        </w:rPr>
        <w:t>I</w:t>
      </w:r>
      <w:r w:rsidR="00E60823">
        <w:rPr>
          <w:rFonts w:ascii="Palatino Linotype" w:hAnsi="Palatino Linotype"/>
        </w:rPr>
        <w:t>n June 2019</w:t>
      </w:r>
      <w:r>
        <w:rPr>
          <w:rFonts w:ascii="Palatino Linotype" w:hAnsi="Palatino Linotype"/>
        </w:rPr>
        <w:t>,</w:t>
      </w:r>
      <w:r w:rsidR="00E60823">
        <w:rPr>
          <w:rFonts w:ascii="Palatino Linotype" w:hAnsi="Palatino Linotype"/>
        </w:rPr>
        <w:t xml:space="preserve"> the</w:t>
      </w:r>
      <w:r w:rsidR="00E174D4">
        <w:rPr>
          <w:rFonts w:ascii="Palatino Linotype" w:hAnsi="Palatino Linotype"/>
        </w:rPr>
        <w:t xml:space="preserve"> unserved</w:t>
      </w:r>
      <w:r w:rsidR="00E60823">
        <w:rPr>
          <w:rFonts w:ascii="Palatino Linotype" w:hAnsi="Palatino Linotype"/>
        </w:rPr>
        <w:t xml:space="preserve"> counties selected the Interface </w:t>
      </w:r>
      <w:r w:rsidR="00E60823">
        <w:rPr>
          <w:rFonts w:ascii="Palatino Linotype" w:hAnsi="Palatino Linotype"/>
        </w:rPr>
        <w:lastRenderedPageBreak/>
        <w:t xml:space="preserve">proposal as their preferred </w:t>
      </w:r>
      <w:r w:rsidR="003C4F2B">
        <w:rPr>
          <w:rFonts w:ascii="Palatino Linotype" w:hAnsi="Palatino Linotype"/>
        </w:rPr>
        <w:t xml:space="preserve">model </w:t>
      </w:r>
      <w:r>
        <w:rPr>
          <w:rFonts w:ascii="Palatino Linotype" w:hAnsi="Palatino Linotype"/>
        </w:rPr>
        <w:t>to implement disaster 2-1-1 service</w:t>
      </w:r>
      <w:r w:rsidR="001C2573">
        <w:rPr>
          <w:rFonts w:ascii="Palatino Linotype" w:hAnsi="Palatino Linotype"/>
        </w:rPr>
        <w:t>,</w:t>
      </w:r>
      <w:r w:rsidR="00E47292">
        <w:rPr>
          <w:rFonts w:ascii="Palatino Linotype" w:hAnsi="Palatino Linotype"/>
        </w:rPr>
        <w:t xml:space="preserve"> as Interface’s proposal best</w:t>
      </w:r>
      <w:r>
        <w:rPr>
          <w:rFonts w:ascii="Palatino Linotype" w:hAnsi="Palatino Linotype"/>
        </w:rPr>
        <w:t xml:space="preserve"> me</w:t>
      </w:r>
      <w:r w:rsidR="00CF7564">
        <w:rPr>
          <w:rFonts w:ascii="Palatino Linotype" w:hAnsi="Palatino Linotype"/>
        </w:rPr>
        <w:t>t</w:t>
      </w:r>
      <w:r>
        <w:rPr>
          <w:rFonts w:ascii="Palatino Linotype" w:hAnsi="Palatino Linotype"/>
        </w:rPr>
        <w:t xml:space="preserve"> the</w:t>
      </w:r>
      <w:r w:rsidR="00F8332A">
        <w:rPr>
          <w:rFonts w:ascii="Palatino Linotype" w:hAnsi="Palatino Linotype"/>
        </w:rPr>
        <w:t xml:space="preserve">ir </w:t>
      </w:r>
      <w:r>
        <w:rPr>
          <w:rFonts w:ascii="Palatino Linotype" w:hAnsi="Palatino Linotype"/>
        </w:rPr>
        <w:t>needs and match</w:t>
      </w:r>
      <w:r w:rsidR="00E47292">
        <w:rPr>
          <w:rFonts w:ascii="Palatino Linotype" w:hAnsi="Palatino Linotype"/>
        </w:rPr>
        <w:t>ed</w:t>
      </w:r>
      <w:r>
        <w:rPr>
          <w:rFonts w:ascii="Palatino Linotype" w:hAnsi="Palatino Linotype"/>
        </w:rPr>
        <w:t xml:space="preserve"> the proposal framework. The proposal </w:t>
      </w:r>
      <w:r w:rsidR="00FF6EB5">
        <w:rPr>
          <w:rFonts w:ascii="Palatino Linotype" w:hAnsi="Palatino Linotype"/>
        </w:rPr>
        <w:t>was responsive to</w:t>
      </w:r>
      <w:r>
        <w:rPr>
          <w:rFonts w:ascii="Palatino Linotype" w:hAnsi="Palatino Linotype"/>
        </w:rPr>
        <w:t xml:space="preserve"> the </w:t>
      </w:r>
      <w:r w:rsidR="006E293F">
        <w:rPr>
          <w:rFonts w:ascii="Palatino Linotype" w:hAnsi="Palatino Linotype"/>
        </w:rPr>
        <w:t>un</w:t>
      </w:r>
      <w:r w:rsidR="00E47292">
        <w:rPr>
          <w:rFonts w:ascii="Palatino Linotype" w:hAnsi="Palatino Linotype"/>
        </w:rPr>
        <w:t xml:space="preserve">served </w:t>
      </w:r>
      <w:r>
        <w:rPr>
          <w:rFonts w:ascii="Palatino Linotype" w:hAnsi="Palatino Linotype"/>
        </w:rPr>
        <w:t xml:space="preserve">counties’ primary concern: it had lower implementation costs and charged the counties a flat annual fee after three years of service. </w:t>
      </w:r>
      <w:r w:rsidR="001A5626">
        <w:rPr>
          <w:rFonts w:ascii="Palatino Linotype" w:hAnsi="Palatino Linotype"/>
        </w:rPr>
        <w:t>T</w:t>
      </w:r>
      <w:r>
        <w:rPr>
          <w:rFonts w:ascii="Palatino Linotype" w:hAnsi="Palatino Linotype"/>
        </w:rPr>
        <w:t xml:space="preserve">he 211 Los Angeles County proposal had higher costs </w:t>
      </w:r>
      <w:r w:rsidR="001A5626">
        <w:rPr>
          <w:rFonts w:ascii="Palatino Linotype" w:hAnsi="Palatino Linotype"/>
        </w:rPr>
        <w:t>based on</w:t>
      </w:r>
      <w:r>
        <w:rPr>
          <w:rFonts w:ascii="Palatino Linotype" w:hAnsi="Palatino Linotype"/>
        </w:rPr>
        <w:t xml:space="preserve"> activation and other usage-based fees, which</w:t>
      </w:r>
      <w:r w:rsidR="00D70E35">
        <w:rPr>
          <w:rFonts w:ascii="Palatino Linotype" w:hAnsi="Palatino Linotype"/>
        </w:rPr>
        <w:t xml:space="preserve"> the unserved</w:t>
      </w:r>
      <w:r>
        <w:rPr>
          <w:rFonts w:ascii="Palatino Linotype" w:hAnsi="Palatino Linotype"/>
        </w:rPr>
        <w:t xml:space="preserve"> counties were not amenable to.</w:t>
      </w:r>
    </w:p>
    <w:p w:rsidR="009560E3" w:rsidP="0046140E" w:rsidRDefault="009560E3" w14:paraId="392D42AA" w14:textId="77777777">
      <w:pPr>
        <w:tabs>
          <w:tab w:val="right" w:pos="10080"/>
        </w:tabs>
        <w:rPr>
          <w:rFonts w:ascii="Palatino Linotype" w:hAnsi="Palatino Linotype"/>
        </w:rPr>
      </w:pPr>
    </w:p>
    <w:p w:rsidR="00E60823" w:rsidP="0046140E" w:rsidRDefault="009560E3" w14:paraId="593FBCBE" w14:textId="7FDF64B4">
      <w:pPr>
        <w:tabs>
          <w:tab w:val="right" w:pos="10080"/>
        </w:tabs>
        <w:rPr>
          <w:rFonts w:ascii="Palatino Linotype" w:hAnsi="Palatino Linotype"/>
        </w:rPr>
      </w:pPr>
      <w:r>
        <w:rPr>
          <w:rFonts w:ascii="Palatino Linotype" w:hAnsi="Palatino Linotype"/>
        </w:rPr>
        <w:t>After agreeing to move forward with the Interface proposal,</w:t>
      </w:r>
      <w:r w:rsidR="006F64C3">
        <w:rPr>
          <w:rFonts w:ascii="Palatino Linotype" w:hAnsi="Palatino Linotype"/>
        </w:rPr>
        <w:t xml:space="preserve"> </w:t>
      </w:r>
      <w:r w:rsidR="003C4F2B">
        <w:rPr>
          <w:rFonts w:ascii="Palatino Linotype" w:hAnsi="Palatino Linotype"/>
        </w:rPr>
        <w:t>12</w:t>
      </w:r>
      <w:r w:rsidR="007D3EC4">
        <w:rPr>
          <w:rFonts w:ascii="Palatino Linotype" w:hAnsi="Palatino Linotype"/>
        </w:rPr>
        <w:t xml:space="preserve"> unserved </w:t>
      </w:r>
      <w:r w:rsidR="009F51A7">
        <w:rPr>
          <w:rFonts w:ascii="Palatino Linotype" w:hAnsi="Palatino Linotype"/>
        </w:rPr>
        <w:t>counties</w:t>
      </w:r>
      <w:r w:rsidR="00F8332A">
        <w:rPr>
          <w:rFonts w:ascii="Palatino Linotype" w:hAnsi="Palatino Linotype"/>
        </w:rPr>
        <w:t xml:space="preserve"> submitt</w:t>
      </w:r>
      <w:r w:rsidR="009F51A7">
        <w:rPr>
          <w:rFonts w:ascii="Palatino Linotype" w:hAnsi="Palatino Linotype"/>
        </w:rPr>
        <w:t>ed</w:t>
      </w:r>
      <w:r w:rsidR="00F8332A">
        <w:rPr>
          <w:rFonts w:ascii="Palatino Linotype" w:hAnsi="Palatino Linotype"/>
        </w:rPr>
        <w:t xml:space="preserve"> </w:t>
      </w:r>
      <w:r w:rsidR="00E60823">
        <w:rPr>
          <w:rFonts w:ascii="Palatino Linotype" w:hAnsi="Palatino Linotype"/>
        </w:rPr>
        <w:t xml:space="preserve">letters of endorsement </w:t>
      </w:r>
      <w:r w:rsidR="007D3EC4">
        <w:rPr>
          <w:rFonts w:ascii="Palatino Linotype" w:hAnsi="Palatino Linotype"/>
        </w:rPr>
        <w:t xml:space="preserve">to </w:t>
      </w:r>
      <w:r w:rsidR="00703E6A">
        <w:rPr>
          <w:rFonts w:ascii="Palatino Linotype" w:hAnsi="Palatino Linotype"/>
        </w:rPr>
        <w:t xml:space="preserve">the Commission, </w:t>
      </w:r>
      <w:r w:rsidR="00E60823">
        <w:rPr>
          <w:rFonts w:ascii="Palatino Linotype" w:hAnsi="Palatino Linotype"/>
        </w:rPr>
        <w:t xml:space="preserve">supporting </w:t>
      </w:r>
      <w:r w:rsidR="00F8332A">
        <w:rPr>
          <w:rFonts w:ascii="Palatino Linotype" w:hAnsi="Palatino Linotype"/>
        </w:rPr>
        <w:t>the implementation of disaster 2-1-1 in their county and for Interface to provide that service</w:t>
      </w:r>
      <w:r w:rsidR="00E60823">
        <w:rPr>
          <w:rFonts w:ascii="Palatino Linotype" w:hAnsi="Palatino Linotype"/>
        </w:rPr>
        <w:t>.</w:t>
      </w:r>
      <w:r w:rsidR="003C4F2B">
        <w:rPr>
          <w:rStyle w:val="FootnoteReference"/>
          <w:rFonts w:ascii="Palatino Linotype" w:hAnsi="Palatino Linotype"/>
        </w:rPr>
        <w:footnoteReference w:id="11"/>
      </w:r>
      <w:r w:rsidR="009F51A7">
        <w:rPr>
          <w:rFonts w:ascii="Palatino Linotype" w:hAnsi="Palatino Linotype"/>
        </w:rPr>
        <w:t xml:space="preserve"> These submissions are in accordance with requirements set forth in D.11-09-016.</w:t>
      </w:r>
      <w:r w:rsidR="009F51A7">
        <w:rPr>
          <w:rStyle w:val="FootnoteReference"/>
          <w:rFonts w:ascii="Palatino Linotype" w:hAnsi="Palatino Linotype"/>
        </w:rPr>
        <w:footnoteReference w:id="12"/>
      </w:r>
    </w:p>
    <w:p w:rsidR="00E60823" w:rsidP="0046140E" w:rsidRDefault="00E60823" w14:paraId="15ADFADD" w14:textId="4E7DA7F5">
      <w:pPr>
        <w:tabs>
          <w:tab w:val="right" w:pos="10080"/>
        </w:tabs>
        <w:rPr>
          <w:rFonts w:ascii="Palatino Linotype" w:hAnsi="Palatino Linotype"/>
        </w:rPr>
      </w:pPr>
    </w:p>
    <w:p w:rsidR="00E60823" w:rsidP="0046140E" w:rsidRDefault="0023312D" w14:paraId="2B0F98F4" w14:textId="727AB1A6">
      <w:pPr>
        <w:tabs>
          <w:tab w:val="right" w:pos="10080"/>
        </w:tabs>
        <w:rPr>
          <w:rFonts w:ascii="Palatino Linotype" w:hAnsi="Palatino Linotype"/>
          <w:b/>
          <w:bCs/>
          <w:u w:val="single"/>
        </w:rPr>
      </w:pPr>
      <w:r>
        <w:rPr>
          <w:rFonts w:ascii="Palatino Linotype" w:hAnsi="Palatino Linotype"/>
          <w:b/>
          <w:bCs/>
          <w:u w:val="single"/>
        </w:rPr>
        <w:t>Interface Children and Family Services’ application</w:t>
      </w:r>
    </w:p>
    <w:p w:rsidRPr="00E60823" w:rsidR="00E60823" w:rsidP="0046140E" w:rsidRDefault="00E60823" w14:paraId="07F54C05" w14:textId="77777777">
      <w:pPr>
        <w:tabs>
          <w:tab w:val="right" w:pos="10080"/>
        </w:tabs>
        <w:rPr>
          <w:rFonts w:ascii="Palatino Linotype" w:hAnsi="Palatino Linotype"/>
        </w:rPr>
      </w:pPr>
    </w:p>
    <w:p w:rsidR="00CC041F" w:rsidP="0046140E" w:rsidRDefault="001019C5" w14:paraId="0314F777" w14:textId="5912FBD5">
      <w:pPr>
        <w:tabs>
          <w:tab w:val="right" w:pos="10080"/>
        </w:tabs>
        <w:rPr>
          <w:rFonts w:ascii="Palatino Linotype" w:hAnsi="Palatino Linotype"/>
        </w:rPr>
      </w:pPr>
      <w:r>
        <w:rPr>
          <w:rFonts w:ascii="Palatino Linotype" w:hAnsi="Palatino Linotype"/>
        </w:rPr>
        <w:t>Consistent</w:t>
      </w:r>
      <w:r w:rsidR="0023312D">
        <w:rPr>
          <w:rFonts w:ascii="Palatino Linotype" w:hAnsi="Palatino Linotype"/>
        </w:rPr>
        <w:t xml:space="preserve"> with D.11-09-016 and the request for proposal</w:t>
      </w:r>
      <w:r w:rsidR="00FF6EB5">
        <w:rPr>
          <w:rFonts w:ascii="Palatino Linotype" w:hAnsi="Palatino Linotype"/>
        </w:rPr>
        <w:t>s</w:t>
      </w:r>
      <w:r w:rsidR="0023312D">
        <w:rPr>
          <w:rFonts w:ascii="Palatino Linotype" w:hAnsi="Palatino Linotype"/>
        </w:rPr>
        <w:t>, Interface’s submission is organized in</w:t>
      </w:r>
      <w:r w:rsidR="00F93DD0">
        <w:rPr>
          <w:rFonts w:ascii="Palatino Linotype" w:hAnsi="Palatino Linotype"/>
        </w:rPr>
        <w:t>to</w:t>
      </w:r>
      <w:r w:rsidR="0023312D">
        <w:rPr>
          <w:rFonts w:ascii="Palatino Linotype" w:hAnsi="Palatino Linotype"/>
        </w:rPr>
        <w:t xml:space="preserve"> </w:t>
      </w:r>
      <w:r w:rsidR="00F017AD">
        <w:rPr>
          <w:rFonts w:ascii="Palatino Linotype" w:hAnsi="Palatino Linotype"/>
        </w:rPr>
        <w:t>four</w:t>
      </w:r>
      <w:r w:rsidR="0023312D">
        <w:rPr>
          <w:rFonts w:ascii="Palatino Linotype" w:hAnsi="Palatino Linotype"/>
        </w:rPr>
        <w:t xml:space="preserve"> sections. Interface provided the following information for each of the sections</w:t>
      </w:r>
      <w:r w:rsidR="00C87708">
        <w:rPr>
          <w:rFonts w:ascii="Palatino Linotype" w:hAnsi="Palatino Linotype"/>
        </w:rPr>
        <w:t xml:space="preserve"> and delineated costs </w:t>
      </w:r>
      <w:r>
        <w:rPr>
          <w:rFonts w:ascii="Palatino Linotype" w:hAnsi="Palatino Linotype"/>
        </w:rPr>
        <w:t>of</w:t>
      </w:r>
      <w:r w:rsidR="00C87708">
        <w:rPr>
          <w:rFonts w:ascii="Palatino Linotype" w:hAnsi="Palatino Linotype"/>
        </w:rPr>
        <w:t xml:space="preserve"> implementation</w:t>
      </w:r>
      <w:r>
        <w:rPr>
          <w:rFonts w:ascii="Palatino Linotype" w:hAnsi="Palatino Linotype"/>
        </w:rPr>
        <w:t xml:space="preserve"> by</w:t>
      </w:r>
      <w:r w:rsidR="00C87708">
        <w:rPr>
          <w:rFonts w:ascii="Palatino Linotype" w:hAnsi="Palatino Linotype"/>
        </w:rPr>
        <w:t xml:space="preserve"> year</w:t>
      </w:r>
      <w:r>
        <w:rPr>
          <w:rFonts w:ascii="Palatino Linotype" w:hAnsi="Palatino Linotype"/>
        </w:rPr>
        <w:t>.</w:t>
      </w:r>
    </w:p>
    <w:p w:rsidR="0023312D" w:rsidP="0046140E" w:rsidRDefault="0023312D" w14:paraId="6A1D4D62" w14:textId="012E91CE">
      <w:pPr>
        <w:tabs>
          <w:tab w:val="right" w:pos="10080"/>
        </w:tabs>
        <w:rPr>
          <w:rFonts w:ascii="Palatino Linotype" w:hAnsi="Palatino Linotype"/>
        </w:rPr>
      </w:pPr>
    </w:p>
    <w:p w:rsidR="0023312D" w:rsidP="0046140E" w:rsidRDefault="0023312D" w14:paraId="729C4035" w14:textId="5995A095">
      <w:pPr>
        <w:tabs>
          <w:tab w:val="right" w:pos="10080"/>
        </w:tabs>
        <w:rPr>
          <w:rFonts w:ascii="Palatino Linotype" w:hAnsi="Palatino Linotype"/>
        </w:rPr>
      </w:pPr>
      <w:r>
        <w:rPr>
          <w:rFonts w:ascii="Palatino Linotype" w:hAnsi="Palatino Linotype"/>
          <w:i/>
          <w:iCs/>
        </w:rPr>
        <w:t xml:space="preserve">Section 1 – </w:t>
      </w:r>
      <w:r w:rsidR="00F017AD">
        <w:rPr>
          <w:rFonts w:ascii="Palatino Linotype" w:hAnsi="Palatino Linotype"/>
          <w:i/>
          <w:iCs/>
        </w:rPr>
        <w:t>Applicant Information</w:t>
      </w:r>
    </w:p>
    <w:p w:rsidR="0023312D" w:rsidP="0046140E" w:rsidRDefault="0023312D" w14:paraId="16F00D9D" w14:textId="1246EDD2">
      <w:pPr>
        <w:tabs>
          <w:tab w:val="right" w:pos="10080"/>
        </w:tabs>
        <w:rPr>
          <w:rFonts w:ascii="Palatino Linotype" w:hAnsi="Palatino Linotype"/>
        </w:rPr>
      </w:pPr>
    </w:p>
    <w:p w:rsidR="0023312D" w:rsidP="0046140E" w:rsidRDefault="009F71D0" w14:paraId="461E4417" w14:textId="610B6AC3">
      <w:pPr>
        <w:tabs>
          <w:tab w:val="right" w:pos="10080"/>
        </w:tabs>
        <w:rPr>
          <w:rFonts w:ascii="Palatino Linotype" w:hAnsi="Palatino Linotype"/>
        </w:rPr>
      </w:pPr>
      <w:r>
        <w:rPr>
          <w:rFonts w:ascii="Palatino Linotype" w:hAnsi="Palatino Linotype"/>
        </w:rPr>
        <w:t xml:space="preserve">Interface, located in Ventura County, </w:t>
      </w:r>
      <w:r w:rsidR="003C4F2B">
        <w:rPr>
          <w:rFonts w:ascii="Palatino Linotype" w:hAnsi="Palatino Linotype"/>
        </w:rPr>
        <w:t xml:space="preserve">has </w:t>
      </w:r>
      <w:r>
        <w:rPr>
          <w:rFonts w:ascii="Palatino Linotype" w:hAnsi="Palatino Linotype"/>
        </w:rPr>
        <w:t xml:space="preserve">served as Ventura County’s 2-1-1 service provider since 2005 and currently supports 20 other California counties in various aspects of 2-1-1 service, covering over 13 million Californians. Interface provides a broad range of I&amp;R services and systems with live phone service in English, Spanish, Vietnamese, and Cantonese and tele-interpretation services in 147 additional languages. </w:t>
      </w:r>
    </w:p>
    <w:p w:rsidR="009F71D0" w:rsidP="0046140E" w:rsidRDefault="009F71D0" w14:paraId="3E97E94A" w14:textId="6F7FB500">
      <w:pPr>
        <w:tabs>
          <w:tab w:val="right" w:pos="10080"/>
        </w:tabs>
        <w:rPr>
          <w:rFonts w:ascii="Palatino Linotype" w:hAnsi="Palatino Linotype"/>
        </w:rPr>
      </w:pPr>
    </w:p>
    <w:p w:rsidR="00F017AD" w:rsidP="0046140E" w:rsidRDefault="00F017AD" w14:paraId="114FB6F1" w14:textId="73454B5F">
      <w:pPr>
        <w:tabs>
          <w:tab w:val="right" w:pos="10080"/>
        </w:tabs>
        <w:rPr>
          <w:rFonts w:ascii="Palatino Linotype" w:hAnsi="Palatino Linotype"/>
        </w:rPr>
      </w:pPr>
      <w:r>
        <w:rPr>
          <w:rFonts w:ascii="Palatino Linotype" w:hAnsi="Palatino Linotype"/>
          <w:i/>
          <w:iCs/>
        </w:rPr>
        <w:t>Section 2 – Applicant Agreement</w:t>
      </w:r>
    </w:p>
    <w:p w:rsidR="00F017AD" w:rsidP="0046140E" w:rsidRDefault="00F017AD" w14:paraId="7539B76B" w14:textId="77777777">
      <w:pPr>
        <w:tabs>
          <w:tab w:val="right" w:pos="10080"/>
        </w:tabs>
        <w:rPr>
          <w:rFonts w:ascii="Palatino Linotype" w:hAnsi="Palatino Linotype"/>
        </w:rPr>
      </w:pPr>
    </w:p>
    <w:p w:rsidR="00FB48D0" w:rsidP="0046140E" w:rsidRDefault="009F71D0" w14:paraId="3FD37E23" w14:textId="56FFD856">
      <w:pPr>
        <w:tabs>
          <w:tab w:val="right" w:pos="10080"/>
        </w:tabs>
        <w:rPr>
          <w:rFonts w:ascii="Palatino Linotype" w:hAnsi="Palatino Linotype"/>
        </w:rPr>
      </w:pPr>
      <w:r>
        <w:rPr>
          <w:rFonts w:ascii="Palatino Linotype" w:hAnsi="Palatino Linotype"/>
        </w:rPr>
        <w:t xml:space="preserve">Interface states that it does not and will not accept fees from referred organizations in return for referrals, and that it will provide 2-1-1 service free of charge to callers with no commercial interruptions. </w:t>
      </w:r>
      <w:r w:rsidR="00B03B61">
        <w:rPr>
          <w:rFonts w:ascii="Palatino Linotype" w:hAnsi="Palatino Linotype"/>
        </w:rPr>
        <w:t>When a county requests Interface to activate the 2-1-1 system</w:t>
      </w:r>
      <w:r w:rsidR="00045646">
        <w:rPr>
          <w:rFonts w:ascii="Palatino Linotype" w:hAnsi="Palatino Linotype"/>
        </w:rPr>
        <w:t xml:space="preserve">, </w:t>
      </w:r>
      <w:r>
        <w:rPr>
          <w:rFonts w:ascii="Palatino Linotype" w:hAnsi="Palatino Linotype"/>
        </w:rPr>
        <w:t xml:space="preserve">Interface will </w:t>
      </w:r>
      <w:r w:rsidR="00045646">
        <w:rPr>
          <w:rFonts w:ascii="Palatino Linotype" w:hAnsi="Palatino Linotype"/>
        </w:rPr>
        <w:t xml:space="preserve">provide live phone and text coverage 24 hours a day, 7 days a week </w:t>
      </w:r>
      <w:r w:rsidR="00B954C6">
        <w:rPr>
          <w:rFonts w:ascii="Palatino Linotype" w:hAnsi="Palatino Linotype"/>
        </w:rPr>
        <w:t>for</w:t>
      </w:r>
      <w:r>
        <w:rPr>
          <w:rFonts w:ascii="Palatino Linotype" w:hAnsi="Palatino Linotype"/>
        </w:rPr>
        <w:t xml:space="preserve"> each 2-1-1 call regardless of language or disability.</w:t>
      </w:r>
      <w:r w:rsidR="00045646">
        <w:rPr>
          <w:rFonts w:ascii="Palatino Linotype" w:hAnsi="Palatino Linotype"/>
        </w:rPr>
        <w:t xml:space="preserve"> </w:t>
      </w:r>
      <w:r w:rsidR="00FB48D0">
        <w:rPr>
          <w:rFonts w:ascii="Palatino Linotype" w:hAnsi="Palatino Linotype"/>
        </w:rPr>
        <w:t>Interface uses the Internet Protocol Teletype (TTY) system to provide TTY access for deaf and disabled callers.</w:t>
      </w:r>
    </w:p>
    <w:p w:rsidR="00FB48D0" w:rsidP="0046140E" w:rsidRDefault="00FB48D0" w14:paraId="62560AE5" w14:textId="77777777">
      <w:pPr>
        <w:tabs>
          <w:tab w:val="right" w:pos="10080"/>
        </w:tabs>
        <w:rPr>
          <w:rFonts w:ascii="Palatino Linotype" w:hAnsi="Palatino Linotype"/>
        </w:rPr>
      </w:pPr>
    </w:p>
    <w:p w:rsidR="00204B57" w:rsidP="0046140E" w:rsidRDefault="00045646" w14:paraId="78DDA9E0" w14:textId="40DF8FD4">
      <w:pPr>
        <w:tabs>
          <w:tab w:val="right" w:pos="10080"/>
        </w:tabs>
        <w:rPr>
          <w:rFonts w:ascii="Palatino Linotype" w:hAnsi="Palatino Linotype"/>
        </w:rPr>
      </w:pPr>
      <w:r>
        <w:rPr>
          <w:rFonts w:ascii="Palatino Linotype" w:hAnsi="Palatino Linotype"/>
        </w:rPr>
        <w:lastRenderedPageBreak/>
        <w:t xml:space="preserve">Interface states that disaster, emergency, and recovery information provided by 2-1-1 agents will be updated in real time during the duration of </w:t>
      </w:r>
      <w:r w:rsidR="00B954C6">
        <w:rPr>
          <w:rFonts w:ascii="Palatino Linotype" w:hAnsi="Palatino Linotype"/>
        </w:rPr>
        <w:t>any activation</w:t>
      </w:r>
      <w:r>
        <w:rPr>
          <w:rFonts w:ascii="Palatino Linotype" w:hAnsi="Palatino Linotype"/>
        </w:rPr>
        <w:t xml:space="preserve">. Interface will update disaster/emergency </w:t>
      </w:r>
      <w:r w:rsidR="00B03B61">
        <w:rPr>
          <w:rFonts w:ascii="Palatino Linotype" w:hAnsi="Palatino Linotype"/>
        </w:rPr>
        <w:t xml:space="preserve">database </w:t>
      </w:r>
      <w:r>
        <w:rPr>
          <w:rFonts w:ascii="Palatino Linotype" w:hAnsi="Palatino Linotype"/>
        </w:rPr>
        <w:t>resources in real time during a</w:t>
      </w:r>
      <w:r w:rsidR="00B954C6">
        <w:rPr>
          <w:rFonts w:ascii="Palatino Linotype" w:hAnsi="Palatino Linotype"/>
        </w:rPr>
        <w:t>n activation</w:t>
      </w:r>
      <w:r>
        <w:rPr>
          <w:rFonts w:ascii="Palatino Linotype" w:hAnsi="Palatino Linotype"/>
        </w:rPr>
        <w:t xml:space="preserve"> and at least annually during times of no disaster or emergency. </w:t>
      </w:r>
      <w:r w:rsidR="00FB48D0">
        <w:rPr>
          <w:rFonts w:ascii="Palatino Linotype" w:hAnsi="Palatino Linotype"/>
        </w:rPr>
        <w:t xml:space="preserve">During </w:t>
      </w:r>
      <w:r w:rsidR="00B954C6">
        <w:rPr>
          <w:rFonts w:ascii="Palatino Linotype" w:hAnsi="Palatino Linotype"/>
        </w:rPr>
        <w:t>activation</w:t>
      </w:r>
      <w:r w:rsidR="00FB48D0">
        <w:rPr>
          <w:rFonts w:ascii="Palatino Linotype" w:hAnsi="Palatino Linotype"/>
        </w:rPr>
        <w:t>, Interface will follow all applicable protocols, rules, and regulations of the Federal Emergency Management Agency and all other applicable local, county,</w:t>
      </w:r>
      <w:r w:rsidR="00204B57">
        <w:rPr>
          <w:rFonts w:ascii="Palatino Linotype" w:hAnsi="Palatino Linotype"/>
        </w:rPr>
        <w:t xml:space="preserve"> </w:t>
      </w:r>
      <w:r w:rsidR="00FB48D0">
        <w:rPr>
          <w:rFonts w:ascii="Palatino Linotype" w:hAnsi="Palatino Linotype"/>
        </w:rPr>
        <w:t>and state emergency service protocols, rules, and regulations</w:t>
      </w:r>
      <w:r w:rsidR="003C4F2B">
        <w:rPr>
          <w:rFonts w:ascii="Palatino Linotype" w:hAnsi="Palatino Linotype"/>
        </w:rPr>
        <w:t>. Alliance of Information and Referral Systems</w:t>
      </w:r>
      <w:r w:rsidR="00FB48D0">
        <w:rPr>
          <w:rFonts w:ascii="Palatino Linotype" w:hAnsi="Palatino Linotype"/>
        </w:rPr>
        <w:t xml:space="preserve"> </w:t>
      </w:r>
      <w:r w:rsidR="003C4F2B">
        <w:rPr>
          <w:rFonts w:ascii="Palatino Linotype" w:hAnsi="Palatino Linotype"/>
        </w:rPr>
        <w:t>(</w:t>
      </w:r>
      <w:r w:rsidR="00FB48D0">
        <w:rPr>
          <w:rFonts w:ascii="Palatino Linotype" w:hAnsi="Palatino Linotype"/>
        </w:rPr>
        <w:t>AIRS</w:t>
      </w:r>
      <w:r w:rsidR="003C4F2B">
        <w:rPr>
          <w:rFonts w:ascii="Palatino Linotype" w:hAnsi="Palatino Linotype"/>
        </w:rPr>
        <w:t xml:space="preserve">) </w:t>
      </w:r>
      <w:r w:rsidR="00FB48D0">
        <w:rPr>
          <w:rFonts w:ascii="Palatino Linotype" w:hAnsi="Palatino Linotype"/>
        </w:rPr>
        <w:t>service delivery standards will be met at all times.</w:t>
      </w:r>
      <w:r w:rsidR="00204B57">
        <w:rPr>
          <w:rFonts w:ascii="Palatino Linotype" w:hAnsi="Palatino Linotype"/>
        </w:rPr>
        <w:t xml:space="preserve"> Inter</w:t>
      </w:r>
      <w:r w:rsidR="00B954C6">
        <w:rPr>
          <w:rFonts w:ascii="Palatino Linotype" w:hAnsi="Palatino Linotype"/>
        </w:rPr>
        <w:t>face</w:t>
      </w:r>
      <w:r w:rsidR="00204B57">
        <w:rPr>
          <w:rFonts w:ascii="Palatino Linotype" w:hAnsi="Palatino Linotype"/>
        </w:rPr>
        <w:t xml:space="preserve"> also states that </w:t>
      </w:r>
      <w:r w:rsidR="00886398">
        <w:rPr>
          <w:rFonts w:ascii="Palatino Linotype" w:hAnsi="Palatino Linotype"/>
        </w:rPr>
        <w:t>it</w:t>
      </w:r>
      <w:r w:rsidR="00204B57">
        <w:rPr>
          <w:rFonts w:ascii="Palatino Linotype" w:hAnsi="Palatino Linotype"/>
        </w:rPr>
        <w:t xml:space="preserve"> will provide all disaster and recovery information to the public that is provided to it by government emergency service personnel.</w:t>
      </w:r>
    </w:p>
    <w:p w:rsidR="00480CB6" w:rsidP="0046140E" w:rsidRDefault="00480CB6" w14:paraId="31B28457" w14:textId="0B59FA65">
      <w:pPr>
        <w:tabs>
          <w:tab w:val="right" w:pos="10080"/>
        </w:tabs>
        <w:rPr>
          <w:rFonts w:ascii="Palatino Linotype" w:hAnsi="Palatino Linotype"/>
        </w:rPr>
      </w:pPr>
    </w:p>
    <w:p w:rsidR="00480CB6" w:rsidP="0046140E" w:rsidRDefault="00480CB6" w14:paraId="15E7A4A6" w14:textId="55EA5F20">
      <w:pPr>
        <w:tabs>
          <w:tab w:val="right" w:pos="10080"/>
        </w:tabs>
        <w:rPr>
          <w:rFonts w:ascii="Palatino Linotype" w:hAnsi="Palatino Linotype"/>
        </w:rPr>
      </w:pPr>
      <w:r>
        <w:rPr>
          <w:rFonts w:ascii="Palatino Linotype" w:hAnsi="Palatino Linotype"/>
        </w:rPr>
        <w:t xml:space="preserve">During times of no disaster or emergency, the 2-1-1 number will play a recording that explains the purpose of the 2-1-1 service and that it is activated during times of disaster or emergency. Under these conditions, the 2-1-1 number </w:t>
      </w:r>
      <w:r w:rsidR="005079AC">
        <w:rPr>
          <w:rFonts w:ascii="Palatino Linotype" w:hAnsi="Palatino Linotype"/>
        </w:rPr>
        <w:t>shall</w:t>
      </w:r>
      <w:r>
        <w:rPr>
          <w:rFonts w:ascii="Palatino Linotype" w:hAnsi="Palatino Linotype"/>
        </w:rPr>
        <w:t xml:space="preserve"> include an option to transfer to a live 2-1-1 agent</w:t>
      </w:r>
      <w:r w:rsidR="005079AC">
        <w:rPr>
          <w:rFonts w:ascii="Palatino Linotype" w:hAnsi="Palatino Linotype"/>
        </w:rPr>
        <w:t xml:space="preserve">, </w:t>
      </w:r>
      <w:r>
        <w:rPr>
          <w:rFonts w:ascii="Palatino Linotype" w:hAnsi="Palatino Linotype"/>
        </w:rPr>
        <w:t>a designated 24/7 county number to allow for a report of suspected disaster or emergency</w:t>
      </w:r>
      <w:r w:rsidR="005079AC">
        <w:rPr>
          <w:rFonts w:ascii="Palatino Linotype" w:hAnsi="Palatino Linotype"/>
        </w:rPr>
        <w:t>, or otherwise direct the caller to the county government for other services.</w:t>
      </w:r>
    </w:p>
    <w:p w:rsidR="00204B57" w:rsidP="0046140E" w:rsidRDefault="00204B57" w14:paraId="5C4E871C" w14:textId="4BA22EC3">
      <w:pPr>
        <w:tabs>
          <w:tab w:val="right" w:pos="10080"/>
        </w:tabs>
        <w:rPr>
          <w:rFonts w:ascii="Palatino Linotype" w:hAnsi="Palatino Linotype"/>
        </w:rPr>
      </w:pPr>
    </w:p>
    <w:p w:rsidR="00204B57" w:rsidP="0046140E" w:rsidRDefault="00204B57" w14:paraId="27E8D6C4" w14:textId="72B57669">
      <w:pPr>
        <w:tabs>
          <w:tab w:val="right" w:pos="10080"/>
        </w:tabs>
        <w:rPr>
          <w:rFonts w:ascii="Palatino Linotype" w:hAnsi="Palatino Linotype"/>
        </w:rPr>
      </w:pPr>
      <w:r>
        <w:rPr>
          <w:rFonts w:ascii="Palatino Linotype" w:hAnsi="Palatino Linotype"/>
          <w:i/>
          <w:iCs/>
        </w:rPr>
        <w:t xml:space="preserve">Section </w:t>
      </w:r>
      <w:r w:rsidR="00F017AD">
        <w:rPr>
          <w:rFonts w:ascii="Palatino Linotype" w:hAnsi="Palatino Linotype"/>
          <w:i/>
          <w:iCs/>
        </w:rPr>
        <w:t>3</w:t>
      </w:r>
      <w:r>
        <w:rPr>
          <w:rFonts w:ascii="Palatino Linotype" w:hAnsi="Palatino Linotype"/>
          <w:i/>
          <w:iCs/>
        </w:rPr>
        <w:t xml:space="preserve"> – Technical Information</w:t>
      </w:r>
      <w:r w:rsidR="005079AC">
        <w:rPr>
          <w:rFonts w:ascii="Palatino Linotype" w:hAnsi="Palatino Linotype"/>
          <w:i/>
          <w:iCs/>
        </w:rPr>
        <w:t xml:space="preserve"> and Costs</w:t>
      </w:r>
    </w:p>
    <w:p w:rsidR="00204B57" w:rsidP="0046140E" w:rsidRDefault="00204B57" w14:paraId="1AF5B26B" w14:textId="5ECA7628">
      <w:pPr>
        <w:tabs>
          <w:tab w:val="right" w:pos="10080"/>
        </w:tabs>
        <w:rPr>
          <w:rFonts w:ascii="Palatino Linotype" w:hAnsi="Palatino Linotype"/>
        </w:rPr>
      </w:pPr>
    </w:p>
    <w:p w:rsidR="00204B57" w:rsidP="0046140E" w:rsidRDefault="005079AC" w14:paraId="1823BAB8" w14:textId="2AE01E4E">
      <w:pPr>
        <w:tabs>
          <w:tab w:val="right" w:pos="10080"/>
        </w:tabs>
        <w:rPr>
          <w:rFonts w:ascii="Palatino Linotype" w:hAnsi="Palatino Linotype"/>
        </w:rPr>
      </w:pPr>
      <w:r>
        <w:rPr>
          <w:rFonts w:ascii="Palatino Linotype" w:hAnsi="Palatino Linotype"/>
        </w:rPr>
        <w:t xml:space="preserve">Traditionally, </w:t>
      </w:r>
      <w:r w:rsidR="008C6667">
        <w:rPr>
          <w:rFonts w:ascii="Palatino Linotype" w:hAnsi="Palatino Linotype"/>
        </w:rPr>
        <w:t xml:space="preserve">Interface </w:t>
      </w:r>
      <w:r>
        <w:rPr>
          <w:rFonts w:ascii="Palatino Linotype" w:hAnsi="Palatino Linotype"/>
        </w:rPr>
        <w:t>would solely be</w:t>
      </w:r>
      <w:r w:rsidR="008C6667">
        <w:rPr>
          <w:rFonts w:ascii="Palatino Linotype" w:hAnsi="Palatino Linotype"/>
        </w:rPr>
        <w:t xml:space="preserve"> responsible for negotiating with carriers in the participating counties to establish 2-1-1 switch translation services. </w:t>
      </w:r>
      <w:r w:rsidR="001B4E19">
        <w:rPr>
          <w:rFonts w:ascii="Palatino Linotype" w:hAnsi="Palatino Linotype"/>
        </w:rPr>
        <w:t xml:space="preserve">Interface states that </w:t>
      </w:r>
      <w:r w:rsidR="008C6667">
        <w:rPr>
          <w:rFonts w:ascii="Palatino Linotype" w:hAnsi="Palatino Linotype"/>
        </w:rPr>
        <w:t xml:space="preserve">the </w:t>
      </w:r>
      <w:r>
        <w:rPr>
          <w:rFonts w:ascii="Palatino Linotype" w:hAnsi="Palatino Linotype"/>
        </w:rPr>
        <w:t xml:space="preserve">exact </w:t>
      </w:r>
      <w:r w:rsidR="008C6667">
        <w:rPr>
          <w:rFonts w:ascii="Palatino Linotype" w:hAnsi="Palatino Linotype"/>
        </w:rPr>
        <w:t xml:space="preserve">switch translation costs </w:t>
      </w:r>
      <w:r>
        <w:rPr>
          <w:rFonts w:ascii="Palatino Linotype" w:hAnsi="Palatino Linotype"/>
        </w:rPr>
        <w:t>are not specific because they</w:t>
      </w:r>
      <w:r w:rsidR="008C6667">
        <w:rPr>
          <w:rFonts w:ascii="Palatino Linotype" w:hAnsi="Palatino Linotype"/>
        </w:rPr>
        <w:t xml:space="preserve"> vary by county and carrier and are one-time costs. </w:t>
      </w:r>
      <w:r w:rsidR="000F339E">
        <w:rPr>
          <w:rFonts w:ascii="Palatino Linotype" w:hAnsi="Palatino Linotype"/>
        </w:rPr>
        <w:t>T</w:t>
      </w:r>
      <w:r>
        <w:rPr>
          <w:rFonts w:ascii="Palatino Linotype" w:hAnsi="Palatino Linotype"/>
        </w:rPr>
        <w:t>he C</w:t>
      </w:r>
      <w:r w:rsidR="00AC5600">
        <w:rPr>
          <w:rFonts w:ascii="Palatino Linotype" w:hAnsi="Palatino Linotype"/>
        </w:rPr>
        <w:t>ommission</w:t>
      </w:r>
      <w:r>
        <w:rPr>
          <w:rFonts w:ascii="Palatino Linotype" w:hAnsi="Palatino Linotype"/>
        </w:rPr>
        <w:t xml:space="preserve"> notified carriers of the forthcoming </w:t>
      </w:r>
      <w:r w:rsidR="003C4F2B">
        <w:rPr>
          <w:rFonts w:ascii="Palatino Linotype" w:hAnsi="Palatino Linotype"/>
        </w:rPr>
        <w:t xml:space="preserve">request </w:t>
      </w:r>
      <w:r>
        <w:rPr>
          <w:rFonts w:ascii="Palatino Linotype" w:hAnsi="Palatino Linotype"/>
        </w:rPr>
        <w:t>to provide these services and will subsequently be directing this process to ensure complete and proper implementation.</w:t>
      </w:r>
      <w:r w:rsidR="008C6667">
        <w:rPr>
          <w:rFonts w:ascii="Palatino Linotype" w:hAnsi="Palatino Linotype"/>
        </w:rPr>
        <w:t xml:space="preserve"> These costs </w:t>
      </w:r>
      <w:r w:rsidR="00F81828">
        <w:rPr>
          <w:rFonts w:ascii="Palatino Linotype" w:hAnsi="Palatino Linotype"/>
        </w:rPr>
        <w:t xml:space="preserve">are $5,000 per county on average, and they </w:t>
      </w:r>
      <w:r w:rsidR="008C6667">
        <w:rPr>
          <w:rFonts w:ascii="Palatino Linotype" w:hAnsi="Palatino Linotype"/>
        </w:rPr>
        <w:t xml:space="preserve">are </w:t>
      </w:r>
      <w:r w:rsidR="00B4305B">
        <w:rPr>
          <w:rFonts w:ascii="Palatino Linotype" w:hAnsi="Palatino Linotype"/>
        </w:rPr>
        <w:t>recoverable through SB 1212</w:t>
      </w:r>
      <w:r w:rsidR="00B03B61">
        <w:rPr>
          <w:rFonts w:ascii="Palatino Linotype" w:hAnsi="Palatino Linotype"/>
        </w:rPr>
        <w:t xml:space="preserve"> funds.</w:t>
      </w:r>
    </w:p>
    <w:p w:rsidR="008C6667" w:rsidP="0046140E" w:rsidRDefault="008C6667" w14:paraId="3504E0B3" w14:textId="5B170DA2">
      <w:pPr>
        <w:tabs>
          <w:tab w:val="right" w:pos="10080"/>
        </w:tabs>
        <w:rPr>
          <w:rFonts w:ascii="Palatino Linotype" w:hAnsi="Palatino Linotype"/>
        </w:rPr>
      </w:pPr>
    </w:p>
    <w:p w:rsidR="008C6667" w:rsidP="0046140E" w:rsidRDefault="008C6667" w14:paraId="1E72E2AF" w14:textId="1D92B508">
      <w:pPr>
        <w:tabs>
          <w:tab w:val="right" w:pos="10080"/>
        </w:tabs>
        <w:rPr>
          <w:rFonts w:ascii="Palatino Linotype" w:hAnsi="Palatino Linotype"/>
        </w:rPr>
      </w:pPr>
      <w:r>
        <w:rPr>
          <w:rFonts w:ascii="Palatino Linotype" w:hAnsi="Palatino Linotype"/>
        </w:rPr>
        <w:t>Interface</w:t>
      </w:r>
      <w:r w:rsidR="003C4F2B">
        <w:rPr>
          <w:rFonts w:ascii="Palatino Linotype" w:hAnsi="Palatino Linotype"/>
        </w:rPr>
        <w:t xml:space="preserve"> </w:t>
      </w:r>
      <w:r>
        <w:rPr>
          <w:rFonts w:ascii="Palatino Linotype" w:hAnsi="Palatino Linotype"/>
        </w:rPr>
        <w:t>is part of the United Way of California</w:t>
      </w:r>
      <w:r w:rsidR="00646962">
        <w:rPr>
          <w:rFonts w:ascii="Palatino Linotype" w:hAnsi="Palatino Linotype"/>
        </w:rPr>
        <w:t xml:space="preserve"> (UWCA)</w:t>
      </w:r>
      <w:r>
        <w:rPr>
          <w:rFonts w:ascii="Palatino Linotype" w:hAnsi="Palatino Linotype"/>
        </w:rPr>
        <w:t xml:space="preserve"> inContact business unit </w:t>
      </w:r>
      <w:r w:rsidR="003C4F2B">
        <w:rPr>
          <w:rFonts w:ascii="Palatino Linotype" w:hAnsi="Palatino Linotype"/>
        </w:rPr>
        <w:t xml:space="preserve">and proposes using </w:t>
      </w:r>
      <w:r w:rsidR="00B03B61">
        <w:rPr>
          <w:rFonts w:ascii="Palatino Linotype" w:hAnsi="Palatino Linotype"/>
        </w:rPr>
        <w:t>the unit</w:t>
      </w:r>
      <w:r w:rsidR="003C4F2B">
        <w:rPr>
          <w:rFonts w:ascii="Palatino Linotype" w:hAnsi="Palatino Linotype"/>
        </w:rPr>
        <w:t xml:space="preserve"> to </w:t>
      </w:r>
      <w:r>
        <w:rPr>
          <w:rFonts w:ascii="Palatino Linotype" w:hAnsi="Palatino Linotype"/>
        </w:rPr>
        <w:t>provide cloud telephony services</w:t>
      </w:r>
      <w:r w:rsidR="00F93DD0">
        <w:rPr>
          <w:rFonts w:ascii="Palatino Linotype" w:hAnsi="Palatino Linotype"/>
        </w:rPr>
        <w:t xml:space="preserve">.  </w:t>
      </w:r>
      <w:r>
        <w:rPr>
          <w:rFonts w:ascii="Palatino Linotype" w:hAnsi="Palatino Linotype"/>
        </w:rPr>
        <w:t xml:space="preserve">This unit includes </w:t>
      </w:r>
      <w:r w:rsidR="00B4305B">
        <w:rPr>
          <w:rFonts w:ascii="Palatino Linotype" w:hAnsi="Palatino Linotype"/>
        </w:rPr>
        <w:t>five</w:t>
      </w:r>
      <w:r>
        <w:rPr>
          <w:rFonts w:ascii="Palatino Linotype" w:hAnsi="Palatino Linotype"/>
        </w:rPr>
        <w:t xml:space="preserve"> California contact centers and allows for calls to be transferred between centers easily. Interface state</w:t>
      </w:r>
      <w:r w:rsidR="00F34F56">
        <w:rPr>
          <w:rFonts w:ascii="Palatino Linotype" w:hAnsi="Palatino Linotype"/>
        </w:rPr>
        <w:t>s</w:t>
      </w:r>
      <w:r>
        <w:rPr>
          <w:rFonts w:ascii="Palatino Linotype" w:hAnsi="Palatino Linotype"/>
        </w:rPr>
        <w:t xml:space="preserve"> there will be </w:t>
      </w:r>
      <w:r w:rsidR="00B4305B">
        <w:rPr>
          <w:rFonts w:ascii="Palatino Linotype" w:hAnsi="Palatino Linotype"/>
        </w:rPr>
        <w:t>a</w:t>
      </w:r>
      <w:r>
        <w:rPr>
          <w:rFonts w:ascii="Palatino Linotype" w:hAnsi="Palatino Linotype"/>
        </w:rPr>
        <w:t xml:space="preserve"> three-year contract </w:t>
      </w:r>
      <w:r w:rsidR="00B4305B">
        <w:rPr>
          <w:rFonts w:ascii="Palatino Linotype" w:hAnsi="Palatino Linotype"/>
        </w:rPr>
        <w:t>for</w:t>
      </w:r>
      <w:r>
        <w:rPr>
          <w:rFonts w:ascii="Palatino Linotype" w:hAnsi="Palatino Linotype"/>
        </w:rPr>
        <w:t xml:space="preserve"> </w:t>
      </w:r>
      <w:r w:rsidR="00066D58">
        <w:rPr>
          <w:rFonts w:ascii="Palatino Linotype" w:hAnsi="Palatino Linotype"/>
        </w:rPr>
        <w:t>cloud telephony services</w:t>
      </w:r>
      <w:r>
        <w:rPr>
          <w:rFonts w:ascii="Palatino Linotype" w:hAnsi="Palatino Linotype"/>
        </w:rPr>
        <w:t xml:space="preserve"> </w:t>
      </w:r>
      <w:r w:rsidR="00C977AB">
        <w:rPr>
          <w:rFonts w:ascii="Palatino Linotype" w:hAnsi="Palatino Linotype"/>
        </w:rPr>
        <w:t xml:space="preserve">with Year </w:t>
      </w:r>
      <w:r w:rsidR="00B4305B">
        <w:rPr>
          <w:rFonts w:ascii="Palatino Linotype" w:hAnsi="Palatino Linotype"/>
        </w:rPr>
        <w:t>One</w:t>
      </w:r>
      <w:r w:rsidR="00C977AB">
        <w:rPr>
          <w:rFonts w:ascii="Palatino Linotype" w:hAnsi="Palatino Linotype"/>
        </w:rPr>
        <w:t xml:space="preserve"> costs of $</w:t>
      </w:r>
      <w:r w:rsidR="00ED2016">
        <w:rPr>
          <w:rFonts w:ascii="Palatino Linotype" w:hAnsi="Palatino Linotype"/>
        </w:rPr>
        <w:t>1,</w:t>
      </w:r>
      <w:r w:rsidR="00C977AB">
        <w:rPr>
          <w:rFonts w:ascii="Palatino Linotype" w:hAnsi="Palatino Linotype"/>
        </w:rPr>
        <w:t xml:space="preserve">500 per county and Years </w:t>
      </w:r>
      <w:r w:rsidR="00B4305B">
        <w:rPr>
          <w:rFonts w:ascii="Palatino Linotype" w:hAnsi="Palatino Linotype"/>
        </w:rPr>
        <w:t>Two</w:t>
      </w:r>
      <w:r w:rsidR="00C977AB">
        <w:rPr>
          <w:rFonts w:ascii="Palatino Linotype" w:hAnsi="Palatino Linotype"/>
        </w:rPr>
        <w:t xml:space="preserve"> and </w:t>
      </w:r>
      <w:r w:rsidR="00B4305B">
        <w:rPr>
          <w:rFonts w:ascii="Palatino Linotype" w:hAnsi="Palatino Linotype"/>
        </w:rPr>
        <w:t>Three</w:t>
      </w:r>
      <w:r w:rsidR="00C977AB">
        <w:rPr>
          <w:rFonts w:ascii="Palatino Linotype" w:hAnsi="Palatino Linotype"/>
        </w:rPr>
        <w:t xml:space="preserve"> costs of $1,000 per year per county</w:t>
      </w:r>
      <w:r>
        <w:rPr>
          <w:rFonts w:ascii="Palatino Linotype" w:hAnsi="Palatino Linotype"/>
        </w:rPr>
        <w:t xml:space="preserve">, </w:t>
      </w:r>
      <w:r w:rsidR="00B03B61">
        <w:rPr>
          <w:rFonts w:ascii="Palatino Linotype" w:hAnsi="Palatino Linotype"/>
        </w:rPr>
        <w:t>which are</w:t>
      </w:r>
      <w:r w:rsidR="00686CC0">
        <w:rPr>
          <w:rFonts w:ascii="Palatino Linotype" w:hAnsi="Palatino Linotype"/>
        </w:rPr>
        <w:t xml:space="preserve"> covered by SB 1212 funds. </w:t>
      </w:r>
      <w:r w:rsidR="00B4305B">
        <w:rPr>
          <w:rFonts w:ascii="Palatino Linotype" w:hAnsi="Palatino Linotype"/>
        </w:rPr>
        <w:t>Post</w:t>
      </w:r>
      <w:r w:rsidR="00B03B61">
        <w:rPr>
          <w:rFonts w:ascii="Palatino Linotype" w:hAnsi="Palatino Linotype"/>
        </w:rPr>
        <w:t>-</w:t>
      </w:r>
      <w:r w:rsidR="00B4305B">
        <w:rPr>
          <w:rFonts w:ascii="Palatino Linotype" w:hAnsi="Palatino Linotype"/>
        </w:rPr>
        <w:t>implementation costs</w:t>
      </w:r>
      <w:r>
        <w:rPr>
          <w:rFonts w:ascii="Palatino Linotype" w:hAnsi="Palatino Linotype"/>
        </w:rPr>
        <w:t xml:space="preserve"> for Years </w:t>
      </w:r>
      <w:r w:rsidR="00371517">
        <w:rPr>
          <w:rFonts w:ascii="Palatino Linotype" w:hAnsi="Palatino Linotype"/>
        </w:rPr>
        <w:t>Four</w:t>
      </w:r>
      <w:r>
        <w:rPr>
          <w:rFonts w:ascii="Palatino Linotype" w:hAnsi="Palatino Linotype"/>
        </w:rPr>
        <w:t xml:space="preserve"> and </w:t>
      </w:r>
      <w:r w:rsidR="00371517">
        <w:rPr>
          <w:rFonts w:ascii="Palatino Linotype" w:hAnsi="Palatino Linotype"/>
        </w:rPr>
        <w:t>Five</w:t>
      </w:r>
      <w:r>
        <w:rPr>
          <w:rFonts w:ascii="Palatino Linotype" w:hAnsi="Palatino Linotype"/>
        </w:rPr>
        <w:t xml:space="preserve"> will be $1,000 per year per county</w:t>
      </w:r>
      <w:r w:rsidR="00B03B61">
        <w:rPr>
          <w:rFonts w:ascii="Palatino Linotype" w:hAnsi="Palatino Linotype"/>
        </w:rPr>
        <w:t xml:space="preserve">, </w:t>
      </w:r>
      <w:r w:rsidR="00F41780">
        <w:rPr>
          <w:rFonts w:ascii="Palatino Linotype" w:hAnsi="Palatino Linotype"/>
        </w:rPr>
        <w:t>paid for by participating counties</w:t>
      </w:r>
      <w:r w:rsidR="00B03B61">
        <w:rPr>
          <w:rFonts w:ascii="Palatino Linotype" w:hAnsi="Palatino Linotype"/>
        </w:rPr>
        <w:t>.</w:t>
      </w:r>
    </w:p>
    <w:p w:rsidR="00686CC0" w:rsidP="0046140E" w:rsidRDefault="00686CC0" w14:paraId="6A658B31" w14:textId="71FFD6ED">
      <w:pPr>
        <w:tabs>
          <w:tab w:val="right" w:pos="10080"/>
        </w:tabs>
        <w:rPr>
          <w:rFonts w:ascii="Palatino Linotype" w:hAnsi="Palatino Linotype"/>
        </w:rPr>
      </w:pPr>
    </w:p>
    <w:p w:rsidR="00686CC0" w:rsidP="0046140E" w:rsidRDefault="00686CC0" w14:paraId="7EE54658" w14:textId="78FF1005">
      <w:pPr>
        <w:tabs>
          <w:tab w:val="right" w:pos="10080"/>
        </w:tabs>
        <w:rPr>
          <w:rFonts w:ascii="Palatino Linotype" w:hAnsi="Palatino Linotype"/>
        </w:rPr>
      </w:pPr>
      <w:r>
        <w:rPr>
          <w:rFonts w:ascii="Palatino Linotype" w:hAnsi="Palatino Linotype"/>
        </w:rPr>
        <w:t>Interface</w:t>
      </w:r>
      <w:r w:rsidR="003C4F2B">
        <w:rPr>
          <w:rFonts w:ascii="Palatino Linotype" w:hAnsi="Palatino Linotype"/>
        </w:rPr>
        <w:t xml:space="preserve"> proposes using</w:t>
      </w:r>
      <w:r>
        <w:rPr>
          <w:rFonts w:ascii="Palatino Linotype" w:hAnsi="Palatino Linotype"/>
        </w:rPr>
        <w:t xml:space="preserve"> </w:t>
      </w:r>
      <w:proofErr w:type="spellStart"/>
      <w:r>
        <w:rPr>
          <w:rFonts w:ascii="Palatino Linotype" w:hAnsi="Palatino Linotype"/>
        </w:rPr>
        <w:t>iCarol</w:t>
      </w:r>
      <w:proofErr w:type="spellEnd"/>
      <w:r>
        <w:rPr>
          <w:rFonts w:ascii="Palatino Linotype" w:hAnsi="Palatino Linotype"/>
        </w:rPr>
        <w:t xml:space="preserve"> as its database platform to manage 2-1-1 resources. </w:t>
      </w:r>
      <w:r w:rsidR="0022531E">
        <w:rPr>
          <w:rFonts w:ascii="Palatino Linotype" w:hAnsi="Palatino Linotype"/>
        </w:rPr>
        <w:t xml:space="preserve">Twenty-one </w:t>
      </w:r>
      <w:r>
        <w:rPr>
          <w:rFonts w:ascii="Palatino Linotype" w:hAnsi="Palatino Linotype"/>
        </w:rPr>
        <w:t>California counties</w:t>
      </w:r>
      <w:r w:rsidR="0022531E">
        <w:rPr>
          <w:rFonts w:ascii="Palatino Linotype" w:hAnsi="Palatino Linotype"/>
        </w:rPr>
        <w:t xml:space="preserve"> currently use </w:t>
      </w:r>
      <w:proofErr w:type="spellStart"/>
      <w:r w:rsidR="0022531E">
        <w:rPr>
          <w:rFonts w:ascii="Palatino Linotype" w:hAnsi="Palatino Linotype"/>
        </w:rPr>
        <w:t>iCarol</w:t>
      </w:r>
      <w:proofErr w:type="spellEnd"/>
      <w:r>
        <w:rPr>
          <w:rFonts w:ascii="Palatino Linotype" w:hAnsi="Palatino Linotype"/>
        </w:rPr>
        <w:t>, with Interface managing 13 of t</w:t>
      </w:r>
      <w:r w:rsidR="00F93DD0">
        <w:rPr>
          <w:rFonts w:ascii="Palatino Linotype" w:hAnsi="Palatino Linotype"/>
        </w:rPr>
        <w:t xml:space="preserve">hose.  </w:t>
      </w:r>
      <w:r>
        <w:rPr>
          <w:rFonts w:ascii="Palatino Linotype" w:hAnsi="Palatino Linotype"/>
        </w:rPr>
        <w:t xml:space="preserve">Interface will include new disaster and emergency resources from the </w:t>
      </w:r>
      <w:r>
        <w:rPr>
          <w:rFonts w:ascii="Palatino Linotype" w:hAnsi="Palatino Linotype"/>
        </w:rPr>
        <w:lastRenderedPageBreak/>
        <w:t xml:space="preserve">participating counties in its </w:t>
      </w:r>
      <w:proofErr w:type="spellStart"/>
      <w:r>
        <w:rPr>
          <w:rFonts w:ascii="Palatino Linotype" w:hAnsi="Palatino Linotype"/>
        </w:rPr>
        <w:t>iCarol</w:t>
      </w:r>
      <w:proofErr w:type="spellEnd"/>
      <w:r>
        <w:rPr>
          <w:rFonts w:ascii="Palatino Linotype" w:hAnsi="Palatino Linotype"/>
        </w:rPr>
        <w:t xml:space="preserve"> system and will coordinate with the </w:t>
      </w:r>
      <w:r w:rsidR="00F93DD0">
        <w:rPr>
          <w:rFonts w:ascii="Palatino Linotype" w:hAnsi="Palatino Linotype"/>
        </w:rPr>
        <w:t xml:space="preserve">county </w:t>
      </w:r>
      <w:r>
        <w:rPr>
          <w:rFonts w:ascii="Palatino Linotype" w:hAnsi="Palatino Linotype"/>
        </w:rPr>
        <w:t xml:space="preserve">project liaison to identify and gather these new resources. Interface will perform all data entry and maintenance of this database. </w:t>
      </w:r>
      <w:r w:rsidR="00C01FFB">
        <w:rPr>
          <w:rFonts w:ascii="Palatino Linotype" w:hAnsi="Palatino Linotype"/>
        </w:rPr>
        <w:t xml:space="preserve">Interface stated that there will be a three-year contract for </w:t>
      </w:r>
      <w:r w:rsidR="00066D58">
        <w:rPr>
          <w:rFonts w:ascii="Palatino Linotype" w:hAnsi="Palatino Linotype"/>
        </w:rPr>
        <w:t>the database platform</w:t>
      </w:r>
      <w:r w:rsidR="00C01FFB">
        <w:rPr>
          <w:rFonts w:ascii="Palatino Linotype" w:hAnsi="Palatino Linotype"/>
        </w:rPr>
        <w:t xml:space="preserve"> with Year One costs of $2,</w:t>
      </w:r>
      <w:r w:rsidR="00ED2016">
        <w:rPr>
          <w:rFonts w:ascii="Palatino Linotype" w:hAnsi="Palatino Linotype"/>
        </w:rPr>
        <w:t>1</w:t>
      </w:r>
      <w:r w:rsidR="00561FC8">
        <w:rPr>
          <w:rFonts w:ascii="Palatino Linotype" w:hAnsi="Palatino Linotype"/>
        </w:rPr>
        <w:t>0</w:t>
      </w:r>
      <w:r w:rsidR="00ED2016">
        <w:rPr>
          <w:rFonts w:ascii="Palatino Linotype" w:hAnsi="Palatino Linotype"/>
        </w:rPr>
        <w:t>5</w:t>
      </w:r>
      <w:r w:rsidR="00C01FFB">
        <w:rPr>
          <w:rFonts w:ascii="Palatino Linotype" w:hAnsi="Palatino Linotype"/>
        </w:rPr>
        <w:t xml:space="preserve"> per county and Years Two and Three costs of $1,000 per year per county, which </w:t>
      </w:r>
      <w:r w:rsidR="00B03B61">
        <w:rPr>
          <w:rFonts w:ascii="Palatino Linotype" w:hAnsi="Palatino Linotype"/>
        </w:rPr>
        <w:t>are</w:t>
      </w:r>
      <w:r w:rsidR="00C01FFB">
        <w:rPr>
          <w:rFonts w:ascii="Palatino Linotype" w:hAnsi="Palatino Linotype"/>
        </w:rPr>
        <w:t xml:space="preserve"> covered by SB 1212 funds. Post</w:t>
      </w:r>
      <w:r w:rsidR="00E15330">
        <w:rPr>
          <w:rFonts w:ascii="Palatino Linotype" w:hAnsi="Palatino Linotype"/>
        </w:rPr>
        <w:t>-</w:t>
      </w:r>
      <w:r w:rsidR="00C01FFB">
        <w:rPr>
          <w:rFonts w:ascii="Palatino Linotype" w:hAnsi="Palatino Linotype"/>
        </w:rPr>
        <w:t xml:space="preserve">implementation costs for </w:t>
      </w:r>
      <w:r w:rsidR="00371517">
        <w:rPr>
          <w:rFonts w:ascii="Palatino Linotype" w:hAnsi="Palatino Linotype"/>
        </w:rPr>
        <w:t xml:space="preserve">Years Four and Five </w:t>
      </w:r>
      <w:r w:rsidR="00C01FFB">
        <w:rPr>
          <w:rFonts w:ascii="Palatino Linotype" w:hAnsi="Palatino Linotype"/>
        </w:rPr>
        <w:t xml:space="preserve">will be $1,000 per year per </w:t>
      </w:r>
      <w:r w:rsidR="00B03B61">
        <w:rPr>
          <w:rFonts w:ascii="Palatino Linotype" w:hAnsi="Palatino Linotype"/>
        </w:rPr>
        <w:t>county</w:t>
      </w:r>
      <w:r w:rsidR="00F41780">
        <w:rPr>
          <w:rFonts w:ascii="Palatino Linotype" w:hAnsi="Palatino Linotype"/>
        </w:rPr>
        <w:t>, paid for by participating counties.</w:t>
      </w:r>
    </w:p>
    <w:p w:rsidR="00900C8F" w:rsidP="0046140E" w:rsidRDefault="00900C8F" w14:paraId="20EB002D" w14:textId="7812EAD8">
      <w:pPr>
        <w:tabs>
          <w:tab w:val="right" w:pos="10080"/>
        </w:tabs>
        <w:rPr>
          <w:rFonts w:ascii="Palatino Linotype" w:hAnsi="Palatino Linotype"/>
        </w:rPr>
      </w:pPr>
    </w:p>
    <w:p w:rsidR="00900C8F" w:rsidP="0046140E" w:rsidRDefault="00900C8F" w14:paraId="08C867F1" w14:textId="7A26B899">
      <w:pPr>
        <w:tabs>
          <w:tab w:val="right" w:pos="10080"/>
        </w:tabs>
        <w:rPr>
          <w:rFonts w:ascii="Palatino Linotype" w:hAnsi="Palatino Linotype"/>
        </w:rPr>
      </w:pPr>
      <w:r>
        <w:rPr>
          <w:rFonts w:ascii="Palatino Linotype" w:hAnsi="Palatino Linotype"/>
        </w:rPr>
        <w:t xml:space="preserve">Interface </w:t>
      </w:r>
      <w:r w:rsidR="003C4F2B">
        <w:rPr>
          <w:rFonts w:ascii="Palatino Linotype" w:hAnsi="Palatino Linotype"/>
        </w:rPr>
        <w:t>proposes using t</w:t>
      </w:r>
      <w:r>
        <w:rPr>
          <w:rFonts w:ascii="Palatino Linotype" w:hAnsi="Palatino Linotype"/>
        </w:rPr>
        <w:t xml:space="preserve">he United Us coordinated assistance system to track client interactions from day one of an incident disaster or emergency. The system </w:t>
      </w:r>
      <w:r w:rsidR="00F93DD0">
        <w:rPr>
          <w:rFonts w:ascii="Palatino Linotype" w:hAnsi="Palatino Linotype"/>
        </w:rPr>
        <w:t>uses</w:t>
      </w:r>
      <w:r>
        <w:rPr>
          <w:rFonts w:ascii="Palatino Linotype" w:hAnsi="Palatino Linotype"/>
        </w:rPr>
        <w:t xml:space="preserve"> a single point of entry and intake form for services and allows Interface to work collaboratively with local govern</w:t>
      </w:r>
      <w:r w:rsidR="00066D58">
        <w:rPr>
          <w:rFonts w:ascii="Palatino Linotype" w:hAnsi="Palatino Linotype"/>
        </w:rPr>
        <w:t>ment</w:t>
      </w:r>
      <w:r>
        <w:rPr>
          <w:rFonts w:ascii="Palatino Linotype" w:hAnsi="Palatino Linotype"/>
        </w:rPr>
        <w:t xml:space="preserve"> emergency service providers as well as local community-based organizations </w:t>
      </w:r>
      <w:r w:rsidR="00F93DD0">
        <w:rPr>
          <w:rFonts w:ascii="Palatino Linotype" w:hAnsi="Palatino Linotype"/>
        </w:rPr>
        <w:t xml:space="preserve">to </w:t>
      </w:r>
      <w:r>
        <w:rPr>
          <w:rFonts w:ascii="Palatino Linotype" w:hAnsi="Palatino Linotype"/>
        </w:rPr>
        <w:t>aid</w:t>
      </w:r>
      <w:r w:rsidR="00F93DD0">
        <w:rPr>
          <w:rFonts w:ascii="Palatino Linotype" w:hAnsi="Palatino Linotype"/>
        </w:rPr>
        <w:t xml:space="preserve"> </w:t>
      </w:r>
      <w:r>
        <w:rPr>
          <w:rFonts w:ascii="Palatino Linotype" w:hAnsi="Palatino Linotype"/>
        </w:rPr>
        <w:t>those affected</w:t>
      </w:r>
      <w:r w:rsidR="00F93DD0">
        <w:rPr>
          <w:rFonts w:ascii="Palatino Linotype" w:hAnsi="Palatino Linotype"/>
        </w:rPr>
        <w:t xml:space="preserve"> by disaster</w:t>
      </w:r>
      <w:r>
        <w:rPr>
          <w:rFonts w:ascii="Palatino Linotype" w:hAnsi="Palatino Linotype"/>
        </w:rPr>
        <w:t>.</w:t>
      </w:r>
      <w:r w:rsidRPr="00900C8F">
        <w:rPr>
          <w:rFonts w:ascii="Palatino Linotype" w:hAnsi="Palatino Linotype"/>
        </w:rPr>
        <w:t xml:space="preserve"> </w:t>
      </w:r>
      <w:r w:rsidR="00471D50">
        <w:rPr>
          <w:rFonts w:ascii="Palatino Linotype" w:hAnsi="Palatino Linotype"/>
        </w:rPr>
        <w:t xml:space="preserve">Interface has stated that there will be a three-year contract for </w:t>
      </w:r>
      <w:r w:rsidR="00066D58">
        <w:rPr>
          <w:rFonts w:ascii="Palatino Linotype" w:hAnsi="Palatino Linotype"/>
        </w:rPr>
        <w:t>the coordinated assistance system</w:t>
      </w:r>
      <w:r w:rsidR="00471D50">
        <w:rPr>
          <w:rFonts w:ascii="Palatino Linotype" w:hAnsi="Palatino Linotype"/>
        </w:rPr>
        <w:t xml:space="preserve"> with Year One costs of $2,</w:t>
      </w:r>
      <w:r w:rsidR="00561FC8">
        <w:rPr>
          <w:rFonts w:ascii="Palatino Linotype" w:hAnsi="Palatino Linotype"/>
        </w:rPr>
        <w:t>105</w:t>
      </w:r>
      <w:r w:rsidR="00471D50">
        <w:rPr>
          <w:rFonts w:ascii="Palatino Linotype" w:hAnsi="Palatino Linotype"/>
        </w:rPr>
        <w:t xml:space="preserve"> per county and Years Two and Three costs of $1,000 per year per county, which </w:t>
      </w:r>
      <w:r w:rsidR="00E74C78">
        <w:rPr>
          <w:rFonts w:ascii="Palatino Linotype" w:hAnsi="Palatino Linotype"/>
        </w:rPr>
        <w:t>are</w:t>
      </w:r>
      <w:r w:rsidR="00471D50">
        <w:rPr>
          <w:rFonts w:ascii="Palatino Linotype" w:hAnsi="Palatino Linotype"/>
        </w:rPr>
        <w:t xml:space="preserve"> covered by SB 1212 funds. Post</w:t>
      </w:r>
      <w:r w:rsidR="00E15330">
        <w:rPr>
          <w:rFonts w:ascii="Palatino Linotype" w:hAnsi="Palatino Linotype"/>
        </w:rPr>
        <w:t>-</w:t>
      </w:r>
      <w:r w:rsidR="00471D50">
        <w:rPr>
          <w:rFonts w:ascii="Palatino Linotype" w:hAnsi="Palatino Linotype"/>
        </w:rPr>
        <w:t xml:space="preserve">implementation costs for </w:t>
      </w:r>
      <w:r w:rsidR="00371517">
        <w:rPr>
          <w:rFonts w:ascii="Palatino Linotype" w:hAnsi="Palatino Linotype"/>
        </w:rPr>
        <w:t xml:space="preserve">Years Four and Five </w:t>
      </w:r>
      <w:r w:rsidR="00471D50">
        <w:rPr>
          <w:rFonts w:ascii="Palatino Linotype" w:hAnsi="Palatino Linotype"/>
        </w:rPr>
        <w:t xml:space="preserve">will be $1,000 </w:t>
      </w:r>
      <w:r w:rsidR="00E15330">
        <w:rPr>
          <w:rFonts w:ascii="Palatino Linotype" w:hAnsi="Palatino Linotype"/>
        </w:rPr>
        <w:t>per year per county, paid for by participating counties.</w:t>
      </w:r>
    </w:p>
    <w:p w:rsidR="00646962" w:rsidP="0046140E" w:rsidRDefault="00646962" w14:paraId="629BD330" w14:textId="4A1B637D">
      <w:pPr>
        <w:tabs>
          <w:tab w:val="right" w:pos="10080"/>
        </w:tabs>
        <w:rPr>
          <w:rFonts w:ascii="Palatino Linotype" w:hAnsi="Palatino Linotype"/>
        </w:rPr>
      </w:pPr>
    </w:p>
    <w:p w:rsidR="00646962" w:rsidP="0046140E" w:rsidRDefault="00646962" w14:paraId="17C48D9A" w14:textId="482DB933">
      <w:pPr>
        <w:tabs>
          <w:tab w:val="right" w:pos="10080"/>
        </w:tabs>
        <w:rPr>
          <w:rFonts w:ascii="Palatino Linotype" w:hAnsi="Palatino Linotype"/>
        </w:rPr>
      </w:pPr>
      <w:r>
        <w:rPr>
          <w:rFonts w:ascii="Palatino Linotype" w:hAnsi="Palatino Linotype"/>
        </w:rPr>
        <w:t xml:space="preserve">Interface provides 2-way texting and designs and manages text messaging campaigns </w:t>
      </w:r>
      <w:r w:rsidR="0035300D">
        <w:rPr>
          <w:rFonts w:ascii="Palatino Linotype" w:hAnsi="Palatino Linotype"/>
        </w:rPr>
        <w:t>using various</w:t>
      </w:r>
      <w:r>
        <w:rPr>
          <w:rFonts w:ascii="Palatino Linotype" w:hAnsi="Palatino Linotype"/>
        </w:rPr>
        <w:t xml:space="preserve"> platform</w:t>
      </w:r>
      <w:r w:rsidR="00561FC8">
        <w:rPr>
          <w:rFonts w:ascii="Palatino Linotype" w:hAnsi="Palatino Linotype"/>
        </w:rPr>
        <w:t>s</w:t>
      </w:r>
      <w:r>
        <w:rPr>
          <w:rFonts w:ascii="Palatino Linotype" w:hAnsi="Palatino Linotype"/>
        </w:rPr>
        <w:t>.</w:t>
      </w:r>
      <w:r w:rsidRPr="00900C8F">
        <w:rPr>
          <w:rFonts w:ascii="Palatino Linotype" w:hAnsi="Palatino Linotype"/>
        </w:rPr>
        <w:t xml:space="preserve"> </w:t>
      </w:r>
      <w:r>
        <w:rPr>
          <w:rFonts w:ascii="Palatino Linotype" w:hAnsi="Palatino Linotype"/>
        </w:rPr>
        <w:t>These systems will be used in counties participating in disaster 2</w:t>
      </w:r>
      <w:r w:rsidR="00951AF1">
        <w:rPr>
          <w:rFonts w:ascii="Palatino Linotype" w:hAnsi="Palatino Linotype"/>
        </w:rPr>
        <w:noBreakHyphen/>
      </w:r>
      <w:r>
        <w:rPr>
          <w:rFonts w:ascii="Palatino Linotype" w:hAnsi="Palatino Linotype"/>
        </w:rPr>
        <w:t>1</w:t>
      </w:r>
      <w:r w:rsidR="00951AF1">
        <w:rPr>
          <w:rFonts w:ascii="Palatino Linotype" w:hAnsi="Palatino Linotype"/>
        </w:rPr>
        <w:noBreakHyphen/>
      </w:r>
      <w:r>
        <w:rPr>
          <w:rFonts w:ascii="Palatino Linotype" w:hAnsi="Palatino Linotype"/>
        </w:rPr>
        <w:t xml:space="preserve">1. </w:t>
      </w:r>
      <w:r w:rsidR="00471D50">
        <w:rPr>
          <w:rFonts w:ascii="Palatino Linotype" w:hAnsi="Palatino Linotype"/>
        </w:rPr>
        <w:t xml:space="preserve">Interface has stated that there will be a three-year contract for </w:t>
      </w:r>
      <w:r w:rsidR="00561FC8">
        <w:rPr>
          <w:rFonts w:ascii="Palatino Linotype" w:hAnsi="Palatino Linotype"/>
        </w:rPr>
        <w:t>texting platforms</w:t>
      </w:r>
      <w:r w:rsidR="00471D50">
        <w:rPr>
          <w:rFonts w:ascii="Palatino Linotype" w:hAnsi="Palatino Linotype"/>
        </w:rPr>
        <w:t xml:space="preserve"> with Year One costs of $</w:t>
      </w:r>
      <w:r w:rsidR="00561FC8">
        <w:rPr>
          <w:rFonts w:ascii="Palatino Linotype" w:hAnsi="Palatino Linotype"/>
        </w:rPr>
        <w:t>1,</w:t>
      </w:r>
      <w:r w:rsidR="00471D50">
        <w:rPr>
          <w:rFonts w:ascii="Palatino Linotype" w:hAnsi="Palatino Linotype"/>
        </w:rPr>
        <w:t xml:space="preserve">500 per county and Years Two and Three costs of $1,000 per year per county, </w:t>
      </w:r>
      <w:r w:rsidR="0035300D">
        <w:rPr>
          <w:rFonts w:ascii="Palatino Linotype" w:hAnsi="Palatino Linotype"/>
        </w:rPr>
        <w:t>all</w:t>
      </w:r>
      <w:r w:rsidR="00471D50">
        <w:rPr>
          <w:rFonts w:ascii="Palatino Linotype" w:hAnsi="Palatino Linotype"/>
        </w:rPr>
        <w:t xml:space="preserve"> covered by SB 1212 funds. Post</w:t>
      </w:r>
      <w:r w:rsidR="00E15330">
        <w:rPr>
          <w:rFonts w:ascii="Palatino Linotype" w:hAnsi="Palatino Linotype"/>
        </w:rPr>
        <w:t>-</w:t>
      </w:r>
      <w:r w:rsidR="00471D50">
        <w:rPr>
          <w:rFonts w:ascii="Palatino Linotype" w:hAnsi="Palatino Linotype"/>
        </w:rPr>
        <w:t xml:space="preserve">implementation costs for </w:t>
      </w:r>
      <w:r w:rsidR="00371517">
        <w:rPr>
          <w:rFonts w:ascii="Palatino Linotype" w:hAnsi="Palatino Linotype"/>
        </w:rPr>
        <w:t xml:space="preserve">Years Four and Five </w:t>
      </w:r>
      <w:r w:rsidR="00471D50">
        <w:rPr>
          <w:rFonts w:ascii="Palatino Linotype" w:hAnsi="Palatino Linotype"/>
        </w:rPr>
        <w:t xml:space="preserve">will be $1,000 </w:t>
      </w:r>
      <w:r w:rsidR="00E15330">
        <w:rPr>
          <w:rFonts w:ascii="Palatino Linotype" w:hAnsi="Palatino Linotype"/>
        </w:rPr>
        <w:t>per year per county, paid for by participating counties.</w:t>
      </w:r>
    </w:p>
    <w:p w:rsidR="00244ACA" w:rsidP="0046140E" w:rsidRDefault="00244ACA" w14:paraId="1C92E89A" w14:textId="4CE36518">
      <w:pPr>
        <w:tabs>
          <w:tab w:val="right" w:pos="10080"/>
        </w:tabs>
        <w:rPr>
          <w:rFonts w:ascii="Palatino Linotype" w:hAnsi="Palatino Linotype"/>
        </w:rPr>
      </w:pPr>
    </w:p>
    <w:p w:rsidR="00480CB6" w:rsidP="0046140E" w:rsidRDefault="00244ACA" w14:paraId="41818FE2" w14:textId="36567BA0">
      <w:pPr>
        <w:tabs>
          <w:tab w:val="right" w:pos="10080"/>
        </w:tabs>
        <w:rPr>
          <w:rFonts w:ascii="Palatino Linotype" w:hAnsi="Palatino Linotype"/>
        </w:rPr>
      </w:pPr>
      <w:r>
        <w:rPr>
          <w:rFonts w:ascii="Palatino Linotype" w:hAnsi="Palatino Linotype"/>
        </w:rPr>
        <w:t xml:space="preserve">Interface </w:t>
      </w:r>
      <w:r w:rsidR="003C4F2B">
        <w:rPr>
          <w:rFonts w:ascii="Palatino Linotype" w:hAnsi="Palatino Linotype"/>
        </w:rPr>
        <w:t xml:space="preserve">proposes </w:t>
      </w:r>
      <w:r>
        <w:rPr>
          <w:rFonts w:ascii="Palatino Linotype" w:hAnsi="Palatino Linotype"/>
        </w:rPr>
        <w:t xml:space="preserve">a mobile-enabled hosted website that allows the public to access available disaster/emergency/recovery resources and to search </w:t>
      </w:r>
      <w:r w:rsidR="00951AF1">
        <w:rPr>
          <w:rFonts w:ascii="Palatino Linotype" w:hAnsi="Palatino Linotype"/>
        </w:rPr>
        <w:t>s</w:t>
      </w:r>
      <w:r>
        <w:rPr>
          <w:rFonts w:ascii="Palatino Linotype" w:hAnsi="Palatino Linotype"/>
        </w:rPr>
        <w:t xml:space="preserve">tate and </w:t>
      </w:r>
      <w:r w:rsidR="00951AF1">
        <w:rPr>
          <w:rFonts w:ascii="Palatino Linotype" w:hAnsi="Palatino Linotype"/>
        </w:rPr>
        <w:t>n</w:t>
      </w:r>
      <w:r>
        <w:rPr>
          <w:rFonts w:ascii="Palatino Linotype" w:hAnsi="Palatino Linotype"/>
        </w:rPr>
        <w:t>ational database</w:t>
      </w:r>
      <w:r w:rsidR="00951AF1">
        <w:rPr>
          <w:rFonts w:ascii="Palatino Linotype" w:hAnsi="Palatino Linotype"/>
        </w:rPr>
        <w:t>s</w:t>
      </w:r>
      <w:r>
        <w:rPr>
          <w:rFonts w:ascii="Palatino Linotype" w:hAnsi="Palatino Linotype"/>
        </w:rPr>
        <w:t xml:space="preserve">. Information </w:t>
      </w:r>
      <w:r w:rsidR="001645EE">
        <w:rPr>
          <w:rFonts w:ascii="Palatino Linotype" w:hAnsi="Palatino Linotype"/>
        </w:rPr>
        <w:t>will be</w:t>
      </w:r>
      <w:r>
        <w:rPr>
          <w:rFonts w:ascii="Palatino Linotype" w:hAnsi="Palatino Linotype"/>
        </w:rPr>
        <w:t xml:space="preserve"> updated in real time and the site will allow for searches in any language supported by Google Translate, and will </w:t>
      </w:r>
      <w:r w:rsidR="001645EE">
        <w:rPr>
          <w:rFonts w:ascii="Palatino Linotype" w:hAnsi="Palatino Linotype"/>
        </w:rPr>
        <w:t xml:space="preserve">also </w:t>
      </w:r>
      <w:r>
        <w:rPr>
          <w:rFonts w:ascii="Palatino Linotype" w:hAnsi="Palatino Linotype"/>
        </w:rPr>
        <w:t>incorporate a well-tested, intuitive “Guided Search” to assist users who may not know the specific term</w:t>
      </w:r>
      <w:r w:rsidR="001645EE">
        <w:rPr>
          <w:rFonts w:ascii="Palatino Linotype" w:hAnsi="Palatino Linotype"/>
        </w:rPr>
        <w:t xml:space="preserve"> associated with</w:t>
      </w:r>
      <w:r>
        <w:rPr>
          <w:rFonts w:ascii="Palatino Linotype" w:hAnsi="Palatino Linotype"/>
        </w:rPr>
        <w:t xml:space="preserve"> the service that could best help them. The public-facing website</w:t>
      </w:r>
      <w:r w:rsidR="00D72BA1">
        <w:rPr>
          <w:rFonts w:ascii="Palatino Linotype" w:hAnsi="Palatino Linotype"/>
        </w:rPr>
        <w:t>s</w:t>
      </w:r>
      <w:r>
        <w:rPr>
          <w:rFonts w:ascii="Palatino Linotype" w:hAnsi="Palatino Linotype"/>
        </w:rPr>
        <w:t xml:space="preserve"> will be tailored by county or</w:t>
      </w:r>
      <w:r w:rsidR="00480CB6">
        <w:rPr>
          <w:rFonts w:ascii="Palatino Linotype" w:hAnsi="Palatino Linotype"/>
        </w:rPr>
        <w:t xml:space="preserve"> group of counties as agreed </w:t>
      </w:r>
      <w:r>
        <w:rPr>
          <w:rFonts w:ascii="Palatino Linotype" w:hAnsi="Palatino Linotype"/>
        </w:rPr>
        <w:t xml:space="preserve">between the counties and Interface. </w:t>
      </w:r>
      <w:r w:rsidR="00951AF1">
        <w:rPr>
          <w:rFonts w:ascii="Palatino Linotype" w:hAnsi="Palatino Linotype"/>
        </w:rPr>
        <w:t xml:space="preserve">Interface has stated that there will be a three-year contract for </w:t>
      </w:r>
      <w:r w:rsidR="001645EE">
        <w:rPr>
          <w:rFonts w:ascii="Palatino Linotype" w:hAnsi="Palatino Linotype"/>
        </w:rPr>
        <w:t xml:space="preserve">the website </w:t>
      </w:r>
      <w:r w:rsidR="00951AF1">
        <w:rPr>
          <w:rFonts w:ascii="Palatino Linotype" w:hAnsi="Palatino Linotype"/>
        </w:rPr>
        <w:t>with Year One costs of $</w:t>
      </w:r>
      <w:r w:rsidR="001645EE">
        <w:rPr>
          <w:rFonts w:ascii="Palatino Linotype" w:hAnsi="Palatino Linotype"/>
        </w:rPr>
        <w:t>1,</w:t>
      </w:r>
      <w:r w:rsidR="00951AF1">
        <w:rPr>
          <w:rFonts w:ascii="Palatino Linotype" w:hAnsi="Palatino Linotype"/>
        </w:rPr>
        <w:t xml:space="preserve">500 per county and Years Two and Three costs of $1,000 per year per county, which </w:t>
      </w:r>
      <w:r w:rsidR="00E74C78">
        <w:rPr>
          <w:rFonts w:ascii="Palatino Linotype" w:hAnsi="Palatino Linotype"/>
        </w:rPr>
        <w:t>are</w:t>
      </w:r>
      <w:r w:rsidR="00951AF1">
        <w:rPr>
          <w:rFonts w:ascii="Palatino Linotype" w:hAnsi="Palatino Linotype"/>
        </w:rPr>
        <w:t xml:space="preserve"> covered by SB 1212 funds. Post</w:t>
      </w:r>
      <w:r w:rsidR="00E74C78">
        <w:rPr>
          <w:rFonts w:ascii="Palatino Linotype" w:hAnsi="Palatino Linotype"/>
        </w:rPr>
        <w:t>-</w:t>
      </w:r>
      <w:r w:rsidR="00951AF1">
        <w:rPr>
          <w:rFonts w:ascii="Palatino Linotype" w:hAnsi="Palatino Linotype"/>
        </w:rPr>
        <w:t xml:space="preserve">implementation costs for </w:t>
      </w:r>
      <w:r w:rsidR="00371517">
        <w:rPr>
          <w:rFonts w:ascii="Palatino Linotype" w:hAnsi="Palatino Linotype"/>
        </w:rPr>
        <w:t xml:space="preserve">Years Four and Five </w:t>
      </w:r>
      <w:r w:rsidR="00951AF1">
        <w:rPr>
          <w:rFonts w:ascii="Palatino Linotype" w:hAnsi="Palatino Linotype"/>
        </w:rPr>
        <w:t xml:space="preserve">will be $1,000 </w:t>
      </w:r>
      <w:r w:rsidR="00E74C78">
        <w:rPr>
          <w:rFonts w:ascii="Palatino Linotype" w:hAnsi="Palatino Linotype"/>
        </w:rPr>
        <w:t>per year per county, paid for by participating counties.</w:t>
      </w:r>
    </w:p>
    <w:p w:rsidR="00E74C78" w:rsidP="0046140E" w:rsidRDefault="00E74C78" w14:paraId="65DA5AD5" w14:textId="77777777">
      <w:pPr>
        <w:tabs>
          <w:tab w:val="right" w:pos="10080"/>
        </w:tabs>
        <w:rPr>
          <w:rFonts w:ascii="Palatino Linotype" w:hAnsi="Palatino Linotype"/>
        </w:rPr>
      </w:pPr>
    </w:p>
    <w:p w:rsidR="00480CB6" w:rsidP="0046140E" w:rsidRDefault="00480CB6" w14:paraId="7410485E" w14:textId="45B79D52">
      <w:pPr>
        <w:tabs>
          <w:tab w:val="right" w:pos="10080"/>
        </w:tabs>
        <w:rPr>
          <w:rFonts w:ascii="Palatino Linotype" w:hAnsi="Palatino Linotype"/>
        </w:rPr>
      </w:pPr>
      <w:r>
        <w:rPr>
          <w:rFonts w:ascii="Palatino Linotype" w:hAnsi="Palatino Linotype"/>
        </w:rPr>
        <w:t>Interface states</w:t>
      </w:r>
      <w:r w:rsidR="003C4F2B">
        <w:rPr>
          <w:rFonts w:ascii="Palatino Linotype" w:hAnsi="Palatino Linotype"/>
        </w:rPr>
        <w:t xml:space="preserve"> that</w:t>
      </w:r>
      <w:r>
        <w:rPr>
          <w:rFonts w:ascii="Palatino Linotype" w:hAnsi="Palatino Linotype"/>
        </w:rPr>
        <w:t xml:space="preserve"> in </w:t>
      </w:r>
      <w:r w:rsidR="00C977AB">
        <w:rPr>
          <w:rFonts w:ascii="Palatino Linotype" w:hAnsi="Palatino Linotype"/>
        </w:rPr>
        <w:t xml:space="preserve">Year </w:t>
      </w:r>
      <w:r w:rsidR="00F93DD0">
        <w:rPr>
          <w:rFonts w:ascii="Palatino Linotype" w:hAnsi="Palatino Linotype"/>
        </w:rPr>
        <w:t>One</w:t>
      </w:r>
      <w:r w:rsidR="00C977AB">
        <w:rPr>
          <w:rFonts w:ascii="Palatino Linotype" w:hAnsi="Palatino Linotype"/>
        </w:rPr>
        <w:t xml:space="preserve"> of disaster 2-1-1 implementation</w:t>
      </w:r>
      <w:r>
        <w:rPr>
          <w:rFonts w:ascii="Palatino Linotype" w:hAnsi="Palatino Linotype"/>
        </w:rPr>
        <w:t xml:space="preserve">, setup activities will include </w:t>
      </w:r>
      <w:r w:rsidR="00C977AB">
        <w:rPr>
          <w:rFonts w:ascii="Palatino Linotype" w:hAnsi="Palatino Linotype"/>
        </w:rPr>
        <w:t xml:space="preserve">monthly call/webinar meetings with each county to discuss strategy and </w:t>
      </w:r>
      <w:r w:rsidR="00C977AB">
        <w:rPr>
          <w:rFonts w:ascii="Palatino Linotype" w:hAnsi="Palatino Linotype"/>
        </w:rPr>
        <w:lastRenderedPageBreak/>
        <w:t xml:space="preserve">progress. Interface will host in-person training sessions to introduce county staff to the 2-1-1 systems. </w:t>
      </w:r>
      <w:r w:rsidR="005F22C4">
        <w:rPr>
          <w:rFonts w:ascii="Palatino Linotype" w:hAnsi="Palatino Linotype"/>
        </w:rPr>
        <w:t xml:space="preserve">Interface states that training and preparedness activity costs in Year </w:t>
      </w:r>
      <w:r w:rsidR="00371517">
        <w:rPr>
          <w:rFonts w:ascii="Palatino Linotype" w:hAnsi="Palatino Linotype"/>
        </w:rPr>
        <w:t>One will be $2,105 per county</w:t>
      </w:r>
      <w:r w:rsidR="005F22C4">
        <w:rPr>
          <w:rFonts w:ascii="Palatino Linotype" w:hAnsi="Palatino Linotype"/>
        </w:rPr>
        <w:t xml:space="preserve">, </w:t>
      </w:r>
      <w:r w:rsidR="00F93DD0">
        <w:rPr>
          <w:rFonts w:ascii="Palatino Linotype" w:hAnsi="Palatino Linotype"/>
        </w:rPr>
        <w:t xml:space="preserve">and </w:t>
      </w:r>
      <w:r w:rsidR="005F22C4">
        <w:rPr>
          <w:rFonts w:ascii="Palatino Linotype" w:hAnsi="Palatino Linotype"/>
        </w:rPr>
        <w:t xml:space="preserve">in </w:t>
      </w:r>
      <w:r w:rsidR="004C67E4">
        <w:rPr>
          <w:rFonts w:ascii="Palatino Linotype" w:hAnsi="Palatino Linotype"/>
        </w:rPr>
        <w:t xml:space="preserve">Years </w:t>
      </w:r>
      <w:r w:rsidR="00371517">
        <w:rPr>
          <w:rFonts w:ascii="Palatino Linotype" w:hAnsi="Palatino Linotype"/>
        </w:rPr>
        <w:t xml:space="preserve">Two and Three </w:t>
      </w:r>
      <w:r w:rsidR="005F22C4">
        <w:rPr>
          <w:rFonts w:ascii="Palatino Linotype" w:hAnsi="Palatino Linotype"/>
        </w:rPr>
        <w:t>$</w:t>
      </w:r>
      <w:r w:rsidR="00371517">
        <w:rPr>
          <w:rFonts w:ascii="Palatino Linotype" w:hAnsi="Palatino Linotype"/>
        </w:rPr>
        <w:t>1,000 per year per county</w:t>
      </w:r>
      <w:r w:rsidR="00C866E1">
        <w:rPr>
          <w:rFonts w:ascii="Palatino Linotype" w:hAnsi="Palatino Linotype"/>
        </w:rPr>
        <w:t>, all covered by SB 1212 funds</w:t>
      </w:r>
      <w:r w:rsidR="00371517">
        <w:rPr>
          <w:rFonts w:ascii="Palatino Linotype" w:hAnsi="Palatino Linotype"/>
        </w:rPr>
        <w:t>.</w:t>
      </w:r>
    </w:p>
    <w:p w:rsidR="00413EF9" w:rsidP="0046140E" w:rsidRDefault="00413EF9" w14:paraId="18544708" w14:textId="7435AE62">
      <w:pPr>
        <w:tabs>
          <w:tab w:val="right" w:pos="10080"/>
        </w:tabs>
        <w:rPr>
          <w:rFonts w:ascii="Palatino Linotype" w:hAnsi="Palatino Linotype"/>
        </w:rPr>
      </w:pPr>
    </w:p>
    <w:p w:rsidR="00413EF9" w:rsidP="0046140E" w:rsidRDefault="00413EF9" w14:paraId="4A6FD372" w14:textId="7FD7DD03">
      <w:pPr>
        <w:tabs>
          <w:tab w:val="right" w:pos="10080"/>
        </w:tabs>
        <w:rPr>
          <w:rFonts w:ascii="Palatino Linotype" w:hAnsi="Palatino Linotype"/>
        </w:rPr>
      </w:pPr>
      <w:r>
        <w:rPr>
          <w:rFonts w:ascii="Palatino Linotype" w:hAnsi="Palatino Linotype"/>
        </w:rPr>
        <w:t xml:space="preserve">Interface </w:t>
      </w:r>
      <w:r w:rsidR="00DE6716">
        <w:rPr>
          <w:rFonts w:ascii="Palatino Linotype" w:hAnsi="Palatino Linotype"/>
        </w:rPr>
        <w:t>proposes</w:t>
      </w:r>
      <w:r w:rsidR="00443004">
        <w:rPr>
          <w:rFonts w:ascii="Palatino Linotype" w:hAnsi="Palatino Linotype"/>
        </w:rPr>
        <w:t xml:space="preserve"> marketing </w:t>
      </w:r>
      <w:r w:rsidR="00463B3E">
        <w:rPr>
          <w:rFonts w:ascii="Palatino Linotype" w:hAnsi="Palatino Linotype"/>
        </w:rPr>
        <w:t xml:space="preserve">and consumer education </w:t>
      </w:r>
      <w:r w:rsidR="00443004">
        <w:rPr>
          <w:rFonts w:ascii="Palatino Linotype" w:hAnsi="Palatino Linotype"/>
        </w:rPr>
        <w:t>expenses to increase awareness</w:t>
      </w:r>
      <w:r w:rsidR="00FF41C6">
        <w:rPr>
          <w:rFonts w:ascii="Palatino Linotype" w:hAnsi="Palatino Linotype"/>
        </w:rPr>
        <w:t xml:space="preserve"> </w:t>
      </w:r>
      <w:r w:rsidR="00443004">
        <w:rPr>
          <w:rFonts w:ascii="Palatino Linotype" w:hAnsi="Palatino Linotype"/>
        </w:rPr>
        <w:t>of</w:t>
      </w:r>
      <w:r w:rsidR="00FF41C6">
        <w:rPr>
          <w:rFonts w:ascii="Palatino Linotype" w:hAnsi="Palatino Linotype"/>
        </w:rPr>
        <w:t xml:space="preserve"> disaster 2-1-1 service in the</w:t>
      </w:r>
      <w:r w:rsidR="00443004">
        <w:rPr>
          <w:rFonts w:ascii="Palatino Linotype" w:hAnsi="Palatino Linotype"/>
        </w:rPr>
        <w:t xml:space="preserve"> currently unserved counties. This allows local agencies and residents to </w:t>
      </w:r>
      <w:r w:rsidR="00A432D5">
        <w:rPr>
          <w:rFonts w:ascii="Palatino Linotype" w:hAnsi="Palatino Linotype"/>
        </w:rPr>
        <w:t>learn about disaster 2-1-1 dialing and its bene</w:t>
      </w:r>
      <w:r w:rsidR="0085062F">
        <w:rPr>
          <w:rFonts w:ascii="Palatino Linotype" w:hAnsi="Palatino Linotype"/>
        </w:rPr>
        <w:t>f</w:t>
      </w:r>
      <w:r w:rsidR="00A432D5">
        <w:rPr>
          <w:rFonts w:ascii="Palatino Linotype" w:hAnsi="Palatino Linotype"/>
        </w:rPr>
        <w:t xml:space="preserve">its before a disaster hits, maximizing the effectiveness of the 2-1-1 system. </w:t>
      </w:r>
      <w:r w:rsidR="00A912EE">
        <w:rPr>
          <w:rFonts w:ascii="Palatino Linotype" w:hAnsi="Palatino Linotype"/>
        </w:rPr>
        <w:t>M</w:t>
      </w:r>
      <w:r w:rsidR="00A432D5">
        <w:rPr>
          <w:rFonts w:ascii="Palatino Linotype" w:hAnsi="Palatino Linotype"/>
        </w:rPr>
        <w:t xml:space="preserve">arketing </w:t>
      </w:r>
      <w:r w:rsidR="00A912EE">
        <w:rPr>
          <w:rFonts w:ascii="Palatino Linotype" w:hAnsi="Palatino Linotype"/>
        </w:rPr>
        <w:t xml:space="preserve">and consumer education </w:t>
      </w:r>
      <w:r w:rsidR="00A432D5">
        <w:rPr>
          <w:rFonts w:ascii="Palatino Linotype" w:hAnsi="Palatino Linotype"/>
        </w:rPr>
        <w:t xml:space="preserve">expenses in Years </w:t>
      </w:r>
      <w:r w:rsidR="007C3A05">
        <w:rPr>
          <w:rFonts w:ascii="Palatino Linotype" w:hAnsi="Palatino Linotype"/>
        </w:rPr>
        <w:t>One</w:t>
      </w:r>
      <w:r w:rsidR="00A432D5">
        <w:rPr>
          <w:rFonts w:ascii="Palatino Linotype" w:hAnsi="Palatino Linotype"/>
        </w:rPr>
        <w:t xml:space="preserve"> through </w:t>
      </w:r>
      <w:r w:rsidR="007C3A05">
        <w:rPr>
          <w:rFonts w:ascii="Palatino Linotype" w:hAnsi="Palatino Linotype"/>
        </w:rPr>
        <w:t>Three</w:t>
      </w:r>
      <w:r w:rsidR="00A432D5">
        <w:rPr>
          <w:rFonts w:ascii="Palatino Linotype" w:hAnsi="Palatino Linotype"/>
        </w:rPr>
        <w:t xml:space="preserve"> will be $2,500 per year per county.</w:t>
      </w:r>
    </w:p>
    <w:p w:rsidR="00C87708" w:rsidP="00C45B64" w:rsidRDefault="00C87708" w14:paraId="144911A3" w14:textId="77777777">
      <w:pPr>
        <w:tabs>
          <w:tab w:val="right" w:pos="10080"/>
        </w:tabs>
        <w:jc w:val="both"/>
        <w:rPr>
          <w:rFonts w:ascii="Palatino Linotype" w:hAnsi="Palatino Linotype"/>
        </w:rPr>
      </w:pPr>
    </w:p>
    <w:tbl>
      <w:tblPr>
        <w:tblStyle w:val="TableGrid"/>
        <w:tblW w:w="9367" w:type="dxa"/>
        <w:tblInd w:w="108" w:type="dxa"/>
        <w:tblLayout w:type="fixed"/>
        <w:tblLook w:val="04A0" w:firstRow="1" w:lastRow="0" w:firstColumn="1" w:lastColumn="0" w:noHBand="0" w:noVBand="1"/>
      </w:tblPr>
      <w:tblGrid>
        <w:gridCol w:w="3667"/>
        <w:gridCol w:w="1140"/>
        <w:gridCol w:w="1140"/>
        <w:gridCol w:w="1140"/>
        <w:gridCol w:w="1140"/>
        <w:gridCol w:w="1140"/>
      </w:tblGrid>
      <w:tr w:rsidR="00D42112" w:rsidTr="00D42112" w14:paraId="026782B8" w14:textId="1ADDEC04">
        <w:tc>
          <w:tcPr>
            <w:tcW w:w="3667" w:type="dxa"/>
            <w:shd w:val="clear" w:color="auto" w:fill="AEAAAA"/>
          </w:tcPr>
          <w:p w:rsidRPr="00334A5A" w:rsidR="00D42112" w:rsidP="007B3E60" w:rsidRDefault="00D42112" w14:paraId="3633495A" w14:textId="358CEB9E">
            <w:pPr>
              <w:tabs>
                <w:tab w:val="right" w:pos="10080"/>
              </w:tabs>
              <w:rPr>
                <w:rFonts w:ascii="Palatino Linotype" w:hAnsi="Palatino Linotype"/>
                <w:b/>
                <w:bCs/>
              </w:rPr>
            </w:pPr>
            <w:r w:rsidRPr="00334A5A">
              <w:rPr>
                <w:rFonts w:ascii="Palatino Linotype" w:hAnsi="Palatino Linotype"/>
                <w:b/>
                <w:bCs/>
              </w:rPr>
              <w:t>Expenses per county</w:t>
            </w:r>
            <w:r w:rsidR="007B3E60">
              <w:rPr>
                <w:rFonts w:ascii="Palatino Linotype" w:hAnsi="Palatino Linotype"/>
                <w:b/>
                <w:bCs/>
              </w:rPr>
              <w:t xml:space="preserve"> for disaster 2-1-1</w:t>
            </w:r>
          </w:p>
        </w:tc>
        <w:tc>
          <w:tcPr>
            <w:tcW w:w="1140" w:type="dxa"/>
            <w:shd w:val="clear" w:color="auto" w:fill="AEAAAA"/>
          </w:tcPr>
          <w:p w:rsidR="00D42112" w:rsidP="003561AE" w:rsidRDefault="00D42112" w14:paraId="20CD8761" w14:textId="07CF5CB3">
            <w:pPr>
              <w:tabs>
                <w:tab w:val="left" w:pos="151"/>
                <w:tab w:val="right" w:pos="10080"/>
              </w:tabs>
              <w:ind w:left="166" w:hanging="166"/>
              <w:jc w:val="center"/>
              <w:rPr>
                <w:rFonts w:ascii="Palatino Linotype" w:hAnsi="Palatino Linotype"/>
                <w:b/>
                <w:bCs/>
              </w:rPr>
            </w:pPr>
            <w:r w:rsidRPr="00334A5A">
              <w:rPr>
                <w:rFonts w:ascii="Palatino Linotype" w:hAnsi="Palatino Linotype"/>
                <w:b/>
                <w:bCs/>
              </w:rPr>
              <w:t>Setup</w:t>
            </w:r>
            <w:r>
              <w:rPr>
                <w:rFonts w:ascii="Palatino Linotype" w:hAnsi="Palatino Linotype"/>
                <w:b/>
                <w:bCs/>
              </w:rPr>
              <w:t>,</w:t>
            </w:r>
          </w:p>
          <w:p w:rsidRPr="00334A5A" w:rsidR="00D42112" w:rsidP="003561AE" w:rsidRDefault="00D42112" w14:paraId="6891D1B7" w14:textId="36597440">
            <w:pPr>
              <w:tabs>
                <w:tab w:val="left" w:pos="151"/>
                <w:tab w:val="right" w:pos="10080"/>
              </w:tabs>
              <w:ind w:left="166" w:hanging="166"/>
              <w:jc w:val="center"/>
              <w:rPr>
                <w:rFonts w:ascii="Palatino Linotype" w:hAnsi="Palatino Linotype"/>
                <w:b/>
                <w:bCs/>
              </w:rPr>
            </w:pPr>
            <w:r w:rsidRPr="00334A5A">
              <w:rPr>
                <w:rFonts w:ascii="Palatino Linotype" w:hAnsi="Palatino Linotype"/>
                <w:b/>
                <w:bCs/>
              </w:rPr>
              <w:t>Year 1</w:t>
            </w:r>
          </w:p>
        </w:tc>
        <w:tc>
          <w:tcPr>
            <w:tcW w:w="1140" w:type="dxa"/>
            <w:shd w:val="clear" w:color="auto" w:fill="AEAAAA"/>
          </w:tcPr>
          <w:p w:rsidRPr="00334A5A" w:rsidR="00D42112" w:rsidP="003561AE" w:rsidRDefault="00D42112" w14:paraId="3D275962" w14:textId="6ED16602">
            <w:pPr>
              <w:tabs>
                <w:tab w:val="left" w:pos="151"/>
                <w:tab w:val="right" w:pos="10080"/>
              </w:tabs>
              <w:jc w:val="center"/>
              <w:rPr>
                <w:rFonts w:ascii="Palatino Linotype" w:hAnsi="Palatino Linotype"/>
                <w:b/>
                <w:bCs/>
              </w:rPr>
            </w:pPr>
            <w:r w:rsidRPr="00334A5A">
              <w:rPr>
                <w:rFonts w:ascii="Palatino Linotype" w:hAnsi="Palatino Linotype"/>
                <w:b/>
                <w:bCs/>
              </w:rPr>
              <w:t>Year 2</w:t>
            </w:r>
          </w:p>
        </w:tc>
        <w:tc>
          <w:tcPr>
            <w:tcW w:w="1140" w:type="dxa"/>
            <w:shd w:val="clear" w:color="auto" w:fill="AEAAAA" w:themeFill="background2" w:themeFillShade="BF"/>
          </w:tcPr>
          <w:p w:rsidRPr="00334A5A" w:rsidR="00D42112" w:rsidP="003561AE" w:rsidRDefault="00D42112" w14:paraId="299CE0C4" w14:textId="28130A75">
            <w:pPr>
              <w:tabs>
                <w:tab w:val="left" w:pos="151"/>
                <w:tab w:val="right" w:pos="10080"/>
              </w:tabs>
              <w:jc w:val="center"/>
              <w:rPr>
                <w:rFonts w:ascii="Palatino Linotype" w:hAnsi="Palatino Linotype"/>
                <w:b/>
                <w:bCs/>
              </w:rPr>
            </w:pPr>
            <w:r w:rsidRPr="00334A5A">
              <w:rPr>
                <w:rFonts w:ascii="Palatino Linotype" w:hAnsi="Palatino Linotype"/>
                <w:b/>
                <w:bCs/>
              </w:rPr>
              <w:t>Year 3</w:t>
            </w:r>
          </w:p>
        </w:tc>
        <w:tc>
          <w:tcPr>
            <w:tcW w:w="1140" w:type="dxa"/>
            <w:shd w:val="clear" w:color="auto" w:fill="AEAAAA" w:themeFill="background2" w:themeFillShade="BF"/>
          </w:tcPr>
          <w:p w:rsidRPr="00334A5A" w:rsidR="00D42112" w:rsidP="00D42112" w:rsidRDefault="00D42112" w14:paraId="631E8DC5" w14:textId="504EBEB0">
            <w:pPr>
              <w:pStyle w:val="info-detail"/>
              <w:jc w:val="center"/>
              <w:rPr>
                <w:rFonts w:ascii="Palatino Linotype" w:hAnsi="Palatino Linotype"/>
                <w:b/>
                <w:bCs/>
              </w:rPr>
            </w:pPr>
            <w:r>
              <w:rPr>
                <w:rFonts w:ascii="Palatino Linotype" w:hAnsi="Palatino Linotype"/>
                <w:b/>
                <w:bCs/>
              </w:rPr>
              <w:t>Year 4</w:t>
            </w:r>
            <w:r w:rsidR="00CE307A">
              <w:rPr>
                <w:rStyle w:val="FootnoteReference"/>
                <w:rFonts w:ascii="Palatino Linotype" w:hAnsi="Palatino Linotype"/>
                <w:b/>
                <w:bCs/>
              </w:rPr>
              <w:footnoteReference w:id="13"/>
            </w:r>
          </w:p>
        </w:tc>
        <w:tc>
          <w:tcPr>
            <w:tcW w:w="1140" w:type="dxa"/>
            <w:shd w:val="clear" w:color="auto" w:fill="AEAAAA" w:themeFill="background2" w:themeFillShade="BF"/>
          </w:tcPr>
          <w:p w:rsidRPr="00CE307A" w:rsidR="00D42112" w:rsidP="00D42112" w:rsidRDefault="00D42112" w14:paraId="4EB408DA" w14:textId="249D47F2">
            <w:pPr>
              <w:tabs>
                <w:tab w:val="left" w:pos="151"/>
                <w:tab w:val="right" w:pos="10080"/>
              </w:tabs>
              <w:jc w:val="center"/>
              <w:rPr>
                <w:rFonts w:ascii="Palatino Linotype" w:hAnsi="Palatino Linotype"/>
                <w:b/>
                <w:bCs/>
                <w:vertAlign w:val="superscript"/>
              </w:rPr>
            </w:pPr>
            <w:r>
              <w:rPr>
                <w:rFonts w:ascii="Palatino Linotype" w:hAnsi="Palatino Linotype"/>
                <w:b/>
                <w:bCs/>
              </w:rPr>
              <w:t>Year 5</w:t>
            </w:r>
            <w:r w:rsidR="00CE307A">
              <w:rPr>
                <w:rFonts w:ascii="Palatino Linotype" w:hAnsi="Palatino Linotype"/>
                <w:b/>
                <w:bCs/>
                <w:vertAlign w:val="superscript"/>
              </w:rPr>
              <w:t>12</w:t>
            </w:r>
          </w:p>
        </w:tc>
      </w:tr>
      <w:tr w:rsidR="00D42112" w:rsidTr="00D42112" w14:paraId="30391E0B" w14:textId="6BC48442">
        <w:tc>
          <w:tcPr>
            <w:tcW w:w="3667" w:type="dxa"/>
          </w:tcPr>
          <w:p w:rsidR="00D42112" w:rsidP="00D42112" w:rsidRDefault="00D42112" w14:paraId="526A7A93" w14:textId="63F85E78">
            <w:pPr>
              <w:tabs>
                <w:tab w:val="right" w:pos="10080"/>
              </w:tabs>
              <w:jc w:val="both"/>
              <w:rPr>
                <w:rFonts w:ascii="Palatino Linotype" w:hAnsi="Palatino Linotype"/>
              </w:rPr>
            </w:pPr>
            <w:r>
              <w:rPr>
                <w:rFonts w:ascii="Palatino Linotype" w:hAnsi="Palatino Linotype"/>
              </w:rPr>
              <w:t>Switch translation</w:t>
            </w:r>
          </w:p>
        </w:tc>
        <w:tc>
          <w:tcPr>
            <w:tcW w:w="1140" w:type="dxa"/>
            <w:vAlign w:val="bottom"/>
          </w:tcPr>
          <w:p w:rsidR="00D42112" w:rsidP="00D42112" w:rsidRDefault="00D42112" w14:paraId="59ED3410" w14:textId="4A4CFC7B">
            <w:pPr>
              <w:tabs>
                <w:tab w:val="left" w:pos="151"/>
                <w:tab w:val="right" w:pos="10080"/>
              </w:tabs>
              <w:jc w:val="right"/>
              <w:rPr>
                <w:rFonts w:ascii="Palatino Linotype" w:hAnsi="Palatino Linotype"/>
              </w:rPr>
            </w:pPr>
            <w:r>
              <w:rPr>
                <w:rFonts w:ascii="Palatino Linotype" w:hAnsi="Palatino Linotype"/>
              </w:rPr>
              <w:t>$5,000</w:t>
            </w:r>
          </w:p>
        </w:tc>
        <w:tc>
          <w:tcPr>
            <w:tcW w:w="1140" w:type="dxa"/>
            <w:vAlign w:val="bottom"/>
          </w:tcPr>
          <w:p w:rsidRPr="004E3BBF" w:rsidR="00D42112" w:rsidP="00D42112" w:rsidRDefault="00D42112" w14:paraId="7BF341C5" w14:textId="067EE130">
            <w:pPr>
              <w:jc w:val="right"/>
              <w:rPr>
                <w:rFonts w:ascii="Palatino Linotype" w:hAnsi="Palatino Linotype"/>
              </w:rPr>
            </w:pPr>
            <w:r>
              <w:rPr>
                <w:rStyle w:val="st"/>
              </w:rPr>
              <w:t>—</w:t>
            </w:r>
          </w:p>
        </w:tc>
        <w:tc>
          <w:tcPr>
            <w:tcW w:w="1140" w:type="dxa"/>
            <w:vAlign w:val="bottom"/>
          </w:tcPr>
          <w:p w:rsidR="00D42112" w:rsidP="00D42112" w:rsidRDefault="00D42112" w14:paraId="3E2F1B5A" w14:textId="4C91B47F">
            <w:pPr>
              <w:jc w:val="right"/>
              <w:rPr>
                <w:rFonts w:ascii="Palatino Linotype" w:hAnsi="Palatino Linotype"/>
              </w:rPr>
            </w:pPr>
            <w:r>
              <w:rPr>
                <w:rStyle w:val="st"/>
              </w:rPr>
              <w:t>—</w:t>
            </w:r>
          </w:p>
        </w:tc>
        <w:tc>
          <w:tcPr>
            <w:tcW w:w="1140" w:type="dxa"/>
            <w:vAlign w:val="bottom"/>
          </w:tcPr>
          <w:p w:rsidR="00D42112" w:rsidP="00D42112" w:rsidRDefault="00D42112" w14:paraId="5A8D9E79" w14:textId="5C24FB3C">
            <w:pPr>
              <w:jc w:val="right"/>
              <w:rPr>
                <w:rStyle w:val="st"/>
              </w:rPr>
            </w:pPr>
            <w:r>
              <w:rPr>
                <w:rStyle w:val="st"/>
              </w:rPr>
              <w:t>—</w:t>
            </w:r>
          </w:p>
        </w:tc>
        <w:tc>
          <w:tcPr>
            <w:tcW w:w="1140" w:type="dxa"/>
            <w:vAlign w:val="bottom"/>
          </w:tcPr>
          <w:p w:rsidR="00D42112" w:rsidP="00D42112" w:rsidRDefault="00D42112" w14:paraId="6D12DBD9" w14:textId="360063C8">
            <w:pPr>
              <w:jc w:val="right"/>
              <w:rPr>
                <w:rStyle w:val="st"/>
              </w:rPr>
            </w:pPr>
            <w:r>
              <w:rPr>
                <w:rStyle w:val="st"/>
              </w:rPr>
              <w:t>—</w:t>
            </w:r>
          </w:p>
        </w:tc>
      </w:tr>
      <w:tr w:rsidR="00D42112" w:rsidTr="00D42112" w14:paraId="04F5195B" w14:textId="0789080D">
        <w:tc>
          <w:tcPr>
            <w:tcW w:w="3667" w:type="dxa"/>
          </w:tcPr>
          <w:p w:rsidR="00D42112" w:rsidP="00D42112" w:rsidRDefault="00D42112" w14:paraId="434FFE22" w14:textId="0CC63F9C">
            <w:pPr>
              <w:tabs>
                <w:tab w:val="right" w:pos="10080"/>
              </w:tabs>
              <w:jc w:val="both"/>
              <w:rPr>
                <w:rFonts w:ascii="Palatino Linotype" w:hAnsi="Palatino Linotype"/>
              </w:rPr>
            </w:pPr>
            <w:r>
              <w:rPr>
                <w:rFonts w:ascii="Palatino Linotype" w:hAnsi="Palatino Linotype"/>
              </w:rPr>
              <w:t>Cloud telephony system</w:t>
            </w:r>
          </w:p>
        </w:tc>
        <w:tc>
          <w:tcPr>
            <w:tcW w:w="1140" w:type="dxa"/>
            <w:vAlign w:val="bottom"/>
          </w:tcPr>
          <w:p w:rsidR="00D42112" w:rsidP="00D42112" w:rsidRDefault="00D42112" w14:paraId="6ED542D4" w14:textId="2C83047D">
            <w:pPr>
              <w:tabs>
                <w:tab w:val="left" w:pos="151"/>
                <w:tab w:val="right" w:pos="10080"/>
              </w:tabs>
              <w:jc w:val="right"/>
              <w:rPr>
                <w:rFonts w:ascii="Palatino Linotype" w:hAnsi="Palatino Linotype"/>
              </w:rPr>
            </w:pPr>
            <w:r>
              <w:rPr>
                <w:rFonts w:ascii="Palatino Linotype" w:hAnsi="Palatino Linotype"/>
              </w:rPr>
              <w:t>$1,500</w:t>
            </w:r>
          </w:p>
        </w:tc>
        <w:tc>
          <w:tcPr>
            <w:tcW w:w="1140" w:type="dxa"/>
            <w:vAlign w:val="bottom"/>
          </w:tcPr>
          <w:p w:rsidRPr="004E3BBF" w:rsidR="00D42112" w:rsidP="00D42112" w:rsidRDefault="00D42112" w14:paraId="0671AF1D" w14:textId="394FE775">
            <w:pPr>
              <w:jc w:val="right"/>
              <w:rPr>
                <w:rFonts w:ascii="Palatino Linotype" w:hAnsi="Palatino Linotype"/>
              </w:rPr>
            </w:pPr>
            <w:r>
              <w:rPr>
                <w:rFonts w:ascii="Palatino Linotype" w:hAnsi="Palatino Linotype"/>
              </w:rPr>
              <w:t>$1,000</w:t>
            </w:r>
          </w:p>
        </w:tc>
        <w:tc>
          <w:tcPr>
            <w:tcW w:w="1140" w:type="dxa"/>
            <w:vAlign w:val="bottom"/>
          </w:tcPr>
          <w:p w:rsidR="00D42112" w:rsidP="00D42112" w:rsidRDefault="00D42112" w14:paraId="525794D2" w14:textId="496F483F">
            <w:pPr>
              <w:jc w:val="right"/>
              <w:rPr>
                <w:rFonts w:ascii="Palatino Linotype" w:hAnsi="Palatino Linotype"/>
              </w:rPr>
            </w:pPr>
            <w:r>
              <w:rPr>
                <w:rFonts w:ascii="Palatino Linotype" w:hAnsi="Palatino Linotype"/>
              </w:rPr>
              <w:t>$1,000</w:t>
            </w:r>
          </w:p>
        </w:tc>
        <w:tc>
          <w:tcPr>
            <w:tcW w:w="1140" w:type="dxa"/>
            <w:vAlign w:val="bottom"/>
          </w:tcPr>
          <w:p w:rsidR="00D42112" w:rsidP="00D42112" w:rsidRDefault="00D42112" w14:paraId="1AF25957" w14:textId="62D9253D">
            <w:pPr>
              <w:jc w:val="right"/>
              <w:rPr>
                <w:rFonts w:ascii="Palatino Linotype" w:hAnsi="Palatino Linotype"/>
              </w:rPr>
            </w:pPr>
            <w:r>
              <w:rPr>
                <w:rFonts w:ascii="Palatino Linotype" w:hAnsi="Palatino Linotype"/>
              </w:rPr>
              <w:t>$1,000</w:t>
            </w:r>
          </w:p>
        </w:tc>
        <w:tc>
          <w:tcPr>
            <w:tcW w:w="1140" w:type="dxa"/>
            <w:vAlign w:val="bottom"/>
          </w:tcPr>
          <w:p w:rsidR="00D42112" w:rsidP="00D42112" w:rsidRDefault="00D42112" w14:paraId="2F0683B6" w14:textId="27B895B1">
            <w:pPr>
              <w:jc w:val="right"/>
              <w:rPr>
                <w:rFonts w:ascii="Palatino Linotype" w:hAnsi="Palatino Linotype"/>
              </w:rPr>
            </w:pPr>
            <w:r>
              <w:rPr>
                <w:rFonts w:ascii="Palatino Linotype" w:hAnsi="Palatino Linotype"/>
              </w:rPr>
              <w:t>$1,000</w:t>
            </w:r>
          </w:p>
        </w:tc>
      </w:tr>
      <w:tr w:rsidR="00D42112" w:rsidTr="00D42112" w14:paraId="5B4D1EBC" w14:textId="27F79E4E">
        <w:tc>
          <w:tcPr>
            <w:tcW w:w="3667" w:type="dxa"/>
          </w:tcPr>
          <w:p w:rsidR="00D42112" w:rsidP="00D42112" w:rsidRDefault="00D42112" w14:paraId="6FC5269E" w14:textId="4D33836F">
            <w:pPr>
              <w:tabs>
                <w:tab w:val="right" w:pos="10080"/>
              </w:tabs>
              <w:jc w:val="both"/>
              <w:rPr>
                <w:rFonts w:ascii="Palatino Linotype" w:hAnsi="Palatino Linotype"/>
              </w:rPr>
            </w:pPr>
            <w:r>
              <w:rPr>
                <w:rFonts w:ascii="Palatino Linotype" w:hAnsi="Palatino Linotype"/>
              </w:rPr>
              <w:t>Database platform</w:t>
            </w:r>
          </w:p>
        </w:tc>
        <w:tc>
          <w:tcPr>
            <w:tcW w:w="1140" w:type="dxa"/>
            <w:vAlign w:val="bottom"/>
          </w:tcPr>
          <w:p w:rsidR="00D42112" w:rsidP="00D42112" w:rsidRDefault="00D42112" w14:paraId="79677D9F" w14:textId="4C461E67">
            <w:pPr>
              <w:tabs>
                <w:tab w:val="left" w:pos="151"/>
                <w:tab w:val="right" w:pos="10080"/>
              </w:tabs>
              <w:jc w:val="right"/>
              <w:rPr>
                <w:rFonts w:ascii="Palatino Linotype" w:hAnsi="Palatino Linotype"/>
              </w:rPr>
            </w:pPr>
            <w:r>
              <w:rPr>
                <w:rFonts w:ascii="Palatino Linotype" w:hAnsi="Palatino Linotype"/>
              </w:rPr>
              <w:t>$2,105</w:t>
            </w:r>
          </w:p>
        </w:tc>
        <w:tc>
          <w:tcPr>
            <w:tcW w:w="1140" w:type="dxa"/>
            <w:vAlign w:val="bottom"/>
          </w:tcPr>
          <w:p w:rsidRPr="004E3BBF" w:rsidR="00D42112" w:rsidP="00D42112" w:rsidRDefault="00D42112" w14:paraId="124B3147" w14:textId="39093088">
            <w:pPr>
              <w:jc w:val="right"/>
              <w:rPr>
                <w:rFonts w:ascii="Palatino Linotype" w:hAnsi="Palatino Linotype"/>
              </w:rPr>
            </w:pPr>
            <w:r>
              <w:rPr>
                <w:rFonts w:ascii="Palatino Linotype" w:hAnsi="Palatino Linotype"/>
              </w:rPr>
              <w:t>$1,000</w:t>
            </w:r>
          </w:p>
        </w:tc>
        <w:tc>
          <w:tcPr>
            <w:tcW w:w="1140" w:type="dxa"/>
            <w:vAlign w:val="bottom"/>
          </w:tcPr>
          <w:p w:rsidR="00D42112" w:rsidP="00D42112" w:rsidRDefault="00D42112" w14:paraId="69AE35A6" w14:textId="3097A673">
            <w:pPr>
              <w:jc w:val="right"/>
              <w:rPr>
                <w:rFonts w:ascii="Palatino Linotype" w:hAnsi="Palatino Linotype"/>
              </w:rPr>
            </w:pPr>
            <w:r>
              <w:rPr>
                <w:rFonts w:ascii="Palatino Linotype" w:hAnsi="Palatino Linotype"/>
              </w:rPr>
              <w:t>$1,000</w:t>
            </w:r>
          </w:p>
        </w:tc>
        <w:tc>
          <w:tcPr>
            <w:tcW w:w="1140" w:type="dxa"/>
            <w:vAlign w:val="bottom"/>
          </w:tcPr>
          <w:p w:rsidR="00D42112" w:rsidP="00D42112" w:rsidRDefault="00D42112" w14:paraId="41BF126E" w14:textId="3F768999">
            <w:pPr>
              <w:jc w:val="right"/>
              <w:rPr>
                <w:rFonts w:ascii="Palatino Linotype" w:hAnsi="Palatino Linotype"/>
              </w:rPr>
            </w:pPr>
            <w:r>
              <w:rPr>
                <w:rFonts w:ascii="Palatino Linotype" w:hAnsi="Palatino Linotype"/>
              </w:rPr>
              <w:t>$1,000</w:t>
            </w:r>
          </w:p>
        </w:tc>
        <w:tc>
          <w:tcPr>
            <w:tcW w:w="1140" w:type="dxa"/>
            <w:vAlign w:val="bottom"/>
          </w:tcPr>
          <w:p w:rsidR="00D42112" w:rsidP="00D42112" w:rsidRDefault="00D42112" w14:paraId="6180F139" w14:textId="6F537FCA">
            <w:pPr>
              <w:jc w:val="right"/>
              <w:rPr>
                <w:rFonts w:ascii="Palatino Linotype" w:hAnsi="Palatino Linotype"/>
              </w:rPr>
            </w:pPr>
            <w:r>
              <w:rPr>
                <w:rFonts w:ascii="Palatino Linotype" w:hAnsi="Palatino Linotype"/>
              </w:rPr>
              <w:t>$1,000</w:t>
            </w:r>
          </w:p>
        </w:tc>
      </w:tr>
      <w:tr w:rsidR="00D42112" w:rsidTr="00D42112" w14:paraId="59F3C6D1" w14:textId="2AB2FE36">
        <w:tc>
          <w:tcPr>
            <w:tcW w:w="3667" w:type="dxa"/>
          </w:tcPr>
          <w:p w:rsidR="00D42112" w:rsidP="00D42112" w:rsidRDefault="00D42112" w14:paraId="38A0EEAF" w14:textId="44D969D6">
            <w:pPr>
              <w:tabs>
                <w:tab w:val="right" w:pos="10080"/>
              </w:tabs>
              <w:jc w:val="both"/>
              <w:rPr>
                <w:rFonts w:ascii="Palatino Linotype" w:hAnsi="Palatino Linotype"/>
              </w:rPr>
            </w:pPr>
            <w:r>
              <w:rPr>
                <w:rFonts w:ascii="Palatino Linotype" w:hAnsi="Palatino Linotype"/>
              </w:rPr>
              <w:t>Coordinated assistance system</w:t>
            </w:r>
          </w:p>
        </w:tc>
        <w:tc>
          <w:tcPr>
            <w:tcW w:w="1140" w:type="dxa"/>
            <w:vAlign w:val="bottom"/>
          </w:tcPr>
          <w:p w:rsidR="00D42112" w:rsidP="00D42112" w:rsidRDefault="00D42112" w14:paraId="10F187FE" w14:textId="63BE0B56">
            <w:pPr>
              <w:tabs>
                <w:tab w:val="left" w:pos="151"/>
                <w:tab w:val="right" w:pos="10080"/>
              </w:tabs>
              <w:jc w:val="right"/>
              <w:rPr>
                <w:rFonts w:ascii="Palatino Linotype" w:hAnsi="Palatino Linotype"/>
              </w:rPr>
            </w:pPr>
            <w:r>
              <w:rPr>
                <w:rFonts w:ascii="Palatino Linotype" w:hAnsi="Palatino Linotype"/>
              </w:rPr>
              <w:t>$2,105</w:t>
            </w:r>
          </w:p>
        </w:tc>
        <w:tc>
          <w:tcPr>
            <w:tcW w:w="1140" w:type="dxa"/>
            <w:vAlign w:val="bottom"/>
          </w:tcPr>
          <w:p w:rsidRPr="004E3BBF" w:rsidR="00D42112" w:rsidP="00D42112" w:rsidRDefault="00D42112" w14:paraId="1CFADBA4" w14:textId="0CC5BEDB">
            <w:pPr>
              <w:jc w:val="right"/>
              <w:rPr>
                <w:rFonts w:ascii="Palatino Linotype" w:hAnsi="Palatino Linotype"/>
              </w:rPr>
            </w:pPr>
            <w:r>
              <w:rPr>
                <w:rFonts w:ascii="Palatino Linotype" w:hAnsi="Palatino Linotype"/>
              </w:rPr>
              <w:t>$1,000</w:t>
            </w:r>
          </w:p>
        </w:tc>
        <w:tc>
          <w:tcPr>
            <w:tcW w:w="1140" w:type="dxa"/>
            <w:vAlign w:val="bottom"/>
          </w:tcPr>
          <w:p w:rsidR="00D42112" w:rsidP="00D42112" w:rsidRDefault="00D42112" w14:paraId="5EC8D72D" w14:textId="19379E85">
            <w:pPr>
              <w:jc w:val="right"/>
              <w:rPr>
                <w:rFonts w:ascii="Palatino Linotype" w:hAnsi="Palatino Linotype"/>
              </w:rPr>
            </w:pPr>
            <w:r>
              <w:rPr>
                <w:rFonts w:ascii="Palatino Linotype" w:hAnsi="Palatino Linotype"/>
              </w:rPr>
              <w:t>$1,000</w:t>
            </w:r>
          </w:p>
        </w:tc>
        <w:tc>
          <w:tcPr>
            <w:tcW w:w="1140" w:type="dxa"/>
            <w:vAlign w:val="bottom"/>
          </w:tcPr>
          <w:p w:rsidR="00D42112" w:rsidP="00D42112" w:rsidRDefault="00D42112" w14:paraId="6AA70553" w14:textId="418996C3">
            <w:pPr>
              <w:jc w:val="right"/>
              <w:rPr>
                <w:rFonts w:ascii="Palatino Linotype" w:hAnsi="Palatino Linotype"/>
              </w:rPr>
            </w:pPr>
            <w:r>
              <w:rPr>
                <w:rFonts w:ascii="Palatino Linotype" w:hAnsi="Palatino Linotype"/>
              </w:rPr>
              <w:t>$1,000</w:t>
            </w:r>
          </w:p>
        </w:tc>
        <w:tc>
          <w:tcPr>
            <w:tcW w:w="1140" w:type="dxa"/>
            <w:vAlign w:val="bottom"/>
          </w:tcPr>
          <w:p w:rsidR="00D42112" w:rsidP="00D42112" w:rsidRDefault="00D42112" w14:paraId="2FCF23AD" w14:textId="715A5613">
            <w:pPr>
              <w:jc w:val="right"/>
              <w:rPr>
                <w:rFonts w:ascii="Palatino Linotype" w:hAnsi="Palatino Linotype"/>
              </w:rPr>
            </w:pPr>
            <w:r>
              <w:rPr>
                <w:rFonts w:ascii="Palatino Linotype" w:hAnsi="Palatino Linotype"/>
              </w:rPr>
              <w:t>$1,000</w:t>
            </w:r>
          </w:p>
        </w:tc>
      </w:tr>
      <w:tr w:rsidR="00D42112" w:rsidTr="00D42112" w14:paraId="419957D3" w14:textId="38987752">
        <w:tc>
          <w:tcPr>
            <w:tcW w:w="3667" w:type="dxa"/>
          </w:tcPr>
          <w:p w:rsidR="00D42112" w:rsidP="00D42112" w:rsidRDefault="00D42112" w14:paraId="1D1EFBD3" w14:textId="05C90852">
            <w:pPr>
              <w:tabs>
                <w:tab w:val="right" w:pos="10080"/>
              </w:tabs>
              <w:jc w:val="both"/>
              <w:rPr>
                <w:rFonts w:ascii="Palatino Linotype" w:hAnsi="Palatino Linotype"/>
              </w:rPr>
            </w:pPr>
            <w:r>
              <w:rPr>
                <w:rFonts w:ascii="Palatino Linotype" w:hAnsi="Palatino Linotype"/>
              </w:rPr>
              <w:t>Text messaging system</w:t>
            </w:r>
          </w:p>
        </w:tc>
        <w:tc>
          <w:tcPr>
            <w:tcW w:w="1140" w:type="dxa"/>
            <w:vAlign w:val="bottom"/>
          </w:tcPr>
          <w:p w:rsidR="00D42112" w:rsidP="00D42112" w:rsidRDefault="00D42112" w14:paraId="48AF809A" w14:textId="0C50E784">
            <w:pPr>
              <w:tabs>
                <w:tab w:val="left" w:pos="151"/>
                <w:tab w:val="right" w:pos="10080"/>
              </w:tabs>
              <w:jc w:val="right"/>
              <w:rPr>
                <w:rFonts w:ascii="Palatino Linotype" w:hAnsi="Palatino Linotype"/>
              </w:rPr>
            </w:pPr>
            <w:r>
              <w:rPr>
                <w:rFonts w:ascii="Palatino Linotype" w:hAnsi="Palatino Linotype"/>
              </w:rPr>
              <w:t>$1,500</w:t>
            </w:r>
          </w:p>
        </w:tc>
        <w:tc>
          <w:tcPr>
            <w:tcW w:w="1140" w:type="dxa"/>
            <w:vAlign w:val="bottom"/>
          </w:tcPr>
          <w:p w:rsidRPr="004E3BBF" w:rsidR="00D42112" w:rsidP="00D42112" w:rsidRDefault="00D42112" w14:paraId="0FE58192" w14:textId="16CE6F7F">
            <w:pPr>
              <w:jc w:val="right"/>
              <w:rPr>
                <w:rFonts w:ascii="Palatino Linotype" w:hAnsi="Palatino Linotype"/>
              </w:rPr>
            </w:pPr>
            <w:r>
              <w:rPr>
                <w:rFonts w:ascii="Palatino Linotype" w:hAnsi="Palatino Linotype"/>
              </w:rPr>
              <w:t>$1,000</w:t>
            </w:r>
          </w:p>
        </w:tc>
        <w:tc>
          <w:tcPr>
            <w:tcW w:w="1140" w:type="dxa"/>
            <w:vAlign w:val="bottom"/>
          </w:tcPr>
          <w:p w:rsidR="00D42112" w:rsidP="00D42112" w:rsidRDefault="00D42112" w14:paraId="72A8678C" w14:textId="08982BFD">
            <w:pPr>
              <w:jc w:val="right"/>
              <w:rPr>
                <w:rFonts w:ascii="Palatino Linotype" w:hAnsi="Palatino Linotype"/>
              </w:rPr>
            </w:pPr>
            <w:r>
              <w:rPr>
                <w:rFonts w:ascii="Palatino Linotype" w:hAnsi="Palatino Linotype"/>
              </w:rPr>
              <w:t>$1,000</w:t>
            </w:r>
          </w:p>
        </w:tc>
        <w:tc>
          <w:tcPr>
            <w:tcW w:w="1140" w:type="dxa"/>
            <w:vAlign w:val="bottom"/>
          </w:tcPr>
          <w:p w:rsidR="00D42112" w:rsidP="00D42112" w:rsidRDefault="00D42112" w14:paraId="013C2CB1" w14:textId="56698B0F">
            <w:pPr>
              <w:jc w:val="right"/>
              <w:rPr>
                <w:rFonts w:ascii="Palatino Linotype" w:hAnsi="Palatino Linotype"/>
              </w:rPr>
            </w:pPr>
            <w:r>
              <w:rPr>
                <w:rFonts w:ascii="Palatino Linotype" w:hAnsi="Palatino Linotype"/>
              </w:rPr>
              <w:t>$1,000</w:t>
            </w:r>
          </w:p>
        </w:tc>
        <w:tc>
          <w:tcPr>
            <w:tcW w:w="1140" w:type="dxa"/>
            <w:vAlign w:val="bottom"/>
          </w:tcPr>
          <w:p w:rsidR="00D42112" w:rsidP="00D42112" w:rsidRDefault="00D42112" w14:paraId="4C26459A" w14:textId="31A5141C">
            <w:pPr>
              <w:jc w:val="right"/>
              <w:rPr>
                <w:rFonts w:ascii="Palatino Linotype" w:hAnsi="Palatino Linotype"/>
              </w:rPr>
            </w:pPr>
            <w:r>
              <w:rPr>
                <w:rFonts w:ascii="Palatino Linotype" w:hAnsi="Palatino Linotype"/>
              </w:rPr>
              <w:t>$1,000</w:t>
            </w:r>
          </w:p>
        </w:tc>
      </w:tr>
      <w:tr w:rsidR="00D42112" w:rsidTr="00D42112" w14:paraId="78EE60F6" w14:textId="7349035A">
        <w:tc>
          <w:tcPr>
            <w:tcW w:w="3667" w:type="dxa"/>
          </w:tcPr>
          <w:p w:rsidR="00D42112" w:rsidP="00D42112" w:rsidRDefault="00D42112" w14:paraId="32CB1E22" w14:textId="50DC3C03">
            <w:pPr>
              <w:tabs>
                <w:tab w:val="right" w:pos="10080"/>
              </w:tabs>
              <w:jc w:val="both"/>
              <w:rPr>
                <w:rFonts w:ascii="Palatino Linotype" w:hAnsi="Palatino Linotype"/>
              </w:rPr>
            </w:pPr>
            <w:r>
              <w:rPr>
                <w:rFonts w:ascii="Palatino Linotype" w:hAnsi="Palatino Linotype"/>
              </w:rPr>
              <w:t>Website</w:t>
            </w:r>
          </w:p>
        </w:tc>
        <w:tc>
          <w:tcPr>
            <w:tcW w:w="1140" w:type="dxa"/>
            <w:vAlign w:val="bottom"/>
          </w:tcPr>
          <w:p w:rsidR="00D42112" w:rsidP="00D42112" w:rsidRDefault="00D42112" w14:paraId="354FC815" w14:textId="2BF71449">
            <w:pPr>
              <w:tabs>
                <w:tab w:val="left" w:pos="151"/>
                <w:tab w:val="right" w:pos="10080"/>
              </w:tabs>
              <w:jc w:val="right"/>
              <w:rPr>
                <w:rFonts w:ascii="Palatino Linotype" w:hAnsi="Palatino Linotype"/>
              </w:rPr>
            </w:pPr>
            <w:r>
              <w:rPr>
                <w:rFonts w:ascii="Palatino Linotype" w:hAnsi="Palatino Linotype"/>
              </w:rPr>
              <w:t>$1,500</w:t>
            </w:r>
          </w:p>
        </w:tc>
        <w:tc>
          <w:tcPr>
            <w:tcW w:w="1140" w:type="dxa"/>
            <w:vAlign w:val="bottom"/>
          </w:tcPr>
          <w:p w:rsidRPr="004E3BBF" w:rsidR="00D42112" w:rsidP="00D42112" w:rsidRDefault="00D42112" w14:paraId="50BB9D47" w14:textId="40D1FC27">
            <w:pPr>
              <w:jc w:val="right"/>
              <w:rPr>
                <w:rFonts w:ascii="Palatino Linotype" w:hAnsi="Palatino Linotype"/>
              </w:rPr>
            </w:pPr>
            <w:r>
              <w:rPr>
                <w:rFonts w:ascii="Palatino Linotype" w:hAnsi="Palatino Linotype"/>
              </w:rPr>
              <w:t>$1,000</w:t>
            </w:r>
          </w:p>
        </w:tc>
        <w:tc>
          <w:tcPr>
            <w:tcW w:w="1140" w:type="dxa"/>
            <w:vAlign w:val="bottom"/>
          </w:tcPr>
          <w:p w:rsidR="00D42112" w:rsidP="00D42112" w:rsidRDefault="00D42112" w14:paraId="488D89DB" w14:textId="52C33085">
            <w:pPr>
              <w:jc w:val="right"/>
              <w:rPr>
                <w:rFonts w:ascii="Palatino Linotype" w:hAnsi="Palatino Linotype"/>
              </w:rPr>
            </w:pPr>
            <w:r>
              <w:rPr>
                <w:rFonts w:ascii="Palatino Linotype" w:hAnsi="Palatino Linotype"/>
              </w:rPr>
              <w:t>$1,000</w:t>
            </w:r>
          </w:p>
        </w:tc>
        <w:tc>
          <w:tcPr>
            <w:tcW w:w="1140" w:type="dxa"/>
            <w:vAlign w:val="bottom"/>
          </w:tcPr>
          <w:p w:rsidR="00D42112" w:rsidP="00D42112" w:rsidRDefault="00D42112" w14:paraId="0272D24A" w14:textId="2A089E95">
            <w:pPr>
              <w:jc w:val="right"/>
              <w:rPr>
                <w:rFonts w:ascii="Palatino Linotype" w:hAnsi="Palatino Linotype"/>
              </w:rPr>
            </w:pPr>
            <w:r>
              <w:rPr>
                <w:rFonts w:ascii="Palatino Linotype" w:hAnsi="Palatino Linotype"/>
              </w:rPr>
              <w:t>$1,000</w:t>
            </w:r>
          </w:p>
        </w:tc>
        <w:tc>
          <w:tcPr>
            <w:tcW w:w="1140" w:type="dxa"/>
            <w:vAlign w:val="bottom"/>
          </w:tcPr>
          <w:p w:rsidR="00D42112" w:rsidP="00D42112" w:rsidRDefault="00D42112" w14:paraId="53128ECD" w14:textId="25013DBB">
            <w:pPr>
              <w:jc w:val="right"/>
              <w:rPr>
                <w:rFonts w:ascii="Palatino Linotype" w:hAnsi="Palatino Linotype"/>
              </w:rPr>
            </w:pPr>
            <w:r>
              <w:rPr>
                <w:rFonts w:ascii="Palatino Linotype" w:hAnsi="Palatino Linotype"/>
              </w:rPr>
              <w:t>$1,000</w:t>
            </w:r>
          </w:p>
        </w:tc>
      </w:tr>
      <w:tr w:rsidR="00D42112" w:rsidTr="00D42112" w14:paraId="1B4BC302" w14:textId="09FD3919">
        <w:tc>
          <w:tcPr>
            <w:tcW w:w="3667" w:type="dxa"/>
          </w:tcPr>
          <w:p w:rsidR="00D42112" w:rsidP="00D42112" w:rsidRDefault="00D42112" w14:paraId="681083D8" w14:textId="73B1516A">
            <w:pPr>
              <w:tabs>
                <w:tab w:val="right" w:pos="10080"/>
              </w:tabs>
              <w:rPr>
                <w:rFonts w:ascii="Palatino Linotype" w:hAnsi="Palatino Linotype"/>
              </w:rPr>
            </w:pPr>
            <w:r>
              <w:rPr>
                <w:rFonts w:ascii="Palatino Linotype" w:hAnsi="Palatino Linotype"/>
              </w:rPr>
              <w:t>Travel/preparedness training expenses for Interface</w:t>
            </w:r>
          </w:p>
        </w:tc>
        <w:tc>
          <w:tcPr>
            <w:tcW w:w="1140" w:type="dxa"/>
            <w:vAlign w:val="bottom"/>
          </w:tcPr>
          <w:p w:rsidR="00D42112" w:rsidP="00D42112" w:rsidRDefault="00D42112" w14:paraId="55445E33" w14:textId="2A3F06A0">
            <w:pPr>
              <w:tabs>
                <w:tab w:val="left" w:pos="151"/>
                <w:tab w:val="right" w:pos="10080"/>
              </w:tabs>
              <w:jc w:val="right"/>
              <w:rPr>
                <w:rFonts w:ascii="Palatino Linotype" w:hAnsi="Palatino Linotype"/>
              </w:rPr>
            </w:pPr>
            <w:r>
              <w:rPr>
                <w:rFonts w:ascii="Palatino Linotype" w:hAnsi="Palatino Linotype"/>
              </w:rPr>
              <w:t>$2,105</w:t>
            </w:r>
          </w:p>
        </w:tc>
        <w:tc>
          <w:tcPr>
            <w:tcW w:w="1140" w:type="dxa"/>
            <w:vAlign w:val="bottom"/>
          </w:tcPr>
          <w:p w:rsidRPr="004E3BBF" w:rsidR="00D42112" w:rsidP="00D42112" w:rsidRDefault="00D42112" w14:paraId="3ADEA424" w14:textId="5B1B3B22">
            <w:pPr>
              <w:jc w:val="right"/>
              <w:rPr>
                <w:rFonts w:ascii="Palatino Linotype" w:hAnsi="Palatino Linotype"/>
              </w:rPr>
            </w:pPr>
            <w:r>
              <w:rPr>
                <w:rFonts w:ascii="Palatino Linotype" w:hAnsi="Palatino Linotype"/>
              </w:rPr>
              <w:t>$1,000</w:t>
            </w:r>
          </w:p>
        </w:tc>
        <w:tc>
          <w:tcPr>
            <w:tcW w:w="1140" w:type="dxa"/>
            <w:vAlign w:val="bottom"/>
          </w:tcPr>
          <w:p w:rsidRPr="004E3BBF" w:rsidR="00D42112" w:rsidP="00D42112" w:rsidRDefault="00D42112" w14:paraId="0A4BDC36" w14:textId="5821B0CE">
            <w:pPr>
              <w:jc w:val="right"/>
              <w:rPr>
                <w:rFonts w:ascii="Palatino Linotype" w:hAnsi="Palatino Linotype"/>
              </w:rPr>
            </w:pPr>
            <w:r>
              <w:rPr>
                <w:rFonts w:ascii="Palatino Linotype" w:hAnsi="Palatino Linotype"/>
              </w:rPr>
              <w:t>$1,000</w:t>
            </w:r>
          </w:p>
        </w:tc>
        <w:tc>
          <w:tcPr>
            <w:tcW w:w="1140" w:type="dxa"/>
            <w:vAlign w:val="bottom"/>
          </w:tcPr>
          <w:p w:rsidR="00D42112" w:rsidP="00D42112" w:rsidRDefault="00D42112" w14:paraId="5BF7078F" w14:textId="320C1E1E">
            <w:pPr>
              <w:jc w:val="right"/>
              <w:rPr>
                <w:rFonts w:ascii="Palatino Linotype" w:hAnsi="Palatino Linotype"/>
              </w:rPr>
            </w:pPr>
            <w:r>
              <w:rPr>
                <w:rStyle w:val="st"/>
              </w:rPr>
              <w:t>—</w:t>
            </w:r>
          </w:p>
        </w:tc>
        <w:tc>
          <w:tcPr>
            <w:tcW w:w="1140" w:type="dxa"/>
            <w:vAlign w:val="bottom"/>
          </w:tcPr>
          <w:p w:rsidR="00D42112" w:rsidP="00D42112" w:rsidRDefault="00D42112" w14:paraId="528439C4" w14:textId="3E679181">
            <w:pPr>
              <w:jc w:val="right"/>
              <w:rPr>
                <w:rFonts w:ascii="Palatino Linotype" w:hAnsi="Palatino Linotype"/>
              </w:rPr>
            </w:pPr>
            <w:r>
              <w:rPr>
                <w:rStyle w:val="st"/>
              </w:rPr>
              <w:t>—</w:t>
            </w:r>
          </w:p>
        </w:tc>
      </w:tr>
      <w:tr w:rsidR="00D42112" w:rsidTr="00D42112" w14:paraId="6B4F0627" w14:textId="35A8EB32">
        <w:tc>
          <w:tcPr>
            <w:tcW w:w="3667" w:type="dxa"/>
          </w:tcPr>
          <w:p w:rsidR="00D42112" w:rsidP="00D42112" w:rsidRDefault="00D42112" w14:paraId="1D1AC9B3" w14:textId="56D6B6EA">
            <w:pPr>
              <w:tabs>
                <w:tab w:val="right" w:pos="10080"/>
              </w:tabs>
              <w:jc w:val="both"/>
              <w:rPr>
                <w:rFonts w:ascii="Palatino Linotype" w:hAnsi="Palatino Linotype"/>
              </w:rPr>
            </w:pPr>
            <w:r>
              <w:rPr>
                <w:rFonts w:ascii="Palatino Linotype" w:hAnsi="Palatino Linotype"/>
              </w:rPr>
              <w:t xml:space="preserve">Marketing </w:t>
            </w:r>
            <w:r w:rsidR="00463B3E">
              <w:rPr>
                <w:rFonts w:ascii="Palatino Linotype" w:hAnsi="Palatino Linotype"/>
              </w:rPr>
              <w:t>and Consumer Ed</w:t>
            </w:r>
            <w:r w:rsidR="00A912EE">
              <w:rPr>
                <w:rFonts w:ascii="Palatino Linotype" w:hAnsi="Palatino Linotype"/>
              </w:rPr>
              <w:t>.</w:t>
            </w:r>
          </w:p>
        </w:tc>
        <w:tc>
          <w:tcPr>
            <w:tcW w:w="1140" w:type="dxa"/>
            <w:vAlign w:val="bottom"/>
          </w:tcPr>
          <w:p w:rsidR="00D42112" w:rsidP="00D42112" w:rsidRDefault="00D42112" w14:paraId="27B89AA4" w14:textId="19F08672">
            <w:pPr>
              <w:tabs>
                <w:tab w:val="left" w:pos="151"/>
                <w:tab w:val="right" w:pos="10080"/>
              </w:tabs>
              <w:jc w:val="right"/>
              <w:rPr>
                <w:rFonts w:ascii="Palatino Linotype" w:hAnsi="Palatino Linotype"/>
              </w:rPr>
            </w:pPr>
            <w:r>
              <w:rPr>
                <w:rFonts w:ascii="Palatino Linotype" w:hAnsi="Palatino Linotype"/>
              </w:rPr>
              <w:t>$2,500</w:t>
            </w:r>
          </w:p>
        </w:tc>
        <w:tc>
          <w:tcPr>
            <w:tcW w:w="1140" w:type="dxa"/>
            <w:vAlign w:val="bottom"/>
          </w:tcPr>
          <w:p w:rsidR="00D42112" w:rsidP="00D42112" w:rsidRDefault="00D42112" w14:paraId="70114B69" w14:textId="272D6755">
            <w:pPr>
              <w:jc w:val="right"/>
              <w:rPr>
                <w:rFonts w:ascii="Palatino Linotype" w:hAnsi="Palatino Linotype"/>
              </w:rPr>
            </w:pPr>
            <w:r>
              <w:rPr>
                <w:rFonts w:ascii="Palatino Linotype" w:hAnsi="Palatino Linotype"/>
              </w:rPr>
              <w:t>$2,500</w:t>
            </w:r>
          </w:p>
        </w:tc>
        <w:tc>
          <w:tcPr>
            <w:tcW w:w="1140" w:type="dxa"/>
            <w:vAlign w:val="bottom"/>
          </w:tcPr>
          <w:p w:rsidR="00D42112" w:rsidP="00D42112" w:rsidRDefault="00D42112" w14:paraId="6286E012" w14:textId="13E1EF4A">
            <w:pPr>
              <w:jc w:val="right"/>
              <w:rPr>
                <w:rFonts w:ascii="Palatino Linotype" w:hAnsi="Palatino Linotype"/>
              </w:rPr>
            </w:pPr>
            <w:r>
              <w:rPr>
                <w:rFonts w:ascii="Palatino Linotype" w:hAnsi="Palatino Linotype"/>
              </w:rPr>
              <w:t>$2,500</w:t>
            </w:r>
          </w:p>
        </w:tc>
        <w:tc>
          <w:tcPr>
            <w:tcW w:w="1140" w:type="dxa"/>
            <w:vAlign w:val="bottom"/>
          </w:tcPr>
          <w:p w:rsidR="00D42112" w:rsidP="00D42112" w:rsidRDefault="00D42112" w14:paraId="5B7EA296" w14:textId="5CB103CF">
            <w:pPr>
              <w:jc w:val="right"/>
              <w:rPr>
                <w:rFonts w:ascii="Palatino Linotype" w:hAnsi="Palatino Linotype"/>
              </w:rPr>
            </w:pPr>
            <w:r>
              <w:rPr>
                <w:rStyle w:val="st"/>
              </w:rPr>
              <w:t>—</w:t>
            </w:r>
          </w:p>
        </w:tc>
        <w:tc>
          <w:tcPr>
            <w:tcW w:w="1140" w:type="dxa"/>
            <w:vAlign w:val="bottom"/>
          </w:tcPr>
          <w:p w:rsidR="00D42112" w:rsidP="00D42112" w:rsidRDefault="00D42112" w14:paraId="2C53B295" w14:textId="1579408F">
            <w:pPr>
              <w:jc w:val="right"/>
              <w:rPr>
                <w:rFonts w:ascii="Palatino Linotype" w:hAnsi="Palatino Linotype"/>
              </w:rPr>
            </w:pPr>
            <w:r>
              <w:rPr>
                <w:rStyle w:val="st"/>
              </w:rPr>
              <w:t>—</w:t>
            </w:r>
          </w:p>
        </w:tc>
      </w:tr>
      <w:tr w:rsidR="00D42112" w:rsidTr="00D42112" w14:paraId="3F91BEB5" w14:textId="21F6DAAB">
        <w:tc>
          <w:tcPr>
            <w:tcW w:w="3667" w:type="dxa"/>
            <w:shd w:val="clear" w:color="auto" w:fill="AEAAAA" w:themeFill="background2" w:themeFillShade="BF"/>
          </w:tcPr>
          <w:p w:rsidRPr="00334A5A" w:rsidR="00D42112" w:rsidP="00D42112" w:rsidRDefault="00D42112" w14:paraId="59F7256A" w14:textId="0F0AA52C">
            <w:pPr>
              <w:tabs>
                <w:tab w:val="right" w:pos="10080"/>
              </w:tabs>
              <w:jc w:val="both"/>
              <w:rPr>
                <w:rFonts w:ascii="Palatino Linotype" w:hAnsi="Palatino Linotype"/>
                <w:b/>
                <w:bCs/>
              </w:rPr>
            </w:pPr>
            <w:r>
              <w:rPr>
                <w:rFonts w:ascii="Palatino Linotype" w:hAnsi="Palatino Linotype"/>
                <w:b/>
                <w:bCs/>
              </w:rPr>
              <w:t>Total per county</w:t>
            </w:r>
          </w:p>
        </w:tc>
        <w:tc>
          <w:tcPr>
            <w:tcW w:w="1140" w:type="dxa"/>
            <w:shd w:val="clear" w:color="auto" w:fill="AEAAAA" w:themeFill="background2" w:themeFillShade="BF"/>
            <w:vAlign w:val="bottom"/>
          </w:tcPr>
          <w:p w:rsidRPr="00334A5A" w:rsidR="00D42112" w:rsidP="00D42112" w:rsidRDefault="00D42112" w14:paraId="79632A7F" w14:textId="59807730">
            <w:pPr>
              <w:tabs>
                <w:tab w:val="left" w:pos="151"/>
                <w:tab w:val="right" w:pos="10080"/>
              </w:tabs>
              <w:jc w:val="right"/>
              <w:rPr>
                <w:rFonts w:ascii="Palatino Linotype" w:hAnsi="Palatino Linotype"/>
                <w:b/>
                <w:bCs/>
              </w:rPr>
            </w:pPr>
            <w:r>
              <w:rPr>
                <w:rFonts w:ascii="Palatino Linotype" w:hAnsi="Palatino Linotype"/>
                <w:b/>
                <w:bCs/>
              </w:rPr>
              <w:t>$18,315</w:t>
            </w:r>
          </w:p>
        </w:tc>
        <w:tc>
          <w:tcPr>
            <w:tcW w:w="1140" w:type="dxa"/>
            <w:shd w:val="clear" w:color="auto" w:fill="AEAAAA" w:themeFill="background2" w:themeFillShade="BF"/>
            <w:vAlign w:val="bottom"/>
          </w:tcPr>
          <w:p w:rsidRPr="00334A5A" w:rsidR="00D42112" w:rsidP="00D42112" w:rsidRDefault="00D42112" w14:paraId="6C6245EA" w14:textId="0A636B2B">
            <w:pPr>
              <w:tabs>
                <w:tab w:val="left" w:pos="151"/>
                <w:tab w:val="right" w:pos="10080"/>
              </w:tabs>
              <w:jc w:val="right"/>
              <w:rPr>
                <w:rFonts w:ascii="Palatino Linotype" w:hAnsi="Palatino Linotype"/>
                <w:b/>
                <w:bCs/>
              </w:rPr>
            </w:pPr>
            <w:r>
              <w:rPr>
                <w:rFonts w:ascii="Palatino Linotype" w:hAnsi="Palatino Linotype"/>
                <w:b/>
                <w:bCs/>
              </w:rPr>
              <w:t>$8,500</w:t>
            </w:r>
          </w:p>
        </w:tc>
        <w:tc>
          <w:tcPr>
            <w:tcW w:w="1140" w:type="dxa"/>
            <w:shd w:val="clear" w:color="auto" w:fill="AEAAAA" w:themeFill="background2" w:themeFillShade="BF"/>
            <w:vAlign w:val="bottom"/>
          </w:tcPr>
          <w:p w:rsidRPr="00334A5A" w:rsidR="00D42112" w:rsidP="00D42112" w:rsidRDefault="00D42112" w14:paraId="112124E9" w14:textId="49FC1760">
            <w:pPr>
              <w:tabs>
                <w:tab w:val="left" w:pos="151"/>
                <w:tab w:val="right" w:pos="10080"/>
              </w:tabs>
              <w:jc w:val="right"/>
              <w:rPr>
                <w:rFonts w:ascii="Palatino Linotype" w:hAnsi="Palatino Linotype"/>
                <w:b/>
                <w:bCs/>
              </w:rPr>
            </w:pPr>
            <w:r>
              <w:rPr>
                <w:rFonts w:ascii="Palatino Linotype" w:hAnsi="Palatino Linotype"/>
                <w:b/>
                <w:bCs/>
              </w:rPr>
              <w:t>$8,500</w:t>
            </w:r>
          </w:p>
        </w:tc>
        <w:tc>
          <w:tcPr>
            <w:tcW w:w="1140" w:type="dxa"/>
            <w:shd w:val="clear" w:color="auto" w:fill="AEAAAA" w:themeFill="background2" w:themeFillShade="BF"/>
            <w:vAlign w:val="bottom"/>
          </w:tcPr>
          <w:p w:rsidR="00D42112" w:rsidP="00D42112" w:rsidRDefault="00D42112" w14:paraId="66D02BA9" w14:textId="03303F24">
            <w:pPr>
              <w:tabs>
                <w:tab w:val="left" w:pos="151"/>
                <w:tab w:val="right" w:pos="10080"/>
              </w:tabs>
              <w:jc w:val="right"/>
              <w:rPr>
                <w:rFonts w:ascii="Palatino Linotype" w:hAnsi="Palatino Linotype"/>
                <w:b/>
                <w:bCs/>
              </w:rPr>
            </w:pPr>
            <w:r>
              <w:rPr>
                <w:rFonts w:ascii="Palatino Linotype" w:hAnsi="Palatino Linotype"/>
                <w:b/>
                <w:bCs/>
              </w:rPr>
              <w:t>$5,000</w:t>
            </w:r>
          </w:p>
        </w:tc>
        <w:tc>
          <w:tcPr>
            <w:tcW w:w="1140" w:type="dxa"/>
            <w:shd w:val="clear" w:color="auto" w:fill="AEAAAA" w:themeFill="background2" w:themeFillShade="BF"/>
            <w:vAlign w:val="bottom"/>
          </w:tcPr>
          <w:p w:rsidR="00D42112" w:rsidP="00D42112" w:rsidRDefault="00D42112" w14:paraId="162F921D" w14:textId="269F9287">
            <w:pPr>
              <w:tabs>
                <w:tab w:val="left" w:pos="151"/>
                <w:tab w:val="right" w:pos="10080"/>
              </w:tabs>
              <w:jc w:val="right"/>
              <w:rPr>
                <w:rFonts w:ascii="Palatino Linotype" w:hAnsi="Palatino Linotype"/>
                <w:b/>
                <w:bCs/>
              </w:rPr>
            </w:pPr>
            <w:r>
              <w:rPr>
                <w:rFonts w:ascii="Palatino Linotype" w:hAnsi="Palatino Linotype"/>
                <w:b/>
                <w:bCs/>
              </w:rPr>
              <w:t>$5,000</w:t>
            </w:r>
          </w:p>
        </w:tc>
      </w:tr>
      <w:tr w:rsidR="00D42112" w:rsidTr="00D42112" w14:paraId="29D1C16E" w14:textId="3A051AA8">
        <w:tc>
          <w:tcPr>
            <w:tcW w:w="3667" w:type="dxa"/>
            <w:shd w:val="clear" w:color="auto" w:fill="AEAAAA"/>
          </w:tcPr>
          <w:p w:rsidRPr="00334A5A" w:rsidR="00D42112" w:rsidP="00D42112" w:rsidRDefault="00D42112" w14:paraId="09956324" w14:textId="5C0AB842">
            <w:pPr>
              <w:tabs>
                <w:tab w:val="right" w:pos="10080"/>
              </w:tabs>
              <w:rPr>
                <w:rFonts w:ascii="Palatino Linotype" w:hAnsi="Palatino Linotype"/>
                <w:b/>
                <w:bCs/>
              </w:rPr>
            </w:pPr>
            <w:r>
              <w:rPr>
                <w:rFonts w:ascii="Palatino Linotype" w:hAnsi="Palatino Linotype"/>
                <w:b/>
                <w:bCs/>
              </w:rPr>
              <w:t>Total for 12 participating counties</w:t>
            </w:r>
          </w:p>
        </w:tc>
        <w:tc>
          <w:tcPr>
            <w:tcW w:w="1140" w:type="dxa"/>
            <w:shd w:val="clear" w:color="auto" w:fill="AEAAAA"/>
            <w:vAlign w:val="bottom"/>
          </w:tcPr>
          <w:p w:rsidRPr="00334A5A" w:rsidR="00D42112" w:rsidP="00D42112" w:rsidRDefault="00D42112" w14:paraId="430900CB" w14:textId="01F7123C">
            <w:pPr>
              <w:tabs>
                <w:tab w:val="left" w:pos="151"/>
                <w:tab w:val="right" w:pos="10080"/>
              </w:tabs>
              <w:jc w:val="right"/>
              <w:rPr>
                <w:rFonts w:ascii="Palatino Linotype" w:hAnsi="Palatino Linotype"/>
                <w:b/>
                <w:bCs/>
              </w:rPr>
            </w:pPr>
            <w:r>
              <w:rPr>
                <w:rFonts w:ascii="Palatino Linotype" w:hAnsi="Palatino Linotype"/>
                <w:b/>
                <w:bCs/>
              </w:rPr>
              <w:t>$219,780</w:t>
            </w:r>
          </w:p>
        </w:tc>
        <w:tc>
          <w:tcPr>
            <w:tcW w:w="1140" w:type="dxa"/>
            <w:shd w:val="clear" w:color="auto" w:fill="AEAAAA"/>
            <w:vAlign w:val="bottom"/>
          </w:tcPr>
          <w:p w:rsidRPr="00334A5A" w:rsidR="00D42112" w:rsidP="00D42112" w:rsidRDefault="00D42112" w14:paraId="4B7045BC" w14:textId="50210582">
            <w:pPr>
              <w:tabs>
                <w:tab w:val="left" w:pos="151"/>
                <w:tab w:val="right" w:pos="10080"/>
              </w:tabs>
              <w:jc w:val="right"/>
              <w:rPr>
                <w:rFonts w:ascii="Palatino Linotype" w:hAnsi="Palatino Linotype"/>
                <w:b/>
                <w:bCs/>
              </w:rPr>
            </w:pPr>
            <w:r>
              <w:rPr>
                <w:rFonts w:ascii="Palatino Linotype" w:hAnsi="Palatino Linotype"/>
                <w:b/>
                <w:bCs/>
              </w:rPr>
              <w:t>$102,000</w:t>
            </w:r>
          </w:p>
        </w:tc>
        <w:tc>
          <w:tcPr>
            <w:tcW w:w="1140" w:type="dxa"/>
            <w:shd w:val="clear" w:color="auto" w:fill="AEAAAA" w:themeFill="background2" w:themeFillShade="BF"/>
            <w:vAlign w:val="bottom"/>
          </w:tcPr>
          <w:p w:rsidRPr="00334A5A" w:rsidR="00D42112" w:rsidP="00D42112" w:rsidRDefault="00D42112" w14:paraId="2D301CE8" w14:textId="53FA893B">
            <w:pPr>
              <w:tabs>
                <w:tab w:val="left" w:pos="151"/>
                <w:tab w:val="right" w:pos="10080"/>
              </w:tabs>
              <w:jc w:val="right"/>
              <w:rPr>
                <w:rFonts w:ascii="Palatino Linotype" w:hAnsi="Palatino Linotype"/>
                <w:b/>
                <w:bCs/>
              </w:rPr>
            </w:pPr>
            <w:r>
              <w:rPr>
                <w:rFonts w:ascii="Palatino Linotype" w:hAnsi="Palatino Linotype"/>
                <w:b/>
                <w:bCs/>
              </w:rPr>
              <w:t>$102,000</w:t>
            </w:r>
          </w:p>
        </w:tc>
        <w:tc>
          <w:tcPr>
            <w:tcW w:w="1140" w:type="dxa"/>
            <w:shd w:val="clear" w:color="auto" w:fill="AEAAAA" w:themeFill="background2" w:themeFillShade="BF"/>
            <w:vAlign w:val="bottom"/>
          </w:tcPr>
          <w:p w:rsidR="00D42112" w:rsidP="00D42112" w:rsidRDefault="00D42112" w14:paraId="25FA501C" w14:textId="38FFB862">
            <w:pPr>
              <w:tabs>
                <w:tab w:val="left" w:pos="151"/>
                <w:tab w:val="right" w:pos="10080"/>
              </w:tabs>
              <w:jc w:val="right"/>
              <w:rPr>
                <w:rFonts w:ascii="Palatino Linotype" w:hAnsi="Palatino Linotype"/>
                <w:b/>
                <w:bCs/>
              </w:rPr>
            </w:pPr>
            <w:r>
              <w:rPr>
                <w:rFonts w:ascii="Palatino Linotype" w:hAnsi="Palatino Linotype"/>
                <w:b/>
                <w:bCs/>
              </w:rPr>
              <w:t>$60,000</w:t>
            </w:r>
          </w:p>
        </w:tc>
        <w:tc>
          <w:tcPr>
            <w:tcW w:w="1140" w:type="dxa"/>
            <w:shd w:val="clear" w:color="auto" w:fill="AEAAAA" w:themeFill="background2" w:themeFillShade="BF"/>
            <w:vAlign w:val="bottom"/>
          </w:tcPr>
          <w:p w:rsidR="00D42112" w:rsidP="00D42112" w:rsidRDefault="00D42112" w14:paraId="70DC7ABE" w14:textId="068942FC">
            <w:pPr>
              <w:tabs>
                <w:tab w:val="left" w:pos="151"/>
                <w:tab w:val="right" w:pos="10080"/>
              </w:tabs>
              <w:jc w:val="right"/>
              <w:rPr>
                <w:rFonts w:ascii="Palatino Linotype" w:hAnsi="Palatino Linotype"/>
                <w:b/>
                <w:bCs/>
              </w:rPr>
            </w:pPr>
            <w:r>
              <w:rPr>
                <w:rFonts w:ascii="Palatino Linotype" w:hAnsi="Palatino Linotype"/>
                <w:b/>
                <w:bCs/>
              </w:rPr>
              <w:t>$60,000</w:t>
            </w:r>
          </w:p>
        </w:tc>
      </w:tr>
    </w:tbl>
    <w:p w:rsidR="00CE307A" w:rsidP="0046140E" w:rsidRDefault="00CE307A" w14:paraId="74AEAEF5" w14:textId="77777777">
      <w:pPr>
        <w:tabs>
          <w:tab w:val="right" w:pos="10080"/>
        </w:tabs>
        <w:rPr>
          <w:rFonts w:ascii="Palatino Linotype" w:hAnsi="Palatino Linotype"/>
        </w:rPr>
      </w:pPr>
    </w:p>
    <w:p w:rsidRPr="00542668" w:rsidR="004C67E4" w:rsidP="004C67E4" w:rsidRDefault="008D0956" w14:paraId="4F338F47" w14:textId="7EC93773">
      <w:pPr>
        <w:tabs>
          <w:tab w:val="right" w:pos="10080"/>
        </w:tabs>
        <w:rPr>
          <w:rFonts w:ascii="Palatino Linotype" w:hAnsi="Palatino Linotype"/>
          <w:i/>
          <w:iCs/>
        </w:rPr>
      </w:pPr>
      <w:r>
        <w:rPr>
          <w:rFonts w:ascii="Palatino Linotype" w:hAnsi="Palatino Linotype"/>
          <w:i/>
          <w:iCs/>
        </w:rPr>
        <w:t xml:space="preserve">Staffing and </w:t>
      </w:r>
      <w:r w:rsidR="0074495F">
        <w:rPr>
          <w:rFonts w:ascii="Palatino Linotype" w:hAnsi="Palatino Linotype"/>
          <w:i/>
          <w:iCs/>
        </w:rPr>
        <w:t>C</w:t>
      </w:r>
      <w:r w:rsidR="004C67E4">
        <w:rPr>
          <w:rFonts w:ascii="Palatino Linotype" w:hAnsi="Palatino Linotype"/>
          <w:i/>
          <w:iCs/>
        </w:rPr>
        <w:t>ost</w:t>
      </w:r>
      <w:r>
        <w:rPr>
          <w:rFonts w:ascii="Palatino Linotype" w:hAnsi="Palatino Linotype"/>
          <w:i/>
          <w:iCs/>
        </w:rPr>
        <w:t>s</w:t>
      </w:r>
    </w:p>
    <w:p w:rsidR="004C67E4" w:rsidP="004C67E4" w:rsidRDefault="004C67E4" w14:paraId="080C7E0C" w14:textId="77777777">
      <w:pPr>
        <w:tabs>
          <w:tab w:val="right" w:pos="10080"/>
        </w:tabs>
        <w:rPr>
          <w:rFonts w:ascii="Palatino Linotype" w:hAnsi="Palatino Linotype"/>
        </w:rPr>
      </w:pPr>
    </w:p>
    <w:p w:rsidR="00AB31F0" w:rsidP="004C67E4" w:rsidRDefault="003C4F2B" w14:paraId="273FFDCF" w14:textId="291EAC68">
      <w:pPr>
        <w:tabs>
          <w:tab w:val="right" w:pos="10080"/>
        </w:tabs>
        <w:rPr>
          <w:rFonts w:ascii="Palatino Linotype" w:hAnsi="Palatino Linotype"/>
        </w:rPr>
      </w:pPr>
      <w:r>
        <w:rPr>
          <w:rFonts w:ascii="Palatino Linotype" w:hAnsi="Palatino Linotype"/>
        </w:rPr>
        <w:t>Interface propos</w:t>
      </w:r>
      <w:r w:rsidR="0035300D">
        <w:rPr>
          <w:rFonts w:ascii="Palatino Linotype" w:hAnsi="Palatino Linotype"/>
        </w:rPr>
        <w:t>es creating</w:t>
      </w:r>
      <w:r>
        <w:rPr>
          <w:rFonts w:ascii="Palatino Linotype" w:hAnsi="Palatino Linotype"/>
        </w:rPr>
        <w:t xml:space="preserve"> new staff positions</w:t>
      </w:r>
      <w:r w:rsidR="0035300D">
        <w:rPr>
          <w:rFonts w:ascii="Palatino Linotype" w:hAnsi="Palatino Linotype"/>
        </w:rPr>
        <w:t xml:space="preserve"> and augmenting existing positions</w:t>
      </w:r>
      <w:r>
        <w:rPr>
          <w:rFonts w:ascii="Palatino Linotype" w:hAnsi="Palatino Linotype"/>
        </w:rPr>
        <w:t xml:space="preserve"> to properly complete disaster 2-1-1 implementation on time</w:t>
      </w:r>
      <w:r w:rsidR="000413F8">
        <w:rPr>
          <w:rFonts w:ascii="Palatino Linotype" w:hAnsi="Palatino Linotype"/>
        </w:rPr>
        <w:t xml:space="preserve">. </w:t>
      </w:r>
      <w:r w:rsidR="00893303">
        <w:rPr>
          <w:rFonts w:ascii="Palatino Linotype" w:hAnsi="Palatino Linotype"/>
        </w:rPr>
        <w:t>The Director</w:t>
      </w:r>
      <w:r w:rsidR="00095209">
        <w:rPr>
          <w:rFonts w:ascii="Palatino Linotype" w:hAnsi="Palatino Linotype"/>
        </w:rPr>
        <w:t xml:space="preserve"> will oversee the implementation team, supported by the Associate Director</w:t>
      </w:r>
      <w:r w:rsidR="00610144">
        <w:rPr>
          <w:rFonts w:ascii="Palatino Linotype" w:hAnsi="Palatino Linotype"/>
        </w:rPr>
        <w:t>, in addition to their current management duties over existing 2-1-1 services</w:t>
      </w:r>
      <w:r w:rsidR="00095209">
        <w:rPr>
          <w:rFonts w:ascii="Palatino Linotype" w:hAnsi="Palatino Linotype"/>
        </w:rPr>
        <w:t xml:space="preserve">. The Resource Coordinator manages the 2-1-1 database, including populating the databases </w:t>
      </w:r>
      <w:r w:rsidR="0035300D">
        <w:rPr>
          <w:rFonts w:ascii="Palatino Linotype" w:hAnsi="Palatino Linotype"/>
        </w:rPr>
        <w:t xml:space="preserve">with </w:t>
      </w:r>
      <w:r w:rsidR="00095209">
        <w:rPr>
          <w:rFonts w:ascii="Palatino Linotype" w:hAnsi="Palatino Linotype"/>
        </w:rPr>
        <w:t xml:space="preserve">information from the counties. The Project Specialist </w:t>
      </w:r>
      <w:r w:rsidR="005946D9">
        <w:rPr>
          <w:rFonts w:ascii="Palatino Linotype" w:hAnsi="Palatino Linotype"/>
        </w:rPr>
        <w:t xml:space="preserve">is responsible for building out the </w:t>
      </w:r>
      <w:r w:rsidR="00F22790">
        <w:rPr>
          <w:rFonts w:ascii="Palatino Linotype" w:hAnsi="Palatino Linotype"/>
        </w:rPr>
        <w:t xml:space="preserve">disaster 2-1-1 </w:t>
      </w:r>
      <w:r w:rsidR="005946D9">
        <w:rPr>
          <w:rFonts w:ascii="Palatino Linotype" w:hAnsi="Palatino Linotype"/>
        </w:rPr>
        <w:t xml:space="preserve">database, coordinated assistance, and texting systems, and </w:t>
      </w:r>
      <w:r w:rsidR="00814E7B">
        <w:rPr>
          <w:rFonts w:ascii="Palatino Linotype" w:hAnsi="Palatino Linotype"/>
        </w:rPr>
        <w:t>is needed</w:t>
      </w:r>
      <w:r w:rsidR="005946D9">
        <w:rPr>
          <w:rFonts w:ascii="Palatino Linotype" w:hAnsi="Palatino Linotype"/>
        </w:rPr>
        <w:t xml:space="preserve"> for only Year </w:t>
      </w:r>
      <w:r w:rsidR="00F93DD0">
        <w:rPr>
          <w:rFonts w:ascii="Palatino Linotype" w:hAnsi="Palatino Linotype"/>
        </w:rPr>
        <w:t>One</w:t>
      </w:r>
      <w:r w:rsidR="005946D9">
        <w:rPr>
          <w:rFonts w:ascii="Palatino Linotype" w:hAnsi="Palatino Linotype"/>
        </w:rPr>
        <w:t xml:space="preserve"> of implementation. The Contact Specialists </w:t>
      </w:r>
      <w:r w:rsidR="003C27B0">
        <w:rPr>
          <w:rFonts w:ascii="Palatino Linotype" w:hAnsi="Palatino Linotype"/>
        </w:rPr>
        <w:t xml:space="preserve">are responsible for outreach to the counties to </w:t>
      </w:r>
      <w:r w:rsidR="003C27B0">
        <w:rPr>
          <w:rFonts w:ascii="Palatino Linotype" w:hAnsi="Palatino Linotype"/>
        </w:rPr>
        <w:lastRenderedPageBreak/>
        <w:t>gather</w:t>
      </w:r>
      <w:r w:rsidR="00450B10">
        <w:rPr>
          <w:rFonts w:ascii="Palatino Linotype" w:hAnsi="Palatino Linotype"/>
        </w:rPr>
        <w:t xml:space="preserve"> the</w:t>
      </w:r>
      <w:r w:rsidR="003C27B0">
        <w:rPr>
          <w:rFonts w:ascii="Palatino Linotype" w:hAnsi="Palatino Linotype"/>
        </w:rPr>
        <w:t xml:space="preserve"> information needed for populating the databases</w:t>
      </w:r>
      <w:r w:rsidR="00450B10">
        <w:rPr>
          <w:rFonts w:ascii="Palatino Linotype" w:hAnsi="Palatino Linotype"/>
        </w:rPr>
        <w:t xml:space="preserve">, including disaster response, government agencies, and recovery </w:t>
      </w:r>
      <w:r w:rsidR="00AB31F0">
        <w:rPr>
          <w:rFonts w:ascii="Palatino Linotype" w:hAnsi="Palatino Linotype"/>
        </w:rPr>
        <w:t xml:space="preserve">resources, and their duties </w:t>
      </w:r>
      <w:r w:rsidR="00F93DD0">
        <w:rPr>
          <w:rFonts w:ascii="Palatino Linotype" w:hAnsi="Palatino Linotype"/>
        </w:rPr>
        <w:t>will be required for</w:t>
      </w:r>
      <w:r w:rsidR="00AB31F0">
        <w:rPr>
          <w:rFonts w:ascii="Palatino Linotype" w:hAnsi="Palatino Linotype"/>
        </w:rPr>
        <w:t xml:space="preserve"> three years.</w:t>
      </w:r>
    </w:p>
    <w:p w:rsidR="00BC2043" w:rsidP="004C67E4" w:rsidRDefault="00BC2043" w14:paraId="18C8ED1F" w14:textId="77777777">
      <w:pPr>
        <w:tabs>
          <w:tab w:val="right" w:pos="10080"/>
        </w:tabs>
        <w:rPr>
          <w:rFonts w:ascii="Palatino Linotype" w:hAnsi="Palatino Linotype"/>
        </w:rPr>
      </w:pPr>
    </w:p>
    <w:p w:rsidR="004C67E4" w:rsidP="004C67E4" w:rsidRDefault="004C67E4" w14:paraId="24DAA080" w14:textId="77777777">
      <w:pPr>
        <w:tabs>
          <w:tab w:val="right" w:pos="10080"/>
        </w:tabs>
        <w:jc w:val="both"/>
        <w:rPr>
          <w:rFonts w:ascii="Palatino Linotype" w:hAnsi="Palatino Linotype"/>
        </w:rPr>
      </w:pPr>
    </w:p>
    <w:tbl>
      <w:tblPr>
        <w:tblStyle w:val="TableGrid"/>
        <w:tblW w:w="9360" w:type="dxa"/>
        <w:tblInd w:w="108" w:type="dxa"/>
        <w:tblLayout w:type="fixed"/>
        <w:tblLook w:val="04A0" w:firstRow="1" w:lastRow="0" w:firstColumn="1" w:lastColumn="0" w:noHBand="0" w:noVBand="1"/>
      </w:tblPr>
      <w:tblGrid>
        <w:gridCol w:w="3690"/>
        <w:gridCol w:w="1125"/>
        <w:gridCol w:w="1125"/>
        <w:gridCol w:w="1125"/>
        <w:gridCol w:w="1125"/>
        <w:gridCol w:w="1170"/>
      </w:tblGrid>
      <w:tr w:rsidR="00FF51F1" w:rsidTr="00FF51F1" w14:paraId="753D0594" w14:textId="668718FF">
        <w:tc>
          <w:tcPr>
            <w:tcW w:w="3690" w:type="dxa"/>
            <w:shd w:val="clear" w:color="auto" w:fill="AEAAAA"/>
          </w:tcPr>
          <w:p w:rsidRPr="00334A5A" w:rsidR="00FF51F1" w:rsidP="00D44AC0" w:rsidRDefault="007B3E60" w14:paraId="724C130F" w14:textId="33BCF2AA">
            <w:pPr>
              <w:tabs>
                <w:tab w:val="right" w:pos="10080"/>
              </w:tabs>
              <w:jc w:val="both"/>
              <w:rPr>
                <w:rFonts w:ascii="Palatino Linotype" w:hAnsi="Palatino Linotype"/>
                <w:b/>
                <w:bCs/>
              </w:rPr>
            </w:pPr>
            <w:r>
              <w:rPr>
                <w:rFonts w:ascii="Palatino Linotype" w:hAnsi="Palatino Linotype"/>
                <w:b/>
                <w:bCs/>
              </w:rPr>
              <w:t>Staffing e</w:t>
            </w:r>
            <w:r w:rsidRPr="00334A5A" w:rsidR="00FF51F1">
              <w:rPr>
                <w:rFonts w:ascii="Palatino Linotype" w:hAnsi="Palatino Linotype"/>
                <w:b/>
                <w:bCs/>
              </w:rPr>
              <w:t>xpenses</w:t>
            </w:r>
            <w:r>
              <w:rPr>
                <w:rFonts w:ascii="Palatino Linotype" w:hAnsi="Palatino Linotype"/>
                <w:b/>
                <w:bCs/>
              </w:rPr>
              <w:t xml:space="preserve"> for disaster 2</w:t>
            </w:r>
            <w:r>
              <w:rPr>
                <w:rFonts w:ascii="Palatino Linotype" w:hAnsi="Palatino Linotype"/>
                <w:b/>
                <w:bCs/>
              </w:rPr>
              <w:noBreakHyphen/>
              <w:t>1</w:t>
            </w:r>
            <w:r>
              <w:rPr>
                <w:rFonts w:ascii="Palatino Linotype" w:hAnsi="Palatino Linotype"/>
                <w:b/>
                <w:bCs/>
              </w:rPr>
              <w:noBreakHyphen/>
              <w:t>1</w:t>
            </w:r>
          </w:p>
        </w:tc>
        <w:tc>
          <w:tcPr>
            <w:tcW w:w="1125" w:type="dxa"/>
            <w:shd w:val="clear" w:color="auto" w:fill="AEAAAA"/>
          </w:tcPr>
          <w:p w:rsidRPr="00334A5A" w:rsidR="00FF51F1" w:rsidP="00FF51F1" w:rsidRDefault="00FF51F1" w14:paraId="6B840801" w14:textId="77777777">
            <w:pPr>
              <w:tabs>
                <w:tab w:val="left" w:pos="151"/>
                <w:tab w:val="right" w:pos="10080"/>
              </w:tabs>
              <w:jc w:val="center"/>
              <w:rPr>
                <w:rFonts w:ascii="Palatino Linotype" w:hAnsi="Palatino Linotype"/>
                <w:b/>
                <w:bCs/>
              </w:rPr>
            </w:pPr>
            <w:r w:rsidRPr="00334A5A">
              <w:rPr>
                <w:rFonts w:ascii="Palatino Linotype" w:hAnsi="Palatino Linotype"/>
                <w:b/>
                <w:bCs/>
              </w:rPr>
              <w:t>Salary</w:t>
            </w:r>
          </w:p>
        </w:tc>
        <w:tc>
          <w:tcPr>
            <w:tcW w:w="1125" w:type="dxa"/>
            <w:shd w:val="clear" w:color="auto" w:fill="AEAAAA"/>
          </w:tcPr>
          <w:p w:rsidRPr="00334A5A" w:rsidR="00FF51F1" w:rsidP="00FF51F1" w:rsidRDefault="00FF51F1" w14:paraId="4333FB62" w14:textId="77777777">
            <w:pPr>
              <w:tabs>
                <w:tab w:val="left" w:pos="151"/>
                <w:tab w:val="right" w:pos="10080"/>
              </w:tabs>
              <w:jc w:val="center"/>
              <w:rPr>
                <w:rFonts w:ascii="Palatino Linotype" w:hAnsi="Palatino Linotype"/>
                <w:b/>
                <w:bCs/>
              </w:rPr>
            </w:pPr>
            <w:r w:rsidRPr="00334A5A">
              <w:rPr>
                <w:rFonts w:ascii="Palatino Linotype" w:hAnsi="Palatino Linotype"/>
                <w:b/>
                <w:bCs/>
              </w:rPr>
              <w:t>FTE</w:t>
            </w:r>
          </w:p>
        </w:tc>
        <w:tc>
          <w:tcPr>
            <w:tcW w:w="1125" w:type="dxa"/>
            <w:shd w:val="clear" w:color="auto" w:fill="AEAAAA"/>
          </w:tcPr>
          <w:p w:rsidRPr="00334A5A" w:rsidR="00FF51F1" w:rsidP="00FF51F1" w:rsidRDefault="00FF51F1" w14:paraId="3C3FC388" w14:textId="77777777">
            <w:pPr>
              <w:tabs>
                <w:tab w:val="left" w:pos="151"/>
                <w:tab w:val="right" w:pos="10080"/>
              </w:tabs>
              <w:jc w:val="center"/>
              <w:rPr>
                <w:rFonts w:ascii="Palatino Linotype" w:hAnsi="Palatino Linotype"/>
                <w:b/>
                <w:bCs/>
              </w:rPr>
            </w:pPr>
            <w:r w:rsidRPr="00334A5A">
              <w:rPr>
                <w:rFonts w:ascii="Palatino Linotype" w:hAnsi="Palatino Linotype"/>
                <w:b/>
                <w:bCs/>
              </w:rPr>
              <w:t>Year 1</w:t>
            </w:r>
          </w:p>
        </w:tc>
        <w:tc>
          <w:tcPr>
            <w:tcW w:w="1125" w:type="dxa"/>
            <w:shd w:val="clear" w:color="auto" w:fill="AEAAAA"/>
          </w:tcPr>
          <w:p w:rsidRPr="00334A5A" w:rsidR="00FF51F1" w:rsidP="00FF51F1" w:rsidRDefault="00FF51F1" w14:paraId="1840B850" w14:textId="38C60BE3">
            <w:pPr>
              <w:tabs>
                <w:tab w:val="left" w:pos="151"/>
                <w:tab w:val="right" w:pos="10080"/>
              </w:tabs>
              <w:jc w:val="center"/>
              <w:rPr>
                <w:rFonts w:ascii="Palatino Linotype" w:hAnsi="Palatino Linotype"/>
                <w:b/>
                <w:bCs/>
              </w:rPr>
            </w:pPr>
            <w:r>
              <w:rPr>
                <w:rFonts w:ascii="Palatino Linotype" w:hAnsi="Palatino Linotype"/>
                <w:b/>
                <w:bCs/>
              </w:rPr>
              <w:t>Year 2</w:t>
            </w:r>
          </w:p>
        </w:tc>
        <w:tc>
          <w:tcPr>
            <w:tcW w:w="1170" w:type="dxa"/>
            <w:shd w:val="clear" w:color="auto" w:fill="AEAAAA"/>
          </w:tcPr>
          <w:p w:rsidR="00FF51F1" w:rsidP="00FF51F1" w:rsidRDefault="00FF51F1" w14:paraId="67D6DDC1" w14:textId="0FDA90FA">
            <w:pPr>
              <w:tabs>
                <w:tab w:val="left" w:pos="151"/>
                <w:tab w:val="right" w:pos="10080"/>
              </w:tabs>
              <w:jc w:val="center"/>
              <w:rPr>
                <w:rFonts w:ascii="Palatino Linotype" w:hAnsi="Palatino Linotype"/>
                <w:b/>
                <w:bCs/>
              </w:rPr>
            </w:pPr>
            <w:r>
              <w:rPr>
                <w:rFonts w:ascii="Palatino Linotype" w:hAnsi="Palatino Linotype"/>
                <w:b/>
                <w:bCs/>
              </w:rPr>
              <w:t>Year 3</w:t>
            </w:r>
          </w:p>
        </w:tc>
      </w:tr>
      <w:tr w:rsidR="00FF51F1" w:rsidTr="00FF51F1" w14:paraId="00E0B771" w14:textId="39061D44">
        <w:tc>
          <w:tcPr>
            <w:tcW w:w="3690" w:type="dxa"/>
          </w:tcPr>
          <w:p w:rsidR="00FF51F1" w:rsidP="00D44AC0" w:rsidRDefault="00FF51F1" w14:paraId="3245FDAA" w14:textId="77777777">
            <w:pPr>
              <w:tabs>
                <w:tab w:val="right" w:pos="10080"/>
              </w:tabs>
              <w:jc w:val="both"/>
              <w:rPr>
                <w:rFonts w:ascii="Palatino Linotype" w:hAnsi="Palatino Linotype"/>
              </w:rPr>
            </w:pPr>
            <w:r>
              <w:rPr>
                <w:rFonts w:ascii="Palatino Linotype" w:hAnsi="Palatino Linotype"/>
              </w:rPr>
              <w:t>Director</w:t>
            </w:r>
          </w:p>
        </w:tc>
        <w:tc>
          <w:tcPr>
            <w:tcW w:w="1125" w:type="dxa"/>
          </w:tcPr>
          <w:p w:rsidR="00FF51F1" w:rsidP="00D44AC0" w:rsidRDefault="00FF51F1" w14:paraId="4221387A" w14:textId="77777777">
            <w:pPr>
              <w:tabs>
                <w:tab w:val="left" w:pos="151"/>
                <w:tab w:val="right" w:pos="10080"/>
              </w:tabs>
              <w:jc w:val="right"/>
              <w:rPr>
                <w:rFonts w:ascii="Palatino Linotype" w:hAnsi="Palatino Linotype"/>
              </w:rPr>
            </w:pPr>
            <w:r>
              <w:rPr>
                <w:rFonts w:ascii="Palatino Linotype" w:hAnsi="Palatino Linotype"/>
              </w:rPr>
              <w:t>$84,000</w:t>
            </w:r>
          </w:p>
        </w:tc>
        <w:tc>
          <w:tcPr>
            <w:tcW w:w="1125" w:type="dxa"/>
          </w:tcPr>
          <w:p w:rsidR="00FF51F1" w:rsidP="00D44AC0" w:rsidRDefault="00FF51F1" w14:paraId="0F80725F" w14:textId="77777777">
            <w:pPr>
              <w:tabs>
                <w:tab w:val="left" w:pos="151"/>
                <w:tab w:val="right" w:pos="10080"/>
              </w:tabs>
              <w:jc w:val="right"/>
              <w:rPr>
                <w:rFonts w:ascii="Palatino Linotype" w:hAnsi="Palatino Linotype"/>
              </w:rPr>
            </w:pPr>
            <w:r>
              <w:rPr>
                <w:rFonts w:ascii="Palatino Linotype" w:hAnsi="Palatino Linotype"/>
              </w:rPr>
              <w:t>0.05</w:t>
            </w:r>
          </w:p>
        </w:tc>
        <w:tc>
          <w:tcPr>
            <w:tcW w:w="1125" w:type="dxa"/>
          </w:tcPr>
          <w:p w:rsidR="00FF51F1" w:rsidP="00D44AC0" w:rsidRDefault="00FF51F1" w14:paraId="4DB05604" w14:textId="77777777">
            <w:pPr>
              <w:tabs>
                <w:tab w:val="left" w:pos="151"/>
                <w:tab w:val="right" w:pos="10080"/>
              </w:tabs>
              <w:jc w:val="right"/>
              <w:rPr>
                <w:rFonts w:ascii="Palatino Linotype" w:hAnsi="Palatino Linotype"/>
              </w:rPr>
            </w:pPr>
            <w:r>
              <w:rPr>
                <w:rFonts w:ascii="Palatino Linotype" w:hAnsi="Palatino Linotype"/>
              </w:rPr>
              <w:t>$4,200</w:t>
            </w:r>
          </w:p>
        </w:tc>
        <w:tc>
          <w:tcPr>
            <w:tcW w:w="1125" w:type="dxa"/>
          </w:tcPr>
          <w:p w:rsidR="00FF51F1" w:rsidP="00D44AC0" w:rsidRDefault="00FF51F1" w14:paraId="37A58A85" w14:textId="434E9818">
            <w:pPr>
              <w:tabs>
                <w:tab w:val="left" w:pos="151"/>
                <w:tab w:val="right" w:pos="10080"/>
              </w:tabs>
              <w:jc w:val="right"/>
              <w:rPr>
                <w:rFonts w:ascii="Palatino Linotype" w:hAnsi="Palatino Linotype"/>
              </w:rPr>
            </w:pPr>
            <w:r>
              <w:rPr>
                <w:rFonts w:ascii="Palatino Linotype" w:hAnsi="Palatino Linotype"/>
              </w:rPr>
              <w:t>$4,326</w:t>
            </w:r>
          </w:p>
        </w:tc>
        <w:tc>
          <w:tcPr>
            <w:tcW w:w="1170" w:type="dxa"/>
          </w:tcPr>
          <w:p w:rsidR="00FF51F1" w:rsidP="00D44AC0" w:rsidRDefault="00FF51F1" w14:paraId="3A9D7F9D" w14:textId="51A752DF">
            <w:pPr>
              <w:tabs>
                <w:tab w:val="left" w:pos="151"/>
                <w:tab w:val="right" w:pos="10080"/>
              </w:tabs>
              <w:jc w:val="right"/>
              <w:rPr>
                <w:rFonts w:ascii="Palatino Linotype" w:hAnsi="Palatino Linotype"/>
              </w:rPr>
            </w:pPr>
            <w:r>
              <w:rPr>
                <w:rFonts w:ascii="Palatino Linotype" w:hAnsi="Palatino Linotype"/>
              </w:rPr>
              <w:t>$4,456</w:t>
            </w:r>
          </w:p>
        </w:tc>
      </w:tr>
      <w:tr w:rsidR="00FF51F1" w:rsidTr="00FF51F1" w14:paraId="5466C2E8" w14:textId="47356F92">
        <w:tc>
          <w:tcPr>
            <w:tcW w:w="3690" w:type="dxa"/>
          </w:tcPr>
          <w:p w:rsidR="00FF51F1" w:rsidP="00D44AC0" w:rsidRDefault="00FF51F1" w14:paraId="47EA1150" w14:textId="77777777">
            <w:pPr>
              <w:tabs>
                <w:tab w:val="right" w:pos="10080"/>
              </w:tabs>
              <w:jc w:val="both"/>
              <w:rPr>
                <w:rFonts w:ascii="Palatino Linotype" w:hAnsi="Palatino Linotype"/>
              </w:rPr>
            </w:pPr>
            <w:r>
              <w:rPr>
                <w:rFonts w:ascii="Palatino Linotype" w:hAnsi="Palatino Linotype"/>
              </w:rPr>
              <w:t>Associate Director</w:t>
            </w:r>
          </w:p>
        </w:tc>
        <w:tc>
          <w:tcPr>
            <w:tcW w:w="1125" w:type="dxa"/>
          </w:tcPr>
          <w:p w:rsidR="00FF51F1" w:rsidP="00D44AC0" w:rsidRDefault="00FF51F1" w14:paraId="79A70ACB" w14:textId="77777777">
            <w:pPr>
              <w:tabs>
                <w:tab w:val="left" w:pos="151"/>
                <w:tab w:val="right" w:pos="10080"/>
              </w:tabs>
              <w:jc w:val="right"/>
              <w:rPr>
                <w:rFonts w:ascii="Palatino Linotype" w:hAnsi="Palatino Linotype"/>
              </w:rPr>
            </w:pPr>
            <w:r>
              <w:rPr>
                <w:rFonts w:ascii="Palatino Linotype" w:hAnsi="Palatino Linotype"/>
              </w:rPr>
              <w:t>$70,000</w:t>
            </w:r>
          </w:p>
        </w:tc>
        <w:tc>
          <w:tcPr>
            <w:tcW w:w="1125" w:type="dxa"/>
          </w:tcPr>
          <w:p w:rsidR="00FF51F1" w:rsidP="00D44AC0" w:rsidRDefault="00FF51F1" w14:paraId="18560629" w14:textId="77777777">
            <w:pPr>
              <w:tabs>
                <w:tab w:val="left" w:pos="151"/>
                <w:tab w:val="right" w:pos="10080"/>
              </w:tabs>
              <w:jc w:val="right"/>
              <w:rPr>
                <w:rFonts w:ascii="Palatino Linotype" w:hAnsi="Palatino Linotype"/>
              </w:rPr>
            </w:pPr>
            <w:r>
              <w:rPr>
                <w:rFonts w:ascii="Palatino Linotype" w:hAnsi="Palatino Linotype"/>
              </w:rPr>
              <w:t>0.05</w:t>
            </w:r>
          </w:p>
        </w:tc>
        <w:tc>
          <w:tcPr>
            <w:tcW w:w="1125" w:type="dxa"/>
          </w:tcPr>
          <w:p w:rsidR="00FF51F1" w:rsidP="00D44AC0" w:rsidRDefault="00FF51F1" w14:paraId="3737027A" w14:textId="77777777">
            <w:pPr>
              <w:tabs>
                <w:tab w:val="left" w:pos="151"/>
                <w:tab w:val="right" w:pos="10080"/>
              </w:tabs>
              <w:jc w:val="right"/>
              <w:rPr>
                <w:rFonts w:ascii="Palatino Linotype" w:hAnsi="Palatino Linotype"/>
              </w:rPr>
            </w:pPr>
            <w:r>
              <w:rPr>
                <w:rFonts w:ascii="Palatino Linotype" w:hAnsi="Palatino Linotype"/>
              </w:rPr>
              <w:t>$3,500</w:t>
            </w:r>
          </w:p>
        </w:tc>
        <w:tc>
          <w:tcPr>
            <w:tcW w:w="1125" w:type="dxa"/>
          </w:tcPr>
          <w:p w:rsidR="00FF51F1" w:rsidP="00D44AC0" w:rsidRDefault="00FF51F1" w14:paraId="32EE220A" w14:textId="16BE2229">
            <w:pPr>
              <w:tabs>
                <w:tab w:val="left" w:pos="151"/>
                <w:tab w:val="right" w:pos="10080"/>
              </w:tabs>
              <w:jc w:val="right"/>
              <w:rPr>
                <w:rFonts w:ascii="Palatino Linotype" w:hAnsi="Palatino Linotype"/>
              </w:rPr>
            </w:pPr>
            <w:r>
              <w:rPr>
                <w:rFonts w:ascii="Palatino Linotype" w:hAnsi="Palatino Linotype"/>
              </w:rPr>
              <w:t>$3,605</w:t>
            </w:r>
          </w:p>
        </w:tc>
        <w:tc>
          <w:tcPr>
            <w:tcW w:w="1170" w:type="dxa"/>
          </w:tcPr>
          <w:p w:rsidR="00FF51F1" w:rsidP="00D44AC0" w:rsidRDefault="00FF51F1" w14:paraId="6805FD18" w14:textId="2F5C91FF">
            <w:pPr>
              <w:tabs>
                <w:tab w:val="left" w:pos="151"/>
                <w:tab w:val="right" w:pos="10080"/>
              </w:tabs>
              <w:jc w:val="right"/>
              <w:rPr>
                <w:rFonts w:ascii="Palatino Linotype" w:hAnsi="Palatino Linotype"/>
              </w:rPr>
            </w:pPr>
            <w:r>
              <w:rPr>
                <w:rFonts w:ascii="Palatino Linotype" w:hAnsi="Palatino Linotype"/>
              </w:rPr>
              <w:t>$3,713</w:t>
            </w:r>
          </w:p>
        </w:tc>
      </w:tr>
      <w:tr w:rsidR="00FF51F1" w:rsidTr="00FF51F1" w14:paraId="4886AF5D" w14:textId="48CB5F61">
        <w:tc>
          <w:tcPr>
            <w:tcW w:w="3690" w:type="dxa"/>
          </w:tcPr>
          <w:p w:rsidR="00FF51F1" w:rsidP="00D44AC0" w:rsidRDefault="00FF51F1" w14:paraId="05502E27" w14:textId="77777777">
            <w:pPr>
              <w:tabs>
                <w:tab w:val="right" w:pos="10080"/>
              </w:tabs>
              <w:jc w:val="both"/>
              <w:rPr>
                <w:rFonts w:ascii="Palatino Linotype" w:hAnsi="Palatino Linotype"/>
              </w:rPr>
            </w:pPr>
            <w:r>
              <w:rPr>
                <w:rFonts w:ascii="Palatino Linotype" w:hAnsi="Palatino Linotype"/>
              </w:rPr>
              <w:t>Resource Coordinator</w:t>
            </w:r>
          </w:p>
        </w:tc>
        <w:tc>
          <w:tcPr>
            <w:tcW w:w="1125" w:type="dxa"/>
          </w:tcPr>
          <w:p w:rsidR="00FF51F1" w:rsidP="00D44AC0" w:rsidRDefault="00FF51F1" w14:paraId="700748E9" w14:textId="77777777">
            <w:pPr>
              <w:tabs>
                <w:tab w:val="left" w:pos="151"/>
                <w:tab w:val="right" w:pos="10080"/>
              </w:tabs>
              <w:jc w:val="right"/>
              <w:rPr>
                <w:rFonts w:ascii="Palatino Linotype" w:hAnsi="Palatino Linotype"/>
              </w:rPr>
            </w:pPr>
            <w:r>
              <w:rPr>
                <w:rFonts w:ascii="Palatino Linotype" w:hAnsi="Palatino Linotype"/>
              </w:rPr>
              <w:t>$39,520</w:t>
            </w:r>
          </w:p>
        </w:tc>
        <w:tc>
          <w:tcPr>
            <w:tcW w:w="1125" w:type="dxa"/>
          </w:tcPr>
          <w:p w:rsidR="00FF51F1" w:rsidP="00D44AC0" w:rsidRDefault="00FF51F1" w14:paraId="6284FC11" w14:textId="77777777">
            <w:pPr>
              <w:tabs>
                <w:tab w:val="left" w:pos="151"/>
                <w:tab w:val="right" w:pos="10080"/>
              </w:tabs>
              <w:jc w:val="right"/>
              <w:rPr>
                <w:rFonts w:ascii="Palatino Linotype" w:hAnsi="Palatino Linotype"/>
              </w:rPr>
            </w:pPr>
            <w:r>
              <w:rPr>
                <w:rFonts w:ascii="Palatino Linotype" w:hAnsi="Palatino Linotype"/>
              </w:rPr>
              <w:t>1.00</w:t>
            </w:r>
          </w:p>
        </w:tc>
        <w:tc>
          <w:tcPr>
            <w:tcW w:w="1125" w:type="dxa"/>
          </w:tcPr>
          <w:p w:rsidR="00FF51F1" w:rsidP="00D44AC0" w:rsidRDefault="00FF51F1" w14:paraId="22C707E5" w14:textId="77777777">
            <w:pPr>
              <w:tabs>
                <w:tab w:val="left" w:pos="151"/>
                <w:tab w:val="right" w:pos="10080"/>
              </w:tabs>
              <w:jc w:val="right"/>
              <w:rPr>
                <w:rFonts w:ascii="Palatino Linotype" w:hAnsi="Palatino Linotype"/>
              </w:rPr>
            </w:pPr>
            <w:r>
              <w:rPr>
                <w:rFonts w:ascii="Palatino Linotype" w:hAnsi="Palatino Linotype"/>
              </w:rPr>
              <w:t>$39,520</w:t>
            </w:r>
          </w:p>
        </w:tc>
        <w:tc>
          <w:tcPr>
            <w:tcW w:w="1125" w:type="dxa"/>
          </w:tcPr>
          <w:p w:rsidR="00FF51F1" w:rsidP="00D44AC0" w:rsidRDefault="00FF51F1" w14:paraId="381737BA" w14:textId="4DCC0783">
            <w:pPr>
              <w:tabs>
                <w:tab w:val="left" w:pos="151"/>
                <w:tab w:val="right" w:pos="10080"/>
              </w:tabs>
              <w:jc w:val="right"/>
              <w:rPr>
                <w:rFonts w:ascii="Palatino Linotype" w:hAnsi="Palatino Linotype"/>
              </w:rPr>
            </w:pPr>
            <w:r>
              <w:rPr>
                <w:rFonts w:ascii="Palatino Linotype" w:hAnsi="Palatino Linotype"/>
              </w:rPr>
              <w:t>$40,706</w:t>
            </w:r>
          </w:p>
        </w:tc>
        <w:tc>
          <w:tcPr>
            <w:tcW w:w="1170" w:type="dxa"/>
          </w:tcPr>
          <w:p w:rsidR="00FF51F1" w:rsidP="00D44AC0" w:rsidRDefault="00FF51F1" w14:paraId="3D16E807" w14:textId="0C22B132">
            <w:pPr>
              <w:tabs>
                <w:tab w:val="left" w:pos="151"/>
                <w:tab w:val="right" w:pos="10080"/>
              </w:tabs>
              <w:jc w:val="right"/>
              <w:rPr>
                <w:rFonts w:ascii="Palatino Linotype" w:hAnsi="Palatino Linotype"/>
              </w:rPr>
            </w:pPr>
            <w:r>
              <w:rPr>
                <w:rFonts w:ascii="Palatino Linotype" w:hAnsi="Palatino Linotype"/>
              </w:rPr>
              <w:t>$41,927</w:t>
            </w:r>
          </w:p>
        </w:tc>
      </w:tr>
      <w:tr w:rsidR="00FF51F1" w:rsidTr="00FF51F1" w14:paraId="05A317BE" w14:textId="32D01B93">
        <w:tc>
          <w:tcPr>
            <w:tcW w:w="3690" w:type="dxa"/>
          </w:tcPr>
          <w:p w:rsidR="00FF51F1" w:rsidP="00033772" w:rsidRDefault="00FF51F1" w14:paraId="72024E16" w14:textId="77777777">
            <w:pPr>
              <w:tabs>
                <w:tab w:val="right" w:pos="10080"/>
              </w:tabs>
              <w:jc w:val="both"/>
              <w:rPr>
                <w:rFonts w:ascii="Palatino Linotype" w:hAnsi="Palatino Linotype"/>
              </w:rPr>
            </w:pPr>
            <w:r>
              <w:rPr>
                <w:rFonts w:ascii="Palatino Linotype" w:hAnsi="Palatino Linotype"/>
              </w:rPr>
              <w:t>Project Specialist</w:t>
            </w:r>
          </w:p>
        </w:tc>
        <w:tc>
          <w:tcPr>
            <w:tcW w:w="1125" w:type="dxa"/>
          </w:tcPr>
          <w:p w:rsidR="00FF51F1" w:rsidP="00033772" w:rsidRDefault="00FF51F1" w14:paraId="5D7A90E2" w14:textId="77777777">
            <w:pPr>
              <w:tabs>
                <w:tab w:val="left" w:pos="151"/>
                <w:tab w:val="right" w:pos="10080"/>
              </w:tabs>
              <w:jc w:val="right"/>
              <w:rPr>
                <w:rFonts w:ascii="Palatino Linotype" w:hAnsi="Palatino Linotype"/>
              </w:rPr>
            </w:pPr>
            <w:r>
              <w:rPr>
                <w:rFonts w:ascii="Palatino Linotype" w:hAnsi="Palatino Linotype"/>
              </w:rPr>
              <w:t>$37,440</w:t>
            </w:r>
          </w:p>
        </w:tc>
        <w:tc>
          <w:tcPr>
            <w:tcW w:w="1125" w:type="dxa"/>
          </w:tcPr>
          <w:p w:rsidR="00FF51F1" w:rsidP="00033772" w:rsidRDefault="00FF51F1" w14:paraId="421527B6" w14:textId="77777777">
            <w:pPr>
              <w:tabs>
                <w:tab w:val="left" w:pos="151"/>
                <w:tab w:val="right" w:pos="10080"/>
              </w:tabs>
              <w:jc w:val="right"/>
              <w:rPr>
                <w:rFonts w:ascii="Palatino Linotype" w:hAnsi="Palatino Linotype"/>
              </w:rPr>
            </w:pPr>
            <w:r>
              <w:rPr>
                <w:rFonts w:ascii="Palatino Linotype" w:hAnsi="Palatino Linotype"/>
              </w:rPr>
              <w:t>1.00</w:t>
            </w:r>
          </w:p>
        </w:tc>
        <w:tc>
          <w:tcPr>
            <w:tcW w:w="1125" w:type="dxa"/>
          </w:tcPr>
          <w:p w:rsidR="00FF51F1" w:rsidP="00033772" w:rsidRDefault="00FF51F1" w14:paraId="40A14364" w14:textId="77777777">
            <w:pPr>
              <w:tabs>
                <w:tab w:val="left" w:pos="151"/>
                <w:tab w:val="right" w:pos="10080"/>
              </w:tabs>
              <w:jc w:val="right"/>
              <w:rPr>
                <w:rFonts w:ascii="Palatino Linotype" w:hAnsi="Palatino Linotype"/>
              </w:rPr>
            </w:pPr>
            <w:r>
              <w:rPr>
                <w:rFonts w:ascii="Palatino Linotype" w:hAnsi="Palatino Linotype"/>
              </w:rPr>
              <w:t>$37,440</w:t>
            </w:r>
          </w:p>
        </w:tc>
        <w:tc>
          <w:tcPr>
            <w:tcW w:w="1125" w:type="dxa"/>
          </w:tcPr>
          <w:p w:rsidR="00FF51F1" w:rsidP="00033772" w:rsidRDefault="00FF51F1" w14:paraId="3C1EA736" w14:textId="5CA69AD5">
            <w:pPr>
              <w:tabs>
                <w:tab w:val="left" w:pos="151"/>
                <w:tab w:val="right" w:pos="10080"/>
              </w:tabs>
              <w:jc w:val="right"/>
              <w:rPr>
                <w:rFonts w:ascii="Palatino Linotype" w:hAnsi="Palatino Linotype"/>
              </w:rPr>
            </w:pPr>
            <w:r>
              <w:rPr>
                <w:rStyle w:val="st"/>
              </w:rPr>
              <w:t>—</w:t>
            </w:r>
          </w:p>
        </w:tc>
        <w:tc>
          <w:tcPr>
            <w:tcW w:w="1170" w:type="dxa"/>
          </w:tcPr>
          <w:p w:rsidR="00FF51F1" w:rsidP="00033772" w:rsidRDefault="00FF51F1" w14:paraId="74BEB7BB" w14:textId="23A28BA4">
            <w:pPr>
              <w:tabs>
                <w:tab w:val="left" w:pos="151"/>
                <w:tab w:val="right" w:pos="10080"/>
              </w:tabs>
              <w:jc w:val="right"/>
              <w:rPr>
                <w:rStyle w:val="st"/>
              </w:rPr>
            </w:pPr>
            <w:r>
              <w:rPr>
                <w:rStyle w:val="st"/>
              </w:rPr>
              <w:t>—</w:t>
            </w:r>
          </w:p>
        </w:tc>
      </w:tr>
      <w:tr w:rsidR="00FF51F1" w:rsidTr="00FF51F1" w14:paraId="26939AA6" w14:textId="539B7F43">
        <w:tc>
          <w:tcPr>
            <w:tcW w:w="3690" w:type="dxa"/>
          </w:tcPr>
          <w:p w:rsidR="00FF51F1" w:rsidP="00033772" w:rsidRDefault="00FF51F1" w14:paraId="5CD28147" w14:textId="77777777">
            <w:pPr>
              <w:tabs>
                <w:tab w:val="right" w:pos="10080"/>
              </w:tabs>
              <w:jc w:val="both"/>
              <w:rPr>
                <w:rFonts w:ascii="Palatino Linotype" w:hAnsi="Palatino Linotype"/>
              </w:rPr>
            </w:pPr>
            <w:r>
              <w:rPr>
                <w:rFonts w:ascii="Palatino Linotype" w:hAnsi="Palatino Linotype"/>
              </w:rPr>
              <w:t>Contact Specialist</w:t>
            </w:r>
          </w:p>
        </w:tc>
        <w:tc>
          <w:tcPr>
            <w:tcW w:w="1125" w:type="dxa"/>
          </w:tcPr>
          <w:p w:rsidR="00FF51F1" w:rsidP="00033772" w:rsidRDefault="00FF51F1" w14:paraId="12B675E9" w14:textId="77777777">
            <w:pPr>
              <w:tabs>
                <w:tab w:val="left" w:pos="151"/>
                <w:tab w:val="right" w:pos="10080"/>
              </w:tabs>
              <w:jc w:val="right"/>
              <w:rPr>
                <w:rFonts w:ascii="Palatino Linotype" w:hAnsi="Palatino Linotype"/>
              </w:rPr>
            </w:pPr>
            <w:r>
              <w:rPr>
                <w:rFonts w:ascii="Palatino Linotype" w:hAnsi="Palatino Linotype"/>
              </w:rPr>
              <w:t>$35,360</w:t>
            </w:r>
          </w:p>
        </w:tc>
        <w:tc>
          <w:tcPr>
            <w:tcW w:w="1125" w:type="dxa"/>
          </w:tcPr>
          <w:p w:rsidR="00FF51F1" w:rsidP="00033772" w:rsidRDefault="00FF51F1" w14:paraId="7CD61B72" w14:textId="77777777">
            <w:pPr>
              <w:tabs>
                <w:tab w:val="left" w:pos="151"/>
                <w:tab w:val="right" w:pos="10080"/>
              </w:tabs>
              <w:jc w:val="right"/>
              <w:rPr>
                <w:rFonts w:ascii="Palatino Linotype" w:hAnsi="Palatino Linotype"/>
              </w:rPr>
            </w:pPr>
            <w:r>
              <w:rPr>
                <w:rFonts w:ascii="Palatino Linotype" w:hAnsi="Palatino Linotype"/>
              </w:rPr>
              <w:t>2.00</w:t>
            </w:r>
          </w:p>
        </w:tc>
        <w:tc>
          <w:tcPr>
            <w:tcW w:w="1125" w:type="dxa"/>
          </w:tcPr>
          <w:p w:rsidR="00FF51F1" w:rsidP="00033772" w:rsidRDefault="00FF51F1" w14:paraId="3CE7E045" w14:textId="77777777">
            <w:pPr>
              <w:tabs>
                <w:tab w:val="left" w:pos="151"/>
                <w:tab w:val="right" w:pos="10080"/>
              </w:tabs>
              <w:jc w:val="right"/>
              <w:rPr>
                <w:rFonts w:ascii="Palatino Linotype" w:hAnsi="Palatino Linotype"/>
              </w:rPr>
            </w:pPr>
            <w:r>
              <w:rPr>
                <w:rFonts w:ascii="Palatino Linotype" w:hAnsi="Palatino Linotype"/>
              </w:rPr>
              <w:t>$70,720</w:t>
            </w:r>
          </w:p>
        </w:tc>
        <w:tc>
          <w:tcPr>
            <w:tcW w:w="1125" w:type="dxa"/>
          </w:tcPr>
          <w:p w:rsidR="00FF51F1" w:rsidP="00033772" w:rsidRDefault="00FF51F1" w14:paraId="7CE47A46" w14:textId="2260D9AD">
            <w:pPr>
              <w:tabs>
                <w:tab w:val="left" w:pos="151"/>
                <w:tab w:val="right" w:pos="10080"/>
              </w:tabs>
              <w:jc w:val="right"/>
              <w:rPr>
                <w:rFonts w:ascii="Palatino Linotype" w:hAnsi="Palatino Linotype"/>
              </w:rPr>
            </w:pPr>
            <w:r>
              <w:rPr>
                <w:rFonts w:ascii="Palatino Linotype" w:hAnsi="Palatino Linotype"/>
              </w:rPr>
              <w:t>$72,842</w:t>
            </w:r>
          </w:p>
        </w:tc>
        <w:tc>
          <w:tcPr>
            <w:tcW w:w="1170" w:type="dxa"/>
          </w:tcPr>
          <w:p w:rsidR="00FF51F1" w:rsidP="00033772" w:rsidRDefault="00FF51F1" w14:paraId="0F6E10C6" w14:textId="3596183F">
            <w:pPr>
              <w:tabs>
                <w:tab w:val="left" w:pos="151"/>
                <w:tab w:val="right" w:pos="10080"/>
              </w:tabs>
              <w:jc w:val="right"/>
              <w:rPr>
                <w:rFonts w:ascii="Palatino Linotype" w:hAnsi="Palatino Linotype"/>
              </w:rPr>
            </w:pPr>
            <w:r>
              <w:rPr>
                <w:rFonts w:ascii="Palatino Linotype" w:hAnsi="Palatino Linotype"/>
              </w:rPr>
              <w:t>$75,027</w:t>
            </w:r>
          </w:p>
        </w:tc>
      </w:tr>
      <w:tr w:rsidR="00FF51F1" w:rsidTr="00FF51F1" w14:paraId="1C0175A0" w14:textId="0C8630D5">
        <w:tc>
          <w:tcPr>
            <w:tcW w:w="3690" w:type="dxa"/>
            <w:shd w:val="clear" w:color="auto" w:fill="AEAAAA"/>
          </w:tcPr>
          <w:p w:rsidRPr="00334A5A" w:rsidR="00FF51F1" w:rsidP="00033772" w:rsidRDefault="00FF51F1" w14:paraId="07A09525" w14:textId="77777777">
            <w:pPr>
              <w:tabs>
                <w:tab w:val="right" w:pos="10080"/>
              </w:tabs>
              <w:jc w:val="both"/>
              <w:rPr>
                <w:rFonts w:ascii="Palatino Linotype" w:hAnsi="Palatino Linotype"/>
                <w:b/>
                <w:bCs/>
              </w:rPr>
            </w:pPr>
            <w:r w:rsidRPr="00334A5A">
              <w:rPr>
                <w:rFonts w:ascii="Palatino Linotype" w:hAnsi="Palatino Linotype"/>
                <w:b/>
                <w:bCs/>
              </w:rPr>
              <w:t>Total Salaries</w:t>
            </w:r>
          </w:p>
        </w:tc>
        <w:tc>
          <w:tcPr>
            <w:tcW w:w="1125" w:type="dxa"/>
            <w:shd w:val="clear" w:color="auto" w:fill="AEAAAA"/>
          </w:tcPr>
          <w:p w:rsidRPr="00334A5A" w:rsidR="00FF51F1" w:rsidP="00033772" w:rsidRDefault="00FF51F1" w14:paraId="368660D1" w14:textId="77777777">
            <w:pPr>
              <w:tabs>
                <w:tab w:val="left" w:pos="151"/>
                <w:tab w:val="right" w:pos="10080"/>
              </w:tabs>
              <w:jc w:val="right"/>
              <w:rPr>
                <w:rFonts w:ascii="Palatino Linotype" w:hAnsi="Palatino Linotype"/>
                <w:b/>
                <w:bCs/>
              </w:rPr>
            </w:pPr>
          </w:p>
        </w:tc>
        <w:tc>
          <w:tcPr>
            <w:tcW w:w="1125" w:type="dxa"/>
            <w:shd w:val="clear" w:color="auto" w:fill="AEAAAA"/>
          </w:tcPr>
          <w:p w:rsidRPr="00334A5A" w:rsidR="00FF51F1" w:rsidP="00033772" w:rsidRDefault="00FF51F1" w14:paraId="5C3D0A7D" w14:textId="0BE01818">
            <w:pPr>
              <w:tabs>
                <w:tab w:val="left" w:pos="151"/>
                <w:tab w:val="right" w:pos="10080"/>
              </w:tabs>
              <w:jc w:val="right"/>
              <w:rPr>
                <w:rFonts w:ascii="Palatino Linotype" w:hAnsi="Palatino Linotype"/>
                <w:b/>
                <w:bCs/>
              </w:rPr>
            </w:pPr>
            <w:r w:rsidRPr="00334A5A">
              <w:rPr>
                <w:rFonts w:ascii="Palatino Linotype" w:hAnsi="Palatino Linotype"/>
                <w:b/>
                <w:bCs/>
              </w:rPr>
              <w:t>4.1</w:t>
            </w:r>
            <w:r>
              <w:rPr>
                <w:rFonts w:ascii="Palatino Linotype" w:hAnsi="Palatino Linotype"/>
                <w:b/>
                <w:bCs/>
              </w:rPr>
              <w:t>0</w:t>
            </w:r>
          </w:p>
        </w:tc>
        <w:tc>
          <w:tcPr>
            <w:tcW w:w="1125" w:type="dxa"/>
            <w:shd w:val="clear" w:color="auto" w:fill="AEAAAA"/>
          </w:tcPr>
          <w:p w:rsidRPr="00334A5A" w:rsidR="00FF51F1" w:rsidP="00033772" w:rsidRDefault="00FF51F1" w14:paraId="2CC85213" w14:textId="60FD732A">
            <w:pPr>
              <w:tabs>
                <w:tab w:val="left" w:pos="151"/>
                <w:tab w:val="right" w:pos="10080"/>
              </w:tabs>
              <w:jc w:val="right"/>
              <w:rPr>
                <w:rFonts w:ascii="Palatino Linotype" w:hAnsi="Palatino Linotype"/>
                <w:b/>
                <w:bCs/>
              </w:rPr>
            </w:pPr>
            <w:r w:rsidRPr="00334A5A">
              <w:rPr>
                <w:rFonts w:ascii="Palatino Linotype" w:hAnsi="Palatino Linotype"/>
                <w:b/>
                <w:bCs/>
              </w:rPr>
              <w:t>$1</w:t>
            </w:r>
            <w:r>
              <w:rPr>
                <w:rFonts w:ascii="Palatino Linotype" w:hAnsi="Palatino Linotype"/>
                <w:b/>
                <w:bCs/>
              </w:rPr>
              <w:t>55</w:t>
            </w:r>
            <w:r w:rsidRPr="00334A5A">
              <w:rPr>
                <w:rFonts w:ascii="Palatino Linotype" w:hAnsi="Palatino Linotype"/>
                <w:b/>
                <w:bCs/>
              </w:rPr>
              <w:t>,380</w:t>
            </w:r>
          </w:p>
        </w:tc>
        <w:tc>
          <w:tcPr>
            <w:tcW w:w="1125" w:type="dxa"/>
            <w:shd w:val="clear" w:color="auto" w:fill="AEAAAA"/>
          </w:tcPr>
          <w:p w:rsidRPr="00334A5A" w:rsidR="00FF51F1" w:rsidP="00033772" w:rsidRDefault="00FF51F1" w14:paraId="3352445B" w14:textId="6D591B7D">
            <w:pPr>
              <w:tabs>
                <w:tab w:val="left" w:pos="151"/>
                <w:tab w:val="right" w:pos="10080"/>
              </w:tabs>
              <w:jc w:val="right"/>
              <w:rPr>
                <w:rFonts w:ascii="Palatino Linotype" w:hAnsi="Palatino Linotype"/>
                <w:b/>
                <w:bCs/>
              </w:rPr>
            </w:pPr>
            <w:r>
              <w:rPr>
                <w:rFonts w:ascii="Palatino Linotype" w:hAnsi="Palatino Linotype"/>
                <w:b/>
                <w:bCs/>
              </w:rPr>
              <w:t>$121,479</w:t>
            </w:r>
          </w:p>
        </w:tc>
        <w:tc>
          <w:tcPr>
            <w:tcW w:w="1170" w:type="dxa"/>
            <w:shd w:val="clear" w:color="auto" w:fill="AEAAAA"/>
          </w:tcPr>
          <w:p w:rsidR="00FF51F1" w:rsidP="00033772" w:rsidRDefault="00FF51F1" w14:paraId="130C1800" w14:textId="428DC40D">
            <w:pPr>
              <w:tabs>
                <w:tab w:val="left" w:pos="151"/>
                <w:tab w:val="right" w:pos="10080"/>
              </w:tabs>
              <w:jc w:val="right"/>
              <w:rPr>
                <w:rFonts w:ascii="Palatino Linotype" w:hAnsi="Palatino Linotype"/>
                <w:b/>
                <w:bCs/>
              </w:rPr>
            </w:pPr>
            <w:r>
              <w:rPr>
                <w:rFonts w:ascii="Palatino Linotype" w:hAnsi="Palatino Linotype"/>
                <w:b/>
                <w:bCs/>
              </w:rPr>
              <w:t>$125,123</w:t>
            </w:r>
          </w:p>
        </w:tc>
      </w:tr>
      <w:tr w:rsidR="00FF51F1" w:rsidTr="00FF51F1" w14:paraId="6815F892" w14:textId="52016974">
        <w:tc>
          <w:tcPr>
            <w:tcW w:w="3690" w:type="dxa"/>
          </w:tcPr>
          <w:p w:rsidR="00FF51F1" w:rsidP="00033772" w:rsidRDefault="00FF51F1" w14:paraId="7F0A42FA" w14:textId="77777777">
            <w:pPr>
              <w:tabs>
                <w:tab w:val="right" w:pos="10080"/>
              </w:tabs>
              <w:jc w:val="both"/>
              <w:rPr>
                <w:rFonts w:ascii="Palatino Linotype" w:hAnsi="Palatino Linotype"/>
              </w:rPr>
            </w:pPr>
            <w:r>
              <w:rPr>
                <w:rFonts w:ascii="Palatino Linotype" w:hAnsi="Palatino Linotype"/>
              </w:rPr>
              <w:t>Fringe benefits (23% of salaries)</w:t>
            </w:r>
          </w:p>
        </w:tc>
        <w:tc>
          <w:tcPr>
            <w:tcW w:w="1125" w:type="dxa"/>
          </w:tcPr>
          <w:p w:rsidR="00FF51F1" w:rsidP="00033772" w:rsidRDefault="00FF51F1" w14:paraId="47B87871" w14:textId="77777777">
            <w:pPr>
              <w:tabs>
                <w:tab w:val="left" w:pos="151"/>
                <w:tab w:val="right" w:pos="10080"/>
              </w:tabs>
              <w:jc w:val="right"/>
              <w:rPr>
                <w:rFonts w:ascii="Palatino Linotype" w:hAnsi="Palatino Linotype"/>
              </w:rPr>
            </w:pPr>
          </w:p>
        </w:tc>
        <w:tc>
          <w:tcPr>
            <w:tcW w:w="1125" w:type="dxa"/>
          </w:tcPr>
          <w:p w:rsidR="00FF51F1" w:rsidP="00033772" w:rsidRDefault="00FF51F1" w14:paraId="0AF15834" w14:textId="77777777">
            <w:pPr>
              <w:tabs>
                <w:tab w:val="left" w:pos="151"/>
                <w:tab w:val="right" w:pos="10080"/>
              </w:tabs>
              <w:jc w:val="right"/>
              <w:rPr>
                <w:rFonts w:ascii="Palatino Linotype" w:hAnsi="Palatino Linotype"/>
              </w:rPr>
            </w:pPr>
          </w:p>
        </w:tc>
        <w:tc>
          <w:tcPr>
            <w:tcW w:w="1125" w:type="dxa"/>
          </w:tcPr>
          <w:p w:rsidR="00FF51F1" w:rsidP="00033772" w:rsidRDefault="00FF51F1" w14:paraId="67D16B80" w14:textId="12C5E3FF">
            <w:pPr>
              <w:tabs>
                <w:tab w:val="left" w:pos="151"/>
                <w:tab w:val="right" w:pos="10080"/>
              </w:tabs>
              <w:jc w:val="right"/>
              <w:rPr>
                <w:rFonts w:ascii="Palatino Linotype" w:hAnsi="Palatino Linotype"/>
              </w:rPr>
            </w:pPr>
            <w:r>
              <w:rPr>
                <w:rFonts w:ascii="Palatino Linotype" w:hAnsi="Palatino Linotype"/>
              </w:rPr>
              <w:t>$35,737</w:t>
            </w:r>
          </w:p>
        </w:tc>
        <w:tc>
          <w:tcPr>
            <w:tcW w:w="1125" w:type="dxa"/>
          </w:tcPr>
          <w:p w:rsidR="00FF51F1" w:rsidP="00033772" w:rsidRDefault="00FF51F1" w14:paraId="26E4CF03" w14:textId="42AA7F9C">
            <w:pPr>
              <w:tabs>
                <w:tab w:val="left" w:pos="151"/>
                <w:tab w:val="right" w:pos="10080"/>
              </w:tabs>
              <w:jc w:val="right"/>
              <w:rPr>
                <w:rFonts w:ascii="Palatino Linotype" w:hAnsi="Palatino Linotype"/>
              </w:rPr>
            </w:pPr>
            <w:r>
              <w:rPr>
                <w:rFonts w:ascii="Palatino Linotype" w:hAnsi="Palatino Linotype"/>
              </w:rPr>
              <w:t>$27,940</w:t>
            </w:r>
          </w:p>
        </w:tc>
        <w:tc>
          <w:tcPr>
            <w:tcW w:w="1170" w:type="dxa"/>
          </w:tcPr>
          <w:p w:rsidR="00FF51F1" w:rsidP="00033772" w:rsidRDefault="00FF51F1" w14:paraId="1B375C7D" w14:textId="2F0E7541">
            <w:pPr>
              <w:tabs>
                <w:tab w:val="left" w:pos="151"/>
                <w:tab w:val="right" w:pos="10080"/>
              </w:tabs>
              <w:jc w:val="right"/>
              <w:rPr>
                <w:rFonts w:ascii="Palatino Linotype" w:hAnsi="Palatino Linotype"/>
              </w:rPr>
            </w:pPr>
            <w:r>
              <w:rPr>
                <w:rFonts w:ascii="Palatino Linotype" w:hAnsi="Palatino Linotype"/>
              </w:rPr>
              <w:t>$28,778</w:t>
            </w:r>
          </w:p>
        </w:tc>
      </w:tr>
      <w:tr w:rsidR="00FF51F1" w:rsidTr="00FF51F1" w14:paraId="2F892108" w14:textId="35E3D69E">
        <w:tc>
          <w:tcPr>
            <w:tcW w:w="3690" w:type="dxa"/>
          </w:tcPr>
          <w:p w:rsidR="00FF51F1" w:rsidP="00033772" w:rsidRDefault="00FF51F1" w14:paraId="2DEDE889" w14:textId="77777777">
            <w:pPr>
              <w:tabs>
                <w:tab w:val="right" w:pos="10080"/>
              </w:tabs>
              <w:jc w:val="both"/>
              <w:rPr>
                <w:rFonts w:ascii="Palatino Linotype" w:hAnsi="Palatino Linotype"/>
              </w:rPr>
            </w:pPr>
            <w:r>
              <w:rPr>
                <w:rFonts w:ascii="Palatino Linotype" w:hAnsi="Palatino Linotype"/>
              </w:rPr>
              <w:t>Non-staff expenses ($7,500/FTE)</w:t>
            </w:r>
          </w:p>
        </w:tc>
        <w:tc>
          <w:tcPr>
            <w:tcW w:w="1125" w:type="dxa"/>
          </w:tcPr>
          <w:p w:rsidR="00FF51F1" w:rsidP="00033772" w:rsidRDefault="00FF51F1" w14:paraId="1AFE8E0A" w14:textId="77777777">
            <w:pPr>
              <w:tabs>
                <w:tab w:val="left" w:pos="151"/>
                <w:tab w:val="right" w:pos="10080"/>
              </w:tabs>
              <w:jc w:val="right"/>
              <w:rPr>
                <w:rFonts w:ascii="Palatino Linotype" w:hAnsi="Palatino Linotype"/>
              </w:rPr>
            </w:pPr>
          </w:p>
        </w:tc>
        <w:tc>
          <w:tcPr>
            <w:tcW w:w="1125" w:type="dxa"/>
          </w:tcPr>
          <w:p w:rsidR="00FF51F1" w:rsidP="00033772" w:rsidRDefault="00FF51F1" w14:paraId="329BC6F0" w14:textId="77777777">
            <w:pPr>
              <w:tabs>
                <w:tab w:val="left" w:pos="151"/>
                <w:tab w:val="right" w:pos="10080"/>
              </w:tabs>
              <w:jc w:val="right"/>
              <w:rPr>
                <w:rFonts w:ascii="Palatino Linotype" w:hAnsi="Palatino Linotype"/>
              </w:rPr>
            </w:pPr>
          </w:p>
        </w:tc>
        <w:tc>
          <w:tcPr>
            <w:tcW w:w="1125" w:type="dxa"/>
          </w:tcPr>
          <w:p w:rsidR="00FF51F1" w:rsidP="00033772" w:rsidRDefault="00FF51F1" w14:paraId="1D2BAC99" w14:textId="5FAD6677">
            <w:pPr>
              <w:tabs>
                <w:tab w:val="left" w:pos="151"/>
                <w:tab w:val="right" w:pos="10080"/>
              </w:tabs>
              <w:jc w:val="right"/>
              <w:rPr>
                <w:rFonts w:ascii="Palatino Linotype" w:hAnsi="Palatino Linotype"/>
              </w:rPr>
            </w:pPr>
            <w:r>
              <w:rPr>
                <w:rFonts w:ascii="Palatino Linotype" w:hAnsi="Palatino Linotype"/>
              </w:rPr>
              <w:t>$30,750</w:t>
            </w:r>
          </w:p>
        </w:tc>
        <w:tc>
          <w:tcPr>
            <w:tcW w:w="1125" w:type="dxa"/>
          </w:tcPr>
          <w:p w:rsidR="00FF51F1" w:rsidP="00033772" w:rsidRDefault="00FF51F1" w14:paraId="4CEC7FFB" w14:textId="215AA213">
            <w:pPr>
              <w:tabs>
                <w:tab w:val="left" w:pos="151"/>
                <w:tab w:val="right" w:pos="10080"/>
              </w:tabs>
              <w:jc w:val="right"/>
              <w:rPr>
                <w:rFonts w:ascii="Palatino Linotype" w:hAnsi="Palatino Linotype"/>
              </w:rPr>
            </w:pPr>
            <w:r>
              <w:rPr>
                <w:rFonts w:ascii="Palatino Linotype" w:hAnsi="Palatino Linotype"/>
              </w:rPr>
              <w:t>$30,750</w:t>
            </w:r>
          </w:p>
        </w:tc>
        <w:tc>
          <w:tcPr>
            <w:tcW w:w="1170" w:type="dxa"/>
          </w:tcPr>
          <w:p w:rsidR="00FF51F1" w:rsidP="00033772" w:rsidRDefault="00FF51F1" w14:paraId="00AD2F83" w14:textId="4A20F237">
            <w:pPr>
              <w:tabs>
                <w:tab w:val="left" w:pos="151"/>
                <w:tab w:val="right" w:pos="10080"/>
              </w:tabs>
              <w:jc w:val="right"/>
              <w:rPr>
                <w:rFonts w:ascii="Palatino Linotype" w:hAnsi="Palatino Linotype"/>
              </w:rPr>
            </w:pPr>
            <w:r>
              <w:rPr>
                <w:rFonts w:ascii="Palatino Linotype" w:hAnsi="Palatino Linotype"/>
              </w:rPr>
              <w:t>$30,750</w:t>
            </w:r>
          </w:p>
        </w:tc>
      </w:tr>
      <w:tr w:rsidR="00FF51F1" w:rsidTr="00FF51F1" w14:paraId="1D00B9EF" w14:textId="0F046C57">
        <w:tc>
          <w:tcPr>
            <w:tcW w:w="3690" w:type="dxa"/>
            <w:shd w:val="clear" w:color="auto" w:fill="AEAAAA"/>
          </w:tcPr>
          <w:p w:rsidRPr="00334A5A" w:rsidR="00FF51F1" w:rsidP="00033772" w:rsidRDefault="00FF51F1" w14:paraId="3AC4F344" w14:textId="77777777">
            <w:pPr>
              <w:tabs>
                <w:tab w:val="right" w:pos="10080"/>
              </w:tabs>
              <w:jc w:val="both"/>
              <w:rPr>
                <w:rFonts w:ascii="Palatino Linotype" w:hAnsi="Palatino Linotype"/>
                <w:b/>
                <w:bCs/>
              </w:rPr>
            </w:pPr>
            <w:r w:rsidRPr="00334A5A">
              <w:rPr>
                <w:rFonts w:ascii="Palatino Linotype" w:hAnsi="Palatino Linotype"/>
                <w:b/>
                <w:bCs/>
              </w:rPr>
              <w:t>Direct expenses</w:t>
            </w:r>
          </w:p>
        </w:tc>
        <w:tc>
          <w:tcPr>
            <w:tcW w:w="1125" w:type="dxa"/>
            <w:shd w:val="clear" w:color="auto" w:fill="AEAAAA"/>
          </w:tcPr>
          <w:p w:rsidRPr="00334A5A" w:rsidR="00FF51F1" w:rsidP="00033772" w:rsidRDefault="00FF51F1" w14:paraId="30B55CDC" w14:textId="77777777">
            <w:pPr>
              <w:tabs>
                <w:tab w:val="left" w:pos="151"/>
                <w:tab w:val="right" w:pos="10080"/>
              </w:tabs>
              <w:jc w:val="right"/>
              <w:rPr>
                <w:rFonts w:ascii="Palatino Linotype" w:hAnsi="Palatino Linotype"/>
                <w:b/>
                <w:bCs/>
              </w:rPr>
            </w:pPr>
          </w:p>
        </w:tc>
        <w:tc>
          <w:tcPr>
            <w:tcW w:w="1125" w:type="dxa"/>
            <w:shd w:val="clear" w:color="auto" w:fill="AEAAAA"/>
          </w:tcPr>
          <w:p w:rsidRPr="00334A5A" w:rsidR="00FF51F1" w:rsidP="00033772" w:rsidRDefault="00FF51F1" w14:paraId="38B81FA4" w14:textId="77777777">
            <w:pPr>
              <w:tabs>
                <w:tab w:val="left" w:pos="151"/>
                <w:tab w:val="right" w:pos="10080"/>
              </w:tabs>
              <w:jc w:val="right"/>
              <w:rPr>
                <w:rFonts w:ascii="Palatino Linotype" w:hAnsi="Palatino Linotype"/>
                <w:b/>
                <w:bCs/>
              </w:rPr>
            </w:pPr>
          </w:p>
        </w:tc>
        <w:tc>
          <w:tcPr>
            <w:tcW w:w="1125" w:type="dxa"/>
            <w:shd w:val="clear" w:color="auto" w:fill="AEAAAA"/>
          </w:tcPr>
          <w:p w:rsidRPr="00334A5A" w:rsidR="00FF51F1" w:rsidP="00033772" w:rsidRDefault="00FF51F1" w14:paraId="0AA2A781" w14:textId="01987419">
            <w:pPr>
              <w:tabs>
                <w:tab w:val="left" w:pos="151"/>
                <w:tab w:val="right" w:pos="10080"/>
              </w:tabs>
              <w:jc w:val="right"/>
              <w:rPr>
                <w:rFonts w:ascii="Palatino Linotype" w:hAnsi="Palatino Linotype"/>
                <w:b/>
                <w:bCs/>
              </w:rPr>
            </w:pPr>
            <w:r w:rsidRPr="00334A5A">
              <w:rPr>
                <w:rFonts w:ascii="Palatino Linotype" w:hAnsi="Palatino Linotype"/>
                <w:b/>
                <w:bCs/>
              </w:rPr>
              <w:t>$2</w:t>
            </w:r>
            <w:r>
              <w:rPr>
                <w:rFonts w:ascii="Palatino Linotype" w:hAnsi="Palatino Linotype"/>
                <w:b/>
                <w:bCs/>
              </w:rPr>
              <w:t>21,867</w:t>
            </w:r>
          </w:p>
        </w:tc>
        <w:tc>
          <w:tcPr>
            <w:tcW w:w="1125" w:type="dxa"/>
            <w:shd w:val="clear" w:color="auto" w:fill="AEAAAA"/>
          </w:tcPr>
          <w:p w:rsidRPr="00334A5A" w:rsidR="00FF51F1" w:rsidP="00033772" w:rsidRDefault="00FF51F1" w14:paraId="3C1217BF" w14:textId="045C6490">
            <w:pPr>
              <w:tabs>
                <w:tab w:val="left" w:pos="151"/>
                <w:tab w:val="right" w:pos="10080"/>
              </w:tabs>
              <w:jc w:val="right"/>
              <w:rPr>
                <w:rFonts w:ascii="Palatino Linotype" w:hAnsi="Palatino Linotype"/>
                <w:b/>
                <w:bCs/>
              </w:rPr>
            </w:pPr>
            <w:r>
              <w:rPr>
                <w:rFonts w:ascii="Palatino Linotype" w:hAnsi="Palatino Linotype"/>
                <w:b/>
                <w:bCs/>
              </w:rPr>
              <w:t>$180,169</w:t>
            </w:r>
          </w:p>
        </w:tc>
        <w:tc>
          <w:tcPr>
            <w:tcW w:w="1170" w:type="dxa"/>
            <w:shd w:val="clear" w:color="auto" w:fill="AEAAAA"/>
          </w:tcPr>
          <w:p w:rsidR="00FF51F1" w:rsidP="00033772" w:rsidRDefault="00F204E7" w14:paraId="37BCFE7A" w14:textId="44D66A83">
            <w:pPr>
              <w:tabs>
                <w:tab w:val="left" w:pos="151"/>
                <w:tab w:val="right" w:pos="10080"/>
              </w:tabs>
              <w:jc w:val="right"/>
              <w:rPr>
                <w:rFonts w:ascii="Palatino Linotype" w:hAnsi="Palatino Linotype"/>
                <w:b/>
                <w:bCs/>
              </w:rPr>
            </w:pPr>
            <w:r>
              <w:rPr>
                <w:rFonts w:ascii="Palatino Linotype" w:hAnsi="Palatino Linotype"/>
                <w:b/>
                <w:bCs/>
              </w:rPr>
              <w:t>$184,651</w:t>
            </w:r>
          </w:p>
        </w:tc>
      </w:tr>
      <w:tr w:rsidR="00B7700D" w:rsidTr="00D44AC0" w14:paraId="19FEE064" w14:textId="687B6E7D">
        <w:tc>
          <w:tcPr>
            <w:tcW w:w="4815" w:type="dxa"/>
            <w:gridSpan w:val="2"/>
          </w:tcPr>
          <w:p w:rsidR="00B7700D" w:rsidP="00B7700D" w:rsidRDefault="00B7700D" w14:paraId="08E5FD91" w14:textId="2EB86E41">
            <w:pPr>
              <w:tabs>
                <w:tab w:val="left" w:pos="151"/>
                <w:tab w:val="right" w:pos="10080"/>
              </w:tabs>
              <w:rPr>
                <w:rFonts w:ascii="Palatino Linotype" w:hAnsi="Palatino Linotype"/>
              </w:rPr>
            </w:pPr>
            <w:r>
              <w:rPr>
                <w:rFonts w:ascii="Palatino Linotype" w:hAnsi="Palatino Linotype"/>
              </w:rPr>
              <w:t>Admin expenses (15% of direct expenses)</w:t>
            </w:r>
          </w:p>
        </w:tc>
        <w:tc>
          <w:tcPr>
            <w:tcW w:w="1125" w:type="dxa"/>
          </w:tcPr>
          <w:p w:rsidR="00B7700D" w:rsidP="00033772" w:rsidRDefault="00B7700D" w14:paraId="7A3D4624" w14:textId="77777777">
            <w:pPr>
              <w:tabs>
                <w:tab w:val="left" w:pos="151"/>
                <w:tab w:val="right" w:pos="10080"/>
              </w:tabs>
              <w:jc w:val="right"/>
              <w:rPr>
                <w:rFonts w:ascii="Palatino Linotype" w:hAnsi="Palatino Linotype"/>
              </w:rPr>
            </w:pPr>
          </w:p>
        </w:tc>
        <w:tc>
          <w:tcPr>
            <w:tcW w:w="1125" w:type="dxa"/>
          </w:tcPr>
          <w:p w:rsidR="00B7700D" w:rsidP="00033772" w:rsidRDefault="00B7700D" w14:paraId="1BB8C233" w14:textId="00338219">
            <w:pPr>
              <w:tabs>
                <w:tab w:val="left" w:pos="151"/>
                <w:tab w:val="right" w:pos="10080"/>
              </w:tabs>
              <w:jc w:val="right"/>
              <w:rPr>
                <w:rFonts w:ascii="Palatino Linotype" w:hAnsi="Palatino Linotype"/>
              </w:rPr>
            </w:pPr>
            <w:r>
              <w:rPr>
                <w:rFonts w:ascii="Palatino Linotype" w:hAnsi="Palatino Linotype"/>
              </w:rPr>
              <w:t>$33,280</w:t>
            </w:r>
          </w:p>
        </w:tc>
        <w:tc>
          <w:tcPr>
            <w:tcW w:w="1125" w:type="dxa"/>
          </w:tcPr>
          <w:p w:rsidR="00B7700D" w:rsidP="00033772" w:rsidRDefault="00B7700D" w14:paraId="4F00CA1B" w14:textId="1A9E85EE">
            <w:pPr>
              <w:tabs>
                <w:tab w:val="left" w:pos="151"/>
                <w:tab w:val="right" w:pos="10080"/>
              </w:tabs>
              <w:jc w:val="right"/>
              <w:rPr>
                <w:rFonts w:ascii="Palatino Linotype" w:hAnsi="Palatino Linotype"/>
              </w:rPr>
            </w:pPr>
            <w:r>
              <w:rPr>
                <w:rFonts w:ascii="Palatino Linotype" w:hAnsi="Palatino Linotype"/>
              </w:rPr>
              <w:t>$27,025</w:t>
            </w:r>
          </w:p>
        </w:tc>
        <w:tc>
          <w:tcPr>
            <w:tcW w:w="1170" w:type="dxa"/>
          </w:tcPr>
          <w:p w:rsidR="00B7700D" w:rsidP="00033772" w:rsidRDefault="00B7700D" w14:paraId="624AA399" w14:textId="313A88C9">
            <w:pPr>
              <w:tabs>
                <w:tab w:val="left" w:pos="151"/>
                <w:tab w:val="right" w:pos="10080"/>
              </w:tabs>
              <w:jc w:val="right"/>
              <w:rPr>
                <w:rFonts w:ascii="Palatino Linotype" w:hAnsi="Palatino Linotype"/>
              </w:rPr>
            </w:pPr>
            <w:r>
              <w:rPr>
                <w:rFonts w:ascii="Palatino Linotype" w:hAnsi="Palatino Linotype"/>
              </w:rPr>
              <w:t>$27,698</w:t>
            </w:r>
          </w:p>
        </w:tc>
      </w:tr>
      <w:tr w:rsidR="00B7700D" w:rsidTr="00D44AC0" w14:paraId="5ADD49F7" w14:textId="64731DE4">
        <w:tc>
          <w:tcPr>
            <w:tcW w:w="4815" w:type="dxa"/>
            <w:gridSpan w:val="2"/>
            <w:shd w:val="clear" w:color="auto" w:fill="AEAAAA"/>
          </w:tcPr>
          <w:p w:rsidRPr="00334A5A" w:rsidR="00B7700D" w:rsidP="00B7700D" w:rsidRDefault="00B7700D" w14:paraId="488097AB" w14:textId="50C45E6B">
            <w:pPr>
              <w:tabs>
                <w:tab w:val="left" w:pos="151"/>
                <w:tab w:val="right" w:pos="10080"/>
              </w:tabs>
              <w:rPr>
                <w:rFonts w:ascii="Palatino Linotype" w:hAnsi="Palatino Linotype"/>
                <w:b/>
                <w:bCs/>
              </w:rPr>
            </w:pPr>
            <w:r w:rsidRPr="00334A5A">
              <w:rPr>
                <w:rFonts w:ascii="Palatino Linotype" w:hAnsi="Palatino Linotype"/>
                <w:b/>
                <w:bCs/>
              </w:rPr>
              <w:t>Total staffing expenses</w:t>
            </w:r>
          </w:p>
        </w:tc>
        <w:tc>
          <w:tcPr>
            <w:tcW w:w="1125" w:type="dxa"/>
            <w:shd w:val="clear" w:color="auto" w:fill="AEAAAA"/>
          </w:tcPr>
          <w:p w:rsidRPr="00334A5A" w:rsidR="00B7700D" w:rsidP="00033772" w:rsidRDefault="00B7700D" w14:paraId="0847448E" w14:textId="77777777">
            <w:pPr>
              <w:tabs>
                <w:tab w:val="left" w:pos="151"/>
                <w:tab w:val="right" w:pos="10080"/>
              </w:tabs>
              <w:jc w:val="right"/>
              <w:rPr>
                <w:rFonts w:ascii="Palatino Linotype" w:hAnsi="Palatino Linotype"/>
                <w:b/>
                <w:bCs/>
              </w:rPr>
            </w:pPr>
          </w:p>
        </w:tc>
        <w:tc>
          <w:tcPr>
            <w:tcW w:w="1125" w:type="dxa"/>
            <w:shd w:val="clear" w:color="auto" w:fill="AEAAAA"/>
          </w:tcPr>
          <w:p w:rsidRPr="00334A5A" w:rsidR="00B7700D" w:rsidP="00033772" w:rsidRDefault="00B7700D" w14:paraId="311DAF5D" w14:textId="7E31B4A9">
            <w:pPr>
              <w:tabs>
                <w:tab w:val="left" w:pos="151"/>
                <w:tab w:val="right" w:pos="10080"/>
              </w:tabs>
              <w:jc w:val="right"/>
              <w:rPr>
                <w:rFonts w:ascii="Palatino Linotype" w:hAnsi="Palatino Linotype"/>
                <w:b/>
                <w:bCs/>
              </w:rPr>
            </w:pPr>
            <w:r w:rsidRPr="00334A5A">
              <w:rPr>
                <w:rFonts w:ascii="Palatino Linotype" w:hAnsi="Palatino Linotype"/>
                <w:b/>
                <w:bCs/>
              </w:rPr>
              <w:t>$</w:t>
            </w:r>
            <w:r>
              <w:rPr>
                <w:rFonts w:ascii="Palatino Linotype" w:hAnsi="Palatino Linotype"/>
                <w:b/>
                <w:bCs/>
              </w:rPr>
              <w:t>255,147</w:t>
            </w:r>
          </w:p>
        </w:tc>
        <w:tc>
          <w:tcPr>
            <w:tcW w:w="1125" w:type="dxa"/>
            <w:shd w:val="clear" w:color="auto" w:fill="AEAAAA"/>
          </w:tcPr>
          <w:p w:rsidRPr="00334A5A" w:rsidR="00B7700D" w:rsidP="00033772" w:rsidRDefault="00B7700D" w14:paraId="43C58B76" w14:textId="7F302235">
            <w:pPr>
              <w:tabs>
                <w:tab w:val="left" w:pos="151"/>
                <w:tab w:val="right" w:pos="10080"/>
              </w:tabs>
              <w:jc w:val="right"/>
              <w:rPr>
                <w:rFonts w:ascii="Palatino Linotype" w:hAnsi="Palatino Linotype"/>
                <w:b/>
                <w:bCs/>
              </w:rPr>
            </w:pPr>
            <w:r>
              <w:rPr>
                <w:rFonts w:ascii="Palatino Linotype" w:hAnsi="Palatino Linotype"/>
                <w:b/>
                <w:bCs/>
              </w:rPr>
              <w:t>$207,194</w:t>
            </w:r>
          </w:p>
        </w:tc>
        <w:tc>
          <w:tcPr>
            <w:tcW w:w="1170" w:type="dxa"/>
            <w:shd w:val="clear" w:color="auto" w:fill="AEAAAA"/>
          </w:tcPr>
          <w:p w:rsidR="00B7700D" w:rsidP="00033772" w:rsidRDefault="00B7700D" w14:paraId="2F4E9097" w14:textId="21D20374">
            <w:pPr>
              <w:tabs>
                <w:tab w:val="left" w:pos="151"/>
                <w:tab w:val="right" w:pos="10080"/>
              </w:tabs>
              <w:jc w:val="right"/>
              <w:rPr>
                <w:rFonts w:ascii="Palatino Linotype" w:hAnsi="Palatino Linotype"/>
                <w:b/>
                <w:bCs/>
              </w:rPr>
            </w:pPr>
            <w:r>
              <w:rPr>
                <w:rFonts w:ascii="Palatino Linotype" w:hAnsi="Palatino Linotype"/>
                <w:b/>
                <w:bCs/>
              </w:rPr>
              <w:t>$212,349</w:t>
            </w:r>
          </w:p>
        </w:tc>
      </w:tr>
    </w:tbl>
    <w:p w:rsidR="004C67E4" w:rsidP="004C67E4" w:rsidRDefault="004C67E4" w14:paraId="766B77FF" w14:textId="77777777">
      <w:pPr>
        <w:tabs>
          <w:tab w:val="right" w:pos="10080"/>
        </w:tabs>
        <w:jc w:val="both"/>
        <w:rPr>
          <w:rFonts w:ascii="Palatino Linotype" w:hAnsi="Palatino Linotype"/>
        </w:rPr>
      </w:pPr>
    </w:p>
    <w:p w:rsidR="00A7199D" w:rsidP="00AF0C64" w:rsidRDefault="004C67E4" w14:paraId="1B87F0BC" w14:textId="676A55E7">
      <w:pPr>
        <w:tabs>
          <w:tab w:val="right" w:pos="10080"/>
        </w:tabs>
        <w:rPr>
          <w:rFonts w:ascii="Palatino Linotype" w:hAnsi="Palatino Linotype"/>
        </w:rPr>
      </w:pPr>
      <w:r>
        <w:rPr>
          <w:rFonts w:ascii="Palatino Linotype" w:hAnsi="Palatino Linotype"/>
        </w:rPr>
        <w:t>Interface states that fringe benefits include FICA and Medicare, health benefits, pension, and unemployment. These staffing expenses apply regardless of the number of participating counties.</w:t>
      </w:r>
    </w:p>
    <w:p w:rsidR="00CB29F3" w:rsidP="00CB29F3" w:rsidRDefault="00CB29F3" w14:paraId="6879F8CD" w14:textId="77777777">
      <w:pPr>
        <w:tabs>
          <w:tab w:val="right" w:pos="10080"/>
        </w:tabs>
        <w:rPr>
          <w:rFonts w:ascii="Palatino Linotype" w:hAnsi="Palatino Linotype"/>
        </w:rPr>
      </w:pPr>
    </w:p>
    <w:p w:rsidRPr="00B04CD3" w:rsidR="00CB29F3" w:rsidP="00CB29F3" w:rsidRDefault="00CB29F3" w14:paraId="2A4AB81A" w14:textId="1430D0D0">
      <w:pPr>
        <w:tabs>
          <w:tab w:val="right" w:pos="10080"/>
        </w:tabs>
        <w:rPr>
          <w:rFonts w:ascii="Palatino Linotype" w:hAnsi="Palatino Linotype"/>
          <w:i/>
          <w:iCs/>
        </w:rPr>
      </w:pPr>
      <w:r w:rsidRPr="00B04CD3">
        <w:rPr>
          <w:rFonts w:ascii="Palatino Linotype" w:hAnsi="Palatino Linotype"/>
          <w:i/>
          <w:iCs/>
        </w:rPr>
        <w:t>El Dorado and Placer</w:t>
      </w:r>
      <w:r w:rsidRPr="00B04CD3" w:rsidR="00CB05AB">
        <w:rPr>
          <w:rFonts w:ascii="Palatino Linotype" w:hAnsi="Palatino Linotype"/>
          <w:i/>
          <w:iCs/>
        </w:rPr>
        <w:t xml:space="preserve"> </w:t>
      </w:r>
      <w:r w:rsidR="0074495F">
        <w:rPr>
          <w:rFonts w:ascii="Palatino Linotype" w:hAnsi="Palatino Linotype"/>
          <w:i/>
          <w:iCs/>
        </w:rPr>
        <w:t>C</w:t>
      </w:r>
      <w:r w:rsidRPr="00B04CD3" w:rsidR="00CB05AB">
        <w:rPr>
          <w:rFonts w:ascii="Palatino Linotype" w:hAnsi="Palatino Linotype"/>
          <w:i/>
          <w:iCs/>
        </w:rPr>
        <w:t>ounties</w:t>
      </w:r>
    </w:p>
    <w:p w:rsidR="00CB29F3" w:rsidP="00CB29F3" w:rsidRDefault="00CB29F3" w14:paraId="0F8578F1" w14:textId="77777777">
      <w:pPr>
        <w:tabs>
          <w:tab w:val="right" w:pos="10080"/>
        </w:tabs>
        <w:rPr>
          <w:rFonts w:ascii="Palatino Linotype" w:hAnsi="Palatino Linotype"/>
        </w:rPr>
      </w:pPr>
    </w:p>
    <w:p w:rsidR="006F11AD" w:rsidP="00AF0C64" w:rsidRDefault="006F11AD" w14:paraId="57990BE8" w14:textId="15698E11">
      <w:pPr>
        <w:tabs>
          <w:tab w:val="right" w:pos="10080"/>
        </w:tabs>
        <w:rPr>
          <w:rFonts w:ascii="Palatino Linotype" w:hAnsi="Palatino Linotype"/>
        </w:rPr>
      </w:pPr>
      <w:r>
        <w:rPr>
          <w:rFonts w:ascii="Palatino Linotype" w:hAnsi="Palatino Linotype"/>
        </w:rPr>
        <w:t>El Dorado and Placer counties are adopting solutions separate from th</w:t>
      </w:r>
      <w:r w:rsidR="00BC2043">
        <w:rPr>
          <w:rFonts w:ascii="Palatino Linotype" w:hAnsi="Palatino Linotype"/>
        </w:rPr>
        <w:t>e one</w:t>
      </w:r>
      <w:r>
        <w:rPr>
          <w:rFonts w:ascii="Palatino Linotype" w:hAnsi="Palatino Linotype"/>
        </w:rPr>
        <w:t xml:space="preserve"> approved in this resolution and are therefore precluded from eligibility for most SB 1212 funding</w:t>
      </w:r>
      <w:r w:rsidR="00C866E1">
        <w:rPr>
          <w:rFonts w:ascii="Palatino Linotype" w:hAnsi="Palatino Linotype"/>
        </w:rPr>
        <w:t xml:space="preserve">. However, certain implementation expenses in both counties that have not </w:t>
      </w:r>
      <w:r w:rsidR="00BC2043">
        <w:rPr>
          <w:rFonts w:ascii="Palatino Linotype" w:hAnsi="Palatino Linotype"/>
        </w:rPr>
        <w:t xml:space="preserve">yet </w:t>
      </w:r>
      <w:r w:rsidR="00C866E1">
        <w:rPr>
          <w:rFonts w:ascii="Palatino Linotype" w:hAnsi="Palatino Linotype"/>
        </w:rPr>
        <w:t>been incurred, such as marketing and consumer education expenses</w:t>
      </w:r>
      <w:r w:rsidR="00BC2043">
        <w:rPr>
          <w:rFonts w:ascii="Palatino Linotype" w:hAnsi="Palatino Linotype"/>
        </w:rPr>
        <w:t>, are eligible for funding</w:t>
      </w:r>
      <w:r w:rsidR="00C866E1">
        <w:rPr>
          <w:rFonts w:ascii="Palatino Linotype" w:hAnsi="Palatino Linotype"/>
        </w:rPr>
        <w:t>. Increasing awareness of 2-1-1 in these counties will maximize the systems’ effectiveness during disasters, a goal consistent with the legislative intent of SB 1212. Marketing and consumer education expenses for Years One through Three will be $2,500 per year per county, the same allotted in Interface’s proposal, paid for by SB 1212 funds.</w:t>
      </w:r>
    </w:p>
    <w:p w:rsidR="00CB05AB" w:rsidP="00AF0C64" w:rsidRDefault="00CB05AB" w14:paraId="17318424" w14:textId="00690ACA">
      <w:pPr>
        <w:tabs>
          <w:tab w:val="right" w:pos="10080"/>
        </w:tabs>
        <w:rPr>
          <w:rFonts w:ascii="Palatino Linotype" w:hAnsi="Palatino Linotype"/>
        </w:rPr>
      </w:pPr>
    </w:p>
    <w:p w:rsidR="00C866E1" w:rsidP="00AF0C64" w:rsidRDefault="00C866E1" w14:paraId="58CFA738" w14:textId="3FAB61B9">
      <w:pPr>
        <w:tabs>
          <w:tab w:val="right" w:pos="10080"/>
        </w:tabs>
        <w:rPr>
          <w:rFonts w:ascii="Palatino Linotype" w:hAnsi="Palatino Linotype"/>
        </w:rPr>
      </w:pPr>
      <w:r>
        <w:rPr>
          <w:rFonts w:ascii="Palatino Linotype" w:hAnsi="Palatino Linotype"/>
        </w:rPr>
        <w:t xml:space="preserve">Additionally, Placer County will incur switch translation expenses during the setup of the county’s 2-1-1 system. Paying for these costs </w:t>
      </w:r>
      <w:r w:rsidR="00012FC6">
        <w:rPr>
          <w:rFonts w:ascii="Palatino Linotype" w:hAnsi="Palatino Linotype"/>
        </w:rPr>
        <w:t>furthers</w:t>
      </w:r>
      <w:r>
        <w:rPr>
          <w:rFonts w:ascii="Palatino Linotype" w:hAnsi="Palatino Linotype"/>
        </w:rPr>
        <w:t xml:space="preserve"> the legislative intent of SB 1212 in expanding 2</w:t>
      </w:r>
      <w:r>
        <w:rPr>
          <w:rFonts w:ascii="Palatino Linotype" w:hAnsi="Palatino Linotype"/>
        </w:rPr>
        <w:noBreakHyphen/>
        <w:t>1</w:t>
      </w:r>
      <w:r>
        <w:rPr>
          <w:rFonts w:ascii="Palatino Linotype" w:hAnsi="Palatino Linotype"/>
        </w:rPr>
        <w:noBreakHyphen/>
        <w:t xml:space="preserve">1 service throughout California. These switch translation expenses </w:t>
      </w:r>
      <w:r w:rsidR="00BC2043">
        <w:rPr>
          <w:rFonts w:ascii="Palatino Linotype" w:hAnsi="Palatino Linotype"/>
        </w:rPr>
        <w:t>are estimated to be $5,000 and are recoverable through SB 1212 funds.</w:t>
      </w:r>
    </w:p>
    <w:tbl>
      <w:tblPr>
        <w:tblStyle w:val="TableGrid"/>
        <w:tblW w:w="9337" w:type="dxa"/>
        <w:tblInd w:w="108" w:type="dxa"/>
        <w:tblLayout w:type="fixed"/>
        <w:tblLook w:val="04A0" w:firstRow="1" w:lastRow="0" w:firstColumn="1" w:lastColumn="0" w:noHBand="0" w:noVBand="1"/>
      </w:tblPr>
      <w:tblGrid>
        <w:gridCol w:w="5917"/>
        <w:gridCol w:w="1140"/>
        <w:gridCol w:w="1140"/>
        <w:gridCol w:w="1140"/>
      </w:tblGrid>
      <w:tr w:rsidRPr="00CE307A" w:rsidR="00642D55" w:rsidTr="00642D55" w14:paraId="4A365F36" w14:textId="77777777">
        <w:tc>
          <w:tcPr>
            <w:tcW w:w="5917" w:type="dxa"/>
            <w:shd w:val="clear" w:color="auto" w:fill="AEAAAA"/>
          </w:tcPr>
          <w:p w:rsidRPr="00334A5A" w:rsidR="00642D55" w:rsidP="00806442" w:rsidRDefault="0074495F" w14:paraId="43BC0DBD" w14:textId="39E0B358">
            <w:pPr>
              <w:tabs>
                <w:tab w:val="right" w:pos="10080"/>
              </w:tabs>
              <w:jc w:val="both"/>
              <w:rPr>
                <w:rFonts w:ascii="Palatino Linotype" w:hAnsi="Palatino Linotype"/>
                <w:b/>
                <w:bCs/>
              </w:rPr>
            </w:pPr>
            <w:r>
              <w:rPr>
                <w:rFonts w:ascii="Palatino Linotype" w:hAnsi="Palatino Linotype"/>
              </w:rPr>
              <w:lastRenderedPageBreak/>
              <w:br w:type="page"/>
            </w:r>
            <w:r w:rsidRPr="00334A5A" w:rsidR="00642D55">
              <w:rPr>
                <w:rFonts w:ascii="Palatino Linotype" w:hAnsi="Palatino Linotype"/>
                <w:b/>
                <w:bCs/>
              </w:rPr>
              <w:t xml:space="preserve">Expenses </w:t>
            </w:r>
            <w:r w:rsidR="007B3E60">
              <w:rPr>
                <w:rFonts w:ascii="Palatino Linotype" w:hAnsi="Palatino Linotype"/>
                <w:b/>
                <w:bCs/>
              </w:rPr>
              <w:t>for El Dorado and Placer counties</w:t>
            </w:r>
          </w:p>
        </w:tc>
        <w:tc>
          <w:tcPr>
            <w:tcW w:w="1140" w:type="dxa"/>
            <w:shd w:val="clear" w:color="auto" w:fill="AEAAAA"/>
          </w:tcPr>
          <w:p w:rsidR="00642D55" w:rsidP="00806442" w:rsidRDefault="00642D55" w14:paraId="2067DC83" w14:textId="77777777">
            <w:pPr>
              <w:tabs>
                <w:tab w:val="left" w:pos="151"/>
                <w:tab w:val="right" w:pos="10080"/>
              </w:tabs>
              <w:ind w:left="166" w:hanging="166"/>
              <w:jc w:val="center"/>
              <w:rPr>
                <w:rFonts w:ascii="Palatino Linotype" w:hAnsi="Palatino Linotype"/>
                <w:b/>
                <w:bCs/>
              </w:rPr>
            </w:pPr>
            <w:r w:rsidRPr="00334A5A">
              <w:rPr>
                <w:rFonts w:ascii="Palatino Linotype" w:hAnsi="Palatino Linotype"/>
                <w:b/>
                <w:bCs/>
              </w:rPr>
              <w:t>Setup</w:t>
            </w:r>
            <w:r>
              <w:rPr>
                <w:rFonts w:ascii="Palatino Linotype" w:hAnsi="Palatino Linotype"/>
                <w:b/>
                <w:bCs/>
              </w:rPr>
              <w:t>,</w:t>
            </w:r>
          </w:p>
          <w:p w:rsidRPr="00334A5A" w:rsidR="00642D55" w:rsidP="00806442" w:rsidRDefault="00642D55" w14:paraId="4B8340B1" w14:textId="77777777">
            <w:pPr>
              <w:tabs>
                <w:tab w:val="left" w:pos="151"/>
                <w:tab w:val="right" w:pos="10080"/>
              </w:tabs>
              <w:ind w:left="166" w:hanging="166"/>
              <w:jc w:val="center"/>
              <w:rPr>
                <w:rFonts w:ascii="Palatino Linotype" w:hAnsi="Palatino Linotype"/>
                <w:b/>
                <w:bCs/>
              </w:rPr>
            </w:pPr>
            <w:r w:rsidRPr="00334A5A">
              <w:rPr>
                <w:rFonts w:ascii="Palatino Linotype" w:hAnsi="Palatino Linotype"/>
                <w:b/>
                <w:bCs/>
              </w:rPr>
              <w:t>Year 1</w:t>
            </w:r>
          </w:p>
        </w:tc>
        <w:tc>
          <w:tcPr>
            <w:tcW w:w="1140" w:type="dxa"/>
            <w:shd w:val="clear" w:color="auto" w:fill="AEAAAA"/>
          </w:tcPr>
          <w:p w:rsidRPr="00334A5A" w:rsidR="00642D55" w:rsidP="00806442" w:rsidRDefault="00642D55" w14:paraId="05559B80" w14:textId="77777777">
            <w:pPr>
              <w:tabs>
                <w:tab w:val="left" w:pos="151"/>
                <w:tab w:val="right" w:pos="10080"/>
              </w:tabs>
              <w:jc w:val="center"/>
              <w:rPr>
                <w:rFonts w:ascii="Palatino Linotype" w:hAnsi="Palatino Linotype"/>
                <w:b/>
                <w:bCs/>
              </w:rPr>
            </w:pPr>
            <w:r w:rsidRPr="00334A5A">
              <w:rPr>
                <w:rFonts w:ascii="Palatino Linotype" w:hAnsi="Palatino Linotype"/>
                <w:b/>
                <w:bCs/>
              </w:rPr>
              <w:t>Year 2</w:t>
            </w:r>
          </w:p>
        </w:tc>
        <w:tc>
          <w:tcPr>
            <w:tcW w:w="1140" w:type="dxa"/>
            <w:shd w:val="clear" w:color="auto" w:fill="AEAAAA" w:themeFill="background2" w:themeFillShade="BF"/>
          </w:tcPr>
          <w:p w:rsidRPr="00334A5A" w:rsidR="00642D55" w:rsidP="00806442" w:rsidRDefault="00642D55" w14:paraId="403B1EC5" w14:textId="77777777">
            <w:pPr>
              <w:tabs>
                <w:tab w:val="left" w:pos="151"/>
                <w:tab w:val="right" w:pos="10080"/>
              </w:tabs>
              <w:jc w:val="center"/>
              <w:rPr>
                <w:rFonts w:ascii="Palatino Linotype" w:hAnsi="Palatino Linotype"/>
                <w:b/>
                <w:bCs/>
              </w:rPr>
            </w:pPr>
            <w:r w:rsidRPr="00334A5A">
              <w:rPr>
                <w:rFonts w:ascii="Palatino Linotype" w:hAnsi="Palatino Linotype"/>
                <w:b/>
                <w:bCs/>
              </w:rPr>
              <w:t>Year 3</w:t>
            </w:r>
          </w:p>
        </w:tc>
      </w:tr>
      <w:tr w:rsidR="00642D55" w:rsidTr="00642D55" w14:paraId="52D3996A" w14:textId="77777777">
        <w:tc>
          <w:tcPr>
            <w:tcW w:w="5917" w:type="dxa"/>
          </w:tcPr>
          <w:p w:rsidR="00642D55" w:rsidP="00642D55" w:rsidRDefault="00642D55" w14:paraId="4FEBDCFE" w14:textId="71C27818">
            <w:pPr>
              <w:tabs>
                <w:tab w:val="right" w:pos="10080"/>
              </w:tabs>
              <w:jc w:val="both"/>
              <w:rPr>
                <w:rFonts w:ascii="Palatino Linotype" w:hAnsi="Palatino Linotype"/>
              </w:rPr>
            </w:pPr>
            <w:r>
              <w:rPr>
                <w:rFonts w:ascii="Palatino Linotype" w:hAnsi="Palatino Linotype"/>
              </w:rPr>
              <w:t>Marketing of 2-1-1 services</w:t>
            </w:r>
            <w:r w:rsidR="00921CB1">
              <w:rPr>
                <w:rFonts w:ascii="Palatino Linotype" w:hAnsi="Palatino Linotype"/>
              </w:rPr>
              <w:t xml:space="preserve"> in El Dorado County</w:t>
            </w:r>
          </w:p>
        </w:tc>
        <w:tc>
          <w:tcPr>
            <w:tcW w:w="1140" w:type="dxa"/>
            <w:vAlign w:val="bottom"/>
          </w:tcPr>
          <w:p w:rsidR="00642D55" w:rsidP="00642D55" w:rsidRDefault="00642D55" w14:paraId="2689E27A" w14:textId="559955B2">
            <w:pPr>
              <w:tabs>
                <w:tab w:val="left" w:pos="151"/>
                <w:tab w:val="right" w:pos="10080"/>
              </w:tabs>
              <w:jc w:val="right"/>
              <w:rPr>
                <w:rFonts w:ascii="Palatino Linotype" w:hAnsi="Palatino Linotype"/>
              </w:rPr>
            </w:pPr>
            <w:r>
              <w:rPr>
                <w:rFonts w:ascii="Palatino Linotype" w:hAnsi="Palatino Linotype"/>
              </w:rPr>
              <w:t>$2,500</w:t>
            </w:r>
          </w:p>
        </w:tc>
        <w:tc>
          <w:tcPr>
            <w:tcW w:w="1140" w:type="dxa"/>
            <w:vAlign w:val="bottom"/>
          </w:tcPr>
          <w:p w:rsidRPr="004E3BBF" w:rsidR="00642D55" w:rsidP="00642D55" w:rsidRDefault="00642D55" w14:paraId="12C232DF" w14:textId="76797D74">
            <w:pPr>
              <w:jc w:val="right"/>
              <w:rPr>
                <w:rFonts w:ascii="Palatino Linotype" w:hAnsi="Palatino Linotype"/>
              </w:rPr>
            </w:pPr>
            <w:r>
              <w:rPr>
                <w:rFonts w:ascii="Palatino Linotype" w:hAnsi="Palatino Linotype"/>
              </w:rPr>
              <w:t>$2,500</w:t>
            </w:r>
          </w:p>
        </w:tc>
        <w:tc>
          <w:tcPr>
            <w:tcW w:w="1140" w:type="dxa"/>
            <w:vAlign w:val="bottom"/>
          </w:tcPr>
          <w:p w:rsidR="00642D55" w:rsidP="00642D55" w:rsidRDefault="00642D55" w14:paraId="3F26529A" w14:textId="2DCECBA5">
            <w:pPr>
              <w:jc w:val="right"/>
              <w:rPr>
                <w:rFonts w:ascii="Palatino Linotype" w:hAnsi="Palatino Linotype"/>
              </w:rPr>
            </w:pPr>
            <w:r>
              <w:rPr>
                <w:rFonts w:ascii="Palatino Linotype" w:hAnsi="Palatino Linotype"/>
              </w:rPr>
              <w:t>$2,500</w:t>
            </w:r>
          </w:p>
        </w:tc>
      </w:tr>
      <w:tr w:rsidRPr="00334A5A" w:rsidR="00706250" w:rsidTr="00806442" w14:paraId="2C55ACD9" w14:textId="77777777">
        <w:tc>
          <w:tcPr>
            <w:tcW w:w="5917" w:type="dxa"/>
            <w:shd w:val="clear" w:color="auto" w:fill="AEAAAA"/>
          </w:tcPr>
          <w:p w:rsidRPr="00334A5A" w:rsidR="00706250" w:rsidP="00706250" w:rsidRDefault="00706250" w14:paraId="5028119E" w14:textId="17F39A0C">
            <w:pPr>
              <w:tabs>
                <w:tab w:val="right" w:pos="10080"/>
              </w:tabs>
              <w:rPr>
                <w:rFonts w:ascii="Palatino Linotype" w:hAnsi="Palatino Linotype"/>
                <w:b/>
                <w:bCs/>
              </w:rPr>
            </w:pPr>
            <w:r>
              <w:rPr>
                <w:rFonts w:ascii="Palatino Linotype" w:hAnsi="Palatino Linotype"/>
                <w:b/>
                <w:bCs/>
              </w:rPr>
              <w:t>Total for El Dorado County</w:t>
            </w:r>
          </w:p>
        </w:tc>
        <w:tc>
          <w:tcPr>
            <w:tcW w:w="1140" w:type="dxa"/>
            <w:shd w:val="clear" w:color="auto" w:fill="AEAAAA"/>
            <w:vAlign w:val="bottom"/>
          </w:tcPr>
          <w:p w:rsidRPr="00334A5A" w:rsidR="00706250" w:rsidP="00706250" w:rsidRDefault="00706250" w14:paraId="2C38B5BD" w14:textId="29F8A4E8">
            <w:pPr>
              <w:tabs>
                <w:tab w:val="left" w:pos="151"/>
                <w:tab w:val="right" w:pos="10080"/>
              </w:tabs>
              <w:jc w:val="right"/>
              <w:rPr>
                <w:rFonts w:ascii="Palatino Linotype" w:hAnsi="Palatino Linotype"/>
                <w:b/>
                <w:bCs/>
              </w:rPr>
            </w:pPr>
            <w:r>
              <w:rPr>
                <w:rFonts w:ascii="Palatino Linotype" w:hAnsi="Palatino Linotype"/>
                <w:b/>
                <w:bCs/>
              </w:rPr>
              <w:t>$2,500</w:t>
            </w:r>
          </w:p>
        </w:tc>
        <w:tc>
          <w:tcPr>
            <w:tcW w:w="1140" w:type="dxa"/>
            <w:shd w:val="clear" w:color="auto" w:fill="AEAAAA"/>
          </w:tcPr>
          <w:p w:rsidRPr="00334A5A" w:rsidR="00706250" w:rsidP="00706250" w:rsidRDefault="00706250" w14:paraId="16A0D740" w14:textId="31A9E89F">
            <w:pPr>
              <w:tabs>
                <w:tab w:val="left" w:pos="151"/>
                <w:tab w:val="right" w:pos="10080"/>
              </w:tabs>
              <w:jc w:val="right"/>
              <w:rPr>
                <w:rFonts w:ascii="Palatino Linotype" w:hAnsi="Palatino Linotype"/>
                <w:b/>
                <w:bCs/>
              </w:rPr>
            </w:pPr>
            <w:r w:rsidRPr="0067301E">
              <w:rPr>
                <w:rFonts w:ascii="Palatino Linotype" w:hAnsi="Palatino Linotype"/>
                <w:b/>
                <w:bCs/>
              </w:rPr>
              <w:t>$2,500</w:t>
            </w:r>
          </w:p>
        </w:tc>
        <w:tc>
          <w:tcPr>
            <w:tcW w:w="1140" w:type="dxa"/>
            <w:shd w:val="clear" w:color="auto" w:fill="AEAAAA" w:themeFill="background2" w:themeFillShade="BF"/>
          </w:tcPr>
          <w:p w:rsidRPr="00334A5A" w:rsidR="00706250" w:rsidP="00706250" w:rsidRDefault="00706250" w14:paraId="336E5F95" w14:textId="6EC5B2C5">
            <w:pPr>
              <w:tabs>
                <w:tab w:val="left" w:pos="151"/>
                <w:tab w:val="right" w:pos="10080"/>
              </w:tabs>
              <w:jc w:val="right"/>
              <w:rPr>
                <w:rFonts w:ascii="Palatino Linotype" w:hAnsi="Palatino Linotype"/>
                <w:b/>
                <w:bCs/>
              </w:rPr>
            </w:pPr>
            <w:r w:rsidRPr="0067301E">
              <w:rPr>
                <w:rFonts w:ascii="Palatino Linotype" w:hAnsi="Palatino Linotype"/>
                <w:b/>
                <w:bCs/>
              </w:rPr>
              <w:t>$2,500</w:t>
            </w:r>
          </w:p>
        </w:tc>
      </w:tr>
      <w:tr w:rsidR="00642D55" w:rsidTr="00642D55" w14:paraId="791A32F4" w14:textId="77777777">
        <w:tc>
          <w:tcPr>
            <w:tcW w:w="5917" w:type="dxa"/>
          </w:tcPr>
          <w:p w:rsidR="00642D55" w:rsidP="00642D55" w:rsidRDefault="00642D55" w14:paraId="22EF7223" w14:textId="147D3DEF">
            <w:pPr>
              <w:tabs>
                <w:tab w:val="right" w:pos="10080"/>
              </w:tabs>
              <w:jc w:val="both"/>
              <w:rPr>
                <w:rFonts w:ascii="Palatino Linotype" w:hAnsi="Palatino Linotype"/>
              </w:rPr>
            </w:pPr>
            <w:r>
              <w:rPr>
                <w:rFonts w:ascii="Palatino Linotype" w:hAnsi="Palatino Linotype"/>
              </w:rPr>
              <w:t>Switch translation</w:t>
            </w:r>
            <w:r w:rsidR="00921CB1">
              <w:rPr>
                <w:rFonts w:ascii="Palatino Linotype" w:hAnsi="Palatino Linotype"/>
              </w:rPr>
              <w:t xml:space="preserve"> expenses in Placer County</w:t>
            </w:r>
          </w:p>
        </w:tc>
        <w:tc>
          <w:tcPr>
            <w:tcW w:w="1140" w:type="dxa"/>
            <w:vAlign w:val="bottom"/>
          </w:tcPr>
          <w:p w:rsidR="00642D55" w:rsidP="00642D55" w:rsidRDefault="00642D55" w14:paraId="56FA622F" w14:textId="77777777">
            <w:pPr>
              <w:tabs>
                <w:tab w:val="left" w:pos="151"/>
                <w:tab w:val="right" w:pos="10080"/>
              </w:tabs>
              <w:jc w:val="right"/>
              <w:rPr>
                <w:rFonts w:ascii="Palatino Linotype" w:hAnsi="Palatino Linotype"/>
              </w:rPr>
            </w:pPr>
            <w:r>
              <w:rPr>
                <w:rFonts w:ascii="Palatino Linotype" w:hAnsi="Palatino Linotype"/>
              </w:rPr>
              <w:t>$5,000</w:t>
            </w:r>
          </w:p>
        </w:tc>
        <w:tc>
          <w:tcPr>
            <w:tcW w:w="1140" w:type="dxa"/>
            <w:vAlign w:val="bottom"/>
          </w:tcPr>
          <w:p w:rsidRPr="004E3BBF" w:rsidR="00642D55" w:rsidP="00642D55" w:rsidRDefault="00642D55" w14:paraId="5E958B20" w14:textId="77777777">
            <w:pPr>
              <w:jc w:val="right"/>
              <w:rPr>
                <w:rFonts w:ascii="Palatino Linotype" w:hAnsi="Palatino Linotype"/>
              </w:rPr>
            </w:pPr>
            <w:r>
              <w:rPr>
                <w:rStyle w:val="st"/>
              </w:rPr>
              <w:t>—</w:t>
            </w:r>
          </w:p>
        </w:tc>
        <w:tc>
          <w:tcPr>
            <w:tcW w:w="1140" w:type="dxa"/>
            <w:vAlign w:val="bottom"/>
          </w:tcPr>
          <w:p w:rsidR="00642D55" w:rsidP="00642D55" w:rsidRDefault="00642D55" w14:paraId="2A07339A" w14:textId="77777777">
            <w:pPr>
              <w:jc w:val="right"/>
              <w:rPr>
                <w:rFonts w:ascii="Palatino Linotype" w:hAnsi="Palatino Linotype"/>
              </w:rPr>
            </w:pPr>
            <w:r>
              <w:rPr>
                <w:rStyle w:val="st"/>
              </w:rPr>
              <w:t>—</w:t>
            </w:r>
          </w:p>
        </w:tc>
      </w:tr>
      <w:tr w:rsidR="00642D55" w:rsidTr="00642D55" w14:paraId="6334DD5A" w14:textId="77777777">
        <w:tc>
          <w:tcPr>
            <w:tcW w:w="5917" w:type="dxa"/>
          </w:tcPr>
          <w:p w:rsidR="00642D55" w:rsidP="00642D55" w:rsidRDefault="00642D55" w14:paraId="7E012BB1" w14:textId="53CA8220">
            <w:pPr>
              <w:tabs>
                <w:tab w:val="right" w:pos="10080"/>
              </w:tabs>
              <w:jc w:val="both"/>
              <w:rPr>
                <w:rFonts w:ascii="Palatino Linotype" w:hAnsi="Palatino Linotype"/>
              </w:rPr>
            </w:pPr>
            <w:r>
              <w:rPr>
                <w:rFonts w:ascii="Palatino Linotype" w:hAnsi="Palatino Linotype"/>
              </w:rPr>
              <w:t>Marketing of 2-1-1 services</w:t>
            </w:r>
            <w:r w:rsidR="00921CB1">
              <w:rPr>
                <w:rFonts w:ascii="Palatino Linotype" w:hAnsi="Palatino Linotype"/>
              </w:rPr>
              <w:t xml:space="preserve"> in Placer County</w:t>
            </w:r>
          </w:p>
        </w:tc>
        <w:tc>
          <w:tcPr>
            <w:tcW w:w="1140" w:type="dxa"/>
            <w:vAlign w:val="bottom"/>
          </w:tcPr>
          <w:p w:rsidR="00642D55" w:rsidP="00642D55" w:rsidRDefault="00642D55" w14:paraId="0DF62E46" w14:textId="77777777">
            <w:pPr>
              <w:tabs>
                <w:tab w:val="left" w:pos="151"/>
                <w:tab w:val="right" w:pos="10080"/>
              </w:tabs>
              <w:jc w:val="right"/>
              <w:rPr>
                <w:rFonts w:ascii="Palatino Linotype" w:hAnsi="Palatino Linotype"/>
              </w:rPr>
            </w:pPr>
            <w:r>
              <w:rPr>
                <w:rFonts w:ascii="Palatino Linotype" w:hAnsi="Palatino Linotype"/>
              </w:rPr>
              <w:t>$2,500</w:t>
            </w:r>
          </w:p>
        </w:tc>
        <w:tc>
          <w:tcPr>
            <w:tcW w:w="1140" w:type="dxa"/>
            <w:vAlign w:val="bottom"/>
          </w:tcPr>
          <w:p w:rsidR="00642D55" w:rsidP="00642D55" w:rsidRDefault="00642D55" w14:paraId="3859E868" w14:textId="77777777">
            <w:pPr>
              <w:jc w:val="right"/>
              <w:rPr>
                <w:rFonts w:ascii="Palatino Linotype" w:hAnsi="Palatino Linotype"/>
              </w:rPr>
            </w:pPr>
            <w:r>
              <w:rPr>
                <w:rFonts w:ascii="Palatino Linotype" w:hAnsi="Palatino Linotype"/>
              </w:rPr>
              <w:t>$2,500</w:t>
            </w:r>
          </w:p>
        </w:tc>
        <w:tc>
          <w:tcPr>
            <w:tcW w:w="1140" w:type="dxa"/>
            <w:vAlign w:val="bottom"/>
          </w:tcPr>
          <w:p w:rsidR="00642D55" w:rsidP="00642D55" w:rsidRDefault="00642D55" w14:paraId="6C35A15D" w14:textId="77777777">
            <w:pPr>
              <w:jc w:val="right"/>
              <w:rPr>
                <w:rFonts w:ascii="Palatino Linotype" w:hAnsi="Palatino Linotype"/>
              </w:rPr>
            </w:pPr>
            <w:r>
              <w:rPr>
                <w:rFonts w:ascii="Palatino Linotype" w:hAnsi="Palatino Linotype"/>
              </w:rPr>
              <w:t>$2,500</w:t>
            </w:r>
          </w:p>
        </w:tc>
      </w:tr>
      <w:tr w:rsidR="00642D55" w:rsidTr="00642D55" w14:paraId="166BD9C4" w14:textId="77777777">
        <w:tc>
          <w:tcPr>
            <w:tcW w:w="5917" w:type="dxa"/>
            <w:shd w:val="clear" w:color="auto" w:fill="AEAAAA" w:themeFill="background2" w:themeFillShade="BF"/>
          </w:tcPr>
          <w:p w:rsidRPr="00334A5A" w:rsidR="00642D55" w:rsidP="00642D55" w:rsidRDefault="00642D55" w14:paraId="7E1CBDCD" w14:textId="070C42B9">
            <w:pPr>
              <w:tabs>
                <w:tab w:val="right" w:pos="10080"/>
              </w:tabs>
              <w:jc w:val="both"/>
              <w:rPr>
                <w:rFonts w:ascii="Palatino Linotype" w:hAnsi="Palatino Linotype"/>
                <w:b/>
                <w:bCs/>
              </w:rPr>
            </w:pPr>
            <w:r>
              <w:rPr>
                <w:rFonts w:ascii="Palatino Linotype" w:hAnsi="Palatino Linotype"/>
                <w:b/>
                <w:bCs/>
              </w:rPr>
              <w:t xml:space="preserve">Total </w:t>
            </w:r>
            <w:r w:rsidR="00706250">
              <w:rPr>
                <w:rFonts w:ascii="Palatino Linotype" w:hAnsi="Palatino Linotype"/>
                <w:b/>
                <w:bCs/>
              </w:rPr>
              <w:t>for Placer County</w:t>
            </w:r>
          </w:p>
        </w:tc>
        <w:tc>
          <w:tcPr>
            <w:tcW w:w="1140" w:type="dxa"/>
            <w:shd w:val="clear" w:color="auto" w:fill="AEAAAA" w:themeFill="background2" w:themeFillShade="BF"/>
            <w:vAlign w:val="bottom"/>
          </w:tcPr>
          <w:p w:rsidRPr="00334A5A" w:rsidR="00642D55" w:rsidP="00642D55" w:rsidRDefault="00642D55" w14:paraId="2FAA6832" w14:textId="4FE68A7C">
            <w:pPr>
              <w:tabs>
                <w:tab w:val="left" w:pos="151"/>
                <w:tab w:val="right" w:pos="10080"/>
              </w:tabs>
              <w:jc w:val="right"/>
              <w:rPr>
                <w:rFonts w:ascii="Palatino Linotype" w:hAnsi="Palatino Linotype"/>
                <w:b/>
                <w:bCs/>
              </w:rPr>
            </w:pPr>
            <w:r>
              <w:rPr>
                <w:rFonts w:ascii="Palatino Linotype" w:hAnsi="Palatino Linotype"/>
                <w:b/>
                <w:bCs/>
              </w:rPr>
              <w:t>$</w:t>
            </w:r>
            <w:r w:rsidR="00706250">
              <w:rPr>
                <w:rFonts w:ascii="Palatino Linotype" w:hAnsi="Palatino Linotype"/>
                <w:b/>
                <w:bCs/>
              </w:rPr>
              <w:t>7,500</w:t>
            </w:r>
          </w:p>
        </w:tc>
        <w:tc>
          <w:tcPr>
            <w:tcW w:w="1140" w:type="dxa"/>
            <w:shd w:val="clear" w:color="auto" w:fill="AEAAAA" w:themeFill="background2" w:themeFillShade="BF"/>
            <w:vAlign w:val="bottom"/>
          </w:tcPr>
          <w:p w:rsidRPr="00334A5A" w:rsidR="00642D55" w:rsidP="00642D55" w:rsidRDefault="00642D55" w14:paraId="376C106B" w14:textId="09084127">
            <w:pPr>
              <w:tabs>
                <w:tab w:val="left" w:pos="151"/>
                <w:tab w:val="right" w:pos="10080"/>
              </w:tabs>
              <w:jc w:val="right"/>
              <w:rPr>
                <w:rFonts w:ascii="Palatino Linotype" w:hAnsi="Palatino Linotype"/>
                <w:b/>
                <w:bCs/>
              </w:rPr>
            </w:pPr>
            <w:r>
              <w:rPr>
                <w:rFonts w:ascii="Palatino Linotype" w:hAnsi="Palatino Linotype"/>
                <w:b/>
                <w:bCs/>
              </w:rPr>
              <w:t>$</w:t>
            </w:r>
            <w:r w:rsidR="00706250">
              <w:rPr>
                <w:rFonts w:ascii="Palatino Linotype" w:hAnsi="Palatino Linotype"/>
                <w:b/>
                <w:bCs/>
              </w:rPr>
              <w:t>2</w:t>
            </w:r>
            <w:r>
              <w:rPr>
                <w:rFonts w:ascii="Palatino Linotype" w:hAnsi="Palatino Linotype"/>
                <w:b/>
                <w:bCs/>
              </w:rPr>
              <w:t>,500</w:t>
            </w:r>
          </w:p>
        </w:tc>
        <w:tc>
          <w:tcPr>
            <w:tcW w:w="1140" w:type="dxa"/>
            <w:shd w:val="clear" w:color="auto" w:fill="AEAAAA" w:themeFill="background2" w:themeFillShade="BF"/>
            <w:vAlign w:val="bottom"/>
          </w:tcPr>
          <w:p w:rsidRPr="00334A5A" w:rsidR="00642D55" w:rsidP="00642D55" w:rsidRDefault="00642D55" w14:paraId="47BEB2EF" w14:textId="61830206">
            <w:pPr>
              <w:tabs>
                <w:tab w:val="left" w:pos="151"/>
                <w:tab w:val="right" w:pos="10080"/>
              </w:tabs>
              <w:jc w:val="right"/>
              <w:rPr>
                <w:rFonts w:ascii="Palatino Linotype" w:hAnsi="Palatino Linotype"/>
                <w:b/>
                <w:bCs/>
              </w:rPr>
            </w:pPr>
            <w:r>
              <w:rPr>
                <w:rFonts w:ascii="Palatino Linotype" w:hAnsi="Palatino Linotype"/>
                <w:b/>
                <w:bCs/>
              </w:rPr>
              <w:t>$</w:t>
            </w:r>
            <w:r w:rsidR="00706250">
              <w:rPr>
                <w:rFonts w:ascii="Palatino Linotype" w:hAnsi="Palatino Linotype"/>
                <w:b/>
                <w:bCs/>
              </w:rPr>
              <w:t>2</w:t>
            </w:r>
            <w:r>
              <w:rPr>
                <w:rFonts w:ascii="Palatino Linotype" w:hAnsi="Palatino Linotype"/>
                <w:b/>
                <w:bCs/>
              </w:rPr>
              <w:t>,500</w:t>
            </w:r>
          </w:p>
        </w:tc>
      </w:tr>
      <w:tr w:rsidR="00642D55" w:rsidTr="00642D55" w14:paraId="6770AE43" w14:textId="77777777">
        <w:tc>
          <w:tcPr>
            <w:tcW w:w="5917" w:type="dxa"/>
            <w:shd w:val="clear" w:color="auto" w:fill="AEAAAA"/>
          </w:tcPr>
          <w:p w:rsidRPr="00334A5A" w:rsidR="00642D55" w:rsidP="00642D55" w:rsidRDefault="00642D55" w14:paraId="428DF564" w14:textId="0222BC44">
            <w:pPr>
              <w:tabs>
                <w:tab w:val="right" w:pos="10080"/>
              </w:tabs>
              <w:rPr>
                <w:rFonts w:ascii="Palatino Linotype" w:hAnsi="Palatino Linotype"/>
                <w:b/>
                <w:bCs/>
              </w:rPr>
            </w:pPr>
            <w:bookmarkStart w:name="_Hlk20760196" w:id="0"/>
            <w:r>
              <w:rPr>
                <w:rFonts w:ascii="Palatino Linotype" w:hAnsi="Palatino Linotype"/>
                <w:b/>
                <w:bCs/>
              </w:rPr>
              <w:t xml:space="preserve">Total for </w:t>
            </w:r>
            <w:r w:rsidR="00706250">
              <w:rPr>
                <w:rFonts w:ascii="Palatino Linotype" w:hAnsi="Palatino Linotype"/>
                <w:b/>
                <w:bCs/>
              </w:rPr>
              <w:t>both counties</w:t>
            </w:r>
          </w:p>
        </w:tc>
        <w:tc>
          <w:tcPr>
            <w:tcW w:w="1140" w:type="dxa"/>
            <w:shd w:val="clear" w:color="auto" w:fill="AEAAAA"/>
            <w:vAlign w:val="bottom"/>
          </w:tcPr>
          <w:p w:rsidRPr="00334A5A" w:rsidR="00642D55" w:rsidP="00642D55" w:rsidRDefault="00642D55" w14:paraId="5B0BD837" w14:textId="0B746A1E">
            <w:pPr>
              <w:tabs>
                <w:tab w:val="left" w:pos="151"/>
                <w:tab w:val="right" w:pos="10080"/>
              </w:tabs>
              <w:jc w:val="right"/>
              <w:rPr>
                <w:rFonts w:ascii="Palatino Linotype" w:hAnsi="Palatino Linotype"/>
                <w:b/>
                <w:bCs/>
              </w:rPr>
            </w:pPr>
            <w:r>
              <w:rPr>
                <w:rFonts w:ascii="Palatino Linotype" w:hAnsi="Palatino Linotype"/>
                <w:b/>
                <w:bCs/>
              </w:rPr>
              <w:t>$</w:t>
            </w:r>
            <w:r w:rsidR="00706250">
              <w:rPr>
                <w:rFonts w:ascii="Palatino Linotype" w:hAnsi="Palatino Linotype"/>
                <w:b/>
                <w:bCs/>
              </w:rPr>
              <w:t>10,000</w:t>
            </w:r>
          </w:p>
        </w:tc>
        <w:tc>
          <w:tcPr>
            <w:tcW w:w="1140" w:type="dxa"/>
            <w:shd w:val="clear" w:color="auto" w:fill="AEAAAA"/>
            <w:vAlign w:val="bottom"/>
          </w:tcPr>
          <w:p w:rsidRPr="00334A5A" w:rsidR="00642D55" w:rsidP="00642D55" w:rsidRDefault="00642D55" w14:paraId="70729C7B" w14:textId="35DAAC3E">
            <w:pPr>
              <w:tabs>
                <w:tab w:val="left" w:pos="151"/>
                <w:tab w:val="right" w:pos="10080"/>
              </w:tabs>
              <w:jc w:val="right"/>
              <w:rPr>
                <w:rFonts w:ascii="Palatino Linotype" w:hAnsi="Palatino Linotype"/>
                <w:b/>
                <w:bCs/>
              </w:rPr>
            </w:pPr>
            <w:r>
              <w:rPr>
                <w:rFonts w:ascii="Palatino Linotype" w:hAnsi="Palatino Linotype"/>
                <w:b/>
                <w:bCs/>
              </w:rPr>
              <w:t>$</w:t>
            </w:r>
            <w:r w:rsidR="00706250">
              <w:rPr>
                <w:rFonts w:ascii="Palatino Linotype" w:hAnsi="Palatino Linotype"/>
                <w:b/>
                <w:bCs/>
              </w:rPr>
              <w:t>5,</w:t>
            </w:r>
            <w:r>
              <w:rPr>
                <w:rFonts w:ascii="Palatino Linotype" w:hAnsi="Palatino Linotype"/>
                <w:b/>
                <w:bCs/>
              </w:rPr>
              <w:t>000</w:t>
            </w:r>
          </w:p>
        </w:tc>
        <w:tc>
          <w:tcPr>
            <w:tcW w:w="1140" w:type="dxa"/>
            <w:shd w:val="clear" w:color="auto" w:fill="AEAAAA" w:themeFill="background2" w:themeFillShade="BF"/>
            <w:vAlign w:val="bottom"/>
          </w:tcPr>
          <w:p w:rsidRPr="00334A5A" w:rsidR="00642D55" w:rsidP="00642D55" w:rsidRDefault="00642D55" w14:paraId="77EA071A" w14:textId="48F913A8">
            <w:pPr>
              <w:tabs>
                <w:tab w:val="left" w:pos="151"/>
                <w:tab w:val="right" w:pos="10080"/>
              </w:tabs>
              <w:jc w:val="right"/>
              <w:rPr>
                <w:rFonts w:ascii="Palatino Linotype" w:hAnsi="Palatino Linotype"/>
                <w:b/>
                <w:bCs/>
              </w:rPr>
            </w:pPr>
            <w:r>
              <w:rPr>
                <w:rFonts w:ascii="Palatino Linotype" w:hAnsi="Palatino Linotype"/>
                <w:b/>
                <w:bCs/>
              </w:rPr>
              <w:t>$</w:t>
            </w:r>
            <w:r w:rsidR="00706250">
              <w:rPr>
                <w:rFonts w:ascii="Palatino Linotype" w:hAnsi="Palatino Linotype"/>
                <w:b/>
                <w:bCs/>
              </w:rPr>
              <w:t>5</w:t>
            </w:r>
            <w:r>
              <w:rPr>
                <w:rFonts w:ascii="Palatino Linotype" w:hAnsi="Palatino Linotype"/>
                <w:b/>
                <w:bCs/>
              </w:rPr>
              <w:t>,000</w:t>
            </w:r>
          </w:p>
        </w:tc>
      </w:tr>
      <w:bookmarkEnd w:id="0"/>
    </w:tbl>
    <w:p w:rsidR="00BC640F" w:rsidP="0046140E" w:rsidRDefault="00BC640F" w14:paraId="0FB53541" w14:textId="77777777">
      <w:pPr>
        <w:tabs>
          <w:tab w:val="right" w:pos="10080"/>
        </w:tabs>
        <w:rPr>
          <w:rFonts w:ascii="Palatino Linotype" w:hAnsi="Palatino Linotype"/>
        </w:rPr>
      </w:pPr>
    </w:p>
    <w:p w:rsidR="008C6667" w:rsidP="0046140E" w:rsidRDefault="00686CC0" w14:paraId="103ECDC4" w14:textId="27FB2F8E">
      <w:pPr>
        <w:tabs>
          <w:tab w:val="right" w:pos="10080"/>
        </w:tabs>
        <w:rPr>
          <w:rFonts w:ascii="Palatino Linotype" w:hAnsi="Palatino Linotype"/>
        </w:rPr>
      </w:pPr>
      <w:r>
        <w:rPr>
          <w:rFonts w:ascii="Palatino Linotype" w:hAnsi="Palatino Linotype"/>
          <w:b/>
          <w:u w:val="single"/>
        </w:rPr>
        <w:t xml:space="preserve">Staff </w:t>
      </w:r>
      <w:r w:rsidR="0074495F">
        <w:rPr>
          <w:rFonts w:ascii="Palatino Linotype" w:hAnsi="Palatino Linotype"/>
          <w:b/>
          <w:u w:val="single"/>
        </w:rPr>
        <w:t>C</w:t>
      </w:r>
      <w:r>
        <w:rPr>
          <w:rFonts w:ascii="Palatino Linotype" w:hAnsi="Palatino Linotype"/>
          <w:b/>
          <w:u w:val="single"/>
        </w:rPr>
        <w:t xml:space="preserve">onclusions and </w:t>
      </w:r>
      <w:r w:rsidR="0074495F">
        <w:rPr>
          <w:rFonts w:ascii="Palatino Linotype" w:hAnsi="Palatino Linotype"/>
          <w:b/>
          <w:u w:val="single"/>
        </w:rPr>
        <w:t>R</w:t>
      </w:r>
      <w:r>
        <w:rPr>
          <w:rFonts w:ascii="Palatino Linotype" w:hAnsi="Palatino Linotype"/>
          <w:b/>
          <w:u w:val="single"/>
        </w:rPr>
        <w:t>ecommendations</w:t>
      </w:r>
    </w:p>
    <w:p w:rsidR="00686CC0" w:rsidP="0046140E" w:rsidRDefault="00686CC0" w14:paraId="74F34160" w14:textId="01CFA14F">
      <w:pPr>
        <w:tabs>
          <w:tab w:val="right" w:pos="10080"/>
        </w:tabs>
        <w:rPr>
          <w:rFonts w:ascii="Palatino Linotype" w:hAnsi="Palatino Linotype"/>
        </w:rPr>
      </w:pPr>
    </w:p>
    <w:p w:rsidR="00DB7910" w:rsidP="0046140E" w:rsidRDefault="00E91E88" w14:paraId="0AEFC97F" w14:textId="41F63315">
      <w:pPr>
        <w:tabs>
          <w:tab w:val="right" w:pos="10080"/>
        </w:tabs>
        <w:rPr>
          <w:rFonts w:ascii="Palatino Linotype" w:hAnsi="Palatino Linotype"/>
        </w:rPr>
      </w:pPr>
      <w:r>
        <w:rPr>
          <w:rFonts w:ascii="Palatino Linotype" w:hAnsi="Palatino Linotype"/>
        </w:rPr>
        <w:t>Interface’s application for authority to provide disaster 2-1-1 service meets the requirements set forth in D.11-09-016</w:t>
      </w:r>
      <w:r w:rsidR="00526A4F">
        <w:rPr>
          <w:rFonts w:ascii="Palatino Linotype" w:hAnsi="Palatino Linotype"/>
        </w:rPr>
        <w:t>:</w:t>
      </w:r>
      <w:r>
        <w:rPr>
          <w:rFonts w:ascii="Palatino Linotype" w:hAnsi="Palatino Linotype"/>
        </w:rPr>
        <w:t xml:space="preserve"> </w:t>
      </w:r>
      <w:r w:rsidR="00526A4F">
        <w:rPr>
          <w:rFonts w:ascii="Palatino Linotype" w:hAnsi="Palatino Linotype"/>
        </w:rPr>
        <w:t>t</w:t>
      </w:r>
      <w:r w:rsidR="00FE12EF">
        <w:rPr>
          <w:rFonts w:ascii="Palatino Linotype" w:hAnsi="Palatino Linotype"/>
        </w:rPr>
        <w:t xml:space="preserve">he proposal is in the </w:t>
      </w:r>
      <w:r>
        <w:rPr>
          <w:rFonts w:ascii="Palatino Linotype" w:hAnsi="Palatino Linotype"/>
        </w:rPr>
        <w:t xml:space="preserve">public interest </w:t>
      </w:r>
      <w:r w:rsidR="004D7C85">
        <w:rPr>
          <w:rFonts w:ascii="Palatino Linotype" w:hAnsi="Palatino Linotype"/>
        </w:rPr>
        <w:t>and</w:t>
      </w:r>
      <w:r>
        <w:rPr>
          <w:rFonts w:ascii="Palatino Linotype" w:hAnsi="Palatino Linotype"/>
        </w:rPr>
        <w:t xml:space="preserve"> will promote public safety in the participating counties</w:t>
      </w:r>
      <w:r w:rsidR="004D7C85">
        <w:rPr>
          <w:rFonts w:ascii="Palatino Linotype" w:hAnsi="Palatino Linotype"/>
        </w:rPr>
        <w:t>.</w:t>
      </w:r>
      <w:r w:rsidR="00F9010C">
        <w:rPr>
          <w:rFonts w:ascii="Palatino Linotype" w:hAnsi="Palatino Linotype"/>
        </w:rPr>
        <w:t xml:space="preserve"> </w:t>
      </w:r>
      <w:r w:rsidR="004D7C85">
        <w:rPr>
          <w:rFonts w:ascii="Palatino Linotype" w:hAnsi="Palatino Linotype"/>
        </w:rPr>
        <w:t xml:space="preserve"> </w:t>
      </w:r>
      <w:r w:rsidR="00C92CED">
        <w:rPr>
          <w:rFonts w:ascii="Palatino Linotype" w:hAnsi="Palatino Linotype"/>
        </w:rPr>
        <w:t>Interface is well-placed and experienced to provide disaster 2-1-1 service in the unserved counties</w:t>
      </w:r>
      <w:r w:rsidR="00F9010C">
        <w:rPr>
          <w:rFonts w:ascii="Palatino Linotype" w:hAnsi="Palatino Linotype"/>
        </w:rPr>
        <w:t xml:space="preserve">. </w:t>
      </w:r>
      <w:r w:rsidR="00C843EB">
        <w:rPr>
          <w:rFonts w:ascii="Palatino Linotype" w:hAnsi="Palatino Linotype"/>
        </w:rPr>
        <w:t>The total</w:t>
      </w:r>
      <w:r w:rsidR="00F9010C">
        <w:rPr>
          <w:rFonts w:ascii="Palatino Linotype" w:hAnsi="Palatino Linotype"/>
        </w:rPr>
        <w:t xml:space="preserve"> expenses for Years One to Three to complete full implementation of 2-1-1 systems</w:t>
      </w:r>
      <w:r w:rsidR="00BF2BCA">
        <w:rPr>
          <w:rFonts w:ascii="Palatino Linotype" w:hAnsi="Palatino Linotype"/>
        </w:rPr>
        <w:t xml:space="preserve"> in the participating counties </w:t>
      </w:r>
      <w:r w:rsidR="00F9010C">
        <w:rPr>
          <w:rFonts w:ascii="Palatino Linotype" w:hAnsi="Palatino Linotype"/>
        </w:rPr>
        <w:t>is $1,</w:t>
      </w:r>
      <w:r w:rsidR="00BF2BCA">
        <w:rPr>
          <w:rFonts w:ascii="Palatino Linotype" w:hAnsi="Palatino Linotype"/>
        </w:rPr>
        <w:t>11</w:t>
      </w:r>
      <w:r w:rsidR="00AD008C">
        <w:rPr>
          <w:rFonts w:ascii="Palatino Linotype" w:hAnsi="Palatino Linotype"/>
        </w:rPr>
        <w:t>8,470</w:t>
      </w:r>
      <w:r w:rsidR="009C3132">
        <w:rPr>
          <w:rFonts w:ascii="Palatino Linotype" w:hAnsi="Palatino Linotype"/>
        </w:rPr>
        <w:t>.</w:t>
      </w:r>
      <w:r w:rsidR="00D23AB8">
        <w:rPr>
          <w:rStyle w:val="FootnoteReference"/>
          <w:rFonts w:ascii="Palatino Linotype" w:hAnsi="Palatino Linotype"/>
        </w:rPr>
        <w:footnoteReference w:id="14"/>
      </w:r>
      <w:r w:rsidR="00544A42">
        <w:rPr>
          <w:rFonts w:ascii="Palatino Linotype" w:hAnsi="Palatino Linotype"/>
        </w:rPr>
        <w:t xml:space="preserve"> </w:t>
      </w:r>
      <w:r w:rsidR="00C41155">
        <w:rPr>
          <w:rFonts w:ascii="Palatino Linotype" w:hAnsi="Palatino Linotype"/>
        </w:rPr>
        <w:t xml:space="preserve">Staff finds </w:t>
      </w:r>
      <w:r w:rsidR="00F9010C">
        <w:rPr>
          <w:rFonts w:ascii="Palatino Linotype" w:hAnsi="Palatino Linotype"/>
        </w:rPr>
        <w:t>these costs</w:t>
      </w:r>
      <w:r w:rsidR="00C92CED">
        <w:rPr>
          <w:rFonts w:ascii="Palatino Linotype" w:hAnsi="Palatino Linotype"/>
        </w:rPr>
        <w:t xml:space="preserve"> </w:t>
      </w:r>
      <w:r w:rsidR="00DB7910">
        <w:rPr>
          <w:rFonts w:ascii="Palatino Linotype" w:hAnsi="Palatino Linotype"/>
        </w:rPr>
        <w:t>reasonable</w:t>
      </w:r>
      <w:r w:rsidR="009B57C5">
        <w:rPr>
          <w:rFonts w:ascii="Palatino Linotype" w:hAnsi="Palatino Linotype"/>
        </w:rPr>
        <w:t>: the expenses</w:t>
      </w:r>
      <w:r w:rsidR="00C92CED">
        <w:rPr>
          <w:rFonts w:ascii="Palatino Linotype" w:hAnsi="Palatino Linotype"/>
        </w:rPr>
        <w:t xml:space="preserve"> </w:t>
      </w:r>
      <w:r w:rsidR="009B57C5">
        <w:rPr>
          <w:rFonts w:ascii="Palatino Linotype" w:hAnsi="Palatino Linotype"/>
        </w:rPr>
        <w:t>are</w:t>
      </w:r>
      <w:r w:rsidR="009B0CB3">
        <w:rPr>
          <w:rFonts w:ascii="Palatino Linotype" w:hAnsi="Palatino Linotype"/>
        </w:rPr>
        <w:t xml:space="preserve"> limited to</w:t>
      </w:r>
      <w:r w:rsidR="00C92CED">
        <w:rPr>
          <w:rFonts w:ascii="Palatino Linotype" w:hAnsi="Palatino Linotype"/>
        </w:rPr>
        <w:t xml:space="preserve"> necessary services,</w:t>
      </w:r>
      <w:r w:rsidR="001E1A30">
        <w:rPr>
          <w:rFonts w:ascii="Palatino Linotype" w:hAnsi="Palatino Linotype"/>
        </w:rPr>
        <w:t xml:space="preserve"> and</w:t>
      </w:r>
      <w:r w:rsidR="00C92CED">
        <w:rPr>
          <w:rFonts w:ascii="Palatino Linotype" w:hAnsi="Palatino Linotype"/>
        </w:rPr>
        <w:t xml:space="preserve"> the costs are clearly defined and not usage-based or dependent on unforeseen circumstances</w:t>
      </w:r>
      <w:r w:rsidR="000D51FC">
        <w:rPr>
          <w:rFonts w:ascii="Palatino Linotype" w:hAnsi="Palatino Linotype"/>
        </w:rPr>
        <w:t>—</w:t>
      </w:r>
      <w:r w:rsidR="005B3AFB">
        <w:rPr>
          <w:rFonts w:ascii="Palatino Linotype" w:hAnsi="Palatino Linotype"/>
        </w:rPr>
        <w:t xml:space="preserve">all factors desired by the </w:t>
      </w:r>
      <w:r w:rsidR="00A06D9D">
        <w:rPr>
          <w:rFonts w:ascii="Palatino Linotype" w:hAnsi="Palatino Linotype"/>
        </w:rPr>
        <w:t xml:space="preserve">unserved </w:t>
      </w:r>
      <w:r w:rsidR="005B3AFB">
        <w:rPr>
          <w:rFonts w:ascii="Palatino Linotype" w:hAnsi="Palatino Linotype"/>
        </w:rPr>
        <w:t>counties</w:t>
      </w:r>
      <w:r w:rsidR="00C92CED">
        <w:rPr>
          <w:rFonts w:ascii="Palatino Linotype" w:hAnsi="Palatino Linotype"/>
        </w:rPr>
        <w:t xml:space="preserve">. </w:t>
      </w:r>
      <w:r w:rsidR="0009187A">
        <w:rPr>
          <w:rFonts w:ascii="Palatino Linotype" w:hAnsi="Palatino Linotype"/>
        </w:rPr>
        <w:t>As such, Staff finds this</w:t>
      </w:r>
      <w:r w:rsidR="00C92CED">
        <w:rPr>
          <w:rFonts w:ascii="Palatino Linotype" w:hAnsi="Palatino Linotype"/>
        </w:rPr>
        <w:t xml:space="preserve"> proposal is sustainable and fulfills the legislative intent </w:t>
      </w:r>
      <w:r w:rsidR="005B3AFB">
        <w:rPr>
          <w:rFonts w:ascii="Palatino Linotype" w:hAnsi="Palatino Linotype"/>
        </w:rPr>
        <w:t>stated in SB 1212 to</w:t>
      </w:r>
      <w:r w:rsidR="00C92CED">
        <w:rPr>
          <w:rFonts w:ascii="Palatino Linotype" w:hAnsi="Palatino Linotype"/>
        </w:rPr>
        <w:t xml:space="preserve"> expand 2</w:t>
      </w:r>
      <w:r w:rsidR="0009187A">
        <w:rPr>
          <w:rFonts w:ascii="Palatino Linotype" w:hAnsi="Palatino Linotype"/>
        </w:rPr>
        <w:t>-</w:t>
      </w:r>
      <w:r w:rsidR="00C92CED">
        <w:rPr>
          <w:rFonts w:ascii="Palatino Linotype" w:hAnsi="Palatino Linotype"/>
        </w:rPr>
        <w:t>1</w:t>
      </w:r>
      <w:r w:rsidR="0009187A">
        <w:rPr>
          <w:rFonts w:ascii="Palatino Linotype" w:hAnsi="Palatino Linotype"/>
        </w:rPr>
        <w:t>-</w:t>
      </w:r>
      <w:r w:rsidR="00C92CED">
        <w:rPr>
          <w:rFonts w:ascii="Palatino Linotype" w:hAnsi="Palatino Linotype"/>
        </w:rPr>
        <w:t>1 service throughout California.</w:t>
      </w:r>
    </w:p>
    <w:p w:rsidR="00DB7910" w:rsidP="0046140E" w:rsidRDefault="00DB7910" w14:paraId="3EC10819" w14:textId="77777777">
      <w:pPr>
        <w:tabs>
          <w:tab w:val="right" w:pos="10080"/>
        </w:tabs>
        <w:rPr>
          <w:rFonts w:ascii="Palatino Linotype" w:hAnsi="Palatino Linotype"/>
        </w:rPr>
      </w:pPr>
    </w:p>
    <w:p w:rsidR="00AF0C64" w:rsidP="00AF0C64" w:rsidRDefault="0009187A" w14:paraId="6343E25C" w14:textId="22155419">
      <w:pPr>
        <w:tabs>
          <w:tab w:val="right" w:pos="10080"/>
        </w:tabs>
        <w:rPr>
          <w:rFonts w:ascii="Palatino Linotype" w:hAnsi="Palatino Linotype"/>
        </w:rPr>
      </w:pPr>
      <w:r>
        <w:rPr>
          <w:rFonts w:ascii="Palatino Linotype" w:hAnsi="Palatino Linotype"/>
        </w:rPr>
        <w:t>A</w:t>
      </w:r>
      <w:r w:rsidR="00C92CED">
        <w:rPr>
          <w:rFonts w:ascii="Palatino Linotype" w:hAnsi="Palatino Linotype"/>
        </w:rPr>
        <w:t>ccordingly</w:t>
      </w:r>
      <w:r>
        <w:rPr>
          <w:rFonts w:ascii="Palatino Linotype" w:hAnsi="Palatino Linotype"/>
        </w:rPr>
        <w:t>, Staff</w:t>
      </w:r>
      <w:r w:rsidR="00C92CED">
        <w:rPr>
          <w:rFonts w:ascii="Palatino Linotype" w:hAnsi="Palatino Linotype"/>
        </w:rPr>
        <w:t xml:space="preserve"> </w:t>
      </w:r>
      <w:r w:rsidR="00E91E88">
        <w:rPr>
          <w:rFonts w:ascii="Palatino Linotype" w:hAnsi="Palatino Linotype"/>
        </w:rPr>
        <w:t>recommends the Commission grant Interface’s request to use the 2</w:t>
      </w:r>
      <w:r w:rsidR="00BF2BCA">
        <w:rPr>
          <w:rFonts w:ascii="Palatino Linotype" w:hAnsi="Palatino Linotype"/>
        </w:rPr>
        <w:noBreakHyphen/>
      </w:r>
      <w:r w:rsidR="00E91E88">
        <w:rPr>
          <w:rFonts w:ascii="Palatino Linotype" w:hAnsi="Palatino Linotype"/>
        </w:rPr>
        <w:t>1</w:t>
      </w:r>
      <w:r w:rsidR="00BF2BCA">
        <w:rPr>
          <w:rFonts w:ascii="Palatino Linotype" w:hAnsi="Palatino Linotype"/>
        </w:rPr>
        <w:noBreakHyphen/>
      </w:r>
      <w:r w:rsidR="00E91E88">
        <w:rPr>
          <w:rFonts w:ascii="Palatino Linotype" w:hAnsi="Palatino Linotype"/>
        </w:rPr>
        <w:t xml:space="preserve">1 dialing code to provide </w:t>
      </w:r>
      <w:r w:rsidR="00356CAB">
        <w:rPr>
          <w:rFonts w:ascii="Palatino Linotype" w:hAnsi="Palatino Linotype"/>
        </w:rPr>
        <w:t>information and referral</w:t>
      </w:r>
      <w:r w:rsidR="00E91E88">
        <w:rPr>
          <w:rFonts w:ascii="Palatino Linotype" w:hAnsi="Palatino Linotype"/>
        </w:rPr>
        <w:t xml:space="preserve"> services in times of disaster or emergency.</w:t>
      </w:r>
      <w:r w:rsidR="00181DF5">
        <w:rPr>
          <w:rFonts w:ascii="Palatino Linotype" w:hAnsi="Palatino Linotype"/>
        </w:rPr>
        <w:t xml:space="preserve"> To administer funds appropriated by SB 1212, </w:t>
      </w:r>
      <w:r w:rsidR="00356CAB">
        <w:rPr>
          <w:rFonts w:ascii="Palatino Linotype" w:hAnsi="Palatino Linotype"/>
        </w:rPr>
        <w:t>Staff</w:t>
      </w:r>
      <w:r w:rsidR="00181DF5">
        <w:rPr>
          <w:rFonts w:ascii="Palatino Linotype" w:hAnsi="Palatino Linotype"/>
        </w:rPr>
        <w:t xml:space="preserve"> </w:t>
      </w:r>
      <w:r w:rsidR="005B3AFB">
        <w:rPr>
          <w:rFonts w:ascii="Palatino Linotype" w:hAnsi="Palatino Linotype"/>
        </w:rPr>
        <w:t>proposes</w:t>
      </w:r>
      <w:r w:rsidR="00181DF5">
        <w:rPr>
          <w:rFonts w:ascii="Palatino Linotype" w:hAnsi="Palatino Linotype"/>
        </w:rPr>
        <w:t xml:space="preserve"> a claims process similar to the CTF claims process </w:t>
      </w:r>
      <w:r w:rsidR="00F9010C">
        <w:rPr>
          <w:rFonts w:ascii="Palatino Linotype" w:hAnsi="Palatino Linotype"/>
        </w:rPr>
        <w:t xml:space="preserve">currently </w:t>
      </w:r>
      <w:r w:rsidR="00181DF5">
        <w:rPr>
          <w:rFonts w:ascii="Palatino Linotype" w:hAnsi="Palatino Linotype"/>
        </w:rPr>
        <w:t xml:space="preserve">used by carriers. Interface will submit claims to </w:t>
      </w:r>
      <w:r w:rsidR="001A0D08">
        <w:rPr>
          <w:rFonts w:ascii="Palatino Linotype" w:hAnsi="Palatino Linotype"/>
        </w:rPr>
        <w:t>the Commission</w:t>
      </w:r>
      <w:r w:rsidR="00984222">
        <w:rPr>
          <w:rFonts w:ascii="Palatino Linotype" w:hAnsi="Palatino Linotype"/>
        </w:rPr>
        <w:t xml:space="preserve">’s Communication Division </w:t>
      </w:r>
      <w:r w:rsidR="00F93DD0">
        <w:rPr>
          <w:rFonts w:ascii="Palatino Linotype" w:hAnsi="Palatino Linotype"/>
        </w:rPr>
        <w:t>who will</w:t>
      </w:r>
      <w:r w:rsidR="00984222">
        <w:rPr>
          <w:rFonts w:ascii="Palatino Linotype" w:hAnsi="Palatino Linotype"/>
        </w:rPr>
        <w:t xml:space="preserve"> review</w:t>
      </w:r>
      <w:r w:rsidR="00741EF8">
        <w:rPr>
          <w:rFonts w:ascii="Palatino Linotype" w:hAnsi="Palatino Linotype"/>
        </w:rPr>
        <w:t xml:space="preserve"> </w:t>
      </w:r>
      <w:r w:rsidR="00DB07F4">
        <w:rPr>
          <w:rFonts w:ascii="Palatino Linotype" w:hAnsi="Palatino Linotype"/>
        </w:rPr>
        <w:t xml:space="preserve">and </w:t>
      </w:r>
      <w:r w:rsidR="00F9010C">
        <w:rPr>
          <w:rFonts w:ascii="Palatino Linotype" w:hAnsi="Palatino Linotype"/>
        </w:rPr>
        <w:t>authorize payment by the CPUC Fiscal Office for the appropriate amounts.</w:t>
      </w:r>
      <w:r w:rsidRPr="00AF0C64" w:rsidR="00AF0C64">
        <w:rPr>
          <w:rFonts w:ascii="Palatino Linotype" w:hAnsi="Palatino Linotype"/>
        </w:rPr>
        <w:t xml:space="preserve"> </w:t>
      </w:r>
    </w:p>
    <w:p w:rsidR="00686CC0" w:rsidP="0046140E" w:rsidRDefault="00686CC0" w14:paraId="01D75B7D" w14:textId="045BCEB9">
      <w:pPr>
        <w:tabs>
          <w:tab w:val="right" w:pos="10080"/>
        </w:tabs>
        <w:rPr>
          <w:rFonts w:ascii="Palatino Linotype" w:hAnsi="Palatino Linotype"/>
        </w:rPr>
      </w:pPr>
    </w:p>
    <w:p w:rsidR="00686CC0" w:rsidP="0046140E" w:rsidRDefault="00686CC0" w14:paraId="511635B8" w14:textId="5EDF24C5">
      <w:pPr>
        <w:tabs>
          <w:tab w:val="right" w:pos="10080"/>
        </w:tabs>
        <w:rPr>
          <w:rFonts w:ascii="Palatino Linotype" w:hAnsi="Palatino Linotype"/>
          <w:b/>
          <w:u w:val="single"/>
        </w:rPr>
      </w:pPr>
      <w:r>
        <w:rPr>
          <w:rFonts w:ascii="Palatino Linotype" w:hAnsi="Palatino Linotype"/>
          <w:b/>
          <w:u w:val="single"/>
        </w:rPr>
        <w:t xml:space="preserve">Terms and </w:t>
      </w:r>
      <w:r w:rsidR="0074495F">
        <w:rPr>
          <w:rFonts w:ascii="Palatino Linotype" w:hAnsi="Palatino Linotype"/>
          <w:b/>
          <w:u w:val="single"/>
        </w:rPr>
        <w:t>C</w:t>
      </w:r>
      <w:r>
        <w:rPr>
          <w:rFonts w:ascii="Palatino Linotype" w:hAnsi="Palatino Linotype"/>
          <w:b/>
          <w:u w:val="single"/>
        </w:rPr>
        <w:t>onditions</w:t>
      </w:r>
    </w:p>
    <w:p w:rsidR="00686CC0" w:rsidP="0046140E" w:rsidRDefault="00686CC0" w14:paraId="5000586C" w14:textId="2A3A6595">
      <w:pPr>
        <w:tabs>
          <w:tab w:val="right" w:pos="10080"/>
        </w:tabs>
        <w:rPr>
          <w:rFonts w:ascii="Palatino Linotype" w:hAnsi="Palatino Linotype"/>
        </w:rPr>
      </w:pPr>
    </w:p>
    <w:p w:rsidR="001435E3" w:rsidP="0046140E" w:rsidRDefault="004F1486" w14:paraId="1526EB72" w14:textId="451F45B0">
      <w:pPr>
        <w:tabs>
          <w:tab w:val="right" w:pos="10080"/>
        </w:tabs>
        <w:rPr>
          <w:rFonts w:ascii="Palatino Linotype" w:hAnsi="Palatino Linotype"/>
        </w:rPr>
      </w:pPr>
      <w:r>
        <w:rPr>
          <w:rFonts w:ascii="Palatino Linotype" w:hAnsi="Palatino Linotype"/>
        </w:rPr>
        <w:t>Interface agree</w:t>
      </w:r>
      <w:r w:rsidR="007D5DDE">
        <w:rPr>
          <w:rFonts w:ascii="Palatino Linotype" w:hAnsi="Palatino Linotype"/>
        </w:rPr>
        <w:t>s</w:t>
      </w:r>
      <w:r>
        <w:rPr>
          <w:rFonts w:ascii="Palatino Linotype" w:hAnsi="Palatino Linotype"/>
        </w:rPr>
        <w:t xml:space="preserve"> to </w:t>
      </w:r>
      <w:r w:rsidR="005B3AFB">
        <w:rPr>
          <w:rFonts w:ascii="Palatino Linotype" w:hAnsi="Palatino Linotype"/>
        </w:rPr>
        <w:t>activate</w:t>
      </w:r>
      <w:r>
        <w:rPr>
          <w:rFonts w:ascii="Palatino Linotype" w:hAnsi="Palatino Linotype"/>
        </w:rPr>
        <w:t xml:space="preserve"> disaster 2-1-1 in the counties </w:t>
      </w:r>
      <w:r w:rsidR="000D79DF">
        <w:rPr>
          <w:rFonts w:ascii="Palatino Linotype" w:hAnsi="Palatino Linotype"/>
        </w:rPr>
        <w:t xml:space="preserve">that submitted letters and resolutions of endorsement </w:t>
      </w:r>
      <w:r w:rsidR="00E45734">
        <w:rPr>
          <w:rFonts w:ascii="Palatino Linotype" w:hAnsi="Palatino Linotype"/>
        </w:rPr>
        <w:t xml:space="preserve">from their boards of supervisors </w:t>
      </w:r>
      <w:r w:rsidR="000D79DF">
        <w:rPr>
          <w:rFonts w:ascii="Palatino Linotype" w:hAnsi="Palatino Linotype"/>
        </w:rPr>
        <w:t xml:space="preserve">to the Commission, namely </w:t>
      </w:r>
      <w:r w:rsidR="00BA32D0">
        <w:rPr>
          <w:rFonts w:ascii="Palatino Linotype" w:hAnsi="Palatino Linotype"/>
        </w:rPr>
        <w:t>Alpine, Calaveras, Colusa, Del Norte, Inyo, Lake, Lassen, Madera, Mono, Siskiyou, Sutter, and Trinity</w:t>
      </w:r>
      <w:r>
        <w:rPr>
          <w:rFonts w:ascii="Palatino Linotype" w:hAnsi="Palatino Linotype"/>
        </w:rPr>
        <w:t xml:space="preserve">. </w:t>
      </w:r>
      <w:r w:rsidR="000D79DF">
        <w:rPr>
          <w:rFonts w:ascii="Palatino Linotype" w:hAnsi="Palatino Linotype"/>
        </w:rPr>
        <w:t xml:space="preserve">The counties of Amador, Modoc, Plumas, Sierra, Tuolumne, and </w:t>
      </w:r>
      <w:r w:rsidR="000D79DF">
        <w:rPr>
          <w:rFonts w:ascii="Palatino Linotype" w:hAnsi="Palatino Linotype"/>
        </w:rPr>
        <w:lastRenderedPageBreak/>
        <w:t xml:space="preserve">Yuba have not </w:t>
      </w:r>
      <w:r w:rsidR="00F93DD0">
        <w:rPr>
          <w:rFonts w:ascii="Palatino Linotype" w:hAnsi="Palatino Linotype"/>
        </w:rPr>
        <w:t xml:space="preserve">chosen to participate in </w:t>
      </w:r>
      <w:r w:rsidR="000D79DF">
        <w:rPr>
          <w:rFonts w:ascii="Palatino Linotype" w:hAnsi="Palatino Linotype"/>
        </w:rPr>
        <w:t>this solution</w:t>
      </w:r>
      <w:r w:rsidR="00E45734">
        <w:rPr>
          <w:rFonts w:ascii="Palatino Linotype" w:hAnsi="Palatino Linotype"/>
        </w:rPr>
        <w:t xml:space="preserve">, </w:t>
      </w:r>
      <w:r w:rsidR="00F93DD0">
        <w:rPr>
          <w:rFonts w:ascii="Palatino Linotype" w:hAnsi="Palatino Linotype"/>
        </w:rPr>
        <w:t xml:space="preserve">and </w:t>
      </w:r>
      <w:r w:rsidR="00E45734">
        <w:rPr>
          <w:rFonts w:ascii="Palatino Linotype" w:hAnsi="Palatino Linotype"/>
        </w:rPr>
        <w:t xml:space="preserve">they </w:t>
      </w:r>
      <w:r w:rsidR="00F93DD0">
        <w:rPr>
          <w:rFonts w:ascii="Palatino Linotype" w:hAnsi="Palatino Linotype"/>
        </w:rPr>
        <w:t>will continue to be unserved by 2-1-1</w:t>
      </w:r>
      <w:r w:rsidR="000D79DF">
        <w:rPr>
          <w:rFonts w:ascii="Palatino Linotype" w:hAnsi="Palatino Linotype"/>
        </w:rPr>
        <w:t>.</w:t>
      </w:r>
      <w:r w:rsidR="00E45734">
        <w:rPr>
          <w:rStyle w:val="FootnoteReference"/>
          <w:rFonts w:ascii="Palatino Linotype" w:hAnsi="Palatino Linotype"/>
        </w:rPr>
        <w:footnoteReference w:id="15"/>
      </w:r>
      <w:r w:rsidR="00410A90">
        <w:rPr>
          <w:rFonts w:ascii="Palatino Linotype" w:hAnsi="Palatino Linotype"/>
        </w:rPr>
        <w:t xml:space="preserve"> If these counties decide to adopt disaster 2-1-1 at a later date, they will be handled in a separate resolution under the same framework adopted in this resolution in accordance with the provisions of SB 1212.</w:t>
      </w:r>
    </w:p>
    <w:p w:rsidR="001435E3" w:rsidP="0046140E" w:rsidRDefault="001435E3" w14:paraId="0C5C6BE7" w14:textId="77777777">
      <w:pPr>
        <w:tabs>
          <w:tab w:val="right" w:pos="10080"/>
        </w:tabs>
        <w:rPr>
          <w:rFonts w:ascii="Palatino Linotype" w:hAnsi="Palatino Linotype"/>
        </w:rPr>
      </w:pPr>
    </w:p>
    <w:p w:rsidR="00AF5B86" w:rsidP="0046140E" w:rsidRDefault="004F1486" w14:paraId="073DA6DE" w14:textId="633753C2">
      <w:pPr>
        <w:tabs>
          <w:tab w:val="right" w:pos="10080"/>
        </w:tabs>
        <w:rPr>
          <w:rFonts w:ascii="Palatino Linotype" w:hAnsi="Palatino Linotype"/>
        </w:rPr>
      </w:pPr>
      <w:r>
        <w:rPr>
          <w:rFonts w:ascii="Palatino Linotype" w:hAnsi="Palatino Linotype"/>
        </w:rPr>
        <w:t>This implementation involves the deployment of all aspects and mechanisms required for 2-1-1 to function</w:t>
      </w:r>
      <w:r w:rsidR="00A62B5C">
        <w:rPr>
          <w:rFonts w:ascii="Palatino Linotype" w:hAnsi="Palatino Linotype"/>
        </w:rPr>
        <w:t>, and Interface state</w:t>
      </w:r>
      <w:r w:rsidR="007D5DDE">
        <w:rPr>
          <w:rFonts w:ascii="Palatino Linotype" w:hAnsi="Palatino Linotype"/>
        </w:rPr>
        <w:t>s</w:t>
      </w:r>
      <w:r w:rsidR="00A62B5C">
        <w:rPr>
          <w:rFonts w:ascii="Palatino Linotype" w:hAnsi="Palatino Linotype"/>
        </w:rPr>
        <w:t xml:space="preserve"> that the full buildout of databases and other systems will require three years</w:t>
      </w:r>
      <w:r>
        <w:rPr>
          <w:rFonts w:ascii="Palatino Linotype" w:hAnsi="Palatino Linotype"/>
        </w:rPr>
        <w:t xml:space="preserve">. We will therefore require Interface </w:t>
      </w:r>
      <w:r w:rsidR="00A62B5C">
        <w:rPr>
          <w:rFonts w:ascii="Palatino Linotype" w:hAnsi="Palatino Linotype"/>
        </w:rPr>
        <w:t>to complete full implementation of disaster 2-1-1 service within three years from the date of this resolution.</w:t>
      </w:r>
      <w:r w:rsidR="00AF5B86">
        <w:rPr>
          <w:rFonts w:ascii="Palatino Linotype" w:hAnsi="Palatino Linotype"/>
        </w:rPr>
        <w:t xml:space="preserve"> Full implementation of disaster 2-1-1 service entails completion of the following:</w:t>
      </w:r>
    </w:p>
    <w:p w:rsidR="00AF5B86" w:rsidP="00AF5B86" w:rsidRDefault="006B04B0" w14:paraId="54F0EDCB" w14:textId="4A214A5A">
      <w:pPr>
        <w:pStyle w:val="ListParagraph"/>
        <w:numPr>
          <w:ilvl w:val="0"/>
          <w:numId w:val="9"/>
        </w:numPr>
        <w:tabs>
          <w:tab w:val="right" w:pos="10080"/>
        </w:tabs>
        <w:rPr>
          <w:rFonts w:ascii="Palatino Linotype" w:hAnsi="Palatino Linotype"/>
        </w:rPr>
      </w:pPr>
      <w:r>
        <w:rPr>
          <w:rFonts w:ascii="Palatino Linotype" w:hAnsi="Palatino Linotype"/>
        </w:rPr>
        <w:t>Acquisition and activation of</w:t>
      </w:r>
      <w:r w:rsidR="001401E8">
        <w:rPr>
          <w:rFonts w:ascii="Palatino Linotype" w:hAnsi="Palatino Linotype"/>
        </w:rPr>
        <w:t xml:space="preserve"> 8YY numbers for carriers to route 2-1-1 calls;</w:t>
      </w:r>
    </w:p>
    <w:p w:rsidR="001401E8" w:rsidP="00AF5B86" w:rsidRDefault="004457C3" w14:paraId="701127C9" w14:textId="537E11A2">
      <w:pPr>
        <w:pStyle w:val="ListParagraph"/>
        <w:numPr>
          <w:ilvl w:val="0"/>
          <w:numId w:val="9"/>
        </w:numPr>
        <w:tabs>
          <w:tab w:val="right" w:pos="10080"/>
        </w:tabs>
        <w:rPr>
          <w:rFonts w:ascii="Palatino Linotype" w:hAnsi="Palatino Linotype"/>
        </w:rPr>
      </w:pPr>
      <w:r>
        <w:rPr>
          <w:rFonts w:ascii="Palatino Linotype" w:hAnsi="Palatino Linotype"/>
        </w:rPr>
        <w:t>2-1-1 switch translations for all carriers located in these counties;</w:t>
      </w:r>
    </w:p>
    <w:p w:rsidR="004457C3" w:rsidP="00AF5B86" w:rsidRDefault="004457C3" w14:paraId="26774394" w14:textId="3A04B245">
      <w:pPr>
        <w:pStyle w:val="ListParagraph"/>
        <w:numPr>
          <w:ilvl w:val="0"/>
          <w:numId w:val="9"/>
        </w:numPr>
        <w:tabs>
          <w:tab w:val="right" w:pos="10080"/>
        </w:tabs>
        <w:rPr>
          <w:rFonts w:ascii="Palatino Linotype" w:hAnsi="Palatino Linotype"/>
        </w:rPr>
      </w:pPr>
      <w:r>
        <w:rPr>
          <w:rFonts w:ascii="Palatino Linotype" w:hAnsi="Palatino Linotype"/>
        </w:rPr>
        <w:t>Identification of disaster 2-1-1 staff and/or liaisons in each county;</w:t>
      </w:r>
    </w:p>
    <w:p w:rsidR="004457C3" w:rsidP="004457C3" w:rsidRDefault="004457C3" w14:paraId="2F2FB78F" w14:textId="5BF5C458">
      <w:pPr>
        <w:pStyle w:val="ListParagraph"/>
        <w:numPr>
          <w:ilvl w:val="0"/>
          <w:numId w:val="9"/>
        </w:numPr>
        <w:tabs>
          <w:tab w:val="right" w:pos="10080"/>
        </w:tabs>
        <w:rPr>
          <w:rFonts w:ascii="Palatino Linotype" w:hAnsi="Palatino Linotype"/>
        </w:rPr>
      </w:pPr>
      <w:r>
        <w:rPr>
          <w:rFonts w:ascii="Palatino Linotype" w:hAnsi="Palatino Linotype"/>
        </w:rPr>
        <w:t xml:space="preserve">Implementation </w:t>
      </w:r>
      <w:r w:rsidR="006D029B">
        <w:rPr>
          <w:rFonts w:ascii="Palatino Linotype" w:hAnsi="Palatino Linotype"/>
        </w:rPr>
        <w:t xml:space="preserve">and testing </w:t>
      </w:r>
      <w:r>
        <w:rPr>
          <w:rFonts w:ascii="Palatino Linotype" w:hAnsi="Palatino Linotype"/>
        </w:rPr>
        <w:t>of all protocols and systems necessary for disaster 2</w:t>
      </w:r>
      <w:r w:rsidR="006D029B">
        <w:rPr>
          <w:rFonts w:ascii="Palatino Linotype" w:hAnsi="Palatino Linotype"/>
        </w:rPr>
        <w:noBreakHyphen/>
      </w:r>
      <w:r>
        <w:rPr>
          <w:rFonts w:ascii="Palatino Linotype" w:hAnsi="Palatino Linotype"/>
        </w:rPr>
        <w:t>1</w:t>
      </w:r>
      <w:r w:rsidR="006D029B">
        <w:rPr>
          <w:rFonts w:ascii="Palatino Linotype" w:hAnsi="Palatino Linotype"/>
        </w:rPr>
        <w:noBreakHyphen/>
      </w:r>
      <w:r>
        <w:rPr>
          <w:rFonts w:ascii="Palatino Linotype" w:hAnsi="Palatino Linotype"/>
        </w:rPr>
        <w:t>1 to function; and</w:t>
      </w:r>
    </w:p>
    <w:p w:rsidRPr="004457C3" w:rsidR="004457C3" w:rsidP="004457C3" w:rsidRDefault="004457C3" w14:paraId="67FA24F1" w14:textId="78F3D5F1">
      <w:pPr>
        <w:pStyle w:val="ListParagraph"/>
        <w:numPr>
          <w:ilvl w:val="0"/>
          <w:numId w:val="9"/>
        </w:numPr>
        <w:tabs>
          <w:tab w:val="right" w:pos="10080"/>
        </w:tabs>
        <w:rPr>
          <w:rFonts w:ascii="Palatino Linotype" w:hAnsi="Palatino Linotype"/>
        </w:rPr>
      </w:pPr>
      <w:r>
        <w:rPr>
          <w:rFonts w:ascii="Palatino Linotype" w:hAnsi="Palatino Linotype"/>
        </w:rPr>
        <w:t>Training of all appropriate county staff and liaisons on the deployment and use of disaster 2-1-1.</w:t>
      </w:r>
    </w:p>
    <w:p w:rsidR="004F1486" w:rsidP="0046140E" w:rsidRDefault="004F1486" w14:paraId="3FE1AEB7" w14:textId="4FF87CD8">
      <w:pPr>
        <w:tabs>
          <w:tab w:val="right" w:pos="10080"/>
        </w:tabs>
        <w:rPr>
          <w:rFonts w:ascii="Palatino Linotype" w:hAnsi="Palatino Linotype"/>
        </w:rPr>
      </w:pPr>
    </w:p>
    <w:p w:rsidR="004F1486" w:rsidP="0046140E" w:rsidRDefault="00D91B0A" w14:paraId="0ADA468F" w14:textId="1A3D271A">
      <w:pPr>
        <w:tabs>
          <w:tab w:val="right" w:pos="10080"/>
        </w:tabs>
        <w:rPr>
          <w:rFonts w:ascii="Palatino Linotype" w:hAnsi="Palatino Linotype"/>
        </w:rPr>
      </w:pPr>
      <w:r>
        <w:rPr>
          <w:rFonts w:ascii="Palatino Linotype" w:hAnsi="Palatino Linotype"/>
        </w:rPr>
        <w:t>Interface states that vendors</w:t>
      </w:r>
      <w:r w:rsidR="00D23DA2">
        <w:rPr>
          <w:rFonts w:ascii="Palatino Linotype" w:hAnsi="Palatino Linotype"/>
        </w:rPr>
        <w:t xml:space="preserve"> provid</w:t>
      </w:r>
      <w:r w:rsidR="00094679">
        <w:rPr>
          <w:rFonts w:ascii="Palatino Linotype" w:hAnsi="Palatino Linotype"/>
        </w:rPr>
        <w:t>ing</w:t>
      </w:r>
      <w:r w:rsidR="00D23DA2">
        <w:rPr>
          <w:rFonts w:ascii="Palatino Linotype" w:hAnsi="Palatino Linotype"/>
        </w:rPr>
        <w:t xml:space="preserve"> for the</w:t>
      </w:r>
      <w:r w:rsidR="00390E46">
        <w:rPr>
          <w:rFonts w:ascii="Palatino Linotype" w:hAnsi="Palatino Linotype"/>
        </w:rPr>
        <w:t xml:space="preserve"> cloud telephony, database platform, coordinated assistance, </w:t>
      </w:r>
      <w:r w:rsidR="00D23DA2">
        <w:rPr>
          <w:rFonts w:ascii="Palatino Linotype" w:hAnsi="Palatino Linotype"/>
        </w:rPr>
        <w:t>text messaging, and website systems to be employed for disaster 2-1-1</w:t>
      </w:r>
      <w:r>
        <w:rPr>
          <w:rFonts w:ascii="Palatino Linotype" w:hAnsi="Palatino Linotype"/>
        </w:rPr>
        <w:t xml:space="preserve"> operate based on multiyear contracts, </w:t>
      </w:r>
      <w:r w:rsidR="00094679">
        <w:rPr>
          <w:rFonts w:ascii="Palatino Linotype" w:hAnsi="Palatino Linotype"/>
        </w:rPr>
        <w:t>and that Interface will secure</w:t>
      </w:r>
      <w:r>
        <w:rPr>
          <w:rFonts w:ascii="Palatino Linotype" w:hAnsi="Palatino Linotype"/>
        </w:rPr>
        <w:t xml:space="preserve"> three-year contracts</w:t>
      </w:r>
      <w:r w:rsidR="00094679">
        <w:rPr>
          <w:rFonts w:ascii="Palatino Linotype" w:hAnsi="Palatino Linotype"/>
        </w:rPr>
        <w:t xml:space="preserve"> for services</w:t>
      </w:r>
      <w:r w:rsidR="00F00D9A">
        <w:rPr>
          <w:rFonts w:ascii="Palatino Linotype" w:hAnsi="Palatino Linotype"/>
        </w:rPr>
        <w:t xml:space="preserve">. </w:t>
      </w:r>
      <w:r>
        <w:rPr>
          <w:rFonts w:ascii="Palatino Linotype" w:hAnsi="Palatino Linotype"/>
        </w:rPr>
        <w:t>Therefore, c</w:t>
      </w:r>
      <w:r w:rsidR="00F00D9A">
        <w:rPr>
          <w:rFonts w:ascii="Palatino Linotype" w:hAnsi="Palatino Linotype"/>
        </w:rPr>
        <w:t xml:space="preserve">ounties who are joining this effort </w:t>
      </w:r>
      <w:r w:rsidR="00094679">
        <w:rPr>
          <w:rFonts w:ascii="Palatino Linotype" w:hAnsi="Palatino Linotype"/>
        </w:rPr>
        <w:t>agree to</w:t>
      </w:r>
      <w:r w:rsidR="00F00D9A">
        <w:rPr>
          <w:rFonts w:ascii="Palatino Linotype" w:hAnsi="Palatino Linotype"/>
        </w:rPr>
        <w:t xml:space="preserve"> participate in disaster 2-1-1 for </w:t>
      </w:r>
      <w:r w:rsidR="00094679">
        <w:rPr>
          <w:rFonts w:ascii="Palatino Linotype" w:hAnsi="Palatino Linotype"/>
        </w:rPr>
        <w:t xml:space="preserve">the </w:t>
      </w:r>
      <w:r w:rsidR="00F00D9A">
        <w:rPr>
          <w:rFonts w:ascii="Palatino Linotype" w:hAnsi="Palatino Linotype"/>
        </w:rPr>
        <w:t>three</w:t>
      </w:r>
      <w:r w:rsidR="00094679">
        <w:rPr>
          <w:rFonts w:ascii="Palatino Linotype" w:hAnsi="Palatino Linotype"/>
        </w:rPr>
        <w:t>-</w:t>
      </w:r>
      <w:r w:rsidR="00F00D9A">
        <w:rPr>
          <w:rFonts w:ascii="Palatino Linotype" w:hAnsi="Palatino Linotype"/>
        </w:rPr>
        <w:t>year</w:t>
      </w:r>
      <w:r w:rsidR="00094679">
        <w:rPr>
          <w:rFonts w:ascii="Palatino Linotype" w:hAnsi="Palatino Linotype"/>
        </w:rPr>
        <w:t xml:space="preserve"> term</w:t>
      </w:r>
      <w:r w:rsidR="00F00D9A">
        <w:rPr>
          <w:rFonts w:ascii="Palatino Linotype" w:hAnsi="Palatino Linotype"/>
        </w:rPr>
        <w:t>, after which they can opt out of continued participation</w:t>
      </w:r>
      <w:r w:rsidR="00356CAB">
        <w:rPr>
          <w:rFonts w:ascii="Palatino Linotype" w:hAnsi="Palatino Linotype"/>
        </w:rPr>
        <w:t>, and SB 1212 funds will pay for three-year contracts</w:t>
      </w:r>
      <w:r>
        <w:rPr>
          <w:rFonts w:ascii="Palatino Linotype" w:hAnsi="Palatino Linotype"/>
        </w:rPr>
        <w:t xml:space="preserve">. For disaster 2-1-1 services in Years </w:t>
      </w:r>
      <w:r w:rsidR="00094679">
        <w:rPr>
          <w:rFonts w:ascii="Palatino Linotype" w:hAnsi="Palatino Linotype"/>
        </w:rPr>
        <w:t>Four</w:t>
      </w:r>
      <w:r>
        <w:rPr>
          <w:rFonts w:ascii="Palatino Linotype" w:hAnsi="Palatino Linotype"/>
        </w:rPr>
        <w:t xml:space="preserve"> and </w:t>
      </w:r>
      <w:r w:rsidR="00094679">
        <w:rPr>
          <w:rFonts w:ascii="Palatino Linotype" w:hAnsi="Palatino Linotype"/>
        </w:rPr>
        <w:t>Five</w:t>
      </w:r>
      <w:r>
        <w:rPr>
          <w:rFonts w:ascii="Palatino Linotype" w:hAnsi="Palatino Linotype"/>
        </w:rPr>
        <w:t xml:space="preserve">, </w:t>
      </w:r>
      <w:r w:rsidR="00E22BEB">
        <w:rPr>
          <w:rFonts w:ascii="Palatino Linotype" w:hAnsi="Palatino Linotype"/>
        </w:rPr>
        <w:t xml:space="preserve">the </w:t>
      </w:r>
      <w:r>
        <w:rPr>
          <w:rFonts w:ascii="Palatino Linotype" w:hAnsi="Palatino Linotype"/>
        </w:rPr>
        <w:t xml:space="preserve">counties </w:t>
      </w:r>
      <w:r w:rsidR="00094679">
        <w:rPr>
          <w:rFonts w:ascii="Palatino Linotype" w:hAnsi="Palatino Linotype"/>
        </w:rPr>
        <w:t>and Interface have agreed to</w:t>
      </w:r>
      <w:r>
        <w:rPr>
          <w:rFonts w:ascii="Palatino Linotype" w:hAnsi="Palatino Linotype"/>
        </w:rPr>
        <w:t xml:space="preserve"> a flat fee of $5,000 per year per county, which include</w:t>
      </w:r>
      <w:r w:rsidR="00A13B91">
        <w:rPr>
          <w:rFonts w:ascii="Palatino Linotype" w:hAnsi="Palatino Linotype"/>
        </w:rPr>
        <w:t>s</w:t>
      </w:r>
      <w:r>
        <w:rPr>
          <w:rFonts w:ascii="Palatino Linotype" w:hAnsi="Palatino Linotype"/>
        </w:rPr>
        <w:t xml:space="preserve"> all services</w:t>
      </w:r>
      <w:r w:rsidR="005B3AFB">
        <w:rPr>
          <w:rFonts w:ascii="Palatino Linotype" w:hAnsi="Palatino Linotype"/>
        </w:rPr>
        <w:t xml:space="preserve"> described.</w:t>
      </w:r>
    </w:p>
    <w:p w:rsidR="004F1486" w:rsidP="0046140E" w:rsidRDefault="004F1486" w14:paraId="11E01017" w14:textId="5BD5EE30">
      <w:pPr>
        <w:tabs>
          <w:tab w:val="right" w:pos="10080"/>
        </w:tabs>
        <w:rPr>
          <w:rFonts w:ascii="Palatino Linotype" w:hAnsi="Palatino Linotype"/>
        </w:rPr>
      </w:pPr>
    </w:p>
    <w:p w:rsidR="004F1486" w:rsidP="0046140E" w:rsidRDefault="004F1486" w14:paraId="391F8B3E" w14:textId="1F343725">
      <w:pPr>
        <w:tabs>
          <w:tab w:val="right" w:pos="10080"/>
        </w:tabs>
        <w:rPr>
          <w:rFonts w:ascii="Palatino Linotype" w:hAnsi="Palatino Linotype"/>
        </w:rPr>
      </w:pPr>
      <w:r>
        <w:rPr>
          <w:rFonts w:ascii="Palatino Linotype" w:hAnsi="Palatino Linotype"/>
        </w:rPr>
        <w:t xml:space="preserve">The authority granted by this resolution is not transferable except upon Commission approval. Should Interface wish to rescind, reassign, or modify its authority to manage disaster 2-1-1 dialing, </w:t>
      </w:r>
      <w:r w:rsidR="00EF66FA">
        <w:rPr>
          <w:rFonts w:ascii="Palatino Linotype" w:hAnsi="Palatino Linotype"/>
        </w:rPr>
        <w:t xml:space="preserve">it </w:t>
      </w:r>
      <w:r w:rsidR="00A62B5C">
        <w:rPr>
          <w:rFonts w:ascii="Palatino Linotype" w:hAnsi="Palatino Linotype"/>
        </w:rPr>
        <w:t>must obtain Commission approval</w:t>
      </w:r>
      <w:r>
        <w:rPr>
          <w:rFonts w:ascii="Palatino Linotype" w:hAnsi="Palatino Linotype"/>
        </w:rPr>
        <w:t xml:space="preserve">. We are </w:t>
      </w:r>
      <w:r w:rsidR="00EF66FA">
        <w:rPr>
          <w:rFonts w:ascii="Palatino Linotype" w:hAnsi="Palatino Linotype"/>
        </w:rPr>
        <w:t xml:space="preserve">additionally </w:t>
      </w:r>
      <w:r>
        <w:rPr>
          <w:rFonts w:ascii="Palatino Linotype" w:hAnsi="Palatino Linotype"/>
        </w:rPr>
        <w:t xml:space="preserve">requiring Interface to seek approval from the Commission via a letter to the Director of </w:t>
      </w:r>
      <w:r w:rsidR="00552A78">
        <w:rPr>
          <w:rFonts w:ascii="Palatino Linotype" w:hAnsi="Palatino Linotype"/>
        </w:rPr>
        <w:t xml:space="preserve">the </w:t>
      </w:r>
      <w:r w:rsidR="00DE0A4C">
        <w:rPr>
          <w:rFonts w:ascii="Palatino Linotype" w:hAnsi="Palatino Linotype"/>
        </w:rPr>
        <w:t>Communications Division</w:t>
      </w:r>
      <w:r>
        <w:rPr>
          <w:rFonts w:ascii="Palatino Linotype" w:hAnsi="Palatino Linotype"/>
        </w:rPr>
        <w:t xml:space="preserve"> 30 days in advance of any change to the vendor for call center and/or database management services</w:t>
      </w:r>
      <w:r w:rsidR="00A62B5C">
        <w:rPr>
          <w:rFonts w:ascii="Palatino Linotype" w:hAnsi="Palatino Linotype"/>
        </w:rPr>
        <w:t>.</w:t>
      </w:r>
    </w:p>
    <w:p w:rsidRPr="00825ECD" w:rsidR="0023312D" w:rsidP="0046140E" w:rsidRDefault="0023312D" w14:paraId="4845ACD7" w14:textId="4CF82DCE">
      <w:pPr>
        <w:tabs>
          <w:tab w:val="right" w:pos="10080"/>
        </w:tabs>
        <w:rPr>
          <w:rFonts w:ascii="Palatino Linotype" w:hAnsi="Palatino Linotype"/>
        </w:rPr>
      </w:pPr>
    </w:p>
    <w:p w:rsidRPr="00520FD8" w:rsidR="003B1DBD" w:rsidP="0046140E" w:rsidRDefault="003B1DBD" w14:paraId="227CEE9F" w14:textId="77777777">
      <w:pPr>
        <w:keepNext/>
        <w:tabs>
          <w:tab w:val="right" w:pos="10080"/>
        </w:tabs>
        <w:rPr>
          <w:rFonts w:ascii="Palatino Linotype" w:hAnsi="Palatino Linotype"/>
          <w:b/>
          <w:u w:val="single"/>
        </w:rPr>
      </w:pPr>
      <w:r w:rsidRPr="00520FD8">
        <w:rPr>
          <w:rFonts w:ascii="Palatino Linotype" w:hAnsi="Palatino Linotype"/>
          <w:b/>
          <w:u w:val="single"/>
        </w:rPr>
        <w:lastRenderedPageBreak/>
        <w:t>COMMENTS</w:t>
      </w:r>
    </w:p>
    <w:p w:rsidRPr="00825ECD" w:rsidR="003B1DBD" w:rsidP="0046140E" w:rsidRDefault="003B1DBD" w14:paraId="2DDB0542" w14:textId="77777777">
      <w:pPr>
        <w:keepNext/>
        <w:tabs>
          <w:tab w:val="right" w:pos="10080"/>
        </w:tabs>
        <w:rPr>
          <w:rFonts w:ascii="Palatino Linotype" w:hAnsi="Palatino Linotype"/>
          <w:sz w:val="20"/>
          <w:highlight w:val="yellow"/>
        </w:rPr>
      </w:pPr>
    </w:p>
    <w:p w:rsidR="00806442" w:rsidP="0046140E" w:rsidRDefault="00806442" w14:paraId="211BA533" w14:textId="6CA302E1">
      <w:pPr>
        <w:keepNext/>
        <w:tabs>
          <w:tab w:val="right" w:pos="10080"/>
        </w:tabs>
        <w:rPr>
          <w:rFonts w:ascii="Palatino Linotype" w:hAnsi="Palatino Linotype"/>
        </w:rPr>
      </w:pPr>
      <w:r>
        <w:rPr>
          <w:rFonts w:ascii="Palatino Linotype" w:hAnsi="Palatino Linotype"/>
        </w:rPr>
        <w:t xml:space="preserve">In compliance with Public Utilities Code § 311(g)(1), the Commission emailed a notice letter on October </w:t>
      </w:r>
      <w:r w:rsidR="004404DD">
        <w:rPr>
          <w:rFonts w:ascii="Palatino Linotype" w:hAnsi="Palatino Linotype"/>
        </w:rPr>
        <w:t>4</w:t>
      </w:r>
      <w:r>
        <w:rPr>
          <w:rFonts w:ascii="Palatino Linotype" w:hAnsi="Palatino Linotype"/>
        </w:rPr>
        <w:t xml:space="preserve">, 2019, informing relevant parties of the availability of this resolution for public comments at the Commission’s website </w:t>
      </w:r>
      <w:hyperlink w:history="1" r:id="rId8">
        <w:r w:rsidRPr="00806442">
          <w:rPr>
            <w:rStyle w:val="Hyperlink"/>
            <w:rFonts w:ascii="Palatino Linotype" w:hAnsi="Palatino Linotype"/>
          </w:rPr>
          <w:t>www.cpuc.ca.gov</w:t>
        </w:r>
      </w:hyperlink>
      <w:r>
        <w:rPr>
          <w:rFonts w:ascii="Palatino Linotype" w:hAnsi="Palatino Linotype"/>
        </w:rPr>
        <w:t>. Comments were due within twenty (20) days of Daily Calendar notification. The notice letter also informed parties that the final conformed Resolution adopted by the Commission will be posted and available at the same website.</w:t>
      </w:r>
    </w:p>
    <w:p w:rsidR="00806442" w:rsidP="0046140E" w:rsidRDefault="00806442" w14:paraId="69D9AB46" w14:textId="77777777">
      <w:pPr>
        <w:keepNext/>
        <w:tabs>
          <w:tab w:val="right" w:pos="10080"/>
        </w:tabs>
        <w:rPr>
          <w:rFonts w:ascii="Palatino Linotype" w:hAnsi="Palatino Linotype"/>
        </w:rPr>
      </w:pPr>
    </w:p>
    <w:p w:rsidR="003C66D8" w:rsidP="0046140E" w:rsidRDefault="00806442" w14:paraId="43087C38" w14:textId="68ACB8B1">
      <w:pPr>
        <w:keepNext/>
        <w:tabs>
          <w:tab w:val="right" w:pos="10080"/>
        </w:tabs>
        <w:rPr>
          <w:rFonts w:ascii="Palatino Linotype" w:hAnsi="Palatino Linotype"/>
        </w:rPr>
      </w:pPr>
      <w:r>
        <w:rPr>
          <w:rFonts w:ascii="Palatino Linotype" w:hAnsi="Palatino Linotype"/>
        </w:rPr>
        <w:t>Comments were submitted by United Way of Fresno and Madera Counties, Community Action Coalition of Santa Barbara County, United Way Bay Area, United Way of Northern California, United Ways of California, California Cable &amp; Telecommunications Association</w:t>
      </w:r>
      <w:r w:rsidR="006C1342">
        <w:rPr>
          <w:rFonts w:ascii="Palatino Linotype" w:hAnsi="Palatino Linotype"/>
        </w:rPr>
        <w:t xml:space="preserve"> (CCTA)</w:t>
      </w:r>
      <w:r>
        <w:rPr>
          <w:rFonts w:ascii="Palatino Linotype" w:hAnsi="Palatino Linotype"/>
        </w:rPr>
        <w:t>, and Help Central, Inc.</w:t>
      </w:r>
    </w:p>
    <w:p w:rsidR="003C66D8" w:rsidP="0046140E" w:rsidRDefault="003C66D8" w14:paraId="453B5504" w14:textId="77777777">
      <w:pPr>
        <w:keepNext/>
        <w:tabs>
          <w:tab w:val="right" w:pos="10080"/>
        </w:tabs>
        <w:rPr>
          <w:rFonts w:ascii="Palatino Linotype" w:hAnsi="Palatino Linotype"/>
        </w:rPr>
      </w:pPr>
    </w:p>
    <w:p w:rsidRPr="00A00513" w:rsidR="003C66D8" w:rsidP="0046140E" w:rsidRDefault="003C66D8" w14:paraId="50CE9942" w14:textId="77777777">
      <w:pPr>
        <w:keepNext/>
        <w:tabs>
          <w:tab w:val="right" w:pos="10080"/>
        </w:tabs>
        <w:rPr>
          <w:rFonts w:ascii="Palatino Linotype" w:hAnsi="Palatino Linotype"/>
          <w:b/>
          <w:u w:val="single"/>
        </w:rPr>
      </w:pPr>
      <w:r w:rsidRPr="00A00513">
        <w:rPr>
          <w:rFonts w:ascii="Palatino Linotype" w:hAnsi="Palatino Linotype"/>
          <w:b/>
          <w:u w:val="single"/>
        </w:rPr>
        <w:t>Comments by the United Ways and the Community Action Coalition</w:t>
      </w:r>
    </w:p>
    <w:p w:rsidR="00A00513" w:rsidP="0046140E" w:rsidRDefault="00A00513" w14:paraId="2C6E3F27" w14:textId="77777777">
      <w:pPr>
        <w:keepNext/>
        <w:tabs>
          <w:tab w:val="right" w:pos="10080"/>
        </w:tabs>
        <w:rPr>
          <w:rFonts w:ascii="Palatino Linotype" w:hAnsi="Palatino Linotype"/>
        </w:rPr>
      </w:pPr>
    </w:p>
    <w:p w:rsidR="006C1342" w:rsidP="0046140E" w:rsidRDefault="002377C7" w14:paraId="771D013A" w14:textId="29C2ACDC">
      <w:pPr>
        <w:keepNext/>
        <w:tabs>
          <w:tab w:val="right" w:pos="10080"/>
        </w:tabs>
        <w:rPr>
          <w:rFonts w:ascii="Palatino Linotype" w:hAnsi="Palatino Linotype"/>
        </w:rPr>
      </w:pPr>
      <w:r>
        <w:rPr>
          <w:rFonts w:ascii="Palatino Linotype" w:hAnsi="Palatino Linotype"/>
        </w:rPr>
        <w:t xml:space="preserve">The comments strongly support the approval of the resolution and the choice of Interface as disaster 2-1-1 service provider. </w:t>
      </w:r>
      <w:r w:rsidR="006C1342">
        <w:rPr>
          <w:rFonts w:ascii="Palatino Linotype" w:hAnsi="Palatino Linotype"/>
        </w:rPr>
        <w:t xml:space="preserve">They </w:t>
      </w:r>
      <w:r w:rsidR="00443378">
        <w:rPr>
          <w:rFonts w:ascii="Palatino Linotype" w:hAnsi="Palatino Linotype"/>
        </w:rPr>
        <w:t xml:space="preserve">spoke of </w:t>
      </w:r>
      <w:r w:rsidR="006C1342">
        <w:rPr>
          <w:rFonts w:ascii="Palatino Linotype" w:hAnsi="Palatino Linotype"/>
        </w:rPr>
        <w:t>Interface’s leadership in 2-1-1 services in California since 2005, its experience in handling numerous natural disasters, and its engagement with local governments and stakeholders.</w:t>
      </w:r>
    </w:p>
    <w:p w:rsidR="006C1342" w:rsidP="0046140E" w:rsidRDefault="006C1342" w14:paraId="2E914557" w14:textId="77777777">
      <w:pPr>
        <w:keepNext/>
        <w:tabs>
          <w:tab w:val="right" w:pos="10080"/>
        </w:tabs>
        <w:rPr>
          <w:rFonts w:ascii="Palatino Linotype" w:hAnsi="Palatino Linotype"/>
        </w:rPr>
      </w:pPr>
    </w:p>
    <w:p w:rsidR="006C1342" w:rsidP="0046140E" w:rsidRDefault="006C1342" w14:paraId="0D574701" w14:textId="1C797CBC">
      <w:pPr>
        <w:keepNext/>
        <w:tabs>
          <w:tab w:val="right" w:pos="10080"/>
        </w:tabs>
        <w:rPr>
          <w:rFonts w:ascii="Palatino Linotype" w:hAnsi="Palatino Linotype"/>
          <w:b/>
          <w:u w:val="single"/>
        </w:rPr>
      </w:pPr>
      <w:r w:rsidRPr="00A00513">
        <w:rPr>
          <w:rFonts w:ascii="Palatino Linotype" w:hAnsi="Palatino Linotype"/>
          <w:b/>
          <w:u w:val="single"/>
        </w:rPr>
        <w:t>Comments by CCTA</w:t>
      </w:r>
    </w:p>
    <w:p w:rsidRPr="00A00513" w:rsidR="00A00513" w:rsidP="0046140E" w:rsidRDefault="00A00513" w14:paraId="7BB2E94C" w14:textId="77777777">
      <w:pPr>
        <w:keepNext/>
        <w:tabs>
          <w:tab w:val="right" w:pos="10080"/>
        </w:tabs>
        <w:rPr>
          <w:rFonts w:ascii="Palatino Linotype" w:hAnsi="Palatino Linotype"/>
          <w:bCs/>
        </w:rPr>
      </w:pPr>
    </w:p>
    <w:p w:rsidR="00806442" w:rsidP="0046140E" w:rsidRDefault="006C1342" w14:paraId="5680F838" w14:textId="48DA1754">
      <w:pPr>
        <w:keepNext/>
        <w:tabs>
          <w:tab w:val="right" w:pos="10080"/>
        </w:tabs>
        <w:rPr>
          <w:rFonts w:ascii="Palatino Linotype" w:hAnsi="Palatino Linotype"/>
        </w:rPr>
      </w:pPr>
      <w:r>
        <w:rPr>
          <w:rFonts w:ascii="Palatino Linotype" w:hAnsi="Palatino Linotype"/>
        </w:rPr>
        <w:t>In its comments, CCTA</w:t>
      </w:r>
      <w:r w:rsidR="00D61B9E">
        <w:rPr>
          <w:rFonts w:ascii="Palatino Linotype" w:hAnsi="Palatino Linotype"/>
        </w:rPr>
        <w:t xml:space="preserve"> broadly</w:t>
      </w:r>
      <w:r>
        <w:rPr>
          <w:rFonts w:ascii="Palatino Linotype" w:hAnsi="Palatino Linotype"/>
        </w:rPr>
        <w:t xml:space="preserve"> supports Interface’s prop</w:t>
      </w:r>
      <w:r w:rsidR="00D61B9E">
        <w:rPr>
          <w:rFonts w:ascii="Palatino Linotype" w:hAnsi="Palatino Linotype"/>
        </w:rPr>
        <w:t xml:space="preserve">osal for disaster 2-1-1 service. CCTA also </w:t>
      </w:r>
      <w:r>
        <w:rPr>
          <w:rFonts w:ascii="Palatino Linotype" w:hAnsi="Palatino Linotype"/>
        </w:rPr>
        <w:t xml:space="preserve">requests the inclusion of a testing requirement </w:t>
      </w:r>
      <w:r w:rsidR="00D61B9E">
        <w:rPr>
          <w:rFonts w:ascii="Palatino Linotype" w:hAnsi="Palatino Linotype"/>
        </w:rPr>
        <w:t>of protocols necessary for disaster 2-1-1 functioning.</w:t>
      </w:r>
    </w:p>
    <w:p w:rsidR="00D61B9E" w:rsidP="0046140E" w:rsidRDefault="00D61B9E" w14:paraId="71BDBFBD" w14:textId="36909CD2">
      <w:pPr>
        <w:keepNext/>
        <w:tabs>
          <w:tab w:val="right" w:pos="10080"/>
        </w:tabs>
        <w:rPr>
          <w:rFonts w:ascii="Palatino Linotype" w:hAnsi="Palatino Linotype"/>
        </w:rPr>
      </w:pPr>
    </w:p>
    <w:p w:rsidRPr="00A00513" w:rsidR="00D61B9E" w:rsidP="0046140E" w:rsidRDefault="00D61B9E" w14:paraId="64DCF4D6" w14:textId="419BB0CF">
      <w:pPr>
        <w:keepNext/>
        <w:tabs>
          <w:tab w:val="right" w:pos="10080"/>
        </w:tabs>
        <w:rPr>
          <w:rFonts w:ascii="Palatino Linotype" w:hAnsi="Palatino Linotype"/>
          <w:b/>
          <w:u w:val="single"/>
        </w:rPr>
      </w:pPr>
      <w:r w:rsidRPr="00A00513">
        <w:rPr>
          <w:rFonts w:ascii="Palatino Linotype" w:hAnsi="Palatino Linotype"/>
          <w:b/>
          <w:u w:val="single"/>
        </w:rPr>
        <w:t>Comments by Help Central, Inc.</w:t>
      </w:r>
    </w:p>
    <w:p w:rsidR="00A00513" w:rsidP="0046140E" w:rsidRDefault="00A00513" w14:paraId="1D073305" w14:textId="77777777">
      <w:pPr>
        <w:keepNext/>
        <w:tabs>
          <w:tab w:val="right" w:pos="10080"/>
        </w:tabs>
        <w:rPr>
          <w:rFonts w:ascii="Palatino Linotype" w:hAnsi="Palatino Linotype"/>
        </w:rPr>
      </w:pPr>
    </w:p>
    <w:p w:rsidR="006A7F00" w:rsidP="006A7F00" w:rsidRDefault="00091ADD" w14:paraId="6EC18B7F" w14:textId="3EF1DBA3">
      <w:pPr>
        <w:keepNext/>
        <w:tabs>
          <w:tab w:val="right" w:pos="10080"/>
        </w:tabs>
        <w:rPr>
          <w:rFonts w:ascii="Palatino Linotype" w:hAnsi="Palatino Linotype"/>
        </w:rPr>
      </w:pPr>
      <w:r>
        <w:rPr>
          <w:rFonts w:ascii="Palatino Linotype" w:hAnsi="Palatino Linotype"/>
        </w:rPr>
        <w:t>In its comments, Help Central, Inc., the 2-1-1 service provider for Butte and Glenn counties, opposes the draft resolution on the grounds that the resolution does not cover all 19 currently unserved counties. It does not object to the designation or qualifications of Interface as the disaster 2-1-1 service provider</w:t>
      </w:r>
      <w:r w:rsidR="00C54CB8">
        <w:rPr>
          <w:rFonts w:ascii="Palatino Linotype" w:hAnsi="Palatino Linotype"/>
        </w:rPr>
        <w:t>, but</w:t>
      </w:r>
      <w:r>
        <w:rPr>
          <w:rFonts w:ascii="Palatino Linotype" w:hAnsi="Palatino Linotype"/>
        </w:rPr>
        <w:t xml:space="preserve"> urges the inclusion of all counties regardless of </w:t>
      </w:r>
      <w:r w:rsidR="00C54CB8">
        <w:rPr>
          <w:rFonts w:ascii="Palatino Linotype" w:hAnsi="Palatino Linotype"/>
        </w:rPr>
        <w:t>their willing</w:t>
      </w:r>
      <w:r w:rsidR="00A2394D">
        <w:rPr>
          <w:rFonts w:ascii="Palatino Linotype" w:hAnsi="Palatino Linotype"/>
        </w:rPr>
        <w:t>n</w:t>
      </w:r>
      <w:r w:rsidR="00C54CB8">
        <w:rPr>
          <w:rFonts w:ascii="Palatino Linotype" w:hAnsi="Palatino Linotype"/>
        </w:rPr>
        <w:t>ess</w:t>
      </w:r>
      <w:r w:rsidR="00443378">
        <w:rPr>
          <w:rFonts w:ascii="Palatino Linotype" w:hAnsi="Palatino Linotype"/>
        </w:rPr>
        <w:t xml:space="preserve"> to participate.</w:t>
      </w:r>
    </w:p>
    <w:p w:rsidR="006A7F00" w:rsidP="006A7F00" w:rsidRDefault="006A7F00" w14:paraId="12116EEA" w14:textId="77777777">
      <w:pPr>
        <w:keepNext/>
        <w:tabs>
          <w:tab w:val="right" w:pos="10080"/>
        </w:tabs>
        <w:rPr>
          <w:rFonts w:ascii="Palatino Linotype" w:hAnsi="Palatino Linotype"/>
        </w:rPr>
      </w:pPr>
    </w:p>
    <w:p w:rsidRPr="00A00513" w:rsidR="006A7F00" w:rsidP="006A7F00" w:rsidRDefault="006A7F00" w14:paraId="41D8D083" w14:textId="62CA44D7">
      <w:pPr>
        <w:keepNext/>
        <w:tabs>
          <w:tab w:val="right" w:pos="10080"/>
        </w:tabs>
        <w:rPr>
          <w:rFonts w:ascii="Palatino Linotype" w:hAnsi="Palatino Linotype"/>
          <w:b/>
          <w:u w:val="single"/>
        </w:rPr>
      </w:pPr>
      <w:r w:rsidRPr="00A00513">
        <w:rPr>
          <w:rFonts w:ascii="Palatino Linotype" w:hAnsi="Palatino Linotype"/>
          <w:b/>
          <w:u w:val="single"/>
        </w:rPr>
        <w:t xml:space="preserve">Comments by </w:t>
      </w:r>
      <w:r>
        <w:rPr>
          <w:rFonts w:ascii="Palatino Linotype" w:hAnsi="Palatino Linotype"/>
          <w:b/>
          <w:u w:val="single"/>
        </w:rPr>
        <w:t>211 California</w:t>
      </w:r>
    </w:p>
    <w:p w:rsidR="006A7F00" w:rsidP="006A7F00" w:rsidRDefault="006A7F00" w14:paraId="35C412B3" w14:textId="77777777">
      <w:pPr>
        <w:keepNext/>
        <w:tabs>
          <w:tab w:val="right" w:pos="10080"/>
        </w:tabs>
        <w:rPr>
          <w:rFonts w:ascii="Palatino Linotype" w:hAnsi="Palatino Linotype"/>
        </w:rPr>
      </w:pPr>
    </w:p>
    <w:p w:rsidR="006A7F00" w:rsidP="0046140E" w:rsidRDefault="006A7F00" w14:paraId="3B48B12B" w14:textId="1BB05E43">
      <w:pPr>
        <w:keepNext/>
        <w:tabs>
          <w:tab w:val="right" w:pos="10080"/>
        </w:tabs>
        <w:rPr>
          <w:rFonts w:ascii="Palatino Linotype" w:hAnsi="Palatino Linotype"/>
        </w:rPr>
      </w:pPr>
      <w:r>
        <w:rPr>
          <w:rFonts w:ascii="Palatino Linotype" w:hAnsi="Palatino Linotype"/>
        </w:rPr>
        <w:t xml:space="preserve">In its comments, 211 California opposes the draft resolution on the grounds that the solution relies on a single 2-1-1 service center located in Ventura County, leaving it </w:t>
      </w:r>
      <w:r>
        <w:rPr>
          <w:rFonts w:ascii="Palatino Linotype" w:hAnsi="Palatino Linotype"/>
        </w:rPr>
        <w:lastRenderedPageBreak/>
        <w:t xml:space="preserve">vulnerable to outages if the facility is taken out of service by disaster, Public Safety Power Shutoff event, or other incidents. 211 California also objects on the grounds that it does not cover all 19 currently unserved counties. It urges </w:t>
      </w:r>
      <w:r w:rsidR="00E47876">
        <w:rPr>
          <w:rFonts w:ascii="Palatino Linotype" w:hAnsi="Palatino Linotype"/>
        </w:rPr>
        <w:t xml:space="preserve">a “least regrets” approach that activates the switches in all 19 counties while </w:t>
      </w:r>
      <w:r>
        <w:rPr>
          <w:rFonts w:ascii="Palatino Linotype" w:hAnsi="Palatino Linotype"/>
        </w:rPr>
        <w:t>deferring the design and implementation of a statewide disaster 2-1-1 system to 211 California and the California’s Office of Emergency Services.</w:t>
      </w:r>
    </w:p>
    <w:p w:rsidR="00443378" w:rsidP="0046140E" w:rsidRDefault="00443378" w14:paraId="7249C166" w14:textId="0032D602">
      <w:pPr>
        <w:keepNext/>
        <w:tabs>
          <w:tab w:val="right" w:pos="10080"/>
        </w:tabs>
        <w:rPr>
          <w:rFonts w:ascii="Palatino Linotype" w:hAnsi="Palatino Linotype"/>
        </w:rPr>
      </w:pPr>
    </w:p>
    <w:p w:rsidRPr="00A00513" w:rsidR="00443378" w:rsidP="0046140E" w:rsidRDefault="00E2327B" w14:paraId="3948C6D2" w14:textId="02F3FAB5">
      <w:pPr>
        <w:keepNext/>
        <w:tabs>
          <w:tab w:val="right" w:pos="10080"/>
        </w:tabs>
        <w:rPr>
          <w:rFonts w:ascii="Palatino Linotype" w:hAnsi="Palatino Linotype"/>
          <w:b/>
          <w:u w:val="single"/>
        </w:rPr>
      </w:pPr>
      <w:r w:rsidRPr="00A00513">
        <w:rPr>
          <w:rFonts w:ascii="Palatino Linotype" w:hAnsi="Palatino Linotype"/>
          <w:b/>
          <w:u w:val="single"/>
        </w:rPr>
        <w:t>Staff</w:t>
      </w:r>
      <w:r w:rsidRPr="00A00513" w:rsidR="00443378">
        <w:rPr>
          <w:rFonts w:ascii="Palatino Linotype" w:hAnsi="Palatino Linotype"/>
          <w:b/>
          <w:u w:val="single"/>
        </w:rPr>
        <w:t xml:space="preserve"> </w:t>
      </w:r>
      <w:r w:rsidR="0074495F">
        <w:rPr>
          <w:rFonts w:ascii="Palatino Linotype" w:hAnsi="Palatino Linotype"/>
          <w:b/>
          <w:u w:val="single"/>
        </w:rPr>
        <w:t>R</w:t>
      </w:r>
      <w:r w:rsidRPr="00A00513" w:rsidR="00443378">
        <w:rPr>
          <w:rFonts w:ascii="Palatino Linotype" w:hAnsi="Palatino Linotype"/>
          <w:b/>
          <w:u w:val="single"/>
        </w:rPr>
        <w:t xml:space="preserve">esponses to </w:t>
      </w:r>
      <w:r w:rsidR="0074495F">
        <w:rPr>
          <w:rFonts w:ascii="Palatino Linotype" w:hAnsi="Palatino Linotype"/>
          <w:b/>
          <w:u w:val="single"/>
        </w:rPr>
        <w:t>C</w:t>
      </w:r>
      <w:r w:rsidRPr="00A00513" w:rsidR="00443378">
        <w:rPr>
          <w:rFonts w:ascii="Palatino Linotype" w:hAnsi="Palatino Linotype"/>
          <w:b/>
          <w:u w:val="single"/>
        </w:rPr>
        <w:t>omments</w:t>
      </w:r>
    </w:p>
    <w:p w:rsidR="00A00513" w:rsidP="0046140E" w:rsidRDefault="00A00513" w14:paraId="198E1C10" w14:textId="77777777">
      <w:pPr>
        <w:keepNext/>
        <w:tabs>
          <w:tab w:val="right" w:pos="10080"/>
        </w:tabs>
        <w:rPr>
          <w:rFonts w:ascii="Palatino Linotype" w:hAnsi="Palatino Linotype"/>
        </w:rPr>
      </w:pPr>
    </w:p>
    <w:p w:rsidR="00443378" w:rsidP="0046140E" w:rsidRDefault="00E2327B" w14:paraId="60554817" w14:textId="383D0FA6">
      <w:pPr>
        <w:keepNext/>
        <w:tabs>
          <w:tab w:val="right" w:pos="10080"/>
        </w:tabs>
        <w:rPr>
          <w:rFonts w:ascii="Palatino Linotype" w:hAnsi="Palatino Linotype"/>
        </w:rPr>
      </w:pPr>
      <w:r>
        <w:rPr>
          <w:rFonts w:ascii="Palatino Linotype" w:hAnsi="Palatino Linotype"/>
        </w:rPr>
        <w:t>Staff acknowledges the comments supporting the approval of the resolution and agrees with CCTA’s comment regarding the inclusion of a testing component. Therefore, the requirement has been included as a part of full implementation of disaster 2-1-1 services.</w:t>
      </w:r>
    </w:p>
    <w:p w:rsidR="00E2327B" w:rsidP="0046140E" w:rsidRDefault="00E2327B" w14:paraId="58503316" w14:textId="0E6E19BA">
      <w:pPr>
        <w:keepNext/>
        <w:tabs>
          <w:tab w:val="right" w:pos="10080"/>
        </w:tabs>
        <w:rPr>
          <w:rFonts w:ascii="Palatino Linotype" w:hAnsi="Palatino Linotype"/>
        </w:rPr>
      </w:pPr>
    </w:p>
    <w:p w:rsidR="003B1DBD" w:rsidP="0046140E" w:rsidRDefault="00E2327B" w14:paraId="3CACAD12" w14:textId="33F73B47">
      <w:pPr>
        <w:tabs>
          <w:tab w:val="right" w:pos="10080"/>
        </w:tabs>
        <w:rPr>
          <w:rFonts w:ascii="Palatino Linotype" w:hAnsi="Palatino Linotype"/>
        </w:rPr>
      </w:pPr>
      <w:r>
        <w:rPr>
          <w:rFonts w:ascii="Palatino Linotype" w:hAnsi="Palatino Linotype"/>
        </w:rPr>
        <w:t>Staff disagrees with Help Central</w:t>
      </w:r>
      <w:r w:rsidR="008A391E">
        <w:rPr>
          <w:rFonts w:ascii="Palatino Linotype" w:hAnsi="Palatino Linotype"/>
        </w:rPr>
        <w:t>’s and 211 California</w:t>
      </w:r>
      <w:r>
        <w:rPr>
          <w:rFonts w:ascii="Palatino Linotype" w:hAnsi="Palatino Linotype"/>
        </w:rPr>
        <w:t xml:space="preserve">’s comments regarding the </w:t>
      </w:r>
      <w:r w:rsidR="00BB3658">
        <w:rPr>
          <w:rFonts w:ascii="Palatino Linotype" w:hAnsi="Palatino Linotype"/>
        </w:rPr>
        <w:t xml:space="preserve">activation of 2-1-1 dialing in </w:t>
      </w:r>
      <w:r w:rsidR="00215EE0">
        <w:rPr>
          <w:rFonts w:ascii="Palatino Linotype" w:hAnsi="Palatino Linotype"/>
        </w:rPr>
        <w:t xml:space="preserve">counties that have not </w:t>
      </w:r>
      <w:r w:rsidR="00BB3658">
        <w:rPr>
          <w:rFonts w:ascii="Palatino Linotype" w:hAnsi="Palatino Linotype"/>
        </w:rPr>
        <w:t>agreed to participate</w:t>
      </w:r>
      <w:r w:rsidR="00215EE0">
        <w:rPr>
          <w:rFonts w:ascii="Palatino Linotype" w:hAnsi="Palatino Linotype"/>
        </w:rPr>
        <w:t xml:space="preserve"> in disaster 2-1-1</w:t>
      </w:r>
      <w:r w:rsidR="00BB3658">
        <w:rPr>
          <w:rFonts w:ascii="Palatino Linotype" w:hAnsi="Palatino Linotype"/>
        </w:rPr>
        <w:t xml:space="preserve"> service</w:t>
      </w:r>
      <w:r w:rsidR="00215EE0">
        <w:rPr>
          <w:rFonts w:ascii="Palatino Linotype" w:hAnsi="Palatino Linotype"/>
        </w:rPr>
        <w:t>.</w:t>
      </w:r>
      <w:r w:rsidR="00BE69DB">
        <w:rPr>
          <w:rFonts w:ascii="Palatino Linotype" w:hAnsi="Palatino Linotype"/>
        </w:rPr>
        <w:t xml:space="preserve"> </w:t>
      </w:r>
      <w:r w:rsidR="008649B7">
        <w:rPr>
          <w:rFonts w:ascii="Palatino Linotype" w:hAnsi="Palatino Linotype"/>
        </w:rPr>
        <w:t>D.11-09-016 requires a county’s board of supervisors to endorse a disaster 2-1-1 solution before it may be implemented in that county.</w:t>
      </w:r>
      <w:r w:rsidR="008649B7">
        <w:rPr>
          <w:rStyle w:val="FootnoteReference"/>
          <w:rFonts w:ascii="Palatino Linotype" w:hAnsi="Palatino Linotype"/>
        </w:rPr>
        <w:footnoteReference w:id="16"/>
      </w:r>
      <w:r w:rsidR="00177A4D">
        <w:rPr>
          <w:rFonts w:ascii="Palatino Linotype" w:hAnsi="Palatino Linotype"/>
        </w:rPr>
        <w:t xml:space="preserve"> The Commission also has no authority to impose </w:t>
      </w:r>
      <w:r w:rsidR="002E1FC0">
        <w:rPr>
          <w:rFonts w:ascii="Palatino Linotype" w:hAnsi="Palatino Linotype"/>
        </w:rPr>
        <w:t xml:space="preserve">disaster </w:t>
      </w:r>
      <w:r w:rsidR="00177A4D">
        <w:rPr>
          <w:rFonts w:ascii="Palatino Linotype" w:hAnsi="Palatino Linotype"/>
        </w:rPr>
        <w:t xml:space="preserve">2-1-1 services on counties </w:t>
      </w:r>
      <w:r w:rsidR="001C052C">
        <w:rPr>
          <w:rFonts w:ascii="Palatino Linotype" w:hAnsi="Palatino Linotype"/>
        </w:rPr>
        <w:t>that have not agreed to such services.</w:t>
      </w:r>
      <w:r w:rsidR="009B1C1D">
        <w:rPr>
          <w:rFonts w:ascii="Palatino Linotype" w:hAnsi="Palatino Linotype"/>
        </w:rPr>
        <w:t xml:space="preserve"> However, the Commission does have authority to spend </w:t>
      </w:r>
      <w:r w:rsidR="00351CF0">
        <w:rPr>
          <w:rFonts w:ascii="Palatino Linotype" w:hAnsi="Palatino Linotype"/>
        </w:rPr>
        <w:t>SB 1212 funds to help close 2-1-1 service gaps as it deems appropriate consistent with the provisions of D.11-09-016.</w:t>
      </w:r>
      <w:r w:rsidR="00351CF0">
        <w:rPr>
          <w:rStyle w:val="FootnoteReference"/>
          <w:rFonts w:ascii="Palatino Linotype" w:hAnsi="Palatino Linotype"/>
        </w:rPr>
        <w:footnoteReference w:id="17"/>
      </w:r>
      <w:r w:rsidR="004B2DFF">
        <w:rPr>
          <w:rFonts w:ascii="Palatino Linotype" w:hAnsi="Palatino Linotype"/>
        </w:rPr>
        <w:t xml:space="preserve"> </w:t>
      </w:r>
      <w:r w:rsidR="00BB3658">
        <w:rPr>
          <w:rFonts w:ascii="Palatino Linotype" w:hAnsi="Palatino Linotype"/>
        </w:rPr>
        <w:t>Activating</w:t>
      </w:r>
      <w:r w:rsidR="00544826">
        <w:rPr>
          <w:rFonts w:ascii="Palatino Linotype" w:hAnsi="Palatino Linotype"/>
        </w:rPr>
        <w:t xml:space="preserve"> switches for</w:t>
      </w:r>
      <w:r w:rsidR="00BB3658">
        <w:rPr>
          <w:rFonts w:ascii="Palatino Linotype" w:hAnsi="Palatino Linotype"/>
        </w:rPr>
        <w:t xml:space="preserve"> 2-1-1 service without </w:t>
      </w:r>
      <w:r w:rsidR="00895CE8">
        <w:rPr>
          <w:rFonts w:ascii="Palatino Linotype" w:hAnsi="Palatino Linotype"/>
        </w:rPr>
        <w:t>a</w:t>
      </w:r>
      <w:r w:rsidR="00544826">
        <w:rPr>
          <w:rFonts w:ascii="Palatino Linotype" w:hAnsi="Palatino Linotype"/>
        </w:rPr>
        <w:t>n embedded</w:t>
      </w:r>
      <w:r w:rsidR="00895CE8">
        <w:rPr>
          <w:rFonts w:ascii="Palatino Linotype" w:hAnsi="Palatino Linotype"/>
        </w:rPr>
        <w:t xml:space="preserve"> local liaison in nonconsenting counties, who are often</w:t>
      </w:r>
      <w:r w:rsidR="00544826">
        <w:rPr>
          <w:rFonts w:ascii="Palatino Linotype" w:hAnsi="Palatino Linotype"/>
        </w:rPr>
        <w:t xml:space="preserve"> stationed</w:t>
      </w:r>
      <w:r w:rsidR="00895CE8">
        <w:rPr>
          <w:rFonts w:ascii="Palatino Linotype" w:hAnsi="Palatino Linotype"/>
        </w:rPr>
        <w:t xml:space="preserve"> in county governments, offices of emergency services, and local communities, will result in woefully and unconscionably lacking information about those areas during times of </w:t>
      </w:r>
      <w:r w:rsidR="00544826">
        <w:rPr>
          <w:rFonts w:ascii="Palatino Linotype" w:hAnsi="Palatino Linotype"/>
        </w:rPr>
        <w:t>disaster</w:t>
      </w:r>
      <w:r w:rsidR="00895CE8">
        <w:rPr>
          <w:rFonts w:ascii="Palatino Linotype" w:hAnsi="Palatino Linotype"/>
        </w:rPr>
        <w:t xml:space="preserve">. Activating 2-1-1 service without the requisite information or the ability to obtain information to make 2-1-1 dialing useful would be </w:t>
      </w:r>
      <w:r w:rsidR="00544826">
        <w:rPr>
          <w:rFonts w:ascii="Palatino Linotype" w:hAnsi="Palatino Linotype"/>
        </w:rPr>
        <w:t xml:space="preserve">dangerous and </w:t>
      </w:r>
      <w:r w:rsidR="00895CE8">
        <w:rPr>
          <w:rFonts w:ascii="Palatino Linotype" w:hAnsi="Palatino Linotype"/>
        </w:rPr>
        <w:t>a grave disservice to the California public</w:t>
      </w:r>
      <w:r w:rsidR="00544826">
        <w:rPr>
          <w:rFonts w:ascii="Palatino Linotype" w:hAnsi="Palatino Linotype"/>
        </w:rPr>
        <w:t xml:space="preserve"> </w:t>
      </w:r>
      <w:r w:rsidR="00895CE8">
        <w:rPr>
          <w:rFonts w:ascii="Palatino Linotype" w:hAnsi="Palatino Linotype"/>
        </w:rPr>
        <w:t xml:space="preserve">who would be </w:t>
      </w:r>
      <w:r w:rsidR="00544826">
        <w:rPr>
          <w:rFonts w:ascii="Palatino Linotype" w:hAnsi="Palatino Linotype"/>
        </w:rPr>
        <w:t>persuaded to use</w:t>
      </w:r>
      <w:r w:rsidR="00895CE8">
        <w:rPr>
          <w:rFonts w:ascii="Palatino Linotype" w:hAnsi="Palatino Linotype"/>
        </w:rPr>
        <w:t xml:space="preserve"> </w:t>
      </w:r>
      <w:r w:rsidR="00544826">
        <w:rPr>
          <w:rFonts w:ascii="Palatino Linotype" w:hAnsi="Palatino Linotype"/>
        </w:rPr>
        <w:t>2-1-1</w:t>
      </w:r>
      <w:r w:rsidR="00895CE8">
        <w:rPr>
          <w:rFonts w:ascii="Palatino Linotype" w:hAnsi="Palatino Linotype"/>
        </w:rPr>
        <w:t xml:space="preserve"> service but be unable to obtain any useful information before they even leave home.</w:t>
      </w:r>
      <w:r w:rsidR="00451670">
        <w:rPr>
          <w:rFonts w:ascii="Palatino Linotype" w:hAnsi="Palatino Linotype"/>
        </w:rPr>
        <w:t xml:space="preserve"> Therefore, </w:t>
      </w:r>
      <w:r w:rsidR="00C54CB8">
        <w:rPr>
          <w:rFonts w:ascii="Palatino Linotype" w:hAnsi="Palatino Linotype"/>
        </w:rPr>
        <w:t>the resolution was not modified to include all counties regardless of their consent.</w:t>
      </w:r>
      <w:r w:rsidR="008A391E">
        <w:rPr>
          <w:rFonts w:ascii="Palatino Linotype" w:hAnsi="Palatino Linotype"/>
        </w:rPr>
        <w:br/>
      </w:r>
    </w:p>
    <w:p w:rsidRPr="00825ECD" w:rsidR="008A391E" w:rsidP="0046140E" w:rsidRDefault="008A391E" w14:paraId="2EA9DEC6" w14:textId="0A871E3B">
      <w:pPr>
        <w:tabs>
          <w:tab w:val="right" w:pos="10080"/>
        </w:tabs>
        <w:rPr>
          <w:rFonts w:ascii="Palatino Linotype" w:hAnsi="Palatino Linotype"/>
        </w:rPr>
      </w:pPr>
      <w:r>
        <w:rPr>
          <w:rFonts w:ascii="Palatino Linotype" w:hAnsi="Palatino Linotype"/>
        </w:rPr>
        <w:t xml:space="preserve">Staff also disagrees with 211 California’s comments regarding reliance on a single facility and preparations for power disruptions. </w:t>
      </w:r>
      <w:r w:rsidR="00E47876">
        <w:rPr>
          <w:rFonts w:ascii="Palatino Linotype" w:hAnsi="Palatino Linotype"/>
        </w:rPr>
        <w:t>Interface’s</w:t>
      </w:r>
      <w:r>
        <w:rPr>
          <w:rFonts w:ascii="Palatino Linotype" w:hAnsi="Palatino Linotype"/>
        </w:rPr>
        <w:t xml:space="preserve"> call center </w:t>
      </w:r>
      <w:r w:rsidRPr="008A391E">
        <w:rPr>
          <w:rFonts w:ascii="Palatino Linotype" w:hAnsi="Palatino Linotype"/>
        </w:rPr>
        <w:t xml:space="preserve">has several levels of redundancy in a power </w:t>
      </w:r>
      <w:r>
        <w:rPr>
          <w:rFonts w:ascii="Palatino Linotype" w:hAnsi="Palatino Linotype"/>
        </w:rPr>
        <w:t>shutoff</w:t>
      </w:r>
      <w:r w:rsidRPr="008A391E">
        <w:rPr>
          <w:rFonts w:ascii="Palatino Linotype" w:hAnsi="Palatino Linotype"/>
        </w:rPr>
        <w:t xml:space="preserve"> situation</w:t>
      </w:r>
      <w:r>
        <w:rPr>
          <w:rFonts w:ascii="Palatino Linotype" w:hAnsi="Palatino Linotype"/>
        </w:rPr>
        <w:t xml:space="preserve">, including </w:t>
      </w:r>
      <w:r w:rsidRPr="008A391E">
        <w:rPr>
          <w:rFonts w:ascii="Palatino Linotype" w:hAnsi="Palatino Linotype"/>
        </w:rPr>
        <w:t xml:space="preserve">a natural gas generator with auto </w:t>
      </w:r>
      <w:r w:rsidRPr="008A391E">
        <w:rPr>
          <w:rFonts w:ascii="Palatino Linotype" w:hAnsi="Palatino Linotype"/>
        </w:rPr>
        <w:lastRenderedPageBreak/>
        <w:t>failover</w:t>
      </w:r>
      <w:r>
        <w:rPr>
          <w:rFonts w:ascii="Palatino Linotype" w:hAnsi="Palatino Linotype"/>
        </w:rPr>
        <w:t xml:space="preserve"> and</w:t>
      </w:r>
      <w:r w:rsidRPr="008A391E">
        <w:rPr>
          <w:rFonts w:ascii="Palatino Linotype" w:hAnsi="Palatino Linotype"/>
        </w:rPr>
        <w:t xml:space="preserve"> a third layer of onsite propane backup should even the natural gas supply be disrupted. </w:t>
      </w:r>
      <w:r w:rsidR="00E47876">
        <w:rPr>
          <w:rFonts w:ascii="Palatino Linotype" w:hAnsi="Palatino Linotype"/>
        </w:rPr>
        <w:t>The call center also has</w:t>
      </w:r>
      <w:r w:rsidRPr="008A391E">
        <w:rPr>
          <w:rFonts w:ascii="Palatino Linotype" w:hAnsi="Palatino Linotype"/>
        </w:rPr>
        <w:t xml:space="preserve"> short</w:t>
      </w:r>
      <w:r>
        <w:rPr>
          <w:rFonts w:ascii="Palatino Linotype" w:hAnsi="Palatino Linotype"/>
        </w:rPr>
        <w:t>-</w:t>
      </w:r>
      <w:r w:rsidRPr="008A391E">
        <w:rPr>
          <w:rFonts w:ascii="Palatino Linotype" w:hAnsi="Palatino Linotype"/>
        </w:rPr>
        <w:t>term battery backup</w:t>
      </w:r>
      <w:r>
        <w:rPr>
          <w:rFonts w:ascii="Palatino Linotype" w:hAnsi="Palatino Linotype"/>
        </w:rPr>
        <w:t>s</w:t>
      </w:r>
      <w:r w:rsidRPr="008A391E">
        <w:rPr>
          <w:rFonts w:ascii="Palatino Linotype" w:hAnsi="Palatino Linotype"/>
        </w:rPr>
        <w:t xml:space="preserve"> and multiple local backup locations in geographically separated locations in </w:t>
      </w:r>
      <w:r>
        <w:rPr>
          <w:rFonts w:ascii="Palatino Linotype" w:hAnsi="Palatino Linotype"/>
        </w:rPr>
        <w:t>Ventura County,</w:t>
      </w:r>
      <w:r w:rsidRPr="008A391E">
        <w:rPr>
          <w:rFonts w:ascii="Palatino Linotype" w:hAnsi="Palatino Linotype"/>
        </w:rPr>
        <w:t xml:space="preserve"> which </w:t>
      </w:r>
      <w:r>
        <w:rPr>
          <w:rFonts w:ascii="Palatino Linotype" w:hAnsi="Palatino Linotype"/>
        </w:rPr>
        <w:t xml:space="preserve">have been tested and used in the past. </w:t>
      </w:r>
      <w:r w:rsidR="00E47876">
        <w:rPr>
          <w:rFonts w:ascii="Palatino Linotype" w:hAnsi="Palatino Linotype"/>
        </w:rPr>
        <w:t xml:space="preserve">Finally, </w:t>
      </w:r>
      <w:r>
        <w:rPr>
          <w:rFonts w:ascii="Palatino Linotype" w:hAnsi="Palatino Linotype"/>
        </w:rPr>
        <w:t xml:space="preserve">Interface is part of the inContact business unit, which </w:t>
      </w:r>
      <w:r w:rsidRPr="008A391E">
        <w:rPr>
          <w:rFonts w:ascii="Palatino Linotype" w:hAnsi="Palatino Linotype"/>
        </w:rPr>
        <w:t>enables the seamless transfer of call volumes between multiple 2</w:t>
      </w:r>
      <w:r>
        <w:rPr>
          <w:rFonts w:ascii="Palatino Linotype" w:hAnsi="Palatino Linotype"/>
        </w:rPr>
        <w:t>-1-</w:t>
      </w:r>
      <w:r w:rsidRPr="008A391E">
        <w:rPr>
          <w:rFonts w:ascii="Palatino Linotype" w:hAnsi="Palatino Linotype"/>
        </w:rPr>
        <w:t xml:space="preserve">1 call centers in California. </w:t>
      </w:r>
      <w:r>
        <w:rPr>
          <w:rFonts w:ascii="Palatino Linotype" w:hAnsi="Palatino Linotype"/>
        </w:rPr>
        <w:t>Interface</w:t>
      </w:r>
      <w:r w:rsidRPr="008A391E">
        <w:rPr>
          <w:rFonts w:ascii="Palatino Linotype" w:hAnsi="Palatino Linotype"/>
        </w:rPr>
        <w:t xml:space="preserve"> initiated this solution </w:t>
      </w:r>
      <w:r>
        <w:rPr>
          <w:rFonts w:ascii="Palatino Linotype" w:hAnsi="Palatino Linotype"/>
        </w:rPr>
        <w:t>several</w:t>
      </w:r>
      <w:r w:rsidRPr="008A391E">
        <w:rPr>
          <w:rFonts w:ascii="Palatino Linotype" w:hAnsi="Palatino Linotype"/>
        </w:rPr>
        <w:t xml:space="preserve"> years ago to forestall </w:t>
      </w:r>
      <w:r>
        <w:rPr>
          <w:rFonts w:ascii="Palatino Linotype" w:hAnsi="Palatino Linotype"/>
        </w:rPr>
        <w:t>the disruptions that 211 California describes</w:t>
      </w:r>
      <w:r w:rsidR="00E47876">
        <w:rPr>
          <w:rFonts w:ascii="Palatino Linotype" w:hAnsi="Palatino Linotype"/>
        </w:rPr>
        <w:t xml:space="preserve"> and has not had to use it given the strength of its redundancy capabilities</w:t>
      </w:r>
      <w:r w:rsidRPr="008A391E">
        <w:rPr>
          <w:rFonts w:ascii="Palatino Linotype" w:hAnsi="Palatino Linotype"/>
        </w:rPr>
        <w:t>.</w:t>
      </w:r>
      <w:r w:rsidR="00E47876">
        <w:rPr>
          <w:rFonts w:ascii="Palatino Linotype" w:hAnsi="Palatino Linotype"/>
        </w:rPr>
        <w:t xml:space="preserve"> Given the sufficiency of these measures, the resolution was not modified </w:t>
      </w:r>
      <w:r w:rsidR="00323501">
        <w:rPr>
          <w:rFonts w:ascii="Palatino Linotype" w:hAnsi="Palatino Linotype"/>
        </w:rPr>
        <w:t xml:space="preserve">to defer design and implementation to 211 California when the counties have already agreed to </w:t>
      </w:r>
      <w:r w:rsidR="00863850">
        <w:rPr>
          <w:rFonts w:ascii="Palatino Linotype" w:hAnsi="Palatino Linotype"/>
        </w:rPr>
        <w:t xml:space="preserve">adopt </w:t>
      </w:r>
      <w:r w:rsidR="00323501">
        <w:rPr>
          <w:rFonts w:ascii="Palatino Linotype" w:hAnsi="Palatino Linotype"/>
        </w:rPr>
        <w:t>Interface’s system.</w:t>
      </w:r>
    </w:p>
    <w:p w:rsidR="00C54CB8" w:rsidP="00426552" w:rsidRDefault="00C54CB8" w14:paraId="00FF92D2" w14:textId="77777777">
      <w:pPr>
        <w:keepNext/>
        <w:tabs>
          <w:tab w:val="right" w:pos="10080"/>
        </w:tabs>
        <w:jc w:val="both"/>
        <w:rPr>
          <w:rFonts w:ascii="Palatino Linotype" w:hAnsi="Palatino Linotype"/>
          <w:b/>
          <w:u w:val="single"/>
        </w:rPr>
      </w:pPr>
    </w:p>
    <w:p w:rsidRPr="00520FD8" w:rsidR="003B1DBD" w:rsidP="00426552" w:rsidRDefault="003B1DBD" w14:paraId="47785B7D" w14:textId="29176161">
      <w:pPr>
        <w:keepNext/>
        <w:tabs>
          <w:tab w:val="right" w:pos="10080"/>
        </w:tabs>
        <w:jc w:val="both"/>
        <w:rPr>
          <w:rFonts w:ascii="Palatino Linotype" w:hAnsi="Palatino Linotype"/>
          <w:b/>
          <w:u w:val="single"/>
        </w:rPr>
      </w:pPr>
      <w:r w:rsidRPr="00520FD8">
        <w:rPr>
          <w:rFonts w:ascii="Palatino Linotype" w:hAnsi="Palatino Linotype"/>
          <w:b/>
          <w:u w:val="single"/>
        </w:rPr>
        <w:t>FINDINGS</w:t>
      </w:r>
    </w:p>
    <w:p w:rsidRPr="00825ECD" w:rsidR="003B1DBD" w:rsidP="00426552" w:rsidRDefault="003B1DBD" w14:paraId="6F5A9CFB" w14:textId="77777777">
      <w:pPr>
        <w:keepNext/>
        <w:jc w:val="both"/>
        <w:rPr>
          <w:rFonts w:ascii="Palatino Linotype" w:hAnsi="Palatino Linotype"/>
          <w:u w:val="single"/>
        </w:rPr>
      </w:pPr>
    </w:p>
    <w:p w:rsidR="00A44056" w:rsidP="00426552" w:rsidRDefault="00800CB4" w14:paraId="35765909" w14:textId="17149AD6">
      <w:pPr>
        <w:keepNext/>
        <w:numPr>
          <w:ilvl w:val="0"/>
          <w:numId w:val="1"/>
        </w:numPr>
        <w:tabs>
          <w:tab w:val="clear" w:pos="240"/>
        </w:tabs>
        <w:spacing w:after="120"/>
        <w:ind w:left="360" w:hanging="360"/>
        <w:rPr>
          <w:rFonts w:ascii="Palatino Linotype" w:hAnsi="Palatino Linotype"/>
        </w:rPr>
      </w:pPr>
      <w:r>
        <w:rPr>
          <w:rFonts w:ascii="Palatino Linotype" w:hAnsi="Palatino Linotype"/>
        </w:rPr>
        <w:t>2-1-1 is the telephone number used to access community information and referral (I&amp;R) providers and vital safety information during emergencies.</w:t>
      </w:r>
    </w:p>
    <w:p w:rsidRPr="002A0C4E" w:rsidR="002A0C4E" w:rsidP="002A0C4E" w:rsidRDefault="002A0C4E" w14:paraId="0C84D45E" w14:textId="5B9A6E51">
      <w:pPr>
        <w:keepNext/>
        <w:numPr>
          <w:ilvl w:val="0"/>
          <w:numId w:val="1"/>
        </w:numPr>
        <w:tabs>
          <w:tab w:val="clear" w:pos="240"/>
        </w:tabs>
        <w:spacing w:after="120"/>
        <w:ind w:left="360" w:hanging="360"/>
        <w:rPr>
          <w:rFonts w:ascii="Palatino Linotype" w:hAnsi="Palatino Linotype"/>
        </w:rPr>
      </w:pPr>
      <w:r w:rsidRPr="00890618">
        <w:rPr>
          <w:rFonts w:ascii="Palatino Linotype" w:hAnsi="Palatino Linotype"/>
        </w:rPr>
        <w:t xml:space="preserve">The counties of Alpine, Amador, Calaveras, Colusa, Del Norte, Inyo, Lake, Lassen, Madera, Modoc, Mono, Placer, Plumas, Sierra, Siskiyou, Sutter, Trinity, Tuolumne, and Yuba currently do not have </w:t>
      </w:r>
      <w:r>
        <w:rPr>
          <w:rFonts w:ascii="Palatino Linotype" w:hAnsi="Palatino Linotype"/>
        </w:rPr>
        <w:t xml:space="preserve">any </w:t>
      </w:r>
      <w:r w:rsidRPr="00890618">
        <w:rPr>
          <w:rFonts w:ascii="Palatino Linotype" w:hAnsi="Palatino Linotype"/>
        </w:rPr>
        <w:t>2-1-1 service.</w:t>
      </w:r>
    </w:p>
    <w:p w:rsidR="00873309" w:rsidP="00873309" w:rsidRDefault="004333DF" w14:paraId="6D50B6F2" w14:textId="4542D112">
      <w:pPr>
        <w:keepNext/>
        <w:numPr>
          <w:ilvl w:val="0"/>
          <w:numId w:val="1"/>
        </w:numPr>
        <w:tabs>
          <w:tab w:val="clear" w:pos="240"/>
        </w:tabs>
        <w:spacing w:after="120"/>
        <w:ind w:left="360" w:hanging="360"/>
        <w:rPr>
          <w:rFonts w:ascii="Palatino Linotype" w:hAnsi="Palatino Linotype"/>
        </w:rPr>
      </w:pPr>
      <w:r>
        <w:rPr>
          <w:rFonts w:ascii="Palatino Linotype" w:hAnsi="Palatino Linotype"/>
        </w:rPr>
        <w:t xml:space="preserve">Senate Bill </w:t>
      </w:r>
      <w:r w:rsidR="000E6B0D">
        <w:rPr>
          <w:rFonts w:ascii="Palatino Linotype" w:hAnsi="Palatino Linotype"/>
        </w:rPr>
        <w:t xml:space="preserve">(SB) </w:t>
      </w:r>
      <w:r>
        <w:rPr>
          <w:rFonts w:ascii="Palatino Linotype" w:hAnsi="Palatino Linotype"/>
        </w:rPr>
        <w:t xml:space="preserve">1212, signed </w:t>
      </w:r>
      <w:r w:rsidR="002A0C4E">
        <w:rPr>
          <w:rFonts w:ascii="Palatino Linotype" w:hAnsi="Palatino Linotype"/>
        </w:rPr>
        <w:t>in</w:t>
      </w:r>
      <w:r>
        <w:rPr>
          <w:rFonts w:ascii="Palatino Linotype" w:hAnsi="Palatino Linotype"/>
        </w:rPr>
        <w:t xml:space="preserve">to law by Governor Jerry Brown on September 29, 2016, authorizes the California Public Utilities Commission (CPUC or Commission) to spend up to $1.5 million to implement disaster 2-1-1 services in </w:t>
      </w:r>
      <w:r w:rsidR="002A0C4E">
        <w:rPr>
          <w:rFonts w:ascii="Palatino Linotype" w:hAnsi="Palatino Linotype"/>
        </w:rPr>
        <w:t>counties</w:t>
      </w:r>
      <w:r w:rsidR="00F93DD0">
        <w:rPr>
          <w:rFonts w:ascii="Palatino Linotype" w:hAnsi="Palatino Linotype"/>
        </w:rPr>
        <w:t xml:space="preserve"> without </w:t>
      </w:r>
      <w:r w:rsidR="002A0C4E">
        <w:rPr>
          <w:rFonts w:ascii="Palatino Linotype" w:hAnsi="Palatino Linotype"/>
        </w:rPr>
        <w:t>service</w:t>
      </w:r>
      <w:r>
        <w:rPr>
          <w:rFonts w:ascii="Palatino Linotype" w:hAnsi="Palatino Linotype"/>
        </w:rPr>
        <w:t>.</w:t>
      </w:r>
    </w:p>
    <w:p w:rsidR="00276972" w:rsidP="00873309" w:rsidRDefault="00873309" w14:paraId="319314A5" w14:textId="546DF6BB">
      <w:pPr>
        <w:keepNext/>
        <w:numPr>
          <w:ilvl w:val="0"/>
          <w:numId w:val="1"/>
        </w:numPr>
        <w:tabs>
          <w:tab w:val="clear" w:pos="240"/>
        </w:tabs>
        <w:spacing w:after="120"/>
        <w:ind w:left="360" w:hanging="360"/>
        <w:rPr>
          <w:rFonts w:ascii="Palatino Linotype" w:hAnsi="Palatino Linotype"/>
        </w:rPr>
      </w:pPr>
      <w:r w:rsidRPr="00873309">
        <w:rPr>
          <w:rFonts w:ascii="Palatino Linotype" w:hAnsi="Palatino Linotype"/>
        </w:rPr>
        <w:t xml:space="preserve">In </w:t>
      </w:r>
      <w:r w:rsidR="009D0C7F">
        <w:rPr>
          <w:rFonts w:ascii="Palatino Linotype" w:hAnsi="Palatino Linotype"/>
        </w:rPr>
        <w:t>response</w:t>
      </w:r>
      <w:r w:rsidRPr="00873309">
        <w:rPr>
          <w:rFonts w:ascii="Palatino Linotype" w:hAnsi="Palatino Linotype"/>
        </w:rPr>
        <w:t>, the C</w:t>
      </w:r>
      <w:r w:rsidR="009D0C7F">
        <w:rPr>
          <w:rFonts w:ascii="Palatino Linotype" w:hAnsi="Palatino Linotype"/>
        </w:rPr>
        <w:t>PUC Communications Division (CD)</w:t>
      </w:r>
      <w:r w:rsidRPr="00873309">
        <w:rPr>
          <w:rFonts w:ascii="Palatino Linotype" w:hAnsi="Palatino Linotype"/>
        </w:rPr>
        <w:t xml:space="preserve"> began working cooperatively with </w:t>
      </w:r>
      <w:r w:rsidR="002A0C4E">
        <w:rPr>
          <w:rFonts w:ascii="Palatino Linotype" w:hAnsi="Palatino Linotype"/>
        </w:rPr>
        <w:t xml:space="preserve">the 19 </w:t>
      </w:r>
      <w:r w:rsidRPr="00873309">
        <w:rPr>
          <w:rFonts w:ascii="Palatino Linotype" w:hAnsi="Palatino Linotype"/>
        </w:rPr>
        <w:t>unserved counties and existing 2-1-1 service providers to implement disaster 2-1-1 dialing</w:t>
      </w:r>
      <w:r w:rsidR="00276972">
        <w:rPr>
          <w:rFonts w:ascii="Palatino Linotype" w:hAnsi="Palatino Linotype"/>
        </w:rPr>
        <w:t xml:space="preserve"> and</w:t>
      </w:r>
      <w:r w:rsidRPr="00873309">
        <w:rPr>
          <w:rFonts w:ascii="Palatino Linotype" w:hAnsi="Palatino Linotype"/>
        </w:rPr>
        <w:t xml:space="preserve"> develop</w:t>
      </w:r>
      <w:r w:rsidR="009D0C7F">
        <w:rPr>
          <w:rFonts w:ascii="Palatino Linotype" w:hAnsi="Palatino Linotype"/>
        </w:rPr>
        <w:t>ed</w:t>
      </w:r>
      <w:r w:rsidRPr="00873309">
        <w:rPr>
          <w:rFonts w:ascii="Palatino Linotype" w:hAnsi="Palatino Linotype"/>
        </w:rPr>
        <w:t xml:space="preserve"> a framework under which proposals were to be submitted</w:t>
      </w:r>
      <w:r w:rsidR="00276972">
        <w:rPr>
          <w:rFonts w:ascii="Palatino Linotype" w:hAnsi="Palatino Linotype"/>
        </w:rPr>
        <w:t>.</w:t>
      </w:r>
    </w:p>
    <w:p w:rsidRPr="00873309" w:rsidR="00873309" w:rsidP="00873309" w:rsidRDefault="00276972" w14:paraId="47A82E76" w14:textId="6656DB5D">
      <w:pPr>
        <w:keepNext/>
        <w:numPr>
          <w:ilvl w:val="0"/>
          <w:numId w:val="1"/>
        </w:numPr>
        <w:tabs>
          <w:tab w:val="clear" w:pos="240"/>
        </w:tabs>
        <w:spacing w:after="120"/>
        <w:ind w:left="360" w:hanging="360"/>
        <w:rPr>
          <w:rFonts w:ascii="Palatino Linotype" w:hAnsi="Palatino Linotype"/>
        </w:rPr>
      </w:pPr>
      <w:r>
        <w:rPr>
          <w:rFonts w:ascii="Palatino Linotype" w:hAnsi="Palatino Linotype"/>
        </w:rPr>
        <w:t xml:space="preserve">The CD </w:t>
      </w:r>
      <w:r w:rsidR="009D0C7F">
        <w:rPr>
          <w:rFonts w:ascii="Palatino Linotype" w:hAnsi="Palatino Linotype"/>
        </w:rPr>
        <w:t xml:space="preserve">issued a request for proposals for disaster 2-1-1 implementation </w:t>
      </w:r>
      <w:r>
        <w:rPr>
          <w:rFonts w:ascii="Palatino Linotype" w:hAnsi="Palatino Linotype"/>
        </w:rPr>
        <w:t>o</w:t>
      </w:r>
      <w:r w:rsidR="009D0C7F">
        <w:rPr>
          <w:rFonts w:ascii="Palatino Linotype" w:hAnsi="Palatino Linotype"/>
        </w:rPr>
        <w:t xml:space="preserve">n January </w:t>
      </w:r>
      <w:r>
        <w:rPr>
          <w:rFonts w:ascii="Palatino Linotype" w:hAnsi="Palatino Linotype"/>
        </w:rPr>
        <w:t xml:space="preserve">30, </w:t>
      </w:r>
      <w:r w:rsidR="009D0C7F">
        <w:rPr>
          <w:rFonts w:ascii="Palatino Linotype" w:hAnsi="Palatino Linotype"/>
        </w:rPr>
        <w:t>2019.</w:t>
      </w:r>
    </w:p>
    <w:p w:rsidR="00A44056" w:rsidP="00426552" w:rsidRDefault="009D0C7F" w14:paraId="75044699" w14:textId="526BEA29">
      <w:pPr>
        <w:keepNext/>
        <w:numPr>
          <w:ilvl w:val="0"/>
          <w:numId w:val="1"/>
        </w:numPr>
        <w:tabs>
          <w:tab w:val="clear" w:pos="240"/>
        </w:tabs>
        <w:spacing w:after="120"/>
        <w:ind w:left="360" w:hanging="360"/>
        <w:rPr>
          <w:rFonts w:ascii="Palatino Linotype" w:hAnsi="Palatino Linotype"/>
        </w:rPr>
      </w:pPr>
      <w:r>
        <w:rPr>
          <w:rFonts w:ascii="Palatino Linotype" w:hAnsi="Palatino Linotype"/>
        </w:rPr>
        <w:t xml:space="preserve">In March 2019, Interface Family and Children Services (Interface) and 211 Los Angeles County submitted proposals in response to the January 2019 </w:t>
      </w:r>
      <w:r w:rsidR="002A0C4E">
        <w:rPr>
          <w:rFonts w:ascii="Palatino Linotype" w:hAnsi="Palatino Linotype"/>
        </w:rPr>
        <w:t>request</w:t>
      </w:r>
      <w:r>
        <w:rPr>
          <w:rFonts w:ascii="Palatino Linotype" w:hAnsi="Palatino Linotype"/>
        </w:rPr>
        <w:t>.</w:t>
      </w:r>
    </w:p>
    <w:p w:rsidR="00A44056" w:rsidP="00426552" w:rsidRDefault="00276972" w14:paraId="0A4A4F91" w14:textId="79D69AFA">
      <w:pPr>
        <w:keepNext/>
        <w:numPr>
          <w:ilvl w:val="0"/>
          <w:numId w:val="1"/>
        </w:numPr>
        <w:tabs>
          <w:tab w:val="clear" w:pos="240"/>
        </w:tabs>
        <w:spacing w:after="120"/>
        <w:ind w:left="360" w:hanging="360"/>
        <w:rPr>
          <w:rFonts w:ascii="Palatino Linotype" w:hAnsi="Palatino Linotype"/>
        </w:rPr>
      </w:pPr>
      <w:r>
        <w:rPr>
          <w:rFonts w:ascii="Palatino Linotype" w:hAnsi="Palatino Linotype"/>
        </w:rPr>
        <w:t xml:space="preserve">In June 2019, </w:t>
      </w:r>
      <w:r w:rsidR="002A0C4E">
        <w:rPr>
          <w:rFonts w:ascii="Palatino Linotype" w:hAnsi="Palatino Linotype"/>
        </w:rPr>
        <w:t>t</w:t>
      </w:r>
      <w:r>
        <w:rPr>
          <w:rFonts w:ascii="Palatino Linotype" w:hAnsi="Palatino Linotype"/>
        </w:rPr>
        <w:t>he unserved counties and the C</w:t>
      </w:r>
      <w:r w:rsidR="00F34C1B">
        <w:rPr>
          <w:rFonts w:ascii="Palatino Linotype" w:hAnsi="Palatino Linotype"/>
        </w:rPr>
        <w:t>D</w:t>
      </w:r>
      <w:r>
        <w:rPr>
          <w:rFonts w:ascii="Palatino Linotype" w:hAnsi="Palatino Linotype"/>
        </w:rPr>
        <w:t xml:space="preserve"> selected Interface to implement disaster 2-1-1 dialing in their areas.</w:t>
      </w:r>
    </w:p>
    <w:p w:rsidR="00A44056" w:rsidP="00426552" w:rsidRDefault="002A0C4E" w14:paraId="7485477C" w14:textId="18E92AA1">
      <w:pPr>
        <w:keepNext/>
        <w:numPr>
          <w:ilvl w:val="0"/>
          <w:numId w:val="1"/>
        </w:numPr>
        <w:tabs>
          <w:tab w:val="clear" w:pos="240"/>
        </w:tabs>
        <w:spacing w:after="120"/>
        <w:ind w:left="360" w:hanging="360"/>
        <w:rPr>
          <w:rFonts w:ascii="Palatino Linotype" w:hAnsi="Palatino Linotype"/>
        </w:rPr>
      </w:pPr>
      <w:r>
        <w:rPr>
          <w:rFonts w:ascii="Palatino Linotype" w:hAnsi="Palatino Linotype"/>
        </w:rPr>
        <w:t xml:space="preserve">The boards of supervisors of the counties of Alpine, Calaveras, Colusa, Del Norte, Inyo, Lake, Lassen, Madera, Mono, Siskiyou, Sutter, and Trinity have </w:t>
      </w:r>
      <w:r w:rsidR="002055DF">
        <w:rPr>
          <w:rFonts w:ascii="Palatino Linotype" w:hAnsi="Palatino Linotype"/>
        </w:rPr>
        <w:t xml:space="preserve">provided </w:t>
      </w:r>
      <w:r>
        <w:rPr>
          <w:rFonts w:ascii="Palatino Linotype" w:hAnsi="Palatino Linotype"/>
        </w:rPr>
        <w:lastRenderedPageBreak/>
        <w:t>letters and resolutions endorsing disaster 2-1-1 implementation and the Interface proposal</w:t>
      </w:r>
      <w:r w:rsidR="002055DF">
        <w:rPr>
          <w:rFonts w:ascii="Palatino Linotype" w:hAnsi="Palatino Linotype"/>
        </w:rPr>
        <w:t xml:space="preserve"> in accordance with Decision 11-09-016.</w:t>
      </w:r>
    </w:p>
    <w:p w:rsidR="00DE23B8" w:rsidP="00426552" w:rsidRDefault="00DE23B8" w14:paraId="4415337C" w14:textId="7693723C">
      <w:pPr>
        <w:keepNext/>
        <w:numPr>
          <w:ilvl w:val="0"/>
          <w:numId w:val="1"/>
        </w:numPr>
        <w:tabs>
          <w:tab w:val="clear" w:pos="240"/>
        </w:tabs>
        <w:spacing w:after="120"/>
        <w:ind w:left="360" w:hanging="360"/>
        <w:rPr>
          <w:rFonts w:ascii="Palatino Linotype" w:hAnsi="Palatino Linotype"/>
        </w:rPr>
      </w:pPr>
      <w:r>
        <w:rPr>
          <w:rFonts w:ascii="Palatino Linotype" w:hAnsi="Palatino Linotype"/>
        </w:rPr>
        <w:t>Interface’s proposal meets the requirements set forth in Decision 11-09-016.</w:t>
      </w:r>
    </w:p>
    <w:p w:rsidR="00890618" w:rsidP="00890618" w:rsidRDefault="00DE23B8" w14:paraId="639E3D88" w14:textId="4712561D">
      <w:pPr>
        <w:keepNext/>
        <w:numPr>
          <w:ilvl w:val="0"/>
          <w:numId w:val="1"/>
        </w:numPr>
        <w:tabs>
          <w:tab w:val="clear" w:pos="240"/>
        </w:tabs>
        <w:spacing w:after="120"/>
        <w:ind w:left="360" w:hanging="360"/>
        <w:rPr>
          <w:rFonts w:ascii="Palatino Linotype" w:hAnsi="Palatino Linotype"/>
        </w:rPr>
      </w:pPr>
      <w:r>
        <w:rPr>
          <w:rFonts w:ascii="Palatino Linotype" w:hAnsi="Palatino Linotype"/>
        </w:rPr>
        <w:t>Granting the authority to provide disaster 2-1-1 service to Interface is in the public interest as it will promote public safety in the participating counties, and Interface is well-placed and experienced to provide these services in the unserved counties.</w:t>
      </w:r>
    </w:p>
    <w:p w:rsidR="002A0C4E" w:rsidP="0090105A" w:rsidRDefault="00DE23B8" w14:paraId="05515314" w14:textId="7E2AC739">
      <w:pPr>
        <w:numPr>
          <w:ilvl w:val="0"/>
          <w:numId w:val="1"/>
        </w:numPr>
        <w:tabs>
          <w:tab w:val="clear" w:pos="240"/>
        </w:tabs>
        <w:spacing w:after="120"/>
        <w:ind w:left="360" w:hanging="360"/>
        <w:rPr>
          <w:rFonts w:ascii="Palatino Linotype" w:hAnsi="Palatino Linotype"/>
        </w:rPr>
      </w:pPr>
      <w:r>
        <w:rPr>
          <w:rFonts w:ascii="Palatino Linotype" w:hAnsi="Palatino Linotype"/>
        </w:rPr>
        <w:t>Interface should be granted authority to provide disaster 2-1-1 service in the counties of Alpine, Calaveras, Colusa, Del Norte, Inyo, Lake, Lassen, Madera, Mono, Siskiyou, Sutter, and Trinity.</w:t>
      </w:r>
    </w:p>
    <w:p w:rsidR="002A0C4E" w:rsidP="0090105A" w:rsidRDefault="00DE23B8" w14:paraId="68673FD3" w14:textId="176D213D">
      <w:pPr>
        <w:numPr>
          <w:ilvl w:val="0"/>
          <w:numId w:val="1"/>
        </w:numPr>
        <w:tabs>
          <w:tab w:val="clear" w:pos="240"/>
        </w:tabs>
        <w:spacing w:after="120"/>
        <w:ind w:left="360" w:hanging="360"/>
        <w:rPr>
          <w:rFonts w:ascii="Palatino Linotype" w:hAnsi="Palatino Linotype"/>
        </w:rPr>
      </w:pPr>
      <w:r>
        <w:rPr>
          <w:rFonts w:ascii="Palatino Linotype" w:hAnsi="Palatino Linotype"/>
        </w:rPr>
        <w:t>Interface should provide disaster 2-1-1 service in these counties for at least three years.</w:t>
      </w:r>
    </w:p>
    <w:p w:rsidR="0027618E" w:rsidP="0090105A" w:rsidRDefault="000E6B0D" w14:paraId="5AA9EF0A" w14:textId="51FED175">
      <w:pPr>
        <w:numPr>
          <w:ilvl w:val="0"/>
          <w:numId w:val="1"/>
        </w:numPr>
        <w:tabs>
          <w:tab w:val="clear" w:pos="240"/>
        </w:tabs>
        <w:spacing w:after="120"/>
        <w:ind w:left="360" w:hanging="360"/>
        <w:rPr>
          <w:rFonts w:ascii="Palatino Linotype" w:hAnsi="Palatino Linotype"/>
        </w:rPr>
      </w:pPr>
      <w:r>
        <w:rPr>
          <w:rFonts w:ascii="Palatino Linotype" w:hAnsi="Palatino Linotype"/>
        </w:rPr>
        <w:t>Spending SB 1212 funds on</w:t>
      </w:r>
      <w:r w:rsidR="0027618E">
        <w:rPr>
          <w:rFonts w:ascii="Palatino Linotype" w:hAnsi="Palatino Linotype"/>
        </w:rPr>
        <w:t xml:space="preserve"> marketing and consumer education expenses </w:t>
      </w:r>
      <w:r>
        <w:rPr>
          <w:rFonts w:ascii="Palatino Linotype" w:hAnsi="Palatino Linotype"/>
        </w:rPr>
        <w:t>in</w:t>
      </w:r>
      <w:r w:rsidR="0027618E">
        <w:rPr>
          <w:rFonts w:ascii="Palatino Linotype" w:hAnsi="Palatino Linotype"/>
        </w:rPr>
        <w:t xml:space="preserve"> El Dorado </w:t>
      </w:r>
      <w:r w:rsidR="00012FC6">
        <w:rPr>
          <w:rFonts w:ascii="Palatino Linotype" w:hAnsi="Palatino Linotype"/>
        </w:rPr>
        <w:t xml:space="preserve">and Placer counties </w:t>
      </w:r>
      <w:r>
        <w:rPr>
          <w:rFonts w:ascii="Palatino Linotype" w:hAnsi="Palatino Linotype"/>
        </w:rPr>
        <w:t xml:space="preserve">will maximize the effectiveness of </w:t>
      </w:r>
      <w:r w:rsidR="00012FC6">
        <w:rPr>
          <w:rFonts w:ascii="Palatino Linotype" w:hAnsi="Palatino Linotype"/>
        </w:rPr>
        <w:t>their</w:t>
      </w:r>
      <w:r>
        <w:rPr>
          <w:rFonts w:ascii="Palatino Linotype" w:hAnsi="Palatino Linotype"/>
        </w:rPr>
        <w:t xml:space="preserve"> 2-1-1 system</w:t>
      </w:r>
      <w:r w:rsidR="00012FC6">
        <w:rPr>
          <w:rFonts w:ascii="Palatino Linotype" w:hAnsi="Palatino Linotype"/>
        </w:rPr>
        <w:t>s</w:t>
      </w:r>
      <w:r>
        <w:rPr>
          <w:rFonts w:ascii="Palatino Linotype" w:hAnsi="Palatino Linotype"/>
        </w:rPr>
        <w:t xml:space="preserve"> </w:t>
      </w:r>
      <w:r w:rsidR="00265EAA">
        <w:rPr>
          <w:rFonts w:ascii="Palatino Linotype" w:hAnsi="Palatino Linotype"/>
        </w:rPr>
        <w:t>during disaster</w:t>
      </w:r>
      <w:r>
        <w:rPr>
          <w:rFonts w:ascii="Palatino Linotype" w:hAnsi="Palatino Linotype"/>
        </w:rPr>
        <w:t>.</w:t>
      </w:r>
    </w:p>
    <w:p w:rsidR="000E6B0D" w:rsidP="0090105A" w:rsidRDefault="000E6B0D" w14:paraId="63075303" w14:textId="5A592C6E">
      <w:pPr>
        <w:numPr>
          <w:ilvl w:val="0"/>
          <w:numId w:val="1"/>
        </w:numPr>
        <w:tabs>
          <w:tab w:val="clear" w:pos="240"/>
        </w:tabs>
        <w:spacing w:after="120"/>
        <w:ind w:left="360" w:hanging="360"/>
        <w:rPr>
          <w:rFonts w:ascii="Palatino Linotype" w:hAnsi="Palatino Linotype"/>
        </w:rPr>
      </w:pPr>
      <w:r>
        <w:rPr>
          <w:rFonts w:ascii="Palatino Linotype" w:hAnsi="Palatino Linotype"/>
        </w:rPr>
        <w:t>Spending SB 1212 funds on switch translation expenses in Placer County further</w:t>
      </w:r>
      <w:r w:rsidR="00012FC6">
        <w:rPr>
          <w:rFonts w:ascii="Palatino Linotype" w:hAnsi="Palatino Linotype"/>
        </w:rPr>
        <w:t>s</w:t>
      </w:r>
      <w:r>
        <w:rPr>
          <w:rFonts w:ascii="Palatino Linotype" w:hAnsi="Palatino Linotype"/>
        </w:rPr>
        <w:t xml:space="preserve"> the legislative intent of increasing 2</w:t>
      </w:r>
      <w:r>
        <w:rPr>
          <w:rFonts w:ascii="Palatino Linotype" w:hAnsi="Palatino Linotype"/>
        </w:rPr>
        <w:noBreakHyphen/>
        <w:t>1</w:t>
      </w:r>
      <w:r>
        <w:rPr>
          <w:rFonts w:ascii="Palatino Linotype" w:hAnsi="Palatino Linotype"/>
        </w:rPr>
        <w:noBreakHyphen/>
        <w:t>1 adoption</w:t>
      </w:r>
      <w:r w:rsidR="00012FC6">
        <w:rPr>
          <w:rFonts w:ascii="Palatino Linotype" w:hAnsi="Palatino Linotype"/>
        </w:rPr>
        <w:t>.</w:t>
      </w:r>
    </w:p>
    <w:p w:rsidR="002A0C4E" w:rsidP="0090105A" w:rsidRDefault="00DE23B8" w14:paraId="48379C1C" w14:textId="5B6F5F5A">
      <w:pPr>
        <w:numPr>
          <w:ilvl w:val="0"/>
          <w:numId w:val="1"/>
        </w:numPr>
        <w:tabs>
          <w:tab w:val="clear" w:pos="240"/>
        </w:tabs>
        <w:spacing w:after="120"/>
        <w:ind w:left="360" w:hanging="360"/>
        <w:rPr>
          <w:rFonts w:ascii="Palatino Linotype" w:hAnsi="Palatino Linotype"/>
        </w:rPr>
      </w:pPr>
      <w:r>
        <w:rPr>
          <w:rFonts w:ascii="Palatino Linotype" w:hAnsi="Palatino Linotype"/>
        </w:rPr>
        <w:t>The counties agree to participate in the disaster 2-1-1 solution for at least three years</w:t>
      </w:r>
      <w:r w:rsidR="00AF7454">
        <w:rPr>
          <w:rFonts w:ascii="Palatino Linotype" w:hAnsi="Palatino Linotype"/>
        </w:rPr>
        <w:t xml:space="preserve">, after which </w:t>
      </w:r>
      <w:r w:rsidR="00E22BEB">
        <w:rPr>
          <w:rFonts w:ascii="Palatino Linotype" w:hAnsi="Palatino Linotype"/>
        </w:rPr>
        <w:t xml:space="preserve">the counties will </w:t>
      </w:r>
      <w:r w:rsidR="00F93DD0">
        <w:rPr>
          <w:rFonts w:ascii="Palatino Linotype" w:hAnsi="Palatino Linotype"/>
        </w:rPr>
        <w:t xml:space="preserve">incur </w:t>
      </w:r>
      <w:r w:rsidR="00E22BEB">
        <w:rPr>
          <w:rFonts w:ascii="Palatino Linotype" w:hAnsi="Palatino Linotype"/>
        </w:rPr>
        <w:t>a flat fee of $5,000 per year per county to Interface, which will continue all services described.</w:t>
      </w:r>
    </w:p>
    <w:p w:rsidR="0045602E" w:rsidP="00265EAA" w:rsidRDefault="00DE23B8" w14:paraId="6DD2ADCB" w14:textId="6DEE934F">
      <w:pPr>
        <w:numPr>
          <w:ilvl w:val="0"/>
          <w:numId w:val="1"/>
        </w:numPr>
        <w:tabs>
          <w:tab w:val="clear" w:pos="240"/>
        </w:tabs>
        <w:spacing w:after="120"/>
        <w:ind w:left="360" w:hanging="360"/>
        <w:rPr>
          <w:rFonts w:ascii="Palatino Linotype" w:hAnsi="Palatino Linotype"/>
        </w:rPr>
      </w:pPr>
      <w:bookmarkStart w:name="_Hlk20898764" w:id="1"/>
      <w:r>
        <w:rPr>
          <w:rFonts w:ascii="Palatino Linotype" w:hAnsi="Palatino Linotype"/>
        </w:rPr>
        <w:t>The C</w:t>
      </w:r>
      <w:r w:rsidR="00F34C1B">
        <w:rPr>
          <w:rFonts w:ascii="Palatino Linotype" w:hAnsi="Palatino Linotype"/>
        </w:rPr>
        <w:t>ommission</w:t>
      </w:r>
      <w:r>
        <w:rPr>
          <w:rFonts w:ascii="Palatino Linotype" w:hAnsi="Palatino Linotype"/>
        </w:rPr>
        <w:t xml:space="preserve"> should </w:t>
      </w:r>
      <w:r w:rsidR="00F93DD0">
        <w:rPr>
          <w:rFonts w:ascii="Palatino Linotype" w:hAnsi="Palatino Linotype"/>
        </w:rPr>
        <w:t>authorize</w:t>
      </w:r>
      <w:r>
        <w:rPr>
          <w:rFonts w:ascii="Palatino Linotype" w:hAnsi="Palatino Linotype"/>
        </w:rPr>
        <w:t xml:space="preserve"> the amount of </w:t>
      </w:r>
      <w:r w:rsidR="00CA5565">
        <w:rPr>
          <w:rFonts w:ascii="Palatino Linotype" w:hAnsi="Palatino Linotype"/>
        </w:rPr>
        <w:t>$1,</w:t>
      </w:r>
      <w:r w:rsidR="00265EAA">
        <w:rPr>
          <w:rFonts w:ascii="Palatino Linotype" w:hAnsi="Palatino Linotype"/>
        </w:rPr>
        <w:t>118</w:t>
      </w:r>
      <w:r w:rsidR="00CA5565">
        <w:rPr>
          <w:rFonts w:ascii="Palatino Linotype" w:hAnsi="Palatino Linotype"/>
        </w:rPr>
        <w:t>,470 to implement 2</w:t>
      </w:r>
      <w:r w:rsidR="0045602E">
        <w:rPr>
          <w:rFonts w:ascii="Palatino Linotype" w:hAnsi="Palatino Linotype"/>
        </w:rPr>
        <w:noBreakHyphen/>
      </w:r>
      <w:r w:rsidR="00CA5565">
        <w:rPr>
          <w:rFonts w:ascii="Palatino Linotype" w:hAnsi="Palatino Linotype"/>
        </w:rPr>
        <w:t>1</w:t>
      </w:r>
      <w:r w:rsidR="0045602E">
        <w:rPr>
          <w:rFonts w:ascii="Palatino Linotype" w:hAnsi="Palatino Linotype"/>
        </w:rPr>
        <w:noBreakHyphen/>
      </w:r>
      <w:r w:rsidR="00CA5565">
        <w:rPr>
          <w:rFonts w:ascii="Palatino Linotype" w:hAnsi="Palatino Linotype"/>
        </w:rPr>
        <w:t>1 dialing</w:t>
      </w:r>
      <w:r w:rsidR="00265EAA">
        <w:rPr>
          <w:rFonts w:ascii="Palatino Linotype" w:hAnsi="Palatino Linotype"/>
        </w:rPr>
        <w:t xml:space="preserve"> for disasters in unserved counties including El Dorado and Placer counties</w:t>
      </w:r>
      <w:r w:rsidR="00CA5565">
        <w:rPr>
          <w:rFonts w:ascii="Palatino Linotype" w:hAnsi="Palatino Linotype"/>
        </w:rPr>
        <w:t>.</w:t>
      </w:r>
    </w:p>
    <w:p w:rsidRPr="006C1342" w:rsidR="00A05315" w:rsidP="00A05315" w:rsidRDefault="00A05315" w14:paraId="35985577" w14:textId="319CC151">
      <w:pPr>
        <w:keepNext/>
        <w:numPr>
          <w:ilvl w:val="0"/>
          <w:numId w:val="1"/>
        </w:numPr>
        <w:tabs>
          <w:tab w:val="clear" w:pos="240"/>
          <w:tab w:val="num" w:pos="360"/>
        </w:tabs>
        <w:spacing w:after="120"/>
        <w:ind w:left="360" w:hanging="360"/>
        <w:rPr>
          <w:rFonts w:ascii="Palatino Linotype" w:hAnsi="Palatino Linotype"/>
        </w:rPr>
      </w:pPr>
      <w:r w:rsidRPr="006C1342">
        <w:rPr>
          <w:rFonts w:ascii="Palatino Linotype" w:hAnsi="Palatino Linotype"/>
        </w:rPr>
        <w:t>Full implementation of disaster 2-1-1 service</w:t>
      </w:r>
      <w:r>
        <w:rPr>
          <w:rFonts w:ascii="Palatino Linotype" w:hAnsi="Palatino Linotype"/>
        </w:rPr>
        <w:t xml:space="preserve"> </w:t>
      </w:r>
      <w:r w:rsidRPr="006C1342">
        <w:rPr>
          <w:rFonts w:ascii="Palatino Linotype" w:hAnsi="Palatino Linotype"/>
        </w:rPr>
        <w:t>entail</w:t>
      </w:r>
      <w:r>
        <w:rPr>
          <w:rFonts w:ascii="Palatino Linotype" w:hAnsi="Palatino Linotype"/>
        </w:rPr>
        <w:t>s</w:t>
      </w:r>
      <w:r w:rsidRPr="006C1342">
        <w:rPr>
          <w:rFonts w:ascii="Palatino Linotype" w:hAnsi="Palatino Linotype"/>
        </w:rPr>
        <w:t xml:space="preserve"> completion of the following:</w:t>
      </w:r>
    </w:p>
    <w:p w:rsidR="00A05315" w:rsidP="00A05315" w:rsidRDefault="00A05315" w14:paraId="30138488" w14:textId="77777777">
      <w:pPr>
        <w:pStyle w:val="ListParagraph"/>
        <w:numPr>
          <w:ilvl w:val="0"/>
          <w:numId w:val="9"/>
        </w:numPr>
        <w:tabs>
          <w:tab w:val="right" w:pos="10080"/>
        </w:tabs>
        <w:rPr>
          <w:rFonts w:ascii="Palatino Linotype" w:hAnsi="Palatino Linotype"/>
        </w:rPr>
      </w:pPr>
      <w:r>
        <w:rPr>
          <w:rFonts w:ascii="Palatino Linotype" w:hAnsi="Palatino Linotype"/>
        </w:rPr>
        <w:t>Acquisition and activation of 8YY numbers for carriers to route 2-1-1 calls;</w:t>
      </w:r>
    </w:p>
    <w:p w:rsidR="00A05315" w:rsidP="00A05315" w:rsidRDefault="00A05315" w14:paraId="77D02820" w14:textId="77777777">
      <w:pPr>
        <w:pStyle w:val="ListParagraph"/>
        <w:numPr>
          <w:ilvl w:val="0"/>
          <w:numId w:val="9"/>
        </w:numPr>
        <w:tabs>
          <w:tab w:val="right" w:pos="10080"/>
        </w:tabs>
        <w:rPr>
          <w:rFonts w:ascii="Palatino Linotype" w:hAnsi="Palatino Linotype"/>
        </w:rPr>
      </w:pPr>
      <w:r>
        <w:rPr>
          <w:rFonts w:ascii="Palatino Linotype" w:hAnsi="Palatino Linotype"/>
        </w:rPr>
        <w:t>2-1-1 switch translations for all carriers located in these counties;</w:t>
      </w:r>
    </w:p>
    <w:p w:rsidR="00A05315" w:rsidP="00A05315" w:rsidRDefault="00A05315" w14:paraId="07A041D9" w14:textId="77777777">
      <w:pPr>
        <w:pStyle w:val="ListParagraph"/>
        <w:numPr>
          <w:ilvl w:val="0"/>
          <w:numId w:val="9"/>
        </w:numPr>
        <w:tabs>
          <w:tab w:val="right" w:pos="10080"/>
        </w:tabs>
        <w:rPr>
          <w:rFonts w:ascii="Palatino Linotype" w:hAnsi="Palatino Linotype"/>
        </w:rPr>
      </w:pPr>
      <w:r>
        <w:rPr>
          <w:rFonts w:ascii="Palatino Linotype" w:hAnsi="Palatino Linotype"/>
        </w:rPr>
        <w:t>Identification of disaster 2-1-1 staff and/or liaisons in each county;</w:t>
      </w:r>
    </w:p>
    <w:p w:rsidR="00A05315" w:rsidP="00A05315" w:rsidRDefault="00A05315" w14:paraId="3091D128" w14:textId="77777777">
      <w:pPr>
        <w:pStyle w:val="ListParagraph"/>
        <w:numPr>
          <w:ilvl w:val="0"/>
          <w:numId w:val="9"/>
        </w:numPr>
        <w:tabs>
          <w:tab w:val="right" w:pos="10080"/>
        </w:tabs>
        <w:rPr>
          <w:rFonts w:ascii="Palatino Linotype" w:hAnsi="Palatino Linotype"/>
        </w:rPr>
      </w:pPr>
      <w:r>
        <w:rPr>
          <w:rFonts w:ascii="Palatino Linotype" w:hAnsi="Palatino Linotype"/>
        </w:rPr>
        <w:t>Implementation and testing of all protocols and systems necessary for disaster 2</w:t>
      </w:r>
      <w:r>
        <w:rPr>
          <w:rFonts w:ascii="Palatino Linotype" w:hAnsi="Palatino Linotype"/>
        </w:rPr>
        <w:noBreakHyphen/>
        <w:t>1</w:t>
      </w:r>
      <w:r>
        <w:rPr>
          <w:rFonts w:ascii="Palatino Linotype" w:hAnsi="Palatino Linotype"/>
        </w:rPr>
        <w:noBreakHyphen/>
        <w:t>1 to function; and</w:t>
      </w:r>
    </w:p>
    <w:p w:rsidRPr="00A05315" w:rsidR="00A05315" w:rsidP="00A05315" w:rsidRDefault="00A05315" w14:paraId="749637D4" w14:textId="1E090291">
      <w:pPr>
        <w:pStyle w:val="ListParagraph"/>
        <w:numPr>
          <w:ilvl w:val="0"/>
          <w:numId w:val="9"/>
        </w:numPr>
        <w:tabs>
          <w:tab w:val="right" w:pos="10080"/>
        </w:tabs>
        <w:spacing w:after="120"/>
        <w:rPr>
          <w:rFonts w:ascii="Palatino Linotype" w:hAnsi="Palatino Linotype"/>
        </w:rPr>
      </w:pPr>
      <w:r w:rsidRPr="00A05315">
        <w:rPr>
          <w:rFonts w:ascii="Palatino Linotype" w:hAnsi="Palatino Linotype"/>
        </w:rPr>
        <w:t>Training of all appropriate county staff and liaisons on the deployment and use of disaster 2-1-1.</w:t>
      </w:r>
    </w:p>
    <w:bookmarkEnd w:id="1"/>
    <w:p w:rsidR="002A0C4E" w:rsidP="0090105A" w:rsidRDefault="00AC5600" w14:paraId="3D7FFF12" w14:textId="3FFE4F2C">
      <w:pPr>
        <w:numPr>
          <w:ilvl w:val="0"/>
          <w:numId w:val="1"/>
        </w:numPr>
        <w:tabs>
          <w:tab w:val="clear" w:pos="240"/>
        </w:tabs>
        <w:spacing w:after="120"/>
        <w:ind w:left="360" w:hanging="360"/>
        <w:rPr>
          <w:rFonts w:ascii="Palatino Linotype" w:hAnsi="Palatino Linotype"/>
        </w:rPr>
      </w:pPr>
      <w:r>
        <w:rPr>
          <w:rFonts w:ascii="Palatino Linotype" w:hAnsi="Palatino Linotype"/>
        </w:rPr>
        <w:t>The authority granted to Interface to provide disaster 2-1-1 service should not be transferrable except upon Commission approval.</w:t>
      </w:r>
    </w:p>
    <w:p w:rsidRPr="00AC7A34" w:rsidR="00B70A67" w:rsidP="00AC7A34" w:rsidRDefault="00AC5600" w14:paraId="696F5161" w14:textId="68AD20BF">
      <w:pPr>
        <w:numPr>
          <w:ilvl w:val="0"/>
          <w:numId w:val="1"/>
        </w:numPr>
        <w:tabs>
          <w:tab w:val="clear" w:pos="240"/>
        </w:tabs>
        <w:spacing w:after="120"/>
        <w:ind w:left="360" w:hanging="360"/>
        <w:rPr>
          <w:rFonts w:ascii="Palatino Linotype" w:hAnsi="Palatino Linotype"/>
        </w:rPr>
      </w:pPr>
      <w:r>
        <w:rPr>
          <w:rFonts w:ascii="Palatino Linotype" w:hAnsi="Palatino Linotype"/>
        </w:rPr>
        <w:t>Interface should be required to seek approval from the C</w:t>
      </w:r>
      <w:r w:rsidR="00F34C1B">
        <w:rPr>
          <w:rFonts w:ascii="Palatino Linotype" w:hAnsi="Palatino Linotype"/>
        </w:rPr>
        <w:t xml:space="preserve">ommission via a letter to the Director of </w:t>
      </w:r>
      <w:r w:rsidR="00552A78">
        <w:rPr>
          <w:rFonts w:ascii="Palatino Linotype" w:hAnsi="Palatino Linotype"/>
        </w:rPr>
        <w:t xml:space="preserve">the </w:t>
      </w:r>
      <w:r w:rsidR="00F80FAB">
        <w:rPr>
          <w:rFonts w:ascii="Palatino Linotype" w:hAnsi="Palatino Linotype"/>
        </w:rPr>
        <w:t>Communications Division</w:t>
      </w:r>
      <w:r w:rsidR="00F34C1B">
        <w:rPr>
          <w:rFonts w:ascii="Palatino Linotype" w:hAnsi="Palatino Linotype"/>
        </w:rPr>
        <w:t xml:space="preserve"> 30 days in advance of any change to the vendor for call center and/or database management services.</w:t>
      </w:r>
    </w:p>
    <w:p w:rsidRPr="00825ECD" w:rsidR="003B1DBD" w:rsidP="001716EC" w:rsidRDefault="003B1DBD" w14:paraId="289BD70F" w14:textId="77777777">
      <w:pPr>
        <w:jc w:val="both"/>
        <w:rPr>
          <w:rFonts w:ascii="Palatino Linotype" w:hAnsi="Palatino Linotype"/>
          <w:b/>
        </w:rPr>
      </w:pPr>
    </w:p>
    <w:p w:rsidRPr="00825ECD" w:rsidR="003B1DBD" w:rsidP="00426552" w:rsidRDefault="003B1DBD" w14:paraId="7D96260D" w14:textId="73446200">
      <w:pPr>
        <w:keepNext/>
        <w:jc w:val="both"/>
        <w:rPr>
          <w:rFonts w:ascii="Palatino Linotype" w:hAnsi="Palatino Linotype"/>
        </w:rPr>
      </w:pPr>
      <w:r w:rsidRPr="00825ECD">
        <w:rPr>
          <w:rFonts w:ascii="Palatino Linotype" w:hAnsi="Palatino Linotype"/>
          <w:b/>
        </w:rPr>
        <w:t>THER</w:t>
      </w:r>
      <w:r w:rsidR="00243AD2">
        <w:rPr>
          <w:rFonts w:ascii="Palatino Linotype" w:hAnsi="Palatino Linotype"/>
          <w:b/>
        </w:rPr>
        <w:t>E</w:t>
      </w:r>
      <w:r w:rsidRPr="00825ECD">
        <w:rPr>
          <w:rFonts w:ascii="Palatino Linotype" w:hAnsi="Palatino Linotype"/>
          <w:b/>
        </w:rPr>
        <w:t xml:space="preserve">FORE, IT IS ORDERED </w:t>
      </w:r>
      <w:r w:rsidRPr="00825ECD">
        <w:rPr>
          <w:rFonts w:ascii="Palatino Linotype" w:hAnsi="Palatino Linotype"/>
        </w:rPr>
        <w:t>that:</w:t>
      </w:r>
    </w:p>
    <w:p w:rsidRPr="00825ECD" w:rsidR="003B1DBD" w:rsidP="00426552" w:rsidRDefault="003B1DBD" w14:paraId="043EB384" w14:textId="77777777">
      <w:pPr>
        <w:keepNext/>
        <w:jc w:val="both"/>
        <w:rPr>
          <w:rFonts w:ascii="Palatino Linotype" w:hAnsi="Palatino Linotype"/>
        </w:rPr>
      </w:pPr>
    </w:p>
    <w:p w:rsidR="006C1342" w:rsidP="002E39AB" w:rsidRDefault="00C714F2" w14:paraId="5E2682EF" w14:textId="77777777">
      <w:pPr>
        <w:keepNext/>
        <w:numPr>
          <w:ilvl w:val="0"/>
          <w:numId w:val="5"/>
        </w:numPr>
        <w:tabs>
          <w:tab w:val="clear" w:pos="240"/>
        </w:tabs>
        <w:spacing w:after="240"/>
        <w:ind w:left="360" w:hanging="360"/>
        <w:rPr>
          <w:rFonts w:ascii="Palatino Linotype" w:hAnsi="Palatino Linotype"/>
        </w:rPr>
      </w:pPr>
      <w:r>
        <w:rPr>
          <w:rFonts w:ascii="Palatino Linotype" w:hAnsi="Palatino Linotype"/>
        </w:rPr>
        <w:t>Interface Children and Family Services</w:t>
      </w:r>
      <w:r w:rsidR="00412A80">
        <w:rPr>
          <w:rFonts w:ascii="Palatino Linotype" w:hAnsi="Palatino Linotype"/>
        </w:rPr>
        <w:t xml:space="preserve"> is granted</w:t>
      </w:r>
      <w:r>
        <w:rPr>
          <w:rFonts w:ascii="Palatino Linotype" w:hAnsi="Palatino Linotype"/>
        </w:rPr>
        <w:t xml:space="preserve"> authority to use the 2-1-1 abbreviated dialing code to provide information and referral services during disasters and emergencies</w:t>
      </w:r>
      <w:r w:rsidR="00F93DD0">
        <w:rPr>
          <w:rFonts w:ascii="Palatino Linotype" w:hAnsi="Palatino Linotype"/>
        </w:rPr>
        <w:t xml:space="preserve"> in the counties of Alpine, Calaveras, Colusa, Del Norte, Inyo, Lake, Lassen, Madera, Mono,</w:t>
      </w:r>
      <w:r w:rsidR="006C1342">
        <w:rPr>
          <w:rFonts w:ascii="Palatino Linotype" w:hAnsi="Palatino Linotype"/>
        </w:rPr>
        <w:t xml:space="preserve"> Siskiyou, Sutter, and Trinity.</w:t>
      </w:r>
    </w:p>
    <w:p w:rsidRPr="006C1342" w:rsidR="006C1342" w:rsidP="00A05315" w:rsidRDefault="00590219" w14:paraId="5FCEA7A8" w14:textId="41340DCF">
      <w:pPr>
        <w:keepNext/>
        <w:numPr>
          <w:ilvl w:val="0"/>
          <w:numId w:val="5"/>
        </w:numPr>
        <w:tabs>
          <w:tab w:val="clear" w:pos="240"/>
        </w:tabs>
        <w:spacing w:after="120"/>
        <w:ind w:left="360" w:hanging="360"/>
        <w:rPr>
          <w:rFonts w:ascii="Palatino Linotype" w:hAnsi="Palatino Linotype"/>
        </w:rPr>
      </w:pPr>
      <w:r w:rsidRPr="006C1342">
        <w:rPr>
          <w:rFonts w:ascii="Palatino Linotype" w:hAnsi="Palatino Linotype"/>
        </w:rPr>
        <w:t>Interface Children and Family Services shall complete implementation of disaster 2</w:t>
      </w:r>
      <w:r w:rsidRPr="006C1342">
        <w:rPr>
          <w:rFonts w:ascii="Palatino Linotype" w:hAnsi="Palatino Linotype"/>
        </w:rPr>
        <w:noBreakHyphen/>
        <w:t>1</w:t>
      </w:r>
      <w:r w:rsidRPr="006C1342">
        <w:rPr>
          <w:rFonts w:ascii="Palatino Linotype" w:hAnsi="Palatino Linotype"/>
        </w:rPr>
        <w:noBreakHyphen/>
        <w:t>1 service in accordance with the procedures outlined in California Public Utilities Commission Decision 11-09-016 within three years of the date of this Resolution.</w:t>
      </w:r>
      <w:r w:rsidRPr="006C1342" w:rsidR="006C1342">
        <w:rPr>
          <w:rFonts w:ascii="Palatino Linotype" w:hAnsi="Palatino Linotype"/>
        </w:rPr>
        <w:t xml:space="preserve"> Full implementation of disaster 2-1-1 service</w:t>
      </w:r>
      <w:r w:rsidR="00A05315">
        <w:rPr>
          <w:rFonts w:ascii="Palatino Linotype" w:hAnsi="Palatino Linotype"/>
        </w:rPr>
        <w:t xml:space="preserve"> shall</w:t>
      </w:r>
      <w:r w:rsidRPr="006C1342" w:rsidR="006C1342">
        <w:rPr>
          <w:rFonts w:ascii="Palatino Linotype" w:hAnsi="Palatino Linotype"/>
        </w:rPr>
        <w:t xml:space="preserve"> entail completion of the following:</w:t>
      </w:r>
    </w:p>
    <w:p w:rsidR="006C1342" w:rsidP="006C1342" w:rsidRDefault="006C1342" w14:paraId="1602C894" w14:textId="77777777">
      <w:pPr>
        <w:pStyle w:val="ListParagraph"/>
        <w:numPr>
          <w:ilvl w:val="0"/>
          <w:numId w:val="9"/>
        </w:numPr>
        <w:tabs>
          <w:tab w:val="right" w:pos="10080"/>
        </w:tabs>
        <w:rPr>
          <w:rFonts w:ascii="Palatino Linotype" w:hAnsi="Palatino Linotype"/>
        </w:rPr>
      </w:pPr>
      <w:r>
        <w:rPr>
          <w:rFonts w:ascii="Palatino Linotype" w:hAnsi="Palatino Linotype"/>
        </w:rPr>
        <w:t>Acquisition and activation of 8YY numbers for carriers to route 2-1-1 calls;</w:t>
      </w:r>
    </w:p>
    <w:p w:rsidR="006C1342" w:rsidP="006C1342" w:rsidRDefault="006C1342" w14:paraId="03D58280" w14:textId="77777777">
      <w:pPr>
        <w:pStyle w:val="ListParagraph"/>
        <w:numPr>
          <w:ilvl w:val="0"/>
          <w:numId w:val="9"/>
        </w:numPr>
        <w:tabs>
          <w:tab w:val="right" w:pos="10080"/>
        </w:tabs>
        <w:rPr>
          <w:rFonts w:ascii="Palatino Linotype" w:hAnsi="Palatino Linotype"/>
        </w:rPr>
      </w:pPr>
      <w:r>
        <w:rPr>
          <w:rFonts w:ascii="Palatino Linotype" w:hAnsi="Palatino Linotype"/>
        </w:rPr>
        <w:t>2-1-1 switch translations for all carriers located in these counties;</w:t>
      </w:r>
    </w:p>
    <w:p w:rsidR="006C1342" w:rsidP="006C1342" w:rsidRDefault="006C1342" w14:paraId="30FC2CD6" w14:textId="77777777">
      <w:pPr>
        <w:pStyle w:val="ListParagraph"/>
        <w:numPr>
          <w:ilvl w:val="0"/>
          <w:numId w:val="9"/>
        </w:numPr>
        <w:tabs>
          <w:tab w:val="right" w:pos="10080"/>
        </w:tabs>
        <w:rPr>
          <w:rFonts w:ascii="Palatino Linotype" w:hAnsi="Palatino Linotype"/>
        </w:rPr>
      </w:pPr>
      <w:r>
        <w:rPr>
          <w:rFonts w:ascii="Palatino Linotype" w:hAnsi="Palatino Linotype"/>
        </w:rPr>
        <w:t>Identification of disaster 2-1-1 staff and/or liaisons in each county;</w:t>
      </w:r>
    </w:p>
    <w:p w:rsidR="006C1342" w:rsidP="006C1342" w:rsidRDefault="006C1342" w14:paraId="30D32244" w14:textId="77777777">
      <w:pPr>
        <w:pStyle w:val="ListParagraph"/>
        <w:numPr>
          <w:ilvl w:val="0"/>
          <w:numId w:val="9"/>
        </w:numPr>
        <w:tabs>
          <w:tab w:val="right" w:pos="10080"/>
        </w:tabs>
        <w:rPr>
          <w:rFonts w:ascii="Palatino Linotype" w:hAnsi="Palatino Linotype"/>
        </w:rPr>
      </w:pPr>
      <w:r>
        <w:rPr>
          <w:rFonts w:ascii="Palatino Linotype" w:hAnsi="Palatino Linotype"/>
        </w:rPr>
        <w:t>Implementation and testing of all protocols and systems necessary for disaster 2</w:t>
      </w:r>
      <w:r>
        <w:rPr>
          <w:rFonts w:ascii="Palatino Linotype" w:hAnsi="Palatino Linotype"/>
        </w:rPr>
        <w:noBreakHyphen/>
        <w:t>1</w:t>
      </w:r>
      <w:r>
        <w:rPr>
          <w:rFonts w:ascii="Palatino Linotype" w:hAnsi="Palatino Linotype"/>
        </w:rPr>
        <w:noBreakHyphen/>
        <w:t>1 to function; and</w:t>
      </w:r>
    </w:p>
    <w:p w:rsidRPr="006C1342" w:rsidR="00590219" w:rsidP="002E39AB" w:rsidRDefault="006C1342" w14:paraId="3BB892FA" w14:textId="19F39621">
      <w:pPr>
        <w:pStyle w:val="ListParagraph"/>
        <w:numPr>
          <w:ilvl w:val="0"/>
          <w:numId w:val="9"/>
        </w:numPr>
        <w:tabs>
          <w:tab w:val="right" w:pos="10080"/>
        </w:tabs>
        <w:spacing w:after="240"/>
        <w:contextualSpacing w:val="0"/>
        <w:rPr>
          <w:rFonts w:ascii="Palatino Linotype" w:hAnsi="Palatino Linotype"/>
        </w:rPr>
      </w:pPr>
      <w:r w:rsidRPr="006C1342">
        <w:rPr>
          <w:rFonts w:ascii="Palatino Linotype" w:hAnsi="Palatino Linotype"/>
        </w:rPr>
        <w:t>Training of all appropriate county staff and liaisons on the deployment and use of disaster 2-1-1.</w:t>
      </w:r>
    </w:p>
    <w:p w:rsidR="00F93DD0" w:rsidP="002E39AB" w:rsidRDefault="00F93DD0" w14:paraId="579AEB5F" w14:textId="7B668EC8">
      <w:pPr>
        <w:numPr>
          <w:ilvl w:val="0"/>
          <w:numId w:val="5"/>
        </w:numPr>
        <w:tabs>
          <w:tab w:val="clear" w:pos="240"/>
        </w:tabs>
        <w:spacing w:after="240"/>
        <w:ind w:left="360" w:hanging="360"/>
        <w:rPr>
          <w:rFonts w:ascii="Palatino Linotype" w:hAnsi="Palatino Linotype"/>
        </w:rPr>
      </w:pPr>
      <w:r>
        <w:rPr>
          <w:rFonts w:ascii="Palatino Linotype" w:hAnsi="Palatino Linotype"/>
        </w:rPr>
        <w:t>The Communications Division is authorized to expend up to $1,</w:t>
      </w:r>
      <w:r w:rsidR="00265EAA">
        <w:rPr>
          <w:rFonts w:ascii="Palatino Linotype" w:hAnsi="Palatino Linotype"/>
        </w:rPr>
        <w:t>098</w:t>
      </w:r>
      <w:r>
        <w:rPr>
          <w:rFonts w:ascii="Palatino Linotype" w:hAnsi="Palatino Linotype"/>
        </w:rPr>
        <w:t xml:space="preserve">,470 from the California </w:t>
      </w:r>
      <w:proofErr w:type="spellStart"/>
      <w:r>
        <w:rPr>
          <w:rFonts w:ascii="Palatino Linotype" w:hAnsi="Palatino Linotype"/>
        </w:rPr>
        <w:t>Teleconnect</w:t>
      </w:r>
      <w:proofErr w:type="spellEnd"/>
      <w:r>
        <w:rPr>
          <w:rFonts w:ascii="Palatino Linotype" w:hAnsi="Palatino Linotype"/>
        </w:rPr>
        <w:t xml:space="preserve"> Fund for implementation of disaster 2-1-1 service </w:t>
      </w:r>
      <w:r w:rsidR="00265EAA">
        <w:rPr>
          <w:rFonts w:ascii="Palatino Linotype" w:hAnsi="Palatino Linotype"/>
        </w:rPr>
        <w:t xml:space="preserve">in unserved counties </w:t>
      </w:r>
      <w:r w:rsidR="00590219">
        <w:rPr>
          <w:rFonts w:ascii="Palatino Linotype" w:hAnsi="Palatino Linotype"/>
        </w:rPr>
        <w:t xml:space="preserve">by Interface Children and Family Services </w:t>
      </w:r>
      <w:r>
        <w:rPr>
          <w:rFonts w:ascii="Palatino Linotype" w:hAnsi="Palatino Linotype"/>
        </w:rPr>
        <w:t>through January 1, 2023.</w:t>
      </w:r>
    </w:p>
    <w:p w:rsidR="00243AD2" w:rsidP="002E39AB" w:rsidRDefault="00243AD2" w14:paraId="64ABE6AE" w14:textId="4345F7D0">
      <w:pPr>
        <w:numPr>
          <w:ilvl w:val="0"/>
          <w:numId w:val="5"/>
        </w:numPr>
        <w:tabs>
          <w:tab w:val="clear" w:pos="240"/>
        </w:tabs>
        <w:spacing w:after="240"/>
        <w:ind w:left="360" w:hanging="360"/>
        <w:rPr>
          <w:rFonts w:ascii="Palatino Linotype" w:hAnsi="Palatino Linotype"/>
        </w:rPr>
      </w:pPr>
      <w:r>
        <w:rPr>
          <w:rFonts w:ascii="Palatino Linotype" w:hAnsi="Palatino Linotype"/>
        </w:rPr>
        <w:t xml:space="preserve">The Communications Division is authorized to expend up to $7,500 from the California </w:t>
      </w:r>
      <w:proofErr w:type="spellStart"/>
      <w:r>
        <w:rPr>
          <w:rFonts w:ascii="Palatino Linotype" w:hAnsi="Palatino Linotype"/>
        </w:rPr>
        <w:t>Teleconnect</w:t>
      </w:r>
      <w:proofErr w:type="spellEnd"/>
      <w:r>
        <w:rPr>
          <w:rFonts w:ascii="Palatino Linotype" w:hAnsi="Palatino Linotype"/>
        </w:rPr>
        <w:t xml:space="preserve"> Fund for marketing and consumer </w:t>
      </w:r>
      <w:r w:rsidR="00265EAA">
        <w:rPr>
          <w:rFonts w:ascii="Palatino Linotype" w:hAnsi="Palatino Linotype"/>
        </w:rPr>
        <w:t xml:space="preserve">education </w:t>
      </w:r>
      <w:r>
        <w:rPr>
          <w:rFonts w:ascii="Palatino Linotype" w:hAnsi="Palatino Linotype"/>
        </w:rPr>
        <w:t>expenses in El Dorado County to increase awareness of</w:t>
      </w:r>
      <w:r w:rsidR="00265EAA">
        <w:rPr>
          <w:rFonts w:ascii="Palatino Linotype" w:hAnsi="Palatino Linotype"/>
        </w:rPr>
        <w:t xml:space="preserve"> its new</w:t>
      </w:r>
      <w:r>
        <w:rPr>
          <w:rFonts w:ascii="Palatino Linotype" w:hAnsi="Palatino Linotype"/>
        </w:rPr>
        <w:t xml:space="preserve"> 2-1-1 service </w:t>
      </w:r>
      <w:r w:rsidR="00265EAA">
        <w:rPr>
          <w:rFonts w:ascii="Palatino Linotype" w:hAnsi="Palatino Linotype"/>
        </w:rPr>
        <w:t>during disaster</w:t>
      </w:r>
      <w:r>
        <w:rPr>
          <w:rFonts w:ascii="Palatino Linotype" w:hAnsi="Palatino Linotype"/>
        </w:rPr>
        <w:t>.</w:t>
      </w:r>
    </w:p>
    <w:p w:rsidR="00243AD2" w:rsidP="002E39AB" w:rsidRDefault="00243AD2" w14:paraId="227759D0" w14:textId="46200EBC">
      <w:pPr>
        <w:numPr>
          <w:ilvl w:val="0"/>
          <w:numId w:val="5"/>
        </w:numPr>
        <w:tabs>
          <w:tab w:val="clear" w:pos="240"/>
        </w:tabs>
        <w:spacing w:after="240"/>
        <w:ind w:left="360" w:hanging="360"/>
        <w:rPr>
          <w:rFonts w:ascii="Palatino Linotype" w:hAnsi="Palatino Linotype"/>
        </w:rPr>
      </w:pPr>
      <w:r>
        <w:rPr>
          <w:rFonts w:ascii="Palatino Linotype" w:hAnsi="Palatino Linotype"/>
        </w:rPr>
        <w:t>Upon</w:t>
      </w:r>
      <w:r w:rsidR="00EA7CDD">
        <w:rPr>
          <w:rFonts w:ascii="Palatino Linotype" w:hAnsi="Palatino Linotype"/>
        </w:rPr>
        <w:t xml:space="preserve"> the Commission’s</w:t>
      </w:r>
      <w:r>
        <w:rPr>
          <w:rFonts w:ascii="Palatino Linotype" w:hAnsi="Palatino Linotype"/>
        </w:rPr>
        <w:t xml:space="preserve"> adoption of a resolution authorizing the use of the 2-1-1 dialing code in Placer County, the Communications Division is authorized</w:t>
      </w:r>
      <w:r w:rsidRPr="00243AD2">
        <w:rPr>
          <w:rFonts w:ascii="Palatino Linotype" w:hAnsi="Palatino Linotype"/>
        </w:rPr>
        <w:t xml:space="preserve"> </w:t>
      </w:r>
      <w:r>
        <w:rPr>
          <w:rFonts w:ascii="Palatino Linotype" w:hAnsi="Palatino Linotype"/>
        </w:rPr>
        <w:t xml:space="preserve">to expend up to $12,500 from the California </w:t>
      </w:r>
      <w:proofErr w:type="spellStart"/>
      <w:r>
        <w:rPr>
          <w:rFonts w:ascii="Palatino Linotype" w:hAnsi="Palatino Linotype"/>
        </w:rPr>
        <w:t>Teleconnect</w:t>
      </w:r>
      <w:proofErr w:type="spellEnd"/>
      <w:r>
        <w:rPr>
          <w:rFonts w:ascii="Palatino Linotype" w:hAnsi="Palatino Linotype"/>
        </w:rPr>
        <w:t xml:space="preserve"> Fund for switch translation and marketing and consumer </w:t>
      </w:r>
      <w:r w:rsidR="00265EAA">
        <w:rPr>
          <w:rFonts w:ascii="Palatino Linotype" w:hAnsi="Palatino Linotype"/>
        </w:rPr>
        <w:t xml:space="preserve">education </w:t>
      </w:r>
      <w:r>
        <w:rPr>
          <w:rFonts w:ascii="Palatino Linotype" w:hAnsi="Palatino Linotype"/>
        </w:rPr>
        <w:t>expenses in Placer County to increase awareness of</w:t>
      </w:r>
      <w:r w:rsidR="00265EAA">
        <w:rPr>
          <w:rFonts w:ascii="Palatino Linotype" w:hAnsi="Palatino Linotype"/>
        </w:rPr>
        <w:t xml:space="preserve"> its new</w:t>
      </w:r>
      <w:r>
        <w:rPr>
          <w:rFonts w:ascii="Palatino Linotype" w:hAnsi="Palatino Linotype"/>
        </w:rPr>
        <w:t xml:space="preserve"> 2-1-1 service </w:t>
      </w:r>
      <w:r w:rsidR="00265EAA">
        <w:rPr>
          <w:rFonts w:ascii="Palatino Linotype" w:hAnsi="Palatino Linotype"/>
        </w:rPr>
        <w:t>during disaster</w:t>
      </w:r>
      <w:r>
        <w:rPr>
          <w:rFonts w:ascii="Palatino Linotype" w:hAnsi="Palatino Linotype"/>
        </w:rPr>
        <w:t>.</w:t>
      </w:r>
    </w:p>
    <w:p w:rsidRPr="00590219" w:rsidR="00590219" w:rsidP="002E39AB" w:rsidRDefault="00590219" w14:paraId="58AA7451" w14:textId="04B5821F">
      <w:pPr>
        <w:numPr>
          <w:ilvl w:val="0"/>
          <w:numId w:val="5"/>
        </w:numPr>
        <w:tabs>
          <w:tab w:val="clear" w:pos="240"/>
        </w:tabs>
        <w:spacing w:after="240"/>
        <w:ind w:left="360" w:hanging="360"/>
        <w:rPr>
          <w:rFonts w:ascii="Palatino Linotype" w:hAnsi="Palatino Linotype"/>
        </w:rPr>
      </w:pPr>
      <w:r>
        <w:rPr>
          <w:rFonts w:ascii="Palatino Linotype" w:hAnsi="Palatino Linotype"/>
        </w:rPr>
        <w:t>Interface Children and Family Services shall notify the Director of the Communications Division in writing of the date disaster 2-1-1 service is first rendered to the public, within five business days after service begins.</w:t>
      </w:r>
    </w:p>
    <w:p w:rsidR="00AC7A34" w:rsidP="002E39AB" w:rsidRDefault="00AC7A34" w14:paraId="40C01A31" w14:textId="52F39C65">
      <w:pPr>
        <w:keepNext/>
        <w:numPr>
          <w:ilvl w:val="0"/>
          <w:numId w:val="5"/>
        </w:numPr>
        <w:tabs>
          <w:tab w:val="clear" w:pos="240"/>
        </w:tabs>
        <w:spacing w:after="240"/>
        <w:ind w:left="360" w:hanging="360"/>
        <w:rPr>
          <w:rFonts w:ascii="Palatino Linotype" w:hAnsi="Palatino Linotype"/>
        </w:rPr>
      </w:pPr>
      <w:r>
        <w:rPr>
          <w:rFonts w:ascii="Palatino Linotype" w:hAnsi="Palatino Linotype"/>
        </w:rPr>
        <w:lastRenderedPageBreak/>
        <w:t>Interface Children and Family Services shall not transfer the authority granted except upon Commission approval.</w:t>
      </w:r>
    </w:p>
    <w:p w:rsidR="003738E8" w:rsidP="002E39AB" w:rsidRDefault="00D44AC0" w14:paraId="66C3A588" w14:textId="50AFD405">
      <w:pPr>
        <w:keepNext/>
        <w:numPr>
          <w:ilvl w:val="0"/>
          <w:numId w:val="5"/>
        </w:numPr>
        <w:tabs>
          <w:tab w:val="clear" w:pos="240"/>
        </w:tabs>
        <w:spacing w:after="240"/>
        <w:ind w:left="360" w:hanging="360"/>
        <w:rPr>
          <w:rFonts w:ascii="Palatino Linotype" w:hAnsi="Palatino Linotype"/>
        </w:rPr>
      </w:pPr>
      <w:r>
        <w:rPr>
          <w:rFonts w:ascii="Palatino Linotype" w:hAnsi="Palatino Linotype"/>
        </w:rPr>
        <w:t xml:space="preserve">Interface Children and Family Services shall seek approval from the Commission </w:t>
      </w:r>
      <w:r w:rsidR="00F80FAB">
        <w:rPr>
          <w:rFonts w:ascii="Palatino Linotype" w:hAnsi="Palatino Linotype"/>
        </w:rPr>
        <w:t>by</w:t>
      </w:r>
      <w:r w:rsidR="00E37973">
        <w:rPr>
          <w:rFonts w:ascii="Palatino Linotype" w:hAnsi="Palatino Linotype"/>
        </w:rPr>
        <w:t xml:space="preserve"> </w:t>
      </w:r>
      <w:r>
        <w:rPr>
          <w:rFonts w:ascii="Palatino Linotype" w:hAnsi="Palatino Linotype"/>
        </w:rPr>
        <w:t>a</w:t>
      </w:r>
      <w:r w:rsidR="00E37973">
        <w:rPr>
          <w:rFonts w:ascii="Palatino Linotype" w:hAnsi="Palatino Linotype"/>
        </w:rPr>
        <w:t>dvice</w:t>
      </w:r>
      <w:r>
        <w:rPr>
          <w:rFonts w:ascii="Palatino Linotype" w:hAnsi="Palatino Linotype"/>
        </w:rPr>
        <w:t xml:space="preserve"> letter to the Director of </w:t>
      </w:r>
      <w:r w:rsidR="00552A78">
        <w:rPr>
          <w:rFonts w:ascii="Palatino Linotype" w:hAnsi="Palatino Linotype"/>
        </w:rPr>
        <w:t xml:space="preserve">the </w:t>
      </w:r>
      <w:r w:rsidR="00E37973">
        <w:rPr>
          <w:rFonts w:ascii="Palatino Linotype" w:hAnsi="Palatino Linotype"/>
        </w:rPr>
        <w:t>Communications Division</w:t>
      </w:r>
      <w:r>
        <w:rPr>
          <w:rFonts w:ascii="Palatino Linotype" w:hAnsi="Palatino Linotype"/>
        </w:rPr>
        <w:t xml:space="preserve"> 30 days in advance of any change to the vendor for call center and/or database management services</w:t>
      </w:r>
      <w:r w:rsidR="001F4376">
        <w:rPr>
          <w:rFonts w:ascii="Palatino Linotype" w:hAnsi="Palatino Linotype"/>
        </w:rPr>
        <w:t>.</w:t>
      </w:r>
    </w:p>
    <w:p w:rsidR="00C54CB8" w:rsidP="00BD16E8" w:rsidRDefault="00C54CB8" w14:paraId="6BF4C9EE" w14:textId="77777777">
      <w:pPr>
        <w:jc w:val="both"/>
        <w:rPr>
          <w:rFonts w:ascii="Palatino Linotype" w:hAnsi="Palatino Linotype"/>
        </w:rPr>
      </w:pPr>
    </w:p>
    <w:p w:rsidRPr="00825ECD" w:rsidR="003B1DBD" w:rsidP="00BD16E8" w:rsidRDefault="003B1DBD" w14:paraId="0F321E0B" w14:textId="3E8ADE5A">
      <w:pPr>
        <w:jc w:val="both"/>
        <w:rPr>
          <w:rFonts w:ascii="Palatino Linotype" w:hAnsi="Palatino Linotype"/>
        </w:rPr>
      </w:pPr>
      <w:r w:rsidRPr="00825ECD">
        <w:rPr>
          <w:rFonts w:ascii="Palatino Linotype" w:hAnsi="Palatino Linotype"/>
        </w:rPr>
        <w:t>This resolution is effective today.</w:t>
      </w:r>
    </w:p>
    <w:p w:rsidRPr="00825ECD" w:rsidR="003B1DBD" w:rsidP="00344784" w:rsidRDefault="003B1DBD" w14:paraId="10B7452B" w14:textId="77777777">
      <w:pPr>
        <w:jc w:val="both"/>
        <w:rPr>
          <w:rFonts w:ascii="Palatino Linotype" w:hAnsi="Palatino Linotype"/>
        </w:rPr>
      </w:pPr>
    </w:p>
    <w:p w:rsidRPr="00825ECD" w:rsidR="003B1DBD" w:rsidP="00344784" w:rsidRDefault="003B1DBD" w14:paraId="61E54CCC" w14:textId="09DC167E">
      <w:pPr>
        <w:rPr>
          <w:rFonts w:ascii="Palatino Linotype" w:hAnsi="Palatino Linotype"/>
        </w:rPr>
      </w:pPr>
      <w:r w:rsidRPr="00825ECD">
        <w:rPr>
          <w:rFonts w:ascii="Palatino Linotype" w:hAnsi="Palatino Linotype"/>
        </w:rPr>
        <w:t xml:space="preserve">I certify that the foregoing resolution was duly introduced, passed, and adopted at a conference of the Public Utilities Commission of the State of California held on </w:t>
      </w:r>
      <w:r w:rsidR="00ED63B2">
        <w:rPr>
          <w:rFonts w:ascii="Palatino Linotype" w:hAnsi="Palatino Linotype"/>
        </w:rPr>
        <w:t>November 7, 2019</w:t>
      </w:r>
      <w:r w:rsidRPr="00825ECD">
        <w:rPr>
          <w:rFonts w:ascii="Palatino Linotype" w:hAnsi="Palatino Linotype"/>
        </w:rPr>
        <w:t>, the following Commissioners voting favorable thereon:</w:t>
      </w:r>
    </w:p>
    <w:p w:rsidRPr="00825ECD" w:rsidR="003B1DBD" w:rsidP="00344784" w:rsidRDefault="003B1DBD" w14:paraId="34C02792" w14:textId="77777777">
      <w:pPr>
        <w:jc w:val="both"/>
        <w:rPr>
          <w:rFonts w:ascii="Palatino Linotype" w:hAnsi="Palatino Linotype"/>
        </w:rPr>
      </w:pPr>
    </w:p>
    <w:p w:rsidRPr="00825ECD" w:rsidR="003B1DBD" w:rsidP="00344784" w:rsidRDefault="003B1DBD" w14:paraId="4ABAD060" w14:textId="77777777">
      <w:pPr>
        <w:rPr>
          <w:rFonts w:ascii="Palatino Linotype" w:hAnsi="Palatino Linotype"/>
        </w:rPr>
      </w:pPr>
    </w:p>
    <w:tbl>
      <w:tblPr>
        <w:tblW w:w="88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130"/>
        <w:gridCol w:w="3690"/>
      </w:tblGrid>
      <w:tr w:rsidR="009B7857" w:rsidTr="002E39AB" w14:paraId="1A8FD1FE" w14:textId="77777777">
        <w:tc>
          <w:tcPr>
            <w:tcW w:w="5130" w:type="dxa"/>
            <w:tcBorders>
              <w:top w:val="nil"/>
              <w:left w:val="nil"/>
              <w:bottom w:val="nil"/>
              <w:right w:val="nil"/>
            </w:tcBorders>
            <w:shd w:val="clear" w:color="auto" w:fill="auto"/>
          </w:tcPr>
          <w:p w:rsidRPr="00F97153" w:rsidR="009B7857" w:rsidP="00344784" w:rsidRDefault="009B7857" w14:paraId="718F8C33" w14:textId="77777777">
            <w:pPr>
              <w:rPr>
                <w:rFonts w:ascii="Palatino Linotype" w:hAnsi="Palatino Linotype"/>
              </w:rPr>
            </w:pPr>
          </w:p>
        </w:tc>
        <w:tc>
          <w:tcPr>
            <w:tcW w:w="3690" w:type="dxa"/>
            <w:tcBorders>
              <w:top w:val="nil"/>
              <w:left w:val="nil"/>
              <w:bottom w:val="single" w:color="auto" w:sz="4" w:space="0"/>
              <w:right w:val="nil"/>
            </w:tcBorders>
            <w:shd w:val="clear" w:color="auto" w:fill="auto"/>
          </w:tcPr>
          <w:p w:rsidRPr="00F97153" w:rsidR="009B7857" w:rsidP="002E39AB" w:rsidRDefault="00F543A3" w14:paraId="2B028407" w14:textId="045F2E1E">
            <w:pPr>
              <w:ind w:left="360"/>
              <w:rPr>
                <w:rFonts w:ascii="Palatino Linotype" w:hAnsi="Palatino Linotype"/>
              </w:rPr>
            </w:pPr>
            <w:r>
              <w:rPr>
                <w:rFonts w:ascii="Palatino Linotype" w:hAnsi="Palatino Linotype"/>
              </w:rPr>
              <w:t xml:space="preserve">   </w:t>
            </w:r>
            <w:bookmarkStart w:name="_GoBack" w:id="2"/>
            <w:bookmarkEnd w:id="2"/>
            <w:r>
              <w:rPr>
                <w:rFonts w:ascii="Palatino Linotype" w:hAnsi="Palatino Linotype"/>
              </w:rPr>
              <w:t>/s/ ALICE STEBBINS</w:t>
            </w:r>
          </w:p>
        </w:tc>
      </w:tr>
      <w:tr w:rsidR="009B7857" w:rsidTr="002E39AB" w14:paraId="3CC7D436" w14:textId="77777777">
        <w:tc>
          <w:tcPr>
            <w:tcW w:w="5130" w:type="dxa"/>
            <w:tcBorders>
              <w:top w:val="nil"/>
              <w:left w:val="nil"/>
              <w:bottom w:val="nil"/>
              <w:right w:val="nil"/>
            </w:tcBorders>
            <w:shd w:val="clear" w:color="auto" w:fill="auto"/>
          </w:tcPr>
          <w:p w:rsidRPr="00F97153" w:rsidR="009B7857" w:rsidP="00344784" w:rsidRDefault="009B7857" w14:paraId="62FBF8CD" w14:textId="77777777">
            <w:pPr>
              <w:rPr>
                <w:rFonts w:ascii="Palatino Linotype" w:hAnsi="Palatino Linotype"/>
              </w:rPr>
            </w:pPr>
          </w:p>
        </w:tc>
        <w:tc>
          <w:tcPr>
            <w:tcW w:w="3690" w:type="dxa"/>
            <w:tcBorders>
              <w:top w:val="single" w:color="auto" w:sz="4" w:space="0"/>
              <w:left w:val="nil"/>
              <w:bottom w:val="nil"/>
              <w:right w:val="nil"/>
            </w:tcBorders>
            <w:shd w:val="clear" w:color="auto" w:fill="auto"/>
          </w:tcPr>
          <w:p w:rsidRPr="00F97153" w:rsidR="009B7857" w:rsidP="001D511D" w:rsidRDefault="009B7857" w14:paraId="41C6BA67" w14:textId="77777777">
            <w:pPr>
              <w:ind w:left="165"/>
              <w:jc w:val="center"/>
              <w:rPr>
                <w:rFonts w:ascii="Palatino Linotype" w:hAnsi="Palatino Linotype"/>
              </w:rPr>
            </w:pPr>
            <w:r w:rsidRPr="00F97153">
              <w:rPr>
                <w:rFonts w:ascii="Palatino Linotype" w:hAnsi="Palatino Linotype"/>
              </w:rPr>
              <w:t>Alice Stebbins</w:t>
            </w:r>
          </w:p>
          <w:p w:rsidRPr="00F97153" w:rsidR="00805FD6" w:rsidP="00F97153" w:rsidRDefault="00805FD6" w14:paraId="7784CD60" w14:textId="372B9C45">
            <w:pPr>
              <w:jc w:val="center"/>
              <w:rPr>
                <w:rFonts w:ascii="Palatino Linotype" w:hAnsi="Palatino Linotype"/>
              </w:rPr>
            </w:pPr>
            <w:r w:rsidRPr="00F97153">
              <w:rPr>
                <w:rFonts w:ascii="Palatino Linotype" w:hAnsi="Palatino Linotype"/>
              </w:rPr>
              <w:t>Executive Director</w:t>
            </w:r>
          </w:p>
        </w:tc>
      </w:tr>
    </w:tbl>
    <w:tbl>
      <w:tblPr>
        <w:tblpPr w:leftFromText="180" w:rightFromText="180" w:vertAnchor="page" w:horzAnchor="page" w:tblpX="7591" w:tblpY="9811"/>
        <w:tblW w:w="3781" w:type="dxa"/>
        <w:tblLook w:val="04A0" w:firstRow="1" w:lastRow="0" w:firstColumn="1" w:lastColumn="0" w:noHBand="0" w:noVBand="1"/>
      </w:tblPr>
      <w:tblGrid>
        <w:gridCol w:w="3781"/>
      </w:tblGrid>
      <w:tr w:rsidRPr="001D511D" w:rsidR="001D511D" w:rsidTr="001D511D" w14:paraId="539D8DA8" w14:textId="77777777">
        <w:tc>
          <w:tcPr>
            <w:tcW w:w="3781" w:type="dxa"/>
            <w:shd w:val="clear" w:color="auto" w:fill="auto"/>
          </w:tcPr>
          <w:p w:rsidRPr="001D511D" w:rsidR="001D511D" w:rsidP="001D511D" w:rsidRDefault="001D511D" w14:paraId="3B0BED5B" w14:textId="77777777">
            <w:pPr>
              <w:tabs>
                <w:tab w:val="left" w:pos="240"/>
                <w:tab w:val="left" w:pos="720"/>
                <w:tab w:val="right" w:pos="10080"/>
              </w:tabs>
              <w:rPr>
                <w:rFonts w:ascii="Palatino Linotype" w:hAnsi="Palatino Linotype" w:eastAsia="Calibri"/>
                <w:color w:val="000000"/>
              </w:rPr>
            </w:pPr>
            <w:r w:rsidRPr="001D511D">
              <w:rPr>
                <w:rFonts w:ascii="Palatino Linotype" w:hAnsi="Palatino Linotype" w:eastAsia="Calibri"/>
              </w:rPr>
              <w:t>MARYBEL BATJER</w:t>
            </w:r>
          </w:p>
        </w:tc>
      </w:tr>
      <w:tr w:rsidRPr="001D511D" w:rsidR="001D511D" w:rsidTr="001D511D" w14:paraId="46928C7D" w14:textId="77777777">
        <w:tc>
          <w:tcPr>
            <w:tcW w:w="3781" w:type="dxa"/>
            <w:shd w:val="clear" w:color="auto" w:fill="auto"/>
          </w:tcPr>
          <w:p w:rsidRPr="001D511D" w:rsidR="001D511D" w:rsidP="001D511D" w:rsidRDefault="001D511D" w14:paraId="5E503873" w14:textId="77777777">
            <w:pPr>
              <w:tabs>
                <w:tab w:val="left" w:pos="240"/>
                <w:tab w:val="left" w:pos="720"/>
                <w:tab w:val="right" w:pos="10080"/>
              </w:tabs>
              <w:ind w:right="1785"/>
              <w:jc w:val="right"/>
              <w:rPr>
                <w:rFonts w:ascii="Palatino Linotype" w:hAnsi="Palatino Linotype" w:eastAsia="Calibri"/>
                <w:color w:val="000000"/>
              </w:rPr>
            </w:pPr>
            <w:r w:rsidRPr="001D511D">
              <w:rPr>
                <w:rFonts w:ascii="Palatino Linotype" w:hAnsi="Palatino Linotype" w:eastAsia="Calibri"/>
              </w:rPr>
              <w:t>President</w:t>
            </w:r>
          </w:p>
        </w:tc>
      </w:tr>
      <w:tr w:rsidRPr="001D511D" w:rsidR="001D511D" w:rsidTr="001D511D" w14:paraId="31EEAEE2" w14:textId="77777777">
        <w:tc>
          <w:tcPr>
            <w:tcW w:w="3781" w:type="dxa"/>
            <w:shd w:val="clear" w:color="auto" w:fill="auto"/>
          </w:tcPr>
          <w:p w:rsidRPr="001D511D" w:rsidR="001D511D" w:rsidP="001D511D" w:rsidRDefault="001D511D" w14:paraId="7F2462C9" w14:textId="77777777">
            <w:pPr>
              <w:tabs>
                <w:tab w:val="left" w:pos="240"/>
                <w:tab w:val="left" w:pos="720"/>
                <w:tab w:val="right" w:pos="10080"/>
              </w:tabs>
              <w:rPr>
                <w:rFonts w:ascii="Palatino Linotype" w:hAnsi="Palatino Linotype" w:eastAsia="Calibri"/>
                <w:color w:val="000000"/>
              </w:rPr>
            </w:pPr>
            <w:r w:rsidRPr="001D511D">
              <w:rPr>
                <w:rFonts w:ascii="Palatino Linotype" w:hAnsi="Palatino Linotype" w:eastAsia="Calibri"/>
              </w:rPr>
              <w:t>LIANE M. RANDOLPH</w:t>
            </w:r>
          </w:p>
        </w:tc>
      </w:tr>
      <w:tr w:rsidRPr="001D511D" w:rsidR="001D511D" w:rsidTr="001D511D" w14:paraId="2597DA97" w14:textId="77777777">
        <w:tc>
          <w:tcPr>
            <w:tcW w:w="3781" w:type="dxa"/>
            <w:shd w:val="clear" w:color="auto" w:fill="auto"/>
          </w:tcPr>
          <w:p w:rsidRPr="001D511D" w:rsidR="001D511D" w:rsidP="001D511D" w:rsidRDefault="001D511D" w14:paraId="2CB7E34D" w14:textId="77777777">
            <w:pPr>
              <w:tabs>
                <w:tab w:val="left" w:pos="240"/>
                <w:tab w:val="left" w:pos="720"/>
                <w:tab w:val="right" w:pos="10080"/>
              </w:tabs>
              <w:rPr>
                <w:rFonts w:ascii="Palatino Linotype" w:hAnsi="Palatino Linotype" w:eastAsia="Calibri"/>
                <w:color w:val="000000"/>
              </w:rPr>
            </w:pPr>
            <w:r w:rsidRPr="001D511D">
              <w:rPr>
                <w:rFonts w:ascii="Palatino Linotype" w:hAnsi="Palatino Linotype" w:eastAsia="Calibri"/>
              </w:rPr>
              <w:t>MARTHA GUZMAN ACEVES</w:t>
            </w:r>
          </w:p>
        </w:tc>
      </w:tr>
      <w:tr w:rsidRPr="001D511D" w:rsidR="001D511D" w:rsidTr="001D511D" w14:paraId="44A2110E" w14:textId="77777777">
        <w:tc>
          <w:tcPr>
            <w:tcW w:w="3781" w:type="dxa"/>
            <w:shd w:val="clear" w:color="auto" w:fill="auto"/>
          </w:tcPr>
          <w:p w:rsidRPr="001D511D" w:rsidR="001D511D" w:rsidP="001D511D" w:rsidRDefault="001D511D" w14:paraId="4DA98F9F" w14:textId="77777777">
            <w:pPr>
              <w:tabs>
                <w:tab w:val="left" w:pos="240"/>
                <w:tab w:val="left" w:pos="720"/>
                <w:tab w:val="right" w:pos="10080"/>
              </w:tabs>
              <w:rPr>
                <w:rFonts w:ascii="Palatino Linotype" w:hAnsi="Palatino Linotype" w:eastAsia="Calibri"/>
              </w:rPr>
            </w:pPr>
            <w:r w:rsidRPr="001D511D">
              <w:rPr>
                <w:rFonts w:ascii="Palatino Linotype" w:hAnsi="Palatino Linotype" w:eastAsia="Calibri"/>
              </w:rPr>
              <w:t>CLIFFORD RECHTSCHAFFEN</w:t>
            </w:r>
          </w:p>
          <w:p w:rsidRPr="001D511D" w:rsidR="001D511D" w:rsidP="001D511D" w:rsidRDefault="001D511D" w14:paraId="7CF7AC83" w14:textId="77777777">
            <w:pPr>
              <w:tabs>
                <w:tab w:val="left" w:pos="240"/>
                <w:tab w:val="left" w:pos="720"/>
                <w:tab w:val="right" w:pos="10080"/>
              </w:tabs>
              <w:rPr>
                <w:rFonts w:ascii="Palatino Linotype" w:hAnsi="Palatino Linotype" w:eastAsia="Calibri"/>
                <w:color w:val="000000"/>
              </w:rPr>
            </w:pPr>
            <w:r w:rsidRPr="001D511D">
              <w:rPr>
                <w:rFonts w:ascii="Palatino Linotype" w:hAnsi="Palatino Linotype" w:eastAsia="Calibri"/>
              </w:rPr>
              <w:t>GENEVIEVE SHIROMA</w:t>
            </w:r>
          </w:p>
        </w:tc>
      </w:tr>
      <w:tr w:rsidRPr="001D511D" w:rsidR="001D511D" w:rsidTr="001D511D" w14:paraId="5FD25EB8" w14:textId="77777777">
        <w:tc>
          <w:tcPr>
            <w:tcW w:w="3781" w:type="dxa"/>
            <w:shd w:val="clear" w:color="auto" w:fill="auto"/>
          </w:tcPr>
          <w:p w:rsidRPr="001D511D" w:rsidR="001D511D" w:rsidP="001D511D" w:rsidRDefault="001D511D" w14:paraId="18751C7B" w14:textId="77777777">
            <w:pPr>
              <w:tabs>
                <w:tab w:val="right" w:pos="10080"/>
              </w:tabs>
              <w:ind w:right="1155"/>
              <w:jc w:val="right"/>
              <w:rPr>
                <w:rFonts w:ascii="Palatino Linotype" w:hAnsi="Palatino Linotype" w:eastAsia="Calibri"/>
                <w:color w:val="000000"/>
              </w:rPr>
            </w:pPr>
            <w:r w:rsidRPr="001D511D">
              <w:rPr>
                <w:rFonts w:ascii="Palatino Linotype" w:hAnsi="Palatino Linotype" w:eastAsia="Calibri"/>
              </w:rPr>
              <w:t>Commissioners</w:t>
            </w:r>
          </w:p>
        </w:tc>
      </w:tr>
    </w:tbl>
    <w:p w:rsidR="003B1DBD" w:rsidP="00C54CB8" w:rsidRDefault="003B1DBD" w14:paraId="7BD8BF86" w14:textId="6C18FD56">
      <w:pPr>
        <w:rPr>
          <w:rFonts w:ascii="Palatino Linotype" w:hAnsi="Palatino Linotype"/>
        </w:rPr>
      </w:pPr>
    </w:p>
    <w:sectPr w:rsidR="003B1DBD" w:rsidSect="0078344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AF254" w14:textId="77777777" w:rsidR="00EF5C4E" w:rsidRDefault="00EF5C4E">
      <w:r>
        <w:separator/>
      </w:r>
    </w:p>
  </w:endnote>
  <w:endnote w:type="continuationSeparator" w:id="0">
    <w:p w14:paraId="521F3A55" w14:textId="77777777" w:rsidR="00EF5C4E" w:rsidRDefault="00EF5C4E">
      <w:r>
        <w:continuationSeparator/>
      </w:r>
    </w:p>
  </w:endnote>
  <w:endnote w:type="continuationNotice" w:id="1">
    <w:p w14:paraId="0D31167A" w14:textId="77777777" w:rsidR="00EF5C4E" w:rsidRDefault="00EF5C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2FAA9" w14:textId="77777777" w:rsidR="00D37E09" w:rsidRDefault="00D37E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6BB9C" w14:textId="484C17D1" w:rsidR="00E2327B" w:rsidRPr="003B1DBD" w:rsidRDefault="00E2327B" w:rsidP="003B1DBD">
    <w:pPr>
      <w:pStyle w:val="Footer"/>
    </w:pPr>
    <w:r>
      <w:tab/>
    </w:r>
    <w:r>
      <w:rPr>
        <w:rStyle w:val="PageNumber"/>
      </w:rPr>
      <w:fldChar w:fldCharType="begin"/>
    </w:r>
    <w:r>
      <w:rPr>
        <w:rStyle w:val="PageNumber"/>
      </w:rPr>
      <w:instrText xml:space="preserve"> PAGE </w:instrText>
    </w:r>
    <w:r>
      <w:rPr>
        <w:rStyle w:val="PageNumber"/>
      </w:rPr>
      <w:fldChar w:fldCharType="separate"/>
    </w:r>
    <w:r w:rsidR="00BC36A9">
      <w:rPr>
        <w:rStyle w:val="PageNumber"/>
        <w:noProof/>
      </w:rPr>
      <w:t>16</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18F5E" w14:textId="2218DEE5" w:rsidR="00E2327B" w:rsidRPr="00D37E09" w:rsidRDefault="00D37E09" w:rsidP="00D37E09">
    <w:pPr>
      <w:pStyle w:val="Footer"/>
    </w:pPr>
    <w:r>
      <w:rPr>
        <w:rFonts w:ascii="Tahoma" w:hAnsi="Tahoma" w:cs="Tahoma"/>
        <w:sz w:val="17"/>
        <w:szCs w:val="17"/>
      </w:rPr>
      <w:t>319519393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F8F92" w14:textId="77777777" w:rsidR="00EF5C4E" w:rsidRDefault="00EF5C4E">
      <w:r>
        <w:separator/>
      </w:r>
    </w:p>
  </w:footnote>
  <w:footnote w:type="continuationSeparator" w:id="0">
    <w:p w14:paraId="1C91DFE2" w14:textId="77777777" w:rsidR="00EF5C4E" w:rsidRDefault="00EF5C4E">
      <w:r>
        <w:continuationSeparator/>
      </w:r>
    </w:p>
  </w:footnote>
  <w:footnote w:type="continuationNotice" w:id="1">
    <w:p w14:paraId="67820F22" w14:textId="77777777" w:rsidR="00EF5C4E" w:rsidRDefault="00EF5C4E"/>
  </w:footnote>
  <w:footnote w:id="2">
    <w:p w14:paraId="5168E712" w14:textId="329D9B8F" w:rsidR="00E2327B" w:rsidRPr="004016C5" w:rsidRDefault="00E2327B">
      <w:pPr>
        <w:pStyle w:val="FootnoteText"/>
      </w:pPr>
      <w:r>
        <w:rPr>
          <w:rStyle w:val="FootnoteReference"/>
        </w:rPr>
        <w:footnoteRef/>
      </w:r>
      <w:r>
        <w:t xml:space="preserve"> </w:t>
      </w:r>
      <w:r>
        <w:rPr>
          <w:i/>
        </w:rPr>
        <w:t>Third Report and Order and Order on Reconsideration</w:t>
      </w:r>
      <w:r>
        <w:t>, FCC 00-256, CC Docket 92-105, released July 31, 2000 (“</w:t>
      </w:r>
      <w:r>
        <w:rPr>
          <w:i/>
        </w:rPr>
        <w:t>N11 Third Report and Order</w:t>
      </w:r>
      <w:r>
        <w:rPr>
          <w:iCs/>
        </w:rPr>
        <w:t>”</w:t>
      </w:r>
      <w:r>
        <w:t>).</w:t>
      </w:r>
    </w:p>
  </w:footnote>
  <w:footnote w:id="3">
    <w:p w14:paraId="49BC8A7E" w14:textId="0F178D6D" w:rsidR="00E2327B" w:rsidRDefault="00E2327B">
      <w:pPr>
        <w:pStyle w:val="FootnoteText"/>
      </w:pPr>
      <w:r>
        <w:rPr>
          <w:rStyle w:val="FootnoteReference"/>
        </w:rPr>
        <w:footnoteRef/>
      </w:r>
      <w:r>
        <w:t xml:space="preserve"> </w:t>
      </w:r>
      <w:r>
        <w:rPr>
          <w:i/>
        </w:rPr>
        <w:t>N11 Third Report and Order</w:t>
      </w:r>
      <w:r>
        <w:t>, ¶¶ 21, 43.</w:t>
      </w:r>
    </w:p>
  </w:footnote>
  <w:footnote w:id="4">
    <w:p w14:paraId="29B3A2D8" w14:textId="15EF28FB" w:rsidR="00E2327B" w:rsidRPr="004016C5" w:rsidRDefault="00E2327B" w:rsidP="004016C5">
      <w:pPr>
        <w:pStyle w:val="Default"/>
        <w:rPr>
          <w:sz w:val="20"/>
          <w:szCs w:val="20"/>
        </w:rPr>
      </w:pPr>
      <w:r>
        <w:rPr>
          <w:rStyle w:val="FootnoteReference"/>
        </w:rPr>
        <w:footnoteRef/>
      </w:r>
      <w:r>
        <w:t xml:space="preserve"> </w:t>
      </w:r>
      <w:r>
        <w:rPr>
          <w:i/>
          <w:sz w:val="20"/>
          <w:szCs w:val="20"/>
        </w:rPr>
        <w:t xml:space="preserve">See </w:t>
      </w:r>
      <w:r w:rsidRPr="001A5378">
        <w:rPr>
          <w:i/>
          <w:sz w:val="20"/>
          <w:szCs w:val="20"/>
        </w:rPr>
        <w:t>generally</w:t>
      </w:r>
      <w:r>
        <w:rPr>
          <w:sz w:val="20"/>
          <w:szCs w:val="20"/>
        </w:rPr>
        <w:t xml:space="preserve"> </w:t>
      </w:r>
      <w:r w:rsidRPr="000153BF">
        <w:rPr>
          <w:sz w:val="20"/>
          <w:szCs w:val="20"/>
        </w:rPr>
        <w:t>D</w:t>
      </w:r>
      <w:r>
        <w:rPr>
          <w:sz w:val="20"/>
          <w:szCs w:val="20"/>
        </w:rPr>
        <w:t xml:space="preserve">.03-02-029, February 13, 2003, </w:t>
      </w:r>
      <w:hyperlink r:id="rId1" w:history="1">
        <w:r w:rsidRPr="00017EAE">
          <w:rPr>
            <w:rStyle w:val="Hyperlink"/>
            <w:sz w:val="20"/>
            <w:szCs w:val="20"/>
          </w:rPr>
          <w:t>http://docs.cpuc.ca.gov/word_pdf/FINAL_DECISION/23645.pdf</w:t>
        </w:r>
      </w:hyperlink>
      <w:r>
        <w:rPr>
          <w:sz w:val="20"/>
          <w:szCs w:val="20"/>
        </w:rPr>
        <w:t>.</w:t>
      </w:r>
    </w:p>
  </w:footnote>
  <w:footnote w:id="5">
    <w:p w14:paraId="2FEF587F" w14:textId="76B3B4BA" w:rsidR="00E2327B" w:rsidRPr="001A5378" w:rsidRDefault="00E2327B">
      <w:pPr>
        <w:pStyle w:val="FootnoteText"/>
      </w:pPr>
      <w:r>
        <w:rPr>
          <w:rStyle w:val="FootnoteReference"/>
        </w:rPr>
        <w:footnoteRef/>
      </w:r>
      <w:r>
        <w:t xml:space="preserve"> </w:t>
      </w:r>
      <w:r>
        <w:rPr>
          <w:i/>
        </w:rPr>
        <w:t>See generally</w:t>
      </w:r>
      <w:r>
        <w:t xml:space="preserve"> D.11-09-016, September 8, 2011, </w:t>
      </w:r>
      <w:hyperlink r:id="rId2" w:history="1">
        <w:r w:rsidRPr="003A676E">
          <w:rPr>
            <w:rStyle w:val="Hyperlink"/>
          </w:rPr>
          <w:t>http://docs.cpuc.ca.gov/PublishedDocs/WORD_PDF/FINAL_DECISION/143224.PDF</w:t>
        </w:r>
      </w:hyperlink>
      <w:r>
        <w:t>.</w:t>
      </w:r>
    </w:p>
  </w:footnote>
  <w:footnote w:id="6">
    <w:p w14:paraId="79F177A2" w14:textId="5D0DB90D" w:rsidR="00E2327B" w:rsidRDefault="00E2327B">
      <w:pPr>
        <w:pStyle w:val="FootnoteText"/>
      </w:pPr>
      <w:r>
        <w:rPr>
          <w:rStyle w:val="FootnoteReference"/>
        </w:rPr>
        <w:footnoteRef/>
      </w:r>
      <w:r>
        <w:t xml:space="preserve"> Public Utilities Code § 280(g).</w:t>
      </w:r>
    </w:p>
  </w:footnote>
  <w:footnote w:id="7">
    <w:p w14:paraId="2B815E94" w14:textId="448B6590" w:rsidR="00E2327B" w:rsidRDefault="00E2327B">
      <w:pPr>
        <w:pStyle w:val="FootnoteText"/>
      </w:pPr>
      <w:r>
        <w:rPr>
          <w:rStyle w:val="FootnoteReference"/>
        </w:rPr>
        <w:footnoteRef/>
      </w:r>
      <w:r>
        <w:t xml:space="preserve"> Public Utilities Code § 280(g)(1).</w:t>
      </w:r>
    </w:p>
  </w:footnote>
  <w:footnote w:id="8">
    <w:p w14:paraId="1A26B3EC" w14:textId="100C3E8F" w:rsidR="00E2327B" w:rsidRPr="00260413" w:rsidRDefault="00E2327B">
      <w:pPr>
        <w:pStyle w:val="FootnoteText"/>
      </w:pPr>
      <w:r>
        <w:rPr>
          <w:rStyle w:val="FootnoteReference"/>
        </w:rPr>
        <w:footnoteRef/>
      </w:r>
      <w:r>
        <w:t xml:space="preserve"> Glenn and El Dorado subsequently established regular 2-1-1 service during this implementation process. </w:t>
      </w:r>
      <w:r>
        <w:rPr>
          <w:i/>
          <w:iCs/>
        </w:rPr>
        <w:t>See</w:t>
      </w:r>
      <w:r>
        <w:t xml:space="preserve"> Resolutions T</w:t>
      </w:r>
      <w:r>
        <w:noBreakHyphen/>
        <w:t>17580, November 30, 2017,</w:t>
      </w:r>
      <w:r w:rsidRPr="00561FD0">
        <w:t xml:space="preserve"> </w:t>
      </w:r>
      <w:hyperlink r:id="rId3" w:history="1">
        <w:r w:rsidRPr="00A01C44">
          <w:rPr>
            <w:rStyle w:val="Hyperlink"/>
          </w:rPr>
          <w:t>https://docs.cpuc.ca.gov/PublishedDocs/Published/G000/M200/K267/200267980.PDF</w:t>
        </w:r>
      </w:hyperlink>
      <w:r>
        <w:t xml:space="preserve">, </w:t>
      </w:r>
      <w:r>
        <w:rPr>
          <w:i/>
          <w:iCs/>
        </w:rPr>
        <w:t>and</w:t>
      </w:r>
      <w:r>
        <w:t xml:space="preserve"> T-17645, February 21, 2019, </w:t>
      </w:r>
      <w:hyperlink r:id="rId4" w:history="1">
        <w:r w:rsidRPr="00A01C44">
          <w:rPr>
            <w:rStyle w:val="Hyperlink"/>
          </w:rPr>
          <w:t>http://docs.cpuc.ca.gov/PublishedDocs/Published/G000/M270/K263/270263555.PDF</w:t>
        </w:r>
      </w:hyperlink>
      <w:r>
        <w:t>.</w:t>
      </w:r>
    </w:p>
  </w:footnote>
  <w:footnote w:id="9">
    <w:p w14:paraId="51F70D82" w14:textId="75536C58" w:rsidR="00E2327B" w:rsidRDefault="00E2327B">
      <w:pPr>
        <w:pStyle w:val="FootnoteText"/>
      </w:pPr>
      <w:r>
        <w:rPr>
          <w:rStyle w:val="FootnoteReference"/>
        </w:rPr>
        <w:footnoteRef/>
      </w:r>
      <w:r>
        <w:t xml:space="preserve"> Interface supports 2-1-1 services by CPUC resolution or contract in Alameda, El Dorado, Fresno, Marin, Monterey, Napa, Orange, San Benito, San Francisco, San Joaquin, San Luis Obispo, San Mateo, Santa Barbara, Santa Clara, Santa Cruz, Shasta, Solano, Sonoma, Tehama, and Ventura counties.</w:t>
      </w:r>
    </w:p>
  </w:footnote>
  <w:footnote w:id="10">
    <w:p w14:paraId="407B2FD7" w14:textId="6C752D02" w:rsidR="00E2327B" w:rsidRDefault="00E2327B">
      <w:pPr>
        <w:pStyle w:val="FootnoteText"/>
      </w:pPr>
      <w:r>
        <w:rPr>
          <w:rStyle w:val="FootnoteReference"/>
        </w:rPr>
        <w:footnoteRef/>
      </w:r>
      <w:r>
        <w:t xml:space="preserve"> The consortium included the 2-1-1 service providers for Alameda, Butte, Los Angeles, Nevada, Sacramento, and San Bernardino counties.</w:t>
      </w:r>
    </w:p>
  </w:footnote>
  <w:footnote w:id="11">
    <w:p w14:paraId="38273E62" w14:textId="1B86ECF3" w:rsidR="00E2327B" w:rsidRDefault="00E2327B">
      <w:pPr>
        <w:pStyle w:val="FootnoteText"/>
      </w:pPr>
      <w:r>
        <w:rPr>
          <w:rStyle w:val="FootnoteReference"/>
        </w:rPr>
        <w:footnoteRef/>
      </w:r>
      <w:r>
        <w:t xml:space="preserve"> The unserved counties that submitted letters or resolutions of endorsement are </w:t>
      </w:r>
      <w:r w:rsidRPr="003C4F2B">
        <w:t>Alpine, Calaveras, Colusa, Del</w:t>
      </w:r>
      <w:r>
        <w:t> </w:t>
      </w:r>
      <w:r w:rsidRPr="003C4F2B">
        <w:t>Norte, Inyo, Lake, Lassen, Madera, Mono, Siskiyou, Sutter, and Trinity counties</w:t>
      </w:r>
      <w:r>
        <w:t>.</w:t>
      </w:r>
    </w:p>
  </w:footnote>
  <w:footnote w:id="12">
    <w:p w14:paraId="1A4B06DF" w14:textId="27735C9C" w:rsidR="00E2327B" w:rsidRDefault="00E2327B">
      <w:pPr>
        <w:pStyle w:val="FootnoteText"/>
      </w:pPr>
      <w:r>
        <w:rPr>
          <w:rStyle w:val="FootnoteReference"/>
        </w:rPr>
        <w:footnoteRef/>
      </w:r>
      <w:r>
        <w:t xml:space="preserve"> D.11-09-016, Attachment B, Section 1(f).</w:t>
      </w:r>
    </w:p>
  </w:footnote>
  <w:footnote w:id="13">
    <w:p w14:paraId="77F64DB6" w14:textId="4941236E" w:rsidR="00E2327B" w:rsidRDefault="00E2327B">
      <w:pPr>
        <w:pStyle w:val="FootnoteText"/>
      </w:pPr>
      <w:r>
        <w:rPr>
          <w:rStyle w:val="FootnoteReference"/>
        </w:rPr>
        <w:footnoteRef/>
      </w:r>
      <w:r>
        <w:t xml:space="preserve"> Expenses in Years Four and Five are not covered by SB 1212 funds. Counties participating in Years Four and Five of disaster 2-1-1 service will pay for these costs.</w:t>
      </w:r>
    </w:p>
  </w:footnote>
  <w:footnote w:id="14">
    <w:p w14:paraId="52C77D83" w14:textId="3304A052" w:rsidR="00E2327B" w:rsidRDefault="00E2327B">
      <w:pPr>
        <w:pStyle w:val="FootnoteText"/>
      </w:pPr>
      <w:r>
        <w:rPr>
          <w:rStyle w:val="FootnoteReference"/>
        </w:rPr>
        <w:footnoteRef/>
      </w:r>
      <w:r>
        <w:t xml:space="preserve"> This figure includes the total database and technical expenses for the twelve participating counties for Years One to Three, total staffing expenses for Interface for Years One to Three, marketing expenses for El Dorado County, and switch translation and marketing expenses for Placer County.</w:t>
      </w:r>
    </w:p>
  </w:footnote>
  <w:footnote w:id="15">
    <w:p w14:paraId="65EBB8FC" w14:textId="15A6C046" w:rsidR="00E2327B" w:rsidRDefault="00E2327B">
      <w:pPr>
        <w:pStyle w:val="FootnoteText"/>
      </w:pPr>
      <w:r>
        <w:rPr>
          <w:rStyle w:val="FootnoteReference"/>
        </w:rPr>
        <w:footnoteRef/>
      </w:r>
      <w:r>
        <w:t xml:space="preserve"> The Sierra County Board of Supervisors submitted a letter to the Commission stating their non-participation in the solution, while the Yuba County Office of Emergency Services emailed the Commission stating the same. Amador, Modoc, Plumas, and Tuolumne counties have not responded to any Commission communications regarding endorsement of the proposed solution.</w:t>
      </w:r>
    </w:p>
  </w:footnote>
  <w:footnote w:id="16">
    <w:p w14:paraId="1BFEE79A" w14:textId="7C74B229" w:rsidR="008649B7" w:rsidRDefault="008649B7">
      <w:pPr>
        <w:pStyle w:val="FootnoteText"/>
      </w:pPr>
      <w:r>
        <w:rPr>
          <w:rStyle w:val="FootnoteReference"/>
        </w:rPr>
        <w:footnoteRef/>
      </w:r>
      <w:r>
        <w:t xml:space="preserve"> D.11-09-016, Attachment B, Section 1(f).</w:t>
      </w:r>
    </w:p>
  </w:footnote>
  <w:footnote w:id="17">
    <w:p w14:paraId="69644990" w14:textId="58108853" w:rsidR="00351CF0" w:rsidRDefault="00351CF0">
      <w:pPr>
        <w:pStyle w:val="FootnoteText"/>
      </w:pPr>
      <w:r>
        <w:rPr>
          <w:rStyle w:val="FootnoteReference"/>
        </w:rPr>
        <w:footnoteRef/>
      </w:r>
      <w:r>
        <w:t xml:space="preserve"> Public Utilities Code § 280(g)(1) (“</w:t>
      </w:r>
      <w:r w:rsidRPr="00C54CB8">
        <w:rPr>
          <w:i/>
          <w:iCs/>
        </w:rPr>
        <w:t>Consistent with Decision 11-09-016</w:t>
      </w:r>
      <w:r>
        <w:t xml:space="preserve"> . . . , </w:t>
      </w:r>
      <w:r w:rsidRPr="00C54CB8">
        <w:rPr>
          <w:i/>
          <w:iCs/>
        </w:rPr>
        <w:t>if it determines that doing so is an appropriate use of funds collected from ratepayers</w:t>
      </w:r>
      <w:r>
        <w:t xml:space="preserve">, the commission may expend up to one million five hundred thousand dollars ($1,500,000) from the California </w:t>
      </w:r>
      <w:proofErr w:type="spellStart"/>
      <w:r>
        <w:t>Teleconnect</w:t>
      </w:r>
      <w:proofErr w:type="spellEnd"/>
      <w:r>
        <w:t xml:space="preserve"> Fund Administrative Committee Fund for one-time costs </w:t>
      </w:r>
      <w:r w:rsidRPr="00C54CB8">
        <w:rPr>
          <w:i/>
          <w:iCs/>
        </w:rPr>
        <w:t>to help close 2-1-1 service gaps</w:t>
      </w:r>
      <w:r>
        <w:t xml:space="preserve"> in counties lacking access to disaster preparedness, response, and recovery information and referral services, where technically feasible, through available 2-1-1 service.”) (emphasis added).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E1009" w14:textId="77777777" w:rsidR="00D37E09" w:rsidRDefault="00D37E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C2500" w14:textId="7BA27D26" w:rsidR="00E2327B" w:rsidRPr="00D86D63" w:rsidRDefault="00E2327B" w:rsidP="00A647B5">
    <w:pPr>
      <w:pStyle w:val="Header"/>
      <w:tabs>
        <w:tab w:val="clear" w:pos="4320"/>
        <w:tab w:val="clear" w:pos="8640"/>
        <w:tab w:val="left" w:pos="4140"/>
        <w:tab w:val="right" w:pos="9360"/>
      </w:tabs>
      <w:rPr>
        <w:rFonts w:ascii="Palatino Linotype" w:hAnsi="Palatino Linotype"/>
      </w:rPr>
    </w:pPr>
    <w:r w:rsidRPr="00D86D63">
      <w:rPr>
        <w:rFonts w:ascii="Palatino Linotype" w:hAnsi="Palatino Linotype"/>
      </w:rPr>
      <w:t>Resolution T-17679</w:t>
    </w:r>
    <w:r w:rsidRPr="00D86D63">
      <w:rPr>
        <w:rFonts w:ascii="Palatino Linotype" w:hAnsi="Palatino Linotype"/>
      </w:rPr>
      <w:tab/>
    </w:r>
  </w:p>
  <w:p w14:paraId="13A016B7" w14:textId="77777777" w:rsidR="0074495F" w:rsidRDefault="00E2327B" w:rsidP="003B1DBD">
    <w:pPr>
      <w:pStyle w:val="Header"/>
      <w:tabs>
        <w:tab w:val="clear" w:pos="8640"/>
        <w:tab w:val="right" w:pos="9360"/>
      </w:tabs>
      <w:rPr>
        <w:rFonts w:ascii="Palatino Linotype" w:hAnsi="Palatino Linotype"/>
      </w:rPr>
    </w:pPr>
    <w:r w:rsidRPr="00D86D63">
      <w:rPr>
        <w:rFonts w:ascii="Palatino Linotype" w:hAnsi="Palatino Linotype"/>
      </w:rPr>
      <w:t>CD/CLC</w:t>
    </w:r>
  </w:p>
  <w:p w14:paraId="14C439C2" w14:textId="2F881BD2" w:rsidR="00E2327B" w:rsidRDefault="00E2327B" w:rsidP="003B1DBD">
    <w:pPr>
      <w:pStyle w:val="Header"/>
      <w:tabs>
        <w:tab w:val="clear" w:pos="8640"/>
        <w:tab w:val="right" w:pos="9360"/>
      </w:tabs>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D610C" w14:textId="1CDF6541" w:rsidR="00E2327B" w:rsidRPr="00114933" w:rsidRDefault="00E2327B" w:rsidP="00FD6D6B">
    <w:pPr>
      <w:pStyle w:val="Header"/>
      <w:tabs>
        <w:tab w:val="clear" w:pos="4320"/>
        <w:tab w:val="clear" w:pos="8640"/>
        <w:tab w:val="left" w:pos="4140"/>
        <w:tab w:val="right" w:pos="9360"/>
      </w:tabs>
      <w:rPr>
        <w:rFonts w:ascii="Palatino Linotype" w:hAnsi="Palatino Linotype"/>
      </w:rPr>
    </w:pPr>
    <w:r w:rsidRPr="00114933">
      <w:rPr>
        <w:rFonts w:ascii="Palatino Linotype" w:hAnsi="Palatino Linotype"/>
      </w:rPr>
      <w:t>Resolution T-17679</w:t>
    </w:r>
    <w:r w:rsidRPr="00114933">
      <w:rPr>
        <w:rFonts w:ascii="Palatino Linotype" w:hAnsi="Palatino Linotype"/>
      </w:rPr>
      <w:tab/>
    </w:r>
    <w:r w:rsidR="00ED63B2">
      <w:rPr>
        <w:rFonts w:ascii="Palatino Linotype" w:hAnsi="Palatino Linotype"/>
      </w:rPr>
      <w:tab/>
      <w:t>Date of Issuance: November 12, 2019</w:t>
    </w:r>
  </w:p>
  <w:p w14:paraId="4F50DC9B" w14:textId="36CB9080" w:rsidR="00E2327B" w:rsidRPr="00D86D63" w:rsidRDefault="00E2327B" w:rsidP="00FD6D6B">
    <w:pPr>
      <w:pStyle w:val="Header"/>
      <w:tabs>
        <w:tab w:val="clear" w:pos="8640"/>
        <w:tab w:val="right" w:pos="9360"/>
      </w:tabs>
      <w:rPr>
        <w:b/>
        <w:bCs/>
      </w:rPr>
    </w:pPr>
    <w:r w:rsidRPr="00114933">
      <w:rPr>
        <w:rFonts w:ascii="Palatino Linotype" w:hAnsi="Palatino Linotype"/>
      </w:rPr>
      <w:t>CD/CLC</w:t>
    </w:r>
    <w:r w:rsidRPr="00114933">
      <w:rPr>
        <w:rFonts w:ascii="Palatino Linotype" w:hAnsi="Palatino Linotype"/>
      </w:rPr>
      <w:tab/>
    </w:r>
    <w:r>
      <w:tab/>
    </w:r>
  </w:p>
  <w:p w14:paraId="42A60AC3" w14:textId="77777777" w:rsidR="00E2327B" w:rsidRDefault="00E232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11AEE"/>
    <w:multiLevelType w:val="hybridMultilevel"/>
    <w:tmpl w:val="D0CEE69C"/>
    <w:lvl w:ilvl="0" w:tplc="F44C94EC">
      <w:start w:val="1"/>
      <w:numFmt w:val="decimal"/>
      <w:lvlText w:val="%1."/>
      <w:lvlJc w:val="left"/>
      <w:pPr>
        <w:tabs>
          <w:tab w:val="num" w:pos="240"/>
        </w:tabs>
        <w:ind w:left="240" w:hanging="60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1AC07052"/>
    <w:multiLevelType w:val="hybridMultilevel"/>
    <w:tmpl w:val="992A8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931941"/>
    <w:multiLevelType w:val="hybridMultilevel"/>
    <w:tmpl w:val="14485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AD5C9C"/>
    <w:multiLevelType w:val="hybridMultilevel"/>
    <w:tmpl w:val="2180AC84"/>
    <w:lvl w:ilvl="0" w:tplc="496E4E4E">
      <w:start w:val="1"/>
      <w:numFmt w:val="decimal"/>
      <w:lvlText w:val="%1."/>
      <w:lvlJc w:val="left"/>
      <w:pPr>
        <w:tabs>
          <w:tab w:val="num" w:pos="240"/>
        </w:tabs>
        <w:ind w:left="24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DE4BFC"/>
    <w:multiLevelType w:val="hybridMultilevel"/>
    <w:tmpl w:val="70AE3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377945"/>
    <w:multiLevelType w:val="hybridMultilevel"/>
    <w:tmpl w:val="FDE6E346"/>
    <w:lvl w:ilvl="0" w:tplc="9938A792">
      <w:start w:val="1"/>
      <w:numFmt w:val="decimal"/>
      <w:lvlText w:val="%1."/>
      <w:lvlJc w:val="left"/>
      <w:pPr>
        <w:tabs>
          <w:tab w:val="num" w:pos="240"/>
        </w:tabs>
        <w:ind w:left="240" w:hanging="60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15:restartNumberingAfterBreak="0">
    <w:nsid w:val="57FF1CAA"/>
    <w:multiLevelType w:val="hybridMultilevel"/>
    <w:tmpl w:val="57D02B3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B054A7"/>
    <w:multiLevelType w:val="hybridMultilevel"/>
    <w:tmpl w:val="FDE6E346"/>
    <w:lvl w:ilvl="0" w:tplc="9938A792">
      <w:start w:val="1"/>
      <w:numFmt w:val="decimal"/>
      <w:lvlText w:val="%1."/>
      <w:lvlJc w:val="left"/>
      <w:pPr>
        <w:tabs>
          <w:tab w:val="num" w:pos="240"/>
        </w:tabs>
        <w:ind w:left="240" w:hanging="60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15:restartNumberingAfterBreak="0">
    <w:nsid w:val="6E143971"/>
    <w:multiLevelType w:val="hybridMultilevel"/>
    <w:tmpl w:val="AA145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BC62C1"/>
    <w:multiLevelType w:val="hybridMultilevel"/>
    <w:tmpl w:val="A43C32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1"/>
  </w:num>
  <w:num w:numId="4">
    <w:abstractNumId w:val="9"/>
  </w:num>
  <w:num w:numId="5">
    <w:abstractNumId w:val="3"/>
  </w:num>
  <w:num w:numId="6">
    <w:abstractNumId w:val="8"/>
  </w:num>
  <w:num w:numId="7">
    <w:abstractNumId w:val="6"/>
  </w:num>
  <w:num w:numId="8">
    <w:abstractNumId w:val="4"/>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DBD"/>
    <w:rsid w:val="00002676"/>
    <w:rsid w:val="000032E8"/>
    <w:rsid w:val="00003B52"/>
    <w:rsid w:val="0000410B"/>
    <w:rsid w:val="00005A55"/>
    <w:rsid w:val="00012FC6"/>
    <w:rsid w:val="00013029"/>
    <w:rsid w:val="00013DE0"/>
    <w:rsid w:val="00014683"/>
    <w:rsid w:val="000153BF"/>
    <w:rsid w:val="000156EC"/>
    <w:rsid w:val="00015AA9"/>
    <w:rsid w:val="0001742D"/>
    <w:rsid w:val="00021C9C"/>
    <w:rsid w:val="00021D1D"/>
    <w:rsid w:val="00023A7C"/>
    <w:rsid w:val="00024AFF"/>
    <w:rsid w:val="000279D2"/>
    <w:rsid w:val="00027BBF"/>
    <w:rsid w:val="000320CF"/>
    <w:rsid w:val="00033467"/>
    <w:rsid w:val="00033772"/>
    <w:rsid w:val="000405FD"/>
    <w:rsid w:val="000413F8"/>
    <w:rsid w:val="0004177E"/>
    <w:rsid w:val="00042335"/>
    <w:rsid w:val="00045062"/>
    <w:rsid w:val="00045646"/>
    <w:rsid w:val="000462B4"/>
    <w:rsid w:val="00054251"/>
    <w:rsid w:val="00054DB4"/>
    <w:rsid w:val="000559CD"/>
    <w:rsid w:val="00055A75"/>
    <w:rsid w:val="0006023A"/>
    <w:rsid w:val="00061C68"/>
    <w:rsid w:val="00061E47"/>
    <w:rsid w:val="00062693"/>
    <w:rsid w:val="0006338B"/>
    <w:rsid w:val="00063659"/>
    <w:rsid w:val="00065CA3"/>
    <w:rsid w:val="00066B61"/>
    <w:rsid w:val="00066D58"/>
    <w:rsid w:val="00067039"/>
    <w:rsid w:val="0007379A"/>
    <w:rsid w:val="00073EC5"/>
    <w:rsid w:val="00075B1E"/>
    <w:rsid w:val="00075FA1"/>
    <w:rsid w:val="00076162"/>
    <w:rsid w:val="00076B51"/>
    <w:rsid w:val="00077CEE"/>
    <w:rsid w:val="000800CC"/>
    <w:rsid w:val="00080D15"/>
    <w:rsid w:val="00082101"/>
    <w:rsid w:val="000827F0"/>
    <w:rsid w:val="00082985"/>
    <w:rsid w:val="00083114"/>
    <w:rsid w:val="00084C73"/>
    <w:rsid w:val="00085712"/>
    <w:rsid w:val="000859EC"/>
    <w:rsid w:val="00087431"/>
    <w:rsid w:val="00087AFA"/>
    <w:rsid w:val="0009187A"/>
    <w:rsid w:val="00091ADD"/>
    <w:rsid w:val="00092868"/>
    <w:rsid w:val="00092F18"/>
    <w:rsid w:val="00094679"/>
    <w:rsid w:val="00095209"/>
    <w:rsid w:val="000A059A"/>
    <w:rsid w:val="000A08C2"/>
    <w:rsid w:val="000A1309"/>
    <w:rsid w:val="000A1D9F"/>
    <w:rsid w:val="000A2836"/>
    <w:rsid w:val="000A77DF"/>
    <w:rsid w:val="000B0562"/>
    <w:rsid w:val="000B09D8"/>
    <w:rsid w:val="000B1EDE"/>
    <w:rsid w:val="000B4D28"/>
    <w:rsid w:val="000B57FA"/>
    <w:rsid w:val="000B5A0D"/>
    <w:rsid w:val="000B640C"/>
    <w:rsid w:val="000B7070"/>
    <w:rsid w:val="000C0B92"/>
    <w:rsid w:val="000C0BC3"/>
    <w:rsid w:val="000C20E3"/>
    <w:rsid w:val="000C21EA"/>
    <w:rsid w:val="000C2EB3"/>
    <w:rsid w:val="000C2FAB"/>
    <w:rsid w:val="000C4C7A"/>
    <w:rsid w:val="000C6055"/>
    <w:rsid w:val="000C70EF"/>
    <w:rsid w:val="000D1240"/>
    <w:rsid w:val="000D1C66"/>
    <w:rsid w:val="000D2598"/>
    <w:rsid w:val="000D4A96"/>
    <w:rsid w:val="000D51FC"/>
    <w:rsid w:val="000D55C3"/>
    <w:rsid w:val="000D79DF"/>
    <w:rsid w:val="000E0402"/>
    <w:rsid w:val="000E0614"/>
    <w:rsid w:val="000E3EDA"/>
    <w:rsid w:val="000E4644"/>
    <w:rsid w:val="000E6B0D"/>
    <w:rsid w:val="000E75B5"/>
    <w:rsid w:val="000F0161"/>
    <w:rsid w:val="000F02B4"/>
    <w:rsid w:val="000F11B6"/>
    <w:rsid w:val="000F32F8"/>
    <w:rsid w:val="000F339E"/>
    <w:rsid w:val="000F5608"/>
    <w:rsid w:val="0010055A"/>
    <w:rsid w:val="00100C10"/>
    <w:rsid w:val="00100C5F"/>
    <w:rsid w:val="001019C5"/>
    <w:rsid w:val="00102405"/>
    <w:rsid w:val="00103570"/>
    <w:rsid w:val="0010358E"/>
    <w:rsid w:val="00103E0E"/>
    <w:rsid w:val="00104186"/>
    <w:rsid w:val="00110237"/>
    <w:rsid w:val="00110B18"/>
    <w:rsid w:val="00110B51"/>
    <w:rsid w:val="00110BE0"/>
    <w:rsid w:val="00113B18"/>
    <w:rsid w:val="00114933"/>
    <w:rsid w:val="00116F74"/>
    <w:rsid w:val="00117B3E"/>
    <w:rsid w:val="00117ED0"/>
    <w:rsid w:val="001201C6"/>
    <w:rsid w:val="00121866"/>
    <w:rsid w:val="001222D7"/>
    <w:rsid w:val="001229E3"/>
    <w:rsid w:val="00122E8D"/>
    <w:rsid w:val="00125853"/>
    <w:rsid w:val="001269A2"/>
    <w:rsid w:val="001269D6"/>
    <w:rsid w:val="001273CE"/>
    <w:rsid w:val="001276D7"/>
    <w:rsid w:val="001305B0"/>
    <w:rsid w:val="00131F8D"/>
    <w:rsid w:val="00135FA2"/>
    <w:rsid w:val="001401E8"/>
    <w:rsid w:val="00140B72"/>
    <w:rsid w:val="001435E3"/>
    <w:rsid w:val="00143642"/>
    <w:rsid w:val="00143BFA"/>
    <w:rsid w:val="00146E26"/>
    <w:rsid w:val="00146F8B"/>
    <w:rsid w:val="0015133F"/>
    <w:rsid w:val="00153665"/>
    <w:rsid w:val="001556E0"/>
    <w:rsid w:val="001566BE"/>
    <w:rsid w:val="0015670C"/>
    <w:rsid w:val="001618B7"/>
    <w:rsid w:val="00162B96"/>
    <w:rsid w:val="00163250"/>
    <w:rsid w:val="001640E9"/>
    <w:rsid w:val="001645EE"/>
    <w:rsid w:val="001662FB"/>
    <w:rsid w:val="00167A40"/>
    <w:rsid w:val="0017167F"/>
    <w:rsid w:val="001716EC"/>
    <w:rsid w:val="00174A2A"/>
    <w:rsid w:val="001766F3"/>
    <w:rsid w:val="00177A4D"/>
    <w:rsid w:val="00181A72"/>
    <w:rsid w:val="00181DF5"/>
    <w:rsid w:val="00182DB2"/>
    <w:rsid w:val="00182EBA"/>
    <w:rsid w:val="00184806"/>
    <w:rsid w:val="00185A5C"/>
    <w:rsid w:val="00190B50"/>
    <w:rsid w:val="00192D5B"/>
    <w:rsid w:val="00192EEA"/>
    <w:rsid w:val="00193202"/>
    <w:rsid w:val="00193448"/>
    <w:rsid w:val="00193DF5"/>
    <w:rsid w:val="00197F25"/>
    <w:rsid w:val="001A0D08"/>
    <w:rsid w:val="001A1B03"/>
    <w:rsid w:val="001A1E18"/>
    <w:rsid w:val="001A3951"/>
    <w:rsid w:val="001A3E3A"/>
    <w:rsid w:val="001A5378"/>
    <w:rsid w:val="001A5626"/>
    <w:rsid w:val="001A57F1"/>
    <w:rsid w:val="001A62D9"/>
    <w:rsid w:val="001A6DE6"/>
    <w:rsid w:val="001B08EB"/>
    <w:rsid w:val="001B11E8"/>
    <w:rsid w:val="001B2F83"/>
    <w:rsid w:val="001B3E27"/>
    <w:rsid w:val="001B4E19"/>
    <w:rsid w:val="001B60C6"/>
    <w:rsid w:val="001C052C"/>
    <w:rsid w:val="001C2573"/>
    <w:rsid w:val="001C2EEC"/>
    <w:rsid w:val="001C306E"/>
    <w:rsid w:val="001C44DB"/>
    <w:rsid w:val="001D0707"/>
    <w:rsid w:val="001D1AFD"/>
    <w:rsid w:val="001D44F7"/>
    <w:rsid w:val="001D4A9D"/>
    <w:rsid w:val="001D4D97"/>
    <w:rsid w:val="001D511D"/>
    <w:rsid w:val="001D5232"/>
    <w:rsid w:val="001D68DB"/>
    <w:rsid w:val="001E03B0"/>
    <w:rsid w:val="001E0F5C"/>
    <w:rsid w:val="001E1A30"/>
    <w:rsid w:val="001E5083"/>
    <w:rsid w:val="001E703C"/>
    <w:rsid w:val="001F1A0F"/>
    <w:rsid w:val="001F4376"/>
    <w:rsid w:val="001F48E8"/>
    <w:rsid w:val="002012B2"/>
    <w:rsid w:val="00201DE8"/>
    <w:rsid w:val="00202B68"/>
    <w:rsid w:val="00204B57"/>
    <w:rsid w:val="0020535F"/>
    <w:rsid w:val="002055DF"/>
    <w:rsid w:val="00206249"/>
    <w:rsid w:val="00207E5D"/>
    <w:rsid w:val="002103DF"/>
    <w:rsid w:val="00211DF2"/>
    <w:rsid w:val="00214D4D"/>
    <w:rsid w:val="002156E5"/>
    <w:rsid w:val="00215EE0"/>
    <w:rsid w:val="00216FE5"/>
    <w:rsid w:val="00217FDE"/>
    <w:rsid w:val="002207C0"/>
    <w:rsid w:val="002215CC"/>
    <w:rsid w:val="0022531E"/>
    <w:rsid w:val="0022674E"/>
    <w:rsid w:val="00226EED"/>
    <w:rsid w:val="0022711E"/>
    <w:rsid w:val="00232130"/>
    <w:rsid w:val="00232764"/>
    <w:rsid w:val="0023312D"/>
    <w:rsid w:val="00237742"/>
    <w:rsid w:val="002377C7"/>
    <w:rsid w:val="00240AB0"/>
    <w:rsid w:val="0024245E"/>
    <w:rsid w:val="0024275D"/>
    <w:rsid w:val="00242C36"/>
    <w:rsid w:val="00243AD2"/>
    <w:rsid w:val="00244AAB"/>
    <w:rsid w:val="00244ACA"/>
    <w:rsid w:val="00244B94"/>
    <w:rsid w:val="00247D33"/>
    <w:rsid w:val="00251BF9"/>
    <w:rsid w:val="00251C41"/>
    <w:rsid w:val="00253F1A"/>
    <w:rsid w:val="00255A75"/>
    <w:rsid w:val="00260413"/>
    <w:rsid w:val="002605F2"/>
    <w:rsid w:val="0026237F"/>
    <w:rsid w:val="00264221"/>
    <w:rsid w:val="00264D75"/>
    <w:rsid w:val="00264E2F"/>
    <w:rsid w:val="00265EAA"/>
    <w:rsid w:val="0026641C"/>
    <w:rsid w:val="00266D56"/>
    <w:rsid w:val="002677E7"/>
    <w:rsid w:val="00270458"/>
    <w:rsid w:val="00270E32"/>
    <w:rsid w:val="00272CF9"/>
    <w:rsid w:val="00274665"/>
    <w:rsid w:val="0027618E"/>
    <w:rsid w:val="00276972"/>
    <w:rsid w:val="00277DC7"/>
    <w:rsid w:val="0028078D"/>
    <w:rsid w:val="002810E1"/>
    <w:rsid w:val="00282263"/>
    <w:rsid w:val="00282D23"/>
    <w:rsid w:val="00283CB9"/>
    <w:rsid w:val="00286995"/>
    <w:rsid w:val="00291E92"/>
    <w:rsid w:val="00294495"/>
    <w:rsid w:val="00296169"/>
    <w:rsid w:val="002965F6"/>
    <w:rsid w:val="00296AA4"/>
    <w:rsid w:val="00296B11"/>
    <w:rsid w:val="002A0C4E"/>
    <w:rsid w:val="002A2154"/>
    <w:rsid w:val="002A3546"/>
    <w:rsid w:val="002A3BA1"/>
    <w:rsid w:val="002A59E5"/>
    <w:rsid w:val="002A6A19"/>
    <w:rsid w:val="002A6F66"/>
    <w:rsid w:val="002A77D8"/>
    <w:rsid w:val="002A7993"/>
    <w:rsid w:val="002A7D53"/>
    <w:rsid w:val="002B0A85"/>
    <w:rsid w:val="002B0E96"/>
    <w:rsid w:val="002B1B55"/>
    <w:rsid w:val="002B4810"/>
    <w:rsid w:val="002B6AD7"/>
    <w:rsid w:val="002C051F"/>
    <w:rsid w:val="002C1CB2"/>
    <w:rsid w:val="002C2D22"/>
    <w:rsid w:val="002C30BA"/>
    <w:rsid w:val="002C3563"/>
    <w:rsid w:val="002C4017"/>
    <w:rsid w:val="002C5C4D"/>
    <w:rsid w:val="002C6527"/>
    <w:rsid w:val="002D10C7"/>
    <w:rsid w:val="002D1F69"/>
    <w:rsid w:val="002D3441"/>
    <w:rsid w:val="002D5AEA"/>
    <w:rsid w:val="002D5B98"/>
    <w:rsid w:val="002D6FB4"/>
    <w:rsid w:val="002E1A20"/>
    <w:rsid w:val="002E1C8A"/>
    <w:rsid w:val="002E1FC0"/>
    <w:rsid w:val="002E3409"/>
    <w:rsid w:val="002E39AB"/>
    <w:rsid w:val="002E4377"/>
    <w:rsid w:val="002E600A"/>
    <w:rsid w:val="002E62D1"/>
    <w:rsid w:val="002E669B"/>
    <w:rsid w:val="002E76AF"/>
    <w:rsid w:val="002F0CEC"/>
    <w:rsid w:val="002F0E02"/>
    <w:rsid w:val="002F0E17"/>
    <w:rsid w:val="002F28FD"/>
    <w:rsid w:val="002F2D88"/>
    <w:rsid w:val="002F4305"/>
    <w:rsid w:val="002F498D"/>
    <w:rsid w:val="002F6439"/>
    <w:rsid w:val="002F6CEC"/>
    <w:rsid w:val="002F7682"/>
    <w:rsid w:val="003044BB"/>
    <w:rsid w:val="00305CEA"/>
    <w:rsid w:val="00307160"/>
    <w:rsid w:val="0030733F"/>
    <w:rsid w:val="00307C38"/>
    <w:rsid w:val="0031182A"/>
    <w:rsid w:val="00311E0E"/>
    <w:rsid w:val="003135A8"/>
    <w:rsid w:val="003141C7"/>
    <w:rsid w:val="00314C76"/>
    <w:rsid w:val="0032025F"/>
    <w:rsid w:val="00320F01"/>
    <w:rsid w:val="00323501"/>
    <w:rsid w:val="003250A2"/>
    <w:rsid w:val="00325D76"/>
    <w:rsid w:val="00332E3F"/>
    <w:rsid w:val="00333AC3"/>
    <w:rsid w:val="00334A5A"/>
    <w:rsid w:val="003351B8"/>
    <w:rsid w:val="00335508"/>
    <w:rsid w:val="0033784B"/>
    <w:rsid w:val="00337AAE"/>
    <w:rsid w:val="003425B6"/>
    <w:rsid w:val="00343BA7"/>
    <w:rsid w:val="00344784"/>
    <w:rsid w:val="00351CF0"/>
    <w:rsid w:val="0035300D"/>
    <w:rsid w:val="00353776"/>
    <w:rsid w:val="003561AE"/>
    <w:rsid w:val="00356CAB"/>
    <w:rsid w:val="003617FD"/>
    <w:rsid w:val="003625A9"/>
    <w:rsid w:val="0036307D"/>
    <w:rsid w:val="00364CDC"/>
    <w:rsid w:val="00365860"/>
    <w:rsid w:val="00365E36"/>
    <w:rsid w:val="00371517"/>
    <w:rsid w:val="003738E8"/>
    <w:rsid w:val="00377A83"/>
    <w:rsid w:val="00377CE8"/>
    <w:rsid w:val="0038012D"/>
    <w:rsid w:val="00381DF2"/>
    <w:rsid w:val="003841F1"/>
    <w:rsid w:val="00384E20"/>
    <w:rsid w:val="0038504D"/>
    <w:rsid w:val="00385735"/>
    <w:rsid w:val="0038649F"/>
    <w:rsid w:val="00390E46"/>
    <w:rsid w:val="00392B8A"/>
    <w:rsid w:val="00393248"/>
    <w:rsid w:val="00394ACC"/>
    <w:rsid w:val="00395D32"/>
    <w:rsid w:val="0039669C"/>
    <w:rsid w:val="0039776C"/>
    <w:rsid w:val="003A0ADC"/>
    <w:rsid w:val="003A0BC6"/>
    <w:rsid w:val="003A1AF8"/>
    <w:rsid w:val="003A3CF3"/>
    <w:rsid w:val="003A44C5"/>
    <w:rsid w:val="003A4A78"/>
    <w:rsid w:val="003A5008"/>
    <w:rsid w:val="003A55F7"/>
    <w:rsid w:val="003A5CB0"/>
    <w:rsid w:val="003A6C2D"/>
    <w:rsid w:val="003B19EF"/>
    <w:rsid w:val="003B1DBD"/>
    <w:rsid w:val="003B2A63"/>
    <w:rsid w:val="003B4995"/>
    <w:rsid w:val="003B5C31"/>
    <w:rsid w:val="003B642F"/>
    <w:rsid w:val="003B69FE"/>
    <w:rsid w:val="003C27B0"/>
    <w:rsid w:val="003C4421"/>
    <w:rsid w:val="003C4CFC"/>
    <w:rsid w:val="003C4F2B"/>
    <w:rsid w:val="003C66D8"/>
    <w:rsid w:val="003C6FB3"/>
    <w:rsid w:val="003D08E5"/>
    <w:rsid w:val="003D16A6"/>
    <w:rsid w:val="003D17C3"/>
    <w:rsid w:val="003D1AE5"/>
    <w:rsid w:val="003D519C"/>
    <w:rsid w:val="003D6CA2"/>
    <w:rsid w:val="003D7151"/>
    <w:rsid w:val="003D7FB4"/>
    <w:rsid w:val="003E0382"/>
    <w:rsid w:val="003E17DC"/>
    <w:rsid w:val="003E3266"/>
    <w:rsid w:val="003E3F4C"/>
    <w:rsid w:val="003E63D3"/>
    <w:rsid w:val="003E7A0E"/>
    <w:rsid w:val="003F32B9"/>
    <w:rsid w:val="003F6369"/>
    <w:rsid w:val="003F726F"/>
    <w:rsid w:val="003F7A6A"/>
    <w:rsid w:val="004016C5"/>
    <w:rsid w:val="00401BE8"/>
    <w:rsid w:val="00401CF4"/>
    <w:rsid w:val="00403EA9"/>
    <w:rsid w:val="004049C6"/>
    <w:rsid w:val="0040641C"/>
    <w:rsid w:val="0040671E"/>
    <w:rsid w:val="004071F9"/>
    <w:rsid w:val="0040798B"/>
    <w:rsid w:val="00410A90"/>
    <w:rsid w:val="00410CD8"/>
    <w:rsid w:val="00412A80"/>
    <w:rsid w:val="00412F0C"/>
    <w:rsid w:val="00413D8F"/>
    <w:rsid w:val="00413EF9"/>
    <w:rsid w:val="00413F83"/>
    <w:rsid w:val="00414329"/>
    <w:rsid w:val="00416BCE"/>
    <w:rsid w:val="00417353"/>
    <w:rsid w:val="004208A4"/>
    <w:rsid w:val="0042374F"/>
    <w:rsid w:val="00426552"/>
    <w:rsid w:val="00427D05"/>
    <w:rsid w:val="00427FD4"/>
    <w:rsid w:val="00430F6B"/>
    <w:rsid w:val="004313BE"/>
    <w:rsid w:val="00431E97"/>
    <w:rsid w:val="00432E27"/>
    <w:rsid w:val="004333DF"/>
    <w:rsid w:val="00434F84"/>
    <w:rsid w:val="00437A54"/>
    <w:rsid w:val="00437B48"/>
    <w:rsid w:val="004404DD"/>
    <w:rsid w:val="004405C8"/>
    <w:rsid w:val="00441080"/>
    <w:rsid w:val="00443004"/>
    <w:rsid w:val="00443378"/>
    <w:rsid w:val="004457C3"/>
    <w:rsid w:val="00447354"/>
    <w:rsid w:val="0044745E"/>
    <w:rsid w:val="00447757"/>
    <w:rsid w:val="00447BB1"/>
    <w:rsid w:val="00450B10"/>
    <w:rsid w:val="00451670"/>
    <w:rsid w:val="004525D5"/>
    <w:rsid w:val="004549D2"/>
    <w:rsid w:val="00455B1A"/>
    <w:rsid w:val="0045602E"/>
    <w:rsid w:val="004565FD"/>
    <w:rsid w:val="00456C0B"/>
    <w:rsid w:val="00460A96"/>
    <w:rsid w:val="0046140E"/>
    <w:rsid w:val="00463B3E"/>
    <w:rsid w:val="00464AA3"/>
    <w:rsid w:val="004662DC"/>
    <w:rsid w:val="00470B99"/>
    <w:rsid w:val="00470E93"/>
    <w:rsid w:val="00471C19"/>
    <w:rsid w:val="00471D50"/>
    <w:rsid w:val="0047228D"/>
    <w:rsid w:val="00473483"/>
    <w:rsid w:val="00475465"/>
    <w:rsid w:val="004756A6"/>
    <w:rsid w:val="00477C71"/>
    <w:rsid w:val="004804B2"/>
    <w:rsid w:val="00480CB6"/>
    <w:rsid w:val="00480DAB"/>
    <w:rsid w:val="00481ACF"/>
    <w:rsid w:val="00481BE0"/>
    <w:rsid w:val="00482322"/>
    <w:rsid w:val="004850E3"/>
    <w:rsid w:val="0048741E"/>
    <w:rsid w:val="00487964"/>
    <w:rsid w:val="00487BCA"/>
    <w:rsid w:val="00487C1A"/>
    <w:rsid w:val="0049085A"/>
    <w:rsid w:val="00491DF0"/>
    <w:rsid w:val="00493F9A"/>
    <w:rsid w:val="00495D68"/>
    <w:rsid w:val="00496A96"/>
    <w:rsid w:val="00497803"/>
    <w:rsid w:val="004A21D7"/>
    <w:rsid w:val="004A4A27"/>
    <w:rsid w:val="004A592E"/>
    <w:rsid w:val="004A61AF"/>
    <w:rsid w:val="004B0D49"/>
    <w:rsid w:val="004B2C64"/>
    <w:rsid w:val="004B2DFF"/>
    <w:rsid w:val="004B301D"/>
    <w:rsid w:val="004B3623"/>
    <w:rsid w:val="004B4716"/>
    <w:rsid w:val="004B540E"/>
    <w:rsid w:val="004B5DA0"/>
    <w:rsid w:val="004B6B94"/>
    <w:rsid w:val="004B73AB"/>
    <w:rsid w:val="004C1E71"/>
    <w:rsid w:val="004C2098"/>
    <w:rsid w:val="004C2884"/>
    <w:rsid w:val="004C38FB"/>
    <w:rsid w:val="004C55AA"/>
    <w:rsid w:val="004C5D85"/>
    <w:rsid w:val="004C67E4"/>
    <w:rsid w:val="004D0355"/>
    <w:rsid w:val="004D0EA2"/>
    <w:rsid w:val="004D4CD4"/>
    <w:rsid w:val="004D5ACD"/>
    <w:rsid w:val="004D5FE9"/>
    <w:rsid w:val="004D7C85"/>
    <w:rsid w:val="004E017C"/>
    <w:rsid w:val="004E3BBF"/>
    <w:rsid w:val="004E6582"/>
    <w:rsid w:val="004F1486"/>
    <w:rsid w:val="004F155A"/>
    <w:rsid w:val="004F1B47"/>
    <w:rsid w:val="004F5439"/>
    <w:rsid w:val="004F5BD8"/>
    <w:rsid w:val="004F63CB"/>
    <w:rsid w:val="004F7125"/>
    <w:rsid w:val="00502078"/>
    <w:rsid w:val="0050293C"/>
    <w:rsid w:val="00502B6D"/>
    <w:rsid w:val="00504A6A"/>
    <w:rsid w:val="005079AC"/>
    <w:rsid w:val="005101E4"/>
    <w:rsid w:val="005105A4"/>
    <w:rsid w:val="005119D4"/>
    <w:rsid w:val="005125F9"/>
    <w:rsid w:val="00514C74"/>
    <w:rsid w:val="00520C68"/>
    <w:rsid w:val="005212A0"/>
    <w:rsid w:val="005214D8"/>
    <w:rsid w:val="005216E0"/>
    <w:rsid w:val="00522680"/>
    <w:rsid w:val="00525A45"/>
    <w:rsid w:val="00525F03"/>
    <w:rsid w:val="00526A4F"/>
    <w:rsid w:val="00526B23"/>
    <w:rsid w:val="00530433"/>
    <w:rsid w:val="00530884"/>
    <w:rsid w:val="0053168E"/>
    <w:rsid w:val="00531E49"/>
    <w:rsid w:val="00532A5E"/>
    <w:rsid w:val="00532A90"/>
    <w:rsid w:val="00536317"/>
    <w:rsid w:val="00537DD0"/>
    <w:rsid w:val="00542668"/>
    <w:rsid w:val="00542D44"/>
    <w:rsid w:val="00542E7F"/>
    <w:rsid w:val="00544826"/>
    <w:rsid w:val="00544A42"/>
    <w:rsid w:val="0054575A"/>
    <w:rsid w:val="005457A7"/>
    <w:rsid w:val="005457E1"/>
    <w:rsid w:val="005465B5"/>
    <w:rsid w:val="005500D5"/>
    <w:rsid w:val="00551DC1"/>
    <w:rsid w:val="00552A78"/>
    <w:rsid w:val="005542E8"/>
    <w:rsid w:val="00555C5A"/>
    <w:rsid w:val="00556637"/>
    <w:rsid w:val="00557C93"/>
    <w:rsid w:val="005602C2"/>
    <w:rsid w:val="00560555"/>
    <w:rsid w:val="0056163D"/>
    <w:rsid w:val="00561FC8"/>
    <w:rsid w:val="00561FD0"/>
    <w:rsid w:val="005637EC"/>
    <w:rsid w:val="0056563B"/>
    <w:rsid w:val="00566A90"/>
    <w:rsid w:val="0056702C"/>
    <w:rsid w:val="00570A36"/>
    <w:rsid w:val="00571827"/>
    <w:rsid w:val="005730AB"/>
    <w:rsid w:val="0057339F"/>
    <w:rsid w:val="00575067"/>
    <w:rsid w:val="00575202"/>
    <w:rsid w:val="00575BC4"/>
    <w:rsid w:val="0057732C"/>
    <w:rsid w:val="0058004F"/>
    <w:rsid w:val="00582907"/>
    <w:rsid w:val="00583768"/>
    <w:rsid w:val="00583885"/>
    <w:rsid w:val="005841B6"/>
    <w:rsid w:val="00586EE9"/>
    <w:rsid w:val="005900F9"/>
    <w:rsid w:val="00590219"/>
    <w:rsid w:val="005911BA"/>
    <w:rsid w:val="00592EF8"/>
    <w:rsid w:val="005946D9"/>
    <w:rsid w:val="005953D1"/>
    <w:rsid w:val="005966E8"/>
    <w:rsid w:val="005A04F5"/>
    <w:rsid w:val="005A0672"/>
    <w:rsid w:val="005A11DF"/>
    <w:rsid w:val="005A2607"/>
    <w:rsid w:val="005A2BB3"/>
    <w:rsid w:val="005A447C"/>
    <w:rsid w:val="005A4649"/>
    <w:rsid w:val="005A480F"/>
    <w:rsid w:val="005A4A84"/>
    <w:rsid w:val="005A5ED2"/>
    <w:rsid w:val="005B00C8"/>
    <w:rsid w:val="005B149E"/>
    <w:rsid w:val="005B3AFB"/>
    <w:rsid w:val="005B3BCE"/>
    <w:rsid w:val="005C0244"/>
    <w:rsid w:val="005C14FC"/>
    <w:rsid w:val="005C21A8"/>
    <w:rsid w:val="005C2F37"/>
    <w:rsid w:val="005C3120"/>
    <w:rsid w:val="005C6667"/>
    <w:rsid w:val="005D1DE4"/>
    <w:rsid w:val="005D417B"/>
    <w:rsid w:val="005D5790"/>
    <w:rsid w:val="005D5D73"/>
    <w:rsid w:val="005D7462"/>
    <w:rsid w:val="005E01DF"/>
    <w:rsid w:val="005E18AA"/>
    <w:rsid w:val="005E2630"/>
    <w:rsid w:val="005E31AF"/>
    <w:rsid w:val="005E5539"/>
    <w:rsid w:val="005F22C4"/>
    <w:rsid w:val="005F481B"/>
    <w:rsid w:val="005F53EC"/>
    <w:rsid w:val="005F586A"/>
    <w:rsid w:val="005F73CD"/>
    <w:rsid w:val="005F772D"/>
    <w:rsid w:val="006000AA"/>
    <w:rsid w:val="00601112"/>
    <w:rsid w:val="006011D9"/>
    <w:rsid w:val="0060266F"/>
    <w:rsid w:val="00602AD5"/>
    <w:rsid w:val="006047C8"/>
    <w:rsid w:val="00604FD5"/>
    <w:rsid w:val="00610144"/>
    <w:rsid w:val="006102BA"/>
    <w:rsid w:val="00611B10"/>
    <w:rsid w:val="00613BA2"/>
    <w:rsid w:val="00614E4B"/>
    <w:rsid w:val="006150A9"/>
    <w:rsid w:val="00615B1A"/>
    <w:rsid w:val="006230BA"/>
    <w:rsid w:val="00623EA6"/>
    <w:rsid w:val="00625DB3"/>
    <w:rsid w:val="0062600A"/>
    <w:rsid w:val="006264FD"/>
    <w:rsid w:val="00626539"/>
    <w:rsid w:val="006265AF"/>
    <w:rsid w:val="0062716C"/>
    <w:rsid w:val="0063092E"/>
    <w:rsid w:val="006319A8"/>
    <w:rsid w:val="00632B48"/>
    <w:rsid w:val="00634567"/>
    <w:rsid w:val="0063634A"/>
    <w:rsid w:val="006420F3"/>
    <w:rsid w:val="00642D55"/>
    <w:rsid w:val="0064661A"/>
    <w:rsid w:val="00646962"/>
    <w:rsid w:val="00651727"/>
    <w:rsid w:val="00651AD3"/>
    <w:rsid w:val="00653237"/>
    <w:rsid w:val="00654010"/>
    <w:rsid w:val="00655D56"/>
    <w:rsid w:val="006602E7"/>
    <w:rsid w:val="00661E9E"/>
    <w:rsid w:val="00662A83"/>
    <w:rsid w:val="00662D96"/>
    <w:rsid w:val="00666D69"/>
    <w:rsid w:val="00675476"/>
    <w:rsid w:val="0068148A"/>
    <w:rsid w:val="00686BEF"/>
    <w:rsid w:val="00686C01"/>
    <w:rsid w:val="00686CC0"/>
    <w:rsid w:val="00690387"/>
    <w:rsid w:val="00690E20"/>
    <w:rsid w:val="00692CDB"/>
    <w:rsid w:val="00693B4A"/>
    <w:rsid w:val="00694376"/>
    <w:rsid w:val="00695BCB"/>
    <w:rsid w:val="00695ECC"/>
    <w:rsid w:val="00695F7D"/>
    <w:rsid w:val="006A1D83"/>
    <w:rsid w:val="006A21B1"/>
    <w:rsid w:val="006A2DC0"/>
    <w:rsid w:val="006A5A78"/>
    <w:rsid w:val="006A7D90"/>
    <w:rsid w:val="006A7F00"/>
    <w:rsid w:val="006B04B0"/>
    <w:rsid w:val="006B306F"/>
    <w:rsid w:val="006B329B"/>
    <w:rsid w:val="006B5441"/>
    <w:rsid w:val="006B5C64"/>
    <w:rsid w:val="006B74FF"/>
    <w:rsid w:val="006B7B58"/>
    <w:rsid w:val="006C03CE"/>
    <w:rsid w:val="006C1342"/>
    <w:rsid w:val="006C240B"/>
    <w:rsid w:val="006C4293"/>
    <w:rsid w:val="006C56A9"/>
    <w:rsid w:val="006C730B"/>
    <w:rsid w:val="006C7B18"/>
    <w:rsid w:val="006D005F"/>
    <w:rsid w:val="006D029B"/>
    <w:rsid w:val="006D1790"/>
    <w:rsid w:val="006D3CAE"/>
    <w:rsid w:val="006D7C7C"/>
    <w:rsid w:val="006E0E9F"/>
    <w:rsid w:val="006E293F"/>
    <w:rsid w:val="006E2E6D"/>
    <w:rsid w:val="006E3152"/>
    <w:rsid w:val="006E38C7"/>
    <w:rsid w:val="006F05C2"/>
    <w:rsid w:val="006F11AD"/>
    <w:rsid w:val="006F2FE5"/>
    <w:rsid w:val="006F36FE"/>
    <w:rsid w:val="006F47AC"/>
    <w:rsid w:val="006F49F6"/>
    <w:rsid w:val="006F4D57"/>
    <w:rsid w:val="006F52F1"/>
    <w:rsid w:val="006F5337"/>
    <w:rsid w:val="006F6321"/>
    <w:rsid w:val="006F64C3"/>
    <w:rsid w:val="006F7AB8"/>
    <w:rsid w:val="0070015F"/>
    <w:rsid w:val="00703E6A"/>
    <w:rsid w:val="00704901"/>
    <w:rsid w:val="00706250"/>
    <w:rsid w:val="00706A85"/>
    <w:rsid w:val="00706FC5"/>
    <w:rsid w:val="007112C6"/>
    <w:rsid w:val="00714EB2"/>
    <w:rsid w:val="007175FE"/>
    <w:rsid w:val="00717889"/>
    <w:rsid w:val="007209BF"/>
    <w:rsid w:val="00722F91"/>
    <w:rsid w:val="00723302"/>
    <w:rsid w:val="00723905"/>
    <w:rsid w:val="00726883"/>
    <w:rsid w:val="007306F3"/>
    <w:rsid w:val="00732EAA"/>
    <w:rsid w:val="0073310E"/>
    <w:rsid w:val="007349B8"/>
    <w:rsid w:val="0074116E"/>
    <w:rsid w:val="00741EF8"/>
    <w:rsid w:val="0074495F"/>
    <w:rsid w:val="0074556C"/>
    <w:rsid w:val="00745B57"/>
    <w:rsid w:val="0074602E"/>
    <w:rsid w:val="00746D9D"/>
    <w:rsid w:val="0075279F"/>
    <w:rsid w:val="00753555"/>
    <w:rsid w:val="00756699"/>
    <w:rsid w:val="00761132"/>
    <w:rsid w:val="007627F3"/>
    <w:rsid w:val="00762859"/>
    <w:rsid w:val="00767241"/>
    <w:rsid w:val="00767CF4"/>
    <w:rsid w:val="00771F09"/>
    <w:rsid w:val="00774E0A"/>
    <w:rsid w:val="00776993"/>
    <w:rsid w:val="007778BE"/>
    <w:rsid w:val="007813FC"/>
    <w:rsid w:val="0078344D"/>
    <w:rsid w:val="00783975"/>
    <w:rsid w:val="00785B06"/>
    <w:rsid w:val="00786E84"/>
    <w:rsid w:val="00790C13"/>
    <w:rsid w:val="007911DA"/>
    <w:rsid w:val="00791311"/>
    <w:rsid w:val="00792928"/>
    <w:rsid w:val="0079326B"/>
    <w:rsid w:val="007947D9"/>
    <w:rsid w:val="00796AB3"/>
    <w:rsid w:val="007972AA"/>
    <w:rsid w:val="007A22B5"/>
    <w:rsid w:val="007A3D24"/>
    <w:rsid w:val="007A7030"/>
    <w:rsid w:val="007A71A0"/>
    <w:rsid w:val="007B187C"/>
    <w:rsid w:val="007B36F7"/>
    <w:rsid w:val="007B3E60"/>
    <w:rsid w:val="007B41CE"/>
    <w:rsid w:val="007B43E9"/>
    <w:rsid w:val="007B4CCE"/>
    <w:rsid w:val="007B5D39"/>
    <w:rsid w:val="007B6ACE"/>
    <w:rsid w:val="007C01F3"/>
    <w:rsid w:val="007C132B"/>
    <w:rsid w:val="007C2985"/>
    <w:rsid w:val="007C29C1"/>
    <w:rsid w:val="007C345C"/>
    <w:rsid w:val="007C3A05"/>
    <w:rsid w:val="007C4CEC"/>
    <w:rsid w:val="007C5062"/>
    <w:rsid w:val="007C514A"/>
    <w:rsid w:val="007C5282"/>
    <w:rsid w:val="007C558F"/>
    <w:rsid w:val="007D0B1F"/>
    <w:rsid w:val="007D25B5"/>
    <w:rsid w:val="007D2C67"/>
    <w:rsid w:val="007D3920"/>
    <w:rsid w:val="007D3C37"/>
    <w:rsid w:val="007D3EC4"/>
    <w:rsid w:val="007D464D"/>
    <w:rsid w:val="007D5DDE"/>
    <w:rsid w:val="007E06FB"/>
    <w:rsid w:val="007E0E3E"/>
    <w:rsid w:val="007E380E"/>
    <w:rsid w:val="007E3C40"/>
    <w:rsid w:val="007E5635"/>
    <w:rsid w:val="007F02B3"/>
    <w:rsid w:val="007F1BE4"/>
    <w:rsid w:val="007F5A39"/>
    <w:rsid w:val="007F5E6D"/>
    <w:rsid w:val="007F7F69"/>
    <w:rsid w:val="008004CD"/>
    <w:rsid w:val="00800CB4"/>
    <w:rsid w:val="00801313"/>
    <w:rsid w:val="00801471"/>
    <w:rsid w:val="008021DB"/>
    <w:rsid w:val="008026B8"/>
    <w:rsid w:val="0080435C"/>
    <w:rsid w:val="00804A0D"/>
    <w:rsid w:val="00804BD7"/>
    <w:rsid w:val="00804D5E"/>
    <w:rsid w:val="00805512"/>
    <w:rsid w:val="00805FD6"/>
    <w:rsid w:val="00806442"/>
    <w:rsid w:val="00806691"/>
    <w:rsid w:val="00812FA8"/>
    <w:rsid w:val="00814701"/>
    <w:rsid w:val="00814E1E"/>
    <w:rsid w:val="00814E7B"/>
    <w:rsid w:val="00815068"/>
    <w:rsid w:val="0082217A"/>
    <w:rsid w:val="00823D04"/>
    <w:rsid w:val="00824D51"/>
    <w:rsid w:val="00827D88"/>
    <w:rsid w:val="00830034"/>
    <w:rsid w:val="00830F69"/>
    <w:rsid w:val="00832108"/>
    <w:rsid w:val="00833E06"/>
    <w:rsid w:val="00834C44"/>
    <w:rsid w:val="00835641"/>
    <w:rsid w:val="00835A29"/>
    <w:rsid w:val="00836861"/>
    <w:rsid w:val="0083724E"/>
    <w:rsid w:val="008415A2"/>
    <w:rsid w:val="00841DC2"/>
    <w:rsid w:val="0084339A"/>
    <w:rsid w:val="0084416A"/>
    <w:rsid w:val="008450DE"/>
    <w:rsid w:val="008469D5"/>
    <w:rsid w:val="008472AE"/>
    <w:rsid w:val="008505A1"/>
    <w:rsid w:val="0085062F"/>
    <w:rsid w:val="008523BB"/>
    <w:rsid w:val="008552B4"/>
    <w:rsid w:val="00856D36"/>
    <w:rsid w:val="00862617"/>
    <w:rsid w:val="00863850"/>
    <w:rsid w:val="008649B7"/>
    <w:rsid w:val="00865756"/>
    <w:rsid w:val="008659B5"/>
    <w:rsid w:val="00870485"/>
    <w:rsid w:val="0087174D"/>
    <w:rsid w:val="00871A79"/>
    <w:rsid w:val="00871E86"/>
    <w:rsid w:val="008722AB"/>
    <w:rsid w:val="00873309"/>
    <w:rsid w:val="00874149"/>
    <w:rsid w:val="0087606D"/>
    <w:rsid w:val="00876619"/>
    <w:rsid w:val="00877FB6"/>
    <w:rsid w:val="0088098E"/>
    <w:rsid w:val="008811DC"/>
    <w:rsid w:val="00881DAD"/>
    <w:rsid w:val="00881EA8"/>
    <w:rsid w:val="008840D1"/>
    <w:rsid w:val="0088475C"/>
    <w:rsid w:val="00884F26"/>
    <w:rsid w:val="008855FD"/>
    <w:rsid w:val="00886398"/>
    <w:rsid w:val="00886625"/>
    <w:rsid w:val="00887A5F"/>
    <w:rsid w:val="00890618"/>
    <w:rsid w:val="00893303"/>
    <w:rsid w:val="00893952"/>
    <w:rsid w:val="00894BFD"/>
    <w:rsid w:val="00895099"/>
    <w:rsid w:val="00895CE8"/>
    <w:rsid w:val="008964F2"/>
    <w:rsid w:val="00897054"/>
    <w:rsid w:val="008A0BE7"/>
    <w:rsid w:val="008A16B2"/>
    <w:rsid w:val="008A1BC9"/>
    <w:rsid w:val="008A30F5"/>
    <w:rsid w:val="008A3249"/>
    <w:rsid w:val="008A391E"/>
    <w:rsid w:val="008A4A25"/>
    <w:rsid w:val="008A5134"/>
    <w:rsid w:val="008B077B"/>
    <w:rsid w:val="008B1240"/>
    <w:rsid w:val="008B5956"/>
    <w:rsid w:val="008B7E67"/>
    <w:rsid w:val="008C2670"/>
    <w:rsid w:val="008C369F"/>
    <w:rsid w:val="008C3B07"/>
    <w:rsid w:val="008C5AB7"/>
    <w:rsid w:val="008C6667"/>
    <w:rsid w:val="008C7435"/>
    <w:rsid w:val="008D016C"/>
    <w:rsid w:val="008D0956"/>
    <w:rsid w:val="008D13D1"/>
    <w:rsid w:val="008D1410"/>
    <w:rsid w:val="008D1E4D"/>
    <w:rsid w:val="008D2F68"/>
    <w:rsid w:val="008D5A37"/>
    <w:rsid w:val="008D7A56"/>
    <w:rsid w:val="008E05E9"/>
    <w:rsid w:val="008E44B5"/>
    <w:rsid w:val="008E6E9A"/>
    <w:rsid w:val="008E70D0"/>
    <w:rsid w:val="008F303C"/>
    <w:rsid w:val="008F3E58"/>
    <w:rsid w:val="008F7181"/>
    <w:rsid w:val="008F7740"/>
    <w:rsid w:val="008F7AF4"/>
    <w:rsid w:val="008F7D0C"/>
    <w:rsid w:val="00900C8F"/>
    <w:rsid w:val="0090105A"/>
    <w:rsid w:val="009030CB"/>
    <w:rsid w:val="00904831"/>
    <w:rsid w:val="00905594"/>
    <w:rsid w:val="00905F9C"/>
    <w:rsid w:val="00907850"/>
    <w:rsid w:val="009132F6"/>
    <w:rsid w:val="009145E2"/>
    <w:rsid w:val="00914D42"/>
    <w:rsid w:val="00914F1A"/>
    <w:rsid w:val="00917373"/>
    <w:rsid w:val="00920722"/>
    <w:rsid w:val="00921164"/>
    <w:rsid w:val="00921CB1"/>
    <w:rsid w:val="00922C60"/>
    <w:rsid w:val="00922C8E"/>
    <w:rsid w:val="00922DD2"/>
    <w:rsid w:val="009262FF"/>
    <w:rsid w:val="009275F3"/>
    <w:rsid w:val="009279C8"/>
    <w:rsid w:val="00930BA0"/>
    <w:rsid w:val="00930F1C"/>
    <w:rsid w:val="00930F93"/>
    <w:rsid w:val="00932D8C"/>
    <w:rsid w:val="00933608"/>
    <w:rsid w:val="009358B4"/>
    <w:rsid w:val="00935E50"/>
    <w:rsid w:val="009360B7"/>
    <w:rsid w:val="00936508"/>
    <w:rsid w:val="009367A2"/>
    <w:rsid w:val="009367FE"/>
    <w:rsid w:val="00940145"/>
    <w:rsid w:val="00940EDC"/>
    <w:rsid w:val="00941187"/>
    <w:rsid w:val="00941A31"/>
    <w:rsid w:val="00944152"/>
    <w:rsid w:val="0094449E"/>
    <w:rsid w:val="00944609"/>
    <w:rsid w:val="00944FEA"/>
    <w:rsid w:val="00945345"/>
    <w:rsid w:val="00950BBE"/>
    <w:rsid w:val="00951AF1"/>
    <w:rsid w:val="00951BC6"/>
    <w:rsid w:val="0095266D"/>
    <w:rsid w:val="00952C44"/>
    <w:rsid w:val="009530D6"/>
    <w:rsid w:val="00954E74"/>
    <w:rsid w:val="00956000"/>
    <w:rsid w:val="009560E3"/>
    <w:rsid w:val="00956129"/>
    <w:rsid w:val="0095677D"/>
    <w:rsid w:val="00956990"/>
    <w:rsid w:val="00962F7C"/>
    <w:rsid w:val="00964D03"/>
    <w:rsid w:val="009650D4"/>
    <w:rsid w:val="00966A5C"/>
    <w:rsid w:val="009675C6"/>
    <w:rsid w:val="0096772C"/>
    <w:rsid w:val="00971627"/>
    <w:rsid w:val="00972DEE"/>
    <w:rsid w:val="0097528D"/>
    <w:rsid w:val="00975DE2"/>
    <w:rsid w:val="00975ECF"/>
    <w:rsid w:val="0098337A"/>
    <w:rsid w:val="009836CA"/>
    <w:rsid w:val="0098374E"/>
    <w:rsid w:val="00984222"/>
    <w:rsid w:val="00987E10"/>
    <w:rsid w:val="00987FAA"/>
    <w:rsid w:val="00992861"/>
    <w:rsid w:val="00994E11"/>
    <w:rsid w:val="009979BA"/>
    <w:rsid w:val="009A0643"/>
    <w:rsid w:val="009A19CA"/>
    <w:rsid w:val="009A1C3A"/>
    <w:rsid w:val="009A1D50"/>
    <w:rsid w:val="009A317A"/>
    <w:rsid w:val="009A3D15"/>
    <w:rsid w:val="009A461C"/>
    <w:rsid w:val="009A5497"/>
    <w:rsid w:val="009A68B6"/>
    <w:rsid w:val="009A6A5E"/>
    <w:rsid w:val="009B0CB3"/>
    <w:rsid w:val="009B132B"/>
    <w:rsid w:val="009B1C1D"/>
    <w:rsid w:val="009B1FAF"/>
    <w:rsid w:val="009B2C5D"/>
    <w:rsid w:val="009B57C5"/>
    <w:rsid w:val="009B7857"/>
    <w:rsid w:val="009C0068"/>
    <w:rsid w:val="009C1673"/>
    <w:rsid w:val="009C17A6"/>
    <w:rsid w:val="009C1E88"/>
    <w:rsid w:val="009C1F5C"/>
    <w:rsid w:val="009C2505"/>
    <w:rsid w:val="009C3132"/>
    <w:rsid w:val="009C3D7C"/>
    <w:rsid w:val="009C48E3"/>
    <w:rsid w:val="009D0C7F"/>
    <w:rsid w:val="009D1BEF"/>
    <w:rsid w:val="009D1C51"/>
    <w:rsid w:val="009D1D7D"/>
    <w:rsid w:val="009D2719"/>
    <w:rsid w:val="009D2B72"/>
    <w:rsid w:val="009D573D"/>
    <w:rsid w:val="009E0332"/>
    <w:rsid w:val="009E1427"/>
    <w:rsid w:val="009E30B4"/>
    <w:rsid w:val="009E3248"/>
    <w:rsid w:val="009E5238"/>
    <w:rsid w:val="009F342E"/>
    <w:rsid w:val="009F3B34"/>
    <w:rsid w:val="009F51A7"/>
    <w:rsid w:val="009F71D0"/>
    <w:rsid w:val="00A00513"/>
    <w:rsid w:val="00A02644"/>
    <w:rsid w:val="00A0313D"/>
    <w:rsid w:val="00A049CB"/>
    <w:rsid w:val="00A05315"/>
    <w:rsid w:val="00A06D9D"/>
    <w:rsid w:val="00A10583"/>
    <w:rsid w:val="00A112B6"/>
    <w:rsid w:val="00A11A44"/>
    <w:rsid w:val="00A1213F"/>
    <w:rsid w:val="00A124E3"/>
    <w:rsid w:val="00A13596"/>
    <w:rsid w:val="00A13B91"/>
    <w:rsid w:val="00A16792"/>
    <w:rsid w:val="00A16C01"/>
    <w:rsid w:val="00A22C86"/>
    <w:rsid w:val="00A22C91"/>
    <w:rsid w:val="00A2394D"/>
    <w:rsid w:val="00A2416E"/>
    <w:rsid w:val="00A27E4A"/>
    <w:rsid w:val="00A304DB"/>
    <w:rsid w:val="00A308C0"/>
    <w:rsid w:val="00A3147E"/>
    <w:rsid w:val="00A31ED5"/>
    <w:rsid w:val="00A326B0"/>
    <w:rsid w:val="00A334F4"/>
    <w:rsid w:val="00A34799"/>
    <w:rsid w:val="00A35255"/>
    <w:rsid w:val="00A37945"/>
    <w:rsid w:val="00A37AFF"/>
    <w:rsid w:val="00A37CDD"/>
    <w:rsid w:val="00A40BDC"/>
    <w:rsid w:val="00A432D5"/>
    <w:rsid w:val="00A44056"/>
    <w:rsid w:val="00A5018C"/>
    <w:rsid w:val="00A50961"/>
    <w:rsid w:val="00A5131C"/>
    <w:rsid w:val="00A515AB"/>
    <w:rsid w:val="00A539C9"/>
    <w:rsid w:val="00A547B0"/>
    <w:rsid w:val="00A54F67"/>
    <w:rsid w:val="00A61631"/>
    <w:rsid w:val="00A616A3"/>
    <w:rsid w:val="00A622F6"/>
    <w:rsid w:val="00A62B5C"/>
    <w:rsid w:val="00A632DD"/>
    <w:rsid w:val="00A633DD"/>
    <w:rsid w:val="00A63CED"/>
    <w:rsid w:val="00A644F5"/>
    <w:rsid w:val="00A647B5"/>
    <w:rsid w:val="00A700EB"/>
    <w:rsid w:val="00A70342"/>
    <w:rsid w:val="00A7199D"/>
    <w:rsid w:val="00A743D9"/>
    <w:rsid w:val="00A748F3"/>
    <w:rsid w:val="00A750C8"/>
    <w:rsid w:val="00A7520A"/>
    <w:rsid w:val="00A75E46"/>
    <w:rsid w:val="00A8088E"/>
    <w:rsid w:val="00A80D40"/>
    <w:rsid w:val="00A8215B"/>
    <w:rsid w:val="00A840AE"/>
    <w:rsid w:val="00A843E5"/>
    <w:rsid w:val="00A84DAF"/>
    <w:rsid w:val="00A8710A"/>
    <w:rsid w:val="00A87A39"/>
    <w:rsid w:val="00A90AFA"/>
    <w:rsid w:val="00A910BF"/>
    <w:rsid w:val="00A912EE"/>
    <w:rsid w:val="00A939A6"/>
    <w:rsid w:val="00A95450"/>
    <w:rsid w:val="00AA2180"/>
    <w:rsid w:val="00AA259A"/>
    <w:rsid w:val="00AA40BC"/>
    <w:rsid w:val="00AA60C1"/>
    <w:rsid w:val="00AA6117"/>
    <w:rsid w:val="00AB2438"/>
    <w:rsid w:val="00AB31F0"/>
    <w:rsid w:val="00AB3838"/>
    <w:rsid w:val="00AC1090"/>
    <w:rsid w:val="00AC11B1"/>
    <w:rsid w:val="00AC5600"/>
    <w:rsid w:val="00AC6ED6"/>
    <w:rsid w:val="00AC6F36"/>
    <w:rsid w:val="00AC7A34"/>
    <w:rsid w:val="00AD008C"/>
    <w:rsid w:val="00AD0F72"/>
    <w:rsid w:val="00AD10F8"/>
    <w:rsid w:val="00AD29EB"/>
    <w:rsid w:val="00AD2DC9"/>
    <w:rsid w:val="00AD4848"/>
    <w:rsid w:val="00AD4F8C"/>
    <w:rsid w:val="00AD536A"/>
    <w:rsid w:val="00AD6557"/>
    <w:rsid w:val="00AD7317"/>
    <w:rsid w:val="00AD79F2"/>
    <w:rsid w:val="00AE00DF"/>
    <w:rsid w:val="00AE2797"/>
    <w:rsid w:val="00AE301E"/>
    <w:rsid w:val="00AE3F78"/>
    <w:rsid w:val="00AE4CC2"/>
    <w:rsid w:val="00AE61FB"/>
    <w:rsid w:val="00AE628A"/>
    <w:rsid w:val="00AE6929"/>
    <w:rsid w:val="00AF0C64"/>
    <w:rsid w:val="00AF171E"/>
    <w:rsid w:val="00AF2B07"/>
    <w:rsid w:val="00AF3586"/>
    <w:rsid w:val="00AF5B86"/>
    <w:rsid w:val="00AF6F66"/>
    <w:rsid w:val="00AF7454"/>
    <w:rsid w:val="00AF7658"/>
    <w:rsid w:val="00AF7F41"/>
    <w:rsid w:val="00B011A1"/>
    <w:rsid w:val="00B01586"/>
    <w:rsid w:val="00B01B28"/>
    <w:rsid w:val="00B03420"/>
    <w:rsid w:val="00B03B61"/>
    <w:rsid w:val="00B03E3E"/>
    <w:rsid w:val="00B048CB"/>
    <w:rsid w:val="00B04CD3"/>
    <w:rsid w:val="00B05FEB"/>
    <w:rsid w:val="00B06036"/>
    <w:rsid w:val="00B0638C"/>
    <w:rsid w:val="00B10711"/>
    <w:rsid w:val="00B17D45"/>
    <w:rsid w:val="00B17FE8"/>
    <w:rsid w:val="00B207F1"/>
    <w:rsid w:val="00B21A86"/>
    <w:rsid w:val="00B22338"/>
    <w:rsid w:val="00B24BD4"/>
    <w:rsid w:val="00B25EFF"/>
    <w:rsid w:val="00B33F21"/>
    <w:rsid w:val="00B34B5D"/>
    <w:rsid w:val="00B34C03"/>
    <w:rsid w:val="00B35B3A"/>
    <w:rsid w:val="00B36491"/>
    <w:rsid w:val="00B41A0A"/>
    <w:rsid w:val="00B4305B"/>
    <w:rsid w:val="00B43E05"/>
    <w:rsid w:val="00B45172"/>
    <w:rsid w:val="00B475F5"/>
    <w:rsid w:val="00B47808"/>
    <w:rsid w:val="00B528EF"/>
    <w:rsid w:val="00B53483"/>
    <w:rsid w:val="00B54130"/>
    <w:rsid w:val="00B54C5C"/>
    <w:rsid w:val="00B56C70"/>
    <w:rsid w:val="00B612B7"/>
    <w:rsid w:val="00B61C31"/>
    <w:rsid w:val="00B64AF2"/>
    <w:rsid w:val="00B65D45"/>
    <w:rsid w:val="00B66F91"/>
    <w:rsid w:val="00B6739A"/>
    <w:rsid w:val="00B67B0D"/>
    <w:rsid w:val="00B70A67"/>
    <w:rsid w:val="00B72F1B"/>
    <w:rsid w:val="00B75490"/>
    <w:rsid w:val="00B7583E"/>
    <w:rsid w:val="00B75D64"/>
    <w:rsid w:val="00B762B2"/>
    <w:rsid w:val="00B766C8"/>
    <w:rsid w:val="00B76929"/>
    <w:rsid w:val="00B7700D"/>
    <w:rsid w:val="00B77B88"/>
    <w:rsid w:val="00B833B0"/>
    <w:rsid w:val="00B835BE"/>
    <w:rsid w:val="00B836FA"/>
    <w:rsid w:val="00B87FA8"/>
    <w:rsid w:val="00B90CC6"/>
    <w:rsid w:val="00B924E4"/>
    <w:rsid w:val="00B93DE9"/>
    <w:rsid w:val="00B954C6"/>
    <w:rsid w:val="00B97E53"/>
    <w:rsid w:val="00BA2905"/>
    <w:rsid w:val="00BA32D0"/>
    <w:rsid w:val="00BA508B"/>
    <w:rsid w:val="00BA62B5"/>
    <w:rsid w:val="00BA6453"/>
    <w:rsid w:val="00BB0AC5"/>
    <w:rsid w:val="00BB0C66"/>
    <w:rsid w:val="00BB3658"/>
    <w:rsid w:val="00BB4A71"/>
    <w:rsid w:val="00BC151D"/>
    <w:rsid w:val="00BC19C1"/>
    <w:rsid w:val="00BC1E3D"/>
    <w:rsid w:val="00BC2043"/>
    <w:rsid w:val="00BC36A9"/>
    <w:rsid w:val="00BC4ADD"/>
    <w:rsid w:val="00BC4EB8"/>
    <w:rsid w:val="00BC640F"/>
    <w:rsid w:val="00BC7A95"/>
    <w:rsid w:val="00BD10B4"/>
    <w:rsid w:val="00BD16E8"/>
    <w:rsid w:val="00BD3059"/>
    <w:rsid w:val="00BD3514"/>
    <w:rsid w:val="00BD5961"/>
    <w:rsid w:val="00BD5B72"/>
    <w:rsid w:val="00BE070D"/>
    <w:rsid w:val="00BE29BB"/>
    <w:rsid w:val="00BE2A3F"/>
    <w:rsid w:val="00BE348A"/>
    <w:rsid w:val="00BE4846"/>
    <w:rsid w:val="00BE64FE"/>
    <w:rsid w:val="00BE6751"/>
    <w:rsid w:val="00BE69DB"/>
    <w:rsid w:val="00BE6D93"/>
    <w:rsid w:val="00BF13CB"/>
    <w:rsid w:val="00BF1CE0"/>
    <w:rsid w:val="00BF27C9"/>
    <w:rsid w:val="00BF28A8"/>
    <w:rsid w:val="00BF2BCA"/>
    <w:rsid w:val="00BF326B"/>
    <w:rsid w:val="00BF40B8"/>
    <w:rsid w:val="00BF51B2"/>
    <w:rsid w:val="00BF5275"/>
    <w:rsid w:val="00BF59FD"/>
    <w:rsid w:val="00BF6910"/>
    <w:rsid w:val="00BF71E4"/>
    <w:rsid w:val="00BF7BE3"/>
    <w:rsid w:val="00C0032C"/>
    <w:rsid w:val="00C01FFB"/>
    <w:rsid w:val="00C07BE2"/>
    <w:rsid w:val="00C11734"/>
    <w:rsid w:val="00C125BE"/>
    <w:rsid w:val="00C12886"/>
    <w:rsid w:val="00C13190"/>
    <w:rsid w:val="00C13382"/>
    <w:rsid w:val="00C14CD7"/>
    <w:rsid w:val="00C152F0"/>
    <w:rsid w:val="00C17559"/>
    <w:rsid w:val="00C17959"/>
    <w:rsid w:val="00C21B6B"/>
    <w:rsid w:val="00C2281D"/>
    <w:rsid w:val="00C23A69"/>
    <w:rsid w:val="00C24388"/>
    <w:rsid w:val="00C261DB"/>
    <w:rsid w:val="00C266FA"/>
    <w:rsid w:val="00C272CA"/>
    <w:rsid w:val="00C27827"/>
    <w:rsid w:val="00C3133D"/>
    <w:rsid w:val="00C32B8B"/>
    <w:rsid w:val="00C34B9C"/>
    <w:rsid w:val="00C34C23"/>
    <w:rsid w:val="00C35112"/>
    <w:rsid w:val="00C354F2"/>
    <w:rsid w:val="00C35D87"/>
    <w:rsid w:val="00C41155"/>
    <w:rsid w:val="00C4366C"/>
    <w:rsid w:val="00C441A2"/>
    <w:rsid w:val="00C45B64"/>
    <w:rsid w:val="00C45B92"/>
    <w:rsid w:val="00C47464"/>
    <w:rsid w:val="00C51CF9"/>
    <w:rsid w:val="00C54CB8"/>
    <w:rsid w:val="00C54D23"/>
    <w:rsid w:val="00C56731"/>
    <w:rsid w:val="00C57230"/>
    <w:rsid w:val="00C62631"/>
    <w:rsid w:val="00C642A6"/>
    <w:rsid w:val="00C653F6"/>
    <w:rsid w:val="00C70A4E"/>
    <w:rsid w:val="00C70D56"/>
    <w:rsid w:val="00C70DA2"/>
    <w:rsid w:val="00C71333"/>
    <w:rsid w:val="00C714D1"/>
    <w:rsid w:val="00C714F2"/>
    <w:rsid w:val="00C720C2"/>
    <w:rsid w:val="00C729AC"/>
    <w:rsid w:val="00C75555"/>
    <w:rsid w:val="00C76B58"/>
    <w:rsid w:val="00C77022"/>
    <w:rsid w:val="00C843EB"/>
    <w:rsid w:val="00C859A5"/>
    <w:rsid w:val="00C85E2B"/>
    <w:rsid w:val="00C866E1"/>
    <w:rsid w:val="00C8699E"/>
    <w:rsid w:val="00C86F49"/>
    <w:rsid w:val="00C87049"/>
    <w:rsid w:val="00C87708"/>
    <w:rsid w:val="00C87A8B"/>
    <w:rsid w:val="00C90225"/>
    <w:rsid w:val="00C91C6E"/>
    <w:rsid w:val="00C92CED"/>
    <w:rsid w:val="00C930EC"/>
    <w:rsid w:val="00C93390"/>
    <w:rsid w:val="00C93D78"/>
    <w:rsid w:val="00C977AB"/>
    <w:rsid w:val="00CA0FEA"/>
    <w:rsid w:val="00CA2659"/>
    <w:rsid w:val="00CA3675"/>
    <w:rsid w:val="00CA3A6F"/>
    <w:rsid w:val="00CA43A4"/>
    <w:rsid w:val="00CA5565"/>
    <w:rsid w:val="00CA7B4F"/>
    <w:rsid w:val="00CA7DE3"/>
    <w:rsid w:val="00CB05AB"/>
    <w:rsid w:val="00CB25DE"/>
    <w:rsid w:val="00CB29F3"/>
    <w:rsid w:val="00CB6550"/>
    <w:rsid w:val="00CB678D"/>
    <w:rsid w:val="00CB7109"/>
    <w:rsid w:val="00CB7206"/>
    <w:rsid w:val="00CB7813"/>
    <w:rsid w:val="00CC041F"/>
    <w:rsid w:val="00CC2DE2"/>
    <w:rsid w:val="00CC3EF6"/>
    <w:rsid w:val="00CC4974"/>
    <w:rsid w:val="00CC5F1B"/>
    <w:rsid w:val="00CD0CCE"/>
    <w:rsid w:val="00CD2A77"/>
    <w:rsid w:val="00CD2DF4"/>
    <w:rsid w:val="00CD3C65"/>
    <w:rsid w:val="00CD4572"/>
    <w:rsid w:val="00CD464D"/>
    <w:rsid w:val="00CD51DF"/>
    <w:rsid w:val="00CD6140"/>
    <w:rsid w:val="00CD693C"/>
    <w:rsid w:val="00CD7401"/>
    <w:rsid w:val="00CD7E73"/>
    <w:rsid w:val="00CE307A"/>
    <w:rsid w:val="00CE39E2"/>
    <w:rsid w:val="00CE437D"/>
    <w:rsid w:val="00CE4D3A"/>
    <w:rsid w:val="00CE7678"/>
    <w:rsid w:val="00CF008F"/>
    <w:rsid w:val="00CF0C48"/>
    <w:rsid w:val="00CF0ECD"/>
    <w:rsid w:val="00CF1974"/>
    <w:rsid w:val="00CF44C5"/>
    <w:rsid w:val="00CF5F68"/>
    <w:rsid w:val="00CF7564"/>
    <w:rsid w:val="00D0027E"/>
    <w:rsid w:val="00D0158A"/>
    <w:rsid w:val="00D0215D"/>
    <w:rsid w:val="00D02736"/>
    <w:rsid w:val="00D0407C"/>
    <w:rsid w:val="00D05035"/>
    <w:rsid w:val="00D066D8"/>
    <w:rsid w:val="00D12EE7"/>
    <w:rsid w:val="00D149D4"/>
    <w:rsid w:val="00D15098"/>
    <w:rsid w:val="00D1775C"/>
    <w:rsid w:val="00D207ED"/>
    <w:rsid w:val="00D23A75"/>
    <w:rsid w:val="00D23AB8"/>
    <w:rsid w:val="00D23DA2"/>
    <w:rsid w:val="00D24D67"/>
    <w:rsid w:val="00D25179"/>
    <w:rsid w:val="00D261C3"/>
    <w:rsid w:val="00D26C41"/>
    <w:rsid w:val="00D275F4"/>
    <w:rsid w:val="00D31771"/>
    <w:rsid w:val="00D320D6"/>
    <w:rsid w:val="00D33105"/>
    <w:rsid w:val="00D3639F"/>
    <w:rsid w:val="00D37E09"/>
    <w:rsid w:val="00D40243"/>
    <w:rsid w:val="00D4051F"/>
    <w:rsid w:val="00D405AC"/>
    <w:rsid w:val="00D42112"/>
    <w:rsid w:val="00D444E0"/>
    <w:rsid w:val="00D44AC0"/>
    <w:rsid w:val="00D45639"/>
    <w:rsid w:val="00D4579A"/>
    <w:rsid w:val="00D45963"/>
    <w:rsid w:val="00D45F41"/>
    <w:rsid w:val="00D47562"/>
    <w:rsid w:val="00D477D1"/>
    <w:rsid w:val="00D5091E"/>
    <w:rsid w:val="00D51A00"/>
    <w:rsid w:val="00D525BD"/>
    <w:rsid w:val="00D53805"/>
    <w:rsid w:val="00D54FAC"/>
    <w:rsid w:val="00D564BD"/>
    <w:rsid w:val="00D571F6"/>
    <w:rsid w:val="00D61B9E"/>
    <w:rsid w:val="00D6240A"/>
    <w:rsid w:val="00D63652"/>
    <w:rsid w:val="00D657C4"/>
    <w:rsid w:val="00D66957"/>
    <w:rsid w:val="00D70E35"/>
    <w:rsid w:val="00D71ABC"/>
    <w:rsid w:val="00D71F27"/>
    <w:rsid w:val="00D72BA1"/>
    <w:rsid w:val="00D75C91"/>
    <w:rsid w:val="00D76086"/>
    <w:rsid w:val="00D766C2"/>
    <w:rsid w:val="00D76DA2"/>
    <w:rsid w:val="00D80D62"/>
    <w:rsid w:val="00D80F1C"/>
    <w:rsid w:val="00D83057"/>
    <w:rsid w:val="00D83160"/>
    <w:rsid w:val="00D840C3"/>
    <w:rsid w:val="00D863D3"/>
    <w:rsid w:val="00D86D63"/>
    <w:rsid w:val="00D90311"/>
    <w:rsid w:val="00D91B0A"/>
    <w:rsid w:val="00D93A70"/>
    <w:rsid w:val="00D96183"/>
    <w:rsid w:val="00D96B5A"/>
    <w:rsid w:val="00D96F63"/>
    <w:rsid w:val="00D97E4A"/>
    <w:rsid w:val="00DA6C03"/>
    <w:rsid w:val="00DA7FCC"/>
    <w:rsid w:val="00DB07F4"/>
    <w:rsid w:val="00DB128F"/>
    <w:rsid w:val="00DB20C3"/>
    <w:rsid w:val="00DB303E"/>
    <w:rsid w:val="00DB39CA"/>
    <w:rsid w:val="00DB4E25"/>
    <w:rsid w:val="00DB7222"/>
    <w:rsid w:val="00DB7910"/>
    <w:rsid w:val="00DC081C"/>
    <w:rsid w:val="00DC1CFE"/>
    <w:rsid w:val="00DC219E"/>
    <w:rsid w:val="00DC2B68"/>
    <w:rsid w:val="00DC2CB8"/>
    <w:rsid w:val="00DC3BBC"/>
    <w:rsid w:val="00DC4011"/>
    <w:rsid w:val="00DD056F"/>
    <w:rsid w:val="00DD0908"/>
    <w:rsid w:val="00DD1BDD"/>
    <w:rsid w:val="00DD1E1F"/>
    <w:rsid w:val="00DD2B50"/>
    <w:rsid w:val="00DD3076"/>
    <w:rsid w:val="00DD364A"/>
    <w:rsid w:val="00DD439B"/>
    <w:rsid w:val="00DD481F"/>
    <w:rsid w:val="00DD56F2"/>
    <w:rsid w:val="00DD6BAA"/>
    <w:rsid w:val="00DE0A4C"/>
    <w:rsid w:val="00DE1A4E"/>
    <w:rsid w:val="00DE23B8"/>
    <w:rsid w:val="00DE31DE"/>
    <w:rsid w:val="00DE571E"/>
    <w:rsid w:val="00DE5923"/>
    <w:rsid w:val="00DE5987"/>
    <w:rsid w:val="00DE6716"/>
    <w:rsid w:val="00DE7CEE"/>
    <w:rsid w:val="00DF074E"/>
    <w:rsid w:val="00DF2B46"/>
    <w:rsid w:val="00DF37D8"/>
    <w:rsid w:val="00DF3D56"/>
    <w:rsid w:val="00DF491C"/>
    <w:rsid w:val="00E048F1"/>
    <w:rsid w:val="00E06623"/>
    <w:rsid w:val="00E066B1"/>
    <w:rsid w:val="00E06E9D"/>
    <w:rsid w:val="00E07F03"/>
    <w:rsid w:val="00E133F8"/>
    <w:rsid w:val="00E1474E"/>
    <w:rsid w:val="00E15330"/>
    <w:rsid w:val="00E15B56"/>
    <w:rsid w:val="00E174D4"/>
    <w:rsid w:val="00E1764E"/>
    <w:rsid w:val="00E17F1D"/>
    <w:rsid w:val="00E2059B"/>
    <w:rsid w:val="00E209A5"/>
    <w:rsid w:val="00E22B42"/>
    <w:rsid w:val="00E22BEB"/>
    <w:rsid w:val="00E22E65"/>
    <w:rsid w:val="00E2327B"/>
    <w:rsid w:val="00E2551A"/>
    <w:rsid w:val="00E266F4"/>
    <w:rsid w:val="00E27FE9"/>
    <w:rsid w:val="00E31FC0"/>
    <w:rsid w:val="00E32273"/>
    <w:rsid w:val="00E33039"/>
    <w:rsid w:val="00E330A5"/>
    <w:rsid w:val="00E3628A"/>
    <w:rsid w:val="00E36EEC"/>
    <w:rsid w:val="00E37973"/>
    <w:rsid w:val="00E43879"/>
    <w:rsid w:val="00E44A5B"/>
    <w:rsid w:val="00E45734"/>
    <w:rsid w:val="00E46CCD"/>
    <w:rsid w:val="00E47292"/>
    <w:rsid w:val="00E47876"/>
    <w:rsid w:val="00E548A3"/>
    <w:rsid w:val="00E561AC"/>
    <w:rsid w:val="00E5693B"/>
    <w:rsid w:val="00E5751F"/>
    <w:rsid w:val="00E57DCB"/>
    <w:rsid w:val="00E60823"/>
    <w:rsid w:val="00E6511E"/>
    <w:rsid w:val="00E67A7D"/>
    <w:rsid w:val="00E70EB7"/>
    <w:rsid w:val="00E71BA4"/>
    <w:rsid w:val="00E7277E"/>
    <w:rsid w:val="00E72AE1"/>
    <w:rsid w:val="00E73A34"/>
    <w:rsid w:val="00E74C78"/>
    <w:rsid w:val="00E75305"/>
    <w:rsid w:val="00E7553D"/>
    <w:rsid w:val="00E76F0E"/>
    <w:rsid w:val="00E77E37"/>
    <w:rsid w:val="00E826A2"/>
    <w:rsid w:val="00E82B8B"/>
    <w:rsid w:val="00E82EDC"/>
    <w:rsid w:val="00E8416F"/>
    <w:rsid w:val="00E844FF"/>
    <w:rsid w:val="00E8462A"/>
    <w:rsid w:val="00E84983"/>
    <w:rsid w:val="00E84B06"/>
    <w:rsid w:val="00E86BB3"/>
    <w:rsid w:val="00E87D00"/>
    <w:rsid w:val="00E91E88"/>
    <w:rsid w:val="00E92997"/>
    <w:rsid w:val="00E934E1"/>
    <w:rsid w:val="00E93B63"/>
    <w:rsid w:val="00EA0225"/>
    <w:rsid w:val="00EA0F20"/>
    <w:rsid w:val="00EA1495"/>
    <w:rsid w:val="00EA30C5"/>
    <w:rsid w:val="00EA376F"/>
    <w:rsid w:val="00EA4453"/>
    <w:rsid w:val="00EA50AF"/>
    <w:rsid w:val="00EA5B59"/>
    <w:rsid w:val="00EA713B"/>
    <w:rsid w:val="00EA72BF"/>
    <w:rsid w:val="00EA76B5"/>
    <w:rsid w:val="00EA7CDD"/>
    <w:rsid w:val="00EB02FA"/>
    <w:rsid w:val="00EB49EA"/>
    <w:rsid w:val="00EB5B64"/>
    <w:rsid w:val="00EB63B2"/>
    <w:rsid w:val="00EB65BC"/>
    <w:rsid w:val="00EB68D5"/>
    <w:rsid w:val="00EB7DD4"/>
    <w:rsid w:val="00EB7EC6"/>
    <w:rsid w:val="00EC00BC"/>
    <w:rsid w:val="00EC0DBD"/>
    <w:rsid w:val="00EC119F"/>
    <w:rsid w:val="00EC66E8"/>
    <w:rsid w:val="00EC6B1D"/>
    <w:rsid w:val="00EC6F2C"/>
    <w:rsid w:val="00EC7683"/>
    <w:rsid w:val="00EC7CE4"/>
    <w:rsid w:val="00ED0159"/>
    <w:rsid w:val="00ED0969"/>
    <w:rsid w:val="00ED2016"/>
    <w:rsid w:val="00ED4794"/>
    <w:rsid w:val="00ED4A32"/>
    <w:rsid w:val="00ED5E0D"/>
    <w:rsid w:val="00ED63B2"/>
    <w:rsid w:val="00ED65D0"/>
    <w:rsid w:val="00EE4556"/>
    <w:rsid w:val="00EE6185"/>
    <w:rsid w:val="00EE64EC"/>
    <w:rsid w:val="00EF0B0C"/>
    <w:rsid w:val="00EF1812"/>
    <w:rsid w:val="00EF206A"/>
    <w:rsid w:val="00EF4640"/>
    <w:rsid w:val="00EF564C"/>
    <w:rsid w:val="00EF5812"/>
    <w:rsid w:val="00EF5C4E"/>
    <w:rsid w:val="00EF66FA"/>
    <w:rsid w:val="00EF71AC"/>
    <w:rsid w:val="00EF7317"/>
    <w:rsid w:val="00F00D9A"/>
    <w:rsid w:val="00F0157E"/>
    <w:rsid w:val="00F017AD"/>
    <w:rsid w:val="00F0232C"/>
    <w:rsid w:val="00F03620"/>
    <w:rsid w:val="00F0482E"/>
    <w:rsid w:val="00F04835"/>
    <w:rsid w:val="00F04BDE"/>
    <w:rsid w:val="00F07939"/>
    <w:rsid w:val="00F129DA"/>
    <w:rsid w:val="00F130B8"/>
    <w:rsid w:val="00F1546E"/>
    <w:rsid w:val="00F16642"/>
    <w:rsid w:val="00F172F9"/>
    <w:rsid w:val="00F17ECF"/>
    <w:rsid w:val="00F204E7"/>
    <w:rsid w:val="00F223A5"/>
    <w:rsid w:val="00F22790"/>
    <w:rsid w:val="00F229D3"/>
    <w:rsid w:val="00F25629"/>
    <w:rsid w:val="00F25D8F"/>
    <w:rsid w:val="00F26BDC"/>
    <w:rsid w:val="00F27903"/>
    <w:rsid w:val="00F3099B"/>
    <w:rsid w:val="00F31304"/>
    <w:rsid w:val="00F328C9"/>
    <w:rsid w:val="00F34C1B"/>
    <w:rsid w:val="00F34F56"/>
    <w:rsid w:val="00F40843"/>
    <w:rsid w:val="00F41780"/>
    <w:rsid w:val="00F42234"/>
    <w:rsid w:val="00F43D76"/>
    <w:rsid w:val="00F43DEC"/>
    <w:rsid w:val="00F43EA8"/>
    <w:rsid w:val="00F45897"/>
    <w:rsid w:val="00F47278"/>
    <w:rsid w:val="00F508DF"/>
    <w:rsid w:val="00F5266F"/>
    <w:rsid w:val="00F543A3"/>
    <w:rsid w:val="00F54F34"/>
    <w:rsid w:val="00F57454"/>
    <w:rsid w:val="00F61362"/>
    <w:rsid w:val="00F616A7"/>
    <w:rsid w:val="00F62444"/>
    <w:rsid w:val="00F62F3D"/>
    <w:rsid w:val="00F64824"/>
    <w:rsid w:val="00F6531E"/>
    <w:rsid w:val="00F667C0"/>
    <w:rsid w:val="00F66A7D"/>
    <w:rsid w:val="00F6773A"/>
    <w:rsid w:val="00F67E95"/>
    <w:rsid w:val="00F7006B"/>
    <w:rsid w:val="00F70795"/>
    <w:rsid w:val="00F72D65"/>
    <w:rsid w:val="00F73828"/>
    <w:rsid w:val="00F76BBE"/>
    <w:rsid w:val="00F80633"/>
    <w:rsid w:val="00F80901"/>
    <w:rsid w:val="00F80FAB"/>
    <w:rsid w:val="00F811B8"/>
    <w:rsid w:val="00F81828"/>
    <w:rsid w:val="00F82ADB"/>
    <w:rsid w:val="00F8332A"/>
    <w:rsid w:val="00F864FF"/>
    <w:rsid w:val="00F87AC5"/>
    <w:rsid w:val="00F9010C"/>
    <w:rsid w:val="00F90839"/>
    <w:rsid w:val="00F90C7B"/>
    <w:rsid w:val="00F91676"/>
    <w:rsid w:val="00F93DD0"/>
    <w:rsid w:val="00F97097"/>
    <w:rsid w:val="00F9714B"/>
    <w:rsid w:val="00F97153"/>
    <w:rsid w:val="00F97890"/>
    <w:rsid w:val="00FA079A"/>
    <w:rsid w:val="00FA3534"/>
    <w:rsid w:val="00FA48EF"/>
    <w:rsid w:val="00FA4A50"/>
    <w:rsid w:val="00FA4B80"/>
    <w:rsid w:val="00FB2B1E"/>
    <w:rsid w:val="00FB2F1F"/>
    <w:rsid w:val="00FB2F7A"/>
    <w:rsid w:val="00FB2FFC"/>
    <w:rsid w:val="00FB48D0"/>
    <w:rsid w:val="00FC25F0"/>
    <w:rsid w:val="00FC3380"/>
    <w:rsid w:val="00FC4A99"/>
    <w:rsid w:val="00FC5AE4"/>
    <w:rsid w:val="00FC676E"/>
    <w:rsid w:val="00FC6AE0"/>
    <w:rsid w:val="00FD0EB3"/>
    <w:rsid w:val="00FD23A1"/>
    <w:rsid w:val="00FD263A"/>
    <w:rsid w:val="00FD4A33"/>
    <w:rsid w:val="00FD64EE"/>
    <w:rsid w:val="00FD6727"/>
    <w:rsid w:val="00FD6D6B"/>
    <w:rsid w:val="00FD70A1"/>
    <w:rsid w:val="00FE0ACE"/>
    <w:rsid w:val="00FE12EF"/>
    <w:rsid w:val="00FE2AD5"/>
    <w:rsid w:val="00FE3A1B"/>
    <w:rsid w:val="00FE4EF8"/>
    <w:rsid w:val="00FE512A"/>
    <w:rsid w:val="00FE5EC0"/>
    <w:rsid w:val="00FE7712"/>
    <w:rsid w:val="00FE7B7A"/>
    <w:rsid w:val="00FF10D4"/>
    <w:rsid w:val="00FF18C8"/>
    <w:rsid w:val="00FF41C6"/>
    <w:rsid w:val="00FF429E"/>
    <w:rsid w:val="00FF51F1"/>
    <w:rsid w:val="00FF5205"/>
    <w:rsid w:val="00FF6345"/>
    <w:rsid w:val="00FF6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07C3E5"/>
  <w15:chartTrackingRefBased/>
  <w15:docId w15:val="{A35F15C1-9D4D-46F3-91FB-4812A1313F7B}"/>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Definition" w:semiHidden="1" w:unhideWhenUsed="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134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B1DBD"/>
    <w:pPr>
      <w:tabs>
        <w:tab w:val="center" w:pos="4320"/>
        <w:tab w:val="right" w:pos="8640"/>
      </w:tabs>
    </w:pPr>
  </w:style>
  <w:style w:type="paragraph" w:styleId="Title">
    <w:name w:val="Title"/>
    <w:basedOn w:val="Normal"/>
    <w:qFormat/>
    <w:rsid w:val="003B1DBD"/>
    <w:pPr>
      <w:jc w:val="center"/>
    </w:pPr>
    <w:rPr>
      <w:rFonts w:ascii="Helvetica" w:hAnsi="Helvetica"/>
      <w:b/>
      <w:szCs w:val="20"/>
    </w:rPr>
  </w:style>
  <w:style w:type="paragraph" w:styleId="Footer">
    <w:name w:val="footer"/>
    <w:basedOn w:val="Normal"/>
    <w:rsid w:val="003B1DBD"/>
    <w:pPr>
      <w:tabs>
        <w:tab w:val="center" w:pos="4320"/>
        <w:tab w:val="right" w:pos="8640"/>
      </w:tabs>
    </w:pPr>
  </w:style>
  <w:style w:type="character" w:styleId="PageNumber">
    <w:name w:val="page number"/>
    <w:basedOn w:val="DefaultParagraphFont"/>
    <w:rsid w:val="003B1DBD"/>
  </w:style>
  <w:style w:type="table" w:styleId="TableGrid">
    <w:name w:val="Table Grid"/>
    <w:basedOn w:val="TableNormal"/>
    <w:rsid w:val="009B78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4016C5"/>
    <w:rPr>
      <w:sz w:val="20"/>
      <w:szCs w:val="20"/>
    </w:rPr>
  </w:style>
  <w:style w:type="character" w:customStyle="1" w:styleId="FootnoteTextChar">
    <w:name w:val="Footnote Text Char"/>
    <w:basedOn w:val="DefaultParagraphFont"/>
    <w:link w:val="FootnoteText"/>
    <w:rsid w:val="004016C5"/>
  </w:style>
  <w:style w:type="character" w:styleId="FootnoteReference">
    <w:name w:val="footnote reference"/>
    <w:basedOn w:val="DefaultParagraphFont"/>
    <w:rsid w:val="004016C5"/>
    <w:rPr>
      <w:vertAlign w:val="superscript"/>
    </w:rPr>
  </w:style>
  <w:style w:type="paragraph" w:customStyle="1" w:styleId="Default">
    <w:name w:val="Default"/>
    <w:rsid w:val="004016C5"/>
    <w:pPr>
      <w:autoSpaceDE w:val="0"/>
      <w:autoSpaceDN w:val="0"/>
      <w:adjustRightInd w:val="0"/>
    </w:pPr>
    <w:rPr>
      <w:color w:val="000000"/>
      <w:sz w:val="24"/>
      <w:szCs w:val="24"/>
    </w:rPr>
  </w:style>
  <w:style w:type="character" w:styleId="Hyperlink">
    <w:name w:val="Hyperlink"/>
    <w:basedOn w:val="DefaultParagraphFont"/>
    <w:rsid w:val="004016C5"/>
    <w:rPr>
      <w:color w:val="0563C1" w:themeColor="hyperlink"/>
      <w:u w:val="single"/>
    </w:rPr>
  </w:style>
  <w:style w:type="character" w:customStyle="1" w:styleId="UnresolvedMention1">
    <w:name w:val="Unresolved Mention1"/>
    <w:basedOn w:val="DefaultParagraphFont"/>
    <w:uiPriority w:val="99"/>
    <w:semiHidden/>
    <w:unhideWhenUsed/>
    <w:rsid w:val="004016C5"/>
    <w:rPr>
      <w:color w:val="605E5C"/>
      <w:shd w:val="clear" w:color="auto" w:fill="E1DFDD"/>
    </w:rPr>
  </w:style>
  <w:style w:type="character" w:customStyle="1" w:styleId="st">
    <w:name w:val="st"/>
    <w:rsid w:val="00334A5A"/>
  </w:style>
  <w:style w:type="character" w:styleId="CommentReference">
    <w:name w:val="annotation reference"/>
    <w:basedOn w:val="DefaultParagraphFont"/>
    <w:rsid w:val="00F8332A"/>
    <w:rPr>
      <w:sz w:val="16"/>
      <w:szCs w:val="16"/>
    </w:rPr>
  </w:style>
  <w:style w:type="paragraph" w:styleId="CommentText">
    <w:name w:val="annotation text"/>
    <w:basedOn w:val="Normal"/>
    <w:link w:val="CommentTextChar"/>
    <w:rsid w:val="00F8332A"/>
    <w:rPr>
      <w:sz w:val="20"/>
      <w:szCs w:val="20"/>
    </w:rPr>
  </w:style>
  <w:style w:type="character" w:customStyle="1" w:styleId="CommentTextChar">
    <w:name w:val="Comment Text Char"/>
    <w:basedOn w:val="DefaultParagraphFont"/>
    <w:link w:val="CommentText"/>
    <w:rsid w:val="00F8332A"/>
  </w:style>
  <w:style w:type="paragraph" w:styleId="CommentSubject">
    <w:name w:val="annotation subject"/>
    <w:basedOn w:val="CommentText"/>
    <w:next w:val="CommentText"/>
    <w:link w:val="CommentSubjectChar"/>
    <w:semiHidden/>
    <w:unhideWhenUsed/>
    <w:rsid w:val="00F8332A"/>
    <w:rPr>
      <w:b/>
      <w:bCs/>
    </w:rPr>
  </w:style>
  <w:style w:type="character" w:customStyle="1" w:styleId="CommentSubjectChar">
    <w:name w:val="Comment Subject Char"/>
    <w:basedOn w:val="CommentTextChar"/>
    <w:link w:val="CommentSubject"/>
    <w:semiHidden/>
    <w:rsid w:val="00F8332A"/>
    <w:rPr>
      <w:b/>
      <w:bCs/>
    </w:rPr>
  </w:style>
  <w:style w:type="paragraph" w:styleId="BalloonText">
    <w:name w:val="Balloon Text"/>
    <w:basedOn w:val="Normal"/>
    <w:link w:val="BalloonTextChar"/>
    <w:semiHidden/>
    <w:unhideWhenUsed/>
    <w:rsid w:val="00F8332A"/>
    <w:rPr>
      <w:rFonts w:ascii="Segoe UI" w:hAnsi="Segoe UI" w:cs="Segoe UI"/>
      <w:sz w:val="18"/>
      <w:szCs w:val="18"/>
    </w:rPr>
  </w:style>
  <w:style w:type="character" w:customStyle="1" w:styleId="BalloonTextChar">
    <w:name w:val="Balloon Text Char"/>
    <w:basedOn w:val="DefaultParagraphFont"/>
    <w:link w:val="BalloonText"/>
    <w:semiHidden/>
    <w:rsid w:val="00F8332A"/>
    <w:rPr>
      <w:rFonts w:ascii="Segoe UI" w:hAnsi="Segoe UI" w:cs="Segoe UI"/>
      <w:sz w:val="18"/>
      <w:szCs w:val="18"/>
    </w:rPr>
  </w:style>
  <w:style w:type="paragraph" w:customStyle="1" w:styleId="info-detail">
    <w:name w:val="info-detail"/>
    <w:basedOn w:val="Normal"/>
    <w:rsid w:val="00D42112"/>
    <w:pPr>
      <w:spacing w:before="100" w:beforeAutospacing="1" w:after="100" w:afterAutospacing="1"/>
    </w:pPr>
  </w:style>
  <w:style w:type="paragraph" w:styleId="ListParagraph">
    <w:name w:val="List Paragraph"/>
    <w:basedOn w:val="Normal"/>
    <w:uiPriority w:val="34"/>
    <w:qFormat/>
    <w:rsid w:val="00CE30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3022931">
      <w:bodyDiv w:val="1"/>
      <w:marLeft w:val="0"/>
      <w:marRight w:val="0"/>
      <w:marTop w:val="0"/>
      <w:marBottom w:val="0"/>
      <w:divBdr>
        <w:top w:val="none" w:sz="0" w:space="0" w:color="auto"/>
        <w:left w:val="none" w:sz="0" w:space="0" w:color="auto"/>
        <w:bottom w:val="none" w:sz="0" w:space="0" w:color="auto"/>
        <w:right w:val="none" w:sz="0" w:space="0" w:color="auto"/>
      </w:divBdr>
      <w:divsChild>
        <w:div w:id="1238396028">
          <w:marLeft w:val="0"/>
          <w:marRight w:val="0"/>
          <w:marTop w:val="0"/>
          <w:marBottom w:val="0"/>
          <w:divBdr>
            <w:top w:val="none" w:sz="0" w:space="0" w:color="auto"/>
            <w:left w:val="none" w:sz="0" w:space="0" w:color="auto"/>
            <w:bottom w:val="none" w:sz="0" w:space="0" w:color="auto"/>
            <w:right w:val="none" w:sz="0" w:space="0" w:color="auto"/>
          </w:divBdr>
          <w:divsChild>
            <w:div w:id="3404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sf5filesrv5\Communications\Numbering\211\Implementation\Disaster-only%202-1-1\Resolution\www.cpuc.ca.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docs.cpuc.ca.gov/PublishedDocs/Published/G000/M200/K267/200267980.PDF" TargetMode="External"/><Relationship Id="rId2" Type="http://schemas.openxmlformats.org/officeDocument/2006/relationships/hyperlink" Target="http://docs.cpuc.ca.gov/PublishedDocs/WORD_PDF/FINAL_DECISION/143224.PDF" TargetMode="External"/><Relationship Id="rId1" Type="http://schemas.openxmlformats.org/officeDocument/2006/relationships/hyperlink" Target="http://docs.cpuc.ca.gov/word_pdf/FINAL_DECISION/23645.pdf" TargetMode="External"/><Relationship Id="rId4" Type="http://schemas.openxmlformats.org/officeDocument/2006/relationships/hyperlink" Target="http://docs.cpuc.ca.gov/PublishedDocs/Published/G000/M270/K263/27026355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42F80-CC08-42EE-BAE2-BAF79B11E703}">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16</ap:Pages>
  <ap:Words>5072</ap:Words>
  <ap:Characters>28912</ap:Characters>
  <ap:Application>Microsoft Office Word</ap:Application>
  <ap:DocSecurity>0</ap:DocSecurity>
  <ap:Lines>240</ap:Lines>
  <ap:Paragraphs>67</ap:Paragraphs>
  <ap:ScaleCrop>false</ap:ScaleCrop>
  <ap:HeadingPairs>
    <vt:vector baseType="variant" size="2">
      <vt:variant>
        <vt:lpstr>Title</vt:lpstr>
      </vt:variant>
      <vt:variant>
        <vt:i4>1</vt:i4>
      </vt:variant>
    </vt:vector>
  </ap:HeadingPairs>
  <ap:TitlesOfParts>
    <vt:vector baseType="lpstr" size="1">
      <vt:lpstr>PUBLIC UTILITIES COMMISSION OF THE STATE OF CALIFORNIA</vt:lpstr>
    </vt:vector>
  </ap:TitlesOfParts>
  <ap:Company/>
  <ap:LinksUpToDate>false</ap:LinksUpToDate>
  <ap:CharactersWithSpaces>33917</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2019-11-12T17:21:00Z</cp:lastPrinted>
  <dcterms:created xsi:type="dcterms:W3CDTF">2019-11-12T12:51:54Z</dcterms:created>
  <dcterms:modified xsi:type="dcterms:W3CDTF">2019-11-12T12:51:54Z</dcterms:modified>
</cp:coreProperties>
</file>