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57F" w:rsidP="00BA457F" w:rsidRDefault="00BA457F" w14:paraId="0750BB2E" w14:textId="77777777">
      <w:pPr>
        <w:pBdr>
          <w:bottom w:val="double" w:color="auto" w:sz="6" w:space="1"/>
        </w:pBdr>
        <w:tabs>
          <w:tab w:val="right" w:pos="11070"/>
        </w:tabs>
        <w:rPr>
          <w:rFonts w:ascii="Arial" w:hAnsi="Arial"/>
          <w:i/>
        </w:rPr>
      </w:pPr>
      <w:r>
        <w:rPr>
          <w:rFonts w:ascii="Arial" w:hAnsi="Arial"/>
          <w:sz w:val="16"/>
        </w:rPr>
        <w:t xml:space="preserve">STATE OF CALIFORNIA                                                                                           </w:t>
      </w:r>
      <w:r>
        <w:rPr>
          <w:rFonts w:ascii="Arial" w:hAnsi="Arial"/>
          <w:sz w:val="16"/>
        </w:rPr>
        <w:tab/>
        <w:t xml:space="preserve">                                 GAVIN NEWSOM,</w:t>
      </w:r>
      <w:r>
        <w:rPr>
          <w:rFonts w:ascii="Arial" w:hAnsi="Arial"/>
        </w:rPr>
        <w:t xml:space="preserve"> </w:t>
      </w:r>
      <w:r>
        <w:rPr>
          <w:rFonts w:ascii="Arial" w:hAnsi="Arial"/>
          <w:i/>
          <w:sz w:val="16"/>
        </w:rPr>
        <w:t>Governor</w:t>
      </w:r>
    </w:p>
    <w:p w:rsidR="00BA457F" w:rsidP="00BA457F" w:rsidRDefault="00BA457F" w14:paraId="3F2986E3" w14:textId="77777777">
      <w:pPr>
        <w:tabs>
          <w:tab w:val="right" w:pos="11070"/>
        </w:tabs>
        <w:spacing w:before="80"/>
        <w:rPr>
          <w:rFonts w:ascii="Arial" w:hAnsi="Arial"/>
        </w:rPr>
      </w:pPr>
      <w:r>
        <w:rPr>
          <w:rFonts w:ascii="Arial" w:hAnsi="Arial"/>
        </w:rPr>
        <w:t>PUBLIC UTILITIES COMMISSION</w:t>
      </w:r>
    </w:p>
    <w:p w:rsidR="00BA457F" w:rsidP="00BA457F" w:rsidRDefault="00BA457F" w14:paraId="37288EA1" w14:textId="77777777">
      <w:pPr>
        <w:tabs>
          <w:tab w:val="right" w:pos="11070"/>
        </w:tabs>
        <w:spacing w:before="80"/>
        <w:rPr>
          <w:rFonts w:ascii="Arial" w:hAnsi="Arial"/>
          <w:sz w:val="12"/>
        </w:rPr>
      </w:pPr>
      <w:smartTag w:uri="urn:schemas-microsoft-com:office:smarttags" w:element="Street">
        <w:smartTag w:uri="urn:schemas-microsoft-com:office:smarttags" w:element="address">
          <w:r>
            <w:rPr>
              <w:rFonts w:ascii="Arial" w:hAnsi="Arial"/>
              <w:sz w:val="12"/>
            </w:rPr>
            <w:t>505 VAN NESS AVENUE</w:t>
          </w:r>
        </w:smartTag>
      </w:smartTag>
    </w:p>
    <w:p w:rsidR="00BA457F" w:rsidP="00BA457F" w:rsidRDefault="00BA457F" w14:paraId="29F47A00" w14:textId="77777777">
      <w:pPr>
        <w:tabs>
          <w:tab w:val="right" w:pos="11070"/>
        </w:tabs>
        <w:spacing w:before="80"/>
        <w:rPr>
          <w:rFonts w:ascii="Arial" w:hAnsi="Arial"/>
          <w:sz w:val="12"/>
        </w:rPr>
      </w:pPr>
      <w:smartTag w:uri="urn:schemas-microsoft-com:office:smarttags" w:element="place">
        <w:smartTag w:uri="urn:schemas-microsoft-com:office:smarttags" w:element="City">
          <w:r>
            <w:rPr>
              <w:rFonts w:ascii="Arial" w:hAnsi="Arial"/>
              <w:sz w:val="12"/>
            </w:rPr>
            <w:t>SAN FRANCISCO</w:t>
          </w:r>
        </w:smartTag>
        <w:r>
          <w:rPr>
            <w:rFonts w:ascii="Arial" w:hAnsi="Arial"/>
            <w:sz w:val="12"/>
          </w:rPr>
          <w:t xml:space="preserve">, </w:t>
        </w:r>
        <w:smartTag w:uri="urn:schemas-microsoft-com:office:smarttags" w:element="State">
          <w:r>
            <w:rPr>
              <w:rFonts w:ascii="Arial" w:hAnsi="Arial"/>
              <w:sz w:val="12"/>
            </w:rPr>
            <w:t>CA</w:t>
          </w:r>
        </w:smartTag>
        <w:r>
          <w:rPr>
            <w:rFonts w:ascii="Arial" w:hAnsi="Arial"/>
            <w:sz w:val="12"/>
          </w:rPr>
          <w:t xml:space="preserve"> </w:t>
        </w:r>
        <w:smartTag w:uri="urn:schemas-microsoft-com:office:smarttags" w:element="PostalCode">
          <w:r>
            <w:rPr>
              <w:rFonts w:ascii="Arial" w:hAnsi="Arial"/>
              <w:sz w:val="12"/>
            </w:rPr>
            <w:t>94102-3298</w:t>
          </w:r>
        </w:smartTag>
      </w:smartTag>
    </w:p>
    <w:p w:rsidR="00BA457F" w:rsidP="00BA457F" w:rsidRDefault="00BA457F" w14:paraId="22F91EBB" w14:textId="77777777">
      <w:pPr>
        <w:tabs>
          <w:tab w:val="left" w:pos="6930"/>
        </w:tabs>
        <w:ind w:left="547" w:right="1282"/>
        <w:rPr>
          <w:rFonts w:ascii="Arial" w:hAnsi="Arial"/>
          <w:sz w:val="16"/>
        </w:rPr>
      </w:pPr>
    </w:p>
    <w:p w:rsidR="00BA457F" w:rsidP="00BA457F" w:rsidRDefault="00BA457F" w14:paraId="4A1C9F69" w14:textId="77777777">
      <w:pPr>
        <w:tabs>
          <w:tab w:val="left" w:pos="6930"/>
        </w:tabs>
        <w:ind w:left="547" w:right="1282"/>
      </w:pPr>
    </w:p>
    <w:p w:rsidR="00BA457F" w:rsidP="00BA457F" w:rsidRDefault="00BA457F" w14:paraId="471C50D1" w14:textId="77777777">
      <w:pPr>
        <w:tabs>
          <w:tab w:val="left" w:pos="6930"/>
        </w:tabs>
        <w:ind w:left="547" w:right="1282"/>
      </w:pPr>
    </w:p>
    <w:p w:rsidR="00BA457F" w:rsidP="00BA457F" w:rsidRDefault="00BA457F" w14:paraId="24553B51" w14:textId="77777777">
      <w:pPr>
        <w:sectPr w:rsidR="00BA457F">
          <w:headerReference w:type="even" r:id="rId11"/>
          <w:headerReference w:type="default" r:id="rId12"/>
          <w:footerReference w:type="even" r:id="rId13"/>
          <w:footerReference w:type="default" r:id="rId14"/>
          <w:headerReference w:type="first" r:id="rId15"/>
          <w:footerReference w:type="first" r:id="rId16"/>
          <w:pgSz w:w="12240" w:h="15840"/>
          <w:pgMar w:top="720" w:right="576" w:bottom="720" w:left="576" w:header="720" w:footer="720" w:gutter="0"/>
          <w:cols w:space="720"/>
        </w:sectPr>
      </w:pPr>
    </w:p>
    <w:p w:rsidR="00BA457F" w:rsidP="00BA457F" w:rsidRDefault="00BA457F" w14:paraId="74D160A6" w14:textId="77777777">
      <w:pPr>
        <w:tabs>
          <w:tab w:val="right" w:pos="9360"/>
        </w:tabs>
        <w:rPr>
          <w:szCs w:val="24"/>
        </w:rPr>
      </w:pPr>
      <w:r>
        <w:rPr>
          <w:szCs w:val="24"/>
        </w:rPr>
        <w:t>January 3, 2020</w:t>
      </w:r>
      <w:r>
        <w:rPr>
          <w:szCs w:val="24"/>
        </w:rPr>
        <w:tab/>
        <w:t>Agenda ID #18072</w:t>
      </w:r>
    </w:p>
    <w:p w:rsidR="00BA457F" w:rsidP="00BA457F" w:rsidRDefault="00BA457F" w14:paraId="1F75B26C" w14:textId="77777777">
      <w:pPr>
        <w:tabs>
          <w:tab w:val="right" w:pos="9360"/>
        </w:tabs>
        <w:rPr>
          <w:szCs w:val="24"/>
        </w:rPr>
      </w:pPr>
      <w:r>
        <w:rPr>
          <w:szCs w:val="24"/>
        </w:rPr>
        <w:tab/>
        <w:t>Alternate to Agenda ID #17707</w:t>
      </w:r>
    </w:p>
    <w:p w:rsidR="00BA457F" w:rsidP="00BA457F" w:rsidRDefault="00BA457F" w14:paraId="014AA54A" w14:textId="77777777"/>
    <w:p w:rsidR="00BA457F" w:rsidP="00BA457F" w:rsidRDefault="00BA457F" w14:paraId="27B3C95F" w14:textId="77777777"/>
    <w:p w:rsidR="00BA457F" w:rsidP="00BA457F" w:rsidRDefault="00BA457F" w14:paraId="374111E9" w14:textId="77777777">
      <w:pPr>
        <w:rPr>
          <w:u w:val="single"/>
        </w:rPr>
      </w:pPr>
      <w:r>
        <w:t>TO PARTIES OF RECORD IN ALTERNATE RESOLUTION ALJ-371</w:t>
      </w:r>
    </w:p>
    <w:p w:rsidR="00BA457F" w:rsidP="00BA457F" w:rsidRDefault="00BA457F" w14:paraId="5658F92A" w14:textId="77777777"/>
    <w:p w:rsidR="00BA457F" w:rsidP="00BA457F" w:rsidRDefault="00BA457F" w14:paraId="2E5B966D" w14:textId="77777777">
      <w:pPr>
        <w:pStyle w:val="BodyText"/>
        <w:ind w:right="360"/>
        <w:rPr>
          <w:szCs w:val="24"/>
        </w:rPr>
      </w:pPr>
      <w:r>
        <w:rPr>
          <w:szCs w:val="24"/>
        </w:rPr>
        <w:t>Enclosed is the Alternate Resolution of Commissioner Randolph to the Draft Resolution of Administrative Law Judge (ALJ) Yacknin previously mailed to you.  This cover letter explains the comment and review period and provides a digest of the alternate resolution.</w:t>
      </w:r>
    </w:p>
    <w:p w:rsidR="00BA457F" w:rsidP="00BA457F" w:rsidRDefault="00BA457F" w14:paraId="0AA6A918" w14:textId="77777777"/>
    <w:p w:rsidR="00BA457F" w:rsidP="00BA457F" w:rsidRDefault="00BA457F" w14:paraId="36B1BADC" w14:textId="77777777">
      <w:pPr>
        <w:rPr>
          <w:szCs w:val="24"/>
        </w:rPr>
      </w:pPr>
      <w:r>
        <w:rPr>
          <w:szCs w:val="24"/>
        </w:rPr>
        <w:t>When the Commission acts on the alternate resolution, it may adopt all or part of it as written, amend or modify it, or set it aside and prepare its own order.  Only when the Commission acts does the alternate resolution become binding on the parties.</w:t>
      </w:r>
    </w:p>
    <w:p w:rsidR="00BA457F" w:rsidP="00BA457F" w:rsidRDefault="00BA457F" w14:paraId="5B5A6C27" w14:textId="77777777">
      <w:pPr>
        <w:rPr>
          <w:szCs w:val="24"/>
        </w:rPr>
      </w:pPr>
    </w:p>
    <w:p w:rsidR="00BA457F" w:rsidP="00BA457F" w:rsidRDefault="00BA457F" w14:paraId="36F3F307" w14:textId="77777777">
      <w:pPr>
        <w:ind w:right="360"/>
        <w:rPr>
          <w:szCs w:val="24"/>
        </w:rPr>
      </w:pPr>
      <w:r>
        <w:rPr>
          <w:szCs w:val="24"/>
        </w:rPr>
        <w:t xml:space="preserve">Public Utilities Code Section 311(e) requires that an alternate to a draft resolution or to a decision subject to subdivision (g) be served on all </w:t>
      </w:r>
      <w:proofErr w:type="gramStart"/>
      <w:r>
        <w:rPr>
          <w:szCs w:val="24"/>
        </w:rPr>
        <w:t>parties, and</w:t>
      </w:r>
      <w:proofErr w:type="gramEnd"/>
      <w:r>
        <w:rPr>
          <w:szCs w:val="24"/>
        </w:rPr>
        <w:t xml:space="preserve"> be subject to public review and comment prior to a vote of the Commission.</w:t>
      </w:r>
    </w:p>
    <w:p w:rsidR="00BA457F" w:rsidP="00BA457F" w:rsidRDefault="00BA457F" w14:paraId="47BF2BBC" w14:textId="77777777">
      <w:pPr>
        <w:rPr>
          <w:szCs w:val="24"/>
        </w:rPr>
      </w:pPr>
    </w:p>
    <w:p w:rsidR="00BA457F" w:rsidP="00BA457F" w:rsidRDefault="00BA457F" w14:paraId="0BFD9D1F" w14:textId="77777777">
      <w:pPr>
        <w:rPr>
          <w:szCs w:val="24"/>
        </w:rPr>
      </w:pPr>
      <w:r>
        <w:rPr>
          <w:szCs w:val="24"/>
        </w:rPr>
        <w:t xml:space="preserve">You may serve comments on the alternate resolution.  Opening comments shall be served no later than </w:t>
      </w:r>
      <w:proofErr w:type="gramStart"/>
      <w:r>
        <w:rPr>
          <w:szCs w:val="24"/>
        </w:rPr>
        <w:t>January 27, 2020, and</w:t>
      </w:r>
      <w:proofErr w:type="gramEnd"/>
      <w:r>
        <w:rPr>
          <w:szCs w:val="24"/>
        </w:rPr>
        <w:t xml:space="preserve"> reply comments shall be served no later than February 3, 2020.  Service is required on all persons on the attached service list and comments shall be served consistent with the requirements of Pub. Util. Code § 311(g) and Rule 14.5 of the Rules of Practice and Procedure.  </w:t>
      </w:r>
    </w:p>
    <w:p w:rsidR="00BA457F" w:rsidP="00BA457F" w:rsidRDefault="00BA457F" w14:paraId="1B816F3A" w14:textId="77777777">
      <w:pPr>
        <w:rPr>
          <w:szCs w:val="24"/>
        </w:rPr>
      </w:pPr>
    </w:p>
    <w:p w:rsidR="00BA457F" w:rsidP="00BA457F" w:rsidRDefault="00BA457F" w14:paraId="4F94CA0D" w14:textId="77777777">
      <w:pPr>
        <w:rPr>
          <w:szCs w:val="24"/>
        </w:rPr>
      </w:pPr>
      <w:r>
        <w:rPr>
          <w:szCs w:val="24"/>
        </w:rPr>
        <w:t>Finally, comments must be served separately on Administrative Law Judge Yacknin at hsy@cpuc.ca.gov</w:t>
      </w:r>
      <w:r>
        <w:rPr>
          <w:bCs/>
          <w:szCs w:val="24"/>
        </w:rPr>
        <w:t xml:space="preserve"> and Commissioner Randolph’s advisor, Mark A. Smith, at msh@cpuc.ca.gov.  F</w:t>
      </w:r>
      <w:r>
        <w:rPr>
          <w:szCs w:val="24"/>
        </w:rPr>
        <w:t xml:space="preserve">or that </w:t>
      </w:r>
      <w:proofErr w:type="gramStart"/>
      <w:r>
        <w:rPr>
          <w:szCs w:val="24"/>
        </w:rPr>
        <w:t>purpose</w:t>
      </w:r>
      <w:proofErr w:type="gramEnd"/>
      <w:r>
        <w:rPr>
          <w:szCs w:val="24"/>
        </w:rPr>
        <w:t xml:space="preserve"> I suggest hand delivery, overnight mail, or other expeditious method of service. </w:t>
      </w:r>
    </w:p>
    <w:p w:rsidR="00BA457F" w:rsidP="00BA457F" w:rsidRDefault="00BA457F" w14:paraId="1A184797" w14:textId="77777777">
      <w:pPr>
        <w:rPr>
          <w:szCs w:val="24"/>
        </w:rPr>
      </w:pPr>
    </w:p>
    <w:p w:rsidR="00BA457F" w:rsidP="00BA457F" w:rsidRDefault="00BA457F" w14:paraId="307F30CA" w14:textId="77777777">
      <w:pPr>
        <w:rPr>
          <w:szCs w:val="24"/>
        </w:rPr>
      </w:pPr>
    </w:p>
    <w:p w:rsidR="00BA457F" w:rsidP="00BA457F" w:rsidRDefault="00BA457F" w14:paraId="1A7F936C" w14:textId="77777777">
      <w:pPr>
        <w:rPr>
          <w:szCs w:val="24"/>
        </w:rPr>
      </w:pPr>
    </w:p>
    <w:p w:rsidRPr="00D477C6" w:rsidR="00BA457F" w:rsidP="00BA457F" w:rsidRDefault="00BA457F" w14:paraId="2B474823" w14:textId="77777777">
      <w:pPr>
        <w:ind w:right="360"/>
        <w:rPr>
          <w:szCs w:val="24"/>
        </w:rPr>
      </w:pPr>
      <w:r w:rsidRPr="00D477C6">
        <w:rPr>
          <w:szCs w:val="24"/>
          <w:u w:val="single"/>
        </w:rPr>
        <w:t>/s</w:t>
      </w:r>
      <w:proofErr w:type="gramStart"/>
      <w:r w:rsidRPr="00D477C6">
        <w:rPr>
          <w:szCs w:val="24"/>
          <w:u w:val="single"/>
        </w:rPr>
        <w:t>/  JEANNE</w:t>
      </w:r>
      <w:proofErr w:type="gramEnd"/>
      <w:r w:rsidRPr="00D477C6">
        <w:rPr>
          <w:szCs w:val="24"/>
          <w:u w:val="single"/>
        </w:rPr>
        <w:t xml:space="preserve"> McKINNEY</w:t>
      </w:r>
      <w:r>
        <w:rPr>
          <w:szCs w:val="24"/>
        </w:rPr>
        <w:t xml:space="preserve"> for</w:t>
      </w:r>
    </w:p>
    <w:p w:rsidR="00BA457F" w:rsidP="00BA457F" w:rsidRDefault="00BA457F" w14:paraId="68A73F81" w14:textId="77777777">
      <w:pPr>
        <w:ind w:right="360"/>
        <w:rPr>
          <w:szCs w:val="24"/>
        </w:rPr>
      </w:pPr>
      <w:r>
        <w:rPr>
          <w:szCs w:val="24"/>
        </w:rPr>
        <w:t>Anne E. Simon</w:t>
      </w:r>
    </w:p>
    <w:p w:rsidR="00BA457F" w:rsidP="00BA457F" w:rsidRDefault="00BA457F" w14:paraId="733C1B11" w14:textId="77777777">
      <w:pPr>
        <w:ind w:right="360"/>
        <w:rPr>
          <w:szCs w:val="24"/>
        </w:rPr>
      </w:pPr>
      <w:r>
        <w:rPr>
          <w:szCs w:val="24"/>
        </w:rPr>
        <w:t>Chief Administrative Law Judge</w:t>
      </w:r>
    </w:p>
    <w:p w:rsidR="00BA457F" w:rsidP="00BA457F" w:rsidRDefault="00BA457F" w14:paraId="63E747E5" w14:textId="77777777">
      <w:pPr>
        <w:rPr>
          <w:szCs w:val="24"/>
        </w:rPr>
      </w:pPr>
    </w:p>
    <w:p w:rsidR="00BA457F" w:rsidP="00BA457F" w:rsidRDefault="00BA457F" w14:paraId="3ABE0B9C" w14:textId="77777777">
      <w:pPr>
        <w:outlineLvl w:val="0"/>
        <w:rPr>
          <w:szCs w:val="24"/>
          <w:u w:val="single"/>
        </w:rPr>
      </w:pPr>
      <w:r>
        <w:rPr>
          <w:szCs w:val="24"/>
        </w:rPr>
        <w:t>AES: jt2</w:t>
      </w:r>
    </w:p>
    <w:p w:rsidR="00BA457F" w:rsidP="00BA457F" w:rsidRDefault="00BA457F" w14:paraId="27D03D56" w14:textId="77777777">
      <w:pPr>
        <w:outlineLvl w:val="0"/>
      </w:pPr>
    </w:p>
    <w:p w:rsidR="00BA457F" w:rsidP="00BA457F" w:rsidRDefault="00BA457F" w14:paraId="7ACDC1AA" w14:textId="77777777">
      <w:pPr>
        <w:rPr>
          <w:szCs w:val="24"/>
        </w:rPr>
        <w:sectPr w:rsidR="00BA457F">
          <w:footerReference w:type="default" r:id="rId17"/>
          <w:type w:val="continuous"/>
          <w:pgSz w:w="12240" w:h="15840"/>
          <w:pgMar w:top="2160" w:right="1440" w:bottom="1440" w:left="1440" w:header="720" w:footer="720" w:gutter="0"/>
          <w:cols w:space="720"/>
        </w:sectPr>
      </w:pPr>
      <w:r>
        <w:rPr>
          <w:szCs w:val="24"/>
        </w:rPr>
        <w:t>Attachments</w:t>
      </w:r>
    </w:p>
    <w:p w:rsidR="00BA457F" w:rsidP="00BA457F" w:rsidRDefault="00BA457F" w14:paraId="428B8427" w14:textId="77777777">
      <w:pPr>
        <w:jc w:val="center"/>
        <w:rPr>
          <w:b/>
          <w:szCs w:val="24"/>
        </w:rPr>
      </w:pPr>
      <w:r>
        <w:rPr>
          <w:b/>
          <w:szCs w:val="24"/>
        </w:rPr>
        <w:lastRenderedPageBreak/>
        <w:t>ATTACHMENT</w:t>
      </w:r>
    </w:p>
    <w:p w:rsidR="00BA457F" w:rsidP="00BA457F" w:rsidRDefault="00BA457F" w14:paraId="7D59AD7F" w14:textId="77777777">
      <w:pPr>
        <w:tabs>
          <w:tab w:val="right" w:pos="9180"/>
        </w:tabs>
        <w:rPr>
          <w:b/>
          <w:spacing w:val="20"/>
          <w:sz w:val="22"/>
        </w:rPr>
      </w:pPr>
    </w:p>
    <w:p w:rsidR="00BA457F" w:rsidP="00BA457F" w:rsidRDefault="00BA457F" w14:paraId="7461DF77" w14:textId="77777777">
      <w:pPr>
        <w:tabs>
          <w:tab w:val="right" w:pos="9180"/>
        </w:tabs>
        <w:rPr>
          <w:b/>
          <w:spacing w:val="20"/>
          <w:sz w:val="22"/>
        </w:rPr>
      </w:pPr>
    </w:p>
    <w:p w:rsidR="00BA457F" w:rsidP="00BA457F" w:rsidRDefault="00BA457F" w14:paraId="69C6BBA8" w14:textId="77777777">
      <w:pPr>
        <w:pStyle w:val="Header"/>
        <w:tabs>
          <w:tab w:val="clear" w:pos="8640"/>
          <w:tab w:val="left" w:pos="7560"/>
        </w:tabs>
        <w:jc w:val="right"/>
        <w:rPr>
          <w:sz w:val="20"/>
        </w:rPr>
      </w:pPr>
      <w:r>
        <w:rPr>
          <w:sz w:val="20"/>
        </w:rPr>
        <w:t>Agenda ID #18072</w:t>
      </w:r>
    </w:p>
    <w:p w:rsidR="00BA457F" w:rsidP="00BA457F" w:rsidRDefault="00BA457F" w14:paraId="081A1DBC" w14:textId="77777777">
      <w:pPr>
        <w:pStyle w:val="Header"/>
        <w:tabs>
          <w:tab w:val="clear" w:pos="8640"/>
          <w:tab w:val="left" w:pos="7560"/>
        </w:tabs>
        <w:jc w:val="right"/>
        <w:rPr>
          <w:sz w:val="20"/>
        </w:rPr>
      </w:pPr>
      <w:r>
        <w:rPr>
          <w:sz w:val="20"/>
        </w:rPr>
        <w:t>Alternate to Agenda ID #17707</w:t>
      </w:r>
    </w:p>
    <w:p w:rsidR="00BA457F" w:rsidP="00BA457F" w:rsidRDefault="00BA457F" w14:paraId="6CF378E1" w14:textId="77777777">
      <w:pPr>
        <w:pStyle w:val="Header"/>
        <w:tabs>
          <w:tab w:val="clear" w:pos="8640"/>
          <w:tab w:val="left" w:pos="7560"/>
        </w:tabs>
        <w:jc w:val="right"/>
        <w:rPr>
          <w:sz w:val="20"/>
        </w:rPr>
      </w:pPr>
      <w:r>
        <w:rPr>
          <w:sz w:val="20"/>
        </w:rPr>
        <w:t>2/6/2010</w:t>
      </w:r>
    </w:p>
    <w:p w:rsidR="00BA457F" w:rsidP="00BA457F" w:rsidRDefault="00BA457F" w14:paraId="537149CC" w14:textId="77777777">
      <w:pPr>
        <w:pStyle w:val="Header"/>
        <w:tabs>
          <w:tab w:val="clear" w:pos="8640"/>
          <w:tab w:val="left" w:pos="7560"/>
        </w:tabs>
        <w:jc w:val="right"/>
        <w:rPr>
          <w:sz w:val="20"/>
        </w:rPr>
      </w:pPr>
      <w:r>
        <w:rPr>
          <w:sz w:val="20"/>
        </w:rPr>
        <w:t>CPUC01 #322027905</w:t>
      </w:r>
    </w:p>
    <w:p w:rsidR="00BA457F" w:rsidP="00BA457F" w:rsidRDefault="00BA457F" w14:paraId="3C28ECE7" w14:textId="77777777">
      <w:pPr>
        <w:tabs>
          <w:tab w:val="right" w:pos="9180"/>
        </w:tabs>
        <w:rPr>
          <w:b/>
          <w:spacing w:val="20"/>
          <w:sz w:val="22"/>
        </w:rPr>
      </w:pPr>
    </w:p>
    <w:p w:rsidR="00BA457F" w:rsidP="00BA457F" w:rsidRDefault="00BA457F" w14:paraId="091532F0" w14:textId="77777777">
      <w:pPr>
        <w:tabs>
          <w:tab w:val="right" w:pos="9180"/>
        </w:tabs>
        <w:rPr>
          <w:b/>
          <w:spacing w:val="20"/>
          <w:sz w:val="22"/>
        </w:rPr>
      </w:pPr>
    </w:p>
    <w:p w:rsidR="00BA457F" w:rsidP="00BA457F" w:rsidRDefault="00BA457F" w14:paraId="0D4FCC93" w14:textId="77777777">
      <w:pPr>
        <w:tabs>
          <w:tab w:val="right" w:pos="9180"/>
        </w:tabs>
        <w:rPr>
          <w:b/>
          <w:spacing w:val="20"/>
          <w:sz w:val="22"/>
        </w:rPr>
      </w:pPr>
    </w:p>
    <w:p w:rsidR="00BA457F" w:rsidP="00BA457F" w:rsidRDefault="00BA457F" w14:paraId="4967DD66" w14:textId="77777777">
      <w:pPr>
        <w:tabs>
          <w:tab w:val="right" w:pos="9180"/>
        </w:tabs>
        <w:jc w:val="center"/>
        <w:rPr>
          <w:b/>
          <w:spacing w:val="20"/>
          <w:szCs w:val="24"/>
        </w:rPr>
      </w:pPr>
      <w:r>
        <w:rPr>
          <w:b/>
          <w:spacing w:val="20"/>
          <w:szCs w:val="24"/>
        </w:rPr>
        <w:t>DIGEST OF DIFFERENCES BETWEEN ADMINISTRATIVE LAW JUDGE YACKNIN’S PROPOSED RESOLUTION AND THE ALTERNATE PROPOSED RESOLUTION OF COMMISSIONER RANDOLPH</w:t>
      </w:r>
    </w:p>
    <w:p w:rsidR="00BA457F" w:rsidP="00BA457F" w:rsidRDefault="00BA457F" w14:paraId="30A55C29" w14:textId="77777777">
      <w:pPr>
        <w:tabs>
          <w:tab w:val="right" w:pos="9180"/>
        </w:tabs>
        <w:jc w:val="center"/>
        <w:rPr>
          <w:b/>
          <w:spacing w:val="20"/>
          <w:szCs w:val="24"/>
        </w:rPr>
      </w:pPr>
    </w:p>
    <w:p w:rsidR="00BA457F" w:rsidP="00BA457F" w:rsidRDefault="00BA457F" w14:paraId="52CD5D05" w14:textId="77777777">
      <w:pPr>
        <w:tabs>
          <w:tab w:val="right" w:pos="9180"/>
        </w:tabs>
        <w:jc w:val="center"/>
        <w:rPr>
          <w:b/>
          <w:spacing w:val="20"/>
          <w:szCs w:val="24"/>
        </w:rPr>
      </w:pPr>
    </w:p>
    <w:p w:rsidR="00BA457F" w:rsidP="00BA457F" w:rsidRDefault="00BA457F" w14:paraId="2B7677A3" w14:textId="77777777">
      <w:pPr>
        <w:tabs>
          <w:tab w:val="right" w:pos="9180"/>
        </w:tabs>
        <w:rPr>
          <w:b/>
          <w:spacing w:val="20"/>
          <w:szCs w:val="24"/>
        </w:rPr>
      </w:pPr>
    </w:p>
    <w:p w:rsidR="00BA457F" w:rsidP="00BA457F" w:rsidRDefault="00BA457F" w14:paraId="7AD8747D" w14:textId="77777777">
      <w:pPr>
        <w:tabs>
          <w:tab w:val="right" w:pos="9180"/>
        </w:tabs>
        <w:rPr>
          <w:b/>
          <w:spacing w:val="20"/>
          <w:szCs w:val="24"/>
        </w:rPr>
      </w:pPr>
    </w:p>
    <w:p w:rsidR="00BA457F" w:rsidP="00BA457F" w:rsidRDefault="00BA457F" w14:paraId="5CF9DC2A" w14:textId="77777777">
      <w:pPr>
        <w:rPr>
          <w:b/>
          <w:spacing w:val="20"/>
          <w:szCs w:val="24"/>
        </w:rPr>
      </w:pPr>
      <w:r>
        <w:t>Pursuant to Public Utilities Code Section 311(e), this is the digest of the substantive differences between the draft resolution of Administrative Law Judge Hallie Yacknin and the alternate draft resolution of Commissioner Liane Randolph.</w:t>
      </w:r>
    </w:p>
    <w:p w:rsidR="00BA457F" w:rsidP="00BA457F" w:rsidRDefault="00BA457F" w14:paraId="788021BA" w14:textId="77777777">
      <w:pPr>
        <w:tabs>
          <w:tab w:val="right" w:pos="9180"/>
        </w:tabs>
        <w:rPr>
          <w:b/>
          <w:spacing w:val="20"/>
          <w:szCs w:val="24"/>
        </w:rPr>
      </w:pPr>
    </w:p>
    <w:p w:rsidR="00BA457F" w:rsidP="00BA457F" w:rsidRDefault="00BA457F" w14:paraId="669AE10B" w14:textId="77777777">
      <w:pPr>
        <w:rPr>
          <w:rFonts w:ascii="Calibri" w:hAnsi="Calibri"/>
          <w:sz w:val="22"/>
        </w:rPr>
      </w:pPr>
      <w:r>
        <w:t xml:space="preserve">There is no difference in outcome—Citation </w:t>
      </w:r>
      <w:proofErr w:type="gramStart"/>
      <w:r>
        <w:t>No.F</w:t>
      </w:r>
      <w:proofErr w:type="gramEnd"/>
      <w:r>
        <w:t>-5517 is dismissed.  Additionally, the reasoning for the dismissal is the same in that both the PD and Alternate find that GoGo Technologies is not a TNC.  However, the Alternate makes this finding for purposes of the Citation Appeal proceeding only.  The Alternate finds that a Rulemaking proceeding is the more appropriate venue; a Citation Appeal proceeding is an inappropriate venue for a final determination on GoGo’s regulatory status.</w:t>
      </w:r>
    </w:p>
    <w:p w:rsidR="00BA457F" w:rsidP="00BA457F" w:rsidRDefault="00BA457F" w14:paraId="5EB8423A" w14:textId="77777777">
      <w:pPr>
        <w:tabs>
          <w:tab w:val="right" w:pos="9180"/>
        </w:tabs>
        <w:rPr>
          <w:b/>
          <w:spacing w:val="20"/>
          <w:szCs w:val="24"/>
        </w:rPr>
      </w:pPr>
    </w:p>
    <w:p w:rsidR="00BA457F" w:rsidP="00BA457F" w:rsidRDefault="00BA457F" w14:paraId="5DD1A61A" w14:textId="77777777">
      <w:pPr>
        <w:jc w:val="center"/>
        <w:rPr>
          <w:b/>
          <w:szCs w:val="24"/>
        </w:rPr>
        <w:sectPr w:rsidR="00BA457F">
          <w:pgSz w:w="12240" w:h="15840"/>
          <w:pgMar w:top="1152" w:right="1440" w:bottom="1440" w:left="1440" w:header="720" w:footer="720" w:gutter="0"/>
          <w:cols w:space="720"/>
        </w:sectPr>
      </w:pPr>
    </w:p>
    <w:p w:rsidR="00C47C2A" w:rsidRDefault="00C47C2A" w14:paraId="36E2AA95" w14:textId="77777777">
      <w:pPr>
        <w:pStyle w:val="Title"/>
      </w:pPr>
      <w:r>
        <w:lastRenderedPageBreak/>
        <w:t>PUBLIC UTILITIES COMMISSION OF THE STATE OF CALIFORNIA</w:t>
      </w:r>
    </w:p>
    <w:p w:rsidRPr="008B2ADC" w:rsidR="00CB71FC" w:rsidRDefault="00CB71FC" w14:paraId="438B5061" w14:textId="77777777">
      <w:pPr>
        <w:rPr>
          <w:rFonts w:ascii="Book Antiqua" w:hAnsi="Book Antiqua"/>
        </w:rPr>
      </w:pPr>
    </w:p>
    <w:p w:rsidRPr="008B2ADC" w:rsidR="00C47C2A" w:rsidRDefault="00C47C2A" w14:paraId="75548C6F" w14:textId="7E953531">
      <w:pPr>
        <w:rPr>
          <w:rFonts w:ascii="Book Antiqua" w:hAnsi="Book Antiqua"/>
        </w:rPr>
      </w:pPr>
      <w:r w:rsidRPr="008B2ADC">
        <w:rPr>
          <w:rFonts w:ascii="Book Antiqua" w:hAnsi="Book Antiqua"/>
        </w:rPr>
        <w:tab/>
      </w:r>
      <w:r w:rsidRPr="008B2ADC">
        <w:rPr>
          <w:rFonts w:ascii="Book Antiqua" w:hAnsi="Book Antiqua"/>
        </w:rPr>
        <w:tab/>
      </w:r>
      <w:r w:rsidRPr="008B2ADC">
        <w:rPr>
          <w:rFonts w:ascii="Book Antiqua" w:hAnsi="Book Antiqua"/>
        </w:rPr>
        <w:tab/>
      </w:r>
      <w:r w:rsidRPr="008B2ADC">
        <w:rPr>
          <w:rFonts w:ascii="Book Antiqua" w:hAnsi="Book Antiqua"/>
        </w:rPr>
        <w:tab/>
      </w:r>
      <w:r w:rsidRPr="008B2ADC">
        <w:rPr>
          <w:rFonts w:ascii="Book Antiqua" w:hAnsi="Book Antiqua"/>
        </w:rPr>
        <w:tab/>
      </w:r>
      <w:r w:rsidR="008D41FF">
        <w:rPr>
          <w:rFonts w:ascii="Book Antiqua" w:hAnsi="Book Antiqua"/>
        </w:rPr>
        <w:t xml:space="preserve">Alternate </w:t>
      </w:r>
      <w:r w:rsidRPr="008B2ADC">
        <w:rPr>
          <w:rFonts w:ascii="Book Antiqua" w:hAnsi="Book Antiqua"/>
        </w:rPr>
        <w:t>Resolution ALJ</w:t>
      </w:r>
      <w:r w:rsidRPr="008B2ADC" w:rsidR="008B2ADC">
        <w:rPr>
          <w:rFonts w:ascii="Book Antiqua" w:hAnsi="Book Antiqua"/>
        </w:rPr>
        <w:noBreakHyphen/>
      </w:r>
      <w:r w:rsidRPr="008B2ADC" w:rsidR="00020C0C">
        <w:rPr>
          <w:rFonts w:ascii="Book Antiqua" w:hAnsi="Book Antiqua"/>
        </w:rPr>
        <w:t>371</w:t>
      </w:r>
    </w:p>
    <w:p w:rsidRPr="008B2ADC" w:rsidR="00C47C2A" w:rsidRDefault="00C47C2A" w14:paraId="479C80A0" w14:textId="77777777">
      <w:pPr>
        <w:rPr>
          <w:rFonts w:ascii="Book Antiqua" w:hAnsi="Book Antiqua"/>
        </w:rPr>
      </w:pPr>
      <w:r w:rsidRPr="008B2ADC">
        <w:rPr>
          <w:rFonts w:ascii="Book Antiqua" w:hAnsi="Book Antiqua"/>
        </w:rPr>
        <w:tab/>
      </w:r>
      <w:r w:rsidRPr="008B2ADC">
        <w:rPr>
          <w:rFonts w:ascii="Book Antiqua" w:hAnsi="Book Antiqua"/>
        </w:rPr>
        <w:tab/>
      </w:r>
      <w:r w:rsidRPr="008B2ADC">
        <w:rPr>
          <w:rFonts w:ascii="Book Antiqua" w:hAnsi="Book Antiqua"/>
        </w:rPr>
        <w:tab/>
      </w:r>
      <w:r w:rsidRPr="008B2ADC">
        <w:rPr>
          <w:rFonts w:ascii="Book Antiqua" w:hAnsi="Book Antiqua"/>
        </w:rPr>
        <w:tab/>
      </w:r>
      <w:r w:rsidRPr="008B2ADC">
        <w:rPr>
          <w:rFonts w:ascii="Book Antiqua" w:hAnsi="Book Antiqua"/>
        </w:rPr>
        <w:tab/>
        <w:t>Administrative Law Judge Division</w:t>
      </w:r>
    </w:p>
    <w:p w:rsidRPr="008B2ADC" w:rsidR="00C47C2A" w:rsidRDefault="00C47C2A" w14:paraId="59FF4F2B" w14:textId="77777777">
      <w:pPr>
        <w:rPr>
          <w:rFonts w:ascii="Book Antiqua" w:hAnsi="Book Antiqua"/>
        </w:rPr>
      </w:pPr>
      <w:r w:rsidRPr="008B2ADC">
        <w:rPr>
          <w:rFonts w:ascii="Book Antiqua" w:hAnsi="Book Antiqua"/>
        </w:rPr>
        <w:tab/>
      </w:r>
      <w:r w:rsidRPr="008B2ADC">
        <w:rPr>
          <w:rFonts w:ascii="Book Antiqua" w:hAnsi="Book Antiqua"/>
        </w:rPr>
        <w:tab/>
      </w:r>
      <w:r w:rsidRPr="008B2ADC">
        <w:rPr>
          <w:rFonts w:ascii="Book Antiqua" w:hAnsi="Book Antiqua"/>
        </w:rPr>
        <w:tab/>
      </w:r>
      <w:r w:rsidRPr="008B2ADC">
        <w:rPr>
          <w:rFonts w:ascii="Book Antiqua" w:hAnsi="Book Antiqua"/>
        </w:rPr>
        <w:tab/>
      </w:r>
      <w:r w:rsidRPr="008B2ADC">
        <w:rPr>
          <w:rFonts w:ascii="Book Antiqua" w:hAnsi="Book Antiqua"/>
        </w:rPr>
        <w:tab/>
        <w:t>[Date]</w:t>
      </w:r>
    </w:p>
    <w:p w:rsidRPr="008B2ADC" w:rsidR="00CB71FC" w:rsidRDefault="00CB71FC" w14:paraId="117076A4" w14:textId="77777777">
      <w:pPr>
        <w:rPr>
          <w:rFonts w:ascii="Book Antiqua" w:hAnsi="Book Antiqua"/>
        </w:rPr>
      </w:pPr>
    </w:p>
    <w:p w:rsidRPr="008B2ADC" w:rsidR="00C47C2A" w:rsidRDefault="008D41FF" w14:paraId="0743CA73" w14:textId="51759A1C">
      <w:pPr>
        <w:jc w:val="center"/>
        <w:rPr>
          <w:rFonts w:ascii="Book Antiqua" w:hAnsi="Book Antiqua"/>
          <w:b/>
          <w:u w:val="single"/>
        </w:rPr>
      </w:pPr>
      <w:r>
        <w:rPr>
          <w:rFonts w:ascii="Helvetica" w:hAnsi="Helvetica"/>
          <w:b/>
          <w:u w:val="single"/>
        </w:rPr>
        <w:t>ALTERNATE DRAFT RESOLUTION</w:t>
      </w:r>
    </w:p>
    <w:p w:rsidRPr="008B2ADC" w:rsidR="00C47C2A" w:rsidRDefault="00C47C2A" w14:paraId="4EBA64BC" w14:textId="77777777">
      <w:pPr>
        <w:jc w:val="center"/>
        <w:rPr>
          <w:rFonts w:ascii="Book Antiqua" w:hAnsi="Book Antiqua"/>
          <w:b/>
        </w:rPr>
      </w:pPr>
    </w:p>
    <w:p w:rsidRPr="008B2ADC" w:rsidR="00C47C2A" w:rsidP="00F6766B" w:rsidRDefault="008D41FF" w14:paraId="181DE17C" w14:textId="78952831">
      <w:pPr>
        <w:pStyle w:val="BlockText"/>
        <w:rPr>
          <w:rFonts w:ascii="Book Antiqua" w:hAnsi="Book Antiqua"/>
        </w:rPr>
      </w:pPr>
      <w:r>
        <w:rPr>
          <w:rFonts w:ascii="Book Antiqua" w:hAnsi="Book Antiqua"/>
        </w:rPr>
        <w:t xml:space="preserve">ALTERNATE </w:t>
      </w:r>
      <w:r w:rsidRPr="008B2ADC" w:rsidR="00C47C2A">
        <w:rPr>
          <w:rFonts w:ascii="Book Antiqua" w:hAnsi="Book Antiqua"/>
        </w:rPr>
        <w:t>RESOLUTION ALJ</w:t>
      </w:r>
      <w:r w:rsidRPr="008B2ADC" w:rsidR="008B2ADC">
        <w:rPr>
          <w:rFonts w:ascii="Book Antiqua" w:hAnsi="Book Antiqua"/>
        </w:rPr>
        <w:noBreakHyphen/>
      </w:r>
      <w:r w:rsidRPr="008B2ADC" w:rsidR="00020C0C">
        <w:rPr>
          <w:rFonts w:ascii="Book Antiqua" w:hAnsi="Book Antiqua"/>
        </w:rPr>
        <w:t>371</w:t>
      </w:r>
      <w:r w:rsidRPr="008B2ADC" w:rsidR="00F6766B">
        <w:rPr>
          <w:rFonts w:ascii="Book Antiqua" w:hAnsi="Book Antiqua"/>
        </w:rPr>
        <w:t>.  Resolves the Appeal K.19</w:t>
      </w:r>
      <w:r w:rsidRPr="008B2ADC" w:rsidR="008B2ADC">
        <w:rPr>
          <w:rFonts w:ascii="Book Antiqua" w:hAnsi="Book Antiqua"/>
        </w:rPr>
        <w:noBreakHyphen/>
      </w:r>
      <w:r w:rsidRPr="008B2ADC" w:rsidR="00F6766B">
        <w:rPr>
          <w:rFonts w:ascii="Book Antiqua" w:hAnsi="Book Antiqua"/>
        </w:rPr>
        <w:t>03</w:t>
      </w:r>
      <w:r w:rsidRPr="008B2ADC" w:rsidR="008B2ADC">
        <w:rPr>
          <w:rFonts w:ascii="Book Antiqua" w:hAnsi="Book Antiqua"/>
        </w:rPr>
        <w:noBreakHyphen/>
      </w:r>
      <w:r w:rsidRPr="008B2ADC" w:rsidR="00F6766B">
        <w:rPr>
          <w:rFonts w:ascii="Book Antiqua" w:hAnsi="Book Antiqua"/>
        </w:rPr>
        <w:t xml:space="preserve">015 of Citation </w:t>
      </w:r>
      <w:r w:rsidRPr="008B2ADC" w:rsidR="00020C0C">
        <w:rPr>
          <w:rFonts w:ascii="Book Antiqua" w:hAnsi="Book Antiqua"/>
        </w:rPr>
        <w:t>No. </w:t>
      </w:r>
      <w:r w:rsidRPr="008B2ADC" w:rsidR="00F6766B">
        <w:rPr>
          <w:rFonts w:ascii="Book Antiqua" w:hAnsi="Book Antiqua"/>
        </w:rPr>
        <w:t>F</w:t>
      </w:r>
      <w:r w:rsidRPr="008B2ADC" w:rsidR="008B2ADC">
        <w:rPr>
          <w:rFonts w:ascii="Book Antiqua" w:hAnsi="Book Antiqua"/>
        </w:rPr>
        <w:noBreakHyphen/>
      </w:r>
      <w:r w:rsidRPr="008B2ADC" w:rsidR="00F6766B">
        <w:rPr>
          <w:rFonts w:ascii="Book Antiqua" w:hAnsi="Book Antiqua"/>
        </w:rPr>
        <w:t>5517 by GoGo Technologies.</w:t>
      </w:r>
    </w:p>
    <w:p w:rsidRPr="008B2ADC" w:rsidR="00C47C2A" w:rsidRDefault="00C47C2A" w14:paraId="4D600E97" w14:textId="77777777">
      <w:pPr>
        <w:tabs>
          <w:tab w:val="right" w:pos="8550"/>
        </w:tabs>
        <w:ind w:left="720" w:right="720"/>
        <w:rPr>
          <w:rFonts w:ascii="Book Antiqua" w:hAnsi="Book Antiqua"/>
        </w:rPr>
      </w:pPr>
      <w:r w:rsidRPr="008B2ADC">
        <w:rPr>
          <w:rFonts w:ascii="Book Antiqua" w:hAnsi="Book Antiqua"/>
          <w:u w:val="single"/>
        </w:rPr>
        <w:tab/>
      </w:r>
    </w:p>
    <w:p w:rsidRPr="008B2ADC" w:rsidR="00CB71FC" w:rsidRDefault="00CB71FC" w14:paraId="22842BA6" w14:textId="77777777">
      <w:pPr>
        <w:rPr>
          <w:rFonts w:ascii="Book Antiqua" w:hAnsi="Book Antiqua"/>
        </w:rPr>
      </w:pPr>
    </w:p>
    <w:p w:rsidRPr="008B2ADC" w:rsidR="00C47C2A" w:rsidRDefault="00C47C2A" w14:paraId="568EDDDB" w14:textId="77777777">
      <w:pPr>
        <w:rPr>
          <w:rFonts w:ascii="Book Antiqua" w:hAnsi="Book Antiqua"/>
          <w:b/>
          <w:u w:val="single"/>
        </w:rPr>
      </w:pPr>
      <w:r w:rsidRPr="008B2ADC">
        <w:rPr>
          <w:rFonts w:ascii="Book Antiqua" w:hAnsi="Book Antiqua"/>
          <w:b/>
          <w:u w:val="single"/>
        </w:rPr>
        <w:t>SUMMARY</w:t>
      </w:r>
    </w:p>
    <w:p w:rsidRPr="008B2ADC" w:rsidR="00C47C2A" w:rsidRDefault="00C47C2A" w14:paraId="41E1EFE7" w14:textId="77777777">
      <w:pPr>
        <w:rPr>
          <w:rFonts w:ascii="Book Antiqua" w:hAnsi="Book Antiqua"/>
        </w:rPr>
      </w:pPr>
    </w:p>
    <w:p w:rsidRPr="008B2ADC" w:rsidR="00C47C2A" w:rsidP="00F6766B" w:rsidRDefault="00F6766B" w14:paraId="13BD467D" w14:textId="438E0B8F">
      <w:pPr>
        <w:rPr>
          <w:rFonts w:ascii="Book Antiqua" w:hAnsi="Book Antiqua"/>
        </w:rPr>
      </w:pPr>
      <w:r w:rsidRPr="008B2ADC">
        <w:rPr>
          <w:rFonts w:ascii="Book Antiqua" w:hAnsi="Book Antiqua"/>
        </w:rPr>
        <w:t>This resolution resolves the appeal of Citation No. F</w:t>
      </w:r>
      <w:r w:rsidRPr="008B2ADC" w:rsidR="008B2ADC">
        <w:rPr>
          <w:rFonts w:ascii="Book Antiqua" w:hAnsi="Book Antiqua"/>
        </w:rPr>
        <w:noBreakHyphen/>
      </w:r>
      <w:r w:rsidRPr="008B2ADC">
        <w:rPr>
          <w:rFonts w:ascii="Book Antiqua" w:hAnsi="Book Antiqua"/>
        </w:rPr>
        <w:t xml:space="preserve">5517 to GoGo Technologies by the California Public Utilities Commission’s Consumer Protection and Enforcement Division. </w:t>
      </w:r>
      <w:r w:rsidRPr="008B2ADC" w:rsidR="00020C0C">
        <w:rPr>
          <w:rFonts w:ascii="Book Antiqua" w:hAnsi="Book Antiqua"/>
        </w:rPr>
        <w:t xml:space="preserve"> </w:t>
      </w:r>
      <w:r w:rsidRPr="008B2ADC">
        <w:rPr>
          <w:rFonts w:ascii="Book Antiqua" w:hAnsi="Book Antiqua"/>
        </w:rPr>
        <w:t>Citation No. F</w:t>
      </w:r>
      <w:r w:rsidRPr="008B2ADC" w:rsidR="008B2ADC">
        <w:rPr>
          <w:rFonts w:ascii="Book Antiqua" w:hAnsi="Book Antiqua"/>
        </w:rPr>
        <w:noBreakHyphen/>
      </w:r>
      <w:r w:rsidRPr="008B2ADC">
        <w:rPr>
          <w:rFonts w:ascii="Book Antiqua" w:hAnsi="Book Antiqua"/>
        </w:rPr>
        <w:t xml:space="preserve">5517 cites </w:t>
      </w:r>
      <w:r w:rsidRPr="008B2ADC" w:rsidR="0084639C">
        <w:rPr>
          <w:rFonts w:ascii="Book Antiqua" w:hAnsi="Book Antiqua"/>
        </w:rPr>
        <w:t xml:space="preserve">and fines </w:t>
      </w:r>
      <w:r w:rsidRPr="008B2ADC">
        <w:rPr>
          <w:rFonts w:ascii="Book Antiqua" w:hAnsi="Book Antiqua"/>
        </w:rPr>
        <w:t>GoGo Technologies for operating and advertising as a charter</w:t>
      </w:r>
      <w:r w:rsidRPr="008B2ADC" w:rsidR="008B2ADC">
        <w:rPr>
          <w:rFonts w:ascii="Book Antiqua" w:hAnsi="Book Antiqua"/>
        </w:rPr>
        <w:noBreakHyphen/>
      </w:r>
      <w:r w:rsidRPr="008B2ADC">
        <w:rPr>
          <w:rFonts w:ascii="Book Antiqua" w:hAnsi="Book Antiqua"/>
        </w:rPr>
        <w:t>party carrier without authority</w:t>
      </w:r>
      <w:r w:rsidRPr="008B2ADC" w:rsidR="0084639C">
        <w:rPr>
          <w:rFonts w:ascii="Book Antiqua" w:hAnsi="Book Antiqua"/>
        </w:rPr>
        <w:t xml:space="preserve">.  </w:t>
      </w:r>
      <w:r w:rsidR="003E543E">
        <w:rPr>
          <w:rFonts w:ascii="Book Antiqua" w:hAnsi="Book Antiqua"/>
        </w:rPr>
        <w:t>For purposes of this proceeding</w:t>
      </w:r>
      <w:r w:rsidR="00823052">
        <w:rPr>
          <w:rFonts w:ascii="Book Antiqua" w:hAnsi="Book Antiqua"/>
        </w:rPr>
        <w:t xml:space="preserve"> of a citation appeal</w:t>
      </w:r>
      <w:r w:rsidR="003E543E">
        <w:rPr>
          <w:rFonts w:ascii="Book Antiqua" w:hAnsi="Book Antiqua"/>
        </w:rPr>
        <w:t>, t</w:t>
      </w:r>
      <w:r w:rsidRPr="008B2ADC" w:rsidR="0084639C">
        <w:rPr>
          <w:rFonts w:ascii="Book Antiqua" w:hAnsi="Book Antiqua"/>
        </w:rPr>
        <w:t xml:space="preserve">he citation is </w:t>
      </w:r>
      <w:r w:rsidRPr="008B2ADC" w:rsidR="00DD60A7">
        <w:rPr>
          <w:rFonts w:ascii="Book Antiqua" w:hAnsi="Book Antiqua"/>
        </w:rPr>
        <w:t>dismissed</w:t>
      </w:r>
      <w:r w:rsidRPr="008B2ADC">
        <w:rPr>
          <w:rFonts w:ascii="Book Antiqua" w:hAnsi="Book Antiqua"/>
        </w:rPr>
        <w:t xml:space="preserve"> </w:t>
      </w:r>
      <w:r w:rsidRPr="008B2ADC" w:rsidR="0084639C">
        <w:rPr>
          <w:rFonts w:ascii="Book Antiqua" w:hAnsi="Book Antiqua"/>
        </w:rPr>
        <w:t xml:space="preserve">on the grounds that GoGo Technology is not a charter party carrier. </w:t>
      </w:r>
    </w:p>
    <w:p w:rsidRPr="00E74F21" w:rsidR="00C47C2A" w:rsidRDefault="00C47C2A" w14:paraId="5F45ED85" w14:textId="77777777">
      <w:pPr>
        <w:rPr>
          <w:rFonts w:ascii="Book Antiqua" w:hAnsi="Book Antiqua"/>
          <w:sz w:val="30"/>
        </w:rPr>
      </w:pPr>
    </w:p>
    <w:p w:rsidRPr="008B2ADC" w:rsidR="00C47C2A" w:rsidRDefault="00C47C2A" w14:paraId="18B5E56E" w14:textId="77777777">
      <w:pPr>
        <w:rPr>
          <w:rFonts w:ascii="Book Antiqua" w:hAnsi="Book Antiqua"/>
          <w:b/>
          <w:u w:val="single"/>
        </w:rPr>
      </w:pPr>
      <w:r w:rsidRPr="008B2ADC">
        <w:rPr>
          <w:rFonts w:ascii="Book Antiqua" w:hAnsi="Book Antiqua"/>
          <w:b/>
          <w:u w:val="single"/>
        </w:rPr>
        <w:t>BACKGROUND</w:t>
      </w:r>
    </w:p>
    <w:p w:rsidRPr="008B2ADC" w:rsidR="00C47C2A" w:rsidRDefault="00C47C2A" w14:paraId="152F65D6" w14:textId="77777777">
      <w:pPr>
        <w:rPr>
          <w:rFonts w:ascii="Book Antiqua" w:hAnsi="Book Antiqua"/>
        </w:rPr>
      </w:pPr>
    </w:p>
    <w:p w:rsidRPr="008B2ADC" w:rsidR="00F42C58" w:rsidRDefault="00F42C58" w14:paraId="5662710C" w14:textId="77777777">
      <w:pPr>
        <w:rPr>
          <w:rFonts w:ascii="Book Antiqua" w:hAnsi="Book Antiqua"/>
        </w:rPr>
      </w:pPr>
      <w:r w:rsidRPr="008B2ADC">
        <w:rPr>
          <w:rFonts w:ascii="Book Antiqua" w:hAnsi="Book Antiqua"/>
        </w:rPr>
        <w:t>Public Utilities Code Section 5360 defines “charter</w:t>
      </w:r>
      <w:r w:rsidRPr="008B2ADC" w:rsidR="008B2ADC">
        <w:rPr>
          <w:rFonts w:ascii="Book Antiqua" w:hAnsi="Book Antiqua"/>
        </w:rPr>
        <w:noBreakHyphen/>
      </w:r>
      <w:r w:rsidRPr="008B2ADC">
        <w:rPr>
          <w:rFonts w:ascii="Book Antiqua" w:hAnsi="Book Antiqua"/>
        </w:rPr>
        <w:t xml:space="preserve">party carrier of passengers” </w:t>
      </w:r>
      <w:r w:rsidRPr="008B2ADC" w:rsidR="00460D6A">
        <w:rPr>
          <w:rFonts w:ascii="Book Antiqua" w:hAnsi="Book Antiqua"/>
        </w:rPr>
        <w:t xml:space="preserve">(TCP) </w:t>
      </w:r>
      <w:r w:rsidRPr="008B2ADC">
        <w:rPr>
          <w:rFonts w:ascii="Book Antiqua" w:hAnsi="Book Antiqua"/>
        </w:rPr>
        <w:t>as “every person engaged in the transportation of persons by motor vehicle for compensation.”</w:t>
      </w:r>
      <w:r w:rsidRPr="008B2ADC">
        <w:rPr>
          <w:rStyle w:val="FootnoteReference"/>
          <w:rFonts w:ascii="Book Antiqua" w:hAnsi="Book Antiqua"/>
        </w:rPr>
        <w:footnoteReference w:id="1"/>
      </w:r>
    </w:p>
    <w:p w:rsidRPr="008B2ADC" w:rsidR="00F42C58" w:rsidRDefault="00F42C58" w14:paraId="1997BCF1" w14:textId="77777777">
      <w:pPr>
        <w:rPr>
          <w:rFonts w:ascii="Book Antiqua" w:hAnsi="Book Antiqua"/>
        </w:rPr>
      </w:pPr>
    </w:p>
    <w:p w:rsidRPr="008B2ADC" w:rsidR="00F42C58" w:rsidRDefault="00F42C58" w14:paraId="6D382C62" w14:textId="77777777">
      <w:pPr>
        <w:rPr>
          <w:rFonts w:ascii="Book Antiqua" w:hAnsi="Book Antiqua"/>
        </w:rPr>
      </w:pPr>
      <w:r w:rsidRPr="008B2ADC">
        <w:rPr>
          <w:rFonts w:ascii="Book Antiqua" w:hAnsi="Book Antiqua"/>
        </w:rPr>
        <w:t xml:space="preserve">Section </w:t>
      </w:r>
      <w:bookmarkStart w:name="_Hlk14868063" w:id="0"/>
      <w:r w:rsidRPr="008B2ADC">
        <w:rPr>
          <w:rFonts w:ascii="Book Antiqua" w:hAnsi="Book Antiqua"/>
        </w:rPr>
        <w:t xml:space="preserve">5431(c) </w:t>
      </w:r>
      <w:bookmarkEnd w:id="0"/>
      <w:r w:rsidRPr="008B2ADC" w:rsidR="007E60F7">
        <w:rPr>
          <w:rFonts w:ascii="Book Antiqua" w:hAnsi="Book Antiqua"/>
        </w:rPr>
        <w:t>de</w:t>
      </w:r>
      <w:r w:rsidRPr="008B2ADC" w:rsidR="00164A29">
        <w:rPr>
          <w:rFonts w:ascii="Book Antiqua" w:hAnsi="Book Antiqua"/>
        </w:rPr>
        <w:t xml:space="preserve">fines </w:t>
      </w:r>
      <w:r w:rsidRPr="008B2ADC" w:rsidR="007E7FC0">
        <w:rPr>
          <w:rFonts w:ascii="Book Antiqua" w:hAnsi="Book Antiqua"/>
        </w:rPr>
        <w:t xml:space="preserve">a </w:t>
      </w:r>
      <w:proofErr w:type="gramStart"/>
      <w:r w:rsidRPr="008B2ADC" w:rsidR="00164A29">
        <w:rPr>
          <w:rFonts w:ascii="Book Antiqua" w:hAnsi="Book Antiqua"/>
        </w:rPr>
        <w:t>particular TCP</w:t>
      </w:r>
      <w:proofErr w:type="gramEnd"/>
      <w:r w:rsidRPr="008B2ADC" w:rsidR="00164A29">
        <w:rPr>
          <w:rFonts w:ascii="Book Antiqua" w:hAnsi="Book Antiqua"/>
        </w:rPr>
        <w:t xml:space="preserve"> that is </w:t>
      </w:r>
      <w:r w:rsidRPr="008B2ADC">
        <w:rPr>
          <w:rFonts w:ascii="Book Antiqua" w:hAnsi="Book Antiqua"/>
        </w:rPr>
        <w:t>“</w:t>
      </w:r>
      <w:r w:rsidRPr="008B2ADC" w:rsidR="002E7E53">
        <w:rPr>
          <w:rFonts w:ascii="Book Antiqua" w:hAnsi="Book Antiqua"/>
        </w:rPr>
        <w:t xml:space="preserve">an organization … </w:t>
      </w:r>
      <w:r w:rsidRPr="008B2ADC">
        <w:rPr>
          <w:rFonts w:ascii="Book Antiqua" w:hAnsi="Book Antiqua"/>
        </w:rPr>
        <w:t>that provides prearranged transportation services for compensation using an online</w:t>
      </w:r>
      <w:r w:rsidRPr="008B2ADC" w:rsidR="008B2ADC">
        <w:rPr>
          <w:rFonts w:ascii="Book Antiqua" w:hAnsi="Book Antiqua"/>
        </w:rPr>
        <w:noBreakHyphen/>
      </w:r>
      <w:r w:rsidRPr="008B2ADC">
        <w:rPr>
          <w:rFonts w:ascii="Book Antiqua" w:hAnsi="Book Antiqua"/>
        </w:rPr>
        <w:t>enabled application or platform to connect passengers with drivers using a personal vehicle”</w:t>
      </w:r>
      <w:r w:rsidRPr="008B2ADC" w:rsidR="007E60F7">
        <w:rPr>
          <w:rFonts w:ascii="Book Antiqua" w:hAnsi="Book Antiqua"/>
        </w:rPr>
        <w:t xml:space="preserve"> as a “transportation network company” (TNC).</w:t>
      </w:r>
    </w:p>
    <w:p w:rsidRPr="008B2ADC" w:rsidR="00F42C58" w:rsidRDefault="00F42C58" w14:paraId="1F0BACB5" w14:textId="77777777">
      <w:pPr>
        <w:rPr>
          <w:rFonts w:ascii="Book Antiqua" w:hAnsi="Book Antiqua"/>
        </w:rPr>
      </w:pPr>
    </w:p>
    <w:p w:rsidRPr="008B2ADC" w:rsidR="008307C7" w:rsidP="009E35E3" w:rsidRDefault="00F42C58" w14:paraId="1DED4E08" w14:textId="77777777">
      <w:pPr>
        <w:rPr>
          <w:rFonts w:ascii="Book Antiqua" w:hAnsi="Book Antiqua"/>
        </w:rPr>
      </w:pPr>
      <w:r w:rsidRPr="008B2ADC">
        <w:rPr>
          <w:rFonts w:ascii="Book Antiqua" w:hAnsi="Book Antiqua"/>
        </w:rPr>
        <w:t>GoGo Technologies</w:t>
      </w:r>
      <w:r w:rsidRPr="008B2ADC" w:rsidR="002F6D7C">
        <w:rPr>
          <w:rFonts w:ascii="Book Antiqua" w:hAnsi="Book Antiqua"/>
        </w:rPr>
        <w:t xml:space="preserve">, doing business as </w:t>
      </w:r>
      <w:r w:rsidRPr="008B2ADC" w:rsidR="002B75AA">
        <w:rPr>
          <w:rFonts w:ascii="Book Antiqua" w:hAnsi="Book Antiqua"/>
        </w:rPr>
        <w:t>GoGoGrandparent</w:t>
      </w:r>
      <w:r w:rsidRPr="008B2ADC">
        <w:rPr>
          <w:rFonts w:ascii="Book Antiqua" w:hAnsi="Book Antiqua"/>
        </w:rPr>
        <w:t xml:space="preserve"> (GoGo)</w:t>
      </w:r>
      <w:r w:rsidRPr="008B2ADC" w:rsidR="00F478C2">
        <w:rPr>
          <w:rFonts w:ascii="Book Antiqua" w:hAnsi="Book Antiqua"/>
        </w:rPr>
        <w:t xml:space="preserve">, </w:t>
      </w:r>
      <w:r w:rsidRPr="008B2ADC" w:rsidR="009E35E3">
        <w:rPr>
          <w:rFonts w:ascii="Book Antiqua" w:hAnsi="Book Antiqua"/>
        </w:rPr>
        <w:t>permits individuals who do not own or cannot operate a smartphone, primarily seniors, to request rides from TNCs such as Uber and Lyft.  GoGo’s c</w:t>
      </w:r>
      <w:r w:rsidRPr="008B2ADC" w:rsidR="00F478C2">
        <w:rPr>
          <w:rFonts w:ascii="Book Antiqua" w:hAnsi="Book Antiqua"/>
        </w:rPr>
        <w:t xml:space="preserve">ustomers register their </w:t>
      </w:r>
      <w:r w:rsidRPr="008B2ADC" w:rsidR="00155541">
        <w:rPr>
          <w:rFonts w:ascii="Book Antiqua" w:hAnsi="Book Antiqua"/>
        </w:rPr>
        <w:t xml:space="preserve">phone number, </w:t>
      </w:r>
      <w:r w:rsidRPr="008B2ADC" w:rsidR="00FE5042">
        <w:rPr>
          <w:rFonts w:ascii="Book Antiqua" w:hAnsi="Book Antiqua"/>
        </w:rPr>
        <w:t xml:space="preserve">special needs, </w:t>
      </w:r>
      <w:r w:rsidRPr="008B2ADC" w:rsidR="00155541">
        <w:rPr>
          <w:rFonts w:ascii="Book Antiqua" w:hAnsi="Book Antiqua"/>
        </w:rPr>
        <w:t>home location and, optionally, regular destinations</w:t>
      </w:r>
      <w:r w:rsidRPr="008B2ADC" w:rsidR="00F478C2">
        <w:rPr>
          <w:rFonts w:ascii="Book Antiqua" w:hAnsi="Book Antiqua"/>
        </w:rPr>
        <w:t xml:space="preserve"> with GoGo</w:t>
      </w:r>
      <w:r w:rsidRPr="008B2ADC" w:rsidR="00155541">
        <w:rPr>
          <w:rFonts w:ascii="Book Antiqua" w:hAnsi="Book Antiqua"/>
        </w:rPr>
        <w:t>.</w:t>
      </w:r>
      <w:r w:rsidRPr="008B2ADC" w:rsidR="00F478C2">
        <w:rPr>
          <w:rFonts w:ascii="Book Antiqua" w:hAnsi="Book Antiqua"/>
        </w:rPr>
        <w:t xml:space="preserve">  A customer requests a ride by c</w:t>
      </w:r>
      <w:r w:rsidRPr="008B2ADC" w:rsidR="002B75AA">
        <w:rPr>
          <w:rFonts w:ascii="Book Antiqua" w:hAnsi="Book Antiqua"/>
        </w:rPr>
        <w:t>alling GoGo’s toll</w:t>
      </w:r>
      <w:r w:rsidRPr="008B2ADC" w:rsidR="008B2ADC">
        <w:rPr>
          <w:rFonts w:ascii="Book Antiqua" w:hAnsi="Book Antiqua"/>
        </w:rPr>
        <w:noBreakHyphen/>
      </w:r>
      <w:r w:rsidRPr="008B2ADC" w:rsidR="002B75AA">
        <w:rPr>
          <w:rFonts w:ascii="Book Antiqua" w:hAnsi="Book Antiqua"/>
        </w:rPr>
        <w:t>free phone number</w:t>
      </w:r>
      <w:r w:rsidRPr="008B2ADC" w:rsidR="00FD2216">
        <w:rPr>
          <w:rFonts w:ascii="Book Antiqua" w:hAnsi="Book Antiqua"/>
        </w:rPr>
        <w:t xml:space="preserve"> and</w:t>
      </w:r>
      <w:r w:rsidRPr="008B2ADC" w:rsidR="00345488">
        <w:rPr>
          <w:rFonts w:ascii="Book Antiqua" w:hAnsi="Book Antiqua"/>
        </w:rPr>
        <w:t>, after hearing a prompt, pressing a number on their touch</w:t>
      </w:r>
      <w:r w:rsidRPr="008B2ADC" w:rsidR="008B2ADC">
        <w:rPr>
          <w:rFonts w:ascii="Book Antiqua" w:hAnsi="Book Antiqua"/>
        </w:rPr>
        <w:noBreakHyphen/>
      </w:r>
      <w:r w:rsidRPr="008B2ADC" w:rsidR="00345488">
        <w:rPr>
          <w:rFonts w:ascii="Book Antiqua" w:hAnsi="Book Antiqua"/>
        </w:rPr>
        <w:t xml:space="preserve">tone phone to </w:t>
      </w:r>
      <w:r w:rsidRPr="008B2ADC" w:rsidR="00155541">
        <w:rPr>
          <w:rFonts w:ascii="Book Antiqua" w:hAnsi="Book Antiqua"/>
        </w:rPr>
        <w:t xml:space="preserve">indicate </w:t>
      </w:r>
      <w:r w:rsidRPr="008B2ADC" w:rsidR="00345488">
        <w:rPr>
          <w:rFonts w:ascii="Book Antiqua" w:hAnsi="Book Antiqua"/>
        </w:rPr>
        <w:t xml:space="preserve">where they would like to be picked up and </w:t>
      </w:r>
      <w:r w:rsidRPr="008B2ADC" w:rsidR="00155541">
        <w:rPr>
          <w:rFonts w:ascii="Book Antiqua" w:hAnsi="Book Antiqua"/>
        </w:rPr>
        <w:t>their destination.</w:t>
      </w:r>
      <w:r w:rsidRPr="008B2ADC" w:rsidR="009833A2">
        <w:rPr>
          <w:rFonts w:ascii="Book Antiqua" w:hAnsi="Book Antiqua"/>
        </w:rPr>
        <w:t xml:space="preserve">  </w:t>
      </w:r>
      <w:r w:rsidRPr="008B2ADC" w:rsidR="00164A29">
        <w:rPr>
          <w:rFonts w:ascii="Book Antiqua" w:hAnsi="Book Antiqua"/>
        </w:rPr>
        <w:t>GoGo</w:t>
      </w:r>
      <w:r w:rsidRPr="008B2ADC" w:rsidR="009E35E3">
        <w:rPr>
          <w:rFonts w:ascii="Book Antiqua" w:hAnsi="Book Antiqua"/>
        </w:rPr>
        <w:t xml:space="preserve">’s computer program recognizes the </w:t>
      </w:r>
      <w:r w:rsidRPr="008B2ADC" w:rsidR="008307C7">
        <w:rPr>
          <w:rFonts w:ascii="Book Antiqua" w:hAnsi="Book Antiqua"/>
        </w:rPr>
        <w:t xml:space="preserve">customer’s identity from the </w:t>
      </w:r>
      <w:r w:rsidRPr="008B2ADC" w:rsidR="009E35E3">
        <w:rPr>
          <w:rFonts w:ascii="Book Antiqua" w:hAnsi="Book Antiqua"/>
        </w:rPr>
        <w:t>pre</w:t>
      </w:r>
      <w:r w:rsidRPr="008B2ADC" w:rsidR="008B2ADC">
        <w:rPr>
          <w:rFonts w:ascii="Book Antiqua" w:hAnsi="Book Antiqua"/>
        </w:rPr>
        <w:noBreakHyphen/>
      </w:r>
      <w:r w:rsidRPr="008B2ADC" w:rsidR="009E35E3">
        <w:rPr>
          <w:rFonts w:ascii="Book Antiqua" w:hAnsi="Book Antiqua"/>
        </w:rPr>
        <w:t>registered information and</w:t>
      </w:r>
      <w:r w:rsidRPr="008B2ADC" w:rsidR="008307C7">
        <w:rPr>
          <w:rFonts w:ascii="Book Antiqua" w:hAnsi="Book Antiqua"/>
        </w:rPr>
        <w:t xml:space="preserve"> interprets the ride request.</w:t>
      </w:r>
    </w:p>
    <w:p w:rsidRPr="008B2ADC" w:rsidR="008307C7" w:rsidP="009E35E3" w:rsidRDefault="008307C7" w14:paraId="33D75E2D" w14:textId="77777777">
      <w:pPr>
        <w:rPr>
          <w:rFonts w:ascii="Book Antiqua" w:hAnsi="Book Antiqua"/>
        </w:rPr>
      </w:pPr>
    </w:p>
    <w:p w:rsidRPr="008B2ADC" w:rsidR="00164A29" w:rsidP="009E35E3" w:rsidRDefault="008307C7" w14:paraId="6844B2F2" w14:textId="77777777">
      <w:pPr>
        <w:rPr>
          <w:rFonts w:ascii="Book Antiqua" w:hAnsi="Book Antiqua"/>
        </w:rPr>
      </w:pPr>
      <w:r w:rsidRPr="008B2ADC">
        <w:rPr>
          <w:rFonts w:ascii="Book Antiqua" w:hAnsi="Book Antiqua"/>
        </w:rPr>
        <w:lastRenderedPageBreak/>
        <w:t xml:space="preserve">GoGo’s computer program then conveys the information to a TNC.  </w:t>
      </w:r>
      <w:r w:rsidRPr="008B2ADC" w:rsidR="00164A29">
        <w:rPr>
          <w:rFonts w:ascii="Book Antiqua" w:hAnsi="Book Antiqua"/>
        </w:rPr>
        <w:t xml:space="preserve">Instead of connecting </w:t>
      </w:r>
      <w:r w:rsidRPr="008B2ADC" w:rsidR="009E35E3">
        <w:rPr>
          <w:rFonts w:ascii="Book Antiqua" w:hAnsi="Book Antiqua"/>
        </w:rPr>
        <w:t xml:space="preserve">using </w:t>
      </w:r>
      <w:r w:rsidRPr="008B2ADC">
        <w:rPr>
          <w:rFonts w:ascii="Book Antiqua" w:hAnsi="Book Antiqua"/>
        </w:rPr>
        <w:t xml:space="preserve">the TNC’s </w:t>
      </w:r>
      <w:r w:rsidRPr="008B2ADC" w:rsidR="00164A29">
        <w:rPr>
          <w:rFonts w:ascii="Book Antiqua" w:hAnsi="Book Antiqua"/>
        </w:rPr>
        <w:t xml:space="preserve">smartphone app, </w:t>
      </w:r>
      <w:r w:rsidRPr="008B2ADC" w:rsidR="002E7E53">
        <w:rPr>
          <w:rFonts w:ascii="Book Antiqua" w:hAnsi="Book Antiqua"/>
        </w:rPr>
        <w:t>GoGo</w:t>
      </w:r>
      <w:r w:rsidRPr="008B2ADC">
        <w:rPr>
          <w:rFonts w:ascii="Book Antiqua" w:hAnsi="Book Antiqua"/>
        </w:rPr>
        <w:t xml:space="preserve">’s computer program </w:t>
      </w:r>
      <w:r w:rsidRPr="008B2ADC" w:rsidR="00164A29">
        <w:rPr>
          <w:rFonts w:ascii="Book Antiqua" w:hAnsi="Book Antiqua"/>
        </w:rPr>
        <w:t xml:space="preserve">connects </w:t>
      </w:r>
      <w:r w:rsidRPr="008B2ADC" w:rsidR="002E7E53">
        <w:rPr>
          <w:rFonts w:ascii="Book Antiqua" w:hAnsi="Book Antiqua"/>
        </w:rPr>
        <w:t xml:space="preserve">using </w:t>
      </w:r>
      <w:r w:rsidRPr="008B2ADC" w:rsidR="009833A2">
        <w:rPr>
          <w:rFonts w:ascii="Book Antiqua" w:hAnsi="Book Antiqua"/>
        </w:rPr>
        <w:t>the TNC’s Application Programming Interface (API) portal</w:t>
      </w:r>
      <w:r w:rsidRPr="008B2ADC" w:rsidR="002E7E53">
        <w:rPr>
          <w:rFonts w:ascii="Book Antiqua" w:hAnsi="Book Antiqua"/>
        </w:rPr>
        <w:t>.</w:t>
      </w:r>
      <w:r w:rsidRPr="008B2ADC" w:rsidR="002E6151">
        <w:rPr>
          <w:rFonts w:ascii="Book Antiqua" w:hAnsi="Book Antiqua"/>
        </w:rPr>
        <w:t xml:space="preserve">  </w:t>
      </w:r>
      <w:r w:rsidRPr="008B2ADC" w:rsidR="00164A29">
        <w:rPr>
          <w:rFonts w:ascii="Book Antiqua" w:hAnsi="Book Antiqua"/>
        </w:rPr>
        <w:t xml:space="preserve">Upon receiving </w:t>
      </w:r>
      <w:r w:rsidRPr="008B2ADC">
        <w:rPr>
          <w:rFonts w:ascii="Book Antiqua" w:hAnsi="Book Antiqua"/>
        </w:rPr>
        <w:t xml:space="preserve">GoGo’s </w:t>
      </w:r>
      <w:r w:rsidRPr="008B2ADC" w:rsidR="00164A29">
        <w:rPr>
          <w:rFonts w:ascii="Book Antiqua" w:hAnsi="Book Antiqua"/>
        </w:rPr>
        <w:t>request, t</w:t>
      </w:r>
      <w:r w:rsidRPr="008B2ADC" w:rsidR="002E6151">
        <w:rPr>
          <w:rFonts w:ascii="Book Antiqua" w:hAnsi="Book Antiqua"/>
        </w:rPr>
        <w:t>he TNC queries its driver pool</w:t>
      </w:r>
      <w:r w:rsidRPr="008B2ADC" w:rsidR="009E35E3">
        <w:rPr>
          <w:rFonts w:ascii="Book Antiqua" w:hAnsi="Book Antiqua"/>
        </w:rPr>
        <w:t xml:space="preserve"> and, w</w:t>
      </w:r>
      <w:r w:rsidRPr="008B2ADC" w:rsidR="002E6151">
        <w:rPr>
          <w:rFonts w:ascii="Book Antiqua" w:hAnsi="Book Antiqua"/>
        </w:rPr>
        <w:t xml:space="preserve">hen a driver accepts the assignment, the TNC </w:t>
      </w:r>
      <w:r w:rsidRPr="008B2ADC" w:rsidR="00FE5042">
        <w:rPr>
          <w:rFonts w:ascii="Book Antiqua" w:hAnsi="Book Antiqua"/>
        </w:rPr>
        <w:t>conveys a phone link back to GoGo</w:t>
      </w:r>
      <w:r w:rsidRPr="008B2ADC">
        <w:rPr>
          <w:rFonts w:ascii="Book Antiqua" w:hAnsi="Book Antiqua"/>
        </w:rPr>
        <w:t>’s computer program</w:t>
      </w:r>
      <w:r w:rsidRPr="008B2ADC" w:rsidR="00164A29">
        <w:rPr>
          <w:rFonts w:ascii="Book Antiqua" w:hAnsi="Book Antiqua"/>
        </w:rPr>
        <w:t xml:space="preserve"> via the API portal</w:t>
      </w:r>
      <w:r w:rsidRPr="008B2ADC" w:rsidR="00FE5042">
        <w:rPr>
          <w:rFonts w:ascii="Book Antiqua" w:hAnsi="Book Antiqua"/>
        </w:rPr>
        <w:t>.  GoGo</w:t>
      </w:r>
      <w:r w:rsidRPr="008B2ADC" w:rsidR="009E35E3">
        <w:rPr>
          <w:rFonts w:ascii="Book Antiqua" w:hAnsi="Book Antiqua"/>
        </w:rPr>
        <w:t xml:space="preserve"> </w:t>
      </w:r>
      <w:r w:rsidRPr="008B2ADC" w:rsidR="00FE5042">
        <w:rPr>
          <w:rFonts w:ascii="Book Antiqua" w:hAnsi="Book Antiqua"/>
        </w:rPr>
        <w:t xml:space="preserve">uses the phone link to screen the driver regarding their ability to meet the customer’s special needs. </w:t>
      </w:r>
      <w:r w:rsidRPr="008B2ADC" w:rsidR="00164A29">
        <w:rPr>
          <w:rFonts w:ascii="Book Antiqua" w:hAnsi="Book Antiqua"/>
        </w:rPr>
        <w:t xml:space="preserve"> GoGo charges the customer the TNC’s charge plus GoGo’s “concierge fee” of $.27 per mile.</w:t>
      </w:r>
    </w:p>
    <w:p w:rsidRPr="008B2ADC" w:rsidR="00FE5042" w:rsidRDefault="00FE5042" w14:paraId="2E91DC82" w14:textId="77777777">
      <w:pPr>
        <w:rPr>
          <w:rFonts w:ascii="Book Antiqua" w:hAnsi="Book Antiqua"/>
        </w:rPr>
      </w:pPr>
    </w:p>
    <w:p w:rsidRPr="008B2ADC" w:rsidR="00EC663A" w:rsidP="002F6D7C" w:rsidRDefault="002F6D7C" w14:paraId="2CC544F7" w14:textId="77777777">
      <w:pPr>
        <w:rPr>
          <w:rFonts w:ascii="Book Antiqua" w:hAnsi="Book Antiqua"/>
        </w:rPr>
      </w:pPr>
      <w:r w:rsidRPr="008B2ADC">
        <w:rPr>
          <w:rFonts w:ascii="Book Antiqua" w:hAnsi="Book Antiqua"/>
        </w:rPr>
        <w:t xml:space="preserve">Consumer Protection and Enforcement Division (CPED) </w:t>
      </w:r>
      <w:r w:rsidRPr="008B2ADC" w:rsidR="00822656">
        <w:rPr>
          <w:rFonts w:ascii="Book Antiqua" w:hAnsi="Book Antiqua"/>
        </w:rPr>
        <w:t>maintains that GoGo is a TCP pursuant to Section 5360 and a TNC pursuant to Section 5431(c</w:t>
      </w:r>
      <w:r w:rsidRPr="008B2ADC" w:rsidR="008307C7">
        <w:rPr>
          <w:rFonts w:ascii="Book Antiqua" w:hAnsi="Book Antiqua"/>
        </w:rPr>
        <w:t>).</w:t>
      </w:r>
      <w:r w:rsidRPr="008B2ADC" w:rsidR="00822656">
        <w:rPr>
          <w:rFonts w:ascii="Book Antiqua" w:hAnsi="Book Antiqua"/>
        </w:rPr>
        <w:t xml:space="preserve">  GoGo maintains that it is </w:t>
      </w:r>
      <w:r w:rsidRPr="008B2ADC" w:rsidR="00425EA0">
        <w:rPr>
          <w:rFonts w:ascii="Book Antiqua" w:hAnsi="Book Antiqua"/>
        </w:rPr>
        <w:t>neither</w:t>
      </w:r>
      <w:r w:rsidRPr="008B2ADC" w:rsidR="008307C7">
        <w:rPr>
          <w:rFonts w:ascii="Book Antiqua" w:hAnsi="Book Antiqua"/>
        </w:rPr>
        <w:t>.</w:t>
      </w:r>
    </w:p>
    <w:p w:rsidRPr="008B2ADC" w:rsidR="008307C7" w:rsidP="002F6D7C" w:rsidRDefault="008307C7" w14:paraId="26F37420" w14:textId="77777777">
      <w:pPr>
        <w:rPr>
          <w:rFonts w:ascii="Book Antiqua" w:hAnsi="Book Antiqua"/>
        </w:rPr>
      </w:pPr>
    </w:p>
    <w:p w:rsidRPr="008B2ADC" w:rsidR="00C47C2A" w:rsidP="002F6D7C" w:rsidRDefault="002F6D7C" w14:paraId="64BAB289" w14:textId="77777777">
      <w:pPr>
        <w:rPr>
          <w:rFonts w:ascii="Book Antiqua" w:hAnsi="Book Antiqua"/>
        </w:rPr>
      </w:pPr>
      <w:r w:rsidRPr="008B2ADC">
        <w:rPr>
          <w:rFonts w:ascii="Book Antiqua" w:hAnsi="Book Antiqua"/>
        </w:rPr>
        <w:t>GoGo further asserts that the Commission’s citation appeal process (Resolution ALJ</w:t>
      </w:r>
      <w:r w:rsidRPr="008B2ADC" w:rsidR="008B2ADC">
        <w:rPr>
          <w:rFonts w:ascii="Book Antiqua" w:hAnsi="Book Antiqua"/>
        </w:rPr>
        <w:noBreakHyphen/>
      </w:r>
      <w:r w:rsidRPr="008B2ADC">
        <w:rPr>
          <w:rFonts w:ascii="Book Antiqua" w:hAnsi="Book Antiqua"/>
        </w:rPr>
        <w:t>299) is unlawful for failing to comply with the requirements of “adjudication” proceedings under Public Utilities (Pub. Util.) Code Sections 1701.1 and 1701.2</w:t>
      </w:r>
      <w:r w:rsidRPr="008B2ADC" w:rsidR="00566FB0">
        <w:rPr>
          <w:rFonts w:ascii="Book Antiqua" w:hAnsi="Book Antiqua"/>
        </w:rPr>
        <w:t xml:space="preserve"> and that the </w:t>
      </w:r>
      <w:r w:rsidRPr="008B2ADC">
        <w:rPr>
          <w:rFonts w:ascii="Book Antiqua" w:hAnsi="Book Antiqua"/>
        </w:rPr>
        <w:t xml:space="preserve">Commission </w:t>
      </w:r>
      <w:r w:rsidRPr="008B2ADC" w:rsidR="00566FB0">
        <w:rPr>
          <w:rFonts w:ascii="Book Antiqua" w:hAnsi="Book Antiqua"/>
        </w:rPr>
        <w:t xml:space="preserve">should </w:t>
      </w:r>
      <w:r w:rsidRPr="008B2ADC">
        <w:rPr>
          <w:rFonts w:ascii="Book Antiqua" w:hAnsi="Book Antiqua"/>
        </w:rPr>
        <w:t>open a rulemaking (or delegate</w:t>
      </w:r>
      <w:r w:rsidRPr="008B2ADC" w:rsidR="00566FB0">
        <w:rPr>
          <w:rFonts w:ascii="Book Antiqua" w:hAnsi="Book Antiqua"/>
        </w:rPr>
        <w:t xml:space="preserve"> </w:t>
      </w:r>
      <w:r w:rsidRPr="008B2ADC">
        <w:rPr>
          <w:rFonts w:ascii="Book Antiqua" w:hAnsi="Book Antiqua"/>
        </w:rPr>
        <w:t xml:space="preserve">this </w:t>
      </w:r>
      <w:r w:rsidRPr="008B2ADC" w:rsidR="00566FB0">
        <w:rPr>
          <w:rFonts w:ascii="Book Antiqua" w:hAnsi="Book Antiqua"/>
        </w:rPr>
        <w:t xml:space="preserve">issue </w:t>
      </w:r>
      <w:r w:rsidRPr="008B2ADC">
        <w:rPr>
          <w:rFonts w:ascii="Book Antiqua" w:hAnsi="Book Antiqua"/>
        </w:rPr>
        <w:t>to an existing rulemaking such as</w:t>
      </w:r>
      <w:r w:rsidRPr="008B2ADC" w:rsidR="00566FB0">
        <w:rPr>
          <w:rFonts w:ascii="Book Antiqua" w:hAnsi="Book Antiqua"/>
        </w:rPr>
        <w:t xml:space="preserve"> </w:t>
      </w:r>
      <w:r w:rsidRPr="008B2ADC">
        <w:rPr>
          <w:rFonts w:ascii="Book Antiqua" w:hAnsi="Book Antiqua"/>
        </w:rPr>
        <w:t>Rulemaking 12</w:t>
      </w:r>
      <w:r w:rsidRPr="008B2ADC" w:rsidR="008B2ADC">
        <w:rPr>
          <w:rFonts w:ascii="Book Antiqua" w:hAnsi="Book Antiqua"/>
        </w:rPr>
        <w:noBreakHyphen/>
      </w:r>
      <w:r w:rsidRPr="008B2ADC">
        <w:rPr>
          <w:rFonts w:ascii="Book Antiqua" w:hAnsi="Book Antiqua"/>
        </w:rPr>
        <w:t>12</w:t>
      </w:r>
      <w:r w:rsidRPr="008B2ADC" w:rsidR="008B2ADC">
        <w:rPr>
          <w:rFonts w:ascii="Book Antiqua" w:hAnsi="Book Antiqua"/>
        </w:rPr>
        <w:noBreakHyphen/>
      </w:r>
      <w:r w:rsidRPr="008B2ADC">
        <w:rPr>
          <w:rFonts w:ascii="Book Antiqua" w:hAnsi="Book Antiqua"/>
        </w:rPr>
        <w:t>011) to consider whether, as a policy</w:t>
      </w:r>
      <w:r w:rsidRPr="008B2ADC" w:rsidR="00566FB0">
        <w:rPr>
          <w:rFonts w:ascii="Book Antiqua" w:hAnsi="Book Antiqua"/>
        </w:rPr>
        <w:t xml:space="preserve"> </w:t>
      </w:r>
      <w:r w:rsidRPr="008B2ADC">
        <w:rPr>
          <w:rFonts w:ascii="Book Antiqua" w:hAnsi="Book Antiqua"/>
        </w:rPr>
        <w:t>matter, modifications might be made to GoGo</w:t>
      </w:r>
      <w:r w:rsidRPr="008B2ADC" w:rsidR="00460D6A">
        <w:rPr>
          <w:rFonts w:ascii="Book Antiqua" w:hAnsi="Book Antiqua"/>
        </w:rPr>
        <w:t xml:space="preserve"> T</w:t>
      </w:r>
      <w:r w:rsidRPr="008B2ADC">
        <w:rPr>
          <w:rFonts w:ascii="Book Antiqua" w:hAnsi="Book Antiqua"/>
        </w:rPr>
        <w:t>echnologies’ operations that would allow it to provide its</w:t>
      </w:r>
      <w:r w:rsidRPr="008B2ADC" w:rsidR="00566FB0">
        <w:rPr>
          <w:rFonts w:ascii="Book Antiqua" w:hAnsi="Book Antiqua"/>
        </w:rPr>
        <w:t xml:space="preserve"> </w:t>
      </w:r>
      <w:r w:rsidRPr="008B2ADC">
        <w:rPr>
          <w:rFonts w:ascii="Book Antiqua" w:hAnsi="Book Antiqua"/>
        </w:rPr>
        <w:t>services without subjecting it to the Commission’s</w:t>
      </w:r>
      <w:r w:rsidRPr="008B2ADC" w:rsidR="00566FB0">
        <w:rPr>
          <w:rFonts w:ascii="Book Antiqua" w:hAnsi="Book Antiqua"/>
        </w:rPr>
        <w:t xml:space="preserve"> </w:t>
      </w:r>
      <w:r w:rsidRPr="008B2ADC">
        <w:rPr>
          <w:rFonts w:ascii="Book Antiqua" w:hAnsi="Book Antiqua"/>
        </w:rPr>
        <w:t>jurisdiction</w:t>
      </w:r>
      <w:r w:rsidRPr="008B2ADC" w:rsidR="00566FB0">
        <w:rPr>
          <w:rFonts w:ascii="Book Antiqua" w:hAnsi="Book Antiqua"/>
        </w:rPr>
        <w:t>.</w:t>
      </w:r>
    </w:p>
    <w:p w:rsidRPr="008B2ADC" w:rsidR="00566FB0" w:rsidP="002F6D7C" w:rsidRDefault="00566FB0" w14:paraId="69601379" w14:textId="77777777">
      <w:pPr>
        <w:rPr>
          <w:rFonts w:ascii="Book Antiqua" w:hAnsi="Book Antiqua"/>
        </w:rPr>
      </w:pPr>
    </w:p>
    <w:p w:rsidRPr="008B2ADC" w:rsidR="00566FB0" w:rsidP="002F6D7C" w:rsidRDefault="00566FB0" w14:paraId="25D803C4" w14:textId="2CCADE9A">
      <w:pPr>
        <w:rPr>
          <w:rFonts w:ascii="Book Antiqua" w:hAnsi="Book Antiqua"/>
        </w:rPr>
      </w:pPr>
      <w:r w:rsidRPr="008B2ADC">
        <w:rPr>
          <w:rFonts w:ascii="Book Antiqua" w:hAnsi="Book Antiqua"/>
        </w:rPr>
        <w:t>We address the issue of whether GoGo is a T</w:t>
      </w:r>
      <w:r w:rsidRPr="008B2ADC" w:rsidR="00EC663A">
        <w:rPr>
          <w:rFonts w:ascii="Book Antiqua" w:hAnsi="Book Antiqua"/>
        </w:rPr>
        <w:t xml:space="preserve">CP or a TNC </w:t>
      </w:r>
      <w:r w:rsidRPr="008B2ADC">
        <w:rPr>
          <w:rFonts w:ascii="Book Antiqua" w:hAnsi="Book Antiqua"/>
        </w:rPr>
        <w:t xml:space="preserve">below.  Because we find that </w:t>
      </w:r>
      <w:r w:rsidR="003E543E">
        <w:rPr>
          <w:rFonts w:ascii="Book Antiqua" w:hAnsi="Book Antiqua"/>
        </w:rPr>
        <w:t xml:space="preserve">for purposes of this proceeding </w:t>
      </w:r>
      <w:r w:rsidR="00823052">
        <w:rPr>
          <w:rFonts w:ascii="Book Antiqua" w:hAnsi="Book Antiqua"/>
        </w:rPr>
        <w:t xml:space="preserve">of a citation appeal </w:t>
      </w:r>
      <w:r w:rsidR="003E543E">
        <w:rPr>
          <w:rFonts w:ascii="Book Antiqua" w:hAnsi="Book Antiqua"/>
        </w:rPr>
        <w:t xml:space="preserve">that </w:t>
      </w:r>
      <w:r w:rsidRPr="008B2ADC">
        <w:rPr>
          <w:rFonts w:ascii="Book Antiqua" w:hAnsi="Book Antiqua"/>
        </w:rPr>
        <w:t>it is neither, we do not reach GoGo’s further assertions</w:t>
      </w:r>
      <w:r w:rsidRPr="008B2ADC" w:rsidR="00CE2DF8">
        <w:rPr>
          <w:rFonts w:ascii="Book Antiqua" w:hAnsi="Book Antiqua"/>
        </w:rPr>
        <w:t>.</w:t>
      </w:r>
    </w:p>
    <w:p w:rsidRPr="00E74F21" w:rsidR="002F6D7C" w:rsidRDefault="002F6D7C" w14:paraId="6B1544E0" w14:textId="77777777">
      <w:pPr>
        <w:keepNext/>
        <w:rPr>
          <w:rFonts w:ascii="Book Antiqua" w:hAnsi="Book Antiqua"/>
          <w:b/>
          <w:sz w:val="30"/>
          <w:u w:val="single"/>
        </w:rPr>
      </w:pPr>
    </w:p>
    <w:p w:rsidRPr="008B2ADC" w:rsidR="00C47C2A" w:rsidRDefault="00C47C2A" w14:paraId="2A003AF0" w14:textId="77777777">
      <w:pPr>
        <w:keepNext/>
        <w:rPr>
          <w:rFonts w:ascii="Book Antiqua" w:hAnsi="Book Antiqua"/>
          <w:b/>
          <w:u w:val="single"/>
        </w:rPr>
      </w:pPr>
      <w:r w:rsidRPr="008B2ADC">
        <w:rPr>
          <w:rFonts w:ascii="Book Antiqua" w:hAnsi="Book Antiqua"/>
          <w:b/>
          <w:u w:val="single"/>
        </w:rPr>
        <w:t>DISCUSSION</w:t>
      </w:r>
    </w:p>
    <w:p w:rsidRPr="008B2ADC" w:rsidR="00C47C2A" w:rsidRDefault="00C47C2A" w14:paraId="65E1E2E0" w14:textId="77777777">
      <w:pPr>
        <w:rPr>
          <w:rFonts w:ascii="Book Antiqua" w:hAnsi="Book Antiqua"/>
        </w:rPr>
      </w:pPr>
    </w:p>
    <w:p w:rsidR="00CA05FB" w:rsidP="00020C0C" w:rsidRDefault="00CA05FB" w14:paraId="25C9957A" w14:textId="2CC865B5">
      <w:pPr>
        <w:keepNext/>
        <w:keepLines/>
        <w:numPr>
          <w:ilvl w:val="0"/>
          <w:numId w:val="7"/>
        </w:numPr>
        <w:rPr>
          <w:rFonts w:ascii="Book Antiqua" w:hAnsi="Book Antiqua"/>
          <w:bCs/>
        </w:rPr>
      </w:pPr>
      <w:r w:rsidRPr="008B2ADC">
        <w:rPr>
          <w:rFonts w:ascii="Book Antiqua" w:hAnsi="Book Antiqua"/>
          <w:bCs/>
        </w:rPr>
        <w:t>Ambiguity</w:t>
      </w:r>
    </w:p>
    <w:p w:rsidR="00FC7A5D" w:rsidP="00FC7A5D" w:rsidRDefault="00FC7A5D" w14:paraId="1EF29FE1" w14:textId="5CEC4D62">
      <w:pPr>
        <w:keepNext/>
        <w:keepLines/>
        <w:rPr>
          <w:rFonts w:ascii="Book Antiqua" w:hAnsi="Book Antiqua"/>
          <w:bCs/>
        </w:rPr>
      </w:pPr>
    </w:p>
    <w:p w:rsidR="00FC7A5D" w:rsidP="00FC7A5D" w:rsidRDefault="00FC7A5D" w14:paraId="158ED39F" w14:textId="189631A0">
      <w:pPr>
        <w:rPr>
          <w:rFonts w:ascii="Book Antiqua" w:hAnsi="Book Antiqua"/>
          <w:bCs/>
        </w:rPr>
      </w:pPr>
      <w:r w:rsidRPr="00B75BB3">
        <w:rPr>
          <w:rFonts w:ascii="Book Antiqua" w:hAnsi="Book Antiqua"/>
          <w:bCs/>
        </w:rPr>
        <w:t>In its brief, GoGo challenges CPED’s interpretation of Sections 5360 and 5431(c) as applied to it and to other, similar “concierge services.”  (GoGo opening brief, pp. 38-40.)  As in all Commission cases, when statutory language is unambiguous, the Commission can determine the intent from the plain meaning of the language itself.  (</w:t>
      </w:r>
      <w:r w:rsidRPr="00EB63E6">
        <w:rPr>
          <w:rFonts w:ascii="Book Antiqua" w:hAnsi="Book Antiqua"/>
          <w:bCs/>
          <w:i/>
          <w:iCs/>
        </w:rPr>
        <w:t>Carlton Browne &amp; Co. v. Super. Ct.</w:t>
      </w:r>
      <w:r w:rsidRPr="00B75BB3">
        <w:rPr>
          <w:rFonts w:ascii="Book Antiqua" w:hAnsi="Book Antiqua"/>
          <w:bCs/>
        </w:rPr>
        <w:t xml:space="preserve"> (1989) 210 Cal.App.3d 35, 40.)  On the other hand, when an ambiguity exists, the Commission may look to extrinsic sources, including the ostensible objects to be achieved and the legislative history.  (</w:t>
      </w:r>
      <w:r w:rsidRPr="00EB63E6">
        <w:rPr>
          <w:rFonts w:ascii="Book Antiqua" w:hAnsi="Book Antiqua"/>
          <w:bCs/>
          <w:i/>
          <w:iCs/>
        </w:rPr>
        <w:t>Estate of Griswold v. See</w:t>
      </w:r>
      <w:r w:rsidRPr="00B75BB3">
        <w:rPr>
          <w:rFonts w:ascii="Book Antiqua" w:hAnsi="Book Antiqua"/>
          <w:bCs/>
        </w:rPr>
        <w:t xml:space="preserve"> (“</w:t>
      </w:r>
      <w:r w:rsidRPr="00EB63E6">
        <w:rPr>
          <w:rFonts w:ascii="Book Antiqua" w:hAnsi="Book Antiqua"/>
          <w:bCs/>
          <w:i/>
          <w:iCs/>
        </w:rPr>
        <w:t>Griswold</w:t>
      </w:r>
      <w:r w:rsidRPr="00B75BB3">
        <w:rPr>
          <w:rFonts w:ascii="Book Antiqua" w:hAnsi="Book Antiqua"/>
          <w:bCs/>
        </w:rPr>
        <w:t>”) (2001) 25 Cal.4th 904, 911.)  An ambiguity exists “when language as applied to a concrete dispute is reasonably susceptible of different, plausible, meanings.”  (</w:t>
      </w:r>
      <w:r w:rsidRPr="00EB63E6">
        <w:rPr>
          <w:rFonts w:ascii="Book Antiqua" w:hAnsi="Book Antiqua"/>
          <w:bCs/>
          <w:i/>
          <w:iCs/>
        </w:rPr>
        <w:t>Cal. Dept. of Human Resources v. Service Employees Internat. Union, Local 1000</w:t>
      </w:r>
      <w:r w:rsidRPr="00B75BB3">
        <w:rPr>
          <w:rFonts w:ascii="Book Antiqua" w:hAnsi="Book Antiqua"/>
          <w:bCs/>
        </w:rPr>
        <w:t xml:space="preserve"> (2012) 209 Cal.App.4th 1420, 1430 [contract interpretation]; see also </w:t>
      </w:r>
      <w:r w:rsidRPr="00D720E1">
        <w:rPr>
          <w:rFonts w:ascii="Book Antiqua" w:hAnsi="Book Antiqua"/>
          <w:bCs/>
          <w:i/>
          <w:iCs/>
        </w:rPr>
        <w:t>In re C.C.</w:t>
      </w:r>
      <w:r w:rsidRPr="00B75BB3">
        <w:rPr>
          <w:rFonts w:ascii="Book Antiqua" w:hAnsi="Book Antiqua"/>
          <w:bCs/>
        </w:rPr>
        <w:t xml:space="preserve"> (2009) 178 Cal.App.4th 915, 922 [the meaning of language generally hinges on its application to a given set of facts]; </w:t>
      </w:r>
      <w:r w:rsidRPr="00EB63E6">
        <w:rPr>
          <w:rFonts w:ascii="Book Antiqua" w:hAnsi="Book Antiqua"/>
          <w:bCs/>
          <w:i/>
          <w:iCs/>
        </w:rPr>
        <w:t>Missionary Guadalupanas of Holy Spirit Inc. v. Rouillard</w:t>
      </w:r>
      <w:r w:rsidRPr="00B75BB3">
        <w:rPr>
          <w:rFonts w:ascii="Book Antiqua" w:hAnsi="Book Antiqua"/>
          <w:bCs/>
        </w:rPr>
        <w:t xml:space="preserve"> (2019) 38 Cal.App.5th 421, 427 </w:t>
      </w:r>
      <w:r w:rsidRPr="00B75BB3">
        <w:rPr>
          <w:rFonts w:ascii="Book Antiqua" w:hAnsi="Book Antiqua"/>
          <w:bCs/>
        </w:rPr>
        <w:lastRenderedPageBreak/>
        <w:t>[ambiguity analysis requires consideration of “whether the language of the law in question is ambiguous as applied to the circumstances presented.”].)  In addressing ambiguity, the Commission must “select the construction that comports most closely with the apparent intent…with a view to promoting rather than defeating the general purpose</w:t>
      </w:r>
      <w:proofErr w:type="gramStart"/>
      <w:r w:rsidRPr="00B75BB3">
        <w:rPr>
          <w:rFonts w:ascii="Book Antiqua" w:hAnsi="Book Antiqua"/>
          <w:bCs/>
        </w:rPr>
        <w:t>…, and</w:t>
      </w:r>
      <w:proofErr w:type="gramEnd"/>
      <w:r w:rsidRPr="00B75BB3">
        <w:rPr>
          <w:rFonts w:ascii="Book Antiqua" w:hAnsi="Book Antiqua"/>
          <w:bCs/>
        </w:rPr>
        <w:t xml:space="preserve"> avoid an interpretation that would lead to absurd consequences.”  (</w:t>
      </w:r>
      <w:r w:rsidRPr="00EB63E6">
        <w:rPr>
          <w:rFonts w:ascii="Book Antiqua" w:hAnsi="Book Antiqua"/>
          <w:bCs/>
          <w:i/>
          <w:iCs/>
        </w:rPr>
        <w:t>Griswold</w:t>
      </w:r>
      <w:r w:rsidRPr="00B75BB3">
        <w:rPr>
          <w:rFonts w:ascii="Book Antiqua" w:hAnsi="Book Antiqua"/>
          <w:bCs/>
        </w:rPr>
        <w:t xml:space="preserve"> at p. 911.)  </w:t>
      </w:r>
    </w:p>
    <w:p w:rsidRPr="00B75BB3" w:rsidR="00EB63E6" w:rsidP="00FC7A5D" w:rsidRDefault="00EB63E6" w14:paraId="54FA8EAE" w14:textId="77777777">
      <w:pPr>
        <w:rPr>
          <w:rFonts w:ascii="Book Antiqua" w:hAnsi="Book Antiqua"/>
          <w:bCs/>
        </w:rPr>
      </w:pPr>
    </w:p>
    <w:p w:rsidRPr="008B2ADC" w:rsidR="00FC7A5D" w:rsidP="00FC7A5D" w:rsidRDefault="00FC7A5D" w14:paraId="70618FDA" w14:textId="23592DF1">
      <w:pPr>
        <w:keepNext/>
        <w:keepLines/>
        <w:rPr>
          <w:rFonts w:ascii="Book Antiqua" w:hAnsi="Book Antiqua"/>
          <w:bCs/>
        </w:rPr>
      </w:pPr>
      <w:r w:rsidRPr="00B75BB3">
        <w:rPr>
          <w:rFonts w:ascii="Book Antiqua" w:hAnsi="Book Antiqua"/>
          <w:bCs/>
        </w:rPr>
        <w:t>Here, as applied to the facts and circumstances in this dispute, several provisions of sections 5360 and 5431(c</w:t>
      </w:r>
      <w:r>
        <w:rPr>
          <w:rFonts w:ascii="Book Antiqua" w:hAnsi="Book Antiqua"/>
          <w:bCs/>
        </w:rPr>
        <w:t>) are ambiguous.</w:t>
      </w:r>
    </w:p>
    <w:p w:rsidRPr="008B2ADC" w:rsidR="00CA05FB" w:rsidP="00106387" w:rsidRDefault="00CA05FB" w14:paraId="41782497" w14:textId="77777777">
      <w:pPr>
        <w:rPr>
          <w:rFonts w:ascii="Book Antiqua" w:hAnsi="Book Antiqua"/>
          <w:bCs/>
        </w:rPr>
      </w:pPr>
    </w:p>
    <w:p w:rsidRPr="008B2ADC" w:rsidR="00106387" w:rsidP="00106387" w:rsidRDefault="00FC7A5D" w14:paraId="39208255" w14:textId="1CC781B9">
      <w:pPr>
        <w:rPr>
          <w:rFonts w:ascii="Book Antiqua" w:hAnsi="Book Antiqua"/>
          <w:bCs/>
        </w:rPr>
      </w:pPr>
      <w:r>
        <w:rPr>
          <w:rFonts w:ascii="Book Antiqua" w:hAnsi="Book Antiqua"/>
          <w:bCs/>
        </w:rPr>
        <w:t xml:space="preserve">As applied here, </w:t>
      </w:r>
      <w:r w:rsidRPr="008B2ADC" w:rsidR="00106387">
        <w:rPr>
          <w:rFonts w:ascii="Book Antiqua" w:hAnsi="Book Antiqua"/>
          <w:bCs/>
        </w:rPr>
        <w:t xml:space="preserve">Section 5360’s </w:t>
      </w:r>
      <w:r w:rsidRPr="008B2ADC" w:rsidR="009D0A97">
        <w:rPr>
          <w:rFonts w:ascii="Book Antiqua" w:hAnsi="Book Antiqua"/>
          <w:bCs/>
        </w:rPr>
        <w:t>definition of a TCP is ambiguous.  A</w:t>
      </w:r>
      <w:r w:rsidRPr="008B2ADC" w:rsidR="00106387">
        <w:rPr>
          <w:rFonts w:ascii="Book Antiqua" w:hAnsi="Book Antiqua"/>
          <w:bCs/>
        </w:rPr>
        <w:t xml:space="preserve"> “person engaged in the transportation of persons by motor vehicle for compensation” is commonly understood to mean a</w:t>
      </w:r>
      <w:r w:rsidRPr="008B2ADC" w:rsidR="009D0A97">
        <w:rPr>
          <w:rFonts w:ascii="Book Antiqua" w:hAnsi="Book Antiqua"/>
          <w:bCs/>
        </w:rPr>
        <w:t xml:space="preserve">n individual or entity </w:t>
      </w:r>
      <w:r w:rsidRPr="008B2ADC" w:rsidR="004517A6">
        <w:rPr>
          <w:rFonts w:ascii="Book Antiqua" w:hAnsi="Book Antiqua"/>
          <w:bCs/>
        </w:rPr>
        <w:t xml:space="preserve">who drives another person for compensation.  </w:t>
      </w:r>
      <w:r w:rsidRPr="008B2ADC" w:rsidR="00106387">
        <w:rPr>
          <w:rFonts w:ascii="Book Antiqua" w:hAnsi="Book Antiqua"/>
          <w:bCs/>
        </w:rPr>
        <w:t xml:space="preserve">However, </w:t>
      </w:r>
      <w:r w:rsidRPr="008B2ADC" w:rsidR="004517A6">
        <w:rPr>
          <w:rFonts w:ascii="Book Antiqua" w:hAnsi="Book Antiqua"/>
          <w:bCs/>
        </w:rPr>
        <w:t xml:space="preserve">it is unclear from its plain language whether the definition is limited to </w:t>
      </w:r>
      <w:r w:rsidRPr="008B2ADC" w:rsidR="00106387">
        <w:rPr>
          <w:rFonts w:ascii="Book Antiqua" w:hAnsi="Book Antiqua"/>
          <w:bCs/>
        </w:rPr>
        <w:t xml:space="preserve">the </w:t>
      </w:r>
      <w:r w:rsidRPr="008B2ADC" w:rsidR="004517A6">
        <w:rPr>
          <w:rFonts w:ascii="Book Antiqua" w:hAnsi="Book Antiqua"/>
          <w:bCs/>
        </w:rPr>
        <w:t xml:space="preserve">entity that does the driving or, conversely, extends to include any entity that hails a ride for another person </w:t>
      </w:r>
      <w:r w:rsidRPr="008B2ADC" w:rsidR="00106387">
        <w:rPr>
          <w:rFonts w:ascii="Book Antiqua" w:hAnsi="Book Antiqua"/>
          <w:bCs/>
        </w:rPr>
        <w:t xml:space="preserve">such as hotel </w:t>
      </w:r>
      <w:r w:rsidRPr="008B2ADC" w:rsidR="004517A6">
        <w:rPr>
          <w:rFonts w:ascii="Book Antiqua" w:hAnsi="Book Antiqua"/>
          <w:bCs/>
        </w:rPr>
        <w:t xml:space="preserve">might do through a </w:t>
      </w:r>
      <w:r w:rsidRPr="008B2ADC" w:rsidR="00106387">
        <w:rPr>
          <w:rFonts w:ascii="Book Antiqua" w:hAnsi="Book Antiqua"/>
          <w:bCs/>
        </w:rPr>
        <w:t xml:space="preserve">doorperson or concierge.  </w:t>
      </w:r>
    </w:p>
    <w:p w:rsidRPr="008B2ADC" w:rsidR="00106387" w:rsidP="00106387" w:rsidRDefault="00106387" w14:paraId="2F34C9AD" w14:textId="77777777">
      <w:pPr>
        <w:rPr>
          <w:rFonts w:ascii="Book Antiqua" w:hAnsi="Book Antiqua"/>
          <w:bCs/>
        </w:rPr>
      </w:pPr>
    </w:p>
    <w:p w:rsidRPr="008B2ADC" w:rsidR="00F779E2" w:rsidP="00F779E2" w:rsidRDefault="00106387" w14:paraId="1729C0AD" w14:textId="4FE8B3BE">
      <w:pPr>
        <w:rPr>
          <w:rFonts w:ascii="Book Antiqua" w:hAnsi="Book Antiqua"/>
          <w:bCs/>
        </w:rPr>
      </w:pPr>
      <w:bookmarkStart w:name="_Hlk20829602" w:id="1"/>
      <w:r w:rsidRPr="008B2ADC">
        <w:rPr>
          <w:rFonts w:ascii="Book Antiqua" w:hAnsi="Book Antiqua"/>
          <w:bCs/>
        </w:rPr>
        <w:t>Section 5431(c) is likewise ambiguous</w:t>
      </w:r>
      <w:r w:rsidR="00FC7A5D">
        <w:rPr>
          <w:rFonts w:ascii="Book Antiqua" w:hAnsi="Book Antiqua"/>
          <w:bCs/>
        </w:rPr>
        <w:t xml:space="preserve"> as applied in this instance</w:t>
      </w:r>
      <w:r w:rsidRPr="008B2ADC">
        <w:rPr>
          <w:rFonts w:ascii="Book Antiqua" w:hAnsi="Book Antiqua"/>
          <w:bCs/>
        </w:rPr>
        <w:t>.</w:t>
      </w:r>
      <w:r w:rsidRPr="008B2ADC" w:rsidR="00020C0C">
        <w:rPr>
          <w:rFonts w:ascii="Book Antiqua" w:hAnsi="Book Antiqua"/>
          <w:bCs/>
        </w:rPr>
        <w:t xml:space="preserve"> </w:t>
      </w:r>
      <w:r w:rsidRPr="008B2ADC">
        <w:rPr>
          <w:rFonts w:ascii="Book Antiqua" w:hAnsi="Book Antiqua"/>
          <w:bCs/>
        </w:rPr>
        <w:t xml:space="preserve"> </w:t>
      </w:r>
      <w:r w:rsidR="002E4439">
        <w:rPr>
          <w:rFonts w:ascii="Book Antiqua" w:hAnsi="Book Antiqua"/>
          <w:bCs/>
        </w:rPr>
        <w:t xml:space="preserve">While CPED interprets the </w:t>
      </w:r>
      <w:r w:rsidRPr="008B2ADC" w:rsidR="00363D81">
        <w:rPr>
          <w:rFonts w:ascii="Book Antiqua" w:hAnsi="Book Antiqua"/>
          <w:bCs/>
        </w:rPr>
        <w:t xml:space="preserve"> </w:t>
      </w:r>
      <w:r w:rsidRPr="008B2ADC" w:rsidR="00422AC7">
        <w:rPr>
          <w:rFonts w:ascii="Book Antiqua" w:hAnsi="Book Antiqua"/>
          <w:bCs/>
        </w:rPr>
        <w:t>“</w:t>
      </w:r>
      <w:r w:rsidRPr="008B2ADC" w:rsidR="00363D81">
        <w:rPr>
          <w:rFonts w:ascii="Book Antiqua" w:hAnsi="Book Antiqua"/>
          <w:bCs/>
        </w:rPr>
        <w:t>user</w:t>
      </w:r>
      <w:r w:rsidRPr="008B2ADC" w:rsidR="00422AC7">
        <w:rPr>
          <w:rFonts w:ascii="Book Antiqua" w:hAnsi="Book Antiqua"/>
          <w:bCs/>
        </w:rPr>
        <w:t>”</w:t>
      </w:r>
      <w:r w:rsidRPr="008B2ADC" w:rsidR="00363D81">
        <w:rPr>
          <w:rFonts w:ascii="Book Antiqua" w:hAnsi="Book Antiqua"/>
          <w:bCs/>
        </w:rPr>
        <w:t xml:space="preserve"> in the phrase “using an online</w:t>
      </w:r>
      <w:r w:rsidRPr="008B2ADC" w:rsidR="008B2ADC">
        <w:rPr>
          <w:rFonts w:ascii="Book Antiqua" w:hAnsi="Book Antiqua"/>
          <w:bCs/>
        </w:rPr>
        <w:noBreakHyphen/>
      </w:r>
      <w:r w:rsidR="001E73F3">
        <w:rPr>
          <w:rFonts w:ascii="Book Antiqua" w:hAnsi="Book Antiqua"/>
          <w:bCs/>
        </w:rPr>
        <w:t xml:space="preserve">enabled </w:t>
      </w:r>
      <w:r w:rsidRPr="008B2ADC" w:rsidR="00363D81">
        <w:rPr>
          <w:rFonts w:ascii="Book Antiqua" w:hAnsi="Book Antiqua"/>
          <w:bCs/>
        </w:rPr>
        <w:t>application”</w:t>
      </w:r>
      <w:r w:rsidRPr="008B2ADC" w:rsidR="00F779E2">
        <w:rPr>
          <w:rFonts w:ascii="Book Antiqua" w:hAnsi="Book Antiqua"/>
          <w:bCs/>
        </w:rPr>
        <w:t xml:space="preserve"> </w:t>
      </w:r>
      <w:r w:rsidR="002E4439">
        <w:rPr>
          <w:rFonts w:ascii="Book Antiqua" w:hAnsi="Book Antiqua"/>
          <w:bCs/>
        </w:rPr>
        <w:t xml:space="preserve">to include an organization that uses the Lyft or Uber app on behalf of the ultimate passenger, it can also be </w:t>
      </w:r>
      <w:r w:rsidRPr="008B2ADC" w:rsidR="009932EA">
        <w:rPr>
          <w:rFonts w:ascii="Book Antiqua" w:hAnsi="Book Antiqua"/>
          <w:bCs/>
        </w:rPr>
        <w:t xml:space="preserve"> reasonably construed to refer strictly to </w:t>
      </w:r>
      <w:r w:rsidRPr="008B2ADC" w:rsidR="004517A6">
        <w:rPr>
          <w:rFonts w:ascii="Book Antiqua" w:hAnsi="Book Antiqua"/>
          <w:bCs/>
        </w:rPr>
        <w:t>the entity that is providing the app that connects the passenger and the driver</w:t>
      </w:r>
      <w:r w:rsidRPr="008B2ADC" w:rsidR="009932EA">
        <w:rPr>
          <w:rFonts w:ascii="Book Antiqua" w:hAnsi="Book Antiqua"/>
          <w:bCs/>
        </w:rPr>
        <w:t xml:space="preserve">, </w:t>
      </w:r>
      <w:r w:rsidR="002E4439">
        <w:rPr>
          <w:rFonts w:ascii="Book Antiqua" w:hAnsi="Book Antiqua"/>
          <w:bCs/>
        </w:rPr>
        <w:t xml:space="preserve"> i.e.</w:t>
      </w:r>
      <w:r w:rsidRPr="008B2ADC" w:rsidR="009932EA">
        <w:rPr>
          <w:rFonts w:ascii="Book Antiqua" w:hAnsi="Book Antiqua"/>
          <w:bCs/>
        </w:rPr>
        <w:t>, Lyft and Uber</w:t>
      </w:r>
      <w:r w:rsidR="002E4439">
        <w:rPr>
          <w:rFonts w:ascii="Book Antiqua" w:hAnsi="Book Antiqua"/>
          <w:bCs/>
        </w:rPr>
        <w:t xml:space="preserve"> themselves</w:t>
      </w:r>
      <w:r w:rsidRPr="008B2ADC" w:rsidR="004517A6">
        <w:rPr>
          <w:rFonts w:ascii="Book Antiqua" w:hAnsi="Book Antiqua"/>
          <w:bCs/>
        </w:rPr>
        <w:t xml:space="preserve">.  </w:t>
      </w:r>
    </w:p>
    <w:p w:rsidR="002840D7" w:rsidP="00301EAF" w:rsidRDefault="00363D81" w14:paraId="37D1639F" w14:textId="435369DB">
      <w:pPr>
        <w:rPr>
          <w:rFonts w:ascii="Book Antiqua" w:hAnsi="Book Antiqua"/>
          <w:bCs/>
        </w:rPr>
      </w:pPr>
      <w:r w:rsidRPr="008B2ADC">
        <w:rPr>
          <w:rFonts w:ascii="Book Antiqua" w:hAnsi="Book Antiqua"/>
          <w:bCs/>
        </w:rPr>
        <w:br/>
      </w:r>
      <w:r w:rsidRPr="008B2ADC" w:rsidR="00301EAF">
        <w:rPr>
          <w:rFonts w:ascii="Book Antiqua" w:hAnsi="Book Antiqua"/>
          <w:bCs/>
        </w:rPr>
        <w:t>CPED maintains that</w:t>
      </w:r>
      <w:r w:rsidRPr="008B2ADC" w:rsidR="009932EA">
        <w:rPr>
          <w:rFonts w:ascii="Book Antiqua" w:hAnsi="Book Antiqua"/>
          <w:bCs/>
        </w:rPr>
        <w:t xml:space="preserve"> there is no ambiguity.  CPED maintains that GoGo plainly “transports” persons </w:t>
      </w:r>
      <w:r w:rsidRPr="008B2ADC" w:rsidR="00422AC7">
        <w:rPr>
          <w:rFonts w:ascii="Book Antiqua" w:hAnsi="Book Antiqua"/>
          <w:bCs/>
        </w:rPr>
        <w:t xml:space="preserve">pursuant to Section 5360 </w:t>
      </w:r>
      <w:r w:rsidRPr="008B2ADC" w:rsidR="002840D7">
        <w:rPr>
          <w:rFonts w:ascii="Book Antiqua" w:hAnsi="Book Antiqua"/>
          <w:bCs/>
        </w:rPr>
        <w:t>by virtue of co</w:t>
      </w:r>
      <w:r w:rsidRPr="008B2ADC" w:rsidR="009932EA">
        <w:rPr>
          <w:rFonts w:ascii="Book Antiqua" w:hAnsi="Book Antiqua"/>
          <w:bCs/>
        </w:rPr>
        <w:t xml:space="preserve">nnecting the customer with a driver.  </w:t>
      </w:r>
      <w:r w:rsidRPr="008B2ADC" w:rsidR="002840D7">
        <w:rPr>
          <w:rFonts w:ascii="Book Antiqua" w:hAnsi="Book Antiqua"/>
          <w:bCs/>
        </w:rPr>
        <w:t xml:space="preserve">(CPED opening brief, p. 3.)  </w:t>
      </w:r>
      <w:r w:rsidRPr="008B2ADC" w:rsidR="009932EA">
        <w:rPr>
          <w:rFonts w:ascii="Book Antiqua" w:hAnsi="Book Antiqua"/>
          <w:bCs/>
        </w:rPr>
        <w:t xml:space="preserve">As CPED argues, however, </w:t>
      </w:r>
      <w:r w:rsidRPr="008B2ADC" w:rsidR="002840D7">
        <w:rPr>
          <w:rFonts w:ascii="Book Antiqua" w:hAnsi="Book Antiqua"/>
          <w:bCs/>
        </w:rPr>
        <w:t>“transportation” “has been judicially defined as implying ‘the taking up of persons or property at some point and putting them down at another.’”  (</w:t>
      </w:r>
      <w:r w:rsidRPr="00242EA5" w:rsidR="00152BB8">
        <w:rPr>
          <w:rFonts w:ascii="Book Antiqua" w:hAnsi="Book Antiqua"/>
          <w:bCs/>
          <w:i/>
        </w:rPr>
        <w:t>Id</w:t>
      </w:r>
      <w:r w:rsidRPr="008B2ADC" w:rsidR="00152BB8">
        <w:rPr>
          <w:rFonts w:ascii="Book Antiqua" w:hAnsi="Book Antiqua"/>
          <w:bCs/>
        </w:rPr>
        <w:t xml:space="preserve">., citing </w:t>
      </w:r>
      <w:r w:rsidRPr="008B2ADC" w:rsidR="00152BB8">
        <w:rPr>
          <w:rFonts w:ascii="Book Antiqua" w:hAnsi="Book Antiqua"/>
          <w:bCs/>
          <w:i/>
          <w:iCs/>
        </w:rPr>
        <w:t>to Golden Gate Scenic Steamship Lines Inc. v. Public Utilities Comm.</w:t>
      </w:r>
      <w:r w:rsidRPr="008B2ADC" w:rsidR="00152BB8">
        <w:rPr>
          <w:rFonts w:ascii="Book Antiqua" w:hAnsi="Book Antiqua"/>
          <w:bCs/>
        </w:rPr>
        <w:t xml:space="preserve"> (1962) 57 Cal.2d 373, 380.) </w:t>
      </w:r>
      <w:r w:rsidRPr="008B2ADC" w:rsidR="002840D7">
        <w:rPr>
          <w:rFonts w:ascii="Book Antiqua" w:hAnsi="Book Antiqua"/>
          <w:bCs/>
        </w:rPr>
        <w:t xml:space="preserve"> </w:t>
      </w:r>
      <w:r w:rsidRPr="002610A7" w:rsidR="002610A7">
        <w:rPr>
          <w:rFonts w:ascii="Book Antiqua" w:hAnsi="Book Antiqua"/>
          <w:bCs/>
        </w:rPr>
        <w:t xml:space="preserve">“Connecting the customer with a driver” and “taking up </w:t>
      </w:r>
      <w:r w:rsidR="002610A7">
        <w:rPr>
          <w:rFonts w:ascii="Book Antiqua" w:hAnsi="Book Antiqua"/>
          <w:bCs/>
        </w:rPr>
        <w:t xml:space="preserve">a </w:t>
      </w:r>
      <w:r w:rsidRPr="002610A7" w:rsidR="002610A7">
        <w:rPr>
          <w:rFonts w:ascii="Book Antiqua" w:hAnsi="Book Antiqua"/>
          <w:bCs/>
        </w:rPr>
        <w:t xml:space="preserve">person at some point and putting them down at another” are two separate </w:t>
      </w:r>
      <w:r w:rsidR="002610A7">
        <w:rPr>
          <w:rFonts w:ascii="Book Antiqua" w:hAnsi="Book Antiqua"/>
          <w:bCs/>
        </w:rPr>
        <w:t>interpretations of “transportation,” which only serves to demonstrate the inherent ambiguity of the term.</w:t>
      </w:r>
      <w:r w:rsidR="006A3314">
        <w:rPr>
          <w:rFonts w:ascii="Book Antiqua" w:hAnsi="Book Antiqua"/>
          <w:bCs/>
        </w:rPr>
        <w:t xml:space="preserve">  </w:t>
      </w:r>
      <w:bookmarkStart w:name="_Hlk20830051" w:id="2"/>
      <w:bookmarkEnd w:id="1"/>
    </w:p>
    <w:bookmarkEnd w:id="2"/>
    <w:p w:rsidRPr="008B2ADC" w:rsidR="002840D7" w:rsidP="00301EAF" w:rsidRDefault="002840D7" w14:paraId="76E79C21" w14:textId="77777777">
      <w:pPr>
        <w:rPr>
          <w:rFonts w:ascii="Book Antiqua" w:hAnsi="Book Antiqua"/>
          <w:bCs/>
        </w:rPr>
      </w:pPr>
    </w:p>
    <w:p w:rsidRPr="008B2ADC" w:rsidR="001276B3" w:rsidP="00301EAF" w:rsidRDefault="002840D7" w14:paraId="2E5DA83B" w14:textId="7FEF2D16">
      <w:pPr>
        <w:rPr>
          <w:rFonts w:ascii="Book Antiqua" w:hAnsi="Book Antiqua"/>
          <w:bCs/>
        </w:rPr>
      </w:pPr>
      <w:r w:rsidRPr="008B2ADC">
        <w:rPr>
          <w:rFonts w:ascii="Book Antiqua" w:hAnsi="Book Antiqua"/>
          <w:bCs/>
        </w:rPr>
        <w:t>CPED maintains that</w:t>
      </w:r>
      <w:r w:rsidRPr="008B2ADC" w:rsidR="009932EA">
        <w:rPr>
          <w:rFonts w:ascii="Book Antiqua" w:hAnsi="Book Antiqua"/>
          <w:bCs/>
        </w:rPr>
        <w:t xml:space="preserve"> </w:t>
      </w:r>
      <w:r w:rsidRPr="008B2ADC">
        <w:rPr>
          <w:rFonts w:ascii="Book Antiqua" w:hAnsi="Book Antiqua"/>
          <w:bCs/>
        </w:rPr>
        <w:t xml:space="preserve">GoGo is “engaged” in the transportation of persons </w:t>
      </w:r>
      <w:r w:rsidRPr="008B2ADC" w:rsidR="00422AC7">
        <w:rPr>
          <w:rFonts w:ascii="Book Antiqua" w:hAnsi="Book Antiqua"/>
          <w:bCs/>
        </w:rPr>
        <w:t>pursuant to Section 5360 by v</w:t>
      </w:r>
      <w:r w:rsidRPr="008B2ADC">
        <w:rPr>
          <w:rFonts w:ascii="Book Antiqua" w:hAnsi="Book Antiqua"/>
          <w:bCs/>
        </w:rPr>
        <w:t xml:space="preserve">irtue of being “involved in </w:t>
      </w:r>
      <w:r w:rsidRPr="008B2ADC" w:rsidR="009932EA">
        <w:rPr>
          <w:rFonts w:ascii="Book Antiqua" w:hAnsi="Book Antiqua"/>
          <w:bCs/>
        </w:rPr>
        <w:t xml:space="preserve">[the] </w:t>
      </w:r>
      <w:r w:rsidRPr="008B2ADC">
        <w:rPr>
          <w:rFonts w:ascii="Book Antiqua" w:hAnsi="Book Antiqua"/>
          <w:bCs/>
        </w:rPr>
        <w:t>activity”</w:t>
      </w:r>
      <w:r w:rsidRPr="008B2ADC" w:rsidR="00A97D71">
        <w:rPr>
          <w:rFonts w:ascii="Book Antiqua" w:hAnsi="Book Antiqua"/>
          <w:bCs/>
        </w:rPr>
        <w:t xml:space="preserve"> </w:t>
      </w:r>
      <w:r w:rsidRPr="008B2ADC" w:rsidR="00422AC7">
        <w:rPr>
          <w:rFonts w:ascii="Book Antiqua" w:hAnsi="Book Antiqua"/>
          <w:bCs/>
        </w:rPr>
        <w:t>as the Merriam</w:t>
      </w:r>
      <w:r w:rsidRPr="008B2ADC" w:rsidR="008B2ADC">
        <w:rPr>
          <w:rFonts w:ascii="Book Antiqua" w:hAnsi="Book Antiqua"/>
          <w:bCs/>
        </w:rPr>
        <w:noBreakHyphen/>
      </w:r>
      <w:r w:rsidRPr="008B2ADC" w:rsidR="00422AC7">
        <w:rPr>
          <w:rFonts w:ascii="Book Antiqua" w:hAnsi="Book Antiqua"/>
          <w:bCs/>
        </w:rPr>
        <w:t xml:space="preserve">Webster dictionary defines the term.  </w:t>
      </w:r>
      <w:r w:rsidRPr="008B2ADC" w:rsidR="00BC1C13">
        <w:rPr>
          <w:rFonts w:ascii="Book Antiqua" w:hAnsi="Book Antiqua"/>
          <w:bCs/>
        </w:rPr>
        <w:t xml:space="preserve">(CPED opening brief, p. 4.)  </w:t>
      </w:r>
    </w:p>
    <w:p w:rsidRPr="008B2ADC" w:rsidR="001276B3" w:rsidP="00301EAF" w:rsidRDefault="001276B3" w14:paraId="5A0BBE37" w14:textId="77777777">
      <w:pPr>
        <w:rPr>
          <w:rFonts w:ascii="Book Antiqua" w:hAnsi="Book Antiqua"/>
          <w:bCs/>
        </w:rPr>
      </w:pPr>
    </w:p>
    <w:p w:rsidRPr="008B2ADC" w:rsidR="00822656" w:rsidP="00301EAF" w:rsidRDefault="000A13C7" w14:paraId="0F8D3B92" w14:textId="18A619AA">
      <w:pPr>
        <w:rPr>
          <w:rFonts w:ascii="Book Antiqua" w:hAnsi="Book Antiqua"/>
          <w:bCs/>
        </w:rPr>
      </w:pPr>
      <w:r w:rsidRPr="008B2ADC">
        <w:rPr>
          <w:rFonts w:ascii="Book Antiqua" w:hAnsi="Book Antiqua"/>
          <w:bCs/>
        </w:rPr>
        <w:t xml:space="preserve">CPED maintains that, by </w:t>
      </w:r>
      <w:r w:rsidRPr="008B2ADC" w:rsidR="00822656">
        <w:rPr>
          <w:rFonts w:ascii="Book Antiqua" w:hAnsi="Book Antiqua"/>
          <w:bCs/>
        </w:rPr>
        <w:t xml:space="preserve">its </w:t>
      </w:r>
      <w:r w:rsidRPr="008B2ADC">
        <w:rPr>
          <w:rFonts w:ascii="Book Antiqua" w:hAnsi="Book Antiqua"/>
          <w:bCs/>
        </w:rPr>
        <w:t xml:space="preserve">plain </w:t>
      </w:r>
      <w:r w:rsidRPr="008B2ADC" w:rsidR="00822656">
        <w:rPr>
          <w:rFonts w:ascii="Book Antiqua" w:hAnsi="Book Antiqua"/>
          <w:bCs/>
        </w:rPr>
        <w:t>meaning, GoGo “uses” an on</w:t>
      </w:r>
      <w:r w:rsidRPr="008B2ADC" w:rsidR="008B2ADC">
        <w:rPr>
          <w:rFonts w:ascii="Book Antiqua" w:hAnsi="Book Antiqua"/>
          <w:bCs/>
        </w:rPr>
        <w:noBreakHyphen/>
      </w:r>
      <w:r w:rsidRPr="008B2ADC" w:rsidR="00822656">
        <w:rPr>
          <w:rFonts w:ascii="Book Antiqua" w:hAnsi="Book Antiqua"/>
          <w:bCs/>
        </w:rPr>
        <w:t xml:space="preserve">line platform to connect passengers to drivers pursuant to </w:t>
      </w:r>
      <w:r w:rsidRPr="008B2ADC">
        <w:rPr>
          <w:rFonts w:ascii="Book Antiqua" w:hAnsi="Book Antiqua"/>
          <w:bCs/>
        </w:rPr>
        <w:t>Section</w:t>
      </w:r>
      <w:r w:rsidRPr="008B2ADC" w:rsidR="00D66CE6">
        <w:rPr>
          <w:rFonts w:ascii="Book Antiqua" w:hAnsi="Book Antiqua"/>
          <w:bCs/>
        </w:rPr>
        <w:t xml:space="preserve"> 5431(c)</w:t>
      </w:r>
      <w:r w:rsidRPr="008B2ADC" w:rsidR="00822656">
        <w:rPr>
          <w:rFonts w:ascii="Book Antiqua" w:hAnsi="Book Antiqua"/>
          <w:bCs/>
        </w:rPr>
        <w:t>.  (CPED opening brief, pp. 7</w:t>
      </w:r>
      <w:r w:rsidRPr="008B2ADC" w:rsidR="008B2ADC">
        <w:rPr>
          <w:rFonts w:ascii="Book Antiqua" w:hAnsi="Book Antiqua"/>
          <w:bCs/>
        </w:rPr>
        <w:noBreakHyphen/>
      </w:r>
      <w:r w:rsidRPr="008B2ADC" w:rsidR="00822656">
        <w:rPr>
          <w:rFonts w:ascii="Book Antiqua" w:hAnsi="Book Antiqua"/>
          <w:bCs/>
        </w:rPr>
        <w:t>8.)  As discussed above, the term</w:t>
      </w:r>
      <w:r w:rsidR="009F5BDE">
        <w:rPr>
          <w:rFonts w:ascii="Book Antiqua" w:hAnsi="Book Antiqua"/>
          <w:bCs/>
        </w:rPr>
        <w:t xml:space="preserve"> “user”</w:t>
      </w:r>
      <w:r w:rsidRPr="008B2ADC" w:rsidR="00822656">
        <w:rPr>
          <w:rFonts w:ascii="Book Antiqua" w:hAnsi="Book Antiqua"/>
          <w:bCs/>
        </w:rPr>
        <w:t xml:space="preserve"> </w:t>
      </w:r>
      <w:r w:rsidR="00E1317F">
        <w:rPr>
          <w:rFonts w:ascii="Book Antiqua" w:hAnsi="Book Antiqua"/>
          <w:bCs/>
        </w:rPr>
        <w:t>can be reasonably interpreted to</w:t>
      </w:r>
      <w:r w:rsidR="009F5BDE">
        <w:rPr>
          <w:rFonts w:ascii="Book Antiqua" w:hAnsi="Book Antiqua"/>
          <w:bCs/>
        </w:rPr>
        <w:t xml:space="preserve"> mean </w:t>
      </w:r>
      <w:r w:rsidRPr="008B2ADC" w:rsidR="00822656">
        <w:rPr>
          <w:rFonts w:ascii="Book Antiqua" w:hAnsi="Book Antiqua"/>
          <w:bCs/>
        </w:rPr>
        <w:t xml:space="preserve">the entity on </w:t>
      </w:r>
      <w:r w:rsidRPr="008B2ADC" w:rsidR="00822656">
        <w:rPr>
          <w:rFonts w:ascii="Book Antiqua" w:hAnsi="Book Antiqua"/>
          <w:bCs/>
        </w:rPr>
        <w:lastRenderedPageBreak/>
        <w:t>whose app the passengers and drivers register</w:t>
      </w:r>
      <w:r w:rsidR="009F5BDE">
        <w:rPr>
          <w:rFonts w:ascii="Book Antiqua" w:hAnsi="Book Antiqua"/>
          <w:bCs/>
        </w:rPr>
        <w:t xml:space="preserve">, the </w:t>
      </w:r>
      <w:r w:rsidR="00E1317F">
        <w:rPr>
          <w:rFonts w:ascii="Book Antiqua" w:hAnsi="Book Antiqua"/>
          <w:bCs/>
        </w:rPr>
        <w:t>passengers and driver who use</w:t>
      </w:r>
      <w:r w:rsidR="009F5BDE">
        <w:rPr>
          <w:rFonts w:ascii="Book Antiqua" w:hAnsi="Book Antiqua"/>
          <w:bCs/>
        </w:rPr>
        <w:t xml:space="preserve"> the app, </w:t>
      </w:r>
      <w:r w:rsidRPr="008B2ADC" w:rsidR="00822656">
        <w:rPr>
          <w:rFonts w:ascii="Book Antiqua" w:hAnsi="Book Antiqua"/>
          <w:bCs/>
        </w:rPr>
        <w:t>or both.</w:t>
      </w:r>
    </w:p>
    <w:p w:rsidRPr="008B2ADC" w:rsidR="00822656" w:rsidP="00301EAF" w:rsidRDefault="00822656" w14:paraId="3832FF9F" w14:textId="77777777">
      <w:pPr>
        <w:rPr>
          <w:rFonts w:ascii="Book Antiqua" w:hAnsi="Book Antiqua"/>
          <w:bCs/>
        </w:rPr>
      </w:pPr>
    </w:p>
    <w:p w:rsidRPr="008B2ADC" w:rsidR="00822656" w:rsidP="00822656" w:rsidRDefault="00822656" w14:paraId="1785375A" w14:textId="77777777">
      <w:pPr>
        <w:rPr>
          <w:rFonts w:ascii="Book Antiqua" w:hAnsi="Book Antiqua"/>
          <w:bCs/>
        </w:rPr>
      </w:pPr>
      <w:r w:rsidRPr="008B2ADC">
        <w:rPr>
          <w:rFonts w:ascii="Book Antiqua" w:hAnsi="Book Antiqua"/>
          <w:bCs/>
        </w:rPr>
        <w:t xml:space="preserve">Given these ambiguities, we </w:t>
      </w:r>
      <w:r w:rsidR="00BE6254">
        <w:rPr>
          <w:rFonts w:ascii="Book Antiqua" w:hAnsi="Book Antiqua"/>
          <w:bCs/>
        </w:rPr>
        <w:t xml:space="preserve">must </w:t>
      </w:r>
      <w:r w:rsidRPr="008B2ADC">
        <w:rPr>
          <w:rFonts w:ascii="Book Antiqua" w:hAnsi="Book Antiqua"/>
          <w:bCs/>
        </w:rPr>
        <w:t>therefore consider the context of the statute and the consequences that will flow from defining GoGo’s business model as that of a TCP or TNC:</w:t>
      </w:r>
    </w:p>
    <w:p w:rsidRPr="008B2ADC" w:rsidR="00822656" w:rsidP="00822656" w:rsidRDefault="00822656" w14:paraId="6CA94133" w14:textId="77777777">
      <w:pPr>
        <w:rPr>
          <w:rFonts w:ascii="Book Antiqua" w:hAnsi="Book Antiqua"/>
          <w:bCs/>
        </w:rPr>
      </w:pPr>
    </w:p>
    <w:p w:rsidRPr="008B2ADC" w:rsidR="00563E21" w:rsidP="00335257" w:rsidRDefault="00822656" w14:paraId="343722A3" w14:textId="7A8E515D">
      <w:pPr>
        <w:pStyle w:val="BlockText"/>
        <w:rPr>
          <w:rFonts w:ascii="Book Antiqua" w:hAnsi="Book Antiqua"/>
        </w:rPr>
      </w:pPr>
      <w:r w:rsidRPr="008B2ADC">
        <w:rPr>
          <w:rFonts w:ascii="Book Antiqua" w:hAnsi="Book Antiqua"/>
        </w:rPr>
        <w:t xml:space="preserve">When uncertainty arises in a question of statutory interpretation, consideration must be given to the consequences that will flow from a </w:t>
      </w:r>
      <w:proofErr w:type="gramStart"/>
      <w:r w:rsidRPr="008B2ADC">
        <w:rPr>
          <w:rFonts w:ascii="Book Antiqua" w:hAnsi="Book Antiqua"/>
        </w:rPr>
        <w:t>particular interpretation</w:t>
      </w:r>
      <w:proofErr w:type="gramEnd"/>
      <w:r w:rsidRPr="008B2ADC">
        <w:rPr>
          <w:rFonts w:ascii="Book Antiqua" w:hAnsi="Book Antiqua"/>
        </w:rPr>
        <w:t xml:space="preserve">. </w:t>
      </w:r>
      <w:r w:rsidRPr="008B2ADC" w:rsidR="00020C0C">
        <w:rPr>
          <w:rFonts w:ascii="Book Antiqua" w:hAnsi="Book Antiqua"/>
        </w:rPr>
        <w:t xml:space="preserve"> </w:t>
      </w:r>
      <w:r w:rsidRPr="008B2ADC">
        <w:rPr>
          <w:rFonts w:ascii="Book Antiqua" w:hAnsi="Book Antiqua"/>
        </w:rPr>
        <w:t xml:space="preserve">[Citation.] </w:t>
      </w:r>
      <w:r w:rsidRPr="008B2ADC" w:rsidR="00020C0C">
        <w:rPr>
          <w:rFonts w:ascii="Book Antiqua" w:hAnsi="Book Antiqua"/>
        </w:rPr>
        <w:t xml:space="preserve"> </w:t>
      </w:r>
      <w:r w:rsidRPr="008B2ADC">
        <w:rPr>
          <w:rFonts w:ascii="Book Antiqua" w:hAnsi="Book Antiqua"/>
        </w:rPr>
        <w:t>In this regard, it is presumed the Legislature intended reasonable results consistent with its expressed purpose, not absurd consequences.</w:t>
      </w:r>
      <w:r w:rsidRPr="008B2ADC" w:rsidR="00020C0C">
        <w:rPr>
          <w:rFonts w:ascii="Book Antiqua" w:hAnsi="Book Antiqua"/>
        </w:rPr>
        <w:t xml:space="preserve"> </w:t>
      </w:r>
      <w:r w:rsidRPr="008B2ADC">
        <w:rPr>
          <w:rFonts w:ascii="Book Antiqua" w:hAnsi="Book Antiqua"/>
        </w:rPr>
        <w:t xml:space="preserve"> [Citations.]</w:t>
      </w:r>
      <w:r w:rsidRPr="008B2ADC" w:rsidR="00020C0C">
        <w:rPr>
          <w:rFonts w:ascii="Book Antiqua" w:hAnsi="Book Antiqua"/>
        </w:rPr>
        <w:t xml:space="preserve">  '</w:t>
      </w:r>
      <w:r w:rsidRPr="008B2ADC">
        <w:rPr>
          <w:rFonts w:ascii="Book Antiqua" w:hAnsi="Book Antiqua"/>
        </w:rPr>
        <w:t>[W]here the language of a statutory provision is susceptible of two constructions, one of which, in application, will render it reasonable, fair and harmonious with its manifest purpose, and another which would be productive of absurd consequences, the former</w:t>
      </w:r>
      <w:r w:rsidRPr="008B2ADC" w:rsidR="00020C0C">
        <w:rPr>
          <w:rFonts w:ascii="Book Antiqua" w:hAnsi="Book Antiqua"/>
        </w:rPr>
        <w:t xml:space="preserve"> construction will be adopted.’ </w:t>
      </w:r>
      <w:r w:rsidRPr="008B2ADC">
        <w:rPr>
          <w:rFonts w:ascii="Book Antiqua" w:hAnsi="Book Antiqua"/>
        </w:rPr>
        <w:t xml:space="preserve"> [Citation.] </w:t>
      </w:r>
      <w:r w:rsidR="00E775FD">
        <w:rPr>
          <w:rFonts w:ascii="Book Antiqua" w:hAnsi="Book Antiqua"/>
        </w:rPr>
        <w:t xml:space="preserve"> </w:t>
      </w:r>
      <w:r w:rsidRPr="008B2ADC">
        <w:rPr>
          <w:rFonts w:ascii="Book Antiqua" w:hAnsi="Book Antiqua"/>
        </w:rPr>
        <w:t>(</w:t>
      </w:r>
      <w:r w:rsidRPr="008B2ADC">
        <w:rPr>
          <w:rFonts w:ascii="Book Antiqua" w:hAnsi="Book Antiqua"/>
          <w:i/>
          <w:iCs/>
        </w:rPr>
        <w:t>Harris v. Capital Growth Investors XIV</w:t>
      </w:r>
      <w:r w:rsidRPr="008B2ADC">
        <w:rPr>
          <w:rFonts w:ascii="Book Antiqua" w:hAnsi="Book Antiqua"/>
        </w:rPr>
        <w:t xml:space="preserve"> (1991) 52 Cal. 3d 1142, 1165</w:t>
      </w:r>
      <w:r w:rsidRPr="008B2ADC" w:rsidR="008B2ADC">
        <w:rPr>
          <w:rFonts w:ascii="Book Antiqua" w:hAnsi="Book Antiqua"/>
        </w:rPr>
        <w:noBreakHyphen/>
      </w:r>
      <w:r w:rsidRPr="008B2ADC">
        <w:rPr>
          <w:rFonts w:ascii="Book Antiqua" w:hAnsi="Book Antiqua"/>
        </w:rPr>
        <w:t>1166.) [93 Cal. App. 4th 894]</w:t>
      </w:r>
    </w:p>
    <w:p w:rsidRPr="008B2ADC" w:rsidR="00020C0C" w:rsidP="00335257" w:rsidRDefault="00020C0C" w14:paraId="42388A47" w14:textId="77777777">
      <w:pPr>
        <w:pStyle w:val="BlockText"/>
        <w:rPr>
          <w:rFonts w:ascii="Book Antiqua" w:hAnsi="Book Antiqua"/>
        </w:rPr>
      </w:pPr>
    </w:p>
    <w:p w:rsidRPr="008B2ADC" w:rsidR="00CA05FB" w:rsidP="00CB71FC" w:rsidRDefault="00CA05FB" w14:paraId="0E1D8F14" w14:textId="77777777">
      <w:pPr>
        <w:keepNext/>
        <w:keepLines/>
        <w:numPr>
          <w:ilvl w:val="0"/>
          <w:numId w:val="7"/>
        </w:numPr>
        <w:rPr>
          <w:rFonts w:ascii="Book Antiqua" w:hAnsi="Book Antiqua"/>
          <w:bCs/>
        </w:rPr>
      </w:pPr>
      <w:r w:rsidRPr="008B2ADC">
        <w:rPr>
          <w:rFonts w:ascii="Book Antiqua" w:hAnsi="Book Antiqua"/>
          <w:bCs/>
        </w:rPr>
        <w:t xml:space="preserve">Consequences of </w:t>
      </w:r>
      <w:r w:rsidR="00BE6254">
        <w:rPr>
          <w:rFonts w:ascii="Book Antiqua" w:hAnsi="Book Antiqua"/>
          <w:bCs/>
        </w:rPr>
        <w:t xml:space="preserve">interpreting the statutes to define </w:t>
      </w:r>
      <w:r w:rsidRPr="008B2ADC" w:rsidR="003003D9">
        <w:rPr>
          <w:rFonts w:ascii="Book Antiqua" w:hAnsi="Book Antiqua"/>
          <w:bCs/>
        </w:rPr>
        <w:t xml:space="preserve">GoGo </w:t>
      </w:r>
      <w:r w:rsidR="00BE6254">
        <w:rPr>
          <w:rFonts w:ascii="Book Antiqua" w:hAnsi="Book Antiqua"/>
          <w:bCs/>
        </w:rPr>
        <w:t xml:space="preserve">as </w:t>
      </w:r>
      <w:r w:rsidRPr="008B2ADC" w:rsidR="003003D9">
        <w:rPr>
          <w:rFonts w:ascii="Book Antiqua" w:hAnsi="Book Antiqua"/>
          <w:bCs/>
        </w:rPr>
        <w:t>a TCP or TNC</w:t>
      </w:r>
    </w:p>
    <w:p w:rsidRPr="008B2ADC" w:rsidR="00CA05FB" w:rsidP="00CB71FC" w:rsidRDefault="00CA05FB" w14:paraId="1F06981B" w14:textId="77777777">
      <w:pPr>
        <w:keepNext/>
        <w:keepLines/>
        <w:rPr>
          <w:rFonts w:ascii="Book Antiqua" w:hAnsi="Book Antiqua"/>
          <w:bCs/>
        </w:rPr>
      </w:pPr>
    </w:p>
    <w:p w:rsidRPr="008B2ADC" w:rsidR="00460D6A" w:rsidRDefault="00BE6254" w14:paraId="5B06133B" w14:textId="3AA25A25">
      <w:pPr>
        <w:rPr>
          <w:rFonts w:ascii="Book Antiqua" w:hAnsi="Book Antiqua"/>
          <w:bCs/>
        </w:rPr>
      </w:pPr>
      <w:r>
        <w:rPr>
          <w:rFonts w:ascii="Book Antiqua" w:hAnsi="Book Antiqua"/>
          <w:bCs/>
        </w:rPr>
        <w:t xml:space="preserve">Interpreting the statutes to define GoGo as </w:t>
      </w:r>
      <w:r w:rsidRPr="008B2ADC" w:rsidR="00010E78">
        <w:rPr>
          <w:rFonts w:ascii="Book Antiqua" w:hAnsi="Book Antiqua"/>
          <w:bCs/>
        </w:rPr>
        <w:t xml:space="preserve">a TCP or TNC </w:t>
      </w:r>
      <w:r w:rsidRPr="008B2ADC" w:rsidR="00393BF8">
        <w:rPr>
          <w:rFonts w:ascii="Book Antiqua" w:hAnsi="Book Antiqua"/>
          <w:bCs/>
        </w:rPr>
        <w:t xml:space="preserve">would </w:t>
      </w:r>
      <w:r w:rsidRPr="008B2ADC" w:rsidR="00460D6A">
        <w:rPr>
          <w:rFonts w:ascii="Book Antiqua" w:hAnsi="Book Antiqua"/>
          <w:bCs/>
        </w:rPr>
        <w:t>subject GoGo to requirements with which it cannot practicably comply</w:t>
      </w:r>
      <w:r w:rsidR="003F1AB7">
        <w:rPr>
          <w:rFonts w:ascii="Book Antiqua" w:hAnsi="Book Antiqua"/>
          <w:bCs/>
        </w:rPr>
        <w:t xml:space="preserve"> nor is GoGo’s compliance necessary to effectuate the statutory purposes of these sections</w:t>
      </w:r>
      <w:r w:rsidRPr="008B2ADC" w:rsidR="00A97D71">
        <w:rPr>
          <w:rFonts w:ascii="Book Antiqua" w:hAnsi="Book Antiqua"/>
          <w:bCs/>
        </w:rPr>
        <w:t>.</w:t>
      </w:r>
    </w:p>
    <w:p w:rsidRPr="008B2ADC" w:rsidR="00460D6A" w:rsidRDefault="00460D6A" w14:paraId="131CACF5" w14:textId="77777777">
      <w:pPr>
        <w:rPr>
          <w:rFonts w:ascii="Book Antiqua" w:hAnsi="Book Antiqua"/>
          <w:bCs/>
        </w:rPr>
      </w:pPr>
    </w:p>
    <w:p w:rsidRPr="008B2ADC" w:rsidR="003C2258" w:rsidP="000F512D" w:rsidRDefault="003B76CB" w14:paraId="4E23E368" w14:textId="77777777">
      <w:pPr>
        <w:rPr>
          <w:rFonts w:ascii="Book Antiqua" w:hAnsi="Book Antiqua"/>
          <w:bCs/>
        </w:rPr>
      </w:pPr>
      <w:r w:rsidRPr="008B2ADC">
        <w:rPr>
          <w:rFonts w:ascii="Book Antiqua" w:hAnsi="Book Antiqua"/>
          <w:bCs/>
        </w:rPr>
        <w:t>For example, Section 5374</w:t>
      </w:r>
      <w:r w:rsidRPr="008B2ADC" w:rsidR="00E06FEF">
        <w:rPr>
          <w:rFonts w:ascii="Book Antiqua" w:hAnsi="Book Antiqua"/>
          <w:bCs/>
        </w:rPr>
        <w:t xml:space="preserve"> </w:t>
      </w:r>
      <w:r w:rsidRPr="008B2ADC">
        <w:rPr>
          <w:rFonts w:ascii="Book Antiqua" w:hAnsi="Book Antiqua"/>
          <w:bCs/>
        </w:rPr>
        <w:t xml:space="preserve">and </w:t>
      </w:r>
      <w:r w:rsidRPr="008B2ADC" w:rsidR="004B2B2C">
        <w:rPr>
          <w:rFonts w:ascii="Book Antiqua" w:hAnsi="Book Antiqua"/>
          <w:bCs/>
        </w:rPr>
        <w:t xml:space="preserve">Section 5445.2, </w:t>
      </w:r>
      <w:r w:rsidRPr="008B2ADC">
        <w:rPr>
          <w:rFonts w:ascii="Book Antiqua" w:hAnsi="Book Antiqua"/>
          <w:bCs/>
        </w:rPr>
        <w:t>as implemented by General Order 157</w:t>
      </w:r>
      <w:r w:rsidRPr="008B2ADC" w:rsidR="008B2ADC">
        <w:rPr>
          <w:rFonts w:ascii="Book Antiqua" w:hAnsi="Book Antiqua"/>
          <w:bCs/>
        </w:rPr>
        <w:noBreakHyphen/>
      </w:r>
      <w:r w:rsidRPr="008B2ADC">
        <w:rPr>
          <w:rFonts w:ascii="Book Antiqua" w:hAnsi="Book Antiqua"/>
          <w:bCs/>
        </w:rPr>
        <w:t xml:space="preserve">E, </w:t>
      </w:r>
      <w:r w:rsidRPr="008B2ADC" w:rsidR="004B2B2C">
        <w:rPr>
          <w:rFonts w:ascii="Book Antiqua" w:hAnsi="Book Antiqua"/>
          <w:bCs/>
        </w:rPr>
        <w:t xml:space="preserve">require </w:t>
      </w:r>
      <w:r w:rsidRPr="008B2ADC">
        <w:rPr>
          <w:rFonts w:ascii="Book Antiqua" w:hAnsi="Book Antiqua"/>
          <w:bCs/>
        </w:rPr>
        <w:t xml:space="preserve">TCPs </w:t>
      </w:r>
      <w:r w:rsidRPr="008B2ADC" w:rsidR="004B2B2C">
        <w:rPr>
          <w:rFonts w:ascii="Book Antiqua" w:hAnsi="Book Antiqua"/>
          <w:bCs/>
        </w:rPr>
        <w:t xml:space="preserve">and TNCs </w:t>
      </w:r>
      <w:r w:rsidRPr="008B2ADC">
        <w:rPr>
          <w:rFonts w:ascii="Book Antiqua" w:hAnsi="Book Antiqua"/>
          <w:bCs/>
        </w:rPr>
        <w:t xml:space="preserve">to identify </w:t>
      </w:r>
      <w:r w:rsidRPr="008B2ADC" w:rsidR="00C974CA">
        <w:rPr>
          <w:rFonts w:ascii="Book Antiqua" w:hAnsi="Book Antiqua"/>
          <w:bCs/>
        </w:rPr>
        <w:t xml:space="preserve">their </w:t>
      </w:r>
      <w:r w:rsidRPr="008B2ADC">
        <w:rPr>
          <w:rFonts w:ascii="Book Antiqua" w:hAnsi="Book Antiqua"/>
          <w:bCs/>
        </w:rPr>
        <w:t>drivers</w:t>
      </w:r>
      <w:r w:rsidRPr="008B2ADC" w:rsidR="00C974CA">
        <w:rPr>
          <w:rFonts w:ascii="Book Antiqua" w:hAnsi="Book Antiqua"/>
          <w:bCs/>
        </w:rPr>
        <w:t xml:space="preserve">, to register them in </w:t>
      </w:r>
      <w:r w:rsidRPr="008B2ADC">
        <w:rPr>
          <w:rFonts w:ascii="Book Antiqua" w:hAnsi="Book Antiqua"/>
          <w:bCs/>
        </w:rPr>
        <w:t>the California Department of Motor Vehicle’s Employer Pull Notice Program</w:t>
      </w:r>
      <w:r w:rsidRPr="008B2ADC" w:rsidR="00C974CA">
        <w:rPr>
          <w:rFonts w:ascii="Book Antiqua" w:hAnsi="Book Antiqua"/>
          <w:bCs/>
        </w:rPr>
        <w:t xml:space="preserve"> and to </w:t>
      </w:r>
      <w:r w:rsidRPr="008B2ADC">
        <w:rPr>
          <w:rFonts w:ascii="Book Antiqua" w:hAnsi="Book Antiqua"/>
          <w:bCs/>
        </w:rPr>
        <w:t>regularly check the</w:t>
      </w:r>
      <w:r w:rsidRPr="008B2ADC" w:rsidR="00C974CA">
        <w:rPr>
          <w:rFonts w:ascii="Book Antiqua" w:hAnsi="Book Antiqua"/>
          <w:bCs/>
        </w:rPr>
        <w:t>ir</w:t>
      </w:r>
      <w:r w:rsidRPr="008B2ADC">
        <w:rPr>
          <w:rFonts w:ascii="Book Antiqua" w:hAnsi="Book Antiqua"/>
          <w:bCs/>
        </w:rPr>
        <w:t xml:space="preserve"> driving records</w:t>
      </w:r>
      <w:r w:rsidRPr="008B2ADC" w:rsidR="00C974CA">
        <w:rPr>
          <w:rFonts w:ascii="Book Antiqua" w:hAnsi="Book Antiqua"/>
          <w:bCs/>
        </w:rPr>
        <w:t xml:space="preserve">, </w:t>
      </w:r>
      <w:r w:rsidRPr="008B2ADC" w:rsidR="00594CEB">
        <w:rPr>
          <w:rFonts w:ascii="Book Antiqua" w:hAnsi="Book Antiqua"/>
          <w:bCs/>
        </w:rPr>
        <w:t>to establish a driver s</w:t>
      </w:r>
      <w:r w:rsidRPr="008B2ADC">
        <w:rPr>
          <w:rFonts w:ascii="Book Antiqua" w:hAnsi="Book Antiqua"/>
          <w:bCs/>
        </w:rPr>
        <w:t xml:space="preserve">afety education and training program for all </w:t>
      </w:r>
      <w:r w:rsidRPr="008B2ADC" w:rsidR="00594CEB">
        <w:rPr>
          <w:rFonts w:ascii="Book Antiqua" w:hAnsi="Book Antiqua"/>
          <w:bCs/>
        </w:rPr>
        <w:t xml:space="preserve">drivers, </w:t>
      </w:r>
      <w:r w:rsidRPr="008B2ADC" w:rsidR="0076480A">
        <w:rPr>
          <w:rFonts w:ascii="Book Antiqua" w:hAnsi="Book Antiqua"/>
          <w:bCs/>
        </w:rPr>
        <w:t xml:space="preserve">and </w:t>
      </w:r>
      <w:r w:rsidRPr="008B2ADC" w:rsidR="00594CEB">
        <w:rPr>
          <w:rFonts w:ascii="Book Antiqua" w:hAnsi="Book Antiqua"/>
          <w:bCs/>
        </w:rPr>
        <w:t xml:space="preserve">to </w:t>
      </w:r>
      <w:r w:rsidRPr="008B2ADC" w:rsidR="0076480A">
        <w:rPr>
          <w:rFonts w:ascii="Book Antiqua" w:hAnsi="Book Antiqua"/>
          <w:bCs/>
        </w:rPr>
        <w:t>institute</w:t>
      </w:r>
      <w:r w:rsidRPr="008B2ADC" w:rsidR="00594CEB">
        <w:rPr>
          <w:rFonts w:ascii="Book Antiqua" w:hAnsi="Book Antiqua"/>
          <w:bCs/>
        </w:rPr>
        <w:t xml:space="preserve"> a </w:t>
      </w:r>
      <w:r w:rsidRPr="008B2ADC">
        <w:rPr>
          <w:rFonts w:ascii="Book Antiqua" w:hAnsi="Book Antiqua"/>
          <w:bCs/>
        </w:rPr>
        <w:t>mandatory controlled substance and alcohol testing certification program</w:t>
      </w:r>
      <w:r w:rsidRPr="008B2ADC" w:rsidR="004B2B2C">
        <w:rPr>
          <w:rFonts w:ascii="Book Antiqua" w:hAnsi="Book Antiqua"/>
          <w:bCs/>
        </w:rPr>
        <w:t xml:space="preserve"> for TCP drivers </w:t>
      </w:r>
      <w:r w:rsidRPr="008B2ADC" w:rsidR="0076480A">
        <w:rPr>
          <w:rFonts w:ascii="Book Antiqua" w:hAnsi="Book Antiqua"/>
          <w:bCs/>
        </w:rPr>
        <w:t>and a zero</w:t>
      </w:r>
      <w:r w:rsidRPr="008B2ADC" w:rsidR="008B2ADC">
        <w:rPr>
          <w:rFonts w:ascii="Book Antiqua" w:hAnsi="Book Antiqua"/>
          <w:bCs/>
        </w:rPr>
        <w:noBreakHyphen/>
      </w:r>
      <w:r w:rsidRPr="008B2ADC" w:rsidR="0076480A">
        <w:rPr>
          <w:rFonts w:ascii="Book Antiqua" w:hAnsi="Book Antiqua"/>
          <w:bCs/>
        </w:rPr>
        <w:t xml:space="preserve">tolerance intoxicating substance policy for TNC drivers.  In addition, </w:t>
      </w:r>
      <w:r w:rsidRPr="008B2ADC" w:rsidR="004B2B2C">
        <w:rPr>
          <w:rFonts w:ascii="Book Antiqua" w:hAnsi="Book Antiqua"/>
          <w:bCs/>
        </w:rPr>
        <w:t>D.16</w:t>
      </w:r>
      <w:r w:rsidRPr="008B2ADC" w:rsidR="008B2ADC">
        <w:rPr>
          <w:rFonts w:ascii="Book Antiqua" w:hAnsi="Book Antiqua"/>
          <w:bCs/>
        </w:rPr>
        <w:noBreakHyphen/>
      </w:r>
      <w:r w:rsidRPr="008B2ADC" w:rsidR="004B2B2C">
        <w:rPr>
          <w:rFonts w:ascii="Book Antiqua" w:hAnsi="Book Antiqua"/>
          <w:bCs/>
        </w:rPr>
        <w:t>04</w:t>
      </w:r>
      <w:r w:rsidRPr="008B2ADC" w:rsidR="008B2ADC">
        <w:rPr>
          <w:rFonts w:ascii="Book Antiqua" w:hAnsi="Book Antiqua"/>
          <w:bCs/>
        </w:rPr>
        <w:noBreakHyphen/>
      </w:r>
      <w:r w:rsidRPr="008B2ADC" w:rsidR="004B2B2C">
        <w:rPr>
          <w:rFonts w:ascii="Book Antiqua" w:hAnsi="Book Antiqua"/>
          <w:bCs/>
        </w:rPr>
        <w:t>041 requires</w:t>
      </w:r>
      <w:r w:rsidRPr="008B2ADC" w:rsidR="0076480A">
        <w:rPr>
          <w:rFonts w:ascii="Book Antiqua" w:hAnsi="Book Antiqua"/>
          <w:bCs/>
        </w:rPr>
        <w:t xml:space="preserve"> that</w:t>
      </w:r>
      <w:r w:rsidRPr="008B2ADC" w:rsidR="004B2B2C">
        <w:rPr>
          <w:rFonts w:ascii="Book Antiqua" w:hAnsi="Book Antiqua"/>
          <w:bCs/>
        </w:rPr>
        <w:t xml:space="preserve"> all TCPs including TNCs maintain records demonstrating that all of their vehicles and their drivers’ vehicles are regularly inspected by a facility licensed by the California Bureau of Automotive Repair at the appropriate 12</w:t>
      </w:r>
      <w:r w:rsidRPr="008B2ADC" w:rsidR="008B2ADC">
        <w:rPr>
          <w:rFonts w:ascii="Book Antiqua" w:hAnsi="Book Antiqua"/>
          <w:bCs/>
        </w:rPr>
        <w:noBreakHyphen/>
      </w:r>
      <w:r w:rsidRPr="008B2ADC" w:rsidR="004B2B2C">
        <w:rPr>
          <w:rFonts w:ascii="Book Antiqua" w:hAnsi="Book Antiqua"/>
          <w:bCs/>
        </w:rPr>
        <w:t>month or 50,000</w:t>
      </w:r>
      <w:r w:rsidRPr="008B2ADC" w:rsidR="008B2ADC">
        <w:rPr>
          <w:rFonts w:ascii="Book Antiqua" w:hAnsi="Book Antiqua"/>
          <w:bCs/>
        </w:rPr>
        <w:noBreakHyphen/>
      </w:r>
      <w:r w:rsidRPr="008B2ADC" w:rsidR="004B2B2C">
        <w:rPr>
          <w:rFonts w:ascii="Book Antiqua" w:hAnsi="Book Antiqua"/>
          <w:bCs/>
        </w:rPr>
        <w:t xml:space="preserve">mile mark and shown to pass the </w:t>
      </w:r>
      <w:bookmarkStart w:name="_Hlk16578943" w:id="3"/>
      <w:r w:rsidRPr="008B2ADC" w:rsidR="004B2B2C">
        <w:rPr>
          <w:rFonts w:ascii="Book Antiqua" w:hAnsi="Book Antiqua"/>
          <w:bCs/>
        </w:rPr>
        <w:t>19</w:t>
      </w:r>
      <w:r w:rsidRPr="008B2ADC" w:rsidR="008B2ADC">
        <w:rPr>
          <w:rFonts w:ascii="Book Antiqua" w:hAnsi="Book Antiqua"/>
          <w:bCs/>
        </w:rPr>
        <w:noBreakHyphen/>
      </w:r>
      <w:r w:rsidRPr="008B2ADC" w:rsidR="004B2B2C">
        <w:rPr>
          <w:rFonts w:ascii="Book Antiqua" w:hAnsi="Book Antiqua"/>
          <w:bCs/>
        </w:rPr>
        <w:t>point checklist required by D.13</w:t>
      </w:r>
      <w:r w:rsidRPr="008B2ADC" w:rsidR="008B2ADC">
        <w:rPr>
          <w:rFonts w:ascii="Book Antiqua" w:hAnsi="Book Antiqua"/>
          <w:bCs/>
        </w:rPr>
        <w:noBreakHyphen/>
      </w:r>
      <w:r w:rsidRPr="008B2ADC" w:rsidR="004B2B2C">
        <w:rPr>
          <w:rFonts w:ascii="Book Antiqua" w:hAnsi="Book Antiqua"/>
          <w:bCs/>
        </w:rPr>
        <w:t>09</w:t>
      </w:r>
      <w:r w:rsidRPr="008B2ADC" w:rsidR="008B2ADC">
        <w:rPr>
          <w:rFonts w:ascii="Book Antiqua" w:hAnsi="Book Antiqua"/>
          <w:bCs/>
        </w:rPr>
        <w:noBreakHyphen/>
      </w:r>
      <w:r w:rsidRPr="008B2ADC" w:rsidR="004B2B2C">
        <w:rPr>
          <w:rFonts w:ascii="Book Antiqua" w:hAnsi="Book Antiqua"/>
          <w:bCs/>
        </w:rPr>
        <w:t xml:space="preserve">045. </w:t>
      </w:r>
    </w:p>
    <w:p w:rsidRPr="008B2ADC" w:rsidR="003C2258" w:rsidP="008B2ADC" w:rsidRDefault="003C2258" w14:paraId="51D7F3A8" w14:textId="77777777">
      <w:pPr>
        <w:tabs>
          <w:tab w:val="left" w:pos="5430"/>
        </w:tabs>
        <w:rPr>
          <w:rFonts w:ascii="Book Antiqua" w:hAnsi="Book Antiqua"/>
          <w:bCs/>
        </w:rPr>
      </w:pPr>
    </w:p>
    <w:bookmarkEnd w:id="3"/>
    <w:p w:rsidR="00CE2DF8" w:rsidP="000F512D" w:rsidRDefault="000F512D" w14:paraId="64AB5CEE" w14:textId="214A5BDF">
      <w:pPr>
        <w:rPr>
          <w:rFonts w:ascii="Book Antiqua" w:hAnsi="Book Antiqua"/>
          <w:bCs/>
        </w:rPr>
      </w:pPr>
      <w:proofErr w:type="gramStart"/>
      <w:r w:rsidRPr="008B2ADC">
        <w:rPr>
          <w:rFonts w:ascii="Book Antiqua" w:hAnsi="Book Antiqua"/>
          <w:bCs/>
        </w:rPr>
        <w:t xml:space="preserve">GoGo </w:t>
      </w:r>
      <w:r w:rsidR="00170F42">
        <w:rPr>
          <w:rFonts w:ascii="Book Antiqua" w:hAnsi="Book Antiqua"/>
          <w:bCs/>
        </w:rPr>
        <w:t xml:space="preserve"> coordinates</w:t>
      </w:r>
      <w:proofErr w:type="gramEnd"/>
      <w:r w:rsidR="00170F42">
        <w:rPr>
          <w:rFonts w:ascii="Book Antiqua" w:hAnsi="Book Antiqua"/>
          <w:bCs/>
        </w:rPr>
        <w:t xml:space="preserve"> </w:t>
      </w:r>
      <w:r w:rsidR="003F1AB7">
        <w:rPr>
          <w:rFonts w:ascii="Book Antiqua" w:hAnsi="Book Antiqua"/>
          <w:bCs/>
        </w:rPr>
        <w:t>with licensed TNCs to connect riders to those TNCs.</w:t>
      </w:r>
      <w:r w:rsidRPr="008B2ADC" w:rsidR="003C2258">
        <w:rPr>
          <w:rFonts w:ascii="Book Antiqua" w:hAnsi="Book Antiqua"/>
          <w:bCs/>
        </w:rPr>
        <w:t xml:space="preserve">  </w:t>
      </w:r>
      <w:r w:rsidR="00170F42">
        <w:rPr>
          <w:rFonts w:ascii="Book Antiqua" w:hAnsi="Book Antiqua"/>
          <w:bCs/>
        </w:rPr>
        <w:t xml:space="preserve">GoGo accesses the Uber and Lyft platforms through each of those companies’ Application Program Interface (API) Portal.  The API Portal allows an entity the ability to request a ride by using a computer as opposed to a smartphone.  </w:t>
      </w:r>
      <w:r w:rsidRPr="008B2ADC" w:rsidR="00CA05FB">
        <w:rPr>
          <w:rFonts w:ascii="Book Antiqua" w:hAnsi="Book Antiqua"/>
          <w:bCs/>
        </w:rPr>
        <w:t>It does not have vehicles or drivers</w:t>
      </w:r>
      <w:r w:rsidR="003F1AB7">
        <w:rPr>
          <w:rFonts w:ascii="Book Antiqua" w:hAnsi="Book Antiqua"/>
          <w:bCs/>
        </w:rPr>
        <w:t xml:space="preserve"> nor does GoGo have any visibility into how the TNC will provide the service once the rider </w:t>
      </w:r>
      <w:r w:rsidR="003F1AB7">
        <w:rPr>
          <w:rFonts w:ascii="Book Antiqua" w:hAnsi="Book Antiqua"/>
          <w:bCs/>
        </w:rPr>
        <w:lastRenderedPageBreak/>
        <w:t>has been linked to the TNC</w:t>
      </w:r>
      <w:r w:rsidRPr="008B2ADC" w:rsidR="00CA05FB">
        <w:rPr>
          <w:rFonts w:ascii="Book Antiqua" w:hAnsi="Book Antiqua"/>
          <w:bCs/>
        </w:rPr>
        <w:t xml:space="preserve">.  As a result, </w:t>
      </w:r>
      <w:r w:rsidRPr="008B2ADC" w:rsidR="003C2258">
        <w:rPr>
          <w:rFonts w:ascii="Book Antiqua" w:hAnsi="Book Antiqua"/>
          <w:bCs/>
        </w:rPr>
        <w:t xml:space="preserve">GoGo </w:t>
      </w:r>
      <w:r w:rsidRPr="008B2ADC">
        <w:rPr>
          <w:rFonts w:ascii="Book Antiqua" w:hAnsi="Book Antiqua"/>
          <w:bCs/>
        </w:rPr>
        <w:t xml:space="preserve">cannot practicably comply with these </w:t>
      </w:r>
      <w:r w:rsidRPr="008B2ADC" w:rsidR="003C2258">
        <w:rPr>
          <w:rFonts w:ascii="Book Antiqua" w:hAnsi="Book Antiqua"/>
          <w:bCs/>
        </w:rPr>
        <w:t xml:space="preserve">statutory and regulatory </w:t>
      </w:r>
      <w:r w:rsidRPr="008B2ADC">
        <w:rPr>
          <w:rFonts w:ascii="Book Antiqua" w:hAnsi="Book Antiqua"/>
          <w:bCs/>
        </w:rPr>
        <w:t>requirements</w:t>
      </w:r>
      <w:r w:rsidRPr="008B2ADC" w:rsidR="002B60DD">
        <w:rPr>
          <w:rFonts w:ascii="Book Antiqua" w:hAnsi="Book Antiqua"/>
          <w:bCs/>
        </w:rPr>
        <w:t xml:space="preserve"> because it has no </w:t>
      </w:r>
      <w:r w:rsidRPr="008B2ADC" w:rsidR="001C2B02">
        <w:rPr>
          <w:rFonts w:ascii="Book Antiqua" w:hAnsi="Book Antiqua"/>
          <w:bCs/>
        </w:rPr>
        <w:t>information as to the identity of the TNC driver or their vehicle in advance of procuring them through the TNC for a specific ride</w:t>
      </w:r>
      <w:r w:rsidRPr="008B2ADC" w:rsidR="00EF3D20">
        <w:rPr>
          <w:rFonts w:ascii="Book Antiqua" w:hAnsi="Book Antiqua"/>
          <w:bCs/>
        </w:rPr>
        <w:t>.</w:t>
      </w:r>
      <w:r w:rsidRPr="008B2ADC" w:rsidR="00A0737A">
        <w:rPr>
          <w:rStyle w:val="FootnoteReference"/>
          <w:rFonts w:ascii="Book Antiqua" w:hAnsi="Book Antiqua"/>
          <w:bCs/>
        </w:rPr>
        <w:footnoteReference w:id="2"/>
      </w:r>
      <w:r w:rsidRPr="008B2ADC" w:rsidR="000B4A2C">
        <w:rPr>
          <w:rFonts w:ascii="Book Antiqua" w:hAnsi="Book Antiqua"/>
          <w:bCs/>
        </w:rPr>
        <w:t xml:space="preserve">  </w:t>
      </w:r>
    </w:p>
    <w:p w:rsidRPr="008B2ADC" w:rsidR="00BE6254" w:rsidP="000F512D" w:rsidRDefault="00BE6254" w14:paraId="1D18FBB1" w14:textId="77777777">
      <w:pPr>
        <w:rPr>
          <w:rFonts w:ascii="Book Antiqua" w:hAnsi="Book Antiqua"/>
          <w:bCs/>
        </w:rPr>
      </w:pPr>
    </w:p>
    <w:p w:rsidRPr="008B2ADC" w:rsidR="00546C01" w:rsidP="00BF56D1" w:rsidRDefault="00BF56D1" w14:paraId="627C77FC" w14:textId="3CB33761">
      <w:pPr>
        <w:rPr>
          <w:rFonts w:ascii="Book Antiqua" w:hAnsi="Book Antiqua"/>
          <w:bCs/>
        </w:rPr>
      </w:pPr>
      <w:bookmarkStart w:name="_Hlk16596873" w:id="4"/>
      <w:r w:rsidRPr="008B2ADC">
        <w:rPr>
          <w:rFonts w:ascii="Book Antiqua" w:hAnsi="Book Antiqua"/>
          <w:bCs/>
        </w:rPr>
        <w:t xml:space="preserve">CPED </w:t>
      </w:r>
      <w:r w:rsidRPr="008B2ADC" w:rsidR="004046BE">
        <w:rPr>
          <w:rFonts w:ascii="Book Antiqua" w:hAnsi="Book Antiqua"/>
          <w:bCs/>
        </w:rPr>
        <w:t xml:space="preserve">argues there are entities, </w:t>
      </w:r>
      <w:r w:rsidRPr="008B2ADC" w:rsidR="000C1DD8">
        <w:rPr>
          <w:rFonts w:ascii="Book Antiqua" w:hAnsi="Book Antiqua"/>
          <w:bCs/>
        </w:rPr>
        <w:t xml:space="preserve">such as those </w:t>
      </w:r>
      <w:r w:rsidRPr="008B2ADC" w:rsidR="00090DEF">
        <w:rPr>
          <w:rFonts w:ascii="Book Antiqua" w:hAnsi="Book Antiqua"/>
          <w:bCs/>
        </w:rPr>
        <w:t xml:space="preserve">that it </w:t>
      </w:r>
      <w:r w:rsidRPr="008B2ADC" w:rsidR="004046BE">
        <w:rPr>
          <w:rFonts w:ascii="Book Antiqua" w:hAnsi="Book Antiqua"/>
          <w:bCs/>
        </w:rPr>
        <w:t>identifie</w:t>
      </w:r>
      <w:r w:rsidRPr="008B2ADC" w:rsidR="00090DEF">
        <w:rPr>
          <w:rFonts w:ascii="Book Antiqua" w:hAnsi="Book Antiqua"/>
          <w:bCs/>
        </w:rPr>
        <w:t>s</w:t>
      </w:r>
      <w:r w:rsidRPr="008B2ADC" w:rsidR="004046BE">
        <w:rPr>
          <w:rFonts w:ascii="Book Antiqua" w:hAnsi="Book Antiqua"/>
          <w:bCs/>
        </w:rPr>
        <w:t xml:space="preserve"> in its opening brief, </w:t>
      </w:r>
      <w:r w:rsidRPr="008B2ADC">
        <w:rPr>
          <w:rFonts w:ascii="Book Antiqua" w:hAnsi="Book Antiqua"/>
          <w:bCs/>
        </w:rPr>
        <w:t xml:space="preserve">that hold TCP or TNC permits </w:t>
      </w:r>
      <w:r w:rsidRPr="008B2ADC" w:rsidR="004046BE">
        <w:rPr>
          <w:rFonts w:ascii="Book Antiqua" w:hAnsi="Book Antiqua"/>
          <w:bCs/>
        </w:rPr>
        <w:t>that</w:t>
      </w:r>
      <w:r w:rsidRPr="008B2ADC">
        <w:rPr>
          <w:rFonts w:ascii="Book Antiqua" w:hAnsi="Book Antiqua"/>
          <w:bCs/>
        </w:rPr>
        <w:t xml:space="preserve"> do not own their own vehicles and/or </w:t>
      </w:r>
      <w:r w:rsidRPr="008B2ADC" w:rsidR="00090DEF">
        <w:rPr>
          <w:rFonts w:ascii="Book Antiqua" w:hAnsi="Book Antiqua"/>
          <w:bCs/>
        </w:rPr>
        <w:t>“</w:t>
      </w:r>
      <w:r w:rsidRPr="008B2ADC">
        <w:rPr>
          <w:rFonts w:ascii="Book Antiqua" w:hAnsi="Book Antiqua"/>
          <w:bCs/>
        </w:rPr>
        <w:t>hire</w:t>
      </w:r>
      <w:r w:rsidRPr="008B2ADC" w:rsidR="00090DEF">
        <w:rPr>
          <w:rFonts w:ascii="Book Antiqua" w:hAnsi="Book Antiqua"/>
          <w:bCs/>
        </w:rPr>
        <w:t>”</w:t>
      </w:r>
      <w:r w:rsidRPr="008B2ADC">
        <w:rPr>
          <w:rFonts w:ascii="Book Antiqua" w:hAnsi="Book Antiqua"/>
          <w:bCs/>
        </w:rPr>
        <w:t xml:space="preserve"> drivers</w:t>
      </w:r>
      <w:r w:rsidRPr="008B2ADC" w:rsidR="004046BE">
        <w:rPr>
          <w:rFonts w:ascii="Book Antiqua" w:hAnsi="Book Antiqua"/>
          <w:bCs/>
        </w:rPr>
        <w:t>.</w:t>
      </w:r>
      <w:r w:rsidRPr="008B2ADC">
        <w:rPr>
          <w:rFonts w:ascii="Book Antiqua" w:hAnsi="Book Antiqua"/>
          <w:bCs/>
        </w:rPr>
        <w:t xml:space="preserve">  (CPED opening brief, pp. 6</w:t>
      </w:r>
      <w:r w:rsidRPr="008B2ADC" w:rsidR="008B2ADC">
        <w:rPr>
          <w:rFonts w:ascii="Book Antiqua" w:hAnsi="Book Antiqua"/>
          <w:bCs/>
        </w:rPr>
        <w:noBreakHyphen/>
      </w:r>
      <w:r w:rsidRPr="008B2ADC">
        <w:rPr>
          <w:rFonts w:ascii="Book Antiqua" w:hAnsi="Book Antiqua"/>
          <w:bCs/>
        </w:rPr>
        <w:t>7 and 9</w:t>
      </w:r>
      <w:r w:rsidRPr="008B2ADC" w:rsidR="004046BE">
        <w:rPr>
          <w:rFonts w:ascii="Book Antiqua" w:hAnsi="Book Antiqua"/>
          <w:bCs/>
        </w:rPr>
        <w:t xml:space="preserve">; CPED reply brief, p. 5.)  CPED misses the point, which is whether it is feasible for GoGo to comply with these statutory mandates.  </w:t>
      </w:r>
      <w:r w:rsidRPr="008B2ADC" w:rsidR="00090DEF">
        <w:rPr>
          <w:rFonts w:ascii="Book Antiqua" w:hAnsi="Book Antiqua"/>
          <w:bCs/>
        </w:rPr>
        <w:t xml:space="preserve">GoGo </w:t>
      </w:r>
      <w:r w:rsidR="00BE6254">
        <w:rPr>
          <w:rFonts w:ascii="Book Antiqua" w:hAnsi="Book Antiqua"/>
          <w:bCs/>
        </w:rPr>
        <w:t xml:space="preserve">reasonably suggests the likelihood that, like Lyft and Uber and many TCPs that contract with subcarriers, </w:t>
      </w:r>
      <w:r w:rsidRPr="008B2ADC" w:rsidR="000C1DD8">
        <w:rPr>
          <w:rFonts w:ascii="Book Antiqua" w:hAnsi="Book Antiqua"/>
          <w:bCs/>
        </w:rPr>
        <w:t xml:space="preserve">the TCPs and TNCs that CPED identifies have the means to identify the vehicles and the drivers that they dispatch and thus the capability to ensure the safety of the vehicles and the drivers.  </w:t>
      </w:r>
      <w:r w:rsidRPr="008B2ADC" w:rsidR="00546C01">
        <w:rPr>
          <w:rFonts w:ascii="Book Antiqua" w:hAnsi="Book Antiqua"/>
          <w:bCs/>
        </w:rPr>
        <w:t>(GoGo reply brief, pp. 8</w:t>
      </w:r>
      <w:r w:rsidRPr="008B2ADC" w:rsidR="008B2ADC">
        <w:rPr>
          <w:rFonts w:ascii="Book Antiqua" w:hAnsi="Book Antiqua"/>
          <w:bCs/>
        </w:rPr>
        <w:noBreakHyphen/>
      </w:r>
      <w:r w:rsidRPr="008B2ADC" w:rsidR="00546C01">
        <w:rPr>
          <w:rFonts w:ascii="Book Antiqua" w:hAnsi="Book Antiqua"/>
          <w:bCs/>
        </w:rPr>
        <w:t xml:space="preserve">10.)  In any event, </w:t>
      </w:r>
      <w:r w:rsidR="00BE6254">
        <w:rPr>
          <w:rFonts w:ascii="Book Antiqua" w:hAnsi="Book Antiqua"/>
          <w:bCs/>
        </w:rPr>
        <w:t xml:space="preserve">as </w:t>
      </w:r>
      <w:r w:rsidRPr="008B2ADC" w:rsidR="000C1DD8">
        <w:rPr>
          <w:rFonts w:ascii="Book Antiqua" w:hAnsi="Book Antiqua"/>
          <w:bCs/>
        </w:rPr>
        <w:t>CPED raises these factual allegations for the first time in its brief</w:t>
      </w:r>
      <w:r w:rsidR="00A33105">
        <w:rPr>
          <w:rFonts w:ascii="Book Antiqua" w:hAnsi="Book Antiqua"/>
          <w:bCs/>
        </w:rPr>
        <w:t xml:space="preserve"> and </w:t>
      </w:r>
      <w:r w:rsidR="00BE6254">
        <w:rPr>
          <w:rFonts w:ascii="Book Antiqua" w:hAnsi="Book Antiqua"/>
          <w:bCs/>
        </w:rPr>
        <w:t>t</w:t>
      </w:r>
      <w:r w:rsidRPr="008B2ADC" w:rsidR="000C1DD8">
        <w:rPr>
          <w:rFonts w:ascii="Book Antiqua" w:hAnsi="Book Antiqua"/>
          <w:bCs/>
        </w:rPr>
        <w:t>hey are not in evidence</w:t>
      </w:r>
      <w:r w:rsidR="00A33105">
        <w:rPr>
          <w:rFonts w:ascii="Book Antiqua" w:hAnsi="Book Antiqua"/>
          <w:bCs/>
        </w:rPr>
        <w:t>,</w:t>
      </w:r>
      <w:r w:rsidR="00BE6254">
        <w:rPr>
          <w:rFonts w:ascii="Book Antiqua" w:hAnsi="Book Antiqua"/>
          <w:bCs/>
        </w:rPr>
        <w:t xml:space="preserve"> w</w:t>
      </w:r>
      <w:r w:rsidRPr="008B2ADC" w:rsidR="000C1DD8">
        <w:rPr>
          <w:rFonts w:ascii="Book Antiqua" w:hAnsi="Book Antiqua"/>
          <w:bCs/>
        </w:rPr>
        <w:t xml:space="preserve">e </w:t>
      </w:r>
      <w:r w:rsidRPr="008B2ADC" w:rsidR="003F4B52">
        <w:rPr>
          <w:rFonts w:ascii="Book Antiqua" w:hAnsi="Book Antiqua"/>
          <w:bCs/>
        </w:rPr>
        <w:t>cannot</w:t>
      </w:r>
      <w:r w:rsidR="009F5BDE">
        <w:rPr>
          <w:rFonts w:ascii="Book Antiqua" w:hAnsi="Book Antiqua"/>
          <w:bCs/>
        </w:rPr>
        <w:t xml:space="preserve"> rely on them for their truth.</w:t>
      </w:r>
    </w:p>
    <w:bookmarkEnd w:id="4"/>
    <w:p w:rsidRPr="008B2ADC" w:rsidR="00670EE8" w:rsidP="000F512D" w:rsidRDefault="00670EE8" w14:paraId="5C13F1B6" w14:textId="77777777">
      <w:pPr>
        <w:rPr>
          <w:rFonts w:ascii="Book Antiqua" w:hAnsi="Book Antiqua"/>
          <w:bCs/>
        </w:rPr>
      </w:pPr>
    </w:p>
    <w:p w:rsidRPr="008B2ADC" w:rsidR="00D9447A" w:rsidP="00020C0C" w:rsidRDefault="00BB56DF" w14:paraId="042CB3EE" w14:textId="77777777">
      <w:pPr>
        <w:keepNext/>
        <w:keepLines/>
        <w:numPr>
          <w:ilvl w:val="0"/>
          <w:numId w:val="7"/>
        </w:numPr>
        <w:rPr>
          <w:rFonts w:ascii="Book Antiqua" w:hAnsi="Book Antiqua"/>
          <w:bCs/>
        </w:rPr>
      </w:pPr>
      <w:r>
        <w:rPr>
          <w:rFonts w:ascii="Book Antiqua" w:hAnsi="Book Antiqua"/>
          <w:bCs/>
        </w:rPr>
        <w:t>Reasonable r</w:t>
      </w:r>
      <w:r w:rsidR="00A33105">
        <w:rPr>
          <w:rFonts w:ascii="Book Antiqua" w:hAnsi="Book Antiqua"/>
          <w:bCs/>
        </w:rPr>
        <w:t xml:space="preserve">esults consistent with </w:t>
      </w:r>
      <w:r>
        <w:rPr>
          <w:rFonts w:ascii="Book Antiqua" w:hAnsi="Book Antiqua"/>
          <w:bCs/>
        </w:rPr>
        <w:t>expressed purpose</w:t>
      </w:r>
      <w:r w:rsidRPr="008B2ADC" w:rsidR="00D9447A">
        <w:rPr>
          <w:rFonts w:ascii="Book Antiqua" w:hAnsi="Book Antiqua"/>
          <w:bCs/>
        </w:rPr>
        <w:t xml:space="preserve">  </w:t>
      </w:r>
    </w:p>
    <w:p w:rsidRPr="008B2ADC" w:rsidR="00D9447A" w:rsidP="00CB71FC" w:rsidRDefault="00D9447A" w14:paraId="41FF58A6" w14:textId="77777777">
      <w:pPr>
        <w:keepNext/>
        <w:keepLines/>
        <w:rPr>
          <w:rFonts w:ascii="Book Antiqua" w:hAnsi="Book Antiqua"/>
          <w:bCs/>
        </w:rPr>
      </w:pPr>
    </w:p>
    <w:p w:rsidRPr="008B2ADC" w:rsidR="00692FDD" w:rsidP="000D1298" w:rsidRDefault="000D1298" w14:paraId="7BF8B211" w14:textId="77777777">
      <w:pPr>
        <w:rPr>
          <w:rFonts w:ascii="Book Antiqua" w:hAnsi="Book Antiqua"/>
          <w:bCs/>
        </w:rPr>
      </w:pPr>
      <w:r w:rsidRPr="008B2ADC">
        <w:rPr>
          <w:rFonts w:ascii="Book Antiqua" w:hAnsi="Book Antiqua"/>
          <w:bCs/>
        </w:rPr>
        <w:t xml:space="preserve">In addition to </w:t>
      </w:r>
      <w:r w:rsidR="00A33105">
        <w:rPr>
          <w:rFonts w:ascii="Book Antiqua" w:hAnsi="Book Antiqua"/>
          <w:bCs/>
        </w:rPr>
        <w:t xml:space="preserve">the driver and vehicular safety requirements, </w:t>
      </w:r>
      <w:r w:rsidRPr="008B2ADC">
        <w:rPr>
          <w:rFonts w:ascii="Book Antiqua" w:hAnsi="Book Antiqua"/>
          <w:bCs/>
        </w:rPr>
        <w:t xml:space="preserve">the statutes </w:t>
      </w:r>
      <w:r w:rsidRPr="008B2ADC" w:rsidR="00692FDD">
        <w:rPr>
          <w:rFonts w:ascii="Book Antiqua" w:hAnsi="Book Antiqua"/>
          <w:bCs/>
        </w:rPr>
        <w:t xml:space="preserve">and Commission decisions </w:t>
      </w:r>
      <w:r w:rsidR="00A33105">
        <w:rPr>
          <w:rFonts w:ascii="Book Antiqua" w:hAnsi="Book Antiqua"/>
          <w:bCs/>
        </w:rPr>
        <w:t xml:space="preserve">require TCPs and TNCs to </w:t>
      </w:r>
      <w:r w:rsidRPr="008B2ADC" w:rsidR="00692FDD">
        <w:rPr>
          <w:rFonts w:ascii="Book Antiqua" w:hAnsi="Book Antiqua"/>
          <w:bCs/>
        </w:rPr>
        <w:t xml:space="preserve">maintain liability insurance against passenger claims.  We consider whether GoGo’s activities present an incremental risk to the public </w:t>
      </w:r>
      <w:r w:rsidR="00BB56DF">
        <w:rPr>
          <w:rFonts w:ascii="Book Antiqua" w:hAnsi="Book Antiqua"/>
          <w:bCs/>
        </w:rPr>
        <w:t xml:space="preserve">such that it would be reasonable to subject it </w:t>
      </w:r>
      <w:r w:rsidRPr="008B2ADC" w:rsidR="00692FDD">
        <w:rPr>
          <w:rFonts w:ascii="Book Antiqua" w:hAnsi="Book Antiqua"/>
          <w:bCs/>
        </w:rPr>
        <w:t xml:space="preserve">regulation as a TCP or TNC for </w:t>
      </w:r>
      <w:r w:rsidRPr="008B2ADC" w:rsidR="00353607">
        <w:rPr>
          <w:rFonts w:ascii="Book Antiqua" w:hAnsi="Book Antiqua"/>
          <w:bCs/>
        </w:rPr>
        <w:t xml:space="preserve">this </w:t>
      </w:r>
      <w:r w:rsidRPr="008B2ADC" w:rsidR="00692FDD">
        <w:rPr>
          <w:rFonts w:ascii="Book Antiqua" w:hAnsi="Book Antiqua"/>
          <w:bCs/>
        </w:rPr>
        <w:t>purpose</w:t>
      </w:r>
      <w:r w:rsidRPr="008B2ADC" w:rsidR="00353607">
        <w:rPr>
          <w:rFonts w:ascii="Book Antiqua" w:hAnsi="Book Antiqua"/>
          <w:bCs/>
        </w:rPr>
        <w:t xml:space="preserve">.  </w:t>
      </w:r>
      <w:r w:rsidRPr="008B2ADC" w:rsidR="00692FDD">
        <w:rPr>
          <w:rFonts w:ascii="Book Antiqua" w:hAnsi="Book Antiqua"/>
          <w:bCs/>
        </w:rPr>
        <w:t xml:space="preserve">We conclude that </w:t>
      </w:r>
      <w:r w:rsidRPr="008B2ADC" w:rsidR="00353607">
        <w:rPr>
          <w:rFonts w:ascii="Book Antiqua" w:hAnsi="Book Antiqua"/>
          <w:bCs/>
        </w:rPr>
        <w:t xml:space="preserve">they do </w:t>
      </w:r>
      <w:r w:rsidRPr="008B2ADC" w:rsidR="00692FDD">
        <w:rPr>
          <w:rFonts w:ascii="Book Antiqua" w:hAnsi="Book Antiqua"/>
          <w:bCs/>
        </w:rPr>
        <w:t xml:space="preserve">not. </w:t>
      </w:r>
    </w:p>
    <w:p w:rsidRPr="008B2ADC" w:rsidR="00692FDD" w:rsidP="000D1298" w:rsidRDefault="00692FDD" w14:paraId="0ED4273F" w14:textId="77777777">
      <w:pPr>
        <w:rPr>
          <w:rFonts w:ascii="Book Antiqua" w:hAnsi="Book Antiqua"/>
          <w:bCs/>
        </w:rPr>
      </w:pPr>
    </w:p>
    <w:p w:rsidRPr="008B2ADC" w:rsidR="00353607" w:rsidP="000D1298" w:rsidRDefault="00353607" w14:paraId="7BF2531B" w14:textId="77777777">
      <w:pPr>
        <w:rPr>
          <w:rFonts w:ascii="Book Antiqua" w:hAnsi="Book Antiqua"/>
          <w:bCs/>
        </w:rPr>
      </w:pPr>
      <w:r w:rsidRPr="008B2ADC">
        <w:rPr>
          <w:rFonts w:ascii="Book Antiqua" w:hAnsi="Book Antiqua"/>
          <w:bCs/>
        </w:rPr>
        <w:t xml:space="preserve">The Legislature has determined the amount and breadth of liability insurance that TCPs and TNCs must maintain to meet the public interest.  GoGo’s activities do not place its customers at any </w:t>
      </w:r>
      <w:r w:rsidRPr="008B2ADC" w:rsidR="000D1298">
        <w:rPr>
          <w:rFonts w:ascii="Book Antiqua" w:hAnsi="Book Antiqua"/>
          <w:bCs/>
        </w:rPr>
        <w:t xml:space="preserve">greater risk </w:t>
      </w:r>
      <w:r w:rsidRPr="008B2ADC">
        <w:rPr>
          <w:rFonts w:ascii="Book Antiqua" w:hAnsi="Book Antiqua"/>
          <w:bCs/>
        </w:rPr>
        <w:t xml:space="preserve">of injury </w:t>
      </w:r>
      <w:r w:rsidRPr="008B2ADC" w:rsidR="000D1298">
        <w:rPr>
          <w:rFonts w:ascii="Book Antiqua" w:hAnsi="Book Antiqua"/>
          <w:bCs/>
        </w:rPr>
        <w:t xml:space="preserve">than a passenger that obtains a Lyft or Uber ride </w:t>
      </w:r>
      <w:r w:rsidRPr="008B2ADC">
        <w:rPr>
          <w:rFonts w:ascii="Book Antiqua" w:hAnsi="Book Antiqua"/>
          <w:bCs/>
        </w:rPr>
        <w:t xml:space="preserve">directly </w:t>
      </w:r>
      <w:r w:rsidRPr="008B2ADC" w:rsidR="000D1298">
        <w:rPr>
          <w:rFonts w:ascii="Book Antiqua" w:hAnsi="Book Antiqua"/>
          <w:bCs/>
        </w:rPr>
        <w:t>by using their own smartphone</w:t>
      </w:r>
      <w:r w:rsidRPr="008B2ADC">
        <w:rPr>
          <w:rFonts w:ascii="Book Antiqua" w:hAnsi="Book Antiqua"/>
          <w:bCs/>
        </w:rPr>
        <w:t xml:space="preserve">.  There is no rational basis to require GoGo to maintain liability insurance as an additional source of compensation in the event of a passenger injury. </w:t>
      </w:r>
    </w:p>
    <w:p w:rsidRPr="008B2ADC" w:rsidR="000D1298" w:rsidP="000F512D" w:rsidRDefault="000D1298" w14:paraId="1A6B2DFE" w14:textId="77777777">
      <w:pPr>
        <w:rPr>
          <w:rFonts w:ascii="Book Antiqua" w:hAnsi="Book Antiqua"/>
          <w:bCs/>
        </w:rPr>
      </w:pPr>
    </w:p>
    <w:p w:rsidRPr="008B2ADC" w:rsidR="00032422" w:rsidP="000F512D" w:rsidRDefault="00A76DFA" w14:paraId="1CD0346E" w14:textId="77777777">
      <w:pPr>
        <w:rPr>
          <w:rFonts w:ascii="Book Antiqua" w:hAnsi="Book Antiqua"/>
          <w:bCs/>
        </w:rPr>
      </w:pPr>
      <w:r w:rsidRPr="008B2ADC">
        <w:rPr>
          <w:rFonts w:ascii="Book Antiqua" w:hAnsi="Book Antiqua"/>
          <w:bCs/>
        </w:rPr>
        <w:t xml:space="preserve">CPED argues that GoGo has not demonstrated that its customers would be covered by Lyft’s and Uber’s liability insurance.  As an initial matter, CPED bears the burden to prove a </w:t>
      </w:r>
      <w:r w:rsidRPr="008B2ADC">
        <w:rPr>
          <w:rFonts w:ascii="Book Antiqua" w:hAnsi="Book Antiqua"/>
          <w:bCs/>
          <w:i/>
          <w:iCs/>
        </w:rPr>
        <w:t>prima facie</w:t>
      </w:r>
      <w:r w:rsidRPr="008B2ADC">
        <w:rPr>
          <w:rFonts w:ascii="Book Antiqua" w:hAnsi="Book Antiqua"/>
          <w:bCs/>
        </w:rPr>
        <w:t xml:space="preserve"> case supporting the issuance of this citation.  (Resolution ALJ</w:t>
      </w:r>
      <w:r w:rsidRPr="008B2ADC" w:rsidR="008B2ADC">
        <w:rPr>
          <w:rFonts w:ascii="Book Antiqua" w:hAnsi="Book Antiqua"/>
          <w:bCs/>
        </w:rPr>
        <w:noBreakHyphen/>
      </w:r>
      <w:r w:rsidRPr="008B2ADC">
        <w:rPr>
          <w:rFonts w:ascii="Book Antiqua" w:hAnsi="Book Antiqua"/>
          <w:bCs/>
        </w:rPr>
        <w:t xml:space="preserve">299, Appendix A, Rule 11.)  </w:t>
      </w:r>
      <w:r w:rsidRPr="008B2ADC" w:rsidR="00776A01">
        <w:rPr>
          <w:rFonts w:ascii="Book Antiqua" w:hAnsi="Book Antiqua"/>
          <w:bCs/>
        </w:rPr>
        <w:t xml:space="preserve">That </w:t>
      </w:r>
      <w:r w:rsidRPr="008B2ADC" w:rsidR="00A0737A">
        <w:rPr>
          <w:rFonts w:ascii="Book Antiqua" w:hAnsi="Book Antiqua"/>
          <w:bCs/>
        </w:rPr>
        <w:t>requires</w:t>
      </w:r>
      <w:r w:rsidRPr="008B2ADC" w:rsidR="00776A01">
        <w:rPr>
          <w:rFonts w:ascii="Book Antiqua" w:hAnsi="Book Antiqua"/>
          <w:bCs/>
        </w:rPr>
        <w:t xml:space="preserve"> presenting a case that </w:t>
      </w:r>
      <w:r w:rsidRPr="008B2ADC" w:rsidR="00DA5F05">
        <w:rPr>
          <w:rFonts w:ascii="Book Antiqua" w:hAnsi="Book Antiqua"/>
          <w:bCs/>
        </w:rPr>
        <w:t xml:space="preserve">Lyft’s and Uber’s liability insurance does </w:t>
      </w:r>
      <w:r w:rsidRPr="008B2ADC" w:rsidR="00DA5F05">
        <w:rPr>
          <w:rFonts w:ascii="Book Antiqua" w:hAnsi="Book Antiqua"/>
          <w:bCs/>
          <w:i/>
          <w:iCs/>
        </w:rPr>
        <w:t>not</w:t>
      </w:r>
      <w:r w:rsidRPr="008B2ADC" w:rsidR="00DA5F05">
        <w:rPr>
          <w:rFonts w:ascii="Book Antiqua" w:hAnsi="Book Antiqua"/>
          <w:bCs/>
        </w:rPr>
        <w:t xml:space="preserve"> cover </w:t>
      </w:r>
      <w:r w:rsidRPr="008B2ADC" w:rsidR="00776A01">
        <w:rPr>
          <w:rFonts w:ascii="Book Antiqua" w:hAnsi="Book Antiqua"/>
          <w:bCs/>
        </w:rPr>
        <w:t xml:space="preserve">GoGo’s customers </w:t>
      </w:r>
      <w:r w:rsidRPr="008B2ADC" w:rsidR="00866A55">
        <w:rPr>
          <w:rFonts w:ascii="Book Antiqua" w:hAnsi="Book Antiqua"/>
          <w:bCs/>
        </w:rPr>
        <w:t xml:space="preserve">in the same manner </w:t>
      </w:r>
      <w:r w:rsidRPr="008B2ADC" w:rsidR="00776A01">
        <w:rPr>
          <w:rFonts w:ascii="Book Antiqua" w:hAnsi="Book Antiqua"/>
          <w:bCs/>
        </w:rPr>
        <w:t>as other passengers.</w:t>
      </w:r>
      <w:r w:rsidRPr="008B2ADC" w:rsidR="00AF5AAB">
        <w:rPr>
          <w:rFonts w:ascii="Book Antiqua" w:hAnsi="Book Antiqua"/>
          <w:bCs/>
        </w:rPr>
        <w:t xml:space="preserve">  CPED </w:t>
      </w:r>
      <w:r w:rsidRPr="008B2ADC" w:rsidR="00A0737A">
        <w:rPr>
          <w:rFonts w:ascii="Book Antiqua" w:hAnsi="Book Antiqua"/>
          <w:bCs/>
        </w:rPr>
        <w:t>presents</w:t>
      </w:r>
      <w:r w:rsidRPr="008B2ADC" w:rsidR="00AF5AAB">
        <w:rPr>
          <w:rFonts w:ascii="Book Antiqua" w:hAnsi="Book Antiqua"/>
          <w:bCs/>
        </w:rPr>
        <w:t xml:space="preserve"> no such case.</w:t>
      </w:r>
      <w:r w:rsidRPr="008B2ADC" w:rsidR="000336E4">
        <w:rPr>
          <w:rFonts w:ascii="Book Antiqua" w:hAnsi="Book Antiqua"/>
          <w:bCs/>
        </w:rPr>
        <w:t xml:space="preserve">  </w:t>
      </w:r>
    </w:p>
    <w:p w:rsidRPr="008B2ADC" w:rsidR="00032422" w:rsidP="000F512D" w:rsidRDefault="00032422" w14:paraId="7A781A8D" w14:textId="77777777">
      <w:pPr>
        <w:rPr>
          <w:rFonts w:ascii="Book Antiqua" w:hAnsi="Book Antiqua"/>
          <w:bCs/>
        </w:rPr>
      </w:pPr>
    </w:p>
    <w:p w:rsidRPr="008B2ADC" w:rsidR="006E6A01" w:rsidP="000F512D" w:rsidRDefault="00032422" w14:paraId="6C9F9512" w14:textId="77777777">
      <w:pPr>
        <w:rPr>
          <w:rFonts w:ascii="Book Antiqua" w:hAnsi="Book Antiqua"/>
          <w:bCs/>
        </w:rPr>
      </w:pPr>
      <w:r w:rsidRPr="008B2ADC">
        <w:rPr>
          <w:rFonts w:ascii="Book Antiqua" w:hAnsi="Book Antiqua"/>
          <w:bCs/>
        </w:rPr>
        <w:lastRenderedPageBreak/>
        <w:t>Furthermore,</w:t>
      </w:r>
      <w:r w:rsidRPr="008B2ADC" w:rsidR="00DA5F05">
        <w:rPr>
          <w:rFonts w:ascii="Book Antiqua" w:hAnsi="Book Antiqua"/>
          <w:bCs/>
        </w:rPr>
        <w:t xml:space="preserve"> the record evidence demonstrates that Lyft’s and Uber’s liability insurance </w:t>
      </w:r>
      <w:r w:rsidRPr="008B2ADC" w:rsidR="00DA5F05">
        <w:rPr>
          <w:rFonts w:ascii="Book Antiqua" w:hAnsi="Book Antiqua"/>
          <w:bCs/>
          <w:i/>
          <w:iCs/>
        </w:rPr>
        <w:t>does</w:t>
      </w:r>
      <w:r w:rsidRPr="008B2ADC" w:rsidR="00DA5F05">
        <w:rPr>
          <w:rFonts w:ascii="Book Antiqua" w:hAnsi="Book Antiqua"/>
          <w:bCs/>
        </w:rPr>
        <w:t xml:space="preserve"> cover GoGo’s customers in the same manner as other passengers.  </w:t>
      </w:r>
      <w:r w:rsidRPr="008B2ADC" w:rsidR="009E6A79">
        <w:rPr>
          <w:rFonts w:ascii="Book Antiqua" w:hAnsi="Book Antiqua"/>
          <w:bCs/>
        </w:rPr>
        <w:t>It in</w:t>
      </w:r>
      <w:r w:rsidRPr="008B2ADC" w:rsidR="009B5B5D">
        <w:rPr>
          <w:rFonts w:ascii="Book Antiqua" w:hAnsi="Book Antiqua"/>
          <w:bCs/>
        </w:rPr>
        <w:t xml:space="preserve">cludes </w:t>
      </w:r>
      <w:r w:rsidRPr="008B2ADC" w:rsidR="005D5617">
        <w:rPr>
          <w:rFonts w:ascii="Book Antiqua" w:hAnsi="Book Antiqua"/>
          <w:bCs/>
        </w:rPr>
        <w:t xml:space="preserve">examples where </w:t>
      </w:r>
      <w:r w:rsidRPr="008B2ADC" w:rsidR="00DA5F05">
        <w:rPr>
          <w:rFonts w:ascii="Book Antiqua" w:hAnsi="Book Antiqua"/>
          <w:bCs/>
        </w:rPr>
        <w:t xml:space="preserve">Lyft and Uber </w:t>
      </w:r>
      <w:r w:rsidRPr="008B2ADC" w:rsidR="005D5617">
        <w:rPr>
          <w:rFonts w:ascii="Book Antiqua" w:hAnsi="Book Antiqua"/>
          <w:bCs/>
        </w:rPr>
        <w:t>covered damages to GoGo’s customers involved in automobile accidents while riding in an Uber or Lyft driver’s vehicle</w:t>
      </w:r>
      <w:r w:rsidRPr="008B2ADC" w:rsidR="006E6A01">
        <w:rPr>
          <w:rFonts w:ascii="Book Antiqua" w:hAnsi="Book Antiqua"/>
          <w:bCs/>
        </w:rPr>
        <w:t xml:space="preserve"> (Ex. 4, p.12; RT 106:15</w:t>
      </w:r>
      <w:r w:rsidRPr="008B2ADC" w:rsidR="008B2ADC">
        <w:rPr>
          <w:rFonts w:ascii="Book Antiqua" w:hAnsi="Book Antiqua"/>
          <w:bCs/>
        </w:rPr>
        <w:noBreakHyphen/>
      </w:r>
      <w:r w:rsidRPr="008B2ADC" w:rsidR="006E6A01">
        <w:rPr>
          <w:rFonts w:ascii="Book Antiqua" w:hAnsi="Book Antiqua"/>
          <w:bCs/>
        </w:rPr>
        <w:t>107:14 and 109:6</w:t>
      </w:r>
      <w:r w:rsidRPr="008B2ADC" w:rsidR="008B2ADC">
        <w:rPr>
          <w:rFonts w:ascii="Book Antiqua" w:hAnsi="Book Antiqua"/>
          <w:bCs/>
        </w:rPr>
        <w:noBreakHyphen/>
      </w:r>
      <w:r w:rsidRPr="008B2ADC" w:rsidR="006E6A01">
        <w:rPr>
          <w:rFonts w:ascii="Book Antiqua" w:hAnsi="Book Antiqua"/>
          <w:bCs/>
        </w:rPr>
        <w:t>17)</w:t>
      </w:r>
      <w:r w:rsidRPr="008B2ADC" w:rsidR="005D5617">
        <w:rPr>
          <w:rFonts w:ascii="Book Antiqua" w:hAnsi="Book Antiqua"/>
          <w:bCs/>
        </w:rPr>
        <w:t xml:space="preserve">;  </w:t>
      </w:r>
      <w:r w:rsidRPr="008B2ADC" w:rsidR="006E6A01">
        <w:rPr>
          <w:rFonts w:ascii="Book Antiqua" w:hAnsi="Book Antiqua"/>
          <w:bCs/>
        </w:rPr>
        <w:t xml:space="preserve">the Lyft concierge agreement with GoGo </w:t>
      </w:r>
      <w:r w:rsidRPr="008B2ADC" w:rsidR="009E6A79">
        <w:rPr>
          <w:rFonts w:ascii="Book Antiqua" w:hAnsi="Book Antiqua"/>
          <w:bCs/>
        </w:rPr>
        <w:t xml:space="preserve">that </w:t>
      </w:r>
      <w:r w:rsidRPr="008B2ADC" w:rsidR="006E6A01">
        <w:rPr>
          <w:rFonts w:ascii="Book Antiqua" w:hAnsi="Book Antiqua"/>
          <w:bCs/>
        </w:rPr>
        <w:t xml:space="preserve">states that Lyft’s limitation of liability “shall not apply to … nor shall it limit the scope of Lyft’s commercial automobile liability policy” (Ex. G to Ex. 1); and Lyft and Uber </w:t>
      </w:r>
      <w:r w:rsidRPr="008B2ADC" w:rsidR="00DA5F05">
        <w:rPr>
          <w:rFonts w:ascii="Book Antiqua" w:hAnsi="Book Antiqua"/>
          <w:bCs/>
        </w:rPr>
        <w:t>both offer declarations to th</w:t>
      </w:r>
      <w:r w:rsidRPr="008B2ADC" w:rsidR="009E6A79">
        <w:rPr>
          <w:rFonts w:ascii="Book Antiqua" w:hAnsi="Book Antiqua"/>
          <w:bCs/>
        </w:rPr>
        <w:t xml:space="preserve">e effect that their insurance policies would cover GoGo’s customers the same as any other passengers.  </w:t>
      </w:r>
      <w:r w:rsidRPr="008B2ADC" w:rsidR="006E6A01">
        <w:rPr>
          <w:rFonts w:ascii="Book Antiqua" w:hAnsi="Book Antiqua"/>
          <w:bCs/>
        </w:rPr>
        <w:t>(Ex</w:t>
      </w:r>
      <w:r w:rsidRPr="008B2ADC" w:rsidR="008B4A2B">
        <w:rPr>
          <w:rFonts w:ascii="Book Antiqua" w:hAnsi="Book Antiqua"/>
          <w:bCs/>
        </w:rPr>
        <w:t>. 7 and Ex. 8</w:t>
      </w:r>
      <w:r w:rsidR="00E775FD">
        <w:rPr>
          <w:rFonts w:ascii="Book Antiqua" w:hAnsi="Book Antiqua"/>
          <w:bCs/>
        </w:rPr>
        <w:t>.</w:t>
      </w:r>
      <w:r w:rsidRPr="008B2ADC" w:rsidR="006E6A01">
        <w:rPr>
          <w:rFonts w:ascii="Book Antiqua" w:hAnsi="Book Antiqua"/>
          <w:bCs/>
        </w:rPr>
        <w:t>)</w:t>
      </w:r>
    </w:p>
    <w:p w:rsidRPr="008B2ADC" w:rsidR="00E07469" w:rsidP="00E07469" w:rsidRDefault="00E07469" w14:paraId="4126CB80" w14:textId="77777777">
      <w:pPr>
        <w:rPr>
          <w:rFonts w:ascii="Book Antiqua" w:hAnsi="Book Antiqua"/>
          <w:bCs/>
        </w:rPr>
      </w:pPr>
    </w:p>
    <w:p w:rsidRPr="008B2ADC" w:rsidR="00470ED5" w:rsidRDefault="00C4154A" w14:paraId="0859C000" w14:textId="4FDD55CA">
      <w:pPr>
        <w:rPr>
          <w:rFonts w:ascii="Book Antiqua" w:hAnsi="Book Antiqua"/>
          <w:bCs/>
        </w:rPr>
      </w:pPr>
      <w:r w:rsidRPr="008B2ADC">
        <w:rPr>
          <w:rFonts w:ascii="Book Antiqua" w:hAnsi="Book Antiqua"/>
          <w:bCs/>
        </w:rPr>
        <w:t xml:space="preserve">CPED </w:t>
      </w:r>
      <w:r w:rsidRPr="008B2ADC" w:rsidR="009E6A79">
        <w:rPr>
          <w:rFonts w:ascii="Book Antiqua" w:hAnsi="Book Antiqua"/>
          <w:bCs/>
        </w:rPr>
        <w:t xml:space="preserve">argues that </w:t>
      </w:r>
      <w:r w:rsidRPr="008B2ADC" w:rsidR="00950492">
        <w:rPr>
          <w:rFonts w:ascii="Book Antiqua" w:hAnsi="Book Antiqua"/>
          <w:bCs/>
        </w:rPr>
        <w:t xml:space="preserve">GoGo </w:t>
      </w:r>
      <w:r w:rsidRPr="008B2ADC" w:rsidR="00470ED5">
        <w:rPr>
          <w:rFonts w:ascii="Book Antiqua" w:hAnsi="Book Antiqua"/>
          <w:bCs/>
        </w:rPr>
        <w:t xml:space="preserve">should be </w:t>
      </w:r>
      <w:r w:rsidR="00BB56DF">
        <w:rPr>
          <w:rFonts w:ascii="Book Antiqua" w:hAnsi="Book Antiqua"/>
          <w:bCs/>
        </w:rPr>
        <w:t xml:space="preserve">required </w:t>
      </w:r>
      <w:r w:rsidRPr="008B2ADC" w:rsidR="00470ED5">
        <w:rPr>
          <w:rFonts w:ascii="Book Antiqua" w:hAnsi="Book Antiqua"/>
          <w:bCs/>
        </w:rPr>
        <w:t xml:space="preserve">to maintain TCP or TNC liability insurance </w:t>
      </w:r>
      <w:r w:rsidR="00BB56DF">
        <w:rPr>
          <w:rFonts w:ascii="Book Antiqua" w:hAnsi="Book Antiqua"/>
          <w:bCs/>
        </w:rPr>
        <w:t xml:space="preserve">against </w:t>
      </w:r>
      <w:r w:rsidRPr="008B2ADC" w:rsidR="00470ED5">
        <w:rPr>
          <w:rFonts w:ascii="Book Antiqua" w:hAnsi="Book Antiqua"/>
          <w:bCs/>
        </w:rPr>
        <w:t xml:space="preserve">injury to its customers because they </w:t>
      </w:r>
      <w:r w:rsidRPr="008B2ADC" w:rsidR="009E6A79">
        <w:rPr>
          <w:rFonts w:ascii="Book Antiqua" w:hAnsi="Book Antiqua"/>
          <w:bCs/>
        </w:rPr>
        <w:t>may be at higher risk than other TNC passengers</w:t>
      </w:r>
      <w:r w:rsidRPr="008B2ADC" w:rsidR="00470ED5">
        <w:rPr>
          <w:rFonts w:ascii="Book Antiqua" w:hAnsi="Book Antiqua"/>
          <w:bCs/>
        </w:rPr>
        <w:t xml:space="preserve">.  CPED cites to Lyft’s declaration that </w:t>
      </w:r>
      <w:r w:rsidRPr="008B2ADC">
        <w:rPr>
          <w:rFonts w:ascii="Book Antiqua" w:hAnsi="Book Antiqua"/>
          <w:bCs/>
        </w:rPr>
        <w:t>incidents rela</w:t>
      </w:r>
      <w:r w:rsidRPr="008B2ADC" w:rsidR="008D4DB2">
        <w:rPr>
          <w:rFonts w:ascii="Book Antiqua" w:hAnsi="Book Antiqua"/>
          <w:bCs/>
        </w:rPr>
        <w:t>t</w:t>
      </w:r>
      <w:r w:rsidRPr="008B2ADC">
        <w:rPr>
          <w:rFonts w:ascii="Book Antiqua" w:hAnsi="Book Antiqua"/>
          <w:bCs/>
        </w:rPr>
        <w:t xml:space="preserve">ed to a passenger entering and exiting the </w:t>
      </w:r>
      <w:r w:rsidRPr="008B2ADC" w:rsidR="008D4DB2">
        <w:rPr>
          <w:rFonts w:ascii="Book Antiqua" w:hAnsi="Book Antiqua"/>
          <w:bCs/>
        </w:rPr>
        <w:t>v</w:t>
      </w:r>
      <w:r w:rsidRPr="008B2ADC">
        <w:rPr>
          <w:rFonts w:ascii="Book Antiqua" w:hAnsi="Book Antiqua"/>
          <w:bCs/>
        </w:rPr>
        <w:t>ehicle</w:t>
      </w:r>
      <w:r w:rsidRPr="008B2ADC" w:rsidR="008D4DB2">
        <w:rPr>
          <w:rFonts w:ascii="Book Antiqua" w:hAnsi="Book Antiqua"/>
          <w:bCs/>
        </w:rPr>
        <w:t xml:space="preserve"> </w:t>
      </w:r>
      <w:r w:rsidRPr="008B2ADC" w:rsidR="00447EF3">
        <w:rPr>
          <w:rFonts w:ascii="Book Antiqua" w:hAnsi="Book Antiqua"/>
          <w:bCs/>
        </w:rPr>
        <w:t xml:space="preserve">are </w:t>
      </w:r>
      <w:r w:rsidRPr="008B2ADC" w:rsidR="008D4DB2">
        <w:rPr>
          <w:rFonts w:ascii="Book Antiqua" w:hAnsi="Book Antiqua"/>
          <w:bCs/>
        </w:rPr>
        <w:t>often ambiguous and require a case</w:t>
      </w:r>
      <w:r w:rsidRPr="008B2ADC" w:rsidR="008B2ADC">
        <w:rPr>
          <w:rFonts w:ascii="Book Antiqua" w:hAnsi="Book Antiqua"/>
          <w:bCs/>
        </w:rPr>
        <w:noBreakHyphen/>
      </w:r>
      <w:r w:rsidRPr="008B2ADC" w:rsidR="008D4DB2">
        <w:rPr>
          <w:rFonts w:ascii="Book Antiqua" w:hAnsi="Book Antiqua"/>
          <w:bCs/>
        </w:rPr>
        <w:t>by</w:t>
      </w:r>
      <w:r w:rsidRPr="008B2ADC" w:rsidR="008B2ADC">
        <w:rPr>
          <w:rFonts w:ascii="Book Antiqua" w:hAnsi="Book Antiqua"/>
          <w:bCs/>
        </w:rPr>
        <w:noBreakHyphen/>
      </w:r>
      <w:r w:rsidRPr="008B2ADC" w:rsidR="008D4DB2">
        <w:rPr>
          <w:rFonts w:ascii="Book Antiqua" w:hAnsi="Book Antiqua"/>
          <w:bCs/>
        </w:rPr>
        <w:t xml:space="preserve">case investigation </w:t>
      </w:r>
      <w:r w:rsidRPr="008B2ADC" w:rsidR="00FC6363">
        <w:rPr>
          <w:rFonts w:ascii="Book Antiqua" w:hAnsi="Book Antiqua"/>
          <w:bCs/>
        </w:rPr>
        <w:t>to ascertain whether it is covered by TNC insurance</w:t>
      </w:r>
      <w:r w:rsidRPr="008B2ADC" w:rsidR="00447EF3">
        <w:rPr>
          <w:rFonts w:ascii="Book Antiqua" w:hAnsi="Book Antiqua"/>
          <w:bCs/>
        </w:rPr>
        <w:t xml:space="preserve">.  CPED </w:t>
      </w:r>
      <w:r w:rsidRPr="008B2ADC" w:rsidR="00641FB6">
        <w:rPr>
          <w:rFonts w:ascii="Book Antiqua" w:hAnsi="Book Antiqua"/>
          <w:bCs/>
        </w:rPr>
        <w:t>argues that</w:t>
      </w:r>
      <w:r w:rsidRPr="008B2ADC" w:rsidR="00470ED5">
        <w:rPr>
          <w:rFonts w:ascii="Book Antiqua" w:hAnsi="Book Antiqua"/>
          <w:bCs/>
        </w:rPr>
        <w:t>, as a result,</w:t>
      </w:r>
      <w:r w:rsidRPr="008B2ADC" w:rsidR="00641FB6">
        <w:rPr>
          <w:rFonts w:ascii="Book Antiqua" w:hAnsi="Book Antiqua"/>
          <w:bCs/>
        </w:rPr>
        <w:t xml:space="preserve"> </w:t>
      </w:r>
      <w:r w:rsidRPr="008B2ADC" w:rsidR="007A774B">
        <w:rPr>
          <w:rFonts w:ascii="Book Antiqua" w:hAnsi="Book Antiqua"/>
          <w:bCs/>
        </w:rPr>
        <w:t>“[s]eniors being a majority of GoGo’s customers would be placed in a more vulnerable position</w:t>
      </w:r>
      <w:r w:rsidRPr="008B2ADC" w:rsidR="00470ED5">
        <w:rPr>
          <w:rFonts w:ascii="Book Antiqua" w:hAnsi="Book Antiqua"/>
          <w:bCs/>
        </w:rPr>
        <w:t>.</w:t>
      </w:r>
      <w:r w:rsidRPr="008B2ADC" w:rsidR="007A774B">
        <w:rPr>
          <w:rFonts w:ascii="Book Antiqua" w:hAnsi="Book Antiqua"/>
          <w:bCs/>
        </w:rPr>
        <w:t xml:space="preserve">” </w:t>
      </w:r>
      <w:r w:rsidRPr="008B2ADC" w:rsidR="00020C0C">
        <w:rPr>
          <w:rFonts w:ascii="Book Antiqua" w:hAnsi="Book Antiqua"/>
          <w:bCs/>
        </w:rPr>
        <w:t xml:space="preserve"> </w:t>
      </w:r>
      <w:r w:rsidRPr="008B2ADC" w:rsidR="008D4DB2">
        <w:rPr>
          <w:rFonts w:ascii="Book Antiqua" w:hAnsi="Book Antiqua"/>
          <w:bCs/>
        </w:rPr>
        <w:t xml:space="preserve">(CPED opening brief, p. 12.)  </w:t>
      </w:r>
      <w:r w:rsidRPr="008B2ADC" w:rsidR="00A25E39">
        <w:rPr>
          <w:rFonts w:ascii="Book Antiqua" w:hAnsi="Book Antiqua"/>
          <w:bCs/>
        </w:rPr>
        <w:t xml:space="preserve">This argument is without merit.  </w:t>
      </w:r>
      <w:r w:rsidRPr="008B2ADC" w:rsidR="00950492">
        <w:rPr>
          <w:rFonts w:ascii="Book Antiqua" w:hAnsi="Book Antiqua"/>
          <w:bCs/>
        </w:rPr>
        <w:t>R</w:t>
      </w:r>
      <w:r w:rsidRPr="008B2ADC" w:rsidR="00A25E39">
        <w:rPr>
          <w:rFonts w:ascii="Book Antiqua" w:hAnsi="Book Antiqua"/>
          <w:bCs/>
        </w:rPr>
        <w:t xml:space="preserve">equiring GoGo to maintain TNC liability insurance does not alleviate the ambiguity regarding whether an incident related to entering and exiting a vehicle </w:t>
      </w:r>
      <w:r w:rsidR="00FC7A5D">
        <w:rPr>
          <w:rFonts w:ascii="Book Antiqua" w:hAnsi="Book Antiqua"/>
          <w:bCs/>
        </w:rPr>
        <w:t xml:space="preserve">hailed using GoGo </w:t>
      </w:r>
      <w:r w:rsidRPr="008B2ADC" w:rsidR="00A25E39">
        <w:rPr>
          <w:rFonts w:ascii="Book Antiqua" w:hAnsi="Book Antiqua"/>
          <w:bCs/>
        </w:rPr>
        <w:t>is covered</w:t>
      </w:r>
      <w:r w:rsidRPr="008B2ADC" w:rsidR="00950492">
        <w:rPr>
          <w:rFonts w:ascii="Book Antiqua" w:hAnsi="Book Antiqua"/>
          <w:bCs/>
        </w:rPr>
        <w:t xml:space="preserve"> pursuant to statutory and regulatory requirements.</w:t>
      </w:r>
    </w:p>
    <w:p w:rsidRPr="008B2ADC" w:rsidR="00470ED5" w:rsidRDefault="00470ED5" w14:paraId="762772F3" w14:textId="77777777">
      <w:pPr>
        <w:rPr>
          <w:rFonts w:ascii="Book Antiqua" w:hAnsi="Book Antiqua"/>
          <w:bCs/>
        </w:rPr>
      </w:pPr>
    </w:p>
    <w:p w:rsidRPr="008B2ADC" w:rsidR="00780D0A" w:rsidRDefault="001D65D1" w14:paraId="6271C1E5" w14:textId="063ECF7F">
      <w:pPr>
        <w:rPr>
          <w:rFonts w:ascii="Book Antiqua" w:hAnsi="Book Antiqua"/>
          <w:bCs/>
        </w:rPr>
      </w:pPr>
      <w:r w:rsidRPr="008B2ADC">
        <w:rPr>
          <w:rFonts w:ascii="Book Antiqua" w:hAnsi="Book Antiqua"/>
          <w:bCs/>
        </w:rPr>
        <w:t xml:space="preserve">CPED </w:t>
      </w:r>
      <w:r w:rsidRPr="008B2ADC" w:rsidR="00AA3BEA">
        <w:rPr>
          <w:rFonts w:ascii="Book Antiqua" w:hAnsi="Book Antiqua"/>
          <w:bCs/>
        </w:rPr>
        <w:t>also</w:t>
      </w:r>
      <w:r w:rsidRPr="008B2ADC">
        <w:rPr>
          <w:rFonts w:ascii="Book Antiqua" w:hAnsi="Book Antiqua"/>
          <w:bCs/>
        </w:rPr>
        <w:t xml:space="preserve"> argues that </w:t>
      </w:r>
      <w:r w:rsidRPr="008B2ADC" w:rsidR="001A3BA5">
        <w:rPr>
          <w:rFonts w:ascii="Book Antiqua" w:hAnsi="Book Antiqua"/>
          <w:bCs/>
        </w:rPr>
        <w:t xml:space="preserve">GoGo should be regulated as a TCP or TNC because </w:t>
      </w:r>
      <w:r w:rsidRPr="008B2ADC" w:rsidR="00C262DA">
        <w:rPr>
          <w:rFonts w:ascii="Book Antiqua" w:hAnsi="Book Antiqua"/>
          <w:bCs/>
        </w:rPr>
        <w:t>GoGo has received a “significant number” of public complaints regarding its service that are “quite disturbing and disheartening.”</w:t>
      </w:r>
      <w:r w:rsidR="00E775FD">
        <w:rPr>
          <w:rFonts w:ascii="Book Antiqua" w:hAnsi="Book Antiqua"/>
          <w:bCs/>
        </w:rPr>
        <w:t xml:space="preserve"> </w:t>
      </w:r>
      <w:r w:rsidRPr="008B2ADC" w:rsidR="00C262DA">
        <w:rPr>
          <w:rFonts w:ascii="Book Antiqua" w:hAnsi="Book Antiqua"/>
          <w:bCs/>
        </w:rPr>
        <w:t xml:space="preserve"> (CPED opening brief, pp. 1</w:t>
      </w:r>
      <w:r w:rsidRPr="008B2ADC" w:rsidR="000948B2">
        <w:rPr>
          <w:rFonts w:ascii="Book Antiqua" w:hAnsi="Book Antiqua"/>
          <w:bCs/>
        </w:rPr>
        <w:t>8</w:t>
      </w:r>
      <w:r w:rsidRPr="008B2ADC" w:rsidR="008B2ADC">
        <w:rPr>
          <w:rFonts w:ascii="Book Antiqua" w:hAnsi="Book Antiqua"/>
          <w:bCs/>
        </w:rPr>
        <w:noBreakHyphen/>
      </w:r>
      <w:r w:rsidRPr="008B2ADC" w:rsidR="00C262DA">
        <w:rPr>
          <w:rFonts w:ascii="Book Antiqua" w:hAnsi="Book Antiqua"/>
          <w:bCs/>
        </w:rPr>
        <w:t>19</w:t>
      </w:r>
      <w:r w:rsidRPr="008B2ADC" w:rsidR="000948B2">
        <w:rPr>
          <w:rFonts w:ascii="Book Antiqua" w:hAnsi="Book Antiqua"/>
          <w:bCs/>
        </w:rPr>
        <w:t>, Attachment A</w:t>
      </w:r>
      <w:r w:rsidRPr="008B2ADC" w:rsidR="00C262DA">
        <w:rPr>
          <w:rFonts w:ascii="Book Antiqua" w:hAnsi="Book Antiqua"/>
          <w:bCs/>
        </w:rPr>
        <w:t xml:space="preserve">.)  The public complaints </w:t>
      </w:r>
      <w:r w:rsidR="00BB56DF">
        <w:rPr>
          <w:rFonts w:ascii="Book Antiqua" w:hAnsi="Book Antiqua"/>
          <w:bCs/>
        </w:rPr>
        <w:t xml:space="preserve">that CPED identifies </w:t>
      </w:r>
      <w:r w:rsidRPr="008B2ADC" w:rsidR="00C262DA">
        <w:rPr>
          <w:rFonts w:ascii="Book Antiqua" w:hAnsi="Book Antiqua"/>
          <w:bCs/>
        </w:rPr>
        <w:t>are Yelp reviews</w:t>
      </w:r>
      <w:r w:rsidRPr="008B2ADC" w:rsidR="00364D1E">
        <w:rPr>
          <w:rFonts w:ascii="Book Antiqua" w:hAnsi="Book Antiqua"/>
          <w:bCs/>
        </w:rPr>
        <w:t xml:space="preserve"> </w:t>
      </w:r>
      <w:r w:rsidRPr="008B2ADC" w:rsidR="00470ED5">
        <w:rPr>
          <w:rFonts w:ascii="Book Antiqua" w:hAnsi="Book Antiqua"/>
          <w:bCs/>
        </w:rPr>
        <w:t xml:space="preserve">displayed on </w:t>
      </w:r>
      <w:r w:rsidRPr="008B2ADC" w:rsidR="00364D1E">
        <w:rPr>
          <w:rFonts w:ascii="Book Antiqua" w:hAnsi="Book Antiqua"/>
          <w:bCs/>
        </w:rPr>
        <w:t>October 2017, April 2018 and September 2018, each containing a range of ratings from one star to five</w:t>
      </w:r>
      <w:r w:rsidRPr="008B2ADC" w:rsidR="00470ED5">
        <w:rPr>
          <w:rFonts w:ascii="Book Antiqua" w:hAnsi="Book Antiqua"/>
          <w:bCs/>
        </w:rPr>
        <w:t xml:space="preserve">, and each earning </w:t>
      </w:r>
      <w:r w:rsidRPr="008B2ADC" w:rsidR="00364D1E">
        <w:rPr>
          <w:rFonts w:ascii="Book Antiqua" w:hAnsi="Book Antiqua"/>
          <w:bCs/>
        </w:rPr>
        <w:t xml:space="preserve">an average rating of </w:t>
      </w:r>
      <w:r w:rsidRPr="008B2ADC" w:rsidR="00470ED5">
        <w:rPr>
          <w:rFonts w:ascii="Book Antiqua" w:hAnsi="Book Antiqua"/>
          <w:bCs/>
        </w:rPr>
        <w:t xml:space="preserve">2 ½ or </w:t>
      </w:r>
      <w:r w:rsidRPr="008B2ADC" w:rsidR="00364D1E">
        <w:rPr>
          <w:rFonts w:ascii="Book Antiqua" w:hAnsi="Book Antiqua"/>
          <w:bCs/>
        </w:rPr>
        <w:t>3 ½ stars.  The negative reviews generally reflect instances where the TNC driver and GoGo’s customer were unable to find each other, the TNC driver canceled the ride, or the c</w:t>
      </w:r>
      <w:r w:rsidRPr="008B2ADC" w:rsidR="00470ED5">
        <w:rPr>
          <w:rFonts w:ascii="Book Antiqua" w:hAnsi="Book Antiqua"/>
          <w:bCs/>
        </w:rPr>
        <w:t xml:space="preserve">ustomer </w:t>
      </w:r>
      <w:r w:rsidRPr="008B2ADC" w:rsidR="00364D1E">
        <w:rPr>
          <w:rFonts w:ascii="Book Antiqua" w:hAnsi="Book Antiqua"/>
          <w:bCs/>
        </w:rPr>
        <w:t xml:space="preserve">was unhappy with the </w:t>
      </w:r>
      <w:r w:rsidRPr="008B2ADC" w:rsidR="00AA3BEA">
        <w:rPr>
          <w:rFonts w:ascii="Book Antiqua" w:hAnsi="Book Antiqua"/>
          <w:bCs/>
        </w:rPr>
        <w:t xml:space="preserve">wait, </w:t>
      </w:r>
      <w:r w:rsidRPr="008B2ADC" w:rsidR="00364D1E">
        <w:rPr>
          <w:rFonts w:ascii="Book Antiqua" w:hAnsi="Book Antiqua"/>
          <w:bCs/>
        </w:rPr>
        <w:t>duration or route of the ride</w:t>
      </w:r>
      <w:r w:rsidRPr="008B2ADC" w:rsidR="00470ED5">
        <w:rPr>
          <w:rFonts w:ascii="Book Antiqua" w:hAnsi="Book Antiqua"/>
          <w:bCs/>
        </w:rPr>
        <w:t>.</w:t>
      </w:r>
      <w:r w:rsidRPr="008B2ADC" w:rsidR="00AA3BEA">
        <w:rPr>
          <w:rFonts w:ascii="Book Antiqua" w:hAnsi="Book Antiqua"/>
          <w:bCs/>
        </w:rPr>
        <w:t xml:space="preserve">  </w:t>
      </w:r>
      <w:r w:rsidR="001E73F3">
        <w:rPr>
          <w:rFonts w:ascii="Book Antiqua" w:hAnsi="Book Antiqua"/>
          <w:bCs/>
        </w:rPr>
        <w:t>CPED makes no showing that these service quality issues are regulated either by statute or Commission regulation</w:t>
      </w:r>
      <w:r w:rsidR="00727C83">
        <w:rPr>
          <w:rFonts w:ascii="Book Antiqua" w:hAnsi="Book Antiqua"/>
          <w:bCs/>
        </w:rPr>
        <w:t>.</w:t>
      </w:r>
      <w:r w:rsidRPr="008B2ADC" w:rsidR="00780D0A">
        <w:rPr>
          <w:rFonts w:ascii="Book Antiqua" w:hAnsi="Book Antiqua"/>
          <w:bCs/>
        </w:rPr>
        <w:t xml:space="preserve"> </w:t>
      </w:r>
    </w:p>
    <w:p w:rsidRPr="008B2ADC" w:rsidR="00780D0A" w:rsidRDefault="00780D0A" w14:paraId="41286481" w14:textId="77777777">
      <w:pPr>
        <w:rPr>
          <w:rFonts w:ascii="Book Antiqua" w:hAnsi="Book Antiqua"/>
          <w:bCs/>
        </w:rPr>
      </w:pPr>
    </w:p>
    <w:p w:rsidR="00A50934" w:rsidRDefault="00AA3BEA" w14:paraId="45A47B6F" w14:textId="6C80B188">
      <w:pPr>
        <w:rPr>
          <w:rFonts w:ascii="Book Antiqua" w:hAnsi="Book Antiqua"/>
          <w:bCs/>
        </w:rPr>
      </w:pPr>
      <w:r w:rsidRPr="008B2ADC">
        <w:rPr>
          <w:rFonts w:ascii="Book Antiqua" w:hAnsi="Book Antiqua"/>
          <w:bCs/>
        </w:rPr>
        <w:t xml:space="preserve">CPED also argues that the Commission should regulate GoGo as a TNC </w:t>
      </w:r>
      <w:r w:rsidRPr="008B2ADC" w:rsidR="00A50934">
        <w:rPr>
          <w:rFonts w:ascii="Book Antiqua" w:hAnsi="Book Antiqua"/>
          <w:bCs/>
        </w:rPr>
        <w:t xml:space="preserve">in order to protect against GoGo’s disclosure of a customer’s </w:t>
      </w:r>
      <w:r w:rsidRPr="00601C45" w:rsidR="00A50934">
        <w:rPr>
          <w:rFonts w:ascii="Book Antiqua" w:hAnsi="Book Antiqua"/>
          <w:bCs/>
        </w:rPr>
        <w:t>person</w:t>
      </w:r>
      <w:r w:rsidRPr="00601C45" w:rsidR="001C0D2A">
        <w:rPr>
          <w:rFonts w:ascii="Book Antiqua" w:hAnsi="Book Antiqua"/>
          <w:bCs/>
        </w:rPr>
        <w:t>al</w:t>
      </w:r>
      <w:r w:rsidRPr="008B2ADC" w:rsidR="00A50934">
        <w:rPr>
          <w:rFonts w:ascii="Book Antiqua" w:hAnsi="Book Antiqua"/>
          <w:bCs/>
        </w:rPr>
        <w:t xml:space="preserve"> information pursuant to </w:t>
      </w:r>
      <w:r w:rsidRPr="008B2ADC">
        <w:rPr>
          <w:rFonts w:ascii="Book Antiqua" w:hAnsi="Book Antiqua"/>
          <w:bCs/>
        </w:rPr>
        <w:t>Section 5437</w:t>
      </w:r>
      <w:r w:rsidRPr="008B2ADC" w:rsidR="00A50934">
        <w:rPr>
          <w:rFonts w:ascii="Book Antiqua" w:hAnsi="Book Antiqua"/>
          <w:bCs/>
        </w:rPr>
        <w:t xml:space="preserve"> and to ensure that GoGo provides its customers with the TNC driver’s name and license plate number as required by Section 5445.1</w:t>
      </w:r>
      <w:r w:rsidRPr="008B2ADC" w:rsidR="00020C0C">
        <w:rPr>
          <w:rFonts w:ascii="Book Antiqua" w:hAnsi="Book Antiqua"/>
          <w:bCs/>
        </w:rPr>
        <w:t>.  (CPED opening brief, p. </w:t>
      </w:r>
      <w:r w:rsidRPr="008B2ADC" w:rsidR="00A50934">
        <w:rPr>
          <w:rFonts w:ascii="Book Antiqua" w:hAnsi="Book Antiqua"/>
          <w:bCs/>
        </w:rPr>
        <w:t xml:space="preserve">20.)  </w:t>
      </w:r>
      <w:r w:rsidRPr="008B2ADC" w:rsidR="00F724DD">
        <w:rPr>
          <w:rFonts w:ascii="Book Antiqua" w:hAnsi="Book Antiqua"/>
          <w:bCs/>
        </w:rPr>
        <w:t xml:space="preserve">These </w:t>
      </w:r>
      <w:r w:rsidR="00727C83">
        <w:rPr>
          <w:rFonts w:ascii="Book Antiqua" w:hAnsi="Book Antiqua"/>
          <w:bCs/>
        </w:rPr>
        <w:t>requirements are incidental to the manifest purpose of the TCP and TNC statutes</w:t>
      </w:r>
      <w:r w:rsidR="00781F7E">
        <w:rPr>
          <w:rFonts w:ascii="Book Antiqua" w:hAnsi="Book Antiqua"/>
          <w:bCs/>
        </w:rPr>
        <w:t xml:space="preserve"> and the Commission’s authority over TCPs and TNCs.  </w:t>
      </w:r>
      <w:r w:rsidR="00727C83">
        <w:rPr>
          <w:rFonts w:ascii="Book Antiqua" w:hAnsi="Book Antiqua"/>
          <w:bCs/>
        </w:rPr>
        <w:t xml:space="preserve">They </w:t>
      </w:r>
      <w:r w:rsidR="00781F7E">
        <w:rPr>
          <w:rFonts w:ascii="Book Antiqua" w:hAnsi="Book Antiqua"/>
          <w:bCs/>
        </w:rPr>
        <w:t>do not independently confer that authority.</w:t>
      </w:r>
    </w:p>
    <w:p w:rsidR="00781F7E" w:rsidRDefault="00781F7E" w14:paraId="5220319B" w14:textId="77777777">
      <w:pPr>
        <w:rPr>
          <w:rFonts w:ascii="Book Antiqua" w:hAnsi="Book Antiqua"/>
          <w:bCs/>
        </w:rPr>
      </w:pPr>
    </w:p>
    <w:p w:rsidRPr="00781F7E" w:rsidR="00781F7E" w:rsidP="00781F7E" w:rsidRDefault="00781F7E" w14:paraId="381BF0CF" w14:textId="77777777">
      <w:pPr>
        <w:keepNext/>
        <w:keepLines/>
        <w:numPr>
          <w:ilvl w:val="0"/>
          <w:numId w:val="7"/>
        </w:numPr>
        <w:rPr>
          <w:rFonts w:ascii="Book Antiqua" w:hAnsi="Book Antiqua"/>
          <w:bCs/>
        </w:rPr>
      </w:pPr>
      <w:r w:rsidRPr="00781F7E">
        <w:rPr>
          <w:rFonts w:ascii="Book Antiqua" w:hAnsi="Book Antiqua"/>
          <w:bCs/>
        </w:rPr>
        <w:lastRenderedPageBreak/>
        <w:t>Precedent</w:t>
      </w:r>
    </w:p>
    <w:p w:rsidRPr="00781F7E" w:rsidR="00781F7E" w:rsidP="00CB71FC" w:rsidRDefault="00781F7E" w14:paraId="22F20573" w14:textId="77777777">
      <w:pPr>
        <w:keepNext/>
        <w:keepLines/>
        <w:rPr>
          <w:rFonts w:ascii="Book Antiqua" w:hAnsi="Book Antiqua"/>
          <w:bCs/>
        </w:rPr>
      </w:pPr>
    </w:p>
    <w:p w:rsidRPr="00781F7E" w:rsidR="00781F7E" w:rsidP="00781F7E" w:rsidRDefault="00781F7E" w14:paraId="39C7D4DC" w14:textId="77777777">
      <w:pPr>
        <w:rPr>
          <w:rFonts w:ascii="Book Antiqua" w:hAnsi="Book Antiqua"/>
          <w:bCs/>
        </w:rPr>
      </w:pPr>
      <w:r w:rsidRPr="00781F7E">
        <w:rPr>
          <w:rFonts w:ascii="Book Antiqua" w:hAnsi="Book Antiqua"/>
          <w:bCs/>
        </w:rPr>
        <w:t>In interpreting Sections 5360 and 5431(c), we also consider Commission precedent.  Decision (D.) 93 06 034 (</w:t>
      </w:r>
      <w:r w:rsidRPr="00781F7E">
        <w:rPr>
          <w:rFonts w:ascii="Book Antiqua" w:hAnsi="Book Antiqua"/>
          <w:bCs/>
          <w:i/>
        </w:rPr>
        <w:t>Tower Tours</w:t>
      </w:r>
      <w:r w:rsidRPr="00781F7E">
        <w:rPr>
          <w:rFonts w:ascii="Book Antiqua" w:hAnsi="Book Antiqua"/>
          <w:bCs/>
        </w:rPr>
        <w:t xml:space="preserve">) considered whether a broker or agent for charter party carrier services operated by other persons who hold TCP authority is thereby a TCP.  It determined that they do not:  </w:t>
      </w:r>
    </w:p>
    <w:p w:rsidRPr="00781F7E" w:rsidR="00781F7E" w:rsidP="00781F7E" w:rsidRDefault="00781F7E" w14:paraId="423DCBB8" w14:textId="77777777">
      <w:pPr>
        <w:rPr>
          <w:rFonts w:ascii="Book Antiqua" w:hAnsi="Book Antiqua"/>
          <w:bCs/>
        </w:rPr>
      </w:pPr>
    </w:p>
    <w:p w:rsidRPr="00781F7E" w:rsidR="00781F7E" w:rsidP="001E73F3" w:rsidRDefault="00781F7E" w14:paraId="57BD3CD7" w14:textId="65203138">
      <w:pPr>
        <w:spacing w:after="160"/>
        <w:ind w:left="720" w:right="720"/>
        <w:rPr>
          <w:rFonts w:ascii="Book Antiqua" w:hAnsi="Book Antiqua"/>
          <w:bCs/>
        </w:rPr>
      </w:pPr>
      <w:r w:rsidRPr="00781F7E">
        <w:rPr>
          <w:rFonts w:ascii="Book Antiqua" w:hAnsi="Book Antiqua"/>
          <w:bCs/>
        </w:rPr>
        <w:t>Someone who operates no vehicles, does not hold out nor advertise itself as TCP, and does little more than book space and sell tickets for a TCP is not operating as a TCP and is not subject to the j</w:t>
      </w:r>
      <w:r w:rsidR="001E73F3">
        <w:rPr>
          <w:rFonts w:ascii="Book Antiqua" w:hAnsi="Book Antiqua"/>
          <w:bCs/>
        </w:rPr>
        <w:t>urisdiction of this Commission.</w:t>
      </w:r>
      <w:r w:rsidRPr="00781F7E">
        <w:rPr>
          <w:rFonts w:ascii="Book Antiqua" w:hAnsi="Book Antiqua"/>
          <w:bCs/>
        </w:rPr>
        <w:t xml:space="preserve">  (</w:t>
      </w:r>
      <w:r w:rsidRPr="001E73F3">
        <w:rPr>
          <w:rFonts w:ascii="Book Antiqua" w:hAnsi="Book Antiqua"/>
          <w:bCs/>
          <w:i/>
        </w:rPr>
        <w:t>In re Golden Bay Tour Company dba Tower Tours Agency</w:t>
      </w:r>
      <w:r w:rsidRPr="00781F7E">
        <w:rPr>
          <w:rFonts w:ascii="Book Antiqua" w:hAnsi="Book Antiqua"/>
          <w:bCs/>
        </w:rPr>
        <w:t>, 1993 Cal. PUC LEXIS 474, *10, 49 CPUC2d 506.)</w:t>
      </w:r>
    </w:p>
    <w:p w:rsidRPr="00781F7E" w:rsidR="00781F7E" w:rsidP="00781F7E" w:rsidRDefault="00781F7E" w14:paraId="11D3ECA2" w14:textId="77777777">
      <w:pPr>
        <w:rPr>
          <w:rFonts w:ascii="Book Antiqua" w:hAnsi="Book Antiqua"/>
          <w:bCs/>
        </w:rPr>
      </w:pPr>
    </w:p>
    <w:p w:rsidRPr="00781F7E" w:rsidR="00781F7E" w:rsidP="00781F7E" w:rsidRDefault="00781F7E" w14:paraId="0A29C53E" w14:textId="77777777">
      <w:pPr>
        <w:rPr>
          <w:rFonts w:ascii="Book Antiqua" w:hAnsi="Book Antiqua"/>
          <w:bCs/>
        </w:rPr>
      </w:pPr>
      <w:r w:rsidRPr="00781F7E">
        <w:rPr>
          <w:rFonts w:ascii="Book Antiqua" w:hAnsi="Book Antiqua"/>
          <w:bCs/>
        </w:rPr>
        <w:t>Similarly, GoGo acts as an agent for its customers, operates no vehicles, does not hold out itself or advertise itself as a TCP, and does little more than operate TNCs’ API portals on behalf of its customers.</w:t>
      </w:r>
    </w:p>
    <w:p w:rsidRPr="00781F7E" w:rsidR="00781F7E" w:rsidP="00781F7E" w:rsidRDefault="00781F7E" w14:paraId="7F808C73" w14:textId="77777777">
      <w:pPr>
        <w:rPr>
          <w:rFonts w:ascii="Book Antiqua" w:hAnsi="Book Antiqua"/>
          <w:bCs/>
        </w:rPr>
      </w:pPr>
    </w:p>
    <w:p w:rsidRPr="00781F7E" w:rsidR="00781F7E" w:rsidP="00781F7E" w:rsidRDefault="00781F7E" w14:paraId="01990913" w14:textId="3114EC9E">
      <w:pPr>
        <w:rPr>
          <w:rFonts w:ascii="Book Antiqua" w:hAnsi="Book Antiqua"/>
          <w:bCs/>
        </w:rPr>
      </w:pPr>
      <w:r w:rsidRPr="00781F7E">
        <w:rPr>
          <w:rFonts w:ascii="Book Antiqua" w:hAnsi="Book Antiqua"/>
          <w:bCs/>
        </w:rPr>
        <w:t xml:space="preserve">CPED argues that </w:t>
      </w:r>
      <w:r w:rsidRPr="00781F7E">
        <w:rPr>
          <w:rFonts w:ascii="Book Antiqua" w:hAnsi="Book Antiqua"/>
          <w:bCs/>
          <w:i/>
        </w:rPr>
        <w:t>Tower Tours</w:t>
      </w:r>
      <w:r w:rsidRPr="00781F7E">
        <w:rPr>
          <w:rFonts w:ascii="Book Antiqua" w:hAnsi="Book Antiqua"/>
          <w:bCs/>
        </w:rPr>
        <w:t xml:space="preserve"> is distinguishable because </w:t>
      </w:r>
      <w:r>
        <w:rPr>
          <w:rFonts w:ascii="Book Antiqua" w:hAnsi="Book Antiqua"/>
          <w:bCs/>
        </w:rPr>
        <w:t xml:space="preserve">the entity </w:t>
      </w:r>
      <w:r w:rsidRPr="00781F7E">
        <w:rPr>
          <w:rFonts w:ascii="Book Antiqua" w:hAnsi="Book Antiqua"/>
          <w:bCs/>
        </w:rPr>
        <w:t xml:space="preserve">subsequently applied for and was granted a TCP certificate in 2003.  (CPED reply brief, p.3.)  This fact is </w:t>
      </w:r>
      <w:r w:rsidRPr="00601C45" w:rsidR="001C0D2A">
        <w:rPr>
          <w:rFonts w:ascii="Book Antiqua" w:hAnsi="Book Antiqua"/>
          <w:bCs/>
        </w:rPr>
        <w:t>not persuasive</w:t>
      </w:r>
      <w:r w:rsidRPr="00781F7E">
        <w:rPr>
          <w:rFonts w:ascii="Book Antiqua" w:hAnsi="Book Antiqua"/>
          <w:bCs/>
        </w:rPr>
        <w:t>.  There is nothing in the record regarding whether Tower Tours’ operations were identical in 1993 and in 2003 or whether, as is more likely, Tower Tours expanded its activities to include passenger charter party carrier services requiring that authority.</w:t>
      </w:r>
    </w:p>
    <w:p w:rsidRPr="00781F7E" w:rsidR="00781F7E" w:rsidP="00781F7E" w:rsidRDefault="00781F7E" w14:paraId="66FDC397" w14:textId="77777777">
      <w:pPr>
        <w:rPr>
          <w:rFonts w:ascii="Book Antiqua" w:hAnsi="Book Antiqua"/>
          <w:bCs/>
        </w:rPr>
      </w:pPr>
    </w:p>
    <w:p w:rsidRPr="008B2ADC" w:rsidR="00781F7E" w:rsidP="00781F7E" w:rsidRDefault="00781F7E" w14:paraId="30455FB5" w14:textId="2F30F712">
      <w:pPr>
        <w:rPr>
          <w:rFonts w:ascii="Book Antiqua" w:hAnsi="Book Antiqua"/>
          <w:bCs/>
        </w:rPr>
      </w:pPr>
      <w:r w:rsidRPr="00781F7E">
        <w:rPr>
          <w:rFonts w:ascii="Book Antiqua" w:hAnsi="Book Antiqua"/>
          <w:bCs/>
        </w:rPr>
        <w:t xml:space="preserve">CPED also argues that </w:t>
      </w:r>
      <w:r w:rsidRPr="00781F7E">
        <w:rPr>
          <w:rFonts w:ascii="Book Antiqua" w:hAnsi="Book Antiqua"/>
          <w:bCs/>
          <w:i/>
        </w:rPr>
        <w:t>Tower Tours</w:t>
      </w:r>
      <w:r w:rsidRPr="00781F7E">
        <w:rPr>
          <w:rFonts w:ascii="Book Antiqua" w:hAnsi="Book Antiqua"/>
          <w:bCs/>
        </w:rPr>
        <w:t xml:space="preserve"> is distinguishable because </w:t>
      </w:r>
      <w:r>
        <w:rPr>
          <w:rFonts w:ascii="Book Antiqua" w:hAnsi="Book Antiqua"/>
          <w:bCs/>
        </w:rPr>
        <w:t xml:space="preserve">the entity </w:t>
      </w:r>
      <w:r w:rsidRPr="00781F7E">
        <w:rPr>
          <w:rFonts w:ascii="Book Antiqua" w:hAnsi="Book Antiqua"/>
          <w:bCs/>
        </w:rPr>
        <w:t>sold tickets for tours while GoGo ‘s customers are “vulnerable passengers who would not otherwise have access to transportation services.”</w:t>
      </w:r>
      <w:r w:rsidR="001E73F3">
        <w:rPr>
          <w:rFonts w:ascii="Book Antiqua" w:hAnsi="Book Antiqua"/>
          <w:bCs/>
        </w:rPr>
        <w:t xml:space="preserve"> </w:t>
      </w:r>
      <w:r w:rsidRPr="00781F7E">
        <w:rPr>
          <w:rFonts w:ascii="Book Antiqua" w:hAnsi="Book Antiqua"/>
          <w:bCs/>
        </w:rPr>
        <w:t xml:space="preserve"> (CPED reply brief, pp. 3 4.)  This argument has no basis in law or fact.  There is no legal authority </w:t>
      </w:r>
      <w:r w:rsidR="001E73F3">
        <w:rPr>
          <w:rFonts w:ascii="Book Antiqua" w:hAnsi="Book Antiqua"/>
          <w:bCs/>
        </w:rPr>
        <w:t>for CPED’s suggestion that D.93</w:t>
      </w:r>
      <w:r w:rsidR="001E73F3">
        <w:rPr>
          <w:rFonts w:ascii="Book Antiqua" w:hAnsi="Book Antiqua"/>
          <w:bCs/>
        </w:rPr>
        <w:noBreakHyphen/>
        <w:t>06</w:t>
      </w:r>
      <w:r w:rsidR="001E73F3">
        <w:rPr>
          <w:rFonts w:ascii="Book Antiqua" w:hAnsi="Book Antiqua"/>
          <w:bCs/>
        </w:rPr>
        <w:noBreakHyphen/>
      </w:r>
      <w:r w:rsidRPr="00781F7E">
        <w:rPr>
          <w:rFonts w:ascii="Book Antiqua" w:hAnsi="Book Antiqua"/>
          <w:bCs/>
        </w:rPr>
        <w:t>034 turns on the fact that Tower Tours offered leisure transportation.  Furthermore, there is no evidence that GoGo’s customers would not have access to transportation but for GoGo.</w:t>
      </w:r>
    </w:p>
    <w:p w:rsidRPr="008B2ADC" w:rsidR="00A50934" w:rsidRDefault="00A50934" w14:paraId="70757E9D" w14:textId="77777777">
      <w:pPr>
        <w:rPr>
          <w:rFonts w:ascii="Book Antiqua" w:hAnsi="Book Antiqua"/>
          <w:bCs/>
        </w:rPr>
      </w:pPr>
    </w:p>
    <w:p w:rsidRPr="008B2ADC" w:rsidR="00927CB4" w:rsidP="00020C0C" w:rsidRDefault="00927CB4" w14:paraId="66874166" w14:textId="77777777">
      <w:pPr>
        <w:keepNext/>
        <w:keepLines/>
        <w:numPr>
          <w:ilvl w:val="0"/>
          <w:numId w:val="7"/>
        </w:numPr>
        <w:rPr>
          <w:rFonts w:ascii="Book Antiqua" w:hAnsi="Book Antiqua"/>
          <w:bCs/>
        </w:rPr>
      </w:pPr>
      <w:r w:rsidRPr="008B2ADC">
        <w:rPr>
          <w:rFonts w:ascii="Book Antiqua" w:hAnsi="Book Antiqua"/>
          <w:bCs/>
        </w:rPr>
        <w:t xml:space="preserve">Request for rulemaking </w:t>
      </w:r>
    </w:p>
    <w:p w:rsidRPr="008B2ADC" w:rsidR="00927CB4" w:rsidP="00CB71FC" w:rsidRDefault="00927CB4" w14:paraId="6DE4C357" w14:textId="77777777">
      <w:pPr>
        <w:keepNext/>
        <w:keepLines/>
        <w:rPr>
          <w:rFonts w:ascii="Book Antiqua" w:hAnsi="Book Antiqua"/>
          <w:bCs/>
        </w:rPr>
      </w:pPr>
    </w:p>
    <w:p w:rsidRPr="008B2ADC" w:rsidR="00927CB4" w:rsidP="00927CB4" w:rsidRDefault="00927CB4" w14:paraId="7C26BFE9" w14:textId="0AC627AB">
      <w:pPr>
        <w:rPr>
          <w:rFonts w:ascii="Book Antiqua" w:hAnsi="Book Antiqua"/>
          <w:bCs/>
        </w:rPr>
      </w:pPr>
      <w:r w:rsidRPr="008B2ADC">
        <w:rPr>
          <w:rFonts w:ascii="Book Antiqua" w:hAnsi="Book Antiqua"/>
          <w:bCs/>
        </w:rPr>
        <w:t xml:space="preserve">Because </w:t>
      </w:r>
      <w:r w:rsidR="003E543E">
        <w:rPr>
          <w:rFonts w:ascii="Book Antiqua" w:hAnsi="Book Antiqua"/>
          <w:bCs/>
        </w:rPr>
        <w:t xml:space="preserve">in this proceeding we tentatively </w:t>
      </w:r>
      <w:proofErr w:type="gramStart"/>
      <w:r w:rsidR="003E543E">
        <w:rPr>
          <w:rFonts w:ascii="Book Antiqua" w:hAnsi="Book Antiqua"/>
          <w:bCs/>
        </w:rPr>
        <w:t xml:space="preserve">find </w:t>
      </w:r>
      <w:r w:rsidRPr="008B2ADC">
        <w:rPr>
          <w:rFonts w:ascii="Book Antiqua" w:hAnsi="Book Antiqua"/>
          <w:bCs/>
        </w:rPr>
        <w:t xml:space="preserve"> that</w:t>
      </w:r>
      <w:proofErr w:type="gramEnd"/>
      <w:r w:rsidRPr="008B2ADC">
        <w:rPr>
          <w:rFonts w:ascii="Book Antiqua" w:hAnsi="Book Antiqua"/>
          <w:bCs/>
        </w:rPr>
        <w:t xml:space="preserve"> GoGo is not a TCP or TNC, we do not reach GoGo’s request that the Commission consider modifications to GoGo’s operations that would take it out of our jurisdiction.</w:t>
      </w:r>
    </w:p>
    <w:p w:rsidRPr="008B2ADC" w:rsidR="00927CB4" w:rsidP="00927CB4" w:rsidRDefault="00927CB4" w14:paraId="759D4FA4" w14:textId="77777777">
      <w:pPr>
        <w:rPr>
          <w:rFonts w:ascii="Book Antiqua" w:hAnsi="Book Antiqua"/>
          <w:bCs/>
        </w:rPr>
      </w:pPr>
    </w:p>
    <w:p w:rsidR="003E543E" w:rsidP="00927CB4" w:rsidRDefault="00927CB4" w14:paraId="109660CB" w14:textId="74A6C3A4">
      <w:pPr>
        <w:rPr>
          <w:rFonts w:ascii="Book Antiqua" w:hAnsi="Book Antiqua"/>
          <w:bCs/>
        </w:rPr>
      </w:pPr>
      <w:r w:rsidRPr="008B2ADC">
        <w:rPr>
          <w:rFonts w:ascii="Book Antiqua" w:hAnsi="Book Antiqua"/>
          <w:bCs/>
        </w:rPr>
        <w:t xml:space="preserve">CPED recommends that, if the Commission determines for policy reasons that entities such as GoGo should not be considered TNCs, we open </w:t>
      </w:r>
      <w:r w:rsidR="00823052">
        <w:rPr>
          <w:rFonts w:ascii="Book Antiqua" w:hAnsi="Book Antiqua"/>
          <w:bCs/>
        </w:rPr>
        <w:t>an Order Ins</w:t>
      </w:r>
      <w:r w:rsidR="00D3086F">
        <w:rPr>
          <w:rFonts w:ascii="Book Antiqua" w:hAnsi="Book Antiqua"/>
          <w:bCs/>
        </w:rPr>
        <w:t>tit</w:t>
      </w:r>
      <w:r w:rsidR="00823052">
        <w:rPr>
          <w:rFonts w:ascii="Book Antiqua" w:hAnsi="Book Antiqua"/>
          <w:bCs/>
        </w:rPr>
        <w:t>uting R</w:t>
      </w:r>
      <w:r w:rsidRPr="008B2ADC">
        <w:rPr>
          <w:rFonts w:ascii="Book Antiqua" w:hAnsi="Book Antiqua"/>
          <w:bCs/>
        </w:rPr>
        <w:t xml:space="preserve">ulemaking </w:t>
      </w:r>
      <w:r w:rsidR="00823052">
        <w:rPr>
          <w:rFonts w:ascii="Book Antiqua" w:hAnsi="Book Antiqua"/>
          <w:bCs/>
        </w:rPr>
        <w:t xml:space="preserve">(OIR) </w:t>
      </w:r>
      <w:r w:rsidRPr="008B2ADC">
        <w:rPr>
          <w:rFonts w:ascii="Book Antiqua" w:hAnsi="Book Antiqua"/>
          <w:bCs/>
        </w:rPr>
        <w:t xml:space="preserve">to determine the type of permit that they should be required to obtain.  (CPED opening brief, p. 27.)  </w:t>
      </w:r>
    </w:p>
    <w:p w:rsidRPr="008B2ADC" w:rsidR="00927CB4" w:rsidP="00927CB4" w:rsidRDefault="003E543E" w14:paraId="2F054C7A" w14:textId="2E06ECF4">
      <w:pPr>
        <w:rPr>
          <w:rFonts w:ascii="Book Antiqua" w:hAnsi="Book Antiqua"/>
          <w:bCs/>
        </w:rPr>
      </w:pPr>
      <w:r>
        <w:rPr>
          <w:rFonts w:ascii="Book Antiqua" w:hAnsi="Book Antiqua"/>
          <w:bCs/>
        </w:rPr>
        <w:lastRenderedPageBreak/>
        <w:t>Both GoGo and CPED have sep</w:t>
      </w:r>
      <w:r w:rsidR="00823052">
        <w:rPr>
          <w:rFonts w:ascii="Book Antiqua" w:hAnsi="Book Antiqua"/>
          <w:bCs/>
        </w:rPr>
        <w:t xml:space="preserve">arately requested that an OIR be opened.  Due to the range of possible business configurations across the spectrum spanning from clearly a TCP or TNC to clearly not a regulated entity, the Commission may want to consider opening an OIR.  This may be especially helpful if further instances of ambiguous regulatory control arise.  Alternatively, an existing proceeding may be rescoped to include a review of what elements need to exist to be within or outside our jurisdiction.  An OIR is a more appropriate venue than a citation appeal. </w:t>
      </w:r>
      <w:r w:rsidRPr="008B2ADC" w:rsidR="00927CB4">
        <w:rPr>
          <w:rFonts w:ascii="Book Antiqua" w:hAnsi="Book Antiqua"/>
          <w:bCs/>
        </w:rPr>
        <w:br/>
      </w:r>
    </w:p>
    <w:p w:rsidRPr="008B2ADC" w:rsidR="00CD395D" w:rsidP="00020C0C" w:rsidRDefault="00670EE8" w14:paraId="7953AE92" w14:textId="77777777">
      <w:pPr>
        <w:keepNext/>
        <w:keepLines/>
        <w:numPr>
          <w:ilvl w:val="0"/>
          <w:numId w:val="7"/>
        </w:numPr>
        <w:rPr>
          <w:rFonts w:ascii="Book Antiqua" w:hAnsi="Book Antiqua"/>
          <w:bCs/>
        </w:rPr>
      </w:pPr>
      <w:r w:rsidRPr="008B2ADC">
        <w:rPr>
          <w:rFonts w:ascii="Book Antiqua" w:hAnsi="Book Antiqua"/>
          <w:bCs/>
        </w:rPr>
        <w:t>Conclusion</w:t>
      </w:r>
    </w:p>
    <w:p w:rsidRPr="008B2ADC" w:rsidR="00670EE8" w:rsidP="00CB71FC" w:rsidRDefault="00670EE8" w14:paraId="1A5D1778" w14:textId="77777777">
      <w:pPr>
        <w:keepNext/>
        <w:keepLines/>
        <w:rPr>
          <w:rFonts w:ascii="Book Antiqua" w:hAnsi="Book Antiqua"/>
          <w:bCs/>
        </w:rPr>
      </w:pPr>
    </w:p>
    <w:p w:rsidRPr="008B2ADC" w:rsidR="007B4754" w:rsidRDefault="00635916" w14:paraId="005A16F6" w14:textId="6E70CE80">
      <w:pPr>
        <w:rPr>
          <w:rFonts w:ascii="Book Antiqua" w:hAnsi="Book Antiqua"/>
          <w:bCs/>
          <w:caps/>
          <w:szCs w:val="24"/>
        </w:rPr>
      </w:pPr>
      <w:r w:rsidRPr="008B2ADC">
        <w:rPr>
          <w:rFonts w:ascii="Book Antiqua" w:hAnsi="Book Antiqua"/>
          <w:bCs/>
        </w:rPr>
        <w:t>For all these reason</w:t>
      </w:r>
      <w:r w:rsidRPr="008B2ADC" w:rsidR="00F5558B">
        <w:rPr>
          <w:rFonts w:ascii="Book Antiqua" w:hAnsi="Book Antiqua"/>
          <w:bCs/>
        </w:rPr>
        <w:t>s</w:t>
      </w:r>
      <w:r w:rsidRPr="008B2ADC">
        <w:rPr>
          <w:rFonts w:ascii="Book Antiqua" w:hAnsi="Book Antiqua"/>
          <w:bCs/>
        </w:rPr>
        <w:t xml:space="preserve">, </w:t>
      </w:r>
      <w:r w:rsidR="00823052">
        <w:rPr>
          <w:rFonts w:ascii="Book Antiqua" w:hAnsi="Book Antiqua"/>
          <w:bCs/>
        </w:rPr>
        <w:t xml:space="preserve">for this proceeding in which we are considering a citation appeal, </w:t>
      </w:r>
      <w:r w:rsidRPr="008B2ADC">
        <w:rPr>
          <w:rFonts w:ascii="Book Antiqua" w:hAnsi="Book Antiqua"/>
          <w:bCs/>
        </w:rPr>
        <w:t>we conclude that GoGo is not a TNC or a TCP and dismiss the citation.</w:t>
      </w:r>
    </w:p>
    <w:p w:rsidRPr="00BA457F" w:rsidR="00C47C2A" w:rsidRDefault="00C47C2A" w14:paraId="1B2F8FF8" w14:textId="77777777">
      <w:pPr>
        <w:rPr>
          <w:rFonts w:ascii="Book Antiqua" w:hAnsi="Book Antiqua"/>
          <w:bCs/>
          <w:caps/>
          <w:sz w:val="22"/>
          <w:szCs w:val="16"/>
        </w:rPr>
      </w:pPr>
    </w:p>
    <w:p w:rsidRPr="008B2ADC" w:rsidR="00C47C2A" w:rsidRDefault="00C47C2A" w14:paraId="0AB2E435" w14:textId="77777777">
      <w:pPr>
        <w:rPr>
          <w:rFonts w:ascii="Book Antiqua" w:hAnsi="Book Antiqua"/>
          <w:b/>
          <w:u w:val="single"/>
        </w:rPr>
      </w:pPr>
      <w:r w:rsidRPr="008B2ADC">
        <w:rPr>
          <w:rFonts w:ascii="Book Antiqua" w:hAnsi="Book Antiqua"/>
          <w:b/>
          <w:u w:val="single"/>
        </w:rPr>
        <w:t>COMMENTS</w:t>
      </w:r>
    </w:p>
    <w:p w:rsidRPr="00BA457F" w:rsidR="004D1633" w:rsidRDefault="004D1633" w14:paraId="0BE96F38" w14:textId="77777777">
      <w:pPr>
        <w:rPr>
          <w:rFonts w:ascii="Book Antiqua" w:hAnsi="Book Antiqua"/>
          <w:b/>
          <w:sz w:val="16"/>
          <w:szCs w:val="12"/>
          <w:u w:val="single"/>
        </w:rPr>
      </w:pPr>
    </w:p>
    <w:p w:rsidR="00C47C2A" w:rsidP="004D1633" w:rsidRDefault="004D1633" w14:paraId="155C6008" w14:textId="06067A3F">
      <w:pPr>
        <w:rPr>
          <w:rFonts w:ascii="Book Antiqua" w:hAnsi="Book Antiqua"/>
        </w:rPr>
      </w:pPr>
      <w:r w:rsidRPr="008B2ADC">
        <w:rPr>
          <w:rFonts w:ascii="Book Antiqua" w:hAnsi="Book Antiqua"/>
        </w:rPr>
        <w:t>Pub. Util. Code § 311(g)(1) requires that a draft resolution be served on all parties and</w:t>
      </w:r>
      <w:r w:rsidRPr="008B2ADC" w:rsidR="00020C0C">
        <w:rPr>
          <w:rFonts w:ascii="Book Antiqua" w:hAnsi="Book Antiqua"/>
        </w:rPr>
        <w:t xml:space="preserve"> </w:t>
      </w:r>
      <w:r w:rsidRPr="008B2ADC">
        <w:rPr>
          <w:rFonts w:ascii="Book Antiqua" w:hAnsi="Book Antiqua"/>
        </w:rPr>
        <w:t>be subject to a public review and comment period of 30 days or more, prior to a vote of</w:t>
      </w:r>
      <w:r w:rsidRPr="008B2ADC" w:rsidR="00020C0C">
        <w:rPr>
          <w:rFonts w:ascii="Book Antiqua" w:hAnsi="Book Antiqua"/>
        </w:rPr>
        <w:t xml:space="preserve"> </w:t>
      </w:r>
      <w:r w:rsidRPr="008B2ADC">
        <w:rPr>
          <w:rFonts w:ascii="Book Antiqua" w:hAnsi="Book Antiqua"/>
        </w:rPr>
        <w:t xml:space="preserve">the Commission on the resolution. </w:t>
      </w:r>
      <w:r w:rsidRPr="008B2ADC" w:rsidR="00020C0C">
        <w:rPr>
          <w:rFonts w:ascii="Book Antiqua" w:hAnsi="Book Antiqua"/>
        </w:rPr>
        <w:t xml:space="preserve"> </w:t>
      </w:r>
      <w:r w:rsidRPr="008B2ADC">
        <w:rPr>
          <w:rFonts w:ascii="Book Antiqua" w:hAnsi="Book Antiqua"/>
        </w:rPr>
        <w:t>A draft of today’s resolution was distributed for</w:t>
      </w:r>
      <w:r w:rsidRPr="008B2ADC" w:rsidR="00020C0C">
        <w:rPr>
          <w:rFonts w:ascii="Book Antiqua" w:hAnsi="Book Antiqua"/>
        </w:rPr>
        <w:t xml:space="preserve"> </w:t>
      </w:r>
      <w:r w:rsidRPr="008B2ADC">
        <w:rPr>
          <w:rFonts w:ascii="Book Antiqua" w:hAnsi="Book Antiqua"/>
        </w:rPr>
        <w:t>comment by the parties.</w:t>
      </w:r>
    </w:p>
    <w:p w:rsidRPr="00BA457F" w:rsidR="00C47C2A" w:rsidRDefault="00C47C2A" w14:paraId="13DCDE96" w14:textId="77777777">
      <w:pPr>
        <w:rPr>
          <w:rFonts w:ascii="Book Antiqua" w:hAnsi="Book Antiqua"/>
          <w:sz w:val="22"/>
          <w:szCs w:val="12"/>
        </w:rPr>
      </w:pPr>
    </w:p>
    <w:p w:rsidRPr="008B2ADC" w:rsidR="00C47C2A" w:rsidRDefault="00781F7E" w14:paraId="1B53E581" w14:textId="77777777">
      <w:pPr>
        <w:keepNext/>
        <w:rPr>
          <w:rFonts w:ascii="Book Antiqua" w:hAnsi="Book Antiqua"/>
          <w:b/>
          <w:u w:val="single"/>
        </w:rPr>
      </w:pPr>
      <w:r>
        <w:rPr>
          <w:rFonts w:ascii="Book Antiqua" w:hAnsi="Book Antiqua"/>
          <w:b/>
          <w:u w:val="single"/>
        </w:rPr>
        <w:t>CONCLUSION OF LAW</w:t>
      </w:r>
    </w:p>
    <w:p w:rsidRPr="00BA457F" w:rsidR="00C47C2A" w:rsidRDefault="00C47C2A" w14:paraId="7C984480" w14:textId="77777777">
      <w:pPr>
        <w:keepNext/>
        <w:rPr>
          <w:rFonts w:ascii="Book Antiqua" w:hAnsi="Book Antiqua"/>
          <w:sz w:val="16"/>
          <w:szCs w:val="12"/>
        </w:rPr>
      </w:pPr>
    </w:p>
    <w:p w:rsidRPr="008B2ADC" w:rsidR="00C47C2A" w:rsidRDefault="00823052" w14:paraId="7888DD01" w14:textId="675D7949">
      <w:pPr>
        <w:rPr>
          <w:rFonts w:ascii="Book Antiqua" w:hAnsi="Book Antiqua"/>
        </w:rPr>
      </w:pPr>
      <w:r>
        <w:rPr>
          <w:rFonts w:ascii="Book Antiqua" w:hAnsi="Book Antiqua"/>
        </w:rPr>
        <w:t xml:space="preserve">For purposes of a citation appeal, we find that </w:t>
      </w:r>
      <w:r w:rsidRPr="008B2ADC" w:rsidR="00DD60A7">
        <w:rPr>
          <w:rFonts w:ascii="Book Antiqua" w:hAnsi="Book Antiqua"/>
        </w:rPr>
        <w:t>GoGo Technologies dba GoGoGrandparent is not a transportation network company or otherwise a charter</w:t>
      </w:r>
      <w:r w:rsidRPr="008B2ADC" w:rsidR="008B2ADC">
        <w:rPr>
          <w:rFonts w:ascii="Book Antiqua" w:hAnsi="Book Antiqua"/>
        </w:rPr>
        <w:noBreakHyphen/>
      </w:r>
      <w:r w:rsidRPr="008B2ADC" w:rsidR="00DD60A7">
        <w:rPr>
          <w:rFonts w:ascii="Book Antiqua" w:hAnsi="Book Antiqua"/>
        </w:rPr>
        <w:t xml:space="preserve">party carrier. </w:t>
      </w:r>
    </w:p>
    <w:p w:rsidRPr="00E74F21" w:rsidR="00C47C2A" w:rsidRDefault="00C47C2A" w14:paraId="35936EF8" w14:textId="77777777">
      <w:pPr>
        <w:rPr>
          <w:rFonts w:ascii="Book Antiqua" w:hAnsi="Book Antiqua"/>
          <w:sz w:val="30"/>
        </w:rPr>
      </w:pPr>
    </w:p>
    <w:p w:rsidRPr="008B2ADC" w:rsidR="00C47C2A" w:rsidP="00EB63E6" w:rsidRDefault="00C47C2A" w14:paraId="7414E074" w14:textId="77777777">
      <w:pPr>
        <w:keepLines/>
        <w:rPr>
          <w:rFonts w:ascii="Book Antiqua" w:hAnsi="Book Antiqua"/>
        </w:rPr>
      </w:pPr>
      <w:r w:rsidRPr="008B2ADC">
        <w:rPr>
          <w:rFonts w:ascii="Book Antiqua" w:hAnsi="Book Antiqua"/>
          <w:b/>
        </w:rPr>
        <w:t>THEREFORE, IT IS ORDERED</w:t>
      </w:r>
      <w:r w:rsidRPr="008B2ADC">
        <w:rPr>
          <w:rFonts w:ascii="Book Antiqua" w:hAnsi="Book Antiqua"/>
        </w:rPr>
        <w:t xml:space="preserve"> that:</w:t>
      </w:r>
    </w:p>
    <w:p w:rsidRPr="008B2ADC" w:rsidR="00C47C2A" w:rsidP="00EB63E6" w:rsidRDefault="00C47C2A" w14:paraId="5FF3C377" w14:textId="77777777">
      <w:pPr>
        <w:keepLines/>
        <w:rPr>
          <w:rFonts w:ascii="Book Antiqua" w:hAnsi="Book Antiqua"/>
        </w:rPr>
      </w:pPr>
    </w:p>
    <w:p w:rsidRPr="008B2ADC" w:rsidR="00C47C2A" w:rsidP="00EB63E6" w:rsidRDefault="00C17EB5" w14:paraId="259E99DA" w14:textId="0FB71C46">
      <w:pPr>
        <w:keepLines/>
        <w:numPr>
          <w:ilvl w:val="0"/>
          <w:numId w:val="2"/>
        </w:numPr>
        <w:ind w:left="360"/>
        <w:rPr>
          <w:rFonts w:ascii="Book Antiqua" w:hAnsi="Book Antiqua"/>
        </w:rPr>
      </w:pPr>
      <w:r w:rsidRPr="008B2ADC">
        <w:rPr>
          <w:rFonts w:ascii="Book Antiqua" w:hAnsi="Book Antiqua"/>
        </w:rPr>
        <w:t>Citation No. F</w:t>
      </w:r>
      <w:r w:rsidRPr="008B2ADC" w:rsidR="008B2ADC">
        <w:rPr>
          <w:rFonts w:ascii="Book Antiqua" w:hAnsi="Book Antiqua"/>
        </w:rPr>
        <w:noBreakHyphen/>
      </w:r>
      <w:r w:rsidRPr="008B2ADC">
        <w:rPr>
          <w:rFonts w:ascii="Book Antiqua" w:hAnsi="Book Antiqua"/>
        </w:rPr>
        <w:t>5517 is dismissed.</w:t>
      </w:r>
    </w:p>
    <w:p w:rsidRPr="008B2ADC" w:rsidR="008012D1" w:rsidP="00EB63E6" w:rsidRDefault="008012D1" w14:paraId="50811011" w14:textId="77777777">
      <w:pPr>
        <w:keepLines/>
        <w:rPr>
          <w:rFonts w:ascii="Book Antiqua" w:hAnsi="Book Antiqua"/>
        </w:rPr>
      </w:pPr>
    </w:p>
    <w:p w:rsidRPr="008B2ADC" w:rsidR="00C47C2A" w:rsidP="001E73F3" w:rsidRDefault="008012D1" w14:paraId="02524E25" w14:textId="77777777">
      <w:pPr>
        <w:keepNext/>
        <w:keepLines/>
        <w:numPr>
          <w:ilvl w:val="0"/>
          <w:numId w:val="2"/>
        </w:numPr>
        <w:ind w:left="360"/>
        <w:rPr>
          <w:rFonts w:ascii="Book Antiqua" w:hAnsi="Book Antiqua"/>
        </w:rPr>
      </w:pPr>
      <w:r w:rsidRPr="008B2ADC">
        <w:rPr>
          <w:rFonts w:ascii="Book Antiqua" w:hAnsi="Book Antiqua"/>
        </w:rPr>
        <w:t>This proceeding is closed.</w:t>
      </w:r>
    </w:p>
    <w:p w:rsidRPr="008B2ADC" w:rsidR="008012D1" w:rsidP="001E73F3" w:rsidRDefault="008012D1" w14:paraId="2A8C9F7C" w14:textId="77777777">
      <w:pPr>
        <w:keepNext/>
        <w:keepLines/>
        <w:ind w:left="360"/>
        <w:rPr>
          <w:rFonts w:ascii="Book Antiqua" w:hAnsi="Book Antiqua"/>
        </w:rPr>
      </w:pPr>
    </w:p>
    <w:p w:rsidRPr="008B2ADC" w:rsidR="00C47C2A" w:rsidP="001E73F3" w:rsidRDefault="00C47C2A" w14:paraId="6FCF1ACF" w14:textId="77777777">
      <w:pPr>
        <w:keepNext/>
        <w:keepLines/>
        <w:rPr>
          <w:rFonts w:ascii="Book Antiqua" w:hAnsi="Book Antiqua"/>
        </w:rPr>
      </w:pPr>
      <w:r w:rsidRPr="008B2ADC">
        <w:rPr>
          <w:rFonts w:ascii="Book Antiqua" w:hAnsi="Book Antiqua"/>
        </w:rPr>
        <w:t>This resolution is effective today.</w:t>
      </w:r>
    </w:p>
    <w:p w:rsidRPr="008B2ADC" w:rsidR="00C47C2A" w:rsidP="00EB63E6" w:rsidRDefault="00C47C2A" w14:paraId="774461F8" w14:textId="77777777">
      <w:pPr>
        <w:keepNext/>
        <w:keepLines/>
        <w:rPr>
          <w:rFonts w:ascii="Book Antiqua" w:hAnsi="Book Antiqua"/>
        </w:rPr>
      </w:pPr>
    </w:p>
    <w:p w:rsidRPr="008B2ADC" w:rsidR="00C47C2A" w:rsidP="00EB63E6" w:rsidRDefault="00C47C2A" w14:paraId="156F6128" w14:textId="77777777">
      <w:pPr>
        <w:keepNext/>
        <w:keepLines/>
        <w:rPr>
          <w:rFonts w:ascii="Book Antiqua" w:hAnsi="Book Antiqua"/>
        </w:rPr>
      </w:pPr>
      <w:r w:rsidRPr="008B2ADC">
        <w:rPr>
          <w:rFonts w:ascii="Book Antiqua" w:hAnsi="Book Antiqua"/>
        </w:rPr>
        <w:t xml:space="preserve">I certify that the foregoing resolution was duly introduced, passed, and adopted at a conference of the Public Utilities Commission of the State of </w:t>
      </w:r>
      <w:smartTag w:uri="urn:schemas-microsoft-com:office:smarttags" w:element="State">
        <w:smartTag w:uri="urn:schemas-microsoft-com:office:smarttags" w:element="place">
          <w:r w:rsidRPr="008B2ADC">
            <w:rPr>
              <w:rFonts w:ascii="Book Antiqua" w:hAnsi="Book Antiqua"/>
            </w:rPr>
            <w:t>California</w:t>
          </w:r>
        </w:smartTag>
      </w:smartTag>
      <w:r w:rsidRPr="008B2ADC">
        <w:rPr>
          <w:rFonts w:ascii="Book Antiqua" w:hAnsi="Book Antiqua"/>
        </w:rPr>
        <w:t xml:space="preserve"> held on _______________, the following Commissioners voting favorably thereon:</w:t>
      </w:r>
    </w:p>
    <w:p w:rsidRPr="008B2ADC" w:rsidR="00C47C2A" w:rsidP="00EB63E6" w:rsidRDefault="00C47C2A" w14:paraId="24B8B862" w14:textId="77777777">
      <w:pPr>
        <w:keepNext/>
        <w:keepLines/>
        <w:rPr>
          <w:rFonts w:ascii="Book Antiqua" w:hAnsi="Book Antiqua"/>
        </w:rPr>
      </w:pPr>
    </w:p>
    <w:tbl>
      <w:tblPr>
        <w:tblW w:w="0" w:type="auto"/>
        <w:tblInd w:w="4428" w:type="dxa"/>
        <w:tblLayout w:type="fixed"/>
        <w:tblLook w:val="0000" w:firstRow="0" w:lastRow="0" w:firstColumn="0" w:lastColumn="0" w:noHBand="0" w:noVBand="0"/>
      </w:tblPr>
      <w:tblGrid>
        <w:gridCol w:w="3780"/>
      </w:tblGrid>
      <w:tr w:rsidR="00C47C2A" w14:paraId="061E8BB2" w14:textId="77777777">
        <w:tc>
          <w:tcPr>
            <w:tcW w:w="3780" w:type="dxa"/>
            <w:tcBorders>
              <w:bottom w:val="single" w:color="auto" w:sz="6" w:space="0"/>
            </w:tcBorders>
          </w:tcPr>
          <w:p w:rsidR="00C47C2A" w:rsidRDefault="00C47C2A" w14:paraId="5D865959" w14:textId="77777777">
            <w:pPr>
              <w:jc w:val="center"/>
            </w:pPr>
          </w:p>
        </w:tc>
      </w:tr>
      <w:tr w:rsidRPr="008B2ADC" w:rsidR="00C47C2A" w14:paraId="3F03771A" w14:textId="77777777">
        <w:tc>
          <w:tcPr>
            <w:tcW w:w="3780" w:type="dxa"/>
          </w:tcPr>
          <w:p w:rsidRPr="008B2ADC" w:rsidR="00C47C2A" w:rsidP="00304997" w:rsidRDefault="00747FA5" w14:paraId="5CE1CF67" w14:textId="77777777">
            <w:pPr>
              <w:spacing w:before="40"/>
              <w:jc w:val="center"/>
              <w:rPr>
                <w:rFonts w:ascii="Book Antiqua" w:hAnsi="Book Antiqua"/>
              </w:rPr>
            </w:pPr>
            <w:r w:rsidRPr="008B2ADC">
              <w:rPr>
                <w:rFonts w:ascii="Book Antiqua" w:hAnsi="Book Antiqua"/>
              </w:rPr>
              <w:t>ALICE STEBBINS</w:t>
            </w:r>
          </w:p>
          <w:p w:rsidRPr="008B2ADC" w:rsidR="00C47C2A" w:rsidRDefault="00C47C2A" w14:paraId="5DDE94E8" w14:textId="77777777">
            <w:pPr>
              <w:jc w:val="center"/>
              <w:rPr>
                <w:rFonts w:ascii="Book Antiqua" w:hAnsi="Book Antiqua"/>
              </w:rPr>
            </w:pPr>
            <w:r w:rsidRPr="008B2ADC">
              <w:rPr>
                <w:rFonts w:ascii="Book Antiqua" w:hAnsi="Book Antiqua"/>
              </w:rPr>
              <w:t>Executive Director</w:t>
            </w:r>
          </w:p>
        </w:tc>
      </w:tr>
    </w:tbl>
    <w:p w:rsidR="00BA457F" w:rsidP="00304997" w:rsidRDefault="00BA457F" w14:paraId="11A58726" w14:textId="77777777">
      <w:pPr>
        <w:pStyle w:val="standard"/>
        <w:rPr>
          <w:rFonts w:ascii="Book Antiqua" w:hAnsi="Book Antiqua"/>
        </w:rPr>
        <w:sectPr w:rsidR="00BA457F">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sectPr>
      </w:pPr>
    </w:p>
    <w:p w:rsidRPr="00E94A68" w:rsidR="00BA457F" w:rsidP="00BA457F" w:rsidRDefault="00BA457F" w14:paraId="1B0286CF" w14:textId="77777777">
      <w:pPr>
        <w:pStyle w:val="Header"/>
        <w:rPr>
          <w:rFonts w:ascii="Book Antiqua" w:hAnsi="Book Antiqua"/>
        </w:rPr>
      </w:pPr>
      <w:r>
        <w:rPr>
          <w:rFonts w:ascii="Book Antiqua" w:hAnsi="Book Antiqua"/>
        </w:rPr>
        <w:lastRenderedPageBreak/>
        <w:t>COM/LR1</w:t>
      </w:r>
      <w:r w:rsidRPr="00E94A68">
        <w:rPr>
          <w:rFonts w:ascii="Book Antiqua" w:hAnsi="Book Antiqua"/>
        </w:rPr>
        <w:t>/jt2</w:t>
      </w:r>
    </w:p>
    <w:p w:rsidRPr="00E94A68" w:rsidR="00BA457F" w:rsidP="00BA457F" w:rsidRDefault="00BA457F" w14:paraId="4AFA6A59" w14:textId="77777777">
      <w:pPr>
        <w:pStyle w:val="Header"/>
        <w:rPr>
          <w:rFonts w:ascii="Book Antiqua" w:hAnsi="Book Antiqua"/>
        </w:rPr>
      </w:pPr>
    </w:p>
    <w:p w:rsidR="00BA457F" w:rsidP="00BA457F" w:rsidRDefault="00BA457F" w14:paraId="03CEA630" w14:textId="77777777">
      <w:pPr>
        <w:rPr>
          <w:rFonts w:ascii="Helvetica" w:hAnsi="Helvetica"/>
          <w:b/>
          <w:bCs/>
        </w:rPr>
      </w:pPr>
      <w:r>
        <w:rPr>
          <w:rFonts w:ascii="Helvetica" w:hAnsi="Helvetica"/>
          <w:b/>
          <w:bCs/>
        </w:rPr>
        <w:t>BEFORE THE PUBLIC UTILITIES COMMISSION OF THE STATE OF CALIFORNIA</w:t>
      </w:r>
    </w:p>
    <w:p w:rsidRPr="00E94A68" w:rsidR="00BA457F" w:rsidP="00BA457F" w:rsidRDefault="00BA457F" w14:paraId="29CA285A" w14:textId="77777777">
      <w:pPr>
        <w:suppressAutoHyphens/>
        <w:rPr>
          <w:rFonts w:ascii="Book Antiqua" w:hAnsi="Book Antiqua"/>
        </w:rPr>
      </w:pPr>
    </w:p>
    <w:p w:rsidRPr="008B2ADC" w:rsidR="00BA457F" w:rsidP="00BA457F" w:rsidRDefault="00BA457F" w14:paraId="4B7ABEEA" w14:textId="77777777">
      <w:pPr>
        <w:pStyle w:val="BlockText"/>
        <w:rPr>
          <w:rFonts w:ascii="Book Antiqua" w:hAnsi="Book Antiqua"/>
        </w:rPr>
      </w:pPr>
      <w:r>
        <w:rPr>
          <w:rFonts w:ascii="Book Antiqua" w:hAnsi="Book Antiqua"/>
        </w:rPr>
        <w:t xml:space="preserve">ALTERNATE </w:t>
      </w:r>
      <w:r w:rsidRPr="008B2ADC">
        <w:rPr>
          <w:rFonts w:ascii="Book Antiqua" w:hAnsi="Book Antiqua"/>
        </w:rPr>
        <w:t>RESOLUTION ALJ</w:t>
      </w:r>
      <w:r w:rsidRPr="008B2ADC">
        <w:rPr>
          <w:rFonts w:ascii="Book Antiqua" w:hAnsi="Book Antiqua"/>
        </w:rPr>
        <w:noBreakHyphen/>
        <w:t>371.  Resolves the Appeal K.19</w:t>
      </w:r>
      <w:r w:rsidRPr="008B2ADC">
        <w:rPr>
          <w:rFonts w:ascii="Book Antiqua" w:hAnsi="Book Antiqua"/>
        </w:rPr>
        <w:noBreakHyphen/>
        <w:t>03</w:t>
      </w:r>
      <w:r w:rsidRPr="008B2ADC">
        <w:rPr>
          <w:rFonts w:ascii="Book Antiqua" w:hAnsi="Book Antiqua"/>
        </w:rPr>
        <w:noBreakHyphen/>
        <w:t>015 of Citation No. F</w:t>
      </w:r>
      <w:r w:rsidRPr="008B2ADC">
        <w:rPr>
          <w:rFonts w:ascii="Book Antiqua" w:hAnsi="Book Antiqua"/>
        </w:rPr>
        <w:noBreakHyphen/>
        <w:t>5517 by GoGo Technologies.</w:t>
      </w:r>
    </w:p>
    <w:p w:rsidRPr="00E94A68" w:rsidR="00BA457F" w:rsidP="00BA457F" w:rsidRDefault="00BA457F" w14:paraId="3EFAF604" w14:textId="77777777">
      <w:pPr>
        <w:rPr>
          <w:rFonts w:ascii="Book Antiqua" w:hAnsi="Book Antiqua"/>
        </w:rPr>
      </w:pPr>
    </w:p>
    <w:p w:rsidR="00BA457F" w:rsidP="00BA457F" w:rsidRDefault="00BA457F" w14:paraId="3CBCDD95" w14:textId="77777777">
      <w:pPr>
        <w:pStyle w:val="standard"/>
        <w:ind w:firstLine="0"/>
        <w:jc w:val="center"/>
        <w:rPr>
          <w:rFonts w:ascii="Arial" w:hAnsi="Arial" w:cs="Arial"/>
          <w:b/>
        </w:rPr>
      </w:pPr>
      <w:r>
        <w:rPr>
          <w:rFonts w:ascii="Arial" w:hAnsi="Arial" w:cs="Arial"/>
          <w:b/>
        </w:rPr>
        <w:t>INFORMATION REGARDING SERVICE</w:t>
      </w:r>
    </w:p>
    <w:p w:rsidRPr="0001144F" w:rsidR="00BA457F" w:rsidP="00BA457F" w:rsidRDefault="00BA457F" w14:paraId="348D66B6" w14:textId="77777777">
      <w:pPr>
        <w:jc w:val="center"/>
        <w:rPr>
          <w:sz w:val="8"/>
        </w:rPr>
      </w:pPr>
    </w:p>
    <w:p w:rsidRPr="00E94A68" w:rsidR="00BA457F" w:rsidP="00BA457F" w:rsidRDefault="00BA457F" w14:paraId="2FAA15D5" w14:textId="77777777">
      <w:pPr>
        <w:pStyle w:val="standard"/>
        <w:rPr>
          <w:rFonts w:ascii="Book Antiqua" w:hAnsi="Book Antiqua"/>
          <w:szCs w:val="26"/>
        </w:rPr>
      </w:pPr>
      <w:r w:rsidRPr="00E94A68">
        <w:rPr>
          <w:rFonts w:ascii="Book Antiqua" w:hAnsi="Book Antiqua"/>
          <w:szCs w:val="26"/>
        </w:rPr>
        <w:t xml:space="preserve">I have electronically served all persons on the attached official service list who have provided an e-mail address for </w:t>
      </w:r>
      <w:r>
        <w:rPr>
          <w:rFonts w:ascii="Book Antiqua" w:hAnsi="Book Antiqua"/>
          <w:szCs w:val="26"/>
        </w:rPr>
        <w:t>Resolution ALJ</w:t>
      </w:r>
      <w:r w:rsidRPr="000E6021">
        <w:rPr>
          <w:rFonts w:ascii="Book Antiqua" w:hAnsi="Book Antiqua"/>
          <w:szCs w:val="26"/>
        </w:rPr>
        <w:noBreakHyphen/>
      </w:r>
      <w:r>
        <w:rPr>
          <w:rFonts w:ascii="Book Antiqua" w:hAnsi="Book Antiqua"/>
          <w:szCs w:val="26"/>
        </w:rPr>
        <w:t>371</w:t>
      </w:r>
      <w:r w:rsidRPr="00E94A68">
        <w:rPr>
          <w:rFonts w:ascii="Book Antiqua" w:hAnsi="Book Antiqua"/>
          <w:szCs w:val="26"/>
        </w:rPr>
        <w:t>.</w:t>
      </w:r>
    </w:p>
    <w:p w:rsidRPr="00E94A68" w:rsidR="00BA457F" w:rsidP="00BA457F" w:rsidRDefault="00BA457F" w14:paraId="2B144B52" w14:textId="77777777">
      <w:pPr>
        <w:pStyle w:val="standard"/>
        <w:rPr>
          <w:rFonts w:ascii="Book Antiqua" w:hAnsi="Book Antiqua"/>
          <w:szCs w:val="26"/>
        </w:rPr>
      </w:pPr>
      <w:r w:rsidRPr="00E94A68">
        <w:rPr>
          <w:rFonts w:ascii="Book Antiqua" w:hAnsi="Book Antiqua"/>
          <w:szCs w:val="26"/>
        </w:rPr>
        <w:t>Upon confirmation of this document’s acceptance for filing, I will cause a Notice of Availability of the document to be served by U.S. mail on all parties listed in the “Party” category of the official service list for whom no e</w:t>
      </w:r>
      <w:r w:rsidRPr="00E94A68">
        <w:rPr>
          <w:rFonts w:ascii="Book Antiqua" w:hAnsi="Book Antiqua"/>
          <w:szCs w:val="26"/>
        </w:rPr>
        <w:noBreakHyphen/>
        <w:t>mail address is provided.</w:t>
      </w:r>
    </w:p>
    <w:p w:rsidRPr="00E94A68" w:rsidR="00BA457F" w:rsidP="00BA457F" w:rsidRDefault="00BA457F" w14:paraId="449A5272" w14:textId="77777777">
      <w:pPr>
        <w:pStyle w:val="standard"/>
        <w:rPr>
          <w:rFonts w:ascii="Book Antiqua" w:hAnsi="Book Antiqua"/>
          <w:szCs w:val="26"/>
        </w:rPr>
      </w:pPr>
      <w:r w:rsidRPr="00E94A68">
        <w:rPr>
          <w:rFonts w:ascii="Book Antiqua" w:hAnsi="Book Antiqua"/>
          <w:szCs w:val="26"/>
        </w:rPr>
        <w:t xml:space="preserve">Dated </w:t>
      </w:r>
      <w:r>
        <w:rPr>
          <w:rFonts w:ascii="Book Antiqua" w:hAnsi="Book Antiqua"/>
          <w:szCs w:val="26"/>
        </w:rPr>
        <w:t>January 3, 2020</w:t>
      </w:r>
      <w:r w:rsidRPr="00E94A68">
        <w:rPr>
          <w:rFonts w:ascii="Book Antiqua" w:hAnsi="Book Antiqua"/>
          <w:szCs w:val="26"/>
        </w:rPr>
        <w:t>, at San Francisco, California.</w:t>
      </w:r>
    </w:p>
    <w:p w:rsidRPr="00E94A68" w:rsidR="00BA457F" w:rsidP="00BA457F" w:rsidRDefault="00BA457F" w14:paraId="6F59A818" w14:textId="77777777">
      <w:pPr>
        <w:rPr>
          <w:rFonts w:ascii="Book Antiqua" w:hAnsi="Book Antiqua"/>
          <w:szCs w:val="26"/>
        </w:rPr>
      </w:pPr>
    </w:p>
    <w:p w:rsidRPr="00E94A68" w:rsidR="00BA457F" w:rsidP="00BA457F" w:rsidRDefault="00BA457F" w14:paraId="5D9281E6" w14:textId="77777777">
      <w:pPr>
        <w:rPr>
          <w:rFonts w:ascii="Book Antiqua" w:hAnsi="Book Antiqua"/>
          <w:szCs w:val="26"/>
        </w:rPr>
      </w:pPr>
    </w:p>
    <w:p w:rsidRPr="00E94A68" w:rsidR="00BA457F" w:rsidP="00BA457F" w:rsidRDefault="00BA457F" w14:paraId="588E4505" w14:textId="77777777">
      <w:pPr>
        <w:rPr>
          <w:rFonts w:ascii="Book Antiqua" w:hAnsi="Book Antiqua"/>
          <w:szCs w:val="26"/>
        </w:rPr>
      </w:pPr>
    </w:p>
    <w:tbl>
      <w:tblPr>
        <w:tblW w:w="0" w:type="auto"/>
        <w:tblInd w:w="4878" w:type="dxa"/>
        <w:tblLayout w:type="fixed"/>
        <w:tblLook w:val="0000" w:firstRow="0" w:lastRow="0" w:firstColumn="0" w:lastColumn="0" w:noHBand="0" w:noVBand="0"/>
      </w:tblPr>
      <w:tblGrid>
        <w:gridCol w:w="4050"/>
      </w:tblGrid>
      <w:tr w:rsidRPr="00E94A68" w:rsidR="00BA457F" w:rsidTr="000561EB" w14:paraId="03237629" w14:textId="77777777">
        <w:tc>
          <w:tcPr>
            <w:tcW w:w="4050" w:type="dxa"/>
            <w:tcBorders>
              <w:bottom w:val="single" w:color="auto" w:sz="6" w:space="0"/>
            </w:tcBorders>
          </w:tcPr>
          <w:p w:rsidRPr="00E94A68" w:rsidR="00BA457F" w:rsidP="000561EB" w:rsidRDefault="00BA457F" w14:paraId="64FAC34E" w14:textId="77777777">
            <w:pPr>
              <w:jc w:val="center"/>
              <w:rPr>
                <w:rFonts w:ascii="Book Antiqua" w:hAnsi="Book Antiqua"/>
                <w:szCs w:val="26"/>
              </w:rPr>
            </w:pPr>
            <w:r w:rsidRPr="00E94A68">
              <w:rPr>
                <w:rFonts w:ascii="Book Antiqua" w:hAnsi="Book Antiqua"/>
                <w:szCs w:val="26"/>
              </w:rPr>
              <w:t>/s</w:t>
            </w:r>
            <w:proofErr w:type="gramStart"/>
            <w:r w:rsidRPr="00E94A68">
              <w:rPr>
                <w:rFonts w:ascii="Book Antiqua" w:hAnsi="Book Antiqua"/>
                <w:szCs w:val="26"/>
              </w:rPr>
              <w:t>/  JOYCE</w:t>
            </w:r>
            <w:proofErr w:type="gramEnd"/>
            <w:r w:rsidRPr="00E94A68">
              <w:rPr>
                <w:rFonts w:ascii="Book Antiqua" w:hAnsi="Book Antiqua"/>
                <w:szCs w:val="26"/>
              </w:rPr>
              <w:t xml:space="preserve"> TOM </w:t>
            </w:r>
          </w:p>
        </w:tc>
      </w:tr>
      <w:tr w:rsidRPr="00E94A68" w:rsidR="00BA457F" w:rsidTr="000561EB" w14:paraId="69F0E397" w14:textId="77777777">
        <w:tc>
          <w:tcPr>
            <w:tcW w:w="4050" w:type="dxa"/>
          </w:tcPr>
          <w:p w:rsidRPr="00E94A68" w:rsidR="00BA457F" w:rsidP="000561EB" w:rsidRDefault="00BA457F" w14:paraId="0278A8D0" w14:textId="77777777">
            <w:pPr>
              <w:jc w:val="center"/>
              <w:rPr>
                <w:rFonts w:ascii="Book Antiqua" w:hAnsi="Book Antiqua"/>
                <w:szCs w:val="26"/>
              </w:rPr>
            </w:pPr>
            <w:r w:rsidRPr="00E94A68">
              <w:rPr>
                <w:rFonts w:ascii="Book Antiqua" w:hAnsi="Book Antiqua"/>
                <w:szCs w:val="26"/>
              </w:rPr>
              <w:t>Joyce Tom</w:t>
            </w:r>
          </w:p>
        </w:tc>
      </w:tr>
    </w:tbl>
    <w:p w:rsidRPr="00E94A68" w:rsidR="00BA457F" w:rsidP="00BA457F" w:rsidRDefault="00BA457F" w14:paraId="59581940" w14:textId="77777777">
      <w:pPr>
        <w:rPr>
          <w:rFonts w:ascii="Book Antiqua" w:hAnsi="Book Antiqua"/>
          <w:highlight w:val="yellow"/>
        </w:rPr>
      </w:pPr>
    </w:p>
    <w:p w:rsidRPr="00E94A68" w:rsidR="00BA457F" w:rsidP="00BA457F" w:rsidRDefault="00BA457F" w14:paraId="23CD990C" w14:textId="77777777">
      <w:pPr>
        <w:rPr>
          <w:rFonts w:ascii="Book Antiqua" w:hAnsi="Book Antiqua"/>
          <w:highlight w:val="yellow"/>
        </w:rPr>
        <w:sectPr w:rsidRPr="00E94A68" w:rsidR="00BA457F" w:rsidSect="0001144F">
          <w:footerReference w:type="default" r:id="rId22"/>
          <w:footerReference w:type="first" r:id="rId23"/>
          <w:pgSz w:w="12240" w:h="15840"/>
          <w:pgMar w:top="1080" w:right="1440" w:bottom="1440" w:left="1440" w:header="720" w:footer="720" w:gutter="0"/>
          <w:pgNumType w:start="1"/>
          <w:cols w:space="720"/>
          <w:titlePg/>
          <w:docGrid w:linePitch="360"/>
        </w:sectPr>
      </w:pPr>
    </w:p>
    <w:p w:rsidR="00BA457F" w:rsidP="00BA457F" w:rsidRDefault="00BA457F" w14:paraId="2175314F" w14:textId="77777777"/>
    <w:p w:rsidR="00BA457F" w:rsidP="00BA457F" w:rsidRDefault="00BA457F" w14:paraId="27F17646" w14:textId="77777777"/>
    <w:p w:rsidR="00BA457F" w:rsidP="00BA457F" w:rsidRDefault="00BA457F" w14:paraId="75531559" w14:textId="77777777">
      <w:pPr>
        <w:autoSpaceDE w:val="0"/>
        <w:autoSpaceDN w:val="0"/>
        <w:adjustRightInd w:val="0"/>
        <w:jc w:val="center"/>
        <w:rPr>
          <w:rFonts w:ascii="Helvetica" w:hAnsi="Helvetica" w:cs="Helvetica"/>
          <w:b/>
          <w:bCs/>
          <w:spacing w:val="120"/>
          <w:szCs w:val="26"/>
        </w:rPr>
      </w:pPr>
      <w:r>
        <w:rPr>
          <w:rFonts w:ascii="Helvetica" w:hAnsi="Helvetica" w:cs="Helvetica"/>
          <w:b/>
          <w:bCs/>
          <w:spacing w:val="120"/>
          <w:szCs w:val="26"/>
        </w:rPr>
        <w:t>NOTICE</w:t>
      </w:r>
    </w:p>
    <w:p w:rsidR="00BA457F" w:rsidP="00BA457F" w:rsidRDefault="00BA457F" w14:paraId="0F66E0D6" w14:textId="77777777">
      <w:pPr>
        <w:autoSpaceDE w:val="0"/>
        <w:autoSpaceDN w:val="0"/>
        <w:adjustRightInd w:val="0"/>
        <w:rPr>
          <w:rFonts w:ascii="Helvetica" w:hAnsi="Helvetica" w:cs="Helvetica"/>
          <w:szCs w:val="24"/>
        </w:rPr>
      </w:pPr>
    </w:p>
    <w:p w:rsidR="00BA457F" w:rsidP="00BA457F" w:rsidRDefault="00BA457F" w14:paraId="78CC1BA0" w14:textId="77777777">
      <w:pPr>
        <w:tabs>
          <w:tab w:val="left" w:pos="0"/>
        </w:tabs>
        <w:autoSpaceDE w:val="0"/>
        <w:autoSpaceDN w:val="0"/>
        <w:adjustRightInd w:val="0"/>
        <w:ind w:left="720" w:right="1080"/>
        <w:rPr>
          <w:rFonts w:ascii="Helvetica" w:hAnsi="Helvetica" w:cs="Helvetica"/>
          <w:szCs w:val="24"/>
        </w:rPr>
      </w:pPr>
      <w:r>
        <w:rPr>
          <w:rFonts w:ascii="Helvetica" w:hAnsi="Helvetica" w:cs="Helvetica"/>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00BA457F" w:rsidP="00BA457F" w:rsidRDefault="00BA457F" w14:paraId="494CB792" w14:textId="77777777">
      <w:pPr>
        <w:autoSpaceDE w:val="0"/>
        <w:autoSpaceDN w:val="0"/>
        <w:adjustRightInd w:val="0"/>
        <w:ind w:left="720" w:right="1080"/>
        <w:rPr>
          <w:rFonts w:ascii="Helvetica" w:hAnsi="Helvetica" w:cs="Helvetica"/>
          <w:szCs w:val="24"/>
        </w:rPr>
      </w:pPr>
    </w:p>
    <w:p w:rsidR="00BA457F" w:rsidP="00BA457F" w:rsidRDefault="00BA457F" w14:paraId="1F2B2BFD" w14:textId="77777777">
      <w:pPr>
        <w:tabs>
          <w:tab w:val="left" w:pos="0"/>
        </w:tabs>
        <w:autoSpaceDE w:val="0"/>
        <w:autoSpaceDN w:val="0"/>
        <w:adjustRightInd w:val="0"/>
        <w:ind w:left="720" w:right="1080"/>
        <w:rPr>
          <w:rFonts w:ascii="Helvetica" w:hAnsi="Helvetica" w:cs="Helvetica"/>
          <w:szCs w:val="24"/>
        </w:rPr>
      </w:pPr>
      <w:r>
        <w:rPr>
          <w:rFonts w:ascii="Helvetica" w:hAnsi="Helvetica" w:cs="Helvetica"/>
          <w:szCs w:val="24"/>
        </w:rPr>
        <w:t xml:space="preserve">* * * * * * * * * * * * * * * * * * * * * * * * * * * * * * * * * * * * * * * * * * * * * * </w:t>
      </w:r>
    </w:p>
    <w:p w:rsidR="00BA457F" w:rsidP="00BA457F" w:rsidRDefault="00BA457F" w14:paraId="56435B7B" w14:textId="77777777">
      <w:pPr>
        <w:tabs>
          <w:tab w:val="left" w:pos="0"/>
        </w:tabs>
        <w:autoSpaceDE w:val="0"/>
        <w:autoSpaceDN w:val="0"/>
        <w:adjustRightInd w:val="0"/>
        <w:ind w:left="720" w:right="1440"/>
        <w:rPr>
          <w:rFonts w:ascii="Helvetica" w:hAnsi="Helvetica" w:cs="Helvetica"/>
          <w:sz w:val="18"/>
          <w:szCs w:val="18"/>
        </w:rPr>
      </w:pPr>
    </w:p>
    <w:p w:rsidR="00BA457F" w:rsidP="00BA457F" w:rsidRDefault="00BA457F" w14:paraId="71195DF7" w14:textId="77777777">
      <w:pPr>
        <w:tabs>
          <w:tab w:val="left" w:pos="0"/>
        </w:tabs>
        <w:autoSpaceDE w:val="0"/>
        <w:autoSpaceDN w:val="0"/>
        <w:adjustRightInd w:val="0"/>
        <w:ind w:left="720" w:right="900"/>
        <w:rPr>
          <w:rFonts w:ascii="Helvetica" w:hAnsi="Helvetica" w:cs="Helvetica"/>
          <w:szCs w:val="24"/>
        </w:rPr>
      </w:pPr>
      <w:r>
        <w:rPr>
          <w:rFonts w:ascii="Helvetica" w:hAnsi="Helvetica" w:cs="Helvetica"/>
          <w:szCs w:val="24"/>
        </w:rPr>
        <w:t xml:space="preserve">The Commission’s policy is to schedule hearings (meetings, workshops, etc.) in locations that are accessible to people with disabilities.  To verify that a </w:t>
      </w:r>
      <w:proofErr w:type="gramStart"/>
      <w:r>
        <w:rPr>
          <w:rFonts w:ascii="Helvetica" w:hAnsi="Helvetica" w:cs="Helvetica"/>
          <w:szCs w:val="24"/>
        </w:rPr>
        <w:t>particular location</w:t>
      </w:r>
      <w:proofErr w:type="gramEnd"/>
      <w:r>
        <w:rPr>
          <w:rFonts w:ascii="Helvetica" w:hAnsi="Helvetica" w:cs="Helvetica"/>
          <w:szCs w:val="24"/>
        </w:rPr>
        <w:t xml:space="preserve"> is accessible, call: Calendar Clerk (415) 703</w:t>
      </w:r>
      <w:r>
        <w:rPr>
          <w:rFonts w:ascii="Helvetica" w:hAnsi="Helvetica" w:cs="Helvetica"/>
          <w:szCs w:val="24"/>
        </w:rPr>
        <w:noBreakHyphen/>
        <w:t>1203.</w:t>
      </w:r>
    </w:p>
    <w:p w:rsidR="00BA457F" w:rsidP="00BA457F" w:rsidRDefault="00BA457F" w14:paraId="7536B63A" w14:textId="77777777">
      <w:pPr>
        <w:tabs>
          <w:tab w:val="left" w:pos="0"/>
        </w:tabs>
        <w:autoSpaceDE w:val="0"/>
        <w:autoSpaceDN w:val="0"/>
        <w:adjustRightInd w:val="0"/>
        <w:ind w:left="720" w:right="900"/>
        <w:rPr>
          <w:rFonts w:ascii="Helvetica" w:hAnsi="Helvetica" w:cs="Helvetica"/>
          <w:szCs w:val="24"/>
        </w:rPr>
      </w:pPr>
    </w:p>
    <w:p w:rsidR="00BA457F" w:rsidP="00BA457F" w:rsidRDefault="00BA457F" w14:paraId="4EF9C5AE" w14:textId="77777777">
      <w:pPr>
        <w:tabs>
          <w:tab w:val="left" w:pos="0"/>
        </w:tabs>
        <w:autoSpaceDE w:val="0"/>
        <w:autoSpaceDN w:val="0"/>
        <w:adjustRightInd w:val="0"/>
        <w:ind w:left="720" w:right="900"/>
        <w:rPr>
          <w:rFonts w:ascii="Helvetica" w:hAnsi="Helvetica" w:cs="Helvetica"/>
          <w:szCs w:val="24"/>
        </w:rPr>
        <w:sectPr w:rsidR="00BA457F" w:rsidSect="0007255A">
          <w:headerReference w:type="default" r:id="rId24"/>
          <w:footerReference w:type="default" r:id="rId25"/>
          <w:pgSz w:w="12240" w:h="15840"/>
          <w:pgMar w:top="1728" w:right="1440" w:bottom="1440" w:left="1440" w:header="720" w:footer="720" w:gutter="0"/>
          <w:cols w:space="720"/>
          <w:docGrid w:linePitch="360"/>
        </w:sectPr>
      </w:pPr>
      <w:r>
        <w:rPr>
          <w:rFonts w:ascii="Helvetica" w:hAnsi="Helvetica" w:cs="Helvetica"/>
          <w:szCs w:val="24"/>
        </w:rPr>
        <w:t>If specialized accommodations for the disabled are needed, e.g., sign language interpreters, those making the arrangements must call the Public Advisor at (415) 703</w:t>
      </w:r>
      <w:r>
        <w:rPr>
          <w:rFonts w:ascii="Helvetica" w:hAnsi="Helvetica" w:cs="Helvetica"/>
          <w:szCs w:val="24"/>
        </w:rPr>
        <w:noBreakHyphen/>
        <w:t>2074 or TDD# (415) 703-2032 five working days in advance of the event.</w:t>
      </w:r>
    </w:p>
    <w:tbl>
      <w:tblPr>
        <w:tblW w:w="10800" w:type="dxa"/>
        <w:tblInd w:w="-965" w:type="dxa"/>
        <w:tblLayout w:type="fixed"/>
        <w:tblCellMar>
          <w:left w:w="115" w:type="dxa"/>
          <w:right w:w="115" w:type="dxa"/>
        </w:tblCellMar>
        <w:tblLook w:val="0000" w:firstRow="0" w:lastRow="0" w:firstColumn="0" w:lastColumn="0" w:noHBand="0" w:noVBand="0"/>
      </w:tblPr>
      <w:tblGrid>
        <w:gridCol w:w="5400"/>
        <w:gridCol w:w="5400"/>
      </w:tblGrid>
      <w:tr w:rsidR="00BA457F" w:rsidTr="000561EB" w14:paraId="71CD47E7" w14:textId="77777777">
        <w:tc>
          <w:tcPr>
            <w:tcW w:w="5400" w:type="dxa"/>
            <w:tcBorders>
              <w:top w:val="nil"/>
              <w:left w:val="nil"/>
              <w:bottom w:val="nil"/>
              <w:right w:val="nil"/>
            </w:tcBorders>
          </w:tcPr>
          <w:p w:rsidR="00BA457F" w:rsidP="000561EB" w:rsidRDefault="00BA457F" w14:paraId="5F2192BB" w14:textId="77777777">
            <w:pPr>
              <w:rPr>
                <w:sz w:val="18"/>
                <w:szCs w:val="18"/>
              </w:rPr>
            </w:pPr>
            <w:r>
              <w:rPr>
                <w:b/>
                <w:bCs/>
                <w:sz w:val="18"/>
                <w:szCs w:val="18"/>
              </w:rPr>
              <w:lastRenderedPageBreak/>
              <w:t xml:space="preserve">************** PARTIES ************** </w:t>
            </w:r>
            <w:r>
              <w:rPr>
                <w:sz w:val="18"/>
                <w:szCs w:val="18"/>
              </w:rPr>
              <w:br/>
            </w:r>
            <w:r>
              <w:rPr>
                <w:sz w:val="18"/>
                <w:szCs w:val="18"/>
              </w:rPr>
              <w:br/>
              <w:t xml:space="preserve">Bruce M. Boogaard, Esq.                      </w:t>
            </w:r>
            <w:r>
              <w:rPr>
                <w:sz w:val="18"/>
                <w:szCs w:val="18"/>
              </w:rPr>
              <w:br/>
              <w:t xml:space="preserve">Corporat Counsel                             </w:t>
            </w:r>
            <w:r>
              <w:rPr>
                <w:sz w:val="18"/>
                <w:szCs w:val="18"/>
              </w:rPr>
              <w:br/>
              <w:t xml:space="preserve">GOGO TECHNOLOGIES, INC.                      </w:t>
            </w:r>
            <w:r>
              <w:rPr>
                <w:sz w:val="18"/>
                <w:szCs w:val="18"/>
              </w:rPr>
              <w:br/>
              <w:t xml:space="preserve">466 3RD AVENUE, SUITE A                      </w:t>
            </w:r>
            <w:r>
              <w:rPr>
                <w:sz w:val="18"/>
                <w:szCs w:val="18"/>
              </w:rPr>
              <w:br/>
              <w:t xml:space="preserve">CHULA VISTA CA 91910                         </w:t>
            </w:r>
            <w:r>
              <w:rPr>
                <w:sz w:val="18"/>
                <w:szCs w:val="18"/>
              </w:rPr>
              <w:br/>
              <w:t xml:space="preserve">(619) 778-1857                               </w:t>
            </w:r>
            <w:r>
              <w:rPr>
                <w:sz w:val="18"/>
                <w:szCs w:val="18"/>
              </w:rPr>
              <w:br/>
              <w:t xml:space="preserve">BruceBoogaard@gmail.com                      </w:t>
            </w:r>
            <w:r>
              <w:rPr>
                <w:sz w:val="18"/>
                <w:szCs w:val="18"/>
              </w:rPr>
              <w:br/>
              <w:t>For: GoGo Technologies, Inc.                                                                                                                                                                                                                                                                                                                                                                                                                                                                                                                                                                                                                                                                                                                                                                                                    ____________________________________________</w:t>
            </w:r>
            <w:r>
              <w:rPr>
                <w:sz w:val="18"/>
                <w:szCs w:val="18"/>
              </w:rPr>
              <w:br/>
            </w:r>
            <w:r>
              <w:rPr>
                <w:sz w:val="18"/>
                <w:szCs w:val="18"/>
              </w:rPr>
              <w:br/>
              <w:t xml:space="preserve">Selina Shek                                  </w:t>
            </w:r>
            <w:r>
              <w:rPr>
                <w:sz w:val="18"/>
                <w:szCs w:val="18"/>
              </w:rPr>
              <w:br/>
              <w:t xml:space="preserve">Legal Division                               </w:t>
            </w:r>
            <w:r>
              <w:rPr>
                <w:sz w:val="18"/>
                <w:szCs w:val="18"/>
              </w:rPr>
              <w:br/>
              <w:t xml:space="preserve">505 Van Ness Avenue, RM. 4107                                     </w:t>
            </w:r>
            <w:r>
              <w:rPr>
                <w:sz w:val="18"/>
                <w:szCs w:val="18"/>
              </w:rPr>
              <w:br/>
              <w:t xml:space="preserve">San Francisco CA 94102 3298                  </w:t>
            </w:r>
            <w:r>
              <w:rPr>
                <w:sz w:val="18"/>
                <w:szCs w:val="18"/>
              </w:rPr>
              <w:br/>
              <w:t xml:space="preserve">(415) 703-2423                               </w:t>
            </w:r>
            <w:r>
              <w:rPr>
                <w:sz w:val="18"/>
                <w:szCs w:val="18"/>
              </w:rPr>
              <w:br/>
              <w:t xml:space="preserve">sel@cpuc.ca.gov                              </w:t>
            </w:r>
            <w:r>
              <w:rPr>
                <w:sz w:val="18"/>
                <w:szCs w:val="18"/>
              </w:rPr>
              <w:br/>
              <w:t xml:space="preserve">For: CPED                                                                                                                                                                                                                                                                                                                                                                                                                                                                                                                                                                                                                                                                                                                                                                                                                       </w:t>
            </w:r>
            <w:r>
              <w:rPr>
                <w:sz w:val="18"/>
                <w:szCs w:val="18"/>
              </w:rPr>
              <w:br/>
            </w:r>
            <w:r>
              <w:rPr>
                <w:sz w:val="18"/>
                <w:szCs w:val="18"/>
              </w:rPr>
              <w:br/>
            </w:r>
            <w:r>
              <w:rPr>
                <w:b/>
                <w:bCs/>
                <w:sz w:val="18"/>
                <w:szCs w:val="18"/>
              </w:rPr>
              <w:t xml:space="preserve">********** STATE EMPLOYEE *********** </w:t>
            </w:r>
            <w:r>
              <w:rPr>
                <w:sz w:val="18"/>
                <w:szCs w:val="18"/>
              </w:rPr>
              <w:br/>
            </w:r>
            <w:r>
              <w:rPr>
                <w:sz w:val="18"/>
                <w:szCs w:val="18"/>
              </w:rPr>
              <w:br/>
            </w:r>
            <w:r>
              <w:rPr>
                <w:b/>
                <w:bCs/>
                <w:sz w:val="18"/>
                <w:szCs w:val="18"/>
              </w:rPr>
              <w:t xml:space="preserve">********* INFORMATION ONLY ********** </w:t>
            </w:r>
            <w:r>
              <w:rPr>
                <w:sz w:val="18"/>
                <w:szCs w:val="18"/>
              </w:rPr>
              <w:br/>
            </w:r>
            <w:r>
              <w:rPr>
                <w:sz w:val="18"/>
                <w:szCs w:val="18"/>
              </w:rPr>
              <w:br/>
              <w:t xml:space="preserve">Niki Bawa                                    </w:t>
            </w:r>
            <w:r>
              <w:rPr>
                <w:sz w:val="18"/>
                <w:szCs w:val="18"/>
              </w:rPr>
              <w:br/>
              <w:t xml:space="preserve">Consumer Protection and Enforcement Division </w:t>
            </w:r>
            <w:r>
              <w:rPr>
                <w:sz w:val="18"/>
                <w:szCs w:val="18"/>
              </w:rPr>
              <w:br/>
              <w:t xml:space="preserve">505 Van Ness Avenue                          </w:t>
            </w:r>
            <w:r>
              <w:rPr>
                <w:sz w:val="18"/>
                <w:szCs w:val="18"/>
              </w:rPr>
              <w:br/>
              <w:t xml:space="preserve">San Francisco CA 94102 3298                  </w:t>
            </w:r>
            <w:r>
              <w:rPr>
                <w:sz w:val="18"/>
                <w:szCs w:val="18"/>
              </w:rPr>
              <w:br/>
              <w:t xml:space="preserve">(415) 703-2049                               </w:t>
            </w:r>
            <w:r>
              <w:rPr>
                <w:sz w:val="18"/>
                <w:szCs w:val="18"/>
              </w:rPr>
              <w:br/>
              <w:t xml:space="preserve">nb2@cpuc.ca.gov                              </w:t>
            </w:r>
            <w:r>
              <w:rPr>
                <w:sz w:val="18"/>
                <w:szCs w:val="18"/>
              </w:rPr>
              <w:br/>
            </w:r>
            <w:r>
              <w:rPr>
                <w:sz w:val="18"/>
                <w:szCs w:val="18"/>
              </w:rPr>
              <w:br/>
              <w:t xml:space="preserve">Valerie Beck                                 </w:t>
            </w:r>
            <w:r>
              <w:rPr>
                <w:sz w:val="18"/>
                <w:szCs w:val="18"/>
              </w:rPr>
              <w:br/>
              <w:t xml:space="preserve">Consumer Protection and Enforcement Division </w:t>
            </w:r>
            <w:r>
              <w:rPr>
                <w:sz w:val="18"/>
                <w:szCs w:val="18"/>
              </w:rPr>
              <w:br/>
              <w:t xml:space="preserve">505 Van Ness Avenue, RM. 2206                                     </w:t>
            </w:r>
            <w:r>
              <w:rPr>
                <w:sz w:val="18"/>
                <w:szCs w:val="18"/>
              </w:rPr>
              <w:br/>
              <w:t xml:space="preserve">San Francisco CA 94102 3298                  </w:t>
            </w:r>
            <w:r>
              <w:rPr>
                <w:sz w:val="18"/>
                <w:szCs w:val="18"/>
              </w:rPr>
              <w:br/>
              <w:t xml:space="preserve">(415) 703-2665                               </w:t>
            </w:r>
            <w:r>
              <w:rPr>
                <w:sz w:val="18"/>
                <w:szCs w:val="18"/>
              </w:rPr>
              <w:br/>
              <w:t xml:space="preserve">vjb@cpuc.ca.gov                              </w:t>
            </w:r>
            <w:r>
              <w:rPr>
                <w:sz w:val="18"/>
                <w:szCs w:val="18"/>
              </w:rPr>
              <w:br/>
            </w:r>
            <w:r>
              <w:rPr>
                <w:sz w:val="18"/>
                <w:szCs w:val="18"/>
              </w:rPr>
              <w:br/>
              <w:t xml:space="preserve">Maryam Ebke                                  </w:t>
            </w:r>
            <w:r>
              <w:rPr>
                <w:sz w:val="18"/>
                <w:szCs w:val="18"/>
              </w:rPr>
              <w:br/>
              <w:t xml:space="preserve">Executive Division                           </w:t>
            </w:r>
            <w:r>
              <w:rPr>
                <w:sz w:val="18"/>
                <w:szCs w:val="18"/>
              </w:rPr>
              <w:br/>
              <w:t xml:space="preserve">RM. 5112                                     </w:t>
            </w:r>
            <w:r>
              <w:rPr>
                <w:sz w:val="18"/>
                <w:szCs w:val="18"/>
              </w:rPr>
              <w:br/>
              <w:t xml:space="preserve">505 Van Ness Avenue                          </w:t>
            </w:r>
            <w:r>
              <w:rPr>
                <w:sz w:val="18"/>
                <w:szCs w:val="18"/>
              </w:rPr>
              <w:br/>
              <w:t xml:space="preserve">San Francisco CA 94102 3298                  </w:t>
            </w:r>
            <w:r>
              <w:rPr>
                <w:sz w:val="18"/>
                <w:szCs w:val="18"/>
              </w:rPr>
              <w:br/>
              <w:t xml:space="preserve">(415) 703-2271                               </w:t>
            </w:r>
            <w:r>
              <w:rPr>
                <w:sz w:val="18"/>
                <w:szCs w:val="18"/>
              </w:rPr>
              <w:br/>
              <w:t xml:space="preserve">meb@cpuc.ca.gov                              </w:t>
            </w:r>
            <w:r>
              <w:rPr>
                <w:sz w:val="18"/>
                <w:szCs w:val="18"/>
              </w:rPr>
              <w:br/>
            </w:r>
            <w:r>
              <w:rPr>
                <w:sz w:val="18"/>
                <w:szCs w:val="18"/>
              </w:rPr>
              <w:br/>
              <w:t xml:space="preserve">Emily Fisher                                 </w:t>
            </w:r>
            <w:r>
              <w:rPr>
                <w:sz w:val="18"/>
                <w:szCs w:val="18"/>
              </w:rPr>
              <w:br/>
              <w:t xml:space="preserve">Legal Division                               </w:t>
            </w:r>
            <w:r>
              <w:rPr>
                <w:sz w:val="18"/>
                <w:szCs w:val="18"/>
              </w:rPr>
              <w:br/>
              <w:t xml:space="preserve">RM. 5133                                     </w:t>
            </w:r>
            <w:r>
              <w:rPr>
                <w:sz w:val="18"/>
                <w:szCs w:val="18"/>
              </w:rPr>
              <w:br/>
              <w:t xml:space="preserve">505 Van Ness Avenue                          </w:t>
            </w:r>
            <w:r>
              <w:rPr>
                <w:sz w:val="18"/>
                <w:szCs w:val="18"/>
              </w:rPr>
              <w:br/>
              <w:t xml:space="preserve">San Francisco CA 94102 3298                  </w:t>
            </w:r>
            <w:r>
              <w:rPr>
                <w:sz w:val="18"/>
                <w:szCs w:val="18"/>
              </w:rPr>
              <w:br/>
              <w:t xml:space="preserve">(415) 703-1327                               </w:t>
            </w:r>
            <w:r>
              <w:rPr>
                <w:sz w:val="18"/>
                <w:szCs w:val="18"/>
              </w:rPr>
              <w:br/>
              <w:t xml:space="preserve">ef2@cpuc.ca.gov                              </w:t>
            </w:r>
            <w:r>
              <w:rPr>
                <w:sz w:val="18"/>
                <w:szCs w:val="18"/>
              </w:rPr>
              <w:br/>
            </w:r>
            <w:r>
              <w:rPr>
                <w:sz w:val="18"/>
                <w:szCs w:val="18"/>
              </w:rPr>
              <w:br/>
            </w:r>
          </w:p>
        </w:tc>
        <w:tc>
          <w:tcPr>
            <w:tcW w:w="5400" w:type="dxa"/>
            <w:tcBorders>
              <w:top w:val="nil"/>
              <w:left w:val="nil"/>
              <w:bottom w:val="nil"/>
              <w:right w:val="nil"/>
            </w:tcBorders>
          </w:tcPr>
          <w:p w:rsidR="00BA457F" w:rsidP="000561EB" w:rsidRDefault="00BA457F" w14:paraId="2606E6B4" w14:textId="77777777">
            <w:pPr>
              <w:rPr>
                <w:sz w:val="18"/>
                <w:szCs w:val="18"/>
              </w:rPr>
            </w:pPr>
            <w:r>
              <w:rPr>
                <w:sz w:val="18"/>
                <w:szCs w:val="18"/>
              </w:rPr>
              <w:t xml:space="preserve">Brewster Fong                                </w:t>
            </w:r>
            <w:r>
              <w:rPr>
                <w:sz w:val="18"/>
                <w:szCs w:val="18"/>
              </w:rPr>
              <w:br/>
              <w:t xml:space="preserve">Consumer Protection and Enforcement Division </w:t>
            </w:r>
            <w:r>
              <w:rPr>
                <w:sz w:val="18"/>
                <w:szCs w:val="18"/>
              </w:rPr>
              <w:br/>
              <w:t xml:space="preserve">505 Van Ness Avenue                          </w:t>
            </w:r>
            <w:r>
              <w:rPr>
                <w:sz w:val="18"/>
                <w:szCs w:val="18"/>
              </w:rPr>
              <w:br/>
              <w:t xml:space="preserve">San Francisco CA 94102 3298                  </w:t>
            </w:r>
            <w:r>
              <w:rPr>
                <w:sz w:val="18"/>
                <w:szCs w:val="18"/>
              </w:rPr>
              <w:br/>
              <w:t xml:space="preserve">(415) 703-2187                               </w:t>
            </w:r>
            <w:r>
              <w:rPr>
                <w:sz w:val="18"/>
                <w:szCs w:val="18"/>
              </w:rPr>
              <w:br/>
              <w:t xml:space="preserve">bfs@cpuc.ca.gov                              </w:t>
            </w:r>
            <w:r>
              <w:rPr>
                <w:sz w:val="18"/>
                <w:szCs w:val="18"/>
              </w:rPr>
              <w:br/>
            </w:r>
            <w:r>
              <w:rPr>
                <w:sz w:val="18"/>
                <w:szCs w:val="18"/>
              </w:rPr>
              <w:br/>
              <w:t xml:space="preserve">Thomas J. Macbride, Jr., Attorney                                     </w:t>
            </w:r>
            <w:r>
              <w:rPr>
                <w:sz w:val="18"/>
                <w:szCs w:val="18"/>
              </w:rPr>
              <w:br/>
              <w:t xml:space="preserve">GOODIN, MACBRIDE, SQUERI &amp; DAY LLP           </w:t>
            </w:r>
            <w:r>
              <w:rPr>
                <w:sz w:val="18"/>
                <w:szCs w:val="18"/>
              </w:rPr>
              <w:br/>
              <w:t xml:space="preserve">505 SANSOME STREET, SUITE 900                </w:t>
            </w:r>
            <w:r>
              <w:rPr>
                <w:sz w:val="18"/>
                <w:szCs w:val="18"/>
              </w:rPr>
              <w:br/>
              <w:t xml:space="preserve">SAN FRANCISCO CA 94111                       </w:t>
            </w:r>
            <w:r>
              <w:rPr>
                <w:sz w:val="18"/>
                <w:szCs w:val="18"/>
              </w:rPr>
              <w:br/>
              <w:t xml:space="preserve">(415) 392-7900                               </w:t>
            </w:r>
            <w:r>
              <w:rPr>
                <w:sz w:val="18"/>
                <w:szCs w:val="18"/>
              </w:rPr>
              <w:br/>
              <w:t xml:space="preserve">TMacBride@GoodinMacBride.com                 </w:t>
            </w:r>
            <w:r>
              <w:rPr>
                <w:sz w:val="18"/>
                <w:szCs w:val="18"/>
              </w:rPr>
              <w:br/>
            </w:r>
            <w:r>
              <w:rPr>
                <w:sz w:val="18"/>
                <w:szCs w:val="18"/>
              </w:rPr>
              <w:br/>
              <w:t xml:space="preserve">Eric Hooks                                   </w:t>
            </w:r>
            <w:r>
              <w:rPr>
                <w:sz w:val="18"/>
                <w:szCs w:val="18"/>
              </w:rPr>
              <w:br/>
              <w:t xml:space="preserve">Consumer Protection and Enforcement Division </w:t>
            </w:r>
            <w:r>
              <w:rPr>
                <w:sz w:val="18"/>
                <w:szCs w:val="18"/>
              </w:rPr>
              <w:br/>
              <w:t xml:space="preserve">505 Van Ness Avenue                          </w:t>
            </w:r>
            <w:r>
              <w:rPr>
                <w:sz w:val="18"/>
                <w:szCs w:val="18"/>
              </w:rPr>
              <w:br/>
              <w:t xml:space="preserve">San Francisco CA 94102 3298                  </w:t>
            </w:r>
            <w:r>
              <w:rPr>
                <w:sz w:val="18"/>
                <w:szCs w:val="18"/>
              </w:rPr>
              <w:br/>
              <w:t xml:space="preserve">(415) 703-2302                               </w:t>
            </w:r>
            <w:r>
              <w:rPr>
                <w:sz w:val="18"/>
                <w:szCs w:val="18"/>
              </w:rPr>
              <w:br/>
              <w:t xml:space="preserve">eh2@cpuc.ca.gov                              </w:t>
            </w:r>
            <w:r>
              <w:rPr>
                <w:sz w:val="18"/>
                <w:szCs w:val="18"/>
              </w:rPr>
              <w:br/>
            </w:r>
            <w:r>
              <w:rPr>
                <w:sz w:val="18"/>
                <w:szCs w:val="18"/>
              </w:rPr>
              <w:br/>
              <w:t xml:space="preserve">Brian Kahrs                                  </w:t>
            </w:r>
            <w:r>
              <w:rPr>
                <w:sz w:val="18"/>
                <w:szCs w:val="18"/>
              </w:rPr>
              <w:br/>
              <w:t xml:space="preserve">Consumer Protection and Enforcement Division </w:t>
            </w:r>
            <w:r>
              <w:rPr>
                <w:sz w:val="18"/>
                <w:szCs w:val="18"/>
              </w:rPr>
              <w:br/>
              <w:t xml:space="preserve">505 Van Ness Avenue, AREA 2-F                                     </w:t>
            </w:r>
            <w:r>
              <w:rPr>
                <w:sz w:val="18"/>
                <w:szCs w:val="18"/>
              </w:rPr>
              <w:br/>
              <w:t xml:space="preserve">San Francisco CA 94102 3298                  </w:t>
            </w:r>
            <w:r>
              <w:rPr>
                <w:sz w:val="18"/>
                <w:szCs w:val="18"/>
              </w:rPr>
              <w:br/>
              <w:t xml:space="preserve">(415) 703-1229                               </w:t>
            </w:r>
            <w:r>
              <w:rPr>
                <w:sz w:val="18"/>
                <w:szCs w:val="18"/>
              </w:rPr>
              <w:br/>
              <w:t xml:space="preserve">bk1@cpuc.ca.gov                              </w:t>
            </w:r>
            <w:r>
              <w:rPr>
                <w:sz w:val="18"/>
                <w:szCs w:val="18"/>
              </w:rPr>
              <w:br/>
            </w:r>
            <w:r>
              <w:rPr>
                <w:sz w:val="18"/>
                <w:szCs w:val="18"/>
              </w:rPr>
              <w:br/>
              <w:t xml:space="preserve">Frances Oh                                   </w:t>
            </w:r>
            <w:r>
              <w:rPr>
                <w:sz w:val="18"/>
                <w:szCs w:val="18"/>
              </w:rPr>
              <w:br/>
              <w:t xml:space="preserve">Consumer Protection and Enforcement Division </w:t>
            </w:r>
            <w:r>
              <w:rPr>
                <w:sz w:val="18"/>
                <w:szCs w:val="18"/>
              </w:rPr>
              <w:br/>
              <w:t xml:space="preserve">505 Van Ness Avenue, AREA 2-E                                     </w:t>
            </w:r>
            <w:r>
              <w:rPr>
                <w:sz w:val="18"/>
                <w:szCs w:val="18"/>
              </w:rPr>
              <w:br/>
              <w:t xml:space="preserve">San Francisco CA 94102 3298                  </w:t>
            </w:r>
            <w:r>
              <w:rPr>
                <w:sz w:val="18"/>
                <w:szCs w:val="18"/>
              </w:rPr>
              <w:br/>
              <w:t xml:space="preserve">(415) 703-2875                               </w:t>
            </w:r>
            <w:r>
              <w:rPr>
                <w:sz w:val="18"/>
                <w:szCs w:val="18"/>
              </w:rPr>
              <w:br/>
              <w:t xml:space="preserve">foh@cpuc.ca.gov                              </w:t>
            </w:r>
            <w:r>
              <w:rPr>
                <w:sz w:val="18"/>
                <w:szCs w:val="18"/>
              </w:rPr>
              <w:br/>
            </w:r>
            <w:r>
              <w:rPr>
                <w:sz w:val="18"/>
                <w:szCs w:val="18"/>
              </w:rPr>
              <w:br/>
              <w:t xml:space="preserve">Aaron Pete                                   </w:t>
            </w:r>
            <w:r>
              <w:rPr>
                <w:sz w:val="18"/>
                <w:szCs w:val="18"/>
              </w:rPr>
              <w:br/>
              <w:t xml:space="preserve">Consumer Protection and Enforcement Division </w:t>
            </w:r>
            <w:r>
              <w:rPr>
                <w:sz w:val="18"/>
                <w:szCs w:val="18"/>
              </w:rPr>
              <w:br/>
              <w:t xml:space="preserve">505 Van Ness Avenue                          </w:t>
            </w:r>
            <w:r>
              <w:rPr>
                <w:sz w:val="18"/>
                <w:szCs w:val="18"/>
              </w:rPr>
              <w:br/>
              <w:t xml:space="preserve">San Francisco CA 94102 3298                  </w:t>
            </w:r>
            <w:r>
              <w:rPr>
                <w:sz w:val="18"/>
                <w:szCs w:val="18"/>
              </w:rPr>
              <w:br/>
              <w:t xml:space="preserve">(415) 703-2347                               </w:t>
            </w:r>
            <w:r>
              <w:rPr>
                <w:sz w:val="18"/>
                <w:szCs w:val="18"/>
              </w:rPr>
              <w:br/>
              <w:t xml:space="preserve">akp@cpuc.ca.gov                              </w:t>
            </w:r>
            <w:r>
              <w:rPr>
                <w:sz w:val="18"/>
                <w:szCs w:val="18"/>
              </w:rPr>
              <w:br/>
            </w:r>
            <w:r>
              <w:rPr>
                <w:sz w:val="18"/>
                <w:szCs w:val="18"/>
              </w:rPr>
              <w:br/>
              <w:t xml:space="preserve">Hallie Yacknin                               </w:t>
            </w:r>
            <w:r>
              <w:rPr>
                <w:sz w:val="18"/>
                <w:szCs w:val="18"/>
              </w:rPr>
              <w:br/>
              <w:t xml:space="preserve">Administrative Law Judge Division            </w:t>
            </w:r>
            <w:r>
              <w:rPr>
                <w:sz w:val="18"/>
                <w:szCs w:val="18"/>
              </w:rPr>
              <w:br/>
              <w:t xml:space="preserve">505 Van Ness Avenue, RM. 5108                                     </w:t>
            </w:r>
            <w:r>
              <w:rPr>
                <w:sz w:val="18"/>
                <w:szCs w:val="18"/>
              </w:rPr>
              <w:br/>
              <w:t xml:space="preserve">San Francisco CA 94102 3298                  </w:t>
            </w:r>
            <w:r>
              <w:rPr>
                <w:sz w:val="18"/>
                <w:szCs w:val="18"/>
              </w:rPr>
              <w:br/>
              <w:t xml:space="preserve">(415) 703-1675                               </w:t>
            </w:r>
            <w:r>
              <w:rPr>
                <w:sz w:val="18"/>
                <w:szCs w:val="18"/>
              </w:rPr>
              <w:br/>
              <w:t xml:space="preserve">hsy@cpuc.ca.gov                              </w:t>
            </w:r>
            <w:r>
              <w:rPr>
                <w:sz w:val="18"/>
                <w:szCs w:val="18"/>
              </w:rPr>
              <w:br/>
            </w:r>
            <w:r>
              <w:rPr>
                <w:sz w:val="18"/>
                <w:szCs w:val="18"/>
              </w:rPr>
              <w:br/>
              <w:t xml:space="preserve">Amy C. Yip-Kikugawa                          </w:t>
            </w:r>
            <w:r>
              <w:rPr>
                <w:sz w:val="18"/>
                <w:szCs w:val="18"/>
              </w:rPr>
              <w:br/>
              <w:t xml:space="preserve">Legal Division                               </w:t>
            </w:r>
            <w:r>
              <w:rPr>
                <w:sz w:val="18"/>
                <w:szCs w:val="18"/>
              </w:rPr>
              <w:br/>
              <w:t xml:space="preserve">505 Van Ness Avenue, RM. 4107                                     </w:t>
            </w:r>
            <w:r>
              <w:rPr>
                <w:sz w:val="18"/>
                <w:szCs w:val="18"/>
              </w:rPr>
              <w:br/>
              <w:t xml:space="preserve">San Francisco CA 94102 3298                  </w:t>
            </w:r>
            <w:r>
              <w:rPr>
                <w:sz w:val="18"/>
                <w:szCs w:val="18"/>
              </w:rPr>
              <w:br/>
              <w:t xml:space="preserve">(415) 703-5256                               </w:t>
            </w:r>
            <w:r>
              <w:rPr>
                <w:sz w:val="18"/>
                <w:szCs w:val="18"/>
              </w:rPr>
              <w:br/>
              <w:t xml:space="preserve">ayk@cpuc.ca.gov                              </w:t>
            </w:r>
            <w:r>
              <w:rPr>
                <w:sz w:val="18"/>
                <w:szCs w:val="18"/>
              </w:rPr>
              <w:br/>
            </w:r>
          </w:p>
        </w:tc>
      </w:tr>
    </w:tbl>
    <w:p w:rsidRPr="00BA457F" w:rsidR="00D41539" w:rsidP="00BA457F" w:rsidRDefault="00BA457F" w14:paraId="3C124B9A" w14:textId="418EC83D">
      <w:pPr>
        <w:pStyle w:val="BodyTextIndent"/>
        <w:ind w:left="0"/>
        <w:jc w:val="center"/>
        <w:rPr>
          <w:rFonts w:ascii="Book Antiqua" w:hAnsi="Book Antiqua"/>
          <w:sz w:val="24"/>
        </w:rPr>
      </w:pPr>
      <w:r>
        <w:rPr>
          <w:sz w:val="22"/>
          <w:szCs w:val="16"/>
        </w:rPr>
        <w:t>(End of Service List)</w:t>
      </w:r>
    </w:p>
    <w:sectPr w:rsidRPr="00BA457F" w:rsidR="00D41539" w:rsidSect="000E6021">
      <w:headerReference w:type="default"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F7DA2" w14:textId="77777777" w:rsidR="00BA3AAD" w:rsidRDefault="00BA3AAD">
      <w:r>
        <w:separator/>
      </w:r>
    </w:p>
  </w:endnote>
  <w:endnote w:type="continuationSeparator" w:id="0">
    <w:p w14:paraId="6090BEA7" w14:textId="77777777" w:rsidR="00BA3AAD" w:rsidRDefault="00BA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FC5A" w14:textId="77777777" w:rsidR="00BC129E" w:rsidRDefault="00BC12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65" w:type="dxa"/>
      <w:tblLayout w:type="fixed"/>
      <w:tblCellMar>
        <w:left w:w="115" w:type="dxa"/>
        <w:right w:w="115" w:type="dxa"/>
      </w:tblCellMar>
      <w:tblLook w:val="0000" w:firstRow="0" w:lastRow="0" w:firstColumn="0" w:lastColumn="0" w:noHBand="0" w:noVBand="0"/>
    </w:tblPr>
    <w:tblGrid>
      <w:gridCol w:w="10800"/>
    </w:tblGrid>
    <w:tr w:rsidR="00346095" w14:paraId="728BAD06" w14:textId="77777777">
      <w:tc>
        <w:tcPr>
          <w:tcW w:w="10800" w:type="dxa"/>
          <w:tcBorders>
            <w:top w:val="nil"/>
            <w:left w:val="nil"/>
            <w:bottom w:val="nil"/>
            <w:right w:val="nil"/>
          </w:tcBorders>
        </w:tcPr>
        <w:p w14:paraId="67819DB2" w14:textId="77777777" w:rsidR="00346095" w:rsidRDefault="00BA3AAD">
          <w:pPr>
            <w:jc w:val="center"/>
            <w:rPr>
              <w:szCs w:val="24"/>
            </w:rPr>
          </w:pPr>
          <w:r>
            <w:rPr>
              <w:szCs w:val="24"/>
            </w:rPr>
            <w:t xml:space="preserve">- </w:t>
          </w:r>
          <w:r>
            <w:rPr>
              <w:szCs w:val="24"/>
            </w:rPr>
            <w:pgNum/>
          </w:r>
          <w:r>
            <w:rPr>
              <w:szCs w:val="24"/>
            </w:rPr>
            <w:t>-</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2A61" w14:textId="77777777" w:rsidR="00BA457F" w:rsidRPr="005E5B49" w:rsidRDefault="00BA457F" w:rsidP="005E5B49">
    <w:pPr>
      <w:pStyle w:val="Footer"/>
    </w:pPr>
    <w:r>
      <w:rPr>
        <w:rFonts w:ascii="Tahoma" w:hAnsi="Tahoma" w:cs="Tahoma"/>
        <w:sz w:val="17"/>
        <w:szCs w:val="17"/>
      </w:rPr>
      <w:t>323706184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40ED" w14:textId="77777777" w:rsidR="00BC129E" w:rsidRDefault="00BC12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4062" w14:textId="77777777" w:rsidR="00BA457F" w:rsidRDefault="00BA45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A432" w14:textId="77777777" w:rsidR="0019227E" w:rsidRDefault="0019227E">
    <w:pPr>
      <w:pStyle w:val="Footer"/>
    </w:pP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w:t>
    </w:r>
    <w:r>
      <w:noBreakHyphen/>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01A7" w14:textId="7CF6B320" w:rsidR="0019227E" w:rsidRDefault="00F35D6A" w:rsidP="00774656">
    <w:pPr>
      <w:pStyle w:val="Footer"/>
      <w:tabs>
        <w:tab w:val="clear" w:pos="4320"/>
        <w:tab w:val="center" w:pos="4680"/>
      </w:tabs>
      <w:rPr>
        <w:rFonts w:ascii="Tahoma" w:hAnsi="Tahoma" w:cs="Tahoma"/>
        <w:sz w:val="26"/>
        <w:szCs w:val="26"/>
      </w:rPr>
    </w:pPr>
    <w:r>
      <w:rPr>
        <w:rFonts w:ascii="Tahoma" w:hAnsi="Tahoma" w:cs="Tahoma"/>
        <w:sz w:val="17"/>
        <w:szCs w:val="17"/>
      </w:rPr>
      <w:t>322027905</w:t>
    </w:r>
    <w:r w:rsidR="0019227E" w:rsidRPr="00774656">
      <w:rPr>
        <w:rFonts w:ascii="Tahoma" w:hAnsi="Tahoma" w:cs="Tahoma"/>
        <w:sz w:val="26"/>
        <w:szCs w:val="26"/>
      </w:rPr>
      <w:tab/>
    </w:r>
    <w:r w:rsidR="0019227E" w:rsidRPr="00774656">
      <w:rPr>
        <w:rFonts w:ascii="Tahoma" w:hAnsi="Tahoma" w:cs="Tahoma"/>
        <w:sz w:val="26"/>
        <w:szCs w:val="26"/>
      </w:rPr>
      <w:noBreakHyphen/>
      <w:t xml:space="preserve"> 1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F204" w14:textId="77777777" w:rsidR="00BA457F" w:rsidRDefault="00BA457F" w:rsidP="00762FB3">
    <w:pPr>
      <w:pStyle w:val="Footer"/>
    </w:pPr>
    <w:r w:rsidRPr="00762FB3">
      <w:rPr>
        <w:sz w:val="16"/>
        <w:szCs w:val="16"/>
      </w:rPr>
      <w:t>^</w:t>
    </w: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F204" w14:textId="77777777" w:rsidR="00BA457F" w:rsidRDefault="00BA457F" w:rsidP="00E249BF">
    <w:pPr>
      <w:pStyle w:val="Footer"/>
    </w:pPr>
    <w:r>
      <w:rPr>
        <w:rFonts w:ascii="Tahoma" w:hAnsi="Tahoma" w:cs="Tahoma"/>
        <w:sz w:val="17"/>
        <w:szCs w:val="17"/>
      </w:rPr>
      <w:t>323763092</w:t>
    </w:r>
    <w:r>
      <w:tab/>
      <w:t>- 1 -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55E1" w14:textId="0947014C" w:rsidR="00BA457F" w:rsidRDefault="00BA457F" w:rsidP="00BC129E">
    <w:pPr>
      <w:pStyle w:val="Footer"/>
      <w:jc w:val="center"/>
    </w:pPr>
    <w:bookmarkStart w:id="5" w:name="_GoBack"/>
    <w:bookmarkEnd w:id="5"/>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B805" w14:textId="77777777" w:rsidR="00BA3AAD" w:rsidRDefault="00BA3AAD">
      <w:r>
        <w:separator/>
      </w:r>
    </w:p>
  </w:footnote>
  <w:footnote w:type="continuationSeparator" w:id="0">
    <w:p w14:paraId="169B1B48" w14:textId="77777777" w:rsidR="00BA3AAD" w:rsidRDefault="00BA3AAD">
      <w:r>
        <w:continuationSeparator/>
      </w:r>
    </w:p>
  </w:footnote>
  <w:footnote w:id="1">
    <w:p w14:paraId="44A03F34" w14:textId="77777777" w:rsidR="0019227E" w:rsidRPr="008B2ADC" w:rsidRDefault="0019227E" w:rsidP="00F42C58">
      <w:pPr>
        <w:pStyle w:val="FootnoteText"/>
        <w:rPr>
          <w:rFonts w:ascii="Book Antiqua" w:hAnsi="Book Antiqua"/>
          <w:sz w:val="22"/>
          <w:szCs w:val="22"/>
        </w:rPr>
      </w:pPr>
      <w:r w:rsidRPr="008B2ADC">
        <w:rPr>
          <w:rStyle w:val="FootnoteReference"/>
          <w:rFonts w:ascii="Book Antiqua" w:hAnsi="Book Antiqua"/>
          <w:sz w:val="22"/>
          <w:szCs w:val="22"/>
        </w:rPr>
        <w:footnoteRef/>
      </w:r>
      <w:r w:rsidRPr="008B2ADC">
        <w:rPr>
          <w:rFonts w:ascii="Book Antiqua" w:hAnsi="Book Antiqua"/>
          <w:sz w:val="22"/>
          <w:szCs w:val="22"/>
        </w:rPr>
        <w:t xml:space="preserve"> All subsequent references are to the Public Utilities Code.</w:t>
      </w:r>
    </w:p>
  </w:footnote>
  <w:footnote w:id="2">
    <w:p w14:paraId="52A59477" w14:textId="2D446B06" w:rsidR="0019227E" w:rsidRPr="008B2ADC" w:rsidRDefault="0019227E">
      <w:pPr>
        <w:pStyle w:val="FootnoteText"/>
        <w:rPr>
          <w:rFonts w:ascii="Book Antiqua" w:hAnsi="Book Antiqua"/>
          <w:sz w:val="22"/>
          <w:szCs w:val="22"/>
        </w:rPr>
      </w:pPr>
      <w:r w:rsidRPr="008B2ADC">
        <w:rPr>
          <w:rStyle w:val="FootnoteReference"/>
          <w:rFonts w:ascii="Book Antiqua" w:hAnsi="Book Antiqua"/>
          <w:sz w:val="22"/>
          <w:szCs w:val="22"/>
        </w:rPr>
        <w:footnoteRef/>
      </w:r>
      <w:r w:rsidRPr="008B2ADC">
        <w:rPr>
          <w:rFonts w:ascii="Book Antiqua" w:hAnsi="Book Antiqua"/>
          <w:sz w:val="22"/>
          <w:szCs w:val="22"/>
        </w:rPr>
        <w:t xml:space="preserve"> CPED correctly observes that owning or leasing vehicles is not determinative of whether an entity is a TCP or TNC and that Uber does not own any vehicles.  (CPED reply brief, p. 4.)  However, Lyft and Uber contract with their drivers and are thereby able to identify them and their vehicles, unlike GoGo.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0E9F" w14:textId="77777777" w:rsidR="00BC129E" w:rsidRDefault="00BC1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51D4" w14:textId="77777777" w:rsidR="00BC129E" w:rsidRDefault="00BC1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5163" w14:textId="77777777" w:rsidR="00BC129E" w:rsidRDefault="00BC12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AF0F" w14:textId="57961544" w:rsidR="0019227E" w:rsidRDefault="0019227E">
    <w:pPr>
      <w:pStyle w:val="Header"/>
      <w:rPr>
        <w:b/>
        <w:szCs w:val="24"/>
      </w:rPr>
    </w:pPr>
    <w:r>
      <w:t>Resolution ALJ</w:t>
    </w:r>
    <w:r>
      <w:noBreakHyphen/>
    </w:r>
    <w:proofErr w:type="gramStart"/>
    <w:r>
      <w:t xml:space="preserve">371  </w:t>
    </w:r>
    <w:r>
      <w:rPr>
        <w:szCs w:val="24"/>
      </w:rPr>
      <w:t>CMR</w:t>
    </w:r>
    <w:proofErr w:type="gramEnd"/>
    <w:r>
      <w:rPr>
        <w:szCs w:val="24"/>
      </w:rPr>
      <w:t>/LR1</w:t>
    </w:r>
    <w:r w:rsidR="008D41FF">
      <w:rPr>
        <w:szCs w:val="24"/>
      </w:rPr>
      <w:t>/jt2</w:t>
    </w:r>
    <w:r>
      <w:rPr>
        <w:szCs w:val="24"/>
      </w:rPr>
      <w:tab/>
    </w:r>
    <w:r>
      <w:rPr>
        <w:szCs w:val="24"/>
      </w:rPr>
      <w:tab/>
    </w:r>
    <w:r w:rsidR="008D41FF">
      <w:rPr>
        <w:b/>
        <w:szCs w:val="24"/>
      </w:rPr>
      <w:t>ALTERNATE D</w:t>
    </w:r>
    <w:r>
      <w:rPr>
        <w:b/>
        <w:szCs w:val="24"/>
      </w:rPr>
      <w:t>RAFT</w:t>
    </w:r>
  </w:p>
  <w:p w14:paraId="107BB06A" w14:textId="77777777" w:rsidR="0019227E" w:rsidRDefault="0019227E">
    <w:pPr>
      <w:pStyle w:val="Header"/>
    </w:pPr>
  </w:p>
  <w:p w14:paraId="742B7D70" w14:textId="77777777" w:rsidR="0019227E" w:rsidRDefault="001922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2D84" w14:textId="1FD40A3D" w:rsidR="0019227E" w:rsidRDefault="0019227E">
    <w:pPr>
      <w:pStyle w:val="Header"/>
      <w:rPr>
        <w:b/>
        <w:szCs w:val="24"/>
      </w:rPr>
    </w:pPr>
    <w:r>
      <w:rPr>
        <w:szCs w:val="24"/>
      </w:rPr>
      <w:t>CMR/LR1/</w:t>
    </w:r>
    <w:r w:rsidR="008D41FF">
      <w:rPr>
        <w:szCs w:val="24"/>
      </w:rPr>
      <w:t>jt2</w:t>
    </w:r>
    <w:r>
      <w:rPr>
        <w:szCs w:val="24"/>
      </w:rPr>
      <w:tab/>
    </w:r>
    <w:r w:rsidR="008D41FF" w:rsidRPr="008D41FF">
      <w:rPr>
        <w:b/>
        <w:bCs/>
        <w:szCs w:val="24"/>
      </w:rPr>
      <w:t xml:space="preserve">ALTERNATE </w:t>
    </w:r>
    <w:r>
      <w:rPr>
        <w:b/>
        <w:szCs w:val="24"/>
      </w:rPr>
      <w:t>DRAFT</w:t>
    </w:r>
    <w:r>
      <w:rPr>
        <w:b/>
        <w:szCs w:val="24"/>
      </w:rPr>
      <w:tab/>
      <w:t>Agenda ID</w:t>
    </w:r>
    <w:r w:rsidR="008D41FF">
      <w:rPr>
        <w:b/>
        <w:szCs w:val="24"/>
      </w:rPr>
      <w:t>#</w:t>
    </w:r>
    <w:r>
      <w:rPr>
        <w:b/>
        <w:szCs w:val="24"/>
      </w:rPr>
      <w:t xml:space="preserve"> </w:t>
    </w:r>
    <w:r w:rsidR="00E155F8">
      <w:rPr>
        <w:b/>
        <w:szCs w:val="24"/>
      </w:rPr>
      <w:t>18072</w:t>
    </w:r>
  </w:p>
  <w:p w14:paraId="2FD003B6" w14:textId="724C8A4B" w:rsidR="0019227E" w:rsidRDefault="0019227E">
    <w:pPr>
      <w:pStyle w:val="Header"/>
      <w:rPr>
        <w:b/>
        <w:szCs w:val="24"/>
      </w:rPr>
    </w:pPr>
    <w:r>
      <w:rPr>
        <w:b/>
        <w:szCs w:val="24"/>
      </w:rPr>
      <w:tab/>
    </w:r>
    <w:r>
      <w:rPr>
        <w:b/>
        <w:szCs w:val="24"/>
      </w:rPr>
      <w:tab/>
    </w:r>
    <w:r w:rsidR="008D41FF">
      <w:rPr>
        <w:b/>
        <w:szCs w:val="24"/>
      </w:rPr>
      <w:t>Alternate to Agenda ID#17707</w:t>
    </w:r>
  </w:p>
  <w:p w14:paraId="5A2B2007" w14:textId="77777777" w:rsidR="0019227E" w:rsidRDefault="0019227E">
    <w:pPr>
      <w:pStyle w:val="Header"/>
      <w:rPr>
        <w:b/>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1301" w14:textId="77777777" w:rsidR="00BA457F" w:rsidRDefault="00BA457F" w:rsidP="00807067">
    <w:pPr>
      <w:pStyle w:val="Header"/>
    </w:pPr>
    <w:r>
      <w:t>Res. ALJ</w:t>
    </w:r>
    <w:r w:rsidRPr="00540A8D">
      <w:noBreakHyphen/>
    </w:r>
    <w:proofErr w:type="gramStart"/>
    <w:r>
      <w:t>371  COM</w:t>
    </w:r>
    <w:proofErr w:type="gramEnd"/>
    <w:r>
      <w:t>/LR1/jt2</w:t>
    </w:r>
  </w:p>
  <w:p w14:paraId="0D38E39C" w14:textId="77777777" w:rsidR="00BA457F" w:rsidRDefault="00BA457F" w:rsidP="00807067">
    <w:pPr>
      <w:pStyle w:val="Header"/>
    </w:pPr>
  </w:p>
  <w:p w14:paraId="5A808DC5" w14:textId="77777777" w:rsidR="00BA457F" w:rsidRDefault="00BA457F" w:rsidP="008070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965" w:type="dxa"/>
      <w:tblLayout w:type="fixed"/>
      <w:tblCellMar>
        <w:left w:w="115" w:type="dxa"/>
        <w:right w:w="115" w:type="dxa"/>
      </w:tblCellMar>
      <w:tblLook w:val="0000" w:firstRow="0" w:lastRow="0" w:firstColumn="0" w:lastColumn="0" w:noHBand="0" w:noVBand="0"/>
    </w:tblPr>
    <w:tblGrid>
      <w:gridCol w:w="10800"/>
    </w:tblGrid>
    <w:tr w:rsidR="00CF3C36" w:rsidRPr="001A24C6" w14:paraId="2720E9D2" w14:textId="77777777" w:rsidTr="00CF3C36">
      <w:tc>
        <w:tcPr>
          <w:tcW w:w="10800" w:type="dxa"/>
          <w:tcBorders>
            <w:top w:val="nil"/>
            <w:left w:val="nil"/>
            <w:bottom w:val="nil"/>
            <w:right w:val="nil"/>
          </w:tcBorders>
        </w:tcPr>
        <w:tbl>
          <w:tblPr>
            <w:tblW w:w="0" w:type="auto"/>
            <w:tblLayout w:type="fixed"/>
            <w:tblCellMar>
              <w:left w:w="115" w:type="dxa"/>
              <w:right w:w="115" w:type="dxa"/>
            </w:tblCellMar>
            <w:tblLook w:val="0000" w:firstRow="0" w:lastRow="0" w:firstColumn="0" w:lastColumn="0" w:noHBand="0" w:noVBand="0"/>
          </w:tblPr>
          <w:tblGrid>
            <w:gridCol w:w="10800"/>
          </w:tblGrid>
          <w:tr w:rsidR="000E6021" w14:paraId="484D0E20" w14:textId="77777777" w:rsidTr="00314DDE">
            <w:tc>
              <w:tcPr>
                <w:tcW w:w="10800" w:type="dxa"/>
                <w:tcBorders>
                  <w:top w:val="nil"/>
                  <w:left w:val="nil"/>
                  <w:bottom w:val="nil"/>
                  <w:right w:val="nil"/>
                </w:tcBorders>
              </w:tcPr>
              <w:p w14:paraId="2C5EB4DB" w14:textId="77777777" w:rsidR="000E6021" w:rsidRPr="000E6021" w:rsidRDefault="00BA3AAD" w:rsidP="000E6021">
                <w:pPr>
                  <w:jc w:val="center"/>
                  <w:rPr>
                    <w:szCs w:val="18"/>
                  </w:rPr>
                </w:pPr>
                <w:r w:rsidRPr="000E6021">
                  <w:rPr>
                    <w:b/>
                    <w:bCs/>
                    <w:szCs w:val="18"/>
                  </w:rPr>
                  <w:t>************ SERVICE LIST K1903015***********</w:t>
                </w:r>
                <w:r w:rsidRPr="000E6021">
                  <w:rPr>
                    <w:b/>
                    <w:bCs/>
                    <w:szCs w:val="18"/>
                  </w:rPr>
                  <w:br/>
                  <w:t xml:space="preserve">Last Updated on 02-JAN-2020 by: AMT </w:t>
                </w:r>
                <w:r w:rsidRPr="000E6021">
                  <w:rPr>
                    <w:szCs w:val="18"/>
                  </w:rPr>
                  <w:br/>
                </w:r>
              </w:p>
            </w:tc>
          </w:tr>
        </w:tbl>
        <w:p w14:paraId="4F23AFED" w14:textId="77777777" w:rsidR="00CF3C36" w:rsidRDefault="00BA3AAD" w:rsidP="000E6021">
          <w:pPr>
            <w:jc w:val="cent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C44"/>
    <w:multiLevelType w:val="hybridMultilevel"/>
    <w:tmpl w:val="6D08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37D7D"/>
    <w:multiLevelType w:val="hybridMultilevel"/>
    <w:tmpl w:val="11C8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3202D"/>
    <w:multiLevelType w:val="hybridMultilevel"/>
    <w:tmpl w:val="1BFA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17793"/>
    <w:multiLevelType w:val="hybridMultilevel"/>
    <w:tmpl w:val="00F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F9"/>
    <w:rsid w:val="00010E78"/>
    <w:rsid w:val="00016B59"/>
    <w:rsid w:val="00020C0C"/>
    <w:rsid w:val="00023C8E"/>
    <w:rsid w:val="00031EF4"/>
    <w:rsid w:val="00032422"/>
    <w:rsid w:val="000336E4"/>
    <w:rsid w:val="00041F40"/>
    <w:rsid w:val="000509B8"/>
    <w:rsid w:val="0008238A"/>
    <w:rsid w:val="00083142"/>
    <w:rsid w:val="00090DEF"/>
    <w:rsid w:val="000948B2"/>
    <w:rsid w:val="000A13C7"/>
    <w:rsid w:val="000A7391"/>
    <w:rsid w:val="000B4A2C"/>
    <w:rsid w:val="000B7E2A"/>
    <w:rsid w:val="000C149B"/>
    <w:rsid w:val="000C1DD8"/>
    <w:rsid w:val="000C59A1"/>
    <w:rsid w:val="000C6BCB"/>
    <w:rsid w:val="000D1298"/>
    <w:rsid w:val="000D50A2"/>
    <w:rsid w:val="000F512D"/>
    <w:rsid w:val="00106387"/>
    <w:rsid w:val="00117712"/>
    <w:rsid w:val="00120700"/>
    <w:rsid w:val="00120BC5"/>
    <w:rsid w:val="00122FA3"/>
    <w:rsid w:val="00123F93"/>
    <w:rsid w:val="001276B3"/>
    <w:rsid w:val="001311AC"/>
    <w:rsid w:val="00152BB8"/>
    <w:rsid w:val="00155541"/>
    <w:rsid w:val="00164A29"/>
    <w:rsid w:val="00167F9B"/>
    <w:rsid w:val="00170695"/>
    <w:rsid w:val="00170F42"/>
    <w:rsid w:val="0017389F"/>
    <w:rsid w:val="0019227E"/>
    <w:rsid w:val="00195B78"/>
    <w:rsid w:val="001A17BF"/>
    <w:rsid w:val="001A3BA5"/>
    <w:rsid w:val="001B1409"/>
    <w:rsid w:val="001B1AD6"/>
    <w:rsid w:val="001B2137"/>
    <w:rsid w:val="001B2C25"/>
    <w:rsid w:val="001C0D2A"/>
    <w:rsid w:val="001C2972"/>
    <w:rsid w:val="001C2B02"/>
    <w:rsid w:val="001D108B"/>
    <w:rsid w:val="001D65D1"/>
    <w:rsid w:val="001E73F3"/>
    <w:rsid w:val="00200714"/>
    <w:rsid w:val="00201203"/>
    <w:rsid w:val="00201BA1"/>
    <w:rsid w:val="002129F5"/>
    <w:rsid w:val="0021485D"/>
    <w:rsid w:val="00214F83"/>
    <w:rsid w:val="00227E62"/>
    <w:rsid w:val="00242EA5"/>
    <w:rsid w:val="00250E71"/>
    <w:rsid w:val="002610A7"/>
    <w:rsid w:val="00283AE6"/>
    <w:rsid w:val="002840D7"/>
    <w:rsid w:val="0029430C"/>
    <w:rsid w:val="00294886"/>
    <w:rsid w:val="002A1A4F"/>
    <w:rsid w:val="002B428F"/>
    <w:rsid w:val="002B60DD"/>
    <w:rsid w:val="002B75AA"/>
    <w:rsid w:val="002E4439"/>
    <w:rsid w:val="002E4A38"/>
    <w:rsid w:val="002E6151"/>
    <w:rsid w:val="002E7E53"/>
    <w:rsid w:val="002F6D7C"/>
    <w:rsid w:val="003003D9"/>
    <w:rsid w:val="00301EAF"/>
    <w:rsid w:val="003039CE"/>
    <w:rsid w:val="00304997"/>
    <w:rsid w:val="00315D63"/>
    <w:rsid w:val="0033393D"/>
    <w:rsid w:val="00335257"/>
    <w:rsid w:val="00345488"/>
    <w:rsid w:val="00353176"/>
    <w:rsid w:val="00353607"/>
    <w:rsid w:val="003571F8"/>
    <w:rsid w:val="00363D81"/>
    <w:rsid w:val="00364D1E"/>
    <w:rsid w:val="0038314D"/>
    <w:rsid w:val="003908D8"/>
    <w:rsid w:val="00393BF8"/>
    <w:rsid w:val="003A3379"/>
    <w:rsid w:val="003B76CB"/>
    <w:rsid w:val="003C2258"/>
    <w:rsid w:val="003D17C0"/>
    <w:rsid w:val="003E543E"/>
    <w:rsid w:val="003F1AB7"/>
    <w:rsid w:val="003F37AA"/>
    <w:rsid w:val="003F4B52"/>
    <w:rsid w:val="004046BE"/>
    <w:rsid w:val="00420B11"/>
    <w:rsid w:val="00422AC7"/>
    <w:rsid w:val="00425EA0"/>
    <w:rsid w:val="00440026"/>
    <w:rsid w:val="00444598"/>
    <w:rsid w:val="004464C8"/>
    <w:rsid w:val="00447EF3"/>
    <w:rsid w:val="004517A6"/>
    <w:rsid w:val="00455115"/>
    <w:rsid w:val="00460D6A"/>
    <w:rsid w:val="00461EE9"/>
    <w:rsid w:val="004628F9"/>
    <w:rsid w:val="00463724"/>
    <w:rsid w:val="004648CF"/>
    <w:rsid w:val="00470ED5"/>
    <w:rsid w:val="0049488C"/>
    <w:rsid w:val="00496603"/>
    <w:rsid w:val="004A0EC9"/>
    <w:rsid w:val="004A67D3"/>
    <w:rsid w:val="004B2B2C"/>
    <w:rsid w:val="004B5601"/>
    <w:rsid w:val="004C0660"/>
    <w:rsid w:val="004D1633"/>
    <w:rsid w:val="004D736F"/>
    <w:rsid w:val="004E3CBA"/>
    <w:rsid w:val="004E7748"/>
    <w:rsid w:val="005057E4"/>
    <w:rsid w:val="00507703"/>
    <w:rsid w:val="00532C46"/>
    <w:rsid w:val="00533F08"/>
    <w:rsid w:val="00543BA3"/>
    <w:rsid w:val="005449BB"/>
    <w:rsid w:val="00545E50"/>
    <w:rsid w:val="00546C01"/>
    <w:rsid w:val="00554AD8"/>
    <w:rsid w:val="00555536"/>
    <w:rsid w:val="005633A8"/>
    <w:rsid w:val="00563E21"/>
    <w:rsid w:val="00566FB0"/>
    <w:rsid w:val="0056753C"/>
    <w:rsid w:val="00592BDD"/>
    <w:rsid w:val="00594CEB"/>
    <w:rsid w:val="00595EC0"/>
    <w:rsid w:val="005C5E24"/>
    <w:rsid w:val="005C71BA"/>
    <w:rsid w:val="005D4489"/>
    <w:rsid w:val="005D5617"/>
    <w:rsid w:val="005E53B1"/>
    <w:rsid w:val="005F55D7"/>
    <w:rsid w:val="00601C45"/>
    <w:rsid w:val="00605AEF"/>
    <w:rsid w:val="00621F23"/>
    <w:rsid w:val="00632F4D"/>
    <w:rsid w:val="00632F9C"/>
    <w:rsid w:val="00635916"/>
    <w:rsid w:val="00641FB6"/>
    <w:rsid w:val="00645479"/>
    <w:rsid w:val="006513F1"/>
    <w:rsid w:val="00661EF3"/>
    <w:rsid w:val="00670EE8"/>
    <w:rsid w:val="00692FDD"/>
    <w:rsid w:val="006A2DE0"/>
    <w:rsid w:val="006A3314"/>
    <w:rsid w:val="006B35E5"/>
    <w:rsid w:val="006D7B0B"/>
    <w:rsid w:val="006E6A01"/>
    <w:rsid w:val="006F0DBA"/>
    <w:rsid w:val="006F11A0"/>
    <w:rsid w:val="006F4C94"/>
    <w:rsid w:val="0070638C"/>
    <w:rsid w:val="00711560"/>
    <w:rsid w:val="007169A7"/>
    <w:rsid w:val="0072081E"/>
    <w:rsid w:val="00724C58"/>
    <w:rsid w:val="00727C83"/>
    <w:rsid w:val="00742FD5"/>
    <w:rsid w:val="00747FA5"/>
    <w:rsid w:val="00750538"/>
    <w:rsid w:val="00753193"/>
    <w:rsid w:val="00753A8A"/>
    <w:rsid w:val="00757ECE"/>
    <w:rsid w:val="0076480A"/>
    <w:rsid w:val="007714A6"/>
    <w:rsid w:val="00774656"/>
    <w:rsid w:val="00776A01"/>
    <w:rsid w:val="00780D0A"/>
    <w:rsid w:val="00781297"/>
    <w:rsid w:val="00781F7E"/>
    <w:rsid w:val="0078534B"/>
    <w:rsid w:val="0079795A"/>
    <w:rsid w:val="007A1CFB"/>
    <w:rsid w:val="007A774B"/>
    <w:rsid w:val="007B4754"/>
    <w:rsid w:val="007B484F"/>
    <w:rsid w:val="007C6773"/>
    <w:rsid w:val="007D0273"/>
    <w:rsid w:val="007E60F7"/>
    <w:rsid w:val="007E7FC0"/>
    <w:rsid w:val="007F262F"/>
    <w:rsid w:val="00801258"/>
    <w:rsid w:val="008012D1"/>
    <w:rsid w:val="008174BF"/>
    <w:rsid w:val="00822656"/>
    <w:rsid w:val="00823052"/>
    <w:rsid w:val="008307C7"/>
    <w:rsid w:val="0084639C"/>
    <w:rsid w:val="0085207D"/>
    <w:rsid w:val="008526B5"/>
    <w:rsid w:val="00861321"/>
    <w:rsid w:val="00866A55"/>
    <w:rsid w:val="008A3410"/>
    <w:rsid w:val="008A6455"/>
    <w:rsid w:val="008B2ADC"/>
    <w:rsid w:val="008B3894"/>
    <w:rsid w:val="008B4A2B"/>
    <w:rsid w:val="008C0488"/>
    <w:rsid w:val="008C32ED"/>
    <w:rsid w:val="008D41FF"/>
    <w:rsid w:val="008D4DB2"/>
    <w:rsid w:val="00902181"/>
    <w:rsid w:val="00913B09"/>
    <w:rsid w:val="00927709"/>
    <w:rsid w:val="00927CB4"/>
    <w:rsid w:val="00932101"/>
    <w:rsid w:val="00950492"/>
    <w:rsid w:val="009666CE"/>
    <w:rsid w:val="009833A2"/>
    <w:rsid w:val="009932EA"/>
    <w:rsid w:val="00995ED5"/>
    <w:rsid w:val="009B0867"/>
    <w:rsid w:val="009B5B5D"/>
    <w:rsid w:val="009B79F0"/>
    <w:rsid w:val="009C39E0"/>
    <w:rsid w:val="009C55BE"/>
    <w:rsid w:val="009D0A97"/>
    <w:rsid w:val="009E35E3"/>
    <w:rsid w:val="009E5490"/>
    <w:rsid w:val="009E60C0"/>
    <w:rsid w:val="009E6A79"/>
    <w:rsid w:val="009F5BDE"/>
    <w:rsid w:val="00A0737A"/>
    <w:rsid w:val="00A117FA"/>
    <w:rsid w:val="00A12F55"/>
    <w:rsid w:val="00A22639"/>
    <w:rsid w:val="00A25E39"/>
    <w:rsid w:val="00A33105"/>
    <w:rsid w:val="00A34005"/>
    <w:rsid w:val="00A47BA6"/>
    <w:rsid w:val="00A47EE1"/>
    <w:rsid w:val="00A50934"/>
    <w:rsid w:val="00A5456C"/>
    <w:rsid w:val="00A72BD7"/>
    <w:rsid w:val="00A76DFA"/>
    <w:rsid w:val="00A84B69"/>
    <w:rsid w:val="00A87B8D"/>
    <w:rsid w:val="00A94959"/>
    <w:rsid w:val="00A97D71"/>
    <w:rsid w:val="00AA2B72"/>
    <w:rsid w:val="00AA3BEA"/>
    <w:rsid w:val="00AB303C"/>
    <w:rsid w:val="00AD38A5"/>
    <w:rsid w:val="00AE36B5"/>
    <w:rsid w:val="00AE612B"/>
    <w:rsid w:val="00AE6BA7"/>
    <w:rsid w:val="00AF5AAB"/>
    <w:rsid w:val="00AF7668"/>
    <w:rsid w:val="00B029AA"/>
    <w:rsid w:val="00B23003"/>
    <w:rsid w:val="00B23CA8"/>
    <w:rsid w:val="00B267B4"/>
    <w:rsid w:val="00B43256"/>
    <w:rsid w:val="00B532F2"/>
    <w:rsid w:val="00B533F8"/>
    <w:rsid w:val="00B7450F"/>
    <w:rsid w:val="00B817BC"/>
    <w:rsid w:val="00B81FD7"/>
    <w:rsid w:val="00B828CF"/>
    <w:rsid w:val="00BA3AAD"/>
    <w:rsid w:val="00BA457F"/>
    <w:rsid w:val="00BA5238"/>
    <w:rsid w:val="00BB2F26"/>
    <w:rsid w:val="00BB56DF"/>
    <w:rsid w:val="00BC129E"/>
    <w:rsid w:val="00BC1C13"/>
    <w:rsid w:val="00BC2443"/>
    <w:rsid w:val="00BE6254"/>
    <w:rsid w:val="00BF3736"/>
    <w:rsid w:val="00BF385F"/>
    <w:rsid w:val="00BF56D1"/>
    <w:rsid w:val="00C17EB5"/>
    <w:rsid w:val="00C262DA"/>
    <w:rsid w:val="00C4154A"/>
    <w:rsid w:val="00C439F9"/>
    <w:rsid w:val="00C43BAF"/>
    <w:rsid w:val="00C44DCC"/>
    <w:rsid w:val="00C47266"/>
    <w:rsid w:val="00C47C2A"/>
    <w:rsid w:val="00C515F7"/>
    <w:rsid w:val="00C52FAC"/>
    <w:rsid w:val="00C90456"/>
    <w:rsid w:val="00C949AF"/>
    <w:rsid w:val="00C974CA"/>
    <w:rsid w:val="00CA05FB"/>
    <w:rsid w:val="00CB71FC"/>
    <w:rsid w:val="00CC34BA"/>
    <w:rsid w:val="00CD395D"/>
    <w:rsid w:val="00CE2DF8"/>
    <w:rsid w:val="00CF1E6B"/>
    <w:rsid w:val="00CF4FF1"/>
    <w:rsid w:val="00D01079"/>
    <w:rsid w:val="00D174E5"/>
    <w:rsid w:val="00D3086F"/>
    <w:rsid w:val="00D41539"/>
    <w:rsid w:val="00D55A27"/>
    <w:rsid w:val="00D66CE6"/>
    <w:rsid w:val="00D720E1"/>
    <w:rsid w:val="00D82A0F"/>
    <w:rsid w:val="00D91A07"/>
    <w:rsid w:val="00D9447A"/>
    <w:rsid w:val="00DA5F05"/>
    <w:rsid w:val="00DA73BD"/>
    <w:rsid w:val="00DA7A9F"/>
    <w:rsid w:val="00DB2884"/>
    <w:rsid w:val="00DC2FF8"/>
    <w:rsid w:val="00DD60A7"/>
    <w:rsid w:val="00DE1294"/>
    <w:rsid w:val="00DE2F1E"/>
    <w:rsid w:val="00DE46A8"/>
    <w:rsid w:val="00DE54CA"/>
    <w:rsid w:val="00E05A03"/>
    <w:rsid w:val="00E06FEF"/>
    <w:rsid w:val="00E07469"/>
    <w:rsid w:val="00E1317F"/>
    <w:rsid w:val="00E155F8"/>
    <w:rsid w:val="00E2018D"/>
    <w:rsid w:val="00E310AF"/>
    <w:rsid w:val="00E33AC4"/>
    <w:rsid w:val="00E37B54"/>
    <w:rsid w:val="00E530BB"/>
    <w:rsid w:val="00E67C39"/>
    <w:rsid w:val="00E7067E"/>
    <w:rsid w:val="00E74F21"/>
    <w:rsid w:val="00E775FD"/>
    <w:rsid w:val="00E92B23"/>
    <w:rsid w:val="00EA6132"/>
    <w:rsid w:val="00EB63E6"/>
    <w:rsid w:val="00EC0132"/>
    <w:rsid w:val="00EC663A"/>
    <w:rsid w:val="00EF11C2"/>
    <w:rsid w:val="00EF3D20"/>
    <w:rsid w:val="00F05B56"/>
    <w:rsid w:val="00F213F2"/>
    <w:rsid w:val="00F35D6A"/>
    <w:rsid w:val="00F4067B"/>
    <w:rsid w:val="00F40C64"/>
    <w:rsid w:val="00F42C58"/>
    <w:rsid w:val="00F457E8"/>
    <w:rsid w:val="00F4704F"/>
    <w:rsid w:val="00F478C2"/>
    <w:rsid w:val="00F52F3A"/>
    <w:rsid w:val="00F5558B"/>
    <w:rsid w:val="00F6766B"/>
    <w:rsid w:val="00F724DD"/>
    <w:rsid w:val="00F730E5"/>
    <w:rsid w:val="00F73EE5"/>
    <w:rsid w:val="00F779E2"/>
    <w:rsid w:val="00FA5031"/>
    <w:rsid w:val="00FA7A56"/>
    <w:rsid w:val="00FC2AB4"/>
    <w:rsid w:val="00FC6363"/>
    <w:rsid w:val="00FC7A5D"/>
    <w:rsid w:val="00FD021E"/>
    <w:rsid w:val="00FD2216"/>
    <w:rsid w:val="00FE10BC"/>
    <w:rsid w:val="00FE22C2"/>
    <w:rsid w:val="00FE5042"/>
    <w:rsid w:val="00FF004B"/>
    <w:rsid w:val="00FF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9413CBA"/>
  <w15:docId w15:val="{79A7AF64-8D68-4E18-9C12-32A91155900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EAF"/>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character" w:customStyle="1" w:styleId="FootnoteTextChar">
    <w:name w:val="Footnote Text Char"/>
    <w:link w:val="FootnoteText"/>
    <w:semiHidden/>
    <w:rsid w:val="00F42C58"/>
    <w:rPr>
      <w:rFonts w:ascii="Palatino" w:hAnsi="Palatino"/>
      <w:sz w:val="24"/>
    </w:rPr>
  </w:style>
  <w:style w:type="paragraph" w:styleId="Quote">
    <w:name w:val="Quote"/>
    <w:basedOn w:val="Normal"/>
    <w:next w:val="Normal"/>
    <w:link w:val="QuoteChar"/>
    <w:uiPriority w:val="29"/>
    <w:qFormat/>
    <w:rsid w:val="00CD395D"/>
    <w:pPr>
      <w:spacing w:before="200" w:after="160"/>
      <w:ind w:left="864" w:right="864"/>
      <w:jc w:val="center"/>
    </w:pPr>
    <w:rPr>
      <w:i/>
      <w:iCs/>
      <w:color w:val="404040"/>
    </w:rPr>
  </w:style>
  <w:style w:type="character" w:customStyle="1" w:styleId="QuoteChar">
    <w:name w:val="Quote Char"/>
    <w:link w:val="Quote"/>
    <w:uiPriority w:val="29"/>
    <w:rsid w:val="00CD395D"/>
    <w:rPr>
      <w:rFonts w:ascii="Palatino" w:hAnsi="Palatino"/>
      <w:i/>
      <w:iCs/>
      <w:color w:val="404040"/>
      <w:sz w:val="24"/>
    </w:rPr>
  </w:style>
  <w:style w:type="paragraph" w:styleId="Subtitle">
    <w:name w:val="Subtitle"/>
    <w:basedOn w:val="Normal"/>
    <w:next w:val="Normal"/>
    <w:link w:val="SubtitleChar"/>
    <w:qFormat/>
    <w:rsid w:val="000B7E2A"/>
    <w:pPr>
      <w:spacing w:after="60"/>
      <w:jc w:val="center"/>
      <w:outlineLvl w:val="1"/>
    </w:pPr>
    <w:rPr>
      <w:rFonts w:ascii="Calibri Light" w:hAnsi="Calibri Light"/>
      <w:szCs w:val="24"/>
    </w:rPr>
  </w:style>
  <w:style w:type="character" w:customStyle="1" w:styleId="SubtitleChar">
    <w:name w:val="Subtitle Char"/>
    <w:link w:val="Subtitle"/>
    <w:rsid w:val="000B7E2A"/>
    <w:rPr>
      <w:rFonts w:ascii="Calibri Light" w:eastAsia="Times New Roman" w:hAnsi="Calibri Light" w:cs="Times New Roman"/>
      <w:sz w:val="24"/>
      <w:szCs w:val="24"/>
    </w:rPr>
  </w:style>
  <w:style w:type="paragraph" w:styleId="ListParagraph">
    <w:name w:val="List Paragraph"/>
    <w:basedOn w:val="Normal"/>
    <w:uiPriority w:val="34"/>
    <w:qFormat/>
    <w:rsid w:val="004E3CBA"/>
    <w:pPr>
      <w:ind w:left="720"/>
    </w:pPr>
  </w:style>
  <w:style w:type="paragraph" w:styleId="BalloonText">
    <w:name w:val="Balloon Text"/>
    <w:basedOn w:val="Normal"/>
    <w:link w:val="BalloonTextChar"/>
    <w:semiHidden/>
    <w:unhideWhenUsed/>
    <w:rsid w:val="00E92B23"/>
    <w:rPr>
      <w:rFonts w:ascii="Segoe UI" w:hAnsi="Segoe UI" w:cs="Segoe UI"/>
      <w:sz w:val="18"/>
      <w:szCs w:val="18"/>
    </w:rPr>
  </w:style>
  <w:style w:type="character" w:customStyle="1" w:styleId="BalloonTextChar">
    <w:name w:val="Balloon Text Char"/>
    <w:link w:val="BalloonText"/>
    <w:semiHidden/>
    <w:rsid w:val="00E92B23"/>
    <w:rPr>
      <w:rFonts w:ascii="Segoe UI" w:hAnsi="Segoe UI" w:cs="Segoe UI"/>
      <w:sz w:val="18"/>
      <w:szCs w:val="18"/>
    </w:rPr>
  </w:style>
  <w:style w:type="character" w:styleId="CommentReference">
    <w:name w:val="annotation reference"/>
    <w:basedOn w:val="DefaultParagraphFont"/>
    <w:semiHidden/>
    <w:unhideWhenUsed/>
    <w:rsid w:val="008526B5"/>
    <w:rPr>
      <w:sz w:val="16"/>
      <w:szCs w:val="16"/>
    </w:rPr>
  </w:style>
  <w:style w:type="paragraph" w:styleId="CommentText">
    <w:name w:val="annotation text"/>
    <w:basedOn w:val="Normal"/>
    <w:link w:val="CommentTextChar"/>
    <w:semiHidden/>
    <w:unhideWhenUsed/>
    <w:rsid w:val="008526B5"/>
    <w:rPr>
      <w:sz w:val="20"/>
    </w:rPr>
  </w:style>
  <w:style w:type="character" w:customStyle="1" w:styleId="CommentTextChar">
    <w:name w:val="Comment Text Char"/>
    <w:basedOn w:val="DefaultParagraphFont"/>
    <w:link w:val="CommentText"/>
    <w:semiHidden/>
    <w:rsid w:val="008526B5"/>
    <w:rPr>
      <w:rFonts w:ascii="Palatino" w:hAnsi="Palatino"/>
    </w:rPr>
  </w:style>
  <w:style w:type="paragraph" w:styleId="CommentSubject">
    <w:name w:val="annotation subject"/>
    <w:basedOn w:val="CommentText"/>
    <w:next w:val="CommentText"/>
    <w:link w:val="CommentSubjectChar"/>
    <w:semiHidden/>
    <w:unhideWhenUsed/>
    <w:rsid w:val="008526B5"/>
    <w:rPr>
      <w:b/>
      <w:bCs/>
    </w:rPr>
  </w:style>
  <w:style w:type="character" w:customStyle="1" w:styleId="CommentSubjectChar">
    <w:name w:val="Comment Subject Char"/>
    <w:basedOn w:val="CommentTextChar"/>
    <w:link w:val="CommentSubject"/>
    <w:semiHidden/>
    <w:rsid w:val="008526B5"/>
    <w:rPr>
      <w:rFonts w:ascii="Palatino" w:hAnsi="Palatino"/>
      <w:b/>
      <w:bCs/>
    </w:rPr>
  </w:style>
  <w:style w:type="paragraph" w:styleId="BodyText">
    <w:name w:val="Body Text"/>
    <w:basedOn w:val="Normal"/>
    <w:link w:val="BodyTextChar"/>
    <w:rsid w:val="00BA457F"/>
  </w:style>
  <w:style w:type="character" w:customStyle="1" w:styleId="BodyTextChar">
    <w:name w:val="Body Text Char"/>
    <w:basedOn w:val="DefaultParagraphFont"/>
    <w:link w:val="BodyText"/>
    <w:rsid w:val="00BA457F"/>
    <w:rPr>
      <w:rFonts w:ascii="Palatino" w:hAnsi="Palatino"/>
      <w:sz w:val="24"/>
    </w:rPr>
  </w:style>
  <w:style w:type="character" w:customStyle="1" w:styleId="HeaderChar">
    <w:name w:val="Header Char"/>
    <w:link w:val="Header"/>
    <w:rsid w:val="00BA457F"/>
    <w:rPr>
      <w:rFonts w:ascii="Palatino" w:hAnsi="Palatino"/>
      <w:sz w:val="24"/>
    </w:rPr>
  </w:style>
  <w:style w:type="paragraph" w:styleId="BodyTextIndent">
    <w:name w:val="Body Text Indent"/>
    <w:basedOn w:val="Normal"/>
    <w:link w:val="BodyTextIndentChar"/>
    <w:rsid w:val="00BA457F"/>
    <w:pPr>
      <w:spacing w:after="120"/>
      <w:ind w:left="360"/>
    </w:pPr>
    <w:rPr>
      <w:sz w:val="26"/>
    </w:rPr>
  </w:style>
  <w:style w:type="character" w:customStyle="1" w:styleId="BodyTextIndentChar">
    <w:name w:val="Body Text Indent Char"/>
    <w:basedOn w:val="DefaultParagraphFont"/>
    <w:link w:val="BodyTextIndent"/>
    <w:rsid w:val="00BA457F"/>
    <w:rPr>
      <w:rFonts w:ascii="Palatino" w:hAnsi="Palatino"/>
      <w:sz w:val="26"/>
    </w:rPr>
  </w:style>
  <w:style w:type="character" w:customStyle="1" w:styleId="FooterChar">
    <w:name w:val="Footer Char"/>
    <w:link w:val="Footer"/>
    <w:uiPriority w:val="99"/>
    <w:rsid w:val="00BA457F"/>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DC6CF16686B4BA2933CFE51EE0CE7" ma:contentTypeVersion="10" ma:contentTypeDescription="Create a new document." ma:contentTypeScope="" ma:versionID="18f29f9e293b039196fc57b2a9091156">
  <xsd:schema xmlns:xsd="http://www.w3.org/2001/XMLSchema" xmlns:xs="http://www.w3.org/2001/XMLSchema" xmlns:p="http://schemas.microsoft.com/office/2006/metadata/properties" xmlns:ns2="8e5901ec-b161-45b4-a2b9-e2fec7e53931" xmlns:ns3="9906f322-3aa4-452a-acdd-a6e6b535267d" targetNamespace="http://schemas.microsoft.com/office/2006/metadata/properties" ma:root="true" ma:fieldsID="f2f08476a7385e6827bd1d32feec3399" ns2:_="" ns3:_="">
    <xsd:import namespace="8e5901ec-b161-45b4-a2b9-e2fec7e53931"/>
    <xsd:import namespace="9906f322-3aa4-452a-acdd-a6e6b53526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901ec-b161-45b4-a2b9-e2fec7e53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6f322-3aa4-452a-acdd-a6e6b53526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DCDE-D0F8-4F37-BEF1-4A059CE0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901ec-b161-45b4-a2b9-e2fec7e53931"/>
    <ds:schemaRef ds:uri="9906f322-3aa4-452a-acdd-a6e6b5352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783C3-BA88-452F-A8BC-31564A3216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B23DB-BEE8-492A-8CF4-D486B4752E78}">
  <ds:schemaRefs>
    <ds:schemaRef ds:uri="http://schemas.microsoft.com/sharepoint/v3/contenttype/forms"/>
  </ds:schemaRefs>
</ds:datastoreItem>
</file>

<file path=customXml/itemProps4.xml><?xml version="1.0" encoding="utf-8"?>
<ds:datastoreItem xmlns:ds="http://schemas.openxmlformats.org/officeDocument/2006/customXml" ds:itemID="{BAE60C20-D152-411D-B0B1-C2C19AA2000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4435</ap:Words>
  <ap:Characters>25284</ap:Characters>
  <ap:Application>Microsoft Office Word</ap:Application>
  <ap:DocSecurity>0</ap:DocSecurity>
  <ap:Lines>210</ap:Lines>
  <ap:Paragraphs>59</ap:Paragraphs>
  <ap:ScaleCrop>false</ap:ScaleCrop>
  <ap:HeadingPairs>
    <vt:vector baseType="variant" size="2">
      <vt:variant>
        <vt:lpstr>Title</vt:lpstr>
      </vt:variant>
      <vt:variant>
        <vt:i4>1</vt:i4>
      </vt:variant>
    </vt:vector>
  </ap:HeadingPairs>
  <ap:TitlesOfParts>
    <vt:vector baseType="lpstr" size="1">
      <vt:lpstr>_</vt:lpstr>
    </vt:vector>
  </ap:TitlesOfParts>
  <ap:Manager/>
  <ap:Company/>
  <ap:LinksUpToDate>false</ap:LinksUpToDate>
  <ap:CharactersWithSpaces>29660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2020-01-02T18:44:00Z</cp:lastPrinted>
  <dcterms:created xsi:type="dcterms:W3CDTF">2020-01-03T09:26:16Z</dcterms:created>
  <dcterms:modified xsi:type="dcterms:W3CDTF">2020-01-03T09:26:16Z</dcterms:modified>
</cp:coreProperties>
</file>