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DE" w:rsidRDefault="00CF17DE">
      <w:pPr>
        <w:pStyle w:val="titlebar"/>
        <w:rPr>
          <w:sz w:val="24"/>
        </w:rPr>
      </w:pPr>
      <w:r>
        <w:rPr>
          <w:sz w:val="24"/>
        </w:rPr>
        <w:t>PUBLIC UTILITIES COMMISSION OF THE STATE OF CALIFORNIA</w:t>
      </w:r>
    </w:p>
    <w:p w:rsidR="00725DF7" w:rsidP="00725DF7" w:rsidRDefault="001A1C64">
      <w:pPr>
        <w:suppressAutoHyphens/>
        <w:rPr>
          <w:b/>
          <w:bCs/>
          <w:sz w:val="24"/>
        </w:rPr>
      </w:pPr>
      <w:r>
        <w:tab/>
      </w:r>
      <w:r>
        <w:tab/>
      </w:r>
      <w:r>
        <w:tab/>
      </w:r>
      <w:r>
        <w:tab/>
      </w:r>
      <w:r>
        <w:tab/>
      </w:r>
      <w:r>
        <w:tab/>
      </w:r>
      <w:r>
        <w:tab/>
      </w:r>
      <w:r>
        <w:tab/>
      </w:r>
      <w:r>
        <w:tab/>
      </w:r>
      <w:r w:rsidRPr="001A1C64">
        <w:rPr>
          <w:b/>
          <w:bCs/>
          <w:sz w:val="24"/>
        </w:rPr>
        <w:t xml:space="preserve">     </w:t>
      </w:r>
    </w:p>
    <w:p w:rsidR="00CF17DE" w:rsidP="00725DF7" w:rsidRDefault="00593807">
      <w:pPr>
        <w:suppressAutoHyphens/>
        <w:rPr>
          <w:b/>
          <w:sz w:val="24"/>
        </w:rPr>
      </w:pPr>
      <w:r>
        <w:rPr>
          <w:b/>
          <w:sz w:val="24"/>
        </w:rPr>
        <w:t>ENERGY DIVISION</w:t>
      </w:r>
      <w:r>
        <w:rPr>
          <w:b/>
          <w:sz w:val="24"/>
        </w:rPr>
        <w:tab/>
      </w:r>
      <w:r>
        <w:rPr>
          <w:b/>
          <w:sz w:val="24"/>
        </w:rPr>
        <w:tab/>
      </w:r>
      <w:r>
        <w:rPr>
          <w:b/>
          <w:sz w:val="24"/>
        </w:rPr>
        <w:tab/>
      </w:r>
      <w:r>
        <w:rPr>
          <w:b/>
          <w:sz w:val="24"/>
        </w:rPr>
        <w:tab/>
      </w:r>
      <w:r w:rsidR="00725DF7">
        <w:rPr>
          <w:b/>
          <w:sz w:val="24"/>
        </w:rPr>
        <w:t xml:space="preserve">                       </w:t>
      </w:r>
      <w:r w:rsidR="00CF17DE">
        <w:rPr>
          <w:b/>
          <w:sz w:val="24"/>
        </w:rPr>
        <w:t>RESOLUTION E-</w:t>
      </w:r>
      <w:r w:rsidR="005236FB">
        <w:rPr>
          <w:b/>
          <w:sz w:val="24"/>
        </w:rPr>
        <w:t>5034</w:t>
      </w:r>
    </w:p>
    <w:p w:rsidR="00CF17DE" w:rsidRDefault="002959EE">
      <w:pPr>
        <w:tabs>
          <w:tab w:val="right" w:pos="8910"/>
        </w:tabs>
        <w:ind w:left="1440" w:firstLine="720"/>
        <w:rPr>
          <w:b/>
          <w:sz w:val="24"/>
        </w:rPr>
      </w:pPr>
      <w:r>
        <w:rPr>
          <w:b/>
          <w:sz w:val="24"/>
        </w:rPr>
        <w:t xml:space="preserve">                                      </w:t>
      </w:r>
      <w:r w:rsidR="003F17B2">
        <w:rPr>
          <w:b/>
          <w:sz w:val="24"/>
        </w:rPr>
        <w:t xml:space="preserve">                </w:t>
      </w:r>
      <w:r>
        <w:rPr>
          <w:b/>
          <w:sz w:val="24"/>
        </w:rPr>
        <w:t xml:space="preserve">      </w:t>
      </w:r>
      <w:r w:rsidR="00B900DC">
        <w:rPr>
          <w:b/>
          <w:sz w:val="24"/>
        </w:rPr>
        <w:t xml:space="preserve">           </w:t>
      </w:r>
      <w:r>
        <w:rPr>
          <w:b/>
          <w:sz w:val="24"/>
        </w:rPr>
        <w:t xml:space="preserve">December </w:t>
      </w:r>
      <w:r w:rsidR="00A54E44">
        <w:rPr>
          <w:b/>
          <w:sz w:val="24"/>
        </w:rPr>
        <w:t>19</w:t>
      </w:r>
      <w:r>
        <w:rPr>
          <w:b/>
          <w:sz w:val="24"/>
        </w:rPr>
        <w:t>, 2019</w:t>
      </w:r>
    </w:p>
    <w:p w:rsidR="009E613F" w:rsidRDefault="009E613F">
      <w:pPr>
        <w:pStyle w:val="mainex"/>
        <w:rPr>
          <w:u w:val="single"/>
        </w:rPr>
      </w:pPr>
      <w:bookmarkStart w:name="_Ref404993683" w:id="0"/>
    </w:p>
    <w:p w:rsidR="00CF17DE" w:rsidRDefault="00CF17DE">
      <w:pPr>
        <w:pStyle w:val="mainex"/>
        <w:rPr>
          <w:u w:val="single"/>
        </w:rPr>
      </w:pPr>
      <w:r>
        <w:rPr>
          <w:u w:val="single"/>
        </w:rPr>
        <w:t>RESOLUTION</w:t>
      </w:r>
      <w:bookmarkStart w:name="_GoBack" w:id="1"/>
      <w:bookmarkEnd w:id="1"/>
    </w:p>
    <w:p w:rsidR="00CF17DE" w:rsidRDefault="00CF17DE"/>
    <w:p w:rsidR="00686892" w:rsidP="00686892" w:rsidRDefault="00686892">
      <w:pPr>
        <w:pStyle w:val="Res-Caption"/>
      </w:pPr>
      <w:r>
        <w:t xml:space="preserve">Resolution E-5034.  Resolution authorizing bill protection </w:t>
      </w:r>
      <w:r w:rsidR="006D6422">
        <w:t>approaches</w:t>
      </w:r>
      <w:r>
        <w:t xml:space="preserve"> for Pacific Gas and Electric Company, Southern California Edison Company, and Southern California Gas Company San Joaquin Valley pilot participants pursuant to Decision 18-12-015.</w:t>
      </w:r>
    </w:p>
    <w:p w:rsidR="00686892" w:rsidP="00686892" w:rsidRDefault="00686892">
      <w:pPr>
        <w:pStyle w:val="Res-Caption"/>
        <w:ind w:left="0"/>
      </w:pPr>
    </w:p>
    <w:p w:rsidR="00686892" w:rsidP="00686892" w:rsidRDefault="00686892">
      <w:pPr>
        <w:pStyle w:val="Res-Caption"/>
        <w:rPr>
          <w:rFonts w:ascii="Palatino Linotype" w:hAnsi="Palatino Linotype"/>
        </w:rPr>
      </w:pPr>
      <w:r w:rsidRPr="006B05EE">
        <w:t>PROPOSED OUTCOME</w:t>
      </w:r>
      <w:r>
        <w:rPr>
          <w:rFonts w:ascii="Palatino Linotype" w:hAnsi="Palatino Linotype"/>
        </w:rPr>
        <w:t xml:space="preserve">: </w:t>
      </w:r>
    </w:p>
    <w:p w:rsidRPr="00073733" w:rsidR="00686892" w:rsidP="00686892" w:rsidRDefault="00686892">
      <w:pPr>
        <w:pStyle w:val="Res-Caption"/>
        <w:numPr>
          <w:ilvl w:val="0"/>
          <w:numId w:val="6"/>
        </w:numPr>
      </w:pPr>
      <w:r w:rsidRPr="00073733">
        <w:t>Approves So</w:t>
      </w:r>
      <w:r>
        <w:t xml:space="preserve">uthern </w:t>
      </w:r>
      <w:r w:rsidRPr="00073733">
        <w:t>Cal</w:t>
      </w:r>
      <w:r>
        <w:t xml:space="preserve">ifornia </w:t>
      </w:r>
      <w:r w:rsidRPr="00073733">
        <w:t>Gas</w:t>
      </w:r>
      <w:r>
        <w:t xml:space="preserve"> Company</w:t>
      </w:r>
      <w:r w:rsidRPr="00073733">
        <w:t xml:space="preserve"> </w:t>
      </w:r>
      <w:r>
        <w:t xml:space="preserve">(SoCalGas) </w:t>
      </w:r>
      <w:r w:rsidRPr="00073733">
        <w:t>Advice Letter (AL) 5439-G</w:t>
      </w:r>
      <w:r>
        <w:t>.</w:t>
      </w:r>
    </w:p>
    <w:p w:rsidR="00686892" w:rsidP="00686892" w:rsidRDefault="00686892">
      <w:pPr>
        <w:pStyle w:val="Res-Caption"/>
        <w:numPr>
          <w:ilvl w:val="0"/>
          <w:numId w:val="6"/>
        </w:numPr>
      </w:pPr>
      <w:r>
        <w:t xml:space="preserve">Approves </w:t>
      </w:r>
      <w:r w:rsidRPr="00073733">
        <w:t>Pacific Gas and Electric Company (PG&amp;E</w:t>
      </w:r>
      <w:r>
        <w:t>)</w:t>
      </w:r>
      <w:r w:rsidRPr="00073733">
        <w:t xml:space="preserve"> </w:t>
      </w:r>
      <w:r>
        <w:t xml:space="preserve">AL 5496-G </w:t>
      </w:r>
      <w:r w:rsidRPr="00073733">
        <w:t xml:space="preserve">and Southern California Edison Company (SCE) </w:t>
      </w:r>
      <w:r>
        <w:t>AL 3970-E with modifications, as set forth in this resolution.</w:t>
      </w:r>
    </w:p>
    <w:p w:rsidRPr="004E0C19" w:rsidR="00686892" w:rsidP="00686892" w:rsidRDefault="00686892">
      <w:pPr>
        <w:pStyle w:val="Res-Caption"/>
        <w:numPr>
          <w:ilvl w:val="0"/>
          <w:numId w:val="6"/>
        </w:numPr>
        <w:rPr>
          <w:rFonts w:ascii="Palatino Linotype" w:hAnsi="Palatino Linotype"/>
        </w:rPr>
      </w:pPr>
      <w:r w:rsidRPr="00073733">
        <w:t>Directs PG&amp;E and SCE to each file Tier 2 ALs with a</w:t>
      </w:r>
      <w:r>
        <w:t>n</w:t>
      </w:r>
      <w:r w:rsidRPr="00073733">
        <w:t xml:space="preserve"> evaluation analyzing pilot participants’ total energy cost savings</w:t>
      </w:r>
      <w:r>
        <w:t>.</w:t>
      </w:r>
    </w:p>
    <w:p w:rsidRPr="00AF3E9D" w:rsidR="00686892" w:rsidP="00686892" w:rsidRDefault="00686892">
      <w:pPr>
        <w:pStyle w:val="Res-Caption"/>
        <w:numPr>
          <w:ilvl w:val="0"/>
          <w:numId w:val="6"/>
        </w:numPr>
        <w:rPr>
          <w:rFonts w:ascii="Palatino Linotype" w:hAnsi="Palatino Linotype"/>
        </w:rPr>
      </w:pPr>
      <w:r>
        <w:t>D</w:t>
      </w:r>
      <w:r w:rsidRPr="00E00BDB">
        <w:t xml:space="preserve">irects PG&amp;E and SCE to provide a monthly transitional community solar discount to pilot customers </w:t>
      </w:r>
      <w:r>
        <w:t>under certain conditions.</w:t>
      </w:r>
    </w:p>
    <w:p w:rsidRPr="00165E09" w:rsidR="00686892" w:rsidP="00686892" w:rsidRDefault="00686892">
      <w:pPr>
        <w:pStyle w:val="Res-Caption"/>
        <w:ind w:left="1440"/>
        <w:rPr>
          <w:rFonts w:ascii="Palatino Linotype" w:hAnsi="Palatino Linotype"/>
        </w:rPr>
      </w:pPr>
      <w:r w:rsidRPr="00165E09">
        <w:rPr>
          <w:rFonts w:ascii="Palatino Linotype" w:hAnsi="Palatino Linotype"/>
        </w:rPr>
        <w:t xml:space="preserve"> </w:t>
      </w:r>
    </w:p>
    <w:p w:rsidR="00686892" w:rsidP="00686892" w:rsidRDefault="00686892">
      <w:pPr>
        <w:pStyle w:val="Res-Caption"/>
      </w:pPr>
      <w:r w:rsidRPr="00F51F8B">
        <w:t>SAFETY CONSIDERATIONS:</w:t>
      </w:r>
    </w:p>
    <w:p w:rsidR="00686892" w:rsidP="00686892" w:rsidRDefault="00686892">
      <w:pPr>
        <w:pStyle w:val="Res-Caption"/>
        <w:numPr>
          <w:ilvl w:val="0"/>
          <w:numId w:val="5"/>
        </w:numPr>
        <w:rPr>
          <w:rFonts w:ascii="Palatino Linotype" w:hAnsi="Palatino Linotype"/>
        </w:rPr>
      </w:pPr>
      <w:r>
        <w:t>There is no impact on safety.</w:t>
      </w:r>
    </w:p>
    <w:p w:rsidR="00686892" w:rsidP="00686892" w:rsidRDefault="00686892">
      <w:pPr>
        <w:pStyle w:val="Res-Caption"/>
        <w:rPr>
          <w:rFonts w:ascii="Palatino Linotype" w:hAnsi="Palatino Linotype"/>
        </w:rPr>
      </w:pPr>
    </w:p>
    <w:p w:rsidR="00686892" w:rsidP="00686892" w:rsidRDefault="00686892">
      <w:pPr>
        <w:pStyle w:val="Res-Caption"/>
        <w:rPr>
          <w:rFonts w:ascii="Palatino Linotype" w:hAnsi="Palatino Linotype"/>
        </w:rPr>
      </w:pPr>
      <w:r w:rsidRPr="006B05EE">
        <w:t>ESTIMATED COST</w:t>
      </w:r>
      <w:r>
        <w:rPr>
          <w:rFonts w:ascii="Palatino Linotype" w:hAnsi="Palatino Linotype"/>
        </w:rPr>
        <w:t xml:space="preserve">:  </w:t>
      </w:r>
    </w:p>
    <w:p w:rsidR="00686892" w:rsidP="00686892" w:rsidRDefault="00686892">
      <w:pPr>
        <w:pStyle w:val="Res-Caption"/>
        <w:numPr>
          <w:ilvl w:val="0"/>
          <w:numId w:val="5"/>
        </w:numPr>
      </w:pPr>
      <w:r>
        <w:t>PG&amp;E's bill protection cost to ratepayers is projected to be between approximately $3.0 and $4.2 million.</w:t>
      </w:r>
    </w:p>
    <w:p w:rsidR="00686892" w:rsidP="00686892" w:rsidRDefault="00686892">
      <w:pPr>
        <w:pStyle w:val="Res-Caption"/>
        <w:numPr>
          <w:ilvl w:val="0"/>
          <w:numId w:val="5"/>
        </w:numPr>
      </w:pPr>
      <w:r>
        <w:t xml:space="preserve">SCE’s bill protection cost to ratepayers is projected to be between $700,000 and $1 million. </w:t>
      </w:r>
    </w:p>
    <w:p w:rsidR="00686892" w:rsidP="00686892" w:rsidRDefault="00686892">
      <w:pPr>
        <w:pStyle w:val="Res-Caption"/>
        <w:numPr>
          <w:ilvl w:val="0"/>
          <w:numId w:val="5"/>
        </w:numPr>
      </w:pPr>
      <w:r>
        <w:t>There are no projected costs to ratepayers for SoCalGas’ approved AL.</w:t>
      </w:r>
    </w:p>
    <w:p w:rsidR="00686892" w:rsidP="00686892" w:rsidRDefault="00686892">
      <w:pPr>
        <w:pStyle w:val="Res-Caption"/>
        <w:numPr>
          <w:ilvl w:val="0"/>
          <w:numId w:val="5"/>
        </w:numPr>
      </w:pPr>
      <w:r>
        <w:t>The projected cost of the transitional community solar discount is unknown.</w:t>
      </w:r>
    </w:p>
    <w:p w:rsidR="00CF17DE" w:rsidRDefault="00CF17DE">
      <w:pPr>
        <w:pStyle w:val="Res-Caption"/>
      </w:pPr>
    </w:p>
    <w:p w:rsidR="001307E6" w:rsidP="007E0098" w:rsidRDefault="00CF17DE">
      <w:pPr>
        <w:pStyle w:val="Res-Caption"/>
      </w:pPr>
      <w:r>
        <w:lastRenderedPageBreak/>
        <w:t xml:space="preserve">By </w:t>
      </w:r>
      <w:r w:rsidR="001307E6">
        <w:t xml:space="preserve">PG&amp;E </w:t>
      </w:r>
      <w:r>
        <w:t xml:space="preserve">Advice Letter </w:t>
      </w:r>
      <w:r w:rsidR="001307E6">
        <w:t>5496-E f</w:t>
      </w:r>
      <w:r>
        <w:t xml:space="preserve">iled on </w:t>
      </w:r>
      <w:r w:rsidR="001307E6">
        <w:t>March 18, 2019, SCE Advice Letter 3970-E filed on</w:t>
      </w:r>
      <w:r w:rsidR="007E0098">
        <w:t xml:space="preserve"> March 19, 2019, and SoCalGas Advice Letter 5439-G filed on March 18, 2019.</w:t>
      </w:r>
    </w:p>
    <w:p w:rsidR="00CF17DE" w:rsidRDefault="00CF17DE">
      <w:pPr>
        <w:jc w:val="center"/>
      </w:pPr>
      <w:r>
        <w:t>__________________________________________________________</w:t>
      </w:r>
    </w:p>
    <w:p w:rsidR="00CF17DE" w:rsidRDefault="00CF17DE">
      <w:pPr>
        <w:pStyle w:val="Heading1"/>
      </w:pPr>
      <w:r>
        <w:t>Summary</w:t>
      </w:r>
      <w:bookmarkEnd w:id="0"/>
    </w:p>
    <w:p w:rsidR="004E1936" w:rsidP="004E1936" w:rsidRDefault="00CF17DE">
      <w:pPr>
        <w:pStyle w:val="Res-Caption"/>
        <w:ind w:left="0"/>
      </w:pPr>
      <w:r w:rsidRPr="00705054">
        <w:t>This Resolution</w:t>
      </w:r>
      <w:r w:rsidRPr="00705054" w:rsidR="00AC2EE3">
        <w:t xml:space="preserve"> </w:t>
      </w:r>
      <w:r w:rsidR="00853EAE">
        <w:t>directs</w:t>
      </w:r>
      <w:r w:rsidRPr="00705054" w:rsidR="001B7C09">
        <w:t xml:space="preserve"> Pacific Gas and Electric Company (PG&amp;E) and Southern California Edison Company (SCE) </w:t>
      </w:r>
      <w:r w:rsidR="00853EAE">
        <w:t xml:space="preserve">to </w:t>
      </w:r>
      <w:r w:rsidRPr="00705054" w:rsidR="00047883">
        <w:t xml:space="preserve">establish a bill protection </w:t>
      </w:r>
      <w:r w:rsidR="008E6BBD">
        <w:t>approach</w:t>
      </w:r>
      <w:r w:rsidR="00853EAE">
        <w:t xml:space="preserve"> for </w:t>
      </w:r>
      <w:r w:rsidR="003E4843">
        <w:t xml:space="preserve">customers participating in San Joaquin Valley (SJV) pilots </w:t>
      </w:r>
      <w:r w:rsidR="00C258AA">
        <w:t xml:space="preserve">in </w:t>
      </w:r>
      <w:r w:rsidR="00D661EA">
        <w:t>each utility</w:t>
      </w:r>
      <w:r w:rsidR="00C258AA">
        <w:t>'s service territory</w:t>
      </w:r>
      <w:r w:rsidR="003E4843">
        <w:t xml:space="preserve">. PG&amp;E and SCE must </w:t>
      </w:r>
      <w:r w:rsidR="00624ADA">
        <w:t xml:space="preserve">implement the bill protections </w:t>
      </w:r>
      <w:r w:rsidR="003D6BBF">
        <w:t>approach</w:t>
      </w:r>
      <w:r w:rsidR="00624ADA">
        <w:t xml:space="preserve"> under the terms set forth in this Resolution, including a</w:t>
      </w:r>
      <w:r w:rsidR="006B7FC1">
        <w:t xml:space="preserve">n </w:t>
      </w:r>
      <w:r w:rsidRPr="00705054" w:rsidR="009A094F">
        <w:t>evaluation that analyzes pilot participants’ total energy cost savings</w:t>
      </w:r>
      <w:r w:rsidR="00624ADA">
        <w:t>.</w:t>
      </w:r>
      <w:r w:rsidR="004E1936">
        <w:t xml:space="preserve"> </w:t>
      </w:r>
      <w:r w:rsidR="000618A3">
        <w:t xml:space="preserve">The Resolution </w:t>
      </w:r>
      <w:r w:rsidRPr="001C6283" w:rsidR="000618A3">
        <w:t xml:space="preserve">also directs PG&amp;E and SCE to implement a transitional community solar discount to SJV pilot customers under the terms set forth in the Resolution. </w:t>
      </w:r>
    </w:p>
    <w:p w:rsidR="004E1936" w:rsidP="00DC0131" w:rsidRDefault="004E1936"/>
    <w:p w:rsidR="00DC0131" w:rsidP="00DC0131" w:rsidRDefault="4E8EF65D">
      <w:r>
        <w:t xml:space="preserve">The </w:t>
      </w:r>
      <w:r w:rsidRPr="004E5A6A">
        <w:t xml:space="preserve">Resolution recommends the Commission modify </w:t>
      </w:r>
      <w:r w:rsidR="00AA5C87">
        <w:t xml:space="preserve">the </w:t>
      </w:r>
      <w:r w:rsidRPr="00AA5C87" w:rsidR="00EC7872">
        <w:rPr>
          <w:i/>
          <w:iCs/>
        </w:rPr>
        <w:t>Decision Approving San Joaquin Valley Disadvantaged Communities Pilot Projects</w:t>
      </w:r>
      <w:r w:rsidRPr="004E5A6A" w:rsidR="00BF50C1">
        <w:t xml:space="preserve"> </w:t>
      </w:r>
      <w:r w:rsidRPr="00BE5785" w:rsidR="00BF50C1">
        <w:t>(</w:t>
      </w:r>
      <w:r w:rsidRPr="00BE5785" w:rsidR="008331BA">
        <w:t>(D.)18-12-015)</w:t>
      </w:r>
      <w:r w:rsidRPr="004E5A6A">
        <w:t xml:space="preserve"> to allow PG&amp;E and SCE to recover costs associated with the bill protection discounts authorized in this Resolution that may exceed the total bill protection funding authorized</w:t>
      </w:r>
      <w:r>
        <w:t xml:space="preserve"> in </w:t>
      </w:r>
      <w:r w:rsidR="002769A0">
        <w:t>D.18-12-015</w:t>
      </w:r>
      <w:r>
        <w:t>. The Resolution also recommends the Commission modify D.18-12-015 to allow PG&amp;E and SCE to recover costs associated with the transitional community solar discounts authorized in this Resolution.</w:t>
      </w:r>
    </w:p>
    <w:p w:rsidR="00624ADA" w:rsidP="00DA5409" w:rsidRDefault="00624ADA"/>
    <w:p w:rsidRPr="00705054" w:rsidR="00DA5409" w:rsidP="00DA5409" w:rsidRDefault="00DA5409">
      <w:r w:rsidRPr="00705054">
        <w:t>Th</w:t>
      </w:r>
      <w:r w:rsidR="003C315F">
        <w:t>e</w:t>
      </w:r>
      <w:r w:rsidRPr="00705054">
        <w:t xml:space="preserve"> Resolution approves Southern California Gas Company </w:t>
      </w:r>
      <w:r w:rsidR="003E4843">
        <w:t xml:space="preserve">(SoCalGas) </w:t>
      </w:r>
      <w:r w:rsidRPr="00705054">
        <w:t>Advice Letter 5439-G to establish a bill protection mechanism for customers participating in SoCalGas’ natural gas pilot in California City.</w:t>
      </w:r>
    </w:p>
    <w:p w:rsidRPr="00AC2EE3" w:rsidR="00AC2EE3" w:rsidRDefault="00AC2EE3"/>
    <w:p w:rsidR="00CF17DE" w:rsidRDefault="00CF17DE">
      <w:pPr>
        <w:pStyle w:val="Heading1"/>
      </w:pPr>
      <w:r w:rsidRPr="002F23B1">
        <w:t>Background</w:t>
      </w:r>
    </w:p>
    <w:p w:rsidR="00956FE1" w:rsidP="00851230" w:rsidRDefault="00851230">
      <w:r>
        <w:t>Assembly Bill (AB) 2672 (</w:t>
      </w:r>
      <w:proofErr w:type="spellStart"/>
      <w:r>
        <w:t>Perea</w:t>
      </w:r>
      <w:proofErr w:type="spellEnd"/>
      <w:r>
        <w:t>, 2013) required the California Public Utilities Commission (</w:t>
      </w:r>
      <w:r w:rsidR="00846478">
        <w:t>CPUC</w:t>
      </w:r>
      <w:r>
        <w:t xml:space="preserve">) to initiate a new proceeding to identify </w:t>
      </w:r>
      <w:r w:rsidR="00956FE1">
        <w:t xml:space="preserve">disadvantaged communities </w:t>
      </w:r>
      <w:r w:rsidR="003058A3">
        <w:t xml:space="preserve">in the San Joaquin Valley (SJV) </w:t>
      </w:r>
      <w:r w:rsidR="00956FE1">
        <w:t>based on certain criteria</w:t>
      </w:r>
      <w:r w:rsidR="00956FE1">
        <w:rPr>
          <w:rStyle w:val="FootnoteReference"/>
        </w:rPr>
        <w:footnoteReference w:id="2"/>
      </w:r>
      <w:r w:rsidR="00956FE1">
        <w:t xml:space="preserve"> and</w:t>
      </w:r>
      <w:r w:rsidR="009856E0">
        <w:t xml:space="preserve"> to</w:t>
      </w:r>
      <w:r w:rsidR="00956FE1">
        <w:t xml:space="preserve"> analyze the economic feasibility of the following options:</w:t>
      </w:r>
    </w:p>
    <w:p w:rsidR="00956FE1" w:rsidP="002A7EF5" w:rsidRDefault="00956FE1">
      <w:pPr>
        <w:pStyle w:val="ListParagraph"/>
        <w:numPr>
          <w:ilvl w:val="0"/>
          <w:numId w:val="14"/>
        </w:numPr>
      </w:pPr>
      <w:r>
        <w:t>Extending natural gas pipelines to those disadvantaged communities;</w:t>
      </w:r>
    </w:p>
    <w:p w:rsidR="00956FE1" w:rsidP="002A7EF5" w:rsidRDefault="00956FE1">
      <w:pPr>
        <w:pStyle w:val="ListParagraph"/>
        <w:numPr>
          <w:ilvl w:val="0"/>
          <w:numId w:val="14"/>
        </w:numPr>
      </w:pPr>
      <w:r>
        <w:t xml:space="preserve">Increasing subsidies for electricity for residential customers in those disadvantaged communities; and </w:t>
      </w:r>
    </w:p>
    <w:p w:rsidRPr="00956FE1" w:rsidR="00956FE1" w:rsidP="002A7EF5" w:rsidRDefault="00956FE1">
      <w:pPr>
        <w:pStyle w:val="ListParagraph"/>
        <w:numPr>
          <w:ilvl w:val="0"/>
          <w:numId w:val="14"/>
        </w:numPr>
      </w:pPr>
      <w:r w:rsidRPr="00956FE1">
        <w:t>Other alternatives that would increase access to affordable energy in those disadvantaged communities that the Commission deems appropriate.</w:t>
      </w:r>
    </w:p>
    <w:p w:rsidR="00E44E18" w:rsidP="00851230" w:rsidRDefault="00E44E18"/>
    <w:p w:rsidR="00851230" w:rsidP="00851230" w:rsidRDefault="00851230">
      <w:r w:rsidRPr="00956FE1">
        <w:t xml:space="preserve">The bill also required the CPUC to determine whether </w:t>
      </w:r>
      <w:r w:rsidRPr="00956FE1" w:rsidR="00956FE1">
        <w:t>any of the</w:t>
      </w:r>
      <w:r w:rsidRPr="00956FE1">
        <w:t xml:space="preserve"> analyzed options would increase access to affordable energy in a cost-effective manner</w:t>
      </w:r>
      <w:r w:rsidRPr="00956FE1" w:rsidR="00956FE1">
        <w:t>, and to determine appropriate funding sources.</w:t>
      </w:r>
      <w:r w:rsidR="002425F7">
        <w:t xml:space="preserve"> </w:t>
      </w:r>
      <w:r w:rsidR="00927189">
        <w:t>AB 2672</w:t>
      </w:r>
      <w:r w:rsidR="002425F7">
        <w:t xml:space="preserve"> </w:t>
      </w:r>
      <w:r w:rsidR="00927189">
        <w:t xml:space="preserve">was codified in California Public Utilities </w:t>
      </w:r>
      <w:r w:rsidR="006763C0">
        <w:t xml:space="preserve">(PU) </w:t>
      </w:r>
      <w:r w:rsidR="00927189">
        <w:t>Code Section 783.5.</w:t>
      </w:r>
    </w:p>
    <w:p w:rsidR="00851230" w:rsidP="00851230" w:rsidRDefault="00851230"/>
    <w:p w:rsidR="00DC3477" w:rsidP="00851230" w:rsidRDefault="00851230">
      <w:r>
        <w:t>In 2015, the Commission initiated Rulemaking (R.)15-03-010</w:t>
      </w:r>
      <w:r w:rsidR="00107277">
        <w:t xml:space="preserve"> to</w:t>
      </w:r>
      <w:r>
        <w:t xml:space="preserve"> meet the directives of </w:t>
      </w:r>
      <w:r w:rsidR="006763C0">
        <w:t>PU Code Section 783.5</w:t>
      </w:r>
      <w:r>
        <w:t xml:space="preserve">. </w:t>
      </w:r>
      <w:r w:rsidR="00531FD6">
        <w:t xml:space="preserve">In 2017, the Commission issued </w:t>
      </w:r>
      <w:r w:rsidR="004B710C">
        <w:t>Decision (D).17-05-014</w:t>
      </w:r>
      <w:r w:rsidR="00E40FC1">
        <w:t>, which</w:t>
      </w:r>
      <w:r w:rsidR="004B710C">
        <w:t xml:space="preserve"> </w:t>
      </w:r>
      <w:r w:rsidR="00BB79D2">
        <w:t xml:space="preserve">found </w:t>
      </w:r>
      <w:r w:rsidR="00A513E4">
        <w:t xml:space="preserve">that </w:t>
      </w:r>
      <w:r w:rsidR="00BB79D2">
        <w:t>170 communities</w:t>
      </w:r>
      <w:r w:rsidR="00357C4D">
        <w:t xml:space="preserve"> </w:t>
      </w:r>
      <w:r w:rsidR="007B10E3">
        <w:t>met</w:t>
      </w:r>
      <w:r w:rsidR="003471C4">
        <w:t xml:space="preserve"> the </w:t>
      </w:r>
      <w:r w:rsidR="00A513E4">
        <w:t>criteria</w:t>
      </w:r>
      <w:r w:rsidR="003471C4">
        <w:t xml:space="preserve"> set forth in Section 783.5</w:t>
      </w:r>
      <w:r w:rsidR="001026EB">
        <w:t xml:space="preserve"> to identify disadvantaged communities</w:t>
      </w:r>
      <w:r w:rsidR="00D64756">
        <w:t xml:space="preserve"> in the SJV</w:t>
      </w:r>
      <w:r w:rsidR="00E40FC1">
        <w:t xml:space="preserve">.  </w:t>
      </w:r>
      <w:r>
        <w:t xml:space="preserve">In 2018, the Commission issued </w:t>
      </w:r>
      <w:r w:rsidR="00BE723E">
        <w:t>Decision (</w:t>
      </w:r>
      <w:r w:rsidR="008A4A5D">
        <w:t>D.</w:t>
      </w:r>
      <w:r w:rsidR="00BE723E">
        <w:t>)</w:t>
      </w:r>
      <w:r w:rsidR="008A4A5D">
        <w:t xml:space="preserve">18-12-015 </w:t>
      </w:r>
      <w:r w:rsidR="00430D4D">
        <w:t>(</w:t>
      </w:r>
      <w:r w:rsidR="00107277">
        <w:t>SJV Pilots Decision</w:t>
      </w:r>
      <w:r w:rsidR="00430D4D">
        <w:t>)</w:t>
      </w:r>
      <w:r w:rsidR="00BF50C1">
        <w:t xml:space="preserve"> </w:t>
      </w:r>
      <w:r w:rsidRPr="0CCD4E32">
        <w:t xml:space="preserve">that authorizes pilots in </w:t>
      </w:r>
      <w:r w:rsidR="00107277">
        <w:t>11</w:t>
      </w:r>
      <w:r w:rsidRPr="0CCD4E32">
        <w:t xml:space="preserve"> SJV disadvantaged communities to replace propane and wood burning appliances with electric appliances or </w:t>
      </w:r>
      <w:r w:rsidR="00B40B03">
        <w:t xml:space="preserve">a </w:t>
      </w:r>
      <w:r w:rsidRPr="0CCD4E32">
        <w:t>natural gas line extension. The Commission approve</w:t>
      </w:r>
      <w:r w:rsidR="00D874CA">
        <w:t>d</w:t>
      </w:r>
      <w:r w:rsidRPr="0CCD4E32">
        <w:t xml:space="preserve"> $56 million in funding for the 11 pilot projects.</w:t>
      </w:r>
      <w:r w:rsidR="00C31486">
        <w:t xml:space="preserve"> </w:t>
      </w:r>
    </w:p>
    <w:p w:rsidR="00DC3477" w:rsidP="00851230" w:rsidRDefault="00DC3477"/>
    <w:p w:rsidR="00851230" w:rsidP="00851230" w:rsidRDefault="002C4BFA">
      <w:r>
        <w:t>Pacific Gas</w:t>
      </w:r>
      <w:r w:rsidR="007702F7">
        <w:t xml:space="preserve"> and Electric Company (PG&amp;E), Southern California Edison </w:t>
      </w:r>
      <w:r w:rsidR="00CA573C">
        <w:t xml:space="preserve">Company </w:t>
      </w:r>
      <w:r w:rsidR="007702F7">
        <w:t>(SCE</w:t>
      </w:r>
      <w:r w:rsidR="00CA573C">
        <w:t>), and a third</w:t>
      </w:r>
      <w:r w:rsidR="00FC7F6A">
        <w:t>-</w:t>
      </w:r>
      <w:r w:rsidR="00CA573C">
        <w:t xml:space="preserve">party </w:t>
      </w:r>
      <w:r w:rsidR="00455920">
        <w:t>pilot administrator and pilot implementer (PA/PI)</w:t>
      </w:r>
      <w:r w:rsidR="00750A22">
        <w:t xml:space="preserve"> to be</w:t>
      </w:r>
      <w:r w:rsidR="00DE3980">
        <w:t xml:space="preserve"> selected through </w:t>
      </w:r>
      <w:r w:rsidR="006821F2">
        <w:t xml:space="preserve">a competitive </w:t>
      </w:r>
      <w:r w:rsidR="00043F6E">
        <w:t>request for proposal (RFP)</w:t>
      </w:r>
      <w:r w:rsidR="00455920">
        <w:t xml:space="preserve"> will </w:t>
      </w:r>
      <w:r w:rsidR="00B93191">
        <w:t xml:space="preserve">administer </w:t>
      </w:r>
      <w:r w:rsidR="00455920">
        <w:t>electrification</w:t>
      </w:r>
      <w:r w:rsidR="00447A2B">
        <w:t xml:space="preserve"> pilot</w:t>
      </w:r>
      <w:r w:rsidR="00455920">
        <w:t xml:space="preserve"> </w:t>
      </w:r>
      <w:r w:rsidR="00EE257F">
        <w:t xml:space="preserve">projects in 10 communities. Southern California Gas Company (SoCalGas) will </w:t>
      </w:r>
      <w:r w:rsidR="00B93191">
        <w:t xml:space="preserve">administer </w:t>
      </w:r>
      <w:r w:rsidR="00447A2B">
        <w:t>a</w:t>
      </w:r>
      <w:r w:rsidR="00B93191">
        <w:t xml:space="preserve"> </w:t>
      </w:r>
      <w:r w:rsidR="00447A2B">
        <w:t xml:space="preserve">natural gas pilot project in one community. </w:t>
      </w:r>
      <w:r w:rsidR="00B40B03">
        <w:t xml:space="preserve">The following communities will be served by </w:t>
      </w:r>
      <w:r w:rsidR="00B81B90">
        <w:t xml:space="preserve">PG&amp;E, SCE, </w:t>
      </w:r>
      <w:r w:rsidR="00145E67">
        <w:t xml:space="preserve">the selected </w:t>
      </w:r>
      <w:r w:rsidR="00B81B90">
        <w:t>third-party PA/PI, and SoCalGas</w:t>
      </w:r>
      <w:r w:rsidR="00145E67">
        <w:t>:</w:t>
      </w:r>
    </w:p>
    <w:p w:rsidR="00B81B90" w:rsidP="00851230" w:rsidRDefault="00B81B90"/>
    <w:tbl>
      <w:tblPr>
        <w:tblStyle w:val="TableGrid"/>
        <w:tblW w:w="0" w:type="auto"/>
        <w:tblLook w:val="04A0" w:firstRow="1" w:lastRow="0" w:firstColumn="1" w:lastColumn="0" w:noHBand="0" w:noVBand="1"/>
      </w:tblPr>
      <w:tblGrid>
        <w:gridCol w:w="2785"/>
        <w:gridCol w:w="6565"/>
      </w:tblGrid>
      <w:tr w:rsidR="00294B6D">
        <w:tc>
          <w:tcPr>
            <w:tcW w:w="2785" w:type="dxa"/>
          </w:tcPr>
          <w:p w:rsidR="00CF7D9C" w:rsidP="00942BDE" w:rsidRDefault="00CF7D9C">
            <w:pPr>
              <w:ind w:left="0" w:firstLine="0"/>
            </w:pPr>
            <w:r>
              <w:t>PG&amp;E</w:t>
            </w:r>
          </w:p>
        </w:tc>
        <w:tc>
          <w:tcPr>
            <w:tcW w:w="6565" w:type="dxa"/>
          </w:tcPr>
          <w:p w:rsidR="00CF7D9C" w:rsidP="00942BDE" w:rsidRDefault="00942BDE">
            <w:pPr>
              <w:ind w:left="0" w:firstLine="0"/>
            </w:pPr>
            <w:proofErr w:type="spellStart"/>
            <w:r>
              <w:t>Allensworth</w:t>
            </w:r>
            <w:proofErr w:type="spellEnd"/>
            <w:r>
              <w:t xml:space="preserve">, </w:t>
            </w:r>
            <w:proofErr w:type="spellStart"/>
            <w:r>
              <w:t>Cantua</w:t>
            </w:r>
            <w:proofErr w:type="spellEnd"/>
            <w:r>
              <w:t xml:space="preserve"> Creek, Seville</w:t>
            </w:r>
          </w:p>
        </w:tc>
      </w:tr>
      <w:tr w:rsidR="00294B6D">
        <w:tc>
          <w:tcPr>
            <w:tcW w:w="2785" w:type="dxa"/>
          </w:tcPr>
          <w:p w:rsidR="00CF7D9C" w:rsidP="00942BDE" w:rsidRDefault="00CF7D9C">
            <w:pPr>
              <w:ind w:left="0" w:firstLine="0"/>
            </w:pPr>
            <w:r>
              <w:t>SCE</w:t>
            </w:r>
          </w:p>
        </w:tc>
        <w:tc>
          <w:tcPr>
            <w:tcW w:w="6565" w:type="dxa"/>
          </w:tcPr>
          <w:p w:rsidR="00CF7D9C" w:rsidP="00942BDE" w:rsidRDefault="00942BDE">
            <w:pPr>
              <w:ind w:left="0" w:firstLine="0"/>
            </w:pPr>
            <w:r>
              <w:t>California City (</w:t>
            </w:r>
            <w:r w:rsidRPr="00202012">
              <w:rPr>
                <w:i/>
                <w:iCs/>
              </w:rPr>
              <w:t>electrification</w:t>
            </w:r>
            <w:r>
              <w:t xml:space="preserve">), </w:t>
            </w:r>
            <w:proofErr w:type="spellStart"/>
            <w:r>
              <w:t>Ducor</w:t>
            </w:r>
            <w:proofErr w:type="spellEnd"/>
            <w:r>
              <w:t>, West Goshen</w:t>
            </w:r>
          </w:p>
        </w:tc>
      </w:tr>
      <w:tr w:rsidR="00294B6D">
        <w:tc>
          <w:tcPr>
            <w:tcW w:w="2785" w:type="dxa"/>
          </w:tcPr>
          <w:p w:rsidR="00CF7D9C" w:rsidP="00942BDE" w:rsidRDefault="00CF7D9C">
            <w:pPr>
              <w:ind w:left="0" w:firstLine="0"/>
            </w:pPr>
            <w:r>
              <w:t>Third-Party PA/PI</w:t>
            </w:r>
          </w:p>
        </w:tc>
        <w:tc>
          <w:tcPr>
            <w:tcW w:w="6565" w:type="dxa"/>
          </w:tcPr>
          <w:p w:rsidR="00CF7D9C" w:rsidP="00942BDE" w:rsidRDefault="00942BDE">
            <w:pPr>
              <w:ind w:left="0" w:firstLine="0"/>
            </w:pPr>
            <w:proofErr w:type="spellStart"/>
            <w:r>
              <w:t>Alpaugh</w:t>
            </w:r>
            <w:proofErr w:type="spellEnd"/>
            <w:r>
              <w:t xml:space="preserve">, </w:t>
            </w:r>
            <w:proofErr w:type="spellStart"/>
            <w:r>
              <w:t>Fairmead</w:t>
            </w:r>
            <w:proofErr w:type="spellEnd"/>
            <w:r>
              <w:t xml:space="preserve">, </w:t>
            </w:r>
            <w:proofErr w:type="spellStart"/>
            <w:r>
              <w:t>Lanare</w:t>
            </w:r>
            <w:proofErr w:type="spellEnd"/>
            <w:r>
              <w:t>, La Vina, Le Grand</w:t>
            </w:r>
          </w:p>
        </w:tc>
      </w:tr>
      <w:tr w:rsidR="00294B6D">
        <w:tc>
          <w:tcPr>
            <w:tcW w:w="2785" w:type="dxa"/>
          </w:tcPr>
          <w:p w:rsidR="00CF7D9C" w:rsidP="00942BDE" w:rsidRDefault="00CF7D9C">
            <w:pPr>
              <w:ind w:left="0" w:firstLine="0"/>
            </w:pPr>
            <w:r>
              <w:t>SoCalGas</w:t>
            </w:r>
          </w:p>
        </w:tc>
        <w:tc>
          <w:tcPr>
            <w:tcW w:w="6565" w:type="dxa"/>
          </w:tcPr>
          <w:p w:rsidR="00CF7D9C" w:rsidP="00942BDE" w:rsidRDefault="00942BDE">
            <w:pPr>
              <w:ind w:left="0" w:firstLine="0"/>
            </w:pPr>
            <w:r>
              <w:t>California City (</w:t>
            </w:r>
            <w:r w:rsidRPr="00202012">
              <w:rPr>
                <w:i/>
                <w:iCs/>
              </w:rPr>
              <w:t>natural gas line extension</w:t>
            </w:r>
            <w:r>
              <w:t>)</w:t>
            </w:r>
          </w:p>
        </w:tc>
      </w:tr>
    </w:tbl>
    <w:p w:rsidR="00672B4C" w:rsidP="00E44E18" w:rsidRDefault="00672B4C">
      <w:pPr>
        <w:adjustRightInd w:val="0"/>
        <w:spacing w:after="120"/>
      </w:pPr>
    </w:p>
    <w:p w:rsidR="00DE3980" w:rsidP="00E44E18" w:rsidRDefault="001809CD">
      <w:pPr>
        <w:adjustRightInd w:val="0"/>
        <w:spacing w:after="120"/>
      </w:pPr>
      <w:r w:rsidRPr="00D54659">
        <w:t xml:space="preserve">The SJV Pilots Decision authorizes </w:t>
      </w:r>
      <w:r w:rsidRPr="00D54659" w:rsidR="00DE3980">
        <w:t xml:space="preserve">PG&amp;E, SCE and the </w:t>
      </w:r>
      <w:r w:rsidRPr="00D54659" w:rsidR="00043F6E">
        <w:t xml:space="preserve">selected </w:t>
      </w:r>
      <w:r w:rsidRPr="00D54659" w:rsidR="00DE3980">
        <w:t xml:space="preserve">third-party PA/PI </w:t>
      </w:r>
      <w:r w:rsidRPr="00D54659">
        <w:t xml:space="preserve">to install </w:t>
      </w:r>
      <w:r w:rsidRPr="00D54659" w:rsidR="00404A09">
        <w:t xml:space="preserve">grid-interactive </w:t>
      </w:r>
      <w:r w:rsidRPr="005263C5" w:rsidR="00404A09">
        <w:t>heat pump water heaters, heat pump space heating and cooling units, advanced weatherization measures, induction cooktops</w:t>
      </w:r>
      <w:r w:rsidRPr="005263C5" w:rsidR="00405392">
        <w:t xml:space="preserve">, and high efficiency electric clothes dryers. </w:t>
      </w:r>
      <w:r w:rsidRPr="005263C5">
        <w:t xml:space="preserve">The SJV Pilots Decision also </w:t>
      </w:r>
      <w:r w:rsidRPr="005263C5" w:rsidR="001E5DEF">
        <w:t xml:space="preserve">directs </w:t>
      </w:r>
      <w:r w:rsidRPr="005263C5" w:rsidR="00325EFC">
        <w:t xml:space="preserve">PG&amp;E, SCE and the selected third-party PA/PI to leverage </w:t>
      </w:r>
      <w:r w:rsidRPr="005263C5" w:rsidR="00AD4935">
        <w:t>existing solar programs for disadvantaged communities</w:t>
      </w:r>
      <w:r w:rsidRPr="005263C5" w:rsidR="006A474E">
        <w:t xml:space="preserve"> as part of the pilot projects, including </w:t>
      </w:r>
      <w:r w:rsidRPr="005263C5" w:rsidR="0076746D">
        <w:t xml:space="preserve">the Disadvantaged Communities-Green Tariff </w:t>
      </w:r>
      <w:r w:rsidRPr="005263C5" w:rsidR="00532E96">
        <w:t>(DAC-GT)</w:t>
      </w:r>
      <w:r w:rsidRPr="005263C5" w:rsidR="00543E6D">
        <w:t xml:space="preserve"> Program</w:t>
      </w:r>
      <w:r w:rsidRPr="005263C5" w:rsidR="00532E96">
        <w:t xml:space="preserve">, </w:t>
      </w:r>
      <w:r w:rsidRPr="005263C5" w:rsidR="00543E6D">
        <w:t xml:space="preserve">Community Solar Green Tariff </w:t>
      </w:r>
      <w:r w:rsidRPr="005263C5" w:rsidR="00532E96">
        <w:t>(CSGT)</w:t>
      </w:r>
      <w:r w:rsidRPr="005263C5" w:rsidR="00543E6D">
        <w:t xml:space="preserve"> Program</w:t>
      </w:r>
      <w:r w:rsidRPr="005263C5" w:rsidR="00532E96">
        <w:t>, and</w:t>
      </w:r>
      <w:r w:rsidR="00532E96">
        <w:t xml:space="preserve"> </w:t>
      </w:r>
      <w:r w:rsidR="005263C5">
        <w:t xml:space="preserve">Disadvantaged Communities-Single-family Solar Homes </w:t>
      </w:r>
      <w:r w:rsidR="00532E96">
        <w:t>(DAC-SASH)</w:t>
      </w:r>
      <w:r w:rsidR="005263C5">
        <w:t xml:space="preserve"> Program.</w:t>
      </w:r>
    </w:p>
    <w:p w:rsidRPr="004935AA" w:rsidR="00DE3980" w:rsidP="001F3BE5" w:rsidRDefault="00DE3980"/>
    <w:p w:rsidRPr="00730898" w:rsidR="00851230" w:rsidP="009856E0" w:rsidRDefault="00851230">
      <w:pPr>
        <w:pStyle w:val="standard"/>
        <w:spacing w:line="240" w:lineRule="auto"/>
        <w:ind w:firstLine="0"/>
        <w:rPr>
          <w:szCs w:val="26"/>
        </w:rPr>
      </w:pPr>
      <w:r w:rsidRPr="00730898">
        <w:rPr>
          <w:szCs w:val="26"/>
        </w:rPr>
        <w:t>In Section 11.2 of</w:t>
      </w:r>
      <w:r w:rsidRPr="00730898" w:rsidR="00422B44">
        <w:rPr>
          <w:szCs w:val="26"/>
        </w:rPr>
        <w:t xml:space="preserve"> SJV Pilots Decision</w:t>
      </w:r>
      <w:r w:rsidRPr="00730898">
        <w:rPr>
          <w:szCs w:val="26"/>
        </w:rPr>
        <w:t xml:space="preserve">, the Commission states that ensuring that participating households experience energy cost savings is a central objective of the pilots. </w:t>
      </w:r>
      <w:r w:rsidR="00946AA0">
        <w:rPr>
          <w:szCs w:val="26"/>
        </w:rPr>
        <w:t>The decision decline</w:t>
      </w:r>
      <w:r w:rsidR="006E785A">
        <w:rPr>
          <w:szCs w:val="26"/>
        </w:rPr>
        <w:t>s</w:t>
      </w:r>
      <w:r w:rsidR="00946AA0">
        <w:rPr>
          <w:szCs w:val="26"/>
        </w:rPr>
        <w:t xml:space="preserve"> to adopt a specific bill protections approach, but</w:t>
      </w:r>
      <w:r w:rsidRPr="00730898">
        <w:rPr>
          <w:szCs w:val="26"/>
        </w:rPr>
        <w:t xml:space="preserve"> direct</w:t>
      </w:r>
      <w:r w:rsidR="006E785A">
        <w:rPr>
          <w:szCs w:val="26"/>
        </w:rPr>
        <w:t>s</w:t>
      </w:r>
      <w:r w:rsidRPr="00730898">
        <w:rPr>
          <w:szCs w:val="26"/>
        </w:rPr>
        <w:t xml:space="preserve"> </w:t>
      </w:r>
      <w:r w:rsidRPr="00730898" w:rsidR="00D21830">
        <w:rPr>
          <w:rFonts w:eastAsia="Calibri" w:cs="Calibri"/>
          <w:szCs w:val="26"/>
        </w:rPr>
        <w:t xml:space="preserve">PG&amp;E, SCE, </w:t>
      </w:r>
      <w:r w:rsidRPr="00730898" w:rsidR="00DE3980">
        <w:rPr>
          <w:rFonts w:eastAsia="Calibri" w:cs="Calibri"/>
          <w:szCs w:val="26"/>
        </w:rPr>
        <w:t xml:space="preserve">and SoCalGas </w:t>
      </w:r>
      <w:r w:rsidRPr="00730898">
        <w:rPr>
          <w:szCs w:val="26"/>
        </w:rPr>
        <w:t xml:space="preserve">to collaborate with Commission staff to notice, host, and facilitate a workshop to discuss bill protection approaches by no later than 45 days from issuance of the decision. </w:t>
      </w:r>
    </w:p>
    <w:p w:rsidRPr="001A5352" w:rsidR="00851230" w:rsidP="00851230" w:rsidRDefault="00851230">
      <w:pPr>
        <w:pStyle w:val="standard"/>
        <w:spacing w:line="240" w:lineRule="auto"/>
        <w:ind w:firstLine="0"/>
        <w:rPr>
          <w:rFonts w:ascii="Palatino Linotype" w:hAnsi="Palatino Linotype"/>
          <w:sz w:val="22"/>
        </w:rPr>
      </w:pPr>
    </w:p>
    <w:p w:rsidRPr="000F5717" w:rsidR="00851230" w:rsidP="00851230" w:rsidRDefault="00851230">
      <w:pPr>
        <w:rPr>
          <w:rFonts w:ascii="Palatino Linotype" w:hAnsi="Palatino Linotype"/>
        </w:rPr>
      </w:pPr>
      <w:r w:rsidRPr="0CCD4E32">
        <w:t xml:space="preserve">Ordering Paragraph (OP) 15d in </w:t>
      </w:r>
      <w:r w:rsidR="00422B44">
        <w:t>the SJV Pilots Decision</w:t>
      </w:r>
      <w:r w:rsidRPr="0CCD4E32">
        <w:t xml:space="preserve"> directs PG&amp;E, SCE and SoCalGas to file </w:t>
      </w:r>
      <w:r w:rsidR="00107277">
        <w:t>T</w:t>
      </w:r>
      <w:r w:rsidRPr="0CCD4E32">
        <w:t>ier 2 advice letters</w:t>
      </w:r>
      <w:r w:rsidR="00107277">
        <w:t xml:space="preserve"> (AL</w:t>
      </w:r>
      <w:r w:rsidR="00D2571D">
        <w:t>s</w:t>
      </w:r>
      <w:r w:rsidR="00107277">
        <w:t>)</w:t>
      </w:r>
      <w:r w:rsidRPr="0CCD4E32">
        <w:t xml:space="preserve"> that address the issues identified in </w:t>
      </w:r>
      <w:r w:rsidRPr="00202012">
        <w:t>Section 11.2 of the decision within 45 days of the bill protection workshop, which detail their planned approaches to ensuring pilot participants’ energy cost savings.</w:t>
      </w:r>
      <w:r w:rsidRPr="000F5717">
        <w:rPr>
          <w:rFonts w:ascii="Palatino Linotype" w:hAnsi="Palatino Linotype"/>
        </w:rPr>
        <w:t xml:space="preserve">  </w:t>
      </w:r>
    </w:p>
    <w:p w:rsidRPr="000F5717" w:rsidR="00851230" w:rsidP="00851230" w:rsidRDefault="00851230">
      <w:pPr>
        <w:pStyle w:val="standard"/>
        <w:spacing w:line="240" w:lineRule="auto"/>
        <w:ind w:firstLine="0"/>
        <w:rPr>
          <w:rFonts w:ascii="Palatino Linotype" w:hAnsi="Palatino Linotype"/>
          <w:sz w:val="22"/>
        </w:rPr>
      </w:pPr>
    </w:p>
    <w:p w:rsidRPr="00730898" w:rsidR="00851230" w:rsidP="00851230" w:rsidRDefault="00851230">
      <w:pPr>
        <w:pStyle w:val="standard"/>
        <w:spacing w:line="240" w:lineRule="auto"/>
        <w:ind w:firstLine="0"/>
        <w:rPr>
          <w:szCs w:val="26"/>
        </w:rPr>
      </w:pPr>
      <w:r w:rsidRPr="00730898">
        <w:rPr>
          <w:szCs w:val="26"/>
        </w:rPr>
        <w:t xml:space="preserve">Section 11.2 </w:t>
      </w:r>
      <w:r w:rsidR="00946AA0">
        <w:rPr>
          <w:szCs w:val="26"/>
        </w:rPr>
        <w:t xml:space="preserve">of the SJV Pilots Decision </w:t>
      </w:r>
      <w:r w:rsidRPr="00730898">
        <w:rPr>
          <w:szCs w:val="26"/>
        </w:rPr>
        <w:t xml:space="preserve">states that the </w:t>
      </w:r>
      <w:r w:rsidRPr="00730898" w:rsidR="00107277">
        <w:rPr>
          <w:szCs w:val="26"/>
        </w:rPr>
        <w:t>investor</w:t>
      </w:r>
      <w:r w:rsidR="00A26A50">
        <w:rPr>
          <w:szCs w:val="26"/>
        </w:rPr>
        <w:t>-</w:t>
      </w:r>
      <w:r w:rsidRPr="00730898" w:rsidR="00107277">
        <w:rPr>
          <w:szCs w:val="26"/>
        </w:rPr>
        <w:t>owned utility (</w:t>
      </w:r>
      <w:r w:rsidRPr="00730898">
        <w:rPr>
          <w:szCs w:val="26"/>
        </w:rPr>
        <w:t>IOU</w:t>
      </w:r>
      <w:r w:rsidRPr="00730898" w:rsidR="00107277">
        <w:rPr>
          <w:szCs w:val="26"/>
        </w:rPr>
        <w:t>)</w:t>
      </w:r>
      <w:r w:rsidRPr="00730898">
        <w:rPr>
          <w:szCs w:val="26"/>
        </w:rPr>
        <w:t xml:space="preserve"> bill protection workshop proposals and IOUs</w:t>
      </w:r>
      <w:r w:rsidRPr="00730898" w:rsidR="00E6495C">
        <w:rPr>
          <w:szCs w:val="26"/>
        </w:rPr>
        <w:t>’</w:t>
      </w:r>
      <w:r w:rsidRPr="00730898">
        <w:rPr>
          <w:szCs w:val="26"/>
        </w:rPr>
        <w:t xml:space="preserve"> bill protection and affordability advice letters: </w:t>
      </w:r>
    </w:p>
    <w:p w:rsidRPr="00730898" w:rsidR="00851230" w:rsidP="002A7EF5" w:rsidRDefault="00851230">
      <w:pPr>
        <w:pStyle w:val="standard"/>
        <w:numPr>
          <w:ilvl w:val="0"/>
          <w:numId w:val="7"/>
        </w:numPr>
        <w:spacing w:line="240" w:lineRule="auto"/>
        <w:rPr>
          <w:rFonts w:cstheme="minorHAnsi"/>
          <w:szCs w:val="26"/>
        </w:rPr>
      </w:pPr>
      <w:r w:rsidRPr="00730898">
        <w:rPr>
          <w:rFonts w:cstheme="minorHAnsi"/>
          <w:szCs w:val="26"/>
        </w:rPr>
        <w:t>Should incorporate monthly bill protection, and, as appropriate, annual true-up, mechanisms and must aim to avoid any monthly “bill shock” for participants;</w:t>
      </w:r>
    </w:p>
    <w:p w:rsidRPr="00730898" w:rsidR="00851230" w:rsidP="002A7EF5" w:rsidRDefault="00851230">
      <w:pPr>
        <w:pStyle w:val="standard"/>
        <w:numPr>
          <w:ilvl w:val="0"/>
          <w:numId w:val="7"/>
        </w:numPr>
        <w:spacing w:line="240" w:lineRule="auto"/>
        <w:rPr>
          <w:rFonts w:cstheme="minorHAnsi"/>
          <w:szCs w:val="26"/>
        </w:rPr>
      </w:pPr>
      <w:r w:rsidRPr="00730898">
        <w:rPr>
          <w:rFonts w:cstheme="minorHAnsi"/>
          <w:szCs w:val="26"/>
        </w:rPr>
        <w:t>Should consider all pre- and post- pilot implementation energy costs (propane, wood, as feasible; and, as appropriate, natural gas and electricity costs);</w:t>
      </w:r>
    </w:p>
    <w:p w:rsidRPr="00730898" w:rsidR="00851230" w:rsidP="002A7EF5" w:rsidRDefault="00851230">
      <w:pPr>
        <w:pStyle w:val="ListParagraph"/>
        <w:numPr>
          <w:ilvl w:val="0"/>
          <w:numId w:val="7"/>
        </w:numPr>
        <w:spacing w:after="160"/>
        <w:rPr>
          <w:rFonts w:cstheme="minorHAnsi"/>
          <w:szCs w:val="26"/>
        </w:rPr>
      </w:pPr>
      <w:r w:rsidRPr="00730898">
        <w:rPr>
          <w:rFonts w:cstheme="minorHAnsi"/>
          <w:szCs w:val="26"/>
        </w:rPr>
        <w:t>May consider a higher baseline allowance and/or a waiver of the Super User Electric Surcharge;</w:t>
      </w:r>
    </w:p>
    <w:p w:rsidRPr="00730898" w:rsidR="00851230" w:rsidP="002A7EF5" w:rsidRDefault="00851230">
      <w:pPr>
        <w:pStyle w:val="ListParagraph"/>
        <w:numPr>
          <w:ilvl w:val="0"/>
          <w:numId w:val="7"/>
        </w:numPr>
        <w:spacing w:after="160"/>
        <w:rPr>
          <w:rFonts w:cstheme="minorHAnsi"/>
        </w:rPr>
      </w:pPr>
      <w:r w:rsidRPr="00730898">
        <w:rPr>
          <w:rFonts w:cstheme="minorHAnsi"/>
          <w:szCs w:val="26"/>
        </w:rPr>
        <w:t>Must be standardized across PG&amp;E and SCE,</w:t>
      </w:r>
      <w:r w:rsidRPr="00730898">
        <w:rPr>
          <w:rFonts w:cstheme="minorHAnsi"/>
        </w:rPr>
        <w:t xml:space="preserve"> who must collaborate and propose the same approach and present this in nearly identical advice letters;</w:t>
      </w:r>
    </w:p>
    <w:p w:rsidRPr="00730898" w:rsidR="00851230" w:rsidP="002A7EF5" w:rsidRDefault="00851230">
      <w:pPr>
        <w:pStyle w:val="ListParagraph"/>
        <w:numPr>
          <w:ilvl w:val="0"/>
          <w:numId w:val="7"/>
        </w:numPr>
        <w:spacing w:after="160"/>
        <w:rPr>
          <w:rFonts w:cstheme="minorHAnsi"/>
        </w:rPr>
      </w:pPr>
      <w:r w:rsidRPr="00730898">
        <w:rPr>
          <w:rFonts w:cstheme="minorHAnsi"/>
        </w:rPr>
        <w:t>Will not require presentation of individual customer propane and/or wood bills as an eligibility</w:t>
      </w:r>
      <w:r w:rsidR="00202012">
        <w:rPr>
          <w:rFonts w:cstheme="minorHAnsi"/>
        </w:rPr>
        <w:t xml:space="preserve"> </w:t>
      </w:r>
      <w:r w:rsidRPr="00730898">
        <w:rPr>
          <w:rFonts w:cstheme="minorHAnsi"/>
        </w:rPr>
        <w:t>criteria, but rather will be based on modeled customer costs and generalized assumptions, which may be reviewed and updated periodically to adjust the approach, as needed;</w:t>
      </w:r>
    </w:p>
    <w:p w:rsidRPr="00730898" w:rsidR="00851230" w:rsidP="002A7EF5" w:rsidRDefault="00851230">
      <w:pPr>
        <w:pStyle w:val="ListParagraph"/>
        <w:numPr>
          <w:ilvl w:val="0"/>
          <w:numId w:val="7"/>
        </w:numPr>
        <w:spacing w:after="160"/>
        <w:rPr>
          <w:rFonts w:cstheme="minorHAnsi"/>
        </w:rPr>
      </w:pPr>
      <w:r w:rsidRPr="00730898">
        <w:rPr>
          <w:rFonts w:cstheme="minorHAnsi"/>
        </w:rPr>
        <w:t xml:space="preserve">Will be offered for an initial period of three years to each household receiving appliance upgrades, with a cost of $500 per household as a starting point; and </w:t>
      </w:r>
    </w:p>
    <w:p w:rsidRPr="00730898" w:rsidR="00851230" w:rsidP="002A7EF5" w:rsidRDefault="00851230">
      <w:pPr>
        <w:pStyle w:val="ListParagraph"/>
        <w:numPr>
          <w:ilvl w:val="0"/>
          <w:numId w:val="7"/>
        </w:numPr>
        <w:spacing w:after="160"/>
      </w:pPr>
      <w:r w:rsidRPr="00730898">
        <w:t xml:space="preserve">Will consider likely rebound effects and comfort needs, particularly amongst the poorest households that may have severely curtailed propane usage for water and/or space heating due to high costs. </w:t>
      </w:r>
    </w:p>
    <w:p w:rsidRPr="004935AA" w:rsidR="00851230" w:rsidP="00851230" w:rsidRDefault="00851230">
      <w:pPr>
        <w:rPr>
          <w:rFonts w:cstheme="minorHAnsi"/>
        </w:rPr>
      </w:pPr>
      <w:r>
        <w:t>Further, Section 11.2 directs the IOUs to serve and file aggregated, anonymized pre/post</w:t>
      </w:r>
      <w:r w:rsidR="00107277">
        <w:t>-</w:t>
      </w:r>
      <w:r>
        <w:t>bill impact data for all households that receive appliance upgrades as part of the pilot on a quarterly basis starting at the end of Q1, 2020, unless directed otherwise by the Energy Division Director. Section 11.2 also approves up to $500 in costs for each household receiving appliance upgrades as part of the pilot project, and states this level is a starting point for possible per household costs.</w:t>
      </w:r>
    </w:p>
    <w:p w:rsidRPr="004935AA" w:rsidR="00851230" w:rsidP="00851230" w:rsidRDefault="00851230">
      <w:r w:rsidRPr="143044EA">
        <w:t xml:space="preserve"> </w:t>
      </w:r>
    </w:p>
    <w:p w:rsidR="00851230" w:rsidP="00851230" w:rsidRDefault="00851230">
      <w:r>
        <w:t xml:space="preserve">PG&amp;E, SCE and SoCalGas convened a bill protection workshop with stakeholders on </w:t>
      </w:r>
      <w:proofErr w:type="gramStart"/>
      <w:r>
        <w:t>February 1, 2019</w:t>
      </w:r>
      <w:r w:rsidR="00202012">
        <w:t>, and</w:t>
      </w:r>
      <w:proofErr w:type="gramEnd"/>
      <w:r w:rsidR="00EF2C6A">
        <w:t xml:space="preserve"> convened a </w:t>
      </w:r>
      <w:r w:rsidR="00202012">
        <w:t xml:space="preserve">second </w:t>
      </w:r>
      <w:r w:rsidR="00EF2C6A">
        <w:t xml:space="preserve">follow-up </w:t>
      </w:r>
      <w:r w:rsidR="00202012">
        <w:t>workshop</w:t>
      </w:r>
      <w:r w:rsidR="00EF2C6A">
        <w:t xml:space="preserve"> with stakeholders</w:t>
      </w:r>
      <w:r w:rsidR="00202012">
        <w:t xml:space="preserve"> on </w:t>
      </w:r>
      <w:r w:rsidR="00EF2C6A">
        <w:t>February 25, 2019</w:t>
      </w:r>
      <w:r w:rsidR="00202012">
        <w:t xml:space="preserve">. </w:t>
      </w:r>
      <w:r w:rsidR="00C31F3E">
        <w:t>On March 18, 2019, t</w:t>
      </w:r>
      <w:r>
        <w:t xml:space="preserve">he </w:t>
      </w:r>
      <w:r w:rsidR="00B77B28">
        <w:t>IOUs</w:t>
      </w:r>
      <w:r>
        <w:t xml:space="preserve"> filed timely </w:t>
      </w:r>
      <w:r w:rsidR="00AD1B80">
        <w:t xml:space="preserve">Tier 2 bill protection </w:t>
      </w:r>
      <w:r>
        <w:t xml:space="preserve">ALs </w:t>
      </w:r>
      <w:r w:rsidR="00107277">
        <w:t>with their proposed approaches to ensuring energy cost savings for pilot participants</w:t>
      </w:r>
      <w:r w:rsidR="00B77B28">
        <w:t xml:space="preserve">. </w:t>
      </w:r>
      <w:r w:rsidR="0073452A">
        <w:t>PG&amp;E filed AL 5496-E, SCE filed AL 3970-E</w:t>
      </w:r>
      <w:r w:rsidR="00827987">
        <w:t>, and SoCalGas filed AL 5439-G.</w:t>
      </w:r>
      <w:r w:rsidR="00BF50C1">
        <w:rPr>
          <w:rStyle w:val="FootnoteReference"/>
        </w:rPr>
        <w:footnoteReference w:id="3"/>
      </w:r>
    </w:p>
    <w:p w:rsidR="006E4B6B" w:rsidP="00851230" w:rsidRDefault="006E4B6B"/>
    <w:p w:rsidR="00DF35CC" w:rsidRDefault="00C51016">
      <w:r>
        <w:t xml:space="preserve">PG&amp;E, SCE, and </w:t>
      </w:r>
      <w:r w:rsidR="007404EE">
        <w:t>SoCalGas</w:t>
      </w:r>
      <w:r>
        <w:t xml:space="preserve"> all submitted similar proposals to </w:t>
      </w:r>
      <w:r w:rsidR="00A50A04">
        <w:t xml:space="preserve">ensure energy cost savings for SJV pilot participants </w:t>
      </w:r>
      <w:r>
        <w:t>in the</w:t>
      </w:r>
      <w:r w:rsidR="00B77B28">
        <w:t>ir</w:t>
      </w:r>
      <w:r>
        <w:t xml:space="preserve"> ALs.  </w:t>
      </w:r>
      <w:r w:rsidR="00F71223">
        <w:t>Below we describe the</w:t>
      </w:r>
      <w:r w:rsidR="00C83230">
        <w:t>se</w:t>
      </w:r>
      <w:r w:rsidR="00AD1B80">
        <w:t xml:space="preserve"> bill protection </w:t>
      </w:r>
      <w:r w:rsidR="00F71223">
        <w:t>proposals, broken down into the</w:t>
      </w:r>
      <w:r w:rsidR="00AD1B80">
        <w:t xml:space="preserve"> following</w:t>
      </w:r>
      <w:r w:rsidR="00F71223">
        <w:t xml:space="preserve"> categories:</w:t>
      </w:r>
      <w:r w:rsidR="00357844">
        <w:t xml:space="preserve"> bill protection mechanism; modeling approach; estimated energy cost savings; and implementation </w:t>
      </w:r>
      <w:r w:rsidR="00F73400">
        <w:t>recommendations</w:t>
      </w:r>
      <w:r w:rsidR="00357844">
        <w:t>.</w:t>
      </w:r>
    </w:p>
    <w:p w:rsidR="00C51016" w:rsidRDefault="00C51016"/>
    <w:p w:rsidRPr="006E4B6B" w:rsidR="00357844" w:rsidRDefault="00357844">
      <w:pPr>
        <w:rPr>
          <w:b/>
          <w:bCs/>
        </w:rPr>
      </w:pPr>
      <w:r w:rsidRPr="006E4B6B">
        <w:rPr>
          <w:b/>
          <w:bCs/>
        </w:rPr>
        <w:t xml:space="preserve">PG&amp;E, SCE and </w:t>
      </w:r>
      <w:r w:rsidR="00C83230">
        <w:rPr>
          <w:b/>
          <w:bCs/>
        </w:rPr>
        <w:t>SoCalGas</w:t>
      </w:r>
      <w:r w:rsidRPr="006E4B6B">
        <w:rPr>
          <w:b/>
          <w:bCs/>
        </w:rPr>
        <w:t xml:space="preserve"> </w:t>
      </w:r>
      <w:r w:rsidRPr="006E4B6B" w:rsidR="006E4B6B">
        <w:rPr>
          <w:b/>
          <w:bCs/>
        </w:rPr>
        <w:t xml:space="preserve">SJV </w:t>
      </w:r>
      <w:r w:rsidR="00C83230">
        <w:rPr>
          <w:b/>
          <w:bCs/>
        </w:rPr>
        <w:t xml:space="preserve">Pilot </w:t>
      </w:r>
      <w:r w:rsidRPr="006E4B6B" w:rsidR="006E4B6B">
        <w:rPr>
          <w:b/>
          <w:bCs/>
        </w:rPr>
        <w:t>Bill Protection Proposal</w:t>
      </w:r>
      <w:r w:rsidR="001D19D0">
        <w:rPr>
          <w:b/>
          <w:bCs/>
        </w:rPr>
        <w:t>s</w:t>
      </w:r>
    </w:p>
    <w:p w:rsidRPr="00E1584E" w:rsidR="00F71223" w:rsidP="00F71223" w:rsidRDefault="00F71223">
      <w:pPr>
        <w:rPr>
          <w:b/>
          <w:bCs/>
          <w:u w:val="single"/>
        </w:rPr>
      </w:pPr>
      <w:r w:rsidRPr="00E1584E">
        <w:rPr>
          <w:b/>
          <w:bCs/>
          <w:u w:val="single"/>
        </w:rPr>
        <w:t>Bill Protection Mechanism</w:t>
      </w:r>
    </w:p>
    <w:p w:rsidR="00F71223" w:rsidP="00F71223" w:rsidRDefault="00F71223">
      <w:r>
        <w:t>PG&amp;E, SCE, and SoCalGas all propose to provide approximately $500 in bill credits</w:t>
      </w:r>
      <w:r w:rsidR="002606BD">
        <w:t xml:space="preserve"> total</w:t>
      </w:r>
      <w:r>
        <w:t xml:space="preserve"> to each participating pilot household over a three-year period.  </w:t>
      </w:r>
    </w:p>
    <w:p w:rsidR="00F71223" w:rsidP="00F71223" w:rsidRDefault="00F71223"/>
    <w:p w:rsidR="00F71223" w:rsidP="00F71223" w:rsidRDefault="00F71223">
      <w:r>
        <w:t xml:space="preserve">SoCalGas proposes that participants receive $160 each year in </w:t>
      </w:r>
      <w:r w:rsidR="007404EE">
        <w:t xml:space="preserve">natural gas </w:t>
      </w:r>
      <w:r>
        <w:t xml:space="preserve">bill credits for the first three years of the </w:t>
      </w:r>
      <w:r w:rsidR="00D76E59">
        <w:t xml:space="preserve">natural gas pipeline </w:t>
      </w:r>
      <w:r>
        <w:t>pilot. These credits would be applied to winter monthly bills and sized based on seasonal variation to provide maximum reduction in bill variance.</w:t>
      </w:r>
    </w:p>
    <w:p w:rsidR="00F71223" w:rsidP="00F71223" w:rsidRDefault="00F71223"/>
    <w:p w:rsidR="00F71223" w:rsidP="00F71223" w:rsidRDefault="00F71223">
      <w:r>
        <w:t>PG&amp;E and SCE propose to scale down the</w:t>
      </w:r>
      <w:r w:rsidR="007404EE">
        <w:t xml:space="preserve"> electricity</w:t>
      </w:r>
      <w:r>
        <w:t xml:space="preserve"> bill credits over time in order for customers to acclimate to new appliances and energy conservation techniques. Participants would receive a total of $288 in year one of the pilot, $140 in year two, and $72 in year three.  These electricity bill credits would be distributed monthly and be sized based on season to mitigate bill shock.</w:t>
      </w:r>
      <w:r w:rsidR="00E16378">
        <w:rPr>
          <w:rStyle w:val="FootnoteReference"/>
        </w:rPr>
        <w:footnoteReference w:id="4"/>
      </w:r>
      <w:r>
        <w:t xml:space="preserve"> PG&amp;E and SCE do not provide detail on how the credits would be sized based on season.</w:t>
      </w:r>
    </w:p>
    <w:p w:rsidR="00F71223" w:rsidP="00F71223" w:rsidRDefault="00F71223"/>
    <w:p w:rsidRPr="00E1584E" w:rsidR="00F71223" w:rsidP="00F71223" w:rsidRDefault="00F71223">
      <w:pPr>
        <w:rPr>
          <w:b/>
          <w:bCs/>
          <w:u w:val="single"/>
        </w:rPr>
      </w:pPr>
      <w:r w:rsidRPr="00E1584E">
        <w:rPr>
          <w:b/>
          <w:bCs/>
          <w:u w:val="single"/>
        </w:rPr>
        <w:t>Modeling Approach</w:t>
      </w:r>
    </w:p>
    <w:p w:rsidR="0060604A" w:rsidP="00F71223" w:rsidRDefault="00F71223">
      <w:r>
        <w:t xml:space="preserve">PG&amp;E and SCE conducted modeling in order to estimate total energy cost savings for participating pilot customers. </w:t>
      </w:r>
      <w:r w:rsidR="0060604A">
        <w:t>A total energy cost savings analysis considers non-electric energy costs that customers may incur</w:t>
      </w:r>
      <w:r w:rsidR="00D2107C">
        <w:t>, as opposed to an electricity bill savings analysis, which only consider</w:t>
      </w:r>
      <w:r w:rsidR="00DA40A3">
        <w:t>s</w:t>
      </w:r>
      <w:r w:rsidR="00D2107C">
        <w:t xml:space="preserve"> electricity bill costs.</w:t>
      </w:r>
      <w:r w:rsidR="00D2107C">
        <w:rPr>
          <w:rStyle w:val="FootnoteReference"/>
        </w:rPr>
        <w:footnoteReference w:id="5"/>
      </w:r>
      <w:r w:rsidR="00D2107C">
        <w:t xml:space="preserve"> </w:t>
      </w:r>
      <w:r w:rsidR="0060604A">
        <w:t xml:space="preserve"> </w:t>
      </w:r>
    </w:p>
    <w:p w:rsidR="0060604A" w:rsidP="00F71223" w:rsidRDefault="0060604A"/>
    <w:p w:rsidR="00F71223" w:rsidP="00F71223" w:rsidRDefault="00DA40A3">
      <w:r>
        <w:t>PG&amp;E and SCE’s</w:t>
      </w:r>
      <w:r w:rsidR="00F71223">
        <w:t xml:space="preserve"> modeling approach is described in this section. SoCalGas did not model energy cost savings for customers, and thus we do not describe its modeling approach here.</w:t>
      </w:r>
      <w:r w:rsidR="00F71223">
        <w:rPr>
          <w:rStyle w:val="FootnoteReference"/>
        </w:rPr>
        <w:footnoteReference w:id="6"/>
      </w:r>
      <w:r w:rsidR="00F71223">
        <w:t xml:space="preserve"> PG&amp;E's and SCE’s overall modeling approach is similar, though several of their assumptions and inputs differ. At a high level, PG&amp;E and SCE used the following modeling approach:</w:t>
      </w:r>
    </w:p>
    <w:p w:rsidR="00F71223" w:rsidP="00F71223" w:rsidRDefault="00F71223"/>
    <w:p w:rsidR="00F71223" w:rsidP="002A7EF5" w:rsidRDefault="00F71223">
      <w:pPr>
        <w:pStyle w:val="ListParagraph"/>
        <w:numPr>
          <w:ilvl w:val="0"/>
          <w:numId w:val="9"/>
        </w:numPr>
      </w:pPr>
      <w:r>
        <w:t xml:space="preserve">Determined how much CARE and non-CARE </w:t>
      </w:r>
      <w:r w:rsidR="00082FEE">
        <w:t xml:space="preserve">pilot </w:t>
      </w:r>
      <w:r>
        <w:t>participants would save by eliminating propane costs</w:t>
      </w:r>
      <w:r w:rsidR="00BF50C1">
        <w:t xml:space="preserve">; </w:t>
      </w:r>
    </w:p>
    <w:p w:rsidR="00F71223" w:rsidP="002A7EF5" w:rsidRDefault="00F71223">
      <w:pPr>
        <w:pStyle w:val="ListParagraph"/>
        <w:numPr>
          <w:ilvl w:val="0"/>
          <w:numId w:val="9"/>
        </w:numPr>
      </w:pPr>
      <w:r>
        <w:t>Determined a distribution of expected electric bill increases for CARE and non-CARE participants based on estimated electric appliance usage increases</w:t>
      </w:r>
      <w:r w:rsidR="00BF50C1">
        <w:t>; and</w:t>
      </w:r>
    </w:p>
    <w:p w:rsidR="00F71223" w:rsidP="002A7EF5" w:rsidRDefault="00F71223">
      <w:pPr>
        <w:pStyle w:val="ListParagraph"/>
        <w:numPr>
          <w:ilvl w:val="0"/>
          <w:numId w:val="9"/>
        </w:numPr>
      </w:pPr>
      <w:r>
        <w:t>Subtracted the expected electric bill increases from estimated propane savings to estimate overall energy cost savings for CARE and non-CARE participants</w:t>
      </w:r>
      <w:r w:rsidR="00BF50C1">
        <w:t>.</w:t>
      </w:r>
    </w:p>
    <w:p w:rsidR="00F71223" w:rsidP="00F71223" w:rsidRDefault="00F71223">
      <w:pPr>
        <w:pStyle w:val="ListParagraph"/>
        <w:ind w:left="360"/>
      </w:pPr>
    </w:p>
    <w:p w:rsidR="00F71223" w:rsidP="00F71223" w:rsidRDefault="00F71223">
      <w:r>
        <w:t xml:space="preserve">PG&amp;E also determined the most </w:t>
      </w:r>
      <w:r w:rsidRPr="00322CE3">
        <w:t>extreme</w:t>
      </w:r>
      <w:r w:rsidRPr="00322CE3" w:rsidR="00BF50C1">
        <w:t>,</w:t>
      </w:r>
      <w:r w:rsidR="00BF50C1">
        <w:rPr>
          <w:i/>
          <w:iCs/>
        </w:rPr>
        <w:t xml:space="preserve"> </w:t>
      </w:r>
      <w:r w:rsidRPr="00C11985" w:rsidR="00BF50C1">
        <w:t xml:space="preserve">or "worst case," </w:t>
      </w:r>
      <w:r w:rsidRPr="00BF50C1">
        <w:t>potential</w:t>
      </w:r>
      <w:r>
        <w:t xml:space="preserve"> energy cost increase for CARE customers by subtracting highest expected electric</w:t>
      </w:r>
      <w:r w:rsidR="00A47F21">
        <w:t>ity</w:t>
      </w:r>
      <w:r>
        <w:t xml:space="preserve"> bill increase from </w:t>
      </w:r>
      <w:r w:rsidR="00CF17A5">
        <w:t xml:space="preserve">the </w:t>
      </w:r>
      <w:r>
        <w:t>lowest expected propane savings for CARE customers. Below we list PG&amp;E and SCE’s specific modeling assumptions and inputs.</w:t>
      </w:r>
      <w:r w:rsidR="00EF2402">
        <w:t xml:space="preserve"> </w:t>
      </w:r>
    </w:p>
    <w:p w:rsidR="00F71223" w:rsidP="00F71223" w:rsidRDefault="00F71223"/>
    <w:p w:rsidRPr="00E1584E" w:rsidR="00E1584E" w:rsidP="00F71223" w:rsidRDefault="00E1584E">
      <w:pPr>
        <w:rPr>
          <w:i/>
          <w:iCs/>
        </w:rPr>
      </w:pPr>
      <w:r w:rsidRPr="00E1584E">
        <w:rPr>
          <w:i/>
          <w:iCs/>
        </w:rPr>
        <w:t>Assumptions and Inputs</w:t>
      </w:r>
    </w:p>
    <w:p w:rsidR="00D30DB5" w:rsidP="00E1584E" w:rsidRDefault="00D30DB5">
      <w:pPr>
        <w:ind w:left="720"/>
        <w:rPr>
          <w:u w:val="single"/>
        </w:rPr>
      </w:pPr>
    </w:p>
    <w:p w:rsidRPr="00E1584E" w:rsidR="00353E57" w:rsidP="00E1584E" w:rsidRDefault="00F71223">
      <w:pPr>
        <w:ind w:left="720"/>
        <w:rPr>
          <w:u w:val="single"/>
        </w:rPr>
      </w:pPr>
      <w:r w:rsidRPr="00E1584E">
        <w:rPr>
          <w:u w:val="single"/>
        </w:rPr>
        <w:t>Propane assumptions</w:t>
      </w:r>
    </w:p>
    <w:p w:rsidR="00F71223" w:rsidP="00E1584E" w:rsidRDefault="00C746D6">
      <w:pPr>
        <w:ind w:left="720"/>
      </w:pPr>
      <w:r>
        <w:t>PG&amp;E and SCE used p</w:t>
      </w:r>
      <w:r w:rsidR="00F71223">
        <w:t xml:space="preserve">re-pilot </w:t>
      </w:r>
      <w:r w:rsidR="00353E57">
        <w:t>p</w:t>
      </w:r>
      <w:r w:rsidR="00F71223">
        <w:t xml:space="preserve">ropane cost </w:t>
      </w:r>
      <w:r>
        <w:t>a</w:t>
      </w:r>
      <w:r w:rsidR="00F71223">
        <w:t xml:space="preserve">ssumptions </w:t>
      </w:r>
      <w:r>
        <w:t>according to</w:t>
      </w:r>
      <w:r w:rsidR="00F71223">
        <w:t xml:space="preserve"> the table below</w:t>
      </w:r>
      <w:r w:rsidR="00353E57">
        <w:t xml:space="preserve">. </w:t>
      </w:r>
      <w:r>
        <w:t>They assumed p</w:t>
      </w:r>
      <w:r w:rsidR="00353E57">
        <w:t xml:space="preserve">ost-pilot propane usage </w:t>
      </w:r>
      <w:r>
        <w:t>to be</w:t>
      </w:r>
      <w:r w:rsidR="00353E57">
        <w:t xml:space="preserve"> zero.</w:t>
      </w:r>
    </w:p>
    <w:p w:rsidR="00353E57" w:rsidP="00353E57" w:rsidRDefault="00353E57">
      <w:pPr>
        <w:rPr>
          <w:b/>
          <w:bCs/>
        </w:rPr>
      </w:pPr>
    </w:p>
    <w:p w:rsidRPr="00353E57" w:rsidR="00353E57" w:rsidP="00353E57" w:rsidRDefault="00353E57">
      <w:pPr>
        <w:rPr>
          <w:b/>
          <w:bCs/>
        </w:rPr>
      </w:pPr>
      <w:r>
        <w:rPr>
          <w:b/>
          <w:bCs/>
        </w:rPr>
        <w:tab/>
      </w:r>
      <w:r>
        <w:rPr>
          <w:b/>
          <w:bCs/>
        </w:rPr>
        <w:tab/>
      </w:r>
      <w:r>
        <w:rPr>
          <w:b/>
          <w:bCs/>
        </w:rPr>
        <w:tab/>
      </w:r>
      <w:r>
        <w:rPr>
          <w:b/>
          <w:bCs/>
        </w:rPr>
        <w:tab/>
        <w:t>Pre-Pilot Propane Cost Assumptions</w:t>
      </w:r>
      <w:r w:rsidR="00DA3359">
        <w:rPr>
          <w:rStyle w:val="FootnoteReference"/>
          <w:b/>
          <w:bCs/>
        </w:rPr>
        <w:footnoteReference w:id="7"/>
      </w:r>
    </w:p>
    <w:tbl>
      <w:tblPr>
        <w:tblStyle w:val="TableGrid"/>
        <w:tblW w:w="0" w:type="auto"/>
        <w:tblInd w:w="720" w:type="dxa"/>
        <w:tblLook w:val="04A0" w:firstRow="1" w:lastRow="0" w:firstColumn="1" w:lastColumn="0" w:noHBand="0" w:noVBand="1"/>
      </w:tblPr>
      <w:tblGrid>
        <w:gridCol w:w="1718"/>
        <w:gridCol w:w="1427"/>
        <w:gridCol w:w="2030"/>
        <w:gridCol w:w="1845"/>
        <w:gridCol w:w="1610"/>
      </w:tblGrid>
      <w:tr w:rsidR="00294B6D">
        <w:tc>
          <w:tcPr>
            <w:tcW w:w="1718" w:type="dxa"/>
          </w:tcPr>
          <w:p w:rsidR="00F71223" w:rsidP="00E069B0" w:rsidRDefault="00F71223">
            <w:pPr>
              <w:ind w:left="0" w:firstLine="0"/>
            </w:pPr>
          </w:p>
        </w:tc>
        <w:tc>
          <w:tcPr>
            <w:tcW w:w="3457" w:type="dxa"/>
            <w:gridSpan w:val="2"/>
          </w:tcPr>
          <w:p w:rsidRPr="008251FD" w:rsidR="00F71223" w:rsidP="00E069B0" w:rsidRDefault="00F71223">
            <w:pPr>
              <w:ind w:left="0" w:firstLine="0"/>
              <w:jc w:val="center"/>
              <w:rPr>
                <w:b/>
                <w:bCs/>
              </w:rPr>
            </w:pPr>
            <w:r w:rsidRPr="008251FD">
              <w:rPr>
                <w:b/>
                <w:bCs/>
              </w:rPr>
              <w:t>CARE</w:t>
            </w:r>
            <w:r>
              <w:rPr>
                <w:b/>
                <w:bCs/>
              </w:rPr>
              <w:t xml:space="preserve"> customers</w:t>
            </w:r>
          </w:p>
        </w:tc>
        <w:tc>
          <w:tcPr>
            <w:tcW w:w="3455" w:type="dxa"/>
            <w:gridSpan w:val="2"/>
          </w:tcPr>
          <w:p w:rsidRPr="008251FD" w:rsidR="00F71223" w:rsidP="00E069B0" w:rsidRDefault="00F71223">
            <w:pPr>
              <w:ind w:left="0" w:firstLine="0"/>
              <w:jc w:val="center"/>
              <w:rPr>
                <w:b/>
                <w:bCs/>
              </w:rPr>
            </w:pPr>
            <w:r w:rsidRPr="008251FD">
              <w:rPr>
                <w:b/>
                <w:bCs/>
              </w:rPr>
              <w:t>Non-CARE</w:t>
            </w:r>
            <w:r>
              <w:rPr>
                <w:b/>
                <w:bCs/>
              </w:rPr>
              <w:t xml:space="preserve"> customers</w:t>
            </w:r>
          </w:p>
        </w:tc>
      </w:tr>
      <w:tr w:rsidR="00294B6D">
        <w:tc>
          <w:tcPr>
            <w:tcW w:w="1718" w:type="dxa"/>
          </w:tcPr>
          <w:p w:rsidRPr="00FB5318" w:rsidR="00F71223" w:rsidP="00E069B0" w:rsidRDefault="00F71223">
            <w:pPr>
              <w:ind w:left="0" w:firstLine="0"/>
              <w:rPr>
                <w:sz w:val="20"/>
                <w:szCs w:val="20"/>
              </w:rPr>
            </w:pPr>
            <w:r w:rsidRPr="00FB5318">
              <w:rPr>
                <w:sz w:val="20"/>
                <w:szCs w:val="20"/>
              </w:rPr>
              <w:t>PG&amp;E</w:t>
            </w:r>
          </w:p>
        </w:tc>
        <w:tc>
          <w:tcPr>
            <w:tcW w:w="1427" w:type="dxa"/>
          </w:tcPr>
          <w:p w:rsidRPr="00FB5318" w:rsidR="00F71223" w:rsidP="00E069B0" w:rsidRDefault="00F71223">
            <w:pPr>
              <w:ind w:left="0" w:firstLine="0"/>
              <w:rPr>
                <w:sz w:val="20"/>
                <w:szCs w:val="20"/>
              </w:rPr>
            </w:pPr>
            <w:r w:rsidRPr="00FB5318">
              <w:rPr>
                <w:b/>
                <w:bCs/>
                <w:sz w:val="20"/>
                <w:szCs w:val="20"/>
              </w:rPr>
              <w:t>$500</w:t>
            </w:r>
            <w:r w:rsidRPr="00FB5318">
              <w:rPr>
                <w:sz w:val="20"/>
                <w:szCs w:val="20"/>
              </w:rPr>
              <w:t xml:space="preserve"> annually</w:t>
            </w:r>
          </w:p>
        </w:tc>
        <w:tc>
          <w:tcPr>
            <w:tcW w:w="2030" w:type="dxa"/>
          </w:tcPr>
          <w:p w:rsidRPr="00FB5318" w:rsidR="00F71223" w:rsidP="00E069B0" w:rsidRDefault="00F71223">
            <w:pPr>
              <w:ind w:left="0" w:firstLine="0"/>
              <w:rPr>
                <w:sz w:val="20"/>
                <w:szCs w:val="20"/>
              </w:rPr>
            </w:pPr>
            <w:r w:rsidRPr="00FB5318">
              <w:rPr>
                <w:i/>
                <w:iCs/>
                <w:sz w:val="20"/>
                <w:szCs w:val="20"/>
              </w:rPr>
              <w:t>Source:</w:t>
            </w:r>
            <w:r w:rsidRPr="00FB5318">
              <w:rPr>
                <w:sz w:val="20"/>
                <w:szCs w:val="20"/>
              </w:rPr>
              <w:t xml:space="preserve"> </w:t>
            </w:r>
            <w:r>
              <w:rPr>
                <w:sz w:val="20"/>
                <w:szCs w:val="20"/>
              </w:rPr>
              <w:t>A</w:t>
            </w:r>
            <w:r w:rsidRPr="00FB5318">
              <w:rPr>
                <w:sz w:val="20"/>
                <w:szCs w:val="20"/>
              </w:rPr>
              <w:t xml:space="preserve">necdotal reports from workshop. </w:t>
            </w:r>
            <w:r w:rsidR="00AA237A">
              <w:rPr>
                <w:sz w:val="20"/>
                <w:szCs w:val="20"/>
              </w:rPr>
              <w:t>Lowest propane</w:t>
            </w:r>
            <w:r w:rsidRPr="00FB5318">
              <w:rPr>
                <w:sz w:val="20"/>
                <w:szCs w:val="20"/>
              </w:rPr>
              <w:t xml:space="preserve"> estimate PG&amp;E </w:t>
            </w:r>
            <w:r>
              <w:rPr>
                <w:sz w:val="20"/>
                <w:szCs w:val="20"/>
              </w:rPr>
              <w:t xml:space="preserve">has </w:t>
            </w:r>
            <w:r w:rsidRPr="00FB5318">
              <w:rPr>
                <w:sz w:val="20"/>
                <w:szCs w:val="20"/>
              </w:rPr>
              <w:t>heard to date</w:t>
            </w:r>
            <w:r>
              <w:rPr>
                <w:sz w:val="20"/>
                <w:szCs w:val="20"/>
              </w:rPr>
              <w:t>.</w:t>
            </w:r>
          </w:p>
        </w:tc>
        <w:tc>
          <w:tcPr>
            <w:tcW w:w="1845" w:type="dxa"/>
          </w:tcPr>
          <w:p w:rsidRPr="00FB5318" w:rsidR="00F71223" w:rsidP="00E069B0" w:rsidRDefault="00F71223">
            <w:pPr>
              <w:ind w:left="0" w:firstLine="0"/>
              <w:rPr>
                <w:sz w:val="20"/>
                <w:szCs w:val="20"/>
              </w:rPr>
            </w:pPr>
            <w:r w:rsidRPr="00FB5318">
              <w:rPr>
                <w:b/>
                <w:bCs/>
                <w:sz w:val="20"/>
                <w:szCs w:val="20"/>
              </w:rPr>
              <w:t>$1350</w:t>
            </w:r>
            <w:r w:rsidRPr="00FB5318">
              <w:rPr>
                <w:sz w:val="20"/>
                <w:szCs w:val="20"/>
              </w:rPr>
              <w:t xml:space="preserve"> annually </w:t>
            </w:r>
          </w:p>
        </w:tc>
        <w:tc>
          <w:tcPr>
            <w:tcW w:w="1610" w:type="dxa"/>
          </w:tcPr>
          <w:p w:rsidRPr="00FB5318" w:rsidR="00F71223" w:rsidP="00E069B0" w:rsidRDefault="00F71223">
            <w:pPr>
              <w:ind w:left="0" w:firstLine="0"/>
              <w:rPr>
                <w:b/>
                <w:bCs/>
                <w:sz w:val="20"/>
                <w:szCs w:val="20"/>
              </w:rPr>
            </w:pPr>
            <w:r w:rsidRPr="00FB5318">
              <w:rPr>
                <w:i/>
                <w:iCs/>
                <w:sz w:val="20"/>
                <w:szCs w:val="20"/>
              </w:rPr>
              <w:t>Source:</w:t>
            </w:r>
            <w:r>
              <w:rPr>
                <w:i/>
                <w:iCs/>
                <w:sz w:val="20"/>
                <w:szCs w:val="20"/>
              </w:rPr>
              <w:t xml:space="preserve"> </w:t>
            </w:r>
            <w:r w:rsidRPr="00FB5318">
              <w:rPr>
                <w:sz w:val="20"/>
                <w:szCs w:val="20"/>
              </w:rPr>
              <w:t xml:space="preserve">PG&amp;E methodology </w:t>
            </w:r>
            <w:r>
              <w:rPr>
                <w:sz w:val="20"/>
                <w:szCs w:val="20"/>
              </w:rPr>
              <w:t>from its</w:t>
            </w:r>
            <w:r w:rsidRPr="00FB5318">
              <w:rPr>
                <w:sz w:val="20"/>
                <w:szCs w:val="20"/>
              </w:rPr>
              <w:t xml:space="preserve"> 2018 electric pilot proposal</w:t>
            </w:r>
          </w:p>
        </w:tc>
      </w:tr>
      <w:tr w:rsidR="00294B6D">
        <w:tc>
          <w:tcPr>
            <w:tcW w:w="1718" w:type="dxa"/>
          </w:tcPr>
          <w:p w:rsidRPr="00FB5318" w:rsidR="00F71223" w:rsidP="00E069B0" w:rsidRDefault="00F71223">
            <w:pPr>
              <w:ind w:left="0" w:firstLine="0"/>
              <w:rPr>
                <w:sz w:val="20"/>
                <w:szCs w:val="20"/>
              </w:rPr>
            </w:pPr>
            <w:r w:rsidRPr="00FB5318">
              <w:rPr>
                <w:sz w:val="20"/>
                <w:szCs w:val="20"/>
              </w:rPr>
              <w:t>SCE</w:t>
            </w:r>
          </w:p>
        </w:tc>
        <w:tc>
          <w:tcPr>
            <w:tcW w:w="1427" w:type="dxa"/>
          </w:tcPr>
          <w:p w:rsidRPr="00FB5318" w:rsidR="00F71223" w:rsidP="00E069B0" w:rsidRDefault="00F71223">
            <w:pPr>
              <w:ind w:left="0" w:firstLine="0"/>
              <w:rPr>
                <w:sz w:val="20"/>
                <w:szCs w:val="20"/>
              </w:rPr>
            </w:pPr>
            <w:r w:rsidRPr="00FB5318">
              <w:rPr>
                <w:b/>
                <w:bCs/>
                <w:sz w:val="20"/>
                <w:szCs w:val="20"/>
              </w:rPr>
              <w:t>$500</w:t>
            </w:r>
            <w:r w:rsidRPr="00FB5318">
              <w:rPr>
                <w:sz w:val="20"/>
                <w:szCs w:val="20"/>
              </w:rPr>
              <w:t xml:space="preserve"> annually</w:t>
            </w:r>
          </w:p>
        </w:tc>
        <w:tc>
          <w:tcPr>
            <w:tcW w:w="2030" w:type="dxa"/>
          </w:tcPr>
          <w:p w:rsidRPr="00FB5318" w:rsidR="00F71223" w:rsidP="00E069B0" w:rsidRDefault="00F71223">
            <w:pPr>
              <w:ind w:left="0" w:firstLine="0"/>
              <w:rPr>
                <w:b/>
                <w:bCs/>
                <w:sz w:val="20"/>
                <w:szCs w:val="20"/>
              </w:rPr>
            </w:pPr>
            <w:r w:rsidRPr="00FB5318">
              <w:rPr>
                <w:i/>
                <w:iCs/>
                <w:sz w:val="20"/>
                <w:szCs w:val="20"/>
              </w:rPr>
              <w:t xml:space="preserve">Source: </w:t>
            </w:r>
            <w:r>
              <w:rPr>
                <w:sz w:val="20"/>
                <w:szCs w:val="20"/>
              </w:rPr>
              <w:t>A</w:t>
            </w:r>
            <w:r w:rsidRPr="00FB5318">
              <w:rPr>
                <w:sz w:val="20"/>
                <w:szCs w:val="20"/>
              </w:rPr>
              <w:t xml:space="preserve">necdotal reports from workshop. </w:t>
            </w:r>
            <w:r w:rsidR="00AA237A">
              <w:rPr>
                <w:sz w:val="20"/>
                <w:szCs w:val="20"/>
              </w:rPr>
              <w:t>Lowest propane</w:t>
            </w:r>
            <w:r w:rsidRPr="00FB5318">
              <w:rPr>
                <w:sz w:val="20"/>
                <w:szCs w:val="20"/>
              </w:rPr>
              <w:t xml:space="preserve"> estimate </w:t>
            </w:r>
            <w:r>
              <w:rPr>
                <w:sz w:val="20"/>
                <w:szCs w:val="20"/>
              </w:rPr>
              <w:t xml:space="preserve">SCE has </w:t>
            </w:r>
            <w:r w:rsidRPr="00FB5318">
              <w:rPr>
                <w:sz w:val="20"/>
                <w:szCs w:val="20"/>
              </w:rPr>
              <w:t>heard to date</w:t>
            </w:r>
            <w:r>
              <w:rPr>
                <w:sz w:val="20"/>
                <w:szCs w:val="20"/>
              </w:rPr>
              <w:t>.</w:t>
            </w:r>
          </w:p>
        </w:tc>
        <w:tc>
          <w:tcPr>
            <w:tcW w:w="1845" w:type="dxa"/>
          </w:tcPr>
          <w:p w:rsidRPr="00FB5318" w:rsidR="00F71223" w:rsidP="00E069B0" w:rsidRDefault="00F71223">
            <w:pPr>
              <w:ind w:left="0" w:firstLine="0"/>
              <w:rPr>
                <w:sz w:val="20"/>
                <w:szCs w:val="20"/>
              </w:rPr>
            </w:pPr>
            <w:r w:rsidRPr="00FB5318">
              <w:rPr>
                <w:b/>
                <w:bCs/>
                <w:sz w:val="20"/>
                <w:szCs w:val="20"/>
              </w:rPr>
              <w:t>$1196</w:t>
            </w:r>
            <w:r w:rsidRPr="00FB5318">
              <w:rPr>
                <w:sz w:val="20"/>
                <w:szCs w:val="20"/>
              </w:rPr>
              <w:t xml:space="preserve"> annually </w:t>
            </w:r>
          </w:p>
        </w:tc>
        <w:tc>
          <w:tcPr>
            <w:tcW w:w="1610" w:type="dxa"/>
          </w:tcPr>
          <w:p w:rsidRPr="00FB5318" w:rsidR="00F71223" w:rsidP="00E069B0" w:rsidRDefault="00F71223">
            <w:pPr>
              <w:ind w:left="0" w:firstLine="0"/>
              <w:rPr>
                <w:b/>
                <w:bCs/>
                <w:sz w:val="20"/>
                <w:szCs w:val="20"/>
              </w:rPr>
            </w:pPr>
            <w:r w:rsidRPr="00FB5318">
              <w:rPr>
                <w:i/>
                <w:iCs/>
                <w:sz w:val="20"/>
                <w:szCs w:val="20"/>
              </w:rPr>
              <w:t>Sou</w:t>
            </w:r>
            <w:r>
              <w:rPr>
                <w:i/>
                <w:iCs/>
                <w:sz w:val="20"/>
                <w:szCs w:val="20"/>
              </w:rPr>
              <w:t>rce</w:t>
            </w:r>
            <w:r w:rsidRPr="00FB5318">
              <w:rPr>
                <w:i/>
                <w:iCs/>
                <w:sz w:val="20"/>
                <w:szCs w:val="20"/>
              </w:rPr>
              <w:t>:</w:t>
            </w:r>
            <w:r>
              <w:rPr>
                <w:sz w:val="20"/>
                <w:szCs w:val="20"/>
              </w:rPr>
              <w:t xml:space="preserve"> SCE methodology in </w:t>
            </w:r>
            <w:r w:rsidRPr="00FB5318">
              <w:rPr>
                <w:sz w:val="20"/>
                <w:szCs w:val="20"/>
              </w:rPr>
              <w:t>its 2018 electric pilot proposal</w:t>
            </w:r>
          </w:p>
        </w:tc>
      </w:tr>
    </w:tbl>
    <w:p w:rsidR="00684531" w:rsidP="00F71223" w:rsidRDefault="00684531"/>
    <w:p w:rsidRPr="00E1584E" w:rsidR="00F71223" w:rsidP="00E1584E" w:rsidRDefault="00F71223">
      <w:pPr>
        <w:ind w:left="720"/>
        <w:rPr>
          <w:u w:val="single"/>
        </w:rPr>
      </w:pPr>
      <w:r w:rsidRPr="00E1584E">
        <w:rPr>
          <w:u w:val="single"/>
        </w:rPr>
        <w:t>Post-pilot electricity bill inputs</w:t>
      </w:r>
    </w:p>
    <w:p w:rsidR="00C746D6" w:rsidP="00E1584E" w:rsidRDefault="00C746D6">
      <w:pPr>
        <w:ind w:left="720"/>
      </w:pPr>
      <w:r>
        <w:t>PG&amp;E used 635 existing customer electric</w:t>
      </w:r>
      <w:r w:rsidR="00A47F21">
        <w:t>ity</w:t>
      </w:r>
      <w:r>
        <w:t xml:space="preserve"> bills from their pilot communities </w:t>
      </w:r>
      <w:r w:rsidR="00F71223">
        <w:t>as a baseline for analysis</w:t>
      </w:r>
      <w:r>
        <w:t xml:space="preserve">. SCE used </w:t>
      </w:r>
      <w:r w:rsidR="00F71223">
        <w:t xml:space="preserve">4,400 </w:t>
      </w:r>
      <w:r>
        <w:t xml:space="preserve">existing </w:t>
      </w:r>
      <w:r w:rsidR="00F71223">
        <w:t xml:space="preserve">customer </w:t>
      </w:r>
      <w:r>
        <w:t>electric</w:t>
      </w:r>
      <w:r w:rsidR="00A47F21">
        <w:t>ity</w:t>
      </w:r>
      <w:r>
        <w:t xml:space="preserve"> </w:t>
      </w:r>
      <w:r w:rsidR="00F71223">
        <w:t xml:space="preserve">bills </w:t>
      </w:r>
      <w:r>
        <w:t>from their pilot communities as a baseline for analysis.</w:t>
      </w:r>
    </w:p>
    <w:p w:rsidR="00C746D6" w:rsidP="00E1584E" w:rsidRDefault="00C746D6">
      <w:pPr>
        <w:ind w:left="720"/>
      </w:pPr>
    </w:p>
    <w:p w:rsidRPr="00725DF7" w:rsidR="00B942B7" w:rsidP="00725DF7" w:rsidRDefault="00F71223">
      <w:pPr>
        <w:ind w:left="720"/>
      </w:pPr>
      <w:r w:rsidRPr="00056E34">
        <w:t>PG&amp;E</w:t>
      </w:r>
      <w:r>
        <w:t xml:space="preserve"> and </w:t>
      </w:r>
      <w:r w:rsidRPr="00056E34">
        <w:t>SCE</w:t>
      </w:r>
      <w:r w:rsidRPr="00C746D6">
        <w:rPr>
          <w:b/>
          <w:bCs/>
        </w:rPr>
        <w:t xml:space="preserve"> </w:t>
      </w:r>
      <w:r>
        <w:t xml:space="preserve">assume all customers install the four appliances listed in the table below. As seen in the table, </w:t>
      </w:r>
      <w:r w:rsidRPr="00D43BBE">
        <w:t>PG&amp;E and SCE</w:t>
      </w:r>
      <w:r>
        <w:t xml:space="preserve"> use different appliance usage assumptions.</w:t>
      </w:r>
      <w:r>
        <w:rPr>
          <w:rStyle w:val="FootnoteReference"/>
        </w:rPr>
        <w:footnoteReference w:id="8"/>
      </w:r>
      <w:r w:rsidR="00C746D6">
        <w:rPr>
          <w:b/>
          <w:bCs/>
        </w:rPr>
        <w:tab/>
      </w:r>
      <w:r w:rsidR="00C746D6">
        <w:rPr>
          <w:b/>
          <w:bCs/>
        </w:rPr>
        <w:tab/>
      </w:r>
      <w:r w:rsidR="00C746D6">
        <w:rPr>
          <w:b/>
          <w:bCs/>
        </w:rPr>
        <w:tab/>
      </w:r>
      <w:r w:rsidR="00C746D6">
        <w:rPr>
          <w:b/>
          <w:bCs/>
        </w:rPr>
        <w:tab/>
      </w:r>
    </w:p>
    <w:p w:rsidR="00B942B7" w:rsidP="00F71223" w:rsidRDefault="00B942B7">
      <w:pPr>
        <w:rPr>
          <w:b/>
          <w:bCs/>
        </w:rPr>
      </w:pPr>
    </w:p>
    <w:p w:rsidR="00C746D6" w:rsidRDefault="00C746D6">
      <w:pPr>
        <w:jc w:val="center"/>
        <w:rPr>
          <w:b/>
          <w:bCs/>
        </w:rPr>
      </w:pPr>
      <w:r>
        <w:rPr>
          <w:b/>
          <w:bCs/>
        </w:rPr>
        <w:t>Post-Pilot Appliance Usage Assumptions</w:t>
      </w:r>
    </w:p>
    <w:tbl>
      <w:tblPr>
        <w:tblStyle w:val="TableGrid"/>
        <w:tblW w:w="0" w:type="auto"/>
        <w:tblInd w:w="720" w:type="dxa"/>
        <w:tblLook w:val="04A0" w:firstRow="1" w:lastRow="0" w:firstColumn="1" w:lastColumn="0" w:noHBand="0" w:noVBand="1"/>
      </w:tblPr>
      <w:tblGrid>
        <w:gridCol w:w="1615"/>
        <w:gridCol w:w="1800"/>
        <w:gridCol w:w="1845"/>
        <w:gridCol w:w="1684"/>
        <w:gridCol w:w="1686"/>
      </w:tblGrid>
      <w:tr w:rsidR="00294B6D">
        <w:tc>
          <w:tcPr>
            <w:tcW w:w="1615" w:type="dxa"/>
          </w:tcPr>
          <w:p w:rsidR="00F71223" w:rsidP="00E069B0" w:rsidRDefault="00F71223">
            <w:pPr>
              <w:ind w:left="0" w:firstLine="0"/>
              <w:rPr>
                <w:b/>
                <w:bCs/>
              </w:rPr>
            </w:pPr>
          </w:p>
        </w:tc>
        <w:tc>
          <w:tcPr>
            <w:tcW w:w="1800" w:type="dxa"/>
          </w:tcPr>
          <w:p w:rsidRPr="00D43BBE" w:rsidR="00F71223" w:rsidP="00E069B0" w:rsidRDefault="00F71223">
            <w:pPr>
              <w:ind w:left="0" w:firstLine="0"/>
              <w:rPr>
                <w:b/>
                <w:bCs/>
              </w:rPr>
            </w:pPr>
            <w:r w:rsidRPr="00D43BBE">
              <w:rPr>
                <w:b/>
                <w:bCs/>
              </w:rPr>
              <w:t>Heat pump space conditioning</w:t>
            </w:r>
          </w:p>
        </w:tc>
        <w:tc>
          <w:tcPr>
            <w:tcW w:w="1845" w:type="dxa"/>
          </w:tcPr>
          <w:p w:rsidR="00F71223" w:rsidP="00E069B0" w:rsidRDefault="00F71223">
            <w:pPr>
              <w:ind w:left="0" w:firstLine="0"/>
              <w:rPr>
                <w:b/>
                <w:bCs/>
              </w:rPr>
            </w:pPr>
            <w:r>
              <w:rPr>
                <w:b/>
                <w:bCs/>
              </w:rPr>
              <w:t>Heat pump water heater</w:t>
            </w:r>
          </w:p>
        </w:tc>
        <w:tc>
          <w:tcPr>
            <w:tcW w:w="1684" w:type="dxa"/>
          </w:tcPr>
          <w:p w:rsidR="00F71223" w:rsidP="00E069B0" w:rsidRDefault="00F71223">
            <w:pPr>
              <w:ind w:left="0" w:firstLine="0"/>
              <w:rPr>
                <w:b/>
                <w:bCs/>
              </w:rPr>
            </w:pPr>
            <w:r>
              <w:rPr>
                <w:b/>
                <w:bCs/>
              </w:rPr>
              <w:t>Heat pump dryer</w:t>
            </w:r>
          </w:p>
        </w:tc>
        <w:tc>
          <w:tcPr>
            <w:tcW w:w="1686" w:type="dxa"/>
          </w:tcPr>
          <w:p w:rsidR="00F71223" w:rsidP="00E069B0" w:rsidRDefault="00F71223">
            <w:pPr>
              <w:ind w:left="0" w:firstLine="0"/>
              <w:rPr>
                <w:b/>
                <w:bCs/>
              </w:rPr>
            </w:pPr>
            <w:r>
              <w:rPr>
                <w:b/>
                <w:bCs/>
              </w:rPr>
              <w:t>Electric cooktop oven</w:t>
            </w:r>
          </w:p>
        </w:tc>
      </w:tr>
      <w:tr w:rsidR="00294B6D">
        <w:tc>
          <w:tcPr>
            <w:tcW w:w="1615" w:type="dxa"/>
          </w:tcPr>
          <w:p w:rsidRPr="00056E34" w:rsidR="00F71223" w:rsidP="00E069B0" w:rsidRDefault="00F71223">
            <w:pPr>
              <w:ind w:left="0" w:firstLine="0"/>
            </w:pPr>
            <w:r w:rsidRPr="00056E34">
              <w:t>PG&amp;E</w:t>
            </w:r>
          </w:p>
        </w:tc>
        <w:tc>
          <w:tcPr>
            <w:tcW w:w="1800" w:type="dxa"/>
          </w:tcPr>
          <w:p w:rsidRPr="000D5989" w:rsidR="00F71223" w:rsidP="00E069B0" w:rsidRDefault="00F71223">
            <w:pPr>
              <w:ind w:left="0" w:firstLine="0"/>
            </w:pPr>
            <w:r>
              <w:t>3500 kWh/</w:t>
            </w:r>
            <w:proofErr w:type="spellStart"/>
            <w:r>
              <w:t>yr</w:t>
            </w:r>
            <w:proofErr w:type="spellEnd"/>
          </w:p>
        </w:tc>
        <w:tc>
          <w:tcPr>
            <w:tcW w:w="1845" w:type="dxa"/>
          </w:tcPr>
          <w:p w:rsidRPr="000D5989" w:rsidR="00F71223" w:rsidP="00E069B0" w:rsidRDefault="00F71223">
            <w:pPr>
              <w:ind w:left="0" w:firstLine="0"/>
            </w:pPr>
            <w:r>
              <w:t>1004 kWh/</w:t>
            </w:r>
            <w:proofErr w:type="spellStart"/>
            <w:r>
              <w:t>yr</w:t>
            </w:r>
            <w:proofErr w:type="spellEnd"/>
          </w:p>
        </w:tc>
        <w:tc>
          <w:tcPr>
            <w:tcW w:w="1684" w:type="dxa"/>
          </w:tcPr>
          <w:p w:rsidRPr="000D5989" w:rsidR="00F71223" w:rsidP="00E069B0" w:rsidRDefault="00F71223">
            <w:pPr>
              <w:ind w:left="0" w:firstLine="0"/>
            </w:pPr>
            <w:r>
              <w:t>310 kWh/</w:t>
            </w:r>
            <w:proofErr w:type="spellStart"/>
            <w:r>
              <w:t>yr</w:t>
            </w:r>
            <w:proofErr w:type="spellEnd"/>
          </w:p>
        </w:tc>
        <w:tc>
          <w:tcPr>
            <w:tcW w:w="1686" w:type="dxa"/>
          </w:tcPr>
          <w:p w:rsidRPr="000D5989" w:rsidR="00F71223" w:rsidP="00E069B0" w:rsidRDefault="00F71223">
            <w:pPr>
              <w:ind w:left="0" w:firstLine="0"/>
            </w:pPr>
            <w:r>
              <w:t>150 kWh/</w:t>
            </w:r>
            <w:proofErr w:type="spellStart"/>
            <w:r>
              <w:t>yr</w:t>
            </w:r>
            <w:proofErr w:type="spellEnd"/>
          </w:p>
        </w:tc>
      </w:tr>
      <w:tr w:rsidR="00294B6D">
        <w:tc>
          <w:tcPr>
            <w:tcW w:w="1615" w:type="dxa"/>
          </w:tcPr>
          <w:p w:rsidRPr="00056E34" w:rsidR="00F71223" w:rsidP="00E069B0" w:rsidRDefault="00F71223">
            <w:pPr>
              <w:ind w:left="0" w:firstLine="0"/>
            </w:pPr>
            <w:r w:rsidRPr="00056E34">
              <w:t>SCE</w:t>
            </w:r>
          </w:p>
        </w:tc>
        <w:tc>
          <w:tcPr>
            <w:tcW w:w="1800" w:type="dxa"/>
          </w:tcPr>
          <w:p w:rsidRPr="000D5989" w:rsidR="00F71223" w:rsidP="00E069B0" w:rsidRDefault="00F71223">
            <w:pPr>
              <w:ind w:left="0" w:firstLine="0"/>
            </w:pPr>
            <w:r>
              <w:t>1946 kWh/</w:t>
            </w:r>
            <w:proofErr w:type="spellStart"/>
            <w:r>
              <w:t>yr</w:t>
            </w:r>
            <w:proofErr w:type="spellEnd"/>
          </w:p>
        </w:tc>
        <w:tc>
          <w:tcPr>
            <w:tcW w:w="1845" w:type="dxa"/>
          </w:tcPr>
          <w:p w:rsidRPr="000D5989" w:rsidR="00F71223" w:rsidP="00E069B0" w:rsidRDefault="00F71223">
            <w:pPr>
              <w:ind w:left="0" w:firstLine="0"/>
            </w:pPr>
            <w:r>
              <w:t>1110 kWh/</w:t>
            </w:r>
            <w:proofErr w:type="spellStart"/>
            <w:r>
              <w:t>yr</w:t>
            </w:r>
            <w:proofErr w:type="spellEnd"/>
          </w:p>
        </w:tc>
        <w:tc>
          <w:tcPr>
            <w:tcW w:w="1684" w:type="dxa"/>
          </w:tcPr>
          <w:p w:rsidRPr="000D5989" w:rsidR="00F71223" w:rsidP="00E069B0" w:rsidRDefault="00F71223">
            <w:pPr>
              <w:ind w:left="0" w:firstLine="0"/>
            </w:pPr>
            <w:r>
              <w:t>693 kWh/</w:t>
            </w:r>
            <w:proofErr w:type="spellStart"/>
            <w:r>
              <w:t>yr</w:t>
            </w:r>
            <w:proofErr w:type="spellEnd"/>
          </w:p>
        </w:tc>
        <w:tc>
          <w:tcPr>
            <w:tcW w:w="1686" w:type="dxa"/>
          </w:tcPr>
          <w:p w:rsidRPr="007C570C" w:rsidR="00F71223" w:rsidP="007C570C" w:rsidRDefault="007C570C">
            <w:pPr>
              <w:ind w:left="0" w:firstLine="0"/>
              <w:jc w:val="both"/>
            </w:pPr>
            <w:r>
              <w:t>282 kWh/</w:t>
            </w:r>
            <w:proofErr w:type="spellStart"/>
            <w:r>
              <w:t>yr</w:t>
            </w:r>
            <w:proofErr w:type="spellEnd"/>
          </w:p>
        </w:tc>
      </w:tr>
    </w:tbl>
    <w:p w:rsidR="00F71223" w:rsidP="00F71223" w:rsidRDefault="00F71223"/>
    <w:p w:rsidRPr="00E1584E" w:rsidR="00F71223" w:rsidP="00E1584E" w:rsidRDefault="00F71223">
      <w:pPr>
        <w:ind w:left="720"/>
        <w:rPr>
          <w:u w:val="single"/>
        </w:rPr>
      </w:pPr>
      <w:r w:rsidRPr="00E1584E">
        <w:rPr>
          <w:u w:val="single"/>
        </w:rPr>
        <w:t>Bill discount</w:t>
      </w:r>
      <w:r w:rsidR="00540D00">
        <w:rPr>
          <w:u w:val="single"/>
        </w:rPr>
        <w:t>s and credits</w:t>
      </w:r>
    </w:p>
    <w:p w:rsidR="00AD7EF4" w:rsidP="00AD7EF4" w:rsidRDefault="00F71223">
      <w:pPr>
        <w:ind w:firstLine="720"/>
      </w:pPr>
      <w:r>
        <w:t>PG&amp;E</w:t>
      </w:r>
      <w:r w:rsidR="00B55392">
        <w:t xml:space="preserve"> and </w:t>
      </w:r>
      <w:r>
        <w:t xml:space="preserve">SCE place all customers on all-electric baseline E1 rate. Then </w:t>
      </w:r>
    </w:p>
    <w:p w:rsidRPr="00540D00" w:rsidR="00F71223" w:rsidP="00AD7EF4" w:rsidRDefault="00F71223">
      <w:pPr>
        <w:ind w:firstLine="720"/>
      </w:pPr>
      <w:r>
        <w:t>PG&amp;E</w:t>
      </w:r>
      <w:r w:rsidR="00B55392">
        <w:t xml:space="preserve"> and </w:t>
      </w:r>
      <w:r>
        <w:t>SCE apply</w:t>
      </w:r>
      <w:r w:rsidR="0089377E">
        <w:t xml:space="preserve"> the following </w:t>
      </w:r>
      <w:r w:rsidR="002D6B29">
        <w:t xml:space="preserve">discounts and </w:t>
      </w:r>
      <w:r w:rsidRPr="00540D00" w:rsidR="002D6B29">
        <w:t>credits</w:t>
      </w:r>
      <w:r w:rsidR="00540D00">
        <w:t>:</w:t>
      </w:r>
      <w:r w:rsidRPr="00540D00" w:rsidR="00540D00">
        <w:t xml:space="preserve"> </w:t>
      </w:r>
    </w:p>
    <w:p w:rsidR="00F71223" w:rsidP="00C36A35" w:rsidRDefault="00F71223">
      <w:pPr>
        <w:pStyle w:val="ListParagraph"/>
        <w:numPr>
          <w:ilvl w:val="1"/>
          <w:numId w:val="10"/>
        </w:numPr>
      </w:pPr>
      <w:r w:rsidRPr="00540D00">
        <w:t>36</w:t>
      </w:r>
      <w:r w:rsidRPr="00540D00" w:rsidR="007B4F24">
        <w:t xml:space="preserve"> percent</w:t>
      </w:r>
      <w:r w:rsidRPr="00540D00">
        <w:t xml:space="preserve"> or 32.5</w:t>
      </w:r>
      <w:r w:rsidRPr="00540D00" w:rsidR="007B4F24">
        <w:t xml:space="preserve"> percent</w:t>
      </w:r>
      <w:r w:rsidRPr="00540D00">
        <w:t xml:space="preserve"> CARE discount to all CARE-eligible</w:t>
      </w:r>
      <w:r>
        <w:t xml:space="preserve"> customers</w:t>
      </w:r>
      <w:r>
        <w:rPr>
          <w:rStyle w:val="FootnoteReference"/>
        </w:rPr>
        <w:footnoteReference w:id="9"/>
      </w:r>
      <w:r>
        <w:t xml:space="preserve"> </w:t>
      </w:r>
      <w:r w:rsidR="00C36A35">
        <w:t>; or 18 percent</w:t>
      </w:r>
      <w:r w:rsidR="00C30C09">
        <w:t xml:space="preserve"> Family Electric Rate Assistance</w:t>
      </w:r>
      <w:r w:rsidR="00C36A35">
        <w:t xml:space="preserve"> </w:t>
      </w:r>
      <w:r w:rsidR="00C30C09">
        <w:t>(</w:t>
      </w:r>
      <w:r w:rsidR="00C36A35">
        <w:t>FERA</w:t>
      </w:r>
      <w:r w:rsidR="00C30C09">
        <w:t>)</w:t>
      </w:r>
      <w:r w:rsidR="00C36A35">
        <w:t xml:space="preserve"> discount to all FERA-eligible customers</w:t>
      </w:r>
    </w:p>
    <w:p w:rsidR="00F71223" w:rsidP="002A7EF5" w:rsidRDefault="00F71223">
      <w:pPr>
        <w:pStyle w:val="ListParagraph"/>
        <w:numPr>
          <w:ilvl w:val="1"/>
          <w:numId w:val="10"/>
        </w:numPr>
      </w:pPr>
      <w:r>
        <w:t>20</w:t>
      </w:r>
      <w:r w:rsidR="007B4F24">
        <w:t xml:space="preserve"> percent</w:t>
      </w:r>
      <w:r>
        <w:t xml:space="preserve"> DAC-GT or CSGT community solar discount</w:t>
      </w:r>
      <w:r w:rsidR="00AD1912">
        <w:t>;</w:t>
      </w:r>
      <w:r>
        <w:rPr>
          <w:rStyle w:val="FootnoteReference"/>
        </w:rPr>
        <w:footnoteReference w:id="10"/>
      </w:r>
      <w:r w:rsidR="00AD1912">
        <w:t xml:space="preserve"> and</w:t>
      </w:r>
    </w:p>
    <w:p w:rsidR="00F71223" w:rsidP="002A7EF5" w:rsidRDefault="00F71223">
      <w:pPr>
        <w:pStyle w:val="ListParagraph"/>
        <w:numPr>
          <w:ilvl w:val="1"/>
          <w:numId w:val="10"/>
        </w:numPr>
      </w:pPr>
      <w:r>
        <w:t>Proposed $500 electric</w:t>
      </w:r>
      <w:r w:rsidR="00A47F21">
        <w:t>ity</w:t>
      </w:r>
      <w:r>
        <w:t xml:space="preserve"> bill credit over three years</w:t>
      </w:r>
    </w:p>
    <w:p w:rsidR="00540D00" w:rsidP="00540D00" w:rsidRDefault="00540D00">
      <w:pPr>
        <w:ind w:left="720"/>
      </w:pPr>
    </w:p>
    <w:p w:rsidRPr="00E1584E" w:rsidR="00F71223" w:rsidP="00E1584E" w:rsidRDefault="00F71223">
      <w:pPr>
        <w:ind w:left="720"/>
        <w:rPr>
          <w:u w:val="single"/>
        </w:rPr>
      </w:pPr>
      <w:r w:rsidRPr="00E1584E">
        <w:rPr>
          <w:u w:val="single"/>
        </w:rPr>
        <w:t>Rebound Effects</w:t>
      </w:r>
    </w:p>
    <w:p w:rsidR="00D6317D" w:rsidP="00AD7EF4" w:rsidRDefault="00F71223">
      <w:pPr>
        <w:ind w:firstLine="720"/>
      </w:pPr>
      <w:r>
        <w:t xml:space="preserve">PG&amp;E did not explicitly model </w:t>
      </w:r>
      <w:r w:rsidR="0036063D">
        <w:t xml:space="preserve">the </w:t>
      </w:r>
      <w:r>
        <w:t>rebound effects</w:t>
      </w:r>
      <w:r w:rsidR="00723CC5">
        <w:t xml:space="preserve"> that might occur when </w:t>
      </w:r>
    </w:p>
    <w:p w:rsidR="00D6317D" w:rsidP="00AD7EF4" w:rsidRDefault="0036063D">
      <w:pPr>
        <w:ind w:firstLine="720"/>
      </w:pPr>
      <w:r>
        <w:t xml:space="preserve">participants </w:t>
      </w:r>
      <w:r w:rsidR="00723CC5">
        <w:t>are able to access and utilize</w:t>
      </w:r>
      <w:r w:rsidR="007A606A">
        <w:t xml:space="preserve"> n</w:t>
      </w:r>
      <w:r>
        <w:t>ew electric appliances</w:t>
      </w:r>
      <w:r w:rsidR="00A04C0B">
        <w:t xml:space="preserve">. Rebound </w:t>
      </w:r>
    </w:p>
    <w:p w:rsidR="00D6317D" w:rsidP="00D6317D" w:rsidRDefault="00A04C0B">
      <w:pPr>
        <w:ind w:left="720"/>
      </w:pPr>
      <w:r>
        <w:t>effects</w:t>
      </w:r>
      <w:r w:rsidR="00D6317D">
        <w:t xml:space="preserve"> are the reduction in expected efficiency gains from new technologies due to behavioral shifts in customer</w:t>
      </w:r>
      <w:r w:rsidR="00F71223">
        <w:t xml:space="preserve"> energy usage </w:t>
      </w:r>
      <w:r w:rsidR="00D6317D">
        <w:t>based on</w:t>
      </w:r>
      <w:r w:rsidR="00F71223">
        <w:t xml:space="preserve"> </w:t>
      </w:r>
    </w:p>
    <w:p w:rsidR="007A606A" w:rsidP="005D1CC8" w:rsidRDefault="00F71223">
      <w:pPr>
        <w:ind w:firstLine="720"/>
      </w:pPr>
      <w:r>
        <w:t>improved health, comfort, and safety</w:t>
      </w:r>
      <w:r w:rsidR="005D1CC8">
        <w:t xml:space="preserve">. </w:t>
      </w:r>
    </w:p>
    <w:p w:rsidR="007A606A" w:rsidP="00AD7EF4" w:rsidRDefault="007A606A">
      <w:pPr>
        <w:ind w:firstLine="720"/>
      </w:pPr>
    </w:p>
    <w:p w:rsidR="0088373B" w:rsidP="00132B78" w:rsidRDefault="00132B78">
      <w:r>
        <w:tab/>
        <w:t>PG&amp;E states that i</w:t>
      </w:r>
      <w:r w:rsidR="00F71223">
        <w:t>nstead</w:t>
      </w:r>
      <w:r>
        <w:t xml:space="preserve"> of explicitly modeling rebound effects</w:t>
      </w:r>
      <w:r w:rsidR="00291541">
        <w:t xml:space="preserve"> as a </w:t>
      </w:r>
    </w:p>
    <w:p w:rsidR="0088373B" w:rsidP="0088373B" w:rsidRDefault="00291541">
      <w:pPr>
        <w:ind w:firstLine="720"/>
      </w:pPr>
      <w:r>
        <w:t xml:space="preserve">separate incremental value to be applied to post-electrification usage, it </w:t>
      </w:r>
    </w:p>
    <w:p w:rsidRPr="00AD7EF4" w:rsidR="00F71223" w:rsidP="0088373B" w:rsidRDefault="00291541">
      <w:pPr>
        <w:ind w:firstLine="720"/>
        <w:rPr>
          <w:b/>
          <w:bCs/>
        </w:rPr>
      </w:pPr>
      <w:r>
        <w:t>used the following estimation</w:t>
      </w:r>
      <w:r w:rsidR="008913D2">
        <w:t>s</w:t>
      </w:r>
      <w:r w:rsidR="0088373B">
        <w:t>:</w:t>
      </w:r>
    </w:p>
    <w:p w:rsidR="00F71223" w:rsidP="00E1584E" w:rsidRDefault="00F71223">
      <w:pPr>
        <w:pStyle w:val="ListParagraph"/>
        <w:ind w:left="1800"/>
      </w:pPr>
      <w:r>
        <w:t>1) Did not model changes in customer usage due to elimination of inefficient electric appliances like space heaters</w:t>
      </w:r>
    </w:p>
    <w:p w:rsidR="00F71223" w:rsidP="00E1584E" w:rsidRDefault="00F71223">
      <w:pPr>
        <w:pStyle w:val="ListParagraph"/>
        <w:ind w:left="1800"/>
      </w:pPr>
      <w:r>
        <w:t>2) Did not model savings due to energy efficiency treatments</w:t>
      </w:r>
    </w:p>
    <w:p w:rsidR="00F71223" w:rsidP="00E1584E" w:rsidRDefault="00F71223">
      <w:pPr>
        <w:pStyle w:val="ListParagraph"/>
        <w:ind w:left="1800"/>
      </w:pPr>
      <w:r>
        <w:t xml:space="preserve">3) Used significantly higher space conditioning consumption than in the </w:t>
      </w:r>
      <w:r w:rsidR="00EC64A1">
        <w:t>Residential Appliance Saturation Survey (</w:t>
      </w:r>
      <w:r>
        <w:t>RASS</w:t>
      </w:r>
      <w:r w:rsidR="00EC64A1">
        <w:t>)</w:t>
      </w:r>
      <w:r>
        <w:t xml:space="preserve"> study</w:t>
      </w:r>
      <w:r>
        <w:rPr>
          <w:rStyle w:val="FootnoteReference"/>
        </w:rPr>
        <w:footnoteReference w:id="11"/>
      </w:r>
      <w:r>
        <w:t xml:space="preserve"> </w:t>
      </w:r>
    </w:p>
    <w:p w:rsidR="00F71223" w:rsidP="00E1584E" w:rsidRDefault="00F71223">
      <w:pPr>
        <w:pStyle w:val="ListParagraph"/>
        <w:ind w:left="1800"/>
      </w:pPr>
      <w:r>
        <w:t>4) Did not model improved efficiency of electric appliances since RASS study conducted in 2009</w:t>
      </w:r>
    </w:p>
    <w:p w:rsidR="00F71223" w:rsidP="00E1584E" w:rsidRDefault="00F71223">
      <w:pPr>
        <w:pStyle w:val="ListParagraph"/>
        <w:ind w:left="1800"/>
      </w:pPr>
      <w:r>
        <w:t>5) Used incremental consumption data of single-family homes for all households, even though RASS consumption data is lower for mobile homes and multifamily units</w:t>
      </w:r>
    </w:p>
    <w:p w:rsidR="00B538A4" w:rsidP="00AD7EF4" w:rsidRDefault="00B538A4">
      <w:pPr>
        <w:ind w:firstLine="720"/>
      </w:pPr>
    </w:p>
    <w:p w:rsidR="0088373B" w:rsidP="00AD7EF4" w:rsidRDefault="008913D2">
      <w:pPr>
        <w:ind w:firstLine="720"/>
      </w:pPr>
      <w:r>
        <w:t xml:space="preserve">PG&amp;E states that customers are expected to benefit considerably from </w:t>
      </w:r>
    </w:p>
    <w:p w:rsidR="009F1BD3" w:rsidP="00AD7EF4" w:rsidRDefault="008913D2">
      <w:pPr>
        <w:ind w:firstLine="720"/>
      </w:pPr>
      <w:r>
        <w:t>these factors post electrification, but the</w:t>
      </w:r>
      <w:r w:rsidR="009F1BD3">
        <w:t>se factors</w:t>
      </w:r>
      <w:r>
        <w:t xml:space="preserve"> were not incorporated </w:t>
      </w:r>
    </w:p>
    <w:p w:rsidR="008913D2" w:rsidP="00AD7EF4" w:rsidRDefault="008913D2">
      <w:pPr>
        <w:ind w:firstLine="720"/>
      </w:pPr>
      <w:r>
        <w:t xml:space="preserve">into </w:t>
      </w:r>
      <w:r w:rsidR="00F74BE4">
        <w:t>its</w:t>
      </w:r>
      <w:r>
        <w:t xml:space="preserve"> analysis, thereby resulting in a cushion </w:t>
      </w:r>
      <w:r w:rsidR="0088373B">
        <w:t>in its usage estimate.</w:t>
      </w:r>
    </w:p>
    <w:p w:rsidR="0088373B" w:rsidP="00AD7EF4" w:rsidRDefault="0088373B">
      <w:pPr>
        <w:ind w:firstLine="720"/>
      </w:pPr>
    </w:p>
    <w:p w:rsidR="001C1111" w:rsidP="00AD7EF4" w:rsidRDefault="00F71223">
      <w:pPr>
        <w:ind w:firstLine="720"/>
      </w:pPr>
      <w:r>
        <w:t>SCE also did not explicitly model rebound effects</w:t>
      </w:r>
      <w:r w:rsidR="00C07434">
        <w:t xml:space="preserve"> as a separate variable to </w:t>
      </w:r>
    </w:p>
    <w:p w:rsidR="0060059B" w:rsidP="00AD7EF4" w:rsidRDefault="00C07434">
      <w:pPr>
        <w:ind w:firstLine="720"/>
      </w:pPr>
      <w:r>
        <w:t xml:space="preserve">be applied </w:t>
      </w:r>
      <w:r w:rsidR="001C105F">
        <w:t xml:space="preserve">to post electrification usage. Instead, it </w:t>
      </w:r>
      <w:r w:rsidR="0050760E">
        <w:t>did not account for:</w:t>
      </w:r>
    </w:p>
    <w:p w:rsidR="0060059B" w:rsidP="0060059B" w:rsidRDefault="0060059B">
      <w:pPr>
        <w:pStyle w:val="ListParagraph"/>
        <w:numPr>
          <w:ilvl w:val="0"/>
          <w:numId w:val="23"/>
        </w:numPr>
      </w:pPr>
      <w:r>
        <w:t>Changes in electric consumption due to the use of inefficient electric appliances (e.g. electric space heaters) prior to treatment</w:t>
      </w:r>
    </w:p>
    <w:p w:rsidR="001C1111" w:rsidP="0060059B" w:rsidRDefault="001C1111">
      <w:pPr>
        <w:pStyle w:val="ListParagraph"/>
        <w:numPr>
          <w:ilvl w:val="0"/>
          <w:numId w:val="23"/>
        </w:numPr>
      </w:pPr>
      <w:r>
        <w:t>Weatherization upgrades</w:t>
      </w:r>
    </w:p>
    <w:p w:rsidR="001C1111" w:rsidP="0060059B" w:rsidRDefault="001C1111">
      <w:pPr>
        <w:pStyle w:val="ListParagraph"/>
        <w:numPr>
          <w:ilvl w:val="0"/>
          <w:numId w:val="23"/>
        </w:numPr>
      </w:pPr>
      <w:r>
        <w:t>Improved efficiency of electric appliances since the 2009 RASS study</w:t>
      </w:r>
      <w:r w:rsidR="00F71223">
        <w:t xml:space="preserve"> </w:t>
      </w:r>
    </w:p>
    <w:p w:rsidR="001C1111" w:rsidP="001C1111" w:rsidRDefault="001C1111">
      <w:pPr>
        <w:pStyle w:val="ListParagraph"/>
        <w:ind w:left="1080"/>
      </w:pPr>
    </w:p>
    <w:p w:rsidR="001C1111" w:rsidP="001C1111" w:rsidRDefault="001C1111">
      <w:pPr>
        <w:ind w:firstLine="720"/>
      </w:pPr>
      <w:r>
        <w:t xml:space="preserve">Similar to PG&amp;E, </w:t>
      </w:r>
      <w:r w:rsidR="00F71223">
        <w:t xml:space="preserve">SCE states </w:t>
      </w:r>
      <w:r>
        <w:t xml:space="preserve">that pilot participants could realize additional </w:t>
      </w:r>
    </w:p>
    <w:p w:rsidR="001C1111" w:rsidP="001C1111" w:rsidRDefault="001C1111">
      <w:pPr>
        <w:ind w:firstLine="720"/>
      </w:pPr>
      <w:r>
        <w:t xml:space="preserve">energy savings from these factors that are not accounted for in the post </w:t>
      </w:r>
    </w:p>
    <w:p w:rsidR="00204B3E" w:rsidP="001C1111" w:rsidRDefault="001C1111">
      <w:pPr>
        <w:ind w:firstLine="720"/>
      </w:pPr>
      <w:r>
        <w:t>electrification calculation</w:t>
      </w:r>
      <w:r w:rsidR="00AC4AF5">
        <w:t>,</w:t>
      </w:r>
      <w:r>
        <w:t xml:space="preserve"> and </w:t>
      </w:r>
      <w:r w:rsidR="00AC4AF5">
        <w:t xml:space="preserve">therefore </w:t>
      </w:r>
      <w:r w:rsidR="00204B3E">
        <w:t>participants</w:t>
      </w:r>
      <w:r w:rsidR="00AC4AF5">
        <w:t xml:space="preserve"> </w:t>
      </w:r>
      <w:r>
        <w:t xml:space="preserve">may see greater </w:t>
      </w:r>
    </w:p>
    <w:p w:rsidR="00D6415D" w:rsidP="001C1111" w:rsidRDefault="001C1111">
      <w:pPr>
        <w:ind w:firstLine="720"/>
      </w:pPr>
      <w:r>
        <w:t>overall</w:t>
      </w:r>
      <w:r w:rsidR="00204B3E">
        <w:t xml:space="preserve"> </w:t>
      </w:r>
      <w:r>
        <w:t>energy savings than estimated. SCE also states that</w:t>
      </w:r>
      <w:r w:rsidR="00D6415D">
        <w:t xml:space="preserve"> it</w:t>
      </w:r>
      <w:r w:rsidR="00F71223">
        <w:t xml:space="preserve"> did increase </w:t>
      </w:r>
    </w:p>
    <w:p w:rsidR="0078627A" w:rsidP="001C1111" w:rsidRDefault="00F71223">
      <w:pPr>
        <w:ind w:firstLine="720"/>
      </w:pPr>
      <w:r>
        <w:t>the annual consumption for the heat</w:t>
      </w:r>
      <w:r w:rsidR="001C1111">
        <w:t xml:space="preserve"> </w:t>
      </w:r>
      <w:r>
        <w:t xml:space="preserve">pump space conditioning appliance </w:t>
      </w:r>
    </w:p>
    <w:p w:rsidR="0078627A" w:rsidP="001C1111" w:rsidRDefault="00F71223">
      <w:pPr>
        <w:ind w:firstLine="720"/>
      </w:pPr>
      <w:r>
        <w:t xml:space="preserve">to 1946 kWh to account for current customers increasing consumption by </w:t>
      </w:r>
    </w:p>
    <w:p w:rsidR="00F71223" w:rsidP="0082465A" w:rsidRDefault="00F71223">
      <w:pPr>
        <w:ind w:firstLine="720"/>
      </w:pPr>
      <w:r>
        <w:t>30</w:t>
      </w:r>
      <w:r w:rsidR="007B4F24">
        <w:t xml:space="preserve"> percent</w:t>
      </w:r>
      <w:r>
        <w:t xml:space="preserve"> in summer months to winter months.</w:t>
      </w:r>
    </w:p>
    <w:p w:rsidR="00FF4ECF" w:rsidP="0082465A" w:rsidRDefault="00FF4ECF">
      <w:pPr>
        <w:ind w:firstLine="720"/>
      </w:pPr>
    </w:p>
    <w:p w:rsidRPr="00E1584E" w:rsidR="00F71223" w:rsidP="00F71223" w:rsidRDefault="00F71223">
      <w:pPr>
        <w:rPr>
          <w:b/>
          <w:bCs/>
          <w:u w:val="single"/>
        </w:rPr>
      </w:pPr>
      <w:r w:rsidRPr="00E1584E">
        <w:rPr>
          <w:b/>
          <w:bCs/>
          <w:u w:val="single"/>
        </w:rPr>
        <w:t xml:space="preserve">Estimated Energy Cost Savings for CARE and non-CARE </w:t>
      </w:r>
      <w:r w:rsidR="00E1584E">
        <w:rPr>
          <w:b/>
          <w:bCs/>
          <w:u w:val="single"/>
        </w:rPr>
        <w:t>C</w:t>
      </w:r>
      <w:r w:rsidRPr="00E1584E">
        <w:rPr>
          <w:b/>
          <w:bCs/>
          <w:u w:val="single"/>
        </w:rPr>
        <w:t>ustomers</w:t>
      </w:r>
    </w:p>
    <w:p w:rsidR="00F71223" w:rsidP="00F71223" w:rsidRDefault="00F71223">
      <w:r>
        <w:t xml:space="preserve">In their advice letters, PG&amp;E and SCE estimated energy cost savings for CARE and non-CARE customers based on the modeling described in the above section.  As mentioned previously, SoCalGas did not estimate cost savings for CARE and non-CARE customers. </w:t>
      </w:r>
    </w:p>
    <w:p w:rsidR="00F857DA" w:rsidP="00F71223" w:rsidRDefault="00F857DA"/>
    <w:p w:rsidR="00F857DA" w:rsidP="00F857DA" w:rsidRDefault="00F857DA">
      <w:r>
        <w:t>PG&amp;E and SCE do not include median CARE and non-CARE customer pre-pilot total energy costs in their ALs as a baseline from which to compare results. The Energy Division data requested this information from PG&amp;E and SCE. Below we list these pre-pilot energy costs to provide a sense of scale for the modeling results</w:t>
      </w:r>
      <w:r w:rsidR="00202C40">
        <w:t xml:space="preserve"> that follow</w:t>
      </w:r>
      <w:r>
        <w:t>. These energy costs are based on existing customer electricity bills from pilot communities plus an annual propane assumption of $500 for CARE customers and $1350 and $1126 for non-CARE customers in PG&amp;E and SCE territories, respectively.</w:t>
      </w:r>
    </w:p>
    <w:p w:rsidR="00F857DA" w:rsidP="00F857DA" w:rsidRDefault="00F857DA"/>
    <w:p w:rsidRPr="002B68ED" w:rsidR="00F857DA" w:rsidP="00F857DA" w:rsidRDefault="00F857DA">
      <w:pPr>
        <w:rPr>
          <w:b/>
          <w:bCs/>
        </w:rPr>
      </w:pPr>
      <w:r>
        <w:rPr>
          <w:b/>
          <w:bCs/>
        </w:rPr>
        <w:tab/>
      </w:r>
      <w:r w:rsidRPr="002B68ED">
        <w:rPr>
          <w:b/>
          <w:bCs/>
        </w:rPr>
        <w:tab/>
      </w:r>
      <w:r w:rsidRPr="002B68ED">
        <w:rPr>
          <w:b/>
          <w:bCs/>
        </w:rPr>
        <w:tab/>
      </w:r>
      <w:r>
        <w:rPr>
          <w:b/>
          <w:bCs/>
        </w:rPr>
        <w:t xml:space="preserve">Annual </w:t>
      </w:r>
      <w:r w:rsidRPr="002B68ED">
        <w:rPr>
          <w:b/>
          <w:bCs/>
        </w:rPr>
        <w:t>Pre-Pilot Median Total Energy Costs</w:t>
      </w:r>
    </w:p>
    <w:tbl>
      <w:tblPr>
        <w:tblStyle w:val="TableGrid"/>
        <w:tblW w:w="0" w:type="auto"/>
        <w:tblLook w:val="04A0" w:firstRow="1" w:lastRow="0" w:firstColumn="1" w:lastColumn="0" w:noHBand="0" w:noVBand="1"/>
      </w:tblPr>
      <w:tblGrid>
        <w:gridCol w:w="3116"/>
        <w:gridCol w:w="3117"/>
        <w:gridCol w:w="3117"/>
      </w:tblGrid>
      <w:tr w:rsidR="00294B6D">
        <w:tc>
          <w:tcPr>
            <w:tcW w:w="3116" w:type="dxa"/>
          </w:tcPr>
          <w:p w:rsidR="00F857DA" w:rsidP="00BF50C1" w:rsidRDefault="00F857DA"/>
        </w:tc>
        <w:tc>
          <w:tcPr>
            <w:tcW w:w="3117" w:type="dxa"/>
          </w:tcPr>
          <w:p w:rsidRPr="00690946" w:rsidR="00F857DA" w:rsidP="00BF50C1" w:rsidRDefault="00F857DA">
            <w:pPr>
              <w:rPr>
                <w:b/>
                <w:bCs/>
              </w:rPr>
            </w:pPr>
            <w:r w:rsidRPr="00690946">
              <w:rPr>
                <w:b/>
                <w:bCs/>
              </w:rPr>
              <w:t xml:space="preserve">CARE </w:t>
            </w:r>
          </w:p>
        </w:tc>
        <w:tc>
          <w:tcPr>
            <w:tcW w:w="3117" w:type="dxa"/>
          </w:tcPr>
          <w:p w:rsidRPr="00690946" w:rsidR="00F857DA" w:rsidP="00BF50C1" w:rsidRDefault="00F857DA">
            <w:pPr>
              <w:rPr>
                <w:b/>
                <w:bCs/>
              </w:rPr>
            </w:pPr>
            <w:r w:rsidRPr="00690946">
              <w:rPr>
                <w:b/>
                <w:bCs/>
              </w:rPr>
              <w:t>Non-CARE</w:t>
            </w:r>
          </w:p>
        </w:tc>
      </w:tr>
      <w:tr w:rsidR="00294B6D">
        <w:tc>
          <w:tcPr>
            <w:tcW w:w="3116" w:type="dxa"/>
          </w:tcPr>
          <w:p w:rsidRPr="00690946" w:rsidR="00F857DA" w:rsidP="00BF50C1" w:rsidRDefault="00F857DA">
            <w:pPr>
              <w:rPr>
                <w:b/>
                <w:bCs/>
              </w:rPr>
            </w:pPr>
            <w:r w:rsidRPr="00690946">
              <w:rPr>
                <w:b/>
                <w:bCs/>
              </w:rPr>
              <w:t>PG&amp;E</w:t>
            </w:r>
          </w:p>
        </w:tc>
        <w:tc>
          <w:tcPr>
            <w:tcW w:w="3117" w:type="dxa"/>
          </w:tcPr>
          <w:p w:rsidR="00F857DA" w:rsidP="00BF50C1" w:rsidRDefault="00F857DA">
            <w:r>
              <w:t>$1,513</w:t>
            </w:r>
          </w:p>
        </w:tc>
        <w:tc>
          <w:tcPr>
            <w:tcW w:w="3117" w:type="dxa"/>
          </w:tcPr>
          <w:p w:rsidR="00F857DA" w:rsidP="00BF50C1" w:rsidRDefault="00F857DA">
            <w:r>
              <w:t>$3,194</w:t>
            </w:r>
          </w:p>
        </w:tc>
      </w:tr>
      <w:tr w:rsidR="00294B6D">
        <w:tc>
          <w:tcPr>
            <w:tcW w:w="3116" w:type="dxa"/>
          </w:tcPr>
          <w:p w:rsidRPr="00690946" w:rsidR="00F857DA" w:rsidP="00BF50C1" w:rsidRDefault="00F857DA">
            <w:pPr>
              <w:rPr>
                <w:b/>
                <w:bCs/>
              </w:rPr>
            </w:pPr>
            <w:r w:rsidRPr="00690946">
              <w:rPr>
                <w:b/>
                <w:bCs/>
              </w:rPr>
              <w:t>SCE</w:t>
            </w:r>
          </w:p>
        </w:tc>
        <w:tc>
          <w:tcPr>
            <w:tcW w:w="3117" w:type="dxa"/>
          </w:tcPr>
          <w:p w:rsidR="00F857DA" w:rsidP="00BF50C1" w:rsidRDefault="00F857DA">
            <w:r>
              <w:t>$1,460</w:t>
            </w:r>
          </w:p>
        </w:tc>
        <w:tc>
          <w:tcPr>
            <w:tcW w:w="3117" w:type="dxa"/>
          </w:tcPr>
          <w:p w:rsidR="00F857DA" w:rsidP="00BF50C1" w:rsidRDefault="00F857DA">
            <w:r>
              <w:t>$2,243</w:t>
            </w:r>
          </w:p>
        </w:tc>
      </w:tr>
    </w:tbl>
    <w:p w:rsidR="00F71223" w:rsidP="00F71223" w:rsidRDefault="00F71223">
      <w:pPr>
        <w:rPr>
          <w:i/>
          <w:iCs/>
        </w:rPr>
      </w:pPr>
    </w:p>
    <w:p w:rsidR="00953E0B" w:rsidP="00F71223" w:rsidRDefault="00F71223">
      <w:r>
        <w:t>PG&amp;E and SCE emphasize in their advice letters that</w:t>
      </w:r>
      <w:r w:rsidR="009D3D04">
        <w:t>,</w:t>
      </w:r>
      <w:r>
        <w:t xml:space="preserve"> </w:t>
      </w:r>
      <w:r w:rsidR="009D3D04">
        <w:t xml:space="preserve">based on their analysis, </w:t>
      </w:r>
      <w:r>
        <w:t xml:space="preserve">most customers will save on energy costs even in the absence of the $500 bill credit (i.e. </w:t>
      </w:r>
      <w:r w:rsidR="009D3D04">
        <w:t>after the three-year bill credit ends</w:t>
      </w:r>
      <w:r>
        <w:t xml:space="preserve">). Given that these pilots will impact customer bills beyond a three-year time period, and PG&amp;E and SCE describe the $500 bill credit as a transitional mechanism, we choose to highlight below their </w:t>
      </w:r>
      <w:r w:rsidR="001E17FB">
        <w:t xml:space="preserve">modeling </w:t>
      </w:r>
      <w:r>
        <w:t xml:space="preserve">energy cost savings estimates for customers in year four of the pilots onward, after the $500 in bill credits have already been applied. </w:t>
      </w:r>
    </w:p>
    <w:p w:rsidR="0082465A" w:rsidP="00F71223" w:rsidRDefault="0082465A"/>
    <w:p w:rsidRPr="00886B84" w:rsidR="00F71223" w:rsidP="00E1584E" w:rsidRDefault="00F71223">
      <w:pPr>
        <w:ind w:left="360"/>
        <w:rPr>
          <w:u w:val="single"/>
        </w:rPr>
      </w:pPr>
      <w:r w:rsidRPr="00886B84">
        <w:rPr>
          <w:u w:val="single"/>
        </w:rPr>
        <w:t>PG&amp;E Energy Cost Savings Estimates (year four of the pilot onward)</w:t>
      </w:r>
    </w:p>
    <w:p w:rsidRPr="00C01FAC" w:rsidR="00F71223" w:rsidP="006955B3" w:rsidRDefault="00F71223">
      <w:pPr>
        <w:ind w:firstLine="360"/>
        <w:rPr>
          <w:i/>
          <w:iCs/>
        </w:rPr>
      </w:pPr>
      <w:r w:rsidRPr="00C01FAC">
        <w:rPr>
          <w:i/>
          <w:iCs/>
        </w:rPr>
        <w:t>CARE customers</w:t>
      </w:r>
    </w:p>
    <w:p w:rsidR="00F71223" w:rsidP="002A7EF5" w:rsidRDefault="00F71223">
      <w:pPr>
        <w:pStyle w:val="ListParagraph"/>
        <w:numPr>
          <w:ilvl w:val="1"/>
          <w:numId w:val="10"/>
        </w:numPr>
      </w:pPr>
      <w:r>
        <w:t>Median CARE customer would save $122 annually compared to pre-pilot energy costs.</w:t>
      </w:r>
    </w:p>
    <w:p w:rsidRPr="0061659E" w:rsidR="00F71223" w:rsidP="002A7EF5" w:rsidRDefault="00F71223">
      <w:pPr>
        <w:pStyle w:val="ListParagraph"/>
        <w:numPr>
          <w:ilvl w:val="1"/>
          <w:numId w:val="10"/>
        </w:numPr>
      </w:pPr>
      <w:r>
        <w:t>Worst case CARE customer would experience a $16 annual energy cost increase.</w:t>
      </w:r>
      <w:r>
        <w:rPr>
          <w:rStyle w:val="FootnoteReference"/>
        </w:rPr>
        <w:footnoteReference w:id="12"/>
      </w:r>
    </w:p>
    <w:p w:rsidRPr="00C01FAC" w:rsidR="00F71223" w:rsidP="00A7667F" w:rsidRDefault="00A7667F">
      <w:pPr>
        <w:rPr>
          <w:i/>
          <w:iCs/>
        </w:rPr>
      </w:pPr>
      <w:r>
        <w:t xml:space="preserve">      </w:t>
      </w:r>
      <w:r w:rsidRPr="00C01FAC" w:rsidR="00F71223">
        <w:rPr>
          <w:i/>
          <w:iCs/>
        </w:rPr>
        <w:t>Non-CARE customers</w:t>
      </w:r>
    </w:p>
    <w:p w:rsidR="00F71223" w:rsidP="002A7EF5" w:rsidRDefault="00F71223">
      <w:pPr>
        <w:pStyle w:val="ListParagraph"/>
        <w:numPr>
          <w:ilvl w:val="1"/>
          <w:numId w:val="10"/>
        </w:numPr>
      </w:pPr>
      <w:r>
        <w:t>Median non-CARE customer would save $221 annually compared to pre-pilot energy costs.</w:t>
      </w:r>
    </w:p>
    <w:p w:rsidR="00F71223" w:rsidP="002A7EF5" w:rsidRDefault="00F71223">
      <w:pPr>
        <w:pStyle w:val="ListParagraph"/>
        <w:numPr>
          <w:ilvl w:val="1"/>
          <w:numId w:val="10"/>
        </w:numPr>
      </w:pPr>
      <w:r>
        <w:t>98.6</w:t>
      </w:r>
      <w:r w:rsidR="007B4F24">
        <w:t xml:space="preserve"> percent</w:t>
      </w:r>
      <w:r>
        <w:t xml:space="preserve"> of non-CARE customers would experience energy cost savings compared to pre-pilot energy costs</w:t>
      </w:r>
      <w:r w:rsidR="00F5506E">
        <w:t>, while</w:t>
      </w:r>
      <w:r w:rsidR="008C6FD9">
        <w:t xml:space="preserve"> </w:t>
      </w:r>
      <w:r w:rsidR="00315A57">
        <w:t>1.4 percent would experience an energy cost increase compared</w:t>
      </w:r>
      <w:r w:rsidR="006603D7">
        <w:t xml:space="preserve"> to pre-pilot energy costs.</w:t>
      </w:r>
      <w:r w:rsidR="006603D7">
        <w:rPr>
          <w:rStyle w:val="FootnoteReference"/>
        </w:rPr>
        <w:footnoteReference w:id="13"/>
      </w:r>
    </w:p>
    <w:p w:rsidRPr="0061659E" w:rsidR="00F71223" w:rsidP="002A7EF5" w:rsidRDefault="00F71223">
      <w:pPr>
        <w:pStyle w:val="ListParagraph"/>
        <w:numPr>
          <w:ilvl w:val="1"/>
          <w:numId w:val="10"/>
        </w:numPr>
      </w:pPr>
      <w:r>
        <w:t>There are a handful of non-CARE customers that would experience over $2,000 in energy cost increases compared to pre-pilot costs, but PG&amp;E believes these customers have unique circumstances, such as two homes on the same meter.</w:t>
      </w:r>
    </w:p>
    <w:p w:rsidR="00F71223" w:rsidP="00E1584E" w:rsidRDefault="00F71223">
      <w:pPr>
        <w:ind w:left="360"/>
      </w:pPr>
    </w:p>
    <w:p w:rsidRPr="00E1584E" w:rsidR="00F71223" w:rsidP="00E1584E" w:rsidRDefault="00F71223">
      <w:pPr>
        <w:ind w:left="360"/>
        <w:rPr>
          <w:u w:val="single"/>
        </w:rPr>
      </w:pPr>
      <w:r w:rsidRPr="00E1584E">
        <w:rPr>
          <w:u w:val="single"/>
        </w:rPr>
        <w:t>SCE Energy Cost Savings Estimates (year four of the pilot onward)</w:t>
      </w:r>
      <w:r w:rsidRPr="00E1584E">
        <w:rPr>
          <w:rStyle w:val="FootnoteReference"/>
          <w:u w:val="single"/>
        </w:rPr>
        <w:footnoteReference w:id="14"/>
      </w:r>
    </w:p>
    <w:p w:rsidRPr="00C01FAC" w:rsidR="00F71223" w:rsidP="00BF7950" w:rsidRDefault="00F71223">
      <w:pPr>
        <w:ind w:firstLine="360"/>
        <w:rPr>
          <w:i/>
          <w:iCs/>
        </w:rPr>
      </w:pPr>
      <w:r w:rsidRPr="00C01FAC">
        <w:rPr>
          <w:i/>
          <w:iCs/>
        </w:rPr>
        <w:t>CARE customers</w:t>
      </w:r>
    </w:p>
    <w:p w:rsidRPr="00DE0EC7" w:rsidR="00F71223" w:rsidP="002A7EF5" w:rsidRDefault="00F71223">
      <w:pPr>
        <w:pStyle w:val="ListParagraph"/>
        <w:numPr>
          <w:ilvl w:val="1"/>
          <w:numId w:val="10"/>
        </w:numPr>
        <w:rPr>
          <w:b/>
          <w:bCs/>
        </w:rPr>
      </w:pPr>
      <w:r>
        <w:t>Average CARE customer would save $497 annually compared to pre-pilot energy costs</w:t>
      </w:r>
      <w:r w:rsidR="000530C1">
        <w:t>.</w:t>
      </w:r>
    </w:p>
    <w:p w:rsidRPr="008F3A50" w:rsidR="00BF62F6" w:rsidP="002A7EF5" w:rsidRDefault="00BF62F6">
      <w:pPr>
        <w:pStyle w:val="ListParagraph"/>
        <w:numPr>
          <w:ilvl w:val="1"/>
          <w:numId w:val="10"/>
        </w:numPr>
        <w:rPr>
          <w:b/>
          <w:bCs/>
        </w:rPr>
      </w:pPr>
      <w:r>
        <w:t>SCE d</w:t>
      </w:r>
      <w:r w:rsidR="008F62C7">
        <w:t>oes</w:t>
      </w:r>
      <w:r>
        <w:t xml:space="preserve"> not provide a </w:t>
      </w:r>
      <w:proofErr w:type="gramStart"/>
      <w:r>
        <w:t>wors</w:t>
      </w:r>
      <w:r w:rsidR="00A71C45">
        <w:t>t</w:t>
      </w:r>
      <w:r>
        <w:t xml:space="preserve"> case</w:t>
      </w:r>
      <w:proofErr w:type="gramEnd"/>
      <w:r>
        <w:t xml:space="preserve"> CARE customer estimate in its</w:t>
      </w:r>
      <w:r w:rsidR="00EF588C">
        <w:t xml:space="preserve"> advice letter</w:t>
      </w:r>
      <w:r>
        <w:t>.</w:t>
      </w:r>
    </w:p>
    <w:p w:rsidRPr="00C01FAC" w:rsidR="00F71223" w:rsidP="00BF7950" w:rsidRDefault="00BF7950">
      <w:pPr>
        <w:rPr>
          <w:i/>
          <w:iCs/>
        </w:rPr>
      </w:pPr>
      <w:r w:rsidRPr="00C01FAC">
        <w:rPr>
          <w:i/>
          <w:iCs/>
        </w:rPr>
        <w:t xml:space="preserve">      </w:t>
      </w:r>
      <w:r w:rsidRPr="00C01FAC" w:rsidR="00F71223">
        <w:rPr>
          <w:i/>
          <w:iCs/>
        </w:rPr>
        <w:t>Non-CARE customers</w:t>
      </w:r>
    </w:p>
    <w:p w:rsidRPr="00471459" w:rsidR="00F71223" w:rsidP="002A7EF5" w:rsidRDefault="00F71223">
      <w:pPr>
        <w:pStyle w:val="ListParagraph"/>
        <w:numPr>
          <w:ilvl w:val="1"/>
          <w:numId w:val="10"/>
        </w:numPr>
        <w:rPr>
          <w:b/>
          <w:bCs/>
        </w:rPr>
      </w:pPr>
      <w:r>
        <w:t>Median non-CARE customer would save $636 annually compared to pre-pilot energy costs.</w:t>
      </w:r>
      <w:r w:rsidR="007C1D94">
        <w:rPr>
          <w:rStyle w:val="FootnoteReference"/>
        </w:rPr>
        <w:footnoteReference w:id="15"/>
      </w:r>
    </w:p>
    <w:p w:rsidR="00F71223" w:rsidP="00F71223" w:rsidRDefault="00F71223"/>
    <w:p w:rsidRPr="00E1584E" w:rsidR="00F71223" w:rsidP="00F71223" w:rsidRDefault="00F71223">
      <w:pPr>
        <w:rPr>
          <w:b/>
          <w:bCs/>
          <w:u w:val="single"/>
        </w:rPr>
      </w:pPr>
      <w:r w:rsidRPr="00E1584E">
        <w:rPr>
          <w:b/>
          <w:bCs/>
          <w:u w:val="single"/>
        </w:rPr>
        <w:t xml:space="preserve">Implementation </w:t>
      </w:r>
      <w:r w:rsidRPr="00E1584E" w:rsidR="00F73400">
        <w:rPr>
          <w:b/>
          <w:bCs/>
          <w:u w:val="single"/>
        </w:rPr>
        <w:t>Recommendations</w:t>
      </w:r>
    </w:p>
    <w:p w:rsidRPr="00540A19" w:rsidR="00F71223" w:rsidP="00F71223" w:rsidRDefault="00F71223">
      <w:r>
        <w:t xml:space="preserve">PG&amp;E and SCE recommend that in order to be electrified, pilot participants must agree to receive both the heat pump space conditioning and heat pump water heater. </w:t>
      </w:r>
      <w:r w:rsidR="00BF50C1">
        <w:t>Although the SJV Pilots Decision</w:t>
      </w:r>
      <w:r w:rsidR="00452E70">
        <w:t xml:space="preserve"> </w:t>
      </w:r>
      <w:r w:rsidR="0065275C">
        <w:t>allows pilot admin</w:t>
      </w:r>
      <w:r w:rsidR="000D03C2">
        <w:t>i</w:t>
      </w:r>
      <w:r w:rsidR="0065275C">
        <w:t xml:space="preserve">strators </w:t>
      </w:r>
      <w:r w:rsidR="000D03C2">
        <w:t xml:space="preserve">the flexibility to </w:t>
      </w:r>
      <w:r w:rsidR="001514B8">
        <w:t xml:space="preserve">not install heat pump space </w:t>
      </w:r>
      <w:r w:rsidR="0012505A">
        <w:t>heating in some home</w:t>
      </w:r>
      <w:r w:rsidR="00A7056F">
        <w:t>s</w:t>
      </w:r>
      <w:r w:rsidR="0012505A">
        <w:t>,</w:t>
      </w:r>
      <w:r w:rsidR="00CF17A5">
        <w:t xml:space="preserve"> SCE states that households that do not </w:t>
      </w:r>
      <w:r>
        <w:t>install both</w:t>
      </w:r>
      <w:r w:rsidR="00CF17A5">
        <w:t xml:space="preserve"> </w:t>
      </w:r>
      <w:r>
        <w:t>appliances</w:t>
      </w:r>
      <w:r w:rsidR="00CF17A5">
        <w:t xml:space="preserve"> will achieve a reduced level of bill savings </w:t>
      </w:r>
      <w:r>
        <w:t>that run</w:t>
      </w:r>
      <w:r w:rsidR="00CF17A5">
        <w:t>s</w:t>
      </w:r>
      <w:r>
        <w:t xml:space="preserve"> counter to pilot objectives.</w:t>
      </w:r>
    </w:p>
    <w:p w:rsidR="00F71223" w:rsidP="00F71223" w:rsidRDefault="00F71223"/>
    <w:p w:rsidR="00F71223" w:rsidP="00F71223" w:rsidRDefault="00F71223">
      <w:r>
        <w:t>PG&amp;E and SCE propose that the monthly electricity bill savings discount begin when the heat pump space conditioning unit is installed. According to PG&amp;E and SCE, this would align with the trigger to move customers to an all-electric baseline allowance. PG&amp;E and SCE also propose to require participants in arrears to subscribe to a payment plan before enrolling.</w:t>
      </w:r>
    </w:p>
    <w:p w:rsidR="00F71223" w:rsidP="00F71223" w:rsidRDefault="00F71223"/>
    <w:p w:rsidR="00F71223" w:rsidP="00F71223" w:rsidRDefault="00F71223">
      <w:r>
        <w:t>PG&amp;E</w:t>
      </w:r>
      <w:r w:rsidR="007404EE">
        <w:t xml:space="preserve"> and</w:t>
      </w:r>
      <w:r>
        <w:t xml:space="preserve"> SCE do not propose a waiver of the Super User Electric Surcharge. PG&amp;E states that only 11</w:t>
      </w:r>
      <w:r w:rsidR="009E3172">
        <w:t xml:space="preserve"> percent</w:t>
      </w:r>
      <w:r>
        <w:t xml:space="preserve"> of customers across </w:t>
      </w:r>
      <w:r w:rsidR="00CF17A5">
        <w:t xml:space="preserve">the </w:t>
      </w:r>
      <w:r>
        <w:t xml:space="preserve">eight PG&amp;E communities with pilots hit the High Usage Surcharge in any month in 2018. SCE states that less than </w:t>
      </w:r>
      <w:r w:rsidR="00ED3346">
        <w:t>one</w:t>
      </w:r>
      <w:r w:rsidR="009E3172">
        <w:t xml:space="preserve"> percent</w:t>
      </w:r>
      <w:r>
        <w:t xml:space="preserve"> of customers across SCE’s three communities reached the High Usage Surcharge in any month in 2017. </w:t>
      </w:r>
    </w:p>
    <w:p w:rsidR="00F71223" w:rsidP="00F71223" w:rsidRDefault="00F71223"/>
    <w:p w:rsidR="0082465A" w:rsidP="0082465A" w:rsidRDefault="00F71223">
      <w:r>
        <w:t xml:space="preserve">Instead, PG&amp;E and SCE propose to place all customers on </w:t>
      </w:r>
      <w:r w:rsidR="00ED3346">
        <w:t xml:space="preserve">an </w:t>
      </w:r>
      <w:r>
        <w:t>all-electric version of their rate in order to receive a higher baseline allowance. According to PG&amp;E, this should significantly reduce the percentage of customers expected to trigger the surcharge.</w:t>
      </w:r>
    </w:p>
    <w:p w:rsidR="0082465A" w:rsidP="0082465A" w:rsidRDefault="0082465A"/>
    <w:p w:rsidR="00CF17DE" w:rsidRDefault="00394B3A">
      <w:pPr>
        <w:pStyle w:val="Heading1"/>
      </w:pPr>
      <w:r>
        <w:t>Notice</w:t>
      </w:r>
    </w:p>
    <w:p w:rsidR="00CF17DE" w:rsidRDefault="00CF17DE">
      <w:r>
        <w:t xml:space="preserve">Notice of AL </w:t>
      </w:r>
      <w:r w:rsidR="00335041">
        <w:t>5496-E</w:t>
      </w:r>
      <w:r>
        <w:t xml:space="preserve"> was made by publication in the Commission’s Daily Calendar.  </w:t>
      </w:r>
      <w:r w:rsidR="00D275EB">
        <w:t xml:space="preserve">Pacific Gas and Electric Company </w:t>
      </w:r>
      <w:r>
        <w:t>states that a copy of the Advice Letter was mailed and distributed in accordance with Sec</w:t>
      </w:r>
      <w:r w:rsidR="00A1526C">
        <w:t xml:space="preserve">tion </w:t>
      </w:r>
      <w:r w:rsidR="0069631C">
        <w:t>4</w:t>
      </w:r>
      <w:r w:rsidR="00E928CF">
        <w:t xml:space="preserve"> of General Order 96-B</w:t>
      </w:r>
      <w:r>
        <w:t xml:space="preserve">. </w:t>
      </w:r>
    </w:p>
    <w:p w:rsidR="00D275EB" w:rsidRDefault="00D275EB"/>
    <w:p w:rsidR="00D275EB" w:rsidP="00D275EB" w:rsidRDefault="00D275EB">
      <w:r>
        <w:t xml:space="preserve">Notice of AL </w:t>
      </w:r>
      <w:r w:rsidR="00DC13B6">
        <w:t>3970-E</w:t>
      </w:r>
      <w:r>
        <w:t xml:space="preserve"> was made by publication in the Commission’s Daily Calendar.  Southern California Edison Company states that a copy of the Advice Letter was mailed and distributed in accordance with Section 4 of General Order 96-B. </w:t>
      </w:r>
    </w:p>
    <w:p w:rsidR="00D275EB" w:rsidRDefault="00D275EB"/>
    <w:p w:rsidR="00D275EB" w:rsidRDefault="00D275EB">
      <w:r>
        <w:t xml:space="preserve">Notice of AL </w:t>
      </w:r>
      <w:r w:rsidR="00DC13B6">
        <w:t>5439-G</w:t>
      </w:r>
      <w:r>
        <w:t xml:space="preserve"> was made by publication in the Commission’s Daily Calendar.  Southern California Gas Company states that a copy of the Advice Letter was mailed and distributed in accordance with Section 4 of General Order 96-B. </w:t>
      </w:r>
    </w:p>
    <w:p w:rsidR="00335041" w:rsidRDefault="00335041"/>
    <w:p w:rsidR="00CF17DE" w:rsidRDefault="00CF17DE">
      <w:pPr>
        <w:pStyle w:val="Heading1"/>
      </w:pPr>
      <w:r w:rsidRPr="002F23B1">
        <w:t>Protests</w:t>
      </w:r>
    </w:p>
    <w:p w:rsidR="009D1950" w:rsidP="009D1950" w:rsidRDefault="00AA6C10">
      <w:r>
        <w:t>On April 8, 2019, t</w:t>
      </w:r>
      <w:r w:rsidR="009D1950">
        <w:t>he following parties filed timely protests to PG&amp;E AL 5496-E and SCE AL 3970-E: GRID Alternatives (GRID); U</w:t>
      </w:r>
      <w:r w:rsidR="00ED3346">
        <w:t xml:space="preserve">niversity of </w:t>
      </w:r>
      <w:r w:rsidR="009D1950">
        <w:t>C</w:t>
      </w:r>
      <w:r w:rsidR="00ED3346">
        <w:t>alifornia</w:t>
      </w:r>
      <w:r w:rsidR="009D1950">
        <w:t xml:space="preserve"> Berkeley Environmental Law Clinic on behalf of</w:t>
      </w:r>
      <w:r w:rsidR="00ED3346">
        <w:t xml:space="preserve"> the</w:t>
      </w:r>
      <w:r w:rsidR="009D1950">
        <w:t xml:space="preserve"> Center on Race, Poverty &amp; the Environment, Leadership Counsel for Justice and Accountability, Self-Help Enterprises, and The Greenlining Institute (collectively, the “Pilot Team”); Public Advocates Office (</w:t>
      </w:r>
      <w:proofErr w:type="spellStart"/>
      <w:r w:rsidR="009D1950">
        <w:t>CalPA</w:t>
      </w:r>
      <w:proofErr w:type="spellEnd"/>
      <w:r w:rsidR="009D1950">
        <w:t xml:space="preserve">); The Utility Reform Network (TURN); </w:t>
      </w:r>
      <w:r w:rsidR="00EE2A6C">
        <w:t xml:space="preserve">and </w:t>
      </w:r>
      <w:r w:rsidR="009D1950">
        <w:t>Center for Accessible Technology (</w:t>
      </w:r>
      <w:proofErr w:type="spellStart"/>
      <w:r w:rsidR="009D1950">
        <w:t>CforAT</w:t>
      </w:r>
      <w:proofErr w:type="spellEnd"/>
      <w:r w:rsidR="009D1950">
        <w:t>).</w:t>
      </w:r>
    </w:p>
    <w:p w:rsidR="009D1950" w:rsidP="009D1950" w:rsidRDefault="009D1950"/>
    <w:p w:rsidR="009D1950" w:rsidP="009D1950" w:rsidRDefault="00AA6C10">
      <w:r>
        <w:t>On April 8, 2019, t</w:t>
      </w:r>
      <w:r w:rsidR="009D1950">
        <w:t>he following parties filed timely protests to SoCalGas AL</w:t>
      </w:r>
      <w:r w:rsidR="003B4DFA">
        <w:t xml:space="preserve"> 5439-G</w:t>
      </w:r>
      <w:r w:rsidR="009D1950">
        <w:t xml:space="preserve">: </w:t>
      </w:r>
      <w:proofErr w:type="gramStart"/>
      <w:r w:rsidR="009D1950">
        <w:t>the</w:t>
      </w:r>
      <w:proofErr w:type="gramEnd"/>
      <w:r w:rsidR="009D1950">
        <w:t xml:space="preserve"> Pilot Team and </w:t>
      </w:r>
      <w:proofErr w:type="spellStart"/>
      <w:r w:rsidR="009D1950">
        <w:t>CalPA</w:t>
      </w:r>
      <w:proofErr w:type="spellEnd"/>
      <w:r w:rsidR="009D1950">
        <w:t>.</w:t>
      </w:r>
    </w:p>
    <w:p w:rsidR="00F51265" w:rsidP="009D1950" w:rsidRDefault="00F51265"/>
    <w:p w:rsidR="000C6793" w:rsidP="009D1950" w:rsidRDefault="00887318">
      <w:r>
        <w:t xml:space="preserve">On April </w:t>
      </w:r>
      <w:r w:rsidR="00C21B6D">
        <w:t xml:space="preserve">15, 2019, </w:t>
      </w:r>
      <w:r w:rsidR="00F51265">
        <w:t>PG&amp;E and SCE jointly re</w:t>
      </w:r>
      <w:r w:rsidR="00ED3346">
        <w:t>plied</w:t>
      </w:r>
      <w:r w:rsidR="00F51265">
        <w:t xml:space="preserve"> t</w:t>
      </w:r>
      <w:r w:rsidR="007512E0">
        <w:t xml:space="preserve">o the protests, and </w:t>
      </w:r>
      <w:r w:rsidR="000C6793">
        <w:t>SoCalGas re</w:t>
      </w:r>
      <w:r w:rsidR="00ED3346">
        <w:t>plied</w:t>
      </w:r>
      <w:r w:rsidR="000C6793">
        <w:t xml:space="preserve"> to the</w:t>
      </w:r>
      <w:r w:rsidR="007512E0">
        <w:t xml:space="preserve"> </w:t>
      </w:r>
      <w:r w:rsidR="000C6793">
        <w:t>protests.</w:t>
      </w:r>
    </w:p>
    <w:p w:rsidR="009D1950" w:rsidP="009D1950" w:rsidRDefault="009D1950"/>
    <w:p w:rsidRPr="007B119F" w:rsidR="009D1950" w:rsidP="007B119F" w:rsidRDefault="008139AA">
      <w:pPr>
        <w:rPr>
          <w:b/>
          <w:bCs/>
          <w:u w:val="single"/>
        </w:rPr>
      </w:pPr>
      <w:r>
        <w:rPr>
          <w:b/>
          <w:bCs/>
          <w:u w:val="single"/>
        </w:rPr>
        <w:t xml:space="preserve">GRID and the Pilot Team </w:t>
      </w:r>
      <w:r w:rsidRPr="007B119F" w:rsidR="009D1950">
        <w:rPr>
          <w:b/>
          <w:bCs/>
          <w:u w:val="single"/>
        </w:rPr>
        <w:t>Protests to PG&amp;E and SCE ALs</w:t>
      </w:r>
    </w:p>
    <w:p w:rsidR="009D1950" w:rsidP="007B119F" w:rsidRDefault="009D1950">
      <w:r>
        <w:t xml:space="preserve">GRID and The </w:t>
      </w:r>
      <w:r w:rsidRPr="002109E5">
        <w:t xml:space="preserve">Pilot Team raised similar issues in their protests.  We summarize their </w:t>
      </w:r>
      <w:r w:rsidRPr="002109E5" w:rsidR="00B411EF">
        <w:t>issues</w:t>
      </w:r>
      <w:r w:rsidRPr="002109E5">
        <w:t xml:space="preserve"> below</w:t>
      </w:r>
      <w:r w:rsidRPr="002109E5" w:rsidR="00D560DC">
        <w:t>. Each issue is followed by a summary of</w:t>
      </w:r>
      <w:r w:rsidRPr="002109E5" w:rsidR="00AF2023">
        <w:t xml:space="preserve"> P</w:t>
      </w:r>
      <w:r w:rsidRPr="002109E5" w:rsidR="007B119F">
        <w:t xml:space="preserve">G&amp;E and SCE’s </w:t>
      </w:r>
      <w:r w:rsidRPr="002109E5" w:rsidR="00272F65">
        <w:t xml:space="preserve">reply to the issue, if </w:t>
      </w:r>
      <w:r w:rsidRPr="002109E5" w:rsidR="00635BF8">
        <w:t>PG&amp;E and</w:t>
      </w:r>
      <w:r w:rsidRPr="002109E5" w:rsidR="003B5646">
        <w:t>/or</w:t>
      </w:r>
      <w:r w:rsidRPr="002109E5" w:rsidR="00635BF8">
        <w:t xml:space="preserve"> SCE </w:t>
      </w:r>
      <w:r w:rsidRPr="002109E5" w:rsidR="00272F65">
        <w:t>directly address</w:t>
      </w:r>
      <w:r w:rsidRPr="002109E5" w:rsidR="00635BF8">
        <w:t xml:space="preserve"> the</w:t>
      </w:r>
      <w:r w:rsidR="008C63A4">
        <w:t xml:space="preserve"> specific</w:t>
      </w:r>
      <w:r w:rsidRPr="002109E5" w:rsidR="00635BF8">
        <w:t xml:space="preserve"> issue</w:t>
      </w:r>
      <w:r w:rsidR="00AA03BC">
        <w:t xml:space="preserve"> in their joint reply</w:t>
      </w:r>
      <w:r w:rsidRPr="002109E5" w:rsidR="00635BF8">
        <w:t>.</w:t>
      </w:r>
    </w:p>
    <w:p w:rsidR="007B119F" w:rsidP="007B119F" w:rsidRDefault="007B119F"/>
    <w:p w:rsidR="009D1950" w:rsidP="009D1950" w:rsidRDefault="009D1950">
      <w:pPr>
        <w:rPr>
          <w:i/>
          <w:iCs/>
        </w:rPr>
      </w:pPr>
      <w:r>
        <w:rPr>
          <w:i/>
          <w:iCs/>
          <w:u w:val="single"/>
        </w:rPr>
        <w:t xml:space="preserve">PG&amp;E/SCE </w:t>
      </w:r>
      <w:r w:rsidRPr="00145B1E">
        <w:rPr>
          <w:i/>
          <w:iCs/>
          <w:u w:val="single"/>
        </w:rPr>
        <w:t xml:space="preserve">Proposals Do Not Comply </w:t>
      </w:r>
      <w:r w:rsidR="00B411EF">
        <w:rPr>
          <w:i/>
          <w:iCs/>
          <w:u w:val="single"/>
        </w:rPr>
        <w:t>w</w:t>
      </w:r>
      <w:r w:rsidRPr="00145B1E">
        <w:rPr>
          <w:i/>
          <w:iCs/>
          <w:u w:val="single"/>
        </w:rPr>
        <w:t>ith AB 2672 Affordability Mandate</w:t>
      </w:r>
      <w:r>
        <w:rPr>
          <w:i/>
          <w:iCs/>
        </w:rPr>
        <w:t xml:space="preserve"> </w:t>
      </w:r>
    </w:p>
    <w:p w:rsidR="009D1950" w:rsidP="009D1950" w:rsidRDefault="009D1950">
      <w:r>
        <w:t xml:space="preserve">The Pilot Team and GRID believe that </w:t>
      </w:r>
      <w:r w:rsidR="0019699D">
        <w:t>PG&amp;E and SCE</w:t>
      </w:r>
      <w:r>
        <w:t xml:space="preserve"> proposals do not meet the legislative directive of energy affordability under AB 2672. The Pilot Team states that the statutory language is clear that current energy sources in disadvantaged communities in the San Joaquin Valley are not affordable, and therefore energy savings </w:t>
      </w:r>
      <w:r w:rsidR="001934D5">
        <w:t xml:space="preserve">for participating customers </w:t>
      </w:r>
      <w:r>
        <w:t xml:space="preserve">must be more than nominal in order to scale these pilots to the other 170 identified communities. GRID concurs that </w:t>
      </w:r>
      <w:r w:rsidR="00ED0976">
        <w:t>PG&amp;E and SCE’s</w:t>
      </w:r>
      <w:r>
        <w:t xml:space="preserve"> goal of bill neutrality does not meet </w:t>
      </w:r>
      <w:r w:rsidR="000D13A8">
        <w:t xml:space="preserve">the </w:t>
      </w:r>
      <w:r>
        <w:t>legislative intent of AB 2672.</w:t>
      </w:r>
    </w:p>
    <w:p w:rsidR="009D1950" w:rsidP="009D1950" w:rsidRDefault="009D1950"/>
    <w:p w:rsidR="000856F2" w:rsidP="002E2D67" w:rsidRDefault="009D1950">
      <w:r>
        <w:t xml:space="preserve">The Pilot </w:t>
      </w:r>
      <w:r w:rsidR="00554276">
        <w:t>T</w:t>
      </w:r>
      <w:r>
        <w:t xml:space="preserve">eam also asserts that these pilot communities have faced historical inequity, and it is contrary to legislative intent to protect these communities only in the short-term. The Pilot </w:t>
      </w:r>
      <w:r w:rsidR="00B86823">
        <w:t>T</w:t>
      </w:r>
      <w:r>
        <w:t xml:space="preserve">eam further argues that there should be an element of reparation and restitution to account for </w:t>
      </w:r>
      <w:r w:rsidR="001934D5">
        <w:t>50</w:t>
      </w:r>
      <w:r>
        <w:t xml:space="preserve"> years of denial of access to affordable energy in these communities.</w:t>
      </w:r>
      <w:r w:rsidR="000856F2">
        <w:t xml:space="preserve"> </w:t>
      </w:r>
    </w:p>
    <w:p w:rsidR="001A5211" w:rsidP="002E2D67" w:rsidRDefault="001A5211"/>
    <w:p w:rsidR="001A5211" w:rsidP="00AF7885" w:rsidRDefault="001A5211">
      <w:pPr>
        <w:rPr>
          <w:i/>
          <w:iCs/>
        </w:rPr>
      </w:pPr>
      <w:r w:rsidRPr="00C21376">
        <w:rPr>
          <w:i/>
          <w:iCs/>
        </w:rPr>
        <w:t>PG&amp;E and SCE joint reply:</w:t>
      </w:r>
    </w:p>
    <w:p w:rsidRPr="00C40F91" w:rsidR="00C40F91" w:rsidP="00AF7885" w:rsidRDefault="00882610">
      <w:r>
        <w:t>PG&amp;E and SCE state that they met the intent of AB 2672 with their proposals</w:t>
      </w:r>
      <w:r w:rsidR="00324422">
        <w:t>,</w:t>
      </w:r>
      <w:r w:rsidR="0058142F">
        <w:t xml:space="preserve"> and PG&amp;E specifically rejects GRID’s assertion that its bill protection proposal does not provide a sufficient level of affordability for participants. </w:t>
      </w:r>
      <w:r w:rsidR="00ED0976">
        <w:t>PG&amp;E and SCE</w:t>
      </w:r>
      <w:r w:rsidR="0058142F">
        <w:t xml:space="preserve"> p</w:t>
      </w:r>
      <w:r>
        <w:t xml:space="preserve">oint to </w:t>
      </w:r>
      <w:r w:rsidR="00FB0A7B">
        <w:t xml:space="preserve">how CARE customers will see an energy cost savings </w:t>
      </w:r>
      <w:r w:rsidR="00441088">
        <w:t xml:space="preserve">given the proposals are based on the largest electric bill forecasted increase and smallest </w:t>
      </w:r>
      <w:r w:rsidR="00324422">
        <w:t xml:space="preserve">amount of </w:t>
      </w:r>
      <w:r w:rsidR="00441088">
        <w:t xml:space="preserve">propane savings. </w:t>
      </w:r>
      <w:r w:rsidR="0058142F">
        <w:t xml:space="preserve">In response to the assertion that pilot communities have faced historical inequity, PG&amp;E </w:t>
      </w:r>
      <w:r w:rsidR="00C84715">
        <w:t>references a previously filed response to administrative law judge question</w:t>
      </w:r>
      <w:r w:rsidR="0027623E">
        <w:t>s</w:t>
      </w:r>
      <w:r w:rsidR="00324422">
        <w:t xml:space="preserve"> from the SJV proceeding</w:t>
      </w:r>
      <w:r w:rsidR="00C84715">
        <w:t>.</w:t>
      </w:r>
      <w:r w:rsidR="0027623E">
        <w:rPr>
          <w:rStyle w:val="FootnoteReference"/>
        </w:rPr>
        <w:footnoteReference w:id="16"/>
      </w:r>
      <w:r w:rsidR="0058142F">
        <w:t xml:space="preserve"> </w:t>
      </w:r>
    </w:p>
    <w:p w:rsidR="007B119F" w:rsidP="009D1950" w:rsidRDefault="007B119F"/>
    <w:p w:rsidR="009D1950" w:rsidP="009D1950" w:rsidRDefault="009D1950">
      <w:pPr>
        <w:rPr>
          <w:i/>
          <w:iCs/>
        </w:rPr>
      </w:pPr>
      <w:r>
        <w:rPr>
          <w:i/>
          <w:iCs/>
          <w:u w:val="single"/>
        </w:rPr>
        <w:t>PG&amp;E/SCE</w:t>
      </w:r>
      <w:r w:rsidRPr="00145B1E">
        <w:rPr>
          <w:i/>
          <w:iCs/>
          <w:u w:val="single"/>
        </w:rPr>
        <w:t xml:space="preserve"> Misinterpret $500 As Ceiling and Not a Floor</w:t>
      </w:r>
      <w:r>
        <w:rPr>
          <w:i/>
          <w:iCs/>
          <w:u w:val="single"/>
        </w:rPr>
        <w:t>, and The Proposed Duration is Not Sufficient</w:t>
      </w:r>
    </w:p>
    <w:p w:rsidR="009D1950" w:rsidP="009D1950" w:rsidRDefault="009D1950">
      <w:r>
        <w:t xml:space="preserve">GRID states that PG&amp;E errs in considering $500 per household as a ceiling instead of a floor, pointing to the language in the </w:t>
      </w:r>
      <w:r w:rsidR="00422B44">
        <w:t xml:space="preserve">SJV Pilots Decision </w:t>
      </w:r>
      <w:r>
        <w:t>that calls $500 a “starting point.”</w:t>
      </w:r>
      <w:r w:rsidR="006759AB">
        <w:rPr>
          <w:rStyle w:val="FootnoteReference"/>
        </w:rPr>
        <w:footnoteReference w:id="17"/>
      </w:r>
      <w:r>
        <w:t xml:space="preserve"> GRID notes that it is also procedurally possible for </w:t>
      </w:r>
      <w:r w:rsidR="00ED0976">
        <w:t>PG&amp;E and SCE</w:t>
      </w:r>
      <w:r>
        <w:t xml:space="preserve"> to request more funding.</w:t>
      </w:r>
    </w:p>
    <w:p w:rsidR="009D1950" w:rsidP="009D1950" w:rsidRDefault="009D1950"/>
    <w:p w:rsidR="009D1950" w:rsidP="009D1950" w:rsidRDefault="009D1950">
      <w:r>
        <w:t xml:space="preserve">GRID and </w:t>
      </w:r>
      <w:r w:rsidR="001934D5">
        <w:t xml:space="preserve">the </w:t>
      </w:r>
      <w:r>
        <w:t>Pilot</w:t>
      </w:r>
      <w:r w:rsidR="001934D5">
        <w:t xml:space="preserve"> Team</w:t>
      </w:r>
      <w:r>
        <w:t xml:space="preserve"> also assert that </w:t>
      </w:r>
      <w:r w:rsidR="004E28B5">
        <w:t>PG&amp;E and SCE’s</w:t>
      </w:r>
      <w:r>
        <w:t xml:space="preserve"> proposed three-year bill protection time period is not sufficient. GRID notes that electrification treatments cannot be reversed, and the duration should be at least the expected life of the new appliances. The Pilot team states that a duration shorter than </w:t>
      </w:r>
      <w:r w:rsidR="001934D5">
        <w:t>20</w:t>
      </w:r>
      <w:r>
        <w:t xml:space="preserve"> years does not mitigate potential for unintended consequences, such as rebound effect and fluctuations in energy pricing. The Pilot </w:t>
      </w:r>
      <w:r w:rsidR="001934D5">
        <w:t>T</w:t>
      </w:r>
      <w:r>
        <w:t>eam also alleges that a three-year duration will inadequately mitigate bill shock.</w:t>
      </w:r>
    </w:p>
    <w:p w:rsidR="0082465A" w:rsidP="009D1950" w:rsidRDefault="0082465A">
      <w:pPr>
        <w:rPr>
          <w:i/>
          <w:iCs/>
        </w:rPr>
      </w:pPr>
    </w:p>
    <w:p w:rsidR="00AF2023" w:rsidP="009D1950" w:rsidRDefault="00AF2023">
      <w:pPr>
        <w:rPr>
          <w:i/>
          <w:iCs/>
        </w:rPr>
      </w:pPr>
      <w:r w:rsidRPr="00F134BD">
        <w:rPr>
          <w:i/>
          <w:iCs/>
        </w:rPr>
        <w:t>PG&amp;E and SCE joint reply:</w:t>
      </w:r>
    </w:p>
    <w:p w:rsidRPr="00F754DC" w:rsidR="002E2D67" w:rsidP="00AF7885" w:rsidRDefault="00F754DC">
      <w:r>
        <w:t>PG&amp;E and SCE seek clarity on the Commission’s intent behind stating that $500 is a “starting point</w:t>
      </w:r>
      <w:r w:rsidR="00B00ABD">
        <w:t>.</w:t>
      </w:r>
      <w:r>
        <w:t>”</w:t>
      </w:r>
      <w:r w:rsidR="00B00ABD">
        <w:t xml:space="preserve"> </w:t>
      </w:r>
      <w:r w:rsidR="001A5211">
        <w:t>PG&amp;E and SCE</w:t>
      </w:r>
      <w:r w:rsidR="00B00ABD">
        <w:t xml:space="preserve"> state that the Commission did not clarify </w:t>
      </w:r>
      <w:r w:rsidR="001A5211">
        <w:t xml:space="preserve">whether </w:t>
      </w:r>
      <w:r w:rsidR="008346E1">
        <w:t xml:space="preserve">the IOUs should propose amounts outside the authorized budgets, though PG&amp;E and SCE believe that $500 is adequate in addressing </w:t>
      </w:r>
      <w:r w:rsidR="00F134BD">
        <w:t>the need to protect against bill shock and address affordability.</w:t>
      </w:r>
    </w:p>
    <w:p w:rsidR="009D1950" w:rsidP="009D1950" w:rsidRDefault="009D1950"/>
    <w:p w:rsidR="009D1950" w:rsidP="009D1950" w:rsidRDefault="009D1950">
      <w:pPr>
        <w:rPr>
          <w:i/>
          <w:iCs/>
          <w:u w:val="single"/>
        </w:rPr>
      </w:pPr>
      <w:r w:rsidRPr="00145B1E">
        <w:rPr>
          <w:i/>
          <w:iCs/>
          <w:u w:val="single"/>
        </w:rPr>
        <w:t>Modeling Forecasts Are Highly Speculative</w:t>
      </w:r>
      <w:r w:rsidRPr="00E347B1">
        <w:rPr>
          <w:i/>
          <w:iCs/>
          <w:u w:val="single"/>
        </w:rPr>
        <w:t xml:space="preserve"> </w:t>
      </w:r>
    </w:p>
    <w:p w:rsidR="009D1950" w:rsidP="009D1950" w:rsidRDefault="009D1950">
      <w:r>
        <w:t xml:space="preserve">GRID and the Pilot Team repeatedly call attention to the fact that </w:t>
      </w:r>
      <w:r w:rsidR="00ED0976">
        <w:t>PG&amp;E and SCE</w:t>
      </w:r>
      <w:r>
        <w:t xml:space="preserve"> proposals are based on</w:t>
      </w:r>
      <w:r w:rsidR="001934D5">
        <w:t xml:space="preserve"> energy use forecasts and energy costs that utilize </w:t>
      </w:r>
      <w:r>
        <w:t>highly speculative and incomplete</w:t>
      </w:r>
      <w:r w:rsidR="001934D5">
        <w:t xml:space="preserve"> or </w:t>
      </w:r>
      <w:r>
        <w:t xml:space="preserve">anecdotal data. They argue </w:t>
      </w:r>
      <w:r w:rsidR="001934D5">
        <w:t xml:space="preserve">that </w:t>
      </w:r>
      <w:r>
        <w:t xml:space="preserve">a large savings buffer must be considered to ensure cost savings given these uncertainties.  Some speculative factors they point to in </w:t>
      </w:r>
      <w:r w:rsidR="00ED0976">
        <w:t>PG&amp;E and SCE’s</w:t>
      </w:r>
      <w:r>
        <w:t xml:space="preserve"> analys</w:t>
      </w:r>
      <w:r w:rsidR="001934D5">
        <w:t>e</w:t>
      </w:r>
      <w:r>
        <w:t xml:space="preserve">s include: </w:t>
      </w:r>
    </w:p>
    <w:p w:rsidR="009D1950" w:rsidP="002A7EF5" w:rsidRDefault="009D1950">
      <w:pPr>
        <w:pStyle w:val="ListParagraph"/>
        <w:numPr>
          <w:ilvl w:val="0"/>
          <w:numId w:val="8"/>
        </w:numPr>
      </w:pPr>
      <w:r>
        <w:t>Uncertainties in current and future energy usage</w:t>
      </w:r>
      <w:r w:rsidR="003949F0">
        <w:t>;</w:t>
      </w:r>
    </w:p>
    <w:p w:rsidR="009D1950" w:rsidP="002A7EF5" w:rsidRDefault="009D1950">
      <w:pPr>
        <w:pStyle w:val="ListParagraph"/>
        <w:numPr>
          <w:ilvl w:val="0"/>
          <w:numId w:val="8"/>
        </w:numPr>
      </w:pPr>
      <w:r>
        <w:t>Propane estimates based on small samples from non-pilot proxy communities or gas customers</w:t>
      </w:r>
      <w:r w:rsidR="003949F0">
        <w:t>;</w:t>
      </w:r>
    </w:p>
    <w:p w:rsidR="009D1950" w:rsidP="002A7EF5" w:rsidRDefault="009D1950">
      <w:pPr>
        <w:pStyle w:val="ListParagraph"/>
        <w:numPr>
          <w:ilvl w:val="0"/>
          <w:numId w:val="8"/>
        </w:numPr>
      </w:pPr>
      <w:r>
        <w:t>Chance that some participants will not install heat pump space heating, which means these participants may still rely on propane</w:t>
      </w:r>
      <w:r w:rsidR="003949F0">
        <w:t>;</w:t>
      </w:r>
    </w:p>
    <w:p w:rsidR="009D1950" w:rsidP="002A7EF5" w:rsidRDefault="009D1950">
      <w:pPr>
        <w:pStyle w:val="ListParagraph"/>
        <w:numPr>
          <w:ilvl w:val="0"/>
          <w:numId w:val="8"/>
        </w:numPr>
      </w:pPr>
      <w:r>
        <w:t>Risk of delay in some participants receiving a 20</w:t>
      </w:r>
      <w:r w:rsidR="007357A3">
        <w:t xml:space="preserve"> percent</w:t>
      </w:r>
      <w:r>
        <w:t xml:space="preserve"> electric bill discount under the DAC-GT</w:t>
      </w:r>
      <w:r w:rsidR="00C3664F">
        <w:t xml:space="preserve"> Program</w:t>
      </w:r>
      <w:r>
        <w:t xml:space="preserve"> or</w:t>
      </w:r>
      <w:r w:rsidR="00C3664F">
        <w:t xml:space="preserve"> </w:t>
      </w:r>
      <w:r>
        <w:t>CSGT</w:t>
      </w:r>
      <w:r w:rsidR="00C3664F">
        <w:t xml:space="preserve"> P</w:t>
      </w:r>
      <w:r>
        <w:t>rogram</w:t>
      </w:r>
      <w:r w:rsidR="003949F0">
        <w:t>; and</w:t>
      </w:r>
    </w:p>
    <w:p w:rsidR="009D1950" w:rsidP="002A7EF5" w:rsidRDefault="009D1950">
      <w:pPr>
        <w:pStyle w:val="ListParagraph"/>
        <w:numPr>
          <w:ilvl w:val="0"/>
          <w:numId w:val="8"/>
        </w:numPr>
      </w:pPr>
      <w:r>
        <w:t>Single point estimates that do not convey a range of possible savings, compared to a more robust modeling approach</w:t>
      </w:r>
      <w:r w:rsidR="003949F0">
        <w:t>.</w:t>
      </w:r>
      <w:r>
        <w:t xml:space="preserve"> </w:t>
      </w:r>
    </w:p>
    <w:p w:rsidR="009D1950" w:rsidP="009D1950" w:rsidRDefault="009D1950"/>
    <w:p w:rsidR="00AF2023" w:rsidP="009D1950" w:rsidRDefault="009D1950">
      <w:r>
        <w:t xml:space="preserve">GRID also asserts that SCE’s estimated post-pilot electric usage for heat pump space conditioning is unreasonably low. GRID contends that SCE should at least use PG&amp;E’s </w:t>
      </w:r>
      <w:proofErr w:type="gramStart"/>
      <w:r>
        <w:t xml:space="preserve">3500 </w:t>
      </w:r>
      <w:r w:rsidR="007357A3">
        <w:t>kilowatt</w:t>
      </w:r>
      <w:proofErr w:type="gramEnd"/>
      <w:r w:rsidR="007357A3">
        <w:t xml:space="preserve"> hour (</w:t>
      </w:r>
      <w:r>
        <w:t>kWh</w:t>
      </w:r>
      <w:r w:rsidR="007357A3">
        <w:t>)</w:t>
      </w:r>
      <w:r>
        <w:t xml:space="preserve"> per year input, based on the RASS</w:t>
      </w:r>
      <w:r w:rsidR="00EC64A1">
        <w:t>,</w:t>
      </w:r>
      <w:r>
        <w:t xml:space="preserve"> instead of SCE’s 1946 kWh per year input, which GRID states is not clearly cited in SCE’s AL.</w:t>
      </w:r>
    </w:p>
    <w:p w:rsidR="00294B6D" w:rsidRDefault="00294B6D">
      <w:pPr>
        <w:rPr>
          <w:i/>
          <w:iCs/>
        </w:rPr>
      </w:pPr>
    </w:p>
    <w:p w:rsidRPr="005964B3" w:rsidR="005964B3" w:rsidP="005964B3" w:rsidRDefault="005964B3">
      <w:pPr>
        <w:rPr>
          <w:i/>
          <w:iCs/>
        </w:rPr>
      </w:pPr>
      <w:r w:rsidRPr="005964B3">
        <w:rPr>
          <w:i/>
          <w:iCs/>
        </w:rPr>
        <w:t>PG&amp;E and SCE joint reply:</w:t>
      </w:r>
    </w:p>
    <w:p w:rsidR="005964B3" w:rsidP="009D1950" w:rsidRDefault="00127BCC">
      <w:r>
        <w:t xml:space="preserve">PG&amp;E and SCE state that various parties have delineated the gaps in key data elements, such as pre-pilot non-electric energy costs. PG&amp;E and SCE </w:t>
      </w:r>
      <w:r w:rsidR="005A6057">
        <w:t>state</w:t>
      </w:r>
      <w:r>
        <w:t xml:space="preserve"> that they believe that this deficiency is more reason to carefully observe and collect informatio</w:t>
      </w:r>
      <w:r w:rsidR="005A6057">
        <w:t>n, such as the</w:t>
      </w:r>
      <w:r w:rsidR="00803512">
        <w:t xml:space="preserve"> data that will be contained in the</w:t>
      </w:r>
      <w:r w:rsidR="005A6057">
        <w:t xml:space="preserve"> quarterly aggregated bill impact reports </w:t>
      </w:r>
      <w:r w:rsidR="00383468">
        <w:t xml:space="preserve">they </w:t>
      </w:r>
      <w:r w:rsidR="000D523A">
        <w:t xml:space="preserve">are required to </w:t>
      </w:r>
      <w:r w:rsidR="00383468">
        <w:t xml:space="preserve">file </w:t>
      </w:r>
      <w:r w:rsidR="000D523A">
        <w:t>on a quarterly basis</w:t>
      </w:r>
      <w:r w:rsidR="005A6057">
        <w:t>.</w:t>
      </w:r>
      <w:r w:rsidR="003933B6">
        <w:rPr>
          <w:rStyle w:val="FootnoteReference"/>
        </w:rPr>
        <w:footnoteReference w:id="18"/>
      </w:r>
      <w:r w:rsidR="005A6057">
        <w:t xml:space="preserve"> </w:t>
      </w:r>
      <w:r w:rsidR="00803512">
        <w:t xml:space="preserve">These </w:t>
      </w:r>
      <w:r w:rsidR="005A6057">
        <w:t>reports</w:t>
      </w:r>
      <w:r w:rsidR="00803512">
        <w:t>, according to PG&amp;E and SCE,</w:t>
      </w:r>
      <w:r w:rsidR="005A6057">
        <w:t xml:space="preserve"> will inform subsequent steps that the Commission should take regarding bill protection.</w:t>
      </w:r>
    </w:p>
    <w:p w:rsidR="005A6057" w:rsidP="009D1950" w:rsidRDefault="005A6057"/>
    <w:p w:rsidR="009D1950" w:rsidP="009D1950" w:rsidRDefault="009D1950">
      <w:pPr>
        <w:rPr>
          <w:i/>
          <w:iCs/>
        </w:rPr>
      </w:pPr>
      <w:r w:rsidRPr="00145B1E">
        <w:rPr>
          <w:i/>
          <w:iCs/>
          <w:u w:val="single"/>
        </w:rPr>
        <w:t xml:space="preserve">Proposals Do Not Account </w:t>
      </w:r>
      <w:r w:rsidR="007357A3">
        <w:rPr>
          <w:i/>
          <w:iCs/>
          <w:u w:val="single"/>
        </w:rPr>
        <w:t>f</w:t>
      </w:r>
      <w:r w:rsidRPr="00145B1E">
        <w:rPr>
          <w:i/>
          <w:iCs/>
          <w:u w:val="single"/>
        </w:rPr>
        <w:t>or Rebound Effect</w:t>
      </w:r>
      <w:r>
        <w:rPr>
          <w:i/>
          <w:iCs/>
        </w:rPr>
        <w:t xml:space="preserve"> </w:t>
      </w:r>
    </w:p>
    <w:p w:rsidR="009D1950" w:rsidP="009D1950" w:rsidRDefault="009D1950">
      <w:r>
        <w:t xml:space="preserve">The Pilot Team and GRID state that the </w:t>
      </w:r>
      <w:r w:rsidR="00C069A0">
        <w:t>PG&amp;E and SCE’s</w:t>
      </w:r>
      <w:r>
        <w:t xml:space="preserve"> proposals, particularly PGE’s, do not sufficiently model rebound effect as required by the Decision. GRID notes that PG&amp;E </w:t>
      </w:r>
      <w:r w:rsidR="007357A3">
        <w:t xml:space="preserve">states that it </w:t>
      </w:r>
      <w:r>
        <w:t xml:space="preserve">uses conservative inputs instead of modeling a rebound effect, which </w:t>
      </w:r>
      <w:r w:rsidR="007357A3">
        <w:t>GRID</w:t>
      </w:r>
      <w:r>
        <w:t xml:space="preserve"> declares is not an adequate substitute. The Pilot team states that there is not enough available information to determine how </w:t>
      </w:r>
      <w:r w:rsidR="00830A6F">
        <w:t xml:space="preserve">a </w:t>
      </w:r>
      <w:r>
        <w:t>rebound effect might apply to SJV communities that have been denied access to affordable energy.</w:t>
      </w:r>
      <w:r w:rsidR="0089524C">
        <w:rPr>
          <w:rStyle w:val="FootnoteReference"/>
        </w:rPr>
        <w:footnoteReference w:id="19"/>
      </w:r>
      <w:r>
        <w:t xml:space="preserve"> Given this deficiency, </w:t>
      </w:r>
      <w:r w:rsidR="00ED0976">
        <w:t>PG&amp;E and SCE</w:t>
      </w:r>
      <w:r>
        <w:t xml:space="preserve"> should provide as large a savings buffer as possible to avoid underestimating the impact of rebound effect on bill savings.</w:t>
      </w:r>
    </w:p>
    <w:p w:rsidR="00AF2023" w:rsidP="009D1950" w:rsidRDefault="00AF2023"/>
    <w:p w:rsidR="00AF2023" w:rsidP="009D1950" w:rsidRDefault="00AF2023">
      <w:pPr>
        <w:rPr>
          <w:i/>
          <w:iCs/>
        </w:rPr>
      </w:pPr>
      <w:r w:rsidRPr="00AF2023">
        <w:rPr>
          <w:i/>
          <w:iCs/>
        </w:rPr>
        <w:t xml:space="preserve">PG&amp;E </w:t>
      </w:r>
      <w:r w:rsidR="00014C16">
        <w:rPr>
          <w:i/>
          <w:iCs/>
        </w:rPr>
        <w:t xml:space="preserve">and SCE joint </w:t>
      </w:r>
      <w:r w:rsidRPr="00AF2023">
        <w:rPr>
          <w:i/>
          <w:iCs/>
        </w:rPr>
        <w:t>reply:</w:t>
      </w:r>
    </w:p>
    <w:p w:rsidR="000B2706" w:rsidP="005A6057" w:rsidRDefault="000B2706">
      <w:r w:rsidRPr="000B2706">
        <w:t xml:space="preserve">PG&amp;E states that it did not explicitly model rebound effect because it had not identified any research that would support applying a percentage discount across the board. </w:t>
      </w:r>
      <w:r w:rsidR="000F5A66">
        <w:t xml:space="preserve">SCE states that it applied a 30 percent increase to its heat pump space conditioning for the entire year after </w:t>
      </w:r>
      <w:r w:rsidR="00444F47">
        <w:t>conducting analyses on customers’ summer and winter usage differential.</w:t>
      </w:r>
      <w:r w:rsidR="00EC134F">
        <w:t xml:space="preserve"> PG&amp;E adds that it also increased its heat pump space conditioning usage</w:t>
      </w:r>
      <w:r w:rsidR="005A3817">
        <w:t xml:space="preserve"> from its original 2018 proposal</w:t>
      </w:r>
      <w:r w:rsidR="00EC134F">
        <w:t xml:space="preserve"> </w:t>
      </w:r>
      <w:r w:rsidR="005A3817">
        <w:t>by almost 60 percent due to health, safety, and comfort</w:t>
      </w:r>
      <w:r w:rsidR="00D53BDD">
        <w:t xml:space="preserve"> and maintains that it is not necessary to apply an additional incremental rebound effect.</w:t>
      </w:r>
    </w:p>
    <w:p w:rsidR="009D1950" w:rsidP="009D1950" w:rsidRDefault="009D1950"/>
    <w:p w:rsidR="009D1950" w:rsidP="009D1950" w:rsidRDefault="009D1950">
      <w:pPr>
        <w:rPr>
          <w:i/>
          <w:iCs/>
        </w:rPr>
      </w:pPr>
      <w:r w:rsidRPr="00FD41EE">
        <w:rPr>
          <w:i/>
          <w:iCs/>
          <w:u w:val="single"/>
        </w:rPr>
        <w:t>PG&amp;E/SCE’s Estimated Cost Savings Are Not Significant Enough</w:t>
      </w:r>
      <w:r>
        <w:rPr>
          <w:i/>
          <w:iCs/>
        </w:rPr>
        <w:t xml:space="preserve"> </w:t>
      </w:r>
    </w:p>
    <w:p w:rsidR="009D1950" w:rsidP="009D1950" w:rsidRDefault="009D1950">
      <w:r>
        <w:t xml:space="preserve">GRID and the Pilot Team assert that the level </w:t>
      </w:r>
      <w:r w:rsidR="00830A6F">
        <w:t xml:space="preserve">of </w:t>
      </w:r>
      <w:r>
        <w:t>projected participant savings is not sufficiently meaningful, an</w:t>
      </w:r>
      <w:r w:rsidR="00F06598">
        <w:t xml:space="preserve">d </w:t>
      </w:r>
      <w:r>
        <w:t xml:space="preserve">pilot projects must at a minimum provide </w:t>
      </w:r>
      <w:r w:rsidR="00FB5B64">
        <w:t>energy cost</w:t>
      </w:r>
      <w:r w:rsidR="00830A6F">
        <w:t xml:space="preserve"> </w:t>
      </w:r>
      <w:r>
        <w:t xml:space="preserve">savings, not just bill protections. GRID states that PG&amp;E’s projected </w:t>
      </w:r>
      <w:r w:rsidR="00FB5B64">
        <w:t>eight</w:t>
      </w:r>
      <w:r w:rsidR="007357A3">
        <w:t xml:space="preserve"> percent</w:t>
      </w:r>
      <w:r>
        <w:t xml:space="preserve"> energy cost savings for median CARE customers and 14</w:t>
      </w:r>
      <w:r w:rsidR="007357A3">
        <w:t xml:space="preserve"> percent</w:t>
      </w:r>
      <w:r>
        <w:t xml:space="preserve"> energy cost savings for median non-CARE customers, for example, is not likely to make a meaningful difference in the level of affordability for participants.</w:t>
      </w:r>
      <w:r>
        <w:rPr>
          <w:rStyle w:val="FootnoteReference"/>
        </w:rPr>
        <w:footnoteReference w:id="20"/>
      </w:r>
      <w:r>
        <w:t xml:space="preserve"> GRID also notes that these energy cost saving</w:t>
      </w:r>
      <w:r w:rsidR="007357A3">
        <w:t>s</w:t>
      </w:r>
      <w:r>
        <w:t xml:space="preserve"> projections apply to the median customer, and thus</w:t>
      </w:r>
      <w:r w:rsidR="007357A3">
        <w:t>,</w:t>
      </w:r>
      <w:r>
        <w:t xml:space="preserve"> savings are projected to be lower for many participants. GRID continues to state that any risk of a bill increase for any customer in a statistically reasonable distribution of customer energy users is unacceptable. The Pilot Team further states that bill savings should be at least as low as the natural gas rate.</w:t>
      </w:r>
    </w:p>
    <w:p w:rsidR="00AF2023" w:rsidP="009D1950" w:rsidRDefault="00AF2023"/>
    <w:p w:rsidR="00AF2023" w:rsidP="009D1950" w:rsidRDefault="00AF2023">
      <w:pPr>
        <w:rPr>
          <w:i/>
          <w:iCs/>
        </w:rPr>
      </w:pPr>
      <w:r w:rsidRPr="00F14B86">
        <w:rPr>
          <w:i/>
          <w:iCs/>
        </w:rPr>
        <w:t>PG&amp;E and SCE joint reply:</w:t>
      </w:r>
      <w:r w:rsidR="00353E7A">
        <w:rPr>
          <w:i/>
          <w:iCs/>
        </w:rPr>
        <w:t xml:space="preserve"> </w:t>
      </w:r>
    </w:p>
    <w:p w:rsidR="00F14B86" w:rsidP="00FB5B64" w:rsidRDefault="00F06598">
      <w:r>
        <w:t xml:space="preserve">PG&amp;E and SCE </w:t>
      </w:r>
      <w:r w:rsidR="00FE0DD4">
        <w:t xml:space="preserve">state that </w:t>
      </w:r>
      <w:r w:rsidR="00FB5B64">
        <w:t xml:space="preserve">they </w:t>
      </w:r>
      <w:r>
        <w:t xml:space="preserve">agree with the Pilot Team that </w:t>
      </w:r>
      <w:r w:rsidR="002320BA">
        <w:t xml:space="preserve">pilot projects must provide participants with </w:t>
      </w:r>
      <w:r w:rsidR="00FB5B64">
        <w:t>energy cost</w:t>
      </w:r>
      <w:r w:rsidR="002320BA">
        <w:t xml:space="preserve"> savings, not just bill neutrality. PG&amp;E and </w:t>
      </w:r>
    </w:p>
    <w:p w:rsidRPr="00F06598" w:rsidR="00F06598" w:rsidP="007D0EE6" w:rsidRDefault="002320BA">
      <w:r>
        <w:t xml:space="preserve">SCE </w:t>
      </w:r>
      <w:r w:rsidR="009145E0">
        <w:t xml:space="preserve">believe their </w:t>
      </w:r>
      <w:r w:rsidR="00EC7B27">
        <w:t xml:space="preserve">level of </w:t>
      </w:r>
      <w:r w:rsidR="00AF29D6">
        <w:t xml:space="preserve">forecasted </w:t>
      </w:r>
      <w:r w:rsidR="00EC7B27">
        <w:t xml:space="preserve">savings </w:t>
      </w:r>
      <w:r w:rsidR="009145E0">
        <w:t>meet the intent of AB 2672.</w:t>
      </w:r>
    </w:p>
    <w:p w:rsidR="009D1950" w:rsidP="009D1950" w:rsidRDefault="009D1950">
      <w:r>
        <w:t xml:space="preserve"> </w:t>
      </w:r>
    </w:p>
    <w:p w:rsidR="009D1950" w:rsidP="009D1950" w:rsidRDefault="009D1950">
      <w:pPr>
        <w:rPr>
          <w:i/>
          <w:iCs/>
        </w:rPr>
      </w:pPr>
      <w:r w:rsidRPr="00573BBD">
        <w:rPr>
          <w:i/>
          <w:iCs/>
          <w:u w:val="single"/>
        </w:rPr>
        <w:t>PG&amp;E/SCE Proposals Could Discourage Pilot Participation</w:t>
      </w:r>
      <w:r>
        <w:rPr>
          <w:i/>
          <w:iCs/>
        </w:rPr>
        <w:t xml:space="preserve"> </w:t>
      </w:r>
    </w:p>
    <w:p w:rsidR="009D1950" w:rsidP="009D1950" w:rsidRDefault="009D1950">
      <w:r>
        <w:t xml:space="preserve">GRID and the Pilot Team express concern that </w:t>
      </w:r>
      <w:r w:rsidR="00ED0976">
        <w:t>PG&amp;E and SCE’s</w:t>
      </w:r>
      <w:r>
        <w:t xml:space="preserve"> proposals could discourage pilot participation, </w:t>
      </w:r>
      <w:r w:rsidR="00FB5B64">
        <w:t xml:space="preserve">because they do not provide sufficient guarantee of energy cost savings, </w:t>
      </w:r>
      <w:r>
        <w:t xml:space="preserve">which would compromise the success of the pilots and future scalability to other disadvantaged SJV communities. The Pilot Team states that if pilots fail to deliver on </w:t>
      </w:r>
      <w:r w:rsidR="007357A3">
        <w:t xml:space="preserve">the </w:t>
      </w:r>
      <w:r>
        <w:t xml:space="preserve">promise to community members to lower energy costs, participants will lose trust in the pilots, which will lead to decreased participation and reduced cooperation with data gathering efforts.  GRID further asserts that under </w:t>
      </w:r>
      <w:r w:rsidR="00ED0976">
        <w:t>PG&amp;E and SCE’s</w:t>
      </w:r>
      <w:r>
        <w:t xml:space="preserve"> proposals, the most vulnerable customers will be </w:t>
      </w:r>
      <w:r w:rsidR="00024C2B">
        <w:t xml:space="preserve">the </w:t>
      </w:r>
      <w:r>
        <w:t>least likely to take on the risk of signing up for the pilots, leading to the perverse outcome where customers with the greatest need for affordable energy refuse to participate.</w:t>
      </w:r>
    </w:p>
    <w:p w:rsidR="00294B6D" w:rsidRDefault="00294B6D">
      <w:pPr>
        <w:rPr>
          <w:i/>
          <w:iCs/>
        </w:rPr>
      </w:pPr>
    </w:p>
    <w:p w:rsidR="005964B3" w:rsidP="005964B3" w:rsidRDefault="005964B3">
      <w:pPr>
        <w:rPr>
          <w:i/>
          <w:iCs/>
        </w:rPr>
      </w:pPr>
      <w:r w:rsidRPr="00F14B86">
        <w:rPr>
          <w:i/>
          <w:iCs/>
        </w:rPr>
        <w:t>PG&amp;E and SCE joint reply:</w:t>
      </w:r>
      <w:r>
        <w:rPr>
          <w:i/>
          <w:iCs/>
        </w:rPr>
        <w:t xml:space="preserve"> </w:t>
      </w:r>
    </w:p>
    <w:p w:rsidR="00712E01" w:rsidP="00712E01" w:rsidRDefault="00712E01">
      <w:r w:rsidRPr="0096283B">
        <w:t>PG&amp;E and SCE did not respond to this issue in their joint reply.</w:t>
      </w:r>
    </w:p>
    <w:p w:rsidR="009D1950" w:rsidP="009D1950" w:rsidRDefault="009D1950"/>
    <w:p w:rsidRPr="007B119F" w:rsidR="008139AA" w:rsidP="008139AA" w:rsidRDefault="008139AA">
      <w:pPr>
        <w:rPr>
          <w:b/>
          <w:bCs/>
          <w:u w:val="single"/>
        </w:rPr>
      </w:pPr>
      <w:proofErr w:type="spellStart"/>
      <w:r>
        <w:rPr>
          <w:b/>
          <w:bCs/>
          <w:u w:val="single"/>
        </w:rPr>
        <w:t>CalPA</w:t>
      </w:r>
      <w:proofErr w:type="spellEnd"/>
      <w:r>
        <w:rPr>
          <w:b/>
          <w:bCs/>
          <w:u w:val="single"/>
        </w:rPr>
        <w:t xml:space="preserve">, TURN, and </w:t>
      </w:r>
      <w:proofErr w:type="spellStart"/>
      <w:r>
        <w:rPr>
          <w:b/>
          <w:bCs/>
          <w:u w:val="single"/>
        </w:rPr>
        <w:t>CforAT</w:t>
      </w:r>
      <w:proofErr w:type="spellEnd"/>
      <w:r>
        <w:rPr>
          <w:b/>
          <w:bCs/>
          <w:u w:val="single"/>
        </w:rPr>
        <w:t xml:space="preserve"> </w:t>
      </w:r>
      <w:r w:rsidRPr="007B119F">
        <w:rPr>
          <w:b/>
          <w:bCs/>
          <w:u w:val="single"/>
        </w:rPr>
        <w:t>Protests to PG&amp;E and SCE ALs</w:t>
      </w:r>
    </w:p>
    <w:p w:rsidRPr="00D5075E" w:rsidR="00D5075E" w:rsidP="009D1950" w:rsidRDefault="00D5075E">
      <w:pPr>
        <w:rPr>
          <w:i/>
          <w:iCs/>
          <w:u w:val="single"/>
        </w:rPr>
      </w:pPr>
      <w:proofErr w:type="spellStart"/>
      <w:r w:rsidRPr="00D5075E">
        <w:rPr>
          <w:i/>
          <w:iCs/>
          <w:u w:val="single"/>
        </w:rPr>
        <w:t>CalPA</w:t>
      </w:r>
      <w:proofErr w:type="spellEnd"/>
      <w:r>
        <w:rPr>
          <w:i/>
          <w:iCs/>
          <w:u w:val="single"/>
        </w:rPr>
        <w:t xml:space="preserve"> Protest</w:t>
      </w:r>
    </w:p>
    <w:p w:rsidR="009D1950" w:rsidP="009D1950" w:rsidRDefault="009D1950">
      <w:proofErr w:type="spellStart"/>
      <w:r w:rsidRPr="00A16A6A">
        <w:t>CalPA</w:t>
      </w:r>
      <w:proofErr w:type="spellEnd"/>
      <w:r w:rsidRPr="00A16A6A">
        <w:t xml:space="preserve"> </w:t>
      </w:r>
      <w:r>
        <w:t xml:space="preserve">states that the IOU proposals do not adequately prevent all customers from bill shock. In order to be compliant with the </w:t>
      </w:r>
      <w:r w:rsidR="00422B44">
        <w:t>SJV Pilots Decision</w:t>
      </w:r>
      <w:r>
        <w:t xml:space="preserve">, </w:t>
      </w:r>
      <w:proofErr w:type="spellStart"/>
      <w:r>
        <w:t>CalPA</w:t>
      </w:r>
      <w:proofErr w:type="spellEnd"/>
      <w:r>
        <w:t xml:space="preserve"> believes that a bill protection mechanism must protect all pilot participants against energy cost increases. For a bill protection mechanism to meet this requirement, it should allow for flexibility in allocating budget amounts and the credit should be linked to the customer’s individual circumstances or needs, similar to the mechanism adopted for the default time-of-use (TOU) pilot programs.</w:t>
      </w:r>
    </w:p>
    <w:p w:rsidR="009D1950" w:rsidP="009D1950" w:rsidRDefault="009D1950"/>
    <w:p w:rsidR="009D1950" w:rsidP="009D1950" w:rsidRDefault="009D1950">
      <w:proofErr w:type="spellStart"/>
      <w:r>
        <w:t>CalPA</w:t>
      </w:r>
      <w:proofErr w:type="spellEnd"/>
      <w:r>
        <w:t xml:space="preserve"> also states that the Commission should reject the IOUs’ proposals because </w:t>
      </w:r>
      <w:r w:rsidR="00422B44">
        <w:t>SJV Pilots Decision</w:t>
      </w:r>
      <w:r>
        <w:t xml:space="preserve"> does not authorize a new bill credit as part of the pilot projects, according to its interpretation. </w:t>
      </w:r>
      <w:proofErr w:type="spellStart"/>
      <w:r>
        <w:t>CalPA</w:t>
      </w:r>
      <w:proofErr w:type="spellEnd"/>
      <w:r>
        <w:t xml:space="preserve"> asserts that during Phase II of R.15-03-010, parties raised bill credits as an affordable energy option, but since the Commission did not evaluate bill credits as an option, it would be improper to implement a bill protection mechanism with an unauthorized bill credit.</w:t>
      </w:r>
    </w:p>
    <w:p w:rsidR="00DD1370" w:rsidP="009D1950" w:rsidRDefault="00DD1370"/>
    <w:p w:rsidR="00DD1370" w:rsidP="009D1950" w:rsidRDefault="00DD1370">
      <w:pPr>
        <w:rPr>
          <w:i/>
          <w:iCs/>
        </w:rPr>
      </w:pPr>
      <w:r w:rsidRPr="00AF2023">
        <w:rPr>
          <w:i/>
          <w:iCs/>
        </w:rPr>
        <w:t>PG&amp;E</w:t>
      </w:r>
      <w:r w:rsidR="000F0251">
        <w:rPr>
          <w:i/>
          <w:iCs/>
        </w:rPr>
        <w:t xml:space="preserve"> &amp; SCE joint</w:t>
      </w:r>
      <w:r w:rsidRPr="00AF2023">
        <w:rPr>
          <w:i/>
          <w:iCs/>
        </w:rPr>
        <w:t xml:space="preserve"> reply:</w:t>
      </w:r>
    </w:p>
    <w:p w:rsidRPr="003B5646" w:rsidR="003B5646" w:rsidP="00AF7885" w:rsidRDefault="000F0251">
      <w:r>
        <w:t>PG&amp;E and SCE</w:t>
      </w:r>
      <w:r w:rsidRPr="003B5646" w:rsidR="003B5646">
        <w:t xml:space="preserve"> reject </w:t>
      </w:r>
      <w:proofErr w:type="spellStart"/>
      <w:r w:rsidRPr="003B5646" w:rsidR="003B5646">
        <w:t>CalPA’s</w:t>
      </w:r>
      <w:proofErr w:type="spellEnd"/>
      <w:r w:rsidRPr="003B5646" w:rsidR="003B5646">
        <w:t xml:space="preserve"> argument that the SJV Pilots Decision did not authorize a bill credit</w:t>
      </w:r>
      <w:r w:rsidR="00655CD4">
        <w:t xml:space="preserve">, underscoring that </w:t>
      </w:r>
      <w:r w:rsidRPr="003B5646" w:rsidR="003B5646">
        <w:t>bill protection</w:t>
      </w:r>
      <w:r w:rsidR="0010030C">
        <w:t xml:space="preserve">s </w:t>
      </w:r>
      <w:r w:rsidRPr="003B5646" w:rsidR="003B5646">
        <w:t>functions as a small part of the electrification pilot and its overall budget.</w:t>
      </w:r>
      <w:r>
        <w:t xml:space="preserve"> </w:t>
      </w:r>
      <w:r w:rsidRPr="003B5646">
        <w:t xml:space="preserve">PG&amp;E rejects </w:t>
      </w:r>
      <w:proofErr w:type="spellStart"/>
      <w:r w:rsidRPr="003B5646">
        <w:t>CalPA’s</w:t>
      </w:r>
      <w:proofErr w:type="spellEnd"/>
      <w:r w:rsidRPr="003B5646">
        <w:t xml:space="preserve"> argument that PG&amp;E’s proposal does not adequately protect all customers, stating that the 1.4 percent of non-CARE customers that would experience energy cost increases are outliers.</w:t>
      </w:r>
    </w:p>
    <w:p w:rsidR="009D1950" w:rsidP="009D1950" w:rsidRDefault="009D1950">
      <w:pPr>
        <w:pStyle w:val="ListParagraph"/>
        <w:ind w:left="0"/>
        <w:rPr>
          <w:u w:val="single"/>
        </w:rPr>
      </w:pPr>
    </w:p>
    <w:p w:rsidRPr="00D5075E" w:rsidR="00D5075E" w:rsidP="009D1950" w:rsidRDefault="00D5075E">
      <w:pPr>
        <w:pStyle w:val="ListParagraph"/>
        <w:ind w:left="0"/>
        <w:rPr>
          <w:i/>
          <w:iCs/>
          <w:u w:val="single"/>
        </w:rPr>
      </w:pPr>
      <w:r w:rsidRPr="00D5075E">
        <w:rPr>
          <w:i/>
          <w:iCs/>
          <w:u w:val="single"/>
        </w:rPr>
        <w:t>TURN Protest</w:t>
      </w:r>
    </w:p>
    <w:p w:rsidR="009D1950" w:rsidP="009D1950" w:rsidRDefault="009D1950">
      <w:pPr>
        <w:pStyle w:val="ListParagraph"/>
        <w:ind w:left="0"/>
      </w:pPr>
      <w:r>
        <w:t xml:space="preserve">TURN supports </w:t>
      </w:r>
      <w:r w:rsidR="003302D3">
        <w:t>PG&amp;E and SCE</w:t>
      </w:r>
      <w:r>
        <w:t>’</w:t>
      </w:r>
      <w:r w:rsidR="003302D3">
        <w:t>s</w:t>
      </w:r>
      <w:r>
        <w:t xml:space="preserve"> proposals, but similar to GRID and the Pilot Team, it is concerned that the proposals do not comprehensively address the Commission’s directives to consider all pre- and post- pilot implementation energy costs and rebound effects. TURN stresses the importance of collecting data going forward given uncertainties in existing data.</w:t>
      </w:r>
    </w:p>
    <w:p w:rsidR="009153E4" w:rsidP="009D1950" w:rsidRDefault="009153E4">
      <w:pPr>
        <w:pStyle w:val="ListParagraph"/>
        <w:ind w:left="0"/>
      </w:pPr>
    </w:p>
    <w:p w:rsidR="009153E4" w:rsidP="009D1950" w:rsidRDefault="009153E4">
      <w:pPr>
        <w:pStyle w:val="ListParagraph"/>
        <w:ind w:left="0"/>
        <w:rPr>
          <w:i/>
          <w:iCs/>
        </w:rPr>
      </w:pPr>
      <w:r w:rsidRPr="00AF2023">
        <w:rPr>
          <w:i/>
          <w:iCs/>
        </w:rPr>
        <w:t xml:space="preserve">PG&amp;E </w:t>
      </w:r>
      <w:r w:rsidR="00C67EED">
        <w:rPr>
          <w:i/>
          <w:iCs/>
        </w:rPr>
        <w:t xml:space="preserve">and SCE joint </w:t>
      </w:r>
      <w:r w:rsidRPr="00AF2023">
        <w:rPr>
          <w:i/>
          <w:iCs/>
        </w:rPr>
        <w:t>reply:</w:t>
      </w:r>
    </w:p>
    <w:p w:rsidRPr="000B2706" w:rsidR="00CB69F1" w:rsidP="00CB69F1" w:rsidRDefault="00CB69F1">
      <w:r w:rsidRPr="000B2706">
        <w:t xml:space="preserve">PG&amp;E states that it did not explicitly model rebound effect because it had </w:t>
      </w:r>
    </w:p>
    <w:p w:rsidRPr="000B2706" w:rsidR="00CB69F1" w:rsidP="00AF7885" w:rsidRDefault="00CB69F1">
      <w:r w:rsidRPr="000B2706">
        <w:t xml:space="preserve">not identified any research that would support applying a percentage </w:t>
      </w:r>
    </w:p>
    <w:p w:rsidR="00CB69F1" w:rsidP="00AF7885" w:rsidRDefault="00CB69F1">
      <w:r w:rsidRPr="000B2706">
        <w:t xml:space="preserve">discount across the board. </w:t>
      </w:r>
      <w:r>
        <w:t xml:space="preserve">SCE states that it applied a 30 percent increase </w:t>
      </w:r>
    </w:p>
    <w:p w:rsidR="00CB69F1" w:rsidP="00AF7885" w:rsidRDefault="00CB69F1">
      <w:r>
        <w:t xml:space="preserve">to its heat pump space conditioning for the entire year after conducting </w:t>
      </w:r>
    </w:p>
    <w:p w:rsidR="00CB69F1" w:rsidP="00AF7885" w:rsidRDefault="00CB69F1">
      <w:r>
        <w:t xml:space="preserve">analyses on customers’ summer and winter usage differential. PG&amp;E adds </w:t>
      </w:r>
    </w:p>
    <w:p w:rsidR="00CB69F1" w:rsidP="00AF7885" w:rsidRDefault="00CB69F1">
      <w:r>
        <w:t xml:space="preserve">that it also increased its heat pump space conditioning usage from its </w:t>
      </w:r>
    </w:p>
    <w:p w:rsidR="00CB69F1" w:rsidP="00AF7885" w:rsidRDefault="00CB69F1">
      <w:r>
        <w:t xml:space="preserve">original 2018 proposal by almost 60 percent due to health, safety, and </w:t>
      </w:r>
    </w:p>
    <w:p w:rsidR="00CB69F1" w:rsidP="00AF7885" w:rsidRDefault="00CB69F1">
      <w:r>
        <w:t xml:space="preserve">comfort, and it maintains that it is not necessary to apply an additional </w:t>
      </w:r>
    </w:p>
    <w:p w:rsidR="00AC71E5" w:rsidP="007D0EE6" w:rsidRDefault="00CB69F1">
      <w:r>
        <w:t>incremental rebound effect.</w:t>
      </w:r>
    </w:p>
    <w:p w:rsidR="003710B6" w:rsidP="003710B6" w:rsidRDefault="003710B6">
      <w:pPr>
        <w:pStyle w:val="ListParagraph"/>
        <w:ind w:left="0"/>
      </w:pPr>
    </w:p>
    <w:p w:rsidRPr="00D5075E" w:rsidR="00D5075E" w:rsidP="009D1950" w:rsidRDefault="00D5075E">
      <w:pPr>
        <w:pStyle w:val="ListParagraph"/>
        <w:ind w:left="0"/>
        <w:rPr>
          <w:i/>
          <w:iCs/>
          <w:u w:val="single"/>
        </w:rPr>
      </w:pPr>
      <w:proofErr w:type="spellStart"/>
      <w:r w:rsidRPr="00D5075E">
        <w:rPr>
          <w:i/>
          <w:iCs/>
          <w:u w:val="single"/>
        </w:rPr>
        <w:t>CforAT</w:t>
      </w:r>
      <w:proofErr w:type="spellEnd"/>
      <w:r w:rsidRPr="00D5075E">
        <w:rPr>
          <w:i/>
          <w:iCs/>
          <w:u w:val="single"/>
        </w:rPr>
        <w:t xml:space="preserve"> Protest</w:t>
      </w:r>
    </w:p>
    <w:p w:rsidR="009D1950" w:rsidP="009D1950" w:rsidRDefault="009D1950">
      <w:pPr>
        <w:pStyle w:val="ListParagraph"/>
        <w:ind w:left="0"/>
      </w:pPr>
      <w:proofErr w:type="spellStart"/>
      <w:r w:rsidRPr="00DA4192">
        <w:t>CforAT</w:t>
      </w:r>
      <w:proofErr w:type="spellEnd"/>
      <w:r>
        <w:t xml:space="preserve"> does not oppose </w:t>
      </w:r>
      <w:r w:rsidR="003302D3">
        <w:t>PG&amp;E and SCE</w:t>
      </w:r>
      <w:r>
        <w:t>’</w:t>
      </w:r>
      <w:r w:rsidR="003302D3">
        <w:t>s</w:t>
      </w:r>
      <w:r>
        <w:t xml:space="preserve"> proposals, but states that </w:t>
      </w:r>
      <w:r w:rsidR="003302D3">
        <w:t xml:space="preserve">PG&amp;E and SCE </w:t>
      </w:r>
      <w:r>
        <w:t xml:space="preserve">should articulate their efforts to enroll eligible customers in Medical </w:t>
      </w:r>
      <w:r w:rsidR="00D65BF6">
        <w:t>B</w:t>
      </w:r>
      <w:r>
        <w:t xml:space="preserve">aseline as well as programs like CARE in these ALs. </w:t>
      </w:r>
      <w:proofErr w:type="spellStart"/>
      <w:r>
        <w:t>CforAT</w:t>
      </w:r>
      <w:proofErr w:type="spellEnd"/>
      <w:r>
        <w:t xml:space="preserve"> asks that </w:t>
      </w:r>
      <w:r w:rsidR="003302D3">
        <w:t xml:space="preserve">PG&amp;E and SCE </w:t>
      </w:r>
      <w:r>
        <w:t>clarify how they intend to implement affordable payment plans for customers in arrears, and to state they will not force customers into limited options for payment plans as a condition to participating in the pilots.</w:t>
      </w:r>
      <w:r w:rsidR="00DD37E1">
        <w:t xml:space="preserve"> </w:t>
      </w:r>
      <w:proofErr w:type="spellStart"/>
      <w:r w:rsidR="00DD37E1">
        <w:t>CforAT</w:t>
      </w:r>
      <w:proofErr w:type="spellEnd"/>
      <w:r w:rsidR="00DD37E1">
        <w:t xml:space="preserve"> respectfully requests that the Commission delay approval of PG&amp;E</w:t>
      </w:r>
      <w:r w:rsidR="00C31DE9">
        <w:t xml:space="preserve"> and SCE’s ALs</w:t>
      </w:r>
      <w:r w:rsidR="00DD37E1">
        <w:t xml:space="preserve"> until</w:t>
      </w:r>
      <w:r w:rsidR="00881E41">
        <w:t xml:space="preserve"> PG&amp;E and SCE </w:t>
      </w:r>
      <w:r w:rsidR="00D65BF6">
        <w:t>articulate how they will address disconnections, arrearages, and enrollment in Medical Baseline</w:t>
      </w:r>
      <w:r w:rsidR="00BD2997">
        <w:t xml:space="preserve"> for SJV pilot</w:t>
      </w:r>
      <w:r w:rsidR="007E6C5B">
        <w:t xml:space="preserve"> participants.</w:t>
      </w:r>
    </w:p>
    <w:p w:rsidR="009153E4" w:rsidP="009D1950" w:rsidRDefault="009153E4">
      <w:pPr>
        <w:pStyle w:val="ListParagraph"/>
        <w:ind w:left="0"/>
      </w:pPr>
    </w:p>
    <w:p w:rsidR="009153E4" w:rsidP="00AF7885" w:rsidRDefault="009153E4">
      <w:pPr>
        <w:pStyle w:val="ListParagraph"/>
        <w:ind w:left="0"/>
        <w:rPr>
          <w:i/>
          <w:iCs/>
        </w:rPr>
      </w:pPr>
      <w:r w:rsidRPr="00AF2023">
        <w:rPr>
          <w:i/>
          <w:iCs/>
        </w:rPr>
        <w:t>PG&amp;E reply:</w:t>
      </w:r>
    </w:p>
    <w:p w:rsidRPr="003B5646" w:rsidR="003B5646" w:rsidP="00AF7885" w:rsidRDefault="003B5646">
      <w:pPr>
        <w:pStyle w:val="ListParagraph"/>
        <w:ind w:left="0"/>
      </w:pPr>
      <w:r w:rsidRPr="003B5646">
        <w:t xml:space="preserve">PG&amp;E states that it appreciates </w:t>
      </w:r>
      <w:proofErr w:type="spellStart"/>
      <w:r w:rsidRPr="003B5646">
        <w:t>CforAT’s</w:t>
      </w:r>
      <w:proofErr w:type="spellEnd"/>
      <w:r w:rsidRPr="003B5646">
        <w:t xml:space="preserve"> concerns about disconnections </w:t>
      </w:r>
    </w:p>
    <w:p w:rsidRPr="003B5646" w:rsidR="003B5646" w:rsidP="00AF7885" w:rsidRDefault="003B5646">
      <w:pPr>
        <w:pStyle w:val="ListParagraph"/>
        <w:ind w:left="0"/>
      </w:pPr>
      <w:r w:rsidRPr="003B5646">
        <w:t xml:space="preserve">and arrearages. In addition to the standard four-month pay plan, PG&amp;E </w:t>
      </w:r>
    </w:p>
    <w:p w:rsidR="003B5646" w:rsidP="007D0EE6" w:rsidRDefault="003B5646">
      <w:pPr>
        <w:pStyle w:val="ListParagraph"/>
        <w:ind w:left="0"/>
      </w:pPr>
      <w:r>
        <w:t xml:space="preserve">states it </w:t>
      </w:r>
      <w:r w:rsidRPr="003B5646">
        <w:t xml:space="preserve">may offer a longer duration payment plan tailored to a </w:t>
      </w:r>
      <w:r>
        <w:t>p</w:t>
      </w:r>
      <w:r w:rsidRPr="003B5646">
        <w:t>articipant’s need, and PG&amp;E points out that its implementation plan includes a plan to educate and enroll participants on medical baseline rates.</w:t>
      </w:r>
    </w:p>
    <w:p w:rsidR="009153E4" w:rsidP="009D1950" w:rsidRDefault="009153E4"/>
    <w:p w:rsidRPr="009153E4" w:rsidR="009D1950" w:rsidP="009153E4" w:rsidRDefault="009153E4">
      <w:pPr>
        <w:rPr>
          <w:b/>
          <w:bCs/>
          <w:u w:val="single"/>
        </w:rPr>
      </w:pPr>
      <w:proofErr w:type="spellStart"/>
      <w:r w:rsidRPr="009153E4">
        <w:rPr>
          <w:b/>
          <w:bCs/>
          <w:u w:val="single"/>
        </w:rPr>
        <w:t>CalPA</w:t>
      </w:r>
      <w:proofErr w:type="spellEnd"/>
      <w:r w:rsidRPr="009153E4">
        <w:rPr>
          <w:b/>
          <w:bCs/>
          <w:u w:val="single"/>
        </w:rPr>
        <w:t xml:space="preserve"> and the Pilot Team </w:t>
      </w:r>
      <w:r w:rsidRPr="009153E4" w:rsidR="009D1950">
        <w:rPr>
          <w:b/>
          <w:bCs/>
          <w:u w:val="single"/>
        </w:rPr>
        <w:t>Protests to SoCalGas AL</w:t>
      </w:r>
    </w:p>
    <w:p w:rsidR="00725DF7" w:rsidP="009D1950" w:rsidRDefault="00725DF7">
      <w:pPr>
        <w:pStyle w:val="ListParagraph"/>
        <w:ind w:left="0"/>
        <w:rPr>
          <w:i/>
          <w:iCs/>
          <w:u w:val="single"/>
        </w:rPr>
      </w:pPr>
    </w:p>
    <w:p w:rsidR="00725DF7" w:rsidP="009D1950" w:rsidRDefault="00725DF7">
      <w:pPr>
        <w:pStyle w:val="ListParagraph"/>
        <w:ind w:left="0"/>
        <w:rPr>
          <w:i/>
          <w:iCs/>
          <w:u w:val="single"/>
        </w:rPr>
      </w:pPr>
    </w:p>
    <w:p w:rsidRPr="003F2B88" w:rsidR="003F2B88" w:rsidP="009D1950" w:rsidRDefault="003F2B88">
      <w:pPr>
        <w:pStyle w:val="ListParagraph"/>
        <w:ind w:left="0"/>
        <w:rPr>
          <w:i/>
          <w:iCs/>
          <w:u w:val="single"/>
        </w:rPr>
      </w:pPr>
      <w:proofErr w:type="spellStart"/>
      <w:r w:rsidRPr="00D5075E">
        <w:rPr>
          <w:i/>
          <w:iCs/>
          <w:u w:val="single"/>
        </w:rPr>
        <w:t>C</w:t>
      </w:r>
      <w:r>
        <w:rPr>
          <w:i/>
          <w:iCs/>
          <w:u w:val="single"/>
        </w:rPr>
        <w:t>alPA</w:t>
      </w:r>
      <w:proofErr w:type="spellEnd"/>
      <w:r w:rsidRPr="00D5075E">
        <w:rPr>
          <w:i/>
          <w:iCs/>
          <w:u w:val="single"/>
        </w:rPr>
        <w:t xml:space="preserve"> Protest</w:t>
      </w:r>
    </w:p>
    <w:p w:rsidR="00AF355D" w:rsidP="009D1950" w:rsidRDefault="009D1950">
      <w:pPr>
        <w:pStyle w:val="ListParagraph"/>
        <w:ind w:left="0"/>
      </w:pPr>
      <w:proofErr w:type="spellStart"/>
      <w:r>
        <w:t>CalPA’s</w:t>
      </w:r>
      <w:proofErr w:type="spellEnd"/>
      <w:r>
        <w:t xml:space="preserve"> protest is identical to its protest to PG&amp;E and SCE</w:t>
      </w:r>
      <w:r w:rsidR="009E2E28">
        <w:t xml:space="preserve">, </w:t>
      </w:r>
      <w:r w:rsidR="004E0FC5">
        <w:t xml:space="preserve">which is </w:t>
      </w:r>
      <w:r w:rsidR="009E2E28">
        <w:t>described above.</w:t>
      </w:r>
    </w:p>
    <w:p w:rsidR="00294B6D" w:rsidRDefault="00294B6D">
      <w:pPr>
        <w:rPr>
          <w:i/>
          <w:iCs/>
        </w:rPr>
      </w:pPr>
    </w:p>
    <w:p w:rsidR="00AF355D" w:rsidP="00AF7885" w:rsidRDefault="00AF355D">
      <w:pPr>
        <w:rPr>
          <w:i/>
          <w:iCs/>
        </w:rPr>
      </w:pPr>
      <w:r>
        <w:rPr>
          <w:i/>
          <w:iCs/>
        </w:rPr>
        <w:t xml:space="preserve">SoCalGas’ </w:t>
      </w:r>
      <w:r w:rsidRPr="00AF2023">
        <w:rPr>
          <w:i/>
          <w:iCs/>
        </w:rPr>
        <w:t>reply:</w:t>
      </w:r>
      <w:r w:rsidR="00F111A2">
        <w:rPr>
          <w:i/>
          <w:iCs/>
        </w:rPr>
        <w:t xml:space="preserve"> </w:t>
      </w:r>
    </w:p>
    <w:p w:rsidRPr="00B91A56" w:rsidR="00B91A56" w:rsidP="00AF7885" w:rsidRDefault="00B91A56">
      <w:r>
        <w:t xml:space="preserve">SoCalGas states that </w:t>
      </w:r>
      <w:r w:rsidR="00B831B2">
        <w:t xml:space="preserve">it proposed a bill protection method that </w:t>
      </w:r>
      <w:r w:rsidR="000443B6">
        <w:t xml:space="preserve">minimizes administrative barriers and undue burden for pilot participants while providing reliable protection against energy cost increases, as required by the SJV Pilots Decision. It also </w:t>
      </w:r>
      <w:r w:rsidR="00EB759B">
        <w:t xml:space="preserve">states that the proposal is consistent with PG&amp;E and SCE’s proposals and consistent with the Pilot Team’s </w:t>
      </w:r>
      <w:r w:rsidR="009E2A4E">
        <w:t xml:space="preserve">bill protection workshop </w:t>
      </w:r>
      <w:r w:rsidR="00EB759B">
        <w:t xml:space="preserve">recommendation </w:t>
      </w:r>
      <w:r w:rsidR="009E2A4E">
        <w:t>t</w:t>
      </w:r>
      <w:r w:rsidR="00EB759B">
        <w:t>o use a methodology that is customer-specific, occurs monthly, and is easy for participants to understand.</w:t>
      </w:r>
    </w:p>
    <w:p w:rsidR="00AF355D" w:rsidP="009D1950" w:rsidRDefault="00AF355D">
      <w:pPr>
        <w:pStyle w:val="ListParagraph"/>
        <w:ind w:left="0"/>
      </w:pPr>
    </w:p>
    <w:p w:rsidRPr="00AF355D" w:rsidR="00AF355D" w:rsidP="009D1950" w:rsidRDefault="00AF355D">
      <w:pPr>
        <w:pStyle w:val="ListParagraph"/>
        <w:ind w:left="0"/>
        <w:rPr>
          <w:i/>
          <w:iCs/>
          <w:u w:val="single"/>
        </w:rPr>
      </w:pPr>
      <w:r w:rsidRPr="00AF355D">
        <w:rPr>
          <w:i/>
          <w:iCs/>
          <w:u w:val="single"/>
        </w:rPr>
        <w:t>The Pilot Team’s Protest</w:t>
      </w:r>
    </w:p>
    <w:p w:rsidR="009D1950" w:rsidP="009D1950" w:rsidRDefault="009D1950">
      <w:pPr>
        <w:pStyle w:val="ListParagraph"/>
        <w:ind w:left="0"/>
      </w:pPr>
      <w:r>
        <w:t>The Pilot Team’s protest to SoCalGas is nearly identical to its protest to PG&amp;E and SCE</w:t>
      </w:r>
      <w:r w:rsidR="00396D6C">
        <w:t xml:space="preserve"> (described above)</w:t>
      </w:r>
      <w:r>
        <w:t>, with one distinguishing point. The Pilot Team contends that SoCalGas overestimated</w:t>
      </w:r>
      <w:r w:rsidR="00791309">
        <w:t xml:space="preserve"> its</w:t>
      </w:r>
      <w:r>
        <w:t xml:space="preserve"> baseline propane bills by using current customers’ natural gas usage to calculate current propane usage. According to the Pilot Team, this approach likely overestimates customers’ propane bills and therefore savings</w:t>
      </w:r>
      <w:r w:rsidR="000727CE">
        <w:t>, because natural gas is significantly cheaper than propane and will be used at a higher rate.</w:t>
      </w:r>
    </w:p>
    <w:p w:rsidR="00177FFC" w:rsidP="009D1950" w:rsidRDefault="00177FFC">
      <w:pPr>
        <w:pStyle w:val="ListParagraph"/>
        <w:ind w:left="0"/>
      </w:pPr>
    </w:p>
    <w:p w:rsidRPr="00D92091" w:rsidR="00177FFC" w:rsidP="00177FFC" w:rsidRDefault="00177FFC">
      <w:pPr>
        <w:rPr>
          <w:u w:val="single"/>
        </w:rPr>
      </w:pPr>
      <w:r>
        <w:rPr>
          <w:i/>
          <w:iCs/>
        </w:rPr>
        <w:t xml:space="preserve">SoCalGas’ </w:t>
      </w:r>
      <w:r w:rsidRPr="00AF2023">
        <w:rPr>
          <w:i/>
          <w:iCs/>
        </w:rPr>
        <w:t>reply:</w:t>
      </w:r>
    </w:p>
    <w:p w:rsidRPr="0018545C" w:rsidR="00E76E6D" w:rsidP="003E7594" w:rsidRDefault="000365DF">
      <w:r>
        <w:t xml:space="preserve">SoCalGas disagrees with the Pilot Team’s assertation that propane costs are unreliable because they are based on natural gas rates, pointing to a description of its methodology. </w:t>
      </w:r>
      <w:r w:rsidR="00E76E6D">
        <w:t xml:space="preserve">SoCalGas </w:t>
      </w:r>
      <w:r>
        <w:t xml:space="preserve">also </w:t>
      </w:r>
      <w:r w:rsidR="00E76E6D">
        <w:t xml:space="preserve">states that it believes the Pilot Team’s interpretation of $500 per household budget as a floor is incorrect, since the Decision says that the Commission approves </w:t>
      </w:r>
      <w:r w:rsidR="00806233">
        <w:t>“</w:t>
      </w:r>
      <w:r w:rsidR="00E76E6D">
        <w:t>up to $500</w:t>
      </w:r>
      <w:r w:rsidR="00806233">
        <w:t>”</w:t>
      </w:r>
      <w:r w:rsidR="00E76E6D">
        <w:t xml:space="preserve"> in costs for each household.</w:t>
      </w:r>
      <w:r w:rsidR="00806233">
        <w:rPr>
          <w:rStyle w:val="FootnoteReference"/>
        </w:rPr>
        <w:footnoteReference w:id="21"/>
      </w:r>
      <w:r w:rsidR="00E76E6D">
        <w:t xml:space="preserve"> SoCalGas </w:t>
      </w:r>
      <w:r w:rsidR="00D77A65">
        <w:t>further</w:t>
      </w:r>
      <w:r w:rsidR="00E76E6D">
        <w:t xml:space="preserve"> contends that its proposed </w:t>
      </w:r>
      <w:r w:rsidRPr="00534E3B" w:rsidR="00E76E6D">
        <w:t>three</w:t>
      </w:r>
      <w:r w:rsidR="00E76E6D">
        <w:t>-</w:t>
      </w:r>
      <w:r w:rsidRPr="00534E3B" w:rsidR="00E76E6D">
        <w:t xml:space="preserve">year </w:t>
      </w:r>
      <w:r w:rsidR="00E76E6D">
        <w:t>duration</w:t>
      </w:r>
      <w:r w:rsidRPr="00534E3B" w:rsidR="00E76E6D">
        <w:t xml:space="preserve"> is consistent with </w:t>
      </w:r>
      <w:r w:rsidR="00E76E6D">
        <w:t>the D</w:t>
      </w:r>
      <w:r w:rsidRPr="00534E3B" w:rsidR="00E76E6D">
        <w:t>ecision’s authorization for utilities to recover non-leveraged costs of pilot projects over three years.</w:t>
      </w:r>
    </w:p>
    <w:p w:rsidR="009D1950" w:rsidP="009D1950" w:rsidRDefault="009D1950">
      <w:pPr>
        <w:pStyle w:val="ListParagraph"/>
        <w:ind w:left="0"/>
        <w:rPr>
          <w:u w:val="single"/>
        </w:rPr>
      </w:pPr>
    </w:p>
    <w:p w:rsidRPr="009153E4" w:rsidR="00D5666C" w:rsidP="00D5666C" w:rsidRDefault="00D5666C">
      <w:pPr>
        <w:rPr>
          <w:b/>
          <w:bCs/>
          <w:u w:val="single"/>
        </w:rPr>
      </w:pPr>
      <w:r w:rsidRPr="009153E4">
        <w:rPr>
          <w:b/>
          <w:bCs/>
          <w:u w:val="single"/>
        </w:rPr>
        <w:t>GRID</w:t>
      </w:r>
      <w:r w:rsidR="009153E4">
        <w:rPr>
          <w:b/>
          <w:bCs/>
          <w:u w:val="single"/>
        </w:rPr>
        <w:t xml:space="preserve">’s Alternative </w:t>
      </w:r>
      <w:r w:rsidR="00802EB4">
        <w:rPr>
          <w:b/>
          <w:bCs/>
          <w:u w:val="single"/>
        </w:rPr>
        <w:t xml:space="preserve">SJV Pilot </w:t>
      </w:r>
      <w:r w:rsidRPr="009153E4">
        <w:rPr>
          <w:b/>
          <w:bCs/>
          <w:u w:val="single"/>
        </w:rPr>
        <w:t>Bill Protection Proposal</w:t>
      </w:r>
    </w:p>
    <w:p w:rsidR="00E8398E" w:rsidP="00E8398E" w:rsidRDefault="60E77224">
      <w:r>
        <w:t>GRID submitted an alternative bill protection proposal in its protest to PG&amp;E and SCE’s ALs. The Pilot Team expressed support for GRID’s bill protection proposal in its protest. For ease of comparison, we summarize GRID’s proposal below using the same categories as those used to describe the IOUs’ bill protection proposal</w:t>
      </w:r>
      <w:r w:rsidR="00AD0481">
        <w:t>s</w:t>
      </w:r>
      <w:r>
        <w:t xml:space="preserve"> in the background section of this </w:t>
      </w:r>
      <w:r w:rsidR="4D9567F3">
        <w:t>Resolution.</w:t>
      </w:r>
      <w:r>
        <w:t xml:space="preserve"> A summary of PG&amp;E and SCE’s reply to GRID’s proposal follows.</w:t>
      </w:r>
    </w:p>
    <w:p w:rsidRPr="00F36F83" w:rsidR="00E8398E" w:rsidP="00E8398E" w:rsidRDefault="00E8398E"/>
    <w:p w:rsidRPr="00642657" w:rsidR="00E8398E" w:rsidP="00E8398E" w:rsidRDefault="00E8398E">
      <w:pPr>
        <w:rPr>
          <w:i/>
          <w:iCs/>
          <w:u w:val="single"/>
        </w:rPr>
      </w:pPr>
      <w:r w:rsidRPr="00642657">
        <w:rPr>
          <w:i/>
          <w:iCs/>
          <w:u w:val="single"/>
        </w:rPr>
        <w:t>Bill Protection Mechanism</w:t>
      </w:r>
    </w:p>
    <w:p w:rsidR="00E8398E" w:rsidP="00E8398E" w:rsidRDefault="00E8398E">
      <w:r>
        <w:t xml:space="preserve">GRID </w:t>
      </w:r>
      <w:r w:rsidR="003E7594">
        <w:t>p</w:t>
      </w:r>
      <w:r>
        <w:t>ropose</w:t>
      </w:r>
      <w:r w:rsidR="003E7594">
        <w:t>s</w:t>
      </w:r>
      <w:r>
        <w:t xml:space="preserve"> a 20</w:t>
      </w:r>
      <w:r w:rsidR="009E3172">
        <w:t xml:space="preserve"> percent</w:t>
      </w:r>
      <w:r>
        <w:t xml:space="preserve"> monthly electricity bill discount for all electrified pilot participants over a 20-year period.</w:t>
      </w:r>
    </w:p>
    <w:p w:rsidR="00E8398E" w:rsidP="00E8398E" w:rsidRDefault="00E8398E"/>
    <w:p w:rsidR="00E8398E" w:rsidP="00E8398E" w:rsidRDefault="00E8398E">
      <w:r>
        <w:t>The 20</w:t>
      </w:r>
      <w:r w:rsidR="009E3172">
        <w:t xml:space="preserve"> percent</w:t>
      </w:r>
      <w:r>
        <w:t xml:space="preserve"> bill protection discount would be in addition to CARE/FERA discounts for eligible customers and a 20</w:t>
      </w:r>
      <w:r w:rsidR="009E3172">
        <w:t xml:space="preserve"> percent</w:t>
      </w:r>
      <w:r>
        <w:t xml:space="preserve"> DAC-GT or CSGT community solar discount for all pilot customers.  The proposed additional 20</w:t>
      </w:r>
      <w:r w:rsidR="009E3172">
        <w:t xml:space="preserve"> percent</w:t>
      </w:r>
      <w:r>
        <w:t xml:space="preserve"> bill protection discount would be disbursed to participating customers on monthly bills.</w:t>
      </w:r>
    </w:p>
    <w:p w:rsidR="00E8398E" w:rsidP="00E8398E" w:rsidRDefault="00E8398E"/>
    <w:p w:rsidR="00E8398E" w:rsidP="00E8398E" w:rsidRDefault="00E8398E">
      <w:pPr>
        <w:rPr>
          <w:i/>
          <w:iCs/>
          <w:u w:val="single"/>
        </w:rPr>
      </w:pPr>
      <w:r w:rsidRPr="00EF58B3">
        <w:rPr>
          <w:i/>
          <w:iCs/>
          <w:u w:val="single"/>
        </w:rPr>
        <w:t>Modeling Approach</w:t>
      </w:r>
    </w:p>
    <w:p w:rsidR="00E8398E" w:rsidP="00E8398E" w:rsidRDefault="00E8398E">
      <w:r>
        <w:t>GRID took the following modeling approach:</w:t>
      </w:r>
    </w:p>
    <w:p w:rsidRPr="00FD74F4" w:rsidR="00E8398E" w:rsidP="002A7EF5" w:rsidRDefault="00E8398E">
      <w:pPr>
        <w:pStyle w:val="ListParagraph"/>
        <w:numPr>
          <w:ilvl w:val="0"/>
          <w:numId w:val="11"/>
        </w:numPr>
      </w:pPr>
      <w:r w:rsidRPr="00FD74F4">
        <w:t xml:space="preserve">Determined </w:t>
      </w:r>
      <w:r>
        <w:t>pre-pilot electric usage for 25</w:t>
      </w:r>
      <w:r w:rsidRPr="00466799">
        <w:rPr>
          <w:vertAlign w:val="superscript"/>
        </w:rPr>
        <w:t>th</w:t>
      </w:r>
      <w:r>
        <w:t xml:space="preserve"> percentile, median and 75</w:t>
      </w:r>
      <w:r w:rsidRPr="00466799">
        <w:rPr>
          <w:vertAlign w:val="superscript"/>
        </w:rPr>
        <w:t>th</w:t>
      </w:r>
      <w:r>
        <w:t xml:space="preserve"> percentile cases, based on a </w:t>
      </w:r>
      <w:r w:rsidRPr="00FD74F4">
        <w:t>PG&amp;E data request</w:t>
      </w:r>
      <w:r>
        <w:t>.</w:t>
      </w:r>
    </w:p>
    <w:p w:rsidRPr="00486F48" w:rsidR="00E8398E" w:rsidP="002A7EF5" w:rsidRDefault="00E8398E">
      <w:pPr>
        <w:pStyle w:val="ListParagraph"/>
        <w:numPr>
          <w:ilvl w:val="0"/>
          <w:numId w:val="11"/>
        </w:numPr>
      </w:pPr>
      <w:r w:rsidRPr="00486F48">
        <w:t xml:space="preserve">Added constant propane </w:t>
      </w:r>
      <w:r>
        <w:t>costs</w:t>
      </w:r>
      <w:r w:rsidRPr="00486F48">
        <w:t>, which varied by community and ranged between $1297 and $1373</w:t>
      </w:r>
      <w:r>
        <w:t xml:space="preserve"> annually.</w:t>
      </w:r>
    </w:p>
    <w:p w:rsidR="00E8398E" w:rsidP="002A7EF5" w:rsidRDefault="00E8398E">
      <w:pPr>
        <w:pStyle w:val="ListParagraph"/>
        <w:numPr>
          <w:ilvl w:val="0"/>
          <w:numId w:val="11"/>
        </w:numPr>
      </w:pPr>
      <w:r>
        <w:t xml:space="preserve">Reduced pre-pilot loads by </w:t>
      </w:r>
      <w:r w:rsidR="00182DB9">
        <w:t>three</w:t>
      </w:r>
      <w:r w:rsidR="009E3172">
        <w:t xml:space="preserve"> percent </w:t>
      </w:r>
      <w:r>
        <w:t>to account for energy efficiency.</w:t>
      </w:r>
    </w:p>
    <w:p w:rsidR="00E8398E" w:rsidP="002A7EF5" w:rsidRDefault="00E8398E">
      <w:pPr>
        <w:pStyle w:val="ListParagraph"/>
        <w:numPr>
          <w:ilvl w:val="0"/>
          <w:numId w:val="11"/>
        </w:numPr>
      </w:pPr>
      <w:r>
        <w:t xml:space="preserve">Estimated added electric loads based primarily on RASS, per </w:t>
      </w:r>
      <w:r w:rsidR="00EC64A1">
        <w:t xml:space="preserve">the </w:t>
      </w:r>
      <w:r>
        <w:t>table below. The space conditioning load was adjusted based on regional trends.</w:t>
      </w:r>
    </w:p>
    <w:tbl>
      <w:tblPr>
        <w:tblStyle w:val="TableGrid"/>
        <w:tblW w:w="0" w:type="auto"/>
        <w:tblInd w:w="720" w:type="dxa"/>
        <w:tblLook w:val="04A0" w:firstRow="1" w:lastRow="0" w:firstColumn="1" w:lastColumn="0" w:noHBand="0" w:noVBand="1"/>
      </w:tblPr>
      <w:tblGrid>
        <w:gridCol w:w="1747"/>
        <w:gridCol w:w="1696"/>
        <w:gridCol w:w="1696"/>
        <w:gridCol w:w="1696"/>
      </w:tblGrid>
      <w:tr w:rsidR="00294B6D">
        <w:tc>
          <w:tcPr>
            <w:tcW w:w="1695" w:type="dxa"/>
          </w:tcPr>
          <w:p w:rsidRPr="00D43BBE" w:rsidR="00E8398E" w:rsidP="00E069B0" w:rsidRDefault="00E8398E">
            <w:pPr>
              <w:ind w:left="0" w:firstLine="0"/>
              <w:rPr>
                <w:b/>
                <w:bCs/>
              </w:rPr>
            </w:pPr>
            <w:r w:rsidRPr="00D43BBE">
              <w:rPr>
                <w:b/>
                <w:bCs/>
              </w:rPr>
              <w:t>Heat pump space conditioning</w:t>
            </w:r>
          </w:p>
        </w:tc>
        <w:tc>
          <w:tcPr>
            <w:tcW w:w="1696" w:type="dxa"/>
          </w:tcPr>
          <w:p w:rsidR="00E8398E" w:rsidP="00E069B0" w:rsidRDefault="00E8398E">
            <w:pPr>
              <w:ind w:left="0" w:firstLine="0"/>
              <w:rPr>
                <w:b/>
                <w:bCs/>
              </w:rPr>
            </w:pPr>
            <w:r>
              <w:rPr>
                <w:b/>
                <w:bCs/>
              </w:rPr>
              <w:t>Heat pump water heater</w:t>
            </w:r>
          </w:p>
        </w:tc>
        <w:tc>
          <w:tcPr>
            <w:tcW w:w="1696" w:type="dxa"/>
          </w:tcPr>
          <w:p w:rsidR="00E8398E" w:rsidP="00E069B0" w:rsidRDefault="00E8398E">
            <w:pPr>
              <w:ind w:left="0" w:firstLine="0"/>
              <w:rPr>
                <w:b/>
                <w:bCs/>
              </w:rPr>
            </w:pPr>
            <w:r>
              <w:rPr>
                <w:b/>
                <w:bCs/>
              </w:rPr>
              <w:t>Heat pump dryer</w:t>
            </w:r>
          </w:p>
        </w:tc>
        <w:tc>
          <w:tcPr>
            <w:tcW w:w="1696" w:type="dxa"/>
          </w:tcPr>
          <w:p w:rsidR="00E8398E" w:rsidP="00E069B0" w:rsidRDefault="00E8398E">
            <w:pPr>
              <w:ind w:left="0" w:firstLine="0"/>
              <w:rPr>
                <w:b/>
                <w:bCs/>
              </w:rPr>
            </w:pPr>
            <w:r>
              <w:rPr>
                <w:b/>
                <w:bCs/>
              </w:rPr>
              <w:t>Electric cooktop oven</w:t>
            </w:r>
          </w:p>
        </w:tc>
      </w:tr>
      <w:tr w:rsidR="00294B6D">
        <w:tc>
          <w:tcPr>
            <w:tcW w:w="1695" w:type="dxa"/>
          </w:tcPr>
          <w:p w:rsidRPr="000D5989" w:rsidR="00E8398E" w:rsidP="00E069B0" w:rsidRDefault="00E8398E">
            <w:pPr>
              <w:ind w:left="0" w:firstLine="0"/>
            </w:pPr>
            <w:r>
              <w:t>5084 kWh/</w:t>
            </w:r>
            <w:proofErr w:type="spellStart"/>
            <w:r>
              <w:t>yr</w:t>
            </w:r>
            <w:proofErr w:type="spellEnd"/>
          </w:p>
        </w:tc>
        <w:tc>
          <w:tcPr>
            <w:tcW w:w="1696" w:type="dxa"/>
          </w:tcPr>
          <w:p w:rsidRPr="000D5989" w:rsidR="00E8398E" w:rsidP="00E069B0" w:rsidRDefault="00E8398E">
            <w:pPr>
              <w:ind w:left="0" w:firstLine="0"/>
            </w:pPr>
            <w:r>
              <w:t>1004 kWh/</w:t>
            </w:r>
            <w:proofErr w:type="spellStart"/>
            <w:r>
              <w:t>yr</w:t>
            </w:r>
            <w:proofErr w:type="spellEnd"/>
          </w:p>
        </w:tc>
        <w:tc>
          <w:tcPr>
            <w:tcW w:w="1696" w:type="dxa"/>
          </w:tcPr>
          <w:p w:rsidRPr="000D5989" w:rsidR="00E8398E" w:rsidP="00E069B0" w:rsidRDefault="00E8398E">
            <w:pPr>
              <w:ind w:left="0" w:firstLine="0"/>
            </w:pPr>
            <w:r>
              <w:t>719 kWh/</w:t>
            </w:r>
            <w:proofErr w:type="spellStart"/>
            <w:r>
              <w:t>yr</w:t>
            </w:r>
            <w:proofErr w:type="spellEnd"/>
          </w:p>
        </w:tc>
        <w:tc>
          <w:tcPr>
            <w:tcW w:w="1696" w:type="dxa"/>
          </w:tcPr>
          <w:p w:rsidRPr="000D5989" w:rsidR="00E8398E" w:rsidP="00E069B0" w:rsidRDefault="00E8398E">
            <w:pPr>
              <w:ind w:left="0" w:firstLine="0"/>
            </w:pPr>
            <w:r>
              <w:t>310 kWh/</w:t>
            </w:r>
            <w:proofErr w:type="spellStart"/>
            <w:r>
              <w:t>yr</w:t>
            </w:r>
            <w:proofErr w:type="spellEnd"/>
          </w:p>
        </w:tc>
      </w:tr>
    </w:tbl>
    <w:p w:rsidR="00E8398E" w:rsidP="00E8398E" w:rsidRDefault="00E8398E"/>
    <w:p w:rsidR="00E8398E" w:rsidP="002A7EF5" w:rsidRDefault="00E8398E">
      <w:pPr>
        <w:pStyle w:val="ListParagraph"/>
        <w:numPr>
          <w:ilvl w:val="0"/>
          <w:numId w:val="11"/>
        </w:numPr>
      </w:pPr>
      <w:r>
        <w:t xml:space="preserve">For rebound effect, </w:t>
      </w:r>
      <w:r w:rsidRPr="00252614">
        <w:t>added an additional 30</w:t>
      </w:r>
      <w:r w:rsidR="009E3172">
        <w:t xml:space="preserve"> percent</w:t>
      </w:r>
      <w:r w:rsidRPr="00252614">
        <w:t xml:space="preserve"> </w:t>
      </w:r>
      <w:r>
        <w:t xml:space="preserve">for </w:t>
      </w:r>
      <w:r w:rsidRPr="00252614">
        <w:t xml:space="preserve">space conditioning usage per year based on SCE’s methodology from </w:t>
      </w:r>
      <w:r>
        <w:t xml:space="preserve">its </w:t>
      </w:r>
      <w:r w:rsidRPr="00252614">
        <w:t xml:space="preserve">2018 </w:t>
      </w:r>
      <w:r>
        <w:t xml:space="preserve">pilot </w:t>
      </w:r>
      <w:r w:rsidRPr="00252614">
        <w:t xml:space="preserve">proposal. </w:t>
      </w:r>
      <w:r>
        <w:t xml:space="preserve">This brought the heat pump space conditioning usage to </w:t>
      </w:r>
      <w:r w:rsidR="008B0DA7">
        <w:t>6</w:t>
      </w:r>
      <w:r w:rsidRPr="00252614">
        <w:t>,</w:t>
      </w:r>
      <w:r w:rsidR="008B0DA7">
        <w:t>609</w:t>
      </w:r>
      <w:r w:rsidRPr="00252614">
        <w:t xml:space="preserve"> kWh</w:t>
      </w:r>
      <w:r>
        <w:t>/yr.</w:t>
      </w:r>
    </w:p>
    <w:p w:rsidR="00E8398E" w:rsidP="002A7EF5" w:rsidRDefault="00E8398E">
      <w:pPr>
        <w:pStyle w:val="ListParagraph"/>
        <w:numPr>
          <w:ilvl w:val="0"/>
          <w:numId w:val="11"/>
        </w:numPr>
      </w:pPr>
      <w:r w:rsidRPr="00252614">
        <w:t>Calculated post-pilot electric bills based on added load</w:t>
      </w:r>
      <w:r>
        <w:t xml:space="preserve">, after </w:t>
      </w:r>
      <w:r w:rsidRPr="00252614">
        <w:t>placing customers on EL-1 CARE or E-1 tiered all electric-baseline rates</w:t>
      </w:r>
      <w:r>
        <w:t>.</w:t>
      </w:r>
    </w:p>
    <w:p w:rsidR="00E8398E" w:rsidP="002A7EF5" w:rsidRDefault="00E8398E">
      <w:pPr>
        <w:pStyle w:val="ListParagraph"/>
        <w:numPr>
          <w:ilvl w:val="0"/>
          <w:numId w:val="11"/>
        </w:numPr>
      </w:pPr>
      <w:r>
        <w:t>A</w:t>
      </w:r>
      <w:r w:rsidRPr="00AC6929">
        <w:t xml:space="preserve">pplied </w:t>
      </w:r>
      <w:r>
        <w:t>20</w:t>
      </w:r>
      <w:r w:rsidR="009E3172">
        <w:t xml:space="preserve"> percent</w:t>
      </w:r>
      <w:r>
        <w:t xml:space="preserve"> DAC-GT or CSGT </w:t>
      </w:r>
      <w:r w:rsidRPr="00AC6929">
        <w:t>community solar discount</w:t>
      </w:r>
      <w:r w:rsidR="006B7075">
        <w:t>; and</w:t>
      </w:r>
    </w:p>
    <w:p w:rsidRPr="00AC6929" w:rsidR="00E8398E" w:rsidP="002A7EF5" w:rsidRDefault="00E8398E">
      <w:pPr>
        <w:pStyle w:val="ListParagraph"/>
        <w:numPr>
          <w:ilvl w:val="0"/>
          <w:numId w:val="11"/>
        </w:numPr>
      </w:pPr>
      <w:r>
        <w:t>A</w:t>
      </w:r>
      <w:r w:rsidRPr="00AC6929">
        <w:t xml:space="preserve">pplied </w:t>
      </w:r>
      <w:r>
        <w:t>proposed 20</w:t>
      </w:r>
      <w:r w:rsidR="009E3172">
        <w:t xml:space="preserve"> percent</w:t>
      </w:r>
      <w:r>
        <w:t xml:space="preserve"> </w:t>
      </w:r>
      <w:r w:rsidRPr="00AC6929">
        <w:t>bill protection discount</w:t>
      </w:r>
      <w:r>
        <w:t>.</w:t>
      </w:r>
    </w:p>
    <w:p w:rsidR="00294B6D" w:rsidRDefault="00294B6D">
      <w:pPr>
        <w:rPr>
          <w:i/>
          <w:iCs/>
        </w:rPr>
      </w:pPr>
    </w:p>
    <w:p w:rsidR="00725DF7" w:rsidP="00E8398E" w:rsidRDefault="00725DF7">
      <w:pPr>
        <w:rPr>
          <w:i/>
          <w:iCs/>
          <w:u w:val="single"/>
        </w:rPr>
      </w:pPr>
    </w:p>
    <w:p w:rsidR="00725DF7" w:rsidP="00E8398E" w:rsidRDefault="00725DF7">
      <w:pPr>
        <w:rPr>
          <w:i/>
          <w:iCs/>
          <w:u w:val="single"/>
        </w:rPr>
      </w:pPr>
    </w:p>
    <w:p w:rsidR="00E8398E" w:rsidP="00E8398E" w:rsidRDefault="00E8398E">
      <w:pPr>
        <w:rPr>
          <w:i/>
          <w:iCs/>
          <w:u w:val="single"/>
        </w:rPr>
      </w:pPr>
      <w:r w:rsidRPr="00C50B11">
        <w:rPr>
          <w:i/>
          <w:iCs/>
          <w:u w:val="single"/>
        </w:rPr>
        <w:t xml:space="preserve">Estimated Energy Cost Savings for CARE and non-CARE </w:t>
      </w:r>
      <w:r w:rsidR="00642657">
        <w:rPr>
          <w:i/>
          <w:iCs/>
          <w:u w:val="single"/>
        </w:rPr>
        <w:t>C</w:t>
      </w:r>
      <w:r w:rsidRPr="00C50B11">
        <w:rPr>
          <w:i/>
          <w:iCs/>
          <w:u w:val="single"/>
        </w:rPr>
        <w:t>ustomers</w:t>
      </w:r>
    </w:p>
    <w:p w:rsidR="004044CC" w:rsidP="00E8398E" w:rsidRDefault="00E8398E">
      <w:r>
        <w:t xml:space="preserve">These energy cost savings estimates are based on the modeling described in the above section. For these estimates, GRID used electricity bill and usage data from five pilot communities in PG&amp;E territory.  </w:t>
      </w:r>
    </w:p>
    <w:p w:rsidR="004044CC" w:rsidP="00E8398E" w:rsidRDefault="004044CC"/>
    <w:p w:rsidRPr="0053658F" w:rsidR="00E8398E" w:rsidP="00E8398E" w:rsidRDefault="00E8398E">
      <w:pPr>
        <w:pStyle w:val="ListParagraph"/>
        <w:ind w:left="360"/>
        <w:rPr>
          <w:b/>
          <w:bCs/>
        </w:rPr>
      </w:pPr>
      <w:r>
        <w:rPr>
          <w:b/>
          <w:bCs/>
        </w:rPr>
        <w:t xml:space="preserve">          CARE Customer Energy Cost Savings Estimates </w:t>
      </w:r>
    </w:p>
    <w:tbl>
      <w:tblPr>
        <w:tblStyle w:val="TableGrid"/>
        <w:tblW w:w="0" w:type="auto"/>
        <w:tblInd w:w="720" w:type="dxa"/>
        <w:tblLook w:val="04A0" w:firstRow="1" w:lastRow="0" w:firstColumn="1" w:lastColumn="0" w:noHBand="0" w:noVBand="1"/>
      </w:tblPr>
      <w:tblGrid>
        <w:gridCol w:w="2223"/>
        <w:gridCol w:w="2135"/>
        <w:gridCol w:w="2136"/>
      </w:tblGrid>
      <w:tr w:rsidR="00294B6D">
        <w:tc>
          <w:tcPr>
            <w:tcW w:w="2223" w:type="dxa"/>
          </w:tcPr>
          <w:p w:rsidRPr="002A2A21" w:rsidR="00E8398E" w:rsidP="00E069B0" w:rsidRDefault="00E8398E">
            <w:pPr>
              <w:ind w:left="0" w:firstLine="0"/>
              <w:rPr>
                <w:sz w:val="20"/>
                <w:szCs w:val="20"/>
              </w:rPr>
            </w:pPr>
          </w:p>
        </w:tc>
        <w:tc>
          <w:tcPr>
            <w:tcW w:w="2135" w:type="dxa"/>
          </w:tcPr>
          <w:p w:rsidRPr="002A2A21" w:rsidR="00E8398E" w:rsidP="00E069B0" w:rsidRDefault="00E8398E">
            <w:pPr>
              <w:ind w:left="0" w:firstLine="0"/>
              <w:rPr>
                <w:sz w:val="20"/>
                <w:szCs w:val="20"/>
              </w:rPr>
            </w:pPr>
            <w:r w:rsidRPr="002A2A21">
              <w:rPr>
                <w:sz w:val="20"/>
                <w:szCs w:val="20"/>
              </w:rPr>
              <w:t>Annual energy cost savings (compared to pre-pilot costs)</w:t>
            </w:r>
          </w:p>
        </w:tc>
        <w:tc>
          <w:tcPr>
            <w:tcW w:w="2136" w:type="dxa"/>
          </w:tcPr>
          <w:p w:rsidRPr="002A2A21" w:rsidR="00E8398E" w:rsidP="00E069B0" w:rsidRDefault="00E8398E">
            <w:pPr>
              <w:ind w:left="0" w:firstLine="0"/>
              <w:rPr>
                <w:sz w:val="20"/>
                <w:szCs w:val="20"/>
              </w:rPr>
            </w:pPr>
            <w:r w:rsidRPr="002A2A21">
              <w:rPr>
                <w:sz w:val="20"/>
                <w:szCs w:val="20"/>
              </w:rPr>
              <w:t>Percent</w:t>
            </w:r>
            <w:r>
              <w:rPr>
                <w:sz w:val="20"/>
                <w:szCs w:val="20"/>
              </w:rPr>
              <w:t>age</w:t>
            </w:r>
            <w:r w:rsidRPr="002A2A21">
              <w:rPr>
                <w:sz w:val="20"/>
                <w:szCs w:val="20"/>
              </w:rPr>
              <w:t xml:space="preserve"> reduction in </w:t>
            </w:r>
            <w:r>
              <w:rPr>
                <w:sz w:val="20"/>
                <w:szCs w:val="20"/>
              </w:rPr>
              <w:t>pre-pilot to post-pilot energy costs</w:t>
            </w:r>
          </w:p>
        </w:tc>
      </w:tr>
      <w:tr w:rsidR="00294B6D">
        <w:tc>
          <w:tcPr>
            <w:tcW w:w="2223" w:type="dxa"/>
          </w:tcPr>
          <w:p w:rsidRPr="002A2A21" w:rsidR="00E8398E" w:rsidP="00E069B0" w:rsidRDefault="00E8398E">
            <w:pPr>
              <w:ind w:left="0" w:firstLine="0"/>
              <w:rPr>
                <w:sz w:val="20"/>
                <w:szCs w:val="20"/>
              </w:rPr>
            </w:pPr>
            <w:r w:rsidRPr="002A2A21">
              <w:rPr>
                <w:sz w:val="20"/>
                <w:szCs w:val="20"/>
              </w:rPr>
              <w:t>25</w:t>
            </w:r>
            <w:r w:rsidRPr="002A2A21">
              <w:rPr>
                <w:sz w:val="20"/>
                <w:szCs w:val="20"/>
                <w:vertAlign w:val="superscript"/>
              </w:rPr>
              <w:t>th</w:t>
            </w:r>
            <w:r w:rsidRPr="002A2A21">
              <w:rPr>
                <w:sz w:val="20"/>
                <w:szCs w:val="20"/>
              </w:rPr>
              <w:t xml:space="preserve"> percentile usage customer</w:t>
            </w:r>
          </w:p>
        </w:tc>
        <w:tc>
          <w:tcPr>
            <w:tcW w:w="2135" w:type="dxa"/>
          </w:tcPr>
          <w:p w:rsidRPr="002A2A21" w:rsidR="00E8398E" w:rsidP="00E069B0" w:rsidRDefault="00E8398E">
            <w:pPr>
              <w:ind w:left="0" w:firstLine="0"/>
              <w:rPr>
                <w:sz w:val="20"/>
                <w:szCs w:val="20"/>
              </w:rPr>
            </w:pPr>
            <w:r w:rsidRPr="002A2A21">
              <w:rPr>
                <w:sz w:val="20"/>
                <w:szCs w:val="20"/>
              </w:rPr>
              <w:t>$733</w:t>
            </w:r>
          </w:p>
        </w:tc>
        <w:tc>
          <w:tcPr>
            <w:tcW w:w="2136" w:type="dxa"/>
          </w:tcPr>
          <w:p w:rsidRPr="002A2A21" w:rsidR="00E8398E" w:rsidP="00E069B0" w:rsidRDefault="00E8398E">
            <w:pPr>
              <w:ind w:left="0" w:firstLine="0"/>
              <w:rPr>
                <w:sz w:val="20"/>
                <w:szCs w:val="20"/>
              </w:rPr>
            </w:pPr>
            <w:r w:rsidRPr="002A2A21">
              <w:rPr>
                <w:sz w:val="20"/>
                <w:szCs w:val="20"/>
              </w:rPr>
              <w:t>35</w:t>
            </w:r>
            <w:r w:rsidR="009E3172">
              <w:rPr>
                <w:sz w:val="20"/>
                <w:szCs w:val="20"/>
              </w:rPr>
              <w:t xml:space="preserve"> percent</w:t>
            </w:r>
          </w:p>
        </w:tc>
      </w:tr>
      <w:tr w:rsidR="00294B6D">
        <w:tc>
          <w:tcPr>
            <w:tcW w:w="2223" w:type="dxa"/>
          </w:tcPr>
          <w:p w:rsidRPr="002A2A21" w:rsidR="00E8398E" w:rsidP="00E069B0" w:rsidRDefault="00E8398E">
            <w:pPr>
              <w:ind w:left="0" w:firstLine="0"/>
              <w:rPr>
                <w:sz w:val="20"/>
                <w:szCs w:val="20"/>
              </w:rPr>
            </w:pPr>
            <w:r w:rsidRPr="002A2A21">
              <w:rPr>
                <w:sz w:val="20"/>
                <w:szCs w:val="20"/>
              </w:rPr>
              <w:t>Median usage customer</w:t>
            </w:r>
          </w:p>
        </w:tc>
        <w:tc>
          <w:tcPr>
            <w:tcW w:w="2135" w:type="dxa"/>
          </w:tcPr>
          <w:p w:rsidRPr="002A2A21" w:rsidR="00E8398E" w:rsidP="00E069B0" w:rsidRDefault="00E8398E">
            <w:pPr>
              <w:ind w:left="0" w:firstLine="0"/>
              <w:rPr>
                <w:sz w:val="20"/>
                <w:szCs w:val="20"/>
              </w:rPr>
            </w:pPr>
            <w:r w:rsidRPr="002A2A21">
              <w:rPr>
                <w:sz w:val="20"/>
                <w:szCs w:val="20"/>
              </w:rPr>
              <w:t>$830</w:t>
            </w:r>
          </w:p>
        </w:tc>
        <w:tc>
          <w:tcPr>
            <w:tcW w:w="2136" w:type="dxa"/>
          </w:tcPr>
          <w:p w:rsidRPr="002A2A21" w:rsidR="00E8398E" w:rsidP="00E069B0" w:rsidRDefault="00E8398E">
            <w:pPr>
              <w:ind w:left="0" w:firstLine="0"/>
              <w:rPr>
                <w:sz w:val="20"/>
                <w:szCs w:val="20"/>
              </w:rPr>
            </w:pPr>
            <w:r w:rsidRPr="002A2A21">
              <w:rPr>
                <w:sz w:val="20"/>
                <w:szCs w:val="20"/>
              </w:rPr>
              <w:t>35</w:t>
            </w:r>
            <w:r w:rsidR="009E3172">
              <w:rPr>
                <w:sz w:val="20"/>
                <w:szCs w:val="20"/>
              </w:rPr>
              <w:t xml:space="preserve"> percent</w:t>
            </w:r>
          </w:p>
        </w:tc>
      </w:tr>
      <w:tr w:rsidR="00294B6D">
        <w:tc>
          <w:tcPr>
            <w:tcW w:w="2223" w:type="dxa"/>
          </w:tcPr>
          <w:p w:rsidRPr="002A2A21" w:rsidR="00E8398E" w:rsidP="00E069B0" w:rsidRDefault="00E8398E">
            <w:pPr>
              <w:ind w:left="0" w:firstLine="0"/>
              <w:rPr>
                <w:sz w:val="20"/>
                <w:szCs w:val="20"/>
              </w:rPr>
            </w:pPr>
            <w:r w:rsidRPr="002A2A21">
              <w:rPr>
                <w:sz w:val="20"/>
                <w:szCs w:val="20"/>
              </w:rPr>
              <w:t>75</w:t>
            </w:r>
            <w:r w:rsidRPr="002A2A21">
              <w:rPr>
                <w:sz w:val="20"/>
                <w:szCs w:val="20"/>
                <w:vertAlign w:val="superscript"/>
              </w:rPr>
              <w:t>th</w:t>
            </w:r>
            <w:r w:rsidRPr="002A2A21">
              <w:rPr>
                <w:sz w:val="20"/>
                <w:szCs w:val="20"/>
              </w:rPr>
              <w:t xml:space="preserve"> percentile usage customer</w:t>
            </w:r>
          </w:p>
        </w:tc>
        <w:tc>
          <w:tcPr>
            <w:tcW w:w="2135" w:type="dxa"/>
          </w:tcPr>
          <w:p w:rsidRPr="002A2A21" w:rsidR="00E8398E" w:rsidP="00E069B0" w:rsidRDefault="00E8398E">
            <w:pPr>
              <w:ind w:left="0" w:firstLine="0"/>
              <w:rPr>
                <w:sz w:val="20"/>
                <w:szCs w:val="20"/>
              </w:rPr>
            </w:pPr>
            <w:r w:rsidRPr="002A2A21">
              <w:rPr>
                <w:sz w:val="20"/>
                <w:szCs w:val="20"/>
              </w:rPr>
              <w:t>$975</w:t>
            </w:r>
          </w:p>
        </w:tc>
        <w:tc>
          <w:tcPr>
            <w:tcW w:w="2136" w:type="dxa"/>
          </w:tcPr>
          <w:p w:rsidRPr="002A2A21" w:rsidR="00E8398E" w:rsidP="00E069B0" w:rsidRDefault="00E8398E">
            <w:pPr>
              <w:ind w:left="0" w:firstLine="0"/>
              <w:rPr>
                <w:sz w:val="20"/>
                <w:szCs w:val="20"/>
              </w:rPr>
            </w:pPr>
            <w:r w:rsidRPr="002A2A21">
              <w:rPr>
                <w:sz w:val="20"/>
                <w:szCs w:val="20"/>
              </w:rPr>
              <w:t>36</w:t>
            </w:r>
            <w:r w:rsidR="009E3172">
              <w:rPr>
                <w:sz w:val="20"/>
                <w:szCs w:val="20"/>
              </w:rPr>
              <w:t xml:space="preserve"> percent</w:t>
            </w:r>
          </w:p>
        </w:tc>
      </w:tr>
    </w:tbl>
    <w:p w:rsidR="00E8398E" w:rsidP="00E8398E" w:rsidRDefault="00E8398E">
      <w:pPr>
        <w:rPr>
          <w:b/>
          <w:bCs/>
        </w:rPr>
      </w:pPr>
    </w:p>
    <w:p w:rsidRPr="0053658F" w:rsidR="00E8398E" w:rsidP="00E8398E" w:rsidRDefault="00E8398E">
      <w:pPr>
        <w:pStyle w:val="ListParagraph"/>
        <w:ind w:left="360"/>
        <w:rPr>
          <w:b/>
          <w:bCs/>
        </w:rPr>
      </w:pPr>
      <w:r>
        <w:rPr>
          <w:b/>
          <w:bCs/>
        </w:rPr>
        <w:t xml:space="preserve">         Non-CARE Customer Energy Cost Savings Estimates </w:t>
      </w:r>
    </w:p>
    <w:tbl>
      <w:tblPr>
        <w:tblStyle w:val="TableGrid"/>
        <w:tblW w:w="0" w:type="auto"/>
        <w:tblInd w:w="720" w:type="dxa"/>
        <w:tblLook w:val="04A0" w:firstRow="1" w:lastRow="0" w:firstColumn="1" w:lastColumn="0" w:noHBand="0" w:noVBand="1"/>
      </w:tblPr>
      <w:tblGrid>
        <w:gridCol w:w="2223"/>
        <w:gridCol w:w="2135"/>
        <w:gridCol w:w="2136"/>
      </w:tblGrid>
      <w:tr w:rsidR="00294B6D">
        <w:tc>
          <w:tcPr>
            <w:tcW w:w="2223" w:type="dxa"/>
          </w:tcPr>
          <w:p w:rsidRPr="002A2A21" w:rsidR="00E8398E" w:rsidP="00E069B0" w:rsidRDefault="00E8398E">
            <w:pPr>
              <w:ind w:left="0" w:firstLine="0"/>
              <w:rPr>
                <w:sz w:val="20"/>
                <w:szCs w:val="20"/>
              </w:rPr>
            </w:pPr>
          </w:p>
        </w:tc>
        <w:tc>
          <w:tcPr>
            <w:tcW w:w="2135" w:type="dxa"/>
          </w:tcPr>
          <w:p w:rsidRPr="002A2A21" w:rsidR="00E8398E" w:rsidP="00E069B0" w:rsidRDefault="00E8398E">
            <w:pPr>
              <w:ind w:left="0" w:firstLine="0"/>
              <w:rPr>
                <w:sz w:val="20"/>
                <w:szCs w:val="20"/>
              </w:rPr>
            </w:pPr>
            <w:r w:rsidRPr="002A2A21">
              <w:rPr>
                <w:sz w:val="20"/>
                <w:szCs w:val="20"/>
              </w:rPr>
              <w:t>Annual energy cost savings (compared to pre-pilot costs)</w:t>
            </w:r>
          </w:p>
        </w:tc>
        <w:tc>
          <w:tcPr>
            <w:tcW w:w="2136" w:type="dxa"/>
          </w:tcPr>
          <w:p w:rsidRPr="002A2A21" w:rsidR="00E8398E" w:rsidP="00E069B0" w:rsidRDefault="00E8398E">
            <w:pPr>
              <w:ind w:left="0" w:firstLine="0"/>
              <w:rPr>
                <w:sz w:val="20"/>
                <w:szCs w:val="20"/>
              </w:rPr>
            </w:pPr>
            <w:r w:rsidRPr="002A2A21">
              <w:rPr>
                <w:sz w:val="20"/>
                <w:szCs w:val="20"/>
              </w:rPr>
              <w:t>Percent</w:t>
            </w:r>
            <w:r>
              <w:rPr>
                <w:sz w:val="20"/>
                <w:szCs w:val="20"/>
              </w:rPr>
              <w:t>age</w:t>
            </w:r>
            <w:r w:rsidRPr="002A2A21">
              <w:rPr>
                <w:sz w:val="20"/>
                <w:szCs w:val="20"/>
              </w:rPr>
              <w:t xml:space="preserve"> reduction in </w:t>
            </w:r>
            <w:r>
              <w:rPr>
                <w:sz w:val="20"/>
                <w:szCs w:val="20"/>
              </w:rPr>
              <w:t>pre-pilot to post-pilot energy costs</w:t>
            </w:r>
          </w:p>
        </w:tc>
      </w:tr>
      <w:tr w:rsidR="00294B6D">
        <w:tc>
          <w:tcPr>
            <w:tcW w:w="2223" w:type="dxa"/>
          </w:tcPr>
          <w:p w:rsidRPr="002A2A21" w:rsidR="00E8398E" w:rsidP="00E069B0" w:rsidRDefault="00E8398E">
            <w:pPr>
              <w:ind w:left="0" w:firstLine="0"/>
              <w:rPr>
                <w:sz w:val="20"/>
                <w:szCs w:val="20"/>
              </w:rPr>
            </w:pPr>
            <w:r w:rsidRPr="002A2A21">
              <w:rPr>
                <w:sz w:val="20"/>
                <w:szCs w:val="20"/>
              </w:rPr>
              <w:t>25</w:t>
            </w:r>
            <w:r w:rsidRPr="002A2A21">
              <w:rPr>
                <w:sz w:val="20"/>
                <w:szCs w:val="20"/>
                <w:vertAlign w:val="superscript"/>
              </w:rPr>
              <w:t>th</w:t>
            </w:r>
            <w:r w:rsidRPr="002A2A21">
              <w:rPr>
                <w:sz w:val="20"/>
                <w:szCs w:val="20"/>
              </w:rPr>
              <w:t xml:space="preserve"> percentile usage customer</w:t>
            </w:r>
          </w:p>
        </w:tc>
        <w:tc>
          <w:tcPr>
            <w:tcW w:w="2135" w:type="dxa"/>
          </w:tcPr>
          <w:p w:rsidRPr="002A2A21" w:rsidR="00E8398E" w:rsidP="00E069B0" w:rsidRDefault="00E8398E">
            <w:pPr>
              <w:ind w:left="0" w:firstLine="0"/>
              <w:rPr>
                <w:sz w:val="20"/>
                <w:szCs w:val="20"/>
              </w:rPr>
            </w:pPr>
            <w:r>
              <w:rPr>
                <w:sz w:val="20"/>
                <w:szCs w:val="20"/>
              </w:rPr>
              <w:t>$288</w:t>
            </w:r>
          </w:p>
        </w:tc>
        <w:tc>
          <w:tcPr>
            <w:tcW w:w="2136" w:type="dxa"/>
          </w:tcPr>
          <w:p w:rsidRPr="002A2A21" w:rsidR="00E8398E" w:rsidP="00E069B0" w:rsidRDefault="00E8398E">
            <w:pPr>
              <w:ind w:left="0" w:firstLine="0"/>
              <w:rPr>
                <w:sz w:val="20"/>
                <w:szCs w:val="20"/>
              </w:rPr>
            </w:pPr>
            <w:r>
              <w:rPr>
                <w:sz w:val="20"/>
                <w:szCs w:val="20"/>
              </w:rPr>
              <w:t>13</w:t>
            </w:r>
            <w:r w:rsidR="009E3172">
              <w:rPr>
                <w:sz w:val="20"/>
                <w:szCs w:val="20"/>
              </w:rPr>
              <w:t xml:space="preserve"> percent</w:t>
            </w:r>
          </w:p>
        </w:tc>
      </w:tr>
      <w:tr w:rsidR="00294B6D">
        <w:tc>
          <w:tcPr>
            <w:tcW w:w="2223" w:type="dxa"/>
          </w:tcPr>
          <w:p w:rsidRPr="002A2A21" w:rsidR="00E8398E" w:rsidP="00E069B0" w:rsidRDefault="00E8398E">
            <w:pPr>
              <w:ind w:left="0" w:firstLine="0"/>
              <w:rPr>
                <w:sz w:val="20"/>
                <w:szCs w:val="20"/>
              </w:rPr>
            </w:pPr>
            <w:r w:rsidRPr="002A2A21">
              <w:rPr>
                <w:sz w:val="20"/>
                <w:szCs w:val="20"/>
              </w:rPr>
              <w:t>Median usage customer</w:t>
            </w:r>
          </w:p>
        </w:tc>
        <w:tc>
          <w:tcPr>
            <w:tcW w:w="2135" w:type="dxa"/>
          </w:tcPr>
          <w:p w:rsidRPr="002A2A21" w:rsidR="00E8398E" w:rsidP="00E069B0" w:rsidRDefault="00E8398E">
            <w:pPr>
              <w:ind w:left="0" w:firstLine="0"/>
              <w:rPr>
                <w:sz w:val="20"/>
                <w:szCs w:val="20"/>
              </w:rPr>
            </w:pPr>
            <w:r>
              <w:rPr>
                <w:sz w:val="20"/>
                <w:szCs w:val="20"/>
              </w:rPr>
              <w:t>$518</w:t>
            </w:r>
          </w:p>
        </w:tc>
        <w:tc>
          <w:tcPr>
            <w:tcW w:w="2136" w:type="dxa"/>
          </w:tcPr>
          <w:p w:rsidRPr="002A2A21" w:rsidR="00E8398E" w:rsidP="00E069B0" w:rsidRDefault="00E8398E">
            <w:pPr>
              <w:ind w:left="0" w:firstLine="0"/>
              <w:rPr>
                <w:sz w:val="20"/>
                <w:szCs w:val="20"/>
              </w:rPr>
            </w:pPr>
            <w:r>
              <w:rPr>
                <w:sz w:val="20"/>
                <w:szCs w:val="20"/>
              </w:rPr>
              <w:t>18</w:t>
            </w:r>
            <w:r w:rsidR="009E3172">
              <w:rPr>
                <w:sz w:val="20"/>
                <w:szCs w:val="20"/>
              </w:rPr>
              <w:t xml:space="preserve"> percent</w:t>
            </w:r>
          </w:p>
        </w:tc>
      </w:tr>
      <w:tr w:rsidR="00294B6D">
        <w:tc>
          <w:tcPr>
            <w:tcW w:w="2223" w:type="dxa"/>
          </w:tcPr>
          <w:p w:rsidRPr="002A2A21" w:rsidR="00E8398E" w:rsidP="00E069B0" w:rsidRDefault="00E8398E">
            <w:pPr>
              <w:ind w:left="0" w:firstLine="0"/>
              <w:rPr>
                <w:sz w:val="20"/>
                <w:szCs w:val="20"/>
              </w:rPr>
            </w:pPr>
            <w:r w:rsidRPr="002A2A21">
              <w:rPr>
                <w:sz w:val="20"/>
                <w:szCs w:val="20"/>
              </w:rPr>
              <w:t>75</w:t>
            </w:r>
            <w:r w:rsidRPr="002A2A21">
              <w:rPr>
                <w:sz w:val="20"/>
                <w:szCs w:val="20"/>
                <w:vertAlign w:val="superscript"/>
              </w:rPr>
              <w:t>th</w:t>
            </w:r>
            <w:r w:rsidRPr="002A2A21">
              <w:rPr>
                <w:sz w:val="20"/>
                <w:szCs w:val="20"/>
              </w:rPr>
              <w:t xml:space="preserve"> percentile usage customer</w:t>
            </w:r>
          </w:p>
        </w:tc>
        <w:tc>
          <w:tcPr>
            <w:tcW w:w="2135" w:type="dxa"/>
          </w:tcPr>
          <w:p w:rsidRPr="002A2A21" w:rsidR="00E8398E" w:rsidP="00E069B0" w:rsidRDefault="00E8398E">
            <w:pPr>
              <w:ind w:left="0" w:firstLine="0"/>
              <w:rPr>
                <w:sz w:val="20"/>
                <w:szCs w:val="20"/>
              </w:rPr>
            </w:pPr>
            <w:r>
              <w:rPr>
                <w:sz w:val="20"/>
                <w:szCs w:val="20"/>
              </w:rPr>
              <w:t>$835</w:t>
            </w:r>
          </w:p>
        </w:tc>
        <w:tc>
          <w:tcPr>
            <w:tcW w:w="2136" w:type="dxa"/>
          </w:tcPr>
          <w:p w:rsidRPr="002A2A21" w:rsidR="00E8398E" w:rsidP="00E069B0" w:rsidRDefault="00E8398E">
            <w:pPr>
              <w:ind w:left="0" w:firstLine="0"/>
              <w:rPr>
                <w:sz w:val="20"/>
                <w:szCs w:val="20"/>
              </w:rPr>
            </w:pPr>
            <w:r>
              <w:rPr>
                <w:sz w:val="20"/>
                <w:szCs w:val="20"/>
              </w:rPr>
              <w:t>22</w:t>
            </w:r>
            <w:r w:rsidR="009E3172">
              <w:rPr>
                <w:sz w:val="20"/>
                <w:szCs w:val="20"/>
              </w:rPr>
              <w:t xml:space="preserve"> percent</w:t>
            </w:r>
          </w:p>
        </w:tc>
      </w:tr>
    </w:tbl>
    <w:p w:rsidR="00E8398E" w:rsidP="00E8398E" w:rsidRDefault="00E8398E">
      <w:pPr>
        <w:rPr>
          <w:b/>
          <w:bCs/>
        </w:rPr>
      </w:pPr>
    </w:p>
    <w:p w:rsidR="00E8398E" w:rsidP="00E8398E" w:rsidRDefault="00E8398E">
      <w:pPr>
        <w:rPr>
          <w:i/>
          <w:iCs/>
          <w:u w:val="single"/>
        </w:rPr>
      </w:pPr>
      <w:r w:rsidRPr="00D13B0A">
        <w:rPr>
          <w:i/>
          <w:iCs/>
          <w:u w:val="single"/>
        </w:rPr>
        <w:t xml:space="preserve">Implementation </w:t>
      </w:r>
      <w:r>
        <w:rPr>
          <w:i/>
          <w:iCs/>
          <w:u w:val="single"/>
        </w:rPr>
        <w:t>Recommendations</w:t>
      </w:r>
    </w:p>
    <w:p w:rsidR="00E8398E" w:rsidP="00E8398E" w:rsidRDefault="00E8398E">
      <w:r>
        <w:t>GRID proposes that all pilot customers, regardless of income, should immediately receive a 20 percent CSGT or DAC-GT discount as soon as t</w:t>
      </w:r>
      <w:r w:rsidR="008B643E">
        <w:t xml:space="preserve">he bill protection approach is </w:t>
      </w:r>
      <w:r>
        <w:t xml:space="preserve">adopted. </w:t>
      </w:r>
    </w:p>
    <w:p w:rsidR="00E8398E" w:rsidP="00E8398E" w:rsidRDefault="00E8398E"/>
    <w:p w:rsidR="00E8398E" w:rsidP="00E8398E" w:rsidRDefault="00E8398E">
      <w:r>
        <w:t xml:space="preserve">To meet this objective, GRID states that 1) the CSGT program should be required for all communities, and 2) PG&amp;E and SCE should be required to provide a DAC-GT 20 percent discount (or other 20 percent discount) to all participants if the CSGT is not yet available. </w:t>
      </w:r>
    </w:p>
    <w:p w:rsidR="00E8398E" w:rsidP="00E8398E" w:rsidRDefault="00E8398E"/>
    <w:p w:rsidR="00177FFC" w:rsidP="00177FFC" w:rsidRDefault="00177FFC">
      <w:pPr>
        <w:pStyle w:val="ListParagraph"/>
        <w:ind w:left="0"/>
        <w:rPr>
          <w:i/>
          <w:iCs/>
        </w:rPr>
      </w:pPr>
      <w:r w:rsidRPr="00AF2023">
        <w:rPr>
          <w:i/>
          <w:iCs/>
        </w:rPr>
        <w:t>PG&amp;E and SCE joint reply</w:t>
      </w:r>
      <w:r w:rsidR="000856F2">
        <w:rPr>
          <w:i/>
          <w:iCs/>
        </w:rPr>
        <w:t xml:space="preserve"> to GRID’s bill protection proposal</w:t>
      </w:r>
      <w:r w:rsidRPr="00AF2023">
        <w:rPr>
          <w:i/>
          <w:iCs/>
        </w:rPr>
        <w:t>:</w:t>
      </w:r>
    </w:p>
    <w:p w:rsidR="00996F92" w:rsidP="003E286A" w:rsidRDefault="00996F92">
      <w:r>
        <w:t>PG&amp;E and SCE reject GRID’s bill protection proposal to provide a 20 percent discount to pilot participants for 20 years</w:t>
      </w:r>
      <w:r w:rsidR="00552A32">
        <w:t>.</w:t>
      </w:r>
      <w:r>
        <w:t xml:space="preserve"> </w:t>
      </w:r>
      <w:r w:rsidR="00CB23C3">
        <w:t>PG&amp;E and SCE</w:t>
      </w:r>
      <w:r>
        <w:t xml:space="preserve"> state that this proposal is premature without proper data collection and analysis. They argue that the approach fails to consider</w:t>
      </w:r>
      <w:r w:rsidR="00F8044B">
        <w:t xml:space="preserve"> the</w:t>
      </w:r>
      <w:r>
        <w:t xml:space="preserve"> intent of AB 2672, costs and impacts on ratepayers, and the life of the appliance measures.  </w:t>
      </w:r>
    </w:p>
    <w:p w:rsidR="00996F92" w:rsidP="003E286A" w:rsidRDefault="00996F92">
      <w:r>
        <w:t xml:space="preserve">In terms of costs and impacts to ratepayers, </w:t>
      </w:r>
      <w:r w:rsidR="005D574E">
        <w:t>PG&amp;E and SCE</w:t>
      </w:r>
      <w:r>
        <w:t xml:space="preserve"> argue that GRID and the Pilot Team’s proposal is cost-ineffective and unnecessary, and it would cost ratepayers between $5.3 and $12.4 million overall, or approximately 14 times the approved $500 per household.  </w:t>
      </w:r>
    </w:p>
    <w:p w:rsidR="005D574E" w:rsidP="003E286A" w:rsidRDefault="005D574E"/>
    <w:p w:rsidR="00AF2C3D" w:rsidP="003E286A" w:rsidRDefault="005D574E">
      <w:r>
        <w:t xml:space="preserve">PG&amp;E and SCE reject GRID’s </w:t>
      </w:r>
      <w:r w:rsidR="00AF2C3D">
        <w:t>recommendation that all customers should immediately receive a 20 percent CSGT or DAC-GT discount.</w:t>
      </w:r>
      <w:r w:rsidR="00C91FBC">
        <w:t xml:space="preserve"> They state that </w:t>
      </w:r>
      <w:r w:rsidR="00294FF2">
        <w:t>GRID should seek a Petition for Modification (PFM)</w:t>
      </w:r>
      <w:r w:rsidR="008F3376">
        <w:t xml:space="preserve"> to the SJV Pilots Decisions</w:t>
      </w:r>
      <w:r w:rsidR="00294FF2">
        <w:t xml:space="preserve"> </w:t>
      </w:r>
      <w:r w:rsidR="00A3321E">
        <w:t xml:space="preserve">since </w:t>
      </w:r>
      <w:r w:rsidR="00294FF2">
        <w:t xml:space="preserve">a protest is an inappropriate venue to modify </w:t>
      </w:r>
      <w:r w:rsidR="00BD6467">
        <w:t>the CSGT and DAC-GT program</w:t>
      </w:r>
      <w:r w:rsidR="009942C6">
        <w:t xml:space="preserve"> rules and requirements</w:t>
      </w:r>
      <w:r w:rsidR="00BD6467">
        <w:t>.</w:t>
      </w:r>
    </w:p>
    <w:p w:rsidR="00177FFC" w:rsidP="00E8398E" w:rsidRDefault="00177FFC"/>
    <w:p w:rsidRPr="00B93487" w:rsidR="00E8398E" w:rsidP="00E8398E" w:rsidRDefault="00E8398E">
      <w:pPr>
        <w:rPr>
          <w:b/>
          <w:bCs/>
          <w:u w:val="single"/>
        </w:rPr>
      </w:pPr>
      <w:proofErr w:type="spellStart"/>
      <w:r w:rsidRPr="00B93487">
        <w:rPr>
          <w:b/>
          <w:bCs/>
          <w:u w:val="single"/>
        </w:rPr>
        <w:t>CalPA’s</w:t>
      </w:r>
      <w:proofErr w:type="spellEnd"/>
      <w:r w:rsidRPr="00B93487">
        <w:rPr>
          <w:b/>
          <w:bCs/>
          <w:u w:val="single"/>
        </w:rPr>
        <w:t xml:space="preserve"> </w:t>
      </w:r>
      <w:r w:rsidR="00F33E99">
        <w:rPr>
          <w:b/>
          <w:bCs/>
          <w:u w:val="single"/>
        </w:rPr>
        <w:t xml:space="preserve">Alternative </w:t>
      </w:r>
      <w:r w:rsidR="00802EB4">
        <w:rPr>
          <w:b/>
          <w:bCs/>
          <w:u w:val="single"/>
        </w:rPr>
        <w:t xml:space="preserve">SJV Pilot </w:t>
      </w:r>
      <w:r w:rsidRPr="00B93487">
        <w:rPr>
          <w:b/>
          <w:bCs/>
          <w:u w:val="single"/>
        </w:rPr>
        <w:t>Bill Protection Proposal</w:t>
      </w:r>
    </w:p>
    <w:p w:rsidR="00E8398E" w:rsidP="00E8398E" w:rsidRDefault="00B93487">
      <w:proofErr w:type="spellStart"/>
      <w:r>
        <w:t>CalPA</w:t>
      </w:r>
      <w:proofErr w:type="spellEnd"/>
      <w:r>
        <w:t xml:space="preserve"> also submitted an alternative bill protection proposal in its protest to </w:t>
      </w:r>
      <w:r w:rsidR="00320787">
        <w:t>PG&amp;E, SCE, and SoCalGas</w:t>
      </w:r>
      <w:r w:rsidR="00316F5B">
        <w:t>’</w:t>
      </w:r>
      <w:r>
        <w:t xml:space="preserve"> ALs, summarized below.</w:t>
      </w:r>
      <w:r w:rsidR="00195896">
        <w:t xml:space="preserve"> A summary of PG&amp;E</w:t>
      </w:r>
      <w:r w:rsidR="00DA2498">
        <w:t xml:space="preserve">, </w:t>
      </w:r>
      <w:r w:rsidR="00195896">
        <w:t>SCE</w:t>
      </w:r>
      <w:r w:rsidR="00DA2498">
        <w:t>, and SoCalGas’</w:t>
      </w:r>
      <w:r w:rsidR="00195896">
        <w:t xml:space="preserve"> reply to </w:t>
      </w:r>
      <w:proofErr w:type="spellStart"/>
      <w:r w:rsidR="00195896">
        <w:t>CalPA’s</w:t>
      </w:r>
      <w:proofErr w:type="spellEnd"/>
      <w:r w:rsidR="00195896">
        <w:t xml:space="preserve"> proposal follows.</w:t>
      </w:r>
    </w:p>
    <w:p w:rsidRPr="00F36F83" w:rsidR="00B93487" w:rsidP="00E8398E" w:rsidRDefault="00B93487"/>
    <w:p w:rsidR="00E8398E" w:rsidP="00E8398E" w:rsidRDefault="00E8398E">
      <w:pPr>
        <w:rPr>
          <w:i/>
          <w:iCs/>
          <w:u w:val="single"/>
        </w:rPr>
      </w:pPr>
      <w:r>
        <w:rPr>
          <w:i/>
          <w:iCs/>
          <w:u w:val="single"/>
        </w:rPr>
        <w:t xml:space="preserve">Bill Protection </w:t>
      </w:r>
      <w:r w:rsidRPr="00837F5E">
        <w:rPr>
          <w:i/>
          <w:iCs/>
          <w:u w:val="single"/>
        </w:rPr>
        <w:t>Mechanism</w:t>
      </w:r>
    </w:p>
    <w:p w:rsidR="00E8398E" w:rsidP="00E8398E" w:rsidRDefault="00E8398E">
      <w:proofErr w:type="spellStart"/>
      <w:r>
        <w:t>CalPA</w:t>
      </w:r>
      <w:proofErr w:type="spellEnd"/>
      <w:r>
        <w:t xml:space="preserve"> proposes to flexibly allocate $500 per household based on need and actual energy cost increases. According to </w:t>
      </w:r>
      <w:proofErr w:type="spellStart"/>
      <w:r>
        <w:t>CalPA</w:t>
      </w:r>
      <w:proofErr w:type="spellEnd"/>
      <w:r>
        <w:t xml:space="preserve">, this approach would ensure that </w:t>
      </w:r>
      <w:r w:rsidR="00F8044B">
        <w:t xml:space="preserve">the </w:t>
      </w:r>
      <w:r>
        <w:t xml:space="preserve">total amount paid by the participating customer does not exceed </w:t>
      </w:r>
      <w:r w:rsidR="00F8044B">
        <w:t xml:space="preserve">the </w:t>
      </w:r>
      <w:r>
        <w:t>amount they would have paid had the customer not participated in the pilot.</w:t>
      </w:r>
    </w:p>
    <w:p w:rsidR="00E8398E" w:rsidP="00E8398E" w:rsidRDefault="00E8398E"/>
    <w:p w:rsidRPr="00101B78" w:rsidR="00E8398E" w:rsidP="00E8398E" w:rsidRDefault="00E8398E">
      <w:r>
        <w:t xml:space="preserve">Under </w:t>
      </w:r>
      <w:proofErr w:type="spellStart"/>
      <w:r>
        <w:t>CalPA’s</w:t>
      </w:r>
      <w:proofErr w:type="spellEnd"/>
      <w:r>
        <w:t xml:space="preserve"> proposal, the IOUs would u</w:t>
      </w:r>
      <w:r w:rsidRPr="00101B78">
        <w:t>se pre-</w:t>
      </w:r>
      <w:r>
        <w:t>pilot</w:t>
      </w:r>
      <w:r w:rsidRPr="00101B78">
        <w:t xml:space="preserve"> customer electric bill data plus an average estimate for propane and wood costs as </w:t>
      </w:r>
      <w:r>
        <w:t>a</w:t>
      </w:r>
      <w:r w:rsidRPr="00101B78">
        <w:t xml:space="preserve"> baseline.</w:t>
      </w:r>
      <w:r>
        <w:rPr>
          <w:rStyle w:val="FootnoteReference"/>
        </w:rPr>
        <w:footnoteReference w:id="22"/>
      </w:r>
      <w:r>
        <w:t xml:space="preserve"> </w:t>
      </w:r>
      <w:r w:rsidRPr="00101B78">
        <w:t xml:space="preserve">Any increase in energy costs above the annual baseline </w:t>
      </w:r>
      <w:r>
        <w:t>would</w:t>
      </w:r>
      <w:r w:rsidRPr="00101B78">
        <w:t xml:space="preserve"> be credited back to participating customer at the end of the year.</w:t>
      </w:r>
    </w:p>
    <w:p w:rsidR="00294B6D" w:rsidRDefault="00294B6D"/>
    <w:p w:rsidR="00E8398E" w:rsidP="00E8398E" w:rsidRDefault="00E8398E">
      <w:proofErr w:type="spellStart"/>
      <w:r>
        <w:t>CalPA</w:t>
      </w:r>
      <w:proofErr w:type="spellEnd"/>
      <w:r>
        <w:t xml:space="preserve"> summarizes their proposed approach with this formula:</w:t>
      </w:r>
    </w:p>
    <w:p w:rsidR="00E8398E" w:rsidP="00E8398E" w:rsidRDefault="00E8398E"/>
    <w:p w:rsidRPr="00642657" w:rsidR="00E8398E" w:rsidP="00E8398E" w:rsidRDefault="00E8398E">
      <w:r w:rsidRPr="00642657">
        <w:t>Baseline energy costs = A+B+C</w:t>
      </w:r>
    </w:p>
    <w:p w:rsidRPr="00642657" w:rsidR="00E8398E" w:rsidP="00E8398E" w:rsidRDefault="00E8398E">
      <w:pPr>
        <w:ind w:firstLine="720"/>
        <w:rPr>
          <w:i/>
          <w:iCs/>
        </w:rPr>
      </w:pPr>
      <w:r w:rsidRPr="00642657">
        <w:rPr>
          <w:i/>
          <w:iCs/>
        </w:rPr>
        <w:t>A= pre-pilot actual electric bills</w:t>
      </w:r>
    </w:p>
    <w:p w:rsidRPr="00642657" w:rsidR="00E8398E" w:rsidP="00E8398E" w:rsidRDefault="00E8398E">
      <w:pPr>
        <w:ind w:firstLine="720"/>
        <w:rPr>
          <w:i/>
          <w:iCs/>
        </w:rPr>
      </w:pPr>
      <w:r w:rsidRPr="00642657">
        <w:rPr>
          <w:i/>
          <w:iCs/>
        </w:rPr>
        <w:t>B= estimated propane costs</w:t>
      </w:r>
    </w:p>
    <w:p w:rsidRPr="00642657" w:rsidR="00E8398E" w:rsidP="00E8398E" w:rsidRDefault="00E8398E">
      <w:pPr>
        <w:ind w:firstLine="720"/>
        <w:rPr>
          <w:i/>
          <w:iCs/>
        </w:rPr>
      </w:pPr>
      <w:r w:rsidRPr="00642657">
        <w:rPr>
          <w:i/>
          <w:iCs/>
        </w:rPr>
        <w:t>C= estimated wood costs</w:t>
      </w:r>
    </w:p>
    <w:p w:rsidRPr="00642657" w:rsidR="00E8398E" w:rsidP="00E8398E" w:rsidRDefault="00E8398E">
      <w:r w:rsidRPr="00642657">
        <w:t>Post pilot costs= D</w:t>
      </w:r>
    </w:p>
    <w:p w:rsidRPr="00642657" w:rsidR="00E8398E" w:rsidP="00E8398E" w:rsidRDefault="00E8398E">
      <w:pPr>
        <w:ind w:firstLine="720"/>
        <w:rPr>
          <w:i/>
          <w:iCs/>
        </w:rPr>
      </w:pPr>
      <w:r w:rsidRPr="00642657">
        <w:rPr>
          <w:i/>
          <w:iCs/>
        </w:rPr>
        <w:t>D= actual post-pilot electric costs</w:t>
      </w:r>
    </w:p>
    <w:p w:rsidRPr="00642657" w:rsidR="00E8398E" w:rsidP="00E8398E" w:rsidRDefault="00E8398E">
      <w:pPr>
        <w:rPr>
          <w:b/>
          <w:bCs/>
        </w:rPr>
      </w:pPr>
    </w:p>
    <w:p w:rsidRPr="00642657" w:rsidR="00E8398E" w:rsidP="00E8398E" w:rsidRDefault="00E8398E">
      <w:r w:rsidRPr="00642657">
        <w:t>Bill protection mechanism is triggered if:   D&gt; (A+B+C)</w:t>
      </w:r>
    </w:p>
    <w:p w:rsidRPr="00642657" w:rsidR="00E8398E" w:rsidP="00E8398E" w:rsidRDefault="00E8398E">
      <w:r w:rsidRPr="00642657">
        <w:t>Customer would receive rebate equal to</w:t>
      </w:r>
      <w:proofErr w:type="gramStart"/>
      <w:r w:rsidRPr="00642657">
        <w:t>:  (</w:t>
      </w:r>
      <w:proofErr w:type="gramEnd"/>
      <w:r w:rsidRPr="00642657">
        <w:t>D-(A+B+C))</w:t>
      </w:r>
    </w:p>
    <w:p w:rsidR="00E8398E" w:rsidP="00E8398E" w:rsidRDefault="00E8398E"/>
    <w:p w:rsidR="00E8398E" w:rsidP="00E8398E" w:rsidRDefault="00E8398E">
      <w:pPr>
        <w:rPr>
          <w:i/>
          <w:iCs/>
          <w:u w:val="single"/>
        </w:rPr>
      </w:pPr>
      <w:r w:rsidRPr="00837F5E">
        <w:rPr>
          <w:i/>
          <w:iCs/>
          <w:u w:val="single"/>
        </w:rPr>
        <w:t>M</w:t>
      </w:r>
      <w:r>
        <w:rPr>
          <w:i/>
          <w:iCs/>
          <w:u w:val="single"/>
        </w:rPr>
        <w:t>odeling Approach</w:t>
      </w:r>
    </w:p>
    <w:p w:rsidR="00E8398E" w:rsidP="00E8398E" w:rsidRDefault="00E8398E">
      <w:proofErr w:type="spellStart"/>
      <w:r>
        <w:t>CalPA</w:t>
      </w:r>
      <w:proofErr w:type="spellEnd"/>
      <w:r>
        <w:t xml:space="preserve"> does not conduct any modeling to estimate energy cost savings. </w:t>
      </w:r>
    </w:p>
    <w:p w:rsidRPr="002E2A79" w:rsidR="00E8398E" w:rsidP="00E8398E" w:rsidRDefault="00E8398E"/>
    <w:p w:rsidR="00E8398E" w:rsidP="00E8398E" w:rsidRDefault="00E8398E">
      <w:pPr>
        <w:rPr>
          <w:i/>
          <w:iCs/>
          <w:u w:val="single"/>
        </w:rPr>
      </w:pPr>
      <w:r>
        <w:rPr>
          <w:i/>
          <w:iCs/>
          <w:u w:val="single"/>
        </w:rPr>
        <w:t xml:space="preserve">Estimated Energy Cost Savings for CARE and non-CARE </w:t>
      </w:r>
      <w:r w:rsidR="00642657">
        <w:rPr>
          <w:i/>
          <w:iCs/>
          <w:u w:val="single"/>
        </w:rPr>
        <w:t>C</w:t>
      </w:r>
      <w:r>
        <w:rPr>
          <w:i/>
          <w:iCs/>
          <w:u w:val="single"/>
        </w:rPr>
        <w:t>ustomers</w:t>
      </w:r>
    </w:p>
    <w:p w:rsidR="00E8398E" w:rsidP="00E8398E" w:rsidRDefault="00E8398E">
      <w:proofErr w:type="spellStart"/>
      <w:r>
        <w:t>CalPA</w:t>
      </w:r>
      <w:proofErr w:type="spellEnd"/>
      <w:r>
        <w:t xml:space="preserve"> does not provide estimated energy cost savings. </w:t>
      </w:r>
    </w:p>
    <w:p w:rsidR="00E8398E" w:rsidP="00E8398E" w:rsidRDefault="00E8398E">
      <w:pPr>
        <w:rPr>
          <w:i/>
          <w:iCs/>
          <w:u w:val="single"/>
        </w:rPr>
      </w:pPr>
    </w:p>
    <w:p w:rsidR="00E8398E" w:rsidP="00E8398E" w:rsidRDefault="00E8398E">
      <w:pPr>
        <w:rPr>
          <w:i/>
          <w:iCs/>
          <w:u w:val="single"/>
        </w:rPr>
      </w:pPr>
      <w:r>
        <w:rPr>
          <w:i/>
          <w:iCs/>
          <w:u w:val="single"/>
        </w:rPr>
        <w:t>Implementation Recommendations</w:t>
      </w:r>
    </w:p>
    <w:p w:rsidR="00E8398E" w:rsidP="00E8398E" w:rsidRDefault="00E8398E">
      <w:proofErr w:type="spellStart"/>
      <w:r>
        <w:t>CalPA</w:t>
      </w:r>
      <w:proofErr w:type="spellEnd"/>
      <w:r>
        <w:t xml:space="preserve"> does not </w:t>
      </w:r>
      <w:r w:rsidR="00795F6D">
        <w:t>discuss</w:t>
      </w:r>
      <w:r>
        <w:t xml:space="preserve"> any further implementation recommendations.</w:t>
      </w:r>
    </w:p>
    <w:p w:rsidR="00E8398E" w:rsidP="009D1950" w:rsidRDefault="00E8398E">
      <w:pPr>
        <w:pStyle w:val="ListParagraph"/>
        <w:ind w:left="0"/>
        <w:rPr>
          <w:u w:val="single"/>
        </w:rPr>
      </w:pPr>
    </w:p>
    <w:p w:rsidR="00177FFC" w:rsidP="00177FFC" w:rsidRDefault="00177FFC">
      <w:pPr>
        <w:pStyle w:val="ListParagraph"/>
        <w:ind w:left="0"/>
      </w:pPr>
      <w:r w:rsidRPr="00AF2023">
        <w:rPr>
          <w:i/>
          <w:iCs/>
        </w:rPr>
        <w:t>PG&amp;E and SCE joint reply</w:t>
      </w:r>
      <w:r w:rsidR="000856F2">
        <w:rPr>
          <w:i/>
          <w:iCs/>
        </w:rPr>
        <w:t xml:space="preserve"> to </w:t>
      </w:r>
      <w:proofErr w:type="spellStart"/>
      <w:r w:rsidR="000856F2">
        <w:rPr>
          <w:i/>
          <w:iCs/>
        </w:rPr>
        <w:t>CalPA’s</w:t>
      </w:r>
      <w:proofErr w:type="spellEnd"/>
      <w:r w:rsidR="000856F2">
        <w:rPr>
          <w:i/>
          <w:iCs/>
        </w:rPr>
        <w:t xml:space="preserve"> bill protection proposal</w:t>
      </w:r>
      <w:r w:rsidRPr="00AF2023">
        <w:rPr>
          <w:i/>
          <w:iCs/>
        </w:rPr>
        <w:t>:</w:t>
      </w:r>
    </w:p>
    <w:p w:rsidR="00653D8D" w:rsidP="00F8044B" w:rsidRDefault="009F2DA4">
      <w:r>
        <w:t xml:space="preserve">PG&amp;E and SCE reject </w:t>
      </w:r>
      <w:proofErr w:type="spellStart"/>
      <w:r>
        <w:t>CalPA’s</w:t>
      </w:r>
      <w:proofErr w:type="spellEnd"/>
      <w:r>
        <w:t xml:space="preserve"> bill protection proposal. They note that the Pilot Team stated at the bill protections workshop that this type of customer-specific approach may be difficult for participants to understand. </w:t>
      </w:r>
      <w:r w:rsidR="00104535">
        <w:t>PG&amp;E and SCE</w:t>
      </w:r>
      <w:r>
        <w:t xml:space="preserve"> believe their proposal strikes a better balance, and that </w:t>
      </w:r>
      <w:proofErr w:type="spellStart"/>
      <w:r>
        <w:t>CalPA’s</w:t>
      </w:r>
      <w:proofErr w:type="spellEnd"/>
      <w:r>
        <w:t xml:space="preserve"> rebate-style program is not compliant with Commission’s directive to provide upfront monthly credits to customers.</w:t>
      </w:r>
    </w:p>
    <w:p w:rsidR="00653D8D" w:rsidP="00653D8D" w:rsidRDefault="00653D8D">
      <w:pPr>
        <w:ind w:left="720"/>
      </w:pPr>
    </w:p>
    <w:p w:rsidR="00653D8D" w:rsidP="00F111F5" w:rsidRDefault="00653D8D">
      <w:r>
        <w:rPr>
          <w:i/>
          <w:iCs/>
        </w:rPr>
        <w:t>SoCalGas</w:t>
      </w:r>
      <w:r w:rsidRPr="00AF2023">
        <w:rPr>
          <w:i/>
          <w:iCs/>
        </w:rPr>
        <w:t xml:space="preserve"> reply</w:t>
      </w:r>
      <w:r w:rsidR="000856F2">
        <w:rPr>
          <w:i/>
          <w:iCs/>
        </w:rPr>
        <w:t xml:space="preserve"> to </w:t>
      </w:r>
      <w:proofErr w:type="spellStart"/>
      <w:r w:rsidR="000856F2">
        <w:rPr>
          <w:i/>
          <w:iCs/>
        </w:rPr>
        <w:t>CalPA’s</w:t>
      </w:r>
      <w:proofErr w:type="spellEnd"/>
      <w:r w:rsidR="000856F2">
        <w:rPr>
          <w:i/>
          <w:iCs/>
        </w:rPr>
        <w:t xml:space="preserve"> bill protection proposal</w:t>
      </w:r>
      <w:r w:rsidRPr="00AF2023">
        <w:rPr>
          <w:i/>
          <w:iCs/>
        </w:rPr>
        <w:t>:</w:t>
      </w:r>
    </w:p>
    <w:p w:rsidR="000720B1" w:rsidP="00F111F5" w:rsidRDefault="00653D8D">
      <w:r>
        <w:t xml:space="preserve">SoCalGas argues that </w:t>
      </w:r>
      <w:proofErr w:type="spellStart"/>
      <w:r>
        <w:t>CalPA’s</w:t>
      </w:r>
      <w:proofErr w:type="spellEnd"/>
      <w:r>
        <w:t xml:space="preserve"> proposal for a bill protection mechanism is inconsistent with the SJV Pilots Decision. It states that </w:t>
      </w:r>
      <w:proofErr w:type="spellStart"/>
      <w:r>
        <w:t>CalPA’s</w:t>
      </w:r>
      <w:proofErr w:type="spellEnd"/>
      <w:r>
        <w:t xml:space="preserve"> proposal does not comply with the SJV Pilots Decision’s requirement to provide monthly bill protection and to avoid monthly bill shock, since it only provides annual bill protection payments that could burden households with high winter or summer bills. </w:t>
      </w:r>
      <w:proofErr w:type="gramStart"/>
      <w:r>
        <w:t>It</w:t>
      </w:r>
      <w:proofErr w:type="gramEnd"/>
      <w:r>
        <w:t xml:space="preserve"> further states </w:t>
      </w:r>
      <w:proofErr w:type="spellStart"/>
      <w:r>
        <w:t>CalPA’s</w:t>
      </w:r>
      <w:proofErr w:type="spellEnd"/>
      <w:r>
        <w:t xml:space="preserve"> proposal is inconsistent with the SJV Pilots Decision’s directive to minimize administrative barriers and undue burden for pilot participants.</w:t>
      </w:r>
    </w:p>
    <w:p w:rsidR="002A5FCF" w:rsidP="002A5FCF" w:rsidRDefault="002A5FCF">
      <w:pPr>
        <w:ind w:left="720"/>
      </w:pPr>
    </w:p>
    <w:p w:rsidR="00CF17DE" w:rsidRDefault="00CF17DE">
      <w:pPr>
        <w:pStyle w:val="Heading1"/>
      </w:pPr>
      <w:r w:rsidRPr="002F23B1">
        <w:t>Discussion</w:t>
      </w:r>
    </w:p>
    <w:p w:rsidR="008F296D" w:rsidP="008F296D" w:rsidRDefault="00B22E29">
      <w:r>
        <w:t xml:space="preserve">This discussion section takes on the following format. </w:t>
      </w:r>
      <w:r w:rsidR="002713BD">
        <w:t>The</w:t>
      </w:r>
      <w:r w:rsidR="008F296D">
        <w:t xml:space="preserve"> Commission </w:t>
      </w:r>
      <w:r w:rsidR="002713BD">
        <w:t xml:space="preserve">first </w:t>
      </w:r>
      <w:r w:rsidR="008F296D">
        <w:t xml:space="preserve">discusses elements of the party proposals that are described </w:t>
      </w:r>
      <w:r w:rsidR="00EF121E">
        <w:t xml:space="preserve">in the background and protest sections of this </w:t>
      </w:r>
      <w:r w:rsidR="4D9567F3">
        <w:t>Resolution.</w:t>
      </w:r>
      <w:r w:rsidR="008F296D">
        <w:t xml:space="preserve"> Then the Commission lays out its own bill protection </w:t>
      </w:r>
      <w:r w:rsidR="00CC0194">
        <w:t>approach</w:t>
      </w:r>
      <w:r w:rsidR="00F67F4B">
        <w:t xml:space="preserve">, </w:t>
      </w:r>
      <w:r w:rsidR="008F296D">
        <w:t>directs PG&amp;E and SCE to adopt this approach</w:t>
      </w:r>
      <w:r w:rsidR="00F67F4B">
        <w:t>, and address</w:t>
      </w:r>
      <w:r w:rsidR="00CF628C">
        <w:t>es</w:t>
      </w:r>
      <w:r w:rsidR="00F67F4B">
        <w:t xml:space="preserve"> implementation </w:t>
      </w:r>
      <w:r w:rsidR="00FF7223">
        <w:t>issues</w:t>
      </w:r>
      <w:r w:rsidR="00F67F4B">
        <w:t>.</w:t>
      </w:r>
      <w:r w:rsidR="008F296D">
        <w:t xml:space="preserve"> Finally, the Commission approves SoCalGas’ bill protection proposal as submitted in its advice letter.</w:t>
      </w:r>
    </w:p>
    <w:p w:rsidR="008F296D" w:rsidP="008F296D" w:rsidRDefault="008F296D"/>
    <w:p w:rsidRPr="000C6793" w:rsidR="008F296D" w:rsidP="008F296D" w:rsidRDefault="008F296D">
      <w:pPr>
        <w:rPr>
          <w:b/>
          <w:bCs/>
        </w:rPr>
      </w:pPr>
      <w:r w:rsidRPr="000C6793">
        <w:rPr>
          <w:b/>
          <w:bCs/>
        </w:rPr>
        <w:t>Discussion of IOU and Party</w:t>
      </w:r>
      <w:r w:rsidR="00262CD2">
        <w:rPr>
          <w:b/>
          <w:bCs/>
        </w:rPr>
        <w:t xml:space="preserve"> Bill Protection</w:t>
      </w:r>
      <w:r w:rsidRPr="000C6793">
        <w:rPr>
          <w:b/>
          <w:bCs/>
        </w:rPr>
        <w:t xml:space="preserve"> Proposals, Authorization</w:t>
      </w:r>
      <w:r w:rsidR="00D148DF">
        <w:rPr>
          <w:b/>
          <w:bCs/>
        </w:rPr>
        <w:t xml:space="preserve"> and Implementation</w:t>
      </w:r>
      <w:r w:rsidRPr="000C6793">
        <w:rPr>
          <w:b/>
          <w:bCs/>
        </w:rPr>
        <w:t xml:space="preserve"> of a Bill Protection </w:t>
      </w:r>
      <w:r w:rsidR="00CC0194">
        <w:rPr>
          <w:b/>
          <w:bCs/>
        </w:rPr>
        <w:t>Approach</w:t>
      </w:r>
      <w:r w:rsidRPr="000C6793">
        <w:rPr>
          <w:b/>
          <w:bCs/>
        </w:rPr>
        <w:t xml:space="preserve"> for PG&amp;E and SCE Pilots, and Approval of SoCalGas Advice Letter 5439-G</w:t>
      </w:r>
    </w:p>
    <w:p w:rsidR="008F296D" w:rsidP="008F296D" w:rsidRDefault="008F296D"/>
    <w:p w:rsidRPr="00262CD2" w:rsidR="00262CD2" w:rsidP="002A7EF5" w:rsidRDefault="00262CD2">
      <w:pPr>
        <w:pStyle w:val="ListParagraph"/>
        <w:numPr>
          <w:ilvl w:val="0"/>
          <w:numId w:val="16"/>
        </w:numPr>
        <w:rPr>
          <w:b/>
          <w:bCs/>
        </w:rPr>
      </w:pPr>
      <w:r w:rsidRPr="00262CD2">
        <w:rPr>
          <w:b/>
          <w:bCs/>
        </w:rPr>
        <w:t>Discussion of IOU and Party Bill Protection Proposals</w:t>
      </w:r>
    </w:p>
    <w:p w:rsidR="00262CD2" w:rsidP="008F296D" w:rsidRDefault="00262CD2"/>
    <w:p w:rsidR="008F296D" w:rsidP="008F296D" w:rsidRDefault="4E8EF65D">
      <w:r>
        <w:t xml:space="preserve">Section 11.2 of the SJV Pilots Decision states that ensuring that participating households experience energy cost savings is a central objective of the pilot. Parties interpret this statement differently for purposes of informing their proposals. The IOUs interpret energy cost savings to mean that all pilot participants experience </w:t>
      </w:r>
      <w:r w:rsidRPr="4E8EF65D">
        <w:rPr>
          <w:i/>
          <w:iCs/>
        </w:rPr>
        <w:t xml:space="preserve">some degree </w:t>
      </w:r>
      <w:r>
        <w:t xml:space="preserve">of energy cost savings between pre-pilot and post-pilot energy cost savings. In other words, the IOUs aim to ensure that, at a minimum, </w:t>
      </w:r>
      <w:r w:rsidR="00CA1871">
        <w:t>the vast majority of</w:t>
      </w:r>
      <w:r w:rsidR="00A70CB5">
        <w:t xml:space="preserve"> </w:t>
      </w:r>
      <w:r>
        <w:t>participant</w:t>
      </w:r>
      <w:r w:rsidR="00D475EB">
        <w:t>s</w:t>
      </w:r>
      <w:r>
        <w:t xml:space="preserve"> will</w:t>
      </w:r>
      <w:r w:rsidR="00D475EB">
        <w:t xml:space="preserve"> not</w:t>
      </w:r>
      <w:r>
        <w:t xml:space="preserve"> experience any energy cost increase above what their total energy costs were pre-pilot. </w:t>
      </w:r>
      <w:proofErr w:type="spellStart"/>
      <w:r>
        <w:t>CalPA’s</w:t>
      </w:r>
      <w:proofErr w:type="spellEnd"/>
      <w:r>
        <w:t xml:space="preserve"> interpretation is consistent with the IOUs’ interpretation. </w:t>
      </w:r>
    </w:p>
    <w:p w:rsidR="008F296D" w:rsidP="008F296D" w:rsidRDefault="008F296D"/>
    <w:p w:rsidR="008F296D" w:rsidP="008F296D" w:rsidRDefault="008F296D">
      <w:r>
        <w:t xml:space="preserve">GRID and the Pilot Team believe that participants must receive significant energy cost savings that go </w:t>
      </w:r>
      <w:r w:rsidRPr="00131C50">
        <w:rPr>
          <w:szCs w:val="26"/>
        </w:rPr>
        <w:t>beyond nominal savings</w:t>
      </w:r>
      <w:r w:rsidRPr="00131C50" w:rsidR="00131C50">
        <w:rPr>
          <w:szCs w:val="26"/>
        </w:rPr>
        <w:t xml:space="preserve"> in order to meet the legislative directive of energy affordability under AB 2672</w:t>
      </w:r>
      <w:r>
        <w:t xml:space="preserve">. GRID states that participants should experience a </w:t>
      </w:r>
      <w:r w:rsidRPr="00876787">
        <w:rPr>
          <w:i/>
          <w:iCs/>
        </w:rPr>
        <w:t>meaningful degree</w:t>
      </w:r>
      <w:r>
        <w:t xml:space="preserve"> of cost savings, which </w:t>
      </w:r>
      <w:r w:rsidR="00426587">
        <w:t>it</w:t>
      </w:r>
      <w:r>
        <w:t xml:space="preserve"> define</w:t>
      </w:r>
      <w:r w:rsidR="00426587">
        <w:t>s</w:t>
      </w:r>
      <w:r>
        <w:t xml:space="preserve"> as roughly over 30</w:t>
      </w:r>
      <w:r w:rsidR="00426587">
        <w:t xml:space="preserve"> percent</w:t>
      </w:r>
      <w:r>
        <w:t xml:space="preserve"> savings for CARE customers</w:t>
      </w:r>
      <w:r w:rsidR="00426587">
        <w:t xml:space="preserve"> below what their energy costs were pre-pilot</w:t>
      </w:r>
      <w:r>
        <w:t xml:space="preserve"> and </w:t>
      </w:r>
      <w:r w:rsidR="00B43FC0">
        <w:t xml:space="preserve">roughly </w:t>
      </w:r>
      <w:r>
        <w:t>over 10</w:t>
      </w:r>
      <w:r w:rsidR="00426587">
        <w:t xml:space="preserve"> percent</w:t>
      </w:r>
      <w:r>
        <w:t xml:space="preserve"> savings for non-CARE</w:t>
      </w:r>
      <w:r w:rsidR="007216F8">
        <w:t xml:space="preserve"> </w:t>
      </w:r>
      <w:r>
        <w:t>customers.</w:t>
      </w:r>
    </w:p>
    <w:p w:rsidR="008F296D" w:rsidP="008F296D" w:rsidRDefault="008F296D"/>
    <w:p w:rsidR="00B43FC0" w:rsidP="008F296D" w:rsidRDefault="008F296D">
      <w:r>
        <w:t xml:space="preserve">The Commission clarifies here that the objective of the bill protection </w:t>
      </w:r>
      <w:r w:rsidR="00080117">
        <w:t>approach</w:t>
      </w:r>
      <w:r>
        <w:t xml:space="preserve"> is to ensure that, at a minimum, no customer participating in an SJV pilot will </w:t>
      </w:r>
      <w:r w:rsidR="00426587">
        <w:t>experience an increase in their total energy costs above what their total energy costs were in the year before they participated in the pilot</w:t>
      </w:r>
      <w:r>
        <w:t xml:space="preserve">. Section 11.2 of </w:t>
      </w:r>
      <w:r w:rsidR="00422B44">
        <w:t>the SJV Pilots Decision</w:t>
      </w:r>
      <w:r>
        <w:t xml:space="preserve"> clearly states that a central objective </w:t>
      </w:r>
      <w:r w:rsidR="00426587">
        <w:t xml:space="preserve">of the pilots </w:t>
      </w:r>
      <w:r>
        <w:t xml:space="preserve">is to ensure that energy cost savings consider all pre- and post- pilot energy costs, including propane and wood costs to the extent feasible, as well as electric and natural gas bills.  Section 11.2 does not state that energy cost savings must provide a specific level of cost savings beyond a basic reduction in energy costs pre- and post-pilot. We review the bill protection proposals through this lens. </w:t>
      </w:r>
    </w:p>
    <w:p w:rsidR="00B43FC0" w:rsidP="008F296D" w:rsidRDefault="00B43FC0"/>
    <w:p w:rsidR="008F296D" w:rsidP="008F296D" w:rsidRDefault="008F296D">
      <w:r>
        <w:t xml:space="preserve">In their bill protection proposals, PG&amp;E, SCE and GRID conduct modeling in an attempt to demonstrate whether, and to what degree, participating households will save on energy costs after participating in an electrification pilot. The Commission concurs with GRID that inputs to all these models are </w:t>
      </w:r>
      <w:r w:rsidR="00CD3DAC">
        <w:t>uncertain</w:t>
      </w:r>
      <w:r>
        <w:t xml:space="preserve"> for a number of reasons, resulting in a wide range of cost savings estimates depending on the model. We list here some of these factors, which is not an exhaustive list:</w:t>
      </w:r>
    </w:p>
    <w:p w:rsidR="008F296D" w:rsidP="002A7EF5" w:rsidRDefault="008F296D">
      <w:pPr>
        <w:pStyle w:val="ListParagraph"/>
        <w:numPr>
          <w:ilvl w:val="1"/>
          <w:numId w:val="10"/>
        </w:numPr>
      </w:pPr>
      <w:r>
        <w:t>Propane estimates are either based on small samples of customers from non-pilot communities or are anecdotal (propane estimates range from $500 to $1373 annually);</w:t>
      </w:r>
    </w:p>
    <w:p w:rsidR="008F296D" w:rsidP="002A7EF5" w:rsidRDefault="008F296D">
      <w:pPr>
        <w:pStyle w:val="ListParagraph"/>
        <w:numPr>
          <w:ilvl w:val="1"/>
          <w:numId w:val="10"/>
        </w:numPr>
      </w:pPr>
      <w:r>
        <w:t xml:space="preserve">Future energy usage is uncertain because parties rely on a data source from 10 years ago and interpret the data differently (e.g., the heat pump space conditioning usage estimate ranges from 1946 kWh/year to </w:t>
      </w:r>
      <w:r w:rsidR="008B0DA7">
        <w:t>6609</w:t>
      </w:r>
      <w:r>
        <w:t xml:space="preserve"> kWh/year);</w:t>
      </w:r>
    </w:p>
    <w:p w:rsidR="008F296D" w:rsidP="002A7EF5" w:rsidRDefault="008F296D">
      <w:pPr>
        <w:pStyle w:val="ListParagraph"/>
        <w:numPr>
          <w:ilvl w:val="1"/>
          <w:numId w:val="10"/>
        </w:numPr>
      </w:pPr>
      <w:r>
        <w:t>There is general consensus that no reliable data source exists to measure rebound effect for households substituting electric appliances for propane or wood-burning fuel, and no consistent approach is used;</w:t>
      </w:r>
    </w:p>
    <w:p w:rsidR="008F296D" w:rsidP="002A7EF5" w:rsidRDefault="008F296D">
      <w:pPr>
        <w:pStyle w:val="ListParagraph"/>
        <w:numPr>
          <w:ilvl w:val="1"/>
          <w:numId w:val="10"/>
        </w:numPr>
      </w:pPr>
      <w:r>
        <w:t>Future electricity rates are uncertain, which would alter the modeling</w:t>
      </w:r>
      <w:r w:rsidR="00846087">
        <w:t xml:space="preserve"> </w:t>
      </w:r>
      <w:r>
        <w:t>results;</w:t>
      </w:r>
    </w:p>
    <w:p w:rsidR="008F296D" w:rsidP="002A7EF5" w:rsidRDefault="008F296D">
      <w:pPr>
        <w:pStyle w:val="ListParagraph"/>
        <w:numPr>
          <w:ilvl w:val="1"/>
          <w:numId w:val="10"/>
        </w:numPr>
      </w:pPr>
      <w:r>
        <w:t>Some participants may switch to a time-of-use rate in order to enroll in a program for energy storage in SJV communities</w:t>
      </w:r>
      <w:r w:rsidR="00102F2F">
        <w:t>,</w:t>
      </w:r>
      <w:r>
        <w:rPr>
          <w:rStyle w:val="FootnoteReference"/>
        </w:rPr>
        <w:footnoteReference w:id="23"/>
      </w:r>
      <w:r>
        <w:t xml:space="preserve"> </w:t>
      </w:r>
      <w:r w:rsidR="00102F2F">
        <w:t xml:space="preserve">or for their own household reasons, </w:t>
      </w:r>
      <w:r>
        <w:t>and all the models assume customers are on tiered rates;</w:t>
      </w:r>
    </w:p>
    <w:p w:rsidR="008F296D" w:rsidP="002A7EF5" w:rsidRDefault="008F296D">
      <w:pPr>
        <w:pStyle w:val="ListParagraph"/>
        <w:numPr>
          <w:ilvl w:val="1"/>
          <w:numId w:val="10"/>
        </w:numPr>
      </w:pPr>
      <w:r>
        <w:t>The impact of energy efficiency measures is uncertain due to the variety of building envelopes and housing stock quality (only GRID included energy efficiency in its model)</w:t>
      </w:r>
      <w:r w:rsidR="00B43FC0">
        <w:t>; and</w:t>
      </w:r>
    </w:p>
    <w:p w:rsidR="008F296D" w:rsidP="002A7EF5" w:rsidRDefault="00965517">
      <w:pPr>
        <w:pStyle w:val="ListParagraph"/>
        <w:numPr>
          <w:ilvl w:val="1"/>
          <w:numId w:val="10"/>
        </w:numPr>
      </w:pPr>
      <w:r>
        <w:t>It is u</w:t>
      </w:r>
      <w:r w:rsidR="008F296D">
        <w:t>nclear how many participants will install all four electric appliances</w:t>
      </w:r>
      <w:r>
        <w:t>, and all models assume full electrification</w:t>
      </w:r>
      <w:r w:rsidR="00ED7429">
        <w:t>.</w:t>
      </w:r>
    </w:p>
    <w:p w:rsidR="008F296D" w:rsidP="008F296D" w:rsidRDefault="008F296D"/>
    <w:p w:rsidR="008F296D" w:rsidP="008F296D" w:rsidRDefault="008F296D">
      <w:r>
        <w:t xml:space="preserve">Taken as a whole, these uncertainties indicate that the results of these models should be considered </w:t>
      </w:r>
      <w:r w:rsidR="008D523F">
        <w:t>speculative</w:t>
      </w:r>
      <w:r w:rsidR="008A2F21">
        <w:t>, and</w:t>
      </w:r>
      <w:r w:rsidR="008D523F">
        <w:t xml:space="preserve"> we caution against drawing any firm conclusions based on any </w:t>
      </w:r>
      <w:r w:rsidR="00B26794">
        <w:t>particular</w:t>
      </w:r>
      <w:r w:rsidR="008D523F">
        <w:t xml:space="preserve"> modeling approach.</w:t>
      </w:r>
      <w:r>
        <w:t xml:space="preserve"> Further, </w:t>
      </w:r>
      <w:r w:rsidR="00ED7429">
        <w:t xml:space="preserve">we agree </w:t>
      </w:r>
      <w:r>
        <w:t>with GRID that the single-point energy cost saving estimates provided by PG&amp;E and SCE create a false sense of precision. While PG</w:t>
      </w:r>
      <w:r w:rsidR="00ED7429">
        <w:t>&amp;</w:t>
      </w:r>
      <w:r>
        <w:t>E projects that its median non-CARE customer will save $221 annually, half of PG&amp;E’s non-CARE participants are projected to save less, to provide just one example. PG&amp;E and SCE</w:t>
      </w:r>
      <w:r w:rsidR="00965517">
        <w:t xml:space="preserve"> </w:t>
      </w:r>
      <w:r>
        <w:t>do not convey the range of modeled savings in their advice letters.</w:t>
      </w:r>
    </w:p>
    <w:p w:rsidR="008F296D" w:rsidP="008F296D" w:rsidRDefault="008F296D"/>
    <w:p w:rsidR="008F296D" w:rsidP="008F296D" w:rsidRDefault="008F296D">
      <w:r>
        <w:t xml:space="preserve">With the caveat that all model results are speculative, </w:t>
      </w:r>
      <w:r w:rsidR="00ED7429">
        <w:t xml:space="preserve">we find </w:t>
      </w:r>
      <w:r>
        <w:t xml:space="preserve">that GRID’s proposal is the only </w:t>
      </w:r>
      <w:r w:rsidR="002252F7">
        <w:t xml:space="preserve">electrification </w:t>
      </w:r>
      <w:r w:rsidR="00ED7429">
        <w:t xml:space="preserve">pilot </w:t>
      </w:r>
      <w:r>
        <w:t>bill protection proposal that persuasively builds the case that all participating customers would experience some degree of cost savings. Under PG&amp;E’s proposed approach, the worst</w:t>
      </w:r>
      <w:r w:rsidR="00ED7429">
        <w:t>-</w:t>
      </w:r>
      <w:r>
        <w:t xml:space="preserve">case CARE participant is projected to experience a $16 </w:t>
      </w:r>
      <w:r w:rsidR="00ED7429">
        <w:t xml:space="preserve">total energy cost </w:t>
      </w:r>
      <w:r>
        <w:t>annual increase, and 1.4</w:t>
      </w:r>
      <w:r w:rsidR="00ED7429">
        <w:t xml:space="preserve"> percent</w:t>
      </w:r>
      <w:r>
        <w:t xml:space="preserve"> of non-CARE customers are projected to experience energy cost increases after the $500 credit expires. SCE’s advice letter implies that all participants would save in year four of the pilot onward, but we are not convinced, particularly since its heat pump space conditioning usage input is </w:t>
      </w:r>
      <w:r w:rsidRPr="007F74CA">
        <w:t>considerably lower than PG&amp;E’s</w:t>
      </w:r>
      <w:r w:rsidRPr="007F74CA" w:rsidR="00965517">
        <w:t>,</w:t>
      </w:r>
      <w:r w:rsidRPr="007F74CA">
        <w:t xml:space="preserve"> and </w:t>
      </w:r>
      <w:r w:rsidRPr="007F74CA" w:rsidR="00965517">
        <w:t xml:space="preserve">it </w:t>
      </w:r>
      <w:r w:rsidRPr="007F74CA">
        <w:t xml:space="preserve">is not properly cited (see footnote </w:t>
      </w:r>
      <w:r w:rsidRPr="007F74CA" w:rsidR="00EC1DF7">
        <w:t>1</w:t>
      </w:r>
      <w:r w:rsidRPr="007F74CA" w:rsidR="007F74CA">
        <w:t>3</w:t>
      </w:r>
      <w:r w:rsidRPr="007F74CA">
        <w:t>).</w:t>
      </w:r>
    </w:p>
    <w:p w:rsidR="008F296D" w:rsidP="008F296D" w:rsidRDefault="008F296D"/>
    <w:p w:rsidR="008F296D" w:rsidP="008F296D" w:rsidRDefault="008F296D">
      <w:r>
        <w:t xml:space="preserve">In terms of </w:t>
      </w:r>
      <w:proofErr w:type="spellStart"/>
      <w:r>
        <w:t>CalPA’s</w:t>
      </w:r>
      <w:proofErr w:type="spellEnd"/>
      <w:r>
        <w:t xml:space="preserve"> proposed bill protection mechanism, the Commission agrees with the IOUs that this proposal should be rejected on two grounds. One, the proposed mechanism does not incorporate monthly bill protection and </w:t>
      </w:r>
      <w:r w:rsidR="00965517">
        <w:t xml:space="preserve">does not </w:t>
      </w:r>
      <w:r>
        <w:t xml:space="preserve">avoid monthly bill shock, as required by </w:t>
      </w:r>
      <w:r w:rsidR="00422B44">
        <w:t>the SJV Pilots Decision</w:t>
      </w:r>
      <w:r>
        <w:t>. Two, it is likely that participants would find it difficult to understand, which could diminish enrollment in the pilots</w:t>
      </w:r>
      <w:r w:rsidR="00B91454">
        <w:t xml:space="preserve"> and impede </w:t>
      </w:r>
      <w:r w:rsidR="00B0666E">
        <w:t>data collection efforts to scale pilot learnings</w:t>
      </w:r>
      <w:r w:rsidR="00722244">
        <w:t xml:space="preserve"> to other communities</w:t>
      </w:r>
      <w:r>
        <w:t>.</w:t>
      </w:r>
    </w:p>
    <w:p w:rsidR="00E44E18" w:rsidP="008F296D" w:rsidRDefault="00E44E18"/>
    <w:p w:rsidRPr="00620361" w:rsidR="008F296D" w:rsidP="002A7EF5" w:rsidRDefault="00600C93">
      <w:pPr>
        <w:pStyle w:val="ListParagraph"/>
        <w:numPr>
          <w:ilvl w:val="0"/>
          <w:numId w:val="16"/>
        </w:numPr>
        <w:rPr>
          <w:b/>
          <w:bCs/>
          <w:u w:val="single"/>
        </w:rPr>
      </w:pPr>
      <w:r w:rsidRPr="00620361">
        <w:rPr>
          <w:b/>
          <w:bCs/>
          <w:u w:val="single"/>
        </w:rPr>
        <w:t>10-Year</w:t>
      </w:r>
      <w:r w:rsidR="005A4D1D">
        <w:rPr>
          <w:b/>
          <w:bCs/>
          <w:u w:val="single"/>
        </w:rPr>
        <w:t xml:space="preserve"> Authorized</w:t>
      </w:r>
      <w:r w:rsidRPr="00620361">
        <w:rPr>
          <w:b/>
          <w:bCs/>
          <w:u w:val="single"/>
        </w:rPr>
        <w:t xml:space="preserve"> </w:t>
      </w:r>
      <w:r w:rsidRPr="00620361" w:rsidR="008F296D">
        <w:rPr>
          <w:b/>
          <w:bCs/>
          <w:u w:val="single"/>
        </w:rPr>
        <w:t xml:space="preserve">Bill Protection </w:t>
      </w:r>
      <w:r w:rsidR="005C215A">
        <w:rPr>
          <w:b/>
          <w:bCs/>
          <w:u w:val="single"/>
        </w:rPr>
        <w:t>Approach</w:t>
      </w:r>
      <w:r w:rsidRPr="00620361" w:rsidR="008F296D">
        <w:rPr>
          <w:b/>
          <w:bCs/>
          <w:u w:val="single"/>
        </w:rPr>
        <w:t xml:space="preserve"> for PG&amp;E and SCE Electrification Pilots</w:t>
      </w:r>
    </w:p>
    <w:p w:rsidR="008F296D" w:rsidP="008F296D" w:rsidRDefault="008F296D"/>
    <w:p w:rsidR="008F296D" w:rsidP="008F296D" w:rsidRDefault="008F296D">
      <w:r>
        <w:t xml:space="preserve">After reviewing the </w:t>
      </w:r>
      <w:r w:rsidR="008A2F21">
        <w:t xml:space="preserve">bill protection </w:t>
      </w:r>
      <w:r>
        <w:t xml:space="preserve">proposals and </w:t>
      </w:r>
      <w:r w:rsidR="002064EC">
        <w:t>PG&amp;E and SCE’s responses to a</w:t>
      </w:r>
      <w:r w:rsidR="0040512A">
        <w:t>n Energy Division</w:t>
      </w:r>
      <w:r w:rsidR="002064EC">
        <w:t xml:space="preserve"> data request</w:t>
      </w:r>
      <w:r>
        <w:t xml:space="preserve">, the Commission authorizes the following </w:t>
      </w:r>
      <w:r w:rsidR="00600C93">
        <w:t xml:space="preserve">10-year </w:t>
      </w:r>
      <w:r>
        <w:t xml:space="preserve">bill protection </w:t>
      </w:r>
      <w:r w:rsidR="005C215A">
        <w:t>approach</w:t>
      </w:r>
      <w:r>
        <w:t xml:space="preserve"> for electrification pilots </w:t>
      </w:r>
      <w:r w:rsidR="00306F76">
        <w:t>in</w:t>
      </w:r>
      <w:r>
        <w:t xml:space="preserve"> PG&amp;E and SCE</w:t>
      </w:r>
      <w:r w:rsidR="00306F76">
        <w:t xml:space="preserve"> service territories</w:t>
      </w:r>
      <w:r>
        <w:t>.  PG&amp;E and SCE are directed to:</w:t>
      </w:r>
    </w:p>
    <w:p w:rsidR="008F296D" w:rsidP="002A7EF5" w:rsidRDefault="008F296D">
      <w:pPr>
        <w:pStyle w:val="ListParagraph"/>
        <w:numPr>
          <w:ilvl w:val="1"/>
          <w:numId w:val="10"/>
        </w:numPr>
      </w:pPr>
      <w:r>
        <w:t>Provide a 20</w:t>
      </w:r>
      <w:r w:rsidR="00ED7429">
        <w:t xml:space="preserve"> percent</w:t>
      </w:r>
      <w:r>
        <w:t xml:space="preserve"> bill protection discount to all electrification pilot participants on their monthly electricity bills for a five-year period after the first electric appliance is installed in </w:t>
      </w:r>
      <w:r w:rsidR="42E5A74A">
        <w:t xml:space="preserve">a </w:t>
      </w:r>
      <w:r>
        <w:t>participant’s home;</w:t>
      </w:r>
    </w:p>
    <w:p w:rsidRPr="00E20AF5" w:rsidR="008F296D" w:rsidP="002A7EF5" w:rsidRDefault="008F296D">
      <w:pPr>
        <w:pStyle w:val="ListParagraph"/>
        <w:numPr>
          <w:ilvl w:val="1"/>
          <w:numId w:val="10"/>
        </w:numPr>
      </w:pPr>
      <w:r>
        <w:t>Conduct a</w:t>
      </w:r>
      <w:r w:rsidR="006B7FC1">
        <w:t xml:space="preserve">n </w:t>
      </w:r>
      <w:r>
        <w:t>evaluation</w:t>
      </w:r>
      <w:r w:rsidR="00F11A9E">
        <w:t xml:space="preserve"> </w:t>
      </w:r>
      <w:r w:rsidR="00F93EE4">
        <w:t>of pilot participants</w:t>
      </w:r>
      <w:r w:rsidR="00184C53">
        <w:t>’</w:t>
      </w:r>
      <w:r w:rsidR="00F93EE4">
        <w:t xml:space="preserve"> total energy costs savings </w:t>
      </w:r>
      <w:r w:rsidR="00F11A9E">
        <w:t xml:space="preserve">beginning three years </w:t>
      </w:r>
      <w:r w:rsidR="00554276">
        <w:t xml:space="preserve">and six months </w:t>
      </w:r>
      <w:r w:rsidR="00F11A9E">
        <w:t>after the first pilot participant receives a bill protection discount</w:t>
      </w:r>
      <w:r w:rsidR="00AC4122">
        <w:t xml:space="preserve">; this evaluation </w:t>
      </w:r>
      <w:r w:rsidR="00F11A9E">
        <w:t>will</w:t>
      </w:r>
      <w:r w:rsidR="00316C3F">
        <w:t xml:space="preserve"> analyze total energy costs for all pilot participants who have received at least 24 consecutive months of electricity </w:t>
      </w:r>
      <w:r w:rsidRPr="00047E08" w:rsidR="00316C3F">
        <w:t>bills</w:t>
      </w:r>
      <w:r w:rsidR="00316C3F">
        <w:t xml:space="preserve"> with a bill protection discount</w:t>
      </w:r>
      <w:r w:rsidR="0000208C">
        <w:t xml:space="preserve">, </w:t>
      </w:r>
      <w:r w:rsidRPr="00E20AF5" w:rsidR="0000208C">
        <w:t>and it will be</w:t>
      </w:r>
      <w:r w:rsidRPr="00E20AF5" w:rsidR="00503BD2">
        <w:t xml:space="preserve"> </w:t>
      </w:r>
      <w:r w:rsidRPr="00E20AF5">
        <w:t xml:space="preserve">based on </w:t>
      </w:r>
      <w:r w:rsidRPr="00E20AF5" w:rsidR="00D928A1">
        <w:t xml:space="preserve">collected and modeled propane data </w:t>
      </w:r>
      <w:r w:rsidR="00D928A1">
        <w:t xml:space="preserve">and </w:t>
      </w:r>
      <w:r w:rsidRPr="00E20AF5">
        <w:t xml:space="preserve">actual customer electricity costs </w:t>
      </w:r>
      <w:r w:rsidRPr="00E20AF5" w:rsidR="00503BD2">
        <w:t xml:space="preserve">pre-pilot and </w:t>
      </w:r>
      <w:r w:rsidRPr="00E20AF5">
        <w:t>post-pilot</w:t>
      </w:r>
      <w:r w:rsidR="00D928A1">
        <w:t>;</w:t>
      </w:r>
    </w:p>
    <w:p w:rsidRPr="00E20AF5" w:rsidR="008F296D" w:rsidP="002A7EF5" w:rsidRDefault="008F296D">
      <w:pPr>
        <w:pStyle w:val="ListParagraph"/>
        <w:numPr>
          <w:ilvl w:val="1"/>
          <w:numId w:val="10"/>
        </w:numPr>
      </w:pPr>
      <w:r w:rsidRPr="00E20AF5">
        <w:t>If evaluation finds that all participants</w:t>
      </w:r>
      <w:r w:rsidRPr="00E20AF5" w:rsidR="0000208C">
        <w:t xml:space="preserve"> in the evaluation</w:t>
      </w:r>
      <w:r w:rsidR="00316C3F">
        <w:t xml:space="preserve"> study</w:t>
      </w:r>
      <w:r w:rsidRPr="00E20AF5" w:rsidR="00600C93">
        <w:t xml:space="preserve">, </w:t>
      </w:r>
      <w:r w:rsidRPr="00E20AF5">
        <w:t xml:space="preserve">except </w:t>
      </w:r>
      <w:r w:rsidRPr="00E20AF5" w:rsidR="00F11A9E">
        <w:t>quantitatively-measurable</w:t>
      </w:r>
      <w:r w:rsidRPr="00E20AF5" w:rsidR="00C36FF5">
        <w:t xml:space="preserve"> </w:t>
      </w:r>
      <w:r w:rsidRPr="00E20AF5">
        <w:t>statistical outliers</w:t>
      </w:r>
      <w:r w:rsidRPr="00E20AF5" w:rsidR="00ED7429">
        <w:t>,</w:t>
      </w:r>
      <w:r w:rsidRPr="00E20AF5">
        <w:t xml:space="preserve"> experience energy costs savings</w:t>
      </w:r>
      <w:r w:rsidR="00D928A1">
        <w:t xml:space="preserve"> </w:t>
      </w:r>
      <w:r w:rsidRPr="00E20AF5">
        <w:t xml:space="preserve">(i.e., </w:t>
      </w:r>
      <w:r w:rsidRPr="00E20AF5" w:rsidR="0040512A">
        <w:t xml:space="preserve">total </w:t>
      </w:r>
      <w:r w:rsidRPr="00E20AF5">
        <w:t xml:space="preserve">energy costs have not increased), PG&amp;E and SCE shall </w:t>
      </w:r>
      <w:r w:rsidRPr="00E20AF5" w:rsidR="0040512A">
        <w:t xml:space="preserve">reduce the monthly electricity bill discount to </w:t>
      </w:r>
      <w:r w:rsidRPr="00E20AF5">
        <w:t>a 10</w:t>
      </w:r>
      <w:r w:rsidRPr="00E20AF5" w:rsidR="00BA37B6">
        <w:t xml:space="preserve"> percent</w:t>
      </w:r>
      <w:r w:rsidRPr="00E20AF5">
        <w:t xml:space="preserve"> discount to all electrification pilot participants on their monthly electricity bills for an additional five years; and</w:t>
      </w:r>
    </w:p>
    <w:p w:rsidRPr="00E20AF5" w:rsidR="008F296D" w:rsidP="002A7EF5" w:rsidRDefault="008F296D">
      <w:pPr>
        <w:pStyle w:val="ListParagraph"/>
        <w:numPr>
          <w:ilvl w:val="1"/>
          <w:numId w:val="10"/>
        </w:numPr>
      </w:pPr>
      <w:r w:rsidRPr="00E20AF5">
        <w:t xml:space="preserve">If </w:t>
      </w:r>
      <w:r w:rsidRPr="00E20AF5" w:rsidR="00BA37B6">
        <w:t xml:space="preserve">the </w:t>
      </w:r>
      <w:r w:rsidRPr="00E20AF5">
        <w:t>evaluation finds that any participants</w:t>
      </w:r>
      <w:r w:rsidRPr="00E20AF5" w:rsidR="0000208C">
        <w:t xml:space="preserve"> in the evaluation</w:t>
      </w:r>
      <w:r w:rsidR="00316C3F">
        <w:t xml:space="preserve"> study</w:t>
      </w:r>
      <w:r w:rsidRPr="00E20AF5" w:rsidR="00BA37B6">
        <w:t>,</w:t>
      </w:r>
      <w:r w:rsidRPr="00E20AF5">
        <w:t xml:space="preserve"> </w:t>
      </w:r>
      <w:r w:rsidRPr="00E20AF5" w:rsidR="002E5ECD">
        <w:t xml:space="preserve">except </w:t>
      </w:r>
      <w:r w:rsidRPr="00E20AF5" w:rsidR="00F11A9E">
        <w:t xml:space="preserve">quantitatively-measurable </w:t>
      </w:r>
      <w:r w:rsidRPr="00E20AF5">
        <w:t>statistical outliers</w:t>
      </w:r>
      <w:r w:rsidRPr="00E20AF5" w:rsidR="00BA37B6">
        <w:t>,</w:t>
      </w:r>
      <w:r w:rsidRPr="00E20AF5">
        <w:t xml:space="preserve"> experience an energy cost increase, PG&amp;E and SCE shall continue to provide a 20</w:t>
      </w:r>
      <w:r w:rsidRPr="00E20AF5" w:rsidR="00BA37B6">
        <w:t xml:space="preserve"> percent</w:t>
      </w:r>
      <w:r w:rsidRPr="00E20AF5">
        <w:t xml:space="preserve"> discount to all electrification pilot participants on their monthly electricity bills for an additional five years</w:t>
      </w:r>
      <w:r w:rsidRPr="00E20AF5" w:rsidR="00BA37B6">
        <w:t>.</w:t>
      </w:r>
    </w:p>
    <w:p w:rsidR="008F296D" w:rsidP="008F296D" w:rsidRDefault="008F296D"/>
    <w:p w:rsidR="008F296D" w:rsidP="008F296D" w:rsidRDefault="008F296D">
      <w:r>
        <w:t xml:space="preserve">The </w:t>
      </w:r>
      <w:r w:rsidR="0031307F">
        <w:t xml:space="preserve">bill protection discounts must be directly applied to customer bills; vouchers are not permitted as a mechanism to distribute these credits. The </w:t>
      </w:r>
      <w:r>
        <w:t>20</w:t>
      </w:r>
      <w:r w:rsidR="00BA37B6">
        <w:t xml:space="preserve"> percent</w:t>
      </w:r>
      <w:r>
        <w:t xml:space="preserve"> and 10</w:t>
      </w:r>
      <w:r w:rsidR="00BA37B6">
        <w:t xml:space="preserve"> percent</w:t>
      </w:r>
      <w:r>
        <w:t xml:space="preserve"> bill</w:t>
      </w:r>
      <w:r w:rsidR="00C652C5">
        <w:t xml:space="preserve"> protection</w:t>
      </w:r>
      <w:r>
        <w:t xml:space="preserve"> discounts described above </w:t>
      </w:r>
      <w:r w:rsidRPr="00760D38">
        <w:t xml:space="preserve">are </w:t>
      </w:r>
      <w:r>
        <w:t xml:space="preserve">to be </w:t>
      </w:r>
      <w:r w:rsidR="006F462D">
        <w:t xml:space="preserve">in addition </w:t>
      </w:r>
      <w:r w:rsidRPr="00760D38">
        <w:t>to</w:t>
      </w:r>
      <w:r>
        <w:t xml:space="preserve"> CARE</w:t>
      </w:r>
      <w:r w:rsidR="00C652C5">
        <w:t xml:space="preserve"> and </w:t>
      </w:r>
      <w:r>
        <w:t>FERA discounts for eligible customers</w:t>
      </w:r>
      <w:r w:rsidR="00C3664F">
        <w:t xml:space="preserve"> </w:t>
      </w:r>
      <w:r w:rsidR="0040512A">
        <w:t>who</w:t>
      </w:r>
      <w:r w:rsidR="00C3664F">
        <w:t xml:space="preserve"> choose to participate</w:t>
      </w:r>
      <w:r w:rsidR="00AC4122">
        <w:t>,</w:t>
      </w:r>
      <w:r w:rsidR="00C3664F">
        <w:t xml:space="preserve"> </w:t>
      </w:r>
      <w:r>
        <w:t xml:space="preserve">and </w:t>
      </w:r>
      <w:r w:rsidR="008A2F21">
        <w:t xml:space="preserve">in addition to </w:t>
      </w:r>
      <w:r>
        <w:t>a 20</w:t>
      </w:r>
      <w:r w:rsidR="00BA37B6">
        <w:t xml:space="preserve"> percent</w:t>
      </w:r>
      <w:r>
        <w:t xml:space="preserve"> community solar discount</w:t>
      </w:r>
      <w:r w:rsidR="00C3664F">
        <w:t xml:space="preserve"> for DAC-GT and CSGT for eligible customers </w:t>
      </w:r>
      <w:r w:rsidR="0040512A">
        <w:t>who</w:t>
      </w:r>
      <w:r w:rsidR="00C3664F">
        <w:t xml:space="preserve"> choose to participate</w:t>
      </w:r>
      <w:r w:rsidR="005E1608">
        <w:t>.</w:t>
      </w:r>
      <w:r w:rsidR="00C3664F">
        <w:rPr>
          <w:rStyle w:val="FootnoteReference"/>
        </w:rPr>
        <w:footnoteReference w:id="24"/>
      </w:r>
      <w:r>
        <w:t xml:space="preserve"> </w:t>
      </w:r>
      <w:r w:rsidR="00C652C5">
        <w:t>Below</w:t>
      </w:r>
      <w:r>
        <w:t xml:space="preserve"> is an example of the discounts</w:t>
      </w:r>
      <w:r w:rsidR="00C3664F">
        <w:t xml:space="preserve"> a pilot participa</w:t>
      </w:r>
      <w:r w:rsidR="0040512A">
        <w:t>nt</w:t>
      </w:r>
      <w:r w:rsidR="00C3664F">
        <w:t xml:space="preserve"> w</w:t>
      </w:r>
      <w:r w:rsidR="00C652C5">
        <w:t>ill</w:t>
      </w:r>
      <w:r w:rsidR="00C3664F">
        <w:t xml:space="preserve"> </w:t>
      </w:r>
      <w:r w:rsidR="00607328">
        <w:t xml:space="preserve">be eligible to </w:t>
      </w:r>
      <w:r w:rsidR="00C3664F">
        <w:t>receive</w:t>
      </w:r>
      <w:r>
        <w:t xml:space="preserve"> on a monthly electricity bill</w:t>
      </w:r>
      <w:r w:rsidR="00C3664F">
        <w:t xml:space="preserve"> under the authorized pilot bill protection </w:t>
      </w:r>
      <w:r w:rsidR="001815AE">
        <w:t>approach</w:t>
      </w:r>
      <w:r w:rsidR="00027D11">
        <w:t xml:space="preserve">. </w:t>
      </w:r>
    </w:p>
    <w:p w:rsidR="008F296D" w:rsidP="008F296D" w:rsidRDefault="008F296D"/>
    <w:p w:rsidRPr="000328A7" w:rsidR="000328A7" w:rsidP="008F296D" w:rsidRDefault="000328A7">
      <w:pPr>
        <w:rPr>
          <w:b/>
          <w:bCs/>
        </w:rPr>
      </w:pPr>
      <w:r w:rsidRPr="000328A7">
        <w:rPr>
          <w:b/>
          <w:bCs/>
        </w:rPr>
        <w:t>Table 1</w:t>
      </w:r>
      <w:r w:rsidR="007F162E">
        <w:rPr>
          <w:b/>
          <w:bCs/>
        </w:rPr>
        <w:t xml:space="preserve">: </w:t>
      </w:r>
      <w:r w:rsidR="007B7B1D">
        <w:rPr>
          <w:b/>
          <w:bCs/>
        </w:rPr>
        <w:t>Example of</w:t>
      </w:r>
      <w:r w:rsidR="005814A7">
        <w:rPr>
          <w:b/>
          <w:bCs/>
        </w:rPr>
        <w:t xml:space="preserve"> Electricity Bill</w:t>
      </w:r>
      <w:r w:rsidR="007B7B1D">
        <w:rPr>
          <w:b/>
          <w:bCs/>
        </w:rPr>
        <w:t xml:space="preserve"> Discounts Pilot Participant Eligible </w:t>
      </w:r>
      <w:r w:rsidR="005814A7">
        <w:rPr>
          <w:b/>
          <w:bCs/>
        </w:rPr>
        <w:t>to Receive</w:t>
      </w:r>
    </w:p>
    <w:p w:rsidR="006C3B0B" w:rsidP="008F296D" w:rsidRDefault="006C3B0B">
      <w:pPr>
        <w:jc w:val="center"/>
        <w:rPr>
          <w:b/>
          <w:bCs/>
        </w:rPr>
      </w:pPr>
    </w:p>
    <w:p w:rsidRPr="004E5720" w:rsidR="008F296D" w:rsidP="008F296D" w:rsidRDefault="008F296D">
      <w:pPr>
        <w:jc w:val="center"/>
        <w:rPr>
          <w:b/>
          <w:bCs/>
        </w:rPr>
      </w:pPr>
      <w:r>
        <w:rPr>
          <w:b/>
          <w:bCs/>
        </w:rPr>
        <w:t xml:space="preserve">Year 1-5 of Participation in the </w:t>
      </w:r>
      <w:r w:rsidRPr="004E5720">
        <w:rPr>
          <w:b/>
          <w:bCs/>
        </w:rPr>
        <w:t>Pilot</w:t>
      </w:r>
    </w:p>
    <w:tbl>
      <w:tblPr>
        <w:tblStyle w:val="TableGrid"/>
        <w:tblpPr w:leftFromText="180" w:rightFromText="180" w:vertAnchor="text" w:horzAnchor="margin" w:tblpY="133"/>
        <w:tblW w:w="9355" w:type="dxa"/>
        <w:tblLook w:val="04A0" w:firstRow="1" w:lastRow="0" w:firstColumn="1" w:lastColumn="0" w:noHBand="0" w:noVBand="1"/>
      </w:tblPr>
      <w:tblGrid>
        <w:gridCol w:w="4495"/>
        <w:gridCol w:w="4860"/>
      </w:tblGrid>
      <w:tr w:rsidR="00294B6D">
        <w:trPr>
          <w:trHeight w:val="291"/>
        </w:trPr>
        <w:tc>
          <w:tcPr>
            <w:tcW w:w="4495" w:type="dxa"/>
          </w:tcPr>
          <w:p w:rsidRPr="00237922" w:rsidR="008F296D" w:rsidP="00B411EF" w:rsidRDefault="008F296D">
            <w:pPr>
              <w:ind w:left="0" w:firstLine="0"/>
              <w:jc w:val="center"/>
              <w:rPr>
                <w:i/>
                <w:iCs/>
              </w:rPr>
            </w:pPr>
            <w:r w:rsidRPr="00237922">
              <w:rPr>
                <w:i/>
                <w:iCs/>
              </w:rPr>
              <w:t>Discount Provided</w:t>
            </w:r>
          </w:p>
        </w:tc>
        <w:tc>
          <w:tcPr>
            <w:tcW w:w="4860" w:type="dxa"/>
          </w:tcPr>
          <w:p w:rsidRPr="00237922" w:rsidR="008F296D" w:rsidP="00B411EF" w:rsidRDefault="008F296D">
            <w:pPr>
              <w:ind w:left="0" w:firstLine="0"/>
              <w:jc w:val="center"/>
              <w:rPr>
                <w:i/>
                <w:iCs/>
              </w:rPr>
            </w:pPr>
            <w:r w:rsidRPr="00237922">
              <w:rPr>
                <w:i/>
                <w:iCs/>
              </w:rPr>
              <w:t>Amount Provided</w:t>
            </w:r>
          </w:p>
        </w:tc>
      </w:tr>
      <w:tr w:rsidR="00294B6D">
        <w:trPr>
          <w:trHeight w:val="291"/>
        </w:trPr>
        <w:tc>
          <w:tcPr>
            <w:tcW w:w="4495" w:type="dxa"/>
          </w:tcPr>
          <w:p w:rsidR="0074059C" w:rsidP="00B411EF" w:rsidRDefault="008F296D">
            <w:pPr>
              <w:ind w:left="0" w:firstLine="0"/>
            </w:pPr>
            <w:r>
              <w:t>CARE discount (if eligible)</w:t>
            </w:r>
          </w:p>
          <w:p w:rsidR="00C652C5" w:rsidP="00B411EF" w:rsidRDefault="00C652C5">
            <w:pPr>
              <w:ind w:left="0" w:firstLine="0"/>
            </w:pPr>
            <w:r>
              <w:t>FERA discount (if eligible)</w:t>
            </w:r>
          </w:p>
        </w:tc>
        <w:tc>
          <w:tcPr>
            <w:tcW w:w="4860" w:type="dxa"/>
          </w:tcPr>
          <w:p w:rsidR="0074059C" w:rsidP="0074059C" w:rsidRDefault="008F296D">
            <w:pPr>
              <w:ind w:left="0" w:firstLine="0"/>
            </w:pPr>
            <w:r>
              <w:t>3</w:t>
            </w:r>
            <w:r w:rsidR="002521E7">
              <w:t>6</w:t>
            </w:r>
            <w:r w:rsidR="009E3172">
              <w:t xml:space="preserve"> pe</w:t>
            </w:r>
            <w:r w:rsidR="00954DFC">
              <w:t>r</w:t>
            </w:r>
            <w:r w:rsidR="009E3172">
              <w:t>cent</w:t>
            </w:r>
            <w:r w:rsidR="0074059C">
              <w:t xml:space="preserve"> (PG&amp;E) or 32.5</w:t>
            </w:r>
            <w:r w:rsidR="009E3172">
              <w:t xml:space="preserve"> percent</w:t>
            </w:r>
            <w:r>
              <w:t xml:space="preserve"> </w:t>
            </w:r>
            <w:r w:rsidR="0074059C">
              <w:t>(SCE)</w:t>
            </w:r>
          </w:p>
          <w:p w:rsidR="00C652C5" w:rsidP="0074059C" w:rsidRDefault="00C652C5">
            <w:pPr>
              <w:ind w:left="0" w:firstLine="0"/>
            </w:pPr>
            <w:r>
              <w:t>18</w:t>
            </w:r>
            <w:r w:rsidR="009E3172">
              <w:t xml:space="preserve"> percent</w:t>
            </w:r>
          </w:p>
        </w:tc>
      </w:tr>
      <w:tr w:rsidR="00294B6D">
        <w:trPr>
          <w:trHeight w:val="291"/>
        </w:trPr>
        <w:tc>
          <w:tcPr>
            <w:tcW w:w="4495" w:type="dxa"/>
          </w:tcPr>
          <w:p w:rsidR="008F296D" w:rsidP="00B411EF" w:rsidRDefault="00C3664F">
            <w:pPr>
              <w:ind w:left="0" w:firstLine="0"/>
            </w:pPr>
            <w:r>
              <w:t>DAC-GT or CSGT discount</w:t>
            </w:r>
            <w:r w:rsidR="00C652C5">
              <w:t xml:space="preserve"> (if eligible)</w:t>
            </w:r>
          </w:p>
        </w:tc>
        <w:tc>
          <w:tcPr>
            <w:tcW w:w="4860" w:type="dxa"/>
          </w:tcPr>
          <w:p w:rsidR="008F296D" w:rsidP="00B411EF" w:rsidRDefault="008F296D">
            <w:pPr>
              <w:ind w:left="0" w:firstLine="0"/>
            </w:pPr>
            <w:r>
              <w:t>20</w:t>
            </w:r>
            <w:r w:rsidR="009E3172">
              <w:t xml:space="preserve"> percent</w:t>
            </w:r>
          </w:p>
        </w:tc>
      </w:tr>
      <w:tr w:rsidR="00294B6D">
        <w:trPr>
          <w:trHeight w:val="280"/>
        </w:trPr>
        <w:tc>
          <w:tcPr>
            <w:tcW w:w="4495" w:type="dxa"/>
          </w:tcPr>
          <w:p w:rsidR="008F296D" w:rsidP="00B411EF" w:rsidRDefault="00BA37B6">
            <w:pPr>
              <w:ind w:left="0" w:firstLine="0"/>
            </w:pPr>
            <w:r>
              <w:t xml:space="preserve">SJV Pilots </w:t>
            </w:r>
            <w:r w:rsidR="008F296D">
              <w:t>Bill Protection Discount</w:t>
            </w:r>
          </w:p>
        </w:tc>
        <w:tc>
          <w:tcPr>
            <w:tcW w:w="4860" w:type="dxa"/>
          </w:tcPr>
          <w:p w:rsidR="008F296D" w:rsidP="00B411EF" w:rsidRDefault="008F296D">
            <w:pPr>
              <w:ind w:left="0" w:firstLine="0"/>
            </w:pPr>
            <w:r>
              <w:t>20</w:t>
            </w:r>
            <w:r w:rsidR="007B543B">
              <w:t xml:space="preserve"> percent</w:t>
            </w:r>
          </w:p>
        </w:tc>
      </w:tr>
    </w:tbl>
    <w:p w:rsidR="008F296D" w:rsidP="008F296D" w:rsidRDefault="008F296D"/>
    <w:p w:rsidRPr="00114F9E" w:rsidR="008F296D" w:rsidP="008F296D" w:rsidRDefault="008F296D">
      <w:pPr>
        <w:jc w:val="center"/>
      </w:pPr>
      <w:r>
        <w:rPr>
          <w:b/>
          <w:bCs/>
        </w:rPr>
        <w:t xml:space="preserve">Year 6-10 of Participation in the </w:t>
      </w:r>
      <w:r w:rsidRPr="004E5720">
        <w:rPr>
          <w:b/>
          <w:bCs/>
        </w:rPr>
        <w:t>Pilot</w:t>
      </w:r>
    </w:p>
    <w:tbl>
      <w:tblPr>
        <w:tblStyle w:val="TableGrid"/>
        <w:tblpPr w:leftFromText="180" w:rightFromText="180" w:vertAnchor="text" w:horzAnchor="margin" w:tblpY="133"/>
        <w:tblW w:w="9355" w:type="dxa"/>
        <w:tblLook w:val="04A0" w:firstRow="1" w:lastRow="0" w:firstColumn="1" w:lastColumn="0" w:noHBand="0" w:noVBand="1"/>
      </w:tblPr>
      <w:tblGrid>
        <w:gridCol w:w="4529"/>
        <w:gridCol w:w="4826"/>
      </w:tblGrid>
      <w:tr w:rsidR="00294B6D">
        <w:trPr>
          <w:trHeight w:val="275"/>
        </w:trPr>
        <w:tc>
          <w:tcPr>
            <w:tcW w:w="4529" w:type="dxa"/>
          </w:tcPr>
          <w:p w:rsidRPr="00237922" w:rsidR="008F296D" w:rsidP="00B411EF" w:rsidRDefault="008F296D">
            <w:pPr>
              <w:ind w:left="0" w:firstLine="0"/>
              <w:jc w:val="center"/>
              <w:rPr>
                <w:i/>
                <w:iCs/>
              </w:rPr>
            </w:pPr>
            <w:r w:rsidRPr="00237922">
              <w:rPr>
                <w:i/>
                <w:iCs/>
              </w:rPr>
              <w:t>Discount Provided</w:t>
            </w:r>
          </w:p>
        </w:tc>
        <w:tc>
          <w:tcPr>
            <w:tcW w:w="4826" w:type="dxa"/>
          </w:tcPr>
          <w:p w:rsidRPr="00237922" w:rsidR="008F296D" w:rsidP="00B411EF" w:rsidRDefault="008F296D">
            <w:pPr>
              <w:ind w:left="0" w:firstLine="0"/>
              <w:jc w:val="center"/>
              <w:rPr>
                <w:i/>
                <w:iCs/>
              </w:rPr>
            </w:pPr>
            <w:r w:rsidRPr="00237922">
              <w:rPr>
                <w:i/>
                <w:iCs/>
              </w:rPr>
              <w:t>Amount Provided</w:t>
            </w:r>
          </w:p>
        </w:tc>
      </w:tr>
      <w:tr w:rsidR="00294B6D">
        <w:trPr>
          <w:trHeight w:val="275"/>
        </w:trPr>
        <w:tc>
          <w:tcPr>
            <w:tcW w:w="4529" w:type="dxa"/>
          </w:tcPr>
          <w:p w:rsidR="0074059C" w:rsidP="00B411EF" w:rsidRDefault="008F296D">
            <w:pPr>
              <w:ind w:left="0" w:firstLine="0"/>
            </w:pPr>
            <w:r>
              <w:t>CARE discount (if eligible)</w:t>
            </w:r>
          </w:p>
          <w:p w:rsidR="00C652C5" w:rsidP="00B411EF" w:rsidRDefault="00C652C5">
            <w:pPr>
              <w:ind w:left="0" w:firstLine="0"/>
            </w:pPr>
            <w:r>
              <w:t>FERA discount (if eligible)</w:t>
            </w:r>
          </w:p>
        </w:tc>
        <w:tc>
          <w:tcPr>
            <w:tcW w:w="4826" w:type="dxa"/>
          </w:tcPr>
          <w:p w:rsidR="0074059C" w:rsidP="0074059C" w:rsidRDefault="0074059C">
            <w:pPr>
              <w:ind w:left="0" w:firstLine="0"/>
            </w:pPr>
            <w:r>
              <w:t>3</w:t>
            </w:r>
            <w:r w:rsidR="002521E7">
              <w:t>6</w:t>
            </w:r>
            <w:r w:rsidR="007B543B">
              <w:t xml:space="preserve"> percent</w:t>
            </w:r>
            <w:r>
              <w:t xml:space="preserve"> (PG&amp;E) or 32.5</w:t>
            </w:r>
            <w:r w:rsidR="007B543B">
              <w:t xml:space="preserve"> percent</w:t>
            </w:r>
            <w:r>
              <w:t xml:space="preserve"> (SCE)</w:t>
            </w:r>
          </w:p>
          <w:p w:rsidR="00C652C5" w:rsidP="0074059C" w:rsidRDefault="0074059C">
            <w:pPr>
              <w:ind w:left="0" w:firstLine="0"/>
            </w:pPr>
            <w:r>
              <w:t>1</w:t>
            </w:r>
            <w:r w:rsidR="007B543B">
              <w:t>8 percent</w:t>
            </w:r>
          </w:p>
        </w:tc>
      </w:tr>
      <w:tr w:rsidR="00294B6D">
        <w:trPr>
          <w:trHeight w:val="275"/>
        </w:trPr>
        <w:tc>
          <w:tcPr>
            <w:tcW w:w="4529" w:type="dxa"/>
          </w:tcPr>
          <w:p w:rsidR="008F296D" w:rsidP="00B411EF" w:rsidRDefault="00C3664F">
            <w:pPr>
              <w:ind w:left="0" w:firstLine="0"/>
            </w:pPr>
            <w:r>
              <w:t>DAC-GT or CSGT discount</w:t>
            </w:r>
            <w:r w:rsidR="0074059C">
              <w:t xml:space="preserve"> (if eligible)</w:t>
            </w:r>
          </w:p>
        </w:tc>
        <w:tc>
          <w:tcPr>
            <w:tcW w:w="4826" w:type="dxa"/>
          </w:tcPr>
          <w:p w:rsidR="008F296D" w:rsidP="00B411EF" w:rsidRDefault="008F296D">
            <w:pPr>
              <w:ind w:left="0" w:firstLine="0"/>
            </w:pPr>
            <w:r>
              <w:t>20</w:t>
            </w:r>
            <w:r w:rsidR="007B543B">
              <w:t xml:space="preserve"> percent</w:t>
            </w:r>
          </w:p>
        </w:tc>
      </w:tr>
      <w:tr w:rsidR="00294B6D">
        <w:trPr>
          <w:trHeight w:val="47"/>
        </w:trPr>
        <w:tc>
          <w:tcPr>
            <w:tcW w:w="4529" w:type="dxa"/>
          </w:tcPr>
          <w:p w:rsidR="008F296D" w:rsidP="00B411EF" w:rsidRDefault="00740C8D">
            <w:pPr>
              <w:ind w:left="0" w:firstLine="0"/>
            </w:pPr>
            <w:r>
              <w:t xml:space="preserve">SJV Pilots </w:t>
            </w:r>
            <w:r w:rsidR="008F296D">
              <w:t>Bill Protection Discount</w:t>
            </w:r>
          </w:p>
        </w:tc>
        <w:tc>
          <w:tcPr>
            <w:tcW w:w="4826" w:type="dxa"/>
          </w:tcPr>
          <w:p w:rsidR="008F296D" w:rsidP="00B411EF" w:rsidRDefault="008F296D">
            <w:pPr>
              <w:ind w:left="0" w:firstLine="0"/>
            </w:pPr>
            <w:r>
              <w:t>10</w:t>
            </w:r>
            <w:r w:rsidR="007B543B">
              <w:t xml:space="preserve"> percent</w:t>
            </w:r>
            <w:r>
              <w:t xml:space="preserve"> if evaluation finds no energy cost increase for any participating customer except statistical outliers;</w:t>
            </w:r>
          </w:p>
          <w:p w:rsidR="008F296D" w:rsidP="00B411EF" w:rsidRDefault="008F296D">
            <w:pPr>
              <w:ind w:left="0" w:firstLine="0"/>
            </w:pPr>
            <w:r>
              <w:t>…or</w:t>
            </w:r>
          </w:p>
          <w:p w:rsidR="008F296D" w:rsidP="00B411EF" w:rsidRDefault="008F296D">
            <w:pPr>
              <w:ind w:left="0" w:firstLine="0"/>
            </w:pPr>
            <w:r>
              <w:t>20</w:t>
            </w:r>
            <w:r w:rsidR="007B543B">
              <w:t xml:space="preserve"> percent</w:t>
            </w:r>
            <w:r>
              <w:t xml:space="preserve"> if evaluation finds energy cost increases for any participating customer except statistical outliers</w:t>
            </w:r>
          </w:p>
        </w:tc>
      </w:tr>
    </w:tbl>
    <w:p w:rsidR="008F296D" w:rsidP="008F296D" w:rsidRDefault="008F296D"/>
    <w:p w:rsidR="001266F1" w:rsidP="008F296D" w:rsidRDefault="00B1693A">
      <w:r>
        <w:t>PG&amp;E and SCE</w:t>
      </w:r>
      <w:r w:rsidR="001266F1">
        <w:t xml:space="preserve"> shall stack</w:t>
      </w:r>
      <w:r>
        <w:t xml:space="preserve"> these discounts</w:t>
      </w:r>
      <w:r w:rsidR="00337509">
        <w:t xml:space="preserve"> sequentially</w:t>
      </w:r>
      <w:r w:rsidR="001266F1">
        <w:t xml:space="preserve"> based on the size of the discount, with the largest discount being applied first, and smallest discount being applied last.</w:t>
      </w:r>
      <w:r w:rsidR="00C05927">
        <w:t xml:space="preserve"> </w:t>
      </w:r>
      <w:r w:rsidR="00194969">
        <w:t xml:space="preserve">Below </w:t>
      </w:r>
      <w:r w:rsidR="00591518">
        <w:t xml:space="preserve">we provide </w:t>
      </w:r>
      <w:r w:rsidR="00194969">
        <w:t>a</w:t>
      </w:r>
      <w:r w:rsidR="003B13FC">
        <w:t xml:space="preserve"> simplified</w:t>
      </w:r>
      <w:r w:rsidR="00194969">
        <w:t xml:space="preserve"> example of </w:t>
      </w:r>
      <w:r w:rsidR="00E1103B">
        <w:t xml:space="preserve">an electricity bill for a </w:t>
      </w:r>
      <w:r w:rsidR="009A0E9C">
        <w:t xml:space="preserve">PG&amp;E </w:t>
      </w:r>
      <w:r w:rsidR="00E1103B">
        <w:t xml:space="preserve">customer enrolled </w:t>
      </w:r>
      <w:r w:rsidR="002B6CD5">
        <w:t xml:space="preserve">in </w:t>
      </w:r>
      <w:r w:rsidR="003E7D42">
        <w:t xml:space="preserve">the CARE program, </w:t>
      </w:r>
      <w:r w:rsidR="0027126D">
        <w:t xml:space="preserve">the DAC-GT program, and </w:t>
      </w:r>
      <w:r w:rsidR="00AE6A3F">
        <w:t xml:space="preserve">the </w:t>
      </w:r>
      <w:r w:rsidR="00311A74">
        <w:t xml:space="preserve">first year of the </w:t>
      </w:r>
      <w:r w:rsidR="00194969">
        <w:t>SJV pilot</w:t>
      </w:r>
      <w:r w:rsidR="00AE6A3F">
        <w:t xml:space="preserve"> program</w:t>
      </w:r>
      <w:r w:rsidR="00194969">
        <w:t xml:space="preserve"> </w:t>
      </w:r>
      <w:r w:rsidR="00BD61E0">
        <w:t xml:space="preserve">in order </w:t>
      </w:r>
      <w:r w:rsidR="00E1103B">
        <w:t>to</w:t>
      </w:r>
      <w:r w:rsidR="002B6CD5">
        <w:t xml:space="preserve"> illustrate </w:t>
      </w:r>
      <w:r w:rsidR="00AE6A3F">
        <w:t xml:space="preserve">the order </w:t>
      </w:r>
      <w:r w:rsidR="00F26CB7">
        <w:t xml:space="preserve">and manner </w:t>
      </w:r>
      <w:r w:rsidR="00AE6A3F">
        <w:t xml:space="preserve">in which </w:t>
      </w:r>
      <w:r w:rsidR="00E1103B">
        <w:t>these discounts shall be applied.</w:t>
      </w:r>
    </w:p>
    <w:p w:rsidR="00F271BD" w:rsidP="008F296D" w:rsidRDefault="00F271BD"/>
    <w:p w:rsidR="00350190" w:rsidP="00350190" w:rsidRDefault="000328A7">
      <w:pPr>
        <w:rPr>
          <w:b/>
          <w:bCs/>
        </w:rPr>
      </w:pPr>
      <w:r>
        <w:rPr>
          <w:b/>
          <w:bCs/>
        </w:rPr>
        <w:t>Table 2</w:t>
      </w:r>
      <w:r w:rsidR="007F162E">
        <w:rPr>
          <w:b/>
          <w:bCs/>
        </w:rPr>
        <w:t xml:space="preserve">: </w:t>
      </w:r>
      <w:r w:rsidR="00350190">
        <w:rPr>
          <w:b/>
          <w:bCs/>
        </w:rPr>
        <w:t xml:space="preserve">Example of Electricity Bill for </w:t>
      </w:r>
      <w:r w:rsidR="009A0E9C">
        <w:rPr>
          <w:b/>
          <w:bCs/>
        </w:rPr>
        <w:t xml:space="preserve">PG&amp;E </w:t>
      </w:r>
      <w:r w:rsidR="00350190">
        <w:rPr>
          <w:b/>
          <w:bCs/>
        </w:rPr>
        <w:t>Customer Enrolled in CARE, DAC-GT, and SJV Pilot Programs</w:t>
      </w:r>
    </w:p>
    <w:tbl>
      <w:tblPr>
        <w:tblStyle w:val="TableGrid"/>
        <w:tblW w:w="0" w:type="auto"/>
        <w:tblLook w:val="04A0" w:firstRow="1" w:lastRow="0" w:firstColumn="1" w:lastColumn="0" w:noHBand="0" w:noVBand="1"/>
      </w:tblPr>
      <w:tblGrid>
        <w:gridCol w:w="4675"/>
        <w:gridCol w:w="4675"/>
      </w:tblGrid>
      <w:tr w:rsidR="00294B6D">
        <w:tc>
          <w:tcPr>
            <w:tcW w:w="4675" w:type="dxa"/>
          </w:tcPr>
          <w:p w:rsidR="009903BB" w:rsidP="00B2294E" w:rsidRDefault="00994679">
            <w:pPr>
              <w:ind w:left="0" w:firstLine="0"/>
            </w:pPr>
            <w:r>
              <w:t>E</w:t>
            </w:r>
            <w:r w:rsidR="00B2294E">
              <w:t xml:space="preserve">lectricity </w:t>
            </w:r>
            <w:r w:rsidR="00F76B3B">
              <w:t xml:space="preserve">bill </w:t>
            </w:r>
            <w:r w:rsidR="00B2294E">
              <w:t>based on electricity consumption</w:t>
            </w:r>
            <w:r w:rsidR="00B11B9A">
              <w:t xml:space="preserve"> </w:t>
            </w:r>
            <w:r w:rsidR="002A1F22">
              <w:t xml:space="preserve">on </w:t>
            </w:r>
            <w:r w:rsidR="00B11B9A">
              <w:t>all-electric baseline</w:t>
            </w:r>
          </w:p>
        </w:tc>
        <w:tc>
          <w:tcPr>
            <w:tcW w:w="4675" w:type="dxa"/>
          </w:tcPr>
          <w:p w:rsidR="009903BB" w:rsidP="008F296D" w:rsidRDefault="00B2294E">
            <w:r>
              <w:t>$100</w:t>
            </w:r>
          </w:p>
        </w:tc>
      </w:tr>
      <w:tr w:rsidR="00294B6D">
        <w:tc>
          <w:tcPr>
            <w:tcW w:w="4675" w:type="dxa"/>
          </w:tcPr>
          <w:p w:rsidR="009903BB" w:rsidP="00B2294E" w:rsidRDefault="003147AF">
            <w:pPr>
              <w:ind w:left="0" w:firstLine="0"/>
            </w:pPr>
            <w:r>
              <w:t xml:space="preserve">Electricity bill after </w:t>
            </w:r>
            <w:r w:rsidR="00510AAB">
              <w:t>3</w:t>
            </w:r>
            <w:r w:rsidR="006264A6">
              <w:t>6</w:t>
            </w:r>
            <w:r w:rsidR="00510AAB">
              <w:t xml:space="preserve"> percent </w:t>
            </w:r>
            <w:r>
              <w:t>CARE discount</w:t>
            </w:r>
            <w:r w:rsidR="009A0E9C">
              <w:t xml:space="preserve"> applied</w:t>
            </w:r>
          </w:p>
        </w:tc>
        <w:tc>
          <w:tcPr>
            <w:tcW w:w="4675" w:type="dxa"/>
          </w:tcPr>
          <w:p w:rsidR="009903BB" w:rsidP="008F296D" w:rsidRDefault="00114DBA">
            <w:r>
              <w:t>$64</w:t>
            </w:r>
          </w:p>
        </w:tc>
      </w:tr>
      <w:tr w:rsidR="00294B6D">
        <w:tc>
          <w:tcPr>
            <w:tcW w:w="4675" w:type="dxa"/>
          </w:tcPr>
          <w:p w:rsidR="009903BB" w:rsidP="003147AF" w:rsidRDefault="003147AF">
            <w:pPr>
              <w:ind w:left="0" w:firstLine="0"/>
            </w:pPr>
            <w:r>
              <w:t xml:space="preserve">Electricity bill after </w:t>
            </w:r>
            <w:r w:rsidR="00510AAB">
              <w:t xml:space="preserve">20 percent </w:t>
            </w:r>
            <w:r>
              <w:t>DAC-GT discount</w:t>
            </w:r>
            <w:r w:rsidR="00510AAB">
              <w:t xml:space="preserve"> applied</w:t>
            </w:r>
          </w:p>
        </w:tc>
        <w:tc>
          <w:tcPr>
            <w:tcW w:w="4675" w:type="dxa"/>
          </w:tcPr>
          <w:p w:rsidR="009903BB" w:rsidP="008F296D" w:rsidRDefault="00114DBA">
            <w:r>
              <w:t>$</w:t>
            </w:r>
            <w:r w:rsidR="00E9201F">
              <w:t>51.2</w:t>
            </w:r>
            <w:r w:rsidR="00CD4EA5">
              <w:t>0</w:t>
            </w:r>
          </w:p>
        </w:tc>
      </w:tr>
      <w:tr w:rsidR="00294B6D">
        <w:tc>
          <w:tcPr>
            <w:tcW w:w="4675" w:type="dxa"/>
          </w:tcPr>
          <w:p w:rsidR="009903BB" w:rsidP="00510AAB" w:rsidRDefault="00510AAB">
            <w:pPr>
              <w:ind w:left="0" w:firstLine="0"/>
            </w:pPr>
            <w:r>
              <w:t xml:space="preserve">Electricity bill after 20 percent SJV </w:t>
            </w:r>
            <w:r w:rsidR="00740C8D">
              <w:t>Pilots Bill Protection D</w:t>
            </w:r>
            <w:r>
              <w:t>iscount applied</w:t>
            </w:r>
          </w:p>
        </w:tc>
        <w:tc>
          <w:tcPr>
            <w:tcW w:w="4675" w:type="dxa"/>
          </w:tcPr>
          <w:p w:rsidR="009903BB" w:rsidP="008F296D" w:rsidRDefault="00CD4EA5">
            <w:r>
              <w:t>$40.96</w:t>
            </w:r>
          </w:p>
        </w:tc>
      </w:tr>
    </w:tbl>
    <w:p w:rsidR="00350190" w:rsidP="008F296D" w:rsidRDefault="00350190"/>
    <w:p w:rsidR="00294B6D" w:rsidRDefault="00725DF7">
      <w:r>
        <w:t xml:space="preserve">PG&amp;E and SCE must implement a billing process </w:t>
      </w:r>
      <w:r w:rsidR="00846B72">
        <w:t>t</w:t>
      </w:r>
      <w:r w:rsidR="004D4692">
        <w:t xml:space="preserve">hat enables them to </w:t>
      </w:r>
      <w:r>
        <w:t>provide pilot participants bill protection discounts by no later than May 1</w:t>
      </w:r>
      <w:r w:rsidRPr="007439A7">
        <w:t>, 20</w:t>
      </w:r>
      <w:r w:rsidRPr="00E6257C">
        <w:t>20.</w:t>
      </w:r>
      <w:r w:rsidRPr="00A41801">
        <w:t xml:space="preserve"> </w:t>
      </w:r>
      <w:r w:rsidRPr="007439A7">
        <w:t xml:space="preserve">PG&amp;E and SCE </w:t>
      </w:r>
      <w:r w:rsidRPr="00E5373B">
        <w:t xml:space="preserve">may implement the bill protection </w:t>
      </w:r>
      <w:r w:rsidR="0097604F">
        <w:t>approach</w:t>
      </w:r>
      <w:r w:rsidRPr="009C770C">
        <w:t xml:space="preserve"> through a</w:t>
      </w:r>
      <w:r>
        <w:t xml:space="preserve"> manual or automated information technology (IT) billing process. In the low likelihood scenario that a customer</w:t>
      </w:r>
      <w:r w:rsidR="00846B72">
        <w:t xml:space="preserve"> has enrolled in a pilot, installed </w:t>
      </w:r>
      <w:r w:rsidR="00BE56D5">
        <w:t>at least one</w:t>
      </w:r>
      <w:r w:rsidR="00846B72">
        <w:t xml:space="preserve"> electric appliance, and</w:t>
      </w:r>
      <w:r>
        <w:t xml:space="preserve"> is eligible for a bill protection discount prior to May 1, 2020, PG&amp;E and SCE shall retroactively provide</w:t>
      </w:r>
      <w:r w:rsidR="00846B72">
        <w:t xml:space="preserve"> </w:t>
      </w:r>
      <w:r>
        <w:t>bill</w:t>
      </w:r>
      <w:r w:rsidR="00846B72">
        <w:t xml:space="preserve"> protection discounts owed</w:t>
      </w:r>
      <w:r>
        <w:t xml:space="preserve"> to the customer </w:t>
      </w:r>
      <w:r w:rsidR="007439A7">
        <w:t xml:space="preserve">on the first electric bill after the </w:t>
      </w:r>
      <w:r w:rsidR="00846B72">
        <w:t xml:space="preserve">billing process has been </w:t>
      </w:r>
      <w:r w:rsidR="007439A7">
        <w:t>established.</w:t>
      </w:r>
    </w:p>
    <w:p w:rsidR="00E358E8" w:rsidP="008F296D" w:rsidRDefault="00E358E8"/>
    <w:p w:rsidR="00E358E8" w:rsidP="008F296D" w:rsidRDefault="00E358E8">
      <w:r>
        <w:t xml:space="preserve">If the bill protection </w:t>
      </w:r>
      <w:r w:rsidR="0097604F">
        <w:t>approach</w:t>
      </w:r>
      <w:r>
        <w:t xml:space="preserve"> is implemented through a manual billing process, PG&amp;E and SCE may implement the discount on a one-month rolling lag, meaning that the discount on each bill </w:t>
      </w:r>
      <w:r w:rsidR="00E6257C">
        <w:t>can be</w:t>
      </w:r>
      <w:r>
        <w:t xml:space="preserve"> based on the prior customer bill’s monthly consumption. PG&amp;E and SCE </w:t>
      </w:r>
      <w:r w:rsidR="00E45CB1">
        <w:t>are permitted to</w:t>
      </w:r>
      <w:r>
        <w:t xml:space="preserve"> apply the bill protection discount after taxes.</w:t>
      </w:r>
    </w:p>
    <w:p w:rsidR="00771B27" w:rsidP="008F296D" w:rsidRDefault="00771B27"/>
    <w:p w:rsidR="00AC4122" w:rsidP="008F296D" w:rsidRDefault="009E21C6">
      <w:r>
        <w:t>Below we discuss our rationale for selecting this bill protection approach</w:t>
      </w:r>
      <w:r w:rsidR="005E1608">
        <w:t xml:space="preserve">, </w:t>
      </w:r>
      <w:r w:rsidR="007D6259">
        <w:t>establish</w:t>
      </w:r>
      <w:r w:rsidR="0043406B">
        <w:t xml:space="preserve"> </w:t>
      </w:r>
      <w:r w:rsidR="005738F3">
        <w:t>requirements for the</w:t>
      </w:r>
      <w:r w:rsidR="00027D11">
        <w:t xml:space="preserve"> evaluatio</w:t>
      </w:r>
      <w:r w:rsidR="00F67F4B">
        <w:t>n</w:t>
      </w:r>
      <w:r w:rsidR="005E1608">
        <w:t xml:space="preserve">, and </w:t>
      </w:r>
      <w:r w:rsidR="005738F3">
        <w:t xml:space="preserve">address implementation issues, including </w:t>
      </w:r>
      <w:r w:rsidR="0043406B">
        <w:t>the</w:t>
      </w:r>
      <w:r w:rsidR="006847EF">
        <w:t xml:space="preserve"> authorization of</w:t>
      </w:r>
      <w:r w:rsidR="0043406B">
        <w:t xml:space="preserve"> </w:t>
      </w:r>
      <w:r w:rsidR="005738F3">
        <w:t>a transitional community solar discount.</w:t>
      </w:r>
    </w:p>
    <w:p w:rsidR="00262CD2" w:rsidP="008F296D" w:rsidRDefault="00262CD2">
      <w:pPr>
        <w:rPr>
          <w:u w:val="single"/>
        </w:rPr>
      </w:pPr>
    </w:p>
    <w:p w:rsidRPr="00AC4122" w:rsidR="00AC4122" w:rsidP="008F296D" w:rsidRDefault="00026BC8">
      <w:pPr>
        <w:rPr>
          <w:u w:val="single"/>
        </w:rPr>
      </w:pPr>
      <w:r>
        <w:rPr>
          <w:u w:val="single"/>
        </w:rPr>
        <w:t xml:space="preserve">20 Percent </w:t>
      </w:r>
      <w:r w:rsidR="00AD4616">
        <w:rPr>
          <w:u w:val="single"/>
        </w:rPr>
        <w:t>Discount</w:t>
      </w:r>
      <w:r w:rsidR="00AC5916">
        <w:rPr>
          <w:u w:val="single"/>
        </w:rPr>
        <w:t xml:space="preserve"> </w:t>
      </w:r>
      <w:r w:rsidR="00F64D68">
        <w:rPr>
          <w:u w:val="single"/>
        </w:rPr>
        <w:t>Approach</w:t>
      </w:r>
    </w:p>
    <w:p w:rsidR="005C5C5E" w:rsidP="009C2BEF" w:rsidRDefault="009C2BEF">
      <w:r>
        <w:t xml:space="preserve">PG&amp;E and SCE propose a $500 credit because the SJV Pilots Decision states that $500 per household shall be used as a “starting point” with cost recovery authorized up to that amount. </w:t>
      </w:r>
      <w:r w:rsidR="00AE68FD">
        <w:t xml:space="preserve">Below is a table that shows </w:t>
      </w:r>
      <w:r w:rsidR="00067EE0">
        <w:t xml:space="preserve">the </w:t>
      </w:r>
      <w:r w:rsidR="004608A4">
        <w:t>bill protection costs previously authorized in the SJV Pilots Decision.</w:t>
      </w:r>
    </w:p>
    <w:p w:rsidR="00294B6D" w:rsidRDefault="00294B6D"/>
    <w:p w:rsidR="0067604B" w:rsidP="00645910" w:rsidRDefault="000328A7">
      <w:pPr>
        <w:rPr>
          <w:b/>
          <w:bCs/>
        </w:rPr>
      </w:pPr>
      <w:r w:rsidRPr="000328A7">
        <w:rPr>
          <w:b/>
          <w:bCs/>
        </w:rPr>
        <w:t>Table 3</w:t>
      </w:r>
      <w:r w:rsidR="00B149D8">
        <w:rPr>
          <w:b/>
          <w:bCs/>
        </w:rPr>
        <w:t xml:space="preserve">: </w:t>
      </w:r>
      <w:r w:rsidR="003F6580">
        <w:rPr>
          <w:b/>
          <w:bCs/>
        </w:rPr>
        <w:t xml:space="preserve">Previously </w:t>
      </w:r>
      <w:r w:rsidRPr="00645910" w:rsidR="0091082D">
        <w:rPr>
          <w:b/>
          <w:bCs/>
        </w:rPr>
        <w:t xml:space="preserve">Authorized Bill Protection </w:t>
      </w:r>
      <w:r w:rsidR="00A74099">
        <w:rPr>
          <w:b/>
          <w:bCs/>
        </w:rPr>
        <w:t>Costs</w:t>
      </w:r>
      <w:r w:rsidRPr="00645910" w:rsidR="0091082D">
        <w:rPr>
          <w:b/>
          <w:bCs/>
        </w:rPr>
        <w:t xml:space="preserve"> per SJV Pilots Decision </w:t>
      </w:r>
    </w:p>
    <w:p w:rsidRPr="00645910" w:rsidR="0091082D" w:rsidP="00645910" w:rsidRDefault="0091082D">
      <w:pPr>
        <w:rPr>
          <w:b/>
          <w:bCs/>
        </w:rPr>
      </w:pPr>
      <w:r w:rsidRPr="00645910">
        <w:rPr>
          <w:b/>
          <w:bCs/>
        </w:rPr>
        <w:t>(D.)18-12-015</w:t>
      </w:r>
      <w:r w:rsidR="002B7F62">
        <w:rPr>
          <w:b/>
          <w:bCs/>
        </w:rPr>
        <w:t xml:space="preserve"> (in thousands</w:t>
      </w:r>
      <w:r w:rsidR="003A1D19">
        <w:rPr>
          <w:b/>
          <w:bCs/>
        </w:rPr>
        <w:t xml:space="preserve"> of dollars</w:t>
      </w:r>
      <w:r w:rsidR="002B7F62">
        <w:rPr>
          <w:b/>
          <w:bCs/>
        </w:rPr>
        <w:t>)</w:t>
      </w:r>
    </w:p>
    <w:tbl>
      <w:tblPr>
        <w:tblW w:w="9960" w:type="dxa"/>
        <w:tblLook w:val="04A0" w:firstRow="1" w:lastRow="0" w:firstColumn="1" w:lastColumn="0" w:noHBand="0" w:noVBand="1"/>
      </w:tblPr>
      <w:tblGrid>
        <w:gridCol w:w="2086"/>
        <w:gridCol w:w="2242"/>
        <w:gridCol w:w="2816"/>
        <w:gridCol w:w="2816"/>
      </w:tblGrid>
      <w:tr w:rsidR="00294B6D">
        <w:trPr>
          <w:trHeight w:val="962"/>
        </w:trPr>
        <w:tc>
          <w:tcPr>
            <w:tcW w:w="2086" w:type="dxa"/>
            <w:tcBorders>
              <w:top w:val="single" w:color="auto" w:sz="4" w:space="0"/>
              <w:left w:val="single" w:color="auto" w:sz="4" w:space="0"/>
              <w:bottom w:val="nil"/>
              <w:right w:val="single" w:color="auto" w:sz="4" w:space="0"/>
            </w:tcBorders>
            <w:shd w:val="clear" w:color="000000" w:fill="D9D9D9"/>
            <w:hideMark/>
          </w:tcPr>
          <w:p w:rsidRPr="00690474" w:rsidR="00D00879" w:rsidP="00D00879" w:rsidRDefault="00D00879">
            <w:pPr>
              <w:rPr>
                <w:rFonts w:ascii="Palatino Linotype" w:hAnsi="Palatino Linotype" w:cs="Calibri"/>
                <w:color w:val="000000"/>
                <w:sz w:val="24"/>
                <w:szCs w:val="24"/>
              </w:rPr>
            </w:pPr>
            <w:r w:rsidRPr="00690474">
              <w:rPr>
                <w:rFonts w:ascii="Palatino Linotype" w:hAnsi="Palatino Linotype" w:cs="Calibri"/>
                <w:color w:val="000000"/>
                <w:sz w:val="24"/>
                <w:szCs w:val="24"/>
              </w:rPr>
              <w:t>Utility Territory</w:t>
            </w:r>
          </w:p>
        </w:tc>
        <w:tc>
          <w:tcPr>
            <w:tcW w:w="2242" w:type="dxa"/>
            <w:tcBorders>
              <w:top w:val="single" w:color="auto" w:sz="4" w:space="0"/>
              <w:left w:val="nil"/>
              <w:bottom w:val="nil"/>
              <w:right w:val="single" w:color="auto" w:sz="4" w:space="0"/>
            </w:tcBorders>
            <w:shd w:val="clear" w:color="000000" w:fill="D9D9D9"/>
            <w:hideMark/>
          </w:tcPr>
          <w:p w:rsidRPr="00690474" w:rsidR="00D00879" w:rsidP="00D00879" w:rsidRDefault="00D00879">
            <w:pPr>
              <w:rPr>
                <w:rFonts w:ascii="Palatino Linotype" w:hAnsi="Palatino Linotype" w:cs="Calibri"/>
                <w:color w:val="000000"/>
                <w:sz w:val="24"/>
                <w:szCs w:val="24"/>
              </w:rPr>
            </w:pPr>
            <w:r w:rsidRPr="00690474">
              <w:rPr>
                <w:rFonts w:ascii="Palatino Linotype" w:hAnsi="Palatino Linotype" w:cs="Calibri"/>
                <w:color w:val="000000"/>
                <w:sz w:val="24"/>
                <w:szCs w:val="24"/>
              </w:rPr>
              <w:t xml:space="preserve">Number of authorized pilot households </w:t>
            </w:r>
          </w:p>
        </w:tc>
        <w:tc>
          <w:tcPr>
            <w:tcW w:w="2816" w:type="dxa"/>
            <w:tcBorders>
              <w:top w:val="single" w:color="auto" w:sz="4" w:space="0"/>
              <w:left w:val="nil"/>
              <w:bottom w:val="nil"/>
              <w:right w:val="single" w:color="auto" w:sz="4" w:space="0"/>
            </w:tcBorders>
            <w:shd w:val="clear" w:color="000000" w:fill="D9D9D9"/>
            <w:hideMark/>
          </w:tcPr>
          <w:p w:rsidRPr="00690474" w:rsidR="00D00879" w:rsidP="00D00879" w:rsidRDefault="00D00879">
            <w:pPr>
              <w:rPr>
                <w:rFonts w:ascii="Palatino Linotype" w:hAnsi="Palatino Linotype" w:cs="Calibri"/>
                <w:color w:val="000000"/>
                <w:sz w:val="24"/>
                <w:szCs w:val="24"/>
              </w:rPr>
            </w:pPr>
            <w:r w:rsidRPr="00690474">
              <w:rPr>
                <w:rFonts w:ascii="Palatino Linotype" w:hAnsi="Palatino Linotype" w:cs="Calibri"/>
                <w:color w:val="000000"/>
                <w:sz w:val="24"/>
                <w:szCs w:val="24"/>
              </w:rPr>
              <w:t xml:space="preserve">Previously authorized bill protection funding per household </w:t>
            </w:r>
          </w:p>
        </w:tc>
        <w:tc>
          <w:tcPr>
            <w:tcW w:w="2816" w:type="dxa"/>
            <w:tcBorders>
              <w:top w:val="single" w:color="auto" w:sz="4" w:space="0"/>
              <w:left w:val="nil"/>
              <w:bottom w:val="nil"/>
              <w:right w:val="single" w:color="auto" w:sz="4" w:space="0"/>
            </w:tcBorders>
            <w:shd w:val="clear" w:color="000000" w:fill="D9D9D9"/>
            <w:hideMark/>
          </w:tcPr>
          <w:p w:rsidRPr="00690474" w:rsidR="00D00879" w:rsidP="00D00879" w:rsidRDefault="00D00879">
            <w:pPr>
              <w:rPr>
                <w:rFonts w:ascii="Palatino Linotype" w:hAnsi="Palatino Linotype" w:cs="Calibri"/>
                <w:color w:val="000000"/>
                <w:sz w:val="24"/>
                <w:szCs w:val="24"/>
              </w:rPr>
            </w:pPr>
            <w:r w:rsidRPr="00690474">
              <w:rPr>
                <w:rFonts w:ascii="Palatino Linotype" w:hAnsi="Palatino Linotype" w:cs="Calibri"/>
                <w:color w:val="000000"/>
                <w:sz w:val="24"/>
                <w:szCs w:val="24"/>
              </w:rPr>
              <w:t xml:space="preserve">Total previously authorized bill protection </w:t>
            </w:r>
            <w:r w:rsidRPr="00690474" w:rsidR="00A74099">
              <w:rPr>
                <w:rFonts w:ascii="Palatino Linotype" w:hAnsi="Palatino Linotype" w:cs="Calibri"/>
                <w:color w:val="000000"/>
                <w:sz w:val="24"/>
                <w:szCs w:val="24"/>
              </w:rPr>
              <w:t>costs</w:t>
            </w:r>
            <w:r w:rsidRPr="00690474" w:rsidR="00CB1BA3">
              <w:rPr>
                <w:rStyle w:val="FootnoteReference"/>
                <w:rFonts w:ascii="Palatino Linotype" w:hAnsi="Palatino Linotype" w:cs="Calibri"/>
                <w:color w:val="000000"/>
                <w:sz w:val="24"/>
                <w:szCs w:val="24"/>
              </w:rPr>
              <w:footnoteReference w:id="25"/>
            </w:r>
          </w:p>
        </w:tc>
      </w:tr>
      <w:tr w:rsidR="00294B6D">
        <w:trPr>
          <w:trHeight w:val="289"/>
        </w:trPr>
        <w:tc>
          <w:tcPr>
            <w:tcW w:w="208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color w:val="000000"/>
                <w:sz w:val="24"/>
                <w:szCs w:val="24"/>
              </w:rPr>
            </w:pPr>
            <w:r w:rsidRPr="00205AEA">
              <w:rPr>
                <w:rFonts w:ascii="Palatino Linotype" w:hAnsi="Palatino Linotype" w:cs="Calibri"/>
                <w:color w:val="000000"/>
                <w:sz w:val="24"/>
                <w:szCs w:val="24"/>
              </w:rPr>
              <w:t>PG&amp;E territory</w:t>
            </w:r>
          </w:p>
        </w:tc>
        <w:tc>
          <w:tcPr>
            <w:tcW w:w="2242" w:type="dxa"/>
            <w:tcBorders>
              <w:top w:val="single" w:color="auto" w:sz="4" w:space="0"/>
              <w:left w:val="nil"/>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color w:val="000000"/>
                <w:sz w:val="24"/>
                <w:szCs w:val="24"/>
              </w:rPr>
            </w:pPr>
            <w:r w:rsidRPr="00205AEA">
              <w:rPr>
                <w:rFonts w:ascii="Palatino Linotype" w:hAnsi="Palatino Linotype" w:cs="Calibri"/>
                <w:color w:val="000000"/>
                <w:sz w:val="24"/>
                <w:szCs w:val="24"/>
              </w:rPr>
              <w:t>1,218</w:t>
            </w:r>
          </w:p>
        </w:tc>
        <w:tc>
          <w:tcPr>
            <w:tcW w:w="2816" w:type="dxa"/>
            <w:tcBorders>
              <w:top w:val="single" w:color="auto" w:sz="4" w:space="0"/>
              <w:left w:val="nil"/>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color w:val="000000"/>
                <w:sz w:val="24"/>
                <w:szCs w:val="24"/>
              </w:rPr>
            </w:pPr>
            <w:r w:rsidRPr="00205AEA">
              <w:rPr>
                <w:rFonts w:ascii="Palatino Linotype" w:hAnsi="Palatino Linotype" w:cs="Calibri"/>
                <w:color w:val="000000"/>
                <w:sz w:val="24"/>
                <w:szCs w:val="24"/>
              </w:rPr>
              <w:t>$</w:t>
            </w:r>
            <w:r w:rsidRPr="00205AEA" w:rsidR="00E4417F">
              <w:rPr>
                <w:rFonts w:ascii="Palatino Linotype" w:hAnsi="Palatino Linotype" w:cs="Calibri"/>
                <w:color w:val="000000"/>
                <w:sz w:val="24"/>
                <w:szCs w:val="24"/>
              </w:rPr>
              <w:t>0.5</w:t>
            </w:r>
          </w:p>
        </w:tc>
        <w:tc>
          <w:tcPr>
            <w:tcW w:w="2816" w:type="dxa"/>
            <w:tcBorders>
              <w:top w:val="single" w:color="auto" w:sz="4" w:space="0"/>
              <w:left w:val="nil"/>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color w:val="000000"/>
                <w:sz w:val="24"/>
                <w:szCs w:val="24"/>
              </w:rPr>
            </w:pPr>
            <w:r w:rsidRPr="00205AEA">
              <w:rPr>
                <w:rFonts w:ascii="Palatino Linotype" w:hAnsi="Palatino Linotype" w:cs="Calibri"/>
                <w:color w:val="000000"/>
                <w:sz w:val="24"/>
                <w:szCs w:val="24"/>
              </w:rPr>
              <w:t>$6</w:t>
            </w:r>
            <w:r w:rsidR="00DB7498">
              <w:rPr>
                <w:rFonts w:ascii="Palatino Linotype" w:hAnsi="Palatino Linotype" w:cs="Calibri"/>
                <w:color w:val="000000"/>
                <w:sz w:val="24"/>
                <w:szCs w:val="24"/>
              </w:rPr>
              <w:t>62</w:t>
            </w:r>
          </w:p>
        </w:tc>
      </w:tr>
      <w:tr w:rsidR="00294B6D">
        <w:trPr>
          <w:trHeight w:val="289"/>
        </w:trPr>
        <w:tc>
          <w:tcPr>
            <w:tcW w:w="2086" w:type="dxa"/>
            <w:tcBorders>
              <w:top w:val="nil"/>
              <w:left w:val="single" w:color="auto" w:sz="4" w:space="0"/>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color w:val="000000"/>
                <w:sz w:val="24"/>
                <w:szCs w:val="24"/>
              </w:rPr>
            </w:pPr>
            <w:r w:rsidRPr="00205AEA">
              <w:rPr>
                <w:rFonts w:ascii="Palatino Linotype" w:hAnsi="Palatino Linotype" w:cs="Calibri"/>
                <w:color w:val="000000"/>
                <w:sz w:val="24"/>
                <w:szCs w:val="24"/>
              </w:rPr>
              <w:t>SCE territory</w:t>
            </w:r>
          </w:p>
        </w:tc>
        <w:tc>
          <w:tcPr>
            <w:tcW w:w="2242" w:type="dxa"/>
            <w:tcBorders>
              <w:top w:val="nil"/>
              <w:left w:val="nil"/>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color w:val="000000"/>
                <w:sz w:val="24"/>
                <w:szCs w:val="24"/>
              </w:rPr>
            </w:pPr>
            <w:r w:rsidRPr="00205AEA">
              <w:rPr>
                <w:rFonts w:ascii="Palatino Linotype" w:hAnsi="Palatino Linotype" w:cs="Calibri"/>
                <w:color w:val="000000"/>
                <w:sz w:val="24"/>
                <w:szCs w:val="24"/>
              </w:rPr>
              <w:t>449</w:t>
            </w:r>
          </w:p>
        </w:tc>
        <w:tc>
          <w:tcPr>
            <w:tcW w:w="2816" w:type="dxa"/>
            <w:tcBorders>
              <w:top w:val="nil"/>
              <w:left w:val="nil"/>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color w:val="000000"/>
                <w:sz w:val="24"/>
                <w:szCs w:val="24"/>
              </w:rPr>
            </w:pPr>
            <w:r w:rsidRPr="00205AEA">
              <w:rPr>
                <w:rFonts w:ascii="Palatino Linotype" w:hAnsi="Palatino Linotype" w:cs="Calibri"/>
                <w:color w:val="000000"/>
                <w:sz w:val="24"/>
                <w:szCs w:val="24"/>
              </w:rPr>
              <w:t>$</w:t>
            </w:r>
            <w:r w:rsidRPr="00205AEA" w:rsidR="00E4417F">
              <w:rPr>
                <w:rFonts w:ascii="Palatino Linotype" w:hAnsi="Palatino Linotype" w:cs="Calibri"/>
                <w:color w:val="000000"/>
                <w:sz w:val="24"/>
                <w:szCs w:val="24"/>
              </w:rPr>
              <w:t>0.5</w:t>
            </w:r>
          </w:p>
        </w:tc>
        <w:tc>
          <w:tcPr>
            <w:tcW w:w="2816" w:type="dxa"/>
            <w:tcBorders>
              <w:top w:val="nil"/>
              <w:left w:val="nil"/>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color w:val="000000"/>
                <w:sz w:val="24"/>
                <w:szCs w:val="24"/>
              </w:rPr>
            </w:pPr>
            <w:r w:rsidRPr="00205AEA">
              <w:rPr>
                <w:rFonts w:ascii="Palatino Linotype" w:hAnsi="Palatino Linotype" w:cs="Calibri"/>
                <w:color w:val="000000"/>
                <w:sz w:val="24"/>
                <w:szCs w:val="24"/>
              </w:rPr>
              <w:t>$224</w:t>
            </w:r>
            <w:r w:rsidRPr="00205AEA" w:rsidR="000A5261">
              <w:rPr>
                <w:rFonts w:ascii="Palatino Linotype" w:hAnsi="Palatino Linotype" w:cs="Calibri"/>
                <w:color w:val="000000"/>
                <w:sz w:val="24"/>
                <w:szCs w:val="24"/>
              </w:rPr>
              <w:t>.5</w:t>
            </w:r>
          </w:p>
        </w:tc>
      </w:tr>
      <w:tr w:rsidR="00294B6D">
        <w:trPr>
          <w:trHeight w:val="289"/>
        </w:trPr>
        <w:tc>
          <w:tcPr>
            <w:tcW w:w="2086" w:type="dxa"/>
            <w:tcBorders>
              <w:top w:val="nil"/>
              <w:left w:val="single" w:color="auto" w:sz="4" w:space="0"/>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b/>
                <w:bCs/>
                <w:color w:val="000000"/>
                <w:sz w:val="24"/>
                <w:szCs w:val="24"/>
              </w:rPr>
            </w:pPr>
            <w:r w:rsidRPr="00205AEA">
              <w:rPr>
                <w:rFonts w:ascii="Palatino Linotype" w:hAnsi="Palatino Linotype" w:cs="Calibri"/>
                <w:b/>
                <w:bCs/>
                <w:color w:val="000000"/>
                <w:sz w:val="24"/>
                <w:szCs w:val="24"/>
              </w:rPr>
              <w:t xml:space="preserve">Total </w:t>
            </w:r>
          </w:p>
        </w:tc>
        <w:tc>
          <w:tcPr>
            <w:tcW w:w="2242" w:type="dxa"/>
            <w:tcBorders>
              <w:top w:val="nil"/>
              <w:left w:val="nil"/>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b/>
                <w:bCs/>
                <w:color w:val="000000"/>
                <w:sz w:val="24"/>
                <w:szCs w:val="24"/>
              </w:rPr>
            </w:pPr>
            <w:r w:rsidRPr="00205AEA">
              <w:rPr>
                <w:rFonts w:ascii="Palatino Linotype" w:hAnsi="Palatino Linotype" w:cs="Calibri"/>
                <w:b/>
                <w:bCs/>
                <w:color w:val="000000"/>
                <w:sz w:val="24"/>
                <w:szCs w:val="24"/>
              </w:rPr>
              <w:t>1,667</w:t>
            </w:r>
          </w:p>
        </w:tc>
        <w:tc>
          <w:tcPr>
            <w:tcW w:w="2816" w:type="dxa"/>
            <w:tcBorders>
              <w:top w:val="nil"/>
              <w:left w:val="nil"/>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b/>
                <w:bCs/>
                <w:i/>
                <w:iCs/>
                <w:color w:val="000000"/>
                <w:sz w:val="24"/>
                <w:szCs w:val="24"/>
              </w:rPr>
            </w:pPr>
            <w:r w:rsidRPr="00205AEA">
              <w:rPr>
                <w:rFonts w:ascii="Palatino Linotype" w:hAnsi="Palatino Linotype" w:cs="Calibri"/>
                <w:b/>
                <w:bCs/>
                <w:i/>
                <w:iCs/>
                <w:color w:val="000000"/>
                <w:sz w:val="24"/>
                <w:szCs w:val="24"/>
              </w:rPr>
              <w:t>n/a</w:t>
            </w:r>
          </w:p>
        </w:tc>
        <w:tc>
          <w:tcPr>
            <w:tcW w:w="2816" w:type="dxa"/>
            <w:tcBorders>
              <w:top w:val="nil"/>
              <w:left w:val="nil"/>
              <w:bottom w:val="single" w:color="auto" w:sz="4" w:space="0"/>
              <w:right w:val="single" w:color="auto" w:sz="4" w:space="0"/>
            </w:tcBorders>
            <w:shd w:val="clear" w:color="auto" w:fill="auto"/>
            <w:vAlign w:val="bottom"/>
            <w:hideMark/>
          </w:tcPr>
          <w:p w:rsidRPr="00205AEA" w:rsidR="00D00879" w:rsidP="00D00879" w:rsidRDefault="00D00879">
            <w:pPr>
              <w:rPr>
                <w:rFonts w:ascii="Palatino Linotype" w:hAnsi="Palatino Linotype" w:cs="Calibri"/>
                <w:b/>
                <w:bCs/>
                <w:color w:val="000000"/>
                <w:sz w:val="24"/>
                <w:szCs w:val="24"/>
              </w:rPr>
            </w:pPr>
            <w:r w:rsidRPr="00205AEA">
              <w:rPr>
                <w:rFonts w:ascii="Palatino Linotype" w:hAnsi="Palatino Linotype" w:cs="Calibri"/>
                <w:b/>
                <w:bCs/>
                <w:color w:val="000000"/>
                <w:sz w:val="24"/>
                <w:szCs w:val="24"/>
              </w:rPr>
              <w:t>$8</w:t>
            </w:r>
            <w:r w:rsidR="00DB7498">
              <w:rPr>
                <w:rFonts w:ascii="Palatino Linotype" w:hAnsi="Palatino Linotype" w:cs="Calibri"/>
                <w:b/>
                <w:bCs/>
                <w:color w:val="000000"/>
                <w:sz w:val="24"/>
                <w:szCs w:val="24"/>
              </w:rPr>
              <w:t>86</w:t>
            </w:r>
            <w:r w:rsidRPr="00205AEA" w:rsidR="000A5261">
              <w:rPr>
                <w:rFonts w:ascii="Palatino Linotype" w:hAnsi="Palatino Linotype" w:cs="Calibri"/>
                <w:b/>
                <w:bCs/>
                <w:color w:val="000000"/>
                <w:sz w:val="24"/>
                <w:szCs w:val="24"/>
              </w:rPr>
              <w:t>.5</w:t>
            </w:r>
          </w:p>
        </w:tc>
      </w:tr>
    </w:tbl>
    <w:p w:rsidR="00B6242F" w:rsidP="009C2BEF" w:rsidRDefault="00B6242F"/>
    <w:p w:rsidR="009C2BEF" w:rsidP="009C2BEF" w:rsidRDefault="009C2BEF">
      <w:r>
        <w:t xml:space="preserve">We disagree with </w:t>
      </w:r>
      <w:r w:rsidR="006E1B0E">
        <w:t>PG&amp;E and SCE’s</w:t>
      </w:r>
      <w:r>
        <w:t xml:space="preserve"> interpretation of the </w:t>
      </w:r>
      <w:r w:rsidR="00441A0D">
        <w:t>SJV Pilot Decision</w:t>
      </w:r>
      <w:r>
        <w:t xml:space="preserve">'s starting point language as effectively </w:t>
      </w:r>
      <w:r w:rsidR="00F049ED">
        <w:t xml:space="preserve">establishing </w:t>
      </w:r>
      <w:r>
        <w:t xml:space="preserve">a </w:t>
      </w:r>
      <w:r w:rsidR="00F049ED">
        <w:t xml:space="preserve">cost </w:t>
      </w:r>
      <w:r>
        <w:t>ceiling</w:t>
      </w:r>
      <w:r w:rsidR="00084E87">
        <w:t>.</w:t>
      </w:r>
      <w:r w:rsidR="00B76416">
        <w:t xml:space="preserve"> </w:t>
      </w:r>
      <w:r w:rsidR="00820D9A">
        <w:t>A</w:t>
      </w:r>
      <w:r w:rsidR="00B76416">
        <w:t xml:space="preserve"> starting point</w:t>
      </w:r>
      <w:r w:rsidR="00833509">
        <w:t xml:space="preserve"> is a guidepost for </w:t>
      </w:r>
      <w:r w:rsidR="007E47E3">
        <w:t>initiating data-driven analysis</w:t>
      </w:r>
      <w:r w:rsidR="00820D9A">
        <w:t xml:space="preserve">; it is not </w:t>
      </w:r>
      <w:r w:rsidR="00404700">
        <w:t>a</w:t>
      </w:r>
      <w:r w:rsidR="00833509">
        <w:t xml:space="preserve"> cap, especially since </w:t>
      </w:r>
      <w:r>
        <w:t xml:space="preserve">procedural pathways </w:t>
      </w:r>
      <w:r w:rsidR="00084E87">
        <w:t xml:space="preserve">exist </w:t>
      </w:r>
      <w:r>
        <w:t>to increase cost recovery</w:t>
      </w:r>
      <w:r w:rsidR="00820D9A">
        <w:t xml:space="preserve"> for bill protections</w:t>
      </w:r>
      <w:r>
        <w:t>. If the central objective of the</w:t>
      </w:r>
      <w:r w:rsidR="003A6A8A">
        <w:t xml:space="preserve"> </w:t>
      </w:r>
      <w:r>
        <w:t>bill protection</w:t>
      </w:r>
      <w:r w:rsidR="002B6848">
        <w:t xml:space="preserve"> </w:t>
      </w:r>
      <w:r w:rsidR="00DB25A1">
        <w:t>approach</w:t>
      </w:r>
      <w:r>
        <w:t xml:space="preserve"> is to ensure energy cost savings, we agree with GRID and the Pilot Team that a greater savings cushion is needed to account for modeling uncertainties.</w:t>
      </w:r>
    </w:p>
    <w:p w:rsidR="00307B17" w:rsidP="009C2BEF" w:rsidRDefault="00307B17"/>
    <w:p w:rsidR="00734669" w:rsidP="008F296D" w:rsidRDefault="008F296D">
      <w:r>
        <w:t xml:space="preserve">We </w:t>
      </w:r>
      <w:r w:rsidR="009C2BEF">
        <w:t xml:space="preserve">also </w:t>
      </w:r>
      <w:r>
        <w:t xml:space="preserve">agree with GRID that a percentage discount approach is preferred to </w:t>
      </w:r>
      <w:r w:rsidR="00411752">
        <w:t xml:space="preserve">the IOUs’ </w:t>
      </w:r>
      <w:r>
        <w:t>flat credit approach</w:t>
      </w:r>
      <w:r w:rsidR="00297C06">
        <w:t xml:space="preserve"> during this pilot phase</w:t>
      </w:r>
      <w:r>
        <w:t>, since a percentage discount approach scales to the size of a customer’s electricity bill and particular household needs</w:t>
      </w:r>
      <w:r w:rsidR="00BA37B6">
        <w:t xml:space="preserve">, rather than </w:t>
      </w:r>
      <w:r w:rsidR="00BB5A95">
        <w:t>PG&amp;E and SCE’s</w:t>
      </w:r>
      <w:r w:rsidR="00BA37B6">
        <w:t xml:space="preserve"> proposal which </w:t>
      </w:r>
      <w:r w:rsidR="008D1BEE">
        <w:t>provides the same credit regardless of</w:t>
      </w:r>
      <w:r w:rsidR="00175401">
        <w:t xml:space="preserve"> household</w:t>
      </w:r>
      <w:r w:rsidR="008D1BEE">
        <w:t xml:space="preserve"> energy use</w:t>
      </w:r>
      <w:r>
        <w:t>.</w:t>
      </w:r>
      <w:r w:rsidR="000C383F">
        <w:rPr>
          <w:rStyle w:val="FootnoteReference"/>
        </w:rPr>
        <w:footnoteReference w:id="26"/>
      </w:r>
      <w:r>
        <w:t xml:space="preserve"> </w:t>
      </w:r>
      <w:r w:rsidR="00297C06">
        <w:t>Because this is a pilot project, a</w:t>
      </w:r>
      <w:r w:rsidR="004B1232">
        <w:t xml:space="preserve"> 20 percent bill protection discount for </w:t>
      </w:r>
      <w:r w:rsidR="00175401">
        <w:t>pilot customers</w:t>
      </w:r>
      <w:r w:rsidR="004B1232">
        <w:t xml:space="preserve"> </w:t>
      </w:r>
      <w:r w:rsidR="00297C06">
        <w:t xml:space="preserve">is reasonable to </w:t>
      </w:r>
      <w:r w:rsidR="00BB5A95">
        <w:t xml:space="preserve">both provide a </w:t>
      </w:r>
      <w:r w:rsidR="00297C06">
        <w:t xml:space="preserve">cost </w:t>
      </w:r>
      <w:r w:rsidR="00AA5188">
        <w:t xml:space="preserve">savings </w:t>
      </w:r>
      <w:r w:rsidR="00BB5A95">
        <w:t xml:space="preserve">buffer to account for modeling uncertainties </w:t>
      </w:r>
      <w:r w:rsidR="00AA5188">
        <w:t>and to</w:t>
      </w:r>
      <w:r w:rsidR="00297C06">
        <w:t xml:space="preserve"> scale to</w:t>
      </w:r>
      <w:r w:rsidR="00AA5188">
        <w:t xml:space="preserve"> </w:t>
      </w:r>
      <w:r w:rsidR="00B87AC4">
        <w:t xml:space="preserve">a </w:t>
      </w:r>
      <w:r w:rsidR="00AA5188">
        <w:t>customer</w:t>
      </w:r>
      <w:r w:rsidR="0025762E">
        <w:t>’s</w:t>
      </w:r>
      <w:r w:rsidR="00AA5188">
        <w:t xml:space="preserve"> unique energy usage patter</w:t>
      </w:r>
      <w:r w:rsidR="00E6150B">
        <w:t xml:space="preserve">ns </w:t>
      </w:r>
      <w:r w:rsidR="00297C06">
        <w:t xml:space="preserve">and </w:t>
      </w:r>
      <w:r w:rsidR="00E6150B">
        <w:t xml:space="preserve">accommodate </w:t>
      </w:r>
      <w:r w:rsidR="00C56ED0">
        <w:t xml:space="preserve">individual </w:t>
      </w:r>
      <w:r w:rsidR="00E6150B">
        <w:t>household needs.</w:t>
      </w:r>
      <w:r w:rsidR="00297C06">
        <w:t xml:space="preserve">  </w:t>
      </w:r>
    </w:p>
    <w:p w:rsidR="00734669" w:rsidP="008F296D" w:rsidRDefault="00734669"/>
    <w:p w:rsidR="00AE3C85" w:rsidP="008F296D" w:rsidRDefault="00297C06">
      <w:r>
        <w:t xml:space="preserve">Although a flat credit approach is appropriate in other circumstances, we prefer a percentage discount approach during the pilot phase because </w:t>
      </w:r>
      <w:r w:rsidR="00E82506">
        <w:t xml:space="preserve">it is important to encourage </w:t>
      </w:r>
      <w:r>
        <w:t xml:space="preserve">a sufficient level of participation to </w:t>
      </w:r>
      <w:r w:rsidR="00AF0F67">
        <w:t>collect</w:t>
      </w:r>
      <w:r>
        <w:t xml:space="preserve"> data </w:t>
      </w:r>
      <w:r w:rsidR="006C5C54">
        <w:t xml:space="preserve">that will </w:t>
      </w:r>
      <w:r>
        <w:t xml:space="preserve">inform future SJV affordable energy approaches. The approach adopted today </w:t>
      </w:r>
      <w:r w:rsidR="009F6700">
        <w:t xml:space="preserve">should not be interpreted as </w:t>
      </w:r>
      <w:r>
        <w:t>set</w:t>
      </w:r>
      <w:r w:rsidR="009F6700">
        <w:t xml:space="preserve">ting a </w:t>
      </w:r>
      <w:r>
        <w:t xml:space="preserve">precedent for </w:t>
      </w:r>
      <w:r w:rsidR="009F6700">
        <w:t>Phase III of R.15-03-010.</w:t>
      </w:r>
    </w:p>
    <w:p w:rsidR="00AE3C85" w:rsidP="008F296D" w:rsidRDefault="00AE3C85"/>
    <w:p w:rsidRPr="00026BC8" w:rsidR="00026BC8" w:rsidP="008F296D" w:rsidRDefault="00026BC8">
      <w:pPr>
        <w:rPr>
          <w:u w:val="single"/>
        </w:rPr>
      </w:pPr>
      <w:r w:rsidRPr="00026BC8">
        <w:rPr>
          <w:u w:val="single"/>
        </w:rPr>
        <w:t>10</w:t>
      </w:r>
      <w:r w:rsidR="00411752">
        <w:rPr>
          <w:u w:val="single"/>
        </w:rPr>
        <w:t>-</w:t>
      </w:r>
      <w:r w:rsidRPr="00026BC8">
        <w:rPr>
          <w:u w:val="single"/>
        </w:rPr>
        <w:t xml:space="preserve">Year </w:t>
      </w:r>
      <w:r w:rsidR="009C2BEF">
        <w:rPr>
          <w:u w:val="single"/>
        </w:rPr>
        <w:t xml:space="preserve">Bill Protection </w:t>
      </w:r>
      <w:r w:rsidRPr="00026BC8">
        <w:rPr>
          <w:u w:val="single"/>
        </w:rPr>
        <w:t>Duration</w:t>
      </w:r>
    </w:p>
    <w:p w:rsidR="008F296D" w:rsidP="008F296D" w:rsidRDefault="008F296D">
      <w:r>
        <w:t xml:space="preserve">We do not support </w:t>
      </w:r>
      <w:r w:rsidR="00261573">
        <w:t>PG&amp;E and SCE</w:t>
      </w:r>
      <w:r>
        <w:t>’</w:t>
      </w:r>
      <w:r w:rsidR="00261573">
        <w:t>s</w:t>
      </w:r>
      <w:r>
        <w:t xml:space="preserve"> proposed three-year bill protection duration because there are too many unknowns embedded in the energy cost modeling to be convinced that a three-year protection is adequate. Further, a percentage discount </w:t>
      </w:r>
      <w:r w:rsidR="00F56EFC">
        <w:t xml:space="preserve">bill </w:t>
      </w:r>
      <w:r>
        <w:t>protection</w:t>
      </w:r>
      <w:r w:rsidR="00F56EFC">
        <w:t xml:space="preserve"> </w:t>
      </w:r>
      <w:r w:rsidR="00F64D68">
        <w:t>approach</w:t>
      </w:r>
      <w:r>
        <w:t xml:space="preserve"> for </w:t>
      </w:r>
      <w:r w:rsidR="00BA37B6">
        <w:t>10</w:t>
      </w:r>
      <w:r>
        <w:t xml:space="preserve"> years will likely encourage greater participation in the pilots than a $500 credit over three years</w:t>
      </w:r>
      <w:r w:rsidR="00411752">
        <w:t>,</w:t>
      </w:r>
      <w:r w:rsidR="00E6035E">
        <w:t xml:space="preserve"> because </w:t>
      </w:r>
      <w:r w:rsidR="00BA2AC2">
        <w:t xml:space="preserve">it </w:t>
      </w:r>
      <w:r w:rsidR="00096BB7">
        <w:t>delivers a longer period of energy cost savings</w:t>
      </w:r>
      <w:r w:rsidR="00B3138A">
        <w:t xml:space="preserve">; </w:t>
      </w:r>
      <w:r w:rsidR="009F6700">
        <w:t xml:space="preserve">the higher costs this entails is reasonable because </w:t>
      </w:r>
      <w:r w:rsidR="005E5E62">
        <w:t>these are</w:t>
      </w:r>
      <w:r w:rsidR="009F6700">
        <w:t xml:space="preserve"> pilot</w:t>
      </w:r>
      <w:r w:rsidR="00F40EC3">
        <w:t xml:space="preserve"> project</w:t>
      </w:r>
      <w:r w:rsidR="005E5E62">
        <w:t>s</w:t>
      </w:r>
      <w:r>
        <w:t xml:space="preserve">. </w:t>
      </w:r>
      <w:r w:rsidR="00F40EC3">
        <w:t xml:space="preserve">High levels of pilot </w:t>
      </w:r>
      <w:r>
        <w:t xml:space="preserve">participation </w:t>
      </w:r>
      <w:r w:rsidR="00F40EC3">
        <w:t>are</w:t>
      </w:r>
      <w:r>
        <w:t xml:space="preserve"> essential for collecting data to inform how to scale electrification to other communities in Phase III of the SJV proceeding, as GRID and the Pilot Team point out</w:t>
      </w:r>
      <w:r w:rsidR="009F6700">
        <w:t xml:space="preserve">, and we wish to avoid deterring participation due to concerns about energy cost increases. </w:t>
      </w:r>
    </w:p>
    <w:p w:rsidR="008F296D" w:rsidP="008F296D" w:rsidRDefault="008F296D"/>
    <w:p w:rsidR="00886510" w:rsidP="008F296D" w:rsidRDefault="008F296D">
      <w:r>
        <w:t>However, we disagree with GRID and the Pilot Team that a 20</w:t>
      </w:r>
      <w:r w:rsidR="007B543B">
        <w:t xml:space="preserve"> percent</w:t>
      </w:r>
      <w:r>
        <w:t xml:space="preserve"> discount is imperative for 20 years. We agree with PG&amp;E and SCE’s position that a bill protection approach should last no longer than the life expectancy of the appliances, which according to PG&amp;E is 15 years for a heat pump space conditioning system and 10 years for heat pump water heater</w:t>
      </w:r>
      <w:r w:rsidR="00BA37B6">
        <w:t>.</w:t>
      </w:r>
      <w:r>
        <w:rPr>
          <w:rStyle w:val="FootnoteReference"/>
        </w:rPr>
        <w:footnoteReference w:id="27"/>
      </w:r>
      <w:r>
        <w:t xml:space="preserve"> </w:t>
      </w:r>
      <w:r w:rsidR="00760269">
        <w:t xml:space="preserve">Linking the duration of the pilot bill protection discount to the life expectancy of the appliances ensures that participants </w:t>
      </w:r>
      <w:r w:rsidR="009E71A5">
        <w:t xml:space="preserve">receive energy cost savings </w:t>
      </w:r>
      <w:r w:rsidR="001B17B1">
        <w:t xml:space="preserve">while relying on </w:t>
      </w:r>
      <w:r w:rsidR="000C1868">
        <w:t>electrical appliances for heating, cooling and cooking needs.</w:t>
      </w:r>
    </w:p>
    <w:p w:rsidR="00001D06" w:rsidP="008F296D" w:rsidRDefault="00001D06"/>
    <w:p w:rsidR="00371DF0" w:rsidP="008F296D" w:rsidRDefault="008F296D">
      <w:r>
        <w:t xml:space="preserve">We also believe that a </w:t>
      </w:r>
      <w:r w:rsidRPr="00F3543F">
        <w:t xml:space="preserve">bill protection </w:t>
      </w:r>
      <w:r w:rsidR="00F64D68">
        <w:t>approach</w:t>
      </w:r>
      <w:r w:rsidRPr="00F3543F">
        <w:t xml:space="preserve"> should be balanced with bill impacts to non-</w:t>
      </w:r>
      <w:r w:rsidRPr="00A94481">
        <w:t>participating ratepayers.</w:t>
      </w:r>
      <w:r w:rsidR="00086218">
        <w:t xml:space="preserve"> Below is a table that shows projected </w:t>
      </w:r>
      <w:r w:rsidR="00E03FE3">
        <w:t xml:space="preserve">total </w:t>
      </w:r>
      <w:r w:rsidR="00086218">
        <w:t>costs impacts of the</w:t>
      </w:r>
      <w:r w:rsidR="00E03FE3">
        <w:t xml:space="preserve"> bill protection </w:t>
      </w:r>
      <w:r w:rsidR="00297371">
        <w:t>approach</w:t>
      </w:r>
      <w:r w:rsidR="00E03FE3">
        <w:t xml:space="preserve"> </w:t>
      </w:r>
      <w:r w:rsidR="0085722D">
        <w:t xml:space="preserve">authorized in this Resolution compared to GRID’s proposed bill protection </w:t>
      </w:r>
      <w:r w:rsidR="00297371">
        <w:t>approach</w:t>
      </w:r>
      <w:r w:rsidR="00E00794">
        <w:t>, based on an Energy Division</w:t>
      </w:r>
      <w:r w:rsidRPr="00A94481">
        <w:t xml:space="preserve"> data request to PG&amp;E and SCE</w:t>
      </w:r>
      <w:r w:rsidR="001A6E5A">
        <w:t>.</w:t>
      </w:r>
      <w:r w:rsidR="00FB0323">
        <w:rPr>
          <w:rStyle w:val="FootnoteReference"/>
        </w:rPr>
        <w:footnoteReference w:id="28"/>
      </w:r>
    </w:p>
    <w:p w:rsidR="00371DF0" w:rsidP="008F296D" w:rsidRDefault="00371DF0"/>
    <w:p w:rsidRPr="00F832CE" w:rsidR="00B445B7" w:rsidP="008F296D" w:rsidRDefault="000328A7">
      <w:pPr>
        <w:rPr>
          <w:b/>
          <w:bCs/>
        </w:rPr>
      </w:pPr>
      <w:r w:rsidRPr="000328A7">
        <w:rPr>
          <w:b/>
          <w:bCs/>
        </w:rPr>
        <w:t>Table 4</w:t>
      </w:r>
      <w:r w:rsidR="00EE4DEB">
        <w:rPr>
          <w:b/>
          <w:bCs/>
        </w:rPr>
        <w:t xml:space="preserve">: </w:t>
      </w:r>
      <w:r w:rsidRPr="00F832CE" w:rsidR="00526422">
        <w:rPr>
          <w:b/>
          <w:bCs/>
        </w:rPr>
        <w:t xml:space="preserve">Comparison </w:t>
      </w:r>
      <w:r w:rsidRPr="00F832CE" w:rsidR="005540B8">
        <w:rPr>
          <w:b/>
          <w:bCs/>
        </w:rPr>
        <w:t>of Projected Total Bill Protection Discount Costs</w:t>
      </w:r>
      <w:r w:rsidRPr="00F832CE" w:rsidR="005F50AC">
        <w:rPr>
          <w:b/>
          <w:bCs/>
        </w:rPr>
        <w:t xml:space="preserve"> for </w:t>
      </w:r>
      <w:r w:rsidRPr="00F832CE" w:rsidR="00F9474F">
        <w:rPr>
          <w:b/>
          <w:bCs/>
        </w:rPr>
        <w:t xml:space="preserve">Bill Protection </w:t>
      </w:r>
      <w:r w:rsidR="00297371">
        <w:rPr>
          <w:b/>
          <w:bCs/>
        </w:rPr>
        <w:t>Approach</w:t>
      </w:r>
      <w:r w:rsidR="00BA2A69">
        <w:rPr>
          <w:b/>
          <w:bCs/>
        </w:rPr>
        <w:t xml:space="preserve"> Authorized</w:t>
      </w:r>
      <w:r w:rsidRPr="00F832CE" w:rsidR="00F832CE">
        <w:rPr>
          <w:b/>
          <w:bCs/>
        </w:rPr>
        <w:t xml:space="preserve"> </w:t>
      </w:r>
      <w:r w:rsidR="00863AC3">
        <w:rPr>
          <w:b/>
          <w:bCs/>
        </w:rPr>
        <w:t xml:space="preserve">in this Resolution </w:t>
      </w:r>
      <w:r w:rsidRPr="00F832CE" w:rsidR="00F832CE">
        <w:rPr>
          <w:b/>
          <w:bCs/>
        </w:rPr>
        <w:t xml:space="preserve">versus GRID’s Proposed Bill Protection </w:t>
      </w:r>
      <w:r w:rsidR="00297371">
        <w:rPr>
          <w:b/>
          <w:bCs/>
        </w:rPr>
        <w:t>Approach</w:t>
      </w:r>
      <w:r w:rsidR="008C6611">
        <w:rPr>
          <w:b/>
          <w:bCs/>
        </w:rPr>
        <w:t xml:space="preserve"> </w:t>
      </w:r>
      <w:r w:rsidR="00B51733">
        <w:rPr>
          <w:b/>
          <w:bCs/>
        </w:rPr>
        <w:t>(in thousands</w:t>
      </w:r>
      <w:r w:rsidR="003A1D19">
        <w:rPr>
          <w:b/>
          <w:bCs/>
        </w:rPr>
        <w:t xml:space="preserve"> of dollars</w:t>
      </w:r>
      <w:r w:rsidR="00B51733">
        <w:rPr>
          <w:b/>
          <w:bCs/>
        </w:rPr>
        <w:t>)</w:t>
      </w:r>
    </w:p>
    <w:tbl>
      <w:tblPr>
        <w:tblW w:w="9735" w:type="dxa"/>
        <w:tblLook w:val="04A0" w:firstRow="1" w:lastRow="0" w:firstColumn="1" w:lastColumn="0" w:noHBand="0" w:noVBand="1"/>
      </w:tblPr>
      <w:tblGrid>
        <w:gridCol w:w="3055"/>
        <w:gridCol w:w="3060"/>
        <w:gridCol w:w="1800"/>
        <w:gridCol w:w="1820"/>
      </w:tblGrid>
      <w:tr w:rsidR="00294B6D">
        <w:trPr>
          <w:trHeight w:val="989"/>
        </w:trPr>
        <w:tc>
          <w:tcPr>
            <w:tcW w:w="3055" w:type="dxa"/>
            <w:tcBorders>
              <w:top w:val="single" w:color="auto" w:sz="4" w:space="0"/>
              <w:left w:val="single" w:color="auto" w:sz="4" w:space="0"/>
              <w:bottom w:val="nil"/>
              <w:right w:val="single" w:color="auto" w:sz="4" w:space="0"/>
            </w:tcBorders>
            <w:shd w:val="clear" w:color="000000" w:fill="D9D9D9"/>
            <w:hideMark/>
          </w:tcPr>
          <w:p w:rsidRPr="008602FA" w:rsidR="001F5FD2" w:rsidP="001F5FD2" w:rsidRDefault="001F5FD2">
            <w:pPr>
              <w:rPr>
                <w:rFonts w:ascii="Palatino Linotype" w:hAnsi="Palatino Linotype" w:cs="Calibri"/>
                <w:color w:val="000000"/>
                <w:sz w:val="22"/>
                <w:szCs w:val="22"/>
              </w:rPr>
            </w:pPr>
            <w:r w:rsidRPr="008602FA">
              <w:rPr>
                <w:rFonts w:ascii="Palatino Linotype" w:hAnsi="Palatino Linotype" w:cs="Calibri"/>
                <w:color w:val="000000"/>
                <w:sz w:val="22"/>
                <w:szCs w:val="22"/>
              </w:rPr>
              <w:t>Utility Territory</w:t>
            </w:r>
          </w:p>
        </w:tc>
        <w:tc>
          <w:tcPr>
            <w:tcW w:w="3060" w:type="dxa"/>
            <w:tcBorders>
              <w:top w:val="single" w:color="auto" w:sz="4" w:space="0"/>
              <w:left w:val="nil"/>
              <w:bottom w:val="single" w:color="auto" w:sz="4" w:space="0"/>
              <w:right w:val="single" w:color="auto" w:sz="4" w:space="0"/>
            </w:tcBorders>
            <w:shd w:val="clear" w:color="000000" w:fill="D9D9D9"/>
            <w:hideMark/>
          </w:tcPr>
          <w:p w:rsidRPr="008602FA" w:rsidR="001F5FD2" w:rsidP="001F5FD2" w:rsidRDefault="001F5FD2">
            <w:pPr>
              <w:rPr>
                <w:rFonts w:ascii="Palatino Linotype" w:hAnsi="Palatino Linotype" w:cs="Calibri"/>
                <w:color w:val="000000"/>
                <w:sz w:val="22"/>
                <w:szCs w:val="22"/>
              </w:rPr>
            </w:pPr>
            <w:r w:rsidRPr="008602FA">
              <w:rPr>
                <w:rFonts w:ascii="Palatino Linotype" w:hAnsi="Palatino Linotype" w:cs="Calibri"/>
                <w:color w:val="000000"/>
                <w:sz w:val="22"/>
                <w:szCs w:val="22"/>
              </w:rPr>
              <w:t>20 percent discount for five years, stepped down to 10 percent for five years</w:t>
            </w:r>
          </w:p>
        </w:tc>
        <w:tc>
          <w:tcPr>
            <w:tcW w:w="1800" w:type="dxa"/>
            <w:tcBorders>
              <w:top w:val="single" w:color="auto" w:sz="4" w:space="0"/>
              <w:left w:val="nil"/>
              <w:bottom w:val="single" w:color="auto" w:sz="4" w:space="0"/>
              <w:right w:val="single" w:color="auto" w:sz="4" w:space="0"/>
            </w:tcBorders>
            <w:shd w:val="clear" w:color="000000" w:fill="D9D9D9"/>
            <w:hideMark/>
          </w:tcPr>
          <w:p w:rsidRPr="008602FA" w:rsidR="001F5FD2" w:rsidP="001F5FD2" w:rsidRDefault="001F5FD2">
            <w:pPr>
              <w:rPr>
                <w:rFonts w:ascii="Palatino Linotype" w:hAnsi="Palatino Linotype" w:cs="Calibri"/>
                <w:color w:val="000000"/>
                <w:sz w:val="22"/>
                <w:szCs w:val="22"/>
              </w:rPr>
            </w:pPr>
            <w:r w:rsidRPr="008602FA">
              <w:rPr>
                <w:rFonts w:ascii="Palatino Linotype" w:hAnsi="Palatino Linotype" w:cs="Calibri"/>
                <w:color w:val="000000"/>
                <w:sz w:val="22"/>
                <w:szCs w:val="22"/>
              </w:rPr>
              <w:t>20 percent discount for 10 years</w:t>
            </w:r>
          </w:p>
        </w:tc>
        <w:tc>
          <w:tcPr>
            <w:tcW w:w="1820" w:type="dxa"/>
            <w:tcBorders>
              <w:top w:val="single" w:color="auto" w:sz="4" w:space="0"/>
              <w:left w:val="nil"/>
              <w:bottom w:val="single" w:color="auto" w:sz="4" w:space="0"/>
              <w:right w:val="single" w:color="auto" w:sz="4" w:space="0"/>
            </w:tcBorders>
            <w:shd w:val="clear" w:color="000000" w:fill="D9D9D9"/>
            <w:hideMark/>
          </w:tcPr>
          <w:p w:rsidRPr="008602FA" w:rsidR="001F5FD2" w:rsidP="001F5FD2" w:rsidRDefault="001F5FD2">
            <w:pPr>
              <w:rPr>
                <w:rFonts w:ascii="Palatino Linotype" w:hAnsi="Palatino Linotype" w:cs="Calibri"/>
                <w:color w:val="000000"/>
                <w:sz w:val="22"/>
                <w:szCs w:val="22"/>
              </w:rPr>
            </w:pPr>
            <w:r w:rsidRPr="008602FA">
              <w:rPr>
                <w:rFonts w:ascii="Palatino Linotype" w:hAnsi="Palatino Linotype" w:cs="Calibri"/>
                <w:color w:val="000000"/>
                <w:sz w:val="22"/>
                <w:szCs w:val="22"/>
              </w:rPr>
              <w:t xml:space="preserve">20 percent discount for 20 years </w:t>
            </w:r>
          </w:p>
        </w:tc>
      </w:tr>
      <w:tr w:rsidR="00294B6D">
        <w:trPr>
          <w:trHeight w:val="291"/>
        </w:trPr>
        <w:tc>
          <w:tcPr>
            <w:tcW w:w="30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05AEA" w:rsidR="001F5FD2" w:rsidP="001F5FD2" w:rsidRDefault="001F5FD2">
            <w:pPr>
              <w:rPr>
                <w:rFonts w:ascii="Palatino Linotype" w:hAnsi="Palatino Linotype" w:cs="Calibri"/>
                <w:color w:val="000000"/>
                <w:sz w:val="24"/>
                <w:szCs w:val="24"/>
              </w:rPr>
            </w:pPr>
            <w:r w:rsidRPr="00205AEA">
              <w:rPr>
                <w:rFonts w:ascii="Palatino Linotype" w:hAnsi="Palatino Linotype" w:cs="Calibri"/>
                <w:color w:val="000000"/>
                <w:sz w:val="24"/>
                <w:szCs w:val="24"/>
              </w:rPr>
              <w:t>PG&amp;E territory</w:t>
            </w:r>
          </w:p>
        </w:tc>
        <w:tc>
          <w:tcPr>
            <w:tcW w:w="3060" w:type="dxa"/>
            <w:tcBorders>
              <w:top w:val="nil"/>
              <w:left w:val="nil"/>
              <w:bottom w:val="single" w:color="auto" w:sz="4" w:space="0"/>
              <w:right w:val="single" w:color="auto" w:sz="4" w:space="0"/>
            </w:tcBorders>
            <w:shd w:val="clear" w:color="auto" w:fill="auto"/>
            <w:vAlign w:val="bottom"/>
            <w:hideMark/>
          </w:tcPr>
          <w:p w:rsidRPr="00205AEA" w:rsidR="001F5FD2" w:rsidP="001F5FD2" w:rsidRDefault="001F5FD2">
            <w:pPr>
              <w:rPr>
                <w:rFonts w:ascii="Palatino Linotype" w:hAnsi="Palatino Linotype" w:cs="Calibri"/>
                <w:color w:val="000000"/>
                <w:sz w:val="24"/>
                <w:szCs w:val="24"/>
              </w:rPr>
            </w:pPr>
            <w:r w:rsidRPr="00205AEA">
              <w:rPr>
                <w:rFonts w:ascii="Palatino Linotype" w:hAnsi="Palatino Linotype" w:cs="Calibri"/>
                <w:color w:val="000000"/>
                <w:sz w:val="24"/>
                <w:szCs w:val="24"/>
              </w:rPr>
              <w:t>$3,654</w:t>
            </w:r>
          </w:p>
        </w:tc>
        <w:tc>
          <w:tcPr>
            <w:tcW w:w="1800" w:type="dxa"/>
            <w:tcBorders>
              <w:top w:val="nil"/>
              <w:left w:val="nil"/>
              <w:bottom w:val="single" w:color="auto" w:sz="4" w:space="0"/>
              <w:right w:val="single" w:color="auto" w:sz="4" w:space="0"/>
            </w:tcBorders>
            <w:shd w:val="clear" w:color="auto" w:fill="auto"/>
            <w:vAlign w:val="bottom"/>
            <w:hideMark/>
          </w:tcPr>
          <w:p w:rsidRPr="00205AEA" w:rsidR="001F5FD2" w:rsidP="001F5FD2" w:rsidRDefault="001F5FD2">
            <w:pPr>
              <w:rPr>
                <w:rFonts w:ascii="Palatino Linotype" w:hAnsi="Palatino Linotype" w:cs="Calibri"/>
                <w:color w:val="000000"/>
                <w:sz w:val="24"/>
                <w:szCs w:val="24"/>
              </w:rPr>
            </w:pPr>
            <w:r w:rsidRPr="00205AEA">
              <w:rPr>
                <w:rFonts w:ascii="Palatino Linotype" w:hAnsi="Palatino Linotype" w:cs="Calibri"/>
                <w:color w:val="000000"/>
                <w:sz w:val="24"/>
                <w:szCs w:val="24"/>
              </w:rPr>
              <w:t>$4,872</w:t>
            </w:r>
          </w:p>
        </w:tc>
        <w:tc>
          <w:tcPr>
            <w:tcW w:w="1820" w:type="dxa"/>
            <w:tcBorders>
              <w:top w:val="nil"/>
              <w:left w:val="nil"/>
              <w:bottom w:val="single" w:color="auto" w:sz="4" w:space="0"/>
              <w:right w:val="single" w:color="auto" w:sz="4" w:space="0"/>
            </w:tcBorders>
            <w:shd w:val="clear" w:color="auto" w:fill="auto"/>
            <w:vAlign w:val="bottom"/>
            <w:hideMark/>
          </w:tcPr>
          <w:p w:rsidRPr="00205AEA" w:rsidR="001F5FD2" w:rsidP="001F5FD2" w:rsidRDefault="001F5FD2">
            <w:pPr>
              <w:rPr>
                <w:rFonts w:ascii="Palatino Linotype" w:hAnsi="Palatino Linotype" w:cs="Calibri"/>
                <w:color w:val="000000"/>
                <w:sz w:val="24"/>
                <w:szCs w:val="24"/>
              </w:rPr>
            </w:pPr>
            <w:r w:rsidRPr="00205AEA">
              <w:rPr>
                <w:rFonts w:ascii="Palatino Linotype" w:hAnsi="Palatino Linotype" w:cs="Calibri"/>
                <w:color w:val="000000"/>
                <w:sz w:val="24"/>
                <w:szCs w:val="24"/>
              </w:rPr>
              <w:t>$9,744</w:t>
            </w:r>
          </w:p>
        </w:tc>
      </w:tr>
      <w:tr w:rsidR="00294B6D">
        <w:trPr>
          <w:trHeight w:val="291"/>
        </w:trPr>
        <w:tc>
          <w:tcPr>
            <w:tcW w:w="3055" w:type="dxa"/>
            <w:tcBorders>
              <w:top w:val="nil"/>
              <w:left w:val="single" w:color="auto" w:sz="4" w:space="0"/>
              <w:bottom w:val="single" w:color="auto" w:sz="4" w:space="0"/>
              <w:right w:val="single" w:color="auto" w:sz="4" w:space="0"/>
            </w:tcBorders>
            <w:shd w:val="clear" w:color="auto" w:fill="auto"/>
            <w:vAlign w:val="bottom"/>
            <w:hideMark/>
          </w:tcPr>
          <w:p w:rsidRPr="00205AEA" w:rsidR="001F5FD2" w:rsidP="001F5FD2" w:rsidRDefault="001F5FD2">
            <w:pPr>
              <w:rPr>
                <w:rFonts w:ascii="Palatino Linotype" w:hAnsi="Palatino Linotype" w:cs="Calibri"/>
                <w:color w:val="000000"/>
                <w:sz w:val="24"/>
                <w:szCs w:val="24"/>
              </w:rPr>
            </w:pPr>
            <w:r w:rsidRPr="00205AEA">
              <w:rPr>
                <w:rFonts w:ascii="Palatino Linotype" w:hAnsi="Palatino Linotype" w:cs="Calibri"/>
                <w:color w:val="000000"/>
                <w:sz w:val="24"/>
                <w:szCs w:val="24"/>
              </w:rPr>
              <w:t>SCE territory</w:t>
            </w:r>
          </w:p>
        </w:tc>
        <w:tc>
          <w:tcPr>
            <w:tcW w:w="3060" w:type="dxa"/>
            <w:tcBorders>
              <w:top w:val="nil"/>
              <w:left w:val="nil"/>
              <w:bottom w:val="single" w:color="auto" w:sz="4" w:space="0"/>
              <w:right w:val="single" w:color="auto" w:sz="4" w:space="0"/>
            </w:tcBorders>
            <w:shd w:val="clear" w:color="auto" w:fill="auto"/>
            <w:vAlign w:val="bottom"/>
            <w:hideMark/>
          </w:tcPr>
          <w:p w:rsidRPr="00205AEA" w:rsidR="001F5FD2" w:rsidP="001F5FD2" w:rsidRDefault="00A71A47">
            <w:pPr>
              <w:rPr>
                <w:rFonts w:ascii="Palatino Linotype" w:hAnsi="Palatino Linotype" w:cs="Calibri"/>
                <w:color w:val="000000"/>
                <w:sz w:val="24"/>
                <w:szCs w:val="24"/>
              </w:rPr>
            </w:pPr>
            <w:r w:rsidRPr="00205AEA">
              <w:rPr>
                <w:rFonts w:ascii="Palatino Linotype" w:hAnsi="Palatino Linotype" w:cs="Calibri"/>
                <w:color w:val="000000"/>
                <w:sz w:val="24"/>
                <w:szCs w:val="24"/>
              </w:rPr>
              <w:t>$</w:t>
            </w:r>
            <w:r w:rsidRPr="00205AEA" w:rsidR="001F5FD2">
              <w:rPr>
                <w:rFonts w:ascii="Palatino Linotype" w:hAnsi="Palatino Linotype" w:cs="Calibri"/>
                <w:color w:val="000000"/>
                <w:sz w:val="24"/>
                <w:szCs w:val="24"/>
              </w:rPr>
              <w:t>923</w:t>
            </w:r>
          </w:p>
        </w:tc>
        <w:tc>
          <w:tcPr>
            <w:tcW w:w="1800" w:type="dxa"/>
            <w:tcBorders>
              <w:top w:val="nil"/>
              <w:left w:val="nil"/>
              <w:bottom w:val="single" w:color="auto" w:sz="4" w:space="0"/>
              <w:right w:val="single" w:color="auto" w:sz="4" w:space="0"/>
            </w:tcBorders>
            <w:shd w:val="clear" w:color="auto" w:fill="auto"/>
            <w:vAlign w:val="bottom"/>
            <w:hideMark/>
          </w:tcPr>
          <w:p w:rsidRPr="00205AEA" w:rsidR="001F5FD2" w:rsidP="001F5FD2" w:rsidRDefault="001F5FD2">
            <w:pPr>
              <w:rPr>
                <w:rFonts w:ascii="Palatino Linotype" w:hAnsi="Palatino Linotype" w:cs="Calibri"/>
                <w:color w:val="000000"/>
                <w:sz w:val="24"/>
                <w:szCs w:val="24"/>
              </w:rPr>
            </w:pPr>
            <w:r w:rsidRPr="00205AEA">
              <w:rPr>
                <w:rFonts w:ascii="Palatino Linotype" w:hAnsi="Palatino Linotype" w:cs="Calibri"/>
                <w:color w:val="000000"/>
                <w:sz w:val="24"/>
                <w:szCs w:val="24"/>
              </w:rPr>
              <w:t>$1,23</w:t>
            </w:r>
            <w:r w:rsidRPr="00205AEA" w:rsidR="00A71A47">
              <w:rPr>
                <w:rFonts w:ascii="Palatino Linotype" w:hAnsi="Palatino Linotype" w:cs="Calibri"/>
                <w:color w:val="000000"/>
                <w:sz w:val="24"/>
                <w:szCs w:val="24"/>
              </w:rPr>
              <w:t>1</w:t>
            </w:r>
          </w:p>
        </w:tc>
        <w:tc>
          <w:tcPr>
            <w:tcW w:w="1820" w:type="dxa"/>
            <w:tcBorders>
              <w:top w:val="nil"/>
              <w:left w:val="nil"/>
              <w:bottom w:val="single" w:color="auto" w:sz="4" w:space="0"/>
              <w:right w:val="single" w:color="auto" w:sz="4" w:space="0"/>
            </w:tcBorders>
            <w:shd w:val="clear" w:color="auto" w:fill="auto"/>
            <w:vAlign w:val="bottom"/>
            <w:hideMark/>
          </w:tcPr>
          <w:p w:rsidRPr="00205AEA" w:rsidR="001F5FD2" w:rsidP="001F5FD2" w:rsidRDefault="001F5FD2">
            <w:pPr>
              <w:rPr>
                <w:rFonts w:ascii="Palatino Linotype" w:hAnsi="Palatino Linotype" w:cs="Calibri"/>
                <w:color w:val="000000"/>
                <w:sz w:val="24"/>
                <w:szCs w:val="24"/>
              </w:rPr>
            </w:pPr>
            <w:r w:rsidRPr="00205AEA">
              <w:rPr>
                <w:rFonts w:ascii="Palatino Linotype" w:hAnsi="Palatino Linotype" w:cs="Calibri"/>
                <w:color w:val="000000"/>
                <w:sz w:val="24"/>
                <w:szCs w:val="24"/>
              </w:rPr>
              <w:t>$2,46</w:t>
            </w:r>
            <w:r w:rsidRPr="00205AEA" w:rsidR="00A71A47">
              <w:rPr>
                <w:rFonts w:ascii="Palatino Linotype" w:hAnsi="Palatino Linotype" w:cs="Calibri"/>
                <w:color w:val="000000"/>
                <w:sz w:val="24"/>
                <w:szCs w:val="24"/>
              </w:rPr>
              <w:t>2</w:t>
            </w:r>
          </w:p>
        </w:tc>
      </w:tr>
      <w:tr w:rsidR="00294B6D">
        <w:trPr>
          <w:trHeight w:val="291"/>
        </w:trPr>
        <w:tc>
          <w:tcPr>
            <w:tcW w:w="3055" w:type="dxa"/>
            <w:tcBorders>
              <w:top w:val="nil"/>
              <w:left w:val="single" w:color="auto" w:sz="4" w:space="0"/>
              <w:bottom w:val="single" w:color="auto" w:sz="4" w:space="0"/>
              <w:right w:val="single" w:color="auto" w:sz="4" w:space="0"/>
            </w:tcBorders>
            <w:shd w:val="clear" w:color="auto" w:fill="auto"/>
            <w:vAlign w:val="bottom"/>
            <w:hideMark/>
          </w:tcPr>
          <w:p w:rsidRPr="00231A98" w:rsidR="001F5FD2" w:rsidP="001F5FD2" w:rsidRDefault="001F5FD2">
            <w:pPr>
              <w:rPr>
                <w:rFonts w:ascii="Palatino Linotype" w:hAnsi="Palatino Linotype" w:cs="Calibri"/>
                <w:color w:val="000000"/>
                <w:sz w:val="24"/>
                <w:szCs w:val="24"/>
              </w:rPr>
            </w:pPr>
            <w:r w:rsidRPr="00231A98">
              <w:rPr>
                <w:rFonts w:ascii="Palatino Linotype" w:hAnsi="Palatino Linotype" w:cs="Calibri"/>
                <w:color w:val="000000"/>
                <w:sz w:val="24"/>
                <w:szCs w:val="24"/>
              </w:rPr>
              <w:t>Total</w:t>
            </w:r>
            <w:r w:rsidRPr="00231A98" w:rsidR="00205AEA">
              <w:rPr>
                <w:rFonts w:ascii="Palatino Linotype" w:hAnsi="Palatino Linotype" w:cs="Calibri"/>
                <w:color w:val="000000"/>
                <w:sz w:val="24"/>
                <w:szCs w:val="24"/>
              </w:rPr>
              <w:t xml:space="preserve"> </w:t>
            </w:r>
          </w:p>
        </w:tc>
        <w:tc>
          <w:tcPr>
            <w:tcW w:w="3060" w:type="dxa"/>
            <w:tcBorders>
              <w:top w:val="nil"/>
              <w:left w:val="nil"/>
              <w:bottom w:val="single" w:color="auto" w:sz="4" w:space="0"/>
              <w:right w:val="single" w:color="auto" w:sz="4" w:space="0"/>
            </w:tcBorders>
            <w:shd w:val="clear" w:color="auto" w:fill="auto"/>
            <w:vAlign w:val="bottom"/>
            <w:hideMark/>
          </w:tcPr>
          <w:p w:rsidRPr="00231A98" w:rsidR="001F5FD2" w:rsidP="001F5FD2" w:rsidRDefault="001F5FD2">
            <w:pPr>
              <w:rPr>
                <w:rFonts w:ascii="Palatino Linotype" w:hAnsi="Palatino Linotype" w:cs="Calibri"/>
                <w:color w:val="000000"/>
                <w:sz w:val="24"/>
                <w:szCs w:val="24"/>
              </w:rPr>
            </w:pPr>
            <w:r w:rsidRPr="00231A98">
              <w:rPr>
                <w:rFonts w:ascii="Palatino Linotype" w:hAnsi="Palatino Linotype" w:cs="Calibri"/>
                <w:color w:val="000000"/>
                <w:sz w:val="24"/>
                <w:szCs w:val="24"/>
              </w:rPr>
              <w:t>$4,577</w:t>
            </w:r>
          </w:p>
        </w:tc>
        <w:tc>
          <w:tcPr>
            <w:tcW w:w="1800" w:type="dxa"/>
            <w:tcBorders>
              <w:top w:val="nil"/>
              <w:left w:val="nil"/>
              <w:bottom w:val="single" w:color="auto" w:sz="4" w:space="0"/>
              <w:right w:val="single" w:color="auto" w:sz="4" w:space="0"/>
            </w:tcBorders>
            <w:shd w:val="clear" w:color="auto" w:fill="auto"/>
            <w:vAlign w:val="bottom"/>
            <w:hideMark/>
          </w:tcPr>
          <w:p w:rsidRPr="00231A98" w:rsidR="001F5FD2" w:rsidP="001F5FD2" w:rsidRDefault="001F5FD2">
            <w:pPr>
              <w:rPr>
                <w:rFonts w:ascii="Palatino Linotype" w:hAnsi="Palatino Linotype" w:cs="Calibri"/>
                <w:color w:val="000000"/>
                <w:sz w:val="24"/>
                <w:szCs w:val="24"/>
              </w:rPr>
            </w:pPr>
            <w:r w:rsidRPr="00231A98">
              <w:rPr>
                <w:rFonts w:ascii="Palatino Linotype" w:hAnsi="Palatino Linotype" w:cs="Calibri"/>
                <w:color w:val="000000"/>
                <w:sz w:val="24"/>
                <w:szCs w:val="24"/>
              </w:rPr>
              <w:t>$6,10</w:t>
            </w:r>
            <w:r w:rsidRPr="00231A98" w:rsidR="00270D12">
              <w:rPr>
                <w:rFonts w:ascii="Palatino Linotype" w:hAnsi="Palatino Linotype" w:cs="Calibri"/>
                <w:color w:val="000000"/>
                <w:sz w:val="24"/>
                <w:szCs w:val="24"/>
              </w:rPr>
              <w:t>3</w:t>
            </w:r>
          </w:p>
        </w:tc>
        <w:tc>
          <w:tcPr>
            <w:tcW w:w="1820" w:type="dxa"/>
            <w:tcBorders>
              <w:top w:val="nil"/>
              <w:left w:val="nil"/>
              <w:bottom w:val="single" w:color="auto" w:sz="4" w:space="0"/>
              <w:right w:val="single" w:color="auto" w:sz="4" w:space="0"/>
            </w:tcBorders>
            <w:shd w:val="clear" w:color="auto" w:fill="auto"/>
            <w:vAlign w:val="bottom"/>
            <w:hideMark/>
          </w:tcPr>
          <w:p w:rsidRPr="00231A98" w:rsidR="001F5FD2" w:rsidP="001F5FD2" w:rsidRDefault="001F5FD2">
            <w:pPr>
              <w:rPr>
                <w:rFonts w:ascii="Palatino Linotype" w:hAnsi="Palatino Linotype" w:cs="Calibri"/>
                <w:color w:val="000000"/>
                <w:sz w:val="24"/>
                <w:szCs w:val="24"/>
              </w:rPr>
            </w:pPr>
            <w:r w:rsidRPr="00231A98">
              <w:rPr>
                <w:rFonts w:ascii="Palatino Linotype" w:hAnsi="Palatino Linotype" w:cs="Calibri"/>
                <w:color w:val="000000"/>
                <w:sz w:val="24"/>
                <w:szCs w:val="24"/>
              </w:rPr>
              <w:t>$12,20</w:t>
            </w:r>
            <w:r w:rsidRPr="00231A98" w:rsidR="00270D12">
              <w:rPr>
                <w:rFonts w:ascii="Palatino Linotype" w:hAnsi="Palatino Linotype" w:cs="Calibri"/>
                <w:color w:val="000000"/>
                <w:sz w:val="24"/>
                <w:szCs w:val="24"/>
              </w:rPr>
              <w:t>6</w:t>
            </w:r>
          </w:p>
        </w:tc>
      </w:tr>
      <w:tr w:rsidR="00294B6D">
        <w:trPr>
          <w:trHeight w:val="291"/>
        </w:trPr>
        <w:tc>
          <w:tcPr>
            <w:tcW w:w="3055" w:type="dxa"/>
            <w:tcBorders>
              <w:top w:val="single" w:color="auto" w:sz="4" w:space="0"/>
              <w:left w:val="single" w:color="auto" w:sz="4" w:space="0"/>
              <w:bottom w:val="single" w:color="auto" w:sz="4" w:space="0"/>
              <w:right w:val="single" w:color="auto" w:sz="4" w:space="0"/>
            </w:tcBorders>
            <w:shd w:val="clear" w:color="auto" w:fill="auto"/>
            <w:vAlign w:val="bottom"/>
          </w:tcPr>
          <w:p w:rsidRPr="00205AEA" w:rsidR="00205AEA" w:rsidP="001F5FD2" w:rsidRDefault="00205AEA">
            <w:pPr>
              <w:rPr>
                <w:rFonts w:ascii="Palatino Linotype" w:hAnsi="Palatino Linotype" w:cs="Calibri"/>
                <w:b/>
                <w:bCs/>
                <w:color w:val="000000"/>
                <w:sz w:val="24"/>
                <w:szCs w:val="24"/>
              </w:rPr>
            </w:pPr>
            <w:r>
              <w:rPr>
                <w:rFonts w:ascii="Palatino Linotype" w:hAnsi="Palatino Linotype" w:cs="Calibri"/>
                <w:b/>
                <w:bCs/>
                <w:color w:val="000000"/>
                <w:sz w:val="24"/>
                <w:szCs w:val="24"/>
              </w:rPr>
              <w:t xml:space="preserve">Total </w:t>
            </w:r>
            <w:r w:rsidR="00445503">
              <w:rPr>
                <w:rFonts w:ascii="Palatino Linotype" w:hAnsi="Palatino Linotype" w:cs="Calibri"/>
                <w:b/>
                <w:bCs/>
                <w:color w:val="000000"/>
                <w:sz w:val="24"/>
                <w:szCs w:val="24"/>
              </w:rPr>
              <w:t>Incremental Costs</w:t>
            </w:r>
            <w:r w:rsidR="009C770C">
              <w:rPr>
                <w:rStyle w:val="FootnoteReference"/>
                <w:rFonts w:ascii="Palatino Linotype" w:hAnsi="Palatino Linotype" w:cs="Calibri"/>
                <w:b/>
                <w:bCs/>
                <w:color w:val="000000"/>
                <w:sz w:val="24"/>
                <w:szCs w:val="24"/>
              </w:rPr>
              <w:footnoteReference w:id="29"/>
            </w:r>
            <w:r w:rsidR="00445503">
              <w:rPr>
                <w:rFonts w:ascii="Palatino Linotype" w:hAnsi="Palatino Linotype" w:cs="Calibri"/>
                <w:b/>
                <w:bCs/>
                <w:color w:val="000000"/>
                <w:sz w:val="24"/>
                <w:szCs w:val="24"/>
              </w:rPr>
              <w:t xml:space="preserve"> </w:t>
            </w:r>
            <w:r w:rsidRPr="00231A98" w:rsidR="00231A98">
              <w:rPr>
                <w:rFonts w:ascii="Palatino Linotype" w:hAnsi="Palatino Linotype" w:cs="Calibri"/>
                <w:i/>
                <w:iCs/>
                <w:color w:val="000000"/>
                <w:sz w:val="24"/>
                <w:szCs w:val="24"/>
              </w:rPr>
              <w:t>(over previously authorized costs in table 3)</w:t>
            </w:r>
          </w:p>
        </w:tc>
        <w:tc>
          <w:tcPr>
            <w:tcW w:w="3060" w:type="dxa"/>
            <w:tcBorders>
              <w:top w:val="single" w:color="auto" w:sz="4" w:space="0"/>
              <w:left w:val="nil"/>
              <w:bottom w:val="single" w:color="auto" w:sz="4" w:space="0"/>
              <w:right w:val="single" w:color="auto" w:sz="4" w:space="0"/>
            </w:tcBorders>
            <w:shd w:val="clear" w:color="auto" w:fill="auto"/>
          </w:tcPr>
          <w:p w:rsidRPr="00205AEA" w:rsidR="00205AEA" w:rsidP="00231A98" w:rsidRDefault="00231A98">
            <w:pPr>
              <w:rPr>
                <w:rFonts w:ascii="Palatino Linotype" w:hAnsi="Palatino Linotype" w:cs="Calibri"/>
                <w:b/>
                <w:bCs/>
                <w:color w:val="000000"/>
                <w:sz w:val="24"/>
                <w:szCs w:val="24"/>
              </w:rPr>
            </w:pPr>
            <w:r>
              <w:rPr>
                <w:rFonts w:ascii="Palatino Linotype" w:hAnsi="Palatino Linotype" w:cs="Calibri"/>
                <w:b/>
                <w:bCs/>
                <w:color w:val="000000"/>
                <w:sz w:val="24"/>
                <w:szCs w:val="24"/>
              </w:rPr>
              <w:t>$</w:t>
            </w:r>
            <w:r w:rsidR="00F9499E">
              <w:rPr>
                <w:rFonts w:ascii="Palatino Linotype" w:hAnsi="Palatino Linotype" w:cs="Calibri"/>
                <w:b/>
                <w:bCs/>
                <w:color w:val="000000"/>
                <w:sz w:val="24"/>
                <w:szCs w:val="24"/>
              </w:rPr>
              <w:t>3,</w:t>
            </w:r>
            <w:r w:rsidR="00BC76E2">
              <w:rPr>
                <w:rFonts w:ascii="Palatino Linotype" w:hAnsi="Palatino Linotype" w:cs="Calibri"/>
                <w:b/>
                <w:bCs/>
                <w:color w:val="000000"/>
                <w:sz w:val="24"/>
                <w:szCs w:val="24"/>
              </w:rPr>
              <w:t>691</w:t>
            </w:r>
          </w:p>
        </w:tc>
        <w:tc>
          <w:tcPr>
            <w:tcW w:w="1800" w:type="dxa"/>
            <w:tcBorders>
              <w:top w:val="single" w:color="auto" w:sz="4" w:space="0"/>
              <w:left w:val="nil"/>
              <w:bottom w:val="single" w:color="auto" w:sz="4" w:space="0"/>
              <w:right w:val="single" w:color="auto" w:sz="4" w:space="0"/>
            </w:tcBorders>
            <w:shd w:val="clear" w:color="auto" w:fill="auto"/>
          </w:tcPr>
          <w:p w:rsidRPr="00205AEA" w:rsidR="00205AEA" w:rsidP="00231A98" w:rsidRDefault="00B96043">
            <w:pPr>
              <w:rPr>
                <w:rFonts w:ascii="Palatino Linotype" w:hAnsi="Palatino Linotype" w:cs="Calibri"/>
                <w:b/>
                <w:bCs/>
                <w:color w:val="000000"/>
                <w:sz w:val="24"/>
                <w:szCs w:val="24"/>
              </w:rPr>
            </w:pPr>
            <w:r>
              <w:rPr>
                <w:rFonts w:ascii="Palatino Linotype" w:hAnsi="Palatino Linotype" w:cs="Calibri"/>
                <w:b/>
                <w:bCs/>
                <w:color w:val="000000"/>
                <w:sz w:val="24"/>
                <w:szCs w:val="24"/>
              </w:rPr>
              <w:t>$5,2</w:t>
            </w:r>
            <w:r w:rsidR="00184E17">
              <w:rPr>
                <w:rFonts w:ascii="Palatino Linotype" w:hAnsi="Palatino Linotype" w:cs="Calibri"/>
                <w:b/>
                <w:bCs/>
                <w:color w:val="000000"/>
                <w:sz w:val="24"/>
                <w:szCs w:val="24"/>
              </w:rPr>
              <w:t>16</w:t>
            </w:r>
          </w:p>
        </w:tc>
        <w:tc>
          <w:tcPr>
            <w:tcW w:w="1820" w:type="dxa"/>
            <w:tcBorders>
              <w:top w:val="single" w:color="auto" w:sz="4" w:space="0"/>
              <w:left w:val="nil"/>
              <w:bottom w:val="single" w:color="auto" w:sz="4" w:space="0"/>
              <w:right w:val="single" w:color="auto" w:sz="4" w:space="0"/>
            </w:tcBorders>
            <w:shd w:val="clear" w:color="auto" w:fill="auto"/>
          </w:tcPr>
          <w:p w:rsidR="00205AEA" w:rsidP="00231A98" w:rsidRDefault="00C27188">
            <w:pPr>
              <w:rPr>
                <w:rFonts w:ascii="Palatino Linotype" w:hAnsi="Palatino Linotype" w:cs="Calibri"/>
                <w:b/>
                <w:bCs/>
                <w:color w:val="000000"/>
                <w:sz w:val="24"/>
                <w:szCs w:val="24"/>
              </w:rPr>
            </w:pPr>
            <w:r>
              <w:rPr>
                <w:rFonts w:ascii="Palatino Linotype" w:hAnsi="Palatino Linotype" w:cs="Calibri"/>
                <w:b/>
                <w:bCs/>
                <w:color w:val="000000"/>
                <w:sz w:val="24"/>
                <w:szCs w:val="24"/>
              </w:rPr>
              <w:t>$11,3</w:t>
            </w:r>
            <w:r w:rsidR="00295F90">
              <w:rPr>
                <w:rFonts w:ascii="Palatino Linotype" w:hAnsi="Palatino Linotype" w:cs="Calibri"/>
                <w:b/>
                <w:bCs/>
                <w:color w:val="000000"/>
                <w:sz w:val="24"/>
                <w:szCs w:val="24"/>
              </w:rPr>
              <w:t>19</w:t>
            </w:r>
          </w:p>
          <w:p w:rsidRPr="00205AEA" w:rsidR="00C27188" w:rsidP="00231A98" w:rsidRDefault="00C27188">
            <w:pPr>
              <w:rPr>
                <w:rFonts w:ascii="Palatino Linotype" w:hAnsi="Palatino Linotype" w:cs="Calibri"/>
                <w:b/>
                <w:bCs/>
                <w:color w:val="000000"/>
                <w:sz w:val="24"/>
                <w:szCs w:val="24"/>
              </w:rPr>
            </w:pPr>
          </w:p>
        </w:tc>
      </w:tr>
    </w:tbl>
    <w:p w:rsidR="001F5FD2" w:rsidP="008F296D" w:rsidRDefault="001F5FD2"/>
    <w:p w:rsidR="00B67324" w:rsidP="008F296D" w:rsidRDefault="00B67324">
      <w:r>
        <w:t xml:space="preserve">As seen in the table above, </w:t>
      </w:r>
      <w:r w:rsidRPr="00A94481">
        <w:t xml:space="preserve">the authorized bill protection </w:t>
      </w:r>
      <w:r w:rsidR="00297371">
        <w:t>approach</w:t>
      </w:r>
      <w:r w:rsidRPr="00A94481">
        <w:t xml:space="preserve"> as set forth in this Resolution </w:t>
      </w:r>
      <w:r>
        <w:t>is projected to</w:t>
      </w:r>
      <w:r w:rsidRPr="00A94481">
        <w:t xml:space="preserve"> cost ratepayers approximately $</w:t>
      </w:r>
      <w:r w:rsidR="00C0160D">
        <w:t>5</w:t>
      </w:r>
      <w:r w:rsidRPr="00A94481">
        <w:t>.</w:t>
      </w:r>
      <w:r w:rsidR="005E46C4">
        <w:t>2</w:t>
      </w:r>
      <w:r w:rsidRPr="00A94481">
        <w:t xml:space="preserve"> million</w:t>
      </w:r>
      <w:r w:rsidR="004F36A2">
        <w:t xml:space="preserve"> in</w:t>
      </w:r>
      <w:r w:rsidR="00C0160D">
        <w:t xml:space="preserve"> incremental costs</w:t>
      </w:r>
      <w:r w:rsidRPr="00A94481">
        <w:t xml:space="preserve"> if the 20 percent discount stays in place for </w:t>
      </w:r>
      <w:r w:rsidR="00505F7C">
        <w:t>10</w:t>
      </w:r>
      <w:r w:rsidRPr="00A94481">
        <w:t xml:space="preserve"> years and approximately $</w:t>
      </w:r>
      <w:r w:rsidR="00C0160D">
        <w:t>3</w:t>
      </w:r>
      <w:r w:rsidRPr="00A94481">
        <w:t>.</w:t>
      </w:r>
      <w:r w:rsidR="00C0160D">
        <w:t>7</w:t>
      </w:r>
      <w:r w:rsidRPr="00A94481">
        <w:t xml:space="preserve"> million</w:t>
      </w:r>
      <w:r w:rsidR="00C0160D">
        <w:t xml:space="preserve"> in incremental costs</w:t>
      </w:r>
      <w:r w:rsidRPr="00A94481">
        <w:t xml:space="preserve"> if the 20 percent bill discount steps down to a 10 percent bill discount </w:t>
      </w:r>
      <w:r w:rsidRPr="00F3543F">
        <w:t>after year five</w:t>
      </w:r>
      <w:r>
        <w:t xml:space="preserve">. </w:t>
      </w:r>
      <w:r w:rsidRPr="00F3543F">
        <w:t xml:space="preserve">GRID’s proposal is </w:t>
      </w:r>
      <w:r>
        <w:t xml:space="preserve">projected </w:t>
      </w:r>
      <w:r w:rsidRPr="00F3543F">
        <w:t>to cost ratepayers approximately $</w:t>
      </w:r>
      <w:r>
        <w:t>1</w:t>
      </w:r>
      <w:r w:rsidR="00C0160D">
        <w:t>1</w:t>
      </w:r>
      <w:r>
        <w:t>.</w:t>
      </w:r>
      <w:r w:rsidR="00277D95">
        <w:t>3</w:t>
      </w:r>
      <w:r w:rsidRPr="00F3543F">
        <w:t xml:space="preserve"> million</w:t>
      </w:r>
      <w:r w:rsidR="00C0160D">
        <w:t xml:space="preserve"> in incremental costs</w:t>
      </w:r>
      <w:r w:rsidRPr="00F3543F">
        <w:t>.</w:t>
      </w:r>
      <w:r>
        <w:t xml:space="preserve"> </w:t>
      </w:r>
    </w:p>
    <w:p w:rsidR="00B67324" w:rsidP="008F296D" w:rsidRDefault="00B67324"/>
    <w:p w:rsidR="00EA59DC" w:rsidP="008F296D" w:rsidRDefault="00EA1656">
      <w:r>
        <w:t>To provide a sense of scale, b</w:t>
      </w:r>
      <w:r w:rsidR="00C61D6E">
        <w:t xml:space="preserve">elow is table that displays the </w:t>
      </w:r>
      <w:r w:rsidR="001F21A4">
        <w:t>projected</w:t>
      </w:r>
      <w:r w:rsidR="006A1958">
        <w:t xml:space="preserve"> </w:t>
      </w:r>
      <w:r w:rsidR="001F21A4">
        <w:t xml:space="preserve">increase </w:t>
      </w:r>
      <w:r w:rsidR="00C41B14">
        <w:t xml:space="preserve">in </w:t>
      </w:r>
      <w:r w:rsidR="008F251A">
        <w:t>total costs for the SJV pilo</w:t>
      </w:r>
      <w:r w:rsidR="00097D45">
        <w:t>t</w:t>
      </w:r>
      <w:r w:rsidR="00A14871">
        <w:t>s</w:t>
      </w:r>
      <w:r w:rsidR="007F400A">
        <w:t xml:space="preserve"> </w:t>
      </w:r>
      <w:r w:rsidR="00AD3CE8">
        <w:t>across PG&amp;E and SCE territories</w:t>
      </w:r>
      <w:r w:rsidR="00EF6AD1">
        <w:t xml:space="preserve">, depending on </w:t>
      </w:r>
      <w:r w:rsidR="00A23DD1">
        <w:t xml:space="preserve">the </w:t>
      </w:r>
      <w:r w:rsidR="00EF6AD1">
        <w:t xml:space="preserve">bill protection </w:t>
      </w:r>
      <w:r w:rsidR="003B3EF7">
        <w:t>approach</w:t>
      </w:r>
      <w:r w:rsidR="00EF6AD1">
        <w:t>.</w:t>
      </w:r>
    </w:p>
    <w:p w:rsidR="00294B6D" w:rsidRDefault="00294B6D">
      <w:pPr>
        <w:rPr>
          <w:b/>
          <w:bCs/>
        </w:rPr>
      </w:pPr>
    </w:p>
    <w:p w:rsidRPr="00BA49DA" w:rsidR="006535B8" w:rsidP="008F296D" w:rsidRDefault="000328A7">
      <w:pPr>
        <w:rPr>
          <w:b/>
          <w:bCs/>
        </w:rPr>
      </w:pPr>
      <w:r w:rsidRPr="000328A7">
        <w:rPr>
          <w:b/>
          <w:bCs/>
        </w:rPr>
        <w:t>Table 5</w:t>
      </w:r>
      <w:r w:rsidR="00C460BF">
        <w:rPr>
          <w:b/>
          <w:bCs/>
        </w:rPr>
        <w:t xml:space="preserve">: </w:t>
      </w:r>
      <w:r w:rsidRPr="00BA49DA" w:rsidR="006535B8">
        <w:rPr>
          <w:b/>
          <w:bCs/>
        </w:rPr>
        <w:t>Projected Increase in SJV Pilot Program Cost</w:t>
      </w:r>
      <w:r w:rsidR="00BD69BA">
        <w:rPr>
          <w:b/>
          <w:bCs/>
        </w:rPr>
        <w:t>s</w:t>
      </w:r>
      <w:r w:rsidR="009F6D3E">
        <w:rPr>
          <w:b/>
          <w:bCs/>
        </w:rPr>
        <w:t xml:space="preserve"> in PG&amp;E and SCE Territory</w:t>
      </w:r>
      <w:r w:rsidR="00BA49DA">
        <w:rPr>
          <w:b/>
          <w:bCs/>
        </w:rPr>
        <w:t xml:space="preserve"> </w:t>
      </w:r>
      <w:r w:rsidRPr="00BA49DA" w:rsidR="006535B8">
        <w:rPr>
          <w:b/>
          <w:bCs/>
        </w:rPr>
        <w:t xml:space="preserve">by Bill Protection </w:t>
      </w:r>
      <w:r w:rsidR="003B3EF7">
        <w:rPr>
          <w:b/>
          <w:bCs/>
        </w:rPr>
        <w:t>Approach</w:t>
      </w:r>
      <w:r w:rsidR="00BA49DA">
        <w:rPr>
          <w:b/>
          <w:bCs/>
        </w:rPr>
        <w:t xml:space="preserve"> (in thousands</w:t>
      </w:r>
      <w:r w:rsidR="003A1D19">
        <w:rPr>
          <w:b/>
          <w:bCs/>
        </w:rPr>
        <w:t xml:space="preserve"> of dollars</w:t>
      </w:r>
      <w:r w:rsidR="00BA49DA">
        <w:rPr>
          <w:b/>
          <w:bCs/>
        </w:rPr>
        <w:t>)</w:t>
      </w:r>
    </w:p>
    <w:tbl>
      <w:tblPr>
        <w:tblW w:w="10262" w:type="dxa"/>
        <w:tblLook w:val="04A0" w:firstRow="1" w:lastRow="0" w:firstColumn="1" w:lastColumn="0" w:noHBand="0" w:noVBand="1"/>
      </w:tblPr>
      <w:tblGrid>
        <w:gridCol w:w="2245"/>
        <w:gridCol w:w="1772"/>
        <w:gridCol w:w="2404"/>
        <w:gridCol w:w="2124"/>
        <w:gridCol w:w="1717"/>
      </w:tblGrid>
      <w:tr w:rsidR="00294B6D">
        <w:trPr>
          <w:trHeight w:val="1588"/>
        </w:trPr>
        <w:tc>
          <w:tcPr>
            <w:tcW w:w="2245" w:type="dxa"/>
            <w:tcBorders>
              <w:top w:val="single" w:color="auto" w:sz="4" w:space="0"/>
              <w:left w:val="single" w:color="auto" w:sz="4" w:space="0"/>
              <w:bottom w:val="nil"/>
              <w:right w:val="single" w:color="auto" w:sz="4" w:space="0"/>
            </w:tcBorders>
            <w:shd w:val="clear" w:color="000000" w:fill="D9D9D9"/>
            <w:hideMark/>
          </w:tcPr>
          <w:p w:rsidRPr="002229DE" w:rsidR="002352F1" w:rsidP="002352F1"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 xml:space="preserve">Bill protection </w:t>
            </w:r>
            <w:r w:rsidR="003B3EF7">
              <w:rPr>
                <w:rFonts w:ascii="Palatino Linotype" w:hAnsi="Palatino Linotype" w:cs="Calibri"/>
                <w:color w:val="000000"/>
                <w:sz w:val="22"/>
                <w:szCs w:val="22"/>
              </w:rPr>
              <w:t>approach</w:t>
            </w:r>
            <w:r w:rsidRPr="002229DE">
              <w:rPr>
                <w:rFonts w:ascii="Palatino Linotype" w:hAnsi="Palatino Linotype" w:cs="Calibri"/>
                <w:color w:val="000000"/>
                <w:sz w:val="22"/>
                <w:szCs w:val="22"/>
              </w:rPr>
              <w:t xml:space="preserve"> </w:t>
            </w:r>
          </w:p>
        </w:tc>
        <w:tc>
          <w:tcPr>
            <w:tcW w:w="1772" w:type="dxa"/>
            <w:tcBorders>
              <w:top w:val="single" w:color="auto" w:sz="4" w:space="0"/>
              <w:left w:val="nil"/>
              <w:bottom w:val="nil"/>
              <w:right w:val="single" w:color="auto" w:sz="4" w:space="0"/>
            </w:tcBorders>
            <w:shd w:val="clear" w:color="000000" w:fill="D9D9D9"/>
            <w:hideMark/>
          </w:tcPr>
          <w:p w:rsidRPr="002229DE" w:rsidR="002352F1" w:rsidP="002352F1" w:rsidRDefault="00E5637D">
            <w:pPr>
              <w:rPr>
                <w:rFonts w:ascii="Palatino Linotype" w:hAnsi="Palatino Linotype" w:cs="Calibri"/>
                <w:color w:val="000000"/>
                <w:sz w:val="22"/>
                <w:szCs w:val="22"/>
              </w:rPr>
            </w:pPr>
            <w:r>
              <w:rPr>
                <w:rFonts w:ascii="Palatino Linotype" w:hAnsi="Palatino Linotype" w:cs="Calibri"/>
                <w:color w:val="000000"/>
                <w:sz w:val="22"/>
                <w:szCs w:val="22"/>
              </w:rPr>
              <w:t>I</w:t>
            </w:r>
            <w:r w:rsidRPr="002229DE" w:rsidR="002229DE">
              <w:rPr>
                <w:rFonts w:ascii="Palatino Linotype" w:hAnsi="Palatino Linotype" w:cs="Calibri"/>
                <w:color w:val="000000"/>
                <w:sz w:val="22"/>
                <w:szCs w:val="22"/>
              </w:rPr>
              <w:t xml:space="preserve">ncremental </w:t>
            </w:r>
            <w:r w:rsidRPr="002229DE" w:rsidR="002D23F9">
              <w:rPr>
                <w:rFonts w:ascii="Palatino Linotype" w:hAnsi="Palatino Linotype" w:cs="Calibri"/>
                <w:color w:val="000000"/>
                <w:sz w:val="22"/>
                <w:szCs w:val="22"/>
              </w:rPr>
              <w:t>b</w:t>
            </w:r>
            <w:r w:rsidRPr="002229DE" w:rsidR="002352F1">
              <w:rPr>
                <w:rFonts w:ascii="Palatino Linotype" w:hAnsi="Palatino Linotype" w:cs="Calibri"/>
                <w:color w:val="000000"/>
                <w:sz w:val="22"/>
                <w:szCs w:val="22"/>
              </w:rPr>
              <w:t xml:space="preserve">ill protection cost                                                                                                                                                                                                                                                         </w:t>
            </w:r>
          </w:p>
        </w:tc>
        <w:tc>
          <w:tcPr>
            <w:tcW w:w="2404" w:type="dxa"/>
            <w:tcBorders>
              <w:top w:val="single" w:color="auto" w:sz="4" w:space="0"/>
              <w:left w:val="nil"/>
              <w:bottom w:val="nil"/>
              <w:right w:val="single" w:color="auto" w:sz="4" w:space="0"/>
            </w:tcBorders>
            <w:shd w:val="clear" w:color="000000" w:fill="D9D9D9"/>
            <w:hideMark/>
          </w:tcPr>
          <w:p w:rsidRPr="002229DE" w:rsidR="002352F1" w:rsidP="002352F1"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Total</w:t>
            </w:r>
            <w:r w:rsidRPr="002229DE" w:rsidR="002229DE">
              <w:rPr>
                <w:rFonts w:ascii="Palatino Linotype" w:hAnsi="Palatino Linotype" w:cs="Calibri"/>
                <w:color w:val="000000"/>
                <w:sz w:val="22"/>
                <w:szCs w:val="22"/>
              </w:rPr>
              <w:t xml:space="preserve"> PG&amp;E and SCE territory</w:t>
            </w:r>
            <w:r w:rsidRPr="002229DE">
              <w:rPr>
                <w:rFonts w:ascii="Palatino Linotype" w:hAnsi="Palatino Linotype" w:cs="Calibri"/>
                <w:color w:val="000000"/>
                <w:sz w:val="22"/>
                <w:szCs w:val="22"/>
              </w:rPr>
              <w:t xml:space="preserve"> </w:t>
            </w:r>
            <w:r w:rsidRPr="002229DE" w:rsidR="00220CA2">
              <w:rPr>
                <w:rFonts w:ascii="Palatino Linotype" w:hAnsi="Palatino Linotype" w:cs="Calibri"/>
                <w:color w:val="000000"/>
                <w:sz w:val="22"/>
                <w:szCs w:val="22"/>
              </w:rPr>
              <w:t xml:space="preserve">pilot </w:t>
            </w:r>
            <w:r w:rsidRPr="002229DE">
              <w:rPr>
                <w:rFonts w:ascii="Palatino Linotype" w:hAnsi="Palatino Linotype" w:cs="Calibri"/>
                <w:color w:val="000000"/>
                <w:sz w:val="22"/>
                <w:szCs w:val="22"/>
              </w:rPr>
              <w:t>program costs authorized in SJV Pilots Decision</w:t>
            </w:r>
          </w:p>
        </w:tc>
        <w:tc>
          <w:tcPr>
            <w:tcW w:w="2124" w:type="dxa"/>
            <w:tcBorders>
              <w:top w:val="single" w:color="auto" w:sz="4" w:space="0"/>
              <w:left w:val="nil"/>
              <w:bottom w:val="nil"/>
              <w:right w:val="single" w:color="auto" w:sz="4" w:space="0"/>
            </w:tcBorders>
            <w:shd w:val="clear" w:color="000000" w:fill="D9D9D9"/>
            <w:hideMark/>
          </w:tcPr>
          <w:p w:rsidRPr="002229DE" w:rsidR="002352F1" w:rsidP="002352F1"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Total</w:t>
            </w:r>
            <w:r w:rsidR="0084611D">
              <w:rPr>
                <w:rFonts w:ascii="Palatino Linotype" w:hAnsi="Palatino Linotype" w:cs="Calibri"/>
                <w:color w:val="000000"/>
                <w:sz w:val="22"/>
                <w:szCs w:val="22"/>
              </w:rPr>
              <w:t xml:space="preserve"> PG&amp;E and SCE</w:t>
            </w:r>
            <w:r w:rsidRPr="002229DE">
              <w:rPr>
                <w:rFonts w:ascii="Palatino Linotype" w:hAnsi="Palatino Linotype" w:cs="Calibri"/>
                <w:color w:val="000000"/>
                <w:sz w:val="22"/>
                <w:szCs w:val="22"/>
              </w:rPr>
              <w:t xml:space="preserve"> </w:t>
            </w:r>
            <w:r w:rsidR="0084611D">
              <w:rPr>
                <w:rFonts w:ascii="Palatino Linotype" w:hAnsi="Palatino Linotype" w:cs="Calibri"/>
                <w:color w:val="000000"/>
                <w:sz w:val="22"/>
                <w:szCs w:val="22"/>
              </w:rPr>
              <w:t xml:space="preserve">territory pilot </w:t>
            </w:r>
            <w:r w:rsidRPr="002229DE">
              <w:rPr>
                <w:rFonts w:ascii="Palatino Linotype" w:hAnsi="Palatino Linotype" w:cs="Calibri"/>
                <w:color w:val="000000"/>
                <w:sz w:val="22"/>
                <w:szCs w:val="22"/>
              </w:rPr>
              <w:t>program costs including</w:t>
            </w:r>
            <w:r w:rsidRPr="002229DE" w:rsidR="002D23F9">
              <w:rPr>
                <w:rFonts w:ascii="Palatino Linotype" w:hAnsi="Palatino Linotype" w:cs="Calibri"/>
                <w:color w:val="000000"/>
                <w:sz w:val="22"/>
                <w:szCs w:val="22"/>
              </w:rPr>
              <w:t xml:space="preserve"> </w:t>
            </w:r>
            <w:r w:rsidR="0084611D">
              <w:rPr>
                <w:rFonts w:ascii="Palatino Linotype" w:hAnsi="Palatino Linotype" w:cs="Calibri"/>
                <w:color w:val="000000"/>
                <w:sz w:val="22"/>
                <w:szCs w:val="22"/>
              </w:rPr>
              <w:t xml:space="preserve">incremental </w:t>
            </w:r>
            <w:r w:rsidRPr="002229DE">
              <w:rPr>
                <w:rFonts w:ascii="Palatino Linotype" w:hAnsi="Palatino Linotype" w:cs="Calibri"/>
                <w:color w:val="000000"/>
                <w:sz w:val="22"/>
                <w:szCs w:val="22"/>
              </w:rPr>
              <w:t>bill protection cost</w:t>
            </w:r>
          </w:p>
        </w:tc>
        <w:tc>
          <w:tcPr>
            <w:tcW w:w="1717" w:type="dxa"/>
            <w:tcBorders>
              <w:top w:val="single" w:color="auto" w:sz="4" w:space="0"/>
              <w:left w:val="nil"/>
              <w:bottom w:val="nil"/>
              <w:right w:val="single" w:color="auto" w:sz="4" w:space="0"/>
            </w:tcBorders>
            <w:shd w:val="clear" w:color="000000" w:fill="D9D9D9"/>
            <w:hideMark/>
          </w:tcPr>
          <w:p w:rsidRPr="002229DE" w:rsidR="002352F1" w:rsidP="002352F1"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 xml:space="preserve">Percentage increase in total </w:t>
            </w:r>
            <w:r w:rsidRPr="002229DE" w:rsidR="00594E09">
              <w:rPr>
                <w:rFonts w:ascii="Palatino Linotype" w:hAnsi="Palatino Linotype" w:cs="Calibri"/>
                <w:color w:val="000000"/>
                <w:sz w:val="22"/>
                <w:szCs w:val="22"/>
              </w:rPr>
              <w:t>pilot</w:t>
            </w:r>
            <w:r w:rsidRPr="002229DE" w:rsidR="00656A72">
              <w:rPr>
                <w:rFonts w:ascii="Palatino Linotype" w:hAnsi="Palatino Linotype" w:cs="Calibri"/>
                <w:color w:val="000000"/>
                <w:sz w:val="22"/>
                <w:szCs w:val="22"/>
              </w:rPr>
              <w:t xml:space="preserve"> </w:t>
            </w:r>
            <w:r w:rsidRPr="002229DE">
              <w:rPr>
                <w:rFonts w:ascii="Palatino Linotype" w:hAnsi="Palatino Linotype" w:cs="Calibri"/>
                <w:color w:val="000000"/>
                <w:sz w:val="22"/>
                <w:szCs w:val="22"/>
              </w:rPr>
              <w:t>program cost</w:t>
            </w:r>
            <w:r w:rsidRPr="002229DE" w:rsidR="00141D5A">
              <w:rPr>
                <w:rFonts w:ascii="Palatino Linotype" w:hAnsi="Palatino Linotype" w:cs="Calibri"/>
                <w:color w:val="000000"/>
                <w:sz w:val="22"/>
                <w:szCs w:val="22"/>
              </w:rPr>
              <w:t>s</w:t>
            </w:r>
          </w:p>
        </w:tc>
      </w:tr>
      <w:tr w:rsidR="00294B6D">
        <w:trPr>
          <w:trHeight w:val="569"/>
        </w:trPr>
        <w:tc>
          <w:tcPr>
            <w:tcW w:w="2245" w:type="dxa"/>
            <w:tcBorders>
              <w:top w:val="nil"/>
              <w:left w:val="single" w:color="auto" w:sz="4" w:space="0"/>
              <w:bottom w:val="single" w:color="auto" w:sz="4" w:space="0"/>
              <w:right w:val="single" w:color="auto" w:sz="4" w:space="0"/>
            </w:tcBorders>
            <w:shd w:val="clear" w:color="000000" w:fill="D9D9D9"/>
            <w:hideMark/>
          </w:tcPr>
          <w:p w:rsidRPr="002229DE" w:rsidR="002352F1" w:rsidP="002352F1"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 </w:t>
            </w:r>
          </w:p>
        </w:tc>
        <w:tc>
          <w:tcPr>
            <w:tcW w:w="1772" w:type="dxa"/>
            <w:tcBorders>
              <w:top w:val="nil"/>
              <w:left w:val="nil"/>
              <w:bottom w:val="single" w:color="auto" w:sz="4" w:space="0"/>
              <w:right w:val="single" w:color="auto" w:sz="4" w:space="0"/>
            </w:tcBorders>
            <w:shd w:val="clear" w:color="000000" w:fill="D9D9D9"/>
            <w:hideMark/>
          </w:tcPr>
          <w:p w:rsidRPr="002229DE" w:rsidR="002352F1" w:rsidP="002352F1" w:rsidRDefault="002352F1">
            <w:pPr>
              <w:jc w:val="center"/>
              <w:rPr>
                <w:rFonts w:ascii="Palatino Linotype" w:hAnsi="Palatino Linotype" w:cs="Calibri"/>
                <w:color w:val="000000"/>
                <w:sz w:val="22"/>
                <w:szCs w:val="22"/>
              </w:rPr>
            </w:pPr>
            <w:r w:rsidRPr="002229DE">
              <w:rPr>
                <w:rFonts w:ascii="Palatino Linotype" w:hAnsi="Palatino Linotype" w:cs="Calibri"/>
                <w:color w:val="000000"/>
                <w:sz w:val="22"/>
                <w:szCs w:val="22"/>
              </w:rPr>
              <w:t>(a)</w:t>
            </w:r>
          </w:p>
        </w:tc>
        <w:tc>
          <w:tcPr>
            <w:tcW w:w="2404" w:type="dxa"/>
            <w:tcBorders>
              <w:top w:val="nil"/>
              <w:left w:val="nil"/>
              <w:bottom w:val="single" w:color="auto" w:sz="4" w:space="0"/>
              <w:right w:val="single" w:color="auto" w:sz="4" w:space="0"/>
            </w:tcBorders>
            <w:shd w:val="clear" w:color="000000" w:fill="D9D9D9"/>
            <w:hideMark/>
          </w:tcPr>
          <w:p w:rsidRPr="002229DE" w:rsidR="002352F1" w:rsidP="002352F1" w:rsidRDefault="002352F1">
            <w:pPr>
              <w:jc w:val="center"/>
              <w:rPr>
                <w:rFonts w:ascii="Palatino Linotype" w:hAnsi="Palatino Linotype" w:cs="Calibri"/>
                <w:color w:val="000000"/>
                <w:sz w:val="22"/>
                <w:szCs w:val="22"/>
              </w:rPr>
            </w:pPr>
            <w:r w:rsidRPr="002229DE">
              <w:rPr>
                <w:rFonts w:ascii="Palatino Linotype" w:hAnsi="Palatino Linotype" w:cs="Calibri"/>
                <w:color w:val="000000"/>
                <w:sz w:val="22"/>
                <w:szCs w:val="22"/>
              </w:rPr>
              <w:t>(b)</w:t>
            </w:r>
          </w:p>
        </w:tc>
        <w:tc>
          <w:tcPr>
            <w:tcW w:w="2124" w:type="dxa"/>
            <w:tcBorders>
              <w:top w:val="nil"/>
              <w:left w:val="nil"/>
              <w:bottom w:val="single" w:color="auto" w:sz="4" w:space="0"/>
              <w:right w:val="single" w:color="auto" w:sz="4" w:space="0"/>
            </w:tcBorders>
            <w:shd w:val="clear" w:color="000000" w:fill="D9D9D9"/>
            <w:hideMark/>
          </w:tcPr>
          <w:p w:rsidRPr="002229DE" w:rsidR="002352F1" w:rsidP="002352F1" w:rsidRDefault="002352F1">
            <w:pPr>
              <w:jc w:val="center"/>
              <w:rPr>
                <w:rFonts w:ascii="Palatino Linotype" w:hAnsi="Palatino Linotype" w:cs="Calibri"/>
                <w:color w:val="000000"/>
                <w:sz w:val="22"/>
                <w:szCs w:val="22"/>
              </w:rPr>
            </w:pPr>
            <w:r w:rsidRPr="002229DE">
              <w:rPr>
                <w:rFonts w:ascii="Palatino Linotype" w:hAnsi="Palatino Linotype" w:cs="Calibri"/>
                <w:color w:val="000000"/>
                <w:sz w:val="22"/>
                <w:szCs w:val="22"/>
              </w:rPr>
              <w:t xml:space="preserve">(c)                         </w:t>
            </w:r>
            <w:proofErr w:type="gramStart"/>
            <w:r w:rsidRPr="002229DE">
              <w:rPr>
                <w:rFonts w:ascii="Palatino Linotype" w:hAnsi="Palatino Linotype" w:cs="Calibri"/>
                <w:color w:val="000000"/>
                <w:sz w:val="22"/>
                <w:szCs w:val="22"/>
              </w:rPr>
              <w:t xml:space="preserve">   (</w:t>
            </w:r>
            <w:proofErr w:type="spellStart"/>
            <w:proofErr w:type="gramEnd"/>
            <w:r w:rsidRPr="002229DE">
              <w:rPr>
                <w:rFonts w:ascii="Palatino Linotype" w:hAnsi="Palatino Linotype" w:cs="Calibri"/>
                <w:color w:val="000000"/>
                <w:sz w:val="22"/>
                <w:szCs w:val="22"/>
              </w:rPr>
              <w:t>a+b</w:t>
            </w:r>
            <w:proofErr w:type="spellEnd"/>
            <w:r w:rsidRPr="002229DE">
              <w:rPr>
                <w:rFonts w:ascii="Palatino Linotype" w:hAnsi="Palatino Linotype" w:cs="Calibri"/>
                <w:color w:val="000000"/>
                <w:sz w:val="22"/>
                <w:szCs w:val="22"/>
              </w:rPr>
              <w:t>=c)</w:t>
            </w:r>
          </w:p>
        </w:tc>
        <w:tc>
          <w:tcPr>
            <w:tcW w:w="1717" w:type="dxa"/>
            <w:tcBorders>
              <w:top w:val="nil"/>
              <w:left w:val="nil"/>
              <w:bottom w:val="single" w:color="auto" w:sz="4" w:space="0"/>
              <w:right w:val="single" w:color="auto" w:sz="4" w:space="0"/>
            </w:tcBorders>
            <w:shd w:val="clear" w:color="000000" w:fill="D9D9D9"/>
            <w:hideMark/>
          </w:tcPr>
          <w:p w:rsidR="002352F1" w:rsidP="002352F1" w:rsidRDefault="002352F1">
            <w:pPr>
              <w:jc w:val="center"/>
              <w:rPr>
                <w:rFonts w:ascii="Palatino Linotype" w:hAnsi="Palatino Linotype" w:cs="Calibri"/>
                <w:color w:val="000000"/>
                <w:sz w:val="22"/>
                <w:szCs w:val="22"/>
              </w:rPr>
            </w:pPr>
            <w:r w:rsidRPr="002229DE">
              <w:rPr>
                <w:rFonts w:ascii="Palatino Linotype" w:hAnsi="Palatino Linotype" w:cs="Calibri"/>
                <w:color w:val="000000"/>
                <w:sz w:val="22"/>
                <w:szCs w:val="22"/>
              </w:rPr>
              <w:t>(d)</w:t>
            </w:r>
          </w:p>
          <w:p w:rsidRPr="002229DE" w:rsidR="008C10D7" w:rsidP="002352F1" w:rsidRDefault="008C10D7">
            <w:pPr>
              <w:jc w:val="center"/>
              <w:rPr>
                <w:rFonts w:ascii="Palatino Linotype" w:hAnsi="Palatino Linotype" w:cs="Calibri"/>
                <w:color w:val="000000"/>
                <w:sz w:val="22"/>
                <w:szCs w:val="22"/>
              </w:rPr>
            </w:pPr>
            <w:r>
              <w:rPr>
                <w:rFonts w:ascii="Palatino Linotype" w:hAnsi="Palatino Linotype" w:cs="Calibri"/>
                <w:color w:val="000000"/>
                <w:sz w:val="22"/>
                <w:szCs w:val="22"/>
              </w:rPr>
              <w:t>(c/</w:t>
            </w:r>
            <w:r w:rsidR="00BF7FBB">
              <w:rPr>
                <w:rFonts w:ascii="Palatino Linotype" w:hAnsi="Palatino Linotype" w:cs="Calibri"/>
                <w:color w:val="000000"/>
                <w:sz w:val="22"/>
                <w:szCs w:val="22"/>
              </w:rPr>
              <w:t>b</w:t>
            </w:r>
            <w:r w:rsidR="001043FE">
              <w:rPr>
                <w:rFonts w:ascii="Palatino Linotype" w:hAnsi="Palatino Linotype" w:cs="Calibri"/>
                <w:color w:val="000000"/>
                <w:sz w:val="22"/>
                <w:szCs w:val="22"/>
              </w:rPr>
              <w:t>-1)</w:t>
            </w:r>
          </w:p>
        </w:tc>
      </w:tr>
      <w:tr w:rsidR="00294B6D">
        <w:trPr>
          <w:trHeight w:val="1079"/>
        </w:trPr>
        <w:tc>
          <w:tcPr>
            <w:tcW w:w="2245" w:type="dxa"/>
            <w:tcBorders>
              <w:top w:val="nil"/>
              <w:left w:val="single" w:color="auto" w:sz="4" w:space="0"/>
              <w:bottom w:val="single" w:color="auto" w:sz="4" w:space="0"/>
              <w:right w:val="single" w:color="auto" w:sz="4" w:space="0"/>
            </w:tcBorders>
            <w:shd w:val="clear" w:color="auto" w:fill="auto"/>
            <w:vAlign w:val="bottom"/>
            <w:hideMark/>
          </w:tcPr>
          <w:p w:rsidRPr="002229DE" w:rsidR="002352F1" w:rsidP="002352F1"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20 percent discount for five years, stepped down to 10 percent for five years</w:t>
            </w:r>
          </w:p>
        </w:tc>
        <w:tc>
          <w:tcPr>
            <w:tcW w:w="1772"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w:t>
            </w:r>
            <w:r w:rsidR="002229DE">
              <w:rPr>
                <w:rFonts w:ascii="Palatino Linotype" w:hAnsi="Palatino Linotype" w:cs="Calibri"/>
                <w:color w:val="000000"/>
                <w:sz w:val="22"/>
                <w:szCs w:val="22"/>
              </w:rPr>
              <w:t>3,</w:t>
            </w:r>
            <w:r w:rsidR="0033729C">
              <w:rPr>
                <w:rFonts w:ascii="Palatino Linotype" w:hAnsi="Palatino Linotype" w:cs="Calibri"/>
                <w:color w:val="000000"/>
                <w:sz w:val="22"/>
                <w:szCs w:val="22"/>
              </w:rPr>
              <w:t>691</w:t>
            </w:r>
          </w:p>
        </w:tc>
        <w:tc>
          <w:tcPr>
            <w:tcW w:w="2404"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15037C">
            <w:pPr>
              <w:rPr>
                <w:rFonts w:ascii="Palatino Linotype" w:hAnsi="Palatino Linotype" w:cs="Calibri"/>
                <w:color w:val="000000"/>
                <w:sz w:val="22"/>
                <w:szCs w:val="22"/>
              </w:rPr>
            </w:pPr>
            <w:r w:rsidRPr="002229DE">
              <w:rPr>
                <w:rFonts w:ascii="Palatino Linotype" w:hAnsi="Palatino Linotype" w:cs="Calibri"/>
                <w:color w:val="000000"/>
                <w:sz w:val="22"/>
                <w:szCs w:val="22"/>
              </w:rPr>
              <w:t>$</w:t>
            </w:r>
            <w:r w:rsidRPr="002229DE" w:rsidR="00AB0BA0">
              <w:rPr>
                <w:rFonts w:ascii="Palatino Linotype" w:hAnsi="Palatino Linotype" w:cs="Calibri"/>
                <w:color w:val="000000"/>
                <w:sz w:val="22"/>
                <w:szCs w:val="22"/>
              </w:rPr>
              <w:t>50,822</w:t>
            </w:r>
          </w:p>
        </w:tc>
        <w:tc>
          <w:tcPr>
            <w:tcW w:w="2124"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$54,5</w:t>
            </w:r>
            <w:r w:rsidR="0033729C">
              <w:rPr>
                <w:rFonts w:ascii="Palatino Linotype" w:hAnsi="Palatino Linotype" w:cs="Calibri"/>
                <w:color w:val="000000"/>
                <w:sz w:val="22"/>
                <w:szCs w:val="22"/>
              </w:rPr>
              <w:t>12</w:t>
            </w:r>
          </w:p>
        </w:tc>
        <w:tc>
          <w:tcPr>
            <w:tcW w:w="1717"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6015B0">
            <w:pPr>
              <w:rPr>
                <w:rFonts w:ascii="Palatino Linotype" w:hAnsi="Palatino Linotype" w:cs="Calibri"/>
                <w:color w:val="000000"/>
                <w:sz w:val="22"/>
                <w:szCs w:val="22"/>
              </w:rPr>
            </w:pPr>
            <w:r>
              <w:rPr>
                <w:rFonts w:ascii="Palatino Linotype" w:hAnsi="Palatino Linotype" w:cs="Calibri"/>
                <w:color w:val="000000"/>
                <w:sz w:val="22"/>
                <w:szCs w:val="22"/>
              </w:rPr>
              <w:t>7</w:t>
            </w:r>
            <w:r w:rsidRPr="002229DE" w:rsidR="002352F1">
              <w:rPr>
                <w:rFonts w:ascii="Palatino Linotype" w:hAnsi="Palatino Linotype" w:cs="Calibri"/>
                <w:color w:val="000000"/>
                <w:sz w:val="22"/>
                <w:szCs w:val="22"/>
              </w:rPr>
              <w:t>.</w:t>
            </w:r>
            <w:r w:rsidR="00542DA2">
              <w:rPr>
                <w:rFonts w:ascii="Palatino Linotype" w:hAnsi="Palatino Linotype" w:cs="Calibri"/>
                <w:color w:val="000000"/>
                <w:sz w:val="22"/>
                <w:szCs w:val="22"/>
              </w:rPr>
              <w:t>3</w:t>
            </w:r>
            <w:r w:rsidRPr="002229DE" w:rsidR="00DB192C">
              <w:rPr>
                <w:rFonts w:ascii="Palatino Linotype" w:hAnsi="Palatino Linotype" w:cs="Calibri"/>
                <w:color w:val="000000"/>
                <w:sz w:val="22"/>
                <w:szCs w:val="22"/>
              </w:rPr>
              <w:t xml:space="preserve"> percent</w:t>
            </w:r>
          </w:p>
        </w:tc>
      </w:tr>
      <w:tr w:rsidR="00294B6D">
        <w:trPr>
          <w:trHeight w:val="582"/>
        </w:trPr>
        <w:tc>
          <w:tcPr>
            <w:tcW w:w="2245" w:type="dxa"/>
            <w:tcBorders>
              <w:top w:val="nil"/>
              <w:left w:val="single" w:color="auto" w:sz="4" w:space="0"/>
              <w:bottom w:val="single" w:color="auto" w:sz="4" w:space="0"/>
              <w:right w:val="single" w:color="auto" w:sz="4" w:space="0"/>
            </w:tcBorders>
            <w:shd w:val="clear" w:color="auto" w:fill="auto"/>
            <w:vAlign w:val="bottom"/>
            <w:hideMark/>
          </w:tcPr>
          <w:p w:rsidRPr="002229DE" w:rsidR="002352F1" w:rsidP="002352F1"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20 percent discount for 10 years</w:t>
            </w:r>
          </w:p>
        </w:tc>
        <w:tc>
          <w:tcPr>
            <w:tcW w:w="1772"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8F06BE">
            <w:pPr>
              <w:rPr>
                <w:rFonts w:ascii="Palatino Linotype" w:hAnsi="Palatino Linotype" w:cs="Calibri"/>
                <w:color w:val="000000"/>
                <w:sz w:val="22"/>
                <w:szCs w:val="22"/>
              </w:rPr>
            </w:pPr>
            <w:r>
              <w:rPr>
                <w:rFonts w:ascii="Palatino Linotype" w:hAnsi="Palatino Linotype" w:cs="Calibri"/>
                <w:color w:val="000000"/>
                <w:sz w:val="22"/>
                <w:szCs w:val="22"/>
              </w:rPr>
              <w:t>$5,2</w:t>
            </w:r>
            <w:r w:rsidR="0033729C">
              <w:rPr>
                <w:rFonts w:ascii="Palatino Linotype" w:hAnsi="Palatino Linotype" w:cs="Calibri"/>
                <w:color w:val="000000"/>
                <w:sz w:val="22"/>
                <w:szCs w:val="22"/>
              </w:rPr>
              <w:t>16</w:t>
            </w:r>
          </w:p>
        </w:tc>
        <w:tc>
          <w:tcPr>
            <w:tcW w:w="2404"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15037C">
            <w:pPr>
              <w:rPr>
                <w:rFonts w:ascii="Palatino Linotype" w:hAnsi="Palatino Linotype" w:cs="Calibri"/>
                <w:color w:val="000000"/>
                <w:sz w:val="22"/>
                <w:szCs w:val="22"/>
              </w:rPr>
            </w:pPr>
            <w:r w:rsidRPr="002229DE">
              <w:rPr>
                <w:rFonts w:ascii="Palatino Linotype" w:hAnsi="Palatino Linotype" w:cs="Calibri"/>
                <w:color w:val="000000"/>
                <w:sz w:val="22"/>
                <w:szCs w:val="22"/>
              </w:rPr>
              <w:t>$</w:t>
            </w:r>
            <w:r w:rsidRPr="002229DE" w:rsidR="002229DE">
              <w:rPr>
                <w:rFonts w:ascii="Palatino Linotype" w:hAnsi="Palatino Linotype" w:cs="Calibri"/>
                <w:color w:val="000000"/>
                <w:sz w:val="22"/>
                <w:szCs w:val="22"/>
              </w:rPr>
              <w:t>50,822</w:t>
            </w:r>
          </w:p>
        </w:tc>
        <w:tc>
          <w:tcPr>
            <w:tcW w:w="2124"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$56,</w:t>
            </w:r>
            <w:r w:rsidR="0082076C">
              <w:rPr>
                <w:rFonts w:ascii="Palatino Linotype" w:hAnsi="Palatino Linotype" w:cs="Calibri"/>
                <w:color w:val="000000"/>
                <w:sz w:val="22"/>
                <w:szCs w:val="22"/>
              </w:rPr>
              <w:t>03</w:t>
            </w:r>
            <w:r w:rsidR="00542DA2">
              <w:rPr>
                <w:rFonts w:ascii="Palatino Linotype" w:hAnsi="Palatino Linotype" w:cs="Calibri"/>
                <w:color w:val="000000"/>
                <w:sz w:val="22"/>
                <w:szCs w:val="22"/>
              </w:rPr>
              <w:t>8</w:t>
            </w:r>
          </w:p>
        </w:tc>
        <w:tc>
          <w:tcPr>
            <w:tcW w:w="1717"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6015B0">
            <w:pPr>
              <w:rPr>
                <w:rFonts w:ascii="Palatino Linotype" w:hAnsi="Palatino Linotype" w:cs="Calibri"/>
                <w:color w:val="000000"/>
                <w:sz w:val="22"/>
                <w:szCs w:val="22"/>
              </w:rPr>
            </w:pPr>
            <w:r>
              <w:rPr>
                <w:rFonts w:ascii="Palatino Linotype" w:hAnsi="Palatino Linotype" w:cs="Calibri"/>
                <w:color w:val="000000"/>
                <w:sz w:val="22"/>
                <w:szCs w:val="22"/>
              </w:rPr>
              <w:t>10</w:t>
            </w:r>
            <w:r w:rsidRPr="002229DE" w:rsidR="002352F1">
              <w:rPr>
                <w:rFonts w:ascii="Palatino Linotype" w:hAnsi="Palatino Linotype" w:cs="Calibri"/>
                <w:color w:val="000000"/>
                <w:sz w:val="22"/>
                <w:szCs w:val="22"/>
              </w:rPr>
              <w:t>.</w:t>
            </w:r>
            <w:r w:rsidR="00542DA2">
              <w:rPr>
                <w:rFonts w:ascii="Palatino Linotype" w:hAnsi="Palatino Linotype" w:cs="Calibri"/>
                <w:color w:val="000000"/>
                <w:sz w:val="22"/>
                <w:szCs w:val="22"/>
              </w:rPr>
              <w:t>3</w:t>
            </w:r>
            <w:r w:rsidRPr="002229DE" w:rsidR="00DB192C">
              <w:rPr>
                <w:rFonts w:ascii="Palatino Linotype" w:hAnsi="Palatino Linotype" w:cs="Calibri"/>
                <w:color w:val="000000"/>
                <w:sz w:val="22"/>
                <w:szCs w:val="22"/>
              </w:rPr>
              <w:t xml:space="preserve"> percent</w:t>
            </w:r>
          </w:p>
        </w:tc>
      </w:tr>
      <w:tr w:rsidR="00294B6D">
        <w:trPr>
          <w:trHeight w:val="606"/>
        </w:trPr>
        <w:tc>
          <w:tcPr>
            <w:tcW w:w="2245" w:type="dxa"/>
            <w:tcBorders>
              <w:top w:val="nil"/>
              <w:left w:val="single" w:color="auto" w:sz="4" w:space="0"/>
              <w:bottom w:val="single" w:color="auto" w:sz="4" w:space="0"/>
              <w:right w:val="single" w:color="auto" w:sz="4" w:space="0"/>
            </w:tcBorders>
            <w:shd w:val="clear" w:color="auto" w:fill="auto"/>
            <w:vAlign w:val="bottom"/>
            <w:hideMark/>
          </w:tcPr>
          <w:p w:rsidRPr="002229DE" w:rsidR="002352F1" w:rsidP="002352F1"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20 percent discount for 20 years</w:t>
            </w:r>
          </w:p>
        </w:tc>
        <w:tc>
          <w:tcPr>
            <w:tcW w:w="1772"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w:t>
            </w:r>
            <w:r w:rsidR="00C4550C">
              <w:rPr>
                <w:rFonts w:ascii="Palatino Linotype" w:hAnsi="Palatino Linotype" w:cs="Calibri"/>
                <w:color w:val="000000"/>
                <w:sz w:val="22"/>
                <w:szCs w:val="22"/>
              </w:rPr>
              <w:t>11,3</w:t>
            </w:r>
            <w:r w:rsidR="0033729C">
              <w:rPr>
                <w:rFonts w:ascii="Palatino Linotype" w:hAnsi="Palatino Linotype" w:cs="Calibri"/>
                <w:color w:val="000000"/>
                <w:sz w:val="22"/>
                <w:szCs w:val="22"/>
              </w:rPr>
              <w:t>19</w:t>
            </w:r>
          </w:p>
        </w:tc>
        <w:tc>
          <w:tcPr>
            <w:tcW w:w="2404"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15037C">
            <w:pPr>
              <w:rPr>
                <w:rFonts w:ascii="Palatino Linotype" w:hAnsi="Palatino Linotype" w:cs="Calibri"/>
                <w:color w:val="000000"/>
                <w:sz w:val="22"/>
                <w:szCs w:val="22"/>
              </w:rPr>
            </w:pPr>
            <w:r w:rsidRPr="002229DE">
              <w:rPr>
                <w:rFonts w:ascii="Palatino Linotype" w:hAnsi="Palatino Linotype" w:cs="Calibri"/>
                <w:color w:val="000000"/>
                <w:sz w:val="22"/>
                <w:szCs w:val="22"/>
              </w:rPr>
              <w:t>$</w:t>
            </w:r>
            <w:r w:rsidRPr="002229DE" w:rsidR="002229DE">
              <w:rPr>
                <w:rFonts w:ascii="Palatino Linotype" w:hAnsi="Palatino Linotype" w:cs="Calibri"/>
                <w:color w:val="000000"/>
                <w:sz w:val="22"/>
                <w:szCs w:val="22"/>
              </w:rPr>
              <w:t>50,822</w:t>
            </w:r>
          </w:p>
        </w:tc>
        <w:tc>
          <w:tcPr>
            <w:tcW w:w="2124"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$62,</w:t>
            </w:r>
            <w:r w:rsidR="00542DA2">
              <w:rPr>
                <w:rFonts w:ascii="Palatino Linotype" w:hAnsi="Palatino Linotype" w:cs="Calibri"/>
                <w:color w:val="000000"/>
                <w:sz w:val="22"/>
                <w:szCs w:val="22"/>
              </w:rPr>
              <w:t>141</w:t>
            </w:r>
          </w:p>
        </w:tc>
        <w:tc>
          <w:tcPr>
            <w:tcW w:w="1717" w:type="dxa"/>
            <w:tcBorders>
              <w:top w:val="nil"/>
              <w:left w:val="nil"/>
              <w:bottom w:val="single" w:color="auto" w:sz="4" w:space="0"/>
              <w:right w:val="single" w:color="auto" w:sz="4" w:space="0"/>
            </w:tcBorders>
            <w:shd w:val="clear" w:color="auto" w:fill="auto"/>
            <w:vAlign w:val="bottom"/>
            <w:hideMark/>
          </w:tcPr>
          <w:p w:rsidRPr="002229DE" w:rsidR="002352F1" w:rsidP="003F30DF" w:rsidRDefault="002352F1">
            <w:pPr>
              <w:rPr>
                <w:rFonts w:ascii="Palatino Linotype" w:hAnsi="Palatino Linotype" w:cs="Calibri"/>
                <w:color w:val="000000"/>
                <w:sz w:val="22"/>
                <w:szCs w:val="22"/>
              </w:rPr>
            </w:pPr>
            <w:r w:rsidRPr="002229DE">
              <w:rPr>
                <w:rFonts w:ascii="Palatino Linotype" w:hAnsi="Palatino Linotype" w:cs="Calibri"/>
                <w:color w:val="000000"/>
                <w:sz w:val="22"/>
                <w:szCs w:val="22"/>
              </w:rPr>
              <w:t>2</w:t>
            </w:r>
            <w:r w:rsidR="006015B0">
              <w:rPr>
                <w:rFonts w:ascii="Palatino Linotype" w:hAnsi="Palatino Linotype" w:cs="Calibri"/>
                <w:color w:val="000000"/>
                <w:sz w:val="22"/>
                <w:szCs w:val="22"/>
              </w:rPr>
              <w:t>2</w:t>
            </w:r>
            <w:r w:rsidRPr="002229DE">
              <w:rPr>
                <w:rFonts w:ascii="Palatino Linotype" w:hAnsi="Palatino Linotype" w:cs="Calibri"/>
                <w:color w:val="000000"/>
                <w:sz w:val="22"/>
                <w:szCs w:val="22"/>
              </w:rPr>
              <w:t>.</w:t>
            </w:r>
            <w:r w:rsidR="00542DA2">
              <w:rPr>
                <w:rFonts w:ascii="Palatino Linotype" w:hAnsi="Palatino Linotype" w:cs="Calibri"/>
                <w:color w:val="000000"/>
                <w:sz w:val="22"/>
                <w:szCs w:val="22"/>
              </w:rPr>
              <w:t>3</w:t>
            </w:r>
            <w:r w:rsidRPr="002229DE" w:rsidR="00DB192C">
              <w:rPr>
                <w:rFonts w:ascii="Palatino Linotype" w:hAnsi="Palatino Linotype" w:cs="Calibri"/>
                <w:color w:val="000000"/>
                <w:sz w:val="22"/>
                <w:szCs w:val="22"/>
              </w:rPr>
              <w:t xml:space="preserve"> percent</w:t>
            </w:r>
          </w:p>
        </w:tc>
      </w:tr>
    </w:tbl>
    <w:p w:rsidR="00EA59DC" w:rsidP="008F296D" w:rsidRDefault="00EA59DC"/>
    <w:p w:rsidR="00123CCB" w:rsidP="008F296D" w:rsidRDefault="00EE2C98">
      <w:r>
        <w:t>As seen in the table above</w:t>
      </w:r>
      <w:r w:rsidRPr="009A6482" w:rsidR="002754BE">
        <w:t xml:space="preserve">, the Commission’s bill protection </w:t>
      </w:r>
      <w:r w:rsidR="003B3EF7">
        <w:t>approach</w:t>
      </w:r>
      <w:r w:rsidRPr="009A6482" w:rsidR="002754BE">
        <w:t xml:space="preserve"> </w:t>
      </w:r>
      <w:r w:rsidR="00061B08">
        <w:t xml:space="preserve">authorized </w:t>
      </w:r>
      <w:r w:rsidRPr="009A6482" w:rsidR="002754BE">
        <w:t xml:space="preserve">in this Resolution </w:t>
      </w:r>
      <w:r w:rsidRPr="009A6482" w:rsidR="009A6482">
        <w:t>is projected to</w:t>
      </w:r>
      <w:r w:rsidRPr="009A6482" w:rsidR="002754BE">
        <w:t xml:space="preserve"> increase</w:t>
      </w:r>
      <w:r w:rsidR="00E333F4">
        <w:t xml:space="preserve"> overall</w:t>
      </w:r>
      <w:r w:rsidRPr="009A6482" w:rsidR="002754BE">
        <w:t xml:space="preserve"> </w:t>
      </w:r>
      <w:r w:rsidRPr="009A6482" w:rsidR="003C6C4E">
        <w:t>SJV</w:t>
      </w:r>
      <w:r w:rsidRPr="009A6482" w:rsidR="002E5BB0">
        <w:t xml:space="preserve"> pilot program budgets </w:t>
      </w:r>
      <w:r w:rsidRPr="009A6482" w:rsidR="002754BE">
        <w:t>by a</w:t>
      </w:r>
      <w:r w:rsidRPr="009A6482" w:rsidR="009A6482">
        <w:t xml:space="preserve">pproximately </w:t>
      </w:r>
      <w:r w:rsidR="00283681">
        <w:t>7</w:t>
      </w:r>
      <w:r w:rsidRPr="009A6482" w:rsidR="009A6482">
        <w:t xml:space="preserve"> to </w:t>
      </w:r>
      <w:r w:rsidR="00283681">
        <w:t>10</w:t>
      </w:r>
      <w:r w:rsidRPr="009A6482" w:rsidR="009A6482">
        <w:t xml:space="preserve"> percent</w:t>
      </w:r>
      <w:r w:rsidRPr="009A6482" w:rsidR="002754BE">
        <w:t xml:space="preserve">, while GRID’s proposal </w:t>
      </w:r>
      <w:r w:rsidRPr="009A6482" w:rsidR="009A6482">
        <w:t>is projected to</w:t>
      </w:r>
      <w:r w:rsidRPr="009A6482" w:rsidR="002754BE">
        <w:t xml:space="preserve"> increase budget</w:t>
      </w:r>
      <w:r w:rsidR="0077469D">
        <w:t>s</w:t>
      </w:r>
      <w:r w:rsidRPr="009A6482" w:rsidR="002754BE">
        <w:t xml:space="preserve"> by </w:t>
      </w:r>
      <w:r w:rsidRPr="00036424" w:rsidR="002754BE">
        <w:t xml:space="preserve">approximately </w:t>
      </w:r>
      <w:r w:rsidRPr="00036424" w:rsidR="009A6482">
        <w:t>2</w:t>
      </w:r>
      <w:r w:rsidR="00283681">
        <w:t>2</w:t>
      </w:r>
      <w:r w:rsidRPr="00036424" w:rsidR="002754BE">
        <w:t xml:space="preserve"> percent.</w:t>
      </w:r>
      <w:r w:rsidRPr="00036424" w:rsidR="00AB7B35">
        <w:t xml:space="preserve"> </w:t>
      </w:r>
      <w:r w:rsidRPr="00036424" w:rsidR="00DE6E26">
        <w:t xml:space="preserve">Though we caution </w:t>
      </w:r>
      <w:r w:rsidRPr="00036424" w:rsidR="008E77D1">
        <w:t>against interpreting these estimates too strictly,</w:t>
      </w:r>
      <w:r w:rsidRPr="00036424" w:rsidR="00E245FF">
        <w:t xml:space="preserve"> we find that a bill protection </w:t>
      </w:r>
      <w:r w:rsidR="003B3EF7">
        <w:t>approach</w:t>
      </w:r>
      <w:r w:rsidRPr="00036424" w:rsidR="00E245FF">
        <w:t xml:space="preserve"> that </w:t>
      </w:r>
      <w:r w:rsidRPr="00036424" w:rsidR="00424FB0">
        <w:t xml:space="preserve">increases </w:t>
      </w:r>
      <w:r w:rsidR="00A80E41">
        <w:t xml:space="preserve">overall </w:t>
      </w:r>
      <w:r w:rsidRPr="00036424" w:rsidR="00424FB0">
        <w:t>pilot costs by a</w:t>
      </w:r>
      <w:r w:rsidRPr="00036424" w:rsidR="003B1313">
        <w:t xml:space="preserve">pproximately </w:t>
      </w:r>
      <w:r w:rsidR="00283681">
        <w:t>7</w:t>
      </w:r>
      <w:r w:rsidRPr="00036424" w:rsidR="0076660C">
        <w:t xml:space="preserve"> to 1</w:t>
      </w:r>
      <w:r w:rsidR="00283681">
        <w:t>0</w:t>
      </w:r>
      <w:r w:rsidRPr="00036424" w:rsidR="0076660C">
        <w:t xml:space="preserve"> percent </w:t>
      </w:r>
      <w:r w:rsidRPr="00036424" w:rsidR="002C6A00">
        <w:t xml:space="preserve">is reasonable given the importance of ensuring high levels of participation in the pilot to gather data to </w:t>
      </w:r>
      <w:r w:rsidR="001F049A">
        <w:t>i</w:t>
      </w:r>
      <w:r w:rsidRPr="00036424" w:rsidR="002C6A00">
        <w:t>nform future decision making in this proceeding.</w:t>
      </w:r>
      <w:r w:rsidR="002C6A00">
        <w:t xml:space="preserve"> </w:t>
      </w:r>
    </w:p>
    <w:p w:rsidR="008F296D" w:rsidP="008F296D" w:rsidRDefault="008F296D"/>
    <w:p w:rsidRPr="00026BC8" w:rsidR="00026BC8" w:rsidP="008F296D" w:rsidRDefault="00026BC8">
      <w:pPr>
        <w:rPr>
          <w:u w:val="single"/>
        </w:rPr>
      </w:pPr>
      <w:r w:rsidRPr="00026BC8">
        <w:rPr>
          <w:u w:val="single"/>
        </w:rPr>
        <w:t>Stepping Down 20 Percent Discount to 10 Percent After Five Years</w:t>
      </w:r>
    </w:p>
    <w:p w:rsidR="008F296D" w:rsidP="008F296D" w:rsidRDefault="008F296D">
      <w:r>
        <w:t>The Commission concludes that a percentage discount approach should be stepped down over time, assuming that all participants are experiencing cost savings. Stepping down the discount from 20</w:t>
      </w:r>
      <w:r w:rsidR="007B543B">
        <w:t xml:space="preserve"> </w:t>
      </w:r>
      <w:r w:rsidRPr="00C979E8" w:rsidR="007B543B">
        <w:t>percent</w:t>
      </w:r>
      <w:r w:rsidRPr="00C979E8">
        <w:t xml:space="preserve"> to 10</w:t>
      </w:r>
      <w:r w:rsidRPr="00C979E8" w:rsidR="007B543B">
        <w:t xml:space="preserve"> percent</w:t>
      </w:r>
      <w:r w:rsidRPr="00C979E8">
        <w:t xml:space="preserve"> avoids a subsidy cliff for participants, which allows them to adjust electricity usage behavior more gradually. It also decreases costs to other ratepayers. According to </w:t>
      </w:r>
      <w:r w:rsidRPr="00C979E8" w:rsidR="005C3844">
        <w:t>the</w:t>
      </w:r>
      <w:r w:rsidRPr="00C979E8">
        <w:t xml:space="preserve"> data request to PG&amp;E and SCE</w:t>
      </w:r>
      <w:r w:rsidR="00D57F2D">
        <w:t xml:space="preserve"> captured </w:t>
      </w:r>
      <w:r w:rsidR="009A3787">
        <w:t>Table 4</w:t>
      </w:r>
      <w:r w:rsidRPr="00C979E8">
        <w:t>, stepping down the discount from 20</w:t>
      </w:r>
      <w:r w:rsidRPr="00C979E8" w:rsidR="007B543B">
        <w:t xml:space="preserve"> percent</w:t>
      </w:r>
      <w:r w:rsidRPr="00C979E8">
        <w:t xml:space="preserve"> to 10</w:t>
      </w:r>
      <w:r w:rsidRPr="00C979E8" w:rsidR="007B543B">
        <w:t xml:space="preserve"> percent</w:t>
      </w:r>
      <w:r w:rsidRPr="00C979E8">
        <w:t xml:space="preserve"> after five years, versus keeping the discount at 20</w:t>
      </w:r>
      <w:r w:rsidRPr="00C979E8" w:rsidR="007B543B">
        <w:t xml:space="preserve"> percent</w:t>
      </w:r>
      <w:r w:rsidRPr="00C979E8">
        <w:t xml:space="preserve"> for </w:t>
      </w:r>
      <w:r w:rsidRPr="00C979E8" w:rsidR="00FC410C">
        <w:t>10</w:t>
      </w:r>
      <w:r w:rsidRPr="00C979E8">
        <w:t xml:space="preserve"> years, </w:t>
      </w:r>
      <w:r w:rsidR="00303DFF">
        <w:t xml:space="preserve">would </w:t>
      </w:r>
      <w:r w:rsidRPr="00C979E8">
        <w:t>result in approximately $</w:t>
      </w:r>
      <w:r w:rsidRPr="00C979E8" w:rsidR="00706CF5">
        <w:t>1.5</w:t>
      </w:r>
      <w:r w:rsidRPr="00C979E8">
        <w:t xml:space="preserve"> million in</w:t>
      </w:r>
      <w:r w:rsidRPr="00C979E8" w:rsidR="00FC0CE8">
        <w:t xml:space="preserve"> total</w:t>
      </w:r>
      <w:r w:rsidRPr="00C979E8">
        <w:t xml:space="preserve"> ratepayer savings</w:t>
      </w:r>
      <w:r w:rsidR="00D57F2D">
        <w:t xml:space="preserve"> </w:t>
      </w:r>
      <w:r w:rsidR="00162369">
        <w:t>for the SJV pilots</w:t>
      </w:r>
      <w:r w:rsidRPr="00C979E8" w:rsidR="00C979E8">
        <w:t>.</w:t>
      </w:r>
    </w:p>
    <w:p w:rsidR="008F296D" w:rsidP="008F296D" w:rsidRDefault="008F296D"/>
    <w:p w:rsidR="008F296D" w:rsidP="008F296D" w:rsidRDefault="60E77224">
      <w:r>
        <w:t>Stepping down the 20</w:t>
      </w:r>
      <w:r w:rsidR="007B543B">
        <w:t xml:space="preserve"> percent</w:t>
      </w:r>
      <w:r>
        <w:t xml:space="preserve"> discount after five year</w:t>
      </w:r>
      <w:r w:rsidR="00875378">
        <w:t>s</w:t>
      </w:r>
      <w:r w:rsidR="00BA2E99">
        <w:t>, versus a shorter time frame,</w:t>
      </w:r>
      <w:r w:rsidR="00875378">
        <w:t xml:space="preserve"> </w:t>
      </w:r>
      <w:r>
        <w:t xml:space="preserve">also allows </w:t>
      </w:r>
      <w:r w:rsidR="00261573">
        <w:t>PG&amp;E and SCE</w:t>
      </w:r>
      <w:r>
        <w:t xml:space="preserve"> to conduct a robust, multi-year evaluation of energy cost savings based on actual post-pilot electricity bills and voluntarily submitted propane bills.</w:t>
      </w:r>
      <w:r w:rsidR="00B52377">
        <w:rPr>
          <w:rStyle w:val="FootnoteReference"/>
        </w:rPr>
        <w:footnoteReference w:id="30"/>
      </w:r>
      <w:r>
        <w:t xml:space="preserve"> The Commission considered alternative step-down approaches, including stepping down the discount from 20</w:t>
      </w:r>
      <w:r w:rsidR="007B543B">
        <w:t xml:space="preserve"> percent</w:t>
      </w:r>
      <w:r>
        <w:t xml:space="preserve"> to 15</w:t>
      </w:r>
      <w:r w:rsidR="007B543B">
        <w:t xml:space="preserve"> percent</w:t>
      </w:r>
      <w:r>
        <w:t xml:space="preserve"> to 10</w:t>
      </w:r>
      <w:r w:rsidR="007B543B">
        <w:t xml:space="preserve"> percent</w:t>
      </w:r>
      <w:r>
        <w:t xml:space="preserve"> to 5</w:t>
      </w:r>
      <w:r w:rsidR="007B543B">
        <w:t xml:space="preserve"> percent</w:t>
      </w:r>
      <w:r>
        <w:t>, but on balance found that a 20</w:t>
      </w:r>
      <w:r w:rsidR="007B543B">
        <w:t xml:space="preserve"> percent</w:t>
      </w:r>
      <w:r>
        <w:t xml:space="preserve"> to 10</w:t>
      </w:r>
      <w:r w:rsidR="007B543B">
        <w:t xml:space="preserve"> percent </w:t>
      </w:r>
      <w:r>
        <w:t>step-down was more administratively efficient, simpler to explain to customers interested in enrolling in the pilots, and similar in cost impact. The 20</w:t>
      </w:r>
      <w:r w:rsidR="007B543B">
        <w:t xml:space="preserve"> percent </w:t>
      </w:r>
      <w:r>
        <w:t>to 10</w:t>
      </w:r>
      <w:r w:rsidR="007B543B">
        <w:t xml:space="preserve"> percent </w:t>
      </w:r>
      <w:r>
        <w:t>step-down approach also aligns with the SJV Pilot’s Decision directive to minimize administrative barriers</w:t>
      </w:r>
      <w:r w:rsidR="005A09C6">
        <w:t>.</w:t>
      </w:r>
    </w:p>
    <w:p w:rsidR="00026BC8" w:rsidP="008F296D" w:rsidRDefault="00026BC8"/>
    <w:p w:rsidR="008F296D" w:rsidP="008F296D" w:rsidRDefault="00D634D3">
      <w:r>
        <w:rPr>
          <w:u w:val="single"/>
        </w:rPr>
        <w:t xml:space="preserve">Bill Protection </w:t>
      </w:r>
      <w:r w:rsidRPr="00026BC8" w:rsidR="00026BC8">
        <w:rPr>
          <w:u w:val="single"/>
        </w:rPr>
        <w:t>Evaluation After Three Years</w:t>
      </w:r>
      <w:r w:rsidR="007A0B22">
        <w:rPr>
          <w:u w:val="single"/>
        </w:rPr>
        <w:t xml:space="preserve"> and Six Months</w:t>
      </w:r>
    </w:p>
    <w:p w:rsidR="003B55D5" w:rsidP="008F296D" w:rsidRDefault="0092739B">
      <w:r>
        <w:t>PG&amp;E and SCE</w:t>
      </w:r>
      <w:r w:rsidR="008F296D">
        <w:t>’</w:t>
      </w:r>
      <w:r>
        <w:t>s</w:t>
      </w:r>
      <w:r w:rsidR="008F296D">
        <w:t xml:space="preserve"> </w:t>
      </w:r>
      <w:r w:rsidR="00F11A9E">
        <w:t>evaluation of energy cost savings shall</w:t>
      </w:r>
      <w:r w:rsidR="00073E50">
        <w:t xml:space="preserve"> commence </w:t>
      </w:r>
      <w:r w:rsidR="00E47841">
        <w:t xml:space="preserve">three years </w:t>
      </w:r>
      <w:r w:rsidR="00640E13">
        <w:t xml:space="preserve">and six months </w:t>
      </w:r>
      <w:r w:rsidR="00E47841">
        <w:t>after the first pilot household in its territory receives its first monthly bill with a 20</w:t>
      </w:r>
      <w:r w:rsidR="007B543B">
        <w:t xml:space="preserve"> percent</w:t>
      </w:r>
      <w:r w:rsidR="00E47841">
        <w:t xml:space="preserve"> bill protection discount. </w:t>
      </w:r>
      <w:r w:rsidR="00073E50">
        <w:t xml:space="preserve">The </w:t>
      </w:r>
      <w:r w:rsidR="008F296D">
        <w:t>evaluation of energy cost savings</w:t>
      </w:r>
      <w:r w:rsidR="00F97E1F">
        <w:t xml:space="preserve"> associated with the bill protection </w:t>
      </w:r>
      <w:r w:rsidR="00A2211F">
        <w:t>approach</w:t>
      </w:r>
      <w:r w:rsidR="008F296D">
        <w:t xml:space="preserve"> shall </w:t>
      </w:r>
      <w:r w:rsidR="00316C3F">
        <w:t xml:space="preserve">generally </w:t>
      </w:r>
      <w:r w:rsidR="008F296D">
        <w:t>consist of the following</w:t>
      </w:r>
      <w:r w:rsidR="00EE2048">
        <w:t>:</w:t>
      </w:r>
    </w:p>
    <w:p w:rsidR="003B55D5" w:rsidP="003B55D5" w:rsidRDefault="005520A4">
      <w:pPr>
        <w:pStyle w:val="ListParagraph"/>
        <w:numPr>
          <w:ilvl w:val="0"/>
          <w:numId w:val="25"/>
        </w:numPr>
      </w:pPr>
      <w:r>
        <w:t>The evaluation will</w:t>
      </w:r>
      <w:r w:rsidR="00EE2048">
        <w:t xml:space="preserve"> </w:t>
      </w:r>
      <w:r w:rsidR="008A7A03">
        <w:t xml:space="preserve">analyze </w:t>
      </w:r>
      <w:r w:rsidR="00BD492C">
        <w:t>total</w:t>
      </w:r>
      <w:r w:rsidR="008A7A03">
        <w:t xml:space="preserve"> energy costs for all</w:t>
      </w:r>
      <w:r w:rsidR="00F96785">
        <w:t xml:space="preserve"> </w:t>
      </w:r>
      <w:r w:rsidR="00780E57">
        <w:t xml:space="preserve">pilot participants </w:t>
      </w:r>
      <w:r w:rsidR="005A05EF">
        <w:t>who</w:t>
      </w:r>
      <w:r w:rsidR="00780E57">
        <w:t xml:space="preserve"> have received at least 24 </w:t>
      </w:r>
      <w:r w:rsidR="008A7A03">
        <w:t xml:space="preserve">consecutive </w:t>
      </w:r>
      <w:r w:rsidR="00BC77C3">
        <w:t xml:space="preserve">months of </w:t>
      </w:r>
      <w:r w:rsidR="00780E57">
        <w:t xml:space="preserve">electricity </w:t>
      </w:r>
      <w:r w:rsidRPr="00047E08" w:rsidR="00780E57">
        <w:t>bills with</w:t>
      </w:r>
      <w:r w:rsidRPr="00047E08" w:rsidR="00047E08">
        <w:t xml:space="preserve"> a bill protection discount</w:t>
      </w:r>
      <w:r w:rsidR="00974055">
        <w:t xml:space="preserve"> </w:t>
      </w:r>
      <w:r w:rsidR="00BD492C">
        <w:t>prior to the advice letter filing date</w:t>
      </w:r>
      <w:r w:rsidR="00CF2419">
        <w:t>;</w:t>
      </w:r>
    </w:p>
    <w:p w:rsidR="003B55D5" w:rsidP="003B55D5" w:rsidRDefault="008F296D">
      <w:pPr>
        <w:pStyle w:val="ListParagraph"/>
        <w:numPr>
          <w:ilvl w:val="0"/>
          <w:numId w:val="25"/>
        </w:numPr>
      </w:pPr>
      <w:r w:rsidRPr="00047E08">
        <w:t xml:space="preserve">The pre-pilot energy costs will be based on propane bills voluntarily submitted by participants and </w:t>
      </w:r>
      <w:r w:rsidRPr="00047E08" w:rsidR="005520A4">
        <w:t>12</w:t>
      </w:r>
      <w:r w:rsidRPr="00047E08" w:rsidR="00CD3ACC">
        <w:t xml:space="preserve"> months of </w:t>
      </w:r>
      <w:r w:rsidRPr="00047E08">
        <w:t>actual pre-pilot electricity bills</w:t>
      </w:r>
      <w:r w:rsidR="00CF2419">
        <w:t>; and</w:t>
      </w:r>
    </w:p>
    <w:p w:rsidR="00F11A9E" w:rsidP="00DE0EC7" w:rsidRDefault="00CD3ACC">
      <w:pPr>
        <w:pStyle w:val="ListParagraph"/>
        <w:numPr>
          <w:ilvl w:val="0"/>
          <w:numId w:val="25"/>
        </w:numPr>
      </w:pPr>
      <w:r w:rsidRPr="00047E08">
        <w:t>T</w:t>
      </w:r>
      <w:r w:rsidRPr="00047E08" w:rsidR="008F296D">
        <w:t xml:space="preserve">he post-pilot energy costs will </w:t>
      </w:r>
      <w:r w:rsidR="00047E08">
        <w:t xml:space="preserve">be based on 24 consecutive months of </w:t>
      </w:r>
      <w:r w:rsidRPr="00047E08" w:rsidR="008F296D">
        <w:t>actual post-pilot electricity bills</w:t>
      </w:r>
      <w:r w:rsidR="00047E08">
        <w:t xml:space="preserve">, </w:t>
      </w:r>
      <w:r w:rsidR="00D46BB2">
        <w:t>annualized to compare to pre-pilot</w:t>
      </w:r>
      <w:r w:rsidR="00EE2048">
        <w:t xml:space="preserve"> total energy</w:t>
      </w:r>
      <w:r w:rsidR="00D46BB2">
        <w:t xml:space="preserve"> costs.</w:t>
      </w:r>
      <w:r w:rsidR="004F6AE7">
        <w:t xml:space="preserve"> These costs will also include any measurable costs related to residual propane usage.</w:t>
      </w:r>
    </w:p>
    <w:p w:rsidR="00294B6D" w:rsidRDefault="00294B6D"/>
    <w:p w:rsidR="008F296D" w:rsidP="008F296D" w:rsidRDefault="60E77224">
      <w:r>
        <w:t>PG&amp;E and SCE shall</w:t>
      </w:r>
      <w:r w:rsidR="005E3F15">
        <w:t xml:space="preserve"> each</w:t>
      </w:r>
      <w:r>
        <w:t xml:space="preserve"> submit </w:t>
      </w:r>
      <w:r w:rsidR="00EC64C2">
        <w:t>T</w:t>
      </w:r>
      <w:r>
        <w:t xml:space="preserve">ier 2 advice letters with this energy cost saving analysis to the Energy Division </w:t>
      </w:r>
      <w:r w:rsidR="000C0B76">
        <w:t xml:space="preserve">no later than </w:t>
      </w:r>
      <w:r w:rsidR="009037C9">
        <w:t>four</w:t>
      </w:r>
      <w:r w:rsidR="00E222B2">
        <w:rPr>
          <w:rFonts w:eastAsia="Palatino" w:cs="Palatino"/>
          <w:szCs w:val="26"/>
        </w:rPr>
        <w:t xml:space="preserve"> years</w:t>
      </w:r>
      <w:r w:rsidRPr="78CE137C">
        <w:rPr>
          <w:rFonts w:eastAsia="Palatino" w:cs="Palatino"/>
          <w:szCs w:val="26"/>
        </w:rPr>
        <w:t xml:space="preserve"> after </w:t>
      </w:r>
      <w:r w:rsidRPr="78CE137C" w:rsidR="78CE137C">
        <w:rPr>
          <w:rFonts w:eastAsia="Palatino" w:cs="Palatino"/>
          <w:szCs w:val="26"/>
        </w:rPr>
        <w:t>the utility’s</w:t>
      </w:r>
      <w:r w:rsidRPr="78CE137C">
        <w:rPr>
          <w:rFonts w:eastAsia="Palatino" w:cs="Palatino"/>
          <w:szCs w:val="26"/>
        </w:rPr>
        <w:t xml:space="preserve"> first pilot household receives its first monthly </w:t>
      </w:r>
      <w:r w:rsidRPr="78CE137C" w:rsidR="78CE137C">
        <w:rPr>
          <w:rFonts w:eastAsia="Palatino" w:cs="Palatino"/>
          <w:szCs w:val="26"/>
        </w:rPr>
        <w:t xml:space="preserve">electricity </w:t>
      </w:r>
      <w:r w:rsidRPr="78CE137C">
        <w:rPr>
          <w:rFonts w:eastAsia="Palatino" w:cs="Palatino"/>
          <w:szCs w:val="26"/>
        </w:rPr>
        <w:t>bill with a bill protection discount.</w:t>
      </w:r>
      <w:r>
        <w:t xml:space="preserve"> The advice letters shall</w:t>
      </w:r>
      <w:r w:rsidR="00316C3F">
        <w:t>, at a minimum</w:t>
      </w:r>
      <w:r>
        <w:t>:</w:t>
      </w:r>
    </w:p>
    <w:p w:rsidR="008F296D" w:rsidP="002A7EF5" w:rsidRDefault="008F296D">
      <w:pPr>
        <w:pStyle w:val="ListParagraph"/>
        <w:numPr>
          <w:ilvl w:val="0"/>
          <w:numId w:val="13"/>
        </w:numPr>
      </w:pPr>
      <w:r>
        <w:t>Analyze collected propane bill data and clearly explain any propane modeling included in the pre-pilot cost analysis;</w:t>
      </w:r>
    </w:p>
    <w:p w:rsidR="008F296D" w:rsidP="002A7EF5" w:rsidRDefault="008F296D">
      <w:pPr>
        <w:pStyle w:val="ListParagraph"/>
        <w:numPr>
          <w:ilvl w:val="0"/>
          <w:numId w:val="13"/>
        </w:numPr>
      </w:pPr>
      <w:r>
        <w:t>Reference anonymized and aggregated post-pilot electricity bill data, using as much bill data that is available at the time of the advice letter filing;</w:t>
      </w:r>
    </w:p>
    <w:p w:rsidR="001535AD" w:rsidP="002A7EF5" w:rsidRDefault="001535AD">
      <w:pPr>
        <w:pStyle w:val="ListParagraph"/>
        <w:numPr>
          <w:ilvl w:val="0"/>
          <w:numId w:val="13"/>
        </w:numPr>
      </w:pPr>
      <w:r>
        <w:t>Leverage findings from the Data Gathering Working Group</w:t>
      </w:r>
      <w:r w:rsidR="00D27740">
        <w:t xml:space="preserve">, </w:t>
      </w:r>
      <w:r w:rsidR="00544D15">
        <w:t>established</w:t>
      </w:r>
      <w:r w:rsidR="00D27740">
        <w:t xml:space="preserve"> in Decision (D.)18-08-019, as appropriate;</w:t>
      </w:r>
    </w:p>
    <w:p w:rsidR="004C5A9D" w:rsidP="002A7EF5" w:rsidRDefault="004C5A9D">
      <w:pPr>
        <w:pStyle w:val="ListParagraph"/>
        <w:numPr>
          <w:ilvl w:val="0"/>
          <w:numId w:val="13"/>
        </w:numPr>
      </w:pPr>
      <w:r>
        <w:t>To the degree possible, track and mitigate the influence of annual temperature variability</w:t>
      </w:r>
      <w:r w:rsidR="001427D8">
        <w:t>;</w:t>
      </w:r>
    </w:p>
    <w:p w:rsidR="008F296D" w:rsidP="002A7EF5" w:rsidRDefault="008F296D">
      <w:pPr>
        <w:pStyle w:val="ListParagraph"/>
        <w:numPr>
          <w:ilvl w:val="0"/>
          <w:numId w:val="13"/>
        </w:numPr>
      </w:pPr>
      <w:r>
        <w:t xml:space="preserve">Discuss any trends that </w:t>
      </w:r>
      <w:r w:rsidR="00B520F5">
        <w:t>indicate</w:t>
      </w:r>
      <w:r>
        <w:t xml:space="preserve"> that energy cost savings increase over time as customers acclimate to new appliances;</w:t>
      </w:r>
    </w:p>
    <w:p w:rsidR="008F296D" w:rsidP="002A7EF5" w:rsidRDefault="008F296D">
      <w:pPr>
        <w:pStyle w:val="ListParagraph"/>
        <w:numPr>
          <w:ilvl w:val="0"/>
          <w:numId w:val="13"/>
        </w:numPr>
      </w:pPr>
      <w:r>
        <w:t xml:space="preserve">Analyze whether, and to what degree, participants experience lower energy cost savings if they do not install both a heat pump space conditioning unit and heat pump water heater, </w:t>
      </w:r>
      <w:r w:rsidR="00AC1078">
        <w:t xml:space="preserve">and include </w:t>
      </w:r>
      <w:r>
        <w:t>propane usage in post-pilot costs if applicable;</w:t>
      </w:r>
    </w:p>
    <w:p w:rsidR="008F296D" w:rsidP="002A7EF5" w:rsidRDefault="008F296D">
      <w:pPr>
        <w:pStyle w:val="ListParagraph"/>
        <w:numPr>
          <w:ilvl w:val="0"/>
          <w:numId w:val="13"/>
        </w:numPr>
      </w:pPr>
      <w:r>
        <w:t>Include a detailed explanation of the quantitative analysis used to determine statistical outliers;</w:t>
      </w:r>
    </w:p>
    <w:p w:rsidRPr="00316C3F" w:rsidR="008F296D" w:rsidP="002A7EF5" w:rsidRDefault="008F296D">
      <w:pPr>
        <w:pStyle w:val="ListParagraph"/>
        <w:numPr>
          <w:ilvl w:val="0"/>
          <w:numId w:val="13"/>
        </w:numPr>
      </w:pPr>
      <w:r>
        <w:t xml:space="preserve">Include any qualitative justification for why any participants are considered outliers, along with a description of the steps taken to help </w:t>
      </w:r>
      <w:r w:rsidRPr="00316C3F">
        <w:t>these participants reduce their energy costs; and</w:t>
      </w:r>
    </w:p>
    <w:p w:rsidRPr="00316C3F" w:rsidR="008F296D" w:rsidP="002A7EF5" w:rsidRDefault="008F296D">
      <w:pPr>
        <w:pStyle w:val="ListParagraph"/>
        <w:numPr>
          <w:ilvl w:val="0"/>
          <w:numId w:val="13"/>
        </w:numPr>
      </w:pPr>
      <w:r w:rsidRPr="00316C3F">
        <w:t>Request that the trigger for the 10</w:t>
      </w:r>
      <w:r w:rsidRPr="00316C3F" w:rsidR="007B543B">
        <w:t xml:space="preserve"> percent</w:t>
      </w:r>
      <w:r w:rsidRPr="00316C3F">
        <w:t xml:space="preserve"> discount go into effect if data shows that all participants </w:t>
      </w:r>
      <w:r w:rsidRPr="00316C3F" w:rsidR="00316C3F">
        <w:t xml:space="preserve">in the evaluation study </w:t>
      </w:r>
      <w:r w:rsidRPr="00316C3F">
        <w:t>except statistical outliers have reduced pre-pilot to post-pilot energy costs; or request</w:t>
      </w:r>
      <w:r w:rsidR="00044116">
        <w:t xml:space="preserve"> that the</w:t>
      </w:r>
      <w:r w:rsidRPr="00316C3F">
        <w:t xml:space="preserve"> 20</w:t>
      </w:r>
      <w:r w:rsidRPr="00316C3F" w:rsidR="007B543B">
        <w:t xml:space="preserve"> percent</w:t>
      </w:r>
      <w:r w:rsidRPr="00316C3F">
        <w:t xml:space="preserve"> discount be kept in place if data does not demonstrate that all participants </w:t>
      </w:r>
      <w:r w:rsidRPr="00316C3F" w:rsidR="00316C3F">
        <w:t xml:space="preserve">in the evaluation study </w:t>
      </w:r>
      <w:r w:rsidRPr="00316C3F">
        <w:t>except statistical outliers have reduced pre-pilot to post-pilot energy costs</w:t>
      </w:r>
      <w:r w:rsidRPr="00316C3F" w:rsidR="00A735D2">
        <w:t>.</w:t>
      </w:r>
    </w:p>
    <w:p w:rsidR="008F296D" w:rsidP="008F296D" w:rsidRDefault="008F296D"/>
    <w:p w:rsidR="00567A11" w:rsidP="008F296D" w:rsidRDefault="00567A11">
      <w:r>
        <w:t xml:space="preserve">We also direct PG&amp;E and SCE to host a workshop </w:t>
      </w:r>
      <w:r w:rsidR="00014D28">
        <w:t xml:space="preserve">in consultation </w:t>
      </w:r>
      <w:r>
        <w:t xml:space="preserve">with pilot program administrators, Energy Division, the Data Gathering Working Group, and interested stakeholders to collaborate on a methodology </w:t>
      </w:r>
      <w:r w:rsidR="00E233EB">
        <w:t>to model</w:t>
      </w:r>
      <w:r>
        <w:t xml:space="preserve"> pre-pilot propane costs. This workshop shall occur </w:t>
      </w:r>
      <w:r w:rsidR="00752501">
        <w:t xml:space="preserve">at least </w:t>
      </w:r>
      <w:r w:rsidR="000516F1">
        <w:t>120</w:t>
      </w:r>
      <w:r w:rsidR="00752501">
        <w:t xml:space="preserve"> days before PG&amp;</w:t>
      </w:r>
      <w:r w:rsidR="001F4741">
        <w:t>E</w:t>
      </w:r>
      <w:r w:rsidR="00752501">
        <w:t xml:space="preserve"> and SCE initiate the </w:t>
      </w:r>
      <w:r w:rsidR="00F224DA">
        <w:t xml:space="preserve">bill protection </w:t>
      </w:r>
      <w:r w:rsidR="00752501">
        <w:t>evaluation</w:t>
      </w:r>
      <w:r w:rsidR="006C649A">
        <w:t>.</w:t>
      </w:r>
      <w:r w:rsidR="00752501">
        <w:t xml:space="preserve"> </w:t>
      </w:r>
      <w:r w:rsidDel="00752501" w:rsidR="00752501">
        <w:rPr>
          <w:rFonts w:eastAsia="Palatino" w:cs="Palatino"/>
          <w:szCs w:val="26"/>
        </w:rPr>
        <w:t xml:space="preserve"> </w:t>
      </w:r>
    </w:p>
    <w:p w:rsidR="00567A11" w:rsidP="008F296D" w:rsidRDefault="00567A11"/>
    <w:p w:rsidRPr="008D3E7B" w:rsidR="008F296D" w:rsidP="008F296D" w:rsidRDefault="00567A11">
      <w:r>
        <w:t xml:space="preserve">Further, we </w:t>
      </w:r>
      <w:r w:rsidR="008F296D">
        <w:t xml:space="preserve">direct PG&amp;E and SCE to </w:t>
      </w:r>
      <w:r w:rsidR="004C3843">
        <w:t xml:space="preserve">each </w:t>
      </w:r>
      <w:r w:rsidR="008F296D">
        <w:t xml:space="preserve">send the Energy Division a confidential, securely transmitted dataset </w:t>
      </w:r>
      <w:r w:rsidRPr="008D3E7B" w:rsidR="008F296D">
        <w:t xml:space="preserve">with </w:t>
      </w:r>
      <w:r w:rsidR="00BF3439">
        <w:t xml:space="preserve">all </w:t>
      </w:r>
      <w:r w:rsidRPr="008D3E7B" w:rsidR="008F296D">
        <w:t>participating</w:t>
      </w:r>
      <w:r w:rsidR="005E3F15">
        <w:t xml:space="preserve"> pilot</w:t>
      </w:r>
      <w:r w:rsidRPr="008D3E7B" w:rsidR="008F296D">
        <w:t xml:space="preserve"> customers’ actual monthly electricity bill</w:t>
      </w:r>
      <w:r w:rsidR="000530C1">
        <w:t xml:space="preserve"> total costs</w:t>
      </w:r>
      <w:r w:rsidRPr="008D3E7B" w:rsidR="008F296D">
        <w:t xml:space="preserve"> at the same time the advice letters are filed. </w:t>
      </w:r>
      <w:r w:rsidR="00463D84">
        <w:t>This dataset will include at least 12 months of pre-pilot electricity bill</w:t>
      </w:r>
      <w:r w:rsidR="000530C1">
        <w:t xml:space="preserve"> </w:t>
      </w:r>
      <w:r w:rsidR="004246AC">
        <w:t xml:space="preserve">data </w:t>
      </w:r>
      <w:r w:rsidR="00463D84">
        <w:t>for all pilot participants</w:t>
      </w:r>
      <w:r w:rsidR="00F601E9">
        <w:t xml:space="preserve"> in the evaluation study (including statistical outliers) and </w:t>
      </w:r>
      <w:r w:rsidR="00463D84">
        <w:t>all post-pilot monthly electricity bill</w:t>
      </w:r>
      <w:r w:rsidR="000530C1">
        <w:t xml:space="preserve"> </w:t>
      </w:r>
      <w:r w:rsidR="004246AC">
        <w:t>data</w:t>
      </w:r>
      <w:r w:rsidR="000530C1">
        <w:t xml:space="preserve"> </w:t>
      </w:r>
      <w:r w:rsidR="00EC7C2E">
        <w:t xml:space="preserve">available </w:t>
      </w:r>
      <w:r w:rsidR="00C67FBF">
        <w:t>at the time of advice letter filing</w:t>
      </w:r>
      <w:r w:rsidR="00463D84">
        <w:t>.</w:t>
      </w:r>
    </w:p>
    <w:p w:rsidR="00294B6D" w:rsidRDefault="00294B6D"/>
    <w:p w:rsidRPr="00620361" w:rsidR="008F296D" w:rsidP="002A7EF5" w:rsidRDefault="008F296D">
      <w:pPr>
        <w:pStyle w:val="ListParagraph"/>
        <w:numPr>
          <w:ilvl w:val="0"/>
          <w:numId w:val="16"/>
        </w:numPr>
        <w:rPr>
          <w:b/>
          <w:bCs/>
        </w:rPr>
      </w:pPr>
      <w:r w:rsidRPr="00620361">
        <w:rPr>
          <w:b/>
          <w:bCs/>
        </w:rPr>
        <w:t xml:space="preserve">Implementation of Authorized Bill Protection </w:t>
      </w:r>
      <w:r w:rsidR="00A2211F">
        <w:rPr>
          <w:b/>
          <w:bCs/>
        </w:rPr>
        <w:t>Approach</w:t>
      </w:r>
      <w:r w:rsidRPr="00620361">
        <w:rPr>
          <w:b/>
          <w:bCs/>
        </w:rPr>
        <w:t xml:space="preserve"> for PG&amp;E and SCE Pilots</w:t>
      </w:r>
    </w:p>
    <w:p w:rsidR="0064469F" w:rsidP="008F296D" w:rsidRDefault="0064469F"/>
    <w:p w:rsidRPr="00FC150B" w:rsidR="00FC150B" w:rsidP="008F296D" w:rsidRDefault="00805A77">
      <w:pPr>
        <w:rPr>
          <w:u w:val="single"/>
        </w:rPr>
      </w:pPr>
      <w:r>
        <w:rPr>
          <w:u w:val="single"/>
        </w:rPr>
        <w:t>Electrification Appliance Requirement</w:t>
      </w:r>
      <w:r w:rsidR="0062446F">
        <w:rPr>
          <w:u w:val="single"/>
        </w:rPr>
        <w:t>s</w:t>
      </w:r>
    </w:p>
    <w:p w:rsidR="008F296D" w:rsidP="008F296D" w:rsidRDefault="008F296D">
      <w:r>
        <w:t>PG&amp;E and SCE request that the Commission require</w:t>
      </w:r>
      <w:r w:rsidR="001D7691">
        <w:t xml:space="preserve"> that</w:t>
      </w:r>
      <w:r>
        <w:t xml:space="preserve"> pilot participants </w:t>
      </w:r>
      <w:r w:rsidR="00044116">
        <w:t>install</w:t>
      </w:r>
      <w:r>
        <w:t xml:space="preserve"> both the heat pump space conditioning and heat pump water heater in order to participate in the pilots. The Commission reviewed party comments on the topic of partial or full electrification in </w:t>
      </w:r>
      <w:r w:rsidR="00422B44">
        <w:t>the SJV Pilots Decision</w:t>
      </w:r>
      <w:r>
        <w:t xml:space="preserve"> and </w:t>
      </w:r>
      <w:r w:rsidR="00044116">
        <w:t xml:space="preserve">authorized </w:t>
      </w:r>
      <w:r>
        <w:t>pilot administrators the flexibility to not install heat pump space heating in some homes.</w:t>
      </w:r>
      <w:r>
        <w:rPr>
          <w:rStyle w:val="FootnoteReference"/>
        </w:rPr>
        <w:footnoteReference w:id="31"/>
      </w:r>
      <w:r>
        <w:t xml:space="preserve"> This Resolution is not the appropriate venue to seek a modification of that </w:t>
      </w:r>
      <w:r w:rsidR="001D7691">
        <w:t>determination</w:t>
      </w:r>
      <w:r>
        <w:t xml:space="preserve">. However, we recognize that </w:t>
      </w:r>
      <w:r w:rsidR="00B86468">
        <w:t>participants’ total energy cost savings</w:t>
      </w:r>
      <w:r>
        <w:t xml:space="preserve"> may be impacted by which appliances are installed in the participants</w:t>
      </w:r>
      <w:r w:rsidR="002B31D7">
        <w:t>’</w:t>
      </w:r>
      <w:r>
        <w:t xml:space="preserve"> home</w:t>
      </w:r>
      <w:r w:rsidR="002B31D7">
        <w:t>s</w:t>
      </w:r>
      <w:r>
        <w:t>. In the</w:t>
      </w:r>
      <w:r w:rsidR="004B695E">
        <w:t xml:space="preserve"> </w:t>
      </w:r>
      <w:r>
        <w:t xml:space="preserve">bill protection evaluation, we require PG&amp;E and SCE to analyze whether, and to what degree, participants experience lower energy cost savings if they do not install both a heat pump space conditioning unit and </w:t>
      </w:r>
      <w:r w:rsidR="0003206D">
        <w:t xml:space="preserve">a </w:t>
      </w:r>
      <w:r>
        <w:t>heat pump water heater</w:t>
      </w:r>
      <w:r w:rsidR="00936887">
        <w:t>.</w:t>
      </w:r>
    </w:p>
    <w:p w:rsidR="008F296D" w:rsidP="008F296D" w:rsidRDefault="008F296D"/>
    <w:p w:rsidRPr="00805A77" w:rsidR="00805A77" w:rsidP="008F296D" w:rsidRDefault="00805A77">
      <w:pPr>
        <w:rPr>
          <w:u w:val="single"/>
        </w:rPr>
      </w:pPr>
      <w:r w:rsidRPr="00805A77">
        <w:rPr>
          <w:u w:val="single"/>
        </w:rPr>
        <w:t>Bill Protection Discount Trigger</w:t>
      </w:r>
    </w:p>
    <w:p w:rsidR="00A41801" w:rsidP="008F296D" w:rsidRDefault="008F296D">
      <w:r>
        <w:t>GRID requests that the Commission require that PG&amp;E and SCE include a bill protection</w:t>
      </w:r>
      <w:r w:rsidR="00D1556A">
        <w:t xml:space="preserve"> </w:t>
      </w:r>
      <w:r>
        <w:t xml:space="preserve">discount on participants’ electricity bills as soon as a customer is enrolled in the pilot and </w:t>
      </w:r>
      <w:r w:rsidR="00936887">
        <w:t>prior to the installation of any appliance</w:t>
      </w:r>
      <w:r>
        <w:t xml:space="preserve">. </w:t>
      </w:r>
      <w:r w:rsidR="00CB17E3">
        <w:t xml:space="preserve">By contrast, </w:t>
      </w:r>
      <w:r>
        <w:t xml:space="preserve">PG&amp;E and SCE request that the bill protection </w:t>
      </w:r>
      <w:r w:rsidR="004B382B">
        <w:t xml:space="preserve">mechanism </w:t>
      </w:r>
      <w:r>
        <w:t xml:space="preserve">go into effect after the first electric appliance is installed. We agree with </w:t>
      </w:r>
      <w:r w:rsidR="00506623">
        <w:t>PG&amp;E and SCE</w:t>
      </w:r>
      <w:r>
        <w:t xml:space="preserve"> that the bill protection discount should be triggered as soon as the first electric appliance is installed. Section 11.2 </w:t>
      </w:r>
      <w:r w:rsidR="00E25503">
        <w:t xml:space="preserve">of the SJV Pilots Decision </w:t>
      </w:r>
      <w:r>
        <w:t xml:space="preserve">states that the IOUs must ensure energy </w:t>
      </w:r>
      <w:r w:rsidR="00E25503">
        <w:t xml:space="preserve">cost </w:t>
      </w:r>
      <w:r>
        <w:t xml:space="preserve">savings for all households </w:t>
      </w:r>
      <w:r w:rsidRPr="0037194A">
        <w:rPr>
          <w:i/>
          <w:iCs/>
        </w:rPr>
        <w:t>receiving appliance upgrades</w:t>
      </w:r>
      <w:r>
        <w:t xml:space="preserve"> as part of the pilot program</w:t>
      </w:r>
      <w:r w:rsidR="00BF72DB">
        <w:t xml:space="preserve"> [italics added]</w:t>
      </w:r>
      <w:r>
        <w:t xml:space="preserve">. A customer that enrolls in the pilot may not end up receiving </w:t>
      </w:r>
      <w:r w:rsidR="00E25503">
        <w:t xml:space="preserve">an </w:t>
      </w:r>
      <w:r>
        <w:t xml:space="preserve">appliance upgrade for various reasons. </w:t>
      </w:r>
    </w:p>
    <w:p w:rsidR="00A41801" w:rsidP="008F296D" w:rsidRDefault="00A41801"/>
    <w:p w:rsidR="00294B6D" w:rsidRDefault="00725DF7">
      <w:r>
        <w:t xml:space="preserve">To </w:t>
      </w:r>
      <w:r w:rsidRPr="00451590">
        <w:t xml:space="preserve">comply with </w:t>
      </w:r>
      <w:r w:rsidRPr="0003773C" w:rsidR="00393C6C">
        <w:t xml:space="preserve">this language in </w:t>
      </w:r>
      <w:r w:rsidRPr="00E5373B">
        <w:t xml:space="preserve">Section 11.2 of </w:t>
      </w:r>
      <w:r w:rsidRPr="00E5373B" w:rsidR="00422B44">
        <w:t>the SJV Pilots Decision</w:t>
      </w:r>
      <w:r w:rsidRPr="009C770C">
        <w:t>, we require PG&amp;E and SCE to provide a 20</w:t>
      </w:r>
      <w:r w:rsidRPr="009C770C" w:rsidR="00E25503">
        <w:t xml:space="preserve"> percent</w:t>
      </w:r>
      <w:r w:rsidRPr="009C770C">
        <w:t xml:space="preserve"> </w:t>
      </w:r>
      <w:r w:rsidRPr="009C770C" w:rsidR="000169B1">
        <w:t xml:space="preserve">discount on each participating customer’s </w:t>
      </w:r>
      <w:r w:rsidRPr="000819B9" w:rsidR="00B87782">
        <w:t xml:space="preserve">monthly electric bill </w:t>
      </w:r>
      <w:r w:rsidRPr="00265FD0" w:rsidR="00737CDD">
        <w:t xml:space="preserve">beginning on </w:t>
      </w:r>
      <w:r w:rsidRPr="00451590" w:rsidR="00A41801">
        <w:t xml:space="preserve">the first electric bill representing a full month of </w:t>
      </w:r>
      <w:r w:rsidRPr="00451590" w:rsidR="00451590">
        <w:t xml:space="preserve">new </w:t>
      </w:r>
      <w:r w:rsidRPr="00451590" w:rsidR="00A41801">
        <w:t xml:space="preserve">electric appliance usage. In this context, a full month of </w:t>
      </w:r>
      <w:r w:rsidRPr="00451590" w:rsidR="00451590">
        <w:t xml:space="preserve">new </w:t>
      </w:r>
      <w:r w:rsidRPr="00451590" w:rsidR="00A41801">
        <w:t xml:space="preserve">electric appliance usage means that at least one electric appliance has been installed in the participant’s home through </w:t>
      </w:r>
      <w:r w:rsidR="00E206A2">
        <w:t>an SJV</w:t>
      </w:r>
      <w:r w:rsidRPr="00451590" w:rsidR="00A41801">
        <w:t xml:space="preserve"> pilot</w:t>
      </w:r>
      <w:r w:rsidRPr="00451590" w:rsidR="00451590">
        <w:t xml:space="preserve">, </w:t>
      </w:r>
      <w:r w:rsidR="00451590">
        <w:t xml:space="preserve">and this appliance </w:t>
      </w:r>
      <w:r w:rsidR="009C5F51">
        <w:t xml:space="preserve">incurs </w:t>
      </w:r>
      <w:r w:rsidRPr="00451590" w:rsidR="00451590">
        <w:t>electric load over the course of one full bill</w:t>
      </w:r>
      <w:r w:rsidR="0043492B">
        <w:t>ing</w:t>
      </w:r>
      <w:r w:rsidRPr="00451590" w:rsidR="00451590">
        <w:t xml:space="preserve"> cycle.</w:t>
      </w:r>
      <w:r w:rsidRPr="00451590" w:rsidR="00A41801">
        <w:t xml:space="preserve"> </w:t>
      </w:r>
    </w:p>
    <w:p w:rsidR="00E44E18" w:rsidP="008F296D" w:rsidRDefault="00E44E18">
      <w:pPr>
        <w:rPr>
          <w:u w:val="single"/>
        </w:rPr>
      </w:pPr>
    </w:p>
    <w:p w:rsidRPr="003C254B" w:rsidR="00805A77" w:rsidP="008F296D" w:rsidRDefault="003C254B">
      <w:pPr>
        <w:rPr>
          <w:u w:val="single"/>
        </w:rPr>
      </w:pPr>
      <w:r w:rsidRPr="003C254B">
        <w:rPr>
          <w:u w:val="single"/>
        </w:rPr>
        <w:t>Transitional Community Solar Discount</w:t>
      </w:r>
    </w:p>
    <w:p w:rsidR="008F296D" w:rsidP="008F296D" w:rsidRDefault="008F296D">
      <w:r>
        <w:t>GRID raises the concern in its protest that the Community Solar Green Tariff (CSGT) and Disadvantaged Community Green Tariff (DAC-GT) programs may not be available to participants upon enrollment in the pilots</w:t>
      </w:r>
      <w:r w:rsidR="00647D92">
        <w:t>, due to potential misalignment in program start dates</w:t>
      </w:r>
      <w:r>
        <w:t xml:space="preserve">. </w:t>
      </w:r>
      <w:r w:rsidR="00B47761">
        <w:t xml:space="preserve">GRID’s energy cost saving model shows that the median non-CARE customer will pay roughly $80 more per year (a three percent </w:t>
      </w:r>
      <w:r w:rsidR="00E54BE2">
        <w:t>energy</w:t>
      </w:r>
      <w:r w:rsidR="00B47761">
        <w:t xml:space="preserve"> cost increase post-pilot </w:t>
      </w:r>
      <w:r w:rsidR="00E54BE2">
        <w:t xml:space="preserve">compared </w:t>
      </w:r>
      <w:r w:rsidR="00B47761">
        <w:t>to pre-pilot) if the 20 percent CSGT or DAC-GT discount is not available.</w:t>
      </w:r>
      <w:r w:rsidR="00B47761">
        <w:rPr>
          <w:rStyle w:val="FootnoteReference"/>
        </w:rPr>
        <w:footnoteReference w:id="32"/>
      </w:r>
      <w:r w:rsidR="00B47761">
        <w:t xml:space="preserve"> </w:t>
      </w:r>
      <w:r>
        <w:t>PG&amp;E and SCE’s modeling all assume that pilot participants receive a 20</w:t>
      </w:r>
      <w:r w:rsidR="007B543B">
        <w:t xml:space="preserve"> percent</w:t>
      </w:r>
      <w:r>
        <w:t xml:space="preserve"> </w:t>
      </w:r>
      <w:r w:rsidR="008C2506">
        <w:t>CSGT or DAC-GT discount</w:t>
      </w:r>
      <w:r>
        <w:t>, and their advice letters do not address a gap in community solar program availability.</w:t>
      </w:r>
    </w:p>
    <w:p w:rsidR="008F296D" w:rsidP="008F296D" w:rsidRDefault="008F296D"/>
    <w:p w:rsidRPr="008952FA" w:rsidR="008F296D" w:rsidP="00422B44" w:rsidRDefault="00422B44">
      <w:r w:rsidRPr="008952FA">
        <w:t>The SJV Pilots Decision</w:t>
      </w:r>
      <w:r w:rsidRPr="008952FA" w:rsidR="008F296D">
        <w:t xml:space="preserve"> directs PG&amp;E and SCE to solicit CSGT projects to serve all of the pilot communities they </w:t>
      </w:r>
      <w:r w:rsidR="00C654D2">
        <w:t>administer</w:t>
      </w:r>
      <w:r w:rsidRPr="008952FA" w:rsidR="008F296D">
        <w:t xml:space="preserve">, with the exception of California City, which may be served by CSGT or DAC-GT. </w:t>
      </w:r>
      <w:r w:rsidR="005F6A43">
        <w:t xml:space="preserve">The </w:t>
      </w:r>
      <w:r w:rsidR="001B6EBB">
        <w:t xml:space="preserve">SJV Pilots Decision </w:t>
      </w:r>
      <w:r w:rsidR="00DD5C00">
        <w:t>authorizes a limited exemption to the CSGT program rule that requires CSGT projects to be located within five miles from participating communities</w:t>
      </w:r>
      <w:r w:rsidR="0058261B">
        <w:t>; CSGT projects serving SJV pilots may be located up to 40 miles from participating pilot communities</w:t>
      </w:r>
      <w:r w:rsidR="004A42B0">
        <w:t xml:space="preserve">. </w:t>
      </w:r>
      <w:r w:rsidRPr="008952FA" w:rsidR="008F296D">
        <w:t xml:space="preserve">The Decision </w:t>
      </w:r>
      <w:r w:rsidR="005F6A43">
        <w:t xml:space="preserve">also </w:t>
      </w:r>
      <w:r w:rsidRPr="008952FA" w:rsidR="008F296D">
        <w:t xml:space="preserve">directs </w:t>
      </w:r>
      <w:r w:rsidRPr="008952FA" w:rsidR="008F296D">
        <w:rPr>
          <w:rFonts w:cs="Calibri"/>
        </w:rPr>
        <w:t xml:space="preserve">PG&amp;E to enroll all eligible residents onto the DAC-GT program until the CSGT projects are built. </w:t>
      </w:r>
      <w:r w:rsidRPr="008952FA" w:rsidR="008F296D">
        <w:t xml:space="preserve">GRID points out that since DAC-GT is income-restricted, </w:t>
      </w:r>
      <w:r w:rsidRPr="008952FA" w:rsidR="00032E1C">
        <w:t>it would not</w:t>
      </w:r>
      <w:r w:rsidRPr="008952FA" w:rsidR="008F296D">
        <w:t xml:space="preserve"> apply to non-CARE participants. </w:t>
      </w:r>
    </w:p>
    <w:p w:rsidR="008F296D" w:rsidP="008F296D" w:rsidRDefault="008F296D"/>
    <w:p w:rsidR="0060031D" w:rsidP="008F296D" w:rsidRDefault="008F296D">
      <w:r>
        <w:t xml:space="preserve">It is </w:t>
      </w:r>
      <w:r w:rsidR="00647D92">
        <w:t>possible</w:t>
      </w:r>
      <w:r>
        <w:t xml:space="preserve"> that CSGT and DAC-GT </w:t>
      </w:r>
      <w:r w:rsidR="00E25503">
        <w:t>may</w:t>
      </w:r>
      <w:r>
        <w:t xml:space="preserve"> not </w:t>
      </w:r>
      <w:r w:rsidR="00647D92">
        <w:t xml:space="preserve">yet </w:t>
      </w:r>
      <w:r>
        <w:t xml:space="preserve">be available to SJV pilot participants at the time </w:t>
      </w:r>
      <w:r w:rsidR="00BB6BD5">
        <w:t xml:space="preserve">their first appliance is </w:t>
      </w:r>
      <w:proofErr w:type="gramStart"/>
      <w:r w:rsidR="00BB6BD5">
        <w:t>installed</w:t>
      </w:r>
      <w:proofErr w:type="gramEnd"/>
      <w:r w:rsidR="0097154C">
        <w:t xml:space="preserve"> and the bill protection discount is triggered</w:t>
      </w:r>
      <w:r>
        <w:t xml:space="preserve">. </w:t>
      </w:r>
      <w:r w:rsidRPr="00E54BE2" w:rsidR="0097154C">
        <w:t xml:space="preserve">According to PG&amp;E and SCE implementation plans, </w:t>
      </w:r>
      <w:r w:rsidRPr="00E54BE2" w:rsidR="002D4F80">
        <w:t xml:space="preserve">the </w:t>
      </w:r>
      <w:r w:rsidR="00606401">
        <w:t xml:space="preserve">earliest the </w:t>
      </w:r>
      <w:r w:rsidRPr="00E54BE2" w:rsidR="002D4F80">
        <w:t xml:space="preserve">first </w:t>
      </w:r>
      <w:r w:rsidRPr="00E54BE2" w:rsidR="0097154C">
        <w:t>pilot participants are</w:t>
      </w:r>
      <w:r w:rsidRPr="00E54BE2" w:rsidR="002D4F80">
        <w:t xml:space="preserve"> likely to </w:t>
      </w:r>
      <w:r w:rsidRPr="00E54BE2" w:rsidR="00E9111F">
        <w:t xml:space="preserve">receive appliances </w:t>
      </w:r>
      <w:r w:rsidR="00606401">
        <w:t xml:space="preserve">is </w:t>
      </w:r>
      <w:r w:rsidRPr="00E54BE2" w:rsidR="00E9111F">
        <w:t>approximately mid-2020</w:t>
      </w:r>
      <w:r w:rsidR="00606401">
        <w:t>.</w:t>
      </w:r>
      <w:r w:rsidR="00606401">
        <w:rPr>
          <w:rStyle w:val="FootnoteReference"/>
        </w:rPr>
        <w:footnoteReference w:id="33"/>
      </w:r>
      <w:r w:rsidR="00606401">
        <w:t xml:space="preserve"> </w:t>
      </w:r>
      <w:r>
        <w:t xml:space="preserve">PG&amp;E and SCE do not currently have existing projects that meet the eligibility criteria for CSGT, and </w:t>
      </w:r>
      <w:r w:rsidR="00E25503">
        <w:t xml:space="preserve">based on the forecasted CSGT solicitation and project development timelines, </w:t>
      </w:r>
      <w:r>
        <w:t xml:space="preserve">the Commission does not anticipate pilot customers </w:t>
      </w:r>
      <w:r w:rsidR="00B61CE1">
        <w:t>being</w:t>
      </w:r>
      <w:r w:rsidR="00CE1941">
        <w:t xml:space="preserve"> </w:t>
      </w:r>
      <w:r w:rsidR="00B40DA1">
        <w:t>able to</w:t>
      </w:r>
      <w:r w:rsidR="00B61CE1">
        <w:t xml:space="preserve"> </w:t>
      </w:r>
      <w:r>
        <w:t>receiv</w:t>
      </w:r>
      <w:r w:rsidR="00B61CE1">
        <w:t>e</w:t>
      </w:r>
      <w:r>
        <w:t xml:space="preserve"> a CSGT discount on their bills until </w:t>
      </w:r>
      <w:r w:rsidR="00B40DA1">
        <w:t>a</w:t>
      </w:r>
      <w:r w:rsidR="00E25503">
        <w:t>pproximately</w:t>
      </w:r>
      <w:r w:rsidR="00B40DA1">
        <w:t xml:space="preserve"> </w:t>
      </w:r>
      <w:r>
        <w:t xml:space="preserve">mid-2021. </w:t>
      </w:r>
    </w:p>
    <w:p w:rsidR="00FF4ECF" w:rsidP="008F296D" w:rsidRDefault="00FF4ECF"/>
    <w:p w:rsidR="008F296D" w:rsidP="008F296D" w:rsidRDefault="008F296D">
      <w:r>
        <w:t xml:space="preserve">In terms of DAC-GT availability, PG&amp;E stated in </w:t>
      </w:r>
      <w:r w:rsidR="00E25503">
        <w:t>its</w:t>
      </w:r>
      <w:r w:rsidR="00D339F9">
        <w:t xml:space="preserve"> </w:t>
      </w:r>
      <w:r w:rsidR="00044574">
        <w:t>n</w:t>
      </w:r>
      <w:r w:rsidR="00D339F9">
        <w:t xml:space="preserve">et </w:t>
      </w:r>
      <w:r w:rsidR="00044574">
        <w:t>e</w:t>
      </w:r>
      <w:r w:rsidR="00D339F9">
        <w:t>nergy metering (</w:t>
      </w:r>
      <w:r w:rsidR="00E25503">
        <w:t>NEM</w:t>
      </w:r>
      <w:r w:rsidR="00D339F9">
        <w:t>)</w:t>
      </w:r>
      <w:r w:rsidR="00E25503">
        <w:t xml:space="preserve"> </w:t>
      </w:r>
      <w:r w:rsidR="00F05C48">
        <w:t>disadvantaged community</w:t>
      </w:r>
      <w:r w:rsidR="00E25503">
        <w:t xml:space="preserve"> </w:t>
      </w:r>
      <w:r w:rsidR="00044574">
        <w:t>i</w:t>
      </w:r>
      <w:r w:rsidR="00E25503">
        <w:t>mplementation advice letter (</w:t>
      </w:r>
      <w:r>
        <w:t>AL 5362-E-A</w:t>
      </w:r>
      <w:r w:rsidR="00E25503">
        <w:t>)</w:t>
      </w:r>
      <w:r>
        <w:t xml:space="preserve"> that it</w:t>
      </w:r>
      <w:r w:rsidR="00E25503">
        <w:t xml:space="preserve"> plans to</w:t>
      </w:r>
      <w:r>
        <w:t xml:space="preserve"> use an interim pool of </w:t>
      </w:r>
      <w:r w:rsidR="00172D9A">
        <w:t>existing</w:t>
      </w:r>
      <w:r>
        <w:t xml:space="preserve"> solar resources that meet </w:t>
      </w:r>
      <w:r w:rsidR="00052C5B">
        <w:t xml:space="preserve">all of </w:t>
      </w:r>
      <w:r>
        <w:t xml:space="preserve">the </w:t>
      </w:r>
      <w:r w:rsidR="00E25503">
        <w:t xml:space="preserve">DAC-GT program </w:t>
      </w:r>
      <w:r>
        <w:t xml:space="preserve">requirements to </w:t>
      </w:r>
      <w:r w:rsidR="00E25503">
        <w:t>expedite the delivery of program benefits to eligible customers</w:t>
      </w:r>
      <w:r>
        <w:t xml:space="preserve">. Resolution E-4999, </w:t>
      </w:r>
      <w:r w:rsidR="001D1EF8">
        <w:t xml:space="preserve">which approved </w:t>
      </w:r>
      <w:r w:rsidR="00240660">
        <w:t>PG&amp;E</w:t>
      </w:r>
      <w:r w:rsidR="001179C8">
        <w:t xml:space="preserve">’s </w:t>
      </w:r>
      <w:r w:rsidR="00240660">
        <w:t>and SCE’s</w:t>
      </w:r>
      <w:r w:rsidR="001D1EF8">
        <w:t xml:space="preserve"> NEM </w:t>
      </w:r>
      <w:r w:rsidR="00B5017F">
        <w:t>disadvantaged community</w:t>
      </w:r>
      <w:r w:rsidR="001D1EF8">
        <w:t xml:space="preserve"> advice letters, authorized, but did not require,</w:t>
      </w:r>
      <w:r>
        <w:t xml:space="preserve"> </w:t>
      </w:r>
      <w:r w:rsidR="006D4092">
        <w:t>PG&amp;E and SCE</w:t>
      </w:r>
      <w:r>
        <w:t xml:space="preserve"> </w:t>
      </w:r>
      <w:r w:rsidR="001D1EF8">
        <w:t xml:space="preserve">to serve </w:t>
      </w:r>
      <w:r>
        <w:t>DAC-GT customers using eligible, existing resources.</w:t>
      </w:r>
      <w:r>
        <w:rPr>
          <w:rStyle w:val="FootnoteReference"/>
        </w:rPr>
        <w:footnoteReference w:id="34"/>
      </w:r>
      <w:r>
        <w:t xml:space="preserve">  </w:t>
      </w:r>
    </w:p>
    <w:p w:rsidR="008F296D" w:rsidP="008F296D" w:rsidRDefault="008F296D"/>
    <w:p w:rsidRPr="00275B12" w:rsidR="00022DDC" w:rsidP="008F296D" w:rsidRDefault="008F296D">
      <w:r w:rsidRPr="00275B12">
        <w:t xml:space="preserve">Given these uncertainties, we find it prudent </w:t>
      </w:r>
      <w:r w:rsidR="00014D28">
        <w:t xml:space="preserve">as part of our adopted bill protections approach </w:t>
      </w:r>
      <w:r w:rsidRPr="00275B12">
        <w:t xml:space="preserve">to require </w:t>
      </w:r>
      <w:r w:rsidRPr="00275B12" w:rsidR="009D5F9E">
        <w:t>PG&amp;E and SCE</w:t>
      </w:r>
      <w:r w:rsidRPr="00275B12">
        <w:t xml:space="preserve"> to provide </w:t>
      </w:r>
      <w:r w:rsidRPr="00275B12" w:rsidR="005A079E">
        <w:t xml:space="preserve">one of the following </w:t>
      </w:r>
      <w:r w:rsidRPr="00275B12" w:rsidR="00022DDC">
        <w:t xml:space="preserve">discounts </w:t>
      </w:r>
      <w:r w:rsidRPr="00275B12" w:rsidR="005A079E">
        <w:t xml:space="preserve">to every </w:t>
      </w:r>
      <w:r w:rsidRPr="00275B12" w:rsidR="00C064EB">
        <w:t xml:space="preserve">SJV </w:t>
      </w:r>
      <w:r w:rsidRPr="00275B12" w:rsidR="005A079E">
        <w:t>pilot participant</w:t>
      </w:r>
      <w:r w:rsidRPr="00275B12" w:rsidR="00C064EB">
        <w:t xml:space="preserve"> when the participant receives the first monthly bill protection discount: </w:t>
      </w:r>
      <w:r w:rsidRPr="00275B12" w:rsidR="00022DDC">
        <w:t xml:space="preserve">either a 20 percent </w:t>
      </w:r>
      <w:r w:rsidRPr="00275B12" w:rsidR="00C064EB">
        <w:t xml:space="preserve">CSGT discount </w:t>
      </w:r>
      <w:r w:rsidRPr="00275B12" w:rsidR="00477946">
        <w:t xml:space="preserve">to </w:t>
      </w:r>
      <w:r w:rsidRPr="00275B12" w:rsidR="00C064EB">
        <w:t xml:space="preserve">eligible </w:t>
      </w:r>
      <w:r w:rsidRPr="00275B12" w:rsidR="00022DDC">
        <w:t>customers</w:t>
      </w:r>
      <w:r w:rsidRPr="00275B12" w:rsidR="00C064EB">
        <w:t xml:space="preserve">; </w:t>
      </w:r>
      <w:r w:rsidRPr="00275B12" w:rsidR="00022DDC">
        <w:t xml:space="preserve">a 20 percent </w:t>
      </w:r>
      <w:r w:rsidRPr="00275B12" w:rsidR="00C064EB">
        <w:t>DAC-</w:t>
      </w:r>
      <w:r w:rsidRPr="00FA0ADB" w:rsidR="00C064EB">
        <w:t xml:space="preserve">GT discount to eligible </w:t>
      </w:r>
      <w:r w:rsidRPr="0097026C" w:rsidR="00022DDC">
        <w:t>customers</w:t>
      </w:r>
      <w:r w:rsidRPr="00577988" w:rsidR="00C064EB">
        <w:t>; or a 20 percent transitional community sol</w:t>
      </w:r>
      <w:r w:rsidRPr="003A3073" w:rsidR="00C064EB">
        <w:t>ar discount</w:t>
      </w:r>
      <w:r w:rsidRPr="003A3073" w:rsidR="00022DDC">
        <w:t>.</w:t>
      </w:r>
      <w:r w:rsidRPr="00FA0ADB" w:rsidR="00C064EB">
        <w:t xml:space="preserve"> </w:t>
      </w:r>
      <w:r w:rsidRPr="00FA0ADB" w:rsidR="00014D28">
        <w:t>This transitional community solar discount shall not apply to customers who</w:t>
      </w:r>
      <w:r w:rsidRPr="00FA0ADB" w:rsidR="00554997">
        <w:t xml:space="preserve"> have </w:t>
      </w:r>
      <w:r w:rsidRPr="00FA0ADB" w:rsidR="00E20D3C">
        <w:t xml:space="preserve">onsite </w:t>
      </w:r>
      <w:r w:rsidRPr="00FA0ADB" w:rsidR="00554997">
        <w:t xml:space="preserve">solar through </w:t>
      </w:r>
      <w:r w:rsidRPr="00FA0ADB" w:rsidR="00FF4ECF">
        <w:t>the Single-Family Affordable Solar Homes (SASH) Program or the Disadvantaged Communities SASH (DAC-SASH) Program</w:t>
      </w:r>
      <w:r w:rsidRPr="00FA0ADB" w:rsidR="00554997">
        <w:t>, or through another program</w:t>
      </w:r>
      <w:r w:rsidRPr="00FA0ADB" w:rsidR="00014D28">
        <w:t>.</w:t>
      </w:r>
    </w:p>
    <w:p w:rsidRPr="00275B12" w:rsidR="00022DDC" w:rsidP="008F296D" w:rsidRDefault="00022DDC"/>
    <w:p w:rsidRPr="00275B12" w:rsidR="00A14E8C" w:rsidP="008F296D" w:rsidRDefault="00E00AD3">
      <w:r w:rsidRPr="00275B12">
        <w:t xml:space="preserve">We find that it is reasonable </w:t>
      </w:r>
      <w:r w:rsidR="00CC46A7">
        <w:t xml:space="preserve">that as part of our adopted bill protections approach </w:t>
      </w:r>
      <w:r w:rsidRPr="00275B12" w:rsidR="00164A59">
        <w:t xml:space="preserve">for PG&amp;E and SCE to </w:t>
      </w:r>
      <w:r w:rsidRPr="00275B12" w:rsidR="001D65B4">
        <w:t>provide a</w:t>
      </w:r>
      <w:r w:rsidRPr="00275B12">
        <w:t xml:space="preserve"> transitional </w:t>
      </w:r>
      <w:r w:rsidRPr="00275B12" w:rsidR="000C1B09">
        <w:t xml:space="preserve">community </w:t>
      </w:r>
      <w:r w:rsidRPr="00275B12">
        <w:t>solar discount</w:t>
      </w:r>
      <w:r w:rsidRPr="00275B12" w:rsidR="001D65B4">
        <w:t xml:space="preserve"> to </w:t>
      </w:r>
      <w:r w:rsidRPr="00275B12" w:rsidR="00DB1CCE">
        <w:t xml:space="preserve">SJV </w:t>
      </w:r>
      <w:r w:rsidRPr="00275B12" w:rsidR="001D65B4">
        <w:t xml:space="preserve">pilot customers </w:t>
      </w:r>
      <w:r w:rsidRPr="00275B12" w:rsidR="006A38B3">
        <w:t>if</w:t>
      </w:r>
      <w:r w:rsidRPr="00275B12" w:rsidR="0095749A">
        <w:t xml:space="preserve"> CSGT and DAC-GT </w:t>
      </w:r>
      <w:r w:rsidRPr="00275B12" w:rsidR="000E5245">
        <w:t>are</w:t>
      </w:r>
      <w:r w:rsidRPr="00275B12" w:rsidR="00A422A7">
        <w:t xml:space="preserve"> </w:t>
      </w:r>
      <w:r w:rsidRPr="00275B12" w:rsidR="00022DDC">
        <w:t xml:space="preserve">both </w:t>
      </w:r>
      <w:r w:rsidRPr="00275B12" w:rsidR="0095749A">
        <w:t>unavailable</w:t>
      </w:r>
      <w:r w:rsidRPr="00275B12" w:rsidR="00022DDC">
        <w:t>, or DAC-GT is available but the customer is not eligible</w:t>
      </w:r>
      <w:r w:rsidRPr="00275B12" w:rsidR="00275B12">
        <w:t xml:space="preserve">, in order to mitigate the increased likelihood that </w:t>
      </w:r>
      <w:r w:rsidR="00275B12">
        <w:t xml:space="preserve">the </w:t>
      </w:r>
      <w:r w:rsidRPr="00275B12" w:rsidR="00275B12">
        <w:t>pilot customer will not save on their overall energy costs.</w:t>
      </w:r>
      <w:r w:rsidRPr="00275B12" w:rsidR="0018285B">
        <w:t xml:space="preserve"> </w:t>
      </w:r>
      <w:r w:rsidRPr="00275B12" w:rsidR="00A14E8C">
        <w:t>All part</w:t>
      </w:r>
      <w:r w:rsidR="004B1BC9">
        <w:t>ies’</w:t>
      </w:r>
      <w:r w:rsidRPr="00275B12" w:rsidR="00A14E8C">
        <w:t xml:space="preserve"> bill protection </w:t>
      </w:r>
      <w:r w:rsidRPr="00275B12" w:rsidR="00B17AF5">
        <w:t xml:space="preserve">energy </w:t>
      </w:r>
      <w:r w:rsidRPr="00275B12" w:rsidR="00A14E8C">
        <w:t xml:space="preserve">cost saving models show that the absence of a 20 percent CSGT or DAC-GT discount puts </w:t>
      </w:r>
      <w:r w:rsidRPr="00275B12" w:rsidR="00281F33">
        <w:t xml:space="preserve">some </w:t>
      </w:r>
      <w:r w:rsidRPr="00275B12" w:rsidR="00A14E8C">
        <w:t>pilot customers at</w:t>
      </w:r>
      <w:r w:rsidRPr="00275B12" w:rsidR="0056391F">
        <w:t xml:space="preserve"> greater</w:t>
      </w:r>
      <w:r w:rsidRPr="00275B12" w:rsidR="00A14E8C">
        <w:t xml:space="preserve"> risk for paying more on their energy costs </w:t>
      </w:r>
      <w:r w:rsidRPr="00275B12" w:rsidR="00B41E6E">
        <w:t>post-pilot compared to pre-pilot.</w:t>
      </w:r>
      <w:r w:rsidRPr="00275B12" w:rsidR="00AD4D97">
        <w:t xml:space="preserve"> </w:t>
      </w:r>
    </w:p>
    <w:p w:rsidRPr="007774FD" w:rsidR="00A14E8C" w:rsidP="008F296D" w:rsidRDefault="00A14E8C"/>
    <w:p w:rsidR="00EB703B" w:rsidP="008F296D" w:rsidRDefault="007774FD">
      <w:r w:rsidRPr="007774FD">
        <w:t xml:space="preserve">If a customer receives a </w:t>
      </w:r>
      <w:r w:rsidRPr="007774FD" w:rsidR="008F296D">
        <w:t>transitional 20</w:t>
      </w:r>
      <w:r w:rsidRPr="007774FD" w:rsidR="007B543B">
        <w:t xml:space="preserve"> p</w:t>
      </w:r>
      <w:r w:rsidRPr="007774FD" w:rsidR="00CA13FB">
        <w:t>ercent</w:t>
      </w:r>
      <w:r w:rsidRPr="007774FD" w:rsidR="006C5D86">
        <w:t xml:space="preserve"> </w:t>
      </w:r>
      <w:r w:rsidRPr="007774FD" w:rsidR="008F296D">
        <w:t>community solar discount</w:t>
      </w:r>
      <w:r w:rsidRPr="007774FD">
        <w:t xml:space="preserve">, it </w:t>
      </w:r>
      <w:r w:rsidRPr="007774FD" w:rsidR="008F296D">
        <w:t xml:space="preserve">shall be </w:t>
      </w:r>
      <w:r w:rsidRPr="007774FD" w:rsidR="00A92DA9">
        <w:t xml:space="preserve">included on the </w:t>
      </w:r>
      <w:r w:rsidRPr="007774FD" w:rsidR="3F4694A0">
        <w:t xml:space="preserve">pilot </w:t>
      </w:r>
      <w:r w:rsidRPr="007774FD" w:rsidR="00A92DA9">
        <w:t xml:space="preserve">participant's electricity bill </w:t>
      </w:r>
      <w:r w:rsidRPr="007774FD" w:rsidR="006C5D86">
        <w:t xml:space="preserve">starting </w:t>
      </w:r>
      <w:r w:rsidRPr="007774FD" w:rsidR="008F296D">
        <w:t>the same month that the 20</w:t>
      </w:r>
      <w:r w:rsidRPr="007774FD" w:rsidR="007B543B">
        <w:t xml:space="preserve"> percent </w:t>
      </w:r>
      <w:r w:rsidRPr="007774FD" w:rsidR="008F296D">
        <w:t xml:space="preserve">bill protection discount is triggered. PG&amp;E and SCE are directed to transition the customers to the DAC-GT program or CSGT program when </w:t>
      </w:r>
      <w:r w:rsidRPr="007774FD" w:rsidR="22206AF4">
        <w:t xml:space="preserve">and if </w:t>
      </w:r>
      <w:r w:rsidRPr="007774FD" w:rsidR="008F296D">
        <w:t>those programs become available to each community</w:t>
      </w:r>
      <w:r w:rsidRPr="007774FD" w:rsidR="00D0080F">
        <w:t>, and as applicable based on the customer’s eligibility for each program</w:t>
      </w:r>
      <w:r w:rsidRPr="007774FD" w:rsidR="008F296D">
        <w:t xml:space="preserve">. </w:t>
      </w:r>
    </w:p>
    <w:p w:rsidR="00EB703B" w:rsidP="008F296D" w:rsidRDefault="00EB703B"/>
    <w:p w:rsidR="002A7ECD" w:rsidP="008F296D" w:rsidRDefault="4E8EF65D">
      <w:r>
        <w:t>If the CSGT or DAC-GT programs never become available for any given participant during the bill protection period (i.e., 10 years from the first month the bill protection discount goes into effect), or if DAC-GT becomes available but the customer is not eligible, PG&amp;E and SCE are directed to provide the transitional 20 percent community solar discount for the pilot customer for the 10-year duration of the bill protection period</w:t>
      </w:r>
      <w:r w:rsidR="00FF4ECF">
        <w:t xml:space="preserve">, unless the customer </w:t>
      </w:r>
      <w:r w:rsidR="0097026C">
        <w:t>installs</w:t>
      </w:r>
      <w:r w:rsidR="00CC46A7">
        <w:t xml:space="preserve"> onsite solar,</w:t>
      </w:r>
      <w:r w:rsidR="00FF4ECF">
        <w:t xml:space="preserve"> in which case the transitional community solar discount shall be terminated</w:t>
      </w:r>
      <w:r w:rsidR="00E5373B">
        <w:t xml:space="preserve"> when the customer receives </w:t>
      </w:r>
      <w:r w:rsidR="00CE0D92">
        <w:t>the</w:t>
      </w:r>
      <w:r w:rsidR="00CC46A7">
        <w:t xml:space="preserve"> first net energy metering bill</w:t>
      </w:r>
      <w:r w:rsidR="00FF4ECF">
        <w:t>.</w:t>
      </w:r>
      <w:r>
        <w:t xml:space="preserve"> The funding recommendation for the transitional community solar discounts is discussed in the next section.</w:t>
      </w:r>
    </w:p>
    <w:p w:rsidR="007E2CD7" w:rsidP="008F296D" w:rsidRDefault="007E2CD7"/>
    <w:p w:rsidRPr="00170151" w:rsidR="60E77224" w:rsidP="4E8EF65D" w:rsidRDefault="4E8EF65D">
      <w:pPr>
        <w:rPr>
          <w:u w:val="single"/>
        </w:rPr>
      </w:pPr>
      <w:r w:rsidRPr="4E8EF65D">
        <w:rPr>
          <w:u w:val="single"/>
        </w:rPr>
        <w:t>Funding Recommendation for PG&amp;E and SCE Bill Protection and Transitional Community Solar Discounts</w:t>
      </w:r>
    </w:p>
    <w:p w:rsidRPr="00170151" w:rsidR="00932333" w:rsidP="4E8EF65D" w:rsidRDefault="00932333">
      <w:pPr>
        <w:rPr>
          <w:highlight w:val="yellow"/>
        </w:rPr>
      </w:pPr>
      <w:r w:rsidRPr="4E8EF65D">
        <w:t xml:space="preserve">The SJV Pilots Decision stated that it would be premature to approve any bill protection proposals that were submitted leading up the Decision’s issuance because </w:t>
      </w:r>
      <w:r w:rsidRPr="4E8EF65D" w:rsidR="00C4329B">
        <w:t xml:space="preserve">it was not clear which </w:t>
      </w:r>
      <w:r w:rsidRPr="4E8EF65D" w:rsidR="0076520E">
        <w:t xml:space="preserve">approach, if any, was the best </w:t>
      </w:r>
      <w:r w:rsidRPr="4E8EF65D" w:rsidR="00BF62EC">
        <w:t xml:space="preserve">given the amount of information available at that time. The SJV Pilots Decision </w:t>
      </w:r>
      <w:r w:rsidRPr="4E8EF65D" w:rsidR="00743E27">
        <w:t xml:space="preserve">instead stated that the topic of bill protections would benefit from an in-depth workshop discussion in order to </w:t>
      </w:r>
      <w:r w:rsidRPr="4E8EF65D" w:rsidR="4E8EF65D">
        <w:rPr>
          <w:rFonts w:eastAsia="Palatino" w:cs="Palatino"/>
          <w:szCs w:val="26"/>
        </w:rPr>
        <w:t>ensure that some level of bill protection costs was accounted for in the pilot budgets</w:t>
      </w:r>
      <w:r w:rsidRPr="4E8EF65D" w:rsidR="00743E27">
        <w:t>.</w:t>
      </w:r>
      <w:r w:rsidRPr="4E8EF65D" w:rsidR="000C7CAC">
        <w:rPr>
          <w:rStyle w:val="FootnoteReference"/>
        </w:rPr>
        <w:footnoteReference w:id="35"/>
      </w:r>
      <w:r w:rsidRPr="4E8EF65D" w:rsidR="000B4DBC">
        <w:t xml:space="preserve"> The SJV Pilots Decision authorized up to $500 per participating household that receives appliance upgrades and identified the $500 as a starting point for the possible per household costs.</w:t>
      </w:r>
      <w:r w:rsidRPr="4E8EF65D" w:rsidR="000B4DBC">
        <w:rPr>
          <w:rStyle w:val="FootnoteReference"/>
        </w:rPr>
        <w:footnoteReference w:id="36"/>
      </w:r>
      <w:r w:rsidRPr="4E8EF65D" w:rsidR="000B4DBC">
        <w:t xml:space="preserve"> </w:t>
      </w:r>
      <w:r w:rsidR="00745A5D">
        <w:t>At $500 per household, t</w:t>
      </w:r>
      <w:r w:rsidR="00B9787D">
        <w:t>h</w:t>
      </w:r>
      <w:r w:rsidR="00C352F0">
        <w:t>e</w:t>
      </w:r>
      <w:r w:rsidR="00B9787D">
        <w:t xml:space="preserve"> total </w:t>
      </w:r>
      <w:r w:rsidR="00C352F0">
        <w:t xml:space="preserve">bill protection </w:t>
      </w:r>
      <w:r w:rsidR="00B9787D">
        <w:t>authorization</w:t>
      </w:r>
      <w:r w:rsidR="00C352F0">
        <w:t xml:space="preserve"> per the SJV Pilots Decision is </w:t>
      </w:r>
      <w:r w:rsidR="005522B8">
        <w:t>$6</w:t>
      </w:r>
      <w:r w:rsidR="00BF12B1">
        <w:t>62</w:t>
      </w:r>
      <w:r w:rsidR="005522B8">
        <w:t>,00</w:t>
      </w:r>
      <w:r w:rsidR="002C2AA5">
        <w:t xml:space="preserve">0 for </w:t>
      </w:r>
      <w:r w:rsidR="00745A5D">
        <w:t xml:space="preserve">pilots in </w:t>
      </w:r>
      <w:r w:rsidR="002C2AA5">
        <w:t>PG&amp;E</w:t>
      </w:r>
      <w:r w:rsidR="00745A5D">
        <w:t xml:space="preserve"> territory</w:t>
      </w:r>
      <w:r w:rsidR="002C2AA5">
        <w:t xml:space="preserve"> and $224,500 for </w:t>
      </w:r>
      <w:r w:rsidR="00745A5D">
        <w:t>pilots in SCE territory</w:t>
      </w:r>
      <w:r w:rsidR="00C352F0">
        <w:t>.</w:t>
      </w:r>
    </w:p>
    <w:p w:rsidRPr="00170151" w:rsidR="00743E27" w:rsidP="00932333" w:rsidRDefault="00743E27">
      <w:pPr>
        <w:rPr>
          <w:highlight w:val="yellow"/>
        </w:rPr>
      </w:pPr>
    </w:p>
    <w:p w:rsidRPr="00170151" w:rsidR="00743E27" w:rsidP="00932333" w:rsidRDefault="4E8EF65D">
      <w:pPr>
        <w:rPr>
          <w:highlight w:val="yellow"/>
        </w:rPr>
      </w:pPr>
      <w:r>
        <w:t xml:space="preserve">The </w:t>
      </w:r>
      <w:r w:rsidR="00044116">
        <w:t xml:space="preserve">SJV Pilots </w:t>
      </w:r>
      <w:r>
        <w:t xml:space="preserve">Decision directed PG&amp;E, SCE and SoCalGas to host a workshop and to present proposed bill protection approaches explaining the data, modeling, and assumptions used to develop these proposals within 45 days of the issuance of the </w:t>
      </w:r>
      <w:r w:rsidR="002E4432">
        <w:t>d</w:t>
      </w:r>
      <w:r>
        <w:t>ecision. PG&amp;E, SCE, and SoCalGas hosted a workshop on February 1, 2019, during which the IOUs and other stakeholders presented bill protection proposals and feedback was exchanged. The IOUs hosted a follow-up workshop on February 25, 2019 to further solicit feedback and refine proposals and analysis.</w:t>
      </w:r>
    </w:p>
    <w:p w:rsidRPr="00170151" w:rsidR="00F73D66" w:rsidRDefault="00F73D66">
      <w:pPr>
        <w:rPr>
          <w:highlight w:val="yellow"/>
        </w:rPr>
      </w:pPr>
    </w:p>
    <w:p w:rsidR="001A6144" w:rsidRDefault="4E8EF65D">
      <w:r>
        <w:t xml:space="preserve">Since the SJV Pilots Decision was issued, parties have conducted extensive analysis on the topic of bill protections for SJV pilot customers pursuant to the </w:t>
      </w:r>
      <w:r w:rsidR="00044116">
        <w:t>d</w:t>
      </w:r>
      <w:r>
        <w:t>ecision. This analysis has informed the bill protection</w:t>
      </w:r>
      <w:r w:rsidR="00CC46A7">
        <w:t xml:space="preserve"> approach</w:t>
      </w:r>
      <w:r>
        <w:t xml:space="preserve"> </w:t>
      </w:r>
      <w:r w:rsidR="00044116">
        <w:t xml:space="preserve">authorized </w:t>
      </w:r>
      <w:r>
        <w:t xml:space="preserve">in this Resolution. Based on </w:t>
      </w:r>
      <w:r w:rsidR="00D61B03">
        <w:t xml:space="preserve">parties' </w:t>
      </w:r>
      <w:r>
        <w:t xml:space="preserve">analysis, we </w:t>
      </w:r>
      <w:r w:rsidR="00D61B03">
        <w:t xml:space="preserve">have a good </w:t>
      </w:r>
      <w:r>
        <w:t xml:space="preserve">sense of </w:t>
      </w:r>
      <w:r w:rsidR="00D61B03">
        <w:t xml:space="preserve">the total costs of </w:t>
      </w:r>
      <w:r>
        <w:t xml:space="preserve">a </w:t>
      </w:r>
      <w:r w:rsidR="00CC46A7">
        <w:t xml:space="preserve">portion of the </w:t>
      </w:r>
      <w:r>
        <w:t>bill protections approach that will ensure energy cost savings for SJV pilot participants.</w:t>
      </w:r>
    </w:p>
    <w:p w:rsidRPr="00170151" w:rsidR="006B3CE6" w:rsidRDefault="006B3CE6">
      <w:pPr>
        <w:rPr>
          <w:highlight w:val="yellow"/>
        </w:rPr>
      </w:pPr>
    </w:p>
    <w:p w:rsidR="0022720E" w:rsidRDefault="4E8EF65D">
      <w:r>
        <w:t xml:space="preserve">We recommend the Commission modify the SJV Pilots Decision to allow PG&amp;E and SCE to recover </w:t>
      </w:r>
      <w:r w:rsidR="00D61B03">
        <w:t xml:space="preserve">the </w:t>
      </w:r>
      <w:r>
        <w:t xml:space="preserve">costs associated with the </w:t>
      </w:r>
      <w:r w:rsidR="00CC46A7">
        <w:t xml:space="preserve">20 percent </w:t>
      </w:r>
      <w:r>
        <w:t xml:space="preserve">bill protection </w:t>
      </w:r>
      <w:r w:rsidR="00750B96">
        <w:t>approach</w:t>
      </w:r>
      <w:r>
        <w:t xml:space="preserve"> authorized in this Resolution that</w:t>
      </w:r>
      <w:r w:rsidR="00D61B03">
        <w:t xml:space="preserve"> </w:t>
      </w:r>
      <w:r>
        <w:t xml:space="preserve">exceed the total bill protection funding </w:t>
      </w:r>
      <w:r w:rsidR="00C43DA2">
        <w:t xml:space="preserve">approved </w:t>
      </w:r>
      <w:r>
        <w:t xml:space="preserve">in the SJV Pilots Decision. </w:t>
      </w:r>
    </w:p>
    <w:p w:rsidR="0022720E" w:rsidRDefault="0022720E"/>
    <w:p w:rsidR="00072D6A" w:rsidRDefault="007D4FA2">
      <w:r>
        <w:t xml:space="preserve">At this time, we do not have </w:t>
      </w:r>
      <w:r w:rsidR="0038692C">
        <w:t xml:space="preserve">sufficient </w:t>
      </w:r>
      <w:r>
        <w:t xml:space="preserve">data </w:t>
      </w:r>
      <w:r w:rsidR="00E8033B">
        <w:t xml:space="preserve">to project </w:t>
      </w:r>
      <w:r w:rsidR="008C289D">
        <w:t xml:space="preserve">the costs associated with </w:t>
      </w:r>
      <w:r w:rsidR="00CC46A7">
        <w:t xml:space="preserve">the portion of the bill protections approach that provides a </w:t>
      </w:r>
      <w:r>
        <w:t>transitional community solar discount</w:t>
      </w:r>
      <w:r w:rsidR="00B31416">
        <w:t xml:space="preserve">s for pilot participants. </w:t>
      </w:r>
      <w:r w:rsidR="002E28D5">
        <w:t xml:space="preserve">We recommend </w:t>
      </w:r>
      <w:r w:rsidR="00C43DA2">
        <w:t xml:space="preserve">that </w:t>
      </w:r>
      <w:r w:rsidR="002E28D5">
        <w:t>the Commission seek party input on this topic.</w:t>
      </w:r>
      <w:r w:rsidR="00902D69">
        <w:t xml:space="preserve"> Once </w:t>
      </w:r>
      <w:r w:rsidR="00CF3946">
        <w:t xml:space="preserve">we have </w:t>
      </w:r>
      <w:r w:rsidR="004B097D">
        <w:t>more information</w:t>
      </w:r>
      <w:r w:rsidR="00CF3946">
        <w:t xml:space="preserve"> on the record, w</w:t>
      </w:r>
      <w:r w:rsidR="00902D69">
        <w:t>e</w:t>
      </w:r>
      <w:r w:rsidR="00D54C86">
        <w:t xml:space="preserve"> </w:t>
      </w:r>
      <w:r w:rsidR="00902D69">
        <w:t>recommend</w:t>
      </w:r>
      <w:r w:rsidR="00C43DA2">
        <w:t xml:space="preserve"> that </w:t>
      </w:r>
      <w:r w:rsidR="00902D69">
        <w:t>the Commission modify the SJV Pilots Decision to allow PG&amp;E and SCE to recover costs associated with the transitional community solar discounts</w:t>
      </w:r>
      <w:r w:rsidR="00F55833">
        <w:t xml:space="preserve"> portion of the bill protections approach</w:t>
      </w:r>
      <w:r w:rsidR="00902D69">
        <w:t xml:space="preserve"> authorized in this Resolution.</w:t>
      </w:r>
    </w:p>
    <w:p w:rsidR="00E71919" w:rsidRDefault="00E71919"/>
    <w:p w:rsidRPr="00063234" w:rsidR="00AC4122" w:rsidP="008F296D" w:rsidRDefault="00063234">
      <w:pPr>
        <w:rPr>
          <w:u w:val="single"/>
        </w:rPr>
      </w:pPr>
      <w:r w:rsidRPr="00063234">
        <w:rPr>
          <w:u w:val="single"/>
        </w:rPr>
        <w:t xml:space="preserve">Bill Protection </w:t>
      </w:r>
      <w:r w:rsidR="00750B96">
        <w:rPr>
          <w:u w:val="single"/>
        </w:rPr>
        <w:t>Approach</w:t>
      </w:r>
      <w:r w:rsidRPr="00063234">
        <w:rPr>
          <w:u w:val="single"/>
        </w:rPr>
        <w:t xml:space="preserve"> </w:t>
      </w:r>
      <w:r w:rsidR="00636DBB">
        <w:rPr>
          <w:u w:val="single"/>
        </w:rPr>
        <w:t>t</w:t>
      </w:r>
      <w:r w:rsidR="00797B2D">
        <w:rPr>
          <w:u w:val="single"/>
        </w:rPr>
        <w:t xml:space="preserve">o </w:t>
      </w:r>
      <w:r w:rsidR="00636DBB">
        <w:rPr>
          <w:u w:val="single"/>
        </w:rPr>
        <w:t>b</w:t>
      </w:r>
      <w:r w:rsidR="00797B2D">
        <w:rPr>
          <w:u w:val="single"/>
        </w:rPr>
        <w:t xml:space="preserve">e </w:t>
      </w:r>
      <w:r w:rsidR="004232A5">
        <w:rPr>
          <w:u w:val="single"/>
        </w:rPr>
        <w:t>Linked to</w:t>
      </w:r>
      <w:r w:rsidR="00A83CD0">
        <w:rPr>
          <w:u w:val="single"/>
        </w:rPr>
        <w:t xml:space="preserve"> Customer </w:t>
      </w:r>
      <w:r w:rsidR="00F2554D">
        <w:rPr>
          <w:u w:val="single"/>
        </w:rPr>
        <w:t>Service Agreement</w:t>
      </w:r>
    </w:p>
    <w:p w:rsidR="00100DA3" w:rsidP="008F296D" w:rsidRDefault="00EA1C2C">
      <w:r>
        <w:t xml:space="preserve">No parties commented on whether a bill protection </w:t>
      </w:r>
      <w:r w:rsidR="00750B96">
        <w:t>approach</w:t>
      </w:r>
      <w:r>
        <w:t xml:space="preserve"> should be </w:t>
      </w:r>
      <w:r w:rsidR="00D76977">
        <w:t>a</w:t>
      </w:r>
      <w:r w:rsidR="00A83CD0">
        <w:t>ssociated</w:t>
      </w:r>
      <w:r w:rsidR="00D76977">
        <w:t xml:space="preserve"> with the </w:t>
      </w:r>
      <w:r w:rsidR="00FF7034">
        <w:t>customer service agreement</w:t>
      </w:r>
      <w:r w:rsidR="00D76977">
        <w:t xml:space="preserve"> or the meter associated with the house </w:t>
      </w:r>
      <w:r w:rsidR="00084897">
        <w:t xml:space="preserve">that is receiving the electrification treatment. We </w:t>
      </w:r>
      <w:r w:rsidR="00A672C7">
        <w:t>clarify here that the bill protection discount</w:t>
      </w:r>
      <w:r w:rsidR="6B31ABC4">
        <w:t>, and transitional community solar discount,</w:t>
      </w:r>
      <w:r w:rsidR="00A672C7">
        <w:t xml:space="preserve"> shall be associated with the </w:t>
      </w:r>
      <w:r w:rsidR="00F2554D">
        <w:t>customer service agreement</w:t>
      </w:r>
      <w:r w:rsidR="00A672C7">
        <w:t xml:space="preserve"> at the time of </w:t>
      </w:r>
      <w:r w:rsidR="00520988">
        <w:t xml:space="preserve">pilot enrollment. Given that the bill protection </w:t>
      </w:r>
      <w:r w:rsidR="00750B96">
        <w:t>approach</w:t>
      </w:r>
      <w:r w:rsidR="00405D76">
        <w:t xml:space="preserve"> </w:t>
      </w:r>
      <w:r w:rsidR="00415C3D">
        <w:t>i</w:t>
      </w:r>
      <w:r w:rsidR="00405D76">
        <w:t xml:space="preserve">s </w:t>
      </w:r>
      <w:r w:rsidR="00415C3D">
        <w:t>i</w:t>
      </w:r>
      <w:r w:rsidR="00405D76">
        <w:t xml:space="preserve">ntended to </w:t>
      </w:r>
      <w:r w:rsidR="004B5946">
        <w:t xml:space="preserve">mitigate potential </w:t>
      </w:r>
      <w:r w:rsidR="000D0432">
        <w:t xml:space="preserve">energy cost </w:t>
      </w:r>
      <w:r w:rsidR="00A154DB">
        <w:t>i</w:t>
      </w:r>
      <w:r w:rsidR="00D92992">
        <w:t xml:space="preserve">ncreases </w:t>
      </w:r>
      <w:r w:rsidR="00563EA3">
        <w:t xml:space="preserve">between a </w:t>
      </w:r>
      <w:r w:rsidR="00653B67">
        <w:t>pilot participant’s</w:t>
      </w:r>
      <w:r w:rsidR="000D0432">
        <w:t xml:space="preserve"> pre-pilot costs</w:t>
      </w:r>
      <w:r w:rsidR="00563EA3">
        <w:t xml:space="preserve"> and post-pilot costs</w:t>
      </w:r>
      <w:r w:rsidR="00D92992">
        <w:t>, i</w:t>
      </w:r>
      <w:r w:rsidR="00405D76">
        <w:t>t makes sense that the bill protection</w:t>
      </w:r>
      <w:r w:rsidR="00D1556A">
        <w:t xml:space="preserve"> </w:t>
      </w:r>
      <w:r w:rsidR="00405D76">
        <w:t xml:space="preserve">discount </w:t>
      </w:r>
      <w:r w:rsidR="6B31ABC4">
        <w:t xml:space="preserve">and transitional community solar discount </w:t>
      </w:r>
      <w:r w:rsidR="00405D76">
        <w:t xml:space="preserve">would be </w:t>
      </w:r>
      <w:r w:rsidR="00797B2D">
        <w:t>linked to the</w:t>
      </w:r>
      <w:r w:rsidR="00405D76">
        <w:t xml:space="preserve"> household that </w:t>
      </w:r>
      <w:r w:rsidR="00D92992">
        <w:t>i</w:t>
      </w:r>
      <w:r w:rsidR="00405D76">
        <w:t>ncur</w:t>
      </w:r>
      <w:r w:rsidR="00E83503">
        <w:t>s</w:t>
      </w:r>
      <w:r w:rsidR="00405D76">
        <w:t xml:space="preserve"> </w:t>
      </w:r>
      <w:r w:rsidR="000179AA">
        <w:t>th</w:t>
      </w:r>
      <w:r w:rsidR="00653B67">
        <w:t xml:space="preserve">ese </w:t>
      </w:r>
      <w:r w:rsidR="4332C928">
        <w:t xml:space="preserve">energy </w:t>
      </w:r>
      <w:r w:rsidR="00653B67">
        <w:t>costs</w:t>
      </w:r>
      <w:r w:rsidR="00B30AAB">
        <w:t>.</w:t>
      </w:r>
      <w:r w:rsidR="004232A5">
        <w:t xml:space="preserve"> </w:t>
      </w:r>
    </w:p>
    <w:p w:rsidR="00642A66" w:rsidP="008F296D" w:rsidRDefault="00642A66"/>
    <w:p w:rsidRPr="00900E9A" w:rsidR="00900E9A" w:rsidP="00900E9A" w:rsidRDefault="00642A66">
      <w:r>
        <w:t xml:space="preserve">If the </w:t>
      </w:r>
      <w:r w:rsidR="00F2554D">
        <w:t>customer service agreement changes</w:t>
      </w:r>
      <w:r>
        <w:t xml:space="preserve"> during the 10-year bill protection period, the bill protection discount </w:t>
      </w:r>
      <w:r w:rsidR="6789C4A5">
        <w:t xml:space="preserve">and transitional </w:t>
      </w:r>
      <w:r w:rsidR="4332C928">
        <w:t xml:space="preserve">community </w:t>
      </w:r>
      <w:r w:rsidR="6789C4A5">
        <w:t xml:space="preserve">solar discount </w:t>
      </w:r>
      <w:r>
        <w:t xml:space="preserve">shall be </w:t>
      </w:r>
      <w:r w:rsidR="00653B67">
        <w:t>terminated</w:t>
      </w:r>
      <w:r>
        <w:t>.</w:t>
      </w:r>
      <w:r w:rsidR="00FF7034">
        <w:t xml:space="preserve"> A</w:t>
      </w:r>
      <w:r w:rsidR="00F2554D">
        <w:t xml:space="preserve"> </w:t>
      </w:r>
      <w:r>
        <w:t xml:space="preserve">customer </w:t>
      </w:r>
      <w:r w:rsidR="00FF7034">
        <w:t xml:space="preserve">with a different service agreement </w:t>
      </w:r>
      <w:r>
        <w:t>moving into</w:t>
      </w:r>
      <w:r w:rsidR="00E623A4">
        <w:t xml:space="preserve"> an electrified</w:t>
      </w:r>
      <w:r>
        <w:t xml:space="preserve"> house shall not receive a bill protection discount</w:t>
      </w:r>
      <w:r w:rsidR="6789C4A5">
        <w:t xml:space="preserve"> or transitional </w:t>
      </w:r>
      <w:r w:rsidR="4332C928">
        <w:t xml:space="preserve">community </w:t>
      </w:r>
      <w:r w:rsidR="6789C4A5">
        <w:t>solar discount</w:t>
      </w:r>
      <w:r w:rsidR="00065E66">
        <w:t>.</w:t>
      </w:r>
      <w:r w:rsidR="2D88D89E">
        <w:t xml:space="preserve"> </w:t>
      </w:r>
    </w:p>
    <w:p w:rsidRPr="008D3E7B" w:rsidR="008F296D" w:rsidP="60E77224" w:rsidRDefault="008F296D"/>
    <w:p w:rsidRPr="00620361" w:rsidR="008F296D" w:rsidP="008F296D" w:rsidRDefault="008F296D">
      <w:pPr>
        <w:rPr>
          <w:b/>
          <w:bCs/>
          <w:u w:val="single"/>
        </w:rPr>
      </w:pPr>
      <w:r w:rsidRPr="00620361">
        <w:rPr>
          <w:b/>
          <w:bCs/>
        </w:rPr>
        <w:t>i</w:t>
      </w:r>
      <w:r w:rsidRPr="00620361" w:rsidR="00262CD2">
        <w:rPr>
          <w:b/>
          <w:bCs/>
        </w:rPr>
        <w:t>v</w:t>
      </w:r>
      <w:r w:rsidRPr="00620361">
        <w:rPr>
          <w:b/>
          <w:bCs/>
        </w:rPr>
        <w:t xml:space="preserve">. </w:t>
      </w:r>
      <w:r w:rsidRPr="00620361">
        <w:rPr>
          <w:b/>
          <w:bCs/>
        </w:rPr>
        <w:tab/>
        <w:t>Approval of SoCalGas Advice Letter 5439-G</w:t>
      </w:r>
    </w:p>
    <w:p w:rsidR="008F296D" w:rsidP="008F296D" w:rsidRDefault="008F296D"/>
    <w:p w:rsidR="008F296D" w:rsidP="008F296D" w:rsidRDefault="008F296D">
      <w:r>
        <w:t xml:space="preserve">The Commission approves SoCalGas’s advice letter 5439-G as filed. </w:t>
      </w:r>
      <w:r w:rsidRPr="008D3E7B">
        <w:t xml:space="preserve">In </w:t>
      </w:r>
      <w:r>
        <w:t xml:space="preserve">SJV </w:t>
      </w:r>
      <w:r w:rsidRPr="008D3E7B">
        <w:t>proceeding</w:t>
      </w:r>
      <w:r>
        <w:t xml:space="preserve"> R.15-03-010, there was </w:t>
      </w:r>
      <w:r w:rsidRPr="008D3E7B">
        <w:t xml:space="preserve">general consensus </w:t>
      </w:r>
      <w:r>
        <w:t xml:space="preserve">among parties </w:t>
      </w:r>
      <w:r w:rsidRPr="008D3E7B">
        <w:t xml:space="preserve">that customers would save </w:t>
      </w:r>
      <w:r>
        <w:t xml:space="preserve">on pre-pilot to post-pilot energy costs </w:t>
      </w:r>
      <w:r w:rsidRPr="008D3E7B">
        <w:t>by switching to natural gas</w:t>
      </w:r>
      <w:r>
        <w:t xml:space="preserve"> from propane and wood-burning fuel. In its protest to SoCalGas’ advice letter, the Pilot Team states that the Commission must ensure reasonable bill savings that are at least as low as the natural gas rate. SoCalGas points out in its reply that, in effect, its pilot i</w:t>
      </w:r>
      <w:r w:rsidR="005A6E82">
        <w:t>n</w:t>
      </w:r>
      <w:r>
        <w:t xml:space="preserve"> California City is doing just that by substituting natural gas for propane and wood-burning </w:t>
      </w:r>
      <w:r w:rsidR="009D09A2">
        <w:t>fuel sources</w:t>
      </w:r>
      <w:r>
        <w:t>.</w:t>
      </w:r>
    </w:p>
    <w:p w:rsidR="008F296D" w:rsidP="008F296D" w:rsidRDefault="008F296D"/>
    <w:p w:rsidR="003F29AD" w:rsidP="008F296D" w:rsidRDefault="008F296D">
      <w:r>
        <w:t xml:space="preserve">The Pilot Team’s Monte Carlo simulation also shows that under the scenario </w:t>
      </w:r>
      <w:r w:rsidR="0055414F">
        <w:t xml:space="preserve">with the lowest propane assumption </w:t>
      </w:r>
      <w:r>
        <w:t>(in which propane is estimated to be $500 annually), 95</w:t>
      </w:r>
      <w:r w:rsidR="007B543B">
        <w:t xml:space="preserve"> percent</w:t>
      </w:r>
      <w:r>
        <w:t xml:space="preserve"> of their 10,000 simulations demonstrate that CARE and non-CARE customers will save on their energy costs.</w:t>
      </w:r>
      <w:r>
        <w:rPr>
          <w:rStyle w:val="FootnoteReference"/>
        </w:rPr>
        <w:footnoteReference w:id="37"/>
      </w:r>
      <w:r>
        <w:t xml:space="preserve"> </w:t>
      </w:r>
    </w:p>
    <w:p w:rsidR="003F29AD" w:rsidP="008F296D" w:rsidRDefault="003F29AD"/>
    <w:p w:rsidRPr="00771B27" w:rsidR="00962989" w:rsidP="004E1C7A" w:rsidRDefault="36AAEE92">
      <w:r w:rsidRPr="00156852">
        <w:t>Since</w:t>
      </w:r>
      <w:r w:rsidRPr="00156852" w:rsidR="001A0203">
        <w:t xml:space="preserve"> parties to the SJV proceeding have </w:t>
      </w:r>
      <w:r w:rsidRPr="00156852" w:rsidR="00DD3179">
        <w:t>consistently demonstrated</w:t>
      </w:r>
      <w:r w:rsidRPr="00156852" w:rsidR="001A0203">
        <w:t xml:space="preserve"> that natural gas </w:t>
      </w:r>
      <w:r w:rsidRPr="00156852" w:rsidR="00D13C2E">
        <w:t>is cheaper</w:t>
      </w:r>
      <w:r w:rsidRPr="00156852" w:rsidR="00156852">
        <w:t xml:space="preserve"> for customers</w:t>
      </w:r>
      <w:r w:rsidRPr="00156852" w:rsidR="00D13C2E">
        <w:t xml:space="preserve"> than propane</w:t>
      </w:r>
      <w:r w:rsidRPr="00156852" w:rsidR="00156852">
        <w:t xml:space="preserve"> and wood-burning fuel</w:t>
      </w:r>
      <w:r w:rsidRPr="00156852">
        <w:t>, we find SoCalGas’ proposal to provide a $500 bill protection discount over three</w:t>
      </w:r>
      <w:r>
        <w:t xml:space="preserve"> years, sized based on seasonal variation, to be </w:t>
      </w:r>
      <w:r w:rsidR="00FC6B51">
        <w:t xml:space="preserve">a </w:t>
      </w:r>
      <w:r>
        <w:t>reasonable</w:t>
      </w:r>
      <w:r w:rsidR="00FC6B51">
        <w:t xml:space="preserve"> method to mitigate monthly bill </w:t>
      </w:r>
      <w:r w:rsidR="008F0F3C">
        <w:t>variance</w:t>
      </w:r>
      <w:r w:rsidR="00441048">
        <w:t xml:space="preserve"> for </w:t>
      </w:r>
      <w:r w:rsidR="00DF2ACB">
        <w:t xml:space="preserve">pilot </w:t>
      </w:r>
      <w:r w:rsidR="00441048">
        <w:t>customers transitioning to natural gas</w:t>
      </w:r>
      <w:r>
        <w:t>.</w:t>
      </w:r>
      <w:r w:rsidR="007404EE">
        <w:t xml:space="preserve"> Similar to the implementation </w:t>
      </w:r>
      <w:r w:rsidRPr="00771B27" w:rsidR="007404EE">
        <w:t>requirement estab</w:t>
      </w:r>
      <w:r w:rsidRPr="00670A58" w:rsidR="007404EE">
        <w:t>lished in the previous section for PG&amp;E and SCE</w:t>
      </w:r>
      <w:r w:rsidRPr="00E358E8" w:rsidR="007404EE">
        <w:t>, SoCalGas’</w:t>
      </w:r>
      <w:r w:rsidRPr="00A41801" w:rsidR="007404EE">
        <w:t xml:space="preserve"> bill protection</w:t>
      </w:r>
      <w:r w:rsidRPr="009C770C" w:rsidR="007404EE">
        <w:t xml:space="preserve"> discount shall be associated wit</w:t>
      </w:r>
      <w:r w:rsidRPr="000819B9" w:rsidR="007404EE">
        <w:t xml:space="preserve">h the customer </w:t>
      </w:r>
      <w:r w:rsidRPr="00771B27" w:rsidR="007404EE">
        <w:t>service agreement at the time of enrollment.</w:t>
      </w:r>
    </w:p>
    <w:p w:rsidRPr="00771B27" w:rsidR="004E1C7A" w:rsidP="004E1C7A" w:rsidRDefault="004E1C7A"/>
    <w:p w:rsidR="00CF17DE" w:rsidRDefault="00CF17DE">
      <w:pPr>
        <w:pStyle w:val="Heading1"/>
      </w:pPr>
      <w:r w:rsidRPr="00771B27">
        <w:t>Comments</w:t>
      </w:r>
    </w:p>
    <w:p w:rsidR="00265FD0" w:rsidP="00265FD0" w:rsidRDefault="00265FD0">
      <w:r>
        <w:t xml:space="preserve">On November 26, 2019, the following parties filed timely comments to Draft Resolution E-5034: </w:t>
      </w:r>
      <w:proofErr w:type="spellStart"/>
      <w:r>
        <w:t>CforAT</w:t>
      </w:r>
      <w:proofErr w:type="spellEnd"/>
      <w:r>
        <w:t>, GRID, PG&amp;E, the Pilot Team, SCE, SoCalGas, and TURN.</w:t>
      </w:r>
    </w:p>
    <w:p w:rsidR="00294B6D" w:rsidRDefault="00294B6D"/>
    <w:p w:rsidR="00294B6D" w:rsidRDefault="00725DF7">
      <w:r>
        <w:t xml:space="preserve">GRID, </w:t>
      </w:r>
      <w:r w:rsidR="00B457E8">
        <w:t xml:space="preserve">TURN, and </w:t>
      </w:r>
      <w:r w:rsidR="00233801">
        <w:t xml:space="preserve">the Pilot Team </w:t>
      </w:r>
      <w:r w:rsidR="00496749">
        <w:t>are</w:t>
      </w:r>
      <w:r w:rsidR="00233801">
        <w:t xml:space="preserve"> generally supportive of </w:t>
      </w:r>
      <w:r w:rsidR="00535A8D">
        <w:t>the draft resolution</w:t>
      </w:r>
      <w:r w:rsidR="006D599B">
        <w:t xml:space="preserve">. </w:t>
      </w:r>
      <w:r w:rsidR="00EA2BE2">
        <w:t>These parties all propose a variation o</w:t>
      </w:r>
      <w:r w:rsidR="00AF6459">
        <w:t>f</w:t>
      </w:r>
      <w:r w:rsidR="00EA2BE2">
        <w:t xml:space="preserve"> the </w:t>
      </w:r>
      <w:r w:rsidR="00AF6459">
        <w:t xml:space="preserve">percentage </w:t>
      </w:r>
      <w:r w:rsidR="00C21664">
        <w:t xml:space="preserve">discount </w:t>
      </w:r>
      <w:r w:rsidR="00EA2BE2">
        <w:t xml:space="preserve">step-down </w:t>
      </w:r>
      <w:r w:rsidR="00AF6459">
        <w:t>approach outlined</w:t>
      </w:r>
      <w:r w:rsidR="00CF2061">
        <w:t xml:space="preserve"> in the</w:t>
      </w:r>
      <w:r w:rsidR="00AF6459">
        <w:t xml:space="preserve"> resolution.</w:t>
      </w:r>
      <w:r w:rsidR="009C6655">
        <w:t xml:space="preserve"> While we appreciate the thoughtful suggestions, </w:t>
      </w:r>
      <w:r w:rsidR="00D73FC3">
        <w:t xml:space="preserve">we </w:t>
      </w:r>
      <w:r w:rsidR="00872F0B">
        <w:t xml:space="preserve">considered these </w:t>
      </w:r>
      <w:r w:rsidR="00635FC7">
        <w:t xml:space="preserve">type of </w:t>
      </w:r>
      <w:r w:rsidR="00872F0B">
        <w:t>alter</w:t>
      </w:r>
      <w:r w:rsidR="00913FFF">
        <w:t>n</w:t>
      </w:r>
      <w:r w:rsidR="00872F0B">
        <w:t xml:space="preserve">atives </w:t>
      </w:r>
      <w:r w:rsidR="005E517E">
        <w:t xml:space="preserve">in our initial evaluation of </w:t>
      </w:r>
      <w:r w:rsidR="00635FC7">
        <w:t xml:space="preserve">the </w:t>
      </w:r>
      <w:r w:rsidR="005E517E">
        <w:t xml:space="preserve">proposals </w:t>
      </w:r>
      <w:r w:rsidR="00872F0B">
        <w:t>and</w:t>
      </w:r>
      <w:r w:rsidR="004B08B5">
        <w:t xml:space="preserve"> maintain that that</w:t>
      </w:r>
      <w:r w:rsidR="00872F0B">
        <w:t xml:space="preserve"> the </w:t>
      </w:r>
      <w:r w:rsidR="00913FFF">
        <w:t xml:space="preserve">step-down approach </w:t>
      </w:r>
      <w:r w:rsidR="00EB09BC">
        <w:t>detailed in th</w:t>
      </w:r>
      <w:r w:rsidR="006C4570">
        <w:t xml:space="preserve">e draft </w:t>
      </w:r>
      <w:r w:rsidR="00EB09BC">
        <w:t xml:space="preserve">resolution </w:t>
      </w:r>
      <w:r w:rsidR="007017F5">
        <w:t xml:space="preserve">best balances </w:t>
      </w:r>
      <w:r w:rsidR="00124402">
        <w:t xml:space="preserve">the needs of </w:t>
      </w:r>
      <w:r w:rsidR="007017F5">
        <w:t xml:space="preserve">pilot </w:t>
      </w:r>
      <w:r w:rsidR="00124402">
        <w:t>participants, ratepayers, and</w:t>
      </w:r>
      <w:r w:rsidR="00EF251C">
        <w:t xml:space="preserve"> administrators. </w:t>
      </w:r>
      <w:r w:rsidR="004A7F85">
        <w:t xml:space="preserve">We decline to adopt an alternative step-down approach </w:t>
      </w:r>
      <w:r w:rsidR="00C80BB3">
        <w:t>b</w:t>
      </w:r>
      <w:r w:rsidR="00300840">
        <w:t xml:space="preserve">ased on the </w:t>
      </w:r>
      <w:r w:rsidR="009D2A09">
        <w:t>results of the bill protection</w:t>
      </w:r>
      <w:r w:rsidR="00AF35F7">
        <w:t xml:space="preserve"> evalu</w:t>
      </w:r>
      <w:r w:rsidR="009D2A09">
        <w:t>a</w:t>
      </w:r>
      <w:r w:rsidR="00AF35F7">
        <w:t>tion.</w:t>
      </w:r>
    </w:p>
    <w:p w:rsidR="00294B6D" w:rsidRDefault="00294B6D"/>
    <w:p w:rsidR="00C84C97" w:rsidRDefault="00C84C97">
      <w:r>
        <w:t xml:space="preserve">There are several suggestions put forth by the </w:t>
      </w:r>
      <w:r w:rsidR="005E517E">
        <w:t xml:space="preserve">same </w:t>
      </w:r>
      <w:r>
        <w:t xml:space="preserve">parties that we have incorporated into the final resolution. We </w:t>
      </w:r>
      <w:r w:rsidR="009D2A09">
        <w:t xml:space="preserve">agree with the Pilot Team that the bill protection discount must be applied directly to customer bills, and it may not take the form of a voucher. We also agree that </w:t>
      </w:r>
      <w:r w:rsidR="00111F45">
        <w:t xml:space="preserve">it is important that the bill protection evaluation </w:t>
      </w:r>
      <w:proofErr w:type="gramStart"/>
      <w:r w:rsidR="00111F45">
        <w:t>take into account</w:t>
      </w:r>
      <w:proofErr w:type="gramEnd"/>
      <w:r w:rsidR="00111F45">
        <w:t xml:space="preserve"> annual temperature variability</w:t>
      </w:r>
      <w:r w:rsidR="00D347A9">
        <w:t>,</w:t>
      </w:r>
      <w:r w:rsidR="00111F45">
        <w:t xml:space="preserve"> insofar as it is feasible. We have incorporated </w:t>
      </w:r>
      <w:r w:rsidR="00D347A9">
        <w:t>both these</w:t>
      </w:r>
      <w:r w:rsidR="00111F45">
        <w:t xml:space="preserve"> recommendations into the final resolution.</w:t>
      </w:r>
    </w:p>
    <w:p w:rsidR="00F961DF" w:rsidRDefault="00F961DF"/>
    <w:p w:rsidRPr="009211F8" w:rsidR="00F961DF" w:rsidRDefault="009211F8">
      <w:r>
        <w:t xml:space="preserve">The Pilot Team also recommends </w:t>
      </w:r>
      <w:r w:rsidRPr="009211F8" w:rsidR="00F961DF">
        <w:t xml:space="preserve">that </w:t>
      </w:r>
      <w:r>
        <w:t>the evaluation utilize</w:t>
      </w:r>
      <w:r w:rsidRPr="009211F8" w:rsidR="00FB03D2">
        <w:t xml:space="preserve"> </w:t>
      </w:r>
      <w:r w:rsidRPr="009211F8" w:rsidR="004D56AE">
        <w:t xml:space="preserve">three years of participant data </w:t>
      </w:r>
      <w:r>
        <w:t>instead of two</w:t>
      </w:r>
      <w:r w:rsidR="00E64658">
        <w:t xml:space="preserve"> years</w:t>
      </w:r>
      <w:r w:rsidR="00B534C2">
        <w:t xml:space="preserve"> </w:t>
      </w:r>
      <w:r w:rsidR="00635FC7">
        <w:t xml:space="preserve">of data </w:t>
      </w:r>
      <w:r w:rsidR="00CA009A">
        <w:t>to account for</w:t>
      </w:r>
      <w:r w:rsidR="00B534C2">
        <w:t xml:space="preserve"> seasonal variability</w:t>
      </w:r>
      <w:r w:rsidR="000A77B3">
        <w:t>, and that the bill protection discount last 15 years.</w:t>
      </w:r>
      <w:r w:rsidR="00E64658">
        <w:t xml:space="preserve"> W</w:t>
      </w:r>
      <w:r w:rsidRPr="009211F8" w:rsidR="004D56AE">
        <w:t xml:space="preserve">e decline </w:t>
      </w:r>
      <w:r w:rsidRPr="009211F8" w:rsidR="001F7D78">
        <w:t>t</w:t>
      </w:r>
      <w:r w:rsidR="003B1CA5">
        <w:t xml:space="preserve">o adopt </w:t>
      </w:r>
      <w:r w:rsidRPr="009211F8" w:rsidR="001F7D78">
        <w:t>this</w:t>
      </w:r>
      <w:r w:rsidR="00F6368F">
        <w:t xml:space="preserve"> recommendation</w:t>
      </w:r>
      <w:r w:rsidR="005F3951">
        <w:t>,</w:t>
      </w:r>
      <w:r w:rsidRPr="009211F8" w:rsidR="001F7D78">
        <w:t xml:space="preserve"> </w:t>
      </w:r>
      <w:r w:rsidRPr="009211F8" w:rsidR="004D56AE">
        <w:t xml:space="preserve">but we </w:t>
      </w:r>
      <w:r w:rsidR="00C635DF">
        <w:t>do</w:t>
      </w:r>
      <w:r w:rsidR="005E517E">
        <w:t xml:space="preserve"> extend</w:t>
      </w:r>
      <w:r w:rsidR="00CF2061">
        <w:t xml:space="preserve"> </w:t>
      </w:r>
      <w:r w:rsidR="00C635DF">
        <w:t>t</w:t>
      </w:r>
      <w:r w:rsidR="00B534C2">
        <w:t xml:space="preserve">he </w:t>
      </w:r>
      <w:r w:rsidRPr="009211F8" w:rsidR="001F7D78">
        <w:t xml:space="preserve">start </w:t>
      </w:r>
      <w:r w:rsidRPr="009211F8" w:rsidR="004D56AE">
        <w:t xml:space="preserve">date </w:t>
      </w:r>
      <w:r w:rsidRPr="009211F8" w:rsidR="001F7D78">
        <w:t xml:space="preserve">for the evaluation by six months </w:t>
      </w:r>
      <w:r w:rsidR="00CA009A">
        <w:t>so that t</w:t>
      </w:r>
      <w:r w:rsidR="00B534C2">
        <w:t>he evalu</w:t>
      </w:r>
      <w:r w:rsidR="00C635DF">
        <w:t>a</w:t>
      </w:r>
      <w:r w:rsidR="00B534C2">
        <w:t xml:space="preserve">tion </w:t>
      </w:r>
      <w:r w:rsidR="007C0788">
        <w:t xml:space="preserve">can include </w:t>
      </w:r>
      <w:r w:rsidRPr="009211F8" w:rsidR="004D56AE">
        <w:t xml:space="preserve">a </w:t>
      </w:r>
      <w:r w:rsidR="00697371">
        <w:t>larger</w:t>
      </w:r>
      <w:r w:rsidRPr="009211F8" w:rsidR="004D56AE">
        <w:t xml:space="preserve"> universe of customers</w:t>
      </w:r>
      <w:r w:rsidR="007F3C84">
        <w:t xml:space="preserve"> that have </w:t>
      </w:r>
      <w:r w:rsidR="00697371">
        <w:t xml:space="preserve">received bill discounts across </w:t>
      </w:r>
      <w:r w:rsidR="0077186F">
        <w:t xml:space="preserve">more varied </w:t>
      </w:r>
      <w:r w:rsidR="00697371">
        <w:t xml:space="preserve">seasonal </w:t>
      </w:r>
      <w:r w:rsidR="0077186F">
        <w:t>patterns.</w:t>
      </w:r>
    </w:p>
    <w:p w:rsidRPr="00E64658" w:rsidR="00111F45" w:rsidRDefault="00111F45"/>
    <w:p w:rsidR="00111F45" w:rsidRDefault="00111F45">
      <w:r>
        <w:t xml:space="preserve">We concur with GRID that the post-pilot </w:t>
      </w:r>
      <w:r w:rsidR="00D45F5D">
        <w:t xml:space="preserve">energy cost savings </w:t>
      </w:r>
      <w:r>
        <w:t xml:space="preserve">analysis </w:t>
      </w:r>
      <w:r w:rsidR="00D45F5D">
        <w:t xml:space="preserve">for the evaluation </w:t>
      </w:r>
      <w:r>
        <w:t xml:space="preserve">should </w:t>
      </w:r>
      <w:r w:rsidR="00D347A9">
        <w:t>consider any ling</w:t>
      </w:r>
      <w:r w:rsidR="00D45F5D">
        <w:t xml:space="preserve">ering propane usage. </w:t>
      </w:r>
      <w:r w:rsidR="007F4507">
        <w:t xml:space="preserve">We </w:t>
      </w:r>
      <w:r w:rsidR="008A3675">
        <w:t xml:space="preserve">also agree with SCE that </w:t>
      </w:r>
      <w:r w:rsidR="00865D5C">
        <w:t>the evaluation should leverage data from the Data Gathering Working Group</w:t>
      </w:r>
      <w:r w:rsidR="00390D9D">
        <w:t xml:space="preserve"> as appropriate. Both of these suggestions are inc</w:t>
      </w:r>
      <w:r w:rsidR="00B073D3">
        <w:t>orporated into the final resolution.</w:t>
      </w:r>
    </w:p>
    <w:p w:rsidR="00294B6D" w:rsidRDefault="00294B6D"/>
    <w:p w:rsidR="00B073D3" w:rsidRDefault="00F42AB7">
      <w:r>
        <w:t>TUR</w:t>
      </w:r>
      <w:r w:rsidR="007D52A9">
        <w:t>N ma</w:t>
      </w:r>
      <w:r w:rsidR="00496749">
        <w:t>kes</w:t>
      </w:r>
      <w:r w:rsidR="007D52A9">
        <w:t xml:space="preserve"> the case that </w:t>
      </w:r>
      <w:r w:rsidR="00166C99">
        <w:t xml:space="preserve">there should be </w:t>
      </w:r>
      <w:r w:rsidR="00F633BF">
        <w:t>a workshop</w:t>
      </w:r>
      <w:r w:rsidR="00166C99">
        <w:t xml:space="preserve"> held prior to the evaluation</w:t>
      </w:r>
      <w:r w:rsidR="00FF3881">
        <w:t xml:space="preserve"> to </w:t>
      </w:r>
      <w:r w:rsidR="007C715D">
        <w:t xml:space="preserve">spur collaboration around the </w:t>
      </w:r>
      <w:r w:rsidR="00F4489C">
        <w:t>d</w:t>
      </w:r>
      <w:r w:rsidR="00FF3881">
        <w:t>evelop</w:t>
      </w:r>
      <w:r w:rsidR="007C715D">
        <w:t>ment of</w:t>
      </w:r>
      <w:r w:rsidR="00FF3881">
        <w:t xml:space="preserve"> appropriate propane </w:t>
      </w:r>
      <w:r w:rsidR="000A3ED2">
        <w:t>consumption modeling</w:t>
      </w:r>
      <w:r w:rsidR="00DC4481">
        <w:t>.</w:t>
      </w:r>
      <w:r w:rsidR="00F4489C">
        <w:t xml:space="preserve"> </w:t>
      </w:r>
      <w:r w:rsidR="000A3ED2">
        <w:t xml:space="preserve">We </w:t>
      </w:r>
      <w:r w:rsidR="005E517E">
        <w:t>see value in this</w:t>
      </w:r>
      <w:r w:rsidR="000A3ED2">
        <w:t xml:space="preserve">, and in the final resolution </w:t>
      </w:r>
      <w:r w:rsidR="0056177D">
        <w:t>direct PG&amp;E and SCE to host a workshop</w:t>
      </w:r>
      <w:r w:rsidR="00B05408">
        <w:t xml:space="preserve"> on propane modeling </w:t>
      </w:r>
      <w:r w:rsidR="005D616B">
        <w:t>prior to the evaluation.</w:t>
      </w:r>
    </w:p>
    <w:p w:rsidR="005F3CB6" w:rsidRDefault="005F3CB6"/>
    <w:p w:rsidR="005F3CB6" w:rsidRDefault="00C37F0B">
      <w:r>
        <w:t>PG&amp;E</w:t>
      </w:r>
      <w:r w:rsidR="003917DE">
        <w:t xml:space="preserve">, </w:t>
      </w:r>
      <w:r>
        <w:t>SCE</w:t>
      </w:r>
      <w:r w:rsidR="003917DE">
        <w:t xml:space="preserve">, and </w:t>
      </w:r>
      <w:proofErr w:type="spellStart"/>
      <w:r w:rsidR="003917DE">
        <w:t>CforAT</w:t>
      </w:r>
      <w:proofErr w:type="spellEnd"/>
      <w:r w:rsidR="005B156D">
        <w:t xml:space="preserve"> </w:t>
      </w:r>
      <w:r w:rsidR="00A030A1">
        <w:t xml:space="preserve">state </w:t>
      </w:r>
      <w:r w:rsidR="003917DE">
        <w:t xml:space="preserve">in their comments </w:t>
      </w:r>
      <w:r w:rsidR="00A030A1">
        <w:t xml:space="preserve">that the proposed bill protection </w:t>
      </w:r>
      <w:r w:rsidR="004A24F4">
        <w:t>approach</w:t>
      </w:r>
      <w:r w:rsidR="00A030A1">
        <w:t xml:space="preserve"> </w:t>
      </w:r>
      <w:r w:rsidR="00EB4456">
        <w:t>will over-subsidize pilot participants in a manner that is not reasonable to other customers.</w:t>
      </w:r>
      <w:r w:rsidR="004B77F3">
        <w:t xml:space="preserve"> PG&amp;E and SCE also state that they do not believe there is sufficient cost recovery authorization for the bill protection</w:t>
      </w:r>
      <w:r w:rsidR="003C0515">
        <w:t xml:space="preserve"> approach</w:t>
      </w:r>
      <w:r w:rsidR="004B77F3">
        <w:t xml:space="preserve">. </w:t>
      </w:r>
      <w:r w:rsidR="00526A19">
        <w:t>In response, w</w:t>
      </w:r>
      <w:r w:rsidR="004B77F3">
        <w:t xml:space="preserve">e note that PG&amp;E and SCE have authorization from </w:t>
      </w:r>
      <w:r w:rsidR="007E0A54">
        <w:t>D.18-12-015</w:t>
      </w:r>
      <w:r w:rsidR="002713F0">
        <w:t xml:space="preserve"> to charge </w:t>
      </w:r>
      <w:r w:rsidR="00713685">
        <w:t xml:space="preserve">initial </w:t>
      </w:r>
      <w:r w:rsidR="002713F0">
        <w:t xml:space="preserve">costs associated with bill protection discounts </w:t>
      </w:r>
      <w:r w:rsidR="00951B0A">
        <w:t>to their one-way SJV balancing accounts</w:t>
      </w:r>
      <w:r w:rsidR="004B77F3">
        <w:t xml:space="preserve"> </w:t>
      </w:r>
      <w:r w:rsidR="003C0515">
        <w:t>and that we encourage the CPUC to modify the SJV Pilots Decision to allow PG&amp;E and SCE to recover</w:t>
      </w:r>
      <w:r w:rsidR="000C47C5">
        <w:t xml:space="preserve"> </w:t>
      </w:r>
      <w:r w:rsidR="003C0515">
        <w:t>costs associated with</w:t>
      </w:r>
      <w:r w:rsidDel="00574209" w:rsidR="003C0515">
        <w:t xml:space="preserve"> </w:t>
      </w:r>
      <w:r w:rsidR="003C0515">
        <w:t>the approach</w:t>
      </w:r>
      <w:r w:rsidR="00D61800">
        <w:t xml:space="preserve"> </w:t>
      </w:r>
      <w:r w:rsidR="00E27459">
        <w:t xml:space="preserve">while the Commission seeks more </w:t>
      </w:r>
      <w:r w:rsidR="00163441">
        <w:t xml:space="preserve">input on </w:t>
      </w:r>
      <w:r w:rsidR="004558E7">
        <w:t xml:space="preserve">incremental </w:t>
      </w:r>
      <w:r w:rsidR="00926132">
        <w:t xml:space="preserve">bill protection </w:t>
      </w:r>
      <w:r w:rsidR="00163441">
        <w:t>costs</w:t>
      </w:r>
      <w:r w:rsidR="00CE0D53">
        <w:t>.</w:t>
      </w:r>
    </w:p>
    <w:p w:rsidR="00AA4057" w:rsidRDefault="00AA4057"/>
    <w:p w:rsidR="00AA4057" w:rsidRDefault="007B7176">
      <w:r>
        <w:t xml:space="preserve">PG&amp;E expresses concern about the implementation of the proposed bill protection </w:t>
      </w:r>
      <w:r w:rsidR="004A24F4">
        <w:t>approach</w:t>
      </w:r>
      <w:r w:rsidR="00926132">
        <w:t xml:space="preserve"> in its comments</w:t>
      </w:r>
      <w:r>
        <w:t xml:space="preserve">. PG&amp;E proposes an alternative approach </w:t>
      </w:r>
      <w:r w:rsidR="00AF64A4">
        <w:t xml:space="preserve">that involves a pre-calculated </w:t>
      </w:r>
      <w:r w:rsidR="002B4479">
        <w:t xml:space="preserve">credit </w:t>
      </w:r>
      <w:r w:rsidR="00710772">
        <w:t xml:space="preserve">that would last three years, which </w:t>
      </w:r>
      <w:proofErr w:type="gramStart"/>
      <w:r w:rsidR="00710772">
        <w:t>it</w:t>
      </w:r>
      <w:proofErr w:type="gramEnd"/>
      <w:r w:rsidR="00710772">
        <w:t xml:space="preserve"> states would achieve a similar level of annual bill reduction while being more feasible to implement. We appreciate </w:t>
      </w:r>
      <w:r w:rsidR="003C0515">
        <w:t>PG&amp;E's willingness to revisit, and depart from its original proposal</w:t>
      </w:r>
      <w:r w:rsidR="0041472B">
        <w:t xml:space="preserve">; however, </w:t>
      </w:r>
      <w:r w:rsidR="007E67FD">
        <w:t xml:space="preserve">we </w:t>
      </w:r>
      <w:r w:rsidR="001641CB">
        <w:t>decline to adopt this alternative approach</w:t>
      </w:r>
      <w:r w:rsidR="00815D5B">
        <w:t xml:space="preserve"> </w:t>
      </w:r>
      <w:r w:rsidR="003C0515">
        <w:t>based on</w:t>
      </w:r>
      <w:r w:rsidR="0041472B">
        <w:t xml:space="preserve"> </w:t>
      </w:r>
      <w:r w:rsidR="003C0515">
        <w:t>the determination in this resolution on the need for</w:t>
      </w:r>
      <w:r w:rsidR="009B1F23">
        <w:t xml:space="preserve"> </w:t>
      </w:r>
      <w:r w:rsidR="00363E36">
        <w:t>a percentage-based discount and 10-year bill protection duration.</w:t>
      </w:r>
    </w:p>
    <w:p w:rsidR="008D2B65" w:rsidRDefault="008D2B65"/>
    <w:p w:rsidR="00856969" w:rsidRDefault="00856969">
      <w:r>
        <w:t>We do accept PG&amp;E</w:t>
      </w:r>
      <w:r w:rsidR="00357156">
        <w:t>'s and SCE's</w:t>
      </w:r>
      <w:r>
        <w:t xml:space="preserve"> suggested revisions </w:t>
      </w:r>
      <w:r w:rsidR="00EB38C7">
        <w:t xml:space="preserve">to </w:t>
      </w:r>
      <w:r w:rsidR="000B7A3A">
        <w:t xml:space="preserve">improve </w:t>
      </w:r>
      <w:r w:rsidR="00EB38C7">
        <w:t xml:space="preserve">implementation </w:t>
      </w:r>
      <w:r w:rsidR="000B7A3A">
        <w:t>f</w:t>
      </w:r>
      <w:r w:rsidR="00EB38C7">
        <w:t>easib</w:t>
      </w:r>
      <w:r w:rsidR="000B7A3A">
        <w:t>ility</w:t>
      </w:r>
      <w:r w:rsidR="00EB38C7">
        <w:t xml:space="preserve"> from a manual billing perspective. </w:t>
      </w:r>
      <w:r w:rsidR="00A61171">
        <w:t xml:space="preserve">In the final resolution, we </w:t>
      </w:r>
      <w:r w:rsidR="007B0FC2">
        <w:t>permit bill d</w:t>
      </w:r>
      <w:r w:rsidR="00F9159F">
        <w:t>iscounts on a one-month lag</w:t>
      </w:r>
      <w:r w:rsidR="00EA70EE">
        <w:t xml:space="preserve"> and after taxes are calculated, and we slightly revise the bill protection discount trigger date.</w:t>
      </w:r>
      <w:r w:rsidR="00246C4F">
        <w:t xml:space="preserve"> PG&amp;E also requests that prior to the </w:t>
      </w:r>
      <w:r w:rsidR="009A25A2">
        <w:t xml:space="preserve">date manual billing is established, </w:t>
      </w:r>
      <w:r w:rsidR="006B224D">
        <w:t>participants must consent to for</w:t>
      </w:r>
      <w:r w:rsidR="00D61800">
        <w:t>e</w:t>
      </w:r>
      <w:r w:rsidR="006B224D">
        <w:t xml:space="preserve">go bill protection discounts temporarily. Instead of adopting this recommendation, we </w:t>
      </w:r>
      <w:r w:rsidR="00050010">
        <w:t xml:space="preserve">establish a deadline by which manual billing must be established </w:t>
      </w:r>
      <w:r w:rsidR="005A3B75">
        <w:t xml:space="preserve">and require that any participants </w:t>
      </w:r>
      <w:r w:rsidR="00341DBB">
        <w:t>eligible for bill protection discounts prior to this date must receive retroactive credits.</w:t>
      </w:r>
    </w:p>
    <w:p w:rsidR="00341DBB" w:rsidRDefault="00341DBB"/>
    <w:p w:rsidR="00341DBB" w:rsidRDefault="006F67BF">
      <w:r>
        <w:t xml:space="preserve">PG&amp;E </w:t>
      </w:r>
      <w:r w:rsidR="00A76D32">
        <w:t>estimates</w:t>
      </w:r>
      <w:r>
        <w:t xml:space="preserve"> that it will cost an additional $2.1 million to </w:t>
      </w:r>
      <w:r w:rsidR="00E02C39">
        <w:t xml:space="preserve">establish </w:t>
      </w:r>
      <w:r w:rsidR="004B6E17">
        <w:t xml:space="preserve">an </w:t>
      </w:r>
      <w:r w:rsidR="00E02C39">
        <w:t xml:space="preserve">automated </w:t>
      </w:r>
      <w:r w:rsidR="004B6E17">
        <w:t xml:space="preserve">IT </w:t>
      </w:r>
      <w:r w:rsidR="00E02C39">
        <w:t>b</w:t>
      </w:r>
      <w:r w:rsidR="004B6E17">
        <w:t>uild</w:t>
      </w:r>
      <w:r w:rsidR="00E02C39">
        <w:t xml:space="preserve"> for the proposed bill protection discount</w:t>
      </w:r>
      <w:r w:rsidR="00CF4766">
        <w:t xml:space="preserve">, </w:t>
      </w:r>
      <w:r w:rsidR="00370B6D">
        <w:t>which according to PG&amp;E</w:t>
      </w:r>
      <w:r w:rsidR="00CF4766">
        <w:t xml:space="preserve"> could take until </w:t>
      </w:r>
      <w:r w:rsidR="005E3BFA">
        <w:t xml:space="preserve">the end of 2021 to implement. </w:t>
      </w:r>
      <w:r w:rsidR="00D61800">
        <w:t xml:space="preserve">PG&amp;E does not provide any analysis to support its estimate. </w:t>
      </w:r>
      <w:r w:rsidR="00A76D32">
        <w:t>Since these costs are speculative, i</w:t>
      </w:r>
      <w:r w:rsidR="00AE0C94">
        <w:t xml:space="preserve">n the final resolution we allow for temporary manual billing while </w:t>
      </w:r>
      <w:r w:rsidR="0088633A">
        <w:t xml:space="preserve">the </w:t>
      </w:r>
      <w:r w:rsidR="00AE0C94">
        <w:t>C</w:t>
      </w:r>
      <w:r w:rsidR="00D61800">
        <w:t>PUC</w:t>
      </w:r>
      <w:r w:rsidR="00AE0C94">
        <w:t xml:space="preserve"> seeks </w:t>
      </w:r>
      <w:r w:rsidR="00D57B7F">
        <w:t xml:space="preserve">further </w:t>
      </w:r>
      <w:r w:rsidR="00AE0C94">
        <w:t xml:space="preserve">input on </w:t>
      </w:r>
      <w:r w:rsidR="00D57B7F">
        <w:t>billing implementation costs.</w:t>
      </w:r>
      <w:r w:rsidR="00547235">
        <w:t xml:space="preserve"> </w:t>
      </w:r>
      <w:r w:rsidR="00A76D32">
        <w:t xml:space="preserve">We expect that PG&amp;E </w:t>
      </w:r>
      <w:r w:rsidR="00EF2F1D">
        <w:t>will pursue whatever</w:t>
      </w:r>
      <w:r w:rsidR="006B3343">
        <w:t xml:space="preserve"> billing</w:t>
      </w:r>
      <w:r w:rsidR="00EF2F1D">
        <w:t xml:space="preserve"> solution is most cost-effective.</w:t>
      </w:r>
    </w:p>
    <w:p w:rsidR="00294B6D" w:rsidRDefault="00725DF7">
      <w:r>
        <w:t xml:space="preserve">PG&amp;E and SCE </w:t>
      </w:r>
      <w:r w:rsidR="001B4C6F">
        <w:t xml:space="preserve">both </w:t>
      </w:r>
      <w:r>
        <w:t xml:space="preserve">propose a variation </w:t>
      </w:r>
      <w:r w:rsidR="00191876">
        <w:t>to</w:t>
      </w:r>
      <w:r>
        <w:t xml:space="preserve"> th</w:t>
      </w:r>
      <w:r w:rsidR="008B4A1A">
        <w:t xml:space="preserve">e proposed </w:t>
      </w:r>
      <w:r>
        <w:t>step-down approach</w:t>
      </w:r>
      <w:r w:rsidR="00D61800">
        <w:t>.</w:t>
      </w:r>
      <w:r>
        <w:t xml:space="preserve"> </w:t>
      </w:r>
      <w:r w:rsidR="008160B3">
        <w:t>PG&amp;E</w:t>
      </w:r>
      <w:r w:rsidR="008B4A1A">
        <w:t xml:space="preserve"> </w:t>
      </w:r>
      <w:r w:rsidR="008160B3">
        <w:t>proposes th</w:t>
      </w:r>
      <w:r>
        <w:t>e</w:t>
      </w:r>
      <w:r w:rsidR="008160B3">
        <w:t xml:space="preserve"> discount </w:t>
      </w:r>
      <w:r w:rsidR="0025039F">
        <w:t>should be</w:t>
      </w:r>
      <w:r w:rsidR="008160B3">
        <w:t xml:space="preserve"> automatically stepped down to 10 percent</w:t>
      </w:r>
      <w:r w:rsidR="0025039F">
        <w:t xml:space="preserve"> after the evaluation</w:t>
      </w:r>
      <w:r w:rsidR="00E60F0E">
        <w:t xml:space="preserve">, and SCE </w:t>
      </w:r>
      <w:r w:rsidR="00570FD2">
        <w:t xml:space="preserve">proposes that the 20 percent discount should last three </w:t>
      </w:r>
      <w:r w:rsidR="00B40545">
        <w:t xml:space="preserve">years and only continue if evaluation demonstrates that the discount </w:t>
      </w:r>
      <w:r w:rsidR="006E7765">
        <w:t xml:space="preserve">continues to be necessary. We </w:t>
      </w:r>
      <w:r>
        <w:t xml:space="preserve">decline to adopt </w:t>
      </w:r>
      <w:r w:rsidR="006E7765">
        <w:t>these alternative step-down approach</w:t>
      </w:r>
      <w:r w:rsidR="00F07591">
        <w:t>es</w:t>
      </w:r>
      <w:r w:rsidR="001907A8">
        <w:t>,</w:t>
      </w:r>
      <w:r w:rsidR="006E7765">
        <w:t xml:space="preserve"> </w:t>
      </w:r>
      <w:r>
        <w:t xml:space="preserve">as we considered </w:t>
      </w:r>
      <w:r w:rsidR="007A7412">
        <w:t xml:space="preserve">the impacts of these type of variations </w:t>
      </w:r>
      <w:r>
        <w:t>during our initial evaluation of proposals</w:t>
      </w:r>
      <w:r w:rsidR="007A7412">
        <w:t>,</w:t>
      </w:r>
      <w:r>
        <w:t xml:space="preserve"> and </w:t>
      </w:r>
      <w:r w:rsidR="007A7412">
        <w:t xml:space="preserve">we </w:t>
      </w:r>
      <w:r>
        <w:t>maintain that the approach detailed in the draft resolution best balances the needs of pilot participants, ratepayers, and administrators.</w:t>
      </w:r>
    </w:p>
    <w:p w:rsidR="006871D8" w:rsidP="00806B27" w:rsidRDefault="006871D8"/>
    <w:p w:rsidR="006871D8" w:rsidP="00806B27" w:rsidRDefault="00141C55">
      <w:r>
        <w:t>PG&amp;E and SCE state that the</w:t>
      </w:r>
      <w:r w:rsidR="00020368">
        <w:t xml:space="preserve">re is not enough on the record to support the need for a transitional </w:t>
      </w:r>
      <w:r w:rsidR="005B1D18">
        <w:t xml:space="preserve">community </w:t>
      </w:r>
      <w:r w:rsidR="00020368">
        <w:t xml:space="preserve">solar discount, </w:t>
      </w:r>
      <w:r w:rsidR="00EB4A3D">
        <w:t xml:space="preserve">which they </w:t>
      </w:r>
      <w:r w:rsidR="00406F32">
        <w:t>believe</w:t>
      </w:r>
      <w:r w:rsidR="0036076F">
        <w:t xml:space="preserve"> will </w:t>
      </w:r>
      <w:r w:rsidR="002C2364">
        <w:t>unre</w:t>
      </w:r>
      <w:r w:rsidR="00C34FB9">
        <w:t>a</w:t>
      </w:r>
      <w:r w:rsidR="002C2364">
        <w:t xml:space="preserve">sonably </w:t>
      </w:r>
      <w:r w:rsidR="00A242C6">
        <w:t xml:space="preserve">increase costs to </w:t>
      </w:r>
      <w:r w:rsidR="002C2364">
        <w:t>other ratepayers.</w:t>
      </w:r>
      <w:r w:rsidR="00E529D9">
        <w:t xml:space="preserve"> </w:t>
      </w:r>
      <w:r w:rsidR="00D61800">
        <w:t>We disagree. The transitional solar discount is a component of our overall bill protections approa</w:t>
      </w:r>
      <w:r w:rsidR="00534452">
        <w:t>ch, which the SJV Pilots Decision delegated to the advice letter process for the determination o</w:t>
      </w:r>
      <w:r w:rsidR="00D81B40">
        <w:t>f</w:t>
      </w:r>
      <w:r w:rsidR="00534452">
        <w:t xml:space="preserve"> the appropriate final approach. This resolution is the culmination of that effort and the transitional solar discount reflects the CPUC's view that this discount is necessary for pilot participants to have sufficient bill protection. </w:t>
      </w:r>
    </w:p>
    <w:p w:rsidR="003342F7" w:rsidRDefault="003342F7"/>
    <w:p w:rsidR="001E3B7A" w:rsidRDefault="001E3B7A">
      <w:r>
        <w:t xml:space="preserve">PG&amp;E and SCE </w:t>
      </w:r>
      <w:r w:rsidR="004941FD">
        <w:t xml:space="preserve">also both request that the resolution reiterate that </w:t>
      </w:r>
      <w:r w:rsidR="004238BF">
        <w:t xml:space="preserve">the </w:t>
      </w:r>
      <w:r w:rsidR="00914443">
        <w:t xml:space="preserve">bill discounts authorized in this resolution are not precedential for Phase III of </w:t>
      </w:r>
      <w:r w:rsidR="006C799C">
        <w:t xml:space="preserve">R.15-03-010 or other proceedings. We </w:t>
      </w:r>
      <w:r w:rsidR="004238BF">
        <w:t>have added language to this effect in the final resolution.</w:t>
      </w:r>
    </w:p>
    <w:p w:rsidR="00BA3430" w:rsidRDefault="00BA3430"/>
    <w:p w:rsidR="00AB3188" w:rsidRDefault="000917F8">
      <w:r w:rsidRPr="00626B0C">
        <w:t xml:space="preserve">PG&amp;E requests </w:t>
      </w:r>
      <w:r w:rsidRPr="00626B0C" w:rsidR="0089371D">
        <w:t xml:space="preserve">that participants that receive </w:t>
      </w:r>
      <w:r w:rsidRPr="00626B0C" w:rsidR="00F2147C">
        <w:t xml:space="preserve">rooftop photovoltaics during the bill protection period through SASH and DAC SASH Programs </w:t>
      </w:r>
      <w:r w:rsidRPr="00626B0C" w:rsidR="00F97E60">
        <w:t xml:space="preserve">should be ineligible for the </w:t>
      </w:r>
      <w:r w:rsidRPr="00626B0C" w:rsidR="00337522">
        <w:t xml:space="preserve">bill protection discount. </w:t>
      </w:r>
      <w:r w:rsidR="00626B0C">
        <w:t xml:space="preserve">We believe </w:t>
      </w:r>
      <w:r w:rsidR="003374CC">
        <w:t xml:space="preserve">this issue and its potential impacts </w:t>
      </w:r>
      <w:r w:rsidR="00A77F38">
        <w:t xml:space="preserve">were not sufficiently examined </w:t>
      </w:r>
      <w:r w:rsidR="00E40B7C">
        <w:t xml:space="preserve">to </w:t>
      </w:r>
      <w:r w:rsidR="007B1C32">
        <w:t xml:space="preserve">justify disqualifying </w:t>
      </w:r>
      <w:r w:rsidR="00CC55F9">
        <w:t>these participants from a bill protection discount</w:t>
      </w:r>
      <w:r w:rsidR="00A77F38">
        <w:t>.</w:t>
      </w:r>
      <w:r w:rsidR="00CC55F9">
        <w:t xml:space="preserve"> </w:t>
      </w:r>
      <w:r w:rsidR="00F4110D">
        <w:t xml:space="preserve">We expect that the </w:t>
      </w:r>
      <w:r w:rsidR="003E49F9">
        <w:t xml:space="preserve">bill protection evaluation and SJV </w:t>
      </w:r>
      <w:r w:rsidR="00866E52">
        <w:t xml:space="preserve">pilot </w:t>
      </w:r>
      <w:r w:rsidR="003E49F9">
        <w:t xml:space="preserve">process evaluation </w:t>
      </w:r>
      <w:r w:rsidR="00C74F1D">
        <w:t xml:space="preserve">will explore this issue </w:t>
      </w:r>
      <w:r w:rsidR="00F952EE">
        <w:t>further</w:t>
      </w:r>
      <w:r w:rsidR="000F5EC6">
        <w:t>.</w:t>
      </w:r>
      <w:r w:rsidR="003E49F9">
        <w:t xml:space="preserve"> </w:t>
      </w:r>
      <w:r w:rsidR="000F5EC6">
        <w:t xml:space="preserve">Based on PG&amp;E's comments, we have revised the resolution </w:t>
      </w:r>
      <w:r w:rsidR="00C2427C">
        <w:t xml:space="preserve">so that </w:t>
      </w:r>
      <w:r w:rsidR="002A57A1">
        <w:t xml:space="preserve">any participant with onsite solar </w:t>
      </w:r>
      <w:r w:rsidR="00C2427C">
        <w:t xml:space="preserve">is not eligible to </w:t>
      </w:r>
      <w:r w:rsidR="00890EA9">
        <w:t>receiv</w:t>
      </w:r>
      <w:r w:rsidR="00C2427C">
        <w:t>e</w:t>
      </w:r>
      <w:r w:rsidR="00890EA9">
        <w:t xml:space="preserve"> a transitional community solar discount</w:t>
      </w:r>
      <w:r w:rsidR="007E6AB5">
        <w:t>, since these customers are already benefitting from a solar program.</w:t>
      </w:r>
    </w:p>
    <w:p w:rsidR="00AB3188" w:rsidRDefault="00AB3188"/>
    <w:p w:rsidR="00BA3430" w:rsidRDefault="002941ED">
      <w:r>
        <w:t xml:space="preserve">PG&amp;E also recommends that </w:t>
      </w:r>
      <w:r w:rsidR="00AB3188">
        <w:t>the bill protection discount be associated with the customer service agreement instead of the customer of record</w:t>
      </w:r>
      <w:r w:rsidR="00B270F9">
        <w:t xml:space="preserve">; </w:t>
      </w:r>
      <w:r w:rsidR="00960F69">
        <w:t xml:space="preserve">we agree </w:t>
      </w:r>
      <w:r w:rsidR="00B270F9">
        <w:t xml:space="preserve">and </w:t>
      </w:r>
      <w:r w:rsidR="00960F69">
        <w:t xml:space="preserve">incorporate </w:t>
      </w:r>
      <w:r w:rsidR="00B270F9">
        <w:t xml:space="preserve">this suggestion </w:t>
      </w:r>
      <w:r w:rsidR="00960F69">
        <w:t>into the final resolution.</w:t>
      </w:r>
      <w:r w:rsidR="00AB3188">
        <w:t xml:space="preserve"> The Pilot team requests that the </w:t>
      </w:r>
      <w:r w:rsidR="002F101D">
        <w:t xml:space="preserve">bill protection discount be associated with the meter. </w:t>
      </w:r>
      <w:r w:rsidR="00960F69">
        <w:t xml:space="preserve">While we appreciate the </w:t>
      </w:r>
      <w:r w:rsidR="0031159E">
        <w:t xml:space="preserve">arguments made </w:t>
      </w:r>
      <w:r w:rsidR="007F1232">
        <w:t>to support this re</w:t>
      </w:r>
      <w:r w:rsidR="00E41DB9">
        <w:t>commendation</w:t>
      </w:r>
      <w:r w:rsidR="007F1232">
        <w:t xml:space="preserve">, </w:t>
      </w:r>
      <w:r w:rsidR="00B923FC">
        <w:t xml:space="preserve">we </w:t>
      </w:r>
      <w:r w:rsidR="00CC221E">
        <w:t xml:space="preserve">continue to believe that the bill protection discount and transitional community solar discount should be linked to the household that has incurred pre-pilot energy costs. </w:t>
      </w:r>
    </w:p>
    <w:p w:rsidR="004315A0" w:rsidRDefault="004315A0"/>
    <w:p w:rsidR="004315A0" w:rsidRDefault="004315A0">
      <w:r>
        <w:t>In its comments, SoCalGas submit</w:t>
      </w:r>
      <w:r w:rsidR="00D25C89">
        <w:t xml:space="preserve">s </w:t>
      </w:r>
      <w:r>
        <w:t xml:space="preserve">several minor clarifying revisions. We have incorporated all </w:t>
      </w:r>
      <w:r w:rsidR="004238BF">
        <w:t xml:space="preserve">of </w:t>
      </w:r>
      <w:r>
        <w:t xml:space="preserve">these </w:t>
      </w:r>
      <w:r w:rsidR="00C35B57">
        <w:t xml:space="preserve">suggested revisions. </w:t>
      </w:r>
      <w:r w:rsidR="003A3AAA">
        <w:t xml:space="preserve">The Pilot Team </w:t>
      </w:r>
      <w:r w:rsidR="00AB30CF">
        <w:t xml:space="preserve">continues to </w:t>
      </w:r>
      <w:r w:rsidR="00757BF6">
        <w:t>argue against</w:t>
      </w:r>
      <w:r w:rsidR="00BD1AF5">
        <w:t xml:space="preserve"> </w:t>
      </w:r>
      <w:r w:rsidR="00AF329E">
        <w:t xml:space="preserve">SoCalGas' </w:t>
      </w:r>
      <w:r w:rsidR="00CD39E3">
        <w:t xml:space="preserve">proposed </w:t>
      </w:r>
      <w:r w:rsidR="000C50AA">
        <w:t>bill protection mechanism</w:t>
      </w:r>
      <w:r w:rsidR="00CD39E3">
        <w:t xml:space="preserve">. The Pilot Team </w:t>
      </w:r>
      <w:r w:rsidR="0037273E">
        <w:t xml:space="preserve">alternatively </w:t>
      </w:r>
      <w:r w:rsidR="00955A2E">
        <w:t xml:space="preserve">proposes that SoCalGas </w:t>
      </w:r>
      <w:r w:rsidR="0037273E">
        <w:t xml:space="preserve">should </w:t>
      </w:r>
      <w:r w:rsidR="00955A2E">
        <w:t>provide a 20 percent bill protection discount for five years</w:t>
      </w:r>
      <w:r w:rsidR="0037273E">
        <w:t xml:space="preserve">, </w:t>
      </w:r>
      <w:r w:rsidR="00955A2E">
        <w:t xml:space="preserve">followed by </w:t>
      </w:r>
      <w:r w:rsidR="0037273E">
        <w:t xml:space="preserve">an </w:t>
      </w:r>
      <w:r w:rsidR="00955A2E">
        <w:t>exemption from rate increase</w:t>
      </w:r>
      <w:r w:rsidR="0037273E">
        <w:t>s</w:t>
      </w:r>
      <w:r w:rsidR="00955A2E">
        <w:t>. We maintain that</w:t>
      </w:r>
      <w:r w:rsidR="00B232F2">
        <w:t xml:space="preserve"> SoCalGas' proposed bill protection mechanism </w:t>
      </w:r>
      <w:r w:rsidR="00485337">
        <w:t>is sufficient for</w:t>
      </w:r>
      <w:r w:rsidR="004238BF">
        <w:t xml:space="preserve"> the</w:t>
      </w:r>
      <w:r w:rsidR="00485337">
        <w:t xml:space="preserve"> reasons stated in the draft resolution, and we decline to adopt the Pilot Team's alternative proposal.</w:t>
      </w:r>
    </w:p>
    <w:p w:rsidR="006C799C" w:rsidRDefault="006C799C"/>
    <w:p w:rsidR="00CF17DE" w:rsidRDefault="00CF17DE">
      <w:pPr>
        <w:pStyle w:val="Heading1"/>
      </w:pPr>
      <w:r w:rsidRPr="006F6A2E">
        <w:t>Findings</w:t>
      </w:r>
    </w:p>
    <w:p w:rsidR="003A4DC6" w:rsidP="003A4DC6" w:rsidRDefault="003A4DC6">
      <w:pPr>
        <w:numPr>
          <w:ilvl w:val="0"/>
          <w:numId w:val="4"/>
        </w:numPr>
      </w:pPr>
      <w:r>
        <w:t>Assembly Bill 2672 (</w:t>
      </w:r>
      <w:proofErr w:type="spellStart"/>
      <w:r>
        <w:t>Perea</w:t>
      </w:r>
      <w:proofErr w:type="spellEnd"/>
      <w:r>
        <w:t>, 2013) require</w:t>
      </w:r>
      <w:r w:rsidR="0010715D">
        <w:t>d</w:t>
      </w:r>
      <w:r>
        <w:t xml:space="preserve"> the California Public Utilities Commission (Commission) to initiate a new proceeding to identify disadvantaged communities in the San Joaquin Valley (SJV) based on certain criteria</w:t>
      </w:r>
      <w:r w:rsidR="0010715D">
        <w:t xml:space="preserve"> </w:t>
      </w:r>
      <w:r>
        <w:t>and to analyze the economic feasibility of the following options:</w:t>
      </w:r>
    </w:p>
    <w:p w:rsidR="003A4DC6" w:rsidP="003A4DC6" w:rsidRDefault="003A4DC6">
      <w:pPr>
        <w:pStyle w:val="ListParagraph"/>
        <w:numPr>
          <w:ilvl w:val="0"/>
          <w:numId w:val="24"/>
        </w:numPr>
      </w:pPr>
      <w:r>
        <w:t>Extending natural gas pipelines to those disadvantaged communities;</w:t>
      </w:r>
    </w:p>
    <w:p w:rsidR="003A4DC6" w:rsidP="003A4DC6" w:rsidRDefault="003A4DC6">
      <w:pPr>
        <w:pStyle w:val="ListParagraph"/>
        <w:numPr>
          <w:ilvl w:val="0"/>
          <w:numId w:val="24"/>
        </w:numPr>
      </w:pPr>
      <w:r>
        <w:t xml:space="preserve">Increasing subsidies for electricity for residential customers in those disadvantaged communities; and </w:t>
      </w:r>
    </w:p>
    <w:p w:rsidR="003A4DC6" w:rsidP="003A4DC6" w:rsidRDefault="003A4DC6">
      <w:pPr>
        <w:pStyle w:val="ListParagraph"/>
        <w:numPr>
          <w:ilvl w:val="0"/>
          <w:numId w:val="24"/>
        </w:numPr>
      </w:pPr>
      <w:r w:rsidRPr="00956FE1">
        <w:t>Other alternatives that would increase access to affordable energy in those disadvantaged communities that the Commission deems appropriate.</w:t>
      </w:r>
    </w:p>
    <w:p w:rsidR="00DC2861" w:rsidRDefault="57C087D8">
      <w:pPr>
        <w:numPr>
          <w:ilvl w:val="0"/>
          <w:numId w:val="4"/>
        </w:numPr>
      </w:pPr>
      <w:r>
        <w:t>Commission Decision (D.)18</w:t>
      </w:r>
      <w:r w:rsidR="00886155">
        <w:t>-</w:t>
      </w:r>
      <w:r>
        <w:t>12-015 (SJV Pilots Decision), Ordering Paragraph (OP) 15d, directed Pacific Gas and Electric Company (PG&amp;E), Southern California Edison Company (SCE), and Southern California Gas Company (SoCalGas) to file an Advice Letter (AL) that details their planned approaches to ensuring San Joaquin Valley pilot participants’ energy cost savings.</w:t>
      </w:r>
    </w:p>
    <w:p w:rsidR="004F2E8E" w:rsidP="00330D4D" w:rsidRDefault="006342EF">
      <w:pPr>
        <w:numPr>
          <w:ilvl w:val="0"/>
          <w:numId w:val="4"/>
        </w:numPr>
      </w:pPr>
      <w:r>
        <w:t xml:space="preserve">To comply </w:t>
      </w:r>
      <w:r w:rsidR="00D97177">
        <w:t xml:space="preserve">with </w:t>
      </w:r>
      <w:r w:rsidR="00140B8D">
        <w:t xml:space="preserve">OP 15d, </w:t>
      </w:r>
      <w:r w:rsidR="00783526">
        <w:t xml:space="preserve">on March 18, 2019 </w:t>
      </w:r>
      <w:r w:rsidR="00140B8D">
        <w:t xml:space="preserve">PG&amp;E filed AL </w:t>
      </w:r>
      <w:r w:rsidR="005C6C09">
        <w:t>549</w:t>
      </w:r>
      <w:r w:rsidR="00DF6CE0">
        <w:t>6</w:t>
      </w:r>
      <w:r w:rsidR="003A3F29">
        <w:t>-E, SCE filed AL 3970-E, and SoCalGas filed AL 5439-G.</w:t>
      </w:r>
    </w:p>
    <w:p w:rsidR="00330D4D" w:rsidP="00330D4D" w:rsidRDefault="00330D4D">
      <w:pPr>
        <w:numPr>
          <w:ilvl w:val="0"/>
          <w:numId w:val="4"/>
        </w:numPr>
      </w:pPr>
      <w:r>
        <w:t xml:space="preserve">The SJV Pilots Decision discussion on ensuring bill savings and affordability (Section 11.2) does not state that energy cost savings must provide a specific level of cost savings beyond a basic reduction in energy costs pre- and post-pilot. </w:t>
      </w:r>
    </w:p>
    <w:p w:rsidR="00330D4D" w:rsidP="00330D4D" w:rsidRDefault="00330D4D">
      <w:pPr>
        <w:numPr>
          <w:ilvl w:val="0"/>
          <w:numId w:val="4"/>
        </w:numPr>
      </w:pPr>
      <w:r>
        <w:t xml:space="preserve">The objective of the bill protection </w:t>
      </w:r>
      <w:r w:rsidR="0053006D">
        <w:t>approach</w:t>
      </w:r>
      <w:r>
        <w:t xml:space="preserve"> is to ensure that, at a minimum, no customer participating in an SJV pilot will experience an increase in their total energy costs above what their total energy costs were in the year before they participated in the pilot.</w:t>
      </w:r>
    </w:p>
    <w:p w:rsidR="00330D4D" w:rsidP="00330D4D" w:rsidRDefault="00330D4D">
      <w:pPr>
        <w:numPr>
          <w:ilvl w:val="0"/>
          <w:numId w:val="4"/>
        </w:numPr>
      </w:pPr>
      <w:r>
        <w:t>Inputs to PG&amp;E, SCE, and GRID Alternatives (GRID)’s energy cost saving models for SJV pilot participants are uncertain for a number of reasons</w:t>
      </w:r>
      <w:r w:rsidR="00965006">
        <w:t xml:space="preserve">. These uncertainties result </w:t>
      </w:r>
      <w:r>
        <w:t>in a wide range of cost saving estimates depending on the model.</w:t>
      </w:r>
    </w:p>
    <w:p w:rsidR="00330D4D" w:rsidP="00330D4D" w:rsidRDefault="00330D4D">
      <w:pPr>
        <w:numPr>
          <w:ilvl w:val="0"/>
          <w:numId w:val="4"/>
        </w:numPr>
      </w:pPr>
      <w:r>
        <w:t>The results of any energy cost saving model for SJV pilot participants are speculative, and no firm conclusions can be drawn based on any particular modeling approach.</w:t>
      </w:r>
    </w:p>
    <w:p w:rsidR="00330D4D" w:rsidP="00330D4D" w:rsidRDefault="00330D4D">
      <w:pPr>
        <w:numPr>
          <w:ilvl w:val="0"/>
          <w:numId w:val="4"/>
        </w:numPr>
      </w:pPr>
      <w:r>
        <w:t>PG&amp;E</w:t>
      </w:r>
      <w:r w:rsidR="00035E05">
        <w:t xml:space="preserve"> </w:t>
      </w:r>
      <w:r>
        <w:t>model</w:t>
      </w:r>
      <w:r w:rsidR="00035E05">
        <w:t>ing</w:t>
      </w:r>
      <w:r>
        <w:t xml:space="preserve"> </w:t>
      </w:r>
      <w:r w:rsidR="00C92CAA">
        <w:t xml:space="preserve">projects </w:t>
      </w:r>
      <w:r>
        <w:t xml:space="preserve">that the worst-case California Alternate Rates for Energy (CARE) </w:t>
      </w:r>
      <w:r w:rsidR="00F46D21">
        <w:t xml:space="preserve">pilot </w:t>
      </w:r>
      <w:r>
        <w:t xml:space="preserve">participant </w:t>
      </w:r>
      <w:r w:rsidR="00013FA2">
        <w:t>may</w:t>
      </w:r>
      <w:r w:rsidR="00C92CAA">
        <w:t xml:space="preserve"> </w:t>
      </w:r>
      <w:r>
        <w:t xml:space="preserve">experience a $16 total energy cost increase annually and that 1.4 percent of non-CARE customers </w:t>
      </w:r>
      <w:r w:rsidR="00013FA2">
        <w:t xml:space="preserve">may </w:t>
      </w:r>
      <w:r>
        <w:t xml:space="preserve">experience </w:t>
      </w:r>
      <w:r w:rsidR="001B276A">
        <w:t xml:space="preserve">an </w:t>
      </w:r>
      <w:r>
        <w:t>energy cost increase</w:t>
      </w:r>
      <w:r w:rsidR="00F634A6">
        <w:t xml:space="preserve"> annually</w:t>
      </w:r>
      <w:r>
        <w:t xml:space="preserve"> after the $500 credit expires.</w:t>
      </w:r>
    </w:p>
    <w:p w:rsidR="00330D4D" w:rsidP="00330D4D" w:rsidRDefault="00330D4D">
      <w:pPr>
        <w:numPr>
          <w:ilvl w:val="0"/>
          <w:numId w:val="4"/>
        </w:numPr>
      </w:pPr>
      <w:r>
        <w:t>SCE</w:t>
      </w:r>
      <w:r w:rsidR="00035E05">
        <w:t xml:space="preserve"> </w:t>
      </w:r>
      <w:r>
        <w:t>model</w:t>
      </w:r>
      <w:r w:rsidR="00035E05">
        <w:t>ing</w:t>
      </w:r>
      <w:r>
        <w:t xml:space="preserve"> </w:t>
      </w:r>
      <w:r w:rsidR="00C92CAA">
        <w:t>projects</w:t>
      </w:r>
      <w:r>
        <w:t xml:space="preserve"> that all participating customers will experience a total energy cost savings post-pilot compared to pre-pilot, </w:t>
      </w:r>
      <w:r w:rsidR="009756C5">
        <w:t xml:space="preserve">but </w:t>
      </w:r>
      <w:r>
        <w:t>SCE’s model uses a heat pump space conditioning usage input that is considerably lower than PG&amp;E’s</w:t>
      </w:r>
      <w:r w:rsidR="00F7769F">
        <w:t xml:space="preserve"> input</w:t>
      </w:r>
      <w:r w:rsidR="003A7282">
        <w:t xml:space="preserve"> without </w:t>
      </w:r>
      <w:r w:rsidR="00F82B7C">
        <w:t xml:space="preserve">sufficiently documenting its rationale for </w:t>
      </w:r>
      <w:r w:rsidR="00DA2E2E">
        <w:t>selecting</w:t>
      </w:r>
      <w:r w:rsidR="00F82B7C">
        <w:t xml:space="preserve"> the input</w:t>
      </w:r>
      <w:r w:rsidR="003A7282">
        <w:t>.</w:t>
      </w:r>
    </w:p>
    <w:p w:rsidR="00330D4D" w:rsidP="00330D4D" w:rsidRDefault="00330D4D">
      <w:pPr>
        <w:numPr>
          <w:ilvl w:val="0"/>
          <w:numId w:val="4"/>
        </w:numPr>
      </w:pPr>
      <w:r>
        <w:t>GRID’s energy cost saving model</w:t>
      </w:r>
      <w:r w:rsidR="00C92CAA">
        <w:t>ing</w:t>
      </w:r>
      <w:r>
        <w:t xml:space="preserve"> </w:t>
      </w:r>
      <w:r w:rsidR="00C92CAA">
        <w:t xml:space="preserve">of </w:t>
      </w:r>
      <w:r>
        <w:t xml:space="preserve">SJV pilot participants </w:t>
      </w:r>
      <w:r w:rsidR="00F82B7C">
        <w:t xml:space="preserve">is </w:t>
      </w:r>
      <w:r>
        <w:t>persuasive</w:t>
      </w:r>
      <w:r w:rsidR="00F82B7C">
        <w:t xml:space="preserve"> in demonstrating</w:t>
      </w:r>
      <w:r>
        <w:t xml:space="preserve"> that all participating pilot customers would experience some degree of total energy cost savings post-pilot compared to pre-pilot if pilot participants receive a 20</w:t>
      </w:r>
      <w:r w:rsidR="00F82B7C">
        <w:t xml:space="preserve"> percent</w:t>
      </w:r>
      <w:r>
        <w:t xml:space="preserve"> bill protection discount on monthly electricity bills.</w:t>
      </w:r>
    </w:p>
    <w:p w:rsidR="00330D4D" w:rsidP="00330D4D" w:rsidRDefault="00201F05">
      <w:pPr>
        <w:numPr>
          <w:ilvl w:val="0"/>
          <w:numId w:val="4"/>
        </w:numPr>
      </w:pPr>
      <w:r>
        <w:t>Public Advocates Office (</w:t>
      </w:r>
      <w:proofErr w:type="spellStart"/>
      <w:r>
        <w:t>CalPA</w:t>
      </w:r>
      <w:proofErr w:type="spellEnd"/>
      <w:r>
        <w:t>)’s p</w:t>
      </w:r>
      <w:r w:rsidR="00330D4D">
        <w:t>roposed bill protection mechanism for SJV participants does not incorporate monthly bill protection and does not avoid monthly bill shock</w:t>
      </w:r>
      <w:r w:rsidR="00C92CAA">
        <w:t>, and thus does not meet the requirements</w:t>
      </w:r>
      <w:r w:rsidR="00E649EB">
        <w:t xml:space="preserve"> of the SJV Pilots Decision</w:t>
      </w:r>
      <w:r w:rsidR="00330D4D">
        <w:t xml:space="preserve">. </w:t>
      </w:r>
    </w:p>
    <w:p w:rsidR="00330D4D" w:rsidP="00330D4D" w:rsidRDefault="0071366B">
      <w:pPr>
        <w:numPr>
          <w:ilvl w:val="0"/>
          <w:numId w:val="4"/>
        </w:numPr>
      </w:pPr>
      <w:r>
        <w:t>P</w:t>
      </w:r>
      <w:r w:rsidR="00330D4D">
        <w:t xml:space="preserve">articipants </w:t>
      </w:r>
      <w:r>
        <w:t>c</w:t>
      </w:r>
      <w:r w:rsidR="00330D4D">
        <w:t xml:space="preserve">ould find it difficult to understand </w:t>
      </w:r>
      <w:proofErr w:type="spellStart"/>
      <w:r w:rsidR="00330D4D">
        <w:t>CalPA’s</w:t>
      </w:r>
      <w:proofErr w:type="spellEnd"/>
      <w:r w:rsidR="00330D4D">
        <w:t xml:space="preserve"> proposed bill protection mechanism, which could diminish enrollment and impede data collection efforts to </w:t>
      </w:r>
      <w:r>
        <w:t xml:space="preserve">inform </w:t>
      </w:r>
      <w:r w:rsidR="00330D4D">
        <w:t>scal</w:t>
      </w:r>
      <w:r>
        <w:t xml:space="preserve">ing </w:t>
      </w:r>
      <w:r w:rsidR="00330D4D">
        <w:t>pilot learnings to other communities.</w:t>
      </w:r>
    </w:p>
    <w:p w:rsidR="00021499" w:rsidP="00330D4D" w:rsidRDefault="00330D4D">
      <w:pPr>
        <w:numPr>
          <w:ilvl w:val="0"/>
          <w:numId w:val="4"/>
        </w:numPr>
      </w:pPr>
      <w:r>
        <w:t>The SJV Pilots Decision states that $500</w:t>
      </w:r>
      <w:r w:rsidR="00F82B7C">
        <w:t xml:space="preserve"> for bill credits</w:t>
      </w:r>
      <w:r>
        <w:t xml:space="preserve"> per household shall be used as a “starting point” with cost recovery authorized up to that amount.</w:t>
      </w:r>
    </w:p>
    <w:p w:rsidR="00330D4D" w:rsidP="00330D4D" w:rsidRDefault="00330D4D">
      <w:pPr>
        <w:numPr>
          <w:ilvl w:val="0"/>
          <w:numId w:val="4"/>
        </w:numPr>
      </w:pPr>
      <w:r>
        <w:t xml:space="preserve">A starting point, in this context, is a guidepost for initiating data-driven analysis; it is </w:t>
      </w:r>
      <w:r w:rsidR="00624BD5">
        <w:t>not</w:t>
      </w:r>
      <w:r>
        <w:t xml:space="preserve"> a cap, especially since procedural pathways exist to increase cost recovery for bill protections.</w:t>
      </w:r>
    </w:p>
    <w:p w:rsidR="00330D4D" w:rsidP="00DE264B" w:rsidRDefault="005D4B35">
      <w:pPr>
        <w:numPr>
          <w:ilvl w:val="0"/>
          <w:numId w:val="4"/>
        </w:numPr>
      </w:pPr>
      <w:r>
        <w:t xml:space="preserve">Because of modeling uncertainties, </w:t>
      </w:r>
      <w:r w:rsidR="00F82B7C">
        <w:t xml:space="preserve">bill credits </w:t>
      </w:r>
      <w:r w:rsidR="00FB6FB2">
        <w:t xml:space="preserve">of greater </w:t>
      </w:r>
      <w:r w:rsidR="00957B56">
        <w:t xml:space="preserve">than </w:t>
      </w:r>
      <w:r w:rsidR="00FB6FB2">
        <w:t xml:space="preserve">$500 </w:t>
      </w:r>
      <w:r w:rsidR="00330D4D">
        <w:t xml:space="preserve">per participating household </w:t>
      </w:r>
      <w:r w:rsidR="00FB6FB2">
        <w:t xml:space="preserve">are </w:t>
      </w:r>
      <w:r w:rsidR="00557940">
        <w:t>necessary to ensure</w:t>
      </w:r>
      <w:r w:rsidR="00326428">
        <w:t xml:space="preserve"> that each participating household experiences energy cost savings</w:t>
      </w:r>
      <w:r w:rsidR="00DE264B">
        <w:t>,</w:t>
      </w:r>
      <w:r w:rsidR="00FB6FB2">
        <w:t xml:space="preserve"> </w:t>
      </w:r>
      <w:r w:rsidR="00326428">
        <w:t xml:space="preserve">a </w:t>
      </w:r>
      <w:r w:rsidR="00557940">
        <w:t>central objective of the SJV pilot</w:t>
      </w:r>
      <w:r w:rsidR="00326428">
        <w:t>.</w:t>
      </w:r>
    </w:p>
    <w:p w:rsidR="00330D4D" w:rsidP="00330D4D" w:rsidRDefault="00330D4D">
      <w:pPr>
        <w:numPr>
          <w:ilvl w:val="0"/>
          <w:numId w:val="4"/>
        </w:numPr>
      </w:pPr>
      <w:r>
        <w:t>A bill protection</w:t>
      </w:r>
      <w:r w:rsidR="007D3551">
        <w:t xml:space="preserve"> </w:t>
      </w:r>
      <w:r w:rsidR="00586598">
        <w:t>approach</w:t>
      </w:r>
      <w:r>
        <w:t xml:space="preserve"> that uses a percentage discount approach scales to the size of a customer’s electricity bill and particular household needs</w:t>
      </w:r>
      <w:r w:rsidR="007D3551">
        <w:t xml:space="preserve"> and</w:t>
      </w:r>
      <w:r w:rsidR="00FB6FB2">
        <w:t>, as a result,</w:t>
      </w:r>
      <w:r w:rsidR="007D3551">
        <w:t xml:space="preserve"> is more likely to ensure energy cost savings</w:t>
      </w:r>
      <w:r>
        <w:t xml:space="preserve">, whereas </w:t>
      </w:r>
      <w:r w:rsidR="006D4429">
        <w:t>a bill protection approach that</w:t>
      </w:r>
      <w:r>
        <w:t xml:space="preserve"> provide</w:t>
      </w:r>
      <w:r w:rsidR="006D4429">
        <w:t>s</w:t>
      </w:r>
      <w:r>
        <w:t xml:space="preserve"> a </w:t>
      </w:r>
      <w:r w:rsidR="00E22B3A">
        <w:t xml:space="preserve">total </w:t>
      </w:r>
      <w:r>
        <w:t xml:space="preserve">$500 credit to each household over three years does </w:t>
      </w:r>
      <w:r w:rsidR="007D3551">
        <w:t>provide sufficient guarantee of energy cost savings.</w:t>
      </w:r>
    </w:p>
    <w:p w:rsidR="00330D4D" w:rsidP="00330D4D" w:rsidRDefault="00330D4D">
      <w:pPr>
        <w:numPr>
          <w:ilvl w:val="0"/>
          <w:numId w:val="4"/>
        </w:numPr>
      </w:pPr>
      <w:r>
        <w:t>A 20 percent bill protection discount for pilot customers</w:t>
      </w:r>
      <w:r w:rsidR="007D3551">
        <w:t xml:space="preserve"> </w:t>
      </w:r>
      <w:r>
        <w:t>provides a reasonable savings buffer to account for modeling uncertainties and scales to</w:t>
      </w:r>
      <w:r w:rsidR="00C5644B">
        <w:t xml:space="preserve"> a </w:t>
      </w:r>
      <w:r>
        <w:t>customer’s unique energy usage patterns to accommodate individual household needs.</w:t>
      </w:r>
    </w:p>
    <w:p w:rsidR="00330D4D" w:rsidP="00330D4D" w:rsidRDefault="00330D4D">
      <w:pPr>
        <w:numPr>
          <w:ilvl w:val="0"/>
          <w:numId w:val="4"/>
        </w:numPr>
      </w:pPr>
      <w:r>
        <w:t>The</w:t>
      </w:r>
      <w:r w:rsidR="007D3551">
        <w:t xml:space="preserve"> uncertainties </w:t>
      </w:r>
      <w:r>
        <w:t xml:space="preserve">embedded in </w:t>
      </w:r>
      <w:r w:rsidR="00F82B7C">
        <w:t xml:space="preserve">parties’ </w:t>
      </w:r>
      <w:r>
        <w:t>energy cost saving models</w:t>
      </w:r>
      <w:r w:rsidR="007D3551">
        <w:t xml:space="preserve"> preclude the Commission from </w:t>
      </w:r>
      <w:r w:rsidR="00F82B7C">
        <w:t>conclud</w:t>
      </w:r>
      <w:r w:rsidR="007D3551">
        <w:t>ing</w:t>
      </w:r>
      <w:r>
        <w:t xml:space="preserve"> that a three-year </w:t>
      </w:r>
      <w:r w:rsidR="007D3551">
        <w:t xml:space="preserve">bill </w:t>
      </w:r>
      <w:r>
        <w:t xml:space="preserve">protection </w:t>
      </w:r>
      <w:r w:rsidR="007D3551">
        <w:t xml:space="preserve">period </w:t>
      </w:r>
      <w:r>
        <w:t xml:space="preserve">is </w:t>
      </w:r>
      <w:r w:rsidR="0013012B">
        <w:t xml:space="preserve">an </w:t>
      </w:r>
      <w:r>
        <w:t xml:space="preserve">adequate </w:t>
      </w:r>
      <w:r w:rsidR="0013012B">
        <w:t xml:space="preserve">amount of time </w:t>
      </w:r>
      <w:r>
        <w:t>to ensure total energy costs savings for all participants</w:t>
      </w:r>
      <w:r w:rsidR="0013012B">
        <w:t>.</w:t>
      </w:r>
    </w:p>
    <w:p w:rsidR="00FB6FB2" w:rsidP="00330D4D" w:rsidRDefault="00330D4D">
      <w:pPr>
        <w:numPr>
          <w:ilvl w:val="0"/>
          <w:numId w:val="4"/>
        </w:numPr>
      </w:pPr>
      <w:r>
        <w:t xml:space="preserve">A </w:t>
      </w:r>
      <w:r w:rsidR="00FB6FB2">
        <w:t>10</w:t>
      </w:r>
      <w:r w:rsidR="002819E8">
        <w:t>-</w:t>
      </w:r>
      <w:r w:rsidR="00FB6FB2">
        <w:t xml:space="preserve">year </w:t>
      </w:r>
      <w:r>
        <w:t xml:space="preserve">percentage discount bill protection </w:t>
      </w:r>
      <w:r w:rsidR="00586598">
        <w:t>approach</w:t>
      </w:r>
      <w:r>
        <w:t xml:space="preserve"> will encourage greater </w:t>
      </w:r>
      <w:r w:rsidR="00FB6FB2">
        <w:t xml:space="preserve">pilot </w:t>
      </w:r>
      <w:r>
        <w:t xml:space="preserve">participation than a </w:t>
      </w:r>
      <w:proofErr w:type="gramStart"/>
      <w:r w:rsidR="00FB6FB2">
        <w:t>three year</w:t>
      </w:r>
      <w:proofErr w:type="gramEnd"/>
      <w:r w:rsidR="00FB6FB2">
        <w:t xml:space="preserve"> </w:t>
      </w:r>
      <w:r>
        <w:t xml:space="preserve">$500 credit because it </w:t>
      </w:r>
      <w:r w:rsidR="00FB6FB2">
        <w:t xml:space="preserve">offers </w:t>
      </w:r>
      <w:r w:rsidR="00F82B7C">
        <w:t xml:space="preserve">potential pilot participants </w:t>
      </w:r>
      <w:r>
        <w:t>a longer period of energy cost savings</w:t>
      </w:r>
      <w:r w:rsidR="00FB6FB2">
        <w:t>.</w:t>
      </w:r>
    </w:p>
    <w:p w:rsidR="00330D4D" w:rsidP="00330D4D" w:rsidRDefault="00EF5F57">
      <w:pPr>
        <w:numPr>
          <w:ilvl w:val="0"/>
          <w:numId w:val="4"/>
        </w:numPr>
      </w:pPr>
      <w:r>
        <w:t>Ensuring ample participation in the p</w:t>
      </w:r>
      <w:r w:rsidR="00330D4D">
        <w:t xml:space="preserve">ilot is essential </w:t>
      </w:r>
      <w:r w:rsidR="009A4527">
        <w:t>for</w:t>
      </w:r>
      <w:r>
        <w:t xml:space="preserve"> </w:t>
      </w:r>
      <w:r w:rsidR="00330D4D">
        <w:t>collect</w:t>
      </w:r>
      <w:r w:rsidR="009A4527">
        <w:t>ing</w:t>
      </w:r>
      <w:r w:rsidR="00330D4D">
        <w:t xml:space="preserve"> </w:t>
      </w:r>
      <w:r>
        <w:t xml:space="preserve">sufficient </w:t>
      </w:r>
      <w:r w:rsidR="00330D4D">
        <w:t xml:space="preserve">data to inform </w:t>
      </w:r>
      <w:r>
        <w:t xml:space="preserve">approaches to </w:t>
      </w:r>
      <w:r w:rsidR="00330D4D">
        <w:t>scal</w:t>
      </w:r>
      <w:r>
        <w:t>ing</w:t>
      </w:r>
      <w:r w:rsidR="00330D4D">
        <w:t xml:space="preserve"> electrification to other</w:t>
      </w:r>
      <w:r>
        <w:t xml:space="preserve"> </w:t>
      </w:r>
      <w:r w:rsidR="00330D4D">
        <w:t>SJV</w:t>
      </w:r>
      <w:r>
        <w:t xml:space="preserve"> disadvantaged communities. </w:t>
      </w:r>
      <w:r w:rsidR="00330D4D">
        <w:t xml:space="preserve"> </w:t>
      </w:r>
    </w:p>
    <w:p w:rsidR="002333FB" w:rsidP="002333FB" w:rsidRDefault="002333FB">
      <w:pPr>
        <w:numPr>
          <w:ilvl w:val="0"/>
          <w:numId w:val="4"/>
        </w:numPr>
      </w:pPr>
      <w:r>
        <w:t>Linking the duration of the pilot bill protection discount to the life expectancy of the appliances ensures that participants receive energy cost savings while relying on electrical appliances for heating, cooling and cooking needs.</w:t>
      </w:r>
    </w:p>
    <w:p w:rsidR="00330D4D" w:rsidP="00330D4D" w:rsidRDefault="00F82B7C">
      <w:pPr>
        <w:numPr>
          <w:ilvl w:val="0"/>
          <w:numId w:val="4"/>
        </w:numPr>
      </w:pPr>
      <w:r>
        <w:t>It is appropriate for a</w:t>
      </w:r>
      <w:r w:rsidR="00330D4D">
        <w:t xml:space="preserve"> bill protection approach </w:t>
      </w:r>
      <w:r>
        <w:t xml:space="preserve">to </w:t>
      </w:r>
      <w:r w:rsidR="00330D4D">
        <w:t>last no longer than the life expectancy of the electric appliances being installed, which is</w:t>
      </w:r>
      <w:r>
        <w:t xml:space="preserve"> reported to be</w:t>
      </w:r>
      <w:r w:rsidR="00330D4D">
        <w:t xml:space="preserve"> 15 years for a heat pump space conditioning system and 10 years for </w:t>
      </w:r>
      <w:r w:rsidR="00B94DD5">
        <w:t xml:space="preserve">a </w:t>
      </w:r>
      <w:r w:rsidR="00330D4D">
        <w:t>heat pump water heater.</w:t>
      </w:r>
    </w:p>
    <w:p w:rsidR="00647B88" w:rsidP="00330D4D" w:rsidRDefault="009E2C36">
      <w:pPr>
        <w:numPr>
          <w:ilvl w:val="0"/>
          <w:numId w:val="4"/>
        </w:numPr>
      </w:pPr>
      <w:r>
        <w:t>Modeling results project</w:t>
      </w:r>
      <w:r w:rsidR="001F4620">
        <w:t xml:space="preserve"> </w:t>
      </w:r>
      <w:r w:rsidR="00827A67">
        <w:t xml:space="preserve">that </w:t>
      </w:r>
      <w:r w:rsidR="001F4620">
        <w:t xml:space="preserve">the bill protection </w:t>
      </w:r>
      <w:r w:rsidR="00606066">
        <w:t>approach</w:t>
      </w:r>
      <w:r w:rsidR="001F4620">
        <w:t xml:space="preserve"> </w:t>
      </w:r>
      <w:r w:rsidR="00827A67">
        <w:t>authorized in</w:t>
      </w:r>
      <w:r w:rsidR="001F4620">
        <w:t xml:space="preserve"> this </w:t>
      </w:r>
      <w:r w:rsidR="00746089">
        <w:t>r</w:t>
      </w:r>
      <w:r w:rsidR="001F4620">
        <w:t xml:space="preserve">esolution </w:t>
      </w:r>
      <w:r w:rsidR="00827A67">
        <w:t xml:space="preserve">would </w:t>
      </w:r>
      <w:r w:rsidR="001F4620">
        <w:t>cost ratepayers approximately $</w:t>
      </w:r>
      <w:r w:rsidR="00BE2269">
        <w:t>5</w:t>
      </w:r>
      <w:r w:rsidR="001F4620">
        <w:t>.</w:t>
      </w:r>
      <w:r w:rsidR="00477D59">
        <w:t>2</w:t>
      </w:r>
      <w:r w:rsidR="001F4620">
        <w:t xml:space="preserve"> million</w:t>
      </w:r>
      <w:r w:rsidR="00624A01">
        <w:t xml:space="preserve"> </w:t>
      </w:r>
      <w:r w:rsidRPr="00A94481" w:rsidR="00624A01">
        <w:t xml:space="preserve">if the 20 percent discount stays in place for </w:t>
      </w:r>
      <w:r w:rsidR="00624A01">
        <w:t>10</w:t>
      </w:r>
      <w:r w:rsidRPr="00A94481" w:rsidR="00624A01">
        <w:t xml:space="preserve"> years and </w:t>
      </w:r>
      <w:r w:rsidR="005401E0">
        <w:t xml:space="preserve">would cost </w:t>
      </w:r>
      <w:r w:rsidRPr="00A94481" w:rsidR="00624A01">
        <w:t>approximately $</w:t>
      </w:r>
      <w:r w:rsidR="00315E44">
        <w:t>3</w:t>
      </w:r>
      <w:r w:rsidRPr="00A94481" w:rsidR="00624A01">
        <w:t>.</w:t>
      </w:r>
      <w:r w:rsidR="00315E44">
        <w:t>7</w:t>
      </w:r>
      <w:r w:rsidRPr="00A94481" w:rsidR="00624A01">
        <w:t xml:space="preserve"> million </w:t>
      </w:r>
      <w:r w:rsidRPr="00E94045" w:rsidR="00624A01">
        <w:t xml:space="preserve">if the 20 percent bill discount steps down to a 10 percent bill discount after year five. </w:t>
      </w:r>
    </w:p>
    <w:p w:rsidRPr="00E94045" w:rsidR="001C5C76" w:rsidP="00330D4D" w:rsidRDefault="00647B88">
      <w:pPr>
        <w:numPr>
          <w:ilvl w:val="0"/>
          <w:numId w:val="4"/>
        </w:numPr>
      </w:pPr>
      <w:r>
        <w:t xml:space="preserve">Modeling results project that </w:t>
      </w:r>
      <w:r w:rsidRPr="00E94045" w:rsidR="00624A01">
        <w:t xml:space="preserve">GRID’s </w:t>
      </w:r>
      <w:r w:rsidR="00587A41">
        <w:t xml:space="preserve">bill protection </w:t>
      </w:r>
      <w:r w:rsidRPr="00E94045" w:rsidR="00624A01">
        <w:t>proposal</w:t>
      </w:r>
      <w:r w:rsidRPr="00E94045" w:rsidR="00B60F65">
        <w:t xml:space="preserve"> to provide</w:t>
      </w:r>
      <w:r w:rsidRPr="00E94045" w:rsidR="009E2C36">
        <w:t xml:space="preserve"> a 20 percent monthly bill discount for 20 years</w:t>
      </w:r>
      <w:r w:rsidRPr="00E94045" w:rsidR="00624A01">
        <w:t xml:space="preserve"> is projected to cost ratepayers approximately $</w:t>
      </w:r>
      <w:r w:rsidR="00315E44">
        <w:t>11</w:t>
      </w:r>
      <w:r w:rsidRPr="00E94045" w:rsidR="00624A01">
        <w:t>.</w:t>
      </w:r>
      <w:r w:rsidR="00F42F44">
        <w:t>3</w:t>
      </w:r>
      <w:r w:rsidRPr="00E94045" w:rsidR="00624A01">
        <w:t xml:space="preserve"> million.</w:t>
      </w:r>
    </w:p>
    <w:p w:rsidRPr="004B5061" w:rsidR="00330D4D" w:rsidP="00330D4D" w:rsidRDefault="00F82B7C">
      <w:pPr>
        <w:numPr>
          <w:ilvl w:val="0"/>
          <w:numId w:val="4"/>
        </w:numPr>
      </w:pPr>
      <w:r w:rsidRPr="00E94045">
        <w:t xml:space="preserve">Modeling </w:t>
      </w:r>
      <w:r w:rsidRPr="00E94045" w:rsidR="00EF5F57">
        <w:t xml:space="preserve">results project </w:t>
      </w:r>
      <w:r w:rsidRPr="00E94045">
        <w:t>that</w:t>
      </w:r>
      <w:r w:rsidRPr="00E94045" w:rsidR="00330D4D">
        <w:t xml:space="preserve"> the bill protection </w:t>
      </w:r>
      <w:r w:rsidR="00606066">
        <w:t>approach</w:t>
      </w:r>
      <w:r w:rsidRPr="00E94045" w:rsidR="00330D4D">
        <w:t xml:space="preserve"> </w:t>
      </w:r>
      <w:r w:rsidRPr="00E94045" w:rsidR="00EF5F57">
        <w:t xml:space="preserve">authorized in this </w:t>
      </w:r>
      <w:r w:rsidRPr="004B5061" w:rsidR="00330D4D">
        <w:t>Resolution would increase PG&amp;E</w:t>
      </w:r>
      <w:r w:rsidRPr="004B5061">
        <w:t>’s</w:t>
      </w:r>
      <w:r w:rsidRPr="004B5061" w:rsidR="00330D4D">
        <w:t xml:space="preserve"> and SCE’s </w:t>
      </w:r>
      <w:r w:rsidRPr="004B5061" w:rsidR="00CB2A6A">
        <w:t xml:space="preserve">combined </w:t>
      </w:r>
      <w:r w:rsidRPr="004B5061" w:rsidR="00330D4D">
        <w:t xml:space="preserve">overall pilot project budgets by approximately </w:t>
      </w:r>
      <w:r w:rsidR="00283681">
        <w:t>7</w:t>
      </w:r>
      <w:r w:rsidRPr="004B5061" w:rsidR="003E7A52">
        <w:t xml:space="preserve"> to </w:t>
      </w:r>
      <w:r w:rsidR="00283681">
        <w:t>10</w:t>
      </w:r>
      <w:r w:rsidRPr="004B5061" w:rsidR="00330D4D">
        <w:t xml:space="preserve"> percent, while GRID’s proposal would increase the overall budget</w:t>
      </w:r>
      <w:r w:rsidR="004528B1">
        <w:t>s</w:t>
      </w:r>
      <w:r w:rsidRPr="004B5061" w:rsidR="00330D4D">
        <w:t xml:space="preserve"> by approximately </w:t>
      </w:r>
      <w:r w:rsidRPr="004B5061" w:rsidR="00E94045">
        <w:t>2</w:t>
      </w:r>
      <w:r w:rsidR="00F55412">
        <w:t>2</w:t>
      </w:r>
      <w:r w:rsidRPr="004B5061" w:rsidR="00330D4D">
        <w:t xml:space="preserve"> percent.</w:t>
      </w:r>
    </w:p>
    <w:p w:rsidRPr="004B5061" w:rsidR="00330D4D" w:rsidP="00330D4D" w:rsidRDefault="00F82B7C">
      <w:pPr>
        <w:numPr>
          <w:ilvl w:val="0"/>
          <w:numId w:val="4"/>
        </w:numPr>
      </w:pPr>
      <w:r w:rsidRPr="004B5061">
        <w:t>A</w:t>
      </w:r>
      <w:r w:rsidRPr="004B5061" w:rsidR="00330D4D">
        <w:t xml:space="preserve"> bill protection </w:t>
      </w:r>
      <w:r w:rsidR="00606066">
        <w:t>approach</w:t>
      </w:r>
      <w:r w:rsidRPr="004B5061" w:rsidR="00330D4D">
        <w:t xml:space="preserve"> that increases pilot costs by approximately </w:t>
      </w:r>
      <w:r w:rsidR="00283681">
        <w:t>7</w:t>
      </w:r>
      <w:r w:rsidRPr="004B5061" w:rsidR="00CB2A6A">
        <w:t xml:space="preserve"> to 1</w:t>
      </w:r>
      <w:r w:rsidR="00283681">
        <w:t>0</w:t>
      </w:r>
      <w:r w:rsidRPr="004B5061" w:rsidR="00EF5F57">
        <w:t xml:space="preserve"> percent </w:t>
      </w:r>
      <w:r w:rsidRPr="004B5061" w:rsidR="00330D4D">
        <w:t>of overall costs</w:t>
      </w:r>
      <w:r w:rsidRPr="004B5061" w:rsidR="00C431C6">
        <w:t xml:space="preserve"> approved </w:t>
      </w:r>
      <w:r w:rsidRPr="004B5061" w:rsidR="004B5061">
        <w:t xml:space="preserve">in the SJV Pilots Decision is reasonable given the importance of ensuring high levels of participation in the pilot </w:t>
      </w:r>
      <w:r w:rsidR="001464C6">
        <w:t xml:space="preserve">in order </w:t>
      </w:r>
      <w:r w:rsidRPr="004B5061" w:rsidR="004B5061">
        <w:t>to gather data to inform future decision making in this proceeding.</w:t>
      </w:r>
    </w:p>
    <w:p w:rsidR="00330D4D" w:rsidP="00330D4D" w:rsidRDefault="00330D4D">
      <w:pPr>
        <w:numPr>
          <w:ilvl w:val="0"/>
          <w:numId w:val="4"/>
        </w:numPr>
      </w:pPr>
      <w:r w:rsidRPr="004B5061">
        <w:t>Stepping down the bill protection discount from 20 percent per billing</w:t>
      </w:r>
      <w:r>
        <w:t xml:space="preserve"> period after five years to 10 percent per billing period for an additional five years</w:t>
      </w:r>
      <w:r w:rsidR="001B0C39">
        <w:t xml:space="preserve"> </w:t>
      </w:r>
      <w:r>
        <w:t xml:space="preserve">allows </w:t>
      </w:r>
      <w:r w:rsidR="007D2F91">
        <w:t>pilot participants</w:t>
      </w:r>
      <w:r>
        <w:t xml:space="preserve"> to adjust electricity usage behavior more gradually</w:t>
      </w:r>
      <w:r w:rsidR="001B0C39">
        <w:t xml:space="preserve"> than if the 20 percent bill protection discount were to </w:t>
      </w:r>
      <w:r w:rsidR="00C745B7">
        <w:t>suddenly expire</w:t>
      </w:r>
      <w:r>
        <w:t>.</w:t>
      </w:r>
    </w:p>
    <w:p w:rsidR="00330D4D" w:rsidP="00330D4D" w:rsidRDefault="007D2F91">
      <w:pPr>
        <w:numPr>
          <w:ilvl w:val="0"/>
          <w:numId w:val="4"/>
        </w:numPr>
      </w:pPr>
      <w:r>
        <w:t>Modeling forecasts that</w:t>
      </w:r>
      <w:r w:rsidR="00330D4D">
        <w:t xml:space="preserve"> stepping down a bill protection discount from 20 percent per billing period</w:t>
      </w:r>
      <w:r w:rsidRPr="00D81EA4" w:rsidR="00330D4D">
        <w:t xml:space="preserve"> to 10</w:t>
      </w:r>
      <w:r w:rsidR="00330D4D">
        <w:t xml:space="preserve"> percent per billing period</w:t>
      </w:r>
      <w:r w:rsidRPr="00D81EA4" w:rsidR="00330D4D">
        <w:t xml:space="preserve"> after five years, versus keeping the discount at 20</w:t>
      </w:r>
      <w:r w:rsidR="00330D4D">
        <w:t xml:space="preserve"> percent per billing period</w:t>
      </w:r>
      <w:r w:rsidRPr="00D81EA4" w:rsidR="00330D4D">
        <w:t xml:space="preserve"> for </w:t>
      </w:r>
      <w:r w:rsidR="00330D4D">
        <w:t>10</w:t>
      </w:r>
      <w:r w:rsidRPr="00D81EA4" w:rsidR="00330D4D">
        <w:t xml:space="preserve"> years, </w:t>
      </w:r>
      <w:r w:rsidR="008B7F59">
        <w:t xml:space="preserve">would </w:t>
      </w:r>
      <w:r w:rsidRPr="00D81EA4" w:rsidR="00330D4D">
        <w:t>result in approximately $</w:t>
      </w:r>
      <w:r w:rsidR="00DA421A">
        <w:t>1.5</w:t>
      </w:r>
      <w:r w:rsidRPr="00D81EA4" w:rsidR="00330D4D">
        <w:t xml:space="preserve"> million in </w:t>
      </w:r>
      <w:r w:rsidR="00FF3CF7">
        <w:t xml:space="preserve">total </w:t>
      </w:r>
      <w:r w:rsidRPr="00D81EA4" w:rsidR="00330D4D">
        <w:t>ratepayer</w:t>
      </w:r>
      <w:r w:rsidR="00330D4D">
        <w:t xml:space="preserve"> savings</w:t>
      </w:r>
      <w:r w:rsidR="00FF3CF7">
        <w:t xml:space="preserve"> for the SJV pilots</w:t>
      </w:r>
      <w:r w:rsidRPr="002E50A9" w:rsidR="00330D4D">
        <w:t>.</w:t>
      </w:r>
    </w:p>
    <w:p w:rsidR="00330D4D" w:rsidP="00330D4D" w:rsidRDefault="00330D4D">
      <w:pPr>
        <w:numPr>
          <w:ilvl w:val="0"/>
          <w:numId w:val="4"/>
        </w:numPr>
      </w:pPr>
      <w:r>
        <w:t>On balance,</w:t>
      </w:r>
      <w:r w:rsidR="007D2F91">
        <w:t xml:space="preserve"> </w:t>
      </w:r>
      <w:r>
        <w:t>a 20 percent to 10 percent step-down approach is more administratively efficient, simpler to explain to customers interested in enrolling in the pilots, and similar in cost impact than other step-down approaches.</w:t>
      </w:r>
    </w:p>
    <w:p w:rsidR="008727B2" w:rsidP="008727B2" w:rsidRDefault="008727B2">
      <w:pPr>
        <w:numPr>
          <w:ilvl w:val="0"/>
          <w:numId w:val="4"/>
        </w:numPr>
      </w:pPr>
      <w:r>
        <w:t>It is reasonable to step down a percentage bill protection discount over time, assuming that all participants are experiencing cost savings.</w:t>
      </w:r>
    </w:p>
    <w:p w:rsidR="00330D4D" w:rsidP="00330D4D" w:rsidRDefault="00330D4D">
      <w:pPr>
        <w:numPr>
          <w:ilvl w:val="0"/>
          <w:numId w:val="4"/>
        </w:numPr>
      </w:pPr>
      <w:r>
        <w:t>Stepping down a 20 percent bill protection discount per billing period after five years</w:t>
      </w:r>
      <w:r w:rsidR="005746AC">
        <w:t xml:space="preserve">, versus </w:t>
      </w:r>
      <w:r w:rsidR="0025689D">
        <w:t xml:space="preserve">after </w:t>
      </w:r>
      <w:r w:rsidR="005746AC">
        <w:t>a shorter time frame,</w:t>
      </w:r>
      <w:r>
        <w:t xml:space="preserve"> allows PG&amp;E and SCE to conduct a robust, multi-year evaluation of energy cost savings based on actual post-pilot electricity bills and voluntarily submitted propane bills</w:t>
      </w:r>
      <w:r w:rsidR="007D78E6">
        <w:t>, which will</w:t>
      </w:r>
      <w:r w:rsidR="00814537">
        <w:t xml:space="preserve"> help determine whether </w:t>
      </w:r>
      <w:r w:rsidR="008B48D2">
        <w:t xml:space="preserve">all participants are experiencing </w:t>
      </w:r>
      <w:r w:rsidR="00DE1C6A">
        <w:t xml:space="preserve">energy </w:t>
      </w:r>
      <w:r w:rsidR="008B48D2">
        <w:t>cost savings.</w:t>
      </w:r>
    </w:p>
    <w:p w:rsidR="00330D4D" w:rsidP="00330D4D" w:rsidRDefault="00330D4D">
      <w:pPr>
        <w:numPr>
          <w:ilvl w:val="0"/>
          <w:numId w:val="4"/>
        </w:numPr>
      </w:pPr>
      <w:r>
        <w:t>The 20 percent to 10 percent bill protection step-down approach aligns with the SJV Pilot’s Decision directive to minimize administrative barriers</w:t>
      </w:r>
      <w:r w:rsidR="005A09C6">
        <w:t>.</w:t>
      </w:r>
    </w:p>
    <w:p w:rsidR="00330D4D" w:rsidP="00330D4D" w:rsidRDefault="00330D4D">
      <w:pPr>
        <w:numPr>
          <w:ilvl w:val="0"/>
          <w:numId w:val="4"/>
        </w:numPr>
      </w:pPr>
      <w:r>
        <w:t xml:space="preserve">The Commission reviewed party comments on the topic of partial or full electrification in the SJV Pilots Decision and </w:t>
      </w:r>
      <w:r w:rsidR="003D79EE">
        <w:t xml:space="preserve">authorized </w:t>
      </w:r>
      <w:r>
        <w:t>pilot administrators the flexibility to not install heat pump space heating in some homes.</w:t>
      </w:r>
    </w:p>
    <w:p w:rsidR="00330D4D" w:rsidP="00330D4D" w:rsidRDefault="00330D4D">
      <w:pPr>
        <w:numPr>
          <w:ilvl w:val="0"/>
          <w:numId w:val="4"/>
        </w:numPr>
      </w:pPr>
      <w:r>
        <w:t xml:space="preserve">This Resolution is not the appropriate venue to seek a modification </w:t>
      </w:r>
      <w:r w:rsidR="00D141D0">
        <w:t>of the</w:t>
      </w:r>
      <w:r w:rsidR="00CD55BB">
        <w:t xml:space="preserve"> requirements of the</w:t>
      </w:r>
      <w:r w:rsidR="00D141D0">
        <w:t xml:space="preserve"> </w:t>
      </w:r>
      <w:r w:rsidR="00CD55BB">
        <w:t xml:space="preserve">SJV Decision regarding </w:t>
      </w:r>
      <w:r w:rsidR="00D141D0">
        <w:t>partial or full electrification.</w:t>
      </w:r>
    </w:p>
    <w:p w:rsidR="00330D4D" w:rsidP="00330D4D" w:rsidRDefault="00330D4D">
      <w:pPr>
        <w:numPr>
          <w:ilvl w:val="0"/>
          <w:numId w:val="4"/>
        </w:numPr>
      </w:pPr>
      <w:r>
        <w:t>SJV pilot participants’ total energy cost savings may be impacted by which appliances are installed in participants</w:t>
      </w:r>
      <w:r w:rsidR="00FB6FB2">
        <w:t>’</w:t>
      </w:r>
      <w:r>
        <w:t xml:space="preserve"> homes. </w:t>
      </w:r>
    </w:p>
    <w:p w:rsidR="00330D4D" w:rsidP="00330D4D" w:rsidRDefault="00330D4D">
      <w:pPr>
        <w:numPr>
          <w:ilvl w:val="0"/>
          <w:numId w:val="4"/>
        </w:numPr>
      </w:pPr>
      <w:r>
        <w:t xml:space="preserve">It is reasonable to require PG&amp;E and SCE to analyze whether, and to what degree, participants experience lower energy cost savings if they do not install both a heat pump space conditioning unit and a heat pump water heater in </w:t>
      </w:r>
      <w:r w:rsidR="009337B8">
        <w:t>a</w:t>
      </w:r>
      <w:r w:rsidR="004B695E">
        <w:t xml:space="preserve">n </w:t>
      </w:r>
      <w:r>
        <w:t>evaluation</w:t>
      </w:r>
      <w:r w:rsidR="009337B8">
        <w:t xml:space="preserve"> of participant total energy cost savings</w:t>
      </w:r>
      <w:r>
        <w:t>.</w:t>
      </w:r>
    </w:p>
    <w:p w:rsidRPr="000819B9" w:rsidR="00330D4D" w:rsidP="00330D4D" w:rsidRDefault="00330D4D">
      <w:pPr>
        <w:numPr>
          <w:ilvl w:val="0"/>
          <w:numId w:val="4"/>
        </w:numPr>
      </w:pPr>
      <w:r>
        <w:t xml:space="preserve">Section 11.2 of the SJV </w:t>
      </w:r>
      <w:r w:rsidRPr="00C739FD">
        <w:t>Pilots Decision states t</w:t>
      </w:r>
      <w:r w:rsidRPr="00E60C39">
        <w:t xml:space="preserve">hat the </w:t>
      </w:r>
      <w:r w:rsidRPr="009C5F51" w:rsidR="008727B2">
        <w:t xml:space="preserve">investor-owned utilities </w:t>
      </w:r>
      <w:r w:rsidRPr="009C770C">
        <w:t>must ensure energy cost savings for all households receiving appliance upgrades as part of the pilot program.</w:t>
      </w:r>
    </w:p>
    <w:p w:rsidRPr="00C739FD" w:rsidR="00330D4D" w:rsidP="00330D4D" w:rsidRDefault="00330D4D">
      <w:pPr>
        <w:numPr>
          <w:ilvl w:val="0"/>
          <w:numId w:val="4"/>
        </w:numPr>
      </w:pPr>
      <w:r w:rsidRPr="00265FD0">
        <w:t xml:space="preserve">A customer </w:t>
      </w:r>
      <w:r w:rsidRPr="00C739FD" w:rsidR="007D2F91">
        <w:t>who</w:t>
      </w:r>
      <w:r w:rsidRPr="00C739FD">
        <w:t xml:space="preserve"> enrolls in the pilot may not end up receiving an appliance upgrade for various reasons.</w:t>
      </w:r>
    </w:p>
    <w:p w:rsidRPr="009C5F51" w:rsidR="00330D4D" w:rsidP="00330D4D" w:rsidRDefault="00330D4D">
      <w:pPr>
        <w:numPr>
          <w:ilvl w:val="0"/>
          <w:numId w:val="4"/>
        </w:numPr>
      </w:pPr>
      <w:r w:rsidRPr="00C739FD">
        <w:t>T</w:t>
      </w:r>
      <w:r w:rsidRPr="00C739FD" w:rsidR="007D2F91">
        <w:t>o ensure discounts go only to customers who receive an appliance, t</w:t>
      </w:r>
      <w:r w:rsidRPr="00C739FD">
        <w:t xml:space="preserve">he bill protection discount should be triggered </w:t>
      </w:r>
      <w:r w:rsidRPr="00C739FD" w:rsidR="0043492B">
        <w:t>once the customer has an electric bill representing a full month of new electric appliance, which</w:t>
      </w:r>
      <w:r w:rsidRPr="00C739FD">
        <w:t xml:space="preserve"> compl</w:t>
      </w:r>
      <w:r w:rsidRPr="00C739FD" w:rsidR="0043492B">
        <w:t>ies</w:t>
      </w:r>
      <w:r w:rsidRPr="00E60C39">
        <w:t xml:space="preserve"> with Section 11.2 of the SJV Pilots Decision.</w:t>
      </w:r>
    </w:p>
    <w:p w:rsidRPr="00E9512A" w:rsidR="00330D4D" w:rsidP="00330D4D" w:rsidRDefault="00330D4D">
      <w:pPr>
        <w:numPr>
          <w:ilvl w:val="0"/>
          <w:numId w:val="4"/>
        </w:numPr>
      </w:pPr>
      <w:r w:rsidRPr="009C770C">
        <w:t>The SJV Pilots Decision directs PG&amp;E and SCE</w:t>
      </w:r>
      <w:r w:rsidRPr="008952FA">
        <w:t xml:space="preserve"> to solicit C</w:t>
      </w:r>
      <w:r>
        <w:t xml:space="preserve">ommunity </w:t>
      </w:r>
      <w:r w:rsidRPr="008952FA">
        <w:t>S</w:t>
      </w:r>
      <w:r>
        <w:t xml:space="preserve">olar </w:t>
      </w:r>
      <w:r w:rsidRPr="008952FA">
        <w:t>G</w:t>
      </w:r>
      <w:r>
        <w:t xml:space="preserve">reen </w:t>
      </w:r>
      <w:r w:rsidRPr="008952FA">
        <w:t>T</w:t>
      </w:r>
      <w:r>
        <w:t>ariff (CSGT) program</w:t>
      </w:r>
      <w:r w:rsidRPr="008952FA">
        <w:t xml:space="preserve"> projects to serve all of the pilot communities they </w:t>
      </w:r>
      <w:r>
        <w:t>administer</w:t>
      </w:r>
      <w:r w:rsidRPr="008952FA">
        <w:t>, with the exception of California City, which may be served by CSGT or</w:t>
      </w:r>
      <w:r>
        <w:t xml:space="preserve"> the</w:t>
      </w:r>
      <w:r w:rsidRPr="008952FA">
        <w:t xml:space="preserve"> D</w:t>
      </w:r>
      <w:r>
        <w:t>isadvantaged Community Green Tariff (D</w:t>
      </w:r>
      <w:r w:rsidRPr="008952FA">
        <w:t>AC-GT</w:t>
      </w:r>
      <w:r>
        <w:t>) program</w:t>
      </w:r>
      <w:r w:rsidRPr="008952FA">
        <w:t xml:space="preserve">. The Decision </w:t>
      </w:r>
      <w:r>
        <w:t xml:space="preserve">also </w:t>
      </w:r>
      <w:r w:rsidRPr="008952FA">
        <w:t xml:space="preserve">directs </w:t>
      </w:r>
      <w:r w:rsidRPr="008952FA">
        <w:rPr>
          <w:rFonts w:cs="Calibri"/>
        </w:rPr>
        <w:t>PG&amp;E to enroll all eligible residents onto the DAC-GT program until the CSGT projects are built.</w:t>
      </w:r>
    </w:p>
    <w:p w:rsidR="00E9512A" w:rsidP="00563081" w:rsidRDefault="00563081">
      <w:pPr>
        <w:pStyle w:val="ListParagraph"/>
        <w:numPr>
          <w:ilvl w:val="0"/>
          <w:numId w:val="4"/>
        </w:numPr>
      </w:pPr>
      <w:r>
        <w:t xml:space="preserve">PG&amp;E and SCE do not currently have existing projects that meet the eligibility criteria for CSGT, and based on the forecasted CSGT solicitation and project development timelines, the Commission does not anticipate pilot customers being able to receive a CSGT discount on their bills until approximately mid-2021. </w:t>
      </w:r>
    </w:p>
    <w:p w:rsidRPr="005F7E26" w:rsidR="00563081" w:rsidP="00563081" w:rsidRDefault="00563081">
      <w:pPr>
        <w:pStyle w:val="ListParagraph"/>
        <w:numPr>
          <w:ilvl w:val="0"/>
          <w:numId w:val="4"/>
        </w:numPr>
      </w:pPr>
      <w:r>
        <w:t xml:space="preserve">Resolution E-4999, which approved PG&amp;E and SCE’s </w:t>
      </w:r>
      <w:r w:rsidR="00722B2E">
        <w:t xml:space="preserve">net energy metering </w:t>
      </w:r>
      <w:r w:rsidR="004827F3">
        <w:t>(</w:t>
      </w:r>
      <w:r>
        <w:t>NEM</w:t>
      </w:r>
      <w:r w:rsidR="004827F3">
        <w:t>)</w:t>
      </w:r>
      <w:r>
        <w:t xml:space="preserve"> </w:t>
      </w:r>
      <w:r w:rsidR="005A1573">
        <w:t xml:space="preserve">disadvantaged community </w:t>
      </w:r>
      <w:r>
        <w:t>advice letters, authorized, but did not require, PG&amp;E and SCE to serve DAC-GT customers using eligible, existing resources.</w:t>
      </w:r>
    </w:p>
    <w:p w:rsidR="00330D4D" w:rsidP="00330D4D" w:rsidRDefault="00330D4D">
      <w:pPr>
        <w:numPr>
          <w:ilvl w:val="0"/>
          <w:numId w:val="4"/>
        </w:numPr>
      </w:pPr>
      <w:r>
        <w:t xml:space="preserve">CSGT and DAC-GT may not necessarily be available to SJV pilot participants at the time their first appliance is installed and the authorized bill protection discount </w:t>
      </w:r>
      <w:r w:rsidR="003D1172">
        <w:t>from this Resolution goes into effect.</w:t>
      </w:r>
    </w:p>
    <w:p w:rsidRPr="00CA38BF" w:rsidR="00330D4D" w:rsidP="00330D4D" w:rsidRDefault="00330D4D">
      <w:pPr>
        <w:pStyle w:val="ListParagraph"/>
        <w:numPr>
          <w:ilvl w:val="0"/>
          <w:numId w:val="4"/>
        </w:numPr>
      </w:pPr>
      <w:r w:rsidRPr="008D3825">
        <w:t>All bill protection energy cost saving models show that the absence of a 20 percent CSGT or DAC-</w:t>
      </w:r>
      <w:r w:rsidRPr="00D714F2">
        <w:t>GT discount puts some pilot customers at greater risk for paying more on their energy costs post-pilot</w:t>
      </w:r>
      <w:r w:rsidRPr="00CA38BF">
        <w:t xml:space="preserve"> compared to pre-pilot. </w:t>
      </w:r>
    </w:p>
    <w:p w:rsidR="00B7263C" w:rsidP="00330D4D" w:rsidRDefault="00B7263C">
      <w:pPr>
        <w:numPr>
          <w:ilvl w:val="0"/>
          <w:numId w:val="4"/>
        </w:numPr>
      </w:pPr>
      <w:r w:rsidRPr="00D714F2">
        <w:t>It is reasonable for PG&amp;E and SCE to provide a transitional community solar discount to SJV pilot customers</w:t>
      </w:r>
      <w:r w:rsidRPr="00D714F2" w:rsidR="003C3208">
        <w:t xml:space="preserve">, with the exception of </w:t>
      </w:r>
      <w:r w:rsidRPr="00D714F2" w:rsidR="00D119F9">
        <w:t xml:space="preserve">customers with onsite solar, </w:t>
      </w:r>
      <w:r w:rsidRPr="00CA38BF">
        <w:t xml:space="preserve">if CSGT and DAC-GT are both </w:t>
      </w:r>
      <w:r w:rsidRPr="00D714F2">
        <w:t>unavailable, or DAC-GT is available but the customer is not eligible</w:t>
      </w:r>
      <w:r w:rsidRPr="008D3825">
        <w:t>, in order to mitigate the increased likelihood that the pilot customer will not save on their overall energy costs.</w:t>
      </w:r>
    </w:p>
    <w:p w:rsidR="00B55245" w:rsidP="00330D4D" w:rsidRDefault="4E8EF65D">
      <w:pPr>
        <w:numPr>
          <w:ilvl w:val="0"/>
          <w:numId w:val="4"/>
        </w:numPr>
      </w:pPr>
      <w:r>
        <w:t xml:space="preserve">The SJV Pilots Decision stated that it would be premature to approve any bill protection proposals that were submitted leading up the </w:t>
      </w:r>
      <w:r w:rsidR="00DB68AD">
        <w:t>d</w:t>
      </w:r>
      <w:r>
        <w:t>ecision’s issuance because it was not clear which approach, if any, was the best given the amount of information available at that time.</w:t>
      </w:r>
    </w:p>
    <w:p w:rsidRPr="008D3825" w:rsidR="00B55245" w:rsidP="00330D4D" w:rsidRDefault="4E8EF65D">
      <w:pPr>
        <w:numPr>
          <w:ilvl w:val="0"/>
          <w:numId w:val="4"/>
        </w:numPr>
      </w:pPr>
      <w:r>
        <w:t>The SJV Pilots Decision stated that the topic of bill protections would benefit from an in-depth workshop discussion in order to ensure that some level of bill protection costs was account</w:t>
      </w:r>
      <w:r w:rsidR="00A97190">
        <w:t>ed</w:t>
      </w:r>
      <w:r>
        <w:t xml:space="preserve"> for in the pilot budgets.</w:t>
      </w:r>
    </w:p>
    <w:p w:rsidR="00B55245" w:rsidP="00B55245" w:rsidRDefault="4E8EF65D">
      <w:pPr>
        <w:numPr>
          <w:ilvl w:val="0"/>
          <w:numId w:val="4"/>
        </w:numPr>
      </w:pPr>
      <w:r>
        <w:t>The SJV Pilots Decision authorized up to $500 per participating household that receives appliance upgrades and identified the $500 as a starting point for the possible per household costs.</w:t>
      </w:r>
    </w:p>
    <w:p w:rsidR="00B55245" w:rsidP="00B55245" w:rsidRDefault="4E8EF65D">
      <w:pPr>
        <w:numPr>
          <w:ilvl w:val="0"/>
          <w:numId w:val="4"/>
        </w:numPr>
      </w:pPr>
      <w:r>
        <w:t xml:space="preserve">Since the SJV Pilots Decision was issued, parties have conducted extensive analysis on the topic of bill protections for SJV pilot customers pursuant to the </w:t>
      </w:r>
      <w:r w:rsidR="0062091E">
        <w:t>d</w:t>
      </w:r>
      <w:r>
        <w:t>ecision.</w:t>
      </w:r>
    </w:p>
    <w:p w:rsidR="00B55245" w:rsidP="00B55245" w:rsidRDefault="00B55245">
      <w:pPr>
        <w:numPr>
          <w:ilvl w:val="0"/>
          <w:numId w:val="4"/>
        </w:numPr>
      </w:pPr>
      <w:r>
        <w:t xml:space="preserve">Based on </w:t>
      </w:r>
      <w:r w:rsidR="009A2E7D">
        <w:t>analysis conducted by parties since the issuance of the SJV Pilots Decision</w:t>
      </w:r>
      <w:r>
        <w:t xml:space="preserve">, the Commission has a </w:t>
      </w:r>
      <w:r w:rsidR="000D0320">
        <w:t>good</w:t>
      </w:r>
      <w:r>
        <w:t xml:space="preserve"> sense of how much it will cost to enact a bill protections approach that will ensure total energy cost savings for SJV pilot participants.</w:t>
      </w:r>
    </w:p>
    <w:p w:rsidR="00330D4D" w:rsidP="00330D4D" w:rsidRDefault="00330D4D">
      <w:pPr>
        <w:numPr>
          <w:ilvl w:val="0"/>
          <w:numId w:val="4"/>
        </w:numPr>
      </w:pPr>
      <w:r>
        <w:t xml:space="preserve">Given that the bill protection </w:t>
      </w:r>
      <w:r w:rsidR="00606066">
        <w:t>approach</w:t>
      </w:r>
      <w:r>
        <w:t xml:space="preserve"> is intended to mitigate potential energy cost increases between a pilot participant’s pre-pilot costs and post-pilot costs, it makes sense that the bill protection discount and transitional community solar discount would be linked to the household that incurs these energy costs.</w:t>
      </w:r>
    </w:p>
    <w:p w:rsidR="00330D4D" w:rsidP="00330D4D" w:rsidRDefault="00330D4D">
      <w:pPr>
        <w:numPr>
          <w:ilvl w:val="0"/>
          <w:numId w:val="4"/>
        </w:numPr>
      </w:pPr>
      <w:r>
        <w:t xml:space="preserve">It is reasonable that the bill protection discount, and transitional community solar discount, is associated with the </w:t>
      </w:r>
      <w:r w:rsidR="00C668A0">
        <w:t>customer service agreement</w:t>
      </w:r>
      <w:r>
        <w:t xml:space="preserve"> at the time of pilot enrollment</w:t>
      </w:r>
      <w:r w:rsidR="00EF5F57">
        <w:t xml:space="preserve"> and that the discount</w:t>
      </w:r>
      <w:r w:rsidR="00760A1C">
        <w:t>s are</w:t>
      </w:r>
      <w:r w:rsidR="00EF5F57">
        <w:t xml:space="preserve"> terminated if there is a change in the </w:t>
      </w:r>
      <w:r w:rsidR="00C668A0">
        <w:t>customer service agreement</w:t>
      </w:r>
      <w:r w:rsidR="00EF5F57">
        <w:t xml:space="preserve"> during the 10</w:t>
      </w:r>
      <w:r w:rsidR="00C32ED6">
        <w:t>-</w:t>
      </w:r>
      <w:r w:rsidR="00EF5F57">
        <w:t>year period</w:t>
      </w:r>
      <w:r>
        <w:t>.</w:t>
      </w:r>
    </w:p>
    <w:p w:rsidR="00330D4D" w:rsidP="00330D4D" w:rsidRDefault="00330D4D">
      <w:pPr>
        <w:numPr>
          <w:ilvl w:val="0"/>
          <w:numId w:val="4"/>
        </w:numPr>
      </w:pPr>
      <w:r w:rsidRPr="008D3E7B">
        <w:t xml:space="preserve">In </w:t>
      </w:r>
      <w:r>
        <w:t xml:space="preserve">SJV Rulemaking (R.)15-03-010, there was </w:t>
      </w:r>
      <w:r w:rsidRPr="008D3E7B">
        <w:t xml:space="preserve">general consensus </w:t>
      </w:r>
      <w:r>
        <w:t xml:space="preserve">among parties </w:t>
      </w:r>
      <w:r w:rsidRPr="008D3E7B">
        <w:t xml:space="preserve">that customers would save </w:t>
      </w:r>
      <w:r>
        <w:t xml:space="preserve">on pre-pilot to post-pilot energy costs </w:t>
      </w:r>
      <w:r w:rsidRPr="008D3E7B">
        <w:t>by switching to natural gas</w:t>
      </w:r>
      <w:r>
        <w:t xml:space="preserve"> from propane and wood-burning fuel.</w:t>
      </w:r>
    </w:p>
    <w:p w:rsidR="00330D4D" w:rsidP="00330D4D" w:rsidRDefault="00330D4D">
      <w:pPr>
        <w:pStyle w:val="ListParagraph"/>
        <w:numPr>
          <w:ilvl w:val="0"/>
          <w:numId w:val="4"/>
        </w:numPr>
      </w:pPr>
      <w:r>
        <w:t>P</w:t>
      </w:r>
      <w:r w:rsidRPr="00156852">
        <w:t>arties to the SJV proceeding have consistently demonstrated that natural gas is cheaper for customers than propane and wood-burning fuel</w:t>
      </w:r>
      <w:r>
        <w:t>.</w:t>
      </w:r>
    </w:p>
    <w:p w:rsidRPr="00965622" w:rsidR="00330D4D" w:rsidP="00330D4D" w:rsidRDefault="4E8EF65D">
      <w:pPr>
        <w:pStyle w:val="ListParagraph"/>
        <w:numPr>
          <w:ilvl w:val="0"/>
          <w:numId w:val="4"/>
        </w:numPr>
        <w:rPr>
          <w:szCs w:val="26"/>
        </w:rPr>
      </w:pPr>
      <w:r w:rsidRPr="00965622">
        <w:rPr>
          <w:szCs w:val="26"/>
        </w:rPr>
        <w:t>SoCalGas’ proposal to provide a $500 bill protection discount over three years, sized based on seasonal variation, is a reasonable method to mitigate monthly bill variance for pilot customers transitioning to natural gas.</w:t>
      </w:r>
    </w:p>
    <w:p w:rsidRPr="00965622" w:rsidR="00007BED" w:rsidP="00007BED" w:rsidRDefault="00007BED">
      <w:pPr>
        <w:pStyle w:val="ListParagraph"/>
        <w:numPr>
          <w:ilvl w:val="0"/>
          <w:numId w:val="4"/>
        </w:numPr>
        <w:rPr>
          <w:szCs w:val="26"/>
        </w:rPr>
      </w:pPr>
      <w:r w:rsidRPr="00965622">
        <w:rPr>
          <w:rFonts w:cs="Calibri"/>
          <w:szCs w:val="26"/>
          <w:shd w:val="clear" w:color="auto" w:fill="FFFFFF"/>
        </w:rPr>
        <w:t>We do not have sufficient data to project the costs associated with transitional community solar discounts for pilot participants.</w:t>
      </w:r>
    </w:p>
    <w:p w:rsidRPr="00965622" w:rsidR="00BA0F95" w:rsidP="00007BED" w:rsidRDefault="00007BED">
      <w:pPr>
        <w:pStyle w:val="ListParagraph"/>
        <w:numPr>
          <w:ilvl w:val="0"/>
          <w:numId w:val="4"/>
        </w:numPr>
        <w:rPr>
          <w:szCs w:val="26"/>
        </w:rPr>
      </w:pPr>
      <w:r w:rsidRPr="00965622">
        <w:rPr>
          <w:rFonts w:cs="Calibri"/>
          <w:szCs w:val="26"/>
          <w:shd w:val="clear" w:color="auto" w:fill="FFFFFF"/>
        </w:rPr>
        <w:t>We recommend that the Commission in R.15-03-010 seek party input on the costs associated with transitional community solar discounts for pilot participants and modify the SJV Pilots Decision to allow PG&amp;E and SCE to recover the costs associated with the transitional community solar discount approach authorized in this Resolution.</w:t>
      </w:r>
    </w:p>
    <w:p w:rsidRPr="009F5886" w:rsidR="00BA0F95" w:rsidP="00BA0F95" w:rsidRDefault="00BA0F95">
      <w:pPr>
        <w:pStyle w:val="ListParagraph"/>
        <w:numPr>
          <w:ilvl w:val="0"/>
          <w:numId w:val="4"/>
        </w:numPr>
        <w:rPr>
          <w:szCs w:val="26"/>
        </w:rPr>
      </w:pPr>
      <w:r w:rsidRPr="00965622">
        <w:rPr>
          <w:rFonts w:cs="Calibri"/>
          <w:szCs w:val="26"/>
          <w:shd w:val="clear" w:color="auto" w:fill="FFFFFF"/>
        </w:rPr>
        <w:t xml:space="preserve">We recommend the Commission modify the SJV Pilots Decision to allow PG&amp;E and SCE to recover the costs associated with the </w:t>
      </w:r>
      <w:r w:rsidR="009D49E9">
        <w:rPr>
          <w:rFonts w:cs="Calibri"/>
          <w:szCs w:val="26"/>
          <w:shd w:val="clear" w:color="auto" w:fill="FFFFFF"/>
        </w:rPr>
        <w:t xml:space="preserve">20 percent </w:t>
      </w:r>
      <w:r w:rsidRPr="00965622">
        <w:rPr>
          <w:rFonts w:cs="Calibri"/>
          <w:szCs w:val="26"/>
          <w:shd w:val="clear" w:color="auto" w:fill="FFFFFF"/>
        </w:rPr>
        <w:t xml:space="preserve">bill protection </w:t>
      </w:r>
      <w:r w:rsidR="00606066">
        <w:rPr>
          <w:rFonts w:cs="Calibri"/>
          <w:szCs w:val="26"/>
          <w:shd w:val="clear" w:color="auto" w:fill="FFFFFF"/>
        </w:rPr>
        <w:t>approach</w:t>
      </w:r>
      <w:r w:rsidRPr="00965622">
        <w:rPr>
          <w:rFonts w:cs="Calibri"/>
          <w:szCs w:val="26"/>
          <w:shd w:val="clear" w:color="auto" w:fill="FFFFFF"/>
        </w:rPr>
        <w:t xml:space="preserve"> authorized in this Resolution that exceed the total bill protection funding approved in the SJV Pilots Decision.</w:t>
      </w:r>
    </w:p>
    <w:p w:rsidRPr="00965622" w:rsidR="009F5886" w:rsidP="00BA0F95" w:rsidRDefault="009F5886">
      <w:pPr>
        <w:pStyle w:val="ListParagraph"/>
        <w:numPr>
          <w:ilvl w:val="0"/>
          <w:numId w:val="4"/>
        </w:numPr>
        <w:rPr>
          <w:szCs w:val="26"/>
        </w:rPr>
      </w:pPr>
      <w:r>
        <w:rPr>
          <w:rFonts w:cs="Calibri"/>
          <w:szCs w:val="26"/>
          <w:shd w:val="clear" w:color="auto" w:fill="FFFFFF"/>
        </w:rPr>
        <w:t>The percentage-based discount approach</w:t>
      </w:r>
      <w:r w:rsidR="00F91B82">
        <w:rPr>
          <w:rFonts w:cs="Calibri"/>
          <w:szCs w:val="26"/>
          <w:shd w:val="clear" w:color="auto" w:fill="FFFFFF"/>
        </w:rPr>
        <w:t xml:space="preserve"> and transitional community solar discount</w:t>
      </w:r>
      <w:r>
        <w:rPr>
          <w:rFonts w:cs="Calibri"/>
          <w:szCs w:val="26"/>
          <w:shd w:val="clear" w:color="auto" w:fill="FFFFFF"/>
        </w:rPr>
        <w:t xml:space="preserve"> adopted here </w:t>
      </w:r>
      <w:r w:rsidR="00073EDC">
        <w:rPr>
          <w:rFonts w:cs="Calibri"/>
          <w:szCs w:val="26"/>
          <w:shd w:val="clear" w:color="auto" w:fill="FFFFFF"/>
        </w:rPr>
        <w:t>does not set precedent for Phase III of R.15-03-01</w:t>
      </w:r>
      <w:r w:rsidR="00217F55">
        <w:rPr>
          <w:rFonts w:cs="Calibri"/>
          <w:szCs w:val="26"/>
          <w:shd w:val="clear" w:color="auto" w:fill="FFFFFF"/>
        </w:rPr>
        <w:t xml:space="preserve">0 or </w:t>
      </w:r>
      <w:r w:rsidR="001938C4">
        <w:rPr>
          <w:rFonts w:cs="Calibri"/>
          <w:szCs w:val="26"/>
          <w:shd w:val="clear" w:color="auto" w:fill="FFFFFF"/>
        </w:rPr>
        <w:t xml:space="preserve">future electrification efforts in </w:t>
      </w:r>
      <w:r w:rsidR="00217F55">
        <w:rPr>
          <w:rFonts w:cs="Calibri"/>
          <w:szCs w:val="26"/>
          <w:shd w:val="clear" w:color="auto" w:fill="FFFFFF"/>
        </w:rPr>
        <w:t>other proceedings.</w:t>
      </w:r>
    </w:p>
    <w:p w:rsidR="00CF17DE" w:rsidRDefault="00CF17DE">
      <w:pPr>
        <w:rPr>
          <w:b/>
        </w:rPr>
      </w:pPr>
    </w:p>
    <w:p w:rsidR="00CF17DE" w:rsidRDefault="00CF17DE">
      <w:pPr>
        <w:pStyle w:val="Heading1"/>
      </w:pPr>
      <w:proofErr w:type="gramStart"/>
      <w:r>
        <w:t>Therefore</w:t>
      </w:r>
      <w:proofErr w:type="gramEnd"/>
      <w:r>
        <w:t xml:space="preserve"> it is ordered that:</w:t>
      </w:r>
    </w:p>
    <w:p w:rsidR="00D979A5" w:rsidP="002A7EF5" w:rsidRDefault="00B542FB">
      <w:pPr>
        <w:pStyle w:val="ListParagraph"/>
        <w:numPr>
          <w:ilvl w:val="0"/>
          <w:numId w:val="12"/>
        </w:numPr>
      </w:pPr>
      <w:r>
        <w:t>Southern California</w:t>
      </w:r>
      <w:r w:rsidR="00980631">
        <w:t xml:space="preserve"> </w:t>
      </w:r>
      <w:r w:rsidR="007320B2">
        <w:t>Gas Company A</w:t>
      </w:r>
      <w:r w:rsidR="00702818">
        <w:t>dvice Letter</w:t>
      </w:r>
      <w:r w:rsidR="007320B2">
        <w:t xml:space="preserve"> </w:t>
      </w:r>
      <w:r w:rsidR="0027195C">
        <w:t>5439-G</w:t>
      </w:r>
      <w:r w:rsidR="00702818">
        <w:t xml:space="preserve"> is approved.</w:t>
      </w:r>
    </w:p>
    <w:p w:rsidR="00F37F26" w:rsidP="002A7EF5" w:rsidRDefault="00F37F26">
      <w:pPr>
        <w:pStyle w:val="ListParagraph"/>
        <w:numPr>
          <w:ilvl w:val="0"/>
          <w:numId w:val="12"/>
        </w:numPr>
      </w:pPr>
      <w:r>
        <w:t xml:space="preserve">Pacific Gas and Electric Company Advice Letter </w:t>
      </w:r>
      <w:r w:rsidR="00C06DD6">
        <w:t xml:space="preserve">5496-E </w:t>
      </w:r>
      <w:r>
        <w:t>and Southern California Edison Company</w:t>
      </w:r>
      <w:r w:rsidR="00353498">
        <w:t xml:space="preserve"> Advice Letter 3970-E are </w:t>
      </w:r>
      <w:r w:rsidR="00B7155C">
        <w:t xml:space="preserve">approved </w:t>
      </w:r>
      <w:r w:rsidR="00293B75">
        <w:t xml:space="preserve">with </w:t>
      </w:r>
      <w:r w:rsidR="000A7F00">
        <w:t xml:space="preserve">the modifications set forth below and otherwise specified </w:t>
      </w:r>
      <w:r w:rsidR="00760BEE">
        <w:t>herein.</w:t>
      </w:r>
    </w:p>
    <w:p w:rsidR="00D979A5" w:rsidP="002A7EF5" w:rsidRDefault="00D979A5">
      <w:pPr>
        <w:pStyle w:val="ListParagraph"/>
        <w:numPr>
          <w:ilvl w:val="0"/>
          <w:numId w:val="12"/>
        </w:numPr>
      </w:pPr>
      <w:r>
        <w:t>P</w:t>
      </w:r>
      <w:r w:rsidR="00702818">
        <w:t xml:space="preserve">acific </w:t>
      </w:r>
      <w:r>
        <w:t>G</w:t>
      </w:r>
      <w:r w:rsidR="00702818">
        <w:t>as and Electric Company</w:t>
      </w:r>
      <w:r w:rsidR="000A58DB">
        <w:t xml:space="preserve"> (PG&amp;E)</w:t>
      </w:r>
      <w:r>
        <w:t xml:space="preserve"> and S</w:t>
      </w:r>
      <w:r w:rsidR="00702818">
        <w:t xml:space="preserve">outhern </w:t>
      </w:r>
      <w:r>
        <w:t>C</w:t>
      </w:r>
      <w:r w:rsidR="00702818">
        <w:t xml:space="preserve">alifornia </w:t>
      </w:r>
      <w:r>
        <w:t>E</w:t>
      </w:r>
      <w:r w:rsidR="000A58DB">
        <w:t>dison Company (SCE)</w:t>
      </w:r>
      <w:r>
        <w:t xml:space="preserve"> </w:t>
      </w:r>
      <w:r w:rsidR="00313DA3">
        <w:t>shall</w:t>
      </w:r>
      <w:r>
        <w:t xml:space="preserve"> </w:t>
      </w:r>
      <w:r w:rsidR="004615E0">
        <w:t xml:space="preserve">each </w:t>
      </w:r>
      <w:r>
        <w:t xml:space="preserve">implement </w:t>
      </w:r>
      <w:r w:rsidR="00313DA3">
        <w:t xml:space="preserve">a </w:t>
      </w:r>
      <w:r>
        <w:t xml:space="preserve">bill protection </w:t>
      </w:r>
      <w:r w:rsidR="00606066">
        <w:t>approach</w:t>
      </w:r>
      <w:r>
        <w:t xml:space="preserve"> </w:t>
      </w:r>
      <w:r w:rsidR="00313DA3">
        <w:t xml:space="preserve">for </w:t>
      </w:r>
      <w:r w:rsidR="000D7F8A">
        <w:t xml:space="preserve">customers enrolling in the </w:t>
      </w:r>
      <w:r w:rsidR="00313DA3">
        <w:t>San Joaquin Valley pilot</w:t>
      </w:r>
      <w:r w:rsidR="000D7F8A">
        <w:t xml:space="preserve">s </w:t>
      </w:r>
      <w:r w:rsidR="004A11E0">
        <w:t>in the utility's service territory by</w:t>
      </w:r>
      <w:r w:rsidR="00E9460B">
        <w:t xml:space="preserve"> complying with the </w:t>
      </w:r>
      <w:r w:rsidR="000A58DB">
        <w:t>following</w:t>
      </w:r>
      <w:r w:rsidR="002656DC">
        <w:t xml:space="preserve"> directives</w:t>
      </w:r>
      <w:r w:rsidR="00B47670">
        <w:t>. PG&amp;E and SCE shall:</w:t>
      </w:r>
    </w:p>
    <w:p w:rsidRPr="00184C53" w:rsidR="001D4E13" w:rsidP="002A7EF5" w:rsidRDefault="00B47670">
      <w:pPr>
        <w:pStyle w:val="paragraph"/>
        <w:numPr>
          <w:ilvl w:val="1"/>
          <w:numId w:val="12"/>
        </w:numPr>
        <w:spacing w:before="0" w:beforeAutospacing="0" w:after="0" w:afterAutospacing="0"/>
        <w:textAlignment w:val="baseline"/>
        <w:rPr>
          <w:rStyle w:val="normaltextrun"/>
          <w:rFonts w:ascii="Palatino" w:hAnsi="Palatino"/>
          <w:sz w:val="26"/>
          <w:szCs w:val="26"/>
        </w:rPr>
      </w:pPr>
      <w:r w:rsidRPr="001D4E13">
        <w:rPr>
          <w:rStyle w:val="normaltextrun"/>
          <w:rFonts w:ascii="Palatino" w:hAnsi="Palatino"/>
          <w:sz w:val="26"/>
          <w:szCs w:val="26"/>
        </w:rPr>
        <w:t>Provide a 20</w:t>
      </w:r>
      <w:r w:rsidRPr="001D4E13">
        <w:rPr>
          <w:rStyle w:val="apple-converted-space"/>
          <w:rFonts w:ascii="Palatino" w:hAnsi="Palatino"/>
          <w:sz w:val="26"/>
          <w:szCs w:val="26"/>
        </w:rPr>
        <w:t> </w:t>
      </w:r>
      <w:r w:rsidRPr="001D4E13">
        <w:rPr>
          <w:rStyle w:val="normaltextrun"/>
          <w:rFonts w:ascii="Palatino" w:hAnsi="Palatino"/>
          <w:sz w:val="26"/>
          <w:szCs w:val="26"/>
        </w:rPr>
        <w:t>percent</w:t>
      </w:r>
      <w:r w:rsidRPr="001D4E13">
        <w:rPr>
          <w:rStyle w:val="apple-converted-space"/>
          <w:rFonts w:ascii="Palatino" w:hAnsi="Palatino"/>
          <w:sz w:val="26"/>
          <w:szCs w:val="26"/>
        </w:rPr>
        <w:t> </w:t>
      </w:r>
      <w:r w:rsidRPr="001D4E13">
        <w:rPr>
          <w:rStyle w:val="normaltextrun"/>
          <w:rFonts w:ascii="Palatino" w:hAnsi="Palatino"/>
          <w:sz w:val="26"/>
          <w:szCs w:val="26"/>
        </w:rPr>
        <w:t xml:space="preserve">bill protection discount to all electrification pilot participants on their monthly electricity bills for a five-year period after the first electric appliance is installed in </w:t>
      </w:r>
      <w:r w:rsidR="001E02C3">
        <w:rPr>
          <w:rStyle w:val="normaltextrun"/>
          <w:rFonts w:ascii="Palatino" w:hAnsi="Palatino"/>
          <w:sz w:val="26"/>
          <w:szCs w:val="26"/>
        </w:rPr>
        <w:t xml:space="preserve">a </w:t>
      </w:r>
      <w:r w:rsidRPr="001D4E13">
        <w:rPr>
          <w:rStyle w:val="normaltextrun"/>
          <w:rFonts w:ascii="Palatino" w:hAnsi="Palatino"/>
          <w:sz w:val="26"/>
          <w:szCs w:val="26"/>
        </w:rPr>
        <w:t>participant’s home</w:t>
      </w:r>
      <w:r w:rsidR="008E4584">
        <w:rPr>
          <w:rStyle w:val="normaltextrun"/>
          <w:rFonts w:ascii="Palatino" w:hAnsi="Palatino"/>
          <w:sz w:val="26"/>
          <w:szCs w:val="26"/>
        </w:rPr>
        <w:t xml:space="preserve"> (see </w:t>
      </w:r>
      <w:r w:rsidR="002656DC">
        <w:rPr>
          <w:rStyle w:val="normaltextrun"/>
          <w:rFonts w:ascii="Palatino" w:hAnsi="Palatino"/>
          <w:sz w:val="26"/>
          <w:szCs w:val="26"/>
        </w:rPr>
        <w:t>A</w:t>
      </w:r>
      <w:r w:rsidR="008E4584">
        <w:rPr>
          <w:rStyle w:val="normaltextrun"/>
          <w:rFonts w:ascii="Palatino" w:hAnsi="Palatino"/>
          <w:sz w:val="26"/>
          <w:szCs w:val="26"/>
        </w:rPr>
        <w:t xml:space="preserve">ppendix A for </w:t>
      </w:r>
      <w:r w:rsidRPr="00184C53" w:rsidR="000C0EB3">
        <w:rPr>
          <w:rStyle w:val="normaltextrun"/>
          <w:rFonts w:ascii="Palatino" w:hAnsi="Palatino"/>
          <w:sz w:val="26"/>
          <w:szCs w:val="26"/>
        </w:rPr>
        <w:t xml:space="preserve">implementation </w:t>
      </w:r>
      <w:r w:rsidRPr="00184C53" w:rsidR="008E4584">
        <w:rPr>
          <w:rStyle w:val="normaltextrun"/>
          <w:rFonts w:ascii="Palatino" w:hAnsi="Palatino"/>
          <w:sz w:val="26"/>
          <w:szCs w:val="26"/>
        </w:rPr>
        <w:t>requirements)</w:t>
      </w:r>
      <w:r w:rsidRPr="00184C53" w:rsidR="00506A40">
        <w:rPr>
          <w:rStyle w:val="normaltextrun"/>
          <w:rFonts w:ascii="Palatino" w:hAnsi="Palatino"/>
          <w:sz w:val="26"/>
          <w:szCs w:val="26"/>
        </w:rPr>
        <w:t>;</w:t>
      </w:r>
    </w:p>
    <w:p w:rsidRPr="00D873A6" w:rsidR="00C7422C" w:rsidP="00907671" w:rsidRDefault="00184C53">
      <w:pPr>
        <w:pStyle w:val="paragraph"/>
        <w:numPr>
          <w:ilvl w:val="1"/>
          <w:numId w:val="12"/>
        </w:numPr>
        <w:spacing w:before="0" w:beforeAutospacing="0" w:after="0" w:afterAutospacing="0"/>
        <w:textAlignment w:val="baseline"/>
        <w:rPr>
          <w:rFonts w:ascii="Palatino" w:hAnsi="Palatino"/>
          <w:sz w:val="26"/>
          <w:szCs w:val="26"/>
        </w:rPr>
      </w:pPr>
      <w:r w:rsidRPr="00184C53">
        <w:rPr>
          <w:rFonts w:ascii="Palatino" w:hAnsi="Palatino"/>
          <w:sz w:val="26"/>
          <w:szCs w:val="26"/>
        </w:rPr>
        <w:t>Conduct a</w:t>
      </w:r>
      <w:r w:rsidR="004B695E">
        <w:rPr>
          <w:rFonts w:ascii="Palatino" w:hAnsi="Palatino"/>
          <w:sz w:val="26"/>
          <w:szCs w:val="26"/>
        </w:rPr>
        <w:t xml:space="preserve">n </w:t>
      </w:r>
      <w:r w:rsidRPr="00184C53">
        <w:rPr>
          <w:rFonts w:ascii="Palatino" w:hAnsi="Palatino"/>
          <w:sz w:val="26"/>
          <w:szCs w:val="26"/>
        </w:rPr>
        <w:t>evaluation of pilot participants</w:t>
      </w:r>
      <w:r>
        <w:rPr>
          <w:rFonts w:ascii="Palatino" w:hAnsi="Palatino"/>
          <w:sz w:val="26"/>
          <w:szCs w:val="26"/>
        </w:rPr>
        <w:t>’</w:t>
      </w:r>
      <w:r w:rsidRPr="00184C53">
        <w:rPr>
          <w:rFonts w:ascii="Palatino" w:hAnsi="Palatino"/>
          <w:sz w:val="26"/>
          <w:szCs w:val="26"/>
        </w:rPr>
        <w:t xml:space="preserve"> total energy costs savings beginning three years</w:t>
      </w:r>
      <w:r w:rsidR="00552A0E">
        <w:rPr>
          <w:rFonts w:ascii="Palatino" w:hAnsi="Palatino"/>
          <w:sz w:val="26"/>
          <w:szCs w:val="26"/>
        </w:rPr>
        <w:t xml:space="preserve"> and six months</w:t>
      </w:r>
      <w:r w:rsidRPr="00184C53">
        <w:rPr>
          <w:rFonts w:ascii="Palatino" w:hAnsi="Palatino"/>
          <w:sz w:val="26"/>
          <w:szCs w:val="26"/>
        </w:rPr>
        <w:t xml:space="preserve"> after the first pilot participant receives a bill </w:t>
      </w:r>
      <w:r w:rsidRPr="00D873A6">
        <w:rPr>
          <w:rFonts w:ascii="Palatino" w:hAnsi="Palatino"/>
          <w:sz w:val="26"/>
          <w:szCs w:val="26"/>
        </w:rPr>
        <w:t>protection discount</w:t>
      </w:r>
      <w:r w:rsidRPr="00D873A6">
        <w:rPr>
          <w:rStyle w:val="normaltextrun"/>
          <w:rFonts w:ascii="Palatino" w:hAnsi="Palatino"/>
          <w:sz w:val="26"/>
          <w:szCs w:val="26"/>
        </w:rPr>
        <w:t xml:space="preserve"> </w:t>
      </w:r>
      <w:r w:rsidRPr="00D873A6" w:rsidR="008E4584">
        <w:rPr>
          <w:rStyle w:val="normaltextrun"/>
          <w:rFonts w:ascii="Palatino" w:hAnsi="Palatino"/>
          <w:sz w:val="26"/>
          <w:szCs w:val="26"/>
        </w:rPr>
        <w:t xml:space="preserve">(see </w:t>
      </w:r>
      <w:r w:rsidRPr="00D873A6" w:rsidR="002656DC">
        <w:rPr>
          <w:rStyle w:val="normaltextrun"/>
          <w:rFonts w:ascii="Palatino" w:hAnsi="Palatino"/>
          <w:sz w:val="26"/>
          <w:szCs w:val="26"/>
        </w:rPr>
        <w:t>A</w:t>
      </w:r>
      <w:r w:rsidRPr="00D873A6" w:rsidR="008E4584">
        <w:rPr>
          <w:rStyle w:val="normaltextrun"/>
          <w:rFonts w:ascii="Palatino" w:hAnsi="Palatino"/>
          <w:sz w:val="26"/>
          <w:szCs w:val="26"/>
        </w:rPr>
        <w:t xml:space="preserve">ppendix </w:t>
      </w:r>
      <w:r w:rsidRPr="00D873A6" w:rsidR="00327F85">
        <w:rPr>
          <w:rStyle w:val="normaltextrun"/>
          <w:rFonts w:ascii="Palatino" w:hAnsi="Palatino"/>
          <w:sz w:val="26"/>
          <w:szCs w:val="26"/>
        </w:rPr>
        <w:t>A</w:t>
      </w:r>
      <w:r w:rsidRPr="00D873A6" w:rsidR="008E4584">
        <w:rPr>
          <w:rStyle w:val="normaltextrun"/>
          <w:rFonts w:ascii="Palatino" w:hAnsi="Palatino"/>
          <w:sz w:val="26"/>
          <w:szCs w:val="26"/>
        </w:rPr>
        <w:t xml:space="preserve"> for </w:t>
      </w:r>
      <w:r w:rsidRPr="00D873A6" w:rsidR="002656DC">
        <w:rPr>
          <w:rStyle w:val="normaltextrun"/>
          <w:rFonts w:ascii="Palatino" w:hAnsi="Palatino"/>
          <w:sz w:val="26"/>
          <w:szCs w:val="26"/>
        </w:rPr>
        <w:t xml:space="preserve">evaluation </w:t>
      </w:r>
      <w:r w:rsidRPr="00D873A6" w:rsidR="008E4584">
        <w:rPr>
          <w:rStyle w:val="normaltextrun"/>
          <w:rFonts w:ascii="Palatino" w:hAnsi="Palatino"/>
          <w:sz w:val="26"/>
          <w:szCs w:val="26"/>
        </w:rPr>
        <w:t>requirements)</w:t>
      </w:r>
      <w:r w:rsidRPr="00D873A6" w:rsidR="00DE0F72">
        <w:rPr>
          <w:rStyle w:val="normaltextrun"/>
          <w:rFonts w:ascii="Palatino" w:hAnsi="Palatino"/>
          <w:sz w:val="26"/>
          <w:szCs w:val="26"/>
        </w:rPr>
        <w:t>;</w:t>
      </w:r>
    </w:p>
    <w:p w:rsidRPr="00D873A6" w:rsidR="00C7422C" w:rsidP="002A7EF5" w:rsidRDefault="00C7422C">
      <w:pPr>
        <w:pStyle w:val="paragraph"/>
        <w:numPr>
          <w:ilvl w:val="1"/>
          <w:numId w:val="12"/>
        </w:numPr>
        <w:spacing w:before="0" w:beforeAutospacing="0" w:after="0" w:afterAutospacing="0"/>
        <w:textAlignment w:val="baseline"/>
        <w:rPr>
          <w:rFonts w:ascii="Palatino" w:hAnsi="Palatino"/>
          <w:sz w:val="26"/>
          <w:szCs w:val="26"/>
        </w:rPr>
      </w:pPr>
      <w:r w:rsidRPr="00D873A6">
        <w:rPr>
          <w:rStyle w:val="normaltextrun"/>
          <w:rFonts w:ascii="Palatino" w:hAnsi="Palatino"/>
          <w:sz w:val="26"/>
          <w:szCs w:val="26"/>
        </w:rPr>
        <w:t>If evaluation finds that all participants</w:t>
      </w:r>
      <w:r w:rsidR="00D873A6">
        <w:rPr>
          <w:rStyle w:val="normaltextrun"/>
          <w:rFonts w:ascii="Palatino" w:hAnsi="Palatino"/>
          <w:sz w:val="26"/>
          <w:szCs w:val="26"/>
        </w:rPr>
        <w:t xml:space="preserve"> in the evaluation study</w:t>
      </w:r>
      <w:r w:rsidRPr="00D873A6">
        <w:rPr>
          <w:rStyle w:val="normaltextrun"/>
          <w:rFonts w:ascii="Palatino" w:hAnsi="Palatino"/>
          <w:sz w:val="26"/>
          <w:szCs w:val="26"/>
        </w:rPr>
        <w:t>,</w:t>
      </w:r>
      <w:r w:rsidRPr="00D873A6">
        <w:rPr>
          <w:rStyle w:val="apple-converted-space"/>
          <w:rFonts w:ascii="Palatino" w:hAnsi="Palatino"/>
          <w:sz w:val="26"/>
          <w:szCs w:val="26"/>
        </w:rPr>
        <w:t> </w:t>
      </w:r>
      <w:r w:rsidRPr="00D873A6">
        <w:rPr>
          <w:rStyle w:val="normaltextrun"/>
          <w:rFonts w:ascii="Palatino" w:hAnsi="Palatino"/>
          <w:sz w:val="26"/>
          <w:szCs w:val="26"/>
        </w:rPr>
        <w:t>except</w:t>
      </w:r>
      <w:r w:rsidRPr="00D873A6">
        <w:rPr>
          <w:rStyle w:val="apple-converted-space"/>
          <w:rFonts w:ascii="Palatino" w:hAnsi="Palatino"/>
          <w:sz w:val="26"/>
          <w:szCs w:val="26"/>
        </w:rPr>
        <w:t> </w:t>
      </w:r>
      <w:r w:rsidRPr="00D873A6">
        <w:rPr>
          <w:rStyle w:val="normaltextrun"/>
          <w:rFonts w:ascii="Palatino" w:hAnsi="Palatino"/>
          <w:sz w:val="26"/>
          <w:szCs w:val="26"/>
        </w:rPr>
        <w:t>quantitatively-measurable</w:t>
      </w:r>
      <w:r w:rsidRPr="00D873A6">
        <w:rPr>
          <w:rStyle w:val="apple-converted-space"/>
          <w:rFonts w:ascii="Palatino" w:hAnsi="Palatino"/>
          <w:sz w:val="26"/>
          <w:szCs w:val="26"/>
        </w:rPr>
        <w:t> </w:t>
      </w:r>
      <w:r w:rsidRPr="00D873A6">
        <w:rPr>
          <w:rStyle w:val="normaltextrun"/>
          <w:rFonts w:ascii="Palatino" w:hAnsi="Palatino"/>
          <w:sz w:val="26"/>
          <w:szCs w:val="26"/>
        </w:rPr>
        <w:t>statistical outliers,</w:t>
      </w:r>
      <w:r w:rsidRPr="00D873A6">
        <w:rPr>
          <w:rStyle w:val="apple-converted-space"/>
          <w:rFonts w:ascii="Palatino" w:hAnsi="Palatino"/>
          <w:sz w:val="26"/>
          <w:szCs w:val="26"/>
        </w:rPr>
        <w:t> </w:t>
      </w:r>
      <w:r w:rsidRPr="00D873A6">
        <w:rPr>
          <w:rStyle w:val="normaltextrun"/>
          <w:rFonts w:ascii="Palatino" w:hAnsi="Palatino"/>
          <w:sz w:val="26"/>
          <w:szCs w:val="26"/>
        </w:rPr>
        <w:t>experience energy costs savings (i.e., energy costs have not increased), PG&amp;E and SCE shall provide a 10</w:t>
      </w:r>
      <w:r w:rsidRPr="00D873A6">
        <w:rPr>
          <w:rStyle w:val="apple-converted-space"/>
          <w:rFonts w:ascii="Palatino" w:hAnsi="Palatino"/>
          <w:sz w:val="26"/>
          <w:szCs w:val="26"/>
        </w:rPr>
        <w:t> </w:t>
      </w:r>
      <w:r w:rsidRPr="00D873A6">
        <w:rPr>
          <w:rStyle w:val="normaltextrun"/>
          <w:rFonts w:ascii="Palatino" w:hAnsi="Palatino"/>
          <w:sz w:val="26"/>
          <w:szCs w:val="26"/>
        </w:rPr>
        <w:t>percent</w:t>
      </w:r>
      <w:r w:rsidRPr="00D873A6">
        <w:rPr>
          <w:rStyle w:val="apple-converted-space"/>
          <w:rFonts w:ascii="Palatino" w:hAnsi="Palatino"/>
          <w:sz w:val="26"/>
          <w:szCs w:val="26"/>
        </w:rPr>
        <w:t> </w:t>
      </w:r>
      <w:r w:rsidRPr="00D873A6">
        <w:rPr>
          <w:rStyle w:val="normaltextrun"/>
          <w:rFonts w:ascii="Palatino" w:hAnsi="Palatino"/>
          <w:sz w:val="26"/>
          <w:szCs w:val="26"/>
        </w:rPr>
        <w:t>discount to all electrification pilot participants on their monthly electricity bills for an additional five years; and</w:t>
      </w:r>
      <w:r w:rsidRPr="00D873A6">
        <w:rPr>
          <w:rStyle w:val="eop"/>
          <w:rFonts w:ascii="Palatino" w:hAnsi="Palatino"/>
          <w:sz w:val="26"/>
          <w:szCs w:val="26"/>
        </w:rPr>
        <w:t> </w:t>
      </w:r>
    </w:p>
    <w:p w:rsidRPr="00D873A6" w:rsidR="00DE0F72" w:rsidP="002A7EF5" w:rsidRDefault="00C7422C">
      <w:pPr>
        <w:pStyle w:val="paragraph"/>
        <w:numPr>
          <w:ilvl w:val="1"/>
          <w:numId w:val="12"/>
        </w:numPr>
        <w:spacing w:before="0" w:beforeAutospacing="0" w:after="0" w:afterAutospacing="0"/>
        <w:textAlignment w:val="baseline"/>
        <w:rPr>
          <w:rStyle w:val="normaltextrun"/>
          <w:rFonts w:ascii="Palatino" w:hAnsi="Palatino"/>
          <w:sz w:val="26"/>
          <w:szCs w:val="26"/>
        </w:rPr>
      </w:pPr>
      <w:r w:rsidRPr="00D873A6">
        <w:rPr>
          <w:rStyle w:val="normaltextrun"/>
          <w:rFonts w:ascii="Palatino" w:hAnsi="Palatino"/>
          <w:sz w:val="26"/>
          <w:szCs w:val="26"/>
        </w:rPr>
        <w:t>If</w:t>
      </w:r>
      <w:r w:rsidRPr="00D873A6">
        <w:rPr>
          <w:rStyle w:val="apple-converted-space"/>
          <w:rFonts w:ascii="Palatino" w:hAnsi="Palatino"/>
          <w:sz w:val="26"/>
          <w:szCs w:val="26"/>
        </w:rPr>
        <w:t> </w:t>
      </w:r>
      <w:r w:rsidRPr="00D873A6">
        <w:rPr>
          <w:rStyle w:val="normaltextrun"/>
          <w:rFonts w:ascii="Palatino" w:hAnsi="Palatino"/>
          <w:sz w:val="26"/>
          <w:szCs w:val="26"/>
        </w:rPr>
        <w:t>the</w:t>
      </w:r>
      <w:r w:rsidRPr="00D873A6">
        <w:rPr>
          <w:rStyle w:val="apple-converted-space"/>
          <w:rFonts w:ascii="Palatino" w:hAnsi="Palatino"/>
          <w:sz w:val="26"/>
          <w:szCs w:val="26"/>
        </w:rPr>
        <w:t> </w:t>
      </w:r>
      <w:r w:rsidRPr="00D873A6">
        <w:rPr>
          <w:rStyle w:val="normaltextrun"/>
          <w:rFonts w:ascii="Palatino" w:hAnsi="Palatino"/>
          <w:sz w:val="26"/>
          <w:szCs w:val="26"/>
        </w:rPr>
        <w:t>evaluation finds that any participants</w:t>
      </w:r>
      <w:r w:rsidR="00D873A6">
        <w:rPr>
          <w:rStyle w:val="normaltextrun"/>
          <w:rFonts w:ascii="Palatino" w:hAnsi="Palatino"/>
          <w:sz w:val="26"/>
          <w:szCs w:val="26"/>
        </w:rPr>
        <w:t xml:space="preserve"> in the evaluation study</w:t>
      </w:r>
      <w:r w:rsidRPr="00D873A6">
        <w:rPr>
          <w:rStyle w:val="normaltextrun"/>
          <w:rFonts w:ascii="Palatino" w:hAnsi="Palatino"/>
          <w:sz w:val="26"/>
          <w:szCs w:val="26"/>
        </w:rPr>
        <w:t>,</w:t>
      </w:r>
      <w:r w:rsidRPr="00D873A6">
        <w:rPr>
          <w:rStyle w:val="apple-converted-space"/>
          <w:rFonts w:ascii="Palatino" w:hAnsi="Palatino"/>
          <w:sz w:val="26"/>
          <w:szCs w:val="26"/>
        </w:rPr>
        <w:t> </w:t>
      </w:r>
      <w:r w:rsidR="00D95F97">
        <w:rPr>
          <w:rStyle w:val="apple-converted-space"/>
          <w:rFonts w:ascii="Palatino" w:hAnsi="Palatino"/>
          <w:sz w:val="26"/>
          <w:szCs w:val="26"/>
        </w:rPr>
        <w:t>except</w:t>
      </w:r>
      <w:r w:rsidRPr="00D873A6">
        <w:rPr>
          <w:rStyle w:val="apple-converted-space"/>
          <w:rFonts w:ascii="Palatino" w:hAnsi="Palatino"/>
          <w:sz w:val="26"/>
          <w:szCs w:val="26"/>
        </w:rPr>
        <w:t> </w:t>
      </w:r>
      <w:r w:rsidRPr="00D873A6">
        <w:rPr>
          <w:rStyle w:val="normaltextrun"/>
          <w:rFonts w:ascii="Palatino" w:hAnsi="Palatino"/>
          <w:sz w:val="26"/>
          <w:szCs w:val="26"/>
        </w:rPr>
        <w:t>quantitatively-measurable</w:t>
      </w:r>
      <w:r w:rsidRPr="00D873A6">
        <w:rPr>
          <w:rStyle w:val="apple-converted-space"/>
          <w:rFonts w:ascii="Palatino" w:hAnsi="Palatino"/>
          <w:sz w:val="26"/>
          <w:szCs w:val="26"/>
        </w:rPr>
        <w:t> </w:t>
      </w:r>
      <w:r w:rsidRPr="00D873A6">
        <w:rPr>
          <w:rStyle w:val="normaltextrun"/>
          <w:rFonts w:ascii="Palatino" w:hAnsi="Palatino"/>
          <w:sz w:val="26"/>
          <w:szCs w:val="26"/>
        </w:rPr>
        <w:t>statistical outliers,</w:t>
      </w:r>
      <w:r w:rsidRPr="00D873A6">
        <w:rPr>
          <w:rStyle w:val="apple-converted-space"/>
          <w:rFonts w:ascii="Palatino" w:hAnsi="Palatino"/>
          <w:sz w:val="26"/>
          <w:szCs w:val="26"/>
        </w:rPr>
        <w:t> </w:t>
      </w:r>
      <w:r w:rsidRPr="00D873A6">
        <w:rPr>
          <w:rStyle w:val="normaltextrun"/>
          <w:rFonts w:ascii="Palatino" w:hAnsi="Palatino"/>
          <w:sz w:val="26"/>
          <w:szCs w:val="26"/>
        </w:rPr>
        <w:t>experience an energy cost increase, PG&amp;E and SCE shall continue to provide a 20</w:t>
      </w:r>
      <w:r w:rsidRPr="00D873A6">
        <w:rPr>
          <w:rStyle w:val="apple-converted-space"/>
          <w:rFonts w:ascii="Palatino" w:hAnsi="Palatino"/>
          <w:sz w:val="26"/>
          <w:szCs w:val="26"/>
        </w:rPr>
        <w:t> </w:t>
      </w:r>
      <w:r w:rsidRPr="00D873A6">
        <w:rPr>
          <w:rStyle w:val="normaltextrun"/>
          <w:rFonts w:ascii="Palatino" w:hAnsi="Palatino"/>
          <w:sz w:val="26"/>
          <w:szCs w:val="26"/>
        </w:rPr>
        <w:t>percent</w:t>
      </w:r>
      <w:r w:rsidRPr="00D873A6">
        <w:rPr>
          <w:rStyle w:val="apple-converted-space"/>
          <w:rFonts w:ascii="Palatino" w:hAnsi="Palatino"/>
          <w:sz w:val="26"/>
          <w:szCs w:val="26"/>
        </w:rPr>
        <w:t> </w:t>
      </w:r>
      <w:r w:rsidRPr="00D873A6">
        <w:rPr>
          <w:rStyle w:val="normaltextrun"/>
          <w:rFonts w:ascii="Palatino" w:hAnsi="Palatino"/>
          <w:sz w:val="26"/>
          <w:szCs w:val="26"/>
        </w:rPr>
        <w:t>discount to all electrification pilot participants on their monthly electricity bills for an additional five years.</w:t>
      </w:r>
      <w:r w:rsidRPr="00D873A6">
        <w:rPr>
          <w:rStyle w:val="eop"/>
          <w:rFonts w:ascii="Palatino" w:hAnsi="Palatino"/>
          <w:sz w:val="26"/>
          <w:szCs w:val="26"/>
        </w:rPr>
        <w:t> </w:t>
      </w:r>
    </w:p>
    <w:p w:rsidRPr="00C034D2" w:rsidR="00C034D2" w:rsidP="00C034D2" w:rsidRDefault="00C034D2">
      <w:pPr>
        <w:pStyle w:val="ListParagraph"/>
        <w:numPr>
          <w:ilvl w:val="0"/>
          <w:numId w:val="12"/>
        </w:numPr>
      </w:pPr>
      <w:r>
        <w:t>Pacific Gas and Electric Company (PG&amp;E) and Southern California Edison (SCE) shall host a workshop</w:t>
      </w:r>
      <w:r w:rsidR="004238BF">
        <w:t xml:space="preserve"> in consultation</w:t>
      </w:r>
      <w:r>
        <w:t xml:space="preserve"> with pilot program administrators, Energy Division, the Data Gathering Working Group, and interested stakeholders to collaborate on a methodology to model pre-pilot propane costs. </w:t>
      </w:r>
      <w:r w:rsidR="00F224DA">
        <w:t>This workshop shall occur at least 120 days before PG&amp;</w:t>
      </w:r>
      <w:r w:rsidR="00DE53BB">
        <w:t>E</w:t>
      </w:r>
      <w:r w:rsidR="00F224DA">
        <w:t xml:space="preserve"> and SCE initiate the bill protection evaluation. </w:t>
      </w:r>
      <w:r w:rsidDel="00752501" w:rsidR="00F224DA">
        <w:rPr>
          <w:rFonts w:eastAsia="Palatino" w:cs="Palatino"/>
          <w:szCs w:val="26"/>
        </w:rPr>
        <w:t xml:space="preserve"> </w:t>
      </w:r>
    </w:p>
    <w:p w:rsidRPr="00C67FBF" w:rsidR="000427BB" w:rsidP="000427BB" w:rsidRDefault="00DE0F72">
      <w:pPr>
        <w:pStyle w:val="ListParagraph"/>
        <w:numPr>
          <w:ilvl w:val="0"/>
          <w:numId w:val="12"/>
        </w:numPr>
        <w:rPr>
          <w:rStyle w:val="normaltextrun"/>
          <w:szCs w:val="26"/>
        </w:rPr>
      </w:pPr>
      <w:r w:rsidRPr="00C67FBF">
        <w:rPr>
          <w:szCs w:val="26"/>
        </w:rPr>
        <w:t>P</w:t>
      </w:r>
      <w:r w:rsidRPr="00C67FBF" w:rsidR="005B31C3">
        <w:rPr>
          <w:szCs w:val="26"/>
        </w:rPr>
        <w:t xml:space="preserve">acific </w:t>
      </w:r>
      <w:r w:rsidRPr="00C67FBF">
        <w:rPr>
          <w:szCs w:val="26"/>
        </w:rPr>
        <w:t>G</w:t>
      </w:r>
      <w:r w:rsidRPr="00C67FBF" w:rsidR="005B31C3">
        <w:rPr>
          <w:szCs w:val="26"/>
        </w:rPr>
        <w:t xml:space="preserve">as </w:t>
      </w:r>
      <w:r w:rsidRPr="00C67FBF" w:rsidR="005E3F15">
        <w:rPr>
          <w:szCs w:val="26"/>
        </w:rPr>
        <w:t>and</w:t>
      </w:r>
      <w:r w:rsidRPr="00C67FBF" w:rsidR="005B31C3">
        <w:rPr>
          <w:szCs w:val="26"/>
        </w:rPr>
        <w:t xml:space="preserve"> Electric</w:t>
      </w:r>
      <w:r w:rsidRPr="00C67FBF" w:rsidR="005E3F15">
        <w:rPr>
          <w:szCs w:val="26"/>
        </w:rPr>
        <w:t xml:space="preserve"> Company</w:t>
      </w:r>
      <w:r w:rsidRPr="00C67FBF">
        <w:rPr>
          <w:szCs w:val="26"/>
        </w:rPr>
        <w:t xml:space="preserve"> </w:t>
      </w:r>
      <w:r w:rsidRPr="00C67FBF" w:rsidR="00584DE6">
        <w:rPr>
          <w:szCs w:val="26"/>
        </w:rPr>
        <w:t xml:space="preserve">(PG&amp;E) </w:t>
      </w:r>
      <w:r w:rsidRPr="00C67FBF">
        <w:rPr>
          <w:szCs w:val="26"/>
        </w:rPr>
        <w:t>and S</w:t>
      </w:r>
      <w:r w:rsidRPr="00C67FBF" w:rsidR="005B31C3">
        <w:rPr>
          <w:szCs w:val="26"/>
        </w:rPr>
        <w:t xml:space="preserve">outhern </w:t>
      </w:r>
      <w:r w:rsidRPr="00C67FBF">
        <w:rPr>
          <w:szCs w:val="26"/>
        </w:rPr>
        <w:t>C</w:t>
      </w:r>
      <w:r w:rsidRPr="00C67FBF" w:rsidR="005B31C3">
        <w:rPr>
          <w:szCs w:val="26"/>
        </w:rPr>
        <w:t xml:space="preserve">alifornia </w:t>
      </w:r>
      <w:r w:rsidRPr="00C67FBF">
        <w:rPr>
          <w:szCs w:val="26"/>
        </w:rPr>
        <w:t>E</w:t>
      </w:r>
      <w:r w:rsidRPr="00C67FBF" w:rsidR="005B31C3">
        <w:rPr>
          <w:szCs w:val="26"/>
        </w:rPr>
        <w:t>dison Company</w:t>
      </w:r>
      <w:r w:rsidRPr="00C67FBF">
        <w:rPr>
          <w:szCs w:val="26"/>
        </w:rPr>
        <w:t xml:space="preserve"> </w:t>
      </w:r>
      <w:r w:rsidRPr="00C67FBF" w:rsidR="00584DE6">
        <w:rPr>
          <w:szCs w:val="26"/>
        </w:rPr>
        <w:t xml:space="preserve">(SCE) </w:t>
      </w:r>
      <w:r w:rsidRPr="00C67FBF">
        <w:rPr>
          <w:szCs w:val="26"/>
        </w:rPr>
        <w:t xml:space="preserve">shall </w:t>
      </w:r>
      <w:r w:rsidRPr="00C67FBF" w:rsidR="005E3F15">
        <w:rPr>
          <w:szCs w:val="26"/>
        </w:rPr>
        <w:t xml:space="preserve">each </w:t>
      </w:r>
      <w:r w:rsidRPr="00C67FBF" w:rsidR="00613309">
        <w:rPr>
          <w:szCs w:val="26"/>
        </w:rPr>
        <w:t>submit Tier 2 A</w:t>
      </w:r>
      <w:r w:rsidRPr="00C67FBF" w:rsidR="005E3F15">
        <w:rPr>
          <w:szCs w:val="26"/>
        </w:rPr>
        <w:t xml:space="preserve">dvice </w:t>
      </w:r>
      <w:r w:rsidRPr="00C67FBF" w:rsidR="00613309">
        <w:rPr>
          <w:szCs w:val="26"/>
        </w:rPr>
        <w:t>L</w:t>
      </w:r>
      <w:r w:rsidRPr="00C67FBF" w:rsidR="005E3F15">
        <w:rPr>
          <w:szCs w:val="26"/>
        </w:rPr>
        <w:t>etters</w:t>
      </w:r>
      <w:r w:rsidRPr="00C67FBF" w:rsidR="00584DE6">
        <w:rPr>
          <w:szCs w:val="26"/>
        </w:rPr>
        <w:t xml:space="preserve"> (ALs)</w:t>
      </w:r>
      <w:r w:rsidRPr="00C67FBF" w:rsidR="00613309">
        <w:rPr>
          <w:szCs w:val="26"/>
        </w:rPr>
        <w:t xml:space="preserve"> </w:t>
      </w:r>
      <w:r w:rsidRPr="00C67FBF" w:rsidR="00FD0EC5">
        <w:rPr>
          <w:szCs w:val="26"/>
        </w:rPr>
        <w:t>with a</w:t>
      </w:r>
      <w:r w:rsidR="004B695E">
        <w:rPr>
          <w:szCs w:val="26"/>
        </w:rPr>
        <w:t xml:space="preserve">n </w:t>
      </w:r>
      <w:r w:rsidRPr="00C67FBF" w:rsidR="00FD0EC5">
        <w:rPr>
          <w:szCs w:val="26"/>
        </w:rPr>
        <w:t xml:space="preserve">evaluation </w:t>
      </w:r>
      <w:r w:rsidRPr="00C67FBF" w:rsidR="009D2493">
        <w:rPr>
          <w:szCs w:val="26"/>
        </w:rPr>
        <w:t xml:space="preserve">analyzing pilot participants’ total energy costs savings </w:t>
      </w:r>
      <w:r w:rsidRPr="00C67FBF" w:rsidR="008E4584">
        <w:rPr>
          <w:szCs w:val="26"/>
        </w:rPr>
        <w:t xml:space="preserve">(see </w:t>
      </w:r>
      <w:r w:rsidRPr="00C67FBF" w:rsidR="005B66C1">
        <w:rPr>
          <w:szCs w:val="26"/>
        </w:rPr>
        <w:t>A</w:t>
      </w:r>
      <w:r w:rsidRPr="00C67FBF" w:rsidR="008E4584">
        <w:rPr>
          <w:szCs w:val="26"/>
        </w:rPr>
        <w:t xml:space="preserve">ppendix </w:t>
      </w:r>
      <w:r w:rsidRPr="00C67FBF" w:rsidR="00327F85">
        <w:rPr>
          <w:szCs w:val="26"/>
        </w:rPr>
        <w:t xml:space="preserve">A </w:t>
      </w:r>
      <w:r w:rsidRPr="00C67FBF" w:rsidR="008E4584">
        <w:rPr>
          <w:szCs w:val="26"/>
        </w:rPr>
        <w:t xml:space="preserve">for </w:t>
      </w:r>
      <w:r w:rsidRPr="00C67FBF" w:rsidR="005B66C1">
        <w:rPr>
          <w:szCs w:val="26"/>
        </w:rPr>
        <w:t xml:space="preserve">evaluation </w:t>
      </w:r>
      <w:r w:rsidRPr="00C67FBF" w:rsidR="008E4584">
        <w:rPr>
          <w:szCs w:val="26"/>
        </w:rPr>
        <w:t>requirements)</w:t>
      </w:r>
      <w:r w:rsidRPr="00C67FBF" w:rsidR="00DD50E1">
        <w:rPr>
          <w:szCs w:val="26"/>
        </w:rPr>
        <w:t xml:space="preserve">. </w:t>
      </w:r>
      <w:r w:rsidRPr="00C67FBF" w:rsidR="00584DE6">
        <w:rPr>
          <w:szCs w:val="26"/>
        </w:rPr>
        <w:t>PG&amp;E and SCE shall each submit its</w:t>
      </w:r>
      <w:r w:rsidRPr="00C67FBF" w:rsidR="0099199D">
        <w:rPr>
          <w:szCs w:val="26"/>
        </w:rPr>
        <w:t xml:space="preserve"> AL </w:t>
      </w:r>
      <w:r w:rsidRPr="00C67FBF" w:rsidR="00850772">
        <w:rPr>
          <w:szCs w:val="26"/>
        </w:rPr>
        <w:t xml:space="preserve">no later than </w:t>
      </w:r>
      <w:r w:rsidR="00E147E7">
        <w:rPr>
          <w:szCs w:val="26"/>
        </w:rPr>
        <w:t>four years</w:t>
      </w:r>
      <w:r w:rsidRPr="00C67FBF" w:rsidR="0099199D">
        <w:rPr>
          <w:szCs w:val="26"/>
        </w:rPr>
        <w:t xml:space="preserve"> after </w:t>
      </w:r>
      <w:r w:rsidRPr="00C67FBF" w:rsidR="00DD546A">
        <w:rPr>
          <w:szCs w:val="26"/>
        </w:rPr>
        <w:t xml:space="preserve">the utility’s </w:t>
      </w:r>
      <w:r w:rsidRPr="00C67FBF" w:rsidR="0099199D">
        <w:rPr>
          <w:szCs w:val="26"/>
        </w:rPr>
        <w:t xml:space="preserve">first </w:t>
      </w:r>
      <w:r w:rsidRPr="00C67FBF" w:rsidR="0099199D">
        <w:rPr>
          <w:rStyle w:val="normaltextrun"/>
          <w:color w:val="000000"/>
          <w:szCs w:val="26"/>
        </w:rPr>
        <w:t>pilot household receives its first monthly electricity bill with a bill protection discount.</w:t>
      </w:r>
    </w:p>
    <w:p w:rsidRPr="00C67FBF" w:rsidR="00C67FBF" w:rsidP="00C67FBF" w:rsidRDefault="0007194D">
      <w:pPr>
        <w:pStyle w:val="ListParagraph"/>
        <w:numPr>
          <w:ilvl w:val="0"/>
          <w:numId w:val="12"/>
        </w:numPr>
        <w:rPr>
          <w:szCs w:val="26"/>
        </w:rPr>
      </w:pPr>
      <w:r w:rsidRPr="000427BB">
        <w:rPr>
          <w:szCs w:val="26"/>
        </w:rPr>
        <w:t>P</w:t>
      </w:r>
      <w:r w:rsidRPr="000427BB" w:rsidR="005E3F15">
        <w:rPr>
          <w:szCs w:val="26"/>
        </w:rPr>
        <w:t xml:space="preserve">acific </w:t>
      </w:r>
      <w:r w:rsidRPr="000427BB">
        <w:rPr>
          <w:szCs w:val="26"/>
        </w:rPr>
        <w:t>G</w:t>
      </w:r>
      <w:r w:rsidRPr="000427BB" w:rsidR="005E3F15">
        <w:rPr>
          <w:szCs w:val="26"/>
        </w:rPr>
        <w:t xml:space="preserve">as and </w:t>
      </w:r>
      <w:r w:rsidRPr="000427BB">
        <w:rPr>
          <w:szCs w:val="26"/>
        </w:rPr>
        <w:t>E</w:t>
      </w:r>
      <w:r w:rsidRPr="000427BB" w:rsidR="005E3F15">
        <w:rPr>
          <w:szCs w:val="26"/>
        </w:rPr>
        <w:t xml:space="preserve">lectric Company </w:t>
      </w:r>
      <w:r w:rsidRPr="000427BB">
        <w:rPr>
          <w:szCs w:val="26"/>
        </w:rPr>
        <w:t>and S</w:t>
      </w:r>
      <w:r w:rsidRPr="000427BB" w:rsidR="005E3F15">
        <w:rPr>
          <w:szCs w:val="26"/>
        </w:rPr>
        <w:t xml:space="preserve">outhern </w:t>
      </w:r>
      <w:r w:rsidRPr="000427BB">
        <w:rPr>
          <w:szCs w:val="26"/>
        </w:rPr>
        <w:t>C</w:t>
      </w:r>
      <w:r w:rsidRPr="000427BB" w:rsidR="005E3F15">
        <w:rPr>
          <w:szCs w:val="26"/>
        </w:rPr>
        <w:t xml:space="preserve">alifornia </w:t>
      </w:r>
      <w:r w:rsidRPr="000427BB">
        <w:rPr>
          <w:szCs w:val="26"/>
        </w:rPr>
        <w:t>E</w:t>
      </w:r>
      <w:r w:rsidRPr="000427BB" w:rsidR="005E3F15">
        <w:rPr>
          <w:szCs w:val="26"/>
        </w:rPr>
        <w:t>dison Company</w:t>
      </w:r>
      <w:r w:rsidRPr="000427BB">
        <w:rPr>
          <w:szCs w:val="26"/>
        </w:rPr>
        <w:t xml:space="preserve"> </w:t>
      </w:r>
      <w:r w:rsidRPr="000427BB" w:rsidR="00424843">
        <w:rPr>
          <w:szCs w:val="26"/>
        </w:rPr>
        <w:t xml:space="preserve">shall </w:t>
      </w:r>
      <w:r w:rsidRPr="000427BB" w:rsidR="005E3F15">
        <w:rPr>
          <w:szCs w:val="26"/>
        </w:rPr>
        <w:t xml:space="preserve">each </w:t>
      </w:r>
      <w:r w:rsidRPr="000427BB" w:rsidR="00424843">
        <w:rPr>
          <w:color w:val="000000"/>
          <w:szCs w:val="26"/>
        </w:rPr>
        <w:t xml:space="preserve">send the Energy Division a confidential, securely transmitted dataset with </w:t>
      </w:r>
      <w:r w:rsidR="00DC5C27">
        <w:rPr>
          <w:color w:val="000000"/>
          <w:szCs w:val="26"/>
        </w:rPr>
        <w:t xml:space="preserve">all </w:t>
      </w:r>
      <w:r w:rsidRPr="000427BB" w:rsidR="00424843">
        <w:rPr>
          <w:color w:val="000000"/>
          <w:szCs w:val="26"/>
        </w:rPr>
        <w:t xml:space="preserve">participating </w:t>
      </w:r>
      <w:r w:rsidRPr="000427BB" w:rsidR="005E3F15">
        <w:rPr>
          <w:color w:val="000000"/>
          <w:szCs w:val="26"/>
        </w:rPr>
        <w:t xml:space="preserve">pilot </w:t>
      </w:r>
      <w:r w:rsidRPr="000427BB" w:rsidR="00424843">
        <w:rPr>
          <w:color w:val="000000"/>
          <w:szCs w:val="26"/>
        </w:rPr>
        <w:t>customers’ actual monthly electricity bill</w:t>
      </w:r>
      <w:r w:rsidR="002B45A4">
        <w:rPr>
          <w:color w:val="000000"/>
          <w:szCs w:val="26"/>
        </w:rPr>
        <w:t xml:space="preserve"> total costs </w:t>
      </w:r>
      <w:r w:rsidRPr="000427BB" w:rsidR="00424843">
        <w:rPr>
          <w:color w:val="000000"/>
          <w:szCs w:val="26"/>
        </w:rPr>
        <w:t xml:space="preserve">at the same time the Tier 2 </w:t>
      </w:r>
      <w:r w:rsidRPr="000427BB" w:rsidR="00B06726">
        <w:rPr>
          <w:color w:val="000000"/>
          <w:szCs w:val="26"/>
        </w:rPr>
        <w:t>Bill Protection E</w:t>
      </w:r>
      <w:r w:rsidRPr="000427BB" w:rsidR="00424843">
        <w:rPr>
          <w:color w:val="000000"/>
          <w:szCs w:val="26"/>
        </w:rPr>
        <w:t>valuation</w:t>
      </w:r>
      <w:r w:rsidRPr="000427BB" w:rsidR="005E3F15">
        <w:rPr>
          <w:color w:val="000000"/>
          <w:szCs w:val="26"/>
        </w:rPr>
        <w:t xml:space="preserve"> Advice Letters</w:t>
      </w:r>
      <w:r w:rsidRPr="000427BB" w:rsidR="00424843">
        <w:rPr>
          <w:color w:val="000000"/>
          <w:szCs w:val="26"/>
        </w:rPr>
        <w:t xml:space="preserve"> </w:t>
      </w:r>
      <w:r w:rsidRPr="000427BB" w:rsidR="005E3F15">
        <w:rPr>
          <w:color w:val="000000"/>
          <w:szCs w:val="26"/>
        </w:rPr>
        <w:t>are</w:t>
      </w:r>
      <w:r w:rsidRPr="000427BB" w:rsidR="00424843">
        <w:rPr>
          <w:color w:val="000000"/>
          <w:szCs w:val="26"/>
        </w:rPr>
        <w:t xml:space="preserve"> filed. </w:t>
      </w:r>
      <w:r w:rsidR="00C67FBF">
        <w:t>This dataset will include at least 12 months of pre-pilot electricity bill</w:t>
      </w:r>
      <w:r w:rsidR="005C217D">
        <w:t xml:space="preserve"> data </w:t>
      </w:r>
      <w:r w:rsidR="00C67FBF">
        <w:t>for all pilot participants</w:t>
      </w:r>
      <w:r w:rsidR="00E10209">
        <w:t xml:space="preserve"> in the evaluation study, including statistical outliers</w:t>
      </w:r>
      <w:r w:rsidR="00C67FBF">
        <w:t>, and all post-pilot monthly electricity bill</w:t>
      </w:r>
      <w:r w:rsidR="005C217D">
        <w:t xml:space="preserve"> data </w:t>
      </w:r>
      <w:r w:rsidR="00C67FBF">
        <w:t>available at the time of the advice letter filing.</w:t>
      </w:r>
    </w:p>
    <w:p w:rsidRPr="000427BB" w:rsidR="000C0EB3" w:rsidP="000427BB" w:rsidRDefault="00AA5301">
      <w:pPr>
        <w:pStyle w:val="ListParagraph"/>
        <w:numPr>
          <w:ilvl w:val="0"/>
          <w:numId w:val="12"/>
        </w:numPr>
        <w:rPr>
          <w:szCs w:val="26"/>
        </w:rPr>
      </w:pPr>
      <w:r>
        <w:rPr>
          <w:rStyle w:val="normaltextrun"/>
          <w:rFonts w:cs="Segoe UI"/>
          <w:szCs w:val="26"/>
        </w:rPr>
        <w:t>Once appropriate costs and cost recovery mechanism have been approved in Rulemaking 15-03</w:t>
      </w:r>
      <w:r w:rsidR="005B271F">
        <w:rPr>
          <w:rStyle w:val="normaltextrun"/>
          <w:rFonts w:cs="Segoe UI"/>
          <w:szCs w:val="26"/>
        </w:rPr>
        <w:t>-</w:t>
      </w:r>
      <w:r>
        <w:rPr>
          <w:rStyle w:val="normaltextrun"/>
          <w:rFonts w:cs="Segoe UI"/>
          <w:szCs w:val="26"/>
        </w:rPr>
        <w:t xml:space="preserve">010, </w:t>
      </w:r>
      <w:r w:rsidRPr="000427BB">
        <w:rPr>
          <w:rStyle w:val="normaltextrun"/>
          <w:rFonts w:cs="Segoe UI"/>
          <w:szCs w:val="26"/>
        </w:rPr>
        <w:t>Pacific Gas and Electric Company (PG&amp;E) and Southern California Electric Company (SCE) shall provide a transitional 20 percent community solar discount to the pilot customer starting the same month the bill protection discount goes into effect</w:t>
      </w:r>
      <w:r>
        <w:rPr>
          <w:rStyle w:val="normaltextrun"/>
          <w:rFonts w:cs="Segoe UI"/>
          <w:szCs w:val="26"/>
        </w:rPr>
        <w:t xml:space="preserve"> if</w:t>
      </w:r>
      <w:r w:rsidR="002B6F67">
        <w:rPr>
          <w:rStyle w:val="normaltextrun"/>
          <w:rFonts w:cs="Segoe UI"/>
          <w:szCs w:val="26"/>
        </w:rPr>
        <w:t xml:space="preserve"> </w:t>
      </w:r>
      <w:r w:rsidRPr="000427BB" w:rsidR="00CE6492">
        <w:rPr>
          <w:rStyle w:val="normaltextrun"/>
          <w:rFonts w:cs="Segoe UI"/>
          <w:szCs w:val="26"/>
        </w:rPr>
        <w:t xml:space="preserve">the </w:t>
      </w:r>
      <w:r w:rsidRPr="000427BB" w:rsidR="00763AC2">
        <w:rPr>
          <w:rStyle w:val="normaltextrun"/>
          <w:rFonts w:cs="Segoe UI"/>
          <w:szCs w:val="26"/>
        </w:rPr>
        <w:t xml:space="preserve">Community Solar Green Tariff (CSGT) </w:t>
      </w:r>
      <w:r w:rsidRPr="000427BB" w:rsidR="007D3DF7">
        <w:rPr>
          <w:rStyle w:val="normaltextrun"/>
          <w:rFonts w:cs="Segoe UI"/>
          <w:szCs w:val="26"/>
        </w:rPr>
        <w:t xml:space="preserve">Program </w:t>
      </w:r>
      <w:r w:rsidRPr="000427BB" w:rsidR="008E1BB3">
        <w:rPr>
          <w:rStyle w:val="normaltextrun"/>
          <w:rFonts w:cs="Segoe UI"/>
          <w:szCs w:val="26"/>
        </w:rPr>
        <w:t>or</w:t>
      </w:r>
      <w:r w:rsidRPr="000427BB" w:rsidR="00763AC2">
        <w:rPr>
          <w:rStyle w:val="normaltextrun"/>
          <w:rFonts w:cs="Segoe UI"/>
          <w:szCs w:val="26"/>
        </w:rPr>
        <w:t xml:space="preserve"> Disadvantaged Community Green Tariff (DAC-GT) Program is </w:t>
      </w:r>
      <w:r w:rsidRPr="000427BB" w:rsidR="008E1BB3">
        <w:rPr>
          <w:rStyle w:val="normaltextrun"/>
          <w:rFonts w:cs="Segoe UI"/>
          <w:szCs w:val="26"/>
        </w:rPr>
        <w:t>un</w:t>
      </w:r>
      <w:r w:rsidRPr="000427BB" w:rsidR="00763AC2">
        <w:rPr>
          <w:rStyle w:val="normaltextrun"/>
          <w:rFonts w:cs="Segoe UI"/>
          <w:szCs w:val="26"/>
        </w:rPr>
        <w:t xml:space="preserve">available to </w:t>
      </w:r>
      <w:r w:rsidRPr="000427BB" w:rsidR="00061616">
        <w:rPr>
          <w:rStyle w:val="normaltextrun"/>
          <w:rFonts w:cs="Segoe UI"/>
          <w:szCs w:val="26"/>
        </w:rPr>
        <w:t xml:space="preserve">a </w:t>
      </w:r>
      <w:r w:rsidRPr="000427BB" w:rsidR="00763AC2">
        <w:rPr>
          <w:rStyle w:val="normaltextrun"/>
          <w:rFonts w:cs="Segoe UI"/>
          <w:szCs w:val="26"/>
        </w:rPr>
        <w:t xml:space="preserve">pilot participant at the time the participant receives </w:t>
      </w:r>
      <w:r w:rsidRPr="000427BB" w:rsidR="00B63D4D">
        <w:rPr>
          <w:rStyle w:val="normaltextrun"/>
          <w:rFonts w:cs="Segoe UI"/>
          <w:szCs w:val="26"/>
        </w:rPr>
        <w:t xml:space="preserve">the first monthly bill protection discount, </w:t>
      </w:r>
      <w:r w:rsidRPr="000427BB" w:rsidR="008E1BB3">
        <w:rPr>
          <w:rStyle w:val="normaltextrun"/>
          <w:rFonts w:cs="Segoe UI"/>
          <w:szCs w:val="26"/>
        </w:rPr>
        <w:t xml:space="preserve">or </w:t>
      </w:r>
      <w:r w:rsidRPr="000427BB" w:rsidR="00E0119D">
        <w:rPr>
          <w:rStyle w:val="normaltextrun"/>
          <w:rFonts w:cs="Segoe UI"/>
          <w:szCs w:val="26"/>
        </w:rPr>
        <w:t>DAC-GT is available but the customer is not eligibl</w:t>
      </w:r>
      <w:r w:rsidR="002B6F67">
        <w:rPr>
          <w:rStyle w:val="normaltextrun"/>
          <w:rFonts w:cs="Segoe UI"/>
          <w:szCs w:val="26"/>
        </w:rPr>
        <w:t>e.</w:t>
      </w:r>
      <w:r w:rsidRPr="000427BB" w:rsidR="00E0119D">
        <w:rPr>
          <w:rStyle w:val="normaltextrun"/>
          <w:rFonts w:cs="Segoe UI"/>
          <w:szCs w:val="26"/>
        </w:rPr>
        <w:t xml:space="preserve"> </w:t>
      </w:r>
      <w:r w:rsidR="00CE0D92">
        <w:t>This transitional community solar discount shall not apply to customers who have onsite solar through the Single-Family Affordable Solar Homes (SASH) Program or the Disadvantaged Communities SASH (DAC-SASH) Program, or through another program.</w:t>
      </w:r>
      <w:r w:rsidR="00AB016F">
        <w:t xml:space="preserve"> </w:t>
      </w:r>
      <w:r w:rsidRPr="000427BB" w:rsidR="00220B14">
        <w:rPr>
          <w:rStyle w:val="normaltextrun"/>
          <w:rFonts w:cs="Segoe UI"/>
          <w:szCs w:val="26"/>
        </w:rPr>
        <w:t xml:space="preserve">PG&amp;E and SCE </w:t>
      </w:r>
      <w:r w:rsidRPr="000427BB" w:rsidR="0083369C">
        <w:rPr>
          <w:rStyle w:val="normaltextrun"/>
          <w:rFonts w:cs="Segoe UI"/>
          <w:szCs w:val="26"/>
        </w:rPr>
        <w:t xml:space="preserve">shall </w:t>
      </w:r>
      <w:r w:rsidRPr="000427BB" w:rsidR="00220B14">
        <w:rPr>
          <w:rStyle w:val="normaltextrun"/>
          <w:rFonts w:cs="Segoe UI"/>
          <w:szCs w:val="26"/>
        </w:rPr>
        <w:t>transition</w:t>
      </w:r>
      <w:r w:rsidRPr="000427BB" w:rsidR="0083369C">
        <w:rPr>
          <w:rStyle w:val="normaltextrun"/>
          <w:rFonts w:cs="Segoe UI"/>
          <w:szCs w:val="26"/>
        </w:rPr>
        <w:t xml:space="preserve"> a pilot participant </w:t>
      </w:r>
      <w:r w:rsidRPr="000427BB" w:rsidR="00220B14">
        <w:rPr>
          <w:rStyle w:val="normaltextrun"/>
          <w:rFonts w:cs="Segoe UI"/>
          <w:szCs w:val="26"/>
        </w:rPr>
        <w:t>to</w:t>
      </w:r>
      <w:r w:rsidRPr="000427BB" w:rsidR="00193EC1">
        <w:rPr>
          <w:rStyle w:val="normaltextrun"/>
          <w:rFonts w:cs="Segoe UI"/>
          <w:szCs w:val="26"/>
        </w:rPr>
        <w:t xml:space="preserve"> either</w:t>
      </w:r>
      <w:r w:rsidRPr="000427BB" w:rsidR="00220B14">
        <w:rPr>
          <w:rStyle w:val="normaltextrun"/>
          <w:rFonts w:cs="Segoe UI"/>
          <w:szCs w:val="26"/>
        </w:rPr>
        <w:t xml:space="preserve"> the DAC-GT program or CSGT program </w:t>
      </w:r>
      <w:r w:rsidRPr="000427BB" w:rsidR="00193EC1">
        <w:rPr>
          <w:rStyle w:val="normaltextrun"/>
          <w:rFonts w:cs="Segoe UI"/>
          <w:szCs w:val="26"/>
        </w:rPr>
        <w:t xml:space="preserve">if and </w:t>
      </w:r>
      <w:r w:rsidRPr="000427BB" w:rsidR="00220B14">
        <w:rPr>
          <w:rStyle w:val="normaltextrun"/>
          <w:rFonts w:cs="Segoe UI"/>
          <w:szCs w:val="26"/>
        </w:rPr>
        <w:t>when those programs become available to each community, and as applicable based on the customer’s eligibility for each program. </w:t>
      </w:r>
      <w:r w:rsidRPr="007E7E2C" w:rsidR="000C0EB3">
        <w:rPr>
          <w:color w:val="000000"/>
          <w:szCs w:val="26"/>
        </w:rPr>
        <w:t xml:space="preserve">If the CSGT or DAC-GT programs never become available for any given </w:t>
      </w:r>
      <w:r w:rsidRPr="007E7E2C" w:rsidR="009E5AD1">
        <w:rPr>
          <w:color w:val="000000"/>
          <w:szCs w:val="26"/>
        </w:rPr>
        <w:t xml:space="preserve">pilot customer </w:t>
      </w:r>
      <w:r w:rsidRPr="007E7E2C" w:rsidR="000C0EB3">
        <w:rPr>
          <w:color w:val="000000"/>
          <w:szCs w:val="26"/>
        </w:rPr>
        <w:t>during the</w:t>
      </w:r>
      <w:r w:rsidRPr="007E7E2C" w:rsidR="00411CA8">
        <w:rPr>
          <w:color w:val="000000"/>
          <w:szCs w:val="26"/>
        </w:rPr>
        <w:t xml:space="preserve"> 10-year</w:t>
      </w:r>
      <w:r w:rsidRPr="007E7E2C" w:rsidR="000C0EB3">
        <w:rPr>
          <w:color w:val="000000"/>
          <w:szCs w:val="26"/>
        </w:rPr>
        <w:t xml:space="preserve"> bill protection period</w:t>
      </w:r>
      <w:r w:rsidRPr="007E7E2C" w:rsidR="00411CA8">
        <w:rPr>
          <w:color w:val="000000"/>
          <w:szCs w:val="26"/>
        </w:rPr>
        <w:t>,</w:t>
      </w:r>
      <w:r w:rsidRPr="007E7E2C" w:rsidR="00224B41">
        <w:rPr>
          <w:color w:val="000000"/>
          <w:szCs w:val="26"/>
        </w:rPr>
        <w:t xml:space="preserve"> or if DAC-GT becomes available but the customer is not eligible,</w:t>
      </w:r>
      <w:r w:rsidRPr="007E7E2C" w:rsidR="00411CA8">
        <w:rPr>
          <w:color w:val="000000"/>
          <w:szCs w:val="26"/>
        </w:rPr>
        <w:t xml:space="preserve"> </w:t>
      </w:r>
      <w:r w:rsidRPr="007E7E2C" w:rsidR="000C0EB3">
        <w:rPr>
          <w:color w:val="000000"/>
          <w:szCs w:val="26"/>
        </w:rPr>
        <w:t>PG&amp;E and SCE </w:t>
      </w:r>
      <w:r w:rsidRPr="007E7E2C" w:rsidR="0083369C">
        <w:rPr>
          <w:color w:val="000000"/>
          <w:szCs w:val="26"/>
        </w:rPr>
        <w:t xml:space="preserve">shall </w:t>
      </w:r>
      <w:r w:rsidRPr="007E7E2C" w:rsidR="000C0EB3">
        <w:rPr>
          <w:color w:val="000000"/>
          <w:szCs w:val="26"/>
        </w:rPr>
        <w:t xml:space="preserve">provide the transitional 20 percent community solar discount </w:t>
      </w:r>
      <w:r w:rsidRPr="007E7E2C" w:rsidR="00061616">
        <w:rPr>
          <w:color w:val="000000"/>
          <w:szCs w:val="26"/>
        </w:rPr>
        <w:t>to</w:t>
      </w:r>
      <w:r w:rsidRPr="007E7E2C" w:rsidR="000C0EB3">
        <w:rPr>
          <w:color w:val="000000"/>
          <w:szCs w:val="26"/>
        </w:rPr>
        <w:t xml:space="preserve"> </w:t>
      </w:r>
      <w:r w:rsidRPr="007E7E2C" w:rsidR="009E5AD1">
        <w:rPr>
          <w:color w:val="000000"/>
          <w:szCs w:val="26"/>
        </w:rPr>
        <w:t>th</w:t>
      </w:r>
      <w:r w:rsidRPr="007E7E2C" w:rsidR="00DB55EF">
        <w:rPr>
          <w:color w:val="000000"/>
          <w:szCs w:val="26"/>
        </w:rPr>
        <w:t>e pilot</w:t>
      </w:r>
      <w:r w:rsidRPr="007E7E2C" w:rsidR="009E5AD1">
        <w:rPr>
          <w:color w:val="000000"/>
          <w:szCs w:val="26"/>
        </w:rPr>
        <w:t xml:space="preserve"> customer for </w:t>
      </w:r>
      <w:r w:rsidRPr="007E7E2C" w:rsidR="000C0EB3">
        <w:rPr>
          <w:color w:val="000000"/>
          <w:szCs w:val="26"/>
        </w:rPr>
        <w:t xml:space="preserve">the duration of the </w:t>
      </w:r>
      <w:r w:rsidRPr="007E7E2C" w:rsidR="00AA2334">
        <w:rPr>
          <w:color w:val="000000"/>
          <w:szCs w:val="26"/>
        </w:rPr>
        <w:t xml:space="preserve">10-year </w:t>
      </w:r>
      <w:r w:rsidRPr="007E7E2C" w:rsidR="000C0EB3">
        <w:rPr>
          <w:color w:val="000000"/>
          <w:szCs w:val="26"/>
        </w:rPr>
        <w:t>bill protection period</w:t>
      </w:r>
      <w:r w:rsidR="003C3208">
        <w:rPr>
          <w:color w:val="000000"/>
          <w:szCs w:val="26"/>
        </w:rPr>
        <w:t>,</w:t>
      </w:r>
      <w:r w:rsidR="00C1280E">
        <w:rPr>
          <w:color w:val="000000"/>
          <w:szCs w:val="26"/>
        </w:rPr>
        <w:t xml:space="preserve"> </w:t>
      </w:r>
      <w:r w:rsidR="00CE0D92">
        <w:t xml:space="preserve">unless the customer has </w:t>
      </w:r>
      <w:r w:rsidR="00577988">
        <w:t xml:space="preserve">installed </w:t>
      </w:r>
      <w:r w:rsidR="00CE0D92">
        <w:t>onsite solar, in which case the transitional community solar discount shall be terminated when the customer receives the first net energy metering bill.</w:t>
      </w:r>
    </w:p>
    <w:p w:rsidR="00BE2D8A" w:rsidRDefault="00BE2D8A">
      <w:pPr>
        <w:tabs>
          <w:tab w:val="left" w:pos="720"/>
          <w:tab w:val="left" w:pos="1296"/>
          <w:tab w:val="left" w:pos="2016"/>
          <w:tab w:val="left" w:pos="2736"/>
          <w:tab w:val="left" w:pos="3456"/>
          <w:tab w:val="left" w:pos="4176"/>
          <w:tab w:val="left" w:pos="5760"/>
        </w:tabs>
      </w:pPr>
    </w:p>
    <w:p w:rsidR="00CF17DE" w:rsidRDefault="00CF17DE">
      <w:pPr>
        <w:tabs>
          <w:tab w:val="left" w:pos="720"/>
          <w:tab w:val="left" w:pos="1296"/>
          <w:tab w:val="left" w:pos="2016"/>
          <w:tab w:val="left" w:pos="2736"/>
          <w:tab w:val="left" w:pos="3456"/>
          <w:tab w:val="left" w:pos="4176"/>
          <w:tab w:val="left" w:pos="5760"/>
        </w:tabs>
      </w:pPr>
      <w:r>
        <w:t>This Resolution is effective today.</w:t>
      </w:r>
    </w:p>
    <w:p w:rsidR="00CB42C3" w:rsidRDefault="00CB42C3">
      <w:pPr>
        <w:tabs>
          <w:tab w:val="left" w:pos="720"/>
          <w:tab w:val="left" w:pos="1296"/>
          <w:tab w:val="left" w:pos="2016"/>
          <w:tab w:val="left" w:pos="2736"/>
          <w:tab w:val="left" w:pos="3456"/>
          <w:tab w:val="left" w:pos="4176"/>
          <w:tab w:val="left" w:pos="5760"/>
        </w:tabs>
      </w:pPr>
    </w:p>
    <w:p w:rsidR="00CF17DE" w:rsidRDefault="00CF17DE">
      <w:pPr>
        <w:rPr>
          <w:snapToGrid w:val="0"/>
        </w:rPr>
      </w:pPr>
      <w:r>
        <w:rPr>
          <w:snapToGrid w:val="0"/>
        </w:rPr>
        <w:t xml:space="preserve">I certify that the foregoing resolution was duly introduced, passed and adopted at a conference of the Public Utilities Commission of the State of California held on </w:t>
      </w:r>
      <w:r w:rsidR="00EB229B">
        <w:rPr>
          <w:snapToGrid w:val="0"/>
        </w:rPr>
        <w:t xml:space="preserve">December </w:t>
      </w:r>
      <w:r w:rsidR="005B79EE">
        <w:rPr>
          <w:snapToGrid w:val="0"/>
        </w:rPr>
        <w:t>19</w:t>
      </w:r>
      <w:r w:rsidR="00EB229B">
        <w:rPr>
          <w:snapToGrid w:val="0"/>
        </w:rPr>
        <w:t>, 2019</w:t>
      </w:r>
      <w:r>
        <w:rPr>
          <w:snapToGrid w:val="0"/>
        </w:rPr>
        <w:t>; the following Commissioners voting favorably thereon:</w:t>
      </w:r>
    </w:p>
    <w:p w:rsidR="00CF17DE" w:rsidRDefault="00CF17DE">
      <w:pPr>
        <w:tabs>
          <w:tab w:val="left" w:pos="720"/>
          <w:tab w:val="left" w:pos="1152"/>
          <w:tab w:val="left" w:pos="1728"/>
          <w:tab w:val="left" w:pos="3168"/>
          <w:tab w:val="left" w:pos="5040"/>
        </w:tabs>
        <w:ind w:right="144"/>
      </w:pPr>
    </w:p>
    <w:p w:rsidR="00CF17DE" w:rsidRDefault="00CF17DE">
      <w:pPr>
        <w:tabs>
          <w:tab w:val="left" w:pos="720"/>
          <w:tab w:val="left" w:pos="1152"/>
          <w:tab w:val="left" w:pos="1728"/>
          <w:tab w:val="left" w:pos="3168"/>
          <w:tab w:val="left" w:pos="5040"/>
        </w:tabs>
        <w:ind w:right="144"/>
      </w:pPr>
    </w:p>
    <w:p w:rsidR="00CF17DE" w:rsidRDefault="00CF17DE">
      <w:pPr>
        <w:tabs>
          <w:tab w:val="left" w:pos="720"/>
          <w:tab w:val="left" w:pos="1152"/>
          <w:tab w:val="left" w:pos="1728"/>
          <w:tab w:val="left" w:pos="3168"/>
          <w:tab w:val="left" w:pos="5040"/>
        </w:tabs>
        <w:ind w:right="144"/>
      </w:pPr>
    </w:p>
    <w:p w:rsidR="00CF17DE" w:rsidRDefault="00CF17DE">
      <w:pPr>
        <w:tabs>
          <w:tab w:val="left" w:pos="720"/>
          <w:tab w:val="left" w:pos="1152"/>
          <w:tab w:val="left" w:pos="1728"/>
          <w:tab w:val="left" w:pos="3168"/>
          <w:tab w:val="left" w:pos="5040"/>
        </w:tabs>
        <w:ind w:right="144"/>
      </w:pPr>
    </w:p>
    <w:p w:rsidRPr="00DA3E94" w:rsidR="00725DF7" w:rsidP="00725DF7" w:rsidRDefault="00CF17DE">
      <w:pPr>
        <w:ind w:left="4320" w:firstLine="720"/>
        <w:rPr>
          <w:rFonts w:ascii="Palatino Linotype" w:hAnsi="Palatino Linotype"/>
          <w:i/>
          <w:iCs/>
          <w:u w:val="single"/>
        </w:rPr>
      </w:pPr>
      <w:r>
        <w:tab/>
      </w:r>
      <w:r>
        <w:tab/>
      </w:r>
      <w:r>
        <w:tab/>
      </w:r>
      <w:r>
        <w:tab/>
      </w:r>
      <w:r>
        <w:tab/>
      </w:r>
      <w:r>
        <w:tab/>
      </w:r>
      <w:r w:rsidRPr="00DA3E94" w:rsidR="00DA3E94">
        <w:rPr>
          <w:rFonts w:ascii="Palatino Linotype" w:hAnsi="Palatino Linotype"/>
          <w:i/>
          <w:iCs/>
          <w:u w:val="single"/>
        </w:rPr>
        <w:t>ALICE STEBBINS</w:t>
      </w:r>
    </w:p>
    <w:p w:rsidR="00725DF7" w:rsidP="00725DF7" w:rsidRDefault="00725DF7">
      <w:pPr>
        <w:ind w:left="4320" w:firstLine="720"/>
        <w:rPr>
          <w:rFonts w:ascii="Palatino Linotype" w:hAnsi="Palatino Linotype"/>
        </w:rPr>
      </w:pPr>
      <w:r>
        <w:rPr>
          <w:rFonts w:ascii="Palatino Linotype" w:hAnsi="Palatino Linotype"/>
        </w:rPr>
        <w:t>ALICE STEBBINS</w:t>
      </w:r>
      <w:r>
        <w:rPr>
          <w:rFonts w:ascii="Palatino Linotype" w:hAnsi="Palatino Linotype"/>
        </w:rPr>
        <w:br/>
        <w:t xml:space="preserve">           </w:t>
      </w:r>
      <w:r w:rsidRPr="00321419">
        <w:rPr>
          <w:rFonts w:ascii="Palatino Linotype" w:hAnsi="Palatino Linotype"/>
        </w:rPr>
        <w:t>Executive Director</w:t>
      </w:r>
    </w:p>
    <w:p w:rsidR="00725DF7" w:rsidP="00725DF7" w:rsidRDefault="00725DF7">
      <w:pPr>
        <w:ind w:left="4320" w:firstLine="720"/>
        <w:rPr>
          <w:rFonts w:ascii="Palatino Linotype" w:hAnsi="Palatino Linotype"/>
        </w:rPr>
      </w:pPr>
    </w:p>
    <w:p w:rsidR="00725DF7" w:rsidP="00725DF7" w:rsidRDefault="00725DF7">
      <w:pPr>
        <w:pStyle w:val="Body"/>
        <w:tabs>
          <w:tab w:val="left" w:pos="720"/>
          <w:tab w:val="left" w:pos="1152"/>
          <w:tab w:val="left" w:pos="1728"/>
          <w:tab w:val="left" w:pos="3168"/>
          <w:tab w:val="left" w:pos="5040"/>
        </w:tabs>
        <w:spacing w:after="0"/>
        <w:ind w:right="144"/>
        <w:rPr>
          <w:rFonts w:ascii="Palatino Linotype" w:hAnsi="Palatino Linotype" w:eastAsia="Palatino Linotype" w:cs="Palatino Linotype"/>
          <w:sz w:val="26"/>
          <w:szCs w:val="26"/>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bookmarkStart w:name="_Hlk513798524" w:id="2"/>
      <w:r>
        <w:rPr>
          <w:rFonts w:ascii="Palatino Linotype" w:hAnsi="Palatino Linotype" w:eastAsia="Palatino Linotype" w:cs="Palatino Linotype"/>
          <w:sz w:val="26"/>
          <w:szCs w:val="26"/>
        </w:rPr>
        <w:t>MARYBEL BATJER</w:t>
      </w:r>
    </w:p>
    <w:p w:rsidR="00725DF7" w:rsidP="00725DF7" w:rsidRDefault="00725DF7">
      <w:pPr>
        <w:pStyle w:val="Body"/>
        <w:tabs>
          <w:tab w:val="left" w:pos="720"/>
          <w:tab w:val="left" w:pos="1152"/>
          <w:tab w:val="left" w:pos="1728"/>
          <w:tab w:val="left" w:pos="3168"/>
          <w:tab w:val="left" w:pos="5040"/>
        </w:tabs>
        <w:spacing w:after="0"/>
        <w:ind w:right="144"/>
        <w:rPr>
          <w:rFonts w:ascii="Palatino Linotype" w:hAnsi="Palatino Linotype" w:eastAsia="Palatino Linotype" w:cs="Palatino Linotype"/>
          <w:sz w:val="26"/>
          <w:szCs w:val="26"/>
        </w:rPr>
      </w:pPr>
      <w:r>
        <w:rPr>
          <w:rFonts w:ascii="Palatino Linotype" w:hAnsi="Palatino Linotype" w:eastAsia="Palatino Linotype" w:cs="Palatino Linotype"/>
          <w:sz w:val="26"/>
          <w:szCs w:val="26"/>
        </w:rPr>
        <w:tab/>
      </w:r>
      <w:r>
        <w:rPr>
          <w:rFonts w:ascii="Palatino Linotype" w:hAnsi="Palatino Linotype" w:eastAsia="Palatino Linotype" w:cs="Palatino Linotype"/>
          <w:sz w:val="26"/>
          <w:szCs w:val="26"/>
        </w:rPr>
        <w:tab/>
      </w:r>
      <w:r>
        <w:rPr>
          <w:rFonts w:ascii="Palatino Linotype" w:hAnsi="Palatino Linotype" w:eastAsia="Palatino Linotype" w:cs="Palatino Linotype"/>
          <w:sz w:val="26"/>
          <w:szCs w:val="26"/>
        </w:rPr>
        <w:tab/>
      </w:r>
      <w:r>
        <w:rPr>
          <w:rFonts w:ascii="Palatino Linotype" w:hAnsi="Palatino Linotype" w:eastAsia="Palatino Linotype" w:cs="Palatino Linotype"/>
          <w:sz w:val="26"/>
          <w:szCs w:val="26"/>
        </w:rPr>
        <w:tab/>
      </w:r>
      <w:r>
        <w:rPr>
          <w:rFonts w:ascii="Palatino Linotype" w:hAnsi="Palatino Linotype" w:eastAsia="Palatino Linotype" w:cs="Palatino Linotype"/>
          <w:sz w:val="26"/>
          <w:szCs w:val="26"/>
        </w:rPr>
        <w:tab/>
      </w:r>
      <w:r>
        <w:rPr>
          <w:rFonts w:ascii="Palatino Linotype" w:hAnsi="Palatino Linotype" w:eastAsia="Palatino Linotype" w:cs="Palatino Linotype"/>
          <w:sz w:val="26"/>
          <w:szCs w:val="26"/>
        </w:rPr>
        <w:tab/>
        <w:t xml:space="preserve">                 President</w:t>
      </w:r>
    </w:p>
    <w:p w:rsidR="00725DF7" w:rsidP="00725DF7" w:rsidRDefault="00725DF7">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9F405F">
        <w:rPr>
          <w:rFonts w:ascii="Palatino Linotype" w:hAnsi="Palatino Linotype"/>
        </w:rPr>
        <w:t xml:space="preserve">LIANE </w:t>
      </w:r>
      <w:r>
        <w:rPr>
          <w:rFonts w:ascii="Palatino Linotype" w:hAnsi="Palatino Linotype"/>
        </w:rPr>
        <w:t xml:space="preserve">M. </w:t>
      </w:r>
      <w:r w:rsidRPr="009F405F">
        <w:rPr>
          <w:rFonts w:ascii="Palatino Linotype" w:hAnsi="Palatino Linotype"/>
        </w:rPr>
        <w:t>RANDOLPH</w:t>
      </w:r>
    </w:p>
    <w:p w:rsidRPr="00096E68" w:rsidR="00725DF7" w:rsidP="00725DF7" w:rsidRDefault="00725DF7">
      <w:pPr>
        <w:pStyle w:val="Default"/>
        <w:rPr>
          <w:rFonts w:ascii="Palatino Linotype" w:hAnsi="Palatino Linotype" w:eastAsia="Times New Roman" w:cs="Palatino Linotype"/>
          <w:sz w:val="26"/>
          <w:szCs w:val="26"/>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096E68">
        <w:rPr>
          <w:rFonts w:ascii="Palatino Linotype" w:hAnsi="Palatino Linotype" w:eastAsia="Times New Roman" w:cs="Palatino Linotype"/>
          <w:sz w:val="26"/>
          <w:szCs w:val="26"/>
        </w:rPr>
        <w:t xml:space="preserve">MARTHA GUZMAN ACEVES </w:t>
      </w:r>
    </w:p>
    <w:p w:rsidR="00725DF7" w:rsidP="00725DF7" w:rsidRDefault="00725DF7">
      <w:pPr>
        <w:ind w:left="4320" w:firstLine="720"/>
        <w:rPr>
          <w:rFonts w:ascii="Palatino Linotype" w:hAnsi="Palatino Linotype" w:cs="Palatino Linotype"/>
          <w:color w:val="000000"/>
          <w:szCs w:val="26"/>
        </w:rPr>
      </w:pPr>
      <w:r w:rsidRPr="00096E68">
        <w:rPr>
          <w:rFonts w:ascii="Palatino Linotype" w:hAnsi="Palatino Linotype" w:cs="Palatino Linotype"/>
          <w:color w:val="000000"/>
          <w:szCs w:val="26"/>
        </w:rPr>
        <w:t>CLIFFORD RECHTSCHAFFEN</w:t>
      </w:r>
    </w:p>
    <w:p w:rsidRPr="00353238" w:rsidR="00725DF7" w:rsidP="00725DF7" w:rsidRDefault="00725DF7">
      <w:pPr>
        <w:ind w:left="4320" w:firstLine="720"/>
        <w:rPr>
          <w:rFonts w:ascii="Palatino Linotype" w:hAnsi="Palatino Linotype" w:cs="Palatino Linotype"/>
          <w:color w:val="000000"/>
          <w:szCs w:val="26"/>
        </w:rPr>
      </w:pPr>
      <w:r w:rsidRPr="0013208A">
        <w:rPr>
          <w:rFonts w:ascii="Palatino Linotype" w:hAnsi="Palatino Linotype"/>
        </w:rPr>
        <w:t>GENEVIEVE SHIROMA</w:t>
      </w:r>
    </w:p>
    <w:p w:rsidR="00725DF7" w:rsidP="00725DF7" w:rsidRDefault="00725DF7">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Commissioners</w:t>
      </w:r>
    </w:p>
    <w:bookmarkEnd w:id="2"/>
    <w:p w:rsidR="00725DF7" w:rsidP="00725DF7" w:rsidRDefault="00725DF7"/>
    <w:p w:rsidR="006460E0" w:rsidP="00725DF7" w:rsidRDefault="006460E0">
      <w:pPr>
        <w:tabs>
          <w:tab w:val="left" w:pos="720"/>
          <w:tab w:val="left" w:pos="1152"/>
          <w:tab w:val="left" w:pos="1728"/>
          <w:tab w:val="left" w:pos="3168"/>
          <w:tab w:val="left" w:pos="5040"/>
        </w:tabs>
        <w:ind w:right="144"/>
      </w:pPr>
    </w:p>
    <w:p w:rsidR="00517D4B" w:rsidRDefault="00517D4B"/>
    <w:p w:rsidR="00517D4B" w:rsidRDefault="00517D4B"/>
    <w:p w:rsidR="00517D4B" w:rsidRDefault="00517D4B"/>
    <w:p w:rsidR="00517D4B" w:rsidRDefault="00517D4B"/>
    <w:p w:rsidR="00517D4B" w:rsidRDefault="00517D4B"/>
    <w:p w:rsidR="00517D4B" w:rsidRDefault="00517D4B"/>
    <w:p w:rsidR="00517D4B" w:rsidRDefault="00517D4B"/>
    <w:p w:rsidR="00517D4B" w:rsidRDefault="00517D4B"/>
    <w:p w:rsidR="00517D4B" w:rsidRDefault="00517D4B"/>
    <w:p w:rsidR="00725DF7" w:rsidRDefault="00725DF7">
      <w:pPr>
        <w:rPr>
          <w:b/>
          <w:sz w:val="32"/>
          <w:szCs w:val="32"/>
        </w:rPr>
      </w:pPr>
    </w:p>
    <w:p w:rsidR="00725DF7" w:rsidRDefault="00725DF7">
      <w:pPr>
        <w:rPr>
          <w:b/>
          <w:sz w:val="32"/>
          <w:szCs w:val="32"/>
        </w:rPr>
      </w:pPr>
    </w:p>
    <w:p w:rsidR="00725DF7" w:rsidRDefault="00725DF7">
      <w:pPr>
        <w:rPr>
          <w:b/>
          <w:sz w:val="32"/>
          <w:szCs w:val="32"/>
        </w:rPr>
      </w:pPr>
    </w:p>
    <w:p w:rsidR="00725DF7" w:rsidRDefault="00725DF7">
      <w:pPr>
        <w:rPr>
          <w:b/>
          <w:sz w:val="32"/>
          <w:szCs w:val="32"/>
        </w:rPr>
      </w:pPr>
    </w:p>
    <w:p w:rsidR="00294B6D" w:rsidRDefault="00725DF7">
      <w:pPr>
        <w:rPr>
          <w:b/>
          <w:bCs/>
          <w:sz w:val="32"/>
          <w:szCs w:val="32"/>
        </w:rPr>
      </w:pPr>
      <w:r w:rsidRPr="2D9087C0">
        <w:rPr>
          <w:b/>
          <w:sz w:val="32"/>
          <w:szCs w:val="32"/>
        </w:rPr>
        <w:t>Appendix A</w:t>
      </w:r>
    </w:p>
    <w:p w:rsidRPr="005C7E54" w:rsidR="00691E1A" w:rsidP="00C743FB" w:rsidRDefault="000C0EB3">
      <w:pPr>
        <w:rPr>
          <w:szCs w:val="26"/>
        </w:rPr>
      </w:pPr>
      <w:r w:rsidRPr="005C7E54">
        <w:rPr>
          <w:szCs w:val="26"/>
        </w:rPr>
        <w:t>P</w:t>
      </w:r>
      <w:r w:rsidRPr="005C7E54" w:rsidR="00072152">
        <w:rPr>
          <w:szCs w:val="26"/>
        </w:rPr>
        <w:t xml:space="preserve">acific </w:t>
      </w:r>
      <w:r w:rsidRPr="005C7E54">
        <w:rPr>
          <w:szCs w:val="26"/>
        </w:rPr>
        <w:t>G</w:t>
      </w:r>
      <w:r w:rsidRPr="005C7E54" w:rsidR="00072152">
        <w:rPr>
          <w:szCs w:val="26"/>
        </w:rPr>
        <w:t xml:space="preserve">as and </w:t>
      </w:r>
      <w:r w:rsidRPr="005C7E54">
        <w:rPr>
          <w:szCs w:val="26"/>
        </w:rPr>
        <w:t>E</w:t>
      </w:r>
      <w:r w:rsidRPr="005C7E54" w:rsidR="00072152">
        <w:rPr>
          <w:szCs w:val="26"/>
        </w:rPr>
        <w:t>lectric Company (PG&amp;E)</w:t>
      </w:r>
      <w:r w:rsidRPr="005C7E54">
        <w:rPr>
          <w:szCs w:val="26"/>
        </w:rPr>
        <w:t xml:space="preserve"> and S</w:t>
      </w:r>
      <w:r w:rsidRPr="005C7E54" w:rsidR="00072152">
        <w:rPr>
          <w:szCs w:val="26"/>
        </w:rPr>
        <w:t xml:space="preserve">outhern </w:t>
      </w:r>
      <w:r w:rsidRPr="005C7E54">
        <w:rPr>
          <w:szCs w:val="26"/>
        </w:rPr>
        <w:t>C</w:t>
      </w:r>
      <w:r w:rsidRPr="005C7E54" w:rsidR="00072152">
        <w:rPr>
          <w:szCs w:val="26"/>
        </w:rPr>
        <w:t xml:space="preserve">alifornia </w:t>
      </w:r>
      <w:r w:rsidRPr="005C7E54">
        <w:rPr>
          <w:szCs w:val="26"/>
        </w:rPr>
        <w:t>E</w:t>
      </w:r>
      <w:r w:rsidRPr="005C7E54" w:rsidR="00072152">
        <w:rPr>
          <w:szCs w:val="26"/>
        </w:rPr>
        <w:t>dison Company (SCE)</w:t>
      </w:r>
      <w:r w:rsidRPr="005C7E54">
        <w:rPr>
          <w:szCs w:val="26"/>
        </w:rPr>
        <w:t xml:space="preserve"> S</w:t>
      </w:r>
      <w:r w:rsidRPr="005C7E54" w:rsidR="00072152">
        <w:rPr>
          <w:szCs w:val="26"/>
        </w:rPr>
        <w:t>an Joaquin Valley (SJV) Pilot</w:t>
      </w:r>
      <w:r w:rsidRPr="005C7E54">
        <w:rPr>
          <w:szCs w:val="26"/>
        </w:rPr>
        <w:t xml:space="preserve"> Bill Protection Requirements</w:t>
      </w:r>
    </w:p>
    <w:p w:rsidRPr="004807FF" w:rsidR="004807FF" w:rsidP="004807FF" w:rsidRDefault="004807FF">
      <w:pPr>
        <w:rPr>
          <w:sz w:val="30"/>
          <w:szCs w:val="30"/>
        </w:rPr>
      </w:pPr>
    </w:p>
    <w:tbl>
      <w:tblPr>
        <w:tblStyle w:val="TableGrid"/>
        <w:tblW w:w="0" w:type="auto"/>
        <w:tblLook w:val="04A0" w:firstRow="1" w:lastRow="0" w:firstColumn="1" w:lastColumn="0" w:noHBand="0" w:noVBand="1"/>
      </w:tblPr>
      <w:tblGrid>
        <w:gridCol w:w="4675"/>
        <w:gridCol w:w="4675"/>
      </w:tblGrid>
      <w:tr w:rsidR="00294B6D">
        <w:tc>
          <w:tcPr>
            <w:tcW w:w="4675" w:type="dxa"/>
          </w:tcPr>
          <w:p w:rsidRPr="000249FC" w:rsidR="000249FC" w:rsidP="006D5240" w:rsidRDefault="000249FC">
            <w:pPr>
              <w:ind w:left="0" w:firstLine="0"/>
              <w:rPr>
                <w:b/>
                <w:bCs/>
                <w:szCs w:val="26"/>
              </w:rPr>
            </w:pPr>
            <w:r w:rsidRPr="000249FC">
              <w:rPr>
                <w:rFonts w:eastAsia="Times New Roman" w:cs="Times New Roman"/>
                <w:b/>
                <w:bCs/>
                <w:szCs w:val="26"/>
              </w:rPr>
              <w:t>Activity</w:t>
            </w:r>
          </w:p>
        </w:tc>
        <w:tc>
          <w:tcPr>
            <w:tcW w:w="4675" w:type="dxa"/>
          </w:tcPr>
          <w:p w:rsidRPr="000249FC" w:rsidR="000249FC" w:rsidP="72B73081" w:rsidRDefault="000249FC">
            <w:pPr>
              <w:rPr>
                <w:b/>
                <w:bCs/>
                <w:szCs w:val="26"/>
              </w:rPr>
            </w:pPr>
            <w:r w:rsidRPr="000249FC">
              <w:rPr>
                <w:b/>
                <w:bCs/>
                <w:szCs w:val="26"/>
              </w:rPr>
              <w:t>Requirement</w:t>
            </w:r>
          </w:p>
        </w:tc>
      </w:tr>
      <w:tr w:rsidR="00294B6D">
        <w:tc>
          <w:tcPr>
            <w:tcW w:w="4675" w:type="dxa"/>
            <w:vMerge w:val="restart"/>
          </w:tcPr>
          <w:p w:rsidRPr="006D5240" w:rsidR="00E62EBA" w:rsidP="006D5240" w:rsidRDefault="00E62EBA">
            <w:pPr>
              <w:ind w:left="0" w:firstLine="0"/>
              <w:rPr>
                <w:szCs w:val="26"/>
              </w:rPr>
            </w:pPr>
            <w:r w:rsidRPr="006D5240">
              <w:rPr>
                <w:szCs w:val="26"/>
              </w:rPr>
              <w:t xml:space="preserve">Bill Protection </w:t>
            </w:r>
            <w:r w:rsidR="0064539E">
              <w:rPr>
                <w:szCs w:val="26"/>
              </w:rPr>
              <w:t>Approach</w:t>
            </w:r>
          </w:p>
        </w:tc>
        <w:tc>
          <w:tcPr>
            <w:tcW w:w="4675" w:type="dxa"/>
          </w:tcPr>
          <w:p w:rsidRPr="00500446" w:rsidR="00E62EBA" w:rsidP="00DE0EC7" w:rsidRDefault="00E62EBA">
            <w:pPr>
              <w:ind w:left="360" w:firstLine="0"/>
              <w:rPr>
                <w:sz w:val="22"/>
              </w:rPr>
            </w:pPr>
            <w:r>
              <w:rPr>
                <w:sz w:val="22"/>
              </w:rPr>
              <w:t>B</w:t>
            </w:r>
            <w:r w:rsidRPr="00500446">
              <w:rPr>
                <w:sz w:val="22"/>
              </w:rPr>
              <w:t>ill protection discount shall be in addition to eligible California Alternate Rates for Energy (CARE) and Family Electric Rate Assistance Program (FERA) discounts</w:t>
            </w:r>
          </w:p>
        </w:tc>
      </w:tr>
      <w:tr w:rsidR="00294B6D">
        <w:tc>
          <w:tcPr>
            <w:tcW w:w="4675" w:type="dxa"/>
            <w:vMerge/>
          </w:tcPr>
          <w:p w:rsidRPr="00500446" w:rsidR="00E62EBA" w:rsidP="72B73081" w:rsidRDefault="00E62EBA">
            <w:pPr>
              <w:rPr>
                <w:sz w:val="22"/>
              </w:rPr>
            </w:pPr>
          </w:p>
        </w:tc>
        <w:tc>
          <w:tcPr>
            <w:tcW w:w="4675" w:type="dxa"/>
          </w:tcPr>
          <w:p w:rsidRPr="00500446" w:rsidR="00E62EBA" w:rsidP="002C0382" w:rsidRDefault="00E62EBA">
            <w:pPr>
              <w:ind w:left="360" w:firstLine="0"/>
              <w:rPr>
                <w:sz w:val="22"/>
              </w:rPr>
            </w:pPr>
            <w:r>
              <w:rPr>
                <w:sz w:val="22"/>
              </w:rPr>
              <w:t>B</w:t>
            </w:r>
            <w:r w:rsidRPr="00500446">
              <w:rPr>
                <w:sz w:val="22"/>
              </w:rPr>
              <w:t xml:space="preserve">ill protection discount shall be in addition to </w:t>
            </w:r>
            <w:r>
              <w:rPr>
                <w:sz w:val="22"/>
              </w:rPr>
              <w:t>eligible Community Solar Green Tariff (CSGT), Disadvantaged Community Green Tariff (DAC-GT), or transitional community solar discounts</w:t>
            </w:r>
          </w:p>
        </w:tc>
      </w:tr>
      <w:tr w:rsidR="00294B6D">
        <w:tc>
          <w:tcPr>
            <w:tcW w:w="4675" w:type="dxa"/>
            <w:vMerge/>
          </w:tcPr>
          <w:p w:rsidRPr="00500446" w:rsidR="00E62EBA" w:rsidP="72B73081" w:rsidRDefault="00E62EBA">
            <w:pPr>
              <w:rPr>
                <w:sz w:val="22"/>
              </w:rPr>
            </w:pPr>
          </w:p>
        </w:tc>
        <w:tc>
          <w:tcPr>
            <w:tcW w:w="4675" w:type="dxa"/>
          </w:tcPr>
          <w:p w:rsidRPr="00500446" w:rsidR="00E62EBA" w:rsidP="002C0382" w:rsidRDefault="00E62EBA">
            <w:pPr>
              <w:ind w:left="360" w:firstLine="0"/>
              <w:rPr>
                <w:sz w:val="22"/>
              </w:rPr>
            </w:pPr>
            <w:r>
              <w:rPr>
                <w:sz w:val="22"/>
              </w:rPr>
              <w:t xml:space="preserve">Applicable bill protection, CARE, FERA, CSGT, DAC-GT, and transitional community discounts shall be stacked </w:t>
            </w:r>
            <w:r w:rsidR="008B3A59">
              <w:rPr>
                <w:sz w:val="22"/>
              </w:rPr>
              <w:t xml:space="preserve">sequentially </w:t>
            </w:r>
            <w:r>
              <w:rPr>
                <w:sz w:val="22"/>
              </w:rPr>
              <w:t>from largest discount to smallest</w:t>
            </w:r>
            <w:r w:rsidR="0005314A">
              <w:rPr>
                <w:sz w:val="22"/>
              </w:rPr>
              <w:t xml:space="preserve"> discount</w:t>
            </w:r>
            <w:r>
              <w:rPr>
                <w:sz w:val="22"/>
              </w:rPr>
              <w:t xml:space="preserve"> on </w:t>
            </w:r>
            <w:r w:rsidR="00474052">
              <w:rPr>
                <w:sz w:val="22"/>
              </w:rPr>
              <w:t>customer’s</w:t>
            </w:r>
            <w:r>
              <w:rPr>
                <w:sz w:val="22"/>
              </w:rPr>
              <w:t xml:space="preserve"> monthly electricity bill</w:t>
            </w:r>
            <w:r w:rsidR="00AA17D3">
              <w:rPr>
                <w:sz w:val="22"/>
              </w:rPr>
              <w:t xml:space="preserve"> </w:t>
            </w:r>
          </w:p>
        </w:tc>
      </w:tr>
      <w:tr w:rsidR="00294B6D">
        <w:tc>
          <w:tcPr>
            <w:tcW w:w="4675" w:type="dxa"/>
            <w:vMerge/>
          </w:tcPr>
          <w:p w:rsidRPr="00500446" w:rsidR="00670A58" w:rsidP="72B73081" w:rsidRDefault="00670A58">
            <w:pPr>
              <w:rPr>
                <w:sz w:val="22"/>
              </w:rPr>
            </w:pPr>
          </w:p>
        </w:tc>
        <w:tc>
          <w:tcPr>
            <w:tcW w:w="4675" w:type="dxa"/>
          </w:tcPr>
          <w:p w:rsidRPr="009F4CB5" w:rsidR="00670A58" w:rsidP="009F4CB5" w:rsidRDefault="00670A58">
            <w:pPr>
              <w:ind w:left="360"/>
              <w:rPr>
                <w:sz w:val="22"/>
              </w:rPr>
            </w:pPr>
            <w:r w:rsidRPr="009F4CB5">
              <w:rPr>
                <w:i/>
                <w:iCs/>
                <w:sz w:val="22"/>
              </w:rPr>
              <w:t xml:space="preserve">   </w:t>
            </w:r>
            <w:r w:rsidR="009F4CB5">
              <w:rPr>
                <w:i/>
                <w:iCs/>
                <w:sz w:val="22"/>
              </w:rPr>
              <w:t xml:space="preserve"> </w:t>
            </w:r>
            <w:r w:rsidRPr="009F4CB5">
              <w:rPr>
                <w:i/>
                <w:iCs/>
                <w:sz w:val="22"/>
              </w:rPr>
              <w:t xml:space="preserve"> </w:t>
            </w:r>
            <w:r w:rsidRPr="009F4CB5" w:rsidR="009C5F51">
              <w:rPr>
                <w:i/>
                <w:iCs/>
                <w:sz w:val="22"/>
              </w:rPr>
              <w:t xml:space="preserve"> </w:t>
            </w:r>
            <w:r w:rsidR="009F4CB5">
              <w:rPr>
                <w:sz w:val="22"/>
              </w:rPr>
              <w:t xml:space="preserve">Bill protection discount billing process shall be implemented </w:t>
            </w:r>
            <w:r w:rsidRPr="009F4CB5" w:rsidR="009C5F51">
              <w:rPr>
                <w:sz w:val="22"/>
              </w:rPr>
              <w:t>no later than May 1, 2020. In the low likelihood scenario that a customer has enrolled in a</w:t>
            </w:r>
            <w:r w:rsidR="009C42D4">
              <w:rPr>
                <w:sz w:val="22"/>
              </w:rPr>
              <w:t xml:space="preserve"> </w:t>
            </w:r>
            <w:r w:rsidRPr="009F4CB5" w:rsidR="009C5F51">
              <w:rPr>
                <w:sz w:val="22"/>
              </w:rPr>
              <w:t>pilot, installed a</w:t>
            </w:r>
            <w:r w:rsidR="001C0661">
              <w:rPr>
                <w:sz w:val="22"/>
              </w:rPr>
              <w:t>t least one</w:t>
            </w:r>
            <w:r w:rsidRPr="009F4CB5" w:rsidR="009C5F51">
              <w:rPr>
                <w:sz w:val="22"/>
              </w:rPr>
              <w:t xml:space="preserve"> electric appliance, and is eligible for a bill protection discount prior to May 1, 2020, PG&amp;E and SCE shall retroactively provide bill protection discounts owed to the customer on the first electric bill after the billing process has been established.</w:t>
            </w:r>
          </w:p>
        </w:tc>
      </w:tr>
      <w:tr w:rsidR="00294B6D">
        <w:tc>
          <w:tcPr>
            <w:tcW w:w="4675" w:type="dxa"/>
            <w:vMerge/>
          </w:tcPr>
          <w:p w:rsidRPr="00500446" w:rsidR="00E62EBA" w:rsidP="72B73081" w:rsidRDefault="00E62EBA">
            <w:pPr>
              <w:rPr>
                <w:sz w:val="22"/>
              </w:rPr>
            </w:pPr>
          </w:p>
        </w:tc>
        <w:tc>
          <w:tcPr>
            <w:tcW w:w="4675" w:type="dxa"/>
          </w:tcPr>
          <w:p w:rsidRPr="00E60C39" w:rsidR="00E62EBA" w:rsidP="002C0382" w:rsidRDefault="009C5F51">
            <w:pPr>
              <w:ind w:left="360" w:firstLine="0"/>
              <w:rPr>
                <w:sz w:val="22"/>
              </w:rPr>
            </w:pPr>
            <w:r>
              <w:rPr>
                <w:sz w:val="22"/>
              </w:rPr>
              <w:t>Bill protection discount shall begin</w:t>
            </w:r>
            <w:r w:rsidRPr="009F4CB5" w:rsidR="00E60C39">
              <w:rPr>
                <w:sz w:val="22"/>
              </w:rPr>
              <w:t xml:space="preserve"> on the </w:t>
            </w:r>
            <w:r w:rsidR="00F67776">
              <w:rPr>
                <w:sz w:val="22"/>
              </w:rPr>
              <w:t xml:space="preserve">customer’s </w:t>
            </w:r>
            <w:r w:rsidRPr="009F4CB5" w:rsidR="00E60C39">
              <w:rPr>
                <w:sz w:val="22"/>
              </w:rPr>
              <w:t xml:space="preserve">first electric bill representing a full month of new electric appliance usage. </w:t>
            </w:r>
            <w:r>
              <w:rPr>
                <w:sz w:val="22"/>
              </w:rPr>
              <w:t xml:space="preserve">A </w:t>
            </w:r>
            <w:r w:rsidRPr="009F4CB5" w:rsidR="00E60C39">
              <w:rPr>
                <w:sz w:val="22"/>
              </w:rPr>
              <w:t>full month of new electric appliance usage means that at least one electric appliance has been installed in the participant’s home through</w:t>
            </w:r>
            <w:r w:rsidR="009C42D4">
              <w:rPr>
                <w:sz w:val="22"/>
              </w:rPr>
              <w:t xml:space="preserve"> an SJV</w:t>
            </w:r>
            <w:r w:rsidRPr="009F4CB5" w:rsidR="00E60C39">
              <w:rPr>
                <w:sz w:val="22"/>
              </w:rPr>
              <w:t xml:space="preserve"> pilot, and this appliance </w:t>
            </w:r>
            <w:r>
              <w:rPr>
                <w:sz w:val="22"/>
              </w:rPr>
              <w:t xml:space="preserve">incurs </w:t>
            </w:r>
            <w:r w:rsidRPr="009F4CB5" w:rsidR="00E60C39">
              <w:rPr>
                <w:sz w:val="22"/>
              </w:rPr>
              <w:t xml:space="preserve">electric load over the course of one full billing cycle. </w:t>
            </w:r>
          </w:p>
        </w:tc>
      </w:tr>
      <w:tr w:rsidR="00294B6D">
        <w:tc>
          <w:tcPr>
            <w:tcW w:w="4675" w:type="dxa"/>
            <w:vMerge/>
          </w:tcPr>
          <w:p w:rsidRPr="00500446" w:rsidR="00E62EBA" w:rsidP="72B73081" w:rsidRDefault="00E62EBA">
            <w:pPr>
              <w:rPr>
                <w:sz w:val="22"/>
              </w:rPr>
            </w:pPr>
          </w:p>
        </w:tc>
        <w:tc>
          <w:tcPr>
            <w:tcW w:w="4675" w:type="dxa"/>
          </w:tcPr>
          <w:p w:rsidRPr="00500446" w:rsidR="00E62EBA" w:rsidP="002C0382" w:rsidRDefault="00E62EBA">
            <w:pPr>
              <w:ind w:left="360" w:firstLine="0"/>
              <w:rPr>
                <w:sz w:val="22"/>
              </w:rPr>
            </w:pPr>
            <w:r>
              <w:rPr>
                <w:sz w:val="22"/>
              </w:rPr>
              <w:t>Bill protection discount and transitional community solar discount</w:t>
            </w:r>
            <w:r w:rsidR="00474052">
              <w:rPr>
                <w:sz w:val="22"/>
              </w:rPr>
              <w:t xml:space="preserve"> </w:t>
            </w:r>
            <w:r>
              <w:rPr>
                <w:sz w:val="22"/>
              </w:rPr>
              <w:t xml:space="preserve">shall be associated with </w:t>
            </w:r>
            <w:r w:rsidR="00C668A0">
              <w:rPr>
                <w:sz w:val="22"/>
              </w:rPr>
              <w:t>the customer service agreement</w:t>
            </w:r>
            <w:r>
              <w:rPr>
                <w:sz w:val="22"/>
              </w:rPr>
              <w:t xml:space="preserve"> at the time of enrollment. If </w:t>
            </w:r>
            <w:r w:rsidR="00C668A0">
              <w:rPr>
                <w:sz w:val="22"/>
              </w:rPr>
              <w:t xml:space="preserve">the customer service agreement changes </w:t>
            </w:r>
            <w:r>
              <w:rPr>
                <w:sz w:val="22"/>
              </w:rPr>
              <w:t>during the 10-year bill protection period, the bill protection discount and transitional community solar discount shall be terminated. The customer</w:t>
            </w:r>
            <w:r w:rsidR="00C668A0">
              <w:rPr>
                <w:sz w:val="22"/>
              </w:rPr>
              <w:t xml:space="preserve"> with a different service agreement </w:t>
            </w:r>
            <w:r>
              <w:rPr>
                <w:sz w:val="22"/>
              </w:rPr>
              <w:t>moving into the house with the electrification treatment shall not receive a bill protection discount.</w:t>
            </w:r>
          </w:p>
        </w:tc>
      </w:tr>
      <w:tr w:rsidR="00294B6D">
        <w:tc>
          <w:tcPr>
            <w:tcW w:w="4675" w:type="dxa"/>
            <w:vMerge w:val="restart"/>
          </w:tcPr>
          <w:p w:rsidRPr="006D5240" w:rsidR="005F368D" w:rsidP="006D5240" w:rsidRDefault="005F368D">
            <w:pPr>
              <w:ind w:left="0" w:firstLine="0"/>
              <w:rPr>
                <w:szCs w:val="26"/>
              </w:rPr>
            </w:pPr>
            <w:r w:rsidRPr="006D5240">
              <w:rPr>
                <w:szCs w:val="26"/>
              </w:rPr>
              <w:t>Bill Protection Evaluation</w:t>
            </w:r>
          </w:p>
        </w:tc>
        <w:tc>
          <w:tcPr>
            <w:tcW w:w="4675" w:type="dxa"/>
          </w:tcPr>
          <w:p w:rsidRPr="00500446" w:rsidR="005F368D" w:rsidP="002C0382" w:rsidRDefault="005F368D">
            <w:pPr>
              <w:ind w:left="360" w:firstLine="0"/>
              <w:rPr>
                <w:sz w:val="22"/>
              </w:rPr>
            </w:pPr>
            <w:r>
              <w:rPr>
                <w:sz w:val="22"/>
              </w:rPr>
              <w:t>The bill protection evaluation shall</w:t>
            </w:r>
            <w:r w:rsidR="004E054E">
              <w:rPr>
                <w:sz w:val="22"/>
              </w:rPr>
              <w:t>, at a minimum</w:t>
            </w:r>
            <w:r>
              <w:rPr>
                <w:sz w:val="22"/>
              </w:rPr>
              <w:t>:</w:t>
            </w:r>
          </w:p>
        </w:tc>
      </w:tr>
      <w:tr w:rsidR="00294B6D">
        <w:tc>
          <w:tcPr>
            <w:tcW w:w="4675" w:type="dxa"/>
            <w:vMerge/>
          </w:tcPr>
          <w:p w:rsidRPr="00500446" w:rsidR="008E5E33" w:rsidP="72B73081" w:rsidRDefault="008E5E33">
            <w:pPr>
              <w:rPr>
                <w:sz w:val="22"/>
              </w:rPr>
            </w:pPr>
          </w:p>
        </w:tc>
        <w:tc>
          <w:tcPr>
            <w:tcW w:w="4675" w:type="dxa"/>
          </w:tcPr>
          <w:p w:rsidRPr="005C7E54" w:rsidR="008E5E33" w:rsidP="002C0382" w:rsidRDefault="00DF460C">
            <w:pPr>
              <w:pStyle w:val="paragraph"/>
              <w:spacing w:before="0" w:beforeAutospacing="0" w:after="0" w:afterAutospacing="0"/>
              <w:ind w:firstLine="0"/>
              <w:textAlignment w:val="baseline"/>
              <w:rPr>
                <w:rFonts w:ascii="Palatino" w:hAnsi="Palatino"/>
                <w:sz w:val="22"/>
                <w:szCs w:val="22"/>
              </w:rPr>
            </w:pPr>
            <w:r>
              <w:rPr>
                <w:rFonts w:ascii="Palatino" w:hAnsi="Palatino"/>
                <w:sz w:val="22"/>
                <w:szCs w:val="22"/>
              </w:rPr>
              <w:t xml:space="preserve">Analyze </w:t>
            </w:r>
            <w:r w:rsidR="0047746F">
              <w:rPr>
                <w:rFonts w:ascii="Palatino" w:hAnsi="Palatino"/>
                <w:sz w:val="22"/>
                <w:szCs w:val="22"/>
              </w:rPr>
              <w:t xml:space="preserve">total energy costs </w:t>
            </w:r>
            <w:r w:rsidR="00052139">
              <w:rPr>
                <w:rFonts w:ascii="Palatino" w:hAnsi="Palatino"/>
                <w:sz w:val="22"/>
                <w:szCs w:val="22"/>
              </w:rPr>
              <w:t xml:space="preserve">for all pilot participants </w:t>
            </w:r>
            <w:r w:rsidR="00A200DC">
              <w:rPr>
                <w:rFonts w:ascii="Palatino" w:hAnsi="Palatino"/>
                <w:sz w:val="22"/>
                <w:szCs w:val="22"/>
              </w:rPr>
              <w:t xml:space="preserve">who have received </w:t>
            </w:r>
            <w:r w:rsidR="00A308EF">
              <w:rPr>
                <w:rFonts w:ascii="Palatino" w:hAnsi="Palatino"/>
                <w:sz w:val="22"/>
                <w:szCs w:val="22"/>
              </w:rPr>
              <w:t xml:space="preserve">at least 24 </w:t>
            </w:r>
            <w:r w:rsidR="00B25448">
              <w:rPr>
                <w:rFonts w:ascii="Palatino" w:hAnsi="Palatino"/>
                <w:sz w:val="22"/>
                <w:szCs w:val="22"/>
              </w:rPr>
              <w:t xml:space="preserve">consecutive months of </w:t>
            </w:r>
            <w:r w:rsidR="00375592">
              <w:rPr>
                <w:rFonts w:ascii="Palatino" w:hAnsi="Palatino"/>
                <w:sz w:val="22"/>
                <w:szCs w:val="22"/>
              </w:rPr>
              <w:t xml:space="preserve">electricity bills </w:t>
            </w:r>
            <w:r w:rsidR="004F0440">
              <w:rPr>
                <w:rFonts w:ascii="Palatino" w:hAnsi="Palatino"/>
                <w:sz w:val="22"/>
                <w:szCs w:val="22"/>
              </w:rPr>
              <w:t>with a bill protection discount</w:t>
            </w:r>
            <w:r w:rsidR="006A4544">
              <w:rPr>
                <w:rFonts w:ascii="Palatino" w:hAnsi="Palatino"/>
                <w:sz w:val="22"/>
                <w:szCs w:val="22"/>
              </w:rPr>
              <w:t xml:space="preserve"> prior to advice letter filing date</w:t>
            </w:r>
          </w:p>
        </w:tc>
      </w:tr>
      <w:tr w:rsidR="00294B6D">
        <w:tc>
          <w:tcPr>
            <w:tcW w:w="4675" w:type="dxa"/>
            <w:vMerge/>
          </w:tcPr>
          <w:p w:rsidRPr="00500446" w:rsidR="00317A7E" w:rsidP="72B73081" w:rsidRDefault="00317A7E">
            <w:pPr>
              <w:rPr>
                <w:sz w:val="22"/>
              </w:rPr>
            </w:pPr>
          </w:p>
        </w:tc>
        <w:tc>
          <w:tcPr>
            <w:tcW w:w="4675" w:type="dxa"/>
          </w:tcPr>
          <w:p w:rsidRPr="005C7E54" w:rsidR="00317A7E" w:rsidP="005C7E54" w:rsidRDefault="001B7B60">
            <w:pPr>
              <w:pStyle w:val="paragraph"/>
              <w:spacing w:before="0" w:beforeAutospacing="0" w:after="0" w:afterAutospacing="0"/>
              <w:ind w:firstLine="0"/>
              <w:textAlignment w:val="baseline"/>
              <w:rPr>
                <w:rFonts w:ascii="Palatino" w:hAnsi="Palatino"/>
                <w:sz w:val="22"/>
                <w:szCs w:val="22"/>
              </w:rPr>
            </w:pPr>
            <w:r>
              <w:rPr>
                <w:rFonts w:ascii="Palatino" w:hAnsi="Palatino"/>
                <w:sz w:val="22"/>
                <w:szCs w:val="22"/>
              </w:rPr>
              <w:t xml:space="preserve">Base pre-pilot </w:t>
            </w:r>
            <w:r w:rsidR="008A3019">
              <w:rPr>
                <w:rFonts w:ascii="Palatino" w:hAnsi="Palatino"/>
                <w:sz w:val="22"/>
                <w:szCs w:val="22"/>
              </w:rPr>
              <w:t xml:space="preserve">energy costs </w:t>
            </w:r>
            <w:r w:rsidR="00A870B8">
              <w:rPr>
                <w:rFonts w:ascii="Palatino" w:hAnsi="Palatino"/>
                <w:sz w:val="22"/>
                <w:szCs w:val="22"/>
              </w:rPr>
              <w:t xml:space="preserve">on propane bills voluntarily </w:t>
            </w:r>
            <w:r w:rsidR="005E7695">
              <w:rPr>
                <w:rFonts w:ascii="Palatino" w:hAnsi="Palatino"/>
                <w:sz w:val="22"/>
                <w:szCs w:val="22"/>
              </w:rPr>
              <w:t xml:space="preserve">submitted </w:t>
            </w:r>
            <w:r w:rsidR="009761BB">
              <w:rPr>
                <w:rFonts w:ascii="Palatino" w:hAnsi="Palatino"/>
                <w:sz w:val="22"/>
                <w:szCs w:val="22"/>
              </w:rPr>
              <w:t xml:space="preserve">by participants and </w:t>
            </w:r>
            <w:r w:rsidR="0035758F">
              <w:rPr>
                <w:rFonts w:ascii="Palatino" w:hAnsi="Palatino"/>
                <w:sz w:val="22"/>
                <w:szCs w:val="22"/>
              </w:rPr>
              <w:t xml:space="preserve">12 months of </w:t>
            </w:r>
            <w:r w:rsidR="0016585B">
              <w:rPr>
                <w:rFonts w:ascii="Palatino" w:hAnsi="Palatino"/>
                <w:sz w:val="22"/>
                <w:szCs w:val="22"/>
              </w:rPr>
              <w:t xml:space="preserve">actual pre-pilot </w:t>
            </w:r>
            <w:r w:rsidR="00205D31">
              <w:rPr>
                <w:rFonts w:ascii="Palatino" w:hAnsi="Palatino"/>
                <w:sz w:val="22"/>
                <w:szCs w:val="22"/>
              </w:rPr>
              <w:t>electricity bills</w:t>
            </w:r>
          </w:p>
        </w:tc>
      </w:tr>
      <w:tr w:rsidR="00294B6D">
        <w:tc>
          <w:tcPr>
            <w:tcW w:w="4675" w:type="dxa"/>
            <w:vMerge/>
          </w:tcPr>
          <w:p w:rsidRPr="00500446" w:rsidR="00317A7E" w:rsidP="72B73081" w:rsidRDefault="00317A7E">
            <w:pPr>
              <w:rPr>
                <w:sz w:val="22"/>
              </w:rPr>
            </w:pPr>
          </w:p>
        </w:tc>
        <w:tc>
          <w:tcPr>
            <w:tcW w:w="4675" w:type="dxa"/>
          </w:tcPr>
          <w:p w:rsidRPr="005C7E54" w:rsidR="00317A7E" w:rsidRDefault="004E054E">
            <w:pPr>
              <w:pStyle w:val="paragraph"/>
              <w:spacing w:before="0" w:beforeAutospacing="0" w:after="0" w:afterAutospacing="0"/>
              <w:ind w:firstLine="0"/>
              <w:contextualSpacing/>
              <w:textAlignment w:val="baseline"/>
              <w:rPr>
                <w:rFonts w:ascii="Palatino" w:hAnsi="Palatino"/>
                <w:sz w:val="22"/>
                <w:szCs w:val="22"/>
              </w:rPr>
            </w:pPr>
            <w:r>
              <w:rPr>
                <w:rFonts w:ascii="Palatino" w:hAnsi="Palatino"/>
                <w:sz w:val="22"/>
                <w:szCs w:val="22"/>
              </w:rPr>
              <w:t xml:space="preserve">Base post-pilot </w:t>
            </w:r>
            <w:r w:rsidR="00CA45BB">
              <w:rPr>
                <w:rFonts w:ascii="Palatino" w:hAnsi="Palatino"/>
                <w:sz w:val="22"/>
                <w:szCs w:val="22"/>
              </w:rPr>
              <w:t xml:space="preserve">energy costs on </w:t>
            </w:r>
            <w:r w:rsidR="00BE519C">
              <w:rPr>
                <w:rFonts w:ascii="Palatino" w:hAnsi="Palatino"/>
                <w:sz w:val="22"/>
                <w:szCs w:val="22"/>
              </w:rPr>
              <w:t>24 consecutive months of electricity bills</w:t>
            </w:r>
            <w:r w:rsidR="00847E48">
              <w:rPr>
                <w:rFonts w:ascii="Palatino" w:hAnsi="Palatino"/>
                <w:sz w:val="22"/>
                <w:szCs w:val="22"/>
              </w:rPr>
              <w:t xml:space="preserve">, annualized to </w:t>
            </w:r>
            <w:r w:rsidR="00F41FD2">
              <w:rPr>
                <w:rFonts w:ascii="Palatino" w:hAnsi="Palatino"/>
                <w:sz w:val="22"/>
                <w:szCs w:val="22"/>
              </w:rPr>
              <w:t xml:space="preserve">compare to pre-pilot </w:t>
            </w:r>
            <w:r w:rsidR="004410D3">
              <w:rPr>
                <w:rFonts w:ascii="Palatino" w:hAnsi="Palatino"/>
                <w:sz w:val="22"/>
                <w:szCs w:val="22"/>
              </w:rPr>
              <w:t>total energy costs</w:t>
            </w:r>
            <w:r w:rsidR="00CE5C56">
              <w:rPr>
                <w:rFonts w:ascii="Palatino Linotype" w:hAnsi="Palatino Linotype"/>
                <w:sz w:val="22"/>
                <w:szCs w:val="22"/>
              </w:rPr>
              <w:t>; t</w:t>
            </w:r>
            <w:r w:rsidRPr="00670412" w:rsidR="00912E49">
              <w:rPr>
                <w:rFonts w:ascii="Palatino Linotype" w:hAnsi="Palatino Linotype"/>
                <w:sz w:val="22"/>
                <w:szCs w:val="22"/>
              </w:rPr>
              <w:t>hese costs will also include any measurable costs related to residual propane usage</w:t>
            </w:r>
          </w:p>
        </w:tc>
      </w:tr>
      <w:tr w:rsidR="00294B6D">
        <w:tc>
          <w:tcPr>
            <w:tcW w:w="4675" w:type="dxa"/>
            <w:vMerge/>
          </w:tcPr>
          <w:p w:rsidRPr="00500446" w:rsidR="00317A7E" w:rsidP="72B73081" w:rsidRDefault="00317A7E">
            <w:pPr>
              <w:rPr>
                <w:sz w:val="22"/>
              </w:rPr>
            </w:pPr>
          </w:p>
        </w:tc>
        <w:tc>
          <w:tcPr>
            <w:tcW w:w="4675" w:type="dxa"/>
          </w:tcPr>
          <w:p w:rsidR="00317A7E" w:rsidP="005C7E54" w:rsidRDefault="00317A7E">
            <w:pPr>
              <w:pStyle w:val="paragraph"/>
              <w:spacing w:before="0" w:beforeAutospacing="0" w:after="0" w:afterAutospacing="0"/>
              <w:ind w:firstLine="0"/>
              <w:textAlignment w:val="baseline"/>
              <w:rPr>
                <w:rStyle w:val="normaltextrun"/>
                <w:rFonts w:ascii="Palatino" w:hAnsi="Palatino"/>
                <w:sz w:val="22"/>
                <w:szCs w:val="22"/>
              </w:rPr>
            </w:pPr>
            <w:r w:rsidRPr="005C7E54">
              <w:rPr>
                <w:rStyle w:val="normaltextrun"/>
                <w:rFonts w:ascii="Palatino" w:hAnsi="Palatino"/>
                <w:sz w:val="22"/>
                <w:szCs w:val="22"/>
              </w:rPr>
              <w:t>Analyze collected propane bill data and clearly explain any propane modeling included in the pre-pilot cost analysis</w:t>
            </w:r>
          </w:p>
        </w:tc>
      </w:tr>
      <w:tr w:rsidR="00294B6D">
        <w:tc>
          <w:tcPr>
            <w:tcW w:w="4675" w:type="dxa"/>
            <w:vMerge/>
          </w:tcPr>
          <w:p w:rsidRPr="00500446" w:rsidR="00317A7E" w:rsidP="72B73081" w:rsidRDefault="00317A7E">
            <w:pPr>
              <w:rPr>
                <w:sz w:val="22"/>
              </w:rPr>
            </w:pPr>
          </w:p>
        </w:tc>
        <w:tc>
          <w:tcPr>
            <w:tcW w:w="4675" w:type="dxa"/>
          </w:tcPr>
          <w:p w:rsidR="00317A7E" w:rsidP="00757302" w:rsidRDefault="00317A7E">
            <w:pPr>
              <w:pStyle w:val="paragraph"/>
              <w:spacing w:before="0" w:beforeAutospacing="0" w:after="0" w:afterAutospacing="0"/>
              <w:ind w:firstLine="0"/>
              <w:textAlignment w:val="baseline"/>
              <w:rPr>
                <w:rStyle w:val="normaltextrun"/>
                <w:rFonts w:ascii="Palatino" w:hAnsi="Palatino"/>
                <w:sz w:val="22"/>
                <w:szCs w:val="22"/>
              </w:rPr>
            </w:pPr>
            <w:r w:rsidRPr="005C7E54">
              <w:rPr>
                <w:rStyle w:val="normaltextrun"/>
                <w:rFonts w:ascii="Palatino" w:hAnsi="Palatino"/>
                <w:sz w:val="22"/>
                <w:szCs w:val="22"/>
              </w:rPr>
              <w:t>Reference anonymized and aggregated post-pilot electricity bill data, using as much bill data that is available at the time of the advice letter filing</w:t>
            </w:r>
          </w:p>
        </w:tc>
      </w:tr>
      <w:tr w:rsidR="00294B6D">
        <w:tc>
          <w:tcPr>
            <w:tcW w:w="4675" w:type="dxa"/>
            <w:vMerge/>
          </w:tcPr>
          <w:p w:rsidRPr="00500446" w:rsidR="00912E49" w:rsidP="72B73081" w:rsidRDefault="00912E49">
            <w:pPr>
              <w:rPr>
                <w:sz w:val="22"/>
              </w:rPr>
            </w:pPr>
          </w:p>
        </w:tc>
        <w:tc>
          <w:tcPr>
            <w:tcW w:w="4675" w:type="dxa"/>
            <w:shd w:val="clear" w:color="auto" w:fill="auto"/>
          </w:tcPr>
          <w:p w:rsidRPr="00912E49" w:rsidR="00912E49" w:rsidRDefault="00670412">
            <w:pPr>
              <w:pStyle w:val="ListParagraph"/>
              <w:rPr>
                <w:rStyle w:val="normaltextrun"/>
                <w:rFonts w:cs="Times New Roman"/>
                <w:sz w:val="22"/>
                <w:szCs w:val="20"/>
              </w:rPr>
            </w:pPr>
            <w:r>
              <w:rPr>
                <w:sz w:val="22"/>
                <w:szCs w:val="20"/>
              </w:rPr>
              <w:t xml:space="preserve">      </w:t>
            </w:r>
            <w:r w:rsidRPr="00912E49" w:rsidR="00912E49">
              <w:rPr>
                <w:sz w:val="22"/>
                <w:szCs w:val="20"/>
              </w:rPr>
              <w:t>Leverage findings from the Data Gathering Working Group, established in Decision (D.)18-08-019, as appropriate</w:t>
            </w:r>
          </w:p>
        </w:tc>
      </w:tr>
      <w:tr w:rsidR="00294B6D">
        <w:tc>
          <w:tcPr>
            <w:tcW w:w="4675" w:type="dxa"/>
            <w:vMerge/>
          </w:tcPr>
          <w:p w:rsidRPr="00500446" w:rsidR="00912E49" w:rsidP="72B73081" w:rsidRDefault="00912E49">
            <w:pPr>
              <w:rPr>
                <w:sz w:val="22"/>
              </w:rPr>
            </w:pPr>
          </w:p>
        </w:tc>
        <w:tc>
          <w:tcPr>
            <w:tcW w:w="4675" w:type="dxa"/>
            <w:shd w:val="clear" w:color="auto" w:fill="auto"/>
          </w:tcPr>
          <w:p w:rsidRPr="00912E49" w:rsidR="00912E49" w:rsidP="00757302" w:rsidRDefault="00912E49">
            <w:pPr>
              <w:pStyle w:val="paragraph"/>
              <w:spacing w:before="0" w:beforeAutospacing="0" w:after="0" w:afterAutospacing="0"/>
              <w:textAlignment w:val="baseline"/>
              <w:rPr>
                <w:rStyle w:val="normaltextrun"/>
                <w:rFonts w:ascii="Palatino" w:hAnsi="Palatino"/>
                <w:sz w:val="22"/>
                <w:szCs w:val="22"/>
              </w:rPr>
            </w:pPr>
            <w:r>
              <w:rPr>
                <w:rFonts w:ascii="Palatino" w:hAnsi="Palatino"/>
                <w:sz w:val="22"/>
                <w:szCs w:val="22"/>
              </w:rPr>
              <w:t xml:space="preserve">      </w:t>
            </w:r>
            <w:r w:rsidRPr="00912E49">
              <w:rPr>
                <w:rFonts w:ascii="Palatino" w:hAnsi="Palatino"/>
                <w:sz w:val="22"/>
                <w:szCs w:val="22"/>
              </w:rPr>
              <w:t>To the degree possible, track and mitigate the influence of annual temperature variability</w:t>
            </w:r>
          </w:p>
        </w:tc>
      </w:tr>
      <w:tr w:rsidR="00294B6D">
        <w:tc>
          <w:tcPr>
            <w:tcW w:w="4675" w:type="dxa"/>
            <w:vMerge/>
          </w:tcPr>
          <w:p w:rsidRPr="00500446" w:rsidR="00317A7E" w:rsidP="72B73081" w:rsidRDefault="00317A7E">
            <w:pPr>
              <w:rPr>
                <w:sz w:val="22"/>
              </w:rPr>
            </w:pPr>
          </w:p>
        </w:tc>
        <w:tc>
          <w:tcPr>
            <w:tcW w:w="4675" w:type="dxa"/>
          </w:tcPr>
          <w:p w:rsidR="00317A7E" w:rsidP="00757302" w:rsidRDefault="00317A7E">
            <w:pPr>
              <w:pStyle w:val="paragraph"/>
              <w:spacing w:before="0" w:beforeAutospacing="0" w:after="0" w:afterAutospacing="0"/>
              <w:ind w:firstLine="0"/>
              <w:textAlignment w:val="baseline"/>
              <w:rPr>
                <w:rStyle w:val="normaltextrun"/>
                <w:rFonts w:ascii="Palatino" w:hAnsi="Palatino"/>
                <w:sz w:val="22"/>
                <w:szCs w:val="22"/>
              </w:rPr>
            </w:pPr>
            <w:r w:rsidRPr="005C7E54">
              <w:rPr>
                <w:rStyle w:val="normaltextrun"/>
                <w:rFonts w:ascii="Palatino" w:hAnsi="Palatino"/>
                <w:sz w:val="22"/>
                <w:szCs w:val="22"/>
              </w:rPr>
              <w:t>Discuss any trends that</w:t>
            </w:r>
            <w:r w:rsidRPr="005C7E54">
              <w:rPr>
                <w:rStyle w:val="apple-converted-space"/>
                <w:rFonts w:ascii="Palatino" w:hAnsi="Palatino"/>
                <w:sz w:val="22"/>
                <w:szCs w:val="22"/>
              </w:rPr>
              <w:t> </w:t>
            </w:r>
            <w:r w:rsidRPr="005C7E54">
              <w:rPr>
                <w:rStyle w:val="normaltextrun"/>
                <w:rFonts w:ascii="Palatino" w:hAnsi="Palatino"/>
                <w:sz w:val="22"/>
                <w:szCs w:val="22"/>
              </w:rPr>
              <w:t>indicate</w:t>
            </w:r>
            <w:r w:rsidRPr="005C7E54">
              <w:rPr>
                <w:rStyle w:val="apple-converted-space"/>
                <w:rFonts w:ascii="Palatino" w:hAnsi="Palatino"/>
                <w:sz w:val="22"/>
                <w:szCs w:val="22"/>
              </w:rPr>
              <w:t> </w:t>
            </w:r>
            <w:r w:rsidRPr="005C7E54">
              <w:rPr>
                <w:rStyle w:val="normaltextrun"/>
                <w:rFonts w:ascii="Palatino" w:hAnsi="Palatino"/>
                <w:sz w:val="22"/>
                <w:szCs w:val="22"/>
              </w:rPr>
              <w:t>that energy cost savings increase over time as customers acclimate to new appliances</w:t>
            </w:r>
          </w:p>
        </w:tc>
      </w:tr>
      <w:tr w:rsidR="00294B6D">
        <w:tc>
          <w:tcPr>
            <w:tcW w:w="4675" w:type="dxa"/>
            <w:vMerge/>
            <w:tcBorders>
              <w:bottom w:val="nil"/>
            </w:tcBorders>
          </w:tcPr>
          <w:p w:rsidRPr="00500446" w:rsidR="00317A7E" w:rsidP="72B73081" w:rsidRDefault="00317A7E">
            <w:pPr>
              <w:rPr>
                <w:sz w:val="22"/>
              </w:rPr>
            </w:pPr>
          </w:p>
        </w:tc>
        <w:tc>
          <w:tcPr>
            <w:tcW w:w="4675" w:type="dxa"/>
          </w:tcPr>
          <w:p w:rsidRPr="00643C3E" w:rsidR="00317A7E" w:rsidP="00757302" w:rsidRDefault="00317A7E">
            <w:pPr>
              <w:pStyle w:val="paragraph"/>
              <w:spacing w:before="0" w:beforeAutospacing="0" w:after="0" w:afterAutospacing="0"/>
              <w:ind w:firstLine="0"/>
              <w:textAlignment w:val="baseline"/>
              <w:rPr>
                <w:rStyle w:val="normaltextrun"/>
                <w:rFonts w:ascii="Palatino" w:hAnsi="Palatino"/>
                <w:sz w:val="22"/>
                <w:szCs w:val="22"/>
                <w:highlight w:val="yellow"/>
              </w:rPr>
            </w:pPr>
            <w:r w:rsidRPr="005C7E54">
              <w:rPr>
                <w:rStyle w:val="normaltextrun"/>
                <w:rFonts w:ascii="Palatino" w:hAnsi="Palatino"/>
                <w:sz w:val="22"/>
                <w:szCs w:val="22"/>
              </w:rPr>
              <w:t>Analyze whether, and to what degree, participants experience lower energy cost savings if they do not install both a heat pump space conditioning unit and heat pump water heater,</w:t>
            </w:r>
            <w:r w:rsidRPr="005C7E54">
              <w:rPr>
                <w:rStyle w:val="apple-converted-space"/>
                <w:rFonts w:ascii="Palatino" w:hAnsi="Palatino"/>
                <w:sz w:val="22"/>
                <w:szCs w:val="22"/>
              </w:rPr>
              <w:t> </w:t>
            </w:r>
            <w:r w:rsidRPr="005C7E54">
              <w:rPr>
                <w:rStyle w:val="normaltextrun"/>
                <w:rFonts w:ascii="Palatino" w:hAnsi="Palatino"/>
                <w:sz w:val="22"/>
                <w:szCs w:val="22"/>
              </w:rPr>
              <w:t>and include</w:t>
            </w:r>
            <w:r w:rsidRPr="005C7E54">
              <w:rPr>
                <w:rStyle w:val="apple-converted-space"/>
                <w:rFonts w:ascii="Palatino" w:hAnsi="Palatino"/>
                <w:sz w:val="22"/>
                <w:szCs w:val="22"/>
              </w:rPr>
              <w:t> </w:t>
            </w:r>
            <w:r w:rsidRPr="005C7E54">
              <w:rPr>
                <w:rStyle w:val="normaltextrun"/>
                <w:rFonts w:ascii="Palatino" w:hAnsi="Palatino"/>
                <w:sz w:val="22"/>
                <w:szCs w:val="22"/>
              </w:rPr>
              <w:t>propane usage in post-pilot costs if applicable</w:t>
            </w:r>
          </w:p>
        </w:tc>
      </w:tr>
      <w:tr w:rsidR="00294B6D">
        <w:tc>
          <w:tcPr>
            <w:tcW w:w="4675" w:type="dxa"/>
            <w:tcBorders>
              <w:top w:val="nil"/>
              <w:left w:val="single" w:color="auto" w:sz="4" w:space="0"/>
              <w:bottom w:val="nil"/>
              <w:right w:val="single" w:color="auto" w:sz="4" w:space="0"/>
            </w:tcBorders>
          </w:tcPr>
          <w:p w:rsidRPr="00500446" w:rsidR="00317A7E" w:rsidP="72B73081" w:rsidRDefault="00317A7E">
            <w:pPr>
              <w:rPr>
                <w:sz w:val="22"/>
              </w:rPr>
            </w:pPr>
          </w:p>
        </w:tc>
        <w:tc>
          <w:tcPr>
            <w:tcW w:w="4675" w:type="dxa"/>
            <w:tcBorders>
              <w:left w:val="single" w:color="auto" w:sz="4" w:space="0"/>
            </w:tcBorders>
          </w:tcPr>
          <w:p w:rsidRPr="00643C3E" w:rsidR="00317A7E" w:rsidP="00757302" w:rsidRDefault="004410D3">
            <w:pPr>
              <w:pStyle w:val="paragraph"/>
              <w:spacing w:before="0" w:beforeAutospacing="0" w:after="0" w:afterAutospacing="0"/>
              <w:textAlignment w:val="baseline"/>
              <w:rPr>
                <w:rStyle w:val="normaltextrun"/>
                <w:rFonts w:ascii="Palatino" w:hAnsi="Palatino"/>
                <w:sz w:val="22"/>
                <w:szCs w:val="22"/>
                <w:highlight w:val="yellow"/>
              </w:rPr>
            </w:pPr>
            <w:r>
              <w:rPr>
                <w:rStyle w:val="normaltextrun"/>
                <w:rFonts w:ascii="Palatino" w:hAnsi="Palatino"/>
                <w:sz w:val="22"/>
                <w:szCs w:val="22"/>
              </w:rPr>
              <w:t xml:space="preserve"> </w:t>
            </w:r>
            <w:r>
              <w:rPr>
                <w:rStyle w:val="normaltextrun"/>
              </w:rPr>
              <w:t xml:space="preserve">     </w:t>
            </w:r>
            <w:r w:rsidRPr="005C7E54" w:rsidR="00317A7E">
              <w:rPr>
                <w:rStyle w:val="normaltextrun"/>
                <w:rFonts w:ascii="Palatino" w:hAnsi="Palatino"/>
                <w:sz w:val="22"/>
                <w:szCs w:val="22"/>
              </w:rPr>
              <w:t>Include a detailed explanation of the quantitative analysis used to determine statistical outliers</w:t>
            </w:r>
          </w:p>
        </w:tc>
      </w:tr>
      <w:tr w:rsidR="00294B6D">
        <w:tc>
          <w:tcPr>
            <w:tcW w:w="4675" w:type="dxa"/>
            <w:tcBorders>
              <w:top w:val="nil"/>
            </w:tcBorders>
          </w:tcPr>
          <w:p w:rsidRPr="00500446" w:rsidR="00317A7E" w:rsidP="72B73081" w:rsidRDefault="00317A7E">
            <w:pPr>
              <w:rPr>
                <w:sz w:val="22"/>
              </w:rPr>
            </w:pPr>
          </w:p>
        </w:tc>
        <w:tc>
          <w:tcPr>
            <w:tcW w:w="4675" w:type="dxa"/>
          </w:tcPr>
          <w:p w:rsidRPr="00643C3E" w:rsidR="00317A7E" w:rsidP="00757302" w:rsidRDefault="0019539A">
            <w:pPr>
              <w:pStyle w:val="paragraph"/>
              <w:spacing w:before="0" w:beforeAutospacing="0" w:after="0" w:afterAutospacing="0"/>
              <w:textAlignment w:val="baseline"/>
              <w:rPr>
                <w:rStyle w:val="normaltextrun"/>
                <w:rFonts w:ascii="Palatino" w:hAnsi="Palatino"/>
                <w:sz w:val="22"/>
                <w:szCs w:val="22"/>
                <w:highlight w:val="yellow"/>
              </w:rPr>
            </w:pPr>
            <w:r>
              <w:rPr>
                <w:rStyle w:val="normaltextrun"/>
                <w:rFonts w:ascii="Palatino" w:hAnsi="Palatino"/>
                <w:sz w:val="22"/>
                <w:szCs w:val="22"/>
              </w:rPr>
              <w:t xml:space="preserve">      </w:t>
            </w:r>
            <w:r w:rsidRPr="005C7E54" w:rsidR="00317A7E">
              <w:rPr>
                <w:rStyle w:val="normaltextrun"/>
                <w:rFonts w:ascii="Palatino" w:hAnsi="Palatino"/>
                <w:sz w:val="22"/>
                <w:szCs w:val="22"/>
              </w:rPr>
              <w:t>Include any qualitative justification for why any participants are considered outliers, along with a description of the steps taken to help these participants reduce their energy costs</w:t>
            </w:r>
          </w:p>
        </w:tc>
      </w:tr>
      <w:tr w:rsidR="00294B6D">
        <w:tc>
          <w:tcPr>
            <w:tcW w:w="4675" w:type="dxa"/>
          </w:tcPr>
          <w:p w:rsidRPr="00500446" w:rsidR="00317A7E" w:rsidP="72B73081" w:rsidRDefault="00317A7E">
            <w:pPr>
              <w:rPr>
                <w:sz w:val="22"/>
              </w:rPr>
            </w:pPr>
          </w:p>
        </w:tc>
        <w:tc>
          <w:tcPr>
            <w:tcW w:w="4675" w:type="dxa"/>
          </w:tcPr>
          <w:p w:rsidRPr="00186F7C" w:rsidR="00317A7E" w:rsidP="00757302" w:rsidRDefault="0019539A">
            <w:pPr>
              <w:pStyle w:val="paragraph"/>
              <w:spacing w:before="0" w:beforeAutospacing="0" w:after="0" w:afterAutospacing="0"/>
              <w:textAlignment w:val="baseline"/>
              <w:rPr>
                <w:rStyle w:val="normaltextrun"/>
                <w:rFonts w:ascii="Palatino" w:hAnsi="Palatino"/>
                <w:sz w:val="22"/>
                <w:szCs w:val="22"/>
              </w:rPr>
            </w:pPr>
            <w:r w:rsidRPr="00186F7C">
              <w:rPr>
                <w:rStyle w:val="normaltextrun"/>
                <w:rFonts w:ascii="Palatino" w:hAnsi="Palatino"/>
                <w:sz w:val="22"/>
                <w:szCs w:val="22"/>
              </w:rPr>
              <w:t xml:space="preserve">      </w:t>
            </w:r>
            <w:r w:rsidRPr="00186F7C" w:rsidR="00317A7E">
              <w:rPr>
                <w:rStyle w:val="normaltextrun"/>
                <w:rFonts w:ascii="Palatino" w:hAnsi="Palatino"/>
                <w:sz w:val="22"/>
                <w:szCs w:val="22"/>
              </w:rPr>
              <w:t>Request that the trigger for the 10</w:t>
            </w:r>
            <w:r w:rsidRPr="00186F7C" w:rsidR="00317A7E">
              <w:rPr>
                <w:rStyle w:val="apple-converted-space"/>
                <w:rFonts w:ascii="Palatino" w:hAnsi="Palatino"/>
                <w:sz w:val="22"/>
                <w:szCs w:val="22"/>
              </w:rPr>
              <w:t> </w:t>
            </w:r>
            <w:r w:rsidRPr="00186F7C" w:rsidR="00317A7E">
              <w:rPr>
                <w:rStyle w:val="normaltextrun"/>
                <w:rFonts w:ascii="Palatino" w:hAnsi="Palatino"/>
                <w:sz w:val="22"/>
                <w:szCs w:val="22"/>
              </w:rPr>
              <w:t>percent</w:t>
            </w:r>
            <w:r w:rsidRPr="00186F7C" w:rsidR="00317A7E">
              <w:rPr>
                <w:rStyle w:val="apple-converted-space"/>
                <w:rFonts w:ascii="Palatino" w:hAnsi="Palatino"/>
                <w:sz w:val="22"/>
                <w:szCs w:val="22"/>
              </w:rPr>
              <w:t> </w:t>
            </w:r>
            <w:r w:rsidRPr="00186F7C" w:rsidR="00317A7E">
              <w:rPr>
                <w:rStyle w:val="normaltextrun"/>
                <w:rFonts w:ascii="Palatino" w:hAnsi="Palatino"/>
                <w:sz w:val="22"/>
                <w:szCs w:val="22"/>
              </w:rPr>
              <w:t>discount go into effect if data shows that all participants</w:t>
            </w:r>
            <w:r w:rsidR="00186F7C">
              <w:rPr>
                <w:rStyle w:val="normaltextrun"/>
                <w:rFonts w:ascii="Palatino" w:hAnsi="Palatino"/>
                <w:sz w:val="22"/>
                <w:szCs w:val="22"/>
              </w:rPr>
              <w:t xml:space="preserve"> in the evaluation study</w:t>
            </w:r>
            <w:r w:rsidR="00A40539">
              <w:rPr>
                <w:rStyle w:val="normaltextrun"/>
                <w:rFonts w:ascii="Palatino" w:hAnsi="Palatino"/>
                <w:sz w:val="22"/>
                <w:szCs w:val="22"/>
              </w:rPr>
              <w:t xml:space="preserve"> </w:t>
            </w:r>
            <w:r w:rsidRPr="00186F7C" w:rsidR="00317A7E">
              <w:rPr>
                <w:rStyle w:val="normaltextrun"/>
                <w:rFonts w:ascii="Palatino" w:hAnsi="Palatino"/>
                <w:sz w:val="22"/>
                <w:szCs w:val="22"/>
              </w:rPr>
              <w:t>except statistical outliers have reduced pre-pilot to post-pilot energy costs; or request 20</w:t>
            </w:r>
            <w:r w:rsidRPr="00186F7C" w:rsidR="00317A7E">
              <w:rPr>
                <w:rStyle w:val="apple-converted-space"/>
                <w:rFonts w:ascii="Palatino" w:hAnsi="Palatino"/>
                <w:sz w:val="22"/>
                <w:szCs w:val="22"/>
              </w:rPr>
              <w:t> </w:t>
            </w:r>
            <w:r w:rsidRPr="00186F7C" w:rsidR="00317A7E">
              <w:rPr>
                <w:rStyle w:val="normaltextrun"/>
                <w:rFonts w:ascii="Palatino" w:hAnsi="Palatino"/>
                <w:sz w:val="22"/>
                <w:szCs w:val="22"/>
              </w:rPr>
              <w:t>percent</w:t>
            </w:r>
            <w:r w:rsidRPr="00186F7C" w:rsidR="00317A7E">
              <w:rPr>
                <w:rStyle w:val="apple-converted-space"/>
                <w:rFonts w:ascii="Palatino" w:hAnsi="Palatino"/>
                <w:sz w:val="22"/>
                <w:szCs w:val="22"/>
              </w:rPr>
              <w:t> </w:t>
            </w:r>
            <w:r w:rsidRPr="00186F7C" w:rsidR="00317A7E">
              <w:rPr>
                <w:rStyle w:val="normaltextrun"/>
                <w:rFonts w:ascii="Palatino" w:hAnsi="Palatino"/>
                <w:sz w:val="22"/>
                <w:szCs w:val="22"/>
              </w:rPr>
              <w:t xml:space="preserve">discount be kept in place if data does not demonstrate that all participants </w:t>
            </w:r>
            <w:r w:rsidR="00186F7C">
              <w:rPr>
                <w:rStyle w:val="normaltextrun"/>
                <w:rFonts w:ascii="Palatino" w:hAnsi="Palatino"/>
                <w:sz w:val="22"/>
                <w:szCs w:val="22"/>
              </w:rPr>
              <w:t>in the evaluation study</w:t>
            </w:r>
            <w:r w:rsidR="00A40539">
              <w:rPr>
                <w:rStyle w:val="normaltextrun"/>
                <w:rFonts w:ascii="Palatino" w:hAnsi="Palatino"/>
                <w:sz w:val="22"/>
                <w:szCs w:val="22"/>
              </w:rPr>
              <w:t xml:space="preserve"> </w:t>
            </w:r>
            <w:r w:rsidRPr="00186F7C" w:rsidR="00317A7E">
              <w:rPr>
                <w:rStyle w:val="normaltextrun"/>
                <w:rFonts w:ascii="Palatino" w:hAnsi="Palatino"/>
                <w:sz w:val="22"/>
                <w:szCs w:val="22"/>
              </w:rPr>
              <w:t>except statistical outliers</w:t>
            </w:r>
            <w:r w:rsidR="00A40539">
              <w:rPr>
                <w:rStyle w:val="normaltextrun"/>
                <w:rFonts w:ascii="Palatino" w:hAnsi="Palatino"/>
                <w:sz w:val="22"/>
                <w:szCs w:val="22"/>
              </w:rPr>
              <w:t xml:space="preserve"> </w:t>
            </w:r>
            <w:r w:rsidRPr="00186F7C" w:rsidR="00317A7E">
              <w:rPr>
                <w:rStyle w:val="normaltextrun"/>
                <w:rFonts w:ascii="Palatino" w:hAnsi="Palatino"/>
                <w:sz w:val="22"/>
                <w:szCs w:val="22"/>
              </w:rPr>
              <w:t>have reduced pre-pilot to post-pilot energy costs</w:t>
            </w:r>
          </w:p>
        </w:tc>
      </w:tr>
    </w:tbl>
    <w:p w:rsidR="72B73081" w:rsidP="72B73081" w:rsidRDefault="72B73081">
      <w:pPr>
        <w:rPr>
          <w:sz w:val="30"/>
          <w:szCs w:val="30"/>
        </w:rPr>
      </w:pPr>
    </w:p>
    <w:p w:rsidR="00294B6D" w:rsidRDefault="00294B6D">
      <w:pPr>
        <w:rPr>
          <w:sz w:val="22"/>
          <w:szCs w:val="22"/>
        </w:rPr>
      </w:pPr>
    </w:p>
    <w:sectPr w:rsidR="00294B6D">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B6A" w:rsidRDefault="00A46B6A">
      <w:r>
        <w:separator/>
      </w:r>
    </w:p>
  </w:endnote>
  <w:endnote w:type="continuationSeparator" w:id="0">
    <w:p w:rsidR="00A46B6A" w:rsidRDefault="00A46B6A">
      <w:r>
        <w:continuationSeparator/>
      </w:r>
    </w:p>
  </w:endnote>
  <w:endnote w:type="continuationNotice" w:id="1">
    <w:p w:rsidR="00A46B6A" w:rsidRDefault="00A46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Palatino">
    <w:altName w:val="Book Antiqua"/>
    <w:panose1 w:val="020205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F0" w:rsidRDefault="008502F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F0" w:rsidRDefault="003337A4" w:rsidP="000342F6">
    <w:pPr>
      <w:pStyle w:val="Footer"/>
      <w:tabs>
        <w:tab w:val="clear" w:pos="4320"/>
        <w:tab w:val="left" w:pos="660"/>
        <w:tab w:val="center" w:pos="4680"/>
        <w:tab w:val="left" w:pos="5655"/>
      </w:tabs>
      <w:jc w:val="left"/>
    </w:pPr>
    <w:r w:rsidRPr="003337A4">
      <w:rPr>
        <w:rFonts w:ascii="Tahoma" w:hAnsi="Tahoma" w:cs="Tahoma"/>
        <w:sz w:val="24"/>
        <w:szCs w:val="17"/>
      </w:rPr>
      <w:t>322776695</w:t>
    </w:r>
    <w:r w:rsidR="008502F0">
      <w:rPr>
        <w:rStyle w:val="PageNumber"/>
      </w:rPr>
      <w:tab/>
      <w:t xml:space="preserve">  </w:t>
    </w:r>
    <w:r w:rsidR="008502F0">
      <w:rPr>
        <w:rStyle w:val="PageNumber"/>
      </w:rPr>
      <w:fldChar w:fldCharType="begin"/>
    </w:r>
    <w:r w:rsidR="008502F0">
      <w:rPr>
        <w:rStyle w:val="PageNumber"/>
      </w:rPr>
      <w:instrText xml:space="preserve"> PAGE </w:instrText>
    </w:r>
    <w:r w:rsidR="008502F0">
      <w:rPr>
        <w:rStyle w:val="PageNumber"/>
      </w:rPr>
      <w:fldChar w:fldCharType="separate"/>
    </w:r>
    <w:r w:rsidR="008502F0">
      <w:rPr>
        <w:rStyle w:val="PageNumber"/>
        <w:noProof/>
      </w:rPr>
      <w:t>1</w:t>
    </w:r>
    <w:r w:rsidR="008502F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B6A" w:rsidRDefault="00A46B6A">
      <w:r>
        <w:separator/>
      </w:r>
    </w:p>
  </w:footnote>
  <w:footnote w:type="continuationSeparator" w:id="0">
    <w:p w:rsidR="00A46B6A" w:rsidRDefault="00A46B6A">
      <w:r>
        <w:continuationSeparator/>
      </w:r>
    </w:p>
  </w:footnote>
  <w:footnote w:type="continuationNotice" w:id="1">
    <w:p w:rsidR="00A46B6A" w:rsidRDefault="00A46B6A">
      <w:pPr>
        <w:rPr>
          <w:sz w:val="22"/>
        </w:rPr>
      </w:pPr>
    </w:p>
    <w:p w:rsidR="00A46B6A" w:rsidRDefault="00A46B6A">
      <w:pPr>
        <w:jc w:val="right"/>
        <w:rPr>
          <w:sz w:val="22"/>
        </w:rPr>
      </w:pPr>
      <w:r>
        <w:rPr>
          <w:i/>
          <w:sz w:val="22"/>
        </w:rPr>
        <w:t>Footnote continued on next page</w:t>
      </w:r>
    </w:p>
  </w:footnote>
  <w:footnote w:id="2">
    <w:p w:rsidR="008502F0" w:rsidRDefault="008502F0" w:rsidP="00956FE1">
      <w:pPr>
        <w:pStyle w:val="FootnoteText"/>
        <w:numPr>
          <w:ilvl w:val="0"/>
          <w:numId w:val="0"/>
        </w:numPr>
        <w:ind w:left="360" w:hanging="360"/>
      </w:pPr>
      <w:r>
        <w:rPr>
          <w:rStyle w:val="FootnoteReference"/>
        </w:rPr>
        <w:footnoteRef/>
      </w:r>
      <w:r>
        <w:t xml:space="preserve">AB 2672 states that a disadvantaged community meets the following criteria: at least 25 percent of residential households with electrical service are enrolled in the CARE program pursuant to Section 739.1; has a population greater than 100 persons within its geographic boundaries as identified by the most recent US Census or a community survey; and has geographic boundaries no farther than seven miles from the nearest natural gas pipeline operated by a gas corporation. </w:t>
      </w:r>
    </w:p>
  </w:footnote>
  <w:footnote w:id="3">
    <w:p w:rsidR="008502F0" w:rsidRPr="007C51A9" w:rsidRDefault="008502F0" w:rsidP="000024AC">
      <w:pPr>
        <w:pStyle w:val="FootnoteText"/>
        <w:numPr>
          <w:ilvl w:val="0"/>
          <w:numId w:val="0"/>
        </w:numPr>
        <w:ind w:left="360" w:hanging="360"/>
        <w:contextualSpacing/>
      </w:pPr>
      <w:r>
        <w:rPr>
          <w:rStyle w:val="FootnoteReference"/>
        </w:rPr>
        <w:footnoteRef/>
      </w:r>
      <w:r>
        <w:t xml:space="preserve"> PG&amp;E filed AL 5496-E </w:t>
      </w:r>
      <w:r w:rsidRPr="005268FC">
        <w:rPr>
          <w:i/>
          <w:iCs/>
        </w:rPr>
        <w:t>Proposed Bill Protection Approach to Implement in Phase 2 of the San Joaquin Valley Disadvantaged Communities Pilot Proceeding</w:t>
      </w:r>
      <w:r>
        <w:t xml:space="preserve">.  SCE filed AL 3970-E </w:t>
      </w:r>
      <w:r w:rsidRPr="003D5D0D">
        <w:rPr>
          <w:i/>
          <w:iCs/>
        </w:rPr>
        <w:t>Bill Protection Proposal for Southern California Edison Company’s San Joaquin Valley Disadvantaged Community Pilot Projects Pursuant to Decision 18-12-015</w:t>
      </w:r>
      <w:r>
        <w:t xml:space="preserve">.  SoCalGas filed AL 5439-G </w:t>
      </w:r>
      <w:r>
        <w:rPr>
          <w:i/>
          <w:iCs/>
        </w:rPr>
        <w:t>Establishment of Bill Protection, Pursuant to Decision (D.) 18-12-015</w:t>
      </w:r>
      <w:r>
        <w:t>.</w:t>
      </w:r>
    </w:p>
  </w:footnote>
  <w:footnote w:id="4">
    <w:p w:rsidR="008502F0" w:rsidRDefault="008502F0" w:rsidP="00E16378">
      <w:pPr>
        <w:pStyle w:val="FootnoteText"/>
        <w:numPr>
          <w:ilvl w:val="0"/>
          <w:numId w:val="0"/>
        </w:numPr>
        <w:spacing w:after="0"/>
        <w:ind w:left="360" w:hanging="360"/>
        <w:contextualSpacing/>
      </w:pPr>
      <w:r>
        <w:rPr>
          <w:rStyle w:val="FootnoteReference"/>
        </w:rPr>
        <w:footnoteRef/>
      </w:r>
      <w:r>
        <w:t xml:space="preserve"> The SJV Pilo</w:t>
      </w:r>
      <w:r w:rsidRPr="00BA215E">
        <w:t xml:space="preserve">ts Decision does not define bill shock. </w:t>
      </w:r>
      <w:r>
        <w:t xml:space="preserve">PG&amp;E, SCE, and SoCalGas </w:t>
      </w:r>
      <w:r w:rsidRPr="00BA215E">
        <w:t>interpret</w:t>
      </w:r>
      <w:r>
        <w:t xml:space="preserve"> </w:t>
      </w:r>
      <w:r w:rsidRPr="00BA215E">
        <w:t xml:space="preserve">bill shock in this context to </w:t>
      </w:r>
      <w:r>
        <w:t>mean</w:t>
      </w:r>
      <w:r w:rsidRPr="00BA215E">
        <w:t xml:space="preserve"> an unexpected increase on a customer’s </w:t>
      </w:r>
      <w:r>
        <w:t>energy</w:t>
      </w:r>
      <w:r w:rsidRPr="00BA215E">
        <w:t xml:space="preserve"> bill </w:t>
      </w:r>
      <w:r>
        <w:t xml:space="preserve">due to seasonal variation. </w:t>
      </w:r>
    </w:p>
  </w:footnote>
  <w:footnote w:id="5">
    <w:p w:rsidR="008502F0" w:rsidRDefault="008502F0" w:rsidP="00E16378">
      <w:pPr>
        <w:pStyle w:val="FootnoteText"/>
        <w:numPr>
          <w:ilvl w:val="0"/>
          <w:numId w:val="0"/>
        </w:numPr>
        <w:spacing w:after="0"/>
        <w:ind w:left="360" w:hanging="360"/>
      </w:pPr>
      <w:r>
        <w:rPr>
          <w:rStyle w:val="FootnoteReference"/>
        </w:rPr>
        <w:footnoteRef/>
      </w:r>
      <w:r>
        <w:t xml:space="preserve"> For example, a customer would experience energy cost savings under PG&amp;E and SCE’s total energy cost savings analysis if the customer’s post-pilot electricity bill is less than the cost of the customer’s pre-pilot propane bills </w:t>
      </w:r>
      <w:r w:rsidRPr="00636D81">
        <w:t>plus</w:t>
      </w:r>
      <w:r>
        <w:t xml:space="preserve"> the customer’s pre-pilot electricity bill.</w:t>
      </w:r>
    </w:p>
  </w:footnote>
  <w:footnote w:id="6">
    <w:p w:rsidR="008502F0" w:rsidRDefault="008502F0" w:rsidP="00A17AA7">
      <w:pPr>
        <w:pStyle w:val="FootnoteText"/>
        <w:numPr>
          <w:ilvl w:val="0"/>
          <w:numId w:val="0"/>
        </w:numPr>
        <w:spacing w:after="0"/>
        <w:ind w:left="360" w:hanging="360"/>
        <w:contextualSpacing/>
      </w:pPr>
      <w:r w:rsidRPr="006E1BFB">
        <w:rPr>
          <w:rStyle w:val="FootnoteReference"/>
        </w:rPr>
        <w:footnoteRef/>
      </w:r>
      <w:r>
        <w:t xml:space="preserve"> SoCalGas did review average bills of households with natural gas service to determine peak usage by month. This analysis helped it determine how to apply credits to winter monthly bills to provide maximum reduction in bill variance.</w:t>
      </w:r>
    </w:p>
  </w:footnote>
  <w:footnote w:id="7">
    <w:p w:rsidR="008502F0" w:rsidRDefault="008502F0" w:rsidP="00DE0EC7">
      <w:pPr>
        <w:pStyle w:val="FootnoteText"/>
        <w:numPr>
          <w:ilvl w:val="0"/>
          <w:numId w:val="0"/>
        </w:numPr>
        <w:ind w:left="360" w:hanging="360"/>
        <w:contextualSpacing/>
      </w:pPr>
      <w:r>
        <w:rPr>
          <w:rStyle w:val="FootnoteReference"/>
        </w:rPr>
        <w:footnoteRef/>
      </w:r>
      <w:r>
        <w:t xml:space="preserve"> PG&amp;E and SCE refer to the $500 propane assumption for CARE customers as the “extreme curtailer” scenario. An extreme curtailer is a customer that curtails their propane use to keep their fuel costs as low as possible.</w:t>
      </w:r>
    </w:p>
  </w:footnote>
  <w:footnote w:id="8">
    <w:p w:rsidR="008502F0" w:rsidRDefault="008502F0" w:rsidP="00DE0EC7">
      <w:pPr>
        <w:pStyle w:val="FootnoteText"/>
        <w:numPr>
          <w:ilvl w:val="0"/>
          <w:numId w:val="0"/>
        </w:numPr>
        <w:spacing w:after="0"/>
        <w:ind w:left="360" w:hanging="360"/>
        <w:contextualSpacing/>
      </w:pPr>
      <w:r>
        <w:rPr>
          <w:rStyle w:val="FootnoteReference"/>
        </w:rPr>
        <w:footnoteRef/>
      </w:r>
      <w:r>
        <w:t xml:space="preserve"> PG&amp;E’s appliance usage estimates are based on the 2009 Residential Appliance Saturation Study (RASS) sponsored by the California Energy Commission. SCE’s appliance usage estimates are partly based on the RASS and partly on SCE work papers.</w:t>
      </w:r>
    </w:p>
  </w:footnote>
  <w:footnote w:id="9">
    <w:p w:rsidR="008502F0" w:rsidRDefault="008502F0" w:rsidP="00F71223">
      <w:pPr>
        <w:pStyle w:val="FootnoteText"/>
        <w:numPr>
          <w:ilvl w:val="0"/>
          <w:numId w:val="0"/>
        </w:numPr>
        <w:spacing w:after="0"/>
        <w:ind w:left="360" w:hanging="360"/>
      </w:pPr>
      <w:r>
        <w:rPr>
          <w:rStyle w:val="FootnoteReference"/>
        </w:rPr>
        <w:footnoteRef/>
      </w:r>
      <w:r>
        <w:t xml:space="preserve"> PG&amp;E’s currently authorized CARE discount is 36 percent; SCE’s is 32.5 percent.</w:t>
      </w:r>
    </w:p>
  </w:footnote>
  <w:footnote w:id="10">
    <w:p w:rsidR="008502F0" w:rsidRDefault="008502F0" w:rsidP="00F71223">
      <w:pPr>
        <w:pStyle w:val="FootnoteText"/>
        <w:numPr>
          <w:ilvl w:val="0"/>
          <w:numId w:val="0"/>
        </w:numPr>
        <w:spacing w:after="0"/>
        <w:ind w:left="360" w:hanging="360"/>
      </w:pPr>
      <w:r>
        <w:rPr>
          <w:rStyle w:val="FootnoteReference"/>
        </w:rPr>
        <w:footnoteRef/>
      </w:r>
      <w:r>
        <w:t xml:space="preserve"> PG&amp;E and SCE assume all customers enroll in either Disadvantaged Communities Green Tariff Program or Community Solar Green Tariff Program.</w:t>
      </w:r>
    </w:p>
  </w:footnote>
  <w:footnote w:id="11">
    <w:p w:rsidR="008502F0" w:rsidRDefault="008502F0" w:rsidP="00F71223">
      <w:pPr>
        <w:pStyle w:val="FootnoteText"/>
        <w:numPr>
          <w:ilvl w:val="0"/>
          <w:numId w:val="0"/>
        </w:numPr>
        <w:spacing w:after="0"/>
        <w:ind w:left="360" w:hanging="360"/>
      </w:pPr>
      <w:r>
        <w:rPr>
          <w:rStyle w:val="FootnoteReference"/>
        </w:rPr>
        <w:footnoteRef/>
      </w:r>
      <w:r>
        <w:t xml:space="preserve"> PG&amp;E increased </w:t>
      </w:r>
      <w:r w:rsidRPr="00D03588">
        <w:t xml:space="preserve">its heat pump space conditioning usage by over a factor of </w:t>
      </w:r>
      <w:r>
        <w:t xml:space="preserve">four compared to its 2018 electric pilot proposal. This adjustment is intended to </w:t>
      </w:r>
      <w:r w:rsidRPr="00D03588">
        <w:t>account for both heating and cooling consumption of the heat pumps and to account for high air conditioning loads that border on Climate Zone 7.</w:t>
      </w:r>
    </w:p>
  </w:footnote>
  <w:footnote w:id="12">
    <w:p w:rsidR="008502F0" w:rsidRDefault="008502F0" w:rsidP="00891057">
      <w:pPr>
        <w:pStyle w:val="FootnoteText"/>
        <w:numPr>
          <w:ilvl w:val="0"/>
          <w:numId w:val="0"/>
        </w:numPr>
        <w:spacing w:after="0"/>
        <w:ind w:left="360" w:hanging="360"/>
      </w:pPr>
      <w:r>
        <w:rPr>
          <w:rStyle w:val="FootnoteReference"/>
        </w:rPr>
        <w:footnoteRef/>
      </w:r>
      <w:r>
        <w:t xml:space="preserve"> PG&amp;E defines the “worst case” customer as the CARE customer with the highest expected electric bill increase and lowest expected propane savings.</w:t>
      </w:r>
    </w:p>
  </w:footnote>
  <w:footnote w:id="13">
    <w:p w:rsidR="008502F0" w:rsidRDefault="008502F0" w:rsidP="00891057">
      <w:pPr>
        <w:pStyle w:val="FootnoteText"/>
        <w:numPr>
          <w:ilvl w:val="0"/>
          <w:numId w:val="0"/>
        </w:numPr>
        <w:spacing w:after="0"/>
      </w:pPr>
      <w:r>
        <w:rPr>
          <w:rStyle w:val="FootnoteReference"/>
        </w:rPr>
        <w:footnoteRef/>
      </w:r>
      <w:r>
        <w:t xml:space="preserve"> PG&amp;E does not state the range of modeled energy cost savings or energy cost </w:t>
      </w:r>
    </w:p>
    <w:p w:rsidR="008502F0" w:rsidRDefault="008502F0" w:rsidP="00891057">
      <w:pPr>
        <w:pStyle w:val="FootnoteText"/>
        <w:numPr>
          <w:ilvl w:val="0"/>
          <w:numId w:val="0"/>
        </w:numPr>
        <w:spacing w:after="0"/>
      </w:pPr>
      <w:r>
        <w:t xml:space="preserve">      increases related to this finding.</w:t>
      </w:r>
    </w:p>
  </w:footnote>
  <w:footnote w:id="14">
    <w:p w:rsidR="008502F0" w:rsidRDefault="008502F0" w:rsidP="00891057">
      <w:pPr>
        <w:pStyle w:val="FootnoteText"/>
        <w:numPr>
          <w:ilvl w:val="0"/>
          <w:numId w:val="0"/>
        </w:numPr>
        <w:spacing w:after="0"/>
        <w:ind w:left="360" w:hanging="360"/>
      </w:pPr>
      <w:r>
        <w:rPr>
          <w:rStyle w:val="FootnoteReference"/>
        </w:rPr>
        <w:footnoteRef/>
      </w:r>
      <w:r>
        <w:t xml:space="preserve"> In its protest to SCE’s AL, when G</w:t>
      </w:r>
      <w:r w:rsidRPr="00E64E6F">
        <w:t xml:space="preserve">RID </w:t>
      </w:r>
      <w:r>
        <w:t xml:space="preserve">Alternatives </w:t>
      </w:r>
      <w:r w:rsidRPr="00E64E6F">
        <w:t>substitute</w:t>
      </w:r>
      <w:r>
        <w:t xml:space="preserve">d </w:t>
      </w:r>
      <w:r w:rsidRPr="00E64E6F">
        <w:t xml:space="preserve">SCE’s </w:t>
      </w:r>
      <w:r>
        <w:t xml:space="preserve">heat pump space conditioning </w:t>
      </w:r>
      <w:r w:rsidRPr="00E64E6F">
        <w:t>load of 1946 kWh</w:t>
      </w:r>
      <w:r>
        <w:t>/year</w:t>
      </w:r>
      <w:r w:rsidRPr="00E64E6F">
        <w:t xml:space="preserve"> with PG&amp;E’s</w:t>
      </w:r>
      <w:r>
        <w:t xml:space="preserve"> input of</w:t>
      </w:r>
      <w:r w:rsidRPr="00E64E6F">
        <w:t xml:space="preserve"> 3500 kWh</w:t>
      </w:r>
      <w:r>
        <w:t>/</w:t>
      </w:r>
      <w:r w:rsidRPr="00E64E6F">
        <w:t>year</w:t>
      </w:r>
      <w:r>
        <w:t xml:space="preserve"> and ran SCE's inputs through its model, the results significantly differed. According to GRID’s model</w:t>
      </w:r>
      <w:r w:rsidRPr="00E64E6F">
        <w:t xml:space="preserve">, </w:t>
      </w:r>
      <w:r>
        <w:t xml:space="preserve">SCE’s </w:t>
      </w:r>
      <w:r w:rsidRPr="00E64E6F">
        <w:t>median CARE customer</w:t>
      </w:r>
      <w:r>
        <w:t xml:space="preserve"> would</w:t>
      </w:r>
      <w:r w:rsidRPr="00E64E6F">
        <w:t xml:space="preserve"> </w:t>
      </w:r>
      <w:r>
        <w:t>save $126</w:t>
      </w:r>
      <w:r w:rsidRPr="00E64E6F">
        <w:t xml:space="preserve"> </w:t>
      </w:r>
      <w:r>
        <w:t>annually</w:t>
      </w:r>
      <w:r w:rsidRPr="00E64E6F">
        <w:t xml:space="preserve">, and </w:t>
      </w:r>
      <w:r>
        <w:t xml:space="preserve">SCE’s </w:t>
      </w:r>
      <w:r w:rsidRPr="00E64E6F">
        <w:t>median non-CARE</w:t>
      </w:r>
      <w:r>
        <w:t xml:space="preserve"> customer</w:t>
      </w:r>
      <w:r w:rsidRPr="00E64E6F">
        <w:t xml:space="preserve"> </w:t>
      </w:r>
      <w:r>
        <w:t>would experience a $26</w:t>
      </w:r>
      <w:r w:rsidRPr="00E64E6F">
        <w:t xml:space="preserve"> increase</w:t>
      </w:r>
      <w:r>
        <w:t>.</w:t>
      </w:r>
    </w:p>
  </w:footnote>
  <w:footnote w:id="15">
    <w:p w:rsidR="008502F0" w:rsidRDefault="008502F0" w:rsidP="007C1D94">
      <w:pPr>
        <w:pStyle w:val="FootnoteText"/>
        <w:numPr>
          <w:ilvl w:val="0"/>
          <w:numId w:val="0"/>
        </w:numPr>
        <w:ind w:left="360" w:hanging="360"/>
      </w:pPr>
      <w:r>
        <w:rPr>
          <w:rStyle w:val="FootnoteReference"/>
        </w:rPr>
        <w:footnoteRef/>
      </w:r>
      <w:r>
        <w:t xml:space="preserve"> In its AL, SCE presents the CARE results for the average customer, and non-CARE results for a median customer.</w:t>
      </w:r>
    </w:p>
  </w:footnote>
  <w:footnote w:id="16">
    <w:p w:rsidR="008502F0" w:rsidRDefault="008502F0" w:rsidP="006759AB">
      <w:pPr>
        <w:pStyle w:val="FootnoteText"/>
        <w:numPr>
          <w:ilvl w:val="0"/>
          <w:numId w:val="0"/>
        </w:numPr>
        <w:spacing w:after="0"/>
        <w:ind w:left="360" w:hanging="360"/>
      </w:pPr>
      <w:r>
        <w:rPr>
          <w:rStyle w:val="FootnoteReference"/>
        </w:rPr>
        <w:footnoteRef/>
      </w:r>
      <w:r>
        <w:t xml:space="preserve"> PG&amp;E references reply comments to responses to administrative law judges’ questions from August 22, 2018. In these reply comments, PG&amp;E asserts that its involvement in decisions to extend gas pipelines has been undertaken consistent with longstanding Commission-approved tariffs PG&amp;E states that it is not aware of reasons for not extending gas lines other than cost factors and other factors contained in the Commission gas rules and policies or regulations to implement these rules.</w:t>
      </w:r>
    </w:p>
  </w:footnote>
  <w:footnote w:id="17">
    <w:p w:rsidR="008502F0" w:rsidRDefault="008502F0" w:rsidP="006759AB">
      <w:pPr>
        <w:pStyle w:val="FootnoteText"/>
        <w:numPr>
          <w:ilvl w:val="0"/>
          <w:numId w:val="0"/>
        </w:numPr>
        <w:spacing w:after="0"/>
        <w:ind w:left="360" w:hanging="360"/>
      </w:pPr>
      <w:r>
        <w:rPr>
          <w:rStyle w:val="FootnoteReference"/>
        </w:rPr>
        <w:footnoteRef/>
      </w:r>
      <w:r>
        <w:t xml:space="preserve"> The SJV Pilots Decision, page 80.</w:t>
      </w:r>
    </w:p>
  </w:footnote>
  <w:footnote w:id="18">
    <w:p w:rsidR="008502F0" w:rsidRDefault="008502F0" w:rsidP="003933B6">
      <w:pPr>
        <w:pStyle w:val="FootnoteText"/>
        <w:numPr>
          <w:ilvl w:val="0"/>
          <w:numId w:val="0"/>
        </w:numPr>
        <w:spacing w:after="0"/>
        <w:ind w:left="360" w:hanging="360"/>
      </w:pPr>
      <w:r>
        <w:rPr>
          <w:rStyle w:val="FootnoteReference"/>
        </w:rPr>
        <w:footnoteRef/>
      </w:r>
      <w:r>
        <w:t xml:space="preserve"> The SJV Pilots Decision, page 79.</w:t>
      </w:r>
    </w:p>
  </w:footnote>
  <w:footnote w:id="19">
    <w:p w:rsidR="008502F0" w:rsidRDefault="008502F0" w:rsidP="003933B6">
      <w:pPr>
        <w:pStyle w:val="FootnoteText"/>
        <w:numPr>
          <w:ilvl w:val="0"/>
          <w:numId w:val="0"/>
        </w:numPr>
        <w:spacing w:after="0"/>
        <w:ind w:left="360" w:hanging="360"/>
        <w:contextualSpacing/>
      </w:pPr>
      <w:r>
        <w:rPr>
          <w:rStyle w:val="FootnoteReference"/>
        </w:rPr>
        <w:footnoteRef/>
      </w:r>
      <w:r>
        <w:t xml:space="preserve"> </w:t>
      </w:r>
      <w:r>
        <w:rPr>
          <w:szCs w:val="24"/>
        </w:rPr>
        <w:t xml:space="preserve">Parties to the SJV proceeding generally agree </w:t>
      </w:r>
      <w:r w:rsidRPr="00476CB9">
        <w:rPr>
          <w:szCs w:val="24"/>
        </w:rPr>
        <w:t>that</w:t>
      </w:r>
      <w:r>
        <w:rPr>
          <w:szCs w:val="24"/>
        </w:rPr>
        <w:t xml:space="preserve"> there are few studies available that analyze the </w:t>
      </w:r>
      <w:r w:rsidRPr="00476CB9">
        <w:rPr>
          <w:szCs w:val="24"/>
        </w:rPr>
        <w:t xml:space="preserve">rebound effect </w:t>
      </w:r>
      <w:r>
        <w:rPr>
          <w:szCs w:val="24"/>
        </w:rPr>
        <w:t>of fuel substitution (i.e.</w:t>
      </w:r>
      <w:r w:rsidRPr="00476CB9">
        <w:rPr>
          <w:szCs w:val="24"/>
        </w:rPr>
        <w:t xml:space="preserve"> </w:t>
      </w:r>
      <w:r>
        <w:rPr>
          <w:szCs w:val="24"/>
        </w:rPr>
        <w:t>replacing pro</w:t>
      </w:r>
      <w:r w:rsidRPr="00D86808">
        <w:rPr>
          <w:szCs w:val="24"/>
        </w:rPr>
        <w:t>pane or wood-burning fuel</w:t>
      </w:r>
      <w:r>
        <w:rPr>
          <w:szCs w:val="24"/>
        </w:rPr>
        <w:t xml:space="preserve"> with electric appliances), while there is a broader body of research on rebound effect of energy efficiency upgrades.</w:t>
      </w:r>
    </w:p>
  </w:footnote>
  <w:footnote w:id="20">
    <w:p w:rsidR="008502F0" w:rsidRDefault="008502F0" w:rsidP="00491139">
      <w:pPr>
        <w:pStyle w:val="FootnoteText"/>
        <w:numPr>
          <w:ilvl w:val="0"/>
          <w:numId w:val="0"/>
        </w:numPr>
        <w:spacing w:after="0"/>
      </w:pPr>
      <w:r>
        <w:rPr>
          <w:rStyle w:val="FootnoteReference"/>
        </w:rPr>
        <w:footnoteRef/>
      </w:r>
      <w:r>
        <w:t xml:space="preserve"> GRID supplemented PG&amp;E’s analysis in its AL to arrive at these savings projections.          </w:t>
      </w:r>
    </w:p>
    <w:p w:rsidR="008502F0" w:rsidRDefault="008502F0" w:rsidP="00491139">
      <w:pPr>
        <w:pStyle w:val="FootnoteText"/>
        <w:numPr>
          <w:ilvl w:val="0"/>
          <w:numId w:val="0"/>
        </w:numPr>
        <w:spacing w:after="0"/>
      </w:pPr>
      <w:r>
        <w:t xml:space="preserve">       In its reply, PG&amp;E points out that GRID made a math error and states that the 14 </w:t>
      </w:r>
    </w:p>
    <w:p w:rsidR="008502F0" w:rsidRDefault="008502F0" w:rsidP="00491139">
      <w:pPr>
        <w:pStyle w:val="FootnoteText"/>
        <w:numPr>
          <w:ilvl w:val="0"/>
          <w:numId w:val="0"/>
        </w:numPr>
        <w:spacing w:after="0"/>
      </w:pPr>
      <w:r>
        <w:t xml:space="preserve">       percent median non-CARE savings should be seven percent.</w:t>
      </w:r>
    </w:p>
  </w:footnote>
  <w:footnote w:id="21">
    <w:p w:rsidR="008502F0" w:rsidRDefault="008502F0" w:rsidP="00A4031E">
      <w:pPr>
        <w:pStyle w:val="FootnoteText"/>
        <w:numPr>
          <w:ilvl w:val="0"/>
          <w:numId w:val="0"/>
        </w:numPr>
        <w:ind w:left="360" w:hanging="360"/>
      </w:pPr>
      <w:r>
        <w:rPr>
          <w:rStyle w:val="FootnoteReference"/>
        </w:rPr>
        <w:footnoteRef/>
      </w:r>
      <w:r>
        <w:t xml:space="preserve"> The SJV Pilots Decision, page 80.</w:t>
      </w:r>
    </w:p>
  </w:footnote>
  <w:footnote w:id="22">
    <w:p w:rsidR="008502F0" w:rsidRDefault="008502F0" w:rsidP="00E8398E">
      <w:pPr>
        <w:rPr>
          <w:sz w:val="24"/>
          <w:szCs w:val="24"/>
        </w:rPr>
      </w:pPr>
      <w:r>
        <w:rPr>
          <w:rStyle w:val="FootnoteReference"/>
        </w:rPr>
        <w:footnoteRef/>
      </w:r>
      <w:r>
        <w:t xml:space="preserve"> </w:t>
      </w:r>
      <w:r w:rsidRPr="00027A1E">
        <w:rPr>
          <w:sz w:val="24"/>
          <w:szCs w:val="24"/>
        </w:rPr>
        <w:t xml:space="preserve">CalPA adds that where feasible, baseline energy costs and post-implementation </w:t>
      </w:r>
    </w:p>
    <w:p w:rsidR="008502F0" w:rsidRPr="00716E5C" w:rsidRDefault="008502F0" w:rsidP="00E8398E">
      <w:pPr>
        <w:rPr>
          <w:sz w:val="20"/>
        </w:rPr>
      </w:pPr>
      <w:r>
        <w:rPr>
          <w:sz w:val="24"/>
          <w:szCs w:val="24"/>
        </w:rPr>
        <w:t xml:space="preserve">       </w:t>
      </w:r>
      <w:r w:rsidRPr="00027A1E">
        <w:rPr>
          <w:sz w:val="24"/>
          <w:szCs w:val="24"/>
        </w:rPr>
        <w:t>energy costs should be weather normalized to be comparable.</w:t>
      </w:r>
    </w:p>
  </w:footnote>
  <w:footnote w:id="23">
    <w:p w:rsidR="008502F0" w:rsidRDefault="008502F0" w:rsidP="00027A1E">
      <w:pPr>
        <w:rPr>
          <w:sz w:val="24"/>
          <w:szCs w:val="24"/>
        </w:rPr>
      </w:pPr>
      <w:r>
        <w:rPr>
          <w:rStyle w:val="FootnoteReference"/>
        </w:rPr>
        <w:footnoteRef/>
      </w:r>
      <w:r w:rsidRPr="00EE53F1">
        <w:rPr>
          <w:sz w:val="20"/>
        </w:rPr>
        <w:t xml:space="preserve"> </w:t>
      </w:r>
      <w:r w:rsidRPr="00F35B1D">
        <w:rPr>
          <w:sz w:val="24"/>
          <w:szCs w:val="24"/>
        </w:rPr>
        <w:t xml:space="preserve">See </w:t>
      </w:r>
      <w:r>
        <w:rPr>
          <w:sz w:val="24"/>
          <w:szCs w:val="24"/>
        </w:rPr>
        <w:t xml:space="preserve">Decision (D.)19-09-027 </w:t>
      </w:r>
      <w:r w:rsidRPr="00F35B1D">
        <w:rPr>
          <w:sz w:val="24"/>
          <w:szCs w:val="24"/>
        </w:rPr>
        <w:t>here:</w:t>
      </w:r>
      <w:r w:rsidRPr="00027A1E">
        <w:rPr>
          <w:sz w:val="24"/>
          <w:szCs w:val="24"/>
        </w:rPr>
        <w:t xml:space="preserve"> </w:t>
      </w:r>
      <w:r>
        <w:rPr>
          <w:sz w:val="24"/>
          <w:szCs w:val="24"/>
        </w:rPr>
        <w:t xml:space="preserve">   </w:t>
      </w:r>
    </w:p>
    <w:p w:rsidR="008502F0" w:rsidRDefault="008502F0" w:rsidP="00027A1E">
      <w:pPr>
        <w:rPr>
          <w:sz w:val="24"/>
          <w:szCs w:val="24"/>
        </w:rPr>
      </w:pPr>
      <w:r>
        <w:rPr>
          <w:sz w:val="24"/>
          <w:szCs w:val="24"/>
        </w:rPr>
        <w:t xml:space="preserve">       </w:t>
      </w:r>
      <w:r w:rsidRPr="0093611A">
        <w:rPr>
          <w:sz w:val="24"/>
          <w:szCs w:val="24"/>
        </w:rPr>
        <w:t>http://docs.cpuc.ca.gov/SearchRes.aspx?docformat=ALL&amp;DocID=313975481</w:t>
      </w:r>
    </w:p>
    <w:p w:rsidR="008502F0" w:rsidRPr="00027A1E" w:rsidRDefault="008502F0" w:rsidP="00027A1E">
      <w:pPr>
        <w:rPr>
          <w:rFonts w:ascii="Times New Roman" w:hAnsi="Times New Roman"/>
          <w:sz w:val="24"/>
          <w:szCs w:val="24"/>
        </w:rPr>
      </w:pPr>
    </w:p>
  </w:footnote>
  <w:footnote w:id="24">
    <w:p w:rsidR="008502F0" w:rsidRDefault="008502F0" w:rsidP="00C3664F">
      <w:pPr>
        <w:pStyle w:val="FootnoteText"/>
        <w:numPr>
          <w:ilvl w:val="0"/>
          <w:numId w:val="0"/>
        </w:numPr>
        <w:ind w:left="360" w:hanging="360"/>
      </w:pPr>
      <w:r>
        <w:rPr>
          <w:rStyle w:val="FootnoteReference"/>
        </w:rPr>
        <w:footnoteRef/>
      </w:r>
      <w:r>
        <w:t xml:space="preserve">If neither the CSGT nor DAC-GT program is available at the time the customer receives the first bill protection discount, or if DAC-GT is available but a customer is not eligible, we direct PG&amp;E and SCE to apply a 20 percent transitional community solar bill credit to the customer’s monthly bill as part of the bill protections approach. </w:t>
      </w:r>
      <w:r w:rsidR="00E20D3C">
        <w:t>This transitional community solar discount shall not apply to customers who have onsite solar through the Single-Family Affordable Solar Homes (SASH) Program or the Disadvantaged Communities SASH (DAC-SASH) Program, or through another program.</w:t>
      </w:r>
      <w:r w:rsidR="008A47F6">
        <w:t xml:space="preserve"> </w:t>
      </w:r>
      <w:r>
        <w:t xml:space="preserve">This </w:t>
      </w:r>
      <w:r w:rsidR="007D4935">
        <w:t>approach</w:t>
      </w:r>
      <w:r>
        <w:t xml:space="preserve"> is explained in the implementation section further below.</w:t>
      </w:r>
    </w:p>
  </w:footnote>
  <w:footnote w:id="25">
    <w:p w:rsidR="008502F0" w:rsidRDefault="008502F0" w:rsidP="003A7D39">
      <w:pPr>
        <w:pStyle w:val="FootnoteText"/>
        <w:numPr>
          <w:ilvl w:val="0"/>
          <w:numId w:val="0"/>
        </w:numPr>
        <w:spacing w:after="0"/>
        <w:ind w:left="360" w:hanging="360"/>
      </w:pPr>
      <w:r>
        <w:rPr>
          <w:rStyle w:val="FootnoteReference"/>
        </w:rPr>
        <w:footnoteRef/>
      </w:r>
      <w:r>
        <w:t xml:space="preserve"> For their bill protection proposals, </w:t>
      </w:r>
      <w:r w:rsidRPr="000866BC">
        <w:t xml:space="preserve">PG&amp;E </w:t>
      </w:r>
      <w:r>
        <w:t xml:space="preserve">projects </w:t>
      </w:r>
      <w:r w:rsidRPr="000866BC">
        <w:t>bill protection IT costs</w:t>
      </w:r>
      <w:r>
        <w:t xml:space="preserve"> to be </w:t>
      </w:r>
      <w:r w:rsidRPr="000866BC">
        <w:t>$100,000 and bill protection credit processing costs</w:t>
      </w:r>
      <w:r>
        <w:t xml:space="preserve"> to be </w:t>
      </w:r>
      <w:r w:rsidRPr="000866BC">
        <w:t>$129,600</w:t>
      </w:r>
      <w:r>
        <w:t xml:space="preserve">, and SCE projects </w:t>
      </w:r>
      <w:r w:rsidRPr="006A785A">
        <w:t xml:space="preserve">bill protection IT costs </w:t>
      </w:r>
      <w:r>
        <w:t xml:space="preserve">to be </w:t>
      </w:r>
      <w:r w:rsidRPr="006A785A">
        <w:t xml:space="preserve">$50,000 and </w:t>
      </w:r>
      <w:r>
        <w:t>b</w:t>
      </w:r>
      <w:r w:rsidRPr="006A785A">
        <w:t xml:space="preserve">ill protection credit processing costs </w:t>
      </w:r>
      <w:r>
        <w:t xml:space="preserve">to be </w:t>
      </w:r>
      <w:r w:rsidRPr="006A785A">
        <w:t>$36,000</w:t>
      </w:r>
      <w:r>
        <w:t xml:space="preserve"> (see AL 5496-E</w:t>
      </w:r>
      <w:r w:rsidRPr="006A785A">
        <w:t xml:space="preserve"> </w:t>
      </w:r>
      <w:r>
        <w:t>page 13 and AL 3920-E page 12). PG&amp;E and SCE both s</w:t>
      </w:r>
      <w:r w:rsidRPr="000866BC">
        <w:t>tate</w:t>
      </w:r>
      <w:r>
        <w:t xml:space="preserve"> in their ALs that they do </w:t>
      </w:r>
      <w:r w:rsidRPr="000866BC">
        <w:t>not requ</w:t>
      </w:r>
      <w:r>
        <w:t>est</w:t>
      </w:r>
      <w:r w:rsidRPr="000866BC">
        <w:t xml:space="preserve"> additional funding beyond </w:t>
      </w:r>
      <w:r>
        <w:t xml:space="preserve">previously authorized program </w:t>
      </w:r>
      <w:r w:rsidRPr="000866BC">
        <w:t>budget</w:t>
      </w:r>
      <w:r>
        <w:t>s</w:t>
      </w:r>
      <w:r w:rsidRPr="000866BC">
        <w:t xml:space="preserve"> </w:t>
      </w:r>
      <w:r>
        <w:t>i</w:t>
      </w:r>
      <w:r w:rsidRPr="000866BC">
        <w:t>n the SJV Pilots Decisio</w:t>
      </w:r>
      <w:r>
        <w:t>ns to cover these costs.</w:t>
      </w:r>
    </w:p>
  </w:footnote>
  <w:footnote w:id="26">
    <w:p w:rsidR="008502F0" w:rsidRDefault="008502F0" w:rsidP="0027309B">
      <w:pPr>
        <w:pStyle w:val="FootnoteText"/>
        <w:numPr>
          <w:ilvl w:val="0"/>
          <w:numId w:val="0"/>
        </w:numPr>
        <w:spacing w:after="0"/>
        <w:ind w:left="360" w:hanging="360"/>
      </w:pPr>
      <w:r>
        <w:rPr>
          <w:rStyle w:val="FootnoteReference"/>
        </w:rPr>
        <w:footnoteRef/>
      </w:r>
      <w:r>
        <w:t xml:space="preserve"> A percentage discount approach is also consistent with other CPUC billing discount programs like CARE, FERA, CSGT, and DAC-GT.  </w:t>
      </w:r>
    </w:p>
  </w:footnote>
  <w:footnote w:id="27">
    <w:p w:rsidR="008502F0" w:rsidRDefault="008502F0" w:rsidP="0027309B">
      <w:pPr>
        <w:pStyle w:val="FootnoteText"/>
        <w:numPr>
          <w:ilvl w:val="0"/>
          <w:numId w:val="0"/>
        </w:numPr>
        <w:spacing w:after="0"/>
      </w:pPr>
      <w:r>
        <w:rPr>
          <w:rStyle w:val="FootnoteReference"/>
        </w:rPr>
        <w:footnoteRef/>
      </w:r>
      <w:r>
        <w:t xml:space="preserve"> See PG&amp;E’s reply comments, pages 10 and 11.</w:t>
      </w:r>
    </w:p>
  </w:footnote>
  <w:footnote w:id="28">
    <w:p w:rsidR="008502F0" w:rsidRDefault="008502F0">
      <w:pPr>
        <w:pStyle w:val="FootnoteText"/>
        <w:numPr>
          <w:ilvl w:val="0"/>
          <w:numId w:val="0"/>
        </w:numPr>
        <w:spacing w:after="0"/>
        <w:ind w:left="360" w:hanging="360"/>
      </w:pPr>
      <w:r>
        <w:rPr>
          <w:rStyle w:val="FootnoteReference"/>
        </w:rPr>
        <w:footnoteRef/>
      </w:r>
      <w:r>
        <w:t xml:space="preserve"> PG&amp;E and SCE base their analysis on a weighted average of CARE and non-CARE eligible customers in each pilot community.</w:t>
      </w:r>
    </w:p>
  </w:footnote>
  <w:footnote w:id="29">
    <w:p w:rsidR="008502F0" w:rsidRDefault="008502F0">
      <w:pPr>
        <w:pStyle w:val="FootnoteText"/>
        <w:numPr>
          <w:ilvl w:val="0"/>
          <w:numId w:val="0"/>
        </w:numPr>
        <w:spacing w:after="0"/>
        <w:ind w:left="360" w:hanging="360"/>
      </w:pPr>
      <w:r>
        <w:rPr>
          <w:rStyle w:val="FootnoteReference"/>
        </w:rPr>
        <w:footnoteRef/>
      </w:r>
      <w:r>
        <w:t xml:space="preserve"> In its comments to Draft Resolution E-5034, PG&amp;E speculated that automating the billing process to implement the bill protection percentage discount could cost up to $2.5 million, and it may utilize a temporary manual billing solution. </w:t>
      </w:r>
      <w:r w:rsidR="000F5C74">
        <w:t xml:space="preserve">PG&amp;E did not provide analysis to support its estimate. </w:t>
      </w:r>
      <w:r>
        <w:t>SCE did not provide any estimates related to billing process</w:t>
      </w:r>
      <w:r w:rsidR="000F5C74">
        <w:t xml:space="preserve"> costs</w:t>
      </w:r>
      <w:r>
        <w:t xml:space="preserve"> in its comments. PG&amp;E's projected </w:t>
      </w:r>
      <w:r w:rsidR="000F5C74">
        <w:t>automated billing costs</w:t>
      </w:r>
      <w:r>
        <w:t xml:space="preserve"> are not included in this chart</w:t>
      </w:r>
      <w:r w:rsidR="000F5C74">
        <w:t xml:space="preserve">, as PG&amp;E's comments did not provide sufficient analysis </w:t>
      </w:r>
      <w:r w:rsidR="00D804B9">
        <w:t>for</w:t>
      </w:r>
      <w:r w:rsidR="000F5C74">
        <w:t xml:space="preserve"> us to gauge the validity of its estimate</w:t>
      </w:r>
      <w:r>
        <w:t xml:space="preserve">. </w:t>
      </w:r>
    </w:p>
  </w:footnote>
  <w:footnote w:id="30">
    <w:p w:rsidR="008502F0" w:rsidRPr="00BC557A" w:rsidRDefault="008502F0" w:rsidP="00DE0EC7">
      <w:pPr>
        <w:pStyle w:val="FootnoteText"/>
        <w:numPr>
          <w:ilvl w:val="0"/>
          <w:numId w:val="0"/>
        </w:numPr>
        <w:ind w:left="360" w:hanging="360"/>
        <w:contextualSpacing/>
      </w:pPr>
      <w:r>
        <w:rPr>
          <w:rStyle w:val="FootnoteReference"/>
        </w:rPr>
        <w:footnoteRef/>
      </w:r>
      <w:r>
        <w:t xml:space="preserve"> Per the SJV Pilots Decision, propane bills are to be collected from SJV residents on a voluntary basis only, and not as a precondition for pilot participation. See page 73 of the SJV Pilots Decision.</w:t>
      </w:r>
    </w:p>
  </w:footnote>
  <w:footnote w:id="31">
    <w:p w:rsidR="008502F0" w:rsidRDefault="008502F0" w:rsidP="00027A1E">
      <w:pPr>
        <w:pStyle w:val="FootnoteText"/>
        <w:numPr>
          <w:ilvl w:val="0"/>
          <w:numId w:val="0"/>
        </w:numPr>
        <w:spacing w:after="0"/>
        <w:ind w:left="360" w:hanging="360"/>
      </w:pPr>
      <w:r>
        <w:rPr>
          <w:rStyle w:val="FootnoteReference"/>
        </w:rPr>
        <w:footnoteRef/>
      </w:r>
      <w:r>
        <w:t xml:space="preserve"> The SJV Pilots Decision, page 89.</w:t>
      </w:r>
    </w:p>
  </w:footnote>
  <w:footnote w:id="32">
    <w:p w:rsidR="008502F0" w:rsidRDefault="008502F0" w:rsidP="00401F25">
      <w:pPr>
        <w:pStyle w:val="FootnoteText"/>
        <w:numPr>
          <w:ilvl w:val="0"/>
          <w:numId w:val="0"/>
        </w:numPr>
        <w:spacing w:after="0"/>
        <w:ind w:left="360" w:hanging="360"/>
      </w:pPr>
      <w:r>
        <w:rPr>
          <w:rStyle w:val="FootnoteReference"/>
        </w:rPr>
        <w:footnoteRef/>
      </w:r>
      <w:r>
        <w:t xml:space="preserve"> GRID’s model assumes a 20 percent bill protection discount is applied.</w:t>
      </w:r>
    </w:p>
  </w:footnote>
  <w:footnote w:id="33">
    <w:p w:rsidR="008502F0" w:rsidRDefault="008502F0" w:rsidP="00401F25">
      <w:pPr>
        <w:pStyle w:val="FootnoteText"/>
        <w:numPr>
          <w:ilvl w:val="0"/>
          <w:numId w:val="0"/>
        </w:numPr>
        <w:spacing w:after="0"/>
        <w:ind w:left="360" w:hanging="360"/>
        <w:contextualSpacing/>
      </w:pPr>
      <w:r w:rsidRPr="00F40F14">
        <w:rPr>
          <w:rStyle w:val="FootnoteReference"/>
        </w:rPr>
        <w:footnoteRef/>
      </w:r>
      <w:r w:rsidRPr="00F40F14">
        <w:t xml:space="preserve"> PG&amp;E and SCE projected that the first installs would occur in Q1 2020 in SJV pilot implementation AL 5498-E and AL 3971-E, respectively, which were filed on March 19, 2019. These ALs were approved by the Energy Division on October 29, 2019, which puts PG&amp;E and SCE on a timeline to conduct the first pilot installations around the summer of 2020</w:t>
      </w:r>
      <w:r>
        <w:t xml:space="preserve"> at the earliest.</w:t>
      </w:r>
    </w:p>
  </w:footnote>
  <w:footnote w:id="34">
    <w:p w:rsidR="008502F0" w:rsidRDefault="008502F0" w:rsidP="00606401">
      <w:pPr>
        <w:pStyle w:val="FootnoteText"/>
        <w:numPr>
          <w:ilvl w:val="0"/>
          <w:numId w:val="0"/>
        </w:numPr>
        <w:contextualSpacing/>
      </w:pPr>
      <w:r>
        <w:rPr>
          <w:rStyle w:val="FootnoteReference"/>
        </w:rPr>
        <w:footnoteRef/>
      </w:r>
      <w:r>
        <w:t xml:space="preserve"> In its comments to draft resolution E-4999, SCE requested until 2021 to implement </w:t>
      </w:r>
    </w:p>
    <w:p w:rsidR="008502F0" w:rsidRDefault="008502F0" w:rsidP="00606401">
      <w:pPr>
        <w:pStyle w:val="FootnoteText"/>
        <w:numPr>
          <w:ilvl w:val="0"/>
          <w:numId w:val="0"/>
        </w:numPr>
        <w:contextualSpacing/>
      </w:pPr>
      <w:r>
        <w:t xml:space="preserve">      DAC-GT.</w:t>
      </w:r>
    </w:p>
  </w:footnote>
  <w:footnote w:id="35">
    <w:p w:rsidR="008502F0" w:rsidRDefault="008502F0" w:rsidP="00E42AEE">
      <w:pPr>
        <w:pStyle w:val="FootnoteText"/>
        <w:numPr>
          <w:ilvl w:val="0"/>
          <w:numId w:val="0"/>
        </w:numPr>
        <w:ind w:left="360" w:hanging="360"/>
        <w:contextualSpacing/>
      </w:pPr>
      <w:r>
        <w:rPr>
          <w:rStyle w:val="FootnoteReference"/>
        </w:rPr>
        <w:footnoteRef/>
      </w:r>
      <w:r>
        <w:t xml:space="preserve"> The SJV Pilots Decision, page 77.</w:t>
      </w:r>
    </w:p>
  </w:footnote>
  <w:footnote w:id="36">
    <w:p w:rsidR="008502F0" w:rsidRDefault="008502F0" w:rsidP="000B4DBC">
      <w:pPr>
        <w:pStyle w:val="FootnoteText"/>
        <w:numPr>
          <w:ilvl w:val="0"/>
          <w:numId w:val="0"/>
        </w:numPr>
        <w:spacing w:after="0"/>
        <w:ind w:left="360" w:hanging="360"/>
        <w:contextualSpacing/>
      </w:pPr>
      <w:r w:rsidRPr="60E77224">
        <w:rPr>
          <w:rStyle w:val="FootnoteReference"/>
        </w:rPr>
        <w:footnoteRef/>
      </w:r>
      <w:r>
        <w:t xml:space="preserve"> The SJV Pilots Decision, page 80.</w:t>
      </w:r>
    </w:p>
  </w:footnote>
  <w:footnote w:id="37">
    <w:p w:rsidR="00294B6D" w:rsidRDefault="00725DF7">
      <w:r>
        <w:rPr>
          <w:rStyle w:val="FootnoteReference"/>
        </w:rPr>
        <w:footnoteRef/>
      </w:r>
      <w:r>
        <w:t xml:space="preserve"> </w:t>
      </w:r>
      <w:r w:rsidRPr="00D4170B">
        <w:rPr>
          <w:sz w:val="24"/>
          <w:szCs w:val="24"/>
        </w:rPr>
        <w:t>Specifically, the Monte Carlo simulation shows that these CARE customers would save between 22.4 and 27.4</w:t>
      </w:r>
      <w:r>
        <w:rPr>
          <w:sz w:val="24"/>
          <w:szCs w:val="24"/>
        </w:rPr>
        <w:t xml:space="preserve"> percent</w:t>
      </w:r>
      <w:r w:rsidRPr="00D4170B">
        <w:rPr>
          <w:sz w:val="24"/>
          <w:szCs w:val="24"/>
        </w:rPr>
        <w:t>, and non-CARE customers would save between 1.9</w:t>
      </w:r>
      <w:r>
        <w:rPr>
          <w:sz w:val="24"/>
          <w:szCs w:val="24"/>
        </w:rPr>
        <w:t xml:space="preserve"> </w:t>
      </w:r>
      <w:r w:rsidRPr="00D4170B">
        <w:rPr>
          <w:sz w:val="24"/>
          <w:szCs w:val="24"/>
        </w:rPr>
        <w:t>and 6.7 percent. See page 9 of the Pilot Team’s protest.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F0" w:rsidRDefault="008502F0">
    <w:pPr>
      <w:pStyle w:val="Header"/>
      <w:tabs>
        <w:tab w:val="clear" w:pos="4320"/>
        <w:tab w:val="clear" w:pos="8640"/>
        <w:tab w:val="center" w:pos="4680"/>
        <w:tab w:val="right" w:pos="9180"/>
      </w:tabs>
    </w:pPr>
    <w:r>
      <w:t>Resolution E-5034</w:t>
    </w:r>
    <w:r>
      <w:tab/>
    </w:r>
    <w:r>
      <w:tab/>
      <w:t>December 19, 2019</w:t>
    </w:r>
  </w:p>
  <w:p w:rsidR="008502F0" w:rsidRDefault="008502F0">
    <w:pPr>
      <w:pStyle w:val="Header"/>
      <w:tabs>
        <w:tab w:val="clear" w:pos="4320"/>
        <w:tab w:val="clear" w:pos="8640"/>
        <w:tab w:val="center" w:pos="4680"/>
        <w:tab w:val="right" w:pos="9180"/>
      </w:tabs>
    </w:pPr>
    <w:r>
      <w:t>PG&amp;E AL 5496-E, SCE AL 3970-E, SoCalGas AL 5439-G/KF</w:t>
    </w:r>
  </w:p>
  <w:p w:rsidR="008502F0" w:rsidRDefault="00850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F0" w:rsidRPr="008E6797" w:rsidRDefault="00725DF7" w:rsidP="003F6E5A">
    <w:pPr>
      <w:pStyle w:val="Header"/>
      <w:jc w:val="center"/>
      <w:rPr>
        <w:rFonts w:ascii="Helvetica" w:hAnsi="Helvetica"/>
        <w:sz w:val="28"/>
      </w:rPr>
    </w:pPr>
    <w:r>
      <w:t xml:space="preserve">                                                        Date of Issuance - December 2</w:t>
    </w:r>
    <w:r w:rsidR="000E0961">
      <w:t>3</w:t>
    </w:r>
    <w: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259"/>
    <w:multiLevelType w:val="hybridMultilevel"/>
    <w:tmpl w:val="54188AC4"/>
    <w:lvl w:ilvl="0" w:tplc="038A3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87985"/>
    <w:multiLevelType w:val="hybridMultilevel"/>
    <w:tmpl w:val="4B50C8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454F4"/>
    <w:multiLevelType w:val="multilevel"/>
    <w:tmpl w:val="C40E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73426"/>
    <w:multiLevelType w:val="hybridMultilevel"/>
    <w:tmpl w:val="596C05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5" w15:restartNumberingAfterBreak="0">
    <w:nsid w:val="147878A5"/>
    <w:multiLevelType w:val="hybridMultilevel"/>
    <w:tmpl w:val="604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F06DC"/>
    <w:multiLevelType w:val="hybridMultilevel"/>
    <w:tmpl w:val="A392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21B12F00"/>
    <w:multiLevelType w:val="hybridMultilevel"/>
    <w:tmpl w:val="82A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0F0951"/>
    <w:multiLevelType w:val="hybridMultilevel"/>
    <w:tmpl w:val="C3507D38"/>
    <w:lvl w:ilvl="0" w:tplc="0CB0FBBE">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9E094C"/>
    <w:multiLevelType w:val="multilevel"/>
    <w:tmpl w:val="B860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7756A1"/>
    <w:multiLevelType w:val="hybridMultilevel"/>
    <w:tmpl w:val="09FC4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9F6638"/>
    <w:multiLevelType w:val="hybridMultilevel"/>
    <w:tmpl w:val="9DC04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0662B96"/>
    <w:multiLevelType w:val="hybridMultilevel"/>
    <w:tmpl w:val="DD1C2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53BF5"/>
    <w:multiLevelType w:val="hybridMultilevel"/>
    <w:tmpl w:val="D3202F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8" w15:restartNumberingAfterBreak="0">
    <w:nsid w:val="5C671DF6"/>
    <w:multiLevelType w:val="hybridMultilevel"/>
    <w:tmpl w:val="AB9C0EA4"/>
    <w:lvl w:ilvl="0" w:tplc="9378D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696E4B"/>
    <w:multiLevelType w:val="hybridMultilevel"/>
    <w:tmpl w:val="60C27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A4307"/>
    <w:multiLevelType w:val="hybridMultilevel"/>
    <w:tmpl w:val="60284652"/>
    <w:lvl w:ilvl="0" w:tplc="878693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5E0223"/>
    <w:multiLevelType w:val="hybridMultilevel"/>
    <w:tmpl w:val="59B4C598"/>
    <w:lvl w:ilvl="0" w:tplc="A60EEF9A">
      <w:start w:val="1"/>
      <w:numFmt w:val="bullet"/>
      <w:lvlText w:val=""/>
      <w:lvlJc w:val="left"/>
      <w:pPr>
        <w:ind w:left="360" w:hanging="360"/>
      </w:pPr>
      <w:rPr>
        <w:rFonts w:ascii="Symbol" w:hAnsi="Symbol" w:hint="default"/>
      </w:rPr>
    </w:lvl>
    <w:lvl w:ilvl="1" w:tplc="652A6948" w:tentative="1">
      <w:start w:val="1"/>
      <w:numFmt w:val="bullet"/>
      <w:lvlText w:val="o"/>
      <w:lvlJc w:val="left"/>
      <w:pPr>
        <w:ind w:left="1080" w:hanging="360"/>
      </w:pPr>
      <w:rPr>
        <w:rFonts w:ascii="Courier New" w:hAnsi="Courier New" w:cs="Courier New" w:hint="default"/>
      </w:rPr>
    </w:lvl>
    <w:lvl w:ilvl="2" w:tplc="527CD63A" w:tentative="1">
      <w:start w:val="1"/>
      <w:numFmt w:val="bullet"/>
      <w:lvlText w:val=""/>
      <w:lvlJc w:val="left"/>
      <w:pPr>
        <w:ind w:left="1800" w:hanging="360"/>
      </w:pPr>
      <w:rPr>
        <w:rFonts w:ascii="Wingdings" w:hAnsi="Wingdings" w:hint="default"/>
      </w:rPr>
    </w:lvl>
    <w:lvl w:ilvl="3" w:tplc="F0E29A04" w:tentative="1">
      <w:start w:val="1"/>
      <w:numFmt w:val="bullet"/>
      <w:lvlText w:val=""/>
      <w:lvlJc w:val="left"/>
      <w:pPr>
        <w:ind w:left="2520" w:hanging="360"/>
      </w:pPr>
      <w:rPr>
        <w:rFonts w:ascii="Symbol" w:hAnsi="Symbol" w:hint="default"/>
      </w:rPr>
    </w:lvl>
    <w:lvl w:ilvl="4" w:tplc="2FC858D8" w:tentative="1">
      <w:start w:val="1"/>
      <w:numFmt w:val="bullet"/>
      <w:lvlText w:val="o"/>
      <w:lvlJc w:val="left"/>
      <w:pPr>
        <w:ind w:left="3240" w:hanging="360"/>
      </w:pPr>
      <w:rPr>
        <w:rFonts w:ascii="Courier New" w:hAnsi="Courier New" w:cs="Courier New" w:hint="default"/>
      </w:rPr>
    </w:lvl>
    <w:lvl w:ilvl="5" w:tplc="DB3E67FE" w:tentative="1">
      <w:start w:val="1"/>
      <w:numFmt w:val="bullet"/>
      <w:lvlText w:val=""/>
      <w:lvlJc w:val="left"/>
      <w:pPr>
        <w:ind w:left="3960" w:hanging="360"/>
      </w:pPr>
      <w:rPr>
        <w:rFonts w:ascii="Wingdings" w:hAnsi="Wingdings" w:hint="default"/>
      </w:rPr>
    </w:lvl>
    <w:lvl w:ilvl="6" w:tplc="DF902AAE" w:tentative="1">
      <w:start w:val="1"/>
      <w:numFmt w:val="bullet"/>
      <w:lvlText w:val=""/>
      <w:lvlJc w:val="left"/>
      <w:pPr>
        <w:ind w:left="4680" w:hanging="360"/>
      </w:pPr>
      <w:rPr>
        <w:rFonts w:ascii="Symbol" w:hAnsi="Symbol" w:hint="default"/>
      </w:rPr>
    </w:lvl>
    <w:lvl w:ilvl="7" w:tplc="D2B03C26" w:tentative="1">
      <w:start w:val="1"/>
      <w:numFmt w:val="bullet"/>
      <w:lvlText w:val="o"/>
      <w:lvlJc w:val="left"/>
      <w:pPr>
        <w:ind w:left="5400" w:hanging="360"/>
      </w:pPr>
      <w:rPr>
        <w:rFonts w:ascii="Courier New" w:hAnsi="Courier New" w:cs="Courier New" w:hint="default"/>
      </w:rPr>
    </w:lvl>
    <w:lvl w:ilvl="8" w:tplc="F4EC9AD4" w:tentative="1">
      <w:start w:val="1"/>
      <w:numFmt w:val="bullet"/>
      <w:lvlText w:val=""/>
      <w:lvlJc w:val="left"/>
      <w:pPr>
        <w:ind w:left="6120" w:hanging="360"/>
      </w:pPr>
      <w:rPr>
        <w:rFonts w:ascii="Wingdings" w:hAnsi="Wingdings" w:hint="default"/>
      </w:rPr>
    </w:lvl>
  </w:abstractNum>
  <w:abstractNum w:abstractNumId="23" w15:restartNumberingAfterBreak="0">
    <w:nsid w:val="7267352F"/>
    <w:multiLevelType w:val="multilevel"/>
    <w:tmpl w:val="02F2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BC5F40"/>
    <w:multiLevelType w:val="multilevel"/>
    <w:tmpl w:val="B4827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96501A"/>
    <w:multiLevelType w:val="hybridMultilevel"/>
    <w:tmpl w:val="74B0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7"/>
  </w:num>
  <w:num w:numId="5">
    <w:abstractNumId w:val="9"/>
  </w:num>
  <w:num w:numId="6">
    <w:abstractNumId w:val="21"/>
  </w:num>
  <w:num w:numId="7">
    <w:abstractNumId w:val="14"/>
  </w:num>
  <w:num w:numId="8">
    <w:abstractNumId w:val="22"/>
  </w:num>
  <w:num w:numId="9">
    <w:abstractNumId w:val="13"/>
  </w:num>
  <w:num w:numId="10">
    <w:abstractNumId w:val="3"/>
  </w:num>
  <w:num w:numId="11">
    <w:abstractNumId w:val="25"/>
  </w:num>
  <w:num w:numId="12">
    <w:abstractNumId w:val="10"/>
  </w:num>
  <w:num w:numId="13">
    <w:abstractNumId w:val="5"/>
  </w:num>
  <w:num w:numId="14">
    <w:abstractNumId w:val="19"/>
  </w:num>
  <w:num w:numId="15">
    <w:abstractNumId w:val="1"/>
  </w:num>
  <w:num w:numId="16">
    <w:abstractNumId w:val="20"/>
  </w:num>
  <w:num w:numId="17">
    <w:abstractNumId w:val="6"/>
  </w:num>
  <w:num w:numId="18">
    <w:abstractNumId w:val="11"/>
  </w:num>
  <w:num w:numId="19">
    <w:abstractNumId w:val="23"/>
  </w:num>
  <w:num w:numId="20">
    <w:abstractNumId w:val="2"/>
  </w:num>
  <w:num w:numId="21">
    <w:abstractNumId w:val="24"/>
  </w:num>
  <w:num w:numId="22">
    <w:abstractNumId w:val="0"/>
  </w:num>
  <w:num w:numId="23">
    <w:abstractNumId w:val="18"/>
  </w:num>
  <w:num w:numId="24">
    <w:abstractNumId w:val="16"/>
  </w:num>
  <w:num w:numId="25">
    <w:abstractNumId w:val="8"/>
  </w:num>
  <w:num w:numId="26">
    <w:abstractNumId w:val="15"/>
  </w:num>
  <w:num w:numId="2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952"/>
    <w:rsid w:val="00001730"/>
    <w:rsid w:val="00001D06"/>
    <w:rsid w:val="0000208C"/>
    <w:rsid w:val="000024AC"/>
    <w:rsid w:val="00007BED"/>
    <w:rsid w:val="00007E25"/>
    <w:rsid w:val="00011294"/>
    <w:rsid w:val="0001179D"/>
    <w:rsid w:val="00012D45"/>
    <w:rsid w:val="0001334F"/>
    <w:rsid w:val="00013C97"/>
    <w:rsid w:val="00013FA2"/>
    <w:rsid w:val="00014596"/>
    <w:rsid w:val="00014C16"/>
    <w:rsid w:val="00014D28"/>
    <w:rsid w:val="0001501C"/>
    <w:rsid w:val="000169B1"/>
    <w:rsid w:val="000173CA"/>
    <w:rsid w:val="000179AA"/>
    <w:rsid w:val="00017EDF"/>
    <w:rsid w:val="00017FB5"/>
    <w:rsid w:val="0002000A"/>
    <w:rsid w:val="00020368"/>
    <w:rsid w:val="00021499"/>
    <w:rsid w:val="00022729"/>
    <w:rsid w:val="00022DDC"/>
    <w:rsid w:val="000249FC"/>
    <w:rsid w:val="00024C2B"/>
    <w:rsid w:val="00024C89"/>
    <w:rsid w:val="00025975"/>
    <w:rsid w:val="00025DA5"/>
    <w:rsid w:val="000267E5"/>
    <w:rsid w:val="00026BC8"/>
    <w:rsid w:val="00027A1E"/>
    <w:rsid w:val="00027D11"/>
    <w:rsid w:val="00030116"/>
    <w:rsid w:val="0003206D"/>
    <w:rsid w:val="000328A7"/>
    <w:rsid w:val="00032E1C"/>
    <w:rsid w:val="00032FF4"/>
    <w:rsid w:val="0003411D"/>
    <w:rsid w:val="000342F6"/>
    <w:rsid w:val="00034655"/>
    <w:rsid w:val="00035E05"/>
    <w:rsid w:val="00036424"/>
    <w:rsid w:val="000365DF"/>
    <w:rsid w:val="0003773C"/>
    <w:rsid w:val="00037869"/>
    <w:rsid w:val="00037CA0"/>
    <w:rsid w:val="00037F7E"/>
    <w:rsid w:val="000420D9"/>
    <w:rsid w:val="000422FB"/>
    <w:rsid w:val="000427BB"/>
    <w:rsid w:val="000432EE"/>
    <w:rsid w:val="00043935"/>
    <w:rsid w:val="00043F6E"/>
    <w:rsid w:val="00044116"/>
    <w:rsid w:val="000443B6"/>
    <w:rsid w:val="00044574"/>
    <w:rsid w:val="0004561D"/>
    <w:rsid w:val="00045D65"/>
    <w:rsid w:val="00047883"/>
    <w:rsid w:val="00047E08"/>
    <w:rsid w:val="00050010"/>
    <w:rsid w:val="000516F1"/>
    <w:rsid w:val="00052139"/>
    <w:rsid w:val="00052651"/>
    <w:rsid w:val="00052C5B"/>
    <w:rsid w:val="000530C1"/>
    <w:rsid w:val="0005314A"/>
    <w:rsid w:val="00055467"/>
    <w:rsid w:val="00055AB2"/>
    <w:rsid w:val="000570B0"/>
    <w:rsid w:val="00057655"/>
    <w:rsid w:val="00061616"/>
    <w:rsid w:val="000618A3"/>
    <w:rsid w:val="00061B08"/>
    <w:rsid w:val="000621E3"/>
    <w:rsid w:val="00063234"/>
    <w:rsid w:val="00063664"/>
    <w:rsid w:val="000644ED"/>
    <w:rsid w:val="00064A26"/>
    <w:rsid w:val="000657BF"/>
    <w:rsid w:val="00065DF8"/>
    <w:rsid w:val="00065E66"/>
    <w:rsid w:val="00066EE7"/>
    <w:rsid w:val="00067A75"/>
    <w:rsid w:val="00067D12"/>
    <w:rsid w:val="00067EE0"/>
    <w:rsid w:val="0007194D"/>
    <w:rsid w:val="000719DD"/>
    <w:rsid w:val="000720B1"/>
    <w:rsid w:val="00072152"/>
    <w:rsid w:val="000727CE"/>
    <w:rsid w:val="00072D6A"/>
    <w:rsid w:val="00073733"/>
    <w:rsid w:val="00073E50"/>
    <w:rsid w:val="00073EDC"/>
    <w:rsid w:val="00074925"/>
    <w:rsid w:val="00075782"/>
    <w:rsid w:val="0007600A"/>
    <w:rsid w:val="00076A39"/>
    <w:rsid w:val="00076BB7"/>
    <w:rsid w:val="00077255"/>
    <w:rsid w:val="00080117"/>
    <w:rsid w:val="000819B9"/>
    <w:rsid w:val="00082FEE"/>
    <w:rsid w:val="00084897"/>
    <w:rsid w:val="00084E87"/>
    <w:rsid w:val="00085618"/>
    <w:rsid w:val="000856F2"/>
    <w:rsid w:val="00086218"/>
    <w:rsid w:val="000866BC"/>
    <w:rsid w:val="0009060A"/>
    <w:rsid w:val="00090F71"/>
    <w:rsid w:val="000917F8"/>
    <w:rsid w:val="00091FEB"/>
    <w:rsid w:val="00093772"/>
    <w:rsid w:val="00095EBF"/>
    <w:rsid w:val="00096ACF"/>
    <w:rsid w:val="00096BB7"/>
    <w:rsid w:val="00096C00"/>
    <w:rsid w:val="0009745F"/>
    <w:rsid w:val="000975E0"/>
    <w:rsid w:val="00097D45"/>
    <w:rsid w:val="000A3ED2"/>
    <w:rsid w:val="000A5207"/>
    <w:rsid w:val="000A5261"/>
    <w:rsid w:val="000A5348"/>
    <w:rsid w:val="000A54A3"/>
    <w:rsid w:val="000A58DB"/>
    <w:rsid w:val="000A5BB5"/>
    <w:rsid w:val="000A6B66"/>
    <w:rsid w:val="000A77B3"/>
    <w:rsid w:val="000A7F00"/>
    <w:rsid w:val="000B09C7"/>
    <w:rsid w:val="000B2706"/>
    <w:rsid w:val="000B41A1"/>
    <w:rsid w:val="000B4DBC"/>
    <w:rsid w:val="000B581F"/>
    <w:rsid w:val="000B5D11"/>
    <w:rsid w:val="000B6D19"/>
    <w:rsid w:val="000B7A0B"/>
    <w:rsid w:val="000B7A3A"/>
    <w:rsid w:val="000C0034"/>
    <w:rsid w:val="000C059A"/>
    <w:rsid w:val="000C0B76"/>
    <w:rsid w:val="000C0D8D"/>
    <w:rsid w:val="000C0E51"/>
    <w:rsid w:val="000C0EB3"/>
    <w:rsid w:val="000C1499"/>
    <w:rsid w:val="000C1868"/>
    <w:rsid w:val="000C1B09"/>
    <w:rsid w:val="000C28BB"/>
    <w:rsid w:val="000C383F"/>
    <w:rsid w:val="000C4178"/>
    <w:rsid w:val="000C47C5"/>
    <w:rsid w:val="000C50AA"/>
    <w:rsid w:val="000C6793"/>
    <w:rsid w:val="000C6CFB"/>
    <w:rsid w:val="000C71A5"/>
    <w:rsid w:val="000C7CAC"/>
    <w:rsid w:val="000D0320"/>
    <w:rsid w:val="000D03C2"/>
    <w:rsid w:val="000D0432"/>
    <w:rsid w:val="000D1356"/>
    <w:rsid w:val="000D13A8"/>
    <w:rsid w:val="000D1A01"/>
    <w:rsid w:val="000D1E09"/>
    <w:rsid w:val="000D1FC1"/>
    <w:rsid w:val="000D2827"/>
    <w:rsid w:val="000D3A75"/>
    <w:rsid w:val="000D523A"/>
    <w:rsid w:val="000D58E5"/>
    <w:rsid w:val="000D7F8A"/>
    <w:rsid w:val="000E0961"/>
    <w:rsid w:val="000E1C1D"/>
    <w:rsid w:val="000E1C4C"/>
    <w:rsid w:val="000E2A38"/>
    <w:rsid w:val="000E3A27"/>
    <w:rsid w:val="000E4BD8"/>
    <w:rsid w:val="000E4C48"/>
    <w:rsid w:val="000E5245"/>
    <w:rsid w:val="000E796A"/>
    <w:rsid w:val="000F0251"/>
    <w:rsid w:val="000F14B1"/>
    <w:rsid w:val="000F2A34"/>
    <w:rsid w:val="000F311E"/>
    <w:rsid w:val="000F3877"/>
    <w:rsid w:val="000F3950"/>
    <w:rsid w:val="000F5717"/>
    <w:rsid w:val="000F5A00"/>
    <w:rsid w:val="000F5A66"/>
    <w:rsid w:val="000F5C74"/>
    <w:rsid w:val="000F5EC6"/>
    <w:rsid w:val="000F601B"/>
    <w:rsid w:val="000F7123"/>
    <w:rsid w:val="000F731D"/>
    <w:rsid w:val="0010030C"/>
    <w:rsid w:val="001003EE"/>
    <w:rsid w:val="00100DA3"/>
    <w:rsid w:val="001026EB"/>
    <w:rsid w:val="00102D44"/>
    <w:rsid w:val="00102F2F"/>
    <w:rsid w:val="0010315F"/>
    <w:rsid w:val="0010342F"/>
    <w:rsid w:val="001043FE"/>
    <w:rsid w:val="00104535"/>
    <w:rsid w:val="00104F56"/>
    <w:rsid w:val="0010565F"/>
    <w:rsid w:val="0010588D"/>
    <w:rsid w:val="0010715D"/>
    <w:rsid w:val="00107277"/>
    <w:rsid w:val="00107908"/>
    <w:rsid w:val="001105D1"/>
    <w:rsid w:val="00111574"/>
    <w:rsid w:val="00111B19"/>
    <w:rsid w:val="00111F45"/>
    <w:rsid w:val="001125E4"/>
    <w:rsid w:val="00114DBA"/>
    <w:rsid w:val="001165FC"/>
    <w:rsid w:val="0011756E"/>
    <w:rsid w:val="001179C8"/>
    <w:rsid w:val="00117BC0"/>
    <w:rsid w:val="00120065"/>
    <w:rsid w:val="00120EE8"/>
    <w:rsid w:val="001216CD"/>
    <w:rsid w:val="00122644"/>
    <w:rsid w:val="00122E0A"/>
    <w:rsid w:val="00123CCB"/>
    <w:rsid w:val="00124402"/>
    <w:rsid w:val="0012505A"/>
    <w:rsid w:val="001266F1"/>
    <w:rsid w:val="00127BCC"/>
    <w:rsid w:val="0013012B"/>
    <w:rsid w:val="001307E6"/>
    <w:rsid w:val="0013084F"/>
    <w:rsid w:val="00131C50"/>
    <w:rsid w:val="00131E80"/>
    <w:rsid w:val="00132B78"/>
    <w:rsid w:val="00132CCD"/>
    <w:rsid w:val="001335E4"/>
    <w:rsid w:val="0013533B"/>
    <w:rsid w:val="001356D0"/>
    <w:rsid w:val="001401AA"/>
    <w:rsid w:val="00140B8D"/>
    <w:rsid w:val="001415B6"/>
    <w:rsid w:val="0014177B"/>
    <w:rsid w:val="00141C55"/>
    <w:rsid w:val="00141D5A"/>
    <w:rsid w:val="00142612"/>
    <w:rsid w:val="001427D8"/>
    <w:rsid w:val="00142FB8"/>
    <w:rsid w:val="00143706"/>
    <w:rsid w:val="00143AEF"/>
    <w:rsid w:val="00143E53"/>
    <w:rsid w:val="00144619"/>
    <w:rsid w:val="001454F9"/>
    <w:rsid w:val="00145BED"/>
    <w:rsid w:val="00145E67"/>
    <w:rsid w:val="001464C6"/>
    <w:rsid w:val="00147D3E"/>
    <w:rsid w:val="0015037C"/>
    <w:rsid w:val="00150E78"/>
    <w:rsid w:val="001514B8"/>
    <w:rsid w:val="00151DF6"/>
    <w:rsid w:val="001535AD"/>
    <w:rsid w:val="0015459E"/>
    <w:rsid w:val="00155919"/>
    <w:rsid w:val="00156227"/>
    <w:rsid w:val="00156852"/>
    <w:rsid w:val="001569F1"/>
    <w:rsid w:val="00157048"/>
    <w:rsid w:val="00162369"/>
    <w:rsid w:val="00163441"/>
    <w:rsid w:val="001641CB"/>
    <w:rsid w:val="001644C3"/>
    <w:rsid w:val="00164A59"/>
    <w:rsid w:val="00165280"/>
    <w:rsid w:val="0016585B"/>
    <w:rsid w:val="00165982"/>
    <w:rsid w:val="00165E09"/>
    <w:rsid w:val="00166691"/>
    <w:rsid w:val="00166C99"/>
    <w:rsid w:val="00170151"/>
    <w:rsid w:val="00170533"/>
    <w:rsid w:val="00170CF1"/>
    <w:rsid w:val="00172281"/>
    <w:rsid w:val="001726A1"/>
    <w:rsid w:val="00172BF2"/>
    <w:rsid w:val="00172D9A"/>
    <w:rsid w:val="0017453A"/>
    <w:rsid w:val="00175401"/>
    <w:rsid w:val="00177FFC"/>
    <w:rsid w:val="00180214"/>
    <w:rsid w:val="001807D9"/>
    <w:rsid w:val="00180911"/>
    <w:rsid w:val="001809CD"/>
    <w:rsid w:val="001815AE"/>
    <w:rsid w:val="00181A87"/>
    <w:rsid w:val="0018285B"/>
    <w:rsid w:val="00182DB9"/>
    <w:rsid w:val="00183A08"/>
    <w:rsid w:val="00184C53"/>
    <w:rsid w:val="00184DC0"/>
    <w:rsid w:val="00184E17"/>
    <w:rsid w:val="00186C08"/>
    <w:rsid w:val="00186F7C"/>
    <w:rsid w:val="00187926"/>
    <w:rsid w:val="001907A8"/>
    <w:rsid w:val="00190D39"/>
    <w:rsid w:val="00191876"/>
    <w:rsid w:val="001934D5"/>
    <w:rsid w:val="0019383A"/>
    <w:rsid w:val="001938C4"/>
    <w:rsid w:val="00193EC1"/>
    <w:rsid w:val="00194969"/>
    <w:rsid w:val="001952ED"/>
    <w:rsid w:val="0019539A"/>
    <w:rsid w:val="00195896"/>
    <w:rsid w:val="0019699D"/>
    <w:rsid w:val="001A0203"/>
    <w:rsid w:val="001A0A93"/>
    <w:rsid w:val="001A0CF1"/>
    <w:rsid w:val="001A1B7F"/>
    <w:rsid w:val="001A1C64"/>
    <w:rsid w:val="001A5211"/>
    <w:rsid w:val="001A5352"/>
    <w:rsid w:val="001A5DF7"/>
    <w:rsid w:val="001A6144"/>
    <w:rsid w:val="001A6E5A"/>
    <w:rsid w:val="001B0C39"/>
    <w:rsid w:val="001B15CC"/>
    <w:rsid w:val="001B17B1"/>
    <w:rsid w:val="001B276A"/>
    <w:rsid w:val="001B2D74"/>
    <w:rsid w:val="001B4C6F"/>
    <w:rsid w:val="001B6048"/>
    <w:rsid w:val="001B627C"/>
    <w:rsid w:val="001B6EBB"/>
    <w:rsid w:val="001B6FB7"/>
    <w:rsid w:val="001B7B60"/>
    <w:rsid w:val="001B7C09"/>
    <w:rsid w:val="001C0661"/>
    <w:rsid w:val="001C105F"/>
    <w:rsid w:val="001C1111"/>
    <w:rsid w:val="001C1A5F"/>
    <w:rsid w:val="001C3328"/>
    <w:rsid w:val="001C42FF"/>
    <w:rsid w:val="001C4B26"/>
    <w:rsid w:val="001C5C14"/>
    <w:rsid w:val="001C5C76"/>
    <w:rsid w:val="001C6283"/>
    <w:rsid w:val="001C630B"/>
    <w:rsid w:val="001D0322"/>
    <w:rsid w:val="001D0CEA"/>
    <w:rsid w:val="001D19D0"/>
    <w:rsid w:val="001D1EF8"/>
    <w:rsid w:val="001D2DC6"/>
    <w:rsid w:val="001D35BC"/>
    <w:rsid w:val="001D4D52"/>
    <w:rsid w:val="001D4E13"/>
    <w:rsid w:val="001D5614"/>
    <w:rsid w:val="001D5754"/>
    <w:rsid w:val="001D65B4"/>
    <w:rsid w:val="001D7691"/>
    <w:rsid w:val="001D7F22"/>
    <w:rsid w:val="001E02C3"/>
    <w:rsid w:val="001E0529"/>
    <w:rsid w:val="001E1492"/>
    <w:rsid w:val="001E161F"/>
    <w:rsid w:val="001E17FB"/>
    <w:rsid w:val="001E39BD"/>
    <w:rsid w:val="001E3B7A"/>
    <w:rsid w:val="001E45E4"/>
    <w:rsid w:val="001E478B"/>
    <w:rsid w:val="001E5DEF"/>
    <w:rsid w:val="001F049A"/>
    <w:rsid w:val="001F1A22"/>
    <w:rsid w:val="001F1B70"/>
    <w:rsid w:val="001F21A4"/>
    <w:rsid w:val="001F2694"/>
    <w:rsid w:val="001F3BE5"/>
    <w:rsid w:val="001F3EA3"/>
    <w:rsid w:val="001F4620"/>
    <w:rsid w:val="001F4741"/>
    <w:rsid w:val="001F5BA0"/>
    <w:rsid w:val="001F5FD2"/>
    <w:rsid w:val="001F606B"/>
    <w:rsid w:val="001F69C1"/>
    <w:rsid w:val="001F7372"/>
    <w:rsid w:val="001F7D78"/>
    <w:rsid w:val="002015A6"/>
    <w:rsid w:val="00201F05"/>
    <w:rsid w:val="00202012"/>
    <w:rsid w:val="00202C40"/>
    <w:rsid w:val="00204A38"/>
    <w:rsid w:val="00204B3E"/>
    <w:rsid w:val="00205714"/>
    <w:rsid w:val="00205AEA"/>
    <w:rsid w:val="00205D31"/>
    <w:rsid w:val="002064EC"/>
    <w:rsid w:val="002075EB"/>
    <w:rsid w:val="00207E41"/>
    <w:rsid w:val="002109E5"/>
    <w:rsid w:val="00212356"/>
    <w:rsid w:val="002123AF"/>
    <w:rsid w:val="002126C0"/>
    <w:rsid w:val="00212769"/>
    <w:rsid w:val="00213CDA"/>
    <w:rsid w:val="002154CB"/>
    <w:rsid w:val="00215ACE"/>
    <w:rsid w:val="00217F55"/>
    <w:rsid w:val="00220B14"/>
    <w:rsid w:val="00220CA2"/>
    <w:rsid w:val="002229DE"/>
    <w:rsid w:val="00222C80"/>
    <w:rsid w:val="002247F7"/>
    <w:rsid w:val="00224B41"/>
    <w:rsid w:val="00224F31"/>
    <w:rsid w:val="002252F7"/>
    <w:rsid w:val="00227175"/>
    <w:rsid w:val="00227185"/>
    <w:rsid w:val="0022720E"/>
    <w:rsid w:val="002278DE"/>
    <w:rsid w:val="002308FE"/>
    <w:rsid w:val="00231A98"/>
    <w:rsid w:val="00231AFE"/>
    <w:rsid w:val="002320BA"/>
    <w:rsid w:val="002333FB"/>
    <w:rsid w:val="002334DD"/>
    <w:rsid w:val="00233801"/>
    <w:rsid w:val="00233B69"/>
    <w:rsid w:val="002352F1"/>
    <w:rsid w:val="00237FA7"/>
    <w:rsid w:val="002401AC"/>
    <w:rsid w:val="00240660"/>
    <w:rsid w:val="00241674"/>
    <w:rsid w:val="002425F7"/>
    <w:rsid w:val="0024316E"/>
    <w:rsid w:val="002438C5"/>
    <w:rsid w:val="00243A5F"/>
    <w:rsid w:val="00243F3E"/>
    <w:rsid w:val="00246C4F"/>
    <w:rsid w:val="00247183"/>
    <w:rsid w:val="00247941"/>
    <w:rsid w:val="0025039F"/>
    <w:rsid w:val="00250D1A"/>
    <w:rsid w:val="0025140F"/>
    <w:rsid w:val="002521E7"/>
    <w:rsid w:val="00252286"/>
    <w:rsid w:val="0025431A"/>
    <w:rsid w:val="0025689D"/>
    <w:rsid w:val="002571B1"/>
    <w:rsid w:val="0025738A"/>
    <w:rsid w:val="0025762E"/>
    <w:rsid w:val="00257A42"/>
    <w:rsid w:val="00257F34"/>
    <w:rsid w:val="00260067"/>
    <w:rsid w:val="0026021F"/>
    <w:rsid w:val="002606BD"/>
    <w:rsid w:val="00261573"/>
    <w:rsid w:val="00262CD2"/>
    <w:rsid w:val="00264171"/>
    <w:rsid w:val="002653E3"/>
    <w:rsid w:val="002656DC"/>
    <w:rsid w:val="00265FD0"/>
    <w:rsid w:val="00270D12"/>
    <w:rsid w:val="0027126D"/>
    <w:rsid w:val="002713BD"/>
    <w:rsid w:val="002713F0"/>
    <w:rsid w:val="0027195C"/>
    <w:rsid w:val="002722E5"/>
    <w:rsid w:val="00272F65"/>
    <w:rsid w:val="0027309B"/>
    <w:rsid w:val="00273C29"/>
    <w:rsid w:val="002754BE"/>
    <w:rsid w:val="0027590F"/>
    <w:rsid w:val="00275B12"/>
    <w:rsid w:val="0027623E"/>
    <w:rsid w:val="002769A0"/>
    <w:rsid w:val="002775B2"/>
    <w:rsid w:val="00277ACA"/>
    <w:rsid w:val="00277D95"/>
    <w:rsid w:val="00281634"/>
    <w:rsid w:val="002819E8"/>
    <w:rsid w:val="00281F33"/>
    <w:rsid w:val="00282D87"/>
    <w:rsid w:val="00283681"/>
    <w:rsid w:val="00283BE7"/>
    <w:rsid w:val="00284939"/>
    <w:rsid w:val="0028632A"/>
    <w:rsid w:val="00287678"/>
    <w:rsid w:val="00287ED1"/>
    <w:rsid w:val="00290272"/>
    <w:rsid w:val="002905AB"/>
    <w:rsid w:val="00291541"/>
    <w:rsid w:val="00293B75"/>
    <w:rsid w:val="002941ED"/>
    <w:rsid w:val="00294B6D"/>
    <w:rsid w:val="00294FF2"/>
    <w:rsid w:val="0029566D"/>
    <w:rsid w:val="002959EE"/>
    <w:rsid w:val="00295F90"/>
    <w:rsid w:val="00296052"/>
    <w:rsid w:val="00296A71"/>
    <w:rsid w:val="00297371"/>
    <w:rsid w:val="002977B8"/>
    <w:rsid w:val="00297C06"/>
    <w:rsid w:val="002A1F22"/>
    <w:rsid w:val="002A2443"/>
    <w:rsid w:val="002A4906"/>
    <w:rsid w:val="002A57A1"/>
    <w:rsid w:val="002A5FCF"/>
    <w:rsid w:val="002A7ECD"/>
    <w:rsid w:val="002A7EF5"/>
    <w:rsid w:val="002B0A19"/>
    <w:rsid w:val="002B31D7"/>
    <w:rsid w:val="002B4479"/>
    <w:rsid w:val="002B45A4"/>
    <w:rsid w:val="002B6848"/>
    <w:rsid w:val="002B68ED"/>
    <w:rsid w:val="002B6CD5"/>
    <w:rsid w:val="002B6F67"/>
    <w:rsid w:val="002B76C6"/>
    <w:rsid w:val="002B78C4"/>
    <w:rsid w:val="002B7F62"/>
    <w:rsid w:val="002C0382"/>
    <w:rsid w:val="002C03CE"/>
    <w:rsid w:val="002C06A5"/>
    <w:rsid w:val="002C2364"/>
    <w:rsid w:val="002C29CD"/>
    <w:rsid w:val="002C2AA5"/>
    <w:rsid w:val="002C3281"/>
    <w:rsid w:val="002C3CD2"/>
    <w:rsid w:val="002C4477"/>
    <w:rsid w:val="002C4BFA"/>
    <w:rsid w:val="002C602A"/>
    <w:rsid w:val="002C6A00"/>
    <w:rsid w:val="002C7520"/>
    <w:rsid w:val="002D031F"/>
    <w:rsid w:val="002D19A1"/>
    <w:rsid w:val="002D23F9"/>
    <w:rsid w:val="002D25EE"/>
    <w:rsid w:val="002D496A"/>
    <w:rsid w:val="002D4F80"/>
    <w:rsid w:val="002D5401"/>
    <w:rsid w:val="002D6B29"/>
    <w:rsid w:val="002D6EC2"/>
    <w:rsid w:val="002D73B3"/>
    <w:rsid w:val="002D7DD5"/>
    <w:rsid w:val="002E00CF"/>
    <w:rsid w:val="002E28D5"/>
    <w:rsid w:val="002E2D67"/>
    <w:rsid w:val="002E345C"/>
    <w:rsid w:val="002E3888"/>
    <w:rsid w:val="002E4432"/>
    <w:rsid w:val="002E5BB0"/>
    <w:rsid w:val="002E5ECD"/>
    <w:rsid w:val="002E6981"/>
    <w:rsid w:val="002E7A87"/>
    <w:rsid w:val="002F01D9"/>
    <w:rsid w:val="002F01EA"/>
    <w:rsid w:val="002F101D"/>
    <w:rsid w:val="002F237C"/>
    <w:rsid w:val="002F23B1"/>
    <w:rsid w:val="002F2BBA"/>
    <w:rsid w:val="002F3144"/>
    <w:rsid w:val="002F364C"/>
    <w:rsid w:val="002F3A33"/>
    <w:rsid w:val="002F4963"/>
    <w:rsid w:val="002F78D6"/>
    <w:rsid w:val="002F7A95"/>
    <w:rsid w:val="00300445"/>
    <w:rsid w:val="00300840"/>
    <w:rsid w:val="00300EF5"/>
    <w:rsid w:val="0030128E"/>
    <w:rsid w:val="003013B2"/>
    <w:rsid w:val="003025A6"/>
    <w:rsid w:val="00302B02"/>
    <w:rsid w:val="00303DFF"/>
    <w:rsid w:val="003058A3"/>
    <w:rsid w:val="00306F76"/>
    <w:rsid w:val="00307829"/>
    <w:rsid w:val="00307B17"/>
    <w:rsid w:val="0031129F"/>
    <w:rsid w:val="0031159E"/>
    <w:rsid w:val="003117A7"/>
    <w:rsid w:val="00311A74"/>
    <w:rsid w:val="0031307F"/>
    <w:rsid w:val="00313DA3"/>
    <w:rsid w:val="00314024"/>
    <w:rsid w:val="003147AF"/>
    <w:rsid w:val="0031490B"/>
    <w:rsid w:val="003150A2"/>
    <w:rsid w:val="00315A57"/>
    <w:rsid w:val="00315E44"/>
    <w:rsid w:val="00316079"/>
    <w:rsid w:val="00316C3F"/>
    <w:rsid w:val="00316F5B"/>
    <w:rsid w:val="0031742A"/>
    <w:rsid w:val="00317A7E"/>
    <w:rsid w:val="00317D2B"/>
    <w:rsid w:val="0032001E"/>
    <w:rsid w:val="00320744"/>
    <w:rsid w:val="00320787"/>
    <w:rsid w:val="00320BEA"/>
    <w:rsid w:val="00322CE3"/>
    <w:rsid w:val="00322F97"/>
    <w:rsid w:val="00324422"/>
    <w:rsid w:val="003259C6"/>
    <w:rsid w:val="00325EFC"/>
    <w:rsid w:val="00326428"/>
    <w:rsid w:val="00327F85"/>
    <w:rsid w:val="003302D3"/>
    <w:rsid w:val="00330D4D"/>
    <w:rsid w:val="003337A4"/>
    <w:rsid w:val="003342F7"/>
    <w:rsid w:val="00334952"/>
    <w:rsid w:val="00335041"/>
    <w:rsid w:val="00335835"/>
    <w:rsid w:val="003369A4"/>
    <w:rsid w:val="0033729C"/>
    <w:rsid w:val="003374CC"/>
    <w:rsid w:val="00337509"/>
    <w:rsid w:val="00337522"/>
    <w:rsid w:val="00337BE8"/>
    <w:rsid w:val="00337DE9"/>
    <w:rsid w:val="00341A98"/>
    <w:rsid w:val="00341DBB"/>
    <w:rsid w:val="00341E65"/>
    <w:rsid w:val="00342D24"/>
    <w:rsid w:val="003433FC"/>
    <w:rsid w:val="003471C4"/>
    <w:rsid w:val="00350190"/>
    <w:rsid w:val="003511E8"/>
    <w:rsid w:val="00353498"/>
    <w:rsid w:val="00353979"/>
    <w:rsid w:val="00353C95"/>
    <w:rsid w:val="00353E57"/>
    <w:rsid w:val="00353E7A"/>
    <w:rsid w:val="00354FD1"/>
    <w:rsid w:val="00355B68"/>
    <w:rsid w:val="00356367"/>
    <w:rsid w:val="00357156"/>
    <w:rsid w:val="0035758F"/>
    <w:rsid w:val="00357844"/>
    <w:rsid w:val="00357C4D"/>
    <w:rsid w:val="0036063D"/>
    <w:rsid w:val="0036076F"/>
    <w:rsid w:val="00361DFF"/>
    <w:rsid w:val="00361F8C"/>
    <w:rsid w:val="00363E36"/>
    <w:rsid w:val="003662A0"/>
    <w:rsid w:val="00366B57"/>
    <w:rsid w:val="003672FF"/>
    <w:rsid w:val="00370B6D"/>
    <w:rsid w:val="003710B6"/>
    <w:rsid w:val="00371DF0"/>
    <w:rsid w:val="0037273E"/>
    <w:rsid w:val="00372791"/>
    <w:rsid w:val="0037422D"/>
    <w:rsid w:val="00375592"/>
    <w:rsid w:val="003769EB"/>
    <w:rsid w:val="00377BF2"/>
    <w:rsid w:val="00383468"/>
    <w:rsid w:val="003841D3"/>
    <w:rsid w:val="003849D5"/>
    <w:rsid w:val="00384D7D"/>
    <w:rsid w:val="00384FCA"/>
    <w:rsid w:val="0038692C"/>
    <w:rsid w:val="00386DF4"/>
    <w:rsid w:val="00387DF3"/>
    <w:rsid w:val="00390D9D"/>
    <w:rsid w:val="003917DE"/>
    <w:rsid w:val="00392EF3"/>
    <w:rsid w:val="003933B6"/>
    <w:rsid w:val="00393556"/>
    <w:rsid w:val="00393C6C"/>
    <w:rsid w:val="003949F0"/>
    <w:rsid w:val="00394B3A"/>
    <w:rsid w:val="00395AC8"/>
    <w:rsid w:val="00396BFF"/>
    <w:rsid w:val="00396D6C"/>
    <w:rsid w:val="003A03F1"/>
    <w:rsid w:val="003A1D19"/>
    <w:rsid w:val="003A1E03"/>
    <w:rsid w:val="003A1E24"/>
    <w:rsid w:val="003A3073"/>
    <w:rsid w:val="003A33B1"/>
    <w:rsid w:val="003A3AAA"/>
    <w:rsid w:val="003A3F29"/>
    <w:rsid w:val="003A4651"/>
    <w:rsid w:val="003A4AA1"/>
    <w:rsid w:val="003A4DC6"/>
    <w:rsid w:val="003A6A8A"/>
    <w:rsid w:val="003A7282"/>
    <w:rsid w:val="003A7577"/>
    <w:rsid w:val="003A7961"/>
    <w:rsid w:val="003A79E6"/>
    <w:rsid w:val="003A7D39"/>
    <w:rsid w:val="003B04EA"/>
    <w:rsid w:val="003B04FC"/>
    <w:rsid w:val="003B10F5"/>
    <w:rsid w:val="003B1313"/>
    <w:rsid w:val="003B13FC"/>
    <w:rsid w:val="003B1839"/>
    <w:rsid w:val="003B1CA5"/>
    <w:rsid w:val="003B2437"/>
    <w:rsid w:val="003B3A11"/>
    <w:rsid w:val="003B3E87"/>
    <w:rsid w:val="003B3EF7"/>
    <w:rsid w:val="003B4DFA"/>
    <w:rsid w:val="003B4E86"/>
    <w:rsid w:val="003B55D5"/>
    <w:rsid w:val="003B5646"/>
    <w:rsid w:val="003B6AB1"/>
    <w:rsid w:val="003B7B02"/>
    <w:rsid w:val="003B7B31"/>
    <w:rsid w:val="003C0515"/>
    <w:rsid w:val="003C0ED5"/>
    <w:rsid w:val="003C1404"/>
    <w:rsid w:val="003C254B"/>
    <w:rsid w:val="003C293A"/>
    <w:rsid w:val="003C315F"/>
    <w:rsid w:val="003C3208"/>
    <w:rsid w:val="003C632A"/>
    <w:rsid w:val="003C6C4E"/>
    <w:rsid w:val="003C742F"/>
    <w:rsid w:val="003D1172"/>
    <w:rsid w:val="003D131C"/>
    <w:rsid w:val="003D1CAF"/>
    <w:rsid w:val="003D2DE0"/>
    <w:rsid w:val="003D42D4"/>
    <w:rsid w:val="003D4602"/>
    <w:rsid w:val="003D51F2"/>
    <w:rsid w:val="003D5D0D"/>
    <w:rsid w:val="003D6312"/>
    <w:rsid w:val="003D6BBF"/>
    <w:rsid w:val="003D6D5E"/>
    <w:rsid w:val="003D79EE"/>
    <w:rsid w:val="003E286A"/>
    <w:rsid w:val="003E2EBB"/>
    <w:rsid w:val="003E3019"/>
    <w:rsid w:val="003E33CA"/>
    <w:rsid w:val="003E3A0B"/>
    <w:rsid w:val="003E3B2C"/>
    <w:rsid w:val="003E44A2"/>
    <w:rsid w:val="003E4843"/>
    <w:rsid w:val="003E49F9"/>
    <w:rsid w:val="003E4A2E"/>
    <w:rsid w:val="003E4E74"/>
    <w:rsid w:val="003E51EF"/>
    <w:rsid w:val="003E59D8"/>
    <w:rsid w:val="003E7594"/>
    <w:rsid w:val="003E7A52"/>
    <w:rsid w:val="003E7B4F"/>
    <w:rsid w:val="003E7D42"/>
    <w:rsid w:val="003F12F4"/>
    <w:rsid w:val="003F17B2"/>
    <w:rsid w:val="003F214D"/>
    <w:rsid w:val="003F29AD"/>
    <w:rsid w:val="003F2AFA"/>
    <w:rsid w:val="003F2B88"/>
    <w:rsid w:val="003F30DF"/>
    <w:rsid w:val="003F4663"/>
    <w:rsid w:val="003F473B"/>
    <w:rsid w:val="003F48C1"/>
    <w:rsid w:val="003F4958"/>
    <w:rsid w:val="003F4998"/>
    <w:rsid w:val="003F545F"/>
    <w:rsid w:val="003F5CB8"/>
    <w:rsid w:val="003F5DE9"/>
    <w:rsid w:val="003F6580"/>
    <w:rsid w:val="003F6AFD"/>
    <w:rsid w:val="003F6E5A"/>
    <w:rsid w:val="00400483"/>
    <w:rsid w:val="00400F6B"/>
    <w:rsid w:val="00401F25"/>
    <w:rsid w:val="004021F5"/>
    <w:rsid w:val="00402A2D"/>
    <w:rsid w:val="00402CE1"/>
    <w:rsid w:val="0040419E"/>
    <w:rsid w:val="004044CC"/>
    <w:rsid w:val="00404700"/>
    <w:rsid w:val="00404A09"/>
    <w:rsid w:val="0040512A"/>
    <w:rsid w:val="00405392"/>
    <w:rsid w:val="0040589F"/>
    <w:rsid w:val="00405C07"/>
    <w:rsid w:val="00405D76"/>
    <w:rsid w:val="00406F32"/>
    <w:rsid w:val="00411752"/>
    <w:rsid w:val="00411CA8"/>
    <w:rsid w:val="00411D6C"/>
    <w:rsid w:val="00412165"/>
    <w:rsid w:val="0041235B"/>
    <w:rsid w:val="0041472B"/>
    <w:rsid w:val="00415C3D"/>
    <w:rsid w:val="00420D2A"/>
    <w:rsid w:val="004228CF"/>
    <w:rsid w:val="00422B44"/>
    <w:rsid w:val="004232A5"/>
    <w:rsid w:val="004238BF"/>
    <w:rsid w:val="004246AC"/>
    <w:rsid w:val="00424843"/>
    <w:rsid w:val="00424C85"/>
    <w:rsid w:val="00424FB0"/>
    <w:rsid w:val="00425F1E"/>
    <w:rsid w:val="00426587"/>
    <w:rsid w:val="00430D4D"/>
    <w:rsid w:val="004315A0"/>
    <w:rsid w:val="00431AB8"/>
    <w:rsid w:val="0043406B"/>
    <w:rsid w:val="0043492B"/>
    <w:rsid w:val="004355D1"/>
    <w:rsid w:val="004405B7"/>
    <w:rsid w:val="00440AB7"/>
    <w:rsid w:val="00440F42"/>
    <w:rsid w:val="00441048"/>
    <w:rsid w:val="00441088"/>
    <w:rsid w:val="004410D3"/>
    <w:rsid w:val="00441471"/>
    <w:rsid w:val="00441A0D"/>
    <w:rsid w:val="00444F47"/>
    <w:rsid w:val="00445503"/>
    <w:rsid w:val="004457D8"/>
    <w:rsid w:val="00445BE0"/>
    <w:rsid w:val="00445D11"/>
    <w:rsid w:val="00446A2F"/>
    <w:rsid w:val="004473B0"/>
    <w:rsid w:val="00447A2B"/>
    <w:rsid w:val="0045125D"/>
    <w:rsid w:val="00451590"/>
    <w:rsid w:val="00451763"/>
    <w:rsid w:val="004528B1"/>
    <w:rsid w:val="004528F6"/>
    <w:rsid w:val="00452E70"/>
    <w:rsid w:val="00453FB8"/>
    <w:rsid w:val="004546F4"/>
    <w:rsid w:val="004558E7"/>
    <w:rsid w:val="00455920"/>
    <w:rsid w:val="0045627A"/>
    <w:rsid w:val="00456335"/>
    <w:rsid w:val="00456752"/>
    <w:rsid w:val="00456799"/>
    <w:rsid w:val="00456FC5"/>
    <w:rsid w:val="00457FDE"/>
    <w:rsid w:val="004608A4"/>
    <w:rsid w:val="00460B62"/>
    <w:rsid w:val="004615E0"/>
    <w:rsid w:val="004617A0"/>
    <w:rsid w:val="0046221A"/>
    <w:rsid w:val="00463594"/>
    <w:rsid w:val="00463D84"/>
    <w:rsid w:val="00463DA5"/>
    <w:rsid w:val="00465DF5"/>
    <w:rsid w:val="004662C3"/>
    <w:rsid w:val="00466E3D"/>
    <w:rsid w:val="00466EFB"/>
    <w:rsid w:val="00467273"/>
    <w:rsid w:val="00467956"/>
    <w:rsid w:val="00470B9B"/>
    <w:rsid w:val="00472E8A"/>
    <w:rsid w:val="00474052"/>
    <w:rsid w:val="00476513"/>
    <w:rsid w:val="0047686C"/>
    <w:rsid w:val="00476A5D"/>
    <w:rsid w:val="00476CB9"/>
    <w:rsid w:val="0047746F"/>
    <w:rsid w:val="00477946"/>
    <w:rsid w:val="00477D37"/>
    <w:rsid w:val="00477D59"/>
    <w:rsid w:val="00480507"/>
    <w:rsid w:val="004807FF"/>
    <w:rsid w:val="00482730"/>
    <w:rsid w:val="004827F3"/>
    <w:rsid w:val="00485059"/>
    <w:rsid w:val="00485337"/>
    <w:rsid w:val="00485648"/>
    <w:rsid w:val="00486E55"/>
    <w:rsid w:val="004875DD"/>
    <w:rsid w:val="004905D3"/>
    <w:rsid w:val="00491139"/>
    <w:rsid w:val="0049291D"/>
    <w:rsid w:val="00492CD3"/>
    <w:rsid w:val="0049329B"/>
    <w:rsid w:val="00493495"/>
    <w:rsid w:val="004941FD"/>
    <w:rsid w:val="004966B8"/>
    <w:rsid w:val="00496749"/>
    <w:rsid w:val="00496B02"/>
    <w:rsid w:val="004A11E0"/>
    <w:rsid w:val="004A24F4"/>
    <w:rsid w:val="004A2C73"/>
    <w:rsid w:val="004A2FAF"/>
    <w:rsid w:val="004A35AB"/>
    <w:rsid w:val="004A42B0"/>
    <w:rsid w:val="004A7112"/>
    <w:rsid w:val="004A7F85"/>
    <w:rsid w:val="004B08B5"/>
    <w:rsid w:val="004B08EE"/>
    <w:rsid w:val="004B097D"/>
    <w:rsid w:val="004B1232"/>
    <w:rsid w:val="004B17F8"/>
    <w:rsid w:val="004B1BC9"/>
    <w:rsid w:val="004B2439"/>
    <w:rsid w:val="004B382B"/>
    <w:rsid w:val="004B44A7"/>
    <w:rsid w:val="004B5061"/>
    <w:rsid w:val="004B5946"/>
    <w:rsid w:val="004B5D1E"/>
    <w:rsid w:val="004B695E"/>
    <w:rsid w:val="004B6E17"/>
    <w:rsid w:val="004B710C"/>
    <w:rsid w:val="004B71A6"/>
    <w:rsid w:val="004B7382"/>
    <w:rsid w:val="004B77F3"/>
    <w:rsid w:val="004C107E"/>
    <w:rsid w:val="004C16F6"/>
    <w:rsid w:val="004C1F55"/>
    <w:rsid w:val="004C22F8"/>
    <w:rsid w:val="004C28BE"/>
    <w:rsid w:val="004C3799"/>
    <w:rsid w:val="004C3843"/>
    <w:rsid w:val="004C419A"/>
    <w:rsid w:val="004C4A82"/>
    <w:rsid w:val="004C5A9D"/>
    <w:rsid w:val="004C6306"/>
    <w:rsid w:val="004C6361"/>
    <w:rsid w:val="004C6C20"/>
    <w:rsid w:val="004D1A3B"/>
    <w:rsid w:val="004D3212"/>
    <w:rsid w:val="004D4319"/>
    <w:rsid w:val="004D4692"/>
    <w:rsid w:val="004D48B5"/>
    <w:rsid w:val="004D56AE"/>
    <w:rsid w:val="004E054E"/>
    <w:rsid w:val="004E0FC5"/>
    <w:rsid w:val="004E14C6"/>
    <w:rsid w:val="004E191F"/>
    <w:rsid w:val="004E1936"/>
    <w:rsid w:val="004E1C7A"/>
    <w:rsid w:val="004E28B5"/>
    <w:rsid w:val="004E2F47"/>
    <w:rsid w:val="004E5058"/>
    <w:rsid w:val="004E595B"/>
    <w:rsid w:val="004E5966"/>
    <w:rsid w:val="004E5A6A"/>
    <w:rsid w:val="004E5F37"/>
    <w:rsid w:val="004E5FDB"/>
    <w:rsid w:val="004E7BEE"/>
    <w:rsid w:val="004F0440"/>
    <w:rsid w:val="004F078B"/>
    <w:rsid w:val="004F2E8E"/>
    <w:rsid w:val="004F328E"/>
    <w:rsid w:val="004F36A2"/>
    <w:rsid w:val="004F3735"/>
    <w:rsid w:val="004F6A7C"/>
    <w:rsid w:val="004F6AE7"/>
    <w:rsid w:val="00500446"/>
    <w:rsid w:val="00501F41"/>
    <w:rsid w:val="00502887"/>
    <w:rsid w:val="00503111"/>
    <w:rsid w:val="00503BD2"/>
    <w:rsid w:val="005048FA"/>
    <w:rsid w:val="00505F7C"/>
    <w:rsid w:val="00506623"/>
    <w:rsid w:val="00506A40"/>
    <w:rsid w:val="005075DC"/>
    <w:rsid w:val="0050760E"/>
    <w:rsid w:val="00507DD1"/>
    <w:rsid w:val="00510AAB"/>
    <w:rsid w:val="005127E7"/>
    <w:rsid w:val="005130D7"/>
    <w:rsid w:val="0051333F"/>
    <w:rsid w:val="005154AC"/>
    <w:rsid w:val="00515C64"/>
    <w:rsid w:val="00517D4B"/>
    <w:rsid w:val="00520988"/>
    <w:rsid w:val="00520CAE"/>
    <w:rsid w:val="00521461"/>
    <w:rsid w:val="005217D2"/>
    <w:rsid w:val="00521A41"/>
    <w:rsid w:val="005236FB"/>
    <w:rsid w:val="005263C5"/>
    <w:rsid w:val="00526422"/>
    <w:rsid w:val="005268FC"/>
    <w:rsid w:val="00526A19"/>
    <w:rsid w:val="00527722"/>
    <w:rsid w:val="0053006D"/>
    <w:rsid w:val="00531FD6"/>
    <w:rsid w:val="00532E96"/>
    <w:rsid w:val="00534305"/>
    <w:rsid w:val="00534452"/>
    <w:rsid w:val="00534F03"/>
    <w:rsid w:val="00535A8D"/>
    <w:rsid w:val="00536C11"/>
    <w:rsid w:val="005375A7"/>
    <w:rsid w:val="00537F3C"/>
    <w:rsid w:val="005401E0"/>
    <w:rsid w:val="00540D00"/>
    <w:rsid w:val="00542DA2"/>
    <w:rsid w:val="00543E6D"/>
    <w:rsid w:val="005442B3"/>
    <w:rsid w:val="0054486D"/>
    <w:rsid w:val="00544BD9"/>
    <w:rsid w:val="00544D15"/>
    <w:rsid w:val="00545EEE"/>
    <w:rsid w:val="0054647F"/>
    <w:rsid w:val="00547235"/>
    <w:rsid w:val="005504F0"/>
    <w:rsid w:val="00552005"/>
    <w:rsid w:val="005520A4"/>
    <w:rsid w:val="005522B8"/>
    <w:rsid w:val="00552A0E"/>
    <w:rsid w:val="00552A32"/>
    <w:rsid w:val="00553F1E"/>
    <w:rsid w:val="005540B8"/>
    <w:rsid w:val="0055414F"/>
    <w:rsid w:val="00554276"/>
    <w:rsid w:val="00554735"/>
    <w:rsid w:val="00554997"/>
    <w:rsid w:val="00555283"/>
    <w:rsid w:val="00556663"/>
    <w:rsid w:val="005571B9"/>
    <w:rsid w:val="00557940"/>
    <w:rsid w:val="00560B1C"/>
    <w:rsid w:val="0056177D"/>
    <w:rsid w:val="00563081"/>
    <w:rsid w:val="0056391F"/>
    <w:rsid w:val="00563EA3"/>
    <w:rsid w:val="005648B6"/>
    <w:rsid w:val="00564F42"/>
    <w:rsid w:val="005650A8"/>
    <w:rsid w:val="0056732A"/>
    <w:rsid w:val="00567A11"/>
    <w:rsid w:val="005704AE"/>
    <w:rsid w:val="00570FD2"/>
    <w:rsid w:val="00571BF4"/>
    <w:rsid w:val="00571EBC"/>
    <w:rsid w:val="005721CD"/>
    <w:rsid w:val="005724D7"/>
    <w:rsid w:val="00572E86"/>
    <w:rsid w:val="005738F3"/>
    <w:rsid w:val="00574209"/>
    <w:rsid w:val="005746AC"/>
    <w:rsid w:val="00574B4D"/>
    <w:rsid w:val="00576421"/>
    <w:rsid w:val="00577988"/>
    <w:rsid w:val="00580025"/>
    <w:rsid w:val="0058027C"/>
    <w:rsid w:val="00580D54"/>
    <w:rsid w:val="0058142F"/>
    <w:rsid w:val="005814A7"/>
    <w:rsid w:val="0058261B"/>
    <w:rsid w:val="005840FB"/>
    <w:rsid w:val="00584DE6"/>
    <w:rsid w:val="00586598"/>
    <w:rsid w:val="0058760B"/>
    <w:rsid w:val="00587A41"/>
    <w:rsid w:val="00587BED"/>
    <w:rsid w:val="005900E1"/>
    <w:rsid w:val="0059061D"/>
    <w:rsid w:val="005906ED"/>
    <w:rsid w:val="00591518"/>
    <w:rsid w:val="005920E8"/>
    <w:rsid w:val="00592B8F"/>
    <w:rsid w:val="00593807"/>
    <w:rsid w:val="00594E09"/>
    <w:rsid w:val="005964B3"/>
    <w:rsid w:val="0059667B"/>
    <w:rsid w:val="005A0202"/>
    <w:rsid w:val="005A05EF"/>
    <w:rsid w:val="005A079E"/>
    <w:rsid w:val="005A09C6"/>
    <w:rsid w:val="005A1477"/>
    <w:rsid w:val="005A1573"/>
    <w:rsid w:val="005A28BC"/>
    <w:rsid w:val="005A2D2F"/>
    <w:rsid w:val="005A3817"/>
    <w:rsid w:val="005A3B75"/>
    <w:rsid w:val="005A4BAC"/>
    <w:rsid w:val="005A4D1D"/>
    <w:rsid w:val="005A6057"/>
    <w:rsid w:val="005A6E82"/>
    <w:rsid w:val="005B155A"/>
    <w:rsid w:val="005B156D"/>
    <w:rsid w:val="005B1927"/>
    <w:rsid w:val="005B1D18"/>
    <w:rsid w:val="005B271F"/>
    <w:rsid w:val="005B2CF6"/>
    <w:rsid w:val="005B31C3"/>
    <w:rsid w:val="005B446E"/>
    <w:rsid w:val="005B486D"/>
    <w:rsid w:val="005B66C1"/>
    <w:rsid w:val="005B79EE"/>
    <w:rsid w:val="005C0608"/>
    <w:rsid w:val="005C14ED"/>
    <w:rsid w:val="005C215A"/>
    <w:rsid w:val="005C217D"/>
    <w:rsid w:val="005C251E"/>
    <w:rsid w:val="005C36C8"/>
    <w:rsid w:val="005C3844"/>
    <w:rsid w:val="005C4C13"/>
    <w:rsid w:val="005C5331"/>
    <w:rsid w:val="005C5C5E"/>
    <w:rsid w:val="005C6433"/>
    <w:rsid w:val="005C6C09"/>
    <w:rsid w:val="005C7E54"/>
    <w:rsid w:val="005D12DB"/>
    <w:rsid w:val="005D1CC8"/>
    <w:rsid w:val="005D39BF"/>
    <w:rsid w:val="005D3D59"/>
    <w:rsid w:val="005D4B35"/>
    <w:rsid w:val="005D4F46"/>
    <w:rsid w:val="005D574E"/>
    <w:rsid w:val="005D5A5C"/>
    <w:rsid w:val="005D5E81"/>
    <w:rsid w:val="005D616B"/>
    <w:rsid w:val="005D797B"/>
    <w:rsid w:val="005E0777"/>
    <w:rsid w:val="005E1608"/>
    <w:rsid w:val="005E2821"/>
    <w:rsid w:val="005E3397"/>
    <w:rsid w:val="005E3BFA"/>
    <w:rsid w:val="005E3F15"/>
    <w:rsid w:val="005E44F0"/>
    <w:rsid w:val="005E46C4"/>
    <w:rsid w:val="005E4E57"/>
    <w:rsid w:val="005E517E"/>
    <w:rsid w:val="005E5AF5"/>
    <w:rsid w:val="005E5E62"/>
    <w:rsid w:val="005E7695"/>
    <w:rsid w:val="005E786C"/>
    <w:rsid w:val="005E7EB4"/>
    <w:rsid w:val="005F1942"/>
    <w:rsid w:val="005F21D5"/>
    <w:rsid w:val="005F3126"/>
    <w:rsid w:val="005F368D"/>
    <w:rsid w:val="005F3951"/>
    <w:rsid w:val="005F3CB6"/>
    <w:rsid w:val="005F40F5"/>
    <w:rsid w:val="005F50AC"/>
    <w:rsid w:val="005F6222"/>
    <w:rsid w:val="005F68A7"/>
    <w:rsid w:val="005F6A43"/>
    <w:rsid w:val="005F7CBD"/>
    <w:rsid w:val="00600267"/>
    <w:rsid w:val="006002E6"/>
    <w:rsid w:val="0060031D"/>
    <w:rsid w:val="0060059B"/>
    <w:rsid w:val="00600C93"/>
    <w:rsid w:val="006015B0"/>
    <w:rsid w:val="006039C7"/>
    <w:rsid w:val="0060436F"/>
    <w:rsid w:val="006051B6"/>
    <w:rsid w:val="0060604A"/>
    <w:rsid w:val="00606066"/>
    <w:rsid w:val="006060D8"/>
    <w:rsid w:val="00606401"/>
    <w:rsid w:val="00606EC2"/>
    <w:rsid w:val="00607328"/>
    <w:rsid w:val="00607BEB"/>
    <w:rsid w:val="006101B7"/>
    <w:rsid w:val="00611C78"/>
    <w:rsid w:val="00612E3F"/>
    <w:rsid w:val="00613309"/>
    <w:rsid w:val="00613C9A"/>
    <w:rsid w:val="00615319"/>
    <w:rsid w:val="006165F1"/>
    <w:rsid w:val="00617D28"/>
    <w:rsid w:val="006202E7"/>
    <w:rsid w:val="00620356"/>
    <w:rsid w:val="00620361"/>
    <w:rsid w:val="0062091E"/>
    <w:rsid w:val="00621C3B"/>
    <w:rsid w:val="00621D66"/>
    <w:rsid w:val="00622BB4"/>
    <w:rsid w:val="00622EAC"/>
    <w:rsid w:val="0062446F"/>
    <w:rsid w:val="00624A01"/>
    <w:rsid w:val="00624ADA"/>
    <w:rsid w:val="00624BD5"/>
    <w:rsid w:val="0062517B"/>
    <w:rsid w:val="00625794"/>
    <w:rsid w:val="006264A6"/>
    <w:rsid w:val="00626B0C"/>
    <w:rsid w:val="006326CA"/>
    <w:rsid w:val="006342EF"/>
    <w:rsid w:val="00635BF8"/>
    <w:rsid w:val="00635F4C"/>
    <w:rsid w:val="00635FC7"/>
    <w:rsid w:val="00636D81"/>
    <w:rsid w:val="00636DBB"/>
    <w:rsid w:val="00640E13"/>
    <w:rsid w:val="00641154"/>
    <w:rsid w:val="00641CB0"/>
    <w:rsid w:val="00642657"/>
    <w:rsid w:val="00642A66"/>
    <w:rsid w:val="00642D3F"/>
    <w:rsid w:val="006435A0"/>
    <w:rsid w:val="00643C3E"/>
    <w:rsid w:val="0064469F"/>
    <w:rsid w:val="0064539E"/>
    <w:rsid w:val="00645910"/>
    <w:rsid w:val="006460E0"/>
    <w:rsid w:val="00646B68"/>
    <w:rsid w:val="006474FF"/>
    <w:rsid w:val="00647B88"/>
    <w:rsid w:val="00647D92"/>
    <w:rsid w:val="0065275C"/>
    <w:rsid w:val="00652E69"/>
    <w:rsid w:val="006535B8"/>
    <w:rsid w:val="00653B67"/>
    <w:rsid w:val="00653D8D"/>
    <w:rsid w:val="00654EF7"/>
    <w:rsid w:val="00655CD4"/>
    <w:rsid w:val="00656A72"/>
    <w:rsid w:val="00657445"/>
    <w:rsid w:val="006603D7"/>
    <w:rsid w:val="00670412"/>
    <w:rsid w:val="00670A58"/>
    <w:rsid w:val="0067219A"/>
    <w:rsid w:val="00672B4C"/>
    <w:rsid w:val="00672B65"/>
    <w:rsid w:val="00673429"/>
    <w:rsid w:val="00675642"/>
    <w:rsid w:val="006759AB"/>
    <w:rsid w:val="0067604B"/>
    <w:rsid w:val="006763C0"/>
    <w:rsid w:val="00677E80"/>
    <w:rsid w:val="00681F59"/>
    <w:rsid w:val="006821F2"/>
    <w:rsid w:val="00683145"/>
    <w:rsid w:val="00684531"/>
    <w:rsid w:val="006847EF"/>
    <w:rsid w:val="00685B70"/>
    <w:rsid w:val="00686892"/>
    <w:rsid w:val="00686AB1"/>
    <w:rsid w:val="006871D8"/>
    <w:rsid w:val="00687B68"/>
    <w:rsid w:val="00690474"/>
    <w:rsid w:val="00690946"/>
    <w:rsid w:val="00690C0B"/>
    <w:rsid w:val="00691E1A"/>
    <w:rsid w:val="00692066"/>
    <w:rsid w:val="006949E6"/>
    <w:rsid w:val="006955B3"/>
    <w:rsid w:val="006962F4"/>
    <w:rsid w:val="00696317"/>
    <w:rsid w:val="0069631C"/>
    <w:rsid w:val="00696622"/>
    <w:rsid w:val="00696968"/>
    <w:rsid w:val="00697371"/>
    <w:rsid w:val="006A00D4"/>
    <w:rsid w:val="006A01A3"/>
    <w:rsid w:val="006A037B"/>
    <w:rsid w:val="006A0389"/>
    <w:rsid w:val="006A1958"/>
    <w:rsid w:val="006A1F9B"/>
    <w:rsid w:val="006A2C28"/>
    <w:rsid w:val="006A38B3"/>
    <w:rsid w:val="006A4544"/>
    <w:rsid w:val="006A474E"/>
    <w:rsid w:val="006A60E1"/>
    <w:rsid w:val="006A6EFF"/>
    <w:rsid w:val="006A785A"/>
    <w:rsid w:val="006B05EE"/>
    <w:rsid w:val="006B224D"/>
    <w:rsid w:val="006B3343"/>
    <w:rsid w:val="006B3CE6"/>
    <w:rsid w:val="006B4EF0"/>
    <w:rsid w:val="006B5B0F"/>
    <w:rsid w:val="006B7075"/>
    <w:rsid w:val="006B7FC1"/>
    <w:rsid w:val="006C092B"/>
    <w:rsid w:val="006C3B0B"/>
    <w:rsid w:val="006C3E2E"/>
    <w:rsid w:val="006C4570"/>
    <w:rsid w:val="006C4D0F"/>
    <w:rsid w:val="006C5131"/>
    <w:rsid w:val="006C5377"/>
    <w:rsid w:val="006C5C54"/>
    <w:rsid w:val="006C5D86"/>
    <w:rsid w:val="006C5DE8"/>
    <w:rsid w:val="006C649A"/>
    <w:rsid w:val="006C69F3"/>
    <w:rsid w:val="006C799C"/>
    <w:rsid w:val="006D0218"/>
    <w:rsid w:val="006D0345"/>
    <w:rsid w:val="006D23EA"/>
    <w:rsid w:val="006D2DBA"/>
    <w:rsid w:val="006D343C"/>
    <w:rsid w:val="006D4092"/>
    <w:rsid w:val="006D4429"/>
    <w:rsid w:val="006D5240"/>
    <w:rsid w:val="006D599B"/>
    <w:rsid w:val="006D6422"/>
    <w:rsid w:val="006D682E"/>
    <w:rsid w:val="006E05F4"/>
    <w:rsid w:val="006E1B0E"/>
    <w:rsid w:val="006E1BFB"/>
    <w:rsid w:val="006E2A02"/>
    <w:rsid w:val="006E4B6B"/>
    <w:rsid w:val="006E4DBC"/>
    <w:rsid w:val="006E5ED8"/>
    <w:rsid w:val="006E5F14"/>
    <w:rsid w:val="006E64AF"/>
    <w:rsid w:val="006E7765"/>
    <w:rsid w:val="006E785A"/>
    <w:rsid w:val="006E7A21"/>
    <w:rsid w:val="006F1AA8"/>
    <w:rsid w:val="006F2E57"/>
    <w:rsid w:val="006F35D9"/>
    <w:rsid w:val="006F462D"/>
    <w:rsid w:val="006F597E"/>
    <w:rsid w:val="006F5CA2"/>
    <w:rsid w:val="006F6416"/>
    <w:rsid w:val="006F67BF"/>
    <w:rsid w:val="006F6A2E"/>
    <w:rsid w:val="00700CE2"/>
    <w:rsid w:val="007017F5"/>
    <w:rsid w:val="00702818"/>
    <w:rsid w:val="00702A1F"/>
    <w:rsid w:val="00705054"/>
    <w:rsid w:val="0070584F"/>
    <w:rsid w:val="00706CF5"/>
    <w:rsid w:val="00707F98"/>
    <w:rsid w:val="007100CA"/>
    <w:rsid w:val="00710772"/>
    <w:rsid w:val="00712E01"/>
    <w:rsid w:val="0071366B"/>
    <w:rsid w:val="00713685"/>
    <w:rsid w:val="00715DB0"/>
    <w:rsid w:val="00716E5C"/>
    <w:rsid w:val="00720BDD"/>
    <w:rsid w:val="007216F8"/>
    <w:rsid w:val="00722244"/>
    <w:rsid w:val="00722491"/>
    <w:rsid w:val="00722A57"/>
    <w:rsid w:val="00722B2E"/>
    <w:rsid w:val="00723CC5"/>
    <w:rsid w:val="00724D20"/>
    <w:rsid w:val="00725DF7"/>
    <w:rsid w:val="007261CA"/>
    <w:rsid w:val="00730898"/>
    <w:rsid w:val="00731095"/>
    <w:rsid w:val="00731277"/>
    <w:rsid w:val="007320B2"/>
    <w:rsid w:val="0073304E"/>
    <w:rsid w:val="007342F9"/>
    <w:rsid w:val="0073452A"/>
    <w:rsid w:val="00734669"/>
    <w:rsid w:val="00734863"/>
    <w:rsid w:val="007357A3"/>
    <w:rsid w:val="00735AFB"/>
    <w:rsid w:val="00737CDD"/>
    <w:rsid w:val="007404EE"/>
    <w:rsid w:val="0074059C"/>
    <w:rsid w:val="00740C8D"/>
    <w:rsid w:val="007417BE"/>
    <w:rsid w:val="007426F6"/>
    <w:rsid w:val="007439A7"/>
    <w:rsid w:val="00743E27"/>
    <w:rsid w:val="00745A5D"/>
    <w:rsid w:val="00746089"/>
    <w:rsid w:val="00746BCB"/>
    <w:rsid w:val="00746E87"/>
    <w:rsid w:val="00750417"/>
    <w:rsid w:val="00750A22"/>
    <w:rsid w:val="00750B96"/>
    <w:rsid w:val="007512E0"/>
    <w:rsid w:val="00752501"/>
    <w:rsid w:val="00753198"/>
    <w:rsid w:val="00755D82"/>
    <w:rsid w:val="00756D9B"/>
    <w:rsid w:val="00757302"/>
    <w:rsid w:val="007574EB"/>
    <w:rsid w:val="00757BF6"/>
    <w:rsid w:val="00760269"/>
    <w:rsid w:val="00760A1C"/>
    <w:rsid w:val="00760BEE"/>
    <w:rsid w:val="00761035"/>
    <w:rsid w:val="007614E7"/>
    <w:rsid w:val="007615D2"/>
    <w:rsid w:val="00762E20"/>
    <w:rsid w:val="00763AC2"/>
    <w:rsid w:val="00763B69"/>
    <w:rsid w:val="0076449A"/>
    <w:rsid w:val="0076520E"/>
    <w:rsid w:val="0076660C"/>
    <w:rsid w:val="00766D11"/>
    <w:rsid w:val="0076746D"/>
    <w:rsid w:val="00767AA7"/>
    <w:rsid w:val="007702F7"/>
    <w:rsid w:val="00770A30"/>
    <w:rsid w:val="00770F0F"/>
    <w:rsid w:val="00770F1B"/>
    <w:rsid w:val="0077186F"/>
    <w:rsid w:val="00771AC7"/>
    <w:rsid w:val="00771B27"/>
    <w:rsid w:val="00771BF9"/>
    <w:rsid w:val="0077356B"/>
    <w:rsid w:val="00773A6C"/>
    <w:rsid w:val="00773BEF"/>
    <w:rsid w:val="0077469D"/>
    <w:rsid w:val="00775308"/>
    <w:rsid w:val="00775855"/>
    <w:rsid w:val="0077612B"/>
    <w:rsid w:val="0077617D"/>
    <w:rsid w:val="007774FD"/>
    <w:rsid w:val="00777635"/>
    <w:rsid w:val="00777E51"/>
    <w:rsid w:val="00780383"/>
    <w:rsid w:val="0078063F"/>
    <w:rsid w:val="00780E57"/>
    <w:rsid w:val="00780F5C"/>
    <w:rsid w:val="0078104E"/>
    <w:rsid w:val="00781C6A"/>
    <w:rsid w:val="007827E4"/>
    <w:rsid w:val="00783397"/>
    <w:rsid w:val="00783526"/>
    <w:rsid w:val="00783EC6"/>
    <w:rsid w:val="0078627A"/>
    <w:rsid w:val="007869E1"/>
    <w:rsid w:val="00787170"/>
    <w:rsid w:val="007879D2"/>
    <w:rsid w:val="00790022"/>
    <w:rsid w:val="007904CC"/>
    <w:rsid w:val="00791309"/>
    <w:rsid w:val="0079188E"/>
    <w:rsid w:val="0079366F"/>
    <w:rsid w:val="007942B0"/>
    <w:rsid w:val="00795F6D"/>
    <w:rsid w:val="00797752"/>
    <w:rsid w:val="00797B2D"/>
    <w:rsid w:val="00797DE0"/>
    <w:rsid w:val="007A0B22"/>
    <w:rsid w:val="007A281A"/>
    <w:rsid w:val="007A29F6"/>
    <w:rsid w:val="007A3B06"/>
    <w:rsid w:val="007A4BEC"/>
    <w:rsid w:val="007A50C7"/>
    <w:rsid w:val="007A530A"/>
    <w:rsid w:val="007A5636"/>
    <w:rsid w:val="007A606A"/>
    <w:rsid w:val="007A6589"/>
    <w:rsid w:val="007A7412"/>
    <w:rsid w:val="007B0FC2"/>
    <w:rsid w:val="007B10E3"/>
    <w:rsid w:val="007B119F"/>
    <w:rsid w:val="007B1A25"/>
    <w:rsid w:val="007B1C32"/>
    <w:rsid w:val="007B1F57"/>
    <w:rsid w:val="007B31C4"/>
    <w:rsid w:val="007B4244"/>
    <w:rsid w:val="007B4F24"/>
    <w:rsid w:val="007B543B"/>
    <w:rsid w:val="007B54D6"/>
    <w:rsid w:val="007B64A1"/>
    <w:rsid w:val="007B6678"/>
    <w:rsid w:val="007B68E8"/>
    <w:rsid w:val="007B7176"/>
    <w:rsid w:val="007B7B1D"/>
    <w:rsid w:val="007C028E"/>
    <w:rsid w:val="007C0788"/>
    <w:rsid w:val="007C1D94"/>
    <w:rsid w:val="007C2049"/>
    <w:rsid w:val="007C35ED"/>
    <w:rsid w:val="007C3C46"/>
    <w:rsid w:val="007C4579"/>
    <w:rsid w:val="007C51A9"/>
    <w:rsid w:val="007C528F"/>
    <w:rsid w:val="007C570C"/>
    <w:rsid w:val="007C715D"/>
    <w:rsid w:val="007D0A0D"/>
    <w:rsid w:val="007D0EE6"/>
    <w:rsid w:val="007D0F09"/>
    <w:rsid w:val="007D2F91"/>
    <w:rsid w:val="007D32DD"/>
    <w:rsid w:val="007D3551"/>
    <w:rsid w:val="007D37EB"/>
    <w:rsid w:val="007D3DCE"/>
    <w:rsid w:val="007D3DF7"/>
    <w:rsid w:val="007D4935"/>
    <w:rsid w:val="007D4FA2"/>
    <w:rsid w:val="007D52A9"/>
    <w:rsid w:val="007D578F"/>
    <w:rsid w:val="007D6259"/>
    <w:rsid w:val="007D67CA"/>
    <w:rsid w:val="007D70EE"/>
    <w:rsid w:val="007D78E6"/>
    <w:rsid w:val="007E0098"/>
    <w:rsid w:val="007E0A54"/>
    <w:rsid w:val="007E1A9A"/>
    <w:rsid w:val="007E2CD7"/>
    <w:rsid w:val="007E47E3"/>
    <w:rsid w:val="007E4F23"/>
    <w:rsid w:val="007E5489"/>
    <w:rsid w:val="007E5A90"/>
    <w:rsid w:val="007E6204"/>
    <w:rsid w:val="007E67FD"/>
    <w:rsid w:val="007E689C"/>
    <w:rsid w:val="007E6AB5"/>
    <w:rsid w:val="007E6C5B"/>
    <w:rsid w:val="007E7E2C"/>
    <w:rsid w:val="007F074B"/>
    <w:rsid w:val="007F0D0C"/>
    <w:rsid w:val="007F1232"/>
    <w:rsid w:val="007F1254"/>
    <w:rsid w:val="007F162E"/>
    <w:rsid w:val="007F268E"/>
    <w:rsid w:val="007F2ABD"/>
    <w:rsid w:val="007F3C84"/>
    <w:rsid w:val="007F400A"/>
    <w:rsid w:val="007F4507"/>
    <w:rsid w:val="007F4691"/>
    <w:rsid w:val="007F74CA"/>
    <w:rsid w:val="00801D70"/>
    <w:rsid w:val="00802EB4"/>
    <w:rsid w:val="00803512"/>
    <w:rsid w:val="0080474B"/>
    <w:rsid w:val="008052A3"/>
    <w:rsid w:val="00805A77"/>
    <w:rsid w:val="00806233"/>
    <w:rsid w:val="00806B27"/>
    <w:rsid w:val="00811A82"/>
    <w:rsid w:val="00811D5F"/>
    <w:rsid w:val="00812DE8"/>
    <w:rsid w:val="008139AA"/>
    <w:rsid w:val="00814537"/>
    <w:rsid w:val="00815D5B"/>
    <w:rsid w:val="00815F0F"/>
    <w:rsid w:val="00815FAD"/>
    <w:rsid w:val="008160B3"/>
    <w:rsid w:val="008160B4"/>
    <w:rsid w:val="00817DEF"/>
    <w:rsid w:val="008203E3"/>
    <w:rsid w:val="0082076C"/>
    <w:rsid w:val="00820D9A"/>
    <w:rsid w:val="008219FF"/>
    <w:rsid w:val="00823E8A"/>
    <w:rsid w:val="0082465A"/>
    <w:rsid w:val="00827987"/>
    <w:rsid w:val="00827A67"/>
    <w:rsid w:val="00827F87"/>
    <w:rsid w:val="0083076B"/>
    <w:rsid w:val="00830A6F"/>
    <w:rsid w:val="008331BA"/>
    <w:rsid w:val="00833509"/>
    <w:rsid w:val="0083369C"/>
    <w:rsid w:val="008346E1"/>
    <w:rsid w:val="008371A6"/>
    <w:rsid w:val="00837331"/>
    <w:rsid w:val="00837715"/>
    <w:rsid w:val="0084186D"/>
    <w:rsid w:val="00842FD2"/>
    <w:rsid w:val="0084303E"/>
    <w:rsid w:val="00843812"/>
    <w:rsid w:val="00843D39"/>
    <w:rsid w:val="00846087"/>
    <w:rsid w:val="0084611D"/>
    <w:rsid w:val="00846478"/>
    <w:rsid w:val="00846B72"/>
    <w:rsid w:val="00847E48"/>
    <w:rsid w:val="008502F0"/>
    <w:rsid w:val="00850772"/>
    <w:rsid w:val="00850778"/>
    <w:rsid w:val="00851230"/>
    <w:rsid w:val="00851DAA"/>
    <w:rsid w:val="008525C3"/>
    <w:rsid w:val="008527DD"/>
    <w:rsid w:val="00853EAE"/>
    <w:rsid w:val="00856969"/>
    <w:rsid w:val="0085722D"/>
    <w:rsid w:val="0085765E"/>
    <w:rsid w:val="008602FA"/>
    <w:rsid w:val="00863AC3"/>
    <w:rsid w:val="0086406C"/>
    <w:rsid w:val="00865A3A"/>
    <w:rsid w:val="00865B87"/>
    <w:rsid w:val="00865D5C"/>
    <w:rsid w:val="00866E52"/>
    <w:rsid w:val="008727B2"/>
    <w:rsid w:val="00872F0B"/>
    <w:rsid w:val="008733CF"/>
    <w:rsid w:val="008745B6"/>
    <w:rsid w:val="00875140"/>
    <w:rsid w:val="00875378"/>
    <w:rsid w:val="008754EA"/>
    <w:rsid w:val="008764CA"/>
    <w:rsid w:val="008819B3"/>
    <w:rsid w:val="00881E41"/>
    <w:rsid w:val="0088211C"/>
    <w:rsid w:val="00882610"/>
    <w:rsid w:val="0088282E"/>
    <w:rsid w:val="00882916"/>
    <w:rsid w:val="0088373B"/>
    <w:rsid w:val="00883D17"/>
    <w:rsid w:val="00885723"/>
    <w:rsid w:val="008858CD"/>
    <w:rsid w:val="00886155"/>
    <w:rsid w:val="0088633A"/>
    <w:rsid w:val="00886510"/>
    <w:rsid w:val="00886B84"/>
    <w:rsid w:val="00887318"/>
    <w:rsid w:val="00890EA9"/>
    <w:rsid w:val="00891057"/>
    <w:rsid w:val="008913D2"/>
    <w:rsid w:val="00891711"/>
    <w:rsid w:val="0089371D"/>
    <w:rsid w:val="0089377E"/>
    <w:rsid w:val="00893AF2"/>
    <w:rsid w:val="00894320"/>
    <w:rsid w:val="00894E70"/>
    <w:rsid w:val="0089524C"/>
    <w:rsid w:val="008952FA"/>
    <w:rsid w:val="00895350"/>
    <w:rsid w:val="008954EC"/>
    <w:rsid w:val="00896A30"/>
    <w:rsid w:val="0089782E"/>
    <w:rsid w:val="00897893"/>
    <w:rsid w:val="008A0561"/>
    <w:rsid w:val="008A27E7"/>
    <w:rsid w:val="008A2848"/>
    <w:rsid w:val="008A2F21"/>
    <w:rsid w:val="008A3019"/>
    <w:rsid w:val="008A3675"/>
    <w:rsid w:val="008A47F6"/>
    <w:rsid w:val="008A4A5D"/>
    <w:rsid w:val="008A5FF8"/>
    <w:rsid w:val="008A60F5"/>
    <w:rsid w:val="008A6469"/>
    <w:rsid w:val="008A667E"/>
    <w:rsid w:val="008A6CE5"/>
    <w:rsid w:val="008A7633"/>
    <w:rsid w:val="008A7A03"/>
    <w:rsid w:val="008B0DA7"/>
    <w:rsid w:val="008B1360"/>
    <w:rsid w:val="008B1564"/>
    <w:rsid w:val="008B3A59"/>
    <w:rsid w:val="008B48D2"/>
    <w:rsid w:val="008B4A1A"/>
    <w:rsid w:val="008B643E"/>
    <w:rsid w:val="008B6E40"/>
    <w:rsid w:val="008B7AF7"/>
    <w:rsid w:val="008B7F59"/>
    <w:rsid w:val="008C10D7"/>
    <w:rsid w:val="008C11B2"/>
    <w:rsid w:val="008C2506"/>
    <w:rsid w:val="008C289D"/>
    <w:rsid w:val="008C3723"/>
    <w:rsid w:val="008C38D9"/>
    <w:rsid w:val="008C3A1E"/>
    <w:rsid w:val="008C4B44"/>
    <w:rsid w:val="008C5988"/>
    <w:rsid w:val="008C63A4"/>
    <w:rsid w:val="008C6611"/>
    <w:rsid w:val="008C6FD9"/>
    <w:rsid w:val="008D00B3"/>
    <w:rsid w:val="008D1BEE"/>
    <w:rsid w:val="008D2B65"/>
    <w:rsid w:val="008D3825"/>
    <w:rsid w:val="008D523F"/>
    <w:rsid w:val="008E09CF"/>
    <w:rsid w:val="008E1965"/>
    <w:rsid w:val="008E1B7E"/>
    <w:rsid w:val="008E1B8F"/>
    <w:rsid w:val="008E1BB3"/>
    <w:rsid w:val="008E2DFA"/>
    <w:rsid w:val="008E2E95"/>
    <w:rsid w:val="008E31F3"/>
    <w:rsid w:val="008E414E"/>
    <w:rsid w:val="008E4584"/>
    <w:rsid w:val="008E4B8D"/>
    <w:rsid w:val="008E59E9"/>
    <w:rsid w:val="008E5E33"/>
    <w:rsid w:val="008E6195"/>
    <w:rsid w:val="008E6797"/>
    <w:rsid w:val="008E6BBD"/>
    <w:rsid w:val="008E77D1"/>
    <w:rsid w:val="008F013A"/>
    <w:rsid w:val="008F06BE"/>
    <w:rsid w:val="008F0F3C"/>
    <w:rsid w:val="008F251A"/>
    <w:rsid w:val="008F296D"/>
    <w:rsid w:val="008F3376"/>
    <w:rsid w:val="008F3AA3"/>
    <w:rsid w:val="008F446B"/>
    <w:rsid w:val="008F5605"/>
    <w:rsid w:val="008F62C7"/>
    <w:rsid w:val="00900E9A"/>
    <w:rsid w:val="00902D69"/>
    <w:rsid w:val="009037C9"/>
    <w:rsid w:val="00904652"/>
    <w:rsid w:val="00907671"/>
    <w:rsid w:val="00910686"/>
    <w:rsid w:val="009107F6"/>
    <w:rsid w:val="0091082D"/>
    <w:rsid w:val="00912E49"/>
    <w:rsid w:val="009130F7"/>
    <w:rsid w:val="00913A89"/>
    <w:rsid w:val="00913C67"/>
    <w:rsid w:val="00913E7F"/>
    <w:rsid w:val="00913F8F"/>
    <w:rsid w:val="00913FFF"/>
    <w:rsid w:val="00914443"/>
    <w:rsid w:val="009145E0"/>
    <w:rsid w:val="009153E4"/>
    <w:rsid w:val="009211F8"/>
    <w:rsid w:val="009245BF"/>
    <w:rsid w:val="00924B8B"/>
    <w:rsid w:val="009251EE"/>
    <w:rsid w:val="00925925"/>
    <w:rsid w:val="00925C0F"/>
    <w:rsid w:val="00925CE6"/>
    <w:rsid w:val="00926045"/>
    <w:rsid w:val="00926132"/>
    <w:rsid w:val="00927189"/>
    <w:rsid w:val="0092739B"/>
    <w:rsid w:val="00927A7F"/>
    <w:rsid w:val="009302A2"/>
    <w:rsid w:val="00932333"/>
    <w:rsid w:val="0093271F"/>
    <w:rsid w:val="009337B8"/>
    <w:rsid w:val="009341B3"/>
    <w:rsid w:val="00935565"/>
    <w:rsid w:val="0093611A"/>
    <w:rsid w:val="00936887"/>
    <w:rsid w:val="009371C0"/>
    <w:rsid w:val="0093723D"/>
    <w:rsid w:val="00940185"/>
    <w:rsid w:val="00942BDE"/>
    <w:rsid w:val="009438E3"/>
    <w:rsid w:val="00944E10"/>
    <w:rsid w:val="00945816"/>
    <w:rsid w:val="00946AA0"/>
    <w:rsid w:val="00946E2C"/>
    <w:rsid w:val="00947586"/>
    <w:rsid w:val="009510C5"/>
    <w:rsid w:val="00951B0A"/>
    <w:rsid w:val="0095227B"/>
    <w:rsid w:val="0095248C"/>
    <w:rsid w:val="009529F4"/>
    <w:rsid w:val="009530F0"/>
    <w:rsid w:val="00953575"/>
    <w:rsid w:val="00953E0B"/>
    <w:rsid w:val="00954DFC"/>
    <w:rsid w:val="00955307"/>
    <w:rsid w:val="00955A2E"/>
    <w:rsid w:val="00956FE1"/>
    <w:rsid w:val="0095749A"/>
    <w:rsid w:val="009574C3"/>
    <w:rsid w:val="00957B56"/>
    <w:rsid w:val="00960F69"/>
    <w:rsid w:val="00961699"/>
    <w:rsid w:val="0096283B"/>
    <w:rsid w:val="00962989"/>
    <w:rsid w:val="00962B99"/>
    <w:rsid w:val="00962E25"/>
    <w:rsid w:val="0096314B"/>
    <w:rsid w:val="00965006"/>
    <w:rsid w:val="00965517"/>
    <w:rsid w:val="00965622"/>
    <w:rsid w:val="00965A05"/>
    <w:rsid w:val="00966239"/>
    <w:rsid w:val="00966821"/>
    <w:rsid w:val="0096792B"/>
    <w:rsid w:val="0097026C"/>
    <w:rsid w:val="0097154C"/>
    <w:rsid w:val="00973990"/>
    <w:rsid w:val="00974055"/>
    <w:rsid w:val="009752B5"/>
    <w:rsid w:val="009756C5"/>
    <w:rsid w:val="0097604F"/>
    <w:rsid w:val="009761BB"/>
    <w:rsid w:val="00976334"/>
    <w:rsid w:val="009804BE"/>
    <w:rsid w:val="00980519"/>
    <w:rsid w:val="00980631"/>
    <w:rsid w:val="009809B1"/>
    <w:rsid w:val="00983EF0"/>
    <w:rsid w:val="009856E0"/>
    <w:rsid w:val="009903BB"/>
    <w:rsid w:val="00991355"/>
    <w:rsid w:val="0099199D"/>
    <w:rsid w:val="009942C6"/>
    <w:rsid w:val="00994679"/>
    <w:rsid w:val="00994B60"/>
    <w:rsid w:val="00996F92"/>
    <w:rsid w:val="009A094F"/>
    <w:rsid w:val="009A0E9C"/>
    <w:rsid w:val="009A1244"/>
    <w:rsid w:val="009A170F"/>
    <w:rsid w:val="009A1A16"/>
    <w:rsid w:val="009A1BE5"/>
    <w:rsid w:val="009A24A8"/>
    <w:rsid w:val="009A25A2"/>
    <w:rsid w:val="009A2E7D"/>
    <w:rsid w:val="009A2F60"/>
    <w:rsid w:val="009A2FB5"/>
    <w:rsid w:val="009A3787"/>
    <w:rsid w:val="009A3EDC"/>
    <w:rsid w:val="009A4527"/>
    <w:rsid w:val="009A50E0"/>
    <w:rsid w:val="009A61B0"/>
    <w:rsid w:val="009A6482"/>
    <w:rsid w:val="009B0FA3"/>
    <w:rsid w:val="009B1F23"/>
    <w:rsid w:val="009B2ACF"/>
    <w:rsid w:val="009B406E"/>
    <w:rsid w:val="009B4F64"/>
    <w:rsid w:val="009B5CA7"/>
    <w:rsid w:val="009B6276"/>
    <w:rsid w:val="009B6385"/>
    <w:rsid w:val="009B7E43"/>
    <w:rsid w:val="009C24D8"/>
    <w:rsid w:val="009C2BEF"/>
    <w:rsid w:val="009C2ED6"/>
    <w:rsid w:val="009C42D4"/>
    <w:rsid w:val="009C456D"/>
    <w:rsid w:val="009C5C1C"/>
    <w:rsid w:val="009C5F51"/>
    <w:rsid w:val="009C6655"/>
    <w:rsid w:val="009C6D6C"/>
    <w:rsid w:val="009C770C"/>
    <w:rsid w:val="009D09A2"/>
    <w:rsid w:val="009D1950"/>
    <w:rsid w:val="009D2493"/>
    <w:rsid w:val="009D288E"/>
    <w:rsid w:val="009D2A09"/>
    <w:rsid w:val="009D2B94"/>
    <w:rsid w:val="009D3D04"/>
    <w:rsid w:val="009D3FCE"/>
    <w:rsid w:val="009D4244"/>
    <w:rsid w:val="009D49E9"/>
    <w:rsid w:val="009D5830"/>
    <w:rsid w:val="009D5BFD"/>
    <w:rsid w:val="009D5F9E"/>
    <w:rsid w:val="009D6646"/>
    <w:rsid w:val="009D7160"/>
    <w:rsid w:val="009E0E7C"/>
    <w:rsid w:val="009E0F6B"/>
    <w:rsid w:val="009E21C6"/>
    <w:rsid w:val="009E2A4E"/>
    <w:rsid w:val="009E2C36"/>
    <w:rsid w:val="009E2DDE"/>
    <w:rsid w:val="009E2E28"/>
    <w:rsid w:val="009E3172"/>
    <w:rsid w:val="009E4927"/>
    <w:rsid w:val="009E5136"/>
    <w:rsid w:val="009E553A"/>
    <w:rsid w:val="009E5AD1"/>
    <w:rsid w:val="009E613F"/>
    <w:rsid w:val="009E71A5"/>
    <w:rsid w:val="009F0EA9"/>
    <w:rsid w:val="009F1BD3"/>
    <w:rsid w:val="009F2A57"/>
    <w:rsid w:val="009F2DA4"/>
    <w:rsid w:val="009F4839"/>
    <w:rsid w:val="009F4CB5"/>
    <w:rsid w:val="009F507A"/>
    <w:rsid w:val="009F5886"/>
    <w:rsid w:val="009F5C64"/>
    <w:rsid w:val="009F6700"/>
    <w:rsid w:val="009F6D3E"/>
    <w:rsid w:val="009F754F"/>
    <w:rsid w:val="00A016BF"/>
    <w:rsid w:val="00A030A1"/>
    <w:rsid w:val="00A03467"/>
    <w:rsid w:val="00A03EB4"/>
    <w:rsid w:val="00A04938"/>
    <w:rsid w:val="00A04C0B"/>
    <w:rsid w:val="00A04FFB"/>
    <w:rsid w:val="00A0513C"/>
    <w:rsid w:val="00A05298"/>
    <w:rsid w:val="00A1036D"/>
    <w:rsid w:val="00A12E13"/>
    <w:rsid w:val="00A12E2E"/>
    <w:rsid w:val="00A14367"/>
    <w:rsid w:val="00A14871"/>
    <w:rsid w:val="00A14E0C"/>
    <w:rsid w:val="00A14E8C"/>
    <w:rsid w:val="00A1526C"/>
    <w:rsid w:val="00A154DB"/>
    <w:rsid w:val="00A164F4"/>
    <w:rsid w:val="00A17AA7"/>
    <w:rsid w:val="00A200DC"/>
    <w:rsid w:val="00A2044F"/>
    <w:rsid w:val="00A218B6"/>
    <w:rsid w:val="00A2211F"/>
    <w:rsid w:val="00A221E7"/>
    <w:rsid w:val="00A22AED"/>
    <w:rsid w:val="00A234E4"/>
    <w:rsid w:val="00A23BE4"/>
    <w:rsid w:val="00A23DD1"/>
    <w:rsid w:val="00A242C6"/>
    <w:rsid w:val="00A25A16"/>
    <w:rsid w:val="00A26A50"/>
    <w:rsid w:val="00A26D6D"/>
    <w:rsid w:val="00A308EF"/>
    <w:rsid w:val="00A3321E"/>
    <w:rsid w:val="00A33D47"/>
    <w:rsid w:val="00A345F5"/>
    <w:rsid w:val="00A34EE3"/>
    <w:rsid w:val="00A40171"/>
    <w:rsid w:val="00A4031E"/>
    <w:rsid w:val="00A40539"/>
    <w:rsid w:val="00A41801"/>
    <w:rsid w:val="00A422A7"/>
    <w:rsid w:val="00A45552"/>
    <w:rsid w:val="00A46411"/>
    <w:rsid w:val="00A46B6A"/>
    <w:rsid w:val="00A47341"/>
    <w:rsid w:val="00A47F21"/>
    <w:rsid w:val="00A50A04"/>
    <w:rsid w:val="00A512B6"/>
    <w:rsid w:val="00A513E4"/>
    <w:rsid w:val="00A53DD3"/>
    <w:rsid w:val="00A544C4"/>
    <w:rsid w:val="00A54E44"/>
    <w:rsid w:val="00A5606D"/>
    <w:rsid w:val="00A56C01"/>
    <w:rsid w:val="00A5706D"/>
    <w:rsid w:val="00A60201"/>
    <w:rsid w:val="00A6088B"/>
    <w:rsid w:val="00A609F0"/>
    <w:rsid w:val="00A61171"/>
    <w:rsid w:val="00A612C2"/>
    <w:rsid w:val="00A61FEF"/>
    <w:rsid w:val="00A62BD0"/>
    <w:rsid w:val="00A64CC2"/>
    <w:rsid w:val="00A66BE7"/>
    <w:rsid w:val="00A672C7"/>
    <w:rsid w:val="00A7056F"/>
    <w:rsid w:val="00A70CB5"/>
    <w:rsid w:val="00A71A47"/>
    <w:rsid w:val="00A71C45"/>
    <w:rsid w:val="00A72292"/>
    <w:rsid w:val="00A72FCC"/>
    <w:rsid w:val="00A735D2"/>
    <w:rsid w:val="00A73F4B"/>
    <w:rsid w:val="00A74099"/>
    <w:rsid w:val="00A74FE6"/>
    <w:rsid w:val="00A75AD4"/>
    <w:rsid w:val="00A7650C"/>
    <w:rsid w:val="00A7667F"/>
    <w:rsid w:val="00A76D32"/>
    <w:rsid w:val="00A778C0"/>
    <w:rsid w:val="00A77F38"/>
    <w:rsid w:val="00A800F9"/>
    <w:rsid w:val="00A80E41"/>
    <w:rsid w:val="00A8164C"/>
    <w:rsid w:val="00A81F9E"/>
    <w:rsid w:val="00A836B1"/>
    <w:rsid w:val="00A83CD0"/>
    <w:rsid w:val="00A85298"/>
    <w:rsid w:val="00A85914"/>
    <w:rsid w:val="00A86E79"/>
    <w:rsid w:val="00A870B8"/>
    <w:rsid w:val="00A92DA9"/>
    <w:rsid w:val="00A92DB4"/>
    <w:rsid w:val="00A9347E"/>
    <w:rsid w:val="00A9435E"/>
    <w:rsid w:val="00A94481"/>
    <w:rsid w:val="00A9576F"/>
    <w:rsid w:val="00A95A27"/>
    <w:rsid w:val="00A97190"/>
    <w:rsid w:val="00A979BB"/>
    <w:rsid w:val="00A97E5A"/>
    <w:rsid w:val="00A97F83"/>
    <w:rsid w:val="00AA03BC"/>
    <w:rsid w:val="00AA17D3"/>
    <w:rsid w:val="00AA204E"/>
    <w:rsid w:val="00AA2334"/>
    <w:rsid w:val="00AA237A"/>
    <w:rsid w:val="00AA2A9A"/>
    <w:rsid w:val="00AA34F5"/>
    <w:rsid w:val="00AA3522"/>
    <w:rsid w:val="00AA4057"/>
    <w:rsid w:val="00AA4C11"/>
    <w:rsid w:val="00AA5188"/>
    <w:rsid w:val="00AA5301"/>
    <w:rsid w:val="00AA5C87"/>
    <w:rsid w:val="00AA6C10"/>
    <w:rsid w:val="00AA6CED"/>
    <w:rsid w:val="00AB016F"/>
    <w:rsid w:val="00AB0557"/>
    <w:rsid w:val="00AB0BA0"/>
    <w:rsid w:val="00AB10BF"/>
    <w:rsid w:val="00AB30CF"/>
    <w:rsid w:val="00AB3188"/>
    <w:rsid w:val="00AB337B"/>
    <w:rsid w:val="00AB45E1"/>
    <w:rsid w:val="00AB4B50"/>
    <w:rsid w:val="00AB6050"/>
    <w:rsid w:val="00AB6ED7"/>
    <w:rsid w:val="00AB75DC"/>
    <w:rsid w:val="00AB7AFB"/>
    <w:rsid w:val="00AB7B35"/>
    <w:rsid w:val="00AC08BA"/>
    <w:rsid w:val="00AC0CDE"/>
    <w:rsid w:val="00AC1078"/>
    <w:rsid w:val="00AC11E8"/>
    <w:rsid w:val="00AC2EE3"/>
    <w:rsid w:val="00AC38C9"/>
    <w:rsid w:val="00AC4122"/>
    <w:rsid w:val="00AC46C7"/>
    <w:rsid w:val="00AC4A8D"/>
    <w:rsid w:val="00AC4AF5"/>
    <w:rsid w:val="00AC5916"/>
    <w:rsid w:val="00AC5F57"/>
    <w:rsid w:val="00AC5F94"/>
    <w:rsid w:val="00AC6816"/>
    <w:rsid w:val="00AC71E5"/>
    <w:rsid w:val="00AC75B5"/>
    <w:rsid w:val="00AD0481"/>
    <w:rsid w:val="00AD0860"/>
    <w:rsid w:val="00AD0FB6"/>
    <w:rsid w:val="00AD14D3"/>
    <w:rsid w:val="00AD1912"/>
    <w:rsid w:val="00AD1B80"/>
    <w:rsid w:val="00AD203D"/>
    <w:rsid w:val="00AD3CE8"/>
    <w:rsid w:val="00AD4616"/>
    <w:rsid w:val="00AD4935"/>
    <w:rsid w:val="00AD4D97"/>
    <w:rsid w:val="00AD6B98"/>
    <w:rsid w:val="00AD70B5"/>
    <w:rsid w:val="00AD7EF4"/>
    <w:rsid w:val="00AE0C94"/>
    <w:rsid w:val="00AE30E6"/>
    <w:rsid w:val="00AE30ED"/>
    <w:rsid w:val="00AE3482"/>
    <w:rsid w:val="00AE3C85"/>
    <w:rsid w:val="00AE5563"/>
    <w:rsid w:val="00AE65AC"/>
    <w:rsid w:val="00AE664C"/>
    <w:rsid w:val="00AE68FD"/>
    <w:rsid w:val="00AE6A3F"/>
    <w:rsid w:val="00AF0F67"/>
    <w:rsid w:val="00AF13DD"/>
    <w:rsid w:val="00AF1DF6"/>
    <w:rsid w:val="00AF2023"/>
    <w:rsid w:val="00AF29D6"/>
    <w:rsid w:val="00AF2C3D"/>
    <w:rsid w:val="00AF3198"/>
    <w:rsid w:val="00AF329E"/>
    <w:rsid w:val="00AF347B"/>
    <w:rsid w:val="00AF355D"/>
    <w:rsid w:val="00AF35F7"/>
    <w:rsid w:val="00AF42B4"/>
    <w:rsid w:val="00AF50FB"/>
    <w:rsid w:val="00AF6459"/>
    <w:rsid w:val="00AF64A4"/>
    <w:rsid w:val="00AF6AD4"/>
    <w:rsid w:val="00AF7885"/>
    <w:rsid w:val="00B00ABD"/>
    <w:rsid w:val="00B00DCD"/>
    <w:rsid w:val="00B01B92"/>
    <w:rsid w:val="00B02574"/>
    <w:rsid w:val="00B02FF5"/>
    <w:rsid w:val="00B03C1F"/>
    <w:rsid w:val="00B05408"/>
    <w:rsid w:val="00B058CC"/>
    <w:rsid w:val="00B05AB8"/>
    <w:rsid w:val="00B0666E"/>
    <w:rsid w:val="00B06726"/>
    <w:rsid w:val="00B0732F"/>
    <w:rsid w:val="00B073D3"/>
    <w:rsid w:val="00B11B9A"/>
    <w:rsid w:val="00B1436E"/>
    <w:rsid w:val="00B149D8"/>
    <w:rsid w:val="00B14B07"/>
    <w:rsid w:val="00B14F0B"/>
    <w:rsid w:val="00B1693A"/>
    <w:rsid w:val="00B17AF5"/>
    <w:rsid w:val="00B20AB3"/>
    <w:rsid w:val="00B21A2A"/>
    <w:rsid w:val="00B2294E"/>
    <w:rsid w:val="00B22E29"/>
    <w:rsid w:val="00B232F2"/>
    <w:rsid w:val="00B25448"/>
    <w:rsid w:val="00B256FB"/>
    <w:rsid w:val="00B25763"/>
    <w:rsid w:val="00B26794"/>
    <w:rsid w:val="00B270F9"/>
    <w:rsid w:val="00B271C9"/>
    <w:rsid w:val="00B27F6A"/>
    <w:rsid w:val="00B305ED"/>
    <w:rsid w:val="00B30AAB"/>
    <w:rsid w:val="00B31029"/>
    <w:rsid w:val="00B3138A"/>
    <w:rsid w:val="00B31416"/>
    <w:rsid w:val="00B3293F"/>
    <w:rsid w:val="00B32B2E"/>
    <w:rsid w:val="00B34EA3"/>
    <w:rsid w:val="00B36670"/>
    <w:rsid w:val="00B36987"/>
    <w:rsid w:val="00B37F88"/>
    <w:rsid w:val="00B40545"/>
    <w:rsid w:val="00B40B03"/>
    <w:rsid w:val="00B40DA1"/>
    <w:rsid w:val="00B411EF"/>
    <w:rsid w:val="00B41E6E"/>
    <w:rsid w:val="00B4230D"/>
    <w:rsid w:val="00B43BC3"/>
    <w:rsid w:val="00B43FC0"/>
    <w:rsid w:val="00B445B7"/>
    <w:rsid w:val="00B45575"/>
    <w:rsid w:val="00B457E8"/>
    <w:rsid w:val="00B4690B"/>
    <w:rsid w:val="00B47670"/>
    <w:rsid w:val="00B47761"/>
    <w:rsid w:val="00B47F49"/>
    <w:rsid w:val="00B5017F"/>
    <w:rsid w:val="00B5063C"/>
    <w:rsid w:val="00B51733"/>
    <w:rsid w:val="00B520F5"/>
    <w:rsid w:val="00B52377"/>
    <w:rsid w:val="00B53268"/>
    <w:rsid w:val="00B534C2"/>
    <w:rsid w:val="00B538A4"/>
    <w:rsid w:val="00B542FB"/>
    <w:rsid w:val="00B55245"/>
    <w:rsid w:val="00B55392"/>
    <w:rsid w:val="00B56D81"/>
    <w:rsid w:val="00B579E2"/>
    <w:rsid w:val="00B57D2B"/>
    <w:rsid w:val="00B60F65"/>
    <w:rsid w:val="00B611F8"/>
    <w:rsid w:val="00B61CE1"/>
    <w:rsid w:val="00B6242F"/>
    <w:rsid w:val="00B63D4D"/>
    <w:rsid w:val="00B64563"/>
    <w:rsid w:val="00B64A3C"/>
    <w:rsid w:val="00B65A79"/>
    <w:rsid w:val="00B67324"/>
    <w:rsid w:val="00B67868"/>
    <w:rsid w:val="00B71001"/>
    <w:rsid w:val="00B7155C"/>
    <w:rsid w:val="00B7263C"/>
    <w:rsid w:val="00B72900"/>
    <w:rsid w:val="00B73DED"/>
    <w:rsid w:val="00B74C51"/>
    <w:rsid w:val="00B76416"/>
    <w:rsid w:val="00B778F0"/>
    <w:rsid w:val="00B77B28"/>
    <w:rsid w:val="00B8010A"/>
    <w:rsid w:val="00B81B90"/>
    <w:rsid w:val="00B8232A"/>
    <w:rsid w:val="00B831B2"/>
    <w:rsid w:val="00B85457"/>
    <w:rsid w:val="00B85EEC"/>
    <w:rsid w:val="00B86468"/>
    <w:rsid w:val="00B864F3"/>
    <w:rsid w:val="00B86823"/>
    <w:rsid w:val="00B87782"/>
    <w:rsid w:val="00B87AC4"/>
    <w:rsid w:val="00B900DC"/>
    <w:rsid w:val="00B91454"/>
    <w:rsid w:val="00B917E8"/>
    <w:rsid w:val="00B91A56"/>
    <w:rsid w:val="00B91B63"/>
    <w:rsid w:val="00B91F42"/>
    <w:rsid w:val="00B921EB"/>
    <w:rsid w:val="00B923FC"/>
    <w:rsid w:val="00B927B5"/>
    <w:rsid w:val="00B9305E"/>
    <w:rsid w:val="00B93191"/>
    <w:rsid w:val="00B93487"/>
    <w:rsid w:val="00B942B7"/>
    <w:rsid w:val="00B94DD5"/>
    <w:rsid w:val="00B96043"/>
    <w:rsid w:val="00B96EC0"/>
    <w:rsid w:val="00B9787D"/>
    <w:rsid w:val="00B97CB2"/>
    <w:rsid w:val="00BA0F95"/>
    <w:rsid w:val="00BA215E"/>
    <w:rsid w:val="00BA2247"/>
    <w:rsid w:val="00BA2A69"/>
    <w:rsid w:val="00BA2AC2"/>
    <w:rsid w:val="00BA2E99"/>
    <w:rsid w:val="00BA3430"/>
    <w:rsid w:val="00BA37B6"/>
    <w:rsid w:val="00BA4038"/>
    <w:rsid w:val="00BA49DA"/>
    <w:rsid w:val="00BA60D8"/>
    <w:rsid w:val="00BB088F"/>
    <w:rsid w:val="00BB1742"/>
    <w:rsid w:val="00BB1DA9"/>
    <w:rsid w:val="00BB3266"/>
    <w:rsid w:val="00BB47B5"/>
    <w:rsid w:val="00BB5A95"/>
    <w:rsid w:val="00BB5F9C"/>
    <w:rsid w:val="00BB6BD5"/>
    <w:rsid w:val="00BB79D2"/>
    <w:rsid w:val="00BC0800"/>
    <w:rsid w:val="00BC4655"/>
    <w:rsid w:val="00BC557A"/>
    <w:rsid w:val="00BC76E2"/>
    <w:rsid w:val="00BC77C3"/>
    <w:rsid w:val="00BD1AF5"/>
    <w:rsid w:val="00BD2043"/>
    <w:rsid w:val="00BD26CF"/>
    <w:rsid w:val="00BD2997"/>
    <w:rsid w:val="00BD492C"/>
    <w:rsid w:val="00BD5D0C"/>
    <w:rsid w:val="00BD618E"/>
    <w:rsid w:val="00BD61E0"/>
    <w:rsid w:val="00BD6467"/>
    <w:rsid w:val="00BD69BA"/>
    <w:rsid w:val="00BD6FF5"/>
    <w:rsid w:val="00BD7D9D"/>
    <w:rsid w:val="00BDC3C7"/>
    <w:rsid w:val="00BE05E1"/>
    <w:rsid w:val="00BE1F9D"/>
    <w:rsid w:val="00BE2269"/>
    <w:rsid w:val="00BE2D8A"/>
    <w:rsid w:val="00BE519C"/>
    <w:rsid w:val="00BE56D5"/>
    <w:rsid w:val="00BE56FF"/>
    <w:rsid w:val="00BE5785"/>
    <w:rsid w:val="00BE723E"/>
    <w:rsid w:val="00BE744C"/>
    <w:rsid w:val="00BE7849"/>
    <w:rsid w:val="00BF08D4"/>
    <w:rsid w:val="00BF12B1"/>
    <w:rsid w:val="00BF3439"/>
    <w:rsid w:val="00BF424E"/>
    <w:rsid w:val="00BF4BF6"/>
    <w:rsid w:val="00BF50C1"/>
    <w:rsid w:val="00BF5BE2"/>
    <w:rsid w:val="00BF62EC"/>
    <w:rsid w:val="00BF62F6"/>
    <w:rsid w:val="00BF72DB"/>
    <w:rsid w:val="00BF730E"/>
    <w:rsid w:val="00BF7950"/>
    <w:rsid w:val="00BF7FBB"/>
    <w:rsid w:val="00C00A04"/>
    <w:rsid w:val="00C00BAA"/>
    <w:rsid w:val="00C0160D"/>
    <w:rsid w:val="00C01FAC"/>
    <w:rsid w:val="00C030B2"/>
    <w:rsid w:val="00C034B7"/>
    <w:rsid w:val="00C034D2"/>
    <w:rsid w:val="00C049C0"/>
    <w:rsid w:val="00C04E04"/>
    <w:rsid w:val="00C05339"/>
    <w:rsid w:val="00C0535B"/>
    <w:rsid w:val="00C05927"/>
    <w:rsid w:val="00C064EB"/>
    <w:rsid w:val="00C069A0"/>
    <w:rsid w:val="00C06A6B"/>
    <w:rsid w:val="00C06DD6"/>
    <w:rsid w:val="00C07434"/>
    <w:rsid w:val="00C10CB7"/>
    <w:rsid w:val="00C117BD"/>
    <w:rsid w:val="00C11985"/>
    <w:rsid w:val="00C1280E"/>
    <w:rsid w:val="00C13799"/>
    <w:rsid w:val="00C13D50"/>
    <w:rsid w:val="00C15EB2"/>
    <w:rsid w:val="00C21376"/>
    <w:rsid w:val="00C21664"/>
    <w:rsid w:val="00C21837"/>
    <w:rsid w:val="00C21B6D"/>
    <w:rsid w:val="00C2333B"/>
    <w:rsid w:val="00C2427C"/>
    <w:rsid w:val="00C24D07"/>
    <w:rsid w:val="00C257D8"/>
    <w:rsid w:val="00C258AA"/>
    <w:rsid w:val="00C270B1"/>
    <w:rsid w:val="00C27188"/>
    <w:rsid w:val="00C27A06"/>
    <w:rsid w:val="00C30C09"/>
    <w:rsid w:val="00C31486"/>
    <w:rsid w:val="00C31C06"/>
    <w:rsid w:val="00C31D84"/>
    <w:rsid w:val="00C31DE9"/>
    <w:rsid w:val="00C31F3E"/>
    <w:rsid w:val="00C325E3"/>
    <w:rsid w:val="00C32ED6"/>
    <w:rsid w:val="00C345AF"/>
    <w:rsid w:val="00C34FB9"/>
    <w:rsid w:val="00C352F0"/>
    <w:rsid w:val="00C35B57"/>
    <w:rsid w:val="00C35C04"/>
    <w:rsid w:val="00C361D8"/>
    <w:rsid w:val="00C3664F"/>
    <w:rsid w:val="00C36A35"/>
    <w:rsid w:val="00C36FF5"/>
    <w:rsid w:val="00C37F0B"/>
    <w:rsid w:val="00C40F91"/>
    <w:rsid w:val="00C41B14"/>
    <w:rsid w:val="00C42191"/>
    <w:rsid w:val="00C431C6"/>
    <w:rsid w:val="00C4329B"/>
    <w:rsid w:val="00C43449"/>
    <w:rsid w:val="00C43DA2"/>
    <w:rsid w:val="00C4550C"/>
    <w:rsid w:val="00C45E36"/>
    <w:rsid w:val="00C460BF"/>
    <w:rsid w:val="00C46B69"/>
    <w:rsid w:val="00C46EDE"/>
    <w:rsid w:val="00C472C9"/>
    <w:rsid w:val="00C47C1D"/>
    <w:rsid w:val="00C51016"/>
    <w:rsid w:val="00C53877"/>
    <w:rsid w:val="00C5405D"/>
    <w:rsid w:val="00C5613A"/>
    <w:rsid w:val="00C5644B"/>
    <w:rsid w:val="00C56669"/>
    <w:rsid w:val="00C56ED0"/>
    <w:rsid w:val="00C5719C"/>
    <w:rsid w:val="00C614CA"/>
    <w:rsid w:val="00C61D6E"/>
    <w:rsid w:val="00C635DF"/>
    <w:rsid w:val="00C636DB"/>
    <w:rsid w:val="00C63F6E"/>
    <w:rsid w:val="00C652C5"/>
    <w:rsid w:val="00C654D2"/>
    <w:rsid w:val="00C66185"/>
    <w:rsid w:val="00C668A0"/>
    <w:rsid w:val="00C67EED"/>
    <w:rsid w:val="00C67FBF"/>
    <w:rsid w:val="00C72218"/>
    <w:rsid w:val="00C7245E"/>
    <w:rsid w:val="00C739FD"/>
    <w:rsid w:val="00C7422C"/>
    <w:rsid w:val="00C743D7"/>
    <w:rsid w:val="00C743FB"/>
    <w:rsid w:val="00C745B7"/>
    <w:rsid w:val="00C746D6"/>
    <w:rsid w:val="00C74F1D"/>
    <w:rsid w:val="00C76300"/>
    <w:rsid w:val="00C80BB3"/>
    <w:rsid w:val="00C83230"/>
    <w:rsid w:val="00C84715"/>
    <w:rsid w:val="00C84C97"/>
    <w:rsid w:val="00C84E8D"/>
    <w:rsid w:val="00C85DFC"/>
    <w:rsid w:val="00C8609B"/>
    <w:rsid w:val="00C868B4"/>
    <w:rsid w:val="00C8775B"/>
    <w:rsid w:val="00C87CE4"/>
    <w:rsid w:val="00C913B1"/>
    <w:rsid w:val="00C91457"/>
    <w:rsid w:val="00C9154B"/>
    <w:rsid w:val="00C91BF4"/>
    <w:rsid w:val="00C91FBC"/>
    <w:rsid w:val="00C92CAA"/>
    <w:rsid w:val="00C94E1C"/>
    <w:rsid w:val="00C955C3"/>
    <w:rsid w:val="00C97161"/>
    <w:rsid w:val="00C9766E"/>
    <w:rsid w:val="00C979E8"/>
    <w:rsid w:val="00CA009A"/>
    <w:rsid w:val="00CA0A77"/>
    <w:rsid w:val="00CA11D3"/>
    <w:rsid w:val="00CA13FB"/>
    <w:rsid w:val="00CA1871"/>
    <w:rsid w:val="00CA1B84"/>
    <w:rsid w:val="00CA28A1"/>
    <w:rsid w:val="00CA2BA5"/>
    <w:rsid w:val="00CA2CB5"/>
    <w:rsid w:val="00CA3728"/>
    <w:rsid w:val="00CA38BF"/>
    <w:rsid w:val="00CA45BB"/>
    <w:rsid w:val="00CA4905"/>
    <w:rsid w:val="00CA5532"/>
    <w:rsid w:val="00CA573C"/>
    <w:rsid w:val="00CA5D46"/>
    <w:rsid w:val="00CA7366"/>
    <w:rsid w:val="00CB0DFA"/>
    <w:rsid w:val="00CB17E3"/>
    <w:rsid w:val="00CB1BA3"/>
    <w:rsid w:val="00CB23C3"/>
    <w:rsid w:val="00CB278D"/>
    <w:rsid w:val="00CB2A6A"/>
    <w:rsid w:val="00CB3576"/>
    <w:rsid w:val="00CB3E03"/>
    <w:rsid w:val="00CB42C3"/>
    <w:rsid w:val="00CB49D8"/>
    <w:rsid w:val="00CB69F1"/>
    <w:rsid w:val="00CB6E0F"/>
    <w:rsid w:val="00CB76E0"/>
    <w:rsid w:val="00CB7A69"/>
    <w:rsid w:val="00CC0194"/>
    <w:rsid w:val="00CC221E"/>
    <w:rsid w:val="00CC2B25"/>
    <w:rsid w:val="00CC40A2"/>
    <w:rsid w:val="00CC46A7"/>
    <w:rsid w:val="00CC4B89"/>
    <w:rsid w:val="00CC55F9"/>
    <w:rsid w:val="00CC65A4"/>
    <w:rsid w:val="00CC76EA"/>
    <w:rsid w:val="00CD08D9"/>
    <w:rsid w:val="00CD0DFF"/>
    <w:rsid w:val="00CD27CC"/>
    <w:rsid w:val="00CD39E3"/>
    <w:rsid w:val="00CD3A69"/>
    <w:rsid w:val="00CD3ACC"/>
    <w:rsid w:val="00CD3DAC"/>
    <w:rsid w:val="00CD4EA5"/>
    <w:rsid w:val="00CD50FC"/>
    <w:rsid w:val="00CD55BB"/>
    <w:rsid w:val="00CD63D8"/>
    <w:rsid w:val="00CD70CB"/>
    <w:rsid w:val="00CE09B8"/>
    <w:rsid w:val="00CE0D53"/>
    <w:rsid w:val="00CE0D92"/>
    <w:rsid w:val="00CE1833"/>
    <w:rsid w:val="00CE1941"/>
    <w:rsid w:val="00CE2368"/>
    <w:rsid w:val="00CE315B"/>
    <w:rsid w:val="00CE5C56"/>
    <w:rsid w:val="00CE5FAD"/>
    <w:rsid w:val="00CE6492"/>
    <w:rsid w:val="00CE6BAB"/>
    <w:rsid w:val="00CE6EC4"/>
    <w:rsid w:val="00CF0BB8"/>
    <w:rsid w:val="00CF13E7"/>
    <w:rsid w:val="00CF16FE"/>
    <w:rsid w:val="00CF17A5"/>
    <w:rsid w:val="00CF17DE"/>
    <w:rsid w:val="00CF2061"/>
    <w:rsid w:val="00CF2419"/>
    <w:rsid w:val="00CF3946"/>
    <w:rsid w:val="00CF3CCC"/>
    <w:rsid w:val="00CF4766"/>
    <w:rsid w:val="00CF4CE3"/>
    <w:rsid w:val="00CF58CE"/>
    <w:rsid w:val="00CF628C"/>
    <w:rsid w:val="00CF6B16"/>
    <w:rsid w:val="00CF71C7"/>
    <w:rsid w:val="00CF7447"/>
    <w:rsid w:val="00CF7D9C"/>
    <w:rsid w:val="00D0080F"/>
    <w:rsid w:val="00D00879"/>
    <w:rsid w:val="00D029C0"/>
    <w:rsid w:val="00D0484A"/>
    <w:rsid w:val="00D06197"/>
    <w:rsid w:val="00D0629A"/>
    <w:rsid w:val="00D1028A"/>
    <w:rsid w:val="00D104DF"/>
    <w:rsid w:val="00D107EF"/>
    <w:rsid w:val="00D119F9"/>
    <w:rsid w:val="00D12EA4"/>
    <w:rsid w:val="00D137B9"/>
    <w:rsid w:val="00D13C2E"/>
    <w:rsid w:val="00D13EC4"/>
    <w:rsid w:val="00D141D0"/>
    <w:rsid w:val="00D148DF"/>
    <w:rsid w:val="00D1556A"/>
    <w:rsid w:val="00D16421"/>
    <w:rsid w:val="00D1694D"/>
    <w:rsid w:val="00D17BA8"/>
    <w:rsid w:val="00D2061B"/>
    <w:rsid w:val="00D20F6C"/>
    <w:rsid w:val="00D2107C"/>
    <w:rsid w:val="00D21830"/>
    <w:rsid w:val="00D220DA"/>
    <w:rsid w:val="00D23957"/>
    <w:rsid w:val="00D24670"/>
    <w:rsid w:val="00D2571D"/>
    <w:rsid w:val="00D25C89"/>
    <w:rsid w:val="00D275EB"/>
    <w:rsid w:val="00D27738"/>
    <w:rsid w:val="00D27740"/>
    <w:rsid w:val="00D277BE"/>
    <w:rsid w:val="00D278DE"/>
    <w:rsid w:val="00D30DB5"/>
    <w:rsid w:val="00D327EC"/>
    <w:rsid w:val="00D33625"/>
    <w:rsid w:val="00D33663"/>
    <w:rsid w:val="00D339F9"/>
    <w:rsid w:val="00D347A9"/>
    <w:rsid w:val="00D34EA7"/>
    <w:rsid w:val="00D3715B"/>
    <w:rsid w:val="00D3745E"/>
    <w:rsid w:val="00D3764E"/>
    <w:rsid w:val="00D402AE"/>
    <w:rsid w:val="00D4170B"/>
    <w:rsid w:val="00D42392"/>
    <w:rsid w:val="00D430E4"/>
    <w:rsid w:val="00D43489"/>
    <w:rsid w:val="00D43B22"/>
    <w:rsid w:val="00D43C04"/>
    <w:rsid w:val="00D45F5D"/>
    <w:rsid w:val="00D46BB2"/>
    <w:rsid w:val="00D475EB"/>
    <w:rsid w:val="00D47D3D"/>
    <w:rsid w:val="00D5075E"/>
    <w:rsid w:val="00D51A44"/>
    <w:rsid w:val="00D51F7D"/>
    <w:rsid w:val="00D52D69"/>
    <w:rsid w:val="00D52F2C"/>
    <w:rsid w:val="00D53BDD"/>
    <w:rsid w:val="00D54659"/>
    <w:rsid w:val="00D54C86"/>
    <w:rsid w:val="00D55A0D"/>
    <w:rsid w:val="00D560DC"/>
    <w:rsid w:val="00D5666C"/>
    <w:rsid w:val="00D5695F"/>
    <w:rsid w:val="00D57B7F"/>
    <w:rsid w:val="00D57C3D"/>
    <w:rsid w:val="00D57F2D"/>
    <w:rsid w:val="00D60926"/>
    <w:rsid w:val="00D6179E"/>
    <w:rsid w:val="00D61800"/>
    <w:rsid w:val="00D61B03"/>
    <w:rsid w:val="00D6226B"/>
    <w:rsid w:val="00D62757"/>
    <w:rsid w:val="00D6317D"/>
    <w:rsid w:val="00D63400"/>
    <w:rsid w:val="00D634D3"/>
    <w:rsid w:val="00D63B11"/>
    <w:rsid w:val="00D6415D"/>
    <w:rsid w:val="00D64756"/>
    <w:rsid w:val="00D64E30"/>
    <w:rsid w:val="00D65204"/>
    <w:rsid w:val="00D653BE"/>
    <w:rsid w:val="00D65BF6"/>
    <w:rsid w:val="00D661EA"/>
    <w:rsid w:val="00D66E98"/>
    <w:rsid w:val="00D714F2"/>
    <w:rsid w:val="00D71BA2"/>
    <w:rsid w:val="00D71DAF"/>
    <w:rsid w:val="00D72FA3"/>
    <w:rsid w:val="00D73FC3"/>
    <w:rsid w:val="00D7419B"/>
    <w:rsid w:val="00D74219"/>
    <w:rsid w:val="00D74E8E"/>
    <w:rsid w:val="00D74EE3"/>
    <w:rsid w:val="00D75804"/>
    <w:rsid w:val="00D76977"/>
    <w:rsid w:val="00D76E59"/>
    <w:rsid w:val="00D77A65"/>
    <w:rsid w:val="00D804B9"/>
    <w:rsid w:val="00D81B40"/>
    <w:rsid w:val="00D8274A"/>
    <w:rsid w:val="00D8277A"/>
    <w:rsid w:val="00D83A87"/>
    <w:rsid w:val="00D849B5"/>
    <w:rsid w:val="00D84DBD"/>
    <w:rsid w:val="00D85718"/>
    <w:rsid w:val="00D85B69"/>
    <w:rsid w:val="00D86808"/>
    <w:rsid w:val="00D873A6"/>
    <w:rsid w:val="00D874CA"/>
    <w:rsid w:val="00D87C5E"/>
    <w:rsid w:val="00D928A1"/>
    <w:rsid w:val="00D92992"/>
    <w:rsid w:val="00D95D13"/>
    <w:rsid w:val="00D95F97"/>
    <w:rsid w:val="00D96737"/>
    <w:rsid w:val="00D97177"/>
    <w:rsid w:val="00D97911"/>
    <w:rsid w:val="00D979A5"/>
    <w:rsid w:val="00DA0735"/>
    <w:rsid w:val="00DA2498"/>
    <w:rsid w:val="00DA2E2E"/>
    <w:rsid w:val="00DA3359"/>
    <w:rsid w:val="00DA3E94"/>
    <w:rsid w:val="00DA40A3"/>
    <w:rsid w:val="00DA41FB"/>
    <w:rsid w:val="00DA421A"/>
    <w:rsid w:val="00DA4271"/>
    <w:rsid w:val="00DA4D7F"/>
    <w:rsid w:val="00DA5311"/>
    <w:rsid w:val="00DA5409"/>
    <w:rsid w:val="00DA6949"/>
    <w:rsid w:val="00DA69BE"/>
    <w:rsid w:val="00DB0196"/>
    <w:rsid w:val="00DB08CE"/>
    <w:rsid w:val="00DB0E0E"/>
    <w:rsid w:val="00DB192C"/>
    <w:rsid w:val="00DB1CCE"/>
    <w:rsid w:val="00DB25A1"/>
    <w:rsid w:val="00DB2FE1"/>
    <w:rsid w:val="00DB4399"/>
    <w:rsid w:val="00DB55EF"/>
    <w:rsid w:val="00DB5B26"/>
    <w:rsid w:val="00DB619F"/>
    <w:rsid w:val="00DB68AD"/>
    <w:rsid w:val="00DB6DAA"/>
    <w:rsid w:val="00DB6F2C"/>
    <w:rsid w:val="00DB7498"/>
    <w:rsid w:val="00DC0131"/>
    <w:rsid w:val="00DC0C05"/>
    <w:rsid w:val="00DC13B6"/>
    <w:rsid w:val="00DC2861"/>
    <w:rsid w:val="00DC3477"/>
    <w:rsid w:val="00DC4080"/>
    <w:rsid w:val="00DC4481"/>
    <w:rsid w:val="00DC5AE6"/>
    <w:rsid w:val="00DC5C27"/>
    <w:rsid w:val="00DC782B"/>
    <w:rsid w:val="00DD1370"/>
    <w:rsid w:val="00DD19ED"/>
    <w:rsid w:val="00DD28D3"/>
    <w:rsid w:val="00DD2B47"/>
    <w:rsid w:val="00DD2D75"/>
    <w:rsid w:val="00DD3179"/>
    <w:rsid w:val="00DD37E1"/>
    <w:rsid w:val="00DD44FB"/>
    <w:rsid w:val="00DD50E1"/>
    <w:rsid w:val="00DD52A8"/>
    <w:rsid w:val="00DD546A"/>
    <w:rsid w:val="00DD5C00"/>
    <w:rsid w:val="00DD721B"/>
    <w:rsid w:val="00DD754C"/>
    <w:rsid w:val="00DD7772"/>
    <w:rsid w:val="00DE0EC7"/>
    <w:rsid w:val="00DE0F72"/>
    <w:rsid w:val="00DE1690"/>
    <w:rsid w:val="00DE1C6A"/>
    <w:rsid w:val="00DE264B"/>
    <w:rsid w:val="00DE3980"/>
    <w:rsid w:val="00DE4313"/>
    <w:rsid w:val="00DE53BB"/>
    <w:rsid w:val="00DE5A5A"/>
    <w:rsid w:val="00DE6E26"/>
    <w:rsid w:val="00DE6E77"/>
    <w:rsid w:val="00DF2ACB"/>
    <w:rsid w:val="00DF2E37"/>
    <w:rsid w:val="00DF35CC"/>
    <w:rsid w:val="00DF460C"/>
    <w:rsid w:val="00DF6CE0"/>
    <w:rsid w:val="00DF71C3"/>
    <w:rsid w:val="00E00794"/>
    <w:rsid w:val="00E009B2"/>
    <w:rsid w:val="00E00AD3"/>
    <w:rsid w:val="00E00BDB"/>
    <w:rsid w:val="00E0119D"/>
    <w:rsid w:val="00E02127"/>
    <w:rsid w:val="00E02C39"/>
    <w:rsid w:val="00E032A7"/>
    <w:rsid w:val="00E03774"/>
    <w:rsid w:val="00E03FE3"/>
    <w:rsid w:val="00E04080"/>
    <w:rsid w:val="00E044B9"/>
    <w:rsid w:val="00E04937"/>
    <w:rsid w:val="00E05EFF"/>
    <w:rsid w:val="00E0632B"/>
    <w:rsid w:val="00E069B0"/>
    <w:rsid w:val="00E06AAA"/>
    <w:rsid w:val="00E070FA"/>
    <w:rsid w:val="00E10209"/>
    <w:rsid w:val="00E106E5"/>
    <w:rsid w:val="00E1103B"/>
    <w:rsid w:val="00E120BA"/>
    <w:rsid w:val="00E14133"/>
    <w:rsid w:val="00E147E7"/>
    <w:rsid w:val="00E1584E"/>
    <w:rsid w:val="00E16378"/>
    <w:rsid w:val="00E17FF2"/>
    <w:rsid w:val="00E206A2"/>
    <w:rsid w:val="00E20AF5"/>
    <w:rsid w:val="00E20D3C"/>
    <w:rsid w:val="00E222B2"/>
    <w:rsid w:val="00E22B3A"/>
    <w:rsid w:val="00E22EA2"/>
    <w:rsid w:val="00E233EB"/>
    <w:rsid w:val="00E23B7A"/>
    <w:rsid w:val="00E23F93"/>
    <w:rsid w:val="00E245FF"/>
    <w:rsid w:val="00E25503"/>
    <w:rsid w:val="00E25D27"/>
    <w:rsid w:val="00E273F8"/>
    <w:rsid w:val="00E27459"/>
    <w:rsid w:val="00E32156"/>
    <w:rsid w:val="00E32584"/>
    <w:rsid w:val="00E333F4"/>
    <w:rsid w:val="00E34A87"/>
    <w:rsid w:val="00E34DC2"/>
    <w:rsid w:val="00E358E8"/>
    <w:rsid w:val="00E35CF6"/>
    <w:rsid w:val="00E3607B"/>
    <w:rsid w:val="00E3793B"/>
    <w:rsid w:val="00E40B7C"/>
    <w:rsid w:val="00E40FC1"/>
    <w:rsid w:val="00E41351"/>
    <w:rsid w:val="00E41A71"/>
    <w:rsid w:val="00E41DB9"/>
    <w:rsid w:val="00E42121"/>
    <w:rsid w:val="00E42608"/>
    <w:rsid w:val="00E42AEE"/>
    <w:rsid w:val="00E43384"/>
    <w:rsid w:val="00E43C0F"/>
    <w:rsid w:val="00E4417F"/>
    <w:rsid w:val="00E441AC"/>
    <w:rsid w:val="00E44E18"/>
    <w:rsid w:val="00E45CB1"/>
    <w:rsid w:val="00E46169"/>
    <w:rsid w:val="00E462A9"/>
    <w:rsid w:val="00E4709D"/>
    <w:rsid w:val="00E47841"/>
    <w:rsid w:val="00E47CB9"/>
    <w:rsid w:val="00E47DCD"/>
    <w:rsid w:val="00E5062E"/>
    <w:rsid w:val="00E516A7"/>
    <w:rsid w:val="00E52164"/>
    <w:rsid w:val="00E529D9"/>
    <w:rsid w:val="00E5373B"/>
    <w:rsid w:val="00E54BE2"/>
    <w:rsid w:val="00E5637D"/>
    <w:rsid w:val="00E56EE2"/>
    <w:rsid w:val="00E57B38"/>
    <w:rsid w:val="00E6035E"/>
    <w:rsid w:val="00E60C39"/>
    <w:rsid w:val="00E60F0E"/>
    <w:rsid w:val="00E6150B"/>
    <w:rsid w:val="00E61F4F"/>
    <w:rsid w:val="00E623A4"/>
    <w:rsid w:val="00E6257C"/>
    <w:rsid w:val="00E62EBA"/>
    <w:rsid w:val="00E62F8E"/>
    <w:rsid w:val="00E63413"/>
    <w:rsid w:val="00E63D73"/>
    <w:rsid w:val="00E643F1"/>
    <w:rsid w:val="00E64658"/>
    <w:rsid w:val="00E6495C"/>
    <w:rsid w:val="00E649EB"/>
    <w:rsid w:val="00E64A39"/>
    <w:rsid w:val="00E67407"/>
    <w:rsid w:val="00E71919"/>
    <w:rsid w:val="00E76053"/>
    <w:rsid w:val="00E76E6D"/>
    <w:rsid w:val="00E8033B"/>
    <w:rsid w:val="00E81E77"/>
    <w:rsid w:val="00E82189"/>
    <w:rsid w:val="00E82506"/>
    <w:rsid w:val="00E82DD4"/>
    <w:rsid w:val="00E83503"/>
    <w:rsid w:val="00E83641"/>
    <w:rsid w:val="00E8398E"/>
    <w:rsid w:val="00E8519A"/>
    <w:rsid w:val="00E8578E"/>
    <w:rsid w:val="00E9099E"/>
    <w:rsid w:val="00E90AEF"/>
    <w:rsid w:val="00E9111F"/>
    <w:rsid w:val="00E9201F"/>
    <w:rsid w:val="00E92797"/>
    <w:rsid w:val="00E928CF"/>
    <w:rsid w:val="00E932CC"/>
    <w:rsid w:val="00E934EF"/>
    <w:rsid w:val="00E93D59"/>
    <w:rsid w:val="00E94045"/>
    <w:rsid w:val="00E9460B"/>
    <w:rsid w:val="00E9512A"/>
    <w:rsid w:val="00E96C29"/>
    <w:rsid w:val="00E97681"/>
    <w:rsid w:val="00EA09A6"/>
    <w:rsid w:val="00EA0E8E"/>
    <w:rsid w:val="00EA0F55"/>
    <w:rsid w:val="00EA1656"/>
    <w:rsid w:val="00EA1C2C"/>
    <w:rsid w:val="00EA1FF7"/>
    <w:rsid w:val="00EA2BE2"/>
    <w:rsid w:val="00EA2D12"/>
    <w:rsid w:val="00EA5169"/>
    <w:rsid w:val="00EA518B"/>
    <w:rsid w:val="00EA59DC"/>
    <w:rsid w:val="00EA5FB3"/>
    <w:rsid w:val="00EA70EE"/>
    <w:rsid w:val="00EB09BC"/>
    <w:rsid w:val="00EB0ED5"/>
    <w:rsid w:val="00EB229B"/>
    <w:rsid w:val="00EB301D"/>
    <w:rsid w:val="00EB38C7"/>
    <w:rsid w:val="00EB4456"/>
    <w:rsid w:val="00EB4A3D"/>
    <w:rsid w:val="00EB5486"/>
    <w:rsid w:val="00EB703B"/>
    <w:rsid w:val="00EB759B"/>
    <w:rsid w:val="00EC11C4"/>
    <w:rsid w:val="00EC134F"/>
    <w:rsid w:val="00EC14CD"/>
    <w:rsid w:val="00EC1DF7"/>
    <w:rsid w:val="00EC3D9A"/>
    <w:rsid w:val="00EC4694"/>
    <w:rsid w:val="00EC60A3"/>
    <w:rsid w:val="00EC64A1"/>
    <w:rsid w:val="00EC64C2"/>
    <w:rsid w:val="00EC6CEE"/>
    <w:rsid w:val="00EC762E"/>
    <w:rsid w:val="00EC7872"/>
    <w:rsid w:val="00EC7A3D"/>
    <w:rsid w:val="00EC7B27"/>
    <w:rsid w:val="00EC7C2E"/>
    <w:rsid w:val="00ED0111"/>
    <w:rsid w:val="00ED0197"/>
    <w:rsid w:val="00ED0976"/>
    <w:rsid w:val="00ED1EFA"/>
    <w:rsid w:val="00ED3346"/>
    <w:rsid w:val="00ED43F5"/>
    <w:rsid w:val="00ED6311"/>
    <w:rsid w:val="00ED70F4"/>
    <w:rsid w:val="00ED7429"/>
    <w:rsid w:val="00ED7A16"/>
    <w:rsid w:val="00EE03A9"/>
    <w:rsid w:val="00EE06A6"/>
    <w:rsid w:val="00EE2048"/>
    <w:rsid w:val="00EE257F"/>
    <w:rsid w:val="00EE296C"/>
    <w:rsid w:val="00EE2A6C"/>
    <w:rsid w:val="00EE2C98"/>
    <w:rsid w:val="00EE37D9"/>
    <w:rsid w:val="00EE4DEB"/>
    <w:rsid w:val="00EE6881"/>
    <w:rsid w:val="00EF121E"/>
    <w:rsid w:val="00EF19E2"/>
    <w:rsid w:val="00EF2402"/>
    <w:rsid w:val="00EF251C"/>
    <w:rsid w:val="00EF2C6A"/>
    <w:rsid w:val="00EF2F1D"/>
    <w:rsid w:val="00EF30E5"/>
    <w:rsid w:val="00EF48DA"/>
    <w:rsid w:val="00EF4A31"/>
    <w:rsid w:val="00EF539E"/>
    <w:rsid w:val="00EF588C"/>
    <w:rsid w:val="00EF5F57"/>
    <w:rsid w:val="00EF6AD1"/>
    <w:rsid w:val="00F00335"/>
    <w:rsid w:val="00F005F9"/>
    <w:rsid w:val="00F00734"/>
    <w:rsid w:val="00F01150"/>
    <w:rsid w:val="00F01EFF"/>
    <w:rsid w:val="00F0285C"/>
    <w:rsid w:val="00F049ED"/>
    <w:rsid w:val="00F05C48"/>
    <w:rsid w:val="00F06598"/>
    <w:rsid w:val="00F07591"/>
    <w:rsid w:val="00F111A2"/>
    <w:rsid w:val="00F111F5"/>
    <w:rsid w:val="00F11A9E"/>
    <w:rsid w:val="00F121EB"/>
    <w:rsid w:val="00F134BD"/>
    <w:rsid w:val="00F14B86"/>
    <w:rsid w:val="00F14DF9"/>
    <w:rsid w:val="00F15916"/>
    <w:rsid w:val="00F16F5B"/>
    <w:rsid w:val="00F17661"/>
    <w:rsid w:val="00F205B3"/>
    <w:rsid w:val="00F212CB"/>
    <w:rsid w:val="00F2147C"/>
    <w:rsid w:val="00F224DA"/>
    <w:rsid w:val="00F22D4C"/>
    <w:rsid w:val="00F2329D"/>
    <w:rsid w:val="00F23E12"/>
    <w:rsid w:val="00F24996"/>
    <w:rsid w:val="00F2554D"/>
    <w:rsid w:val="00F25C7D"/>
    <w:rsid w:val="00F261F1"/>
    <w:rsid w:val="00F2661C"/>
    <w:rsid w:val="00F26CB7"/>
    <w:rsid w:val="00F271BD"/>
    <w:rsid w:val="00F27631"/>
    <w:rsid w:val="00F317A5"/>
    <w:rsid w:val="00F32E36"/>
    <w:rsid w:val="00F33E99"/>
    <w:rsid w:val="00F34C03"/>
    <w:rsid w:val="00F34F69"/>
    <w:rsid w:val="00F3543F"/>
    <w:rsid w:val="00F35B1D"/>
    <w:rsid w:val="00F37F26"/>
    <w:rsid w:val="00F40492"/>
    <w:rsid w:val="00F40EC3"/>
    <w:rsid w:val="00F40F14"/>
    <w:rsid w:val="00F4110D"/>
    <w:rsid w:val="00F41D34"/>
    <w:rsid w:val="00F41FD2"/>
    <w:rsid w:val="00F42654"/>
    <w:rsid w:val="00F42AB7"/>
    <w:rsid w:val="00F42F09"/>
    <w:rsid w:val="00F42F44"/>
    <w:rsid w:val="00F4489C"/>
    <w:rsid w:val="00F44F56"/>
    <w:rsid w:val="00F46B3C"/>
    <w:rsid w:val="00F46D21"/>
    <w:rsid w:val="00F50823"/>
    <w:rsid w:val="00F51265"/>
    <w:rsid w:val="00F51F53"/>
    <w:rsid w:val="00F51F8B"/>
    <w:rsid w:val="00F5506E"/>
    <w:rsid w:val="00F55412"/>
    <w:rsid w:val="00F55833"/>
    <w:rsid w:val="00F56EFC"/>
    <w:rsid w:val="00F57EF7"/>
    <w:rsid w:val="00F601E9"/>
    <w:rsid w:val="00F62301"/>
    <w:rsid w:val="00F633BF"/>
    <w:rsid w:val="00F634A6"/>
    <w:rsid w:val="00F6368F"/>
    <w:rsid w:val="00F64D68"/>
    <w:rsid w:val="00F65629"/>
    <w:rsid w:val="00F6627E"/>
    <w:rsid w:val="00F67776"/>
    <w:rsid w:val="00F67DA4"/>
    <w:rsid w:val="00F67F4B"/>
    <w:rsid w:val="00F70167"/>
    <w:rsid w:val="00F70B2A"/>
    <w:rsid w:val="00F70ED9"/>
    <w:rsid w:val="00F71223"/>
    <w:rsid w:val="00F72CC8"/>
    <w:rsid w:val="00F73015"/>
    <w:rsid w:val="00F7330D"/>
    <w:rsid w:val="00F73400"/>
    <w:rsid w:val="00F73D66"/>
    <w:rsid w:val="00F745D5"/>
    <w:rsid w:val="00F74BE4"/>
    <w:rsid w:val="00F754DC"/>
    <w:rsid w:val="00F76B3B"/>
    <w:rsid w:val="00F76EDE"/>
    <w:rsid w:val="00F7769F"/>
    <w:rsid w:val="00F77C89"/>
    <w:rsid w:val="00F8044B"/>
    <w:rsid w:val="00F814ED"/>
    <w:rsid w:val="00F815D6"/>
    <w:rsid w:val="00F81760"/>
    <w:rsid w:val="00F825A1"/>
    <w:rsid w:val="00F82B7C"/>
    <w:rsid w:val="00F832CE"/>
    <w:rsid w:val="00F83770"/>
    <w:rsid w:val="00F83D7F"/>
    <w:rsid w:val="00F85258"/>
    <w:rsid w:val="00F857DA"/>
    <w:rsid w:val="00F9159F"/>
    <w:rsid w:val="00F91866"/>
    <w:rsid w:val="00F91B82"/>
    <w:rsid w:val="00F928CF"/>
    <w:rsid w:val="00F92F8F"/>
    <w:rsid w:val="00F93752"/>
    <w:rsid w:val="00F93DAD"/>
    <w:rsid w:val="00F93EE4"/>
    <w:rsid w:val="00F9474F"/>
    <w:rsid w:val="00F9499E"/>
    <w:rsid w:val="00F952EE"/>
    <w:rsid w:val="00F961DF"/>
    <w:rsid w:val="00F96785"/>
    <w:rsid w:val="00F96B26"/>
    <w:rsid w:val="00F977FB"/>
    <w:rsid w:val="00F979F7"/>
    <w:rsid w:val="00F97E1F"/>
    <w:rsid w:val="00F97E60"/>
    <w:rsid w:val="00F97EBB"/>
    <w:rsid w:val="00FA0ADB"/>
    <w:rsid w:val="00FA0ED0"/>
    <w:rsid w:val="00FA282D"/>
    <w:rsid w:val="00FA2B09"/>
    <w:rsid w:val="00FA2D95"/>
    <w:rsid w:val="00FA3137"/>
    <w:rsid w:val="00FA4CBE"/>
    <w:rsid w:val="00FA4EAC"/>
    <w:rsid w:val="00FA5E42"/>
    <w:rsid w:val="00FA6CB0"/>
    <w:rsid w:val="00FB0323"/>
    <w:rsid w:val="00FB03D2"/>
    <w:rsid w:val="00FB0988"/>
    <w:rsid w:val="00FB0A7B"/>
    <w:rsid w:val="00FB0CDF"/>
    <w:rsid w:val="00FB5773"/>
    <w:rsid w:val="00FB5B64"/>
    <w:rsid w:val="00FB6D17"/>
    <w:rsid w:val="00FB6FB2"/>
    <w:rsid w:val="00FB7524"/>
    <w:rsid w:val="00FB7B49"/>
    <w:rsid w:val="00FC09C9"/>
    <w:rsid w:val="00FC0CE8"/>
    <w:rsid w:val="00FC150B"/>
    <w:rsid w:val="00FC23D8"/>
    <w:rsid w:val="00FC410C"/>
    <w:rsid w:val="00FC4C63"/>
    <w:rsid w:val="00FC5401"/>
    <w:rsid w:val="00FC556D"/>
    <w:rsid w:val="00FC6434"/>
    <w:rsid w:val="00FC6833"/>
    <w:rsid w:val="00FC6B51"/>
    <w:rsid w:val="00FC6DF6"/>
    <w:rsid w:val="00FC7F6A"/>
    <w:rsid w:val="00FD0EC5"/>
    <w:rsid w:val="00FD29CD"/>
    <w:rsid w:val="00FD436F"/>
    <w:rsid w:val="00FD62FD"/>
    <w:rsid w:val="00FD7B32"/>
    <w:rsid w:val="00FE0132"/>
    <w:rsid w:val="00FE0DD4"/>
    <w:rsid w:val="00FE27BF"/>
    <w:rsid w:val="00FE6CAC"/>
    <w:rsid w:val="00FF05BE"/>
    <w:rsid w:val="00FF323B"/>
    <w:rsid w:val="00FF3881"/>
    <w:rsid w:val="00FF3CF7"/>
    <w:rsid w:val="00FF4AFC"/>
    <w:rsid w:val="00FF4ECF"/>
    <w:rsid w:val="00FF4F77"/>
    <w:rsid w:val="00FF5401"/>
    <w:rsid w:val="00FF5A2E"/>
    <w:rsid w:val="00FF6B6A"/>
    <w:rsid w:val="00FF6E98"/>
    <w:rsid w:val="00FF7034"/>
    <w:rsid w:val="00FF718B"/>
    <w:rsid w:val="00FF7223"/>
    <w:rsid w:val="00FF7A75"/>
    <w:rsid w:val="01ACAA02"/>
    <w:rsid w:val="1FE134A3"/>
    <w:rsid w:val="22206AF4"/>
    <w:rsid w:val="2401E946"/>
    <w:rsid w:val="27109BDC"/>
    <w:rsid w:val="2759B7CC"/>
    <w:rsid w:val="2D88D89E"/>
    <w:rsid w:val="2D9087C0"/>
    <w:rsid w:val="36AAEE92"/>
    <w:rsid w:val="37ACDB97"/>
    <w:rsid w:val="3BBB51CE"/>
    <w:rsid w:val="3F4694A0"/>
    <w:rsid w:val="42E5A74A"/>
    <w:rsid w:val="4332C928"/>
    <w:rsid w:val="4AA40283"/>
    <w:rsid w:val="4AC4148E"/>
    <w:rsid w:val="4D9567F3"/>
    <w:rsid w:val="4E8EF65D"/>
    <w:rsid w:val="56B7143C"/>
    <w:rsid w:val="57C087D8"/>
    <w:rsid w:val="59E348EA"/>
    <w:rsid w:val="5FC2E061"/>
    <w:rsid w:val="5FD3CE1F"/>
    <w:rsid w:val="60E77224"/>
    <w:rsid w:val="6789C4A5"/>
    <w:rsid w:val="683BF79E"/>
    <w:rsid w:val="6A02F223"/>
    <w:rsid w:val="6B31ABC4"/>
    <w:rsid w:val="723F460F"/>
    <w:rsid w:val="72B73081"/>
    <w:rsid w:val="754F65AE"/>
    <w:rsid w:val="774E5C3E"/>
    <w:rsid w:val="78CE137C"/>
    <w:rsid w:val="7EC8D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A1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uiPriority w:val="99"/>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character" w:customStyle="1" w:styleId="FootnoteTextChar">
    <w:name w:val="Footnote Text Char"/>
    <w:basedOn w:val="DefaultParagraphFont"/>
    <w:link w:val="FootnoteText"/>
    <w:uiPriority w:val="99"/>
    <w:rsid w:val="00C91BF4"/>
    <w:rPr>
      <w:rFonts w:ascii="Palatino" w:hAnsi="Palatino"/>
      <w:sz w:val="24"/>
    </w:rPr>
  </w:style>
  <w:style w:type="paragraph" w:customStyle="1" w:styleId="paragraph">
    <w:name w:val="paragraph"/>
    <w:basedOn w:val="Normal"/>
    <w:rsid w:val="00FF6E9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6E98"/>
  </w:style>
  <w:style w:type="character" w:customStyle="1" w:styleId="apple-converted-space">
    <w:name w:val="apple-converted-space"/>
    <w:basedOn w:val="DefaultParagraphFont"/>
    <w:rsid w:val="00FF6E98"/>
  </w:style>
  <w:style w:type="character" w:customStyle="1" w:styleId="spellingerror">
    <w:name w:val="spellingerror"/>
    <w:basedOn w:val="DefaultParagraphFont"/>
    <w:rsid w:val="00FF6E98"/>
  </w:style>
  <w:style w:type="paragraph" w:styleId="NormalWeb">
    <w:name w:val="Normal (Web)"/>
    <w:basedOn w:val="Normal"/>
    <w:uiPriority w:val="99"/>
    <w:unhideWhenUsed/>
    <w:rsid w:val="00FF6E98"/>
    <w:rPr>
      <w:rFonts w:ascii="Calibri" w:eastAsiaTheme="minorHAnsi" w:hAnsi="Calibri" w:cs="Calibri"/>
      <w:sz w:val="22"/>
      <w:szCs w:val="22"/>
    </w:rPr>
  </w:style>
  <w:style w:type="character" w:customStyle="1" w:styleId="eop">
    <w:name w:val="eop"/>
    <w:basedOn w:val="DefaultParagraphFont"/>
    <w:rsid w:val="008E09CF"/>
  </w:style>
  <w:style w:type="character" w:customStyle="1" w:styleId="standardChar">
    <w:name w:val="standard Char"/>
    <w:link w:val="standard"/>
    <w:locked/>
    <w:rsid w:val="00851230"/>
    <w:rPr>
      <w:rFonts w:ascii="Palatino" w:hAnsi="Palatino"/>
      <w:sz w:val="26"/>
    </w:rPr>
  </w:style>
  <w:style w:type="table" w:styleId="TableGrid">
    <w:name w:val="Table Grid"/>
    <w:basedOn w:val="TableNormal"/>
    <w:uiPriority w:val="59"/>
    <w:rsid w:val="008F296D"/>
    <w:pPr>
      <w:ind w:left="720" w:hanging="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F296D"/>
    <w:rPr>
      <w:rFonts w:ascii="Palatino" w:hAnsi="Palatino"/>
      <w:sz w:val="26"/>
    </w:rPr>
  </w:style>
  <w:style w:type="character" w:customStyle="1" w:styleId="FooterChar">
    <w:name w:val="Footer Char"/>
    <w:basedOn w:val="DefaultParagraphFont"/>
    <w:link w:val="Footer"/>
    <w:uiPriority w:val="99"/>
    <w:rsid w:val="008F296D"/>
    <w:rPr>
      <w:rFonts w:ascii="Palatino" w:hAnsi="Palatino"/>
      <w:sz w:val="26"/>
    </w:rPr>
  </w:style>
  <w:style w:type="paragraph" w:styleId="BalloonText">
    <w:name w:val="Balloon Text"/>
    <w:basedOn w:val="Normal"/>
    <w:link w:val="BalloonTextChar"/>
    <w:uiPriority w:val="99"/>
    <w:semiHidden/>
    <w:unhideWhenUsed/>
    <w:rsid w:val="008F296D"/>
    <w:pPr>
      <w:ind w:left="720" w:hanging="360"/>
    </w:pPr>
    <w:rPr>
      <w:rFonts w:ascii="Times New Roman" w:eastAsiaTheme="minorHAnsi" w:hAnsi="Times New Roman"/>
      <w:sz w:val="18"/>
      <w:szCs w:val="18"/>
    </w:rPr>
  </w:style>
  <w:style w:type="character" w:customStyle="1" w:styleId="BalloonTextChar">
    <w:name w:val="Balloon Text Char"/>
    <w:basedOn w:val="DefaultParagraphFont"/>
    <w:link w:val="BalloonText"/>
    <w:uiPriority w:val="99"/>
    <w:semiHidden/>
    <w:rsid w:val="008F296D"/>
    <w:rPr>
      <w:rFonts w:eastAsiaTheme="minorHAnsi"/>
      <w:sz w:val="18"/>
      <w:szCs w:val="18"/>
    </w:rPr>
  </w:style>
  <w:style w:type="character" w:styleId="Hyperlink">
    <w:name w:val="Hyperlink"/>
    <w:basedOn w:val="DefaultParagraphFont"/>
    <w:uiPriority w:val="99"/>
    <w:unhideWhenUsed/>
    <w:rsid w:val="008F296D"/>
    <w:rPr>
      <w:color w:val="0000FF"/>
      <w:u w:val="single"/>
    </w:rPr>
  </w:style>
  <w:style w:type="character" w:customStyle="1" w:styleId="UnresolvedMention1">
    <w:name w:val="Unresolved Mention1"/>
    <w:basedOn w:val="DefaultParagraphFont"/>
    <w:uiPriority w:val="99"/>
    <w:semiHidden/>
    <w:unhideWhenUsed/>
    <w:rsid w:val="008F296D"/>
    <w:rPr>
      <w:color w:val="605E5C"/>
      <w:shd w:val="clear" w:color="auto" w:fill="E1DFDD"/>
    </w:rPr>
  </w:style>
  <w:style w:type="character" w:styleId="CommentReference">
    <w:name w:val="annotation reference"/>
    <w:basedOn w:val="DefaultParagraphFont"/>
    <w:semiHidden/>
    <w:unhideWhenUsed/>
    <w:rsid w:val="00846478"/>
    <w:rPr>
      <w:sz w:val="16"/>
      <w:szCs w:val="16"/>
    </w:rPr>
  </w:style>
  <w:style w:type="paragraph" w:styleId="CommentText">
    <w:name w:val="annotation text"/>
    <w:basedOn w:val="Normal"/>
    <w:link w:val="CommentTextChar"/>
    <w:semiHidden/>
    <w:unhideWhenUsed/>
    <w:rsid w:val="00846478"/>
    <w:rPr>
      <w:sz w:val="20"/>
    </w:rPr>
  </w:style>
  <w:style w:type="character" w:customStyle="1" w:styleId="CommentTextChar">
    <w:name w:val="Comment Text Char"/>
    <w:basedOn w:val="DefaultParagraphFont"/>
    <w:link w:val="CommentText"/>
    <w:semiHidden/>
    <w:rsid w:val="00846478"/>
    <w:rPr>
      <w:rFonts w:ascii="Palatino" w:hAnsi="Palatino"/>
    </w:rPr>
  </w:style>
  <w:style w:type="paragraph" w:styleId="CommentSubject">
    <w:name w:val="annotation subject"/>
    <w:basedOn w:val="CommentText"/>
    <w:next w:val="CommentText"/>
    <w:link w:val="CommentSubjectChar"/>
    <w:semiHidden/>
    <w:unhideWhenUsed/>
    <w:rsid w:val="00846478"/>
    <w:rPr>
      <w:b/>
      <w:bCs/>
    </w:rPr>
  </w:style>
  <w:style w:type="character" w:customStyle="1" w:styleId="CommentSubjectChar">
    <w:name w:val="Comment Subject Char"/>
    <w:basedOn w:val="CommentTextChar"/>
    <w:link w:val="CommentSubject"/>
    <w:semiHidden/>
    <w:rsid w:val="00846478"/>
    <w:rPr>
      <w:rFonts w:ascii="Palatino" w:hAnsi="Palatino"/>
      <w:b/>
      <w:bCs/>
    </w:rPr>
  </w:style>
  <w:style w:type="paragraph" w:styleId="Revision">
    <w:name w:val="Revision"/>
    <w:hidden/>
    <w:uiPriority w:val="99"/>
    <w:semiHidden/>
    <w:rsid w:val="00131C50"/>
    <w:rPr>
      <w:rFonts w:ascii="Palatino" w:hAnsi="Palatino"/>
      <w:sz w:val="26"/>
    </w:rPr>
  </w:style>
  <w:style w:type="character" w:customStyle="1" w:styleId="scxw141166783">
    <w:name w:val="scxw141166783"/>
    <w:basedOn w:val="DefaultParagraphFont"/>
    <w:rsid w:val="002A7EF5"/>
  </w:style>
  <w:style w:type="character" w:styleId="FollowedHyperlink">
    <w:name w:val="FollowedHyperlink"/>
    <w:basedOn w:val="DefaultParagraphFont"/>
    <w:semiHidden/>
    <w:unhideWhenUsed/>
    <w:rsid w:val="00467273"/>
    <w:rPr>
      <w:color w:val="800080" w:themeColor="followedHyperlink"/>
      <w:u w:val="single"/>
    </w:rPr>
  </w:style>
  <w:style w:type="paragraph" w:customStyle="1" w:styleId="Default">
    <w:name w:val="Default"/>
    <w:rsid w:val="00725DF7"/>
    <w:pPr>
      <w:autoSpaceDE w:val="0"/>
      <w:autoSpaceDN w:val="0"/>
      <w:adjustRightInd w:val="0"/>
    </w:pPr>
    <w:rPr>
      <w:rFonts w:ascii="Book Antiqua" w:eastAsiaTheme="minorHAnsi" w:hAnsi="Book Antiqua" w:cs="Book Antiqua"/>
      <w:color w:val="000000"/>
      <w:sz w:val="24"/>
      <w:szCs w:val="24"/>
    </w:rPr>
  </w:style>
  <w:style w:type="paragraph" w:customStyle="1" w:styleId="Body">
    <w:name w:val="Body"/>
    <w:rsid w:val="00725DF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231">
      <w:bodyDiv w:val="1"/>
      <w:marLeft w:val="0"/>
      <w:marRight w:val="0"/>
      <w:marTop w:val="0"/>
      <w:marBottom w:val="0"/>
      <w:divBdr>
        <w:top w:val="none" w:sz="0" w:space="0" w:color="auto"/>
        <w:left w:val="none" w:sz="0" w:space="0" w:color="auto"/>
        <w:bottom w:val="none" w:sz="0" w:space="0" w:color="auto"/>
        <w:right w:val="none" w:sz="0" w:space="0" w:color="auto"/>
      </w:divBdr>
    </w:div>
    <w:div w:id="89549762">
      <w:bodyDiv w:val="1"/>
      <w:marLeft w:val="0"/>
      <w:marRight w:val="0"/>
      <w:marTop w:val="0"/>
      <w:marBottom w:val="0"/>
      <w:divBdr>
        <w:top w:val="none" w:sz="0" w:space="0" w:color="auto"/>
        <w:left w:val="none" w:sz="0" w:space="0" w:color="auto"/>
        <w:bottom w:val="none" w:sz="0" w:space="0" w:color="auto"/>
        <w:right w:val="none" w:sz="0" w:space="0" w:color="auto"/>
      </w:divBdr>
      <w:divsChild>
        <w:div w:id="419105509">
          <w:marLeft w:val="0"/>
          <w:marRight w:val="0"/>
          <w:marTop w:val="0"/>
          <w:marBottom w:val="0"/>
          <w:divBdr>
            <w:top w:val="none" w:sz="0" w:space="0" w:color="auto"/>
            <w:left w:val="none" w:sz="0" w:space="0" w:color="auto"/>
            <w:bottom w:val="none" w:sz="0" w:space="0" w:color="auto"/>
            <w:right w:val="none" w:sz="0" w:space="0" w:color="auto"/>
          </w:divBdr>
          <w:divsChild>
            <w:div w:id="887912293">
              <w:marLeft w:val="0"/>
              <w:marRight w:val="0"/>
              <w:marTop w:val="0"/>
              <w:marBottom w:val="0"/>
              <w:divBdr>
                <w:top w:val="none" w:sz="0" w:space="0" w:color="auto"/>
                <w:left w:val="none" w:sz="0" w:space="0" w:color="auto"/>
                <w:bottom w:val="none" w:sz="0" w:space="0" w:color="auto"/>
                <w:right w:val="none" w:sz="0" w:space="0" w:color="auto"/>
              </w:divBdr>
            </w:div>
            <w:div w:id="733893642">
              <w:marLeft w:val="0"/>
              <w:marRight w:val="0"/>
              <w:marTop w:val="0"/>
              <w:marBottom w:val="0"/>
              <w:divBdr>
                <w:top w:val="none" w:sz="0" w:space="0" w:color="auto"/>
                <w:left w:val="none" w:sz="0" w:space="0" w:color="auto"/>
                <w:bottom w:val="none" w:sz="0" w:space="0" w:color="auto"/>
                <w:right w:val="none" w:sz="0" w:space="0" w:color="auto"/>
              </w:divBdr>
            </w:div>
          </w:divsChild>
        </w:div>
        <w:div w:id="1897886845">
          <w:marLeft w:val="0"/>
          <w:marRight w:val="0"/>
          <w:marTop w:val="0"/>
          <w:marBottom w:val="0"/>
          <w:divBdr>
            <w:top w:val="none" w:sz="0" w:space="0" w:color="auto"/>
            <w:left w:val="none" w:sz="0" w:space="0" w:color="auto"/>
            <w:bottom w:val="none" w:sz="0" w:space="0" w:color="auto"/>
            <w:right w:val="none" w:sz="0" w:space="0" w:color="auto"/>
          </w:divBdr>
          <w:divsChild>
            <w:div w:id="1440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169">
      <w:bodyDiv w:val="1"/>
      <w:marLeft w:val="0"/>
      <w:marRight w:val="0"/>
      <w:marTop w:val="0"/>
      <w:marBottom w:val="0"/>
      <w:divBdr>
        <w:top w:val="none" w:sz="0" w:space="0" w:color="auto"/>
        <w:left w:val="none" w:sz="0" w:space="0" w:color="auto"/>
        <w:bottom w:val="none" w:sz="0" w:space="0" w:color="auto"/>
        <w:right w:val="none" w:sz="0" w:space="0" w:color="auto"/>
      </w:divBdr>
      <w:divsChild>
        <w:div w:id="402145552">
          <w:marLeft w:val="0"/>
          <w:marRight w:val="0"/>
          <w:marTop w:val="0"/>
          <w:marBottom w:val="0"/>
          <w:divBdr>
            <w:top w:val="none" w:sz="0" w:space="0" w:color="auto"/>
            <w:left w:val="none" w:sz="0" w:space="0" w:color="auto"/>
            <w:bottom w:val="none" w:sz="0" w:space="0" w:color="auto"/>
            <w:right w:val="none" w:sz="0" w:space="0" w:color="auto"/>
          </w:divBdr>
        </w:div>
        <w:div w:id="795367034">
          <w:marLeft w:val="0"/>
          <w:marRight w:val="0"/>
          <w:marTop w:val="0"/>
          <w:marBottom w:val="0"/>
          <w:divBdr>
            <w:top w:val="none" w:sz="0" w:space="0" w:color="auto"/>
            <w:left w:val="none" w:sz="0" w:space="0" w:color="auto"/>
            <w:bottom w:val="none" w:sz="0" w:space="0" w:color="auto"/>
            <w:right w:val="none" w:sz="0" w:space="0" w:color="auto"/>
          </w:divBdr>
        </w:div>
        <w:div w:id="610744421">
          <w:marLeft w:val="0"/>
          <w:marRight w:val="0"/>
          <w:marTop w:val="0"/>
          <w:marBottom w:val="0"/>
          <w:divBdr>
            <w:top w:val="none" w:sz="0" w:space="0" w:color="auto"/>
            <w:left w:val="none" w:sz="0" w:space="0" w:color="auto"/>
            <w:bottom w:val="none" w:sz="0" w:space="0" w:color="auto"/>
            <w:right w:val="none" w:sz="0" w:space="0" w:color="auto"/>
          </w:divBdr>
        </w:div>
      </w:divsChild>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371660140">
      <w:bodyDiv w:val="1"/>
      <w:marLeft w:val="0"/>
      <w:marRight w:val="0"/>
      <w:marTop w:val="0"/>
      <w:marBottom w:val="0"/>
      <w:divBdr>
        <w:top w:val="none" w:sz="0" w:space="0" w:color="auto"/>
        <w:left w:val="none" w:sz="0" w:space="0" w:color="auto"/>
        <w:bottom w:val="none" w:sz="0" w:space="0" w:color="auto"/>
        <w:right w:val="none" w:sz="0" w:space="0" w:color="auto"/>
      </w:divBdr>
    </w:div>
    <w:div w:id="376516235">
      <w:bodyDiv w:val="1"/>
      <w:marLeft w:val="0"/>
      <w:marRight w:val="0"/>
      <w:marTop w:val="0"/>
      <w:marBottom w:val="0"/>
      <w:divBdr>
        <w:top w:val="none" w:sz="0" w:space="0" w:color="auto"/>
        <w:left w:val="none" w:sz="0" w:space="0" w:color="auto"/>
        <w:bottom w:val="none" w:sz="0" w:space="0" w:color="auto"/>
        <w:right w:val="none" w:sz="0" w:space="0" w:color="auto"/>
      </w:divBdr>
    </w:div>
    <w:div w:id="468085853">
      <w:bodyDiv w:val="1"/>
      <w:marLeft w:val="0"/>
      <w:marRight w:val="0"/>
      <w:marTop w:val="0"/>
      <w:marBottom w:val="0"/>
      <w:divBdr>
        <w:top w:val="none" w:sz="0" w:space="0" w:color="auto"/>
        <w:left w:val="none" w:sz="0" w:space="0" w:color="auto"/>
        <w:bottom w:val="none" w:sz="0" w:space="0" w:color="auto"/>
        <w:right w:val="none" w:sz="0" w:space="0" w:color="auto"/>
      </w:divBdr>
    </w:div>
    <w:div w:id="556360647">
      <w:bodyDiv w:val="1"/>
      <w:marLeft w:val="0"/>
      <w:marRight w:val="0"/>
      <w:marTop w:val="0"/>
      <w:marBottom w:val="0"/>
      <w:divBdr>
        <w:top w:val="none" w:sz="0" w:space="0" w:color="auto"/>
        <w:left w:val="none" w:sz="0" w:space="0" w:color="auto"/>
        <w:bottom w:val="none" w:sz="0" w:space="0" w:color="auto"/>
        <w:right w:val="none" w:sz="0" w:space="0" w:color="auto"/>
      </w:divBdr>
      <w:divsChild>
        <w:div w:id="962810219">
          <w:marLeft w:val="0"/>
          <w:marRight w:val="0"/>
          <w:marTop w:val="0"/>
          <w:marBottom w:val="0"/>
          <w:divBdr>
            <w:top w:val="none" w:sz="0" w:space="0" w:color="auto"/>
            <w:left w:val="none" w:sz="0" w:space="0" w:color="auto"/>
            <w:bottom w:val="none" w:sz="0" w:space="0" w:color="auto"/>
            <w:right w:val="none" w:sz="0" w:space="0" w:color="auto"/>
          </w:divBdr>
          <w:divsChild>
            <w:div w:id="853228891">
              <w:marLeft w:val="0"/>
              <w:marRight w:val="0"/>
              <w:marTop w:val="0"/>
              <w:marBottom w:val="0"/>
              <w:divBdr>
                <w:top w:val="none" w:sz="0" w:space="0" w:color="auto"/>
                <w:left w:val="none" w:sz="0" w:space="0" w:color="auto"/>
                <w:bottom w:val="none" w:sz="0" w:space="0" w:color="auto"/>
                <w:right w:val="none" w:sz="0" w:space="0" w:color="auto"/>
              </w:divBdr>
            </w:div>
            <w:div w:id="1888297311">
              <w:marLeft w:val="0"/>
              <w:marRight w:val="0"/>
              <w:marTop w:val="0"/>
              <w:marBottom w:val="0"/>
              <w:divBdr>
                <w:top w:val="none" w:sz="0" w:space="0" w:color="auto"/>
                <w:left w:val="none" w:sz="0" w:space="0" w:color="auto"/>
                <w:bottom w:val="none" w:sz="0" w:space="0" w:color="auto"/>
                <w:right w:val="none" w:sz="0" w:space="0" w:color="auto"/>
              </w:divBdr>
            </w:div>
          </w:divsChild>
        </w:div>
        <w:div w:id="720328074">
          <w:marLeft w:val="0"/>
          <w:marRight w:val="0"/>
          <w:marTop w:val="0"/>
          <w:marBottom w:val="0"/>
          <w:divBdr>
            <w:top w:val="none" w:sz="0" w:space="0" w:color="auto"/>
            <w:left w:val="none" w:sz="0" w:space="0" w:color="auto"/>
            <w:bottom w:val="none" w:sz="0" w:space="0" w:color="auto"/>
            <w:right w:val="none" w:sz="0" w:space="0" w:color="auto"/>
          </w:divBdr>
          <w:divsChild>
            <w:div w:id="5347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1303">
      <w:bodyDiv w:val="1"/>
      <w:marLeft w:val="0"/>
      <w:marRight w:val="0"/>
      <w:marTop w:val="0"/>
      <w:marBottom w:val="0"/>
      <w:divBdr>
        <w:top w:val="none" w:sz="0" w:space="0" w:color="auto"/>
        <w:left w:val="none" w:sz="0" w:space="0" w:color="auto"/>
        <w:bottom w:val="none" w:sz="0" w:space="0" w:color="auto"/>
        <w:right w:val="none" w:sz="0" w:space="0" w:color="auto"/>
      </w:divBdr>
    </w:div>
    <w:div w:id="860705180">
      <w:bodyDiv w:val="1"/>
      <w:marLeft w:val="0"/>
      <w:marRight w:val="0"/>
      <w:marTop w:val="0"/>
      <w:marBottom w:val="0"/>
      <w:divBdr>
        <w:top w:val="none" w:sz="0" w:space="0" w:color="auto"/>
        <w:left w:val="none" w:sz="0" w:space="0" w:color="auto"/>
        <w:bottom w:val="none" w:sz="0" w:space="0" w:color="auto"/>
        <w:right w:val="none" w:sz="0" w:space="0" w:color="auto"/>
      </w:divBdr>
    </w:div>
    <w:div w:id="924192203">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995451809">
      <w:bodyDiv w:val="1"/>
      <w:marLeft w:val="0"/>
      <w:marRight w:val="0"/>
      <w:marTop w:val="0"/>
      <w:marBottom w:val="0"/>
      <w:divBdr>
        <w:top w:val="none" w:sz="0" w:space="0" w:color="auto"/>
        <w:left w:val="none" w:sz="0" w:space="0" w:color="auto"/>
        <w:bottom w:val="none" w:sz="0" w:space="0" w:color="auto"/>
        <w:right w:val="none" w:sz="0" w:space="0" w:color="auto"/>
      </w:divBdr>
    </w:div>
    <w:div w:id="1024938027">
      <w:bodyDiv w:val="1"/>
      <w:marLeft w:val="0"/>
      <w:marRight w:val="0"/>
      <w:marTop w:val="0"/>
      <w:marBottom w:val="0"/>
      <w:divBdr>
        <w:top w:val="none" w:sz="0" w:space="0" w:color="auto"/>
        <w:left w:val="none" w:sz="0" w:space="0" w:color="auto"/>
        <w:bottom w:val="none" w:sz="0" w:space="0" w:color="auto"/>
        <w:right w:val="none" w:sz="0" w:space="0" w:color="auto"/>
      </w:divBdr>
    </w:div>
    <w:div w:id="1025524743">
      <w:bodyDiv w:val="1"/>
      <w:marLeft w:val="0"/>
      <w:marRight w:val="0"/>
      <w:marTop w:val="0"/>
      <w:marBottom w:val="0"/>
      <w:divBdr>
        <w:top w:val="none" w:sz="0" w:space="0" w:color="auto"/>
        <w:left w:val="none" w:sz="0" w:space="0" w:color="auto"/>
        <w:bottom w:val="none" w:sz="0" w:space="0" w:color="auto"/>
        <w:right w:val="none" w:sz="0" w:space="0" w:color="auto"/>
      </w:divBdr>
    </w:div>
    <w:div w:id="1064137934">
      <w:bodyDiv w:val="1"/>
      <w:marLeft w:val="0"/>
      <w:marRight w:val="0"/>
      <w:marTop w:val="0"/>
      <w:marBottom w:val="0"/>
      <w:divBdr>
        <w:top w:val="none" w:sz="0" w:space="0" w:color="auto"/>
        <w:left w:val="none" w:sz="0" w:space="0" w:color="auto"/>
        <w:bottom w:val="none" w:sz="0" w:space="0" w:color="auto"/>
        <w:right w:val="none" w:sz="0" w:space="0" w:color="auto"/>
      </w:divBdr>
    </w:div>
    <w:div w:id="1139035396">
      <w:bodyDiv w:val="1"/>
      <w:marLeft w:val="0"/>
      <w:marRight w:val="0"/>
      <w:marTop w:val="0"/>
      <w:marBottom w:val="0"/>
      <w:divBdr>
        <w:top w:val="none" w:sz="0" w:space="0" w:color="auto"/>
        <w:left w:val="none" w:sz="0" w:space="0" w:color="auto"/>
        <w:bottom w:val="none" w:sz="0" w:space="0" w:color="auto"/>
        <w:right w:val="none" w:sz="0" w:space="0" w:color="auto"/>
      </w:divBdr>
    </w:div>
    <w:div w:id="1142625315">
      <w:bodyDiv w:val="1"/>
      <w:marLeft w:val="0"/>
      <w:marRight w:val="0"/>
      <w:marTop w:val="0"/>
      <w:marBottom w:val="0"/>
      <w:divBdr>
        <w:top w:val="none" w:sz="0" w:space="0" w:color="auto"/>
        <w:left w:val="none" w:sz="0" w:space="0" w:color="auto"/>
        <w:bottom w:val="none" w:sz="0" w:space="0" w:color="auto"/>
        <w:right w:val="none" w:sz="0" w:space="0" w:color="auto"/>
      </w:divBdr>
    </w:div>
    <w:div w:id="1152992018">
      <w:bodyDiv w:val="1"/>
      <w:marLeft w:val="0"/>
      <w:marRight w:val="0"/>
      <w:marTop w:val="0"/>
      <w:marBottom w:val="0"/>
      <w:divBdr>
        <w:top w:val="none" w:sz="0" w:space="0" w:color="auto"/>
        <w:left w:val="none" w:sz="0" w:space="0" w:color="auto"/>
        <w:bottom w:val="none" w:sz="0" w:space="0" w:color="auto"/>
        <w:right w:val="none" w:sz="0" w:space="0" w:color="auto"/>
      </w:divBdr>
    </w:div>
    <w:div w:id="1328553181">
      <w:bodyDiv w:val="1"/>
      <w:marLeft w:val="0"/>
      <w:marRight w:val="0"/>
      <w:marTop w:val="0"/>
      <w:marBottom w:val="0"/>
      <w:divBdr>
        <w:top w:val="none" w:sz="0" w:space="0" w:color="auto"/>
        <w:left w:val="none" w:sz="0" w:space="0" w:color="auto"/>
        <w:bottom w:val="none" w:sz="0" w:space="0" w:color="auto"/>
        <w:right w:val="none" w:sz="0" w:space="0" w:color="auto"/>
      </w:divBdr>
    </w:div>
    <w:div w:id="1333025167">
      <w:bodyDiv w:val="1"/>
      <w:marLeft w:val="0"/>
      <w:marRight w:val="0"/>
      <w:marTop w:val="0"/>
      <w:marBottom w:val="0"/>
      <w:divBdr>
        <w:top w:val="none" w:sz="0" w:space="0" w:color="auto"/>
        <w:left w:val="none" w:sz="0" w:space="0" w:color="auto"/>
        <w:bottom w:val="none" w:sz="0" w:space="0" w:color="auto"/>
        <w:right w:val="none" w:sz="0" w:space="0" w:color="auto"/>
      </w:divBdr>
    </w:div>
    <w:div w:id="1348486010">
      <w:bodyDiv w:val="1"/>
      <w:marLeft w:val="0"/>
      <w:marRight w:val="0"/>
      <w:marTop w:val="0"/>
      <w:marBottom w:val="0"/>
      <w:divBdr>
        <w:top w:val="none" w:sz="0" w:space="0" w:color="auto"/>
        <w:left w:val="none" w:sz="0" w:space="0" w:color="auto"/>
        <w:bottom w:val="none" w:sz="0" w:space="0" w:color="auto"/>
        <w:right w:val="none" w:sz="0" w:space="0" w:color="auto"/>
      </w:divBdr>
      <w:divsChild>
        <w:div w:id="1036662544">
          <w:marLeft w:val="0"/>
          <w:marRight w:val="0"/>
          <w:marTop w:val="0"/>
          <w:marBottom w:val="0"/>
          <w:divBdr>
            <w:top w:val="none" w:sz="0" w:space="0" w:color="auto"/>
            <w:left w:val="none" w:sz="0" w:space="0" w:color="auto"/>
            <w:bottom w:val="none" w:sz="0" w:space="0" w:color="auto"/>
            <w:right w:val="none" w:sz="0" w:space="0" w:color="auto"/>
          </w:divBdr>
        </w:div>
        <w:div w:id="1854100551">
          <w:marLeft w:val="0"/>
          <w:marRight w:val="0"/>
          <w:marTop w:val="0"/>
          <w:marBottom w:val="0"/>
          <w:divBdr>
            <w:top w:val="none" w:sz="0" w:space="0" w:color="auto"/>
            <w:left w:val="none" w:sz="0" w:space="0" w:color="auto"/>
            <w:bottom w:val="none" w:sz="0" w:space="0" w:color="auto"/>
            <w:right w:val="none" w:sz="0" w:space="0" w:color="auto"/>
          </w:divBdr>
        </w:div>
      </w:divsChild>
    </w:div>
    <w:div w:id="1402144758">
      <w:bodyDiv w:val="1"/>
      <w:marLeft w:val="0"/>
      <w:marRight w:val="0"/>
      <w:marTop w:val="0"/>
      <w:marBottom w:val="0"/>
      <w:divBdr>
        <w:top w:val="none" w:sz="0" w:space="0" w:color="auto"/>
        <w:left w:val="none" w:sz="0" w:space="0" w:color="auto"/>
        <w:bottom w:val="none" w:sz="0" w:space="0" w:color="auto"/>
        <w:right w:val="none" w:sz="0" w:space="0" w:color="auto"/>
      </w:divBdr>
    </w:div>
    <w:div w:id="1443919173">
      <w:bodyDiv w:val="1"/>
      <w:marLeft w:val="0"/>
      <w:marRight w:val="0"/>
      <w:marTop w:val="0"/>
      <w:marBottom w:val="0"/>
      <w:divBdr>
        <w:top w:val="none" w:sz="0" w:space="0" w:color="auto"/>
        <w:left w:val="none" w:sz="0" w:space="0" w:color="auto"/>
        <w:bottom w:val="none" w:sz="0" w:space="0" w:color="auto"/>
        <w:right w:val="none" w:sz="0" w:space="0" w:color="auto"/>
      </w:divBdr>
    </w:div>
    <w:div w:id="1448353224">
      <w:bodyDiv w:val="1"/>
      <w:marLeft w:val="0"/>
      <w:marRight w:val="0"/>
      <w:marTop w:val="0"/>
      <w:marBottom w:val="0"/>
      <w:divBdr>
        <w:top w:val="none" w:sz="0" w:space="0" w:color="auto"/>
        <w:left w:val="none" w:sz="0" w:space="0" w:color="auto"/>
        <w:bottom w:val="none" w:sz="0" w:space="0" w:color="auto"/>
        <w:right w:val="none" w:sz="0" w:space="0" w:color="auto"/>
      </w:divBdr>
    </w:div>
    <w:div w:id="1519470905">
      <w:bodyDiv w:val="1"/>
      <w:marLeft w:val="0"/>
      <w:marRight w:val="0"/>
      <w:marTop w:val="0"/>
      <w:marBottom w:val="0"/>
      <w:divBdr>
        <w:top w:val="none" w:sz="0" w:space="0" w:color="auto"/>
        <w:left w:val="none" w:sz="0" w:space="0" w:color="auto"/>
        <w:bottom w:val="none" w:sz="0" w:space="0" w:color="auto"/>
        <w:right w:val="none" w:sz="0" w:space="0" w:color="auto"/>
      </w:divBdr>
    </w:div>
    <w:div w:id="1795057005">
      <w:bodyDiv w:val="1"/>
      <w:marLeft w:val="0"/>
      <w:marRight w:val="0"/>
      <w:marTop w:val="0"/>
      <w:marBottom w:val="0"/>
      <w:divBdr>
        <w:top w:val="none" w:sz="0" w:space="0" w:color="auto"/>
        <w:left w:val="none" w:sz="0" w:space="0" w:color="auto"/>
        <w:bottom w:val="none" w:sz="0" w:space="0" w:color="auto"/>
        <w:right w:val="none" w:sz="0" w:space="0" w:color="auto"/>
      </w:divBdr>
    </w:div>
    <w:div w:id="1800608314">
      <w:bodyDiv w:val="1"/>
      <w:marLeft w:val="0"/>
      <w:marRight w:val="0"/>
      <w:marTop w:val="0"/>
      <w:marBottom w:val="0"/>
      <w:divBdr>
        <w:top w:val="none" w:sz="0" w:space="0" w:color="auto"/>
        <w:left w:val="none" w:sz="0" w:space="0" w:color="auto"/>
        <w:bottom w:val="none" w:sz="0" w:space="0" w:color="auto"/>
        <w:right w:val="none" w:sz="0" w:space="0" w:color="auto"/>
      </w:divBdr>
    </w:div>
    <w:div w:id="2063555326">
      <w:bodyDiv w:val="1"/>
      <w:marLeft w:val="0"/>
      <w:marRight w:val="0"/>
      <w:marTop w:val="0"/>
      <w:marBottom w:val="0"/>
      <w:divBdr>
        <w:top w:val="none" w:sz="0" w:space="0" w:color="auto"/>
        <w:left w:val="none" w:sz="0" w:space="0" w:color="auto"/>
        <w:bottom w:val="none" w:sz="0" w:space="0" w:color="auto"/>
        <w:right w:val="none" w:sz="0" w:space="0" w:color="auto"/>
      </w:divBdr>
    </w:div>
    <w:div w:id="2070027973">
      <w:bodyDiv w:val="1"/>
      <w:marLeft w:val="0"/>
      <w:marRight w:val="0"/>
      <w:marTop w:val="0"/>
      <w:marBottom w:val="0"/>
      <w:divBdr>
        <w:top w:val="none" w:sz="0" w:space="0" w:color="auto"/>
        <w:left w:val="none" w:sz="0" w:space="0" w:color="auto"/>
        <w:bottom w:val="none" w:sz="0" w:space="0" w:color="auto"/>
        <w:right w:val="none" w:sz="0" w:space="0" w:color="auto"/>
      </w:divBdr>
    </w:div>
    <w:div w:id="2094087933">
      <w:bodyDiv w:val="1"/>
      <w:marLeft w:val="0"/>
      <w:marRight w:val="0"/>
      <w:marTop w:val="0"/>
      <w:marBottom w:val="0"/>
      <w:divBdr>
        <w:top w:val="none" w:sz="0" w:space="0" w:color="auto"/>
        <w:left w:val="none" w:sz="0" w:space="0" w:color="auto"/>
        <w:bottom w:val="none" w:sz="0" w:space="0" w:color="auto"/>
        <w:right w:val="none" w:sz="0" w:space="0" w:color="auto"/>
      </w:divBdr>
      <w:divsChild>
        <w:div w:id="1016732756">
          <w:marLeft w:val="0"/>
          <w:marRight w:val="0"/>
          <w:marTop w:val="0"/>
          <w:marBottom w:val="0"/>
          <w:divBdr>
            <w:top w:val="none" w:sz="0" w:space="0" w:color="auto"/>
            <w:left w:val="none" w:sz="0" w:space="0" w:color="auto"/>
            <w:bottom w:val="none" w:sz="0" w:space="0" w:color="auto"/>
            <w:right w:val="none" w:sz="0" w:space="0" w:color="auto"/>
          </w:divBdr>
          <w:divsChild>
            <w:div w:id="70780131">
              <w:marLeft w:val="0"/>
              <w:marRight w:val="0"/>
              <w:marTop w:val="0"/>
              <w:marBottom w:val="0"/>
              <w:divBdr>
                <w:top w:val="none" w:sz="0" w:space="0" w:color="auto"/>
                <w:left w:val="none" w:sz="0" w:space="0" w:color="auto"/>
                <w:bottom w:val="none" w:sz="0" w:space="0" w:color="auto"/>
                <w:right w:val="none" w:sz="0" w:space="0" w:color="auto"/>
              </w:divBdr>
            </w:div>
            <w:div w:id="631398792">
              <w:marLeft w:val="0"/>
              <w:marRight w:val="0"/>
              <w:marTop w:val="0"/>
              <w:marBottom w:val="0"/>
              <w:divBdr>
                <w:top w:val="none" w:sz="0" w:space="0" w:color="auto"/>
                <w:left w:val="none" w:sz="0" w:space="0" w:color="auto"/>
                <w:bottom w:val="none" w:sz="0" w:space="0" w:color="auto"/>
                <w:right w:val="none" w:sz="0" w:space="0" w:color="auto"/>
              </w:divBdr>
            </w:div>
          </w:divsChild>
        </w:div>
        <w:div w:id="450588169">
          <w:marLeft w:val="0"/>
          <w:marRight w:val="0"/>
          <w:marTop w:val="0"/>
          <w:marBottom w:val="0"/>
          <w:divBdr>
            <w:top w:val="none" w:sz="0" w:space="0" w:color="auto"/>
            <w:left w:val="none" w:sz="0" w:space="0" w:color="auto"/>
            <w:bottom w:val="none" w:sz="0" w:space="0" w:color="auto"/>
            <w:right w:val="none" w:sz="0" w:space="0" w:color="auto"/>
          </w:divBdr>
          <w:divsChild>
            <w:div w:id="9250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35AA920A90748BE8F83806DCEAB34" ma:contentTypeVersion="11" ma:contentTypeDescription="Create a new document." ma:contentTypeScope="" ma:versionID="1c14e97dbb1487cad469b0a0814f8e6e">
  <xsd:schema xmlns:xsd="http://www.w3.org/2001/XMLSchema" xmlns:xs="http://www.w3.org/2001/XMLSchema" xmlns:p="http://schemas.microsoft.com/office/2006/metadata/properties" xmlns:ns3="5770dd94-7d4a-4716-86db-149e12e490dc" xmlns:ns4="3daac092-6046-4f0f-8d50-4c08cd6601b2" targetNamespace="http://schemas.microsoft.com/office/2006/metadata/properties" ma:root="true" ma:fieldsID="8502b1bf6ff71113e1be744e4212503f" ns3:_="" ns4:_="">
    <xsd:import namespace="5770dd94-7d4a-4716-86db-149e12e490dc"/>
    <xsd:import namespace="3daac092-6046-4f0f-8d50-4c08cd6601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dd94-7d4a-4716-86db-149e12e4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ac092-6046-4f0f-8d50-4c08cd6601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6367-036C-479B-9CED-055015B0C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dd94-7d4a-4716-86db-149e12e490dc"/>
    <ds:schemaRef ds:uri="3daac092-6046-4f0f-8d50-4c08cd660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06441-08A6-4F7E-9EFA-40C7CFE34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207DC-4F72-44AC-AF7A-596384C1F67A}">
  <ds:schemaRefs>
    <ds:schemaRef ds:uri="http://schemas.microsoft.com/sharepoint/v3/contenttype/forms"/>
  </ds:schemaRefs>
</ds:datastoreItem>
</file>

<file path=customXml/itemProps4.xml><?xml version="1.0" encoding="utf-8"?>
<ds:datastoreItem xmlns:ds="http://schemas.openxmlformats.org/officeDocument/2006/customXml" ds:itemID="{997900E5-FC02-4832-BD2F-5EDD23E873D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55</ap:Pages>
  <ap:Words>16568</ap:Words>
  <ap:Characters>94444</ap:Characters>
  <ap:Application>Microsoft Office Word</ap:Application>
  <ap:DocSecurity>0</ap:DocSecurity>
  <ap:Lines>787</ap:Lines>
  <ap:Paragraphs>221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110791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2019-11-05T18:42:00Z</cp:lastPrinted>
  <dcterms:created xsi:type="dcterms:W3CDTF">2024-01-17T15:22:53Z</dcterms:created>
  <dcterms:modified xsi:type="dcterms:W3CDTF">2024-01-17T15:22:53Z</dcterms:modified>
</cp:coreProperties>
</file>